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5A" w:rsidRDefault="000F6D5A" w:rsidP="00BA3694">
      <w:pPr>
        <w:spacing w:before="0" w:after="0" w:line="276" w:lineRule="auto"/>
        <w:jc w:val="center"/>
        <w:rPr>
          <w:b/>
        </w:rPr>
      </w:pPr>
      <w:bookmarkStart w:id="0" w:name="_GoBack"/>
      <w:bookmarkEnd w:id="0"/>
      <w:r>
        <w:rPr>
          <w:b/>
        </w:rPr>
        <w:t>INFORME</w:t>
      </w:r>
    </w:p>
    <w:p w:rsidR="00A23053" w:rsidRPr="00194E58" w:rsidRDefault="0016149C" w:rsidP="0016149C">
      <w:pPr>
        <w:spacing w:before="0" w:after="0" w:line="276" w:lineRule="auto"/>
        <w:jc w:val="center"/>
        <w:rPr>
          <w:rFonts w:cs="Times New Roman"/>
          <w:b/>
        </w:rPr>
      </w:pPr>
      <w:r>
        <w:rPr>
          <w:b/>
        </w:rPr>
        <w:t>Que presenta las c</w:t>
      </w:r>
      <w:r w:rsidR="000F6D5A">
        <w:rPr>
          <w:b/>
        </w:rPr>
        <w:t xml:space="preserve">onsideraciones sobre </w:t>
      </w:r>
      <w:r w:rsidR="00194E58">
        <w:rPr>
          <w:b/>
        </w:rPr>
        <w:t>los</w:t>
      </w:r>
      <w:r w:rsidR="005A385F" w:rsidRPr="00756230">
        <w:rPr>
          <w:b/>
        </w:rPr>
        <w:t xml:space="preserve"> comentarios</w:t>
      </w:r>
      <w:r>
        <w:rPr>
          <w:b/>
        </w:rPr>
        <w:t>, opiniones y propuestas recibida</w:t>
      </w:r>
      <w:r w:rsidR="005A385F" w:rsidRPr="00756230">
        <w:rPr>
          <w:b/>
        </w:rPr>
        <w:t xml:space="preserve">s </w:t>
      </w:r>
      <w:r>
        <w:rPr>
          <w:b/>
        </w:rPr>
        <w:t xml:space="preserve">durante </w:t>
      </w:r>
      <w:r w:rsidR="005A385F" w:rsidRPr="00756230">
        <w:rPr>
          <w:b/>
        </w:rPr>
        <w:t>la consulta pública del</w:t>
      </w:r>
      <w:r>
        <w:rPr>
          <w:b/>
        </w:rPr>
        <w:t xml:space="preserve"> </w:t>
      </w:r>
      <w:r w:rsidR="0041459B" w:rsidRPr="00194E58">
        <w:rPr>
          <w:b/>
          <w:i/>
        </w:rPr>
        <w:t>“</w:t>
      </w:r>
      <w:r w:rsidR="00194E58" w:rsidRPr="00194E58">
        <w:rPr>
          <w:b/>
          <w:i/>
        </w:rPr>
        <w:t>Anteproyecto de criterio técnico para el cálculo y aplicación de un índice cuantitativo a fin de determinar el grado de concentración en los mercados y servicios correspondientes a los sectores de telecomunicaciones y radiodifusión</w:t>
      </w:r>
      <w:r w:rsidR="0041459B" w:rsidRPr="00194E58">
        <w:rPr>
          <w:b/>
          <w:i/>
        </w:rPr>
        <w:t>”</w:t>
      </w:r>
      <w:r w:rsidR="00194E58">
        <w:rPr>
          <w:b/>
        </w:rPr>
        <w:t xml:space="preserve"> </w:t>
      </w:r>
      <w:r>
        <w:rPr>
          <w:b/>
        </w:rPr>
        <w:t>(Anteproyecto)</w:t>
      </w:r>
    </w:p>
    <w:p w:rsidR="000F6D5A" w:rsidRPr="000F6D5A" w:rsidRDefault="000F6D5A" w:rsidP="00BA3694">
      <w:pPr>
        <w:pStyle w:val="Seccin"/>
        <w:spacing w:before="120" w:after="120" w:line="276" w:lineRule="auto"/>
      </w:pPr>
      <w:r w:rsidRPr="000F6D5A">
        <w:t>Presentación</w:t>
      </w:r>
    </w:p>
    <w:p w:rsidR="00E07B18" w:rsidRDefault="00BA7771" w:rsidP="00BA3694">
      <w:pPr>
        <w:spacing w:line="276" w:lineRule="auto"/>
      </w:pPr>
      <w:r>
        <w:t xml:space="preserve">La Unidad de Competencia Económica del (UCE) </w:t>
      </w:r>
      <w:r w:rsidR="007C39F7">
        <w:t xml:space="preserve">del Instituto Federal de Telecomunicaciones (Instituto) </w:t>
      </w:r>
      <w:r>
        <w:t xml:space="preserve">presenta este Informe </w:t>
      </w:r>
      <w:r w:rsidR="0016149C">
        <w:t xml:space="preserve">que contiene </w:t>
      </w:r>
      <w:r w:rsidR="0016149C" w:rsidRPr="0016149C">
        <w:t>un resumen de los comentarios, opiniones y propuestas concretas recibidas</w:t>
      </w:r>
      <w:r w:rsidR="00E07B18">
        <w:t xml:space="preserve"> sobre el Anteproyecto</w:t>
      </w:r>
      <w:r w:rsidR="0016149C" w:rsidRPr="0016149C">
        <w:t>, así como sus consideraciones</w:t>
      </w:r>
      <w:r w:rsidR="00E07B18">
        <w:t xml:space="preserve">. </w:t>
      </w:r>
    </w:p>
    <w:p w:rsidR="0016149C" w:rsidRDefault="00386CF8" w:rsidP="00C8434F">
      <w:pPr>
        <w:spacing w:line="276" w:lineRule="auto"/>
      </w:pPr>
      <w:r>
        <w:rPr>
          <w:szCs w:val="20"/>
        </w:rPr>
        <w:t>Este Informe se tiene por i</w:t>
      </w:r>
      <w:r w:rsidR="00C8434F" w:rsidRPr="00AC54DE">
        <w:rPr>
          <w:szCs w:val="20"/>
        </w:rPr>
        <w:t xml:space="preserve">ntegrado el </w:t>
      </w:r>
      <w:r w:rsidR="00C8434F">
        <w:rPr>
          <w:szCs w:val="20"/>
        </w:rPr>
        <w:t xml:space="preserve">jueves 4 </w:t>
      </w:r>
      <w:r w:rsidR="00C8434F" w:rsidRPr="00AC54DE">
        <w:rPr>
          <w:szCs w:val="20"/>
        </w:rPr>
        <w:t xml:space="preserve">de </w:t>
      </w:r>
      <w:r w:rsidR="00C8434F">
        <w:rPr>
          <w:szCs w:val="20"/>
        </w:rPr>
        <w:t xml:space="preserve">febrero </w:t>
      </w:r>
      <w:r w:rsidR="00C8434F" w:rsidRPr="00AC54DE">
        <w:rPr>
          <w:szCs w:val="20"/>
        </w:rPr>
        <w:t>de 2015, dentro del plazo legal otorgado</w:t>
      </w:r>
      <w:r w:rsidR="00C8434F">
        <w:t xml:space="preserve"> </w:t>
      </w:r>
      <w:r w:rsidR="00E07B18">
        <w:t xml:space="preserve">de 30 días hábiles posteriores a la conclusión de la consulta pública, en términos de los resolutivos Primero y Tercero del Acuerdo </w:t>
      </w:r>
      <w:r w:rsidR="00E07B18" w:rsidRPr="000F5F09">
        <w:t>P/IFT/141015/432</w:t>
      </w:r>
      <w:r w:rsidR="00B21AAD">
        <w:t xml:space="preserve">; </w:t>
      </w:r>
      <w:r w:rsidR="00AA2C4B">
        <w:t xml:space="preserve">y los artículos 138, fracción III, de la Ley Federal de Competencia Económica (LFCE) y 47, fracción VII, del </w:t>
      </w:r>
      <w:r w:rsidR="00AA2C4B" w:rsidRPr="00021217">
        <w:t>Estatuto Orgánico del Instituto Federal de Telecomunicaciones</w:t>
      </w:r>
      <w:r w:rsidR="00AA2C4B">
        <w:t xml:space="preserve"> (Estatuto Orgánico).</w:t>
      </w:r>
      <w:r w:rsidR="00AA2C4B">
        <w:rPr>
          <w:rStyle w:val="Refdenotaalpie"/>
        </w:rPr>
        <w:footnoteReference w:id="1"/>
      </w:r>
    </w:p>
    <w:p w:rsidR="00236A38" w:rsidRDefault="006D180E" w:rsidP="00C8434F">
      <w:pPr>
        <w:spacing w:line="276" w:lineRule="auto"/>
      </w:pPr>
      <w:r>
        <w:rPr>
          <w:szCs w:val="20"/>
        </w:rPr>
        <w:t xml:space="preserve">Está </w:t>
      </w:r>
      <w:r w:rsidR="00C8434F">
        <w:rPr>
          <w:szCs w:val="20"/>
        </w:rPr>
        <w:t>integra</w:t>
      </w:r>
      <w:r>
        <w:rPr>
          <w:szCs w:val="20"/>
        </w:rPr>
        <w:t>do</w:t>
      </w:r>
      <w:r w:rsidR="00C8434F">
        <w:rPr>
          <w:szCs w:val="20"/>
        </w:rPr>
        <w:t xml:space="preserve"> </w:t>
      </w:r>
      <w:r w:rsidR="00236A38">
        <w:t>de las</w:t>
      </w:r>
      <w:r w:rsidR="0017391C">
        <w:t xml:space="preserve"> siguientes secciones.</w:t>
      </w:r>
    </w:p>
    <w:p w:rsidR="007A0B5E" w:rsidRDefault="007A0B5E" w:rsidP="007A0B5E">
      <w:pPr>
        <w:spacing w:line="276" w:lineRule="auto"/>
        <w:ind w:left="708"/>
      </w:pPr>
      <w:r>
        <w:t>1. Antecedentes</w:t>
      </w:r>
    </w:p>
    <w:p w:rsidR="007A0B5E" w:rsidRDefault="007A0B5E" w:rsidP="007A0B5E">
      <w:pPr>
        <w:spacing w:line="276" w:lineRule="auto"/>
        <w:ind w:left="708"/>
      </w:pPr>
      <w:r>
        <w:t>2. Actuaciones posteriores</w:t>
      </w:r>
    </w:p>
    <w:p w:rsidR="007A0B5E" w:rsidRDefault="007A0B5E" w:rsidP="007A0B5E">
      <w:pPr>
        <w:spacing w:line="276" w:lineRule="auto"/>
        <w:ind w:left="708"/>
      </w:pPr>
      <w:r>
        <w:t>3. Metodología</w:t>
      </w:r>
    </w:p>
    <w:p w:rsidR="007A0B5E" w:rsidRDefault="007A0B5E" w:rsidP="007A0B5E">
      <w:pPr>
        <w:spacing w:line="276" w:lineRule="auto"/>
        <w:ind w:left="708"/>
      </w:pPr>
      <w:r>
        <w:t>4. Aportaciones recibidas durante la consulta pública</w:t>
      </w:r>
    </w:p>
    <w:p w:rsidR="007A0B5E" w:rsidRDefault="007A0B5E" w:rsidP="007A0B5E">
      <w:pPr>
        <w:spacing w:line="276" w:lineRule="auto"/>
        <w:ind w:left="708"/>
      </w:pPr>
      <w:r>
        <w:t>5. Artículos y elementos del Anteproyecto sobre los que se recibieron comentarios</w:t>
      </w:r>
      <w:r w:rsidR="0059149F">
        <w:t>,</w:t>
      </w:r>
      <w:r w:rsidR="0059149F" w:rsidRPr="0059149F">
        <w:t xml:space="preserve"> </w:t>
      </w:r>
      <w:r w:rsidR="0059149F">
        <w:t>opiniones y propuestas</w:t>
      </w:r>
    </w:p>
    <w:p w:rsidR="007A0B5E" w:rsidRDefault="007A0B5E" w:rsidP="007A0B5E">
      <w:pPr>
        <w:spacing w:line="276" w:lineRule="auto"/>
        <w:ind w:left="708"/>
      </w:pPr>
      <w:r>
        <w:t>6. Consideraciones sobre los comentarios</w:t>
      </w:r>
      <w:r w:rsidR="0059149F">
        <w:t>,</w:t>
      </w:r>
      <w:r>
        <w:t xml:space="preserve"> las opiniones </w:t>
      </w:r>
      <w:r w:rsidR="0059149F">
        <w:t xml:space="preserve">y las propuestas </w:t>
      </w:r>
      <w:r>
        <w:t>recibidas sobre el Anteproyecto.</w:t>
      </w:r>
    </w:p>
    <w:p w:rsidR="007A0B5E" w:rsidRDefault="007A0B5E" w:rsidP="007A0B5E">
      <w:pPr>
        <w:spacing w:line="276" w:lineRule="auto"/>
        <w:ind w:left="708"/>
      </w:pPr>
    </w:p>
    <w:p w:rsidR="00BB7285" w:rsidRPr="0017391C" w:rsidRDefault="00BB7285" w:rsidP="001E26FA">
      <w:pPr>
        <w:pStyle w:val="Ttulo1"/>
      </w:pPr>
      <w:bookmarkStart w:id="1" w:name="_Toc442377671"/>
      <w:r w:rsidRPr="0017391C">
        <w:t>A</w:t>
      </w:r>
      <w:r w:rsidR="00236A38" w:rsidRPr="0017391C">
        <w:t>ntecedentes</w:t>
      </w:r>
      <w:bookmarkEnd w:id="1"/>
    </w:p>
    <w:p w:rsidR="00991831" w:rsidRDefault="003D78D2" w:rsidP="00F81233">
      <w:pPr>
        <w:spacing w:line="276" w:lineRule="auto"/>
        <w:ind w:right="44"/>
      </w:pPr>
      <w:r>
        <w:t xml:space="preserve">El instituto es la autoridad competente para emitir </w:t>
      </w:r>
      <w:r w:rsidR="00991831" w:rsidRPr="00CB2D9A">
        <w:rPr>
          <w:i/>
        </w:rPr>
        <w:t>un índice cuantitativo a fin de determinar el grado de concentración en los mercados y servicios correspondientes a los sectores de telecomunicaciones y radiodifusión</w:t>
      </w:r>
      <w:r w:rsidR="00991831">
        <w:t>.</w:t>
      </w:r>
    </w:p>
    <w:p w:rsidR="003D78D2" w:rsidRPr="003D78D2" w:rsidRDefault="003D78D2" w:rsidP="00F81233">
      <w:pPr>
        <w:spacing w:line="276" w:lineRule="auto"/>
        <w:ind w:right="44"/>
      </w:pPr>
      <w:r>
        <w:lastRenderedPageBreak/>
        <w:t xml:space="preserve">Lo anterior con fundamento en </w:t>
      </w:r>
      <w:r w:rsidRPr="00021217">
        <w:t>los artículos 28, párrafo décimo sexto, de la Constitución Política de los Estados Unidos Mexicanos;</w:t>
      </w:r>
      <w:r w:rsidRPr="00021217">
        <w:rPr>
          <w:bCs/>
          <w:color w:val="000000"/>
          <w:lang w:eastAsia="es-MX"/>
        </w:rPr>
        <w:t xml:space="preserve"> </w:t>
      </w:r>
      <w:r>
        <w:rPr>
          <w:bCs/>
          <w:color w:val="000000"/>
          <w:lang w:eastAsia="es-MX"/>
        </w:rPr>
        <w:t>7, párrafo tercero, de la Ley Federal de Telecomunicaciones y Radiodifusión</w:t>
      </w:r>
      <w:r w:rsidR="00133CF7">
        <w:rPr>
          <w:bCs/>
          <w:color w:val="000000"/>
          <w:lang w:eastAsia="es-MX"/>
        </w:rPr>
        <w:t xml:space="preserve"> (LFTR)</w:t>
      </w:r>
      <w:r>
        <w:t>;</w:t>
      </w:r>
      <w:r>
        <w:rPr>
          <w:rStyle w:val="Refdenotaalpie"/>
        </w:rPr>
        <w:footnoteReference w:id="2"/>
      </w:r>
      <w:r>
        <w:t xml:space="preserve"> </w:t>
      </w:r>
      <w:r w:rsidRPr="00021217">
        <w:t>1, 2, 5, párrafo primero, 12, fracciones I y XX</w:t>
      </w:r>
      <w:r>
        <w:t>II</w:t>
      </w:r>
      <w:r w:rsidRPr="00021217">
        <w:t>,</w:t>
      </w:r>
      <w:r>
        <w:t xml:space="preserve"> párrafo tercero,</w:t>
      </w:r>
      <w:r w:rsidRPr="00021217">
        <w:t xml:space="preserve"> </w:t>
      </w:r>
      <w:r>
        <w:t>incisos a) y g), 18, párrafo séptimo, 28, fracción X, y 138, fracciones I y II,</w:t>
      </w:r>
      <w:r w:rsidRPr="00021217">
        <w:t xml:space="preserve"> de la </w:t>
      </w:r>
      <w:r w:rsidR="00133CF7">
        <w:t>LFCE</w:t>
      </w:r>
      <w:r w:rsidRPr="00021217">
        <w:rPr>
          <w:color w:val="000000"/>
          <w:shd w:val="clear" w:color="auto" w:fill="FFFFFF"/>
        </w:rPr>
        <w:t>;</w:t>
      </w:r>
      <w:r>
        <w:rPr>
          <w:rStyle w:val="Refdenotaalpie"/>
          <w:color w:val="000000"/>
          <w:shd w:val="clear" w:color="auto" w:fill="FFFFFF"/>
        </w:rPr>
        <w:footnoteReference w:id="3"/>
      </w:r>
      <w:r>
        <w:rPr>
          <w:color w:val="000000"/>
          <w:shd w:val="clear" w:color="auto" w:fill="FFFFFF"/>
        </w:rPr>
        <w:t xml:space="preserve"> 13 y 187 </w:t>
      </w:r>
      <w:r w:rsidRPr="00B90D85">
        <w:rPr>
          <w:color w:val="000000"/>
          <w:shd w:val="clear" w:color="auto" w:fill="FFFFFF"/>
        </w:rPr>
        <w:t>de las Disposiciones Regulatorias de la Ley Federal de Competencia Económica para los sectores de telecomunicaciones y radiodifusión</w:t>
      </w:r>
      <w:r w:rsidR="00133CF7">
        <w:rPr>
          <w:color w:val="000000"/>
          <w:shd w:val="clear" w:color="auto" w:fill="FFFFFF"/>
        </w:rPr>
        <w:t xml:space="preserve"> (Disposiciones Regulatorias)</w:t>
      </w:r>
      <w:r w:rsidRPr="003A33AD">
        <w:rPr>
          <w:color w:val="000000"/>
          <w:shd w:val="clear" w:color="auto" w:fill="FFFFFF"/>
        </w:rPr>
        <w:t>;</w:t>
      </w:r>
      <w:r w:rsidR="00C81F2D">
        <w:rPr>
          <w:rStyle w:val="Refdenotaalpie"/>
          <w:color w:val="000000"/>
          <w:shd w:val="clear" w:color="auto" w:fill="FFFFFF"/>
        </w:rPr>
        <w:footnoteReference w:id="4"/>
      </w:r>
      <w:r w:rsidRPr="00021217">
        <w:t xml:space="preserve"> y 1, párrafos primero y tercero, 2, fracción X, 4, fracci</w:t>
      </w:r>
      <w:r>
        <w:t>o</w:t>
      </w:r>
      <w:r w:rsidRPr="00021217">
        <w:t>n</w:t>
      </w:r>
      <w:r>
        <w:t>es</w:t>
      </w:r>
      <w:r w:rsidRPr="00021217">
        <w:t xml:space="preserve"> I</w:t>
      </w:r>
      <w:r>
        <w:t>, V, inciso vi)</w:t>
      </w:r>
      <w:r w:rsidRPr="00021217">
        <w:t>,</w:t>
      </w:r>
      <w:r>
        <w:t xml:space="preserve"> y VI, y</w:t>
      </w:r>
      <w:r w:rsidRPr="00021217">
        <w:t xml:space="preserve"> 6, fracción XXXVII, del Estatuto Orgánico</w:t>
      </w:r>
      <w:r w:rsidR="00373D0E">
        <w:t>.</w:t>
      </w:r>
    </w:p>
    <w:p w:rsidR="003D78D2" w:rsidRDefault="003C3FF5" w:rsidP="00F81233">
      <w:pPr>
        <w:spacing w:line="276" w:lineRule="auto"/>
        <w:ind w:right="44"/>
      </w:pPr>
      <w:r>
        <w:t>Para efectos de dar cumplimiento a este mandato legal, el Instituto ha realizado los siguientes actos previos:</w:t>
      </w:r>
    </w:p>
    <w:p w:rsidR="00F81233" w:rsidRPr="00C15E3A" w:rsidRDefault="003D78D2" w:rsidP="00A43F8F">
      <w:pPr>
        <w:pStyle w:val="Prrafoantecedentes"/>
        <w:numPr>
          <w:ilvl w:val="0"/>
          <w:numId w:val="24"/>
        </w:numPr>
        <w:spacing w:after="120" w:line="276" w:lineRule="auto"/>
        <w:ind w:left="284" w:hanging="284"/>
      </w:pPr>
      <w:r>
        <w:t xml:space="preserve">El </w:t>
      </w:r>
      <w:r w:rsidR="00D12845">
        <w:t>10</w:t>
      </w:r>
      <w:r w:rsidR="003C3FF5">
        <w:t xml:space="preserve"> de </w:t>
      </w:r>
      <w:r w:rsidR="00D12845">
        <w:t>septiembre</w:t>
      </w:r>
      <w:r w:rsidR="003C3FF5">
        <w:t xml:space="preserve"> de 2015, la</w:t>
      </w:r>
      <w:r w:rsidR="00F81233">
        <w:t xml:space="preserve"> Unidad de Competencia Económica presentó a consideración del Pleno del Instituto</w:t>
      </w:r>
      <w:r w:rsidR="0032211B">
        <w:t xml:space="preserve">, previa </w:t>
      </w:r>
      <w:r w:rsidR="0032211B">
        <w:rPr>
          <w:szCs w:val="20"/>
        </w:rPr>
        <w:t xml:space="preserve">colaboración con la Autoridad Investigadora, un </w:t>
      </w:r>
      <w:r w:rsidR="00F81233">
        <w:t xml:space="preserve">proyecto de Acuerdo para someter a consulta pública el </w:t>
      </w:r>
      <w:r w:rsidR="00133CF7" w:rsidRPr="00133CF7">
        <w:t>Anteproyecto</w:t>
      </w:r>
      <w:r w:rsidR="00F81233">
        <w:t xml:space="preserve">. </w:t>
      </w:r>
    </w:p>
    <w:p w:rsidR="00D51FB4" w:rsidRPr="000F5F09" w:rsidRDefault="00D51FB4" w:rsidP="00A43F8F">
      <w:pPr>
        <w:pStyle w:val="Prrafoantecedentes"/>
        <w:numPr>
          <w:ilvl w:val="0"/>
          <w:numId w:val="24"/>
        </w:numPr>
        <w:spacing w:after="120" w:line="276" w:lineRule="auto"/>
        <w:ind w:left="284" w:hanging="284"/>
      </w:pPr>
      <w:r w:rsidRPr="000F5F09">
        <w:t xml:space="preserve">El </w:t>
      </w:r>
      <w:r w:rsidR="00F81233">
        <w:t>14</w:t>
      </w:r>
      <w:r w:rsidRPr="000F5F09">
        <w:t xml:space="preserve"> de octubre de </w:t>
      </w:r>
      <w:r w:rsidR="00F81233">
        <w:t>2015</w:t>
      </w:r>
      <w:r w:rsidRPr="000F5F09">
        <w:t>, mediante Acuerdo P/IFT/141015/432,</w:t>
      </w:r>
      <w:r w:rsidR="00390255">
        <w:rPr>
          <w:rStyle w:val="Refdenotaalpie"/>
        </w:rPr>
        <w:footnoteReference w:id="5"/>
      </w:r>
      <w:r w:rsidRPr="000F5F09">
        <w:t xml:space="preserve"> el Pleno del Instituto Federal de Telecomunicaciones acordó someter a consulta pública el Anteproyect</w:t>
      </w:r>
      <w:r>
        <w:t>o</w:t>
      </w:r>
      <w:r w:rsidR="00390255">
        <w:t>,</w:t>
      </w:r>
      <w:r w:rsidR="003C6F56">
        <w:t xml:space="preserve"> </w:t>
      </w:r>
      <w:r w:rsidR="00390255">
        <w:t>cuyos resolutivos Primero y Tercero señalan:</w:t>
      </w:r>
    </w:p>
    <w:p w:rsidR="00F81233" w:rsidRPr="003C3FF5" w:rsidRDefault="00D51FB4" w:rsidP="00361452">
      <w:pPr>
        <w:pStyle w:val="Cita"/>
        <w:spacing w:before="80" w:after="80" w:line="276" w:lineRule="auto"/>
        <w:ind w:left="708"/>
        <w:rPr>
          <w:sz w:val="18"/>
        </w:rPr>
      </w:pPr>
      <w:r w:rsidRPr="003C3FF5">
        <w:rPr>
          <w:sz w:val="18"/>
        </w:rPr>
        <w:t>“</w:t>
      </w:r>
      <w:r w:rsidR="00F81233" w:rsidRPr="003C3FF5">
        <w:rPr>
          <w:b/>
          <w:sz w:val="18"/>
        </w:rPr>
        <w:t>PRIMERO</w:t>
      </w:r>
      <w:r w:rsidR="00F81233" w:rsidRPr="003C3FF5">
        <w:rPr>
          <w:sz w:val="18"/>
        </w:rPr>
        <w:t>. Someter a consulta pública el “ANTEPROYECTO DE CRITERIO TÉCNICO PARA EL CÁLCULO Y APLICACIÓN DE UN ÍNDICE CUANTITATIVO A FIN DE DETERMINAR EL GRADO DE CONCENTRACIÓN EN LOS MERCADOS Y SERVICIOS CORRESPONDIENTES A LOS SECTORES DE TELECOMUNICACIONES Y RADIODIFUSIÓN”, que como Anexo Único forma parte del presente Acuerdo. Dicha consulta pública se realizará por un periodo de 30 (treinta) días hábiles contados a partir del día hábil siguiente a la publicación en el Diario Oficial de la Federación referida en el Acuerdo SEGUNDO, a fin de que cualquier interesado presente opiniones al Instituto sobre el anteproyecto referido.</w:t>
      </w:r>
    </w:p>
    <w:p w:rsidR="00F81233" w:rsidRPr="003C3FF5" w:rsidRDefault="00F81233" w:rsidP="00361452">
      <w:pPr>
        <w:spacing w:before="80" w:after="80"/>
        <w:ind w:left="732"/>
        <w:rPr>
          <w:i/>
          <w:sz w:val="18"/>
        </w:rPr>
      </w:pPr>
      <w:r w:rsidRPr="003C3FF5">
        <w:rPr>
          <w:i/>
          <w:sz w:val="18"/>
        </w:rPr>
        <w:t>(…)</w:t>
      </w:r>
    </w:p>
    <w:p w:rsidR="00D51FB4" w:rsidRPr="003C3FF5" w:rsidRDefault="00D51FB4" w:rsidP="00361452">
      <w:pPr>
        <w:pStyle w:val="Cita"/>
        <w:spacing w:before="80" w:after="80" w:line="276" w:lineRule="auto"/>
        <w:ind w:left="744"/>
        <w:rPr>
          <w:sz w:val="18"/>
        </w:rPr>
      </w:pPr>
      <w:r w:rsidRPr="003C3FF5">
        <w:rPr>
          <w:b/>
          <w:sz w:val="18"/>
        </w:rPr>
        <w:t>TERCERO.</w:t>
      </w:r>
      <w:r w:rsidRPr="003C3FF5">
        <w:rPr>
          <w:sz w:val="18"/>
        </w:rPr>
        <w:t xml:space="preserve"> Se instruye a la Unidad de Competencia Económica de este Instituto a recibir, revisar y atender los comentarios y las opiniones que sean vertidas en virtud de la consulta pública materia del presente Acuerdo; y, al término del plazo referido en el Acuerdo PRIMERO, elaborar un informe con un resumen de los comentarios recibidos, así como de sus consideraciones a los mismos, en un plazo no mayor de 30 días hábiles. Dicho informe deberá publicarse en el sitio de Internet del Instituto.”</w:t>
      </w:r>
    </w:p>
    <w:p w:rsidR="00D51FB4" w:rsidRDefault="00D51FB4" w:rsidP="00A43F8F">
      <w:pPr>
        <w:pStyle w:val="Prrafoantecedentes"/>
        <w:numPr>
          <w:ilvl w:val="0"/>
          <w:numId w:val="24"/>
        </w:numPr>
        <w:spacing w:after="120" w:line="276" w:lineRule="auto"/>
        <w:ind w:left="284" w:hanging="284"/>
      </w:pPr>
      <w:r w:rsidRPr="00756230">
        <w:t>La consulta pública del Anteproyecto</w:t>
      </w:r>
      <w:r w:rsidRPr="00346F90">
        <w:t xml:space="preserve"> </w:t>
      </w:r>
      <w:r w:rsidRPr="00756230">
        <w:t>se llevó a cabo por un periodo de 30</w:t>
      </w:r>
      <w:r>
        <w:t xml:space="preserve"> (treinta)</w:t>
      </w:r>
      <w:r w:rsidRPr="00756230">
        <w:t xml:space="preserve"> días hábiles, </w:t>
      </w:r>
      <w:r w:rsidR="003C3FF5">
        <w:t xml:space="preserve">que transcurrió </w:t>
      </w:r>
      <w:r w:rsidR="003C3FF5" w:rsidRPr="00BA3694">
        <w:t>del 26 de oc</w:t>
      </w:r>
      <w:r w:rsidR="003C3FF5">
        <w:t>tubre al 7 de diciembre de 2015.</w:t>
      </w:r>
    </w:p>
    <w:p w:rsidR="00BB7285" w:rsidRPr="0017391C" w:rsidRDefault="00BB7285" w:rsidP="0017391C">
      <w:pPr>
        <w:pStyle w:val="Ttulo1"/>
      </w:pPr>
      <w:bookmarkStart w:id="2" w:name="_Toc442377672"/>
      <w:r w:rsidRPr="0017391C">
        <w:lastRenderedPageBreak/>
        <w:t>Actuaciones posteriores</w:t>
      </w:r>
      <w:bookmarkEnd w:id="2"/>
    </w:p>
    <w:p w:rsidR="00855B94" w:rsidRDefault="001417A0" w:rsidP="00A33C82">
      <w:pPr>
        <w:spacing w:line="276" w:lineRule="auto"/>
        <w:rPr>
          <w:szCs w:val="20"/>
        </w:rPr>
      </w:pPr>
      <w:r w:rsidRPr="00CB2D9A">
        <w:t>En</w:t>
      </w:r>
      <w:r w:rsidRPr="00756230">
        <w:t xml:space="preserve"> cumplimiento de la instrucción</w:t>
      </w:r>
      <w:r w:rsidR="00290272">
        <w:t xml:space="preserve"> del Pleno del Instituto </w:t>
      </w:r>
      <w:r w:rsidR="00A33C82">
        <w:t>las disposiciones aplicables referidas</w:t>
      </w:r>
      <w:r w:rsidR="00290272">
        <w:t xml:space="preserve"> en la sección anterior</w:t>
      </w:r>
      <w:r w:rsidRPr="00756230">
        <w:rPr>
          <w:bCs/>
          <w:color w:val="000000"/>
          <w:lang w:eastAsia="es-MX"/>
        </w:rPr>
        <w:t xml:space="preserve">, la Unidad de Competencia Económica </w:t>
      </w:r>
      <w:r w:rsidR="00290272">
        <w:rPr>
          <w:bCs/>
          <w:color w:val="000000"/>
          <w:lang w:eastAsia="es-MX"/>
        </w:rPr>
        <w:t xml:space="preserve">presenta este </w:t>
      </w:r>
      <w:r w:rsidRPr="00A33C82">
        <w:t>Informe</w:t>
      </w:r>
      <w:r w:rsidR="00A33C82">
        <w:t xml:space="preserve"> </w:t>
      </w:r>
      <w:r w:rsidR="00855B94">
        <w:rPr>
          <w:szCs w:val="20"/>
        </w:rPr>
        <w:t>para su difusión general, sin que éste sea vinculante para que el Pleno del Instituto resuelva sobre el Proyecto correspondiente.</w:t>
      </w:r>
    </w:p>
    <w:p w:rsidR="00A33C82" w:rsidRDefault="007155FE" w:rsidP="00A33C82">
      <w:pPr>
        <w:spacing w:line="276" w:lineRule="auto"/>
      </w:pPr>
      <w:r>
        <w:rPr>
          <w:szCs w:val="20"/>
        </w:rPr>
        <w:t xml:space="preserve">Una vez integrado, el </w:t>
      </w:r>
      <w:r w:rsidR="004B0958">
        <w:rPr>
          <w:szCs w:val="20"/>
        </w:rPr>
        <w:t xml:space="preserve">Informe deberá publicarse en </w:t>
      </w:r>
      <w:r w:rsidR="004B0958" w:rsidRPr="0020445A">
        <w:t>el sitio de Internet</w:t>
      </w:r>
      <w:r w:rsidR="004B0958">
        <w:t xml:space="preserve"> del Instituto dentro de los cinco días siguientes a su fecha de integración, en términos del artículo 114, segundo párrafo, de la LFCE.</w:t>
      </w:r>
    </w:p>
    <w:p w:rsidR="008352E3" w:rsidRPr="005D2BF2" w:rsidRDefault="00517235" w:rsidP="008352E3">
      <w:pPr>
        <w:spacing w:line="276" w:lineRule="auto"/>
      </w:pPr>
      <w:r>
        <w:t>A partir de la publicación d</w:t>
      </w:r>
      <w:r w:rsidR="008352E3">
        <w:t xml:space="preserve">el informe, el Instituto cuenta con 60 días hábiles para expedir el Criterio Técnico </w:t>
      </w:r>
      <w:r w:rsidR="007155FE">
        <w:t xml:space="preserve">correspondiente </w:t>
      </w:r>
      <w:r w:rsidR="008352E3">
        <w:t>para emitir</w:t>
      </w:r>
      <w:r w:rsidR="008352E3" w:rsidRPr="007155FE">
        <w:t xml:space="preserve"> un índice cuantitativo a fin de determinar el grado de concentración en los mercados y servicios correspondientes a los sectores de telecomunicaciones y radiodifusión.</w:t>
      </w:r>
      <w:r w:rsidR="005D2BF2">
        <w:t xml:space="preserve"> En este periodo </w:t>
      </w:r>
      <w:r w:rsidR="005D2BF2">
        <w:rPr>
          <w:szCs w:val="20"/>
        </w:rPr>
        <w:t xml:space="preserve">la Unidad de Competencia Económica, en colaboración con la Autoridad Investigadora del Instituto, elaborará un Proyecto </w:t>
      </w:r>
      <w:r w:rsidR="00321937">
        <w:rPr>
          <w:szCs w:val="20"/>
        </w:rPr>
        <w:t xml:space="preserve">correspondiente </w:t>
      </w:r>
      <w:r w:rsidR="005D2BF2">
        <w:rPr>
          <w:szCs w:val="20"/>
        </w:rPr>
        <w:t>que se presentarán a consideración del Pleno</w:t>
      </w:r>
      <w:r w:rsidR="00321937">
        <w:rPr>
          <w:szCs w:val="20"/>
        </w:rPr>
        <w:t xml:space="preserve">, autoridad </w:t>
      </w:r>
      <w:r w:rsidR="005D2BF2">
        <w:rPr>
          <w:szCs w:val="20"/>
        </w:rPr>
        <w:t>a quien corresponde su emisión y publicaci</w:t>
      </w:r>
      <w:r>
        <w:rPr>
          <w:szCs w:val="20"/>
        </w:rPr>
        <w:t>ón.</w:t>
      </w:r>
    </w:p>
    <w:p w:rsidR="00236A38" w:rsidRPr="00AC54DE" w:rsidRDefault="00F27D28" w:rsidP="00724121">
      <w:pPr>
        <w:pStyle w:val="Ttulo1"/>
      </w:pPr>
      <w:bookmarkStart w:id="3" w:name="_Toc442377673"/>
      <w:r>
        <w:t>Metodología</w:t>
      </w:r>
      <w:bookmarkEnd w:id="3"/>
    </w:p>
    <w:p w:rsidR="00236A38" w:rsidRPr="00AC54DE" w:rsidRDefault="00236A38" w:rsidP="00236A38">
      <w:pPr>
        <w:spacing w:line="276" w:lineRule="auto"/>
        <w:rPr>
          <w:szCs w:val="20"/>
        </w:rPr>
      </w:pPr>
      <w:r>
        <w:rPr>
          <w:szCs w:val="20"/>
        </w:rPr>
        <w:t>L</w:t>
      </w:r>
      <w:r w:rsidRPr="00AC54DE">
        <w:rPr>
          <w:szCs w:val="20"/>
        </w:rPr>
        <w:t xml:space="preserve">a revisión y la evaluación de </w:t>
      </w:r>
      <w:r w:rsidR="00C8434F" w:rsidRPr="00AC54DE">
        <w:rPr>
          <w:szCs w:val="20"/>
        </w:rPr>
        <w:t xml:space="preserve">las opiniones, </w:t>
      </w:r>
      <w:r w:rsidR="00C8434F">
        <w:rPr>
          <w:szCs w:val="20"/>
        </w:rPr>
        <w:t>los comentarios, las propuestas recibida</w:t>
      </w:r>
      <w:r w:rsidRPr="00AC54DE">
        <w:rPr>
          <w:szCs w:val="20"/>
        </w:rPr>
        <w:t>s se realizó con la siguiente metodología:</w:t>
      </w:r>
    </w:p>
    <w:p w:rsidR="00236A38" w:rsidRPr="00AC54DE" w:rsidRDefault="00236A38" w:rsidP="00A43F8F">
      <w:pPr>
        <w:pStyle w:val="Prrafodelista"/>
        <w:numPr>
          <w:ilvl w:val="0"/>
          <w:numId w:val="13"/>
        </w:numPr>
        <w:spacing w:before="80" w:after="80" w:line="276" w:lineRule="auto"/>
        <w:ind w:left="357" w:hanging="357"/>
        <w:contextualSpacing w:val="0"/>
        <w:rPr>
          <w:szCs w:val="20"/>
        </w:rPr>
      </w:pPr>
      <w:r w:rsidRPr="00AC54DE">
        <w:rPr>
          <w:szCs w:val="20"/>
        </w:rPr>
        <w:t>Identificación de los artículos del Anteproyecto sobre los que se recibieron comentarios en el periodo de consulta pública</w:t>
      </w:r>
      <w:r>
        <w:rPr>
          <w:szCs w:val="20"/>
        </w:rPr>
        <w:t xml:space="preserve"> y temas relacionados</w:t>
      </w:r>
      <w:r w:rsidRPr="00AC54DE">
        <w:rPr>
          <w:szCs w:val="20"/>
        </w:rPr>
        <w:t xml:space="preserve">; </w:t>
      </w:r>
    </w:p>
    <w:p w:rsidR="00236A38" w:rsidRPr="00AC54DE" w:rsidRDefault="00236A38" w:rsidP="00A43F8F">
      <w:pPr>
        <w:pStyle w:val="Prrafodelista"/>
        <w:numPr>
          <w:ilvl w:val="0"/>
          <w:numId w:val="13"/>
        </w:numPr>
        <w:spacing w:before="80" w:after="80" w:line="276" w:lineRule="auto"/>
        <w:ind w:left="357" w:hanging="357"/>
        <w:contextualSpacing w:val="0"/>
        <w:rPr>
          <w:szCs w:val="20"/>
        </w:rPr>
      </w:pPr>
      <w:r w:rsidRPr="00AC54DE">
        <w:rPr>
          <w:szCs w:val="20"/>
        </w:rPr>
        <w:t xml:space="preserve">Agrupación de los comentarios, opiniones y propuestas concretas </w:t>
      </w:r>
      <w:r>
        <w:rPr>
          <w:szCs w:val="20"/>
        </w:rPr>
        <w:t>relacionados entre sí;</w:t>
      </w:r>
      <w:r w:rsidRPr="00AC54DE">
        <w:rPr>
          <w:szCs w:val="20"/>
        </w:rPr>
        <w:t xml:space="preserve"> </w:t>
      </w:r>
    </w:p>
    <w:p w:rsidR="00236A38" w:rsidRPr="00AC54DE" w:rsidRDefault="00236A38" w:rsidP="00A43F8F">
      <w:pPr>
        <w:pStyle w:val="Prrafodelista"/>
        <w:numPr>
          <w:ilvl w:val="0"/>
          <w:numId w:val="13"/>
        </w:numPr>
        <w:spacing w:before="80" w:after="80" w:line="276" w:lineRule="auto"/>
        <w:ind w:left="357" w:hanging="357"/>
        <w:contextualSpacing w:val="0"/>
        <w:rPr>
          <w:szCs w:val="20"/>
        </w:rPr>
      </w:pPr>
      <w:r w:rsidRPr="00AC54DE">
        <w:rPr>
          <w:szCs w:val="20"/>
        </w:rPr>
        <w:t>Análisis integral y consistente de los comentarios</w:t>
      </w:r>
      <w:r>
        <w:rPr>
          <w:szCs w:val="20"/>
        </w:rPr>
        <w:t>, y</w:t>
      </w:r>
    </w:p>
    <w:p w:rsidR="00236A38" w:rsidRDefault="00236A38" w:rsidP="00A43F8F">
      <w:pPr>
        <w:pStyle w:val="Prrafodelista"/>
        <w:numPr>
          <w:ilvl w:val="0"/>
          <w:numId w:val="13"/>
        </w:numPr>
        <w:spacing w:before="80" w:after="80" w:line="276" w:lineRule="auto"/>
        <w:ind w:left="357" w:hanging="357"/>
        <w:contextualSpacing w:val="0"/>
        <w:rPr>
          <w:szCs w:val="20"/>
        </w:rPr>
      </w:pPr>
      <w:r w:rsidRPr="00AC54DE">
        <w:rPr>
          <w:szCs w:val="20"/>
        </w:rPr>
        <w:t xml:space="preserve">Elaborar las </w:t>
      </w:r>
      <w:r>
        <w:rPr>
          <w:szCs w:val="20"/>
        </w:rPr>
        <w:t>consideraciones sobre</w:t>
      </w:r>
      <w:r w:rsidRPr="00AC54DE">
        <w:rPr>
          <w:szCs w:val="20"/>
        </w:rPr>
        <w:t xml:space="preserve"> cada co</w:t>
      </w:r>
      <w:r>
        <w:rPr>
          <w:szCs w:val="20"/>
        </w:rPr>
        <w:t>m</w:t>
      </w:r>
      <w:r w:rsidR="000B354B">
        <w:rPr>
          <w:szCs w:val="20"/>
        </w:rPr>
        <w:t>entario o grupo de comentarios.</w:t>
      </w:r>
    </w:p>
    <w:p w:rsidR="00236A38" w:rsidRDefault="00DF2542" w:rsidP="0017391C">
      <w:pPr>
        <w:pStyle w:val="Ttulo1"/>
      </w:pPr>
      <w:r>
        <w:t xml:space="preserve"> </w:t>
      </w:r>
      <w:bookmarkStart w:id="4" w:name="_Toc442377674"/>
      <w:r w:rsidR="003E100C">
        <w:t>Aportaciones recibidas</w:t>
      </w:r>
      <w:r w:rsidR="00236A38" w:rsidRPr="00810A6E">
        <w:t xml:space="preserve"> durante la consulta pública</w:t>
      </w:r>
      <w:bookmarkEnd w:id="4"/>
    </w:p>
    <w:p w:rsidR="000F6D5A" w:rsidRPr="00AC54DE" w:rsidRDefault="000F6D5A" w:rsidP="00BA3694">
      <w:pPr>
        <w:pStyle w:val="Ttulo1"/>
        <w:numPr>
          <w:ilvl w:val="1"/>
          <w:numId w:val="9"/>
        </w:numPr>
        <w:spacing w:before="120" w:line="276" w:lineRule="auto"/>
      </w:pPr>
      <w:bookmarkStart w:id="5" w:name="_Toc442377675"/>
      <w:r w:rsidRPr="00AC54DE">
        <w:t>Aspectos generales</w:t>
      </w:r>
      <w:bookmarkEnd w:id="5"/>
    </w:p>
    <w:p w:rsidR="000F6D5A" w:rsidRPr="008D08D2" w:rsidRDefault="000F6D5A" w:rsidP="00BA3694">
      <w:pPr>
        <w:spacing w:line="276" w:lineRule="auto"/>
      </w:pPr>
      <w:r w:rsidRPr="00AC54DE">
        <w:rPr>
          <w:szCs w:val="20"/>
        </w:rPr>
        <w:t xml:space="preserve">Se recibieron </w:t>
      </w:r>
      <w:r w:rsidR="004719D7">
        <w:rPr>
          <w:szCs w:val="20"/>
        </w:rPr>
        <w:t>9</w:t>
      </w:r>
      <w:r w:rsidRPr="00AC54DE">
        <w:rPr>
          <w:szCs w:val="20"/>
        </w:rPr>
        <w:t xml:space="preserve"> escritos en el periodo de consulta pública, a través</w:t>
      </w:r>
      <w:r w:rsidR="00083DAB">
        <w:rPr>
          <w:szCs w:val="20"/>
        </w:rPr>
        <w:t xml:space="preserve"> de la página de Internet y la oficialía de p</w:t>
      </w:r>
      <w:r w:rsidRPr="00AC54DE">
        <w:rPr>
          <w:szCs w:val="20"/>
        </w:rPr>
        <w:t xml:space="preserve">artes del Instituto, presentados por </w:t>
      </w:r>
      <w:r w:rsidR="004719D7">
        <w:rPr>
          <w:szCs w:val="20"/>
        </w:rPr>
        <w:t>8</w:t>
      </w:r>
      <w:r w:rsidR="008D08D2">
        <w:rPr>
          <w:szCs w:val="20"/>
        </w:rPr>
        <w:t xml:space="preserve"> participantes que se listan en el siguiente cua</w:t>
      </w:r>
      <w:r w:rsidR="00826A94">
        <w:rPr>
          <w:szCs w:val="20"/>
        </w:rPr>
        <w:t>dro. Se recibieron escritos de 5</w:t>
      </w:r>
      <w:r w:rsidR="008D08D2">
        <w:rPr>
          <w:szCs w:val="20"/>
        </w:rPr>
        <w:t xml:space="preserve"> </w:t>
      </w:r>
      <w:r w:rsidR="00263D9C">
        <w:t>que participan en el sector de</w:t>
      </w:r>
      <w:r w:rsidR="008D08D2" w:rsidRPr="00756230">
        <w:t xml:space="preserve"> telecomunicaciones</w:t>
      </w:r>
      <w:r w:rsidR="008D08D2">
        <w:t xml:space="preserve">, </w:t>
      </w:r>
      <w:r w:rsidR="00BA4983">
        <w:t>1</w:t>
      </w:r>
      <w:r w:rsidR="008D08D2">
        <w:t xml:space="preserve"> </w:t>
      </w:r>
      <w:r w:rsidR="00263D9C">
        <w:t xml:space="preserve">en el sector de </w:t>
      </w:r>
      <w:r w:rsidR="008D08D2">
        <w:t>radiodifusión; uno presentado por miembros de la academia,</w:t>
      </w:r>
      <w:r w:rsidR="008D08D2" w:rsidRPr="00756230">
        <w:t xml:space="preserve"> y </w:t>
      </w:r>
      <w:r w:rsidR="00263D9C">
        <w:t xml:space="preserve">otro por </w:t>
      </w:r>
      <w:r w:rsidR="008D08D2" w:rsidRPr="00756230">
        <w:t>una cámara empresarial</w:t>
      </w:r>
      <w:r w:rsidR="008D08D2">
        <w:t>.</w:t>
      </w:r>
      <w:r w:rsidR="008D08D2">
        <w:rPr>
          <w:rStyle w:val="Refdenotaalpie"/>
        </w:rPr>
        <w:footnoteReference w:id="6"/>
      </w:r>
    </w:p>
    <w:tbl>
      <w:tblPr>
        <w:tblStyle w:val="Tablaconcuadrcula"/>
        <w:tblW w:w="0" w:type="auto"/>
        <w:tblLook w:val="04A0" w:firstRow="1" w:lastRow="0" w:firstColumn="1" w:lastColumn="0" w:noHBand="0" w:noVBand="1"/>
      </w:tblPr>
      <w:tblGrid>
        <w:gridCol w:w="3977"/>
        <w:gridCol w:w="2203"/>
        <w:gridCol w:w="1713"/>
        <w:gridCol w:w="1452"/>
      </w:tblGrid>
      <w:tr w:rsidR="00F30685" w:rsidRPr="00327F00" w:rsidTr="00842419">
        <w:trPr>
          <w:tblHeader/>
        </w:trPr>
        <w:tc>
          <w:tcPr>
            <w:tcW w:w="0" w:type="auto"/>
            <w:shd w:val="clear" w:color="auto" w:fill="9BBB59" w:themeFill="accent3"/>
            <w:vAlign w:val="center"/>
          </w:tcPr>
          <w:p w:rsidR="00F30685" w:rsidRPr="00327F00" w:rsidRDefault="00F30685" w:rsidP="000F1348">
            <w:pPr>
              <w:spacing w:before="0" w:after="0" w:line="240" w:lineRule="auto"/>
              <w:jc w:val="center"/>
              <w:rPr>
                <w:b/>
                <w:color w:val="FFFFFF" w:themeColor="background1"/>
                <w:sz w:val="18"/>
                <w:lang w:val="es-MX"/>
              </w:rPr>
            </w:pPr>
            <w:r w:rsidRPr="00327F00">
              <w:rPr>
                <w:b/>
                <w:color w:val="FFFFFF" w:themeColor="background1"/>
                <w:sz w:val="18"/>
                <w:lang w:val="es-MX"/>
              </w:rPr>
              <w:lastRenderedPageBreak/>
              <w:t>Persona(s) que presenta(n) opiniones y/o comentarios</w:t>
            </w:r>
          </w:p>
        </w:tc>
        <w:tc>
          <w:tcPr>
            <w:tcW w:w="0" w:type="auto"/>
            <w:shd w:val="clear" w:color="auto" w:fill="9BBB59" w:themeFill="accent3"/>
            <w:vAlign w:val="center"/>
          </w:tcPr>
          <w:p w:rsidR="00F30685" w:rsidRPr="00327F00" w:rsidRDefault="00842419" w:rsidP="000F1348">
            <w:pPr>
              <w:spacing w:before="0" w:after="0" w:line="240" w:lineRule="auto"/>
              <w:jc w:val="center"/>
              <w:rPr>
                <w:b/>
                <w:color w:val="FFFFFF" w:themeColor="background1"/>
                <w:sz w:val="18"/>
                <w:lang w:val="es-MX"/>
              </w:rPr>
            </w:pPr>
            <w:r w:rsidRPr="00327F00">
              <w:rPr>
                <w:b/>
                <w:color w:val="FFFFFF" w:themeColor="background1"/>
                <w:sz w:val="18"/>
                <w:lang w:val="es-MX"/>
              </w:rPr>
              <w:t>Sector</w:t>
            </w:r>
          </w:p>
        </w:tc>
        <w:tc>
          <w:tcPr>
            <w:tcW w:w="0" w:type="auto"/>
            <w:shd w:val="clear" w:color="auto" w:fill="9BBB59" w:themeFill="accent3"/>
          </w:tcPr>
          <w:p w:rsidR="00F30685" w:rsidRPr="00327F00" w:rsidRDefault="00F30685" w:rsidP="000F1348">
            <w:pPr>
              <w:spacing w:before="0" w:after="0" w:line="240" w:lineRule="auto"/>
              <w:jc w:val="center"/>
              <w:rPr>
                <w:b/>
                <w:color w:val="FFFFFF" w:themeColor="background1"/>
                <w:sz w:val="18"/>
                <w:lang w:val="es-MX"/>
              </w:rPr>
            </w:pPr>
            <w:r w:rsidRPr="00327F00">
              <w:rPr>
                <w:b/>
                <w:color w:val="FFFFFF" w:themeColor="background1"/>
                <w:sz w:val="18"/>
                <w:lang w:val="es-MX"/>
              </w:rPr>
              <w:t>Tipo de escrito</w:t>
            </w:r>
          </w:p>
        </w:tc>
        <w:tc>
          <w:tcPr>
            <w:tcW w:w="0" w:type="auto"/>
            <w:shd w:val="clear" w:color="auto" w:fill="9BBB59" w:themeFill="accent3"/>
          </w:tcPr>
          <w:p w:rsidR="00F30685" w:rsidRPr="00327F00" w:rsidRDefault="00F30685" w:rsidP="00D43352">
            <w:pPr>
              <w:spacing w:before="0" w:after="0" w:line="240" w:lineRule="auto"/>
              <w:jc w:val="center"/>
              <w:rPr>
                <w:b/>
                <w:color w:val="FFFFFF" w:themeColor="background1"/>
                <w:sz w:val="18"/>
                <w:lang w:val="es-MX"/>
              </w:rPr>
            </w:pPr>
            <w:r w:rsidRPr="00327F00">
              <w:rPr>
                <w:b/>
                <w:color w:val="FFFFFF" w:themeColor="background1"/>
                <w:sz w:val="18"/>
                <w:lang w:val="es-MX"/>
              </w:rPr>
              <w:t>Fecha de presentación</w:t>
            </w:r>
          </w:p>
        </w:tc>
      </w:tr>
      <w:tr w:rsidR="00F30685" w:rsidRPr="00327F00" w:rsidTr="00842419">
        <w:tc>
          <w:tcPr>
            <w:tcW w:w="0" w:type="auto"/>
          </w:tcPr>
          <w:p w:rsidR="00F30685" w:rsidRPr="00327F00" w:rsidRDefault="00F30685" w:rsidP="00BA4983">
            <w:pPr>
              <w:numPr>
                <w:ilvl w:val="0"/>
                <w:numId w:val="10"/>
              </w:numPr>
              <w:spacing w:before="0" w:after="0" w:line="240" w:lineRule="auto"/>
              <w:rPr>
                <w:sz w:val="18"/>
                <w:lang w:val="es-MX"/>
              </w:rPr>
            </w:pPr>
            <w:r w:rsidRPr="00327F00">
              <w:rPr>
                <w:sz w:val="18"/>
                <w:lang w:val="es-MX"/>
              </w:rPr>
              <w:t xml:space="preserve">Televisora de Navojoa, S.A. </w:t>
            </w:r>
            <w:r w:rsidR="006153C4">
              <w:rPr>
                <w:sz w:val="18"/>
                <w:lang w:val="es-MX"/>
              </w:rPr>
              <w:t>(</w:t>
            </w:r>
            <w:r w:rsidR="00BA4983">
              <w:rPr>
                <w:sz w:val="18"/>
                <w:lang w:val="es-MX"/>
              </w:rPr>
              <w:t>Grupo Televisa</w:t>
            </w:r>
            <w:r w:rsidR="006153C4">
              <w:rPr>
                <w:sz w:val="18"/>
                <w:lang w:val="es-MX"/>
              </w:rPr>
              <w:t>)</w:t>
            </w:r>
          </w:p>
        </w:tc>
        <w:tc>
          <w:tcPr>
            <w:tcW w:w="0" w:type="auto"/>
          </w:tcPr>
          <w:p w:rsidR="00F30685" w:rsidRPr="00327F00" w:rsidRDefault="00842419" w:rsidP="000F1348">
            <w:pPr>
              <w:spacing w:before="0" w:after="0" w:line="240" w:lineRule="auto"/>
              <w:rPr>
                <w:sz w:val="18"/>
                <w:lang w:val="es-MX"/>
              </w:rPr>
            </w:pPr>
            <w:r w:rsidRPr="00327F00">
              <w:rPr>
                <w:sz w:val="18"/>
                <w:lang w:val="es-MX"/>
              </w:rPr>
              <w:t>Radiodifusión</w:t>
            </w:r>
          </w:p>
        </w:tc>
        <w:tc>
          <w:tcPr>
            <w:tcW w:w="0" w:type="auto"/>
          </w:tcPr>
          <w:p w:rsidR="00F30685" w:rsidRPr="00327F00" w:rsidRDefault="00F30685" w:rsidP="000F1348">
            <w:pPr>
              <w:spacing w:before="0" w:after="0" w:line="240" w:lineRule="auto"/>
              <w:rPr>
                <w:sz w:val="18"/>
                <w:lang w:val="es-MX"/>
              </w:rPr>
            </w:pPr>
            <w:r w:rsidRPr="00327F00">
              <w:rPr>
                <w:sz w:val="18"/>
                <w:lang w:val="es-MX"/>
              </w:rPr>
              <w:t>Único</w:t>
            </w:r>
          </w:p>
        </w:tc>
        <w:sdt>
          <w:sdtPr>
            <w:rPr>
              <w:sz w:val="18"/>
            </w:rPr>
            <w:id w:val="-135716982"/>
            <w:placeholder>
              <w:docPart w:val="DefaultPlaceholder_1081868576"/>
            </w:placeholder>
            <w:date w:fullDate="2015-12-08T00:00:00Z">
              <w:dateFormat w:val="dd/MM/yyyy"/>
              <w:lid w:val="es-MX"/>
              <w:storeMappedDataAs w:val="dateTime"/>
              <w:calendar w:val="gregorian"/>
            </w:date>
          </w:sdtPr>
          <w:sdtEndPr/>
          <w:sdtContent>
            <w:tc>
              <w:tcPr>
                <w:tcW w:w="0" w:type="auto"/>
              </w:tcPr>
              <w:p w:rsidR="00F30685" w:rsidRPr="00327F00" w:rsidRDefault="00F30685" w:rsidP="00D43352">
                <w:pPr>
                  <w:spacing w:before="0" w:after="0" w:line="240" w:lineRule="auto"/>
                  <w:jc w:val="center"/>
                  <w:rPr>
                    <w:sz w:val="18"/>
                    <w:lang w:val="es-MX"/>
                  </w:rPr>
                </w:pPr>
                <w:r w:rsidRPr="00327F00">
                  <w:rPr>
                    <w:sz w:val="18"/>
                    <w:lang w:val="es-MX"/>
                  </w:rPr>
                  <w:t>08/12/2015</w:t>
                </w:r>
              </w:p>
            </w:tc>
          </w:sdtContent>
        </w:sdt>
      </w:tr>
      <w:tr w:rsidR="00842419" w:rsidRPr="00327F00" w:rsidTr="00842419">
        <w:trPr>
          <w:cantSplit/>
          <w:trHeight w:val="345"/>
        </w:trPr>
        <w:tc>
          <w:tcPr>
            <w:tcW w:w="0" w:type="auto"/>
            <w:vMerge w:val="restart"/>
          </w:tcPr>
          <w:p w:rsidR="00842419" w:rsidRPr="00327F00" w:rsidRDefault="00842419" w:rsidP="000F1348">
            <w:pPr>
              <w:numPr>
                <w:ilvl w:val="0"/>
                <w:numId w:val="10"/>
              </w:numPr>
              <w:spacing w:before="0" w:after="0" w:line="240" w:lineRule="auto"/>
              <w:rPr>
                <w:sz w:val="18"/>
                <w:lang w:val="es-MX"/>
              </w:rPr>
            </w:pPr>
            <w:r w:rsidRPr="00327F00">
              <w:rPr>
                <w:sz w:val="18"/>
                <w:lang w:val="es-MX"/>
              </w:rPr>
              <w:t xml:space="preserve">Grupo de Telecomunicaciones Mexicanas, S.A. de C.V. y Pegaso PCS, S.A. de C.V. </w:t>
            </w:r>
            <w:r w:rsidR="006153C4">
              <w:rPr>
                <w:sz w:val="18"/>
                <w:lang w:val="es-MX"/>
              </w:rPr>
              <w:t>(Telefónica)</w:t>
            </w:r>
          </w:p>
        </w:tc>
        <w:tc>
          <w:tcPr>
            <w:tcW w:w="0" w:type="auto"/>
            <w:vMerge w:val="restart"/>
          </w:tcPr>
          <w:p w:rsidR="00842419" w:rsidRPr="00327F00" w:rsidRDefault="00083DAB" w:rsidP="00F30685">
            <w:pPr>
              <w:spacing w:before="0" w:after="0" w:line="240" w:lineRule="auto"/>
              <w:rPr>
                <w:sz w:val="18"/>
                <w:lang w:val="es-MX"/>
              </w:rPr>
            </w:pPr>
            <w:r w:rsidRPr="00327F00">
              <w:rPr>
                <w:sz w:val="18"/>
                <w:lang w:val="es-MX"/>
              </w:rPr>
              <w:t>Telecomunicaciones</w:t>
            </w:r>
          </w:p>
        </w:tc>
        <w:tc>
          <w:tcPr>
            <w:tcW w:w="0" w:type="auto"/>
          </w:tcPr>
          <w:p w:rsidR="00842419" w:rsidRPr="00327F00" w:rsidRDefault="00842419" w:rsidP="00F30685">
            <w:pPr>
              <w:spacing w:before="0" w:after="0" w:line="240" w:lineRule="auto"/>
              <w:rPr>
                <w:sz w:val="18"/>
                <w:lang w:val="es-MX"/>
              </w:rPr>
            </w:pPr>
            <w:r w:rsidRPr="00327F00">
              <w:rPr>
                <w:sz w:val="18"/>
                <w:lang w:val="es-MX"/>
              </w:rPr>
              <w:t>Complementario</w:t>
            </w:r>
          </w:p>
        </w:tc>
        <w:sdt>
          <w:sdtPr>
            <w:rPr>
              <w:sz w:val="18"/>
            </w:rPr>
            <w:id w:val="1348678078"/>
            <w:placeholder>
              <w:docPart w:val="2D19F3D6536042EDA887B52C5344F45F"/>
            </w:placeholder>
            <w:date w:fullDate="2015-12-07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07/12/2015</w:t>
                </w:r>
              </w:p>
            </w:tc>
          </w:sdtContent>
        </w:sdt>
      </w:tr>
      <w:tr w:rsidR="00842419" w:rsidRPr="00327F00" w:rsidTr="00842419">
        <w:trPr>
          <w:trHeight w:val="300"/>
        </w:trPr>
        <w:tc>
          <w:tcPr>
            <w:tcW w:w="0" w:type="auto"/>
            <w:vMerge/>
          </w:tcPr>
          <w:p w:rsidR="00842419" w:rsidRPr="00327F00" w:rsidRDefault="00842419" w:rsidP="000F1348">
            <w:pPr>
              <w:numPr>
                <w:ilvl w:val="0"/>
                <w:numId w:val="10"/>
              </w:numPr>
              <w:spacing w:before="0" w:after="0" w:line="240" w:lineRule="auto"/>
              <w:rPr>
                <w:sz w:val="18"/>
                <w:lang w:val="es-MX"/>
              </w:rPr>
            </w:pPr>
          </w:p>
        </w:tc>
        <w:tc>
          <w:tcPr>
            <w:tcW w:w="0" w:type="auto"/>
            <w:vMerge/>
          </w:tcPr>
          <w:p w:rsidR="00842419" w:rsidRPr="00327F00" w:rsidRDefault="00842419" w:rsidP="000F1348">
            <w:pPr>
              <w:spacing w:before="0" w:after="0" w:line="240" w:lineRule="auto"/>
              <w:rPr>
                <w:sz w:val="18"/>
                <w:lang w:val="es-MX"/>
              </w:rPr>
            </w:pPr>
          </w:p>
        </w:tc>
        <w:tc>
          <w:tcPr>
            <w:tcW w:w="0" w:type="auto"/>
          </w:tcPr>
          <w:p w:rsidR="00842419" w:rsidRPr="00327F00" w:rsidRDefault="00842419" w:rsidP="000F1348">
            <w:pPr>
              <w:spacing w:before="0" w:after="0" w:line="240" w:lineRule="auto"/>
              <w:rPr>
                <w:sz w:val="18"/>
                <w:lang w:val="es-MX"/>
              </w:rPr>
            </w:pPr>
            <w:r w:rsidRPr="00327F00">
              <w:rPr>
                <w:sz w:val="18"/>
                <w:lang w:val="es-MX"/>
              </w:rPr>
              <w:t>Inicial</w:t>
            </w:r>
          </w:p>
        </w:tc>
        <w:sdt>
          <w:sdtPr>
            <w:rPr>
              <w:sz w:val="18"/>
            </w:rPr>
            <w:id w:val="-2063003303"/>
            <w:placeholder>
              <w:docPart w:val="2D19F3D6536042EDA887B52C5344F45F"/>
            </w:placeholder>
            <w:date w:fullDate="2015-12-02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02/12/2015</w:t>
                </w:r>
              </w:p>
            </w:tc>
          </w:sdtContent>
        </w:sdt>
      </w:tr>
      <w:tr w:rsidR="00F30685" w:rsidRPr="00327F00" w:rsidTr="00842419">
        <w:tc>
          <w:tcPr>
            <w:tcW w:w="0" w:type="auto"/>
          </w:tcPr>
          <w:p w:rsidR="00F30685" w:rsidRPr="00327F00" w:rsidRDefault="00F30685" w:rsidP="00F30685">
            <w:pPr>
              <w:numPr>
                <w:ilvl w:val="0"/>
                <w:numId w:val="10"/>
              </w:numPr>
              <w:spacing w:before="0" w:after="0" w:line="240" w:lineRule="auto"/>
              <w:rPr>
                <w:sz w:val="18"/>
                <w:lang w:val="es-MX"/>
              </w:rPr>
            </w:pPr>
            <w:r w:rsidRPr="00327F00">
              <w:rPr>
                <w:sz w:val="18"/>
                <w:lang w:val="es-MX"/>
              </w:rPr>
              <w:t>Operbes, S.A. de C.V., Bestphone, S.A. de C.V., Cablevisión, S.A. de C.V., Cablemás Telecomunicaciones, S.A. de C.V., Cable y Comunicación de Campeche, S.A. de C.V. y Cablevisión Red, S.A. de C.V.</w:t>
            </w:r>
            <w:r w:rsidR="006153C4">
              <w:rPr>
                <w:sz w:val="18"/>
                <w:lang w:val="es-MX"/>
              </w:rPr>
              <w:t xml:space="preserve"> (Grupo Televisa)</w:t>
            </w:r>
          </w:p>
        </w:tc>
        <w:tc>
          <w:tcPr>
            <w:tcW w:w="0" w:type="auto"/>
          </w:tcPr>
          <w:p w:rsidR="00F30685" w:rsidRPr="00327F00" w:rsidRDefault="00083DAB" w:rsidP="00F30685">
            <w:pPr>
              <w:spacing w:before="0" w:after="0" w:line="240" w:lineRule="auto"/>
              <w:rPr>
                <w:sz w:val="18"/>
                <w:lang w:val="es-MX"/>
              </w:rPr>
            </w:pPr>
            <w:r w:rsidRPr="00327F00">
              <w:rPr>
                <w:sz w:val="18"/>
                <w:lang w:val="es-MX"/>
              </w:rPr>
              <w:t>Telecomunicaciones</w:t>
            </w:r>
          </w:p>
        </w:tc>
        <w:tc>
          <w:tcPr>
            <w:tcW w:w="0" w:type="auto"/>
          </w:tcPr>
          <w:p w:rsidR="00F30685" w:rsidRPr="00327F00" w:rsidRDefault="00F30685" w:rsidP="00F30685">
            <w:pPr>
              <w:rPr>
                <w:sz w:val="18"/>
                <w:lang w:val="es-MX"/>
              </w:rPr>
            </w:pPr>
            <w:r w:rsidRPr="00327F00">
              <w:rPr>
                <w:sz w:val="18"/>
                <w:lang w:val="es-MX"/>
              </w:rPr>
              <w:t>Único</w:t>
            </w:r>
          </w:p>
        </w:tc>
        <w:sdt>
          <w:sdtPr>
            <w:rPr>
              <w:sz w:val="18"/>
            </w:rPr>
            <w:id w:val="2127121670"/>
            <w:placeholder>
              <w:docPart w:val="DefaultPlaceholder_1081868576"/>
            </w:placeholder>
            <w:date w:fullDate="2015-12-07T00:00:00Z">
              <w:dateFormat w:val="dd/MM/yyyy"/>
              <w:lid w:val="es-MX"/>
              <w:storeMappedDataAs w:val="dateTime"/>
              <w:calendar w:val="gregorian"/>
            </w:date>
          </w:sdtPr>
          <w:sdtEndPr/>
          <w:sdtContent>
            <w:tc>
              <w:tcPr>
                <w:tcW w:w="0" w:type="auto"/>
              </w:tcPr>
              <w:p w:rsidR="00F30685" w:rsidRPr="00327F00" w:rsidRDefault="00F30685" w:rsidP="00D43352">
                <w:pPr>
                  <w:spacing w:before="0" w:after="0" w:line="240" w:lineRule="auto"/>
                  <w:jc w:val="center"/>
                  <w:rPr>
                    <w:sz w:val="18"/>
                    <w:lang w:val="es-MX"/>
                  </w:rPr>
                </w:pPr>
                <w:r w:rsidRPr="00327F00">
                  <w:rPr>
                    <w:sz w:val="18"/>
                    <w:lang w:val="es-MX"/>
                  </w:rPr>
                  <w:t>07/12/2015</w:t>
                </w:r>
              </w:p>
            </w:tc>
          </w:sdtContent>
        </w:sdt>
      </w:tr>
      <w:tr w:rsidR="00842419" w:rsidRPr="00327F00" w:rsidTr="00842419">
        <w:tc>
          <w:tcPr>
            <w:tcW w:w="0" w:type="auto"/>
          </w:tcPr>
          <w:p w:rsidR="00842419" w:rsidRPr="00327F00" w:rsidRDefault="00842419" w:rsidP="00842419">
            <w:pPr>
              <w:numPr>
                <w:ilvl w:val="0"/>
                <w:numId w:val="10"/>
              </w:numPr>
              <w:spacing w:before="0" w:after="0" w:line="240" w:lineRule="auto"/>
              <w:rPr>
                <w:sz w:val="18"/>
                <w:lang w:val="es-MX"/>
              </w:rPr>
            </w:pPr>
            <w:r w:rsidRPr="00327F00">
              <w:rPr>
                <w:sz w:val="18"/>
                <w:lang w:val="es-MX"/>
              </w:rPr>
              <w:t xml:space="preserve">Corporación de Radio y Televisión del Norte de México, S. de R.L. de C.V. </w:t>
            </w:r>
            <w:r w:rsidR="006153C4">
              <w:rPr>
                <w:sz w:val="18"/>
                <w:lang w:val="es-MX"/>
              </w:rPr>
              <w:t>(</w:t>
            </w:r>
            <w:r w:rsidR="00BA4983">
              <w:rPr>
                <w:sz w:val="18"/>
                <w:lang w:val="es-MX"/>
              </w:rPr>
              <w:t>Grupo Televisa</w:t>
            </w:r>
            <w:r w:rsidR="006153C4">
              <w:rPr>
                <w:sz w:val="18"/>
                <w:lang w:val="es-MX"/>
              </w:rPr>
              <w:t>)</w:t>
            </w:r>
          </w:p>
        </w:tc>
        <w:tc>
          <w:tcPr>
            <w:tcW w:w="0" w:type="auto"/>
          </w:tcPr>
          <w:p w:rsidR="00842419" w:rsidRPr="00327F00" w:rsidRDefault="00BA4983" w:rsidP="00842419">
            <w:pPr>
              <w:spacing w:before="0" w:after="0" w:line="240" w:lineRule="auto"/>
              <w:rPr>
                <w:sz w:val="18"/>
                <w:lang w:val="es-MX"/>
              </w:rPr>
            </w:pPr>
            <w:r w:rsidRPr="00327F00">
              <w:rPr>
                <w:sz w:val="18"/>
                <w:lang w:val="es-MX"/>
              </w:rPr>
              <w:t>Telecomunicaciones</w:t>
            </w:r>
          </w:p>
        </w:tc>
        <w:tc>
          <w:tcPr>
            <w:tcW w:w="0" w:type="auto"/>
          </w:tcPr>
          <w:p w:rsidR="00842419" w:rsidRPr="00327F00" w:rsidRDefault="00842419" w:rsidP="00842419">
            <w:pPr>
              <w:rPr>
                <w:sz w:val="18"/>
                <w:lang w:val="es-MX"/>
              </w:rPr>
            </w:pPr>
            <w:r w:rsidRPr="00327F00">
              <w:rPr>
                <w:sz w:val="18"/>
                <w:lang w:val="es-MX"/>
              </w:rPr>
              <w:t>Único</w:t>
            </w:r>
          </w:p>
        </w:tc>
        <w:sdt>
          <w:sdtPr>
            <w:rPr>
              <w:sz w:val="18"/>
            </w:rPr>
            <w:id w:val="-1746880105"/>
            <w:placeholder>
              <w:docPart w:val="CD2E3C1685D94B4CA584BD7880092D34"/>
            </w:placeholder>
            <w:date w:fullDate="2015-12-02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02/12/2015</w:t>
                </w:r>
              </w:p>
            </w:tc>
          </w:sdtContent>
        </w:sdt>
      </w:tr>
      <w:tr w:rsidR="00842419" w:rsidRPr="00327F00" w:rsidTr="00842419">
        <w:tc>
          <w:tcPr>
            <w:tcW w:w="0" w:type="auto"/>
          </w:tcPr>
          <w:p w:rsidR="00842419" w:rsidRPr="00327F00" w:rsidRDefault="00842419" w:rsidP="00842419">
            <w:pPr>
              <w:numPr>
                <w:ilvl w:val="0"/>
                <w:numId w:val="10"/>
              </w:numPr>
              <w:spacing w:before="0" w:after="0" w:line="240" w:lineRule="auto"/>
              <w:rPr>
                <w:sz w:val="18"/>
                <w:lang w:val="es-MX"/>
              </w:rPr>
            </w:pPr>
            <w:r w:rsidRPr="00327F00">
              <w:rPr>
                <w:sz w:val="18"/>
                <w:lang w:val="es-MX"/>
              </w:rPr>
              <w:t>Alexander Elbittar y Elisa Mariscal</w:t>
            </w:r>
          </w:p>
        </w:tc>
        <w:tc>
          <w:tcPr>
            <w:tcW w:w="0" w:type="auto"/>
          </w:tcPr>
          <w:p w:rsidR="00842419" w:rsidRPr="00327F00" w:rsidRDefault="00842419" w:rsidP="00842419">
            <w:pPr>
              <w:spacing w:before="0" w:after="0" w:line="240" w:lineRule="auto"/>
              <w:rPr>
                <w:sz w:val="18"/>
                <w:lang w:val="es-MX"/>
              </w:rPr>
            </w:pPr>
            <w:r w:rsidRPr="00327F00">
              <w:rPr>
                <w:sz w:val="18"/>
                <w:lang w:val="es-MX"/>
              </w:rPr>
              <w:t>Academia</w:t>
            </w:r>
          </w:p>
        </w:tc>
        <w:tc>
          <w:tcPr>
            <w:tcW w:w="0" w:type="auto"/>
          </w:tcPr>
          <w:p w:rsidR="00842419" w:rsidRPr="00327F00" w:rsidRDefault="00842419" w:rsidP="00842419">
            <w:pPr>
              <w:rPr>
                <w:sz w:val="18"/>
                <w:lang w:val="es-MX"/>
              </w:rPr>
            </w:pPr>
            <w:r w:rsidRPr="00327F00">
              <w:rPr>
                <w:sz w:val="18"/>
                <w:lang w:val="es-MX"/>
              </w:rPr>
              <w:t>Único</w:t>
            </w:r>
          </w:p>
        </w:tc>
        <w:sdt>
          <w:sdtPr>
            <w:rPr>
              <w:sz w:val="18"/>
            </w:rPr>
            <w:id w:val="676624998"/>
            <w:placeholder>
              <w:docPart w:val="B74B6D61D3B948DC8655CE11ACC58CB5"/>
            </w:placeholder>
            <w:date w:fullDate="2015-12-07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07/12/2015</w:t>
                </w:r>
              </w:p>
            </w:tc>
          </w:sdtContent>
        </w:sdt>
      </w:tr>
      <w:tr w:rsidR="00842419" w:rsidRPr="00327F00" w:rsidTr="00842419">
        <w:tc>
          <w:tcPr>
            <w:tcW w:w="0" w:type="auto"/>
          </w:tcPr>
          <w:p w:rsidR="00842419" w:rsidRPr="00327F00" w:rsidRDefault="006153C4" w:rsidP="006153C4">
            <w:pPr>
              <w:numPr>
                <w:ilvl w:val="0"/>
                <w:numId w:val="10"/>
              </w:numPr>
              <w:spacing w:before="0" w:after="0" w:line="240" w:lineRule="auto"/>
              <w:rPr>
                <w:sz w:val="18"/>
                <w:lang w:val="es-MX"/>
              </w:rPr>
            </w:pPr>
            <w:r>
              <w:rPr>
                <w:sz w:val="18"/>
                <w:lang w:val="es-MX"/>
              </w:rPr>
              <w:t xml:space="preserve">Empresas de </w:t>
            </w:r>
            <w:r w:rsidR="00842419" w:rsidRPr="00327F00">
              <w:rPr>
                <w:sz w:val="18"/>
                <w:lang w:val="es-MX"/>
              </w:rPr>
              <w:t>AT&amp;T</w:t>
            </w:r>
            <w:r>
              <w:rPr>
                <w:sz w:val="18"/>
                <w:lang w:val="es-MX"/>
              </w:rPr>
              <w:t xml:space="preserve"> (AT&amp;T)</w:t>
            </w:r>
          </w:p>
        </w:tc>
        <w:tc>
          <w:tcPr>
            <w:tcW w:w="0" w:type="auto"/>
          </w:tcPr>
          <w:p w:rsidR="00842419" w:rsidRPr="00327F00" w:rsidRDefault="00842419" w:rsidP="00842419">
            <w:pPr>
              <w:spacing w:before="0" w:after="0" w:line="240" w:lineRule="auto"/>
              <w:rPr>
                <w:sz w:val="18"/>
                <w:lang w:val="es-MX"/>
              </w:rPr>
            </w:pPr>
            <w:r w:rsidRPr="00327F00">
              <w:rPr>
                <w:sz w:val="18"/>
                <w:lang w:val="es-MX"/>
              </w:rPr>
              <w:t>Telecomunicaciones</w:t>
            </w:r>
          </w:p>
        </w:tc>
        <w:tc>
          <w:tcPr>
            <w:tcW w:w="0" w:type="auto"/>
          </w:tcPr>
          <w:p w:rsidR="00842419" w:rsidRPr="00327F00" w:rsidRDefault="00842419" w:rsidP="00842419">
            <w:pPr>
              <w:rPr>
                <w:sz w:val="18"/>
                <w:lang w:val="es-MX"/>
              </w:rPr>
            </w:pPr>
            <w:r w:rsidRPr="00327F00">
              <w:rPr>
                <w:sz w:val="18"/>
                <w:lang w:val="es-MX"/>
              </w:rPr>
              <w:t>Único</w:t>
            </w:r>
          </w:p>
        </w:tc>
        <w:sdt>
          <w:sdtPr>
            <w:rPr>
              <w:sz w:val="18"/>
            </w:rPr>
            <w:id w:val="1989897303"/>
            <w:placeholder>
              <w:docPart w:val="819D8CD668434E1E9AF8F4B73DB81481"/>
            </w:placeholder>
            <w:date w:fullDate="2015-12-02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02/12/2015</w:t>
                </w:r>
              </w:p>
            </w:tc>
          </w:sdtContent>
        </w:sdt>
      </w:tr>
      <w:tr w:rsidR="00842419" w:rsidRPr="00327F00" w:rsidTr="00842419">
        <w:tc>
          <w:tcPr>
            <w:tcW w:w="0" w:type="auto"/>
          </w:tcPr>
          <w:p w:rsidR="00842419" w:rsidRPr="00327F00" w:rsidRDefault="00842419" w:rsidP="00842419">
            <w:pPr>
              <w:numPr>
                <w:ilvl w:val="0"/>
                <w:numId w:val="10"/>
              </w:numPr>
              <w:spacing w:before="0" w:after="0" w:line="240" w:lineRule="auto"/>
              <w:rPr>
                <w:sz w:val="18"/>
                <w:lang w:val="es-MX"/>
              </w:rPr>
            </w:pPr>
            <w:r w:rsidRPr="00327F00">
              <w:rPr>
                <w:sz w:val="18"/>
                <w:lang w:val="es-MX"/>
              </w:rPr>
              <w:t>Axtel, S.A.B. de C.V. (Axtel)</w:t>
            </w:r>
          </w:p>
        </w:tc>
        <w:tc>
          <w:tcPr>
            <w:tcW w:w="0" w:type="auto"/>
          </w:tcPr>
          <w:p w:rsidR="00842419" w:rsidRPr="00327F00" w:rsidRDefault="00842419" w:rsidP="00842419">
            <w:pPr>
              <w:spacing w:before="0" w:after="0" w:line="240" w:lineRule="auto"/>
              <w:rPr>
                <w:sz w:val="18"/>
                <w:lang w:val="es-MX"/>
              </w:rPr>
            </w:pPr>
            <w:r w:rsidRPr="00327F00">
              <w:rPr>
                <w:sz w:val="18"/>
                <w:lang w:val="es-MX"/>
              </w:rPr>
              <w:t>Telecomunicaciones</w:t>
            </w:r>
          </w:p>
        </w:tc>
        <w:tc>
          <w:tcPr>
            <w:tcW w:w="0" w:type="auto"/>
          </w:tcPr>
          <w:p w:rsidR="00842419" w:rsidRPr="00327F00" w:rsidRDefault="00842419" w:rsidP="00842419">
            <w:pPr>
              <w:rPr>
                <w:sz w:val="18"/>
                <w:lang w:val="es-MX"/>
              </w:rPr>
            </w:pPr>
            <w:r w:rsidRPr="00327F00">
              <w:rPr>
                <w:sz w:val="18"/>
                <w:lang w:val="es-MX"/>
              </w:rPr>
              <w:t>Único</w:t>
            </w:r>
          </w:p>
        </w:tc>
        <w:sdt>
          <w:sdtPr>
            <w:rPr>
              <w:sz w:val="18"/>
            </w:rPr>
            <w:id w:val="-1208100376"/>
            <w:placeholder>
              <w:docPart w:val="7924A9BE445E4A708A8991554C7648FC"/>
            </w:placeholder>
            <w:date w:fullDate="2015-12-07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07/12/2015</w:t>
                </w:r>
              </w:p>
            </w:tc>
          </w:sdtContent>
        </w:sdt>
      </w:tr>
      <w:tr w:rsidR="00842419" w:rsidRPr="00327F00" w:rsidTr="00842419">
        <w:tc>
          <w:tcPr>
            <w:tcW w:w="0" w:type="auto"/>
          </w:tcPr>
          <w:p w:rsidR="00842419" w:rsidRPr="00327F00" w:rsidRDefault="00842419" w:rsidP="00842419">
            <w:pPr>
              <w:numPr>
                <w:ilvl w:val="0"/>
                <w:numId w:val="10"/>
              </w:numPr>
              <w:spacing w:before="0" w:after="0" w:line="240" w:lineRule="auto"/>
              <w:rPr>
                <w:sz w:val="18"/>
                <w:lang w:val="es-MX"/>
              </w:rPr>
            </w:pPr>
            <w:r w:rsidRPr="00327F00">
              <w:rPr>
                <w:sz w:val="18"/>
                <w:lang w:val="es-MX"/>
              </w:rPr>
              <w:t>Cámara Nacional de la Industria Electrónica, de Telecomunicaciones y Tecnologías de la Información (CANIETI)</w:t>
            </w:r>
          </w:p>
        </w:tc>
        <w:tc>
          <w:tcPr>
            <w:tcW w:w="0" w:type="auto"/>
          </w:tcPr>
          <w:p w:rsidR="00842419" w:rsidRPr="00327F00" w:rsidRDefault="00842419" w:rsidP="00263D9C">
            <w:pPr>
              <w:spacing w:before="0" w:after="0" w:line="240" w:lineRule="auto"/>
              <w:rPr>
                <w:sz w:val="18"/>
                <w:lang w:val="es-MX"/>
              </w:rPr>
            </w:pPr>
            <w:r w:rsidRPr="00327F00">
              <w:rPr>
                <w:sz w:val="18"/>
                <w:lang w:val="es-MX"/>
              </w:rPr>
              <w:t xml:space="preserve">Cámara </w:t>
            </w:r>
            <w:r w:rsidR="00263D9C">
              <w:rPr>
                <w:sz w:val="18"/>
                <w:lang w:val="es-MX"/>
              </w:rPr>
              <w:t>empresarial</w:t>
            </w:r>
            <w:r w:rsidRPr="00327F00">
              <w:rPr>
                <w:sz w:val="18"/>
                <w:lang w:val="es-MX"/>
              </w:rPr>
              <w:t xml:space="preserve"> - Telecomunicaciones</w:t>
            </w:r>
          </w:p>
        </w:tc>
        <w:tc>
          <w:tcPr>
            <w:tcW w:w="0" w:type="auto"/>
          </w:tcPr>
          <w:p w:rsidR="00842419" w:rsidRPr="00327F00" w:rsidRDefault="00842419" w:rsidP="00842419">
            <w:pPr>
              <w:rPr>
                <w:sz w:val="18"/>
                <w:lang w:val="es-MX"/>
              </w:rPr>
            </w:pPr>
            <w:r w:rsidRPr="00327F00">
              <w:rPr>
                <w:sz w:val="18"/>
                <w:lang w:val="es-MX"/>
              </w:rPr>
              <w:t>Único</w:t>
            </w:r>
          </w:p>
        </w:tc>
        <w:sdt>
          <w:sdtPr>
            <w:rPr>
              <w:sz w:val="18"/>
            </w:rPr>
            <w:id w:val="-69506478"/>
            <w:placeholder>
              <w:docPart w:val="D83024B81C0340CB8C8B61FE9FD5DC23"/>
            </w:placeholder>
            <w:date w:fullDate="2015-12-02T00:00:00Z">
              <w:dateFormat w:val="dd/MM/yyyy"/>
              <w:lid w:val="es-MX"/>
              <w:storeMappedDataAs w:val="dateTime"/>
              <w:calendar w:val="gregorian"/>
            </w:date>
          </w:sdtPr>
          <w:sdtEndPr/>
          <w:sdtContent>
            <w:tc>
              <w:tcPr>
                <w:tcW w:w="0" w:type="auto"/>
              </w:tcPr>
              <w:p w:rsidR="00842419" w:rsidRPr="00327F00" w:rsidRDefault="00842419" w:rsidP="00D43352">
                <w:pPr>
                  <w:spacing w:before="0" w:after="0" w:line="240" w:lineRule="auto"/>
                  <w:jc w:val="center"/>
                  <w:rPr>
                    <w:sz w:val="18"/>
                    <w:lang w:val="es-MX"/>
                  </w:rPr>
                </w:pPr>
                <w:r w:rsidRPr="00327F00">
                  <w:rPr>
                    <w:sz w:val="18"/>
                    <w:lang w:val="es-MX"/>
                  </w:rPr>
                  <w:t>02/12/2015</w:t>
                </w:r>
              </w:p>
            </w:tc>
          </w:sdtContent>
        </w:sdt>
      </w:tr>
    </w:tbl>
    <w:p w:rsidR="00083DAB" w:rsidRDefault="00083DAB" w:rsidP="00BA3694">
      <w:pPr>
        <w:spacing w:line="276" w:lineRule="auto"/>
      </w:pPr>
    </w:p>
    <w:p w:rsidR="000F6D5A" w:rsidRPr="000F6D5A" w:rsidRDefault="007C6E39" w:rsidP="00BA3694">
      <w:pPr>
        <w:spacing w:line="276" w:lineRule="auto"/>
      </w:pPr>
      <w:r>
        <w:t xml:space="preserve">Todos los escritos </w:t>
      </w:r>
      <w:r w:rsidR="00083DAB">
        <w:t xml:space="preserve">fueron presentados </w:t>
      </w:r>
      <w:r>
        <w:t>dentro del periodo de consulta pública y su contenido se encuentra relacionado con el Anteproyecto, por lo que es procedente considerarlos en su totalidad en este Informe.</w:t>
      </w:r>
    </w:p>
    <w:p w:rsidR="00557027" w:rsidRDefault="00A36E1C" w:rsidP="00BA3694">
      <w:pPr>
        <w:spacing w:line="276" w:lineRule="auto"/>
      </w:pPr>
      <w:r w:rsidRPr="00756230">
        <w:t>Asimismo, se solicitó la opinión respectiva a la Comisión Federal de Competencia Económica, quien respondió en los siguientes términos:</w:t>
      </w:r>
    </w:p>
    <w:p w:rsidR="00557027" w:rsidRDefault="00A36E1C" w:rsidP="00BA3694">
      <w:pPr>
        <w:spacing w:line="276" w:lineRule="auto"/>
        <w:ind w:left="567" w:right="-1"/>
      </w:pPr>
      <w:r w:rsidRPr="00756230">
        <w:rPr>
          <w:i/>
        </w:rPr>
        <w:t xml:space="preserve">“ÚNICO. (…) después de haber analizado el ANTEPROYECTO, esta Comisión </w:t>
      </w:r>
      <w:r w:rsidRPr="00756230">
        <w:rPr>
          <w:b/>
          <w:i/>
        </w:rPr>
        <w:t>no tiene comentarios al respecto, en atención a que no se refieren a actividades económicas que se encuentren dentro del ámbito de competencia de la COFECE</w:t>
      </w:r>
      <w:r w:rsidRPr="00756230">
        <w:rPr>
          <w:i/>
        </w:rPr>
        <w:t xml:space="preserve">, de conformidad con lo establecido en los artículos 28, párrafo decimosexto, de la Constitución Política de los Estados Unidos Mexicanos y 5, párrafo primero de la LFCE.” </w:t>
      </w:r>
      <w:r w:rsidR="00DA08AF" w:rsidRPr="00756230">
        <w:t>[Énfasis añadido]</w:t>
      </w:r>
    </w:p>
    <w:p w:rsidR="005B2979" w:rsidRDefault="005B2979" w:rsidP="00BA3694">
      <w:pPr>
        <w:spacing w:line="276" w:lineRule="auto"/>
        <w:ind w:left="567" w:right="-1"/>
      </w:pPr>
    </w:p>
    <w:p w:rsidR="005B2979" w:rsidRDefault="005B2979" w:rsidP="00BA3694">
      <w:pPr>
        <w:spacing w:line="276" w:lineRule="auto"/>
        <w:ind w:left="567" w:right="-1"/>
      </w:pPr>
    </w:p>
    <w:p w:rsidR="00553479" w:rsidRPr="00AC54DE" w:rsidRDefault="00553479" w:rsidP="0017391C">
      <w:pPr>
        <w:pStyle w:val="Ttulo1"/>
      </w:pPr>
      <w:bookmarkStart w:id="6" w:name="_Toc442377676"/>
      <w:r w:rsidRPr="00553479">
        <w:lastRenderedPageBreak/>
        <w:t xml:space="preserve">Artículos </w:t>
      </w:r>
      <w:r w:rsidR="00866BA2">
        <w:t xml:space="preserve">y elementos </w:t>
      </w:r>
      <w:r w:rsidRPr="00553479">
        <w:t>del Anteproyecto sobre l</w:t>
      </w:r>
      <w:r w:rsidR="00AF677F">
        <w:t xml:space="preserve">os que se recibieron </w:t>
      </w:r>
      <w:r w:rsidR="0059149F">
        <w:t>comentarios,</w:t>
      </w:r>
      <w:r w:rsidR="0059149F" w:rsidRPr="0059149F">
        <w:t xml:space="preserve"> </w:t>
      </w:r>
      <w:r w:rsidR="0059149F">
        <w:t>opiniones y propuestas</w:t>
      </w:r>
      <w:bookmarkEnd w:id="6"/>
    </w:p>
    <w:p w:rsidR="00AF677F" w:rsidRDefault="00AF677F" w:rsidP="00BA3694">
      <w:pPr>
        <w:spacing w:line="276" w:lineRule="auto"/>
        <w:ind w:right="-1"/>
      </w:pPr>
      <w:r>
        <w:t xml:space="preserve">En total se recibieron comentarios sobre </w:t>
      </w:r>
      <w:r w:rsidR="00302F75">
        <w:t>seis</w:t>
      </w:r>
      <w:r>
        <w:t xml:space="preserve"> artículos de los once contenidos en el Anteproyecto: </w:t>
      </w:r>
    </w:p>
    <w:p w:rsidR="00AF677F" w:rsidRDefault="00AF677F" w:rsidP="00BA3694">
      <w:pPr>
        <w:numPr>
          <w:ilvl w:val="0"/>
          <w:numId w:val="11"/>
        </w:numPr>
        <w:spacing w:line="276" w:lineRule="auto"/>
        <w:ind w:right="-1"/>
        <w:sectPr w:rsidR="00AF677F" w:rsidSect="00AC000A">
          <w:headerReference w:type="default" r:id="rId8"/>
          <w:footerReference w:type="default" r:id="rId9"/>
          <w:pgSz w:w="12240" w:h="15840"/>
          <w:pgMar w:top="1417" w:right="1467" w:bottom="1417" w:left="1418" w:header="708" w:footer="708" w:gutter="0"/>
          <w:pgNumType w:start="1"/>
          <w:cols w:space="708"/>
          <w:docGrid w:linePitch="360"/>
        </w:sectPr>
      </w:pPr>
    </w:p>
    <w:p w:rsidR="00302F75" w:rsidRDefault="00302F75" w:rsidP="00BA3694">
      <w:pPr>
        <w:numPr>
          <w:ilvl w:val="0"/>
          <w:numId w:val="11"/>
        </w:numPr>
        <w:spacing w:line="276" w:lineRule="auto"/>
        <w:ind w:right="-1"/>
      </w:pPr>
      <w:r>
        <w:lastRenderedPageBreak/>
        <w:t>Tercero;</w:t>
      </w:r>
    </w:p>
    <w:p w:rsidR="00AF677F" w:rsidRDefault="00AF677F" w:rsidP="00BA3694">
      <w:pPr>
        <w:numPr>
          <w:ilvl w:val="0"/>
          <w:numId w:val="11"/>
        </w:numPr>
        <w:spacing w:line="276" w:lineRule="auto"/>
        <w:ind w:right="-1"/>
      </w:pPr>
      <w:r>
        <w:t xml:space="preserve">Cuarto; </w:t>
      </w:r>
    </w:p>
    <w:p w:rsidR="00AF677F" w:rsidRDefault="00AF677F" w:rsidP="00BA3694">
      <w:pPr>
        <w:numPr>
          <w:ilvl w:val="0"/>
          <w:numId w:val="11"/>
        </w:numPr>
        <w:spacing w:line="276" w:lineRule="auto"/>
        <w:ind w:right="-1"/>
      </w:pPr>
      <w:r>
        <w:t xml:space="preserve">Quinto, primer párrafo; </w:t>
      </w:r>
    </w:p>
    <w:p w:rsidR="00AF677F" w:rsidRDefault="00AF677F" w:rsidP="00BA3694">
      <w:pPr>
        <w:numPr>
          <w:ilvl w:val="0"/>
          <w:numId w:val="11"/>
        </w:numPr>
        <w:spacing w:line="276" w:lineRule="auto"/>
        <w:ind w:right="-1"/>
      </w:pPr>
      <w:r>
        <w:lastRenderedPageBreak/>
        <w:t xml:space="preserve">Sexto, primer párrafo; </w:t>
      </w:r>
    </w:p>
    <w:p w:rsidR="00AF677F" w:rsidRDefault="00AF677F" w:rsidP="00BA3694">
      <w:pPr>
        <w:numPr>
          <w:ilvl w:val="0"/>
          <w:numId w:val="11"/>
        </w:numPr>
        <w:spacing w:line="276" w:lineRule="auto"/>
        <w:ind w:right="-1"/>
      </w:pPr>
      <w:r>
        <w:t xml:space="preserve">Séptimo, quinto párrafo; y </w:t>
      </w:r>
    </w:p>
    <w:p w:rsidR="00AC000A" w:rsidRDefault="00C12C31" w:rsidP="00C01F66">
      <w:pPr>
        <w:numPr>
          <w:ilvl w:val="0"/>
          <w:numId w:val="11"/>
        </w:numPr>
        <w:spacing w:line="276" w:lineRule="auto"/>
        <w:ind w:right="-1"/>
      </w:pPr>
      <w:r>
        <w:t>Octavo</w:t>
      </w:r>
      <w:r w:rsidR="00AF677F">
        <w:t>.</w:t>
      </w:r>
    </w:p>
    <w:p w:rsidR="00AC000A" w:rsidRDefault="00AC000A" w:rsidP="00AC000A">
      <w:pPr>
        <w:spacing w:line="276" w:lineRule="auto"/>
        <w:ind w:right="-1"/>
        <w:sectPr w:rsidR="00AC000A" w:rsidSect="00AC000A">
          <w:headerReference w:type="default" r:id="rId10"/>
          <w:type w:val="continuous"/>
          <w:pgSz w:w="12240" w:h="15840"/>
          <w:pgMar w:top="1417" w:right="1467" w:bottom="1417" w:left="1418" w:header="708" w:footer="708" w:gutter="0"/>
          <w:cols w:num="2" w:space="708"/>
          <w:docGrid w:linePitch="360"/>
        </w:sectPr>
      </w:pPr>
    </w:p>
    <w:p w:rsidR="00866BA2" w:rsidRDefault="00AF677F" w:rsidP="00AC000A">
      <w:pPr>
        <w:spacing w:line="276" w:lineRule="auto"/>
        <w:ind w:right="-1"/>
      </w:pPr>
      <w:r>
        <w:lastRenderedPageBreak/>
        <w:t xml:space="preserve">Además, se recibieron comentarios sobre </w:t>
      </w:r>
      <w:r w:rsidR="00302F75">
        <w:t>el u</w:t>
      </w:r>
      <w:r w:rsidR="00866BA2">
        <w:t xml:space="preserve">so </w:t>
      </w:r>
      <w:r w:rsidR="00302F75">
        <w:t xml:space="preserve">de los índices de concentración en </w:t>
      </w:r>
      <w:r w:rsidR="009A181C">
        <w:t>asuntos que involucraran a los</w:t>
      </w:r>
      <w:r w:rsidR="00866BA2">
        <w:t xml:space="preserve"> Agentes Económicos</w:t>
      </w:r>
      <w:r w:rsidR="009A181C">
        <w:t xml:space="preserve"> Preponderantes.</w:t>
      </w:r>
    </w:p>
    <w:p w:rsidR="006055A2" w:rsidRDefault="0017391C" w:rsidP="0017391C">
      <w:pPr>
        <w:pStyle w:val="Ttulo1"/>
      </w:pPr>
      <w:bookmarkStart w:id="7" w:name="_Toc442377677"/>
      <w:r>
        <w:t xml:space="preserve">Consideraciones sobre </w:t>
      </w:r>
      <w:r w:rsidR="0059149F">
        <w:t>los comentarios,</w:t>
      </w:r>
      <w:r w:rsidR="0059149F" w:rsidRPr="0059149F">
        <w:t xml:space="preserve"> </w:t>
      </w:r>
      <w:r w:rsidR="0059149F">
        <w:t>las opiniones y las propuestas</w:t>
      </w:r>
      <w:r w:rsidR="0059149F" w:rsidDel="0059149F">
        <w:t xml:space="preserve"> </w:t>
      </w:r>
      <w:r>
        <w:t>recibidas sobre el Anteproyecto</w:t>
      </w:r>
      <w:bookmarkEnd w:id="7"/>
    </w:p>
    <w:p w:rsidR="0017391C" w:rsidRDefault="0017391C" w:rsidP="0017391C">
      <w:r w:rsidRPr="0017391C">
        <w:t xml:space="preserve">Los comentarios, opiniones y propuestas concretas </w:t>
      </w:r>
      <w:r w:rsidR="007C6E39" w:rsidRPr="0017391C">
        <w:t>relacionadas</w:t>
      </w:r>
      <w:r w:rsidRPr="0017391C">
        <w:t xml:space="preserve"> entre sí, se agrupa</w:t>
      </w:r>
      <w:r w:rsidR="007C6E39">
        <w:t>n para presentar las consideraciones en forma integral</w:t>
      </w:r>
      <w:r w:rsidR="00866BA2">
        <w:t>, en el orden en el que s</w:t>
      </w:r>
      <w:r w:rsidR="00C40CC6">
        <w:t>e presentan en el Anteproyecto.</w:t>
      </w:r>
    </w:p>
    <w:p w:rsidR="001417A0" w:rsidRDefault="00302F75" w:rsidP="0059149F">
      <w:pPr>
        <w:pStyle w:val="Ttulo1"/>
        <w:numPr>
          <w:ilvl w:val="1"/>
          <w:numId w:val="9"/>
        </w:numPr>
        <w:jc w:val="both"/>
        <w:rPr>
          <w:b w:val="0"/>
        </w:rPr>
      </w:pPr>
      <w:bookmarkStart w:id="8" w:name="_Toc442349436"/>
      <w:bookmarkStart w:id="9" w:name="_Toc442377678"/>
      <w:r>
        <w:t xml:space="preserve">Artículo Tercero del Anteproyecto, </w:t>
      </w:r>
      <w:r w:rsidRPr="00302F75">
        <w:rPr>
          <w:b w:val="0"/>
        </w:rPr>
        <w:t xml:space="preserve">de </w:t>
      </w:r>
      <w:r>
        <w:rPr>
          <w:b w:val="0"/>
        </w:rPr>
        <w:t>los u</w:t>
      </w:r>
      <w:r w:rsidR="002F6AF6" w:rsidRPr="00302F75">
        <w:rPr>
          <w:b w:val="0"/>
        </w:rPr>
        <w:t>sos, propósito</w:t>
      </w:r>
      <w:r>
        <w:rPr>
          <w:b w:val="0"/>
        </w:rPr>
        <w:t>s</w:t>
      </w:r>
      <w:r w:rsidR="002F6AF6" w:rsidRPr="00302F75">
        <w:rPr>
          <w:b w:val="0"/>
        </w:rPr>
        <w:t xml:space="preserve"> y límites en las decisiones y procedimientos previstos en la LFCE</w:t>
      </w:r>
      <w:bookmarkEnd w:id="8"/>
      <w:bookmarkEnd w:id="9"/>
      <w:r>
        <w:rPr>
          <w:b w:val="0"/>
        </w:rPr>
        <w:t>, la LFTR y las Disposiciones Regulatorias</w:t>
      </w:r>
    </w:p>
    <w:p w:rsidR="00302F75" w:rsidRPr="00302F75" w:rsidRDefault="00302F75" w:rsidP="00302F75">
      <w:pPr>
        <w:rPr>
          <w:b/>
          <w:i/>
        </w:rPr>
      </w:pPr>
      <w:r>
        <w:rPr>
          <w:b/>
          <w:i/>
        </w:rPr>
        <w:t>Comentarios recibidos</w:t>
      </w:r>
    </w:p>
    <w:p w:rsidR="003969F7" w:rsidRDefault="00302F75" w:rsidP="00302F75">
      <w:r>
        <w:t xml:space="preserve">Los </w:t>
      </w:r>
      <w:r w:rsidRPr="00C12C31">
        <w:rPr>
          <w:color w:val="0070C0"/>
        </w:rPr>
        <w:t xml:space="preserve">CC. Elbittar y Mariscal </w:t>
      </w:r>
      <w:r>
        <w:t>señalan que</w:t>
      </w:r>
      <w:r w:rsidR="003969F7">
        <w:t>:</w:t>
      </w:r>
    </w:p>
    <w:p w:rsidR="00302F75" w:rsidRDefault="003969F7" w:rsidP="003969F7">
      <w:pPr>
        <w:numPr>
          <w:ilvl w:val="0"/>
          <w:numId w:val="13"/>
        </w:numPr>
      </w:pPr>
      <w:r>
        <w:t>E</w:t>
      </w:r>
      <w:r w:rsidR="00E271D1">
        <w:t xml:space="preserve">l Criterio Técnico </w:t>
      </w:r>
      <w:r w:rsidR="00302F75" w:rsidRPr="00756230">
        <w:t xml:space="preserve">debe indicar claramente sus usos, su propósito y sus límites. </w:t>
      </w:r>
      <w:r w:rsidR="006F18F1">
        <w:t xml:space="preserve">No es claro </w:t>
      </w:r>
      <w:r w:rsidR="00302F75" w:rsidRPr="00756230">
        <w:t>si es un elemento necesario en el análisis de poder sustancial o si se trata de un filtro para llevar a cabo un análisis más a fondo para cualquier procedim</w:t>
      </w:r>
      <w:r>
        <w:t xml:space="preserve">iento llevado a cabo por el IFT, y </w:t>
      </w:r>
    </w:p>
    <w:p w:rsidR="00302F75" w:rsidRDefault="00302F75" w:rsidP="003969F7">
      <w:pPr>
        <w:numPr>
          <w:ilvl w:val="0"/>
          <w:numId w:val="13"/>
        </w:numPr>
      </w:pPr>
      <w:r w:rsidRPr="00756230">
        <w:t>Las medidas cuantitativas son útiles en las evaluaciones ex ante de las condiciones de competencia y tienen un uso limitado en el tratamiento de las evaluaciones ex post (e.g. intenciones de exclusión, el desplazamiento o la discriminación; así como la colusión o cualquier otra forma de manipulación del mercado) o las evaluaciones de los efectos competitivos de las conductas.</w:t>
      </w:r>
    </w:p>
    <w:p w:rsidR="00302F75" w:rsidRPr="00302F75" w:rsidRDefault="00302F75" w:rsidP="00A41490">
      <w:pPr>
        <w:keepNext/>
        <w:rPr>
          <w:b/>
          <w:i/>
        </w:rPr>
      </w:pPr>
      <w:r w:rsidRPr="00302F75">
        <w:rPr>
          <w:b/>
          <w:i/>
        </w:rPr>
        <w:t>Consideraciones</w:t>
      </w:r>
    </w:p>
    <w:p w:rsidR="00926BE2" w:rsidRDefault="00926BE2" w:rsidP="00302F75">
      <w:r>
        <w:t>Los artículos Primero, Tercero y Séptimo, párrafo quinto, del Anteproyecto presenta una lista enunciativa y no limitativa de los asuntos y procedimientos en los que el Instituto podrá aplicar los índices de concentración y los umbrales. Lo anterior debido a la imposibilidad de enunciar en forma exhaustiva toda posible aplicaci</w:t>
      </w:r>
      <w:r w:rsidR="00C25949">
        <w:t>ón.</w:t>
      </w:r>
    </w:p>
    <w:p w:rsidR="00302F75" w:rsidRDefault="00C25949" w:rsidP="00302F75">
      <w:r>
        <w:t>En atención a estos comentarios, s</w:t>
      </w:r>
      <w:r w:rsidR="00302F75" w:rsidRPr="00974CF9">
        <w:t>e harán las precisiones</w:t>
      </w:r>
      <w:r w:rsidR="00302F75">
        <w:t xml:space="preserve"> correspondientes</w:t>
      </w:r>
      <w:r>
        <w:t>.</w:t>
      </w:r>
    </w:p>
    <w:p w:rsidR="00C35A6E" w:rsidRDefault="00C35A6E" w:rsidP="009F31EB">
      <w:pPr>
        <w:pStyle w:val="Ttulo1"/>
        <w:numPr>
          <w:ilvl w:val="1"/>
          <w:numId w:val="9"/>
        </w:numPr>
        <w:jc w:val="both"/>
        <w:rPr>
          <w:b w:val="0"/>
        </w:rPr>
      </w:pPr>
      <w:bookmarkStart w:id="10" w:name="_Toc442349438"/>
      <w:bookmarkStart w:id="11" w:name="_Toc442377679"/>
      <w:r>
        <w:lastRenderedPageBreak/>
        <w:t xml:space="preserve">Artículo Cuarto del Anteproyecto, </w:t>
      </w:r>
      <w:bookmarkEnd w:id="10"/>
      <w:r w:rsidR="00F766C6" w:rsidRPr="00F766C6">
        <w:rPr>
          <w:b w:val="0"/>
        </w:rPr>
        <w:t xml:space="preserve">el cual establece que </w:t>
      </w:r>
      <w:r w:rsidR="00F766C6">
        <w:rPr>
          <w:b w:val="0"/>
        </w:rPr>
        <w:t>el índice de concentración y los umbrales no constituyen el único elemento para la toma de decisiones del Instituto</w:t>
      </w:r>
      <w:bookmarkEnd w:id="11"/>
    </w:p>
    <w:p w:rsidR="00C35A6E" w:rsidRDefault="00F766C6" w:rsidP="00C12C31">
      <w:pPr>
        <w:keepNext/>
        <w:rPr>
          <w:b/>
          <w:i/>
        </w:rPr>
      </w:pPr>
      <w:r w:rsidRPr="00F766C6">
        <w:rPr>
          <w:b/>
          <w:i/>
        </w:rPr>
        <w:t>Comentarios</w:t>
      </w:r>
    </w:p>
    <w:p w:rsidR="00F766C6" w:rsidRDefault="00193096" w:rsidP="00C35A6E">
      <w:r>
        <w:rPr>
          <w:color w:val="0070C0"/>
        </w:rPr>
        <w:t>Grupo Televisa</w:t>
      </w:r>
      <w:r w:rsidR="006153C4" w:rsidRPr="00C12C31">
        <w:rPr>
          <w:color w:val="0070C0"/>
        </w:rPr>
        <w:t xml:space="preserve"> </w:t>
      </w:r>
      <w:r w:rsidR="006153C4">
        <w:t>manifiesta que el uso de los índices debe sujetarse a las mejores prácticas internacionales y comenta que los índices en ningún modo son elementos suficientes para determinar el grado de competencia que impera en un mercado</w:t>
      </w:r>
      <w:r w:rsidR="009F31EB">
        <w:t>.</w:t>
      </w:r>
    </w:p>
    <w:p w:rsidR="00C12C31" w:rsidRDefault="00C12C31" w:rsidP="00C35A6E">
      <w:pPr>
        <w:rPr>
          <w:b/>
          <w:i/>
        </w:rPr>
      </w:pPr>
      <w:r>
        <w:rPr>
          <w:b/>
          <w:i/>
        </w:rPr>
        <w:t>Consideraciones</w:t>
      </w:r>
    </w:p>
    <w:p w:rsidR="00C12C31" w:rsidRDefault="00C12C31" w:rsidP="00C35A6E">
      <w:r>
        <w:t>L</w:t>
      </w:r>
      <w:r w:rsidRPr="00C12C31">
        <w:t>a Nota Técni</w:t>
      </w:r>
      <w:r>
        <w:t xml:space="preserve">ca que acompaña al Anteproyecto señala que </w:t>
      </w:r>
      <w:r w:rsidRPr="00C12C31">
        <w:t>uno de los elementos considerado</w:t>
      </w:r>
      <w:r>
        <w:t>s</w:t>
      </w:r>
      <w:r w:rsidRPr="00C12C31">
        <w:t xml:space="preserve"> para determinar los umbrales propuestos son los criterios utilizados por otras autoridades de competencia en el mundo y en México. Es decir, </w:t>
      </w:r>
      <w:r>
        <w:t xml:space="preserve">la propuesta </w:t>
      </w:r>
      <w:r w:rsidR="00193096">
        <w:t xml:space="preserve">toma en consideración </w:t>
      </w:r>
      <w:r w:rsidRPr="00C12C31">
        <w:t>las mej</w:t>
      </w:r>
      <w:r w:rsidR="00193096">
        <w:t xml:space="preserve">ores prácticas internacionales, pero también las condiciones identificadas en las actividades económicas, los servicios y los mercados en los sectores de telecomunicaciones y radiodifusión analizados en la práctica decisoria precedente en materia de competencia económica México. </w:t>
      </w:r>
    </w:p>
    <w:p w:rsidR="00C12C31" w:rsidRPr="00C12C31" w:rsidRDefault="00C12C31" w:rsidP="00C35A6E">
      <w:r w:rsidRPr="00C12C31">
        <w:t>Asimismo, se considera que lo dispuesto en el artículo Cuarto del Anteproyecto es consistente con la manifestación de GTV, en el sentido de que “En ningún caso el Instituto tomará sus decisiones utilizando como único elemento de análisis el índice de concentración y los umbrales.”</w:t>
      </w:r>
    </w:p>
    <w:p w:rsidR="00C35A6E" w:rsidRDefault="00C35A6E" w:rsidP="00C35A6E">
      <w:pPr>
        <w:pStyle w:val="Ttulo1"/>
        <w:numPr>
          <w:ilvl w:val="1"/>
          <w:numId w:val="9"/>
        </w:numPr>
        <w:rPr>
          <w:b w:val="0"/>
        </w:rPr>
      </w:pPr>
      <w:bookmarkStart w:id="12" w:name="_Toc442349440"/>
      <w:bookmarkStart w:id="13" w:name="_Toc442377681"/>
      <w:r>
        <w:t>Artículo Quinto, primer párrafo, del Anteproyecto</w:t>
      </w:r>
      <w:bookmarkEnd w:id="12"/>
      <w:r w:rsidR="00C40CC6">
        <w:rPr>
          <w:b w:val="0"/>
        </w:rPr>
        <w:t>, que establece las variables para medir las participaciones de los agentes económicos.</w:t>
      </w:r>
      <w:bookmarkEnd w:id="13"/>
      <w:r w:rsidR="00C40CC6">
        <w:rPr>
          <w:b w:val="0"/>
        </w:rPr>
        <w:t xml:space="preserve"> </w:t>
      </w:r>
    </w:p>
    <w:p w:rsidR="00F24811" w:rsidRPr="00F24811" w:rsidRDefault="00F24811" w:rsidP="00F24811">
      <w:pPr>
        <w:rPr>
          <w:b/>
          <w:i/>
        </w:rPr>
      </w:pPr>
      <w:r w:rsidRPr="00F24811">
        <w:rPr>
          <w:b/>
          <w:i/>
        </w:rPr>
        <w:t>Comentarios</w:t>
      </w:r>
    </w:p>
    <w:p w:rsidR="00C40CC6" w:rsidRPr="00756230" w:rsidRDefault="00C40CC6" w:rsidP="00C40CC6">
      <w:r>
        <w:t xml:space="preserve">Se recibieron comentarios de </w:t>
      </w:r>
      <w:r w:rsidRPr="00756230">
        <w:t>AT&amp;T</w:t>
      </w:r>
      <w:r>
        <w:t xml:space="preserve"> y </w:t>
      </w:r>
      <w:r w:rsidR="00E25A8A">
        <w:t>Grupo Televisa</w:t>
      </w:r>
    </w:p>
    <w:p w:rsidR="00C40CC6" w:rsidRDefault="00C40CC6" w:rsidP="00C40CC6">
      <w:r w:rsidRPr="00193096">
        <w:rPr>
          <w:color w:val="0070C0"/>
        </w:rPr>
        <w:t xml:space="preserve">AT&amp;T </w:t>
      </w:r>
      <w:r>
        <w:t xml:space="preserve">señala que deben tomarse en </w:t>
      </w:r>
      <w:r w:rsidRPr="00756230">
        <w:t>cuenta todas las variables para medir la concentración en el sector de telecomunicaciones y sus mercados, particularmente para determinar la competencia efectiva. Por ejemplo, es posible que un agente experimente una reducción en el número de suscriptores y no en su capacidad, tráfico o ventas, o viceversa.</w:t>
      </w:r>
    </w:p>
    <w:p w:rsidR="00C40CC6" w:rsidRDefault="00C40CC6" w:rsidP="00C40CC6">
      <w:r w:rsidRPr="00193096">
        <w:rPr>
          <w:color w:val="0070C0"/>
        </w:rPr>
        <w:t>Grupo Televisa</w:t>
      </w:r>
      <w:r>
        <w:t xml:space="preserve"> propone u</w:t>
      </w:r>
      <w:r w:rsidRPr="00756230">
        <w:t>tilizar el mismo criterio entre las diferentes autoridades en materia de competencia económica en el sentido de establecer una clara prelación de las variables a ser utilizadas para el cálculo de participaciones de mercado, y utilizar preferentemente datos de valor monetario de las ventas.</w:t>
      </w:r>
    </w:p>
    <w:p w:rsidR="001A0C06" w:rsidRDefault="001A0C06" w:rsidP="00C40CC6">
      <w:pPr>
        <w:rPr>
          <w:b/>
          <w:i/>
        </w:rPr>
      </w:pPr>
      <w:r>
        <w:rPr>
          <w:b/>
          <w:i/>
        </w:rPr>
        <w:t>Consideraciones</w:t>
      </w:r>
    </w:p>
    <w:p w:rsidR="001A0C06" w:rsidRDefault="001A0C06" w:rsidP="001A0C06">
      <w:r>
        <w:t xml:space="preserve">La selección de la(s) variable(s) relevante(s) para determinar las participaciones de los agentes económicos </w:t>
      </w:r>
      <w:r w:rsidRPr="004750FB">
        <w:t>depende de</w:t>
      </w:r>
      <w:r w:rsidR="00E25A8A">
        <w:t xml:space="preserve">l </w:t>
      </w:r>
      <w:r w:rsidRPr="004750FB">
        <w:t>mercado</w:t>
      </w:r>
      <w:r>
        <w:t>, servicio o actividad económica analizada</w:t>
      </w:r>
      <w:r w:rsidRPr="004750FB">
        <w:t>, así como de la disponibilidad y calidad de la información. De esa manera, se debe tener la posibilidad de utilizar las variables que se consideren más adecuadas para el caso particular de estudio y que sus valores provengan de fuentes de información confiables.</w:t>
      </w:r>
    </w:p>
    <w:p w:rsidR="001A0C06" w:rsidRPr="001A0C06" w:rsidRDefault="001A0C06" w:rsidP="00C40CC6">
      <w:r>
        <w:lastRenderedPageBreak/>
        <w:t>En atención a estos comentarios, se fortalecerán los argumentos que sus</w:t>
      </w:r>
      <w:r w:rsidR="00193096">
        <w:t>tente</w:t>
      </w:r>
      <w:r>
        <w:t>n esta de</w:t>
      </w:r>
      <w:r w:rsidR="00E25A8A">
        <w:t>terminación.</w:t>
      </w:r>
    </w:p>
    <w:p w:rsidR="00C35A6E" w:rsidRDefault="00C35A6E" w:rsidP="00957E9D">
      <w:pPr>
        <w:pStyle w:val="Ttulo1"/>
        <w:numPr>
          <w:ilvl w:val="1"/>
          <w:numId w:val="9"/>
        </w:numPr>
        <w:jc w:val="both"/>
        <w:rPr>
          <w:b w:val="0"/>
        </w:rPr>
      </w:pPr>
      <w:bookmarkStart w:id="14" w:name="_Toc442349441"/>
      <w:bookmarkStart w:id="15" w:name="_Toc442377683"/>
      <w:r>
        <w:t xml:space="preserve">Artículo Sexto, primer párrafo, del Anteproyecto, </w:t>
      </w:r>
      <w:bookmarkEnd w:id="14"/>
      <w:r w:rsidR="00957E9D">
        <w:rPr>
          <w:b w:val="0"/>
        </w:rPr>
        <w:t>del uso del IHH</w:t>
      </w:r>
      <w:bookmarkEnd w:id="15"/>
    </w:p>
    <w:p w:rsidR="00957E9D" w:rsidRPr="00957E9D" w:rsidRDefault="00957E9D" w:rsidP="00957E9D">
      <w:pPr>
        <w:rPr>
          <w:b/>
          <w:i/>
        </w:rPr>
      </w:pPr>
      <w:r>
        <w:rPr>
          <w:b/>
          <w:i/>
        </w:rPr>
        <w:t xml:space="preserve">Comentarios </w:t>
      </w:r>
    </w:p>
    <w:p w:rsidR="00957E9D" w:rsidRPr="00756230" w:rsidRDefault="00957E9D" w:rsidP="00957E9D">
      <w:r>
        <w:t xml:space="preserve">Presentaron comentarios los CC. </w:t>
      </w:r>
      <w:r w:rsidRPr="00756230">
        <w:t>Elbittar y Mariscal</w:t>
      </w:r>
      <w:r>
        <w:t xml:space="preserve">, Axtel, Telefónica y </w:t>
      </w:r>
      <w:r w:rsidR="000F2A5C">
        <w:t>CANIETI</w:t>
      </w:r>
    </w:p>
    <w:p w:rsidR="00957E9D" w:rsidRDefault="00957E9D" w:rsidP="00957E9D">
      <w:r>
        <w:t xml:space="preserve">Los </w:t>
      </w:r>
      <w:r w:rsidRPr="00A8761F">
        <w:rPr>
          <w:color w:val="0070C0"/>
        </w:rPr>
        <w:t xml:space="preserve">CC. Elbittar y Mariscal </w:t>
      </w:r>
      <w:r>
        <w:t>señalan que s</w:t>
      </w:r>
      <w:r w:rsidRPr="00EA5D59">
        <w:t xml:space="preserve">i bien el IHH es una medida estándar de concentración utilizada por muchas autoridades en todo el mundo, la mayoría de las agencias de competencia tienen un mandato amplio y no uno estrecho como el IFT, el cual se dedica exclusivamente a dos sectores que no se caracterizan por la competencia basada en </w:t>
      </w:r>
      <w:r w:rsidRPr="008A7343">
        <w:t>cantidades (del tipo Cournot) con productos homogéneos, modelo del que se deriva el IHH, sino por competencia basada en precios. Por lo tanto, un IHH que no esté acompañado por otras medidas que sustenten mejor la existencia de concentración de mercado proporcionará un apoyo débil para las decisiones que implican poder sustancial</w:t>
      </w:r>
      <w:r w:rsidRPr="00EA5D59">
        <w:t>.</w:t>
      </w:r>
    </w:p>
    <w:p w:rsidR="00957E9D" w:rsidRPr="00756230" w:rsidRDefault="00957E9D" w:rsidP="00957E9D">
      <w:pPr>
        <w:spacing w:line="276" w:lineRule="auto"/>
        <w:ind w:right="-1"/>
        <w:rPr>
          <w:szCs w:val="20"/>
        </w:rPr>
      </w:pPr>
      <w:r w:rsidRPr="00A8761F">
        <w:rPr>
          <w:color w:val="0070C0"/>
        </w:rPr>
        <w:t>Axtel, CANIETI y Telefónica</w:t>
      </w:r>
      <w:r>
        <w:rPr>
          <w:szCs w:val="20"/>
        </w:rPr>
        <w:t xml:space="preserve"> presentaron los siguientes </w:t>
      </w:r>
      <w:r w:rsidRPr="000F2A5C">
        <w:rPr>
          <w:szCs w:val="20"/>
          <w:u w:val="single"/>
        </w:rPr>
        <w:t>comentarios y propuesta coincidentes</w:t>
      </w:r>
      <w:r>
        <w:rPr>
          <w:szCs w:val="20"/>
        </w:rPr>
        <w:t>:</w:t>
      </w:r>
    </w:p>
    <w:p w:rsidR="00957E9D" w:rsidRDefault="00957E9D" w:rsidP="00957E9D">
      <w:pPr>
        <w:autoSpaceDE w:val="0"/>
        <w:autoSpaceDN w:val="0"/>
        <w:adjustRightInd w:val="0"/>
        <w:spacing w:line="276" w:lineRule="auto"/>
        <w:rPr>
          <w:rFonts w:cs="Century Gothic"/>
          <w:szCs w:val="20"/>
        </w:rPr>
      </w:pPr>
      <w:r w:rsidRPr="00EA5D59">
        <w:rPr>
          <w:rFonts w:cs="Century Gothic"/>
          <w:szCs w:val="20"/>
        </w:rPr>
        <w:t>Los índices de concentración no toman en cuenta otros elementos como las barreras de entrada, el control de un insumo esencial y los efectos que dicha concentración tiene en los mercados “Upstream” (insumos) o el “Downstream” (distribución).</w:t>
      </w:r>
    </w:p>
    <w:p w:rsidR="00957E9D" w:rsidRDefault="0059149F" w:rsidP="00957E9D">
      <w:pPr>
        <w:autoSpaceDE w:val="0"/>
        <w:autoSpaceDN w:val="0"/>
        <w:adjustRightInd w:val="0"/>
        <w:spacing w:line="276" w:lineRule="auto"/>
        <w:rPr>
          <w:rFonts w:cs="Century Gothic"/>
          <w:szCs w:val="20"/>
        </w:rPr>
      </w:pPr>
      <w:r>
        <w:rPr>
          <w:rFonts w:cs="Century Gothic"/>
          <w:szCs w:val="20"/>
        </w:rPr>
        <w:t>Proponen</w:t>
      </w:r>
      <w:r w:rsidR="00957E9D" w:rsidRPr="00EA5D59">
        <w:rPr>
          <w:rFonts w:cs="Century Gothic"/>
          <w:szCs w:val="20"/>
        </w:rPr>
        <w:t xml:space="preserve"> agregar las participaciones de mercado que tendrían en el mercado “Upstream” y “Downstream” a los índices de concentración, para queda como sigue:</w:t>
      </w:r>
    </w:p>
    <w:p w:rsidR="00957E9D" w:rsidRPr="00EA5D59" w:rsidRDefault="00957E9D" w:rsidP="00957E9D">
      <w:pPr>
        <w:spacing w:line="276" w:lineRule="auto"/>
        <w:rPr>
          <w:szCs w:val="20"/>
        </w:rPr>
      </w:pPr>
    </w:p>
    <w:p w:rsidR="00957E9D" w:rsidRPr="00EA5D59" w:rsidRDefault="00957E9D" w:rsidP="00957E9D">
      <w:pPr>
        <w:spacing w:line="276" w:lineRule="auto"/>
        <w:rPr>
          <w:szCs w:val="20"/>
        </w:rPr>
      </w:pPr>
      <m:oMathPara>
        <m:oMath>
          <m:r>
            <w:rPr>
              <w:rFonts w:ascii="Cambria Math" w:hAnsi="Cambria Math"/>
              <w:szCs w:val="20"/>
            </w:rPr>
            <m:t>HHIA=</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sSubSup>
                <m:sSubSupPr>
                  <m:ctrlPr>
                    <w:rPr>
                      <w:rFonts w:ascii="Cambria Math" w:hAnsi="Cambria Math"/>
                      <w:i/>
                      <w:szCs w:val="20"/>
                    </w:rPr>
                  </m:ctrlPr>
                </m:sSubSupPr>
                <m:e>
                  <m:r>
                    <w:rPr>
                      <w:rFonts w:ascii="Cambria Math" w:hAnsi="Cambria Math"/>
                      <w:szCs w:val="20"/>
                    </w:rPr>
                    <m:t>x</m:t>
                  </m:r>
                </m:e>
                <m:sub>
                  <m:r>
                    <w:rPr>
                      <w:rFonts w:ascii="Cambria Math" w:hAnsi="Cambria Math"/>
                      <w:szCs w:val="20"/>
                    </w:rPr>
                    <m:t>i</m:t>
                  </m:r>
                </m:sub>
                <m:sup>
                  <m:r>
                    <w:rPr>
                      <w:rFonts w:ascii="Cambria Math" w:hAnsi="Cambria Math"/>
                      <w:szCs w:val="20"/>
                    </w:rPr>
                    <m:t>2</m:t>
                  </m:r>
                </m:sup>
              </m:sSubSup>
            </m:e>
          </m:nary>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j=1</m:t>
              </m:r>
            </m:sub>
            <m:sup>
              <m:r>
                <w:rPr>
                  <w:rFonts w:ascii="Cambria Math" w:hAnsi="Cambria Math"/>
                  <w:szCs w:val="20"/>
                </w:rPr>
                <m:t>n</m:t>
              </m:r>
            </m:sup>
            <m:e>
              <m:sSubSup>
                <m:sSubSupPr>
                  <m:ctrlPr>
                    <w:rPr>
                      <w:rFonts w:ascii="Cambria Math" w:hAnsi="Cambria Math"/>
                      <w:i/>
                      <w:szCs w:val="20"/>
                    </w:rPr>
                  </m:ctrlPr>
                </m:sSubSupPr>
                <m:e>
                  <m:r>
                    <w:rPr>
                      <w:rFonts w:ascii="Cambria Math" w:hAnsi="Cambria Math"/>
                      <w:szCs w:val="20"/>
                    </w:rPr>
                    <m:t>y</m:t>
                  </m:r>
                </m:e>
                <m:sub>
                  <m:r>
                    <w:rPr>
                      <w:rFonts w:ascii="Cambria Math" w:hAnsi="Cambria Math"/>
                      <w:szCs w:val="20"/>
                    </w:rPr>
                    <m:t>i</m:t>
                  </m:r>
                </m:sub>
                <m:sup>
                  <m:r>
                    <w:rPr>
                      <w:rFonts w:ascii="Cambria Math" w:hAnsi="Cambria Math"/>
                      <w:szCs w:val="20"/>
                    </w:rPr>
                    <m:t>2</m:t>
                  </m:r>
                </m:sup>
              </m:sSubSup>
            </m:e>
          </m:nary>
          <m:r>
            <w:rPr>
              <w:rFonts w:ascii="Cambria Math" w:hAnsi="Cambria Math"/>
              <w:szCs w:val="20"/>
            </w:rPr>
            <m:t xml:space="preserve">+ </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sSubSup>
                <m:sSubSupPr>
                  <m:ctrlPr>
                    <w:rPr>
                      <w:rFonts w:ascii="Cambria Math" w:hAnsi="Cambria Math"/>
                      <w:i/>
                      <w:szCs w:val="20"/>
                    </w:rPr>
                  </m:ctrlPr>
                </m:sSubSupPr>
                <m:e>
                  <m:r>
                    <w:rPr>
                      <w:rFonts w:ascii="Cambria Math" w:hAnsi="Cambria Math"/>
                      <w:szCs w:val="20"/>
                    </w:rPr>
                    <m:t>z</m:t>
                  </m:r>
                </m:e>
                <m:sub>
                  <m:r>
                    <w:rPr>
                      <w:rFonts w:ascii="Cambria Math" w:hAnsi="Cambria Math"/>
                      <w:szCs w:val="20"/>
                    </w:rPr>
                    <m:t>i</m:t>
                  </m:r>
                </m:sub>
                <m:sup>
                  <m:r>
                    <w:rPr>
                      <w:rFonts w:ascii="Cambria Math" w:hAnsi="Cambria Math"/>
                      <w:szCs w:val="20"/>
                    </w:rPr>
                    <m:t>2</m:t>
                  </m:r>
                </m:sup>
              </m:sSubSup>
            </m:e>
          </m:nary>
          <m:r>
            <w:rPr>
              <w:rFonts w:ascii="Cambria Math" w:hAnsi="Cambria Math"/>
              <w:szCs w:val="20"/>
            </w:rPr>
            <m:t xml:space="preserve"> </m:t>
          </m:r>
        </m:oMath>
      </m:oMathPara>
    </w:p>
    <w:p w:rsidR="00957E9D" w:rsidRPr="00EA5D59" w:rsidRDefault="00957E9D" w:rsidP="00957E9D">
      <w:pPr>
        <w:spacing w:line="276" w:lineRule="auto"/>
        <w:rPr>
          <w:szCs w:val="20"/>
        </w:rPr>
      </w:pPr>
      <w:r w:rsidRPr="00EA5D59">
        <w:rPr>
          <w:szCs w:val="20"/>
        </w:rPr>
        <w:t xml:space="preserve">Donde: </w:t>
      </w:r>
    </w:p>
    <w:p w:rsidR="00957E9D" w:rsidRPr="00EA5D59" w:rsidRDefault="00957E9D" w:rsidP="00957E9D">
      <w:pPr>
        <w:spacing w:line="276" w:lineRule="auto"/>
        <w:rPr>
          <w:szCs w:val="20"/>
        </w:rPr>
      </w:pPr>
      <w:r w:rsidRPr="00EA5D59">
        <w:rPr>
          <w:szCs w:val="20"/>
        </w:rPr>
        <w:t>y</w:t>
      </w:r>
      <w:r w:rsidRPr="00EA5D59">
        <w:rPr>
          <w:szCs w:val="20"/>
          <w:vertAlign w:val="subscript"/>
        </w:rPr>
        <w:t>i</w:t>
      </w:r>
      <w:r w:rsidRPr="00EA5D59">
        <w:rPr>
          <w:szCs w:val="20"/>
          <w:vertAlign w:val="superscript"/>
        </w:rPr>
        <w:t>2</w:t>
      </w:r>
      <w:r w:rsidRPr="00EA5D59">
        <w:rPr>
          <w:szCs w:val="20"/>
        </w:rPr>
        <w:t xml:space="preserve"> sería la participación de mercado que alcanzaría con la concentración en el mercado “Upstream”.</w:t>
      </w:r>
    </w:p>
    <w:p w:rsidR="00957E9D" w:rsidRDefault="00957E9D" w:rsidP="00957E9D">
      <w:pPr>
        <w:spacing w:line="276" w:lineRule="auto"/>
        <w:rPr>
          <w:szCs w:val="20"/>
        </w:rPr>
      </w:pPr>
      <w:r w:rsidRPr="00EA5D59">
        <w:rPr>
          <w:szCs w:val="20"/>
        </w:rPr>
        <w:t>z</w:t>
      </w:r>
      <w:r w:rsidRPr="00EA5D59">
        <w:rPr>
          <w:szCs w:val="20"/>
          <w:vertAlign w:val="subscript"/>
        </w:rPr>
        <w:t>i</w:t>
      </w:r>
      <w:r w:rsidRPr="00EA5D59">
        <w:rPr>
          <w:szCs w:val="20"/>
          <w:vertAlign w:val="superscript"/>
        </w:rPr>
        <w:t>2</w:t>
      </w:r>
      <w:r w:rsidRPr="00EA5D59">
        <w:rPr>
          <w:szCs w:val="20"/>
        </w:rPr>
        <w:t xml:space="preserve"> sería la participación de mercado que alcanzaría con la concentración en el mercado “Downstream”. </w:t>
      </w:r>
    </w:p>
    <w:p w:rsidR="00957E9D" w:rsidRPr="00957E9D" w:rsidRDefault="00957E9D" w:rsidP="00A8761F">
      <w:pPr>
        <w:spacing w:before="240" w:line="276" w:lineRule="auto"/>
        <w:rPr>
          <w:b/>
          <w:i/>
          <w:szCs w:val="20"/>
        </w:rPr>
      </w:pPr>
      <w:r>
        <w:rPr>
          <w:b/>
          <w:i/>
          <w:szCs w:val="20"/>
        </w:rPr>
        <w:t>Consideraciones</w:t>
      </w:r>
    </w:p>
    <w:p w:rsidR="001357F4" w:rsidRDefault="00FD3211" w:rsidP="00FD3211">
      <w:r w:rsidRPr="00581777">
        <w:t>El IHH es</w:t>
      </w:r>
      <w:r w:rsidR="00515577">
        <w:t xml:space="preserve">, en efecto, </w:t>
      </w:r>
      <w:r w:rsidRPr="00581777">
        <w:t>utilizado por prácticamente todas las autoridades en materia de</w:t>
      </w:r>
      <w:r w:rsidR="001357F4">
        <w:t xml:space="preserve"> competencia en el mundo, muchas de las cuales son competentes en los sectores de telecomunicaciones y radiodifusión. De tal forma que el ámbito competencial no es una causa suficiente para justificar una diferencia. </w:t>
      </w:r>
    </w:p>
    <w:p w:rsidR="001357F4" w:rsidRDefault="001357F4" w:rsidP="00FD3211">
      <w:r>
        <w:lastRenderedPageBreak/>
        <w:t xml:space="preserve">Tal y como se señala en la Nota Técnica que compaña al Anteproyecto, los umbrales establecidos responden a la práctica decisoria previa en materia de competencia económica, tanto de la ahora extinta CFC como de este Instituto, en los sectores de telecomunicaciones y radiodifusión. </w:t>
      </w:r>
      <w:r w:rsidR="00B158F3">
        <w:t xml:space="preserve">Esto es, el Criterio Técnico </w:t>
      </w:r>
      <w:r w:rsidR="000F2A5C">
        <w:t xml:space="preserve">toma en consideración </w:t>
      </w:r>
      <w:r w:rsidR="00B158F3">
        <w:t xml:space="preserve">las mejores prácticas internacionales, pero sobre todo atiende a las características particulares de las actividades económicas, los mercados y los servicios de telecomunicaciones y de radiodifusión en México. </w:t>
      </w:r>
    </w:p>
    <w:p w:rsidR="00957E9D" w:rsidRDefault="00957E9D" w:rsidP="00957E9D">
      <w:pPr>
        <w:spacing w:line="276" w:lineRule="auto"/>
        <w:ind w:right="-1"/>
        <w:rPr>
          <w:rFonts w:cs="Times New Roman"/>
          <w:szCs w:val="20"/>
        </w:rPr>
      </w:pPr>
      <w:r w:rsidRPr="0036316F">
        <w:rPr>
          <w:rFonts w:cs="Times New Roman"/>
          <w:szCs w:val="20"/>
        </w:rPr>
        <w:t>El índice de concentración tiene como objetivo servir de referencia para</w:t>
      </w:r>
      <w:r w:rsidRPr="0036316F">
        <w:rPr>
          <w:rFonts w:eastAsia="Times New Roman"/>
          <w:bCs/>
          <w:color w:val="000000"/>
          <w:szCs w:val="20"/>
          <w:lang w:eastAsia="es-MX"/>
        </w:rPr>
        <w:t xml:space="preserve"> </w:t>
      </w:r>
      <w:r w:rsidR="009F31EB">
        <w:rPr>
          <w:rFonts w:cs="Times New Roman"/>
          <w:szCs w:val="20"/>
        </w:rPr>
        <w:t xml:space="preserve">estimar </w:t>
      </w:r>
      <w:r w:rsidRPr="0036316F">
        <w:rPr>
          <w:rFonts w:cs="Times New Roman"/>
          <w:szCs w:val="20"/>
        </w:rPr>
        <w:t>el grado de concentración en los mercados y servicios correspondientes a los sectores de tele</w:t>
      </w:r>
      <w:r w:rsidR="009F31EB">
        <w:rPr>
          <w:rFonts w:cs="Times New Roman"/>
          <w:szCs w:val="20"/>
        </w:rPr>
        <w:t>comunicaciones y radiodifusión.</w:t>
      </w:r>
    </w:p>
    <w:p w:rsidR="00957E9D" w:rsidRDefault="00B158F3" w:rsidP="00B158F3">
      <w:pPr>
        <w:rPr>
          <w:szCs w:val="20"/>
        </w:rPr>
      </w:pPr>
      <w:r>
        <w:t>Asimismo</w:t>
      </w:r>
      <w:r w:rsidRPr="00581777">
        <w:t>,</w:t>
      </w:r>
      <w:r>
        <w:t xml:space="preserve"> el Anteproyecto expresamente establece en su artículo Cuarto que </w:t>
      </w:r>
      <w:r w:rsidRPr="00581777">
        <w:t>“En ningún caso</w:t>
      </w:r>
      <w:r w:rsidRPr="00581777">
        <w:rPr>
          <w:b/>
        </w:rPr>
        <w:t xml:space="preserve"> </w:t>
      </w:r>
      <w:r w:rsidRPr="00581777">
        <w:t>el Instituto tomará sus decisiones utilizando como único elemento de análisis el índice de concentración y los umbrales”.</w:t>
      </w:r>
      <w:r>
        <w:t xml:space="preserve"> </w:t>
      </w:r>
      <w:r w:rsidR="00957E9D" w:rsidRPr="0036316F">
        <w:rPr>
          <w:rFonts w:cs="Times New Roman"/>
          <w:szCs w:val="20"/>
        </w:rPr>
        <w:t xml:space="preserve">En el caso de concentraciones notificadas y demás procedimientos que se tramiten en términos de la LFCE el Instituto podrá </w:t>
      </w:r>
      <w:r w:rsidR="00957E9D" w:rsidRPr="0036316F">
        <w:rPr>
          <w:szCs w:val="20"/>
        </w:rPr>
        <w:t xml:space="preserve">considerar, según corresponda, los elementos previstos en los artículos 58, 59, 63 y 64 del mismo ordenamiento y los relacionados de las Disposiciones Regulatorias, tales como barreras a la entrada, poder sustancial de mercado, acceso a fuentes de insumos, comportamiento reciente de los agentes, así como los efectos de la concentración </w:t>
      </w:r>
      <w:r w:rsidR="00957E9D" w:rsidRPr="00BD4AC4">
        <w:rPr>
          <w:szCs w:val="20"/>
        </w:rPr>
        <w:t>analizada y las eficiencias ec</w:t>
      </w:r>
      <w:r w:rsidR="00957E9D" w:rsidRPr="0036316F">
        <w:rPr>
          <w:szCs w:val="20"/>
        </w:rPr>
        <w:t>onómicas derivadas de la misma</w:t>
      </w:r>
      <w:r w:rsidR="00FD3211">
        <w:rPr>
          <w:szCs w:val="20"/>
        </w:rPr>
        <w:t>.</w:t>
      </w:r>
    </w:p>
    <w:p w:rsidR="00957E9D" w:rsidRDefault="00957E9D" w:rsidP="00957E9D">
      <w:pPr>
        <w:spacing w:line="276" w:lineRule="auto"/>
        <w:ind w:right="-1"/>
        <w:rPr>
          <w:rFonts w:cs="Times New Roman"/>
          <w:szCs w:val="20"/>
        </w:rPr>
      </w:pPr>
      <w:r>
        <w:rPr>
          <w:rFonts w:cs="Times New Roman"/>
          <w:szCs w:val="20"/>
        </w:rPr>
        <w:t>Es decir, la estimación de</w:t>
      </w:r>
      <w:r w:rsidR="00B158F3">
        <w:rPr>
          <w:rFonts w:cs="Times New Roman"/>
          <w:szCs w:val="20"/>
        </w:rPr>
        <w:t xml:space="preserve"> </w:t>
      </w:r>
      <w:r>
        <w:rPr>
          <w:rFonts w:cs="Times New Roman"/>
          <w:szCs w:val="20"/>
        </w:rPr>
        <w:t>l</w:t>
      </w:r>
      <w:r w:rsidR="00B158F3">
        <w:rPr>
          <w:rFonts w:cs="Times New Roman"/>
          <w:szCs w:val="20"/>
        </w:rPr>
        <w:t xml:space="preserve">os </w:t>
      </w:r>
      <w:r>
        <w:rPr>
          <w:rFonts w:cs="Times New Roman"/>
          <w:szCs w:val="20"/>
        </w:rPr>
        <w:t>índice</w:t>
      </w:r>
      <w:r w:rsidR="00B158F3">
        <w:rPr>
          <w:rFonts w:cs="Times New Roman"/>
          <w:szCs w:val="20"/>
        </w:rPr>
        <w:t>s</w:t>
      </w:r>
      <w:r>
        <w:rPr>
          <w:rFonts w:cs="Times New Roman"/>
          <w:szCs w:val="20"/>
        </w:rPr>
        <w:t xml:space="preserve"> de concentración no </w:t>
      </w:r>
      <w:r w:rsidRPr="0036316F">
        <w:rPr>
          <w:rFonts w:cs="Times New Roman"/>
          <w:szCs w:val="20"/>
        </w:rPr>
        <w:t>tiene como objetivo incorporar criterios de análisis para determinar barreras a la entrada, el control de un insumo o los efectos de una concentración sobre mercados relacionados de insumos o distribución</w:t>
      </w:r>
      <w:r>
        <w:rPr>
          <w:rFonts w:cs="Times New Roman"/>
          <w:szCs w:val="20"/>
        </w:rPr>
        <w:t>, sino determinar el grado de concentración en mercados y servicios, relevantes y relacionados</w:t>
      </w:r>
      <w:r w:rsidRPr="0036316F">
        <w:rPr>
          <w:rFonts w:cs="Times New Roman"/>
          <w:szCs w:val="20"/>
        </w:rPr>
        <w:t>.</w:t>
      </w:r>
      <w:r>
        <w:rPr>
          <w:rFonts w:cs="Times New Roman"/>
          <w:szCs w:val="20"/>
        </w:rPr>
        <w:t xml:space="preserve"> La LFCE, </w:t>
      </w:r>
      <w:r w:rsidRPr="0036316F">
        <w:rPr>
          <w:szCs w:val="20"/>
        </w:rPr>
        <w:t>en los artículos 58, 59, 63 y 64</w:t>
      </w:r>
      <w:r>
        <w:rPr>
          <w:szCs w:val="20"/>
        </w:rPr>
        <w:t xml:space="preserve">, </w:t>
      </w:r>
      <w:r>
        <w:rPr>
          <w:rFonts w:cs="Times New Roman"/>
          <w:szCs w:val="20"/>
        </w:rPr>
        <w:t>es la que identifica los elementos que la autoridad debe considerar, además de los índices de concentración, para determinar los efectos sobre la competencia económica de las operaciones, así como las condiciones de competencia que prevalecen en los mercados.</w:t>
      </w:r>
    </w:p>
    <w:p w:rsidR="00855430" w:rsidRDefault="00855430" w:rsidP="00855430">
      <w:pPr>
        <w:rPr>
          <w:rFonts w:cs="Times New Roman"/>
          <w:szCs w:val="20"/>
        </w:rPr>
      </w:pPr>
      <w:r>
        <w:t>En atención a los comentarios recibidos, s</w:t>
      </w:r>
      <w:r w:rsidRPr="00581777">
        <w:t xml:space="preserve">in prejuzgar sobre lo que determine el Pleno del Instituto </w:t>
      </w:r>
      <w:r w:rsidR="0059149F">
        <w:t>al emitir</w:t>
      </w:r>
      <w:r w:rsidRPr="00581777">
        <w:t xml:space="preserve"> el Criterio Técnico definitivo</w:t>
      </w:r>
      <w:r>
        <w:t xml:space="preserve">, se considerará la posibilidad de utilizar otros </w:t>
      </w:r>
      <w:r w:rsidR="0059149F">
        <w:t>indicadores cuantitativos, además de</w:t>
      </w:r>
      <w:r>
        <w:t xml:space="preserve">l IHH. </w:t>
      </w:r>
    </w:p>
    <w:p w:rsidR="00B158F3" w:rsidRDefault="00B158F3" w:rsidP="004223E1">
      <w:pPr>
        <w:spacing w:line="276" w:lineRule="auto"/>
        <w:ind w:right="-1"/>
      </w:pPr>
      <w:r>
        <w:rPr>
          <w:rFonts w:cs="Times New Roman"/>
          <w:szCs w:val="20"/>
        </w:rPr>
        <w:t xml:space="preserve">En cuanto a la propuesta de </w:t>
      </w:r>
      <w:r w:rsidRPr="00A8761F">
        <w:rPr>
          <w:color w:val="0070C0"/>
          <w:szCs w:val="20"/>
        </w:rPr>
        <w:t>Axtel, CANIETI y Telefónica</w:t>
      </w:r>
      <w:r w:rsidRPr="00A8761F">
        <w:rPr>
          <w:color w:val="0070C0"/>
        </w:rPr>
        <w:t xml:space="preserve"> </w:t>
      </w:r>
      <w:r>
        <w:t xml:space="preserve">para incorporar un índice que corresponda a la suma lineal de </w:t>
      </w:r>
      <w:r w:rsidR="004223E1">
        <w:t xml:space="preserve">los IHH estimados con las participaciones en </w:t>
      </w:r>
      <w:r>
        <w:t xml:space="preserve">actividades directamente analizadas y en las relacionadas hacia arriba y hacia abajo no se prevé </w:t>
      </w:r>
      <w:r w:rsidR="004223E1">
        <w:t xml:space="preserve">adecuada porque una </w:t>
      </w:r>
      <w:r>
        <w:t xml:space="preserve">actividad, mercado o servicio puede tener uno o más mercados relacionados hacia arriba y/o hacia abajo con distintos grados de impacto o significancia, de tal forma que una suma lineal </w:t>
      </w:r>
      <w:r w:rsidR="004223E1">
        <w:t xml:space="preserve">de los IHH no permitiría identificar los distintos grados de relación. </w:t>
      </w:r>
    </w:p>
    <w:p w:rsidR="00957E9D" w:rsidRDefault="00957E9D" w:rsidP="00957E9D">
      <w:pPr>
        <w:pStyle w:val="Default"/>
        <w:spacing w:before="120" w:after="120" w:line="276" w:lineRule="auto"/>
        <w:ind w:right="-1"/>
        <w:jc w:val="both"/>
        <w:rPr>
          <w:rFonts w:ascii="ITC Avant Garde" w:hAnsi="ITC Avant Garde"/>
          <w:b/>
          <w:sz w:val="20"/>
          <w:szCs w:val="20"/>
        </w:rPr>
      </w:pPr>
      <w:r>
        <w:rPr>
          <w:rFonts w:ascii="ITC Avant Garde" w:hAnsi="ITC Avant Garde"/>
          <w:color w:val="auto"/>
          <w:sz w:val="20"/>
          <w:szCs w:val="20"/>
        </w:rPr>
        <w:t>No se soslaya que, en el artículo TERCERO del Anteproyecto de C</w:t>
      </w:r>
      <w:r w:rsidR="00F24811">
        <w:rPr>
          <w:rFonts w:ascii="ITC Avant Garde" w:hAnsi="ITC Avant Garde"/>
          <w:color w:val="auto"/>
          <w:sz w:val="20"/>
          <w:szCs w:val="20"/>
        </w:rPr>
        <w:t xml:space="preserve">riterio Técnico se precisa que </w:t>
      </w:r>
      <w:r>
        <w:rPr>
          <w:rFonts w:ascii="ITC Avant Garde" w:hAnsi="ITC Avant Garde"/>
          <w:color w:val="auto"/>
          <w:sz w:val="20"/>
          <w:szCs w:val="20"/>
        </w:rPr>
        <w:t>“</w:t>
      </w:r>
      <w:r w:rsidRPr="00346F90">
        <w:rPr>
          <w:rFonts w:ascii="ITC Avant Garde" w:hAnsi="ITC Avant Garde"/>
          <w:i/>
          <w:color w:val="auto"/>
          <w:sz w:val="20"/>
          <w:szCs w:val="20"/>
        </w:rPr>
        <w:t xml:space="preserve">(…) </w:t>
      </w:r>
      <w:r w:rsidRPr="00346F90">
        <w:rPr>
          <w:rFonts w:ascii="ITC Avant Garde" w:hAnsi="ITC Avant Garde"/>
          <w:i/>
          <w:sz w:val="20"/>
          <w:szCs w:val="20"/>
        </w:rPr>
        <w:t>El Instituto también podrá utilizar el índice de concentración como un indicador del grado de concentración en mercados relacionados (…)</w:t>
      </w:r>
      <w:r>
        <w:rPr>
          <w:rFonts w:ascii="ITC Avant Garde" w:hAnsi="ITC Avant Garde"/>
          <w:sz w:val="20"/>
          <w:szCs w:val="20"/>
        </w:rPr>
        <w:t>”</w:t>
      </w:r>
      <w:r w:rsidRPr="00BD4AC4">
        <w:rPr>
          <w:rFonts w:ascii="ITC Avant Garde" w:hAnsi="ITC Avant Garde"/>
          <w:sz w:val="20"/>
          <w:szCs w:val="20"/>
        </w:rPr>
        <w:t>.</w:t>
      </w:r>
    </w:p>
    <w:p w:rsidR="00855430" w:rsidRPr="007A0B5E" w:rsidRDefault="00957E9D" w:rsidP="00F24811">
      <w:pPr>
        <w:spacing w:line="276" w:lineRule="auto"/>
        <w:ind w:right="-1"/>
        <w:rPr>
          <w:rFonts w:cs="Times New Roman"/>
          <w:szCs w:val="20"/>
        </w:rPr>
      </w:pPr>
      <w:r w:rsidRPr="00D64666">
        <w:rPr>
          <w:szCs w:val="20"/>
        </w:rPr>
        <w:lastRenderedPageBreak/>
        <w:t xml:space="preserve">Asimismo, </w:t>
      </w:r>
      <w:r>
        <w:rPr>
          <w:szCs w:val="20"/>
        </w:rPr>
        <w:t xml:space="preserve">en términos del artículo NOVENO del Anteproyecto de Criterio Técnico, </w:t>
      </w:r>
      <w:r w:rsidRPr="00D64666">
        <w:rPr>
          <w:szCs w:val="20"/>
        </w:rPr>
        <w:t>en caso de que “</w:t>
      </w:r>
      <w:r w:rsidRPr="0045014E">
        <w:rPr>
          <w:rFonts w:eastAsia="Times New Roman" w:cs="Times New Roman"/>
          <w:i/>
          <w:color w:val="000000"/>
          <w:szCs w:val="20"/>
          <w:lang w:eastAsia="es-MX"/>
        </w:rPr>
        <w:t>Los agentes económicos involucrados en la operación t</w:t>
      </w:r>
      <w:r w:rsidRPr="008B7F2C">
        <w:rPr>
          <w:rFonts w:cs="Times New Roman"/>
          <w:i/>
          <w:szCs w:val="20"/>
        </w:rPr>
        <w:t xml:space="preserve">engan o puedan llegar a adquirir poder sustancial en </w:t>
      </w:r>
      <w:r w:rsidRPr="00A8761F">
        <w:rPr>
          <w:rFonts w:cs="Times New Roman"/>
          <w:i/>
          <w:szCs w:val="20"/>
          <w:u w:val="single"/>
        </w:rPr>
        <w:t>mercados relacionados</w:t>
      </w:r>
      <w:r w:rsidRPr="008B7F2C">
        <w:rPr>
          <w:rFonts w:cs="Times New Roman"/>
          <w:i/>
          <w:szCs w:val="20"/>
        </w:rPr>
        <w:t xml:space="preserve">” o </w:t>
      </w:r>
      <w:r>
        <w:rPr>
          <w:rFonts w:cs="Times New Roman"/>
          <w:i/>
          <w:szCs w:val="20"/>
        </w:rPr>
        <w:t xml:space="preserve">de que </w:t>
      </w:r>
      <w:r w:rsidRPr="008B7F2C">
        <w:rPr>
          <w:rFonts w:cs="Times New Roman"/>
          <w:i/>
          <w:szCs w:val="20"/>
        </w:rPr>
        <w:t>“</w:t>
      </w:r>
      <w:r w:rsidRPr="008B7F2C">
        <w:rPr>
          <w:rFonts w:eastAsia="Times New Roman" w:cs="Times New Roman"/>
          <w:i/>
          <w:color w:val="000000"/>
          <w:szCs w:val="20"/>
          <w:lang w:eastAsia="es-MX"/>
        </w:rPr>
        <w:t xml:space="preserve">La operación pueda generar incentivos o facilitar la coordinación entre los agentes económicos que participen en el mercado analizado </w:t>
      </w:r>
      <w:r w:rsidRPr="00A8761F">
        <w:rPr>
          <w:rFonts w:eastAsia="Times New Roman" w:cs="Times New Roman"/>
          <w:i/>
          <w:color w:val="000000"/>
          <w:szCs w:val="20"/>
          <w:u w:val="single"/>
          <w:lang w:eastAsia="es-MX"/>
        </w:rPr>
        <w:t>o mercados relacionados</w:t>
      </w:r>
      <w:r w:rsidRPr="008B7F2C">
        <w:rPr>
          <w:rFonts w:eastAsia="Times New Roman" w:cs="Times New Roman"/>
          <w:color w:val="000000"/>
          <w:szCs w:val="20"/>
          <w:lang w:eastAsia="es-MX"/>
        </w:rPr>
        <w:t>”</w:t>
      </w:r>
      <w:r w:rsidRPr="008B7F2C">
        <w:rPr>
          <w:rFonts w:cs="Times New Roman"/>
          <w:szCs w:val="20"/>
        </w:rPr>
        <w:t>, el Instituto podría realizar un análisis con mayor profundidad.</w:t>
      </w:r>
    </w:p>
    <w:p w:rsidR="00C35A6E" w:rsidRDefault="00C35A6E" w:rsidP="00F24811">
      <w:pPr>
        <w:pStyle w:val="Ttulo1"/>
        <w:keepLines/>
        <w:numPr>
          <w:ilvl w:val="1"/>
          <w:numId w:val="9"/>
        </w:numPr>
        <w:rPr>
          <w:b w:val="0"/>
        </w:rPr>
      </w:pPr>
      <w:bookmarkStart w:id="16" w:name="_Toc442349442"/>
      <w:bookmarkStart w:id="17" w:name="_Toc442377684"/>
      <w:r>
        <w:t xml:space="preserve">Artículo Séptimo, quinto párrafo, del Anteproyecto, </w:t>
      </w:r>
      <w:r>
        <w:rPr>
          <w:b w:val="0"/>
        </w:rPr>
        <w:t xml:space="preserve">sobre </w:t>
      </w:r>
      <w:bookmarkEnd w:id="16"/>
      <w:r w:rsidR="0020364B">
        <w:rPr>
          <w:b w:val="0"/>
        </w:rPr>
        <w:t>el uso de los índices en la evaluación de conductas anticompetitivas</w:t>
      </w:r>
      <w:bookmarkEnd w:id="17"/>
    </w:p>
    <w:p w:rsidR="003F679B" w:rsidRDefault="003F679B" w:rsidP="003F679B">
      <w:pPr>
        <w:rPr>
          <w:b/>
          <w:i/>
        </w:rPr>
      </w:pPr>
      <w:r>
        <w:rPr>
          <w:b/>
          <w:i/>
        </w:rPr>
        <w:t>Comentarios</w:t>
      </w:r>
    </w:p>
    <w:p w:rsidR="003F679B" w:rsidRDefault="003F679B" w:rsidP="003F679B">
      <w:r w:rsidRPr="00A8761F">
        <w:rPr>
          <w:color w:val="0070C0"/>
        </w:rPr>
        <w:t>Telefónica</w:t>
      </w:r>
      <w:r w:rsidRPr="003F679B">
        <w:rPr>
          <w:b/>
        </w:rPr>
        <w:t xml:space="preserve"> </w:t>
      </w:r>
      <w:r w:rsidRPr="003F679B">
        <w:t xml:space="preserve">señala </w:t>
      </w:r>
      <w:r>
        <w:t>que el Instituto podrá considerar sólo el valor resultante del IHH para la evaluación de asuntos distintos a concentraciones (i.e. conductas anticompetitivas, determinación de poder sustancial y condiciones de competencia). Sin embargo, no se establecen los valores de los correspondientes umbrales de referencia ni la forma en que este índice sería utilizado para orientar la toma de decisiones del Instituto.</w:t>
      </w:r>
    </w:p>
    <w:p w:rsidR="003F679B" w:rsidRDefault="003F679B" w:rsidP="003F679B">
      <w:r>
        <w:t>Para estos asuntos no se justifica por qué se dejará de usar el ID. Dado que el IHH disminuye por el solo hecho de que se incremente el número de participantes en un mercado, el ID sería útil para apoyar el análisis porque es más sensible a las asimetrías que influyen sobre el poder de mercado.</w:t>
      </w:r>
    </w:p>
    <w:p w:rsidR="00A208A3" w:rsidRDefault="00A208A3" w:rsidP="003F679B">
      <w:pPr>
        <w:rPr>
          <w:b/>
          <w:i/>
        </w:rPr>
      </w:pPr>
      <w:r>
        <w:rPr>
          <w:b/>
          <w:i/>
        </w:rPr>
        <w:t>Consideraciones</w:t>
      </w:r>
    </w:p>
    <w:p w:rsidR="00676A0B" w:rsidRPr="00676A0B" w:rsidRDefault="004223E1" w:rsidP="003F679B">
      <w:r>
        <w:t>Ver consideraciones presentadas en los numerales 6.1 y 6.6.</w:t>
      </w:r>
    </w:p>
    <w:p w:rsidR="00C35A6E" w:rsidRDefault="00C35A6E" w:rsidP="007A0B5E">
      <w:pPr>
        <w:pStyle w:val="Ttulo1"/>
        <w:numPr>
          <w:ilvl w:val="1"/>
          <w:numId w:val="9"/>
        </w:numPr>
        <w:jc w:val="both"/>
        <w:rPr>
          <w:b w:val="0"/>
        </w:rPr>
      </w:pPr>
      <w:bookmarkStart w:id="18" w:name="_Toc442349443"/>
      <w:bookmarkStart w:id="19" w:name="_Toc442377685"/>
      <w:r>
        <w:t>Artículo Octavo del Anteproyecto,</w:t>
      </w:r>
      <w:bookmarkEnd w:id="18"/>
      <w:r w:rsidR="007A0B5E">
        <w:t xml:space="preserve"> </w:t>
      </w:r>
      <w:r w:rsidR="007A0B5E" w:rsidRPr="007A0B5E">
        <w:rPr>
          <w:b w:val="0"/>
        </w:rPr>
        <w:t>que establece los umbrales para determinar</w:t>
      </w:r>
      <w:r w:rsidR="007A0B5E">
        <w:rPr>
          <w:b w:val="0"/>
        </w:rPr>
        <w:t xml:space="preserve"> con base en el IHH indicios de riesgos en el análisis de concentraciones y la no adopción del Índice de Dominancia.</w:t>
      </w:r>
      <w:bookmarkEnd w:id="19"/>
    </w:p>
    <w:p w:rsidR="00443C7E" w:rsidRPr="00443C7E" w:rsidRDefault="00443C7E" w:rsidP="00443C7E">
      <w:pPr>
        <w:keepNext/>
        <w:keepLines/>
        <w:rPr>
          <w:b/>
          <w:i/>
        </w:rPr>
      </w:pPr>
      <w:r w:rsidRPr="00443C7E">
        <w:rPr>
          <w:b/>
          <w:i/>
        </w:rPr>
        <w:t xml:space="preserve">Comentarios </w:t>
      </w:r>
    </w:p>
    <w:p w:rsidR="00F24811" w:rsidRDefault="00F24811" w:rsidP="007A0B5E">
      <w:r>
        <w:t>Se recibieron comentarios de AT&amp;T, Axtel</w:t>
      </w:r>
      <w:r w:rsidR="00443C7E">
        <w:t xml:space="preserve">, Grupo Televisa </w:t>
      </w:r>
      <w:r>
        <w:t>y Telefónica</w:t>
      </w:r>
    </w:p>
    <w:p w:rsidR="007202DF" w:rsidRDefault="007A0B5E" w:rsidP="007A0B5E">
      <w:r w:rsidRPr="00A8761F">
        <w:rPr>
          <w:color w:val="0070C0"/>
        </w:rPr>
        <w:t>AT&amp;T</w:t>
      </w:r>
      <w:r w:rsidR="00092EEC" w:rsidRPr="00A8761F">
        <w:rPr>
          <w:color w:val="0070C0"/>
        </w:rPr>
        <w:t xml:space="preserve"> </w:t>
      </w:r>
      <w:r w:rsidR="00092EEC">
        <w:t>manifiesta que</w:t>
      </w:r>
      <w:r w:rsidR="007202DF">
        <w:t xml:space="preserve">: </w:t>
      </w:r>
    </w:p>
    <w:p w:rsidR="007A0B5E" w:rsidRPr="00756230" w:rsidRDefault="007202DF" w:rsidP="007202DF">
      <w:pPr>
        <w:numPr>
          <w:ilvl w:val="0"/>
          <w:numId w:val="13"/>
        </w:numPr>
      </w:pPr>
      <w:r>
        <w:t>L</w:t>
      </w:r>
      <w:r w:rsidR="007A0B5E" w:rsidRPr="00756230">
        <w:t xml:space="preserve">os umbrales definidos en el </w:t>
      </w:r>
      <w:r w:rsidR="00DB2BDE">
        <w:t>artículo</w:t>
      </w:r>
      <w:r w:rsidR="007A0B5E" w:rsidRPr="00756230">
        <w:t xml:space="preserve"> Octavo son una medida adecuada de los niveles de concentración para la determinación de poder sustancial de mercado y de competencia efectiva, pero los niveles de IHH deben ser complementados con información del número de jugadores y del tamaño del mayor</w:t>
      </w:r>
      <w:r w:rsidR="007A0B5E">
        <w:t>.</w:t>
      </w:r>
    </w:p>
    <w:p w:rsidR="007A0B5E" w:rsidRPr="007202DF" w:rsidRDefault="007A0B5E" w:rsidP="003C1F75">
      <w:pPr>
        <w:numPr>
          <w:ilvl w:val="0"/>
          <w:numId w:val="13"/>
        </w:numPr>
        <w:spacing w:line="276" w:lineRule="auto"/>
        <w:rPr>
          <w:szCs w:val="20"/>
        </w:rPr>
      </w:pPr>
      <w:r w:rsidRPr="007202DF">
        <w:rPr>
          <w:szCs w:val="20"/>
        </w:rPr>
        <w:t>Si se deja de usar el ID, es muy importante considerar otros factores para estimar el efecto pro-competitivo que la concentración de dos compe</w:t>
      </w:r>
      <w:r w:rsidR="00A84D55" w:rsidRPr="007202DF">
        <w:rPr>
          <w:szCs w:val="20"/>
        </w:rPr>
        <w:t xml:space="preserve">tidores relativamente pequeños </w:t>
      </w:r>
      <w:r w:rsidRPr="007202DF">
        <w:rPr>
          <w:szCs w:val="20"/>
        </w:rPr>
        <w:t>puede tener respecto al jugador dominante.</w:t>
      </w:r>
      <w:r w:rsidR="007202DF" w:rsidRPr="007202DF">
        <w:rPr>
          <w:szCs w:val="20"/>
        </w:rPr>
        <w:t xml:space="preserve"> D</w:t>
      </w:r>
      <w:r w:rsidRPr="007202DF">
        <w:rPr>
          <w:szCs w:val="20"/>
        </w:rPr>
        <w:t>escartar el ID no debe llevar a considerar que concentraciones entre jugadores relativamente pequeños son siempre contrarias a la competencia cuando el IHH se incrementa.</w:t>
      </w:r>
    </w:p>
    <w:p w:rsidR="007C27E1" w:rsidRDefault="007A0B5E" w:rsidP="00092EEC">
      <w:pPr>
        <w:spacing w:line="276" w:lineRule="auto"/>
        <w:ind w:right="-1"/>
        <w:rPr>
          <w:szCs w:val="20"/>
        </w:rPr>
      </w:pPr>
      <w:r w:rsidRPr="00A8761F">
        <w:rPr>
          <w:color w:val="0070C0"/>
        </w:rPr>
        <w:lastRenderedPageBreak/>
        <w:t>Axtel</w:t>
      </w:r>
      <w:r w:rsidR="007C27E1">
        <w:rPr>
          <w:szCs w:val="20"/>
        </w:rPr>
        <w:t>:</w:t>
      </w:r>
    </w:p>
    <w:p w:rsidR="007C27E1" w:rsidRPr="00974CF9" w:rsidRDefault="007C27E1" w:rsidP="007C27E1">
      <w:pPr>
        <w:numPr>
          <w:ilvl w:val="0"/>
          <w:numId w:val="13"/>
        </w:numPr>
      </w:pPr>
      <w:r>
        <w:t xml:space="preserve">Comenta que los tradicionales índices de concentración, como el IHH, evalúan o definen las participaciones de mercado de las empresas más grandes del mercado relevante; y su uso tiene desventajas en un sector con una estructura de mercado oligopólica, como el sector telecomunicaciones en el que participan muy pocas empresas y una de ellas tiene una participación mayor a 50%, porque provoca que cualquier concentración de empresas con menor participación </w:t>
      </w:r>
      <w:r w:rsidRPr="007C27E1">
        <w:t>eleven sustancialmente el IHH</w:t>
      </w:r>
      <w:r>
        <w:t>.</w:t>
      </w:r>
      <w:r>
        <w:rPr>
          <w:rStyle w:val="Refdenotaalpie"/>
        </w:rPr>
        <w:footnoteReference w:id="7"/>
      </w:r>
    </w:p>
    <w:p w:rsidR="007A0B5E" w:rsidRPr="00756230" w:rsidRDefault="00092EEC" w:rsidP="00092EEC">
      <w:pPr>
        <w:spacing w:line="276" w:lineRule="auto"/>
        <w:ind w:right="-1"/>
        <w:rPr>
          <w:szCs w:val="20"/>
        </w:rPr>
      </w:pPr>
      <w:r>
        <w:rPr>
          <w:szCs w:val="20"/>
        </w:rPr>
        <w:t>propone c</w:t>
      </w:r>
      <w:r w:rsidR="007A0B5E" w:rsidRPr="00756230">
        <w:rPr>
          <w:rFonts w:cs="Century Gothic"/>
          <w:szCs w:val="20"/>
        </w:rPr>
        <w:t xml:space="preserve">onsiderar adicionalmente la utilización del </w:t>
      </w:r>
      <w:r w:rsidR="006065EA">
        <w:rPr>
          <w:rFonts w:cs="Century Gothic"/>
          <w:szCs w:val="20"/>
        </w:rPr>
        <w:t>ID en e</w:t>
      </w:r>
      <w:r w:rsidR="007A0B5E" w:rsidRPr="00756230">
        <w:rPr>
          <w:rFonts w:cs="Century Gothic"/>
          <w:szCs w:val="20"/>
        </w:rPr>
        <w:t>l sector de telecomunicaciones, ya que da una mayor ponderación a la empresa con mayor participación en el mercado, por lo que al presentarse una fusión o adquisición de empresas con participaciones de mercado pequeñas, el cambio en el índice inclusive es negativo, lo que permite concentraciones que pueden considerarse “defensivas”.</w:t>
      </w:r>
    </w:p>
    <w:p w:rsidR="004747A4" w:rsidRDefault="007A0B5E" w:rsidP="00092EEC">
      <w:pPr>
        <w:spacing w:line="276" w:lineRule="auto"/>
        <w:ind w:right="-1"/>
        <w:rPr>
          <w:szCs w:val="20"/>
        </w:rPr>
      </w:pPr>
      <w:r w:rsidRPr="00A8761F">
        <w:rPr>
          <w:color w:val="0070C0"/>
        </w:rPr>
        <w:t>Grupo Televisa</w:t>
      </w:r>
      <w:r w:rsidR="00092EEC">
        <w:rPr>
          <w:szCs w:val="20"/>
        </w:rPr>
        <w:t xml:space="preserve"> señala que</w:t>
      </w:r>
      <w:r w:rsidR="004747A4">
        <w:rPr>
          <w:szCs w:val="20"/>
        </w:rPr>
        <w:t xml:space="preserve">: </w:t>
      </w:r>
    </w:p>
    <w:p w:rsidR="007A0B5E" w:rsidRDefault="004747A4" w:rsidP="004747A4">
      <w:pPr>
        <w:numPr>
          <w:ilvl w:val="0"/>
          <w:numId w:val="13"/>
        </w:numPr>
        <w:spacing w:line="276" w:lineRule="auto"/>
        <w:ind w:right="-1"/>
        <w:rPr>
          <w:szCs w:val="20"/>
        </w:rPr>
      </w:pPr>
      <w:r>
        <w:rPr>
          <w:szCs w:val="20"/>
        </w:rPr>
        <w:t>E</w:t>
      </w:r>
      <w:r w:rsidR="007A0B5E" w:rsidRPr="00756230">
        <w:rPr>
          <w:szCs w:val="20"/>
        </w:rPr>
        <w:t>l incremento a 3,000 puntos en el índice refleja mejor la estructura de mercados intensivos en capital y con menos jugadores, como son los sectores de radiodifusión y telecomunicaciones, sin embargo, resulta insuficiente por lo siguiente:</w:t>
      </w:r>
    </w:p>
    <w:p w:rsidR="007A0B5E" w:rsidRPr="00092EEC" w:rsidRDefault="007A0B5E" w:rsidP="004747A4">
      <w:pPr>
        <w:numPr>
          <w:ilvl w:val="0"/>
          <w:numId w:val="13"/>
        </w:numPr>
        <w:spacing w:line="276" w:lineRule="auto"/>
        <w:ind w:right="-1"/>
        <w:rPr>
          <w:szCs w:val="20"/>
        </w:rPr>
      </w:pPr>
      <w:r w:rsidRPr="00756230">
        <w:rPr>
          <w:szCs w:val="20"/>
        </w:rPr>
        <w:t xml:space="preserve">El umbral de 100 puntos permitido para la variación en el IHH puede ser demasiado restrictivo tomando en cuenta que ya no se considera el Índice de Dominancia (ID) e insuficiente para evaluar un conjunto de concentraciones que pudieren probar ser pro-competitivas. </w:t>
      </w:r>
      <w:r w:rsidRPr="00092EEC">
        <w:rPr>
          <w:bCs/>
          <w:szCs w:val="20"/>
        </w:rPr>
        <w:t xml:space="preserve">El umbral descrito 1) puede anular la posibilidad, para agentes económicos de tamaño relativamente moderado, de involucrarse en concentración alguna, a pesar de que la transacción fuese pro-competitiva, 2) puede resultar en la descalificación de concentraciones modestas, con efectos pro-competitivos, ante la presencia de un agente económico preponderante, y 3) implica que transacciones pro-competitivas </w:t>
      </w:r>
      <w:r w:rsidRPr="00092EEC">
        <w:rPr>
          <w:szCs w:val="20"/>
        </w:rPr>
        <w:t xml:space="preserve">pueden ser consideradas como que importan un riesgo al proceso de competencia y libre concurrencia </w:t>
      </w:r>
    </w:p>
    <w:p w:rsidR="007A0B5E" w:rsidRPr="00092EEC" w:rsidRDefault="007A0B5E" w:rsidP="004747A4">
      <w:pPr>
        <w:numPr>
          <w:ilvl w:val="0"/>
          <w:numId w:val="13"/>
        </w:numPr>
        <w:spacing w:line="276" w:lineRule="auto"/>
        <w:ind w:right="-1"/>
        <w:rPr>
          <w:bCs/>
          <w:szCs w:val="20"/>
        </w:rPr>
      </w:pPr>
      <w:r w:rsidRPr="00092EEC">
        <w:rPr>
          <w:bCs/>
          <w:szCs w:val="20"/>
        </w:rPr>
        <w:t>La ventaja de contar con el ID es precisamente equilibrar la aparente disminución de competencia por el aumento en el IHH, pero reconocer la naturaleza pro-competitiva de este tipo de operaciones en un mercado concentrado.</w:t>
      </w:r>
    </w:p>
    <w:p w:rsidR="007A0B5E" w:rsidRPr="00756230" w:rsidRDefault="007A0B5E" w:rsidP="004747A4">
      <w:pPr>
        <w:numPr>
          <w:ilvl w:val="0"/>
          <w:numId w:val="13"/>
        </w:numPr>
        <w:spacing w:line="276" w:lineRule="auto"/>
        <w:ind w:right="-1"/>
        <w:rPr>
          <w:szCs w:val="20"/>
        </w:rPr>
      </w:pPr>
      <w:r w:rsidRPr="00756230">
        <w:rPr>
          <w:szCs w:val="20"/>
        </w:rPr>
        <w:t xml:space="preserve">Se debe procurar contar con un marco legal y regulatorio armónico, predecible y transparente, por lo que el criterio del Instituto debiera ser consistente con lo previsto por la propia </w:t>
      </w:r>
      <w:r w:rsidR="00A07A50">
        <w:rPr>
          <w:szCs w:val="20"/>
        </w:rPr>
        <w:t>LFTR</w:t>
      </w:r>
      <w:r w:rsidRPr="00756230">
        <w:rPr>
          <w:szCs w:val="20"/>
        </w:rPr>
        <w:t xml:space="preserve"> </w:t>
      </w:r>
      <w:r w:rsidR="00A07A50">
        <w:rPr>
          <w:szCs w:val="20"/>
        </w:rPr>
        <w:t xml:space="preserve">que, </w:t>
      </w:r>
      <w:r w:rsidRPr="00756230">
        <w:rPr>
          <w:szCs w:val="20"/>
        </w:rPr>
        <w:t xml:space="preserve">en su artículo noveno transitorio prevé expresamente la utilización del </w:t>
      </w:r>
      <w:r w:rsidR="00A07A50">
        <w:rPr>
          <w:szCs w:val="20"/>
        </w:rPr>
        <w:t>ID</w:t>
      </w:r>
      <w:r w:rsidRPr="00756230">
        <w:rPr>
          <w:szCs w:val="20"/>
        </w:rPr>
        <w:t xml:space="preserve">. </w:t>
      </w:r>
    </w:p>
    <w:p w:rsidR="004747A4" w:rsidRDefault="007A0B5E" w:rsidP="00192E93">
      <w:pPr>
        <w:keepNext/>
        <w:spacing w:line="276" w:lineRule="auto"/>
        <w:rPr>
          <w:szCs w:val="20"/>
        </w:rPr>
      </w:pPr>
      <w:r w:rsidRPr="00A8761F">
        <w:rPr>
          <w:color w:val="0070C0"/>
        </w:rPr>
        <w:lastRenderedPageBreak/>
        <w:t>Telefónica</w:t>
      </w:r>
      <w:r w:rsidR="00092EEC">
        <w:rPr>
          <w:b/>
          <w:szCs w:val="20"/>
        </w:rPr>
        <w:t xml:space="preserve"> </w:t>
      </w:r>
      <w:r w:rsidR="00092EEC">
        <w:rPr>
          <w:szCs w:val="20"/>
        </w:rPr>
        <w:t>considera que</w:t>
      </w:r>
      <w:r w:rsidR="004747A4">
        <w:rPr>
          <w:szCs w:val="20"/>
        </w:rPr>
        <w:t xml:space="preserve">: </w:t>
      </w:r>
    </w:p>
    <w:p w:rsidR="007A0B5E" w:rsidRDefault="004747A4" w:rsidP="004747A4">
      <w:pPr>
        <w:numPr>
          <w:ilvl w:val="0"/>
          <w:numId w:val="13"/>
        </w:numPr>
        <w:spacing w:line="276" w:lineRule="auto"/>
        <w:ind w:right="-1"/>
        <w:rPr>
          <w:szCs w:val="20"/>
        </w:rPr>
      </w:pPr>
      <w:r>
        <w:rPr>
          <w:szCs w:val="20"/>
        </w:rPr>
        <w:t>E</w:t>
      </w:r>
      <w:r w:rsidR="007A0B5E" w:rsidRPr="00756230">
        <w:rPr>
          <w:szCs w:val="20"/>
        </w:rPr>
        <w:t>l ID sería útil para apoyar el análisis porque es más sensible a las asimetrías que influyen sobre el poder de mercado.</w:t>
      </w:r>
    </w:p>
    <w:p w:rsidR="007A0B5E" w:rsidRDefault="007A0B5E" w:rsidP="004747A4">
      <w:pPr>
        <w:pStyle w:val="Default"/>
        <w:numPr>
          <w:ilvl w:val="0"/>
          <w:numId w:val="13"/>
        </w:numPr>
        <w:spacing w:before="120" w:after="120" w:line="276" w:lineRule="auto"/>
        <w:jc w:val="both"/>
        <w:rPr>
          <w:rFonts w:ascii="ITC Avant Garde" w:hAnsi="ITC Avant Garde"/>
          <w:sz w:val="20"/>
          <w:szCs w:val="20"/>
        </w:rPr>
      </w:pPr>
      <w:r w:rsidRPr="00756230">
        <w:rPr>
          <w:rFonts w:ascii="ITC Avant Garde" w:hAnsi="ITC Avant Garde"/>
          <w:sz w:val="20"/>
          <w:szCs w:val="20"/>
        </w:rPr>
        <w:t xml:space="preserve">Dejar de considerar el ID </w:t>
      </w:r>
      <w:r w:rsidR="004747A4">
        <w:rPr>
          <w:rFonts w:ascii="ITC Avant Garde" w:hAnsi="ITC Avant Garde"/>
          <w:sz w:val="20"/>
          <w:szCs w:val="20"/>
        </w:rPr>
        <w:t xml:space="preserve">y </w:t>
      </w:r>
      <w:r w:rsidRPr="00756230">
        <w:rPr>
          <w:rFonts w:ascii="ITC Avant Garde" w:hAnsi="ITC Avant Garde"/>
          <w:sz w:val="20"/>
          <w:szCs w:val="20"/>
        </w:rPr>
        <w:t>establec</w:t>
      </w:r>
      <w:r w:rsidR="004747A4">
        <w:rPr>
          <w:rFonts w:ascii="ITC Avant Garde" w:hAnsi="ITC Avant Garde"/>
          <w:sz w:val="20"/>
          <w:szCs w:val="20"/>
        </w:rPr>
        <w:t>er umbrales demasiado estrechos</w:t>
      </w:r>
      <w:r w:rsidRPr="00756230">
        <w:rPr>
          <w:rFonts w:ascii="ITC Avant Garde" w:hAnsi="ITC Avant Garde"/>
          <w:sz w:val="20"/>
          <w:szCs w:val="20"/>
        </w:rPr>
        <w:t xml:space="preserve"> implica que casi cualquier estrategia de concentración entre operadores competitivos que busque fortalecer su posición competitiva frente al dominante quedaría sujeta al escrutinio por sus supuestos riesgos competitivos.</w:t>
      </w:r>
    </w:p>
    <w:p w:rsidR="007A0B5E" w:rsidRDefault="007A0B5E" w:rsidP="004747A4">
      <w:pPr>
        <w:pStyle w:val="Default"/>
        <w:numPr>
          <w:ilvl w:val="0"/>
          <w:numId w:val="13"/>
        </w:numPr>
        <w:spacing w:before="120" w:after="120" w:line="276" w:lineRule="auto"/>
        <w:jc w:val="both"/>
        <w:rPr>
          <w:rFonts w:ascii="ITC Avant Garde" w:hAnsi="ITC Avant Garde"/>
          <w:sz w:val="20"/>
          <w:szCs w:val="20"/>
        </w:rPr>
      </w:pPr>
      <w:r w:rsidRPr="00756230">
        <w:rPr>
          <w:rFonts w:ascii="ITC Avant Garde" w:hAnsi="ITC Avant Garde"/>
          <w:sz w:val="20"/>
          <w:szCs w:val="20"/>
        </w:rPr>
        <w:t xml:space="preserve">Se sugiere analizar la posibilidad de mantener como condición </w:t>
      </w:r>
      <w:r w:rsidRPr="00756230">
        <w:rPr>
          <w:rFonts w:ascii="ITC Avant Garde" w:hAnsi="ITC Avant Garde"/>
          <w:i/>
          <w:sz w:val="20"/>
          <w:szCs w:val="20"/>
        </w:rPr>
        <w:t>sine quan non</w:t>
      </w:r>
      <w:r w:rsidRPr="00756230">
        <w:rPr>
          <w:rFonts w:ascii="ITC Avant Garde" w:hAnsi="ITC Avant Garde"/>
          <w:sz w:val="20"/>
          <w:szCs w:val="20"/>
        </w:rPr>
        <w:t xml:space="preserve"> que el ID no aumente; y, al mismo tiempo, establecer umbrales más flexibles para el IHH, de forma tal que los operadores competitivos y el resto de los proveedores puedan llevar a cabo estrategias de concentración que fortalezcan razonablemente su posición de mercado.</w:t>
      </w:r>
    </w:p>
    <w:p w:rsidR="00F24811" w:rsidRDefault="00F24811" w:rsidP="00CD67EB">
      <w:pPr>
        <w:pStyle w:val="Default"/>
        <w:keepNext/>
        <w:spacing w:before="120" w:after="120" w:line="276" w:lineRule="auto"/>
        <w:jc w:val="both"/>
        <w:rPr>
          <w:rFonts w:ascii="ITC Avant Garde" w:hAnsi="ITC Avant Garde"/>
          <w:b/>
          <w:i/>
          <w:sz w:val="20"/>
          <w:szCs w:val="20"/>
        </w:rPr>
      </w:pPr>
      <w:r>
        <w:rPr>
          <w:rFonts w:ascii="ITC Avant Garde" w:hAnsi="ITC Avant Garde"/>
          <w:b/>
          <w:i/>
          <w:sz w:val="20"/>
          <w:szCs w:val="20"/>
        </w:rPr>
        <w:t>Consideraciones</w:t>
      </w:r>
    </w:p>
    <w:p w:rsidR="00643893" w:rsidRPr="00CF09DC" w:rsidRDefault="00643893" w:rsidP="00643893">
      <w:pPr>
        <w:rPr>
          <w:szCs w:val="20"/>
        </w:rPr>
      </w:pPr>
      <w:r>
        <w:rPr>
          <w:szCs w:val="20"/>
        </w:rPr>
        <w:t>En el artículo Cuarto del Anteproyecto de Criterio Técnico se establece que “</w:t>
      </w:r>
      <w:r w:rsidRPr="00756230">
        <w:t>En ningún caso</w:t>
      </w:r>
      <w:r w:rsidRPr="00756230">
        <w:rPr>
          <w:b/>
        </w:rPr>
        <w:t xml:space="preserve"> </w:t>
      </w:r>
      <w:r w:rsidRPr="00756230">
        <w:t>el Instituto tomará sus decisiones utilizando como único elemento de análisis el índice de concentración y los umbrales</w:t>
      </w:r>
      <w:r>
        <w:t>”. En ese sentido, dependiendo del caso de análisis, el Instituto podrá considerar elementos adicionales de la estructura de mercado. Adicionalmente, el cálculo del IHH, por definición, contempla el número de participantes y su correspondiente participación, incluyendo al de mayor tamaño.</w:t>
      </w:r>
    </w:p>
    <w:p w:rsidR="00F24811" w:rsidRDefault="00F24811" w:rsidP="00F24811">
      <w:pPr>
        <w:spacing w:line="276" w:lineRule="auto"/>
        <w:ind w:right="-1"/>
        <w:rPr>
          <w:szCs w:val="20"/>
        </w:rPr>
      </w:pPr>
      <w:r w:rsidRPr="00581777">
        <w:rPr>
          <w:szCs w:val="20"/>
        </w:rPr>
        <w:t xml:space="preserve">El Criterio Técnico, incluya o no al ID, no se utilizará como único elemento para concluir si una operación es contraria a la competencia. El objetivo principal del Criterio Técnico es contar con una herramienta que </w:t>
      </w:r>
      <w:r w:rsidRPr="00581777">
        <w:rPr>
          <w:rFonts w:cs="Times New Roman"/>
          <w:szCs w:val="20"/>
        </w:rPr>
        <w:t>permita “</w:t>
      </w:r>
      <w:r w:rsidRPr="00581777">
        <w:rPr>
          <w:rFonts w:cs="Times New Roman"/>
          <w:i/>
          <w:szCs w:val="20"/>
        </w:rPr>
        <w:t>identificar las operaciones,</w:t>
      </w:r>
      <w:r w:rsidRPr="00581777">
        <w:rPr>
          <w:i/>
          <w:szCs w:val="20"/>
        </w:rPr>
        <w:t xml:space="preserve"> incluyendo las </w:t>
      </w:r>
      <w:r w:rsidRPr="00581777">
        <w:rPr>
          <w:rFonts w:cs="Times New Roman"/>
          <w:i/>
          <w:szCs w:val="20"/>
        </w:rPr>
        <w:t xml:space="preserve">concentraciones, que tienen poca probabilidad de </w:t>
      </w:r>
      <w:r w:rsidRPr="00581777">
        <w:rPr>
          <w:i/>
          <w:szCs w:val="20"/>
        </w:rPr>
        <w:t>obstaculizar, disminuir, dañar o impedir la competencia y la libre concurrencia”.</w:t>
      </w:r>
      <w:r w:rsidRPr="00581777">
        <w:rPr>
          <w:szCs w:val="20"/>
        </w:rPr>
        <w:t xml:space="preserve"> En caso de que una operación no cumpla con los umbrales o se encuentre en alguno de los supuestos previstos en el artículo </w:t>
      </w:r>
      <w:r w:rsidR="00CD67EB" w:rsidRPr="00581777">
        <w:rPr>
          <w:szCs w:val="20"/>
        </w:rPr>
        <w:t xml:space="preserve">Noveno </w:t>
      </w:r>
      <w:r w:rsidRPr="00581777">
        <w:rPr>
          <w:szCs w:val="20"/>
        </w:rPr>
        <w:t xml:space="preserve">del </w:t>
      </w:r>
      <w:r>
        <w:rPr>
          <w:szCs w:val="20"/>
        </w:rPr>
        <w:t>Anteproyecto</w:t>
      </w:r>
      <w:r w:rsidRPr="00581777">
        <w:rPr>
          <w:szCs w:val="20"/>
        </w:rPr>
        <w:t>, no significa que el Instituto concluirá necesariamente que es contraria a la competencia, sino que el Instituto la analizará con mayor profundidad.</w:t>
      </w:r>
    </w:p>
    <w:p w:rsidR="00F24811" w:rsidRDefault="00AD2118" w:rsidP="00F24811">
      <w:pPr>
        <w:spacing w:line="276" w:lineRule="auto"/>
        <w:ind w:right="-1"/>
        <w:rPr>
          <w:szCs w:val="20"/>
        </w:rPr>
      </w:pPr>
      <w:r>
        <w:rPr>
          <w:rFonts w:cs="Times New Roman"/>
          <w:color w:val="000000"/>
          <w:szCs w:val="20"/>
        </w:rPr>
        <w:t>Los umbrales establecidos en el Anteproyecto se integran de: un nivel para el IHH y un</w:t>
      </w:r>
      <w:r w:rsidR="00604C70">
        <w:rPr>
          <w:rFonts w:cs="Times New Roman"/>
          <w:color w:val="000000"/>
          <w:szCs w:val="20"/>
        </w:rPr>
        <w:t>o para su variación</w:t>
      </w:r>
      <w:r>
        <w:rPr>
          <w:rFonts w:cs="Times New Roman"/>
          <w:color w:val="000000"/>
          <w:szCs w:val="20"/>
        </w:rPr>
        <w:t xml:space="preserve"> (</w:t>
      </w:r>
      <m:oMath>
        <m:r>
          <m:rPr>
            <m:sty m:val="p"/>
          </m:rPr>
          <w:rPr>
            <w:rFonts w:ascii="Cambria Math" w:hAnsi="Cambria Math"/>
            <w:szCs w:val="20"/>
          </w:rPr>
          <m:t>∆HH</m:t>
        </m:r>
      </m:oMath>
      <w:r>
        <w:rPr>
          <w:rFonts w:cs="Times New Roman"/>
          <w:szCs w:val="20"/>
        </w:rPr>
        <w:t>). De tal forma que en un mercado o servicio que reporte altos niveles en el IHH, también se tomará en consideración la variaci</w:t>
      </w:r>
      <w:r w:rsidR="00604C70">
        <w:rPr>
          <w:rFonts w:cs="Times New Roman"/>
          <w:szCs w:val="20"/>
        </w:rPr>
        <w:t xml:space="preserve">ón </w:t>
      </w:r>
      <w:r>
        <w:rPr>
          <w:rFonts w:cs="Times New Roman"/>
          <w:szCs w:val="20"/>
        </w:rPr>
        <w:t xml:space="preserve">en el nivel y </w:t>
      </w:r>
      <w:r w:rsidR="00604C70">
        <w:rPr>
          <w:rFonts w:cs="Times New Roman"/>
          <w:szCs w:val="20"/>
        </w:rPr>
        <w:t xml:space="preserve">es en este </w:t>
      </w:r>
      <w:r>
        <w:rPr>
          <w:rFonts w:cs="Times New Roman"/>
          <w:szCs w:val="20"/>
        </w:rPr>
        <w:t>componente donde resulta relevante el tamaño de los agentes económicos involucrados.</w:t>
      </w:r>
      <w:r w:rsidRPr="00581777">
        <w:rPr>
          <w:rFonts w:cs="Times New Roman"/>
          <w:color w:val="000000"/>
          <w:szCs w:val="20"/>
        </w:rPr>
        <w:t xml:space="preserve"> </w:t>
      </w:r>
      <w:r w:rsidR="00F24811" w:rsidRPr="00581777">
        <w:rPr>
          <w:rFonts w:cs="Times New Roman"/>
          <w:color w:val="000000"/>
          <w:szCs w:val="20"/>
        </w:rPr>
        <w:t xml:space="preserve">En el </w:t>
      </w:r>
      <w:r w:rsidR="00F24811">
        <w:rPr>
          <w:rFonts w:cs="Times New Roman"/>
          <w:color w:val="000000"/>
          <w:szCs w:val="20"/>
        </w:rPr>
        <w:t xml:space="preserve">Anteproyecto </w:t>
      </w:r>
      <w:r w:rsidR="00F24811" w:rsidRPr="00581777">
        <w:rPr>
          <w:rFonts w:cs="Times New Roman"/>
          <w:color w:val="000000"/>
          <w:szCs w:val="20"/>
        </w:rPr>
        <w:t xml:space="preserve">se establece que si una operación genera una </w:t>
      </w:r>
      <m:oMath>
        <m:r>
          <m:rPr>
            <m:sty m:val="p"/>
          </m:rPr>
          <w:rPr>
            <w:rFonts w:ascii="Cambria Math" w:hAnsi="Cambria Math"/>
            <w:szCs w:val="20"/>
          </w:rPr>
          <m:t>∆HH</m:t>
        </m:r>
      </m:oMath>
      <w:r w:rsidR="00F24811" w:rsidRPr="00581777">
        <w:rPr>
          <w:rFonts w:cs="Times New Roman"/>
          <w:color w:val="000000"/>
          <w:szCs w:val="20"/>
        </w:rPr>
        <w:t xml:space="preserve"> menor que cierto umbral, lo cual sucede cuando se evalúan operaciones entre agentes económicos relativamente pequeños, se </w:t>
      </w:r>
      <w:r w:rsidR="00F24811" w:rsidRPr="00581777">
        <w:rPr>
          <w:szCs w:val="20"/>
        </w:rPr>
        <w:t xml:space="preserve">considerará que es poco probable que tenga por objeto o efecto obstaculizar, disminuir, dañar o impedir la competencia y la libre concurrencia. </w:t>
      </w:r>
      <w:r w:rsidR="00F24811">
        <w:rPr>
          <w:szCs w:val="20"/>
        </w:rPr>
        <w:t>El análisis, sin embargo, debe descartar el</w:t>
      </w:r>
      <w:r w:rsidR="00F24811" w:rsidRPr="0071657D">
        <w:rPr>
          <w:szCs w:val="20"/>
        </w:rPr>
        <w:t xml:space="preserve"> riesgo </w:t>
      </w:r>
      <w:r w:rsidR="00F24811">
        <w:rPr>
          <w:szCs w:val="20"/>
        </w:rPr>
        <w:t>de que l</w:t>
      </w:r>
      <w:r w:rsidR="00F24811" w:rsidRPr="0071657D">
        <w:rPr>
          <w:rFonts w:eastAsia="Times New Roman" w:cs="Times New Roman"/>
          <w:color w:val="000000"/>
          <w:szCs w:val="20"/>
          <w:lang w:eastAsia="es-MX"/>
        </w:rPr>
        <w:t>a operación pueda generar incentivos o facilitar la coordinación entre los agentes económicos que participen en el mercado analizado o mercados relacionados</w:t>
      </w:r>
      <w:r w:rsidR="00F24811">
        <w:rPr>
          <w:rFonts w:eastAsia="Times New Roman" w:cs="Times New Roman"/>
          <w:color w:val="000000"/>
          <w:szCs w:val="20"/>
          <w:lang w:eastAsia="es-MX"/>
        </w:rPr>
        <w:t xml:space="preserve"> u otro tipo de efectos</w:t>
      </w:r>
      <w:r w:rsidR="00F24811" w:rsidRPr="0071657D">
        <w:rPr>
          <w:rFonts w:eastAsia="Times New Roman" w:cs="Times New Roman"/>
          <w:color w:val="000000"/>
          <w:szCs w:val="20"/>
          <w:lang w:eastAsia="es-MX"/>
        </w:rPr>
        <w:t>.</w:t>
      </w:r>
      <w:r w:rsidR="00F24811">
        <w:rPr>
          <w:szCs w:val="20"/>
        </w:rPr>
        <w:t xml:space="preserve"> </w:t>
      </w:r>
    </w:p>
    <w:p w:rsidR="00F24811" w:rsidRDefault="00A8761F" w:rsidP="00AD2118">
      <w:pPr>
        <w:keepNext/>
        <w:autoSpaceDE w:val="0"/>
        <w:autoSpaceDN w:val="0"/>
        <w:adjustRightInd w:val="0"/>
        <w:spacing w:line="276" w:lineRule="auto"/>
        <w:rPr>
          <w:szCs w:val="20"/>
        </w:rPr>
      </w:pPr>
      <w:r>
        <w:rPr>
          <w:szCs w:val="20"/>
        </w:rPr>
        <w:lastRenderedPageBreak/>
        <w:t>L</w:t>
      </w:r>
      <w:r w:rsidR="00F24811" w:rsidRPr="00581777">
        <w:rPr>
          <w:szCs w:val="20"/>
        </w:rPr>
        <w:t>os umbrales del IHH planteados en el Anteproyecto están basados en:</w:t>
      </w:r>
    </w:p>
    <w:p w:rsidR="00F24811" w:rsidRPr="00581777" w:rsidRDefault="00F24811" w:rsidP="00AD2118">
      <w:pPr>
        <w:pStyle w:val="Prrafodelista"/>
        <w:numPr>
          <w:ilvl w:val="0"/>
          <w:numId w:val="1"/>
        </w:numPr>
        <w:autoSpaceDE w:val="0"/>
        <w:autoSpaceDN w:val="0"/>
        <w:adjustRightInd w:val="0"/>
        <w:spacing w:line="276" w:lineRule="auto"/>
        <w:ind w:left="714" w:hanging="357"/>
        <w:contextualSpacing w:val="0"/>
        <w:rPr>
          <w:rFonts w:cs="Times New Roman"/>
          <w:i/>
          <w:color w:val="000000"/>
          <w:szCs w:val="20"/>
        </w:rPr>
      </w:pPr>
      <w:r w:rsidRPr="00581777">
        <w:rPr>
          <w:rFonts w:cs="Times New Roman"/>
          <w:i/>
          <w:color w:val="000000"/>
          <w:szCs w:val="20"/>
        </w:rPr>
        <w:t>Resoluciones previas que se han tomado para los sectores de telecomunicaciones y radiodifusión, tanto en el mismo Instituto como en práctica decisoria de la extinta Comisión Federal de Competencia;</w:t>
      </w:r>
    </w:p>
    <w:p w:rsidR="00F24811" w:rsidRPr="00581777" w:rsidRDefault="00F24811" w:rsidP="00AD2118">
      <w:pPr>
        <w:pStyle w:val="Prrafodelista"/>
        <w:numPr>
          <w:ilvl w:val="0"/>
          <w:numId w:val="1"/>
        </w:numPr>
        <w:autoSpaceDE w:val="0"/>
        <w:autoSpaceDN w:val="0"/>
        <w:adjustRightInd w:val="0"/>
        <w:spacing w:line="276" w:lineRule="auto"/>
        <w:ind w:left="714" w:hanging="357"/>
        <w:contextualSpacing w:val="0"/>
        <w:rPr>
          <w:rFonts w:cs="Times New Roman"/>
          <w:i/>
          <w:color w:val="000000"/>
          <w:szCs w:val="20"/>
        </w:rPr>
      </w:pPr>
      <w:r w:rsidRPr="00581777">
        <w:rPr>
          <w:rFonts w:cs="Times New Roman"/>
          <w:i/>
          <w:color w:val="000000"/>
          <w:szCs w:val="20"/>
        </w:rPr>
        <w:t>Las estructuras actuales de diversos mercados en los sectores de telecomunicaciones y radiodifusión;</w:t>
      </w:r>
    </w:p>
    <w:p w:rsidR="00F24811" w:rsidRPr="00581777" w:rsidRDefault="00F24811" w:rsidP="00AD2118">
      <w:pPr>
        <w:pStyle w:val="Prrafodelista"/>
        <w:numPr>
          <w:ilvl w:val="0"/>
          <w:numId w:val="1"/>
        </w:numPr>
        <w:autoSpaceDE w:val="0"/>
        <w:autoSpaceDN w:val="0"/>
        <w:adjustRightInd w:val="0"/>
        <w:spacing w:line="276" w:lineRule="auto"/>
        <w:ind w:left="714" w:hanging="357"/>
        <w:contextualSpacing w:val="0"/>
        <w:rPr>
          <w:rFonts w:cs="Times New Roman"/>
          <w:i/>
          <w:color w:val="000000"/>
          <w:szCs w:val="20"/>
        </w:rPr>
      </w:pPr>
      <w:r w:rsidRPr="00581777">
        <w:rPr>
          <w:rFonts w:cs="Times New Roman"/>
          <w:i/>
          <w:color w:val="000000"/>
          <w:szCs w:val="20"/>
        </w:rPr>
        <w:t>Las posibles modificaciones que podrían experimentar las estructuras de los mercados analizados, como consecuencia de mayor disponibilidad de recursos o entrada de nuevos participantes; y</w:t>
      </w:r>
    </w:p>
    <w:p w:rsidR="00F24811" w:rsidRDefault="00F24811" w:rsidP="00AD2118">
      <w:pPr>
        <w:pStyle w:val="Prrafodelista"/>
        <w:numPr>
          <w:ilvl w:val="0"/>
          <w:numId w:val="1"/>
        </w:numPr>
        <w:autoSpaceDE w:val="0"/>
        <w:autoSpaceDN w:val="0"/>
        <w:adjustRightInd w:val="0"/>
        <w:spacing w:line="276" w:lineRule="auto"/>
        <w:ind w:left="714" w:hanging="357"/>
        <w:contextualSpacing w:val="0"/>
        <w:rPr>
          <w:i/>
          <w:color w:val="000000"/>
          <w:szCs w:val="20"/>
        </w:rPr>
      </w:pPr>
      <w:r w:rsidRPr="00581777">
        <w:rPr>
          <w:rFonts w:cs="Times New Roman"/>
          <w:i/>
          <w:color w:val="000000"/>
          <w:szCs w:val="20"/>
        </w:rPr>
        <w:t>Criterios utilizados por otras autoridades de competencia en el mundo y en México</w:t>
      </w:r>
      <w:r w:rsidR="00AD2118">
        <w:rPr>
          <w:rFonts w:cs="Times New Roman"/>
          <w:i/>
          <w:color w:val="000000"/>
          <w:szCs w:val="20"/>
        </w:rPr>
        <w:t>.</w:t>
      </w:r>
    </w:p>
    <w:p w:rsidR="00F24811" w:rsidRPr="00581777" w:rsidRDefault="00F24811" w:rsidP="00F24811">
      <w:pPr>
        <w:autoSpaceDE w:val="0"/>
        <w:autoSpaceDN w:val="0"/>
        <w:adjustRightInd w:val="0"/>
        <w:spacing w:line="276" w:lineRule="auto"/>
        <w:ind w:right="-1"/>
        <w:rPr>
          <w:szCs w:val="20"/>
        </w:rPr>
      </w:pPr>
      <w:r w:rsidRPr="00581777">
        <w:rPr>
          <w:rFonts w:cs="Times New Roman"/>
          <w:color w:val="000000"/>
          <w:szCs w:val="20"/>
        </w:rPr>
        <w:t>No obstante</w:t>
      </w:r>
      <w:r>
        <w:rPr>
          <w:rFonts w:cs="Times New Roman"/>
          <w:color w:val="000000"/>
          <w:szCs w:val="20"/>
        </w:rPr>
        <w:t xml:space="preserve"> lo anterior</w:t>
      </w:r>
      <w:r w:rsidRPr="00581777">
        <w:rPr>
          <w:rFonts w:cs="Times New Roman"/>
          <w:color w:val="000000"/>
          <w:szCs w:val="20"/>
        </w:rPr>
        <w:t>, se revisarán los umbrales que permitan identificar adecuadamente las operaciones que previsiblemente no generan riesgos a la competencia</w:t>
      </w:r>
      <w:r>
        <w:rPr>
          <w:rFonts w:cs="Times New Roman"/>
          <w:color w:val="000000"/>
          <w:szCs w:val="20"/>
        </w:rPr>
        <w:t xml:space="preserve"> y </w:t>
      </w:r>
      <w:r w:rsidRPr="00581777">
        <w:rPr>
          <w:szCs w:val="20"/>
        </w:rPr>
        <w:t xml:space="preserve">se evaluarán las manifestaciones recibidas </w:t>
      </w:r>
      <w:r>
        <w:rPr>
          <w:szCs w:val="20"/>
        </w:rPr>
        <w:t>respecto a la inclusión del ID a fin de</w:t>
      </w:r>
      <w:r w:rsidRPr="00581777">
        <w:rPr>
          <w:szCs w:val="20"/>
        </w:rPr>
        <w:t xml:space="preserve"> adoptar el Criterio Técnico que mejor se ajuste a las prácticas internacionales y que facilite la identificación de operaciones, incluyendo las concentraciones, que</w:t>
      </w:r>
      <w:r w:rsidRPr="00581777">
        <w:rPr>
          <w:rFonts w:cs="Times New Roman"/>
          <w:szCs w:val="20"/>
        </w:rPr>
        <w:t xml:space="preserve"> tienen poca probabilidad de </w:t>
      </w:r>
      <w:r w:rsidRPr="00581777">
        <w:rPr>
          <w:szCs w:val="20"/>
        </w:rPr>
        <w:t>obstaculizar, disminuir, dañar o impedir la competencia y la libre concurrencia.</w:t>
      </w:r>
    </w:p>
    <w:p w:rsidR="00F24811" w:rsidRDefault="00F24811" w:rsidP="00F24811">
      <w:pPr>
        <w:pStyle w:val="Ttulo1"/>
        <w:numPr>
          <w:ilvl w:val="1"/>
          <w:numId w:val="9"/>
        </w:numPr>
        <w:jc w:val="both"/>
      </w:pPr>
      <w:r>
        <w:t>U</w:t>
      </w:r>
      <w:r w:rsidRPr="00F24811">
        <w:t xml:space="preserve">so de los índices de concentración en asuntos que involucraran a los Agentes Económicos Preponderantes </w:t>
      </w:r>
      <w:r w:rsidR="00643893">
        <w:t xml:space="preserve">(AEP) </w:t>
      </w:r>
      <w:r w:rsidR="00643893" w:rsidRPr="00756230">
        <w:t>o agentes con poder sustancial de mercado</w:t>
      </w:r>
    </w:p>
    <w:p w:rsidR="00F24811" w:rsidRPr="00F24811" w:rsidRDefault="00F24811" w:rsidP="00F24811">
      <w:pPr>
        <w:pStyle w:val="Ttulo1"/>
        <w:numPr>
          <w:ilvl w:val="0"/>
          <w:numId w:val="0"/>
        </w:numPr>
        <w:jc w:val="both"/>
        <w:rPr>
          <w:i/>
        </w:rPr>
      </w:pPr>
      <w:r w:rsidRPr="00F24811">
        <w:rPr>
          <w:i/>
        </w:rPr>
        <w:t>Comentarios</w:t>
      </w:r>
    </w:p>
    <w:p w:rsidR="007A0B5E" w:rsidRDefault="007A0B5E" w:rsidP="007A0B5E">
      <w:r w:rsidRPr="00EE59C4">
        <w:rPr>
          <w:color w:val="0070C0"/>
        </w:rPr>
        <w:t>AT&amp;T</w:t>
      </w:r>
      <w:r w:rsidR="00F24811" w:rsidRPr="00EE59C4">
        <w:rPr>
          <w:b/>
          <w:color w:val="0070C0"/>
        </w:rPr>
        <w:t xml:space="preserve"> </w:t>
      </w:r>
      <w:r w:rsidR="00F24811" w:rsidRPr="00F24811">
        <w:t xml:space="preserve">propone que los </w:t>
      </w:r>
      <w:r w:rsidRPr="00756230">
        <w:t xml:space="preserve">índices de concentración deben exigir estándares o umbrales más estrictos para los </w:t>
      </w:r>
      <w:r w:rsidR="004A6F85">
        <w:t xml:space="preserve">AEP </w:t>
      </w:r>
      <w:r w:rsidRPr="00756230">
        <w:t>o agentes con poder sustancial de mercado, o exigir un análisis obligatorio en profundidad para cualquier transacción que los involucre.</w:t>
      </w:r>
    </w:p>
    <w:p w:rsidR="00F24811" w:rsidRPr="00F24811" w:rsidRDefault="00F24811" w:rsidP="00C7793D">
      <w:pPr>
        <w:keepNext/>
        <w:rPr>
          <w:b/>
        </w:rPr>
      </w:pPr>
      <w:r>
        <w:rPr>
          <w:b/>
          <w:i/>
        </w:rPr>
        <w:t>Consideraciones</w:t>
      </w:r>
    </w:p>
    <w:p w:rsidR="00210403" w:rsidRDefault="00210403" w:rsidP="007A0B5E">
      <w:r>
        <w:t xml:space="preserve">Se hace notar que los artículos Primero y Tercero del Anteproyecto establecen que Criterio Técnico expresamente limita su aplicación al estudio de los asuntos que </w:t>
      </w:r>
      <w:r w:rsidR="006A3B34">
        <w:t xml:space="preserve">el Instituto </w:t>
      </w:r>
      <w:r>
        <w:t>tenga facultad de resolver en términos de lo que indica la LFCE, la LFTR y las Disposiciones Regulatorias. Asimismo, el artículo Décimo del Anteproyecto establece que no se aplicar</w:t>
      </w:r>
      <w:r w:rsidR="00EC2FE4">
        <w:t xml:space="preserve">á cuando el Instituto resuelva conforme a lo establecido en el artículo </w:t>
      </w:r>
      <w:r w:rsidR="006A3B34">
        <w:t>Noveno Transitorio</w:t>
      </w:r>
      <w:r w:rsidR="004C3F24">
        <w:t xml:space="preserve"> del Decreto que expide la LFTR</w:t>
      </w:r>
      <w:r w:rsidR="006A3B34">
        <w:t>,</w:t>
      </w:r>
      <w:r w:rsidR="00BF1879">
        <w:rPr>
          <w:rStyle w:val="Refdenotaalpie"/>
        </w:rPr>
        <w:footnoteReference w:id="8"/>
      </w:r>
      <w:r w:rsidR="006A3B34">
        <w:t xml:space="preserve"> el cual requiere de un análisis </w:t>
      </w:r>
      <w:r w:rsidR="00086BDC">
        <w:t>a nivel de sector.</w:t>
      </w:r>
    </w:p>
    <w:p w:rsidR="006A3B34" w:rsidRDefault="006A3B34" w:rsidP="007A0B5E">
      <w:r>
        <w:t>De manera consistente, los índices y los umbrales que se proponen en el Criterio Técnico sólo aplican en asuntos que involucran el análisis de servicios y/o mercados, pero no están diseñados para ser aplicados en un ámbito sectoria</w:t>
      </w:r>
      <w:r w:rsidR="005126D0">
        <w:t>l, donde ocurre la determinación de los AEP.</w:t>
      </w:r>
    </w:p>
    <w:p w:rsidR="007A0B5E" w:rsidRDefault="007A0B5E" w:rsidP="007A0B5E">
      <w:r>
        <w:lastRenderedPageBreak/>
        <w:t xml:space="preserve">Precisamente, los </w:t>
      </w:r>
      <w:r w:rsidRPr="00756230">
        <w:t xml:space="preserve">índices de concentración </w:t>
      </w:r>
      <w:r>
        <w:t xml:space="preserve">tienen como objetivo determinar el grado de concentración en mercados y servicios de los sectores de telecomunicaciones y radiodifusión; e </w:t>
      </w:r>
      <w:r>
        <w:rPr>
          <w:rFonts w:eastAsia="Times New Roman"/>
          <w:lang w:eastAsia="es-MX"/>
        </w:rPr>
        <w:t>identificar</w:t>
      </w:r>
      <w:r w:rsidRPr="00654826">
        <w:rPr>
          <w:rFonts w:eastAsia="Times New Roman"/>
          <w:lang w:eastAsia="es-MX"/>
        </w:rPr>
        <w:t xml:space="preserve"> umbrales </w:t>
      </w:r>
      <w:r w:rsidRPr="00836C7E">
        <w:rPr>
          <w:rFonts w:eastAsia="Times New Roman"/>
          <w:lang w:eastAsia="es-MX"/>
        </w:rPr>
        <w:t>en los que se considera que una operación tiene</w:t>
      </w:r>
      <w:r w:rsidRPr="00E24191">
        <w:rPr>
          <w:rFonts w:eastAsia="Times New Roman"/>
          <w:lang w:eastAsia="es-MX"/>
        </w:rPr>
        <w:t xml:space="preserve"> baja </w:t>
      </w:r>
      <w:r w:rsidRPr="00654826">
        <w:t>probabilidad de obstaculizar, disminuir, dañar o impedir la competencia y la libre concurrencia.</w:t>
      </w:r>
      <w:r>
        <w:t xml:space="preserve"> En caso de que una operación resulte en niveles de concentración que superan esos umbrales, se hace necesario evaluar a mayor detalle los elementos que dicta la LFCE para concluir que una operación pueda dañar el proceso de competencia y libre concurrencia.</w:t>
      </w:r>
    </w:p>
    <w:p w:rsidR="007A0B5E" w:rsidRDefault="007A0B5E" w:rsidP="007A0B5E">
      <w:r>
        <w:t>En el mismo sentido, una de las características del IHH es que éste</w:t>
      </w:r>
      <w:r w:rsidRPr="00572737">
        <w:rPr>
          <w:rFonts w:eastAsia="Times New Roman"/>
          <w:lang w:eastAsia="es-MX"/>
        </w:rPr>
        <w:t xml:space="preserve"> es un promedio ponderado que asigna un mayor peso a las participaciones más altas, </w:t>
      </w:r>
      <w:r>
        <w:rPr>
          <w:rFonts w:eastAsia="Times New Roman"/>
          <w:lang w:eastAsia="es-MX"/>
        </w:rPr>
        <w:t xml:space="preserve">por lo que </w:t>
      </w:r>
      <w:r w:rsidRPr="00572737">
        <w:rPr>
          <w:rFonts w:eastAsia="Times New Roman"/>
          <w:lang w:eastAsia="es-MX"/>
        </w:rPr>
        <w:t xml:space="preserve">la </w:t>
      </w:r>
      <w:r>
        <w:rPr>
          <w:rFonts w:eastAsia="Times New Roman"/>
          <w:lang w:eastAsia="es-MX"/>
        </w:rPr>
        <w:t xml:space="preserve">presencia o </w:t>
      </w:r>
      <w:r w:rsidRPr="00572737">
        <w:rPr>
          <w:rFonts w:eastAsia="Times New Roman"/>
          <w:lang w:eastAsia="es-MX"/>
        </w:rPr>
        <w:t xml:space="preserve">concentración de agentes económicos de mayor tamaño se refleja en </w:t>
      </w:r>
      <w:r>
        <w:rPr>
          <w:rFonts w:eastAsia="Times New Roman"/>
          <w:lang w:eastAsia="es-MX"/>
        </w:rPr>
        <w:t xml:space="preserve">mayores niveles y </w:t>
      </w:r>
      <w:r w:rsidRPr="00572737">
        <w:rPr>
          <w:rFonts w:eastAsia="Times New Roman"/>
          <w:lang w:eastAsia="es-MX"/>
        </w:rPr>
        <w:t>variaci</w:t>
      </w:r>
      <w:r>
        <w:rPr>
          <w:rFonts w:eastAsia="Times New Roman"/>
          <w:lang w:eastAsia="es-MX"/>
        </w:rPr>
        <w:t>ones</w:t>
      </w:r>
      <w:r w:rsidRPr="00572737">
        <w:rPr>
          <w:rFonts w:eastAsia="Times New Roman"/>
          <w:lang w:eastAsia="es-MX"/>
        </w:rPr>
        <w:t xml:space="preserve"> de</w:t>
      </w:r>
      <w:r>
        <w:rPr>
          <w:rFonts w:eastAsia="Times New Roman"/>
          <w:lang w:eastAsia="es-MX"/>
        </w:rPr>
        <w:t>l índice</w:t>
      </w:r>
      <w:r w:rsidRPr="00654826">
        <w:rPr>
          <w:rFonts w:eastAsia="Times New Roman"/>
          <w:lang w:eastAsia="es-MX"/>
        </w:rPr>
        <w:t xml:space="preserve">. </w:t>
      </w:r>
      <w:r w:rsidRPr="00654826">
        <w:t>Así,</w:t>
      </w:r>
      <w:r w:rsidRPr="00654826">
        <w:rPr>
          <w:rFonts w:eastAsia="Times New Roman"/>
          <w:lang w:eastAsia="es-MX"/>
        </w:rPr>
        <w:t xml:space="preserve"> </w:t>
      </w:r>
      <w:r w:rsidRPr="00654826">
        <w:t>la pre</w:t>
      </w:r>
      <w:r w:rsidRPr="00836C7E">
        <w:t>sencia de agentes económicos con poder sustancial se relaciona positivamente con elevados niveles de concentración</w:t>
      </w:r>
      <w:r>
        <w:t>.</w:t>
      </w:r>
    </w:p>
    <w:p w:rsidR="006A3B34" w:rsidRDefault="007A0B5E" w:rsidP="007A0B5E">
      <w:r>
        <w:t>Por lo anterior, s</w:t>
      </w:r>
      <w:r w:rsidRPr="00581777">
        <w:t>in prejuzgar sobre lo que determine el Pleno del Instituto en el Criterio Técnico definitivo</w:t>
      </w:r>
      <w:r>
        <w:t>, se considera que</w:t>
      </w:r>
      <w:r w:rsidR="006A3B34">
        <w:t xml:space="preserve">: </w:t>
      </w:r>
    </w:p>
    <w:p w:rsidR="007A0B5E" w:rsidRDefault="006A3B34" w:rsidP="007D0AC5">
      <w:pPr>
        <w:numPr>
          <w:ilvl w:val="0"/>
          <w:numId w:val="1"/>
        </w:numPr>
        <w:ind w:left="426" w:hanging="426"/>
      </w:pPr>
      <w:r>
        <w:t>N</w:t>
      </w:r>
      <w:r w:rsidR="007A0B5E">
        <w:t xml:space="preserve">o es necesario imponer </w:t>
      </w:r>
      <w:r w:rsidR="007A0B5E" w:rsidRPr="00756230">
        <w:t xml:space="preserve">estándares o umbrales más estrictos para los </w:t>
      </w:r>
      <w:r w:rsidR="005126D0">
        <w:t xml:space="preserve">AEP </w:t>
      </w:r>
      <w:r w:rsidR="007A0B5E" w:rsidRPr="00756230">
        <w:t>o agentes con poder sustancial de mercado, o exigir un análisis obligatorio en profundidad para cualquier transacción que los involucre.</w:t>
      </w:r>
      <w:r w:rsidR="007A0B5E">
        <w:t xml:space="preserve"> Lo anterior pues los umbrales propuestos ya resultarían en elevados niveles de concentración cuando en los mercados estén presentes ese tipo de agentes económicos y la consecuencia de ese resultado es que el Instituto requiera evaluar a mayor detalle los elementos que dicta la LFCE para, en su caso, concluir que una operación pueda dañar el proceso de c</w:t>
      </w:r>
      <w:r>
        <w:t>omp</w:t>
      </w:r>
      <w:r w:rsidR="007D0AC5">
        <w:t>etencia y libre concurrencia; y</w:t>
      </w:r>
    </w:p>
    <w:p w:rsidR="007A0B5E" w:rsidRPr="00581777" w:rsidRDefault="006A3B34" w:rsidP="007D0AC5">
      <w:pPr>
        <w:numPr>
          <w:ilvl w:val="0"/>
          <w:numId w:val="1"/>
        </w:numPr>
        <w:ind w:left="426" w:hanging="426"/>
      </w:pPr>
      <w:r>
        <w:t>E</w:t>
      </w:r>
      <w:r w:rsidR="007A0B5E" w:rsidRPr="00581777">
        <w:t>l estándar de análisis de los efectos derivados de concentraciones debe ser el mismo par</w:t>
      </w:r>
      <w:r w:rsidR="007A0B5E">
        <w:t>a todos los agentes económicos.</w:t>
      </w:r>
    </w:p>
    <w:p w:rsidR="00DD40F3" w:rsidRPr="00756230" w:rsidRDefault="00DD40F3" w:rsidP="00DD40F3">
      <w:pPr>
        <w:pStyle w:val="Default"/>
        <w:spacing w:before="120" w:after="120" w:line="276" w:lineRule="auto"/>
        <w:jc w:val="center"/>
        <w:rPr>
          <w:rFonts w:ascii="ITC Avant Garde" w:hAnsi="ITC Avant Garde"/>
          <w:sz w:val="20"/>
          <w:szCs w:val="20"/>
        </w:rPr>
      </w:pPr>
      <w:r>
        <w:rPr>
          <w:rFonts w:ascii="ITC Avant Garde" w:hAnsi="ITC Avant Garde"/>
          <w:sz w:val="20"/>
          <w:szCs w:val="20"/>
        </w:rPr>
        <w:t>***</w:t>
      </w:r>
    </w:p>
    <w:sectPr w:rsidR="00DD40F3" w:rsidRPr="00756230" w:rsidSect="00A74C33">
      <w:type w:val="continuous"/>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D1" w:rsidRDefault="005F3AD1" w:rsidP="00C262B6">
      <w:pPr>
        <w:spacing w:after="0" w:line="240" w:lineRule="auto"/>
      </w:pPr>
      <w:r>
        <w:separator/>
      </w:r>
    </w:p>
  </w:endnote>
  <w:endnote w:type="continuationSeparator" w:id="0">
    <w:p w:rsidR="005F3AD1" w:rsidRDefault="005F3AD1" w:rsidP="00C2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545918"/>
      <w:docPartObj>
        <w:docPartGallery w:val="Page Numbers (Bottom of Page)"/>
        <w:docPartUnique/>
      </w:docPartObj>
    </w:sdtPr>
    <w:sdtEndPr/>
    <w:sdtContent>
      <w:sdt>
        <w:sdtPr>
          <w:id w:val="-1769616900"/>
          <w:docPartObj>
            <w:docPartGallery w:val="Page Numbers (Top of Page)"/>
            <w:docPartUnique/>
          </w:docPartObj>
        </w:sdtPr>
        <w:sdtEndPr/>
        <w:sdtContent>
          <w:p w:rsidR="00AC000A" w:rsidRDefault="00AC000A">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sidR="00DD70E0">
              <w:rPr>
                <w:b/>
                <w:bCs/>
                <w:noProof/>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DD70E0">
              <w:rPr>
                <w:b/>
                <w:bCs/>
                <w:noProof/>
              </w:rPr>
              <w:t>13</w:t>
            </w:r>
            <w:r>
              <w:rPr>
                <w:b/>
                <w:bCs/>
                <w:sz w:val="24"/>
              </w:rPr>
              <w:fldChar w:fldCharType="end"/>
            </w:r>
          </w:p>
        </w:sdtContent>
      </w:sdt>
    </w:sdtContent>
  </w:sdt>
  <w:p w:rsidR="00AC000A" w:rsidRDefault="00AC000A" w:rsidP="00AC000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D1" w:rsidRDefault="005F3AD1" w:rsidP="00C262B6">
      <w:pPr>
        <w:spacing w:after="0" w:line="240" w:lineRule="auto"/>
      </w:pPr>
      <w:r>
        <w:separator/>
      </w:r>
    </w:p>
  </w:footnote>
  <w:footnote w:type="continuationSeparator" w:id="0">
    <w:p w:rsidR="005F3AD1" w:rsidRDefault="005F3AD1" w:rsidP="00C262B6">
      <w:pPr>
        <w:spacing w:after="0" w:line="240" w:lineRule="auto"/>
      </w:pPr>
      <w:r>
        <w:continuationSeparator/>
      </w:r>
    </w:p>
  </w:footnote>
  <w:footnote w:id="1">
    <w:p w:rsidR="00373D0E" w:rsidRPr="00192E93" w:rsidRDefault="00373D0E" w:rsidP="007C27E1">
      <w:pPr>
        <w:pStyle w:val="Textonotapie"/>
        <w:spacing w:before="0"/>
        <w:rPr>
          <w:sz w:val="16"/>
          <w:szCs w:val="16"/>
        </w:rPr>
      </w:pPr>
      <w:r w:rsidRPr="007C27E1">
        <w:rPr>
          <w:rStyle w:val="Refdenotaalpie"/>
          <w:sz w:val="16"/>
          <w:szCs w:val="16"/>
        </w:rPr>
        <w:footnoteRef/>
      </w:r>
      <w:r w:rsidRPr="007C27E1">
        <w:rPr>
          <w:sz w:val="16"/>
          <w:szCs w:val="16"/>
        </w:rPr>
        <w:t xml:space="preserve"> Publicado en el </w:t>
      </w:r>
      <w:r w:rsidR="0059149F" w:rsidRPr="007C27E1">
        <w:rPr>
          <w:sz w:val="16"/>
          <w:szCs w:val="16"/>
        </w:rPr>
        <w:t>D</w:t>
      </w:r>
      <w:r w:rsidR="0059149F" w:rsidRPr="00AD2118">
        <w:rPr>
          <w:sz w:val="16"/>
          <w:szCs w:val="16"/>
        </w:rPr>
        <w:t xml:space="preserve">OF </w:t>
      </w:r>
      <w:r w:rsidRPr="00AD2118">
        <w:rPr>
          <w:sz w:val="16"/>
          <w:szCs w:val="16"/>
        </w:rPr>
        <w:t xml:space="preserve">el 4 de septiembre de 2014 y modificado mediante acuerdo publicado en el </w:t>
      </w:r>
      <w:r w:rsidR="0059149F" w:rsidRPr="002002A9">
        <w:rPr>
          <w:sz w:val="16"/>
          <w:szCs w:val="16"/>
        </w:rPr>
        <w:t xml:space="preserve"> mismo medio </w:t>
      </w:r>
      <w:r w:rsidRPr="002002A9">
        <w:rPr>
          <w:sz w:val="16"/>
          <w:szCs w:val="16"/>
        </w:rPr>
        <w:t xml:space="preserve">el 17 de octubre de 2014. </w:t>
      </w:r>
    </w:p>
  </w:footnote>
  <w:footnote w:id="2">
    <w:p w:rsidR="00373D0E" w:rsidRPr="00AD2118" w:rsidRDefault="00373D0E" w:rsidP="007C27E1">
      <w:pPr>
        <w:pStyle w:val="Textonotapie"/>
        <w:spacing w:before="0"/>
        <w:rPr>
          <w:sz w:val="16"/>
          <w:szCs w:val="16"/>
        </w:rPr>
      </w:pPr>
      <w:r w:rsidRPr="007C27E1">
        <w:rPr>
          <w:rStyle w:val="Refdenotaalpie"/>
          <w:sz w:val="16"/>
          <w:szCs w:val="16"/>
        </w:rPr>
        <w:footnoteRef/>
      </w:r>
      <w:r w:rsidRPr="007C27E1">
        <w:rPr>
          <w:sz w:val="16"/>
          <w:szCs w:val="16"/>
        </w:rPr>
        <w:t xml:space="preserve"> P</w:t>
      </w:r>
      <w:r w:rsidRPr="00AD2118">
        <w:rPr>
          <w:bCs/>
          <w:color w:val="000000"/>
          <w:sz w:val="16"/>
          <w:szCs w:val="16"/>
          <w:lang w:eastAsia="es-MX"/>
        </w:rPr>
        <w:t xml:space="preserve">ublicada en el DOF el 14 </w:t>
      </w:r>
      <w:r w:rsidRPr="00AD2118">
        <w:rPr>
          <w:sz w:val="16"/>
          <w:szCs w:val="16"/>
        </w:rPr>
        <w:t xml:space="preserve">de julio de 2014. </w:t>
      </w:r>
    </w:p>
  </w:footnote>
  <w:footnote w:id="3">
    <w:p w:rsidR="00373D0E" w:rsidRPr="00AD2118" w:rsidRDefault="00373D0E" w:rsidP="00AD2118">
      <w:pPr>
        <w:pStyle w:val="Textonotapie"/>
        <w:spacing w:before="0"/>
        <w:rPr>
          <w:sz w:val="16"/>
          <w:szCs w:val="16"/>
        </w:rPr>
      </w:pPr>
      <w:r w:rsidRPr="007C27E1">
        <w:rPr>
          <w:rStyle w:val="Refdenotaalpie"/>
          <w:sz w:val="16"/>
          <w:szCs w:val="16"/>
        </w:rPr>
        <w:footnoteRef/>
      </w:r>
      <w:r w:rsidRPr="007C27E1">
        <w:rPr>
          <w:sz w:val="16"/>
          <w:szCs w:val="16"/>
        </w:rPr>
        <w:t xml:space="preserve"> P</w:t>
      </w:r>
      <w:r w:rsidRPr="00AD2118">
        <w:rPr>
          <w:bCs/>
          <w:color w:val="000000"/>
          <w:sz w:val="16"/>
          <w:szCs w:val="16"/>
          <w:lang w:eastAsia="es-MX"/>
        </w:rPr>
        <w:t xml:space="preserve">ublicada en el DOF el </w:t>
      </w:r>
      <w:r w:rsidRPr="00AD2118">
        <w:rPr>
          <w:color w:val="000000"/>
          <w:sz w:val="16"/>
          <w:szCs w:val="16"/>
          <w:shd w:val="clear" w:color="auto" w:fill="FFFFFF"/>
        </w:rPr>
        <w:t xml:space="preserve">23 de mayo de 2014. </w:t>
      </w:r>
    </w:p>
  </w:footnote>
  <w:footnote w:id="4">
    <w:p w:rsidR="00373D0E" w:rsidRPr="00AD2118" w:rsidRDefault="00373D0E" w:rsidP="00AD2118">
      <w:pPr>
        <w:pStyle w:val="Textonotapie"/>
        <w:spacing w:before="0"/>
        <w:rPr>
          <w:sz w:val="16"/>
          <w:szCs w:val="16"/>
        </w:rPr>
      </w:pPr>
      <w:r w:rsidRPr="007C27E1">
        <w:rPr>
          <w:rStyle w:val="Refdenotaalpie"/>
          <w:sz w:val="16"/>
          <w:szCs w:val="16"/>
        </w:rPr>
        <w:footnoteRef/>
      </w:r>
      <w:r w:rsidRPr="007C27E1">
        <w:rPr>
          <w:sz w:val="16"/>
          <w:szCs w:val="16"/>
        </w:rPr>
        <w:t xml:space="preserve"> P</w:t>
      </w:r>
      <w:r w:rsidRPr="00AD2118">
        <w:rPr>
          <w:bCs/>
          <w:color w:val="000000"/>
          <w:sz w:val="16"/>
          <w:szCs w:val="16"/>
          <w:lang w:eastAsia="es-MX"/>
        </w:rPr>
        <w:t>ublicada en el DOF el</w:t>
      </w:r>
      <w:r w:rsidRPr="00AD2118">
        <w:rPr>
          <w:color w:val="000000"/>
          <w:sz w:val="16"/>
          <w:szCs w:val="16"/>
          <w:shd w:val="clear" w:color="auto" w:fill="FFFFFF"/>
        </w:rPr>
        <w:t xml:space="preserve"> 12 de enero de 2015. </w:t>
      </w:r>
    </w:p>
  </w:footnote>
  <w:footnote w:id="5">
    <w:p w:rsidR="00390255" w:rsidRPr="00AD2118" w:rsidRDefault="00390255" w:rsidP="00AD2118">
      <w:pPr>
        <w:pStyle w:val="Textonotapie"/>
        <w:spacing w:before="0"/>
        <w:rPr>
          <w:sz w:val="16"/>
          <w:szCs w:val="16"/>
        </w:rPr>
      </w:pPr>
      <w:r w:rsidRPr="007C27E1">
        <w:rPr>
          <w:rStyle w:val="Refdenotaalpie"/>
          <w:sz w:val="16"/>
          <w:szCs w:val="16"/>
        </w:rPr>
        <w:footnoteRef/>
      </w:r>
      <w:r w:rsidRPr="007C27E1">
        <w:rPr>
          <w:sz w:val="16"/>
          <w:szCs w:val="16"/>
        </w:rPr>
        <w:t xml:space="preserve"> Disponible en: </w:t>
      </w:r>
      <w:hyperlink r:id="rId1" w:history="1">
        <w:r w:rsidRPr="00192E93">
          <w:rPr>
            <w:rStyle w:val="Hipervnculo"/>
            <w:sz w:val="16"/>
            <w:szCs w:val="16"/>
          </w:rPr>
          <w:t>http://www.ift.org.mx/industria/consultas-publicas/consulta-publica-sobre-el-criterio-tecnico-para-el-calculo-y-aplicacion-de-un-indice-cuantitativo</w:t>
        </w:r>
      </w:hyperlink>
      <w:r w:rsidRPr="007C27E1">
        <w:rPr>
          <w:sz w:val="16"/>
          <w:szCs w:val="16"/>
        </w:rPr>
        <w:t>.</w:t>
      </w:r>
    </w:p>
  </w:footnote>
  <w:footnote w:id="6">
    <w:p w:rsidR="00373D0E" w:rsidRPr="007C27E1" w:rsidRDefault="00373D0E" w:rsidP="00AD2118">
      <w:pPr>
        <w:pStyle w:val="Textonotapie"/>
        <w:spacing w:before="0"/>
        <w:rPr>
          <w:sz w:val="16"/>
          <w:szCs w:val="16"/>
        </w:rPr>
      </w:pPr>
      <w:r w:rsidRPr="007C27E1">
        <w:rPr>
          <w:rStyle w:val="Refdenotaalpie"/>
          <w:sz w:val="16"/>
          <w:szCs w:val="16"/>
        </w:rPr>
        <w:footnoteRef/>
      </w:r>
      <w:r w:rsidRPr="007C27E1">
        <w:rPr>
          <w:sz w:val="16"/>
          <w:szCs w:val="16"/>
        </w:rPr>
        <w:t xml:space="preserve"> Los términos de la consulta pública, así como los comentarios recibidos se encuentran disponibles en</w:t>
      </w:r>
      <w:r w:rsidR="00192E93">
        <w:rPr>
          <w:sz w:val="16"/>
          <w:szCs w:val="16"/>
        </w:rPr>
        <w:t xml:space="preserve">: </w:t>
      </w:r>
      <w:hyperlink r:id="rId2" w:history="1">
        <w:r w:rsidR="00192E93" w:rsidRPr="00D76C6E">
          <w:rPr>
            <w:rStyle w:val="Hipervnculo"/>
            <w:sz w:val="16"/>
            <w:szCs w:val="16"/>
          </w:rPr>
          <w:t>http://www.ift.org.mx/industria/consultas-publicas/consulta-publica-sobre-el-criterio-tecnico-para-el-calculo-y-aplicacion-de-un-indice-cuantitativo</w:t>
        </w:r>
      </w:hyperlink>
      <w:r w:rsidR="00192E93">
        <w:rPr>
          <w:sz w:val="16"/>
          <w:szCs w:val="16"/>
        </w:rPr>
        <w:t xml:space="preserve">. </w:t>
      </w:r>
    </w:p>
  </w:footnote>
  <w:footnote w:id="7">
    <w:p w:rsidR="007C27E1" w:rsidRPr="007C27E1" w:rsidRDefault="007C27E1" w:rsidP="007C27E1">
      <w:pPr>
        <w:pStyle w:val="Textonotapie"/>
        <w:spacing w:before="0"/>
        <w:rPr>
          <w:sz w:val="16"/>
          <w:szCs w:val="16"/>
        </w:rPr>
      </w:pPr>
      <w:r w:rsidRPr="007C27E1">
        <w:rPr>
          <w:rStyle w:val="Refdenotaalpie"/>
          <w:sz w:val="16"/>
          <w:szCs w:val="16"/>
        </w:rPr>
        <w:footnoteRef/>
      </w:r>
      <w:r w:rsidRPr="007C27E1">
        <w:rPr>
          <w:sz w:val="16"/>
          <w:szCs w:val="16"/>
        </w:rPr>
        <w:t xml:space="preserve"> Este comentario lo presentan asociado con el artículo Tercero del Anteproyecto. Sin embrago, se agrupa en este apartado porque, de fondo, alude a la estructura del IHH y los umbrales establecidos en el Anteproyecto, así como las implicaciones para el análisis en materia de competencia económica.</w:t>
      </w:r>
    </w:p>
  </w:footnote>
  <w:footnote w:id="8">
    <w:p w:rsidR="00BF1879" w:rsidRPr="007C27E1" w:rsidRDefault="00BF1879" w:rsidP="007C27E1">
      <w:pPr>
        <w:pStyle w:val="Textonotapie"/>
        <w:spacing w:before="0"/>
        <w:rPr>
          <w:sz w:val="16"/>
          <w:szCs w:val="16"/>
        </w:rPr>
      </w:pPr>
      <w:r w:rsidRPr="007C27E1">
        <w:rPr>
          <w:rStyle w:val="Refdenotaalpie"/>
          <w:sz w:val="16"/>
          <w:szCs w:val="16"/>
        </w:rPr>
        <w:footnoteRef/>
      </w:r>
      <w:r w:rsidRPr="007C27E1">
        <w:rPr>
          <w:sz w:val="16"/>
          <w:szCs w:val="16"/>
        </w:rPr>
        <w:t xml:space="preserve"> Publicado en el DOF el 14 de julio de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0E" w:rsidRDefault="005F3AD1" w:rsidP="00D01253">
    <w:pPr>
      <w:pStyle w:val="Encabezado"/>
      <w:jc w:val="right"/>
      <w:rPr>
        <w:b/>
      </w:rPr>
    </w:pPr>
    <w:r>
      <w:rPr>
        <w:b/>
        <w:noProof/>
        <w:lang w:eastAsia="es-MX"/>
      </w:rPr>
      <w:pict w14:anchorId="7AB04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72.4pt;margin-top:-164pt;width:612pt;height:777.75pt;z-index:-251658752;mso-position-horizontal-relative:margin;mso-position-vertical-relative:margin" o:allowincell="f" o:allowoverlap="f">
          <v:imagedata r:id="rId1" o:title="hoja membretada s dir-01"/>
          <w10:wrap anchorx="margin" anchory="margin"/>
        </v:shape>
      </w:pict>
    </w:r>
  </w:p>
  <w:p w:rsidR="00373D0E" w:rsidRDefault="00373D0E" w:rsidP="00D01253">
    <w:pPr>
      <w:pStyle w:val="Encabezado"/>
      <w:jc w:val="right"/>
      <w:rPr>
        <w:b/>
      </w:rPr>
    </w:pPr>
  </w:p>
  <w:p w:rsidR="00373D0E" w:rsidRDefault="00373D0E" w:rsidP="00D01253">
    <w:pPr>
      <w:pStyle w:val="Encabezado"/>
      <w:jc w:val="right"/>
      <w:rPr>
        <w:b/>
      </w:rPr>
    </w:pPr>
  </w:p>
  <w:p w:rsidR="00373D0E" w:rsidRDefault="00373D0E" w:rsidP="00D01253">
    <w:pPr>
      <w:pStyle w:val="Encabezado"/>
      <w:jc w:val="right"/>
      <w:rPr>
        <w:b/>
      </w:rPr>
    </w:pPr>
  </w:p>
  <w:p w:rsidR="00275ED7" w:rsidRDefault="00275ED7" w:rsidP="00275ED7">
    <w:pPr>
      <w:pStyle w:val="Encabezado"/>
      <w:spacing w:before="0"/>
      <w:jc w:val="right"/>
      <w:rPr>
        <w:b/>
      </w:rPr>
    </w:pPr>
  </w:p>
  <w:p w:rsidR="00373D0E" w:rsidRPr="00D01253" w:rsidRDefault="00373D0E" w:rsidP="00275ED7">
    <w:pPr>
      <w:pStyle w:val="Encabezado"/>
      <w:spacing w:before="0"/>
      <w:jc w:val="right"/>
      <w:rPr>
        <w:b/>
      </w:rPr>
    </w:pPr>
    <w:r w:rsidRPr="00D01253">
      <w:rPr>
        <w:b/>
      </w:rPr>
      <w:t>Instituto Federal de Telecomunicaciones</w:t>
    </w:r>
  </w:p>
  <w:p w:rsidR="00373D0E" w:rsidRDefault="00373D0E" w:rsidP="00275ED7">
    <w:pPr>
      <w:pStyle w:val="Encabezado"/>
      <w:spacing w:before="0"/>
      <w:jc w:val="right"/>
      <w:rPr>
        <w:b/>
      </w:rPr>
    </w:pPr>
    <w:r w:rsidRPr="00D01253">
      <w:rPr>
        <w:b/>
      </w:rPr>
      <w:t>Unidad de Competencia Económica</w:t>
    </w:r>
  </w:p>
  <w:p w:rsidR="00373D0E" w:rsidRPr="00D01253" w:rsidRDefault="00373D0E" w:rsidP="00275ED7">
    <w:pPr>
      <w:pStyle w:val="Encabezado"/>
      <w:spacing w:before="0"/>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00A" w:rsidRDefault="005F3AD1" w:rsidP="00D01253">
    <w:pPr>
      <w:pStyle w:val="Encabezado"/>
      <w:jc w:val="right"/>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2.4pt;margin-top:-164pt;width:612pt;height:777.75pt;z-index:-251656704;mso-position-horizontal-relative:margin;mso-position-vertical-relative:margin" o:allowincell="f" o:allowoverlap="f">
          <v:imagedata r:id="rId1" o:title="hoja membretada s dir-01"/>
          <w10:wrap anchorx="margin" anchory="margin"/>
        </v:shape>
      </w:pict>
    </w:r>
  </w:p>
  <w:p w:rsidR="00AC000A" w:rsidRDefault="00AC000A" w:rsidP="00D01253">
    <w:pPr>
      <w:pStyle w:val="Encabezado"/>
      <w:jc w:val="right"/>
      <w:rPr>
        <w:b/>
      </w:rPr>
    </w:pPr>
  </w:p>
  <w:p w:rsidR="00AC000A" w:rsidRDefault="00AC000A" w:rsidP="00D01253">
    <w:pPr>
      <w:pStyle w:val="Encabezado"/>
      <w:jc w:val="right"/>
      <w:rPr>
        <w:b/>
      </w:rPr>
    </w:pPr>
  </w:p>
  <w:p w:rsidR="00AC000A" w:rsidRDefault="00AC000A" w:rsidP="00D01253">
    <w:pPr>
      <w:pStyle w:val="Encabezado"/>
      <w:jc w:val="right"/>
      <w:rPr>
        <w:b/>
      </w:rPr>
    </w:pPr>
  </w:p>
  <w:p w:rsidR="00AC000A" w:rsidRDefault="00AC000A" w:rsidP="00275ED7">
    <w:pPr>
      <w:pStyle w:val="Encabezado"/>
      <w:spacing w:before="0"/>
      <w:jc w:val="right"/>
      <w:rPr>
        <w:b/>
      </w:rPr>
    </w:pPr>
  </w:p>
  <w:p w:rsidR="00AC000A" w:rsidRPr="00D01253" w:rsidRDefault="00AC000A" w:rsidP="00275ED7">
    <w:pPr>
      <w:pStyle w:val="Encabezado"/>
      <w:spacing w:before="0"/>
      <w:jc w:val="right"/>
      <w:rPr>
        <w:b/>
      </w:rPr>
    </w:pPr>
    <w:r w:rsidRPr="00D01253">
      <w:rPr>
        <w:b/>
      </w:rPr>
      <w:t>Instituto Federal de Telecomunicaciones</w:t>
    </w:r>
  </w:p>
  <w:p w:rsidR="00AC000A" w:rsidRDefault="00AC000A" w:rsidP="00275ED7">
    <w:pPr>
      <w:pStyle w:val="Encabezado"/>
      <w:spacing w:before="0"/>
      <w:jc w:val="right"/>
      <w:rPr>
        <w:b/>
      </w:rPr>
    </w:pPr>
    <w:r w:rsidRPr="00D01253">
      <w:rPr>
        <w:b/>
      </w:rPr>
      <w:t>Unidad de Competencia Económica</w:t>
    </w:r>
  </w:p>
  <w:p w:rsidR="00AC000A" w:rsidRPr="00D01253" w:rsidRDefault="00AC000A" w:rsidP="00275ED7">
    <w:pPr>
      <w:pStyle w:val="Encabezado"/>
      <w:spacing w:before="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49A6579"/>
    <w:multiLevelType w:val="hybridMultilevel"/>
    <w:tmpl w:val="2DFC878C"/>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9C05CB9"/>
    <w:multiLevelType w:val="hybridMultilevel"/>
    <w:tmpl w:val="AF6A0FDA"/>
    <w:lvl w:ilvl="0" w:tplc="C6CC1BEE">
      <w:start w:val="1"/>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182C7A"/>
    <w:multiLevelType w:val="hybridMultilevel"/>
    <w:tmpl w:val="EF565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2A56C3"/>
    <w:multiLevelType w:val="hybridMultilevel"/>
    <w:tmpl w:val="C980D704"/>
    <w:lvl w:ilvl="0" w:tplc="766208F8">
      <w:start w:val="1"/>
      <w:numFmt w:val="decimal"/>
      <w:pStyle w:val="3ttulo"/>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66419E"/>
    <w:multiLevelType w:val="hybridMultilevel"/>
    <w:tmpl w:val="28EA1A8A"/>
    <w:lvl w:ilvl="0" w:tplc="65746E5E">
      <w:start w:val="1"/>
      <w:numFmt w:val="decimal"/>
      <w:pStyle w:val="2Ttulo"/>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F24865"/>
    <w:multiLevelType w:val="hybridMultilevel"/>
    <w:tmpl w:val="2BAE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546DB8"/>
    <w:multiLevelType w:val="multilevel"/>
    <w:tmpl w:val="346EE640"/>
    <w:lvl w:ilvl="0">
      <w:start w:val="1"/>
      <w:numFmt w:val="decimal"/>
      <w:pStyle w:val="Ttulo1"/>
      <w:suff w:val="space"/>
      <w:lvlText w:val="%1."/>
      <w:lvlJc w:val="left"/>
      <w:pPr>
        <w:ind w:left="0" w:firstLine="0"/>
      </w:pPr>
      <w:rPr>
        <w:rFonts w:hint="default"/>
      </w:rPr>
    </w:lvl>
    <w:lvl w:ilvl="1">
      <w:start w:val="1"/>
      <w:numFmt w:val="decimal"/>
      <w:isLgl/>
      <w:lvlText w:val="%1.%2."/>
      <w:lvlJc w:val="left"/>
      <w:pPr>
        <w:ind w:left="624" w:hanging="624"/>
      </w:pPr>
      <w:rPr>
        <w:rFonts w:hint="default"/>
        <w:b/>
      </w:rPr>
    </w:lvl>
    <w:lvl w:ilvl="2">
      <w:start w:val="1"/>
      <w:numFmt w:val="decimal"/>
      <w:isLg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D1B11B5"/>
    <w:multiLevelType w:val="hybridMultilevel"/>
    <w:tmpl w:val="A85C4360"/>
    <w:lvl w:ilvl="0" w:tplc="452899C0">
      <w:start w:val="9"/>
      <w:numFmt w:val="bullet"/>
      <w:pStyle w:val="Bullets"/>
      <w:lvlText w:val=""/>
      <w:lvlJc w:val="left"/>
      <w:pPr>
        <w:ind w:left="1918" w:hanging="360"/>
      </w:pPr>
      <w:rPr>
        <w:rFonts w:ascii="Symbol" w:eastAsia="Calibri" w:hAnsi="Symbol" w:cs="Times New Roman" w:hint="default"/>
      </w:rPr>
    </w:lvl>
    <w:lvl w:ilvl="1" w:tplc="080A0003">
      <w:start w:val="1"/>
      <w:numFmt w:val="bullet"/>
      <w:lvlText w:val="o"/>
      <w:lvlJc w:val="left"/>
      <w:pPr>
        <w:ind w:left="2638" w:hanging="360"/>
      </w:pPr>
      <w:rPr>
        <w:rFonts w:ascii="Courier New" w:hAnsi="Courier New" w:cs="Courier New" w:hint="default"/>
      </w:rPr>
    </w:lvl>
    <w:lvl w:ilvl="2" w:tplc="080A0005" w:tentative="1">
      <w:start w:val="1"/>
      <w:numFmt w:val="bullet"/>
      <w:lvlText w:val=""/>
      <w:lvlJc w:val="left"/>
      <w:pPr>
        <w:ind w:left="3358" w:hanging="360"/>
      </w:pPr>
      <w:rPr>
        <w:rFonts w:ascii="Wingdings" w:hAnsi="Wingdings" w:hint="default"/>
      </w:rPr>
    </w:lvl>
    <w:lvl w:ilvl="3" w:tplc="080A0001" w:tentative="1">
      <w:start w:val="1"/>
      <w:numFmt w:val="bullet"/>
      <w:lvlText w:val=""/>
      <w:lvlJc w:val="left"/>
      <w:pPr>
        <w:ind w:left="4078" w:hanging="360"/>
      </w:pPr>
      <w:rPr>
        <w:rFonts w:ascii="Symbol" w:hAnsi="Symbol" w:hint="default"/>
      </w:rPr>
    </w:lvl>
    <w:lvl w:ilvl="4" w:tplc="080A0003" w:tentative="1">
      <w:start w:val="1"/>
      <w:numFmt w:val="bullet"/>
      <w:lvlText w:val="o"/>
      <w:lvlJc w:val="left"/>
      <w:pPr>
        <w:ind w:left="4798" w:hanging="360"/>
      </w:pPr>
      <w:rPr>
        <w:rFonts w:ascii="Courier New" w:hAnsi="Courier New" w:cs="Courier New" w:hint="default"/>
      </w:rPr>
    </w:lvl>
    <w:lvl w:ilvl="5" w:tplc="080A0005" w:tentative="1">
      <w:start w:val="1"/>
      <w:numFmt w:val="bullet"/>
      <w:lvlText w:val=""/>
      <w:lvlJc w:val="left"/>
      <w:pPr>
        <w:ind w:left="5518" w:hanging="360"/>
      </w:pPr>
      <w:rPr>
        <w:rFonts w:ascii="Wingdings" w:hAnsi="Wingdings" w:hint="default"/>
      </w:rPr>
    </w:lvl>
    <w:lvl w:ilvl="6" w:tplc="080A0001" w:tentative="1">
      <w:start w:val="1"/>
      <w:numFmt w:val="bullet"/>
      <w:lvlText w:val=""/>
      <w:lvlJc w:val="left"/>
      <w:pPr>
        <w:ind w:left="6238" w:hanging="360"/>
      </w:pPr>
      <w:rPr>
        <w:rFonts w:ascii="Symbol" w:hAnsi="Symbol" w:hint="default"/>
      </w:rPr>
    </w:lvl>
    <w:lvl w:ilvl="7" w:tplc="080A0003" w:tentative="1">
      <w:start w:val="1"/>
      <w:numFmt w:val="bullet"/>
      <w:lvlText w:val="o"/>
      <w:lvlJc w:val="left"/>
      <w:pPr>
        <w:ind w:left="6958" w:hanging="360"/>
      </w:pPr>
      <w:rPr>
        <w:rFonts w:ascii="Courier New" w:hAnsi="Courier New" w:cs="Courier New" w:hint="default"/>
      </w:rPr>
    </w:lvl>
    <w:lvl w:ilvl="8" w:tplc="080A0005" w:tentative="1">
      <w:start w:val="1"/>
      <w:numFmt w:val="bullet"/>
      <w:lvlText w:val=""/>
      <w:lvlJc w:val="left"/>
      <w:pPr>
        <w:ind w:left="7678" w:hanging="360"/>
      </w:pPr>
      <w:rPr>
        <w:rFonts w:ascii="Wingdings" w:hAnsi="Wingdings" w:hint="default"/>
      </w:rPr>
    </w:lvl>
  </w:abstractNum>
  <w:abstractNum w:abstractNumId="9" w15:restartNumberingAfterBreak="0">
    <w:nsid w:val="66D36B5B"/>
    <w:multiLevelType w:val="hybridMultilevel"/>
    <w:tmpl w:val="F4B6851A"/>
    <w:lvl w:ilvl="0" w:tplc="7DACBD70">
      <w:start w:val="7"/>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BE78E5"/>
    <w:multiLevelType w:val="multilevel"/>
    <w:tmpl w:val="DCC61D2E"/>
    <w:lvl w:ilvl="0">
      <w:start w:val="1"/>
      <w:numFmt w:val="decimal"/>
      <w:lvlText w:val="%1."/>
      <w:lvlJc w:val="left"/>
      <w:pPr>
        <w:ind w:left="495" w:hanging="495"/>
      </w:pPr>
      <w:rPr>
        <w:rFonts w:hint="default"/>
      </w:rPr>
    </w:lvl>
    <w:lvl w:ilvl="1">
      <w:start w:val="11"/>
      <w:numFmt w:val="decimal"/>
      <w:pStyle w:val="Ttulo3"/>
      <w:lvlText w:val="%1.%2."/>
      <w:lvlJc w:val="left"/>
      <w:pPr>
        <w:tabs>
          <w:tab w:val="num" w:pos="493"/>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E03E5B"/>
    <w:multiLevelType w:val="hybridMultilevel"/>
    <w:tmpl w:val="EEC463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13" w15:restartNumberingAfterBreak="0">
    <w:nsid w:val="70D15F84"/>
    <w:multiLevelType w:val="multilevel"/>
    <w:tmpl w:val="315ACFDA"/>
    <w:lvl w:ilvl="0">
      <w:start w:val="61"/>
      <w:numFmt w:val="decimal"/>
      <w:lvlText w:val="%1"/>
      <w:lvlJc w:val="left"/>
      <w:pPr>
        <w:ind w:left="435" w:hanging="435"/>
      </w:pPr>
      <w:rPr>
        <w:rFonts w:hint="default"/>
      </w:rPr>
    </w:lvl>
    <w:lvl w:ilvl="1">
      <w:start w:val="1"/>
      <w:numFmt w:val="decimal"/>
      <w:pStyle w:val="4Ttulo"/>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B5E2A0E"/>
    <w:multiLevelType w:val="hybridMultilevel"/>
    <w:tmpl w:val="C1C65C6E"/>
    <w:lvl w:ilvl="0" w:tplc="6A049EAA">
      <w:start w:val="1"/>
      <w:numFmt w:val="ordinalText"/>
      <w:pStyle w:val="Prrafoantecedentes"/>
      <w:lvlText w:val="%1."/>
      <w:lvlJc w:val="left"/>
      <w:pPr>
        <w:ind w:left="360" w:hanging="360"/>
      </w:pPr>
      <w:rPr>
        <w:rFonts w:ascii="ITC Avant Garde" w:hAnsi="ITC Avant Garde" w:hint="default"/>
        <w:b/>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8"/>
  </w:num>
  <w:num w:numId="3">
    <w:abstractNumId w:val="14"/>
  </w:num>
  <w:num w:numId="4">
    <w:abstractNumId w:val="5"/>
  </w:num>
  <w:num w:numId="5">
    <w:abstractNumId w:val="4"/>
  </w:num>
  <w:num w:numId="6">
    <w:abstractNumId w:val="13"/>
  </w:num>
  <w:num w:numId="7">
    <w:abstractNumId w:val="10"/>
  </w:num>
  <w:num w:numId="8">
    <w:abstractNumId w:val="0"/>
  </w:num>
  <w:num w:numId="9">
    <w:abstractNumId w:val="7"/>
  </w:num>
  <w:num w:numId="10">
    <w:abstractNumId w:val="12"/>
  </w:num>
  <w:num w:numId="11">
    <w:abstractNumId w:val="6"/>
  </w:num>
  <w:num w:numId="12">
    <w:abstractNumId w:val="2"/>
  </w:num>
  <w:num w:numId="13">
    <w:abstractNumId w:val="1"/>
  </w:num>
  <w:num w:numId="14">
    <w:abstractNumId w:val="11"/>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9"/>
  </w:num>
  <w:num w:numId="25">
    <w:abstractNumId w:val="14"/>
  </w:num>
  <w:num w:numId="26">
    <w:abstractNumId w:val="14"/>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style="mso-position-horizontal-relative:margin;mso-position-vertical-relative:margin" o:allowincell="f" o:allowoverlap="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6"/>
    <w:rsid w:val="000004BF"/>
    <w:rsid w:val="000007D0"/>
    <w:rsid w:val="00000E49"/>
    <w:rsid w:val="00001FB5"/>
    <w:rsid w:val="0000459F"/>
    <w:rsid w:val="00006705"/>
    <w:rsid w:val="0000713D"/>
    <w:rsid w:val="00015056"/>
    <w:rsid w:val="000159E3"/>
    <w:rsid w:val="000179A9"/>
    <w:rsid w:val="000217AD"/>
    <w:rsid w:val="00021911"/>
    <w:rsid w:val="00021C19"/>
    <w:rsid w:val="00022393"/>
    <w:rsid w:val="00022EE4"/>
    <w:rsid w:val="00031782"/>
    <w:rsid w:val="00033234"/>
    <w:rsid w:val="00034F62"/>
    <w:rsid w:val="000365FF"/>
    <w:rsid w:val="00037B95"/>
    <w:rsid w:val="000455E3"/>
    <w:rsid w:val="000507A3"/>
    <w:rsid w:val="00052F97"/>
    <w:rsid w:val="00054D3F"/>
    <w:rsid w:val="000616C0"/>
    <w:rsid w:val="000626DE"/>
    <w:rsid w:val="00062C68"/>
    <w:rsid w:val="00063245"/>
    <w:rsid w:val="00063CB4"/>
    <w:rsid w:val="00066EC9"/>
    <w:rsid w:val="00067D35"/>
    <w:rsid w:val="0007514F"/>
    <w:rsid w:val="00075AA5"/>
    <w:rsid w:val="00081711"/>
    <w:rsid w:val="00083DAB"/>
    <w:rsid w:val="000866FA"/>
    <w:rsid w:val="00086BDC"/>
    <w:rsid w:val="00090D68"/>
    <w:rsid w:val="00092D76"/>
    <w:rsid w:val="00092EEC"/>
    <w:rsid w:val="000967F0"/>
    <w:rsid w:val="000A26AD"/>
    <w:rsid w:val="000A2B4D"/>
    <w:rsid w:val="000A3F9D"/>
    <w:rsid w:val="000A4D9F"/>
    <w:rsid w:val="000A4F4E"/>
    <w:rsid w:val="000A6184"/>
    <w:rsid w:val="000B172A"/>
    <w:rsid w:val="000B1B06"/>
    <w:rsid w:val="000B2DD3"/>
    <w:rsid w:val="000B354B"/>
    <w:rsid w:val="000B3DD3"/>
    <w:rsid w:val="000B4BF4"/>
    <w:rsid w:val="000B57B5"/>
    <w:rsid w:val="000B6883"/>
    <w:rsid w:val="000B73B5"/>
    <w:rsid w:val="000C069A"/>
    <w:rsid w:val="000C108A"/>
    <w:rsid w:val="000C31B0"/>
    <w:rsid w:val="000C4734"/>
    <w:rsid w:val="000C56EA"/>
    <w:rsid w:val="000D07F3"/>
    <w:rsid w:val="000D6071"/>
    <w:rsid w:val="000D7916"/>
    <w:rsid w:val="000E0124"/>
    <w:rsid w:val="000E242F"/>
    <w:rsid w:val="000E28CB"/>
    <w:rsid w:val="000E3989"/>
    <w:rsid w:val="000E5832"/>
    <w:rsid w:val="000E7A9B"/>
    <w:rsid w:val="000F0DDE"/>
    <w:rsid w:val="000F1348"/>
    <w:rsid w:val="000F2A5C"/>
    <w:rsid w:val="000F3A33"/>
    <w:rsid w:val="000F5E9D"/>
    <w:rsid w:val="000F5F09"/>
    <w:rsid w:val="000F6D5A"/>
    <w:rsid w:val="00107EA5"/>
    <w:rsid w:val="00107F0D"/>
    <w:rsid w:val="00107FA1"/>
    <w:rsid w:val="00111C60"/>
    <w:rsid w:val="001159AC"/>
    <w:rsid w:val="00115FAA"/>
    <w:rsid w:val="00120AF8"/>
    <w:rsid w:val="00122B0E"/>
    <w:rsid w:val="00122FB3"/>
    <w:rsid w:val="001241A4"/>
    <w:rsid w:val="00126018"/>
    <w:rsid w:val="001261C3"/>
    <w:rsid w:val="0013063D"/>
    <w:rsid w:val="00131085"/>
    <w:rsid w:val="00131C33"/>
    <w:rsid w:val="00133CF7"/>
    <w:rsid w:val="001357F4"/>
    <w:rsid w:val="00136460"/>
    <w:rsid w:val="001372EE"/>
    <w:rsid w:val="00140F36"/>
    <w:rsid w:val="001417A0"/>
    <w:rsid w:val="00143D56"/>
    <w:rsid w:val="00144DE1"/>
    <w:rsid w:val="00152181"/>
    <w:rsid w:val="00152FC8"/>
    <w:rsid w:val="001539C8"/>
    <w:rsid w:val="0015441B"/>
    <w:rsid w:val="0016149C"/>
    <w:rsid w:val="00163ABF"/>
    <w:rsid w:val="001669ED"/>
    <w:rsid w:val="00167C89"/>
    <w:rsid w:val="001707F1"/>
    <w:rsid w:val="0017391C"/>
    <w:rsid w:val="00176E8D"/>
    <w:rsid w:val="00183871"/>
    <w:rsid w:val="001856B6"/>
    <w:rsid w:val="0018605B"/>
    <w:rsid w:val="00187F19"/>
    <w:rsid w:val="00191145"/>
    <w:rsid w:val="00192E93"/>
    <w:rsid w:val="00193096"/>
    <w:rsid w:val="00193362"/>
    <w:rsid w:val="00193827"/>
    <w:rsid w:val="00193D31"/>
    <w:rsid w:val="00194E58"/>
    <w:rsid w:val="001951BB"/>
    <w:rsid w:val="001A0AC1"/>
    <w:rsid w:val="001A0C06"/>
    <w:rsid w:val="001A2296"/>
    <w:rsid w:val="001A2838"/>
    <w:rsid w:val="001A67E4"/>
    <w:rsid w:val="001A7595"/>
    <w:rsid w:val="001A7D46"/>
    <w:rsid w:val="001B1534"/>
    <w:rsid w:val="001B1D1E"/>
    <w:rsid w:val="001B2AB7"/>
    <w:rsid w:val="001B46B9"/>
    <w:rsid w:val="001B47CB"/>
    <w:rsid w:val="001B4A3A"/>
    <w:rsid w:val="001B5DB7"/>
    <w:rsid w:val="001C2322"/>
    <w:rsid w:val="001C5425"/>
    <w:rsid w:val="001D3BDE"/>
    <w:rsid w:val="001D4948"/>
    <w:rsid w:val="001D628E"/>
    <w:rsid w:val="001D7DD4"/>
    <w:rsid w:val="001E027E"/>
    <w:rsid w:val="001E0705"/>
    <w:rsid w:val="001E0BD3"/>
    <w:rsid w:val="001E207E"/>
    <w:rsid w:val="001E225B"/>
    <w:rsid w:val="001E26FA"/>
    <w:rsid w:val="001E2CDB"/>
    <w:rsid w:val="001F2D41"/>
    <w:rsid w:val="001F348B"/>
    <w:rsid w:val="001F5210"/>
    <w:rsid w:val="001F5527"/>
    <w:rsid w:val="001F62F1"/>
    <w:rsid w:val="002002A9"/>
    <w:rsid w:val="0020163D"/>
    <w:rsid w:val="00202F73"/>
    <w:rsid w:val="002032AE"/>
    <w:rsid w:val="00203396"/>
    <w:rsid w:val="0020364B"/>
    <w:rsid w:val="00204766"/>
    <w:rsid w:val="00206475"/>
    <w:rsid w:val="002065D0"/>
    <w:rsid w:val="00210403"/>
    <w:rsid w:val="0021207A"/>
    <w:rsid w:val="0021373D"/>
    <w:rsid w:val="00222876"/>
    <w:rsid w:val="00222BA5"/>
    <w:rsid w:val="00222C43"/>
    <w:rsid w:val="00223AA3"/>
    <w:rsid w:val="002257D7"/>
    <w:rsid w:val="00231D0D"/>
    <w:rsid w:val="002342D5"/>
    <w:rsid w:val="002357F5"/>
    <w:rsid w:val="00235CFB"/>
    <w:rsid w:val="00236A38"/>
    <w:rsid w:val="00237CF6"/>
    <w:rsid w:val="00237F32"/>
    <w:rsid w:val="0024125C"/>
    <w:rsid w:val="00243B96"/>
    <w:rsid w:val="00243C56"/>
    <w:rsid w:val="002504C5"/>
    <w:rsid w:val="002523B8"/>
    <w:rsid w:val="0025760C"/>
    <w:rsid w:val="0026380D"/>
    <w:rsid w:val="00263D9C"/>
    <w:rsid w:val="00264E78"/>
    <w:rsid w:val="002714DC"/>
    <w:rsid w:val="00275ED7"/>
    <w:rsid w:val="0027692C"/>
    <w:rsid w:val="00277DB6"/>
    <w:rsid w:val="002821DC"/>
    <w:rsid w:val="0028279B"/>
    <w:rsid w:val="00282DAD"/>
    <w:rsid w:val="002849A9"/>
    <w:rsid w:val="002865BF"/>
    <w:rsid w:val="00286D41"/>
    <w:rsid w:val="00290272"/>
    <w:rsid w:val="002A322C"/>
    <w:rsid w:val="002A7D90"/>
    <w:rsid w:val="002B46DB"/>
    <w:rsid w:val="002B564F"/>
    <w:rsid w:val="002B6863"/>
    <w:rsid w:val="002B7F30"/>
    <w:rsid w:val="002C0D7A"/>
    <w:rsid w:val="002C0DD9"/>
    <w:rsid w:val="002C6A19"/>
    <w:rsid w:val="002D0170"/>
    <w:rsid w:val="002D2FAB"/>
    <w:rsid w:val="002D3536"/>
    <w:rsid w:val="002D5457"/>
    <w:rsid w:val="002D57DB"/>
    <w:rsid w:val="002D6356"/>
    <w:rsid w:val="002D7630"/>
    <w:rsid w:val="002D7C8D"/>
    <w:rsid w:val="002E3835"/>
    <w:rsid w:val="002E4552"/>
    <w:rsid w:val="002E6F6C"/>
    <w:rsid w:val="002F1942"/>
    <w:rsid w:val="002F4E6E"/>
    <w:rsid w:val="002F6AF6"/>
    <w:rsid w:val="002F7DFB"/>
    <w:rsid w:val="00302F75"/>
    <w:rsid w:val="00306797"/>
    <w:rsid w:val="00313131"/>
    <w:rsid w:val="00317A32"/>
    <w:rsid w:val="00317D63"/>
    <w:rsid w:val="00321937"/>
    <w:rsid w:val="0032211B"/>
    <w:rsid w:val="0032218B"/>
    <w:rsid w:val="00323FD5"/>
    <w:rsid w:val="0032415D"/>
    <w:rsid w:val="00324413"/>
    <w:rsid w:val="00327F00"/>
    <w:rsid w:val="00331724"/>
    <w:rsid w:val="003347F5"/>
    <w:rsid w:val="0033732B"/>
    <w:rsid w:val="00337BA2"/>
    <w:rsid w:val="003404BC"/>
    <w:rsid w:val="00341A12"/>
    <w:rsid w:val="00341E5C"/>
    <w:rsid w:val="00342512"/>
    <w:rsid w:val="00345113"/>
    <w:rsid w:val="00346F90"/>
    <w:rsid w:val="00347D31"/>
    <w:rsid w:val="00352BCB"/>
    <w:rsid w:val="003565C3"/>
    <w:rsid w:val="00357E84"/>
    <w:rsid w:val="00361452"/>
    <w:rsid w:val="0036316F"/>
    <w:rsid w:val="00364380"/>
    <w:rsid w:val="00371764"/>
    <w:rsid w:val="00373D0E"/>
    <w:rsid w:val="00375658"/>
    <w:rsid w:val="0037590D"/>
    <w:rsid w:val="00376657"/>
    <w:rsid w:val="003769B3"/>
    <w:rsid w:val="003853F6"/>
    <w:rsid w:val="00386CF8"/>
    <w:rsid w:val="0038763E"/>
    <w:rsid w:val="0038764D"/>
    <w:rsid w:val="00387C4F"/>
    <w:rsid w:val="00390255"/>
    <w:rsid w:val="0039194C"/>
    <w:rsid w:val="003943E5"/>
    <w:rsid w:val="003969F7"/>
    <w:rsid w:val="00396C65"/>
    <w:rsid w:val="003A01F4"/>
    <w:rsid w:val="003A0D23"/>
    <w:rsid w:val="003A6D10"/>
    <w:rsid w:val="003B6662"/>
    <w:rsid w:val="003C3FF5"/>
    <w:rsid w:val="003C46F7"/>
    <w:rsid w:val="003C6F56"/>
    <w:rsid w:val="003D125A"/>
    <w:rsid w:val="003D31DB"/>
    <w:rsid w:val="003D5014"/>
    <w:rsid w:val="003D78D2"/>
    <w:rsid w:val="003E100C"/>
    <w:rsid w:val="003E5827"/>
    <w:rsid w:val="003E5EB8"/>
    <w:rsid w:val="003E681B"/>
    <w:rsid w:val="003F065F"/>
    <w:rsid w:val="003F4124"/>
    <w:rsid w:val="003F64CD"/>
    <w:rsid w:val="003F679B"/>
    <w:rsid w:val="00401E24"/>
    <w:rsid w:val="004072F1"/>
    <w:rsid w:val="00407C48"/>
    <w:rsid w:val="004127AE"/>
    <w:rsid w:val="0041459B"/>
    <w:rsid w:val="00414BB3"/>
    <w:rsid w:val="00415BDC"/>
    <w:rsid w:val="0042182B"/>
    <w:rsid w:val="004223E1"/>
    <w:rsid w:val="00422659"/>
    <w:rsid w:val="0042476D"/>
    <w:rsid w:val="0042735F"/>
    <w:rsid w:val="0043260A"/>
    <w:rsid w:val="00434070"/>
    <w:rsid w:val="00441962"/>
    <w:rsid w:val="00441A11"/>
    <w:rsid w:val="00442DFB"/>
    <w:rsid w:val="00443C7E"/>
    <w:rsid w:val="00443E25"/>
    <w:rsid w:val="004447AC"/>
    <w:rsid w:val="00444C81"/>
    <w:rsid w:val="0044549A"/>
    <w:rsid w:val="00450104"/>
    <w:rsid w:val="0045014E"/>
    <w:rsid w:val="00460A8F"/>
    <w:rsid w:val="004648FF"/>
    <w:rsid w:val="00465A2B"/>
    <w:rsid w:val="004719D7"/>
    <w:rsid w:val="00471E4D"/>
    <w:rsid w:val="004747A4"/>
    <w:rsid w:val="004750FB"/>
    <w:rsid w:val="0047553B"/>
    <w:rsid w:val="0047683A"/>
    <w:rsid w:val="00476B2D"/>
    <w:rsid w:val="004778DF"/>
    <w:rsid w:val="00482295"/>
    <w:rsid w:val="00482A38"/>
    <w:rsid w:val="00486C5D"/>
    <w:rsid w:val="00487860"/>
    <w:rsid w:val="004943D1"/>
    <w:rsid w:val="004A0155"/>
    <w:rsid w:val="004A04A0"/>
    <w:rsid w:val="004A08C8"/>
    <w:rsid w:val="004A0B25"/>
    <w:rsid w:val="004A138E"/>
    <w:rsid w:val="004A1451"/>
    <w:rsid w:val="004A2415"/>
    <w:rsid w:val="004A3E93"/>
    <w:rsid w:val="004A5066"/>
    <w:rsid w:val="004A6F85"/>
    <w:rsid w:val="004B0958"/>
    <w:rsid w:val="004B2B69"/>
    <w:rsid w:val="004B4747"/>
    <w:rsid w:val="004B680B"/>
    <w:rsid w:val="004B6D29"/>
    <w:rsid w:val="004C0700"/>
    <w:rsid w:val="004C110F"/>
    <w:rsid w:val="004C3104"/>
    <w:rsid w:val="004C3F24"/>
    <w:rsid w:val="004C7917"/>
    <w:rsid w:val="004D0CC3"/>
    <w:rsid w:val="004D47C8"/>
    <w:rsid w:val="004D5C0C"/>
    <w:rsid w:val="004E1519"/>
    <w:rsid w:val="004E6F11"/>
    <w:rsid w:val="004F082B"/>
    <w:rsid w:val="004F6A33"/>
    <w:rsid w:val="004F762D"/>
    <w:rsid w:val="004F7781"/>
    <w:rsid w:val="00504704"/>
    <w:rsid w:val="00504F22"/>
    <w:rsid w:val="00505AA9"/>
    <w:rsid w:val="0050638F"/>
    <w:rsid w:val="00510CF5"/>
    <w:rsid w:val="00511377"/>
    <w:rsid w:val="00511E32"/>
    <w:rsid w:val="005126D0"/>
    <w:rsid w:val="00515577"/>
    <w:rsid w:val="005159E1"/>
    <w:rsid w:val="00517235"/>
    <w:rsid w:val="005175D2"/>
    <w:rsid w:val="00522CDB"/>
    <w:rsid w:val="00525D58"/>
    <w:rsid w:val="0052663E"/>
    <w:rsid w:val="005329DD"/>
    <w:rsid w:val="00535C74"/>
    <w:rsid w:val="0054089C"/>
    <w:rsid w:val="00545D6C"/>
    <w:rsid w:val="00545F25"/>
    <w:rsid w:val="0054693B"/>
    <w:rsid w:val="0055049A"/>
    <w:rsid w:val="0055162B"/>
    <w:rsid w:val="00551733"/>
    <w:rsid w:val="00551741"/>
    <w:rsid w:val="00553479"/>
    <w:rsid w:val="0055621E"/>
    <w:rsid w:val="00557027"/>
    <w:rsid w:val="00557A2F"/>
    <w:rsid w:val="00560384"/>
    <w:rsid w:val="0056078E"/>
    <w:rsid w:val="00560918"/>
    <w:rsid w:val="00562A45"/>
    <w:rsid w:val="00564D68"/>
    <w:rsid w:val="005662D7"/>
    <w:rsid w:val="0057052B"/>
    <w:rsid w:val="00572737"/>
    <w:rsid w:val="005743A0"/>
    <w:rsid w:val="00575ECC"/>
    <w:rsid w:val="005767E6"/>
    <w:rsid w:val="005774CB"/>
    <w:rsid w:val="005807E8"/>
    <w:rsid w:val="00581777"/>
    <w:rsid w:val="00582E85"/>
    <w:rsid w:val="0058524A"/>
    <w:rsid w:val="0059149F"/>
    <w:rsid w:val="00591542"/>
    <w:rsid w:val="00594AAB"/>
    <w:rsid w:val="005957CA"/>
    <w:rsid w:val="00596808"/>
    <w:rsid w:val="005A288C"/>
    <w:rsid w:val="005A385F"/>
    <w:rsid w:val="005A6A71"/>
    <w:rsid w:val="005B0AF3"/>
    <w:rsid w:val="005B2979"/>
    <w:rsid w:val="005B46FF"/>
    <w:rsid w:val="005B6C72"/>
    <w:rsid w:val="005B6EE1"/>
    <w:rsid w:val="005C4611"/>
    <w:rsid w:val="005C4F85"/>
    <w:rsid w:val="005C5AB4"/>
    <w:rsid w:val="005C630E"/>
    <w:rsid w:val="005D2BF2"/>
    <w:rsid w:val="005D310C"/>
    <w:rsid w:val="005D5E17"/>
    <w:rsid w:val="005D683E"/>
    <w:rsid w:val="005E17FC"/>
    <w:rsid w:val="005E28A9"/>
    <w:rsid w:val="005E4582"/>
    <w:rsid w:val="005E4E2E"/>
    <w:rsid w:val="005F3AD1"/>
    <w:rsid w:val="005F53A1"/>
    <w:rsid w:val="005F566F"/>
    <w:rsid w:val="005F7D19"/>
    <w:rsid w:val="00604529"/>
    <w:rsid w:val="00604C70"/>
    <w:rsid w:val="00604DC1"/>
    <w:rsid w:val="006055A2"/>
    <w:rsid w:val="006065EA"/>
    <w:rsid w:val="00610B83"/>
    <w:rsid w:val="0061150A"/>
    <w:rsid w:val="006153C4"/>
    <w:rsid w:val="006176A5"/>
    <w:rsid w:val="00621B7F"/>
    <w:rsid w:val="00624A0A"/>
    <w:rsid w:val="006256F6"/>
    <w:rsid w:val="00634DDB"/>
    <w:rsid w:val="006351C7"/>
    <w:rsid w:val="00643893"/>
    <w:rsid w:val="00644DA2"/>
    <w:rsid w:val="006463AD"/>
    <w:rsid w:val="00651AD4"/>
    <w:rsid w:val="006524ED"/>
    <w:rsid w:val="006528C6"/>
    <w:rsid w:val="00654826"/>
    <w:rsid w:val="00657DA4"/>
    <w:rsid w:val="00657F38"/>
    <w:rsid w:val="0066096B"/>
    <w:rsid w:val="00661EAC"/>
    <w:rsid w:val="00662FB7"/>
    <w:rsid w:val="006651F6"/>
    <w:rsid w:val="00666455"/>
    <w:rsid w:val="00670061"/>
    <w:rsid w:val="006712EF"/>
    <w:rsid w:val="00672052"/>
    <w:rsid w:val="00672CAD"/>
    <w:rsid w:val="00673340"/>
    <w:rsid w:val="006763A4"/>
    <w:rsid w:val="00676A0B"/>
    <w:rsid w:val="00676F73"/>
    <w:rsid w:val="00680293"/>
    <w:rsid w:val="00683E57"/>
    <w:rsid w:val="00684503"/>
    <w:rsid w:val="00686F11"/>
    <w:rsid w:val="006A1EDD"/>
    <w:rsid w:val="006A2513"/>
    <w:rsid w:val="006A39DC"/>
    <w:rsid w:val="006A3B34"/>
    <w:rsid w:val="006A3BEC"/>
    <w:rsid w:val="006A6217"/>
    <w:rsid w:val="006A73F5"/>
    <w:rsid w:val="006B245E"/>
    <w:rsid w:val="006B2A0C"/>
    <w:rsid w:val="006B2B59"/>
    <w:rsid w:val="006B420D"/>
    <w:rsid w:val="006B4BF1"/>
    <w:rsid w:val="006C0808"/>
    <w:rsid w:val="006C2D17"/>
    <w:rsid w:val="006C2FF0"/>
    <w:rsid w:val="006D16DC"/>
    <w:rsid w:val="006D180E"/>
    <w:rsid w:val="006D2074"/>
    <w:rsid w:val="006D7ED9"/>
    <w:rsid w:val="006E0F04"/>
    <w:rsid w:val="006E1940"/>
    <w:rsid w:val="006E2C7A"/>
    <w:rsid w:val="006E4CE7"/>
    <w:rsid w:val="006E7EDC"/>
    <w:rsid w:val="006F18F1"/>
    <w:rsid w:val="006F4BA8"/>
    <w:rsid w:val="006F79DE"/>
    <w:rsid w:val="00701D0A"/>
    <w:rsid w:val="00702B57"/>
    <w:rsid w:val="007043A3"/>
    <w:rsid w:val="00704C46"/>
    <w:rsid w:val="00705436"/>
    <w:rsid w:val="00710B5F"/>
    <w:rsid w:val="00715291"/>
    <w:rsid w:val="007152C0"/>
    <w:rsid w:val="007155FE"/>
    <w:rsid w:val="0071657D"/>
    <w:rsid w:val="00717E55"/>
    <w:rsid w:val="007202DF"/>
    <w:rsid w:val="00724121"/>
    <w:rsid w:val="007250D0"/>
    <w:rsid w:val="00725260"/>
    <w:rsid w:val="007257D9"/>
    <w:rsid w:val="00725979"/>
    <w:rsid w:val="007329C6"/>
    <w:rsid w:val="00735429"/>
    <w:rsid w:val="007472E3"/>
    <w:rsid w:val="007474BD"/>
    <w:rsid w:val="00750D93"/>
    <w:rsid w:val="0075226B"/>
    <w:rsid w:val="00753252"/>
    <w:rsid w:val="0075400D"/>
    <w:rsid w:val="00756230"/>
    <w:rsid w:val="00760DE0"/>
    <w:rsid w:val="00762298"/>
    <w:rsid w:val="00764507"/>
    <w:rsid w:val="0076519D"/>
    <w:rsid w:val="00770700"/>
    <w:rsid w:val="007738D9"/>
    <w:rsid w:val="00773F01"/>
    <w:rsid w:val="00774CE2"/>
    <w:rsid w:val="007753CD"/>
    <w:rsid w:val="007754E3"/>
    <w:rsid w:val="0078328D"/>
    <w:rsid w:val="0078440F"/>
    <w:rsid w:val="00784820"/>
    <w:rsid w:val="0079069C"/>
    <w:rsid w:val="00790FCC"/>
    <w:rsid w:val="00791D66"/>
    <w:rsid w:val="0079266C"/>
    <w:rsid w:val="007943C5"/>
    <w:rsid w:val="007950E3"/>
    <w:rsid w:val="007975EF"/>
    <w:rsid w:val="00797CB1"/>
    <w:rsid w:val="007A0B5E"/>
    <w:rsid w:val="007A15A2"/>
    <w:rsid w:val="007A233C"/>
    <w:rsid w:val="007A34F7"/>
    <w:rsid w:val="007A5364"/>
    <w:rsid w:val="007A7DDC"/>
    <w:rsid w:val="007B3FD8"/>
    <w:rsid w:val="007B5EF7"/>
    <w:rsid w:val="007C01F6"/>
    <w:rsid w:val="007C27E1"/>
    <w:rsid w:val="007C39F7"/>
    <w:rsid w:val="007C3FFD"/>
    <w:rsid w:val="007C6E39"/>
    <w:rsid w:val="007D0189"/>
    <w:rsid w:val="007D0AC5"/>
    <w:rsid w:val="007D0C1D"/>
    <w:rsid w:val="007D1E7D"/>
    <w:rsid w:val="007D3609"/>
    <w:rsid w:val="007D63A1"/>
    <w:rsid w:val="007D687E"/>
    <w:rsid w:val="007D6D4E"/>
    <w:rsid w:val="007D7EF7"/>
    <w:rsid w:val="007E5755"/>
    <w:rsid w:val="007E6593"/>
    <w:rsid w:val="007E6A70"/>
    <w:rsid w:val="007E6CF9"/>
    <w:rsid w:val="007F26FC"/>
    <w:rsid w:val="007F69E4"/>
    <w:rsid w:val="00801B44"/>
    <w:rsid w:val="008022B1"/>
    <w:rsid w:val="00805F81"/>
    <w:rsid w:val="008079DE"/>
    <w:rsid w:val="0081089A"/>
    <w:rsid w:val="00814017"/>
    <w:rsid w:val="00815A30"/>
    <w:rsid w:val="00815E61"/>
    <w:rsid w:val="008207FB"/>
    <w:rsid w:val="008223D4"/>
    <w:rsid w:val="008234BD"/>
    <w:rsid w:val="008245DF"/>
    <w:rsid w:val="00826A94"/>
    <w:rsid w:val="00827E13"/>
    <w:rsid w:val="00834DCF"/>
    <w:rsid w:val="008352E3"/>
    <w:rsid w:val="0083641B"/>
    <w:rsid w:val="00836C7E"/>
    <w:rsid w:val="008408ED"/>
    <w:rsid w:val="00842419"/>
    <w:rsid w:val="0084301D"/>
    <w:rsid w:val="008430C4"/>
    <w:rsid w:val="00843C55"/>
    <w:rsid w:val="0084680F"/>
    <w:rsid w:val="00851C67"/>
    <w:rsid w:val="00852214"/>
    <w:rsid w:val="00852A47"/>
    <w:rsid w:val="00853126"/>
    <w:rsid w:val="0085388F"/>
    <w:rsid w:val="008548A9"/>
    <w:rsid w:val="00855430"/>
    <w:rsid w:val="00855B94"/>
    <w:rsid w:val="0085769B"/>
    <w:rsid w:val="008576C7"/>
    <w:rsid w:val="008618B0"/>
    <w:rsid w:val="00862B4F"/>
    <w:rsid w:val="00863E6E"/>
    <w:rsid w:val="00864450"/>
    <w:rsid w:val="008668A1"/>
    <w:rsid w:val="00866BA2"/>
    <w:rsid w:val="00872B25"/>
    <w:rsid w:val="00873BFF"/>
    <w:rsid w:val="00877452"/>
    <w:rsid w:val="00882A1D"/>
    <w:rsid w:val="00887EA8"/>
    <w:rsid w:val="008917CA"/>
    <w:rsid w:val="00892F4D"/>
    <w:rsid w:val="008932EC"/>
    <w:rsid w:val="00895573"/>
    <w:rsid w:val="008A0649"/>
    <w:rsid w:val="008A1DA5"/>
    <w:rsid w:val="008A2F25"/>
    <w:rsid w:val="008A4C87"/>
    <w:rsid w:val="008A5950"/>
    <w:rsid w:val="008A7343"/>
    <w:rsid w:val="008A7C2B"/>
    <w:rsid w:val="008A7F3B"/>
    <w:rsid w:val="008B3EB9"/>
    <w:rsid w:val="008B69F8"/>
    <w:rsid w:val="008B7E51"/>
    <w:rsid w:val="008B7F2C"/>
    <w:rsid w:val="008C2B5E"/>
    <w:rsid w:val="008C63A8"/>
    <w:rsid w:val="008D08D2"/>
    <w:rsid w:val="008D1AC2"/>
    <w:rsid w:val="008D61E1"/>
    <w:rsid w:val="008D7AEB"/>
    <w:rsid w:val="008E3D48"/>
    <w:rsid w:val="008E5B30"/>
    <w:rsid w:val="008E5ECC"/>
    <w:rsid w:val="008E7015"/>
    <w:rsid w:val="008E742D"/>
    <w:rsid w:val="008F06E2"/>
    <w:rsid w:val="008F454D"/>
    <w:rsid w:val="008F5687"/>
    <w:rsid w:val="0090193E"/>
    <w:rsid w:val="00902E10"/>
    <w:rsid w:val="00910E84"/>
    <w:rsid w:val="00911C83"/>
    <w:rsid w:val="00913E86"/>
    <w:rsid w:val="009145A6"/>
    <w:rsid w:val="009171F0"/>
    <w:rsid w:val="00917AF1"/>
    <w:rsid w:val="00922581"/>
    <w:rsid w:val="009227FB"/>
    <w:rsid w:val="00925D30"/>
    <w:rsid w:val="00926BE2"/>
    <w:rsid w:val="0093125E"/>
    <w:rsid w:val="009324DC"/>
    <w:rsid w:val="0093577F"/>
    <w:rsid w:val="009376DE"/>
    <w:rsid w:val="0094067B"/>
    <w:rsid w:val="00941CE0"/>
    <w:rsid w:val="00941F76"/>
    <w:rsid w:val="00942745"/>
    <w:rsid w:val="00942A7F"/>
    <w:rsid w:val="00944017"/>
    <w:rsid w:val="009445A1"/>
    <w:rsid w:val="00946D54"/>
    <w:rsid w:val="00947775"/>
    <w:rsid w:val="00954E07"/>
    <w:rsid w:val="00957E9D"/>
    <w:rsid w:val="00957FE2"/>
    <w:rsid w:val="0096026B"/>
    <w:rsid w:val="00961A01"/>
    <w:rsid w:val="00961BC8"/>
    <w:rsid w:val="00966264"/>
    <w:rsid w:val="00966F19"/>
    <w:rsid w:val="00970F40"/>
    <w:rsid w:val="009723CC"/>
    <w:rsid w:val="00972502"/>
    <w:rsid w:val="00974CF9"/>
    <w:rsid w:val="00975116"/>
    <w:rsid w:val="00983E27"/>
    <w:rsid w:val="00986DA3"/>
    <w:rsid w:val="00987EA1"/>
    <w:rsid w:val="00990378"/>
    <w:rsid w:val="009903B2"/>
    <w:rsid w:val="00991831"/>
    <w:rsid w:val="00994996"/>
    <w:rsid w:val="009A181C"/>
    <w:rsid w:val="009A22C1"/>
    <w:rsid w:val="009A7628"/>
    <w:rsid w:val="009B4F84"/>
    <w:rsid w:val="009B6DC2"/>
    <w:rsid w:val="009C08D5"/>
    <w:rsid w:val="009C09E0"/>
    <w:rsid w:val="009C1D72"/>
    <w:rsid w:val="009D001F"/>
    <w:rsid w:val="009D0BEF"/>
    <w:rsid w:val="009D12DD"/>
    <w:rsid w:val="009D2356"/>
    <w:rsid w:val="009D256C"/>
    <w:rsid w:val="009D2862"/>
    <w:rsid w:val="009D38DB"/>
    <w:rsid w:val="009D410F"/>
    <w:rsid w:val="009D646F"/>
    <w:rsid w:val="009D678A"/>
    <w:rsid w:val="009D727F"/>
    <w:rsid w:val="009E00A5"/>
    <w:rsid w:val="009E1168"/>
    <w:rsid w:val="009E2686"/>
    <w:rsid w:val="009E3D39"/>
    <w:rsid w:val="009E52DC"/>
    <w:rsid w:val="009F2E8A"/>
    <w:rsid w:val="009F31EB"/>
    <w:rsid w:val="009F4A84"/>
    <w:rsid w:val="009F4C40"/>
    <w:rsid w:val="009F74AB"/>
    <w:rsid w:val="00A002F6"/>
    <w:rsid w:val="00A007C8"/>
    <w:rsid w:val="00A012A5"/>
    <w:rsid w:val="00A02A23"/>
    <w:rsid w:val="00A07A50"/>
    <w:rsid w:val="00A07DB1"/>
    <w:rsid w:val="00A07F18"/>
    <w:rsid w:val="00A10908"/>
    <w:rsid w:val="00A117C6"/>
    <w:rsid w:val="00A1476A"/>
    <w:rsid w:val="00A15906"/>
    <w:rsid w:val="00A175DE"/>
    <w:rsid w:val="00A208A3"/>
    <w:rsid w:val="00A23053"/>
    <w:rsid w:val="00A25DD5"/>
    <w:rsid w:val="00A2675C"/>
    <w:rsid w:val="00A3097F"/>
    <w:rsid w:val="00A3145E"/>
    <w:rsid w:val="00A320FD"/>
    <w:rsid w:val="00A32E9D"/>
    <w:rsid w:val="00A33C82"/>
    <w:rsid w:val="00A3403C"/>
    <w:rsid w:val="00A36E1C"/>
    <w:rsid w:val="00A40437"/>
    <w:rsid w:val="00A41304"/>
    <w:rsid w:val="00A41490"/>
    <w:rsid w:val="00A42D2D"/>
    <w:rsid w:val="00A43DE7"/>
    <w:rsid w:val="00A43ECB"/>
    <w:rsid w:val="00A43F8F"/>
    <w:rsid w:val="00A4555C"/>
    <w:rsid w:val="00A50736"/>
    <w:rsid w:val="00A512E5"/>
    <w:rsid w:val="00A51C31"/>
    <w:rsid w:val="00A52F2D"/>
    <w:rsid w:val="00A5378D"/>
    <w:rsid w:val="00A54ACA"/>
    <w:rsid w:val="00A61C8C"/>
    <w:rsid w:val="00A64B86"/>
    <w:rsid w:val="00A65DA7"/>
    <w:rsid w:val="00A66EC7"/>
    <w:rsid w:val="00A67051"/>
    <w:rsid w:val="00A74195"/>
    <w:rsid w:val="00A74C33"/>
    <w:rsid w:val="00A778BB"/>
    <w:rsid w:val="00A81176"/>
    <w:rsid w:val="00A81A05"/>
    <w:rsid w:val="00A84D55"/>
    <w:rsid w:val="00A850FC"/>
    <w:rsid w:val="00A8761F"/>
    <w:rsid w:val="00A926E4"/>
    <w:rsid w:val="00A9592E"/>
    <w:rsid w:val="00AA2AB7"/>
    <w:rsid w:val="00AA2C4B"/>
    <w:rsid w:val="00AA5361"/>
    <w:rsid w:val="00AA6798"/>
    <w:rsid w:val="00AA689F"/>
    <w:rsid w:val="00AA734C"/>
    <w:rsid w:val="00AA7A1D"/>
    <w:rsid w:val="00AB3047"/>
    <w:rsid w:val="00AB3A82"/>
    <w:rsid w:val="00AB4929"/>
    <w:rsid w:val="00AB5B1E"/>
    <w:rsid w:val="00AC000A"/>
    <w:rsid w:val="00AC446E"/>
    <w:rsid w:val="00AC6066"/>
    <w:rsid w:val="00AD2118"/>
    <w:rsid w:val="00AD2E7D"/>
    <w:rsid w:val="00AD504B"/>
    <w:rsid w:val="00AD5478"/>
    <w:rsid w:val="00AE04C9"/>
    <w:rsid w:val="00AE303D"/>
    <w:rsid w:val="00AE3690"/>
    <w:rsid w:val="00AE4CD4"/>
    <w:rsid w:val="00AE4DEC"/>
    <w:rsid w:val="00AE59FF"/>
    <w:rsid w:val="00AE5A5E"/>
    <w:rsid w:val="00AF11BE"/>
    <w:rsid w:val="00AF2706"/>
    <w:rsid w:val="00AF33DE"/>
    <w:rsid w:val="00AF4984"/>
    <w:rsid w:val="00AF677F"/>
    <w:rsid w:val="00AF7B96"/>
    <w:rsid w:val="00B00FB2"/>
    <w:rsid w:val="00B026AC"/>
    <w:rsid w:val="00B02CF8"/>
    <w:rsid w:val="00B12229"/>
    <w:rsid w:val="00B158F3"/>
    <w:rsid w:val="00B15DC5"/>
    <w:rsid w:val="00B17B0B"/>
    <w:rsid w:val="00B17E31"/>
    <w:rsid w:val="00B201D4"/>
    <w:rsid w:val="00B21AAD"/>
    <w:rsid w:val="00B22E77"/>
    <w:rsid w:val="00B267A8"/>
    <w:rsid w:val="00B26B9A"/>
    <w:rsid w:val="00B30030"/>
    <w:rsid w:val="00B30827"/>
    <w:rsid w:val="00B31DB3"/>
    <w:rsid w:val="00B33E44"/>
    <w:rsid w:val="00B36528"/>
    <w:rsid w:val="00B36885"/>
    <w:rsid w:val="00B423DF"/>
    <w:rsid w:val="00B44471"/>
    <w:rsid w:val="00B47A07"/>
    <w:rsid w:val="00B47C36"/>
    <w:rsid w:val="00B50422"/>
    <w:rsid w:val="00B53527"/>
    <w:rsid w:val="00B55173"/>
    <w:rsid w:val="00B5567C"/>
    <w:rsid w:val="00B5570E"/>
    <w:rsid w:val="00B55711"/>
    <w:rsid w:val="00B62C3A"/>
    <w:rsid w:val="00B648F0"/>
    <w:rsid w:val="00B6507D"/>
    <w:rsid w:val="00B74024"/>
    <w:rsid w:val="00B77632"/>
    <w:rsid w:val="00B84344"/>
    <w:rsid w:val="00B8496B"/>
    <w:rsid w:val="00B856FF"/>
    <w:rsid w:val="00B876E0"/>
    <w:rsid w:val="00BA2750"/>
    <w:rsid w:val="00BA2A98"/>
    <w:rsid w:val="00BA3694"/>
    <w:rsid w:val="00BA4983"/>
    <w:rsid w:val="00BA5039"/>
    <w:rsid w:val="00BA691F"/>
    <w:rsid w:val="00BA7771"/>
    <w:rsid w:val="00BB0574"/>
    <w:rsid w:val="00BB476B"/>
    <w:rsid w:val="00BB59F4"/>
    <w:rsid w:val="00BB7285"/>
    <w:rsid w:val="00BC0DB2"/>
    <w:rsid w:val="00BC273B"/>
    <w:rsid w:val="00BC3494"/>
    <w:rsid w:val="00BC3853"/>
    <w:rsid w:val="00BC6CD4"/>
    <w:rsid w:val="00BD196B"/>
    <w:rsid w:val="00BD4176"/>
    <w:rsid w:val="00BD4AC4"/>
    <w:rsid w:val="00BD705D"/>
    <w:rsid w:val="00BE05D7"/>
    <w:rsid w:val="00BE0EE4"/>
    <w:rsid w:val="00BE0F20"/>
    <w:rsid w:val="00BE12C2"/>
    <w:rsid w:val="00BE59FD"/>
    <w:rsid w:val="00BF0131"/>
    <w:rsid w:val="00BF1879"/>
    <w:rsid w:val="00BF2142"/>
    <w:rsid w:val="00BF40E4"/>
    <w:rsid w:val="00BF4C86"/>
    <w:rsid w:val="00BF5994"/>
    <w:rsid w:val="00BF74C1"/>
    <w:rsid w:val="00C042CF"/>
    <w:rsid w:val="00C066E3"/>
    <w:rsid w:val="00C12C31"/>
    <w:rsid w:val="00C15E3A"/>
    <w:rsid w:val="00C16AD4"/>
    <w:rsid w:val="00C1708E"/>
    <w:rsid w:val="00C206DA"/>
    <w:rsid w:val="00C20E74"/>
    <w:rsid w:val="00C21B70"/>
    <w:rsid w:val="00C21D6B"/>
    <w:rsid w:val="00C24965"/>
    <w:rsid w:val="00C25949"/>
    <w:rsid w:val="00C25D8B"/>
    <w:rsid w:val="00C262B6"/>
    <w:rsid w:val="00C26444"/>
    <w:rsid w:val="00C3163D"/>
    <w:rsid w:val="00C35A6E"/>
    <w:rsid w:val="00C3694F"/>
    <w:rsid w:val="00C402A2"/>
    <w:rsid w:val="00C40CC6"/>
    <w:rsid w:val="00C4153A"/>
    <w:rsid w:val="00C440F9"/>
    <w:rsid w:val="00C441E4"/>
    <w:rsid w:val="00C448AA"/>
    <w:rsid w:val="00C47C66"/>
    <w:rsid w:val="00C5276C"/>
    <w:rsid w:val="00C54316"/>
    <w:rsid w:val="00C5547F"/>
    <w:rsid w:val="00C554F0"/>
    <w:rsid w:val="00C55BB3"/>
    <w:rsid w:val="00C60454"/>
    <w:rsid w:val="00C61E79"/>
    <w:rsid w:val="00C62176"/>
    <w:rsid w:val="00C644CB"/>
    <w:rsid w:val="00C720E1"/>
    <w:rsid w:val="00C72222"/>
    <w:rsid w:val="00C74B38"/>
    <w:rsid w:val="00C76103"/>
    <w:rsid w:val="00C769E3"/>
    <w:rsid w:val="00C76DFD"/>
    <w:rsid w:val="00C7793D"/>
    <w:rsid w:val="00C804B4"/>
    <w:rsid w:val="00C81F2D"/>
    <w:rsid w:val="00C8434F"/>
    <w:rsid w:val="00C84A11"/>
    <w:rsid w:val="00C84F21"/>
    <w:rsid w:val="00C8543E"/>
    <w:rsid w:val="00CA0CE6"/>
    <w:rsid w:val="00CA3710"/>
    <w:rsid w:val="00CA40D6"/>
    <w:rsid w:val="00CB1488"/>
    <w:rsid w:val="00CB2D9A"/>
    <w:rsid w:val="00CB6519"/>
    <w:rsid w:val="00CB677C"/>
    <w:rsid w:val="00CC3133"/>
    <w:rsid w:val="00CC31B5"/>
    <w:rsid w:val="00CC55D3"/>
    <w:rsid w:val="00CC5C09"/>
    <w:rsid w:val="00CC7A32"/>
    <w:rsid w:val="00CD0062"/>
    <w:rsid w:val="00CD1B93"/>
    <w:rsid w:val="00CD456C"/>
    <w:rsid w:val="00CD573B"/>
    <w:rsid w:val="00CD5F2C"/>
    <w:rsid w:val="00CD616A"/>
    <w:rsid w:val="00CD67EB"/>
    <w:rsid w:val="00CD6AFB"/>
    <w:rsid w:val="00CD766E"/>
    <w:rsid w:val="00CE052C"/>
    <w:rsid w:val="00CE0A8C"/>
    <w:rsid w:val="00CE0C08"/>
    <w:rsid w:val="00CE1C21"/>
    <w:rsid w:val="00CE5F60"/>
    <w:rsid w:val="00CE6C50"/>
    <w:rsid w:val="00CF09DC"/>
    <w:rsid w:val="00CF603B"/>
    <w:rsid w:val="00D01253"/>
    <w:rsid w:val="00D01F82"/>
    <w:rsid w:val="00D075A1"/>
    <w:rsid w:val="00D11AD9"/>
    <w:rsid w:val="00D12845"/>
    <w:rsid w:val="00D12C40"/>
    <w:rsid w:val="00D13B33"/>
    <w:rsid w:val="00D142C7"/>
    <w:rsid w:val="00D15708"/>
    <w:rsid w:val="00D16B13"/>
    <w:rsid w:val="00D209E5"/>
    <w:rsid w:val="00D2123F"/>
    <w:rsid w:val="00D212DA"/>
    <w:rsid w:val="00D227B2"/>
    <w:rsid w:val="00D23D2B"/>
    <w:rsid w:val="00D23DF0"/>
    <w:rsid w:val="00D240E2"/>
    <w:rsid w:val="00D244F4"/>
    <w:rsid w:val="00D24CDF"/>
    <w:rsid w:val="00D24EC3"/>
    <w:rsid w:val="00D27B0D"/>
    <w:rsid w:val="00D308B1"/>
    <w:rsid w:val="00D32875"/>
    <w:rsid w:val="00D34476"/>
    <w:rsid w:val="00D36695"/>
    <w:rsid w:val="00D36E93"/>
    <w:rsid w:val="00D37F09"/>
    <w:rsid w:val="00D40D18"/>
    <w:rsid w:val="00D43352"/>
    <w:rsid w:val="00D433AC"/>
    <w:rsid w:val="00D435D3"/>
    <w:rsid w:val="00D43ADE"/>
    <w:rsid w:val="00D44599"/>
    <w:rsid w:val="00D44C18"/>
    <w:rsid w:val="00D454EF"/>
    <w:rsid w:val="00D4625A"/>
    <w:rsid w:val="00D513D3"/>
    <w:rsid w:val="00D51FB4"/>
    <w:rsid w:val="00D559B5"/>
    <w:rsid w:val="00D579E2"/>
    <w:rsid w:val="00D61500"/>
    <w:rsid w:val="00D6309D"/>
    <w:rsid w:val="00D64666"/>
    <w:rsid w:val="00D71012"/>
    <w:rsid w:val="00D72179"/>
    <w:rsid w:val="00D738BB"/>
    <w:rsid w:val="00D75C3C"/>
    <w:rsid w:val="00D76202"/>
    <w:rsid w:val="00D77A59"/>
    <w:rsid w:val="00D80D3B"/>
    <w:rsid w:val="00D81AB0"/>
    <w:rsid w:val="00D81B84"/>
    <w:rsid w:val="00D84DCA"/>
    <w:rsid w:val="00D9204E"/>
    <w:rsid w:val="00D931D5"/>
    <w:rsid w:val="00D944C2"/>
    <w:rsid w:val="00D95D76"/>
    <w:rsid w:val="00DA08AF"/>
    <w:rsid w:val="00DA0C82"/>
    <w:rsid w:val="00DA0D10"/>
    <w:rsid w:val="00DA1E04"/>
    <w:rsid w:val="00DA2390"/>
    <w:rsid w:val="00DA7545"/>
    <w:rsid w:val="00DA7BD4"/>
    <w:rsid w:val="00DB0737"/>
    <w:rsid w:val="00DB2784"/>
    <w:rsid w:val="00DB2BDE"/>
    <w:rsid w:val="00DB361F"/>
    <w:rsid w:val="00DB43FF"/>
    <w:rsid w:val="00DB5B13"/>
    <w:rsid w:val="00DB61AD"/>
    <w:rsid w:val="00DB7E03"/>
    <w:rsid w:val="00DC3E78"/>
    <w:rsid w:val="00DC4334"/>
    <w:rsid w:val="00DC46C6"/>
    <w:rsid w:val="00DD3CA8"/>
    <w:rsid w:val="00DD40F3"/>
    <w:rsid w:val="00DD70E0"/>
    <w:rsid w:val="00DE4705"/>
    <w:rsid w:val="00DE48CA"/>
    <w:rsid w:val="00DE5C60"/>
    <w:rsid w:val="00DF1C22"/>
    <w:rsid w:val="00DF1C25"/>
    <w:rsid w:val="00DF2542"/>
    <w:rsid w:val="00E01EA1"/>
    <w:rsid w:val="00E02B0A"/>
    <w:rsid w:val="00E07585"/>
    <w:rsid w:val="00E07B18"/>
    <w:rsid w:val="00E1042D"/>
    <w:rsid w:val="00E1056B"/>
    <w:rsid w:val="00E136AD"/>
    <w:rsid w:val="00E164DD"/>
    <w:rsid w:val="00E1678E"/>
    <w:rsid w:val="00E2534D"/>
    <w:rsid w:val="00E25A8A"/>
    <w:rsid w:val="00E26E0E"/>
    <w:rsid w:val="00E26E58"/>
    <w:rsid w:val="00E271D1"/>
    <w:rsid w:val="00E308BC"/>
    <w:rsid w:val="00E30A99"/>
    <w:rsid w:val="00E30D93"/>
    <w:rsid w:val="00E33C7C"/>
    <w:rsid w:val="00E34B71"/>
    <w:rsid w:val="00E35712"/>
    <w:rsid w:val="00E35F0E"/>
    <w:rsid w:val="00E4058F"/>
    <w:rsid w:val="00E4170D"/>
    <w:rsid w:val="00E424E7"/>
    <w:rsid w:val="00E42AE4"/>
    <w:rsid w:val="00E50022"/>
    <w:rsid w:val="00E51606"/>
    <w:rsid w:val="00E51EC4"/>
    <w:rsid w:val="00E52345"/>
    <w:rsid w:val="00E54199"/>
    <w:rsid w:val="00E5493D"/>
    <w:rsid w:val="00E57DCB"/>
    <w:rsid w:val="00E672DB"/>
    <w:rsid w:val="00E67C68"/>
    <w:rsid w:val="00E70CDC"/>
    <w:rsid w:val="00E73EC8"/>
    <w:rsid w:val="00E74AEE"/>
    <w:rsid w:val="00E74ED3"/>
    <w:rsid w:val="00E77406"/>
    <w:rsid w:val="00E852C2"/>
    <w:rsid w:val="00E9035D"/>
    <w:rsid w:val="00E91063"/>
    <w:rsid w:val="00E91F6B"/>
    <w:rsid w:val="00EA068B"/>
    <w:rsid w:val="00EA1FA8"/>
    <w:rsid w:val="00EA2824"/>
    <w:rsid w:val="00EA2D9F"/>
    <w:rsid w:val="00EA56FC"/>
    <w:rsid w:val="00EA5D59"/>
    <w:rsid w:val="00EA5F0D"/>
    <w:rsid w:val="00EB5681"/>
    <w:rsid w:val="00EB63CB"/>
    <w:rsid w:val="00EB771F"/>
    <w:rsid w:val="00EB7F87"/>
    <w:rsid w:val="00EC2586"/>
    <w:rsid w:val="00EC2FE4"/>
    <w:rsid w:val="00EC6A64"/>
    <w:rsid w:val="00ED0130"/>
    <w:rsid w:val="00ED26E8"/>
    <w:rsid w:val="00ED4A42"/>
    <w:rsid w:val="00ED6BB2"/>
    <w:rsid w:val="00EE00CB"/>
    <w:rsid w:val="00EE1F9D"/>
    <w:rsid w:val="00EE2500"/>
    <w:rsid w:val="00EE28BE"/>
    <w:rsid w:val="00EE43E3"/>
    <w:rsid w:val="00EE59C4"/>
    <w:rsid w:val="00EE6735"/>
    <w:rsid w:val="00EE6888"/>
    <w:rsid w:val="00EF5E00"/>
    <w:rsid w:val="00F00D5D"/>
    <w:rsid w:val="00F01424"/>
    <w:rsid w:val="00F064EF"/>
    <w:rsid w:val="00F069A8"/>
    <w:rsid w:val="00F14423"/>
    <w:rsid w:val="00F17172"/>
    <w:rsid w:val="00F24811"/>
    <w:rsid w:val="00F26AEF"/>
    <w:rsid w:val="00F27D28"/>
    <w:rsid w:val="00F304E4"/>
    <w:rsid w:val="00F30685"/>
    <w:rsid w:val="00F32C7D"/>
    <w:rsid w:val="00F33D0B"/>
    <w:rsid w:val="00F36799"/>
    <w:rsid w:val="00F41D25"/>
    <w:rsid w:val="00F42F69"/>
    <w:rsid w:val="00F4311C"/>
    <w:rsid w:val="00F4349D"/>
    <w:rsid w:val="00F43F83"/>
    <w:rsid w:val="00F46306"/>
    <w:rsid w:val="00F4684D"/>
    <w:rsid w:val="00F4726B"/>
    <w:rsid w:val="00F47524"/>
    <w:rsid w:val="00F50670"/>
    <w:rsid w:val="00F515A2"/>
    <w:rsid w:val="00F56D29"/>
    <w:rsid w:val="00F604C5"/>
    <w:rsid w:val="00F65678"/>
    <w:rsid w:val="00F67416"/>
    <w:rsid w:val="00F73997"/>
    <w:rsid w:val="00F74544"/>
    <w:rsid w:val="00F751F0"/>
    <w:rsid w:val="00F766C6"/>
    <w:rsid w:val="00F81233"/>
    <w:rsid w:val="00F81E40"/>
    <w:rsid w:val="00F824F2"/>
    <w:rsid w:val="00F830E2"/>
    <w:rsid w:val="00F83164"/>
    <w:rsid w:val="00F84AE9"/>
    <w:rsid w:val="00F86AF9"/>
    <w:rsid w:val="00F908A9"/>
    <w:rsid w:val="00F908B6"/>
    <w:rsid w:val="00F94C4F"/>
    <w:rsid w:val="00F96E80"/>
    <w:rsid w:val="00F97A35"/>
    <w:rsid w:val="00FA31A5"/>
    <w:rsid w:val="00FB1023"/>
    <w:rsid w:val="00FB10D4"/>
    <w:rsid w:val="00FB7E0B"/>
    <w:rsid w:val="00FC2CAD"/>
    <w:rsid w:val="00FC53EA"/>
    <w:rsid w:val="00FC6C4E"/>
    <w:rsid w:val="00FD2FE9"/>
    <w:rsid w:val="00FD3211"/>
    <w:rsid w:val="00FD34CB"/>
    <w:rsid w:val="00FD633C"/>
    <w:rsid w:val="00FE560F"/>
    <w:rsid w:val="00FE6F18"/>
    <w:rsid w:val="00FF09C4"/>
    <w:rsid w:val="00FF592F"/>
    <w:rsid w:val="00FF6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o:allowoverlap="f" fill="f" fillcolor="white" stroke="f">
      <v:fill color="white" on="f"/>
      <v:stroke on="f"/>
    </o:shapedefaults>
    <o:shapelayout v:ext="edit">
      <o:idmap v:ext="edit" data="1"/>
    </o:shapelayout>
  </w:shapeDefaults>
  <w:decimalSymbol w:val="."/>
  <w:listSeparator w:val=","/>
  <w15:docId w15:val="{98A2381A-0884-46C3-8740-36059082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7A0"/>
    <w:pPr>
      <w:spacing w:before="120" w:after="120" w:line="259" w:lineRule="auto"/>
      <w:jc w:val="both"/>
    </w:pPr>
    <w:rPr>
      <w:rFonts w:ascii="ITC Avant Garde" w:eastAsiaTheme="minorEastAsia" w:hAnsi="ITC Avant Garde"/>
      <w:sz w:val="20"/>
      <w:szCs w:val="24"/>
      <w:lang w:eastAsia="ja-JP"/>
    </w:rPr>
  </w:style>
  <w:style w:type="paragraph" w:styleId="Ttulo1">
    <w:name w:val="heading 1"/>
    <w:basedOn w:val="Normal"/>
    <w:next w:val="Normal"/>
    <w:link w:val="Ttulo1Car"/>
    <w:uiPriority w:val="9"/>
    <w:qFormat/>
    <w:rsid w:val="00553479"/>
    <w:pPr>
      <w:keepNext/>
      <w:numPr>
        <w:numId w:val="9"/>
      </w:numPr>
      <w:spacing w:before="240"/>
      <w:jc w:val="left"/>
      <w:outlineLvl w:val="0"/>
    </w:pPr>
    <w:rPr>
      <w:b/>
    </w:rPr>
  </w:style>
  <w:style w:type="paragraph" w:styleId="Ttulo2">
    <w:name w:val="heading 2"/>
    <w:basedOn w:val="Ttulo1"/>
    <w:next w:val="Normal"/>
    <w:link w:val="Ttulo2Car"/>
    <w:uiPriority w:val="9"/>
    <w:unhideWhenUsed/>
    <w:qFormat/>
    <w:rsid w:val="000F6D5A"/>
    <w:pPr>
      <w:numPr>
        <w:numId w:val="0"/>
      </w:numPr>
      <w:outlineLvl w:val="1"/>
    </w:pPr>
    <w:rPr>
      <w:szCs w:val="20"/>
      <w:u w:val="single"/>
    </w:rPr>
  </w:style>
  <w:style w:type="paragraph" w:styleId="Ttulo3">
    <w:name w:val="heading 3"/>
    <w:basedOn w:val="Ttulo1"/>
    <w:next w:val="Normal"/>
    <w:link w:val="Ttulo3Car"/>
    <w:uiPriority w:val="9"/>
    <w:unhideWhenUsed/>
    <w:qFormat/>
    <w:rsid w:val="000F6D5A"/>
    <w:pPr>
      <w:numPr>
        <w:ilvl w:val="1"/>
        <w:numId w:val="7"/>
      </w:numPr>
      <w:outlineLvl w:val="2"/>
    </w:pPr>
  </w:style>
  <w:style w:type="paragraph" w:styleId="Ttulo4">
    <w:name w:val="heading 4"/>
    <w:basedOn w:val="Normal"/>
    <w:next w:val="Normal"/>
    <w:link w:val="Ttulo4Car"/>
    <w:uiPriority w:val="9"/>
    <w:unhideWhenUsed/>
    <w:qFormat/>
    <w:rsid w:val="000F6D5A"/>
    <w:pPr>
      <w:keepNext/>
      <w:keepLines/>
      <w:numPr>
        <w:ilvl w:val="3"/>
        <w:numId w:val="8"/>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unhideWhenUsed/>
    <w:qFormat/>
    <w:rsid w:val="000F6D5A"/>
    <w:pPr>
      <w:keepNext/>
      <w:keepLines/>
      <w:numPr>
        <w:ilvl w:val="4"/>
        <w:numId w:val="8"/>
      </w:numPr>
      <w:spacing w:before="200" w:after="0"/>
      <w:outlineLvl w:val="4"/>
    </w:pPr>
    <w:rPr>
      <w:rFonts w:asciiTheme="majorHAnsi" w:eastAsiaTheme="majorEastAsia" w:hAnsiTheme="majorHAnsi" w:cstheme="majorBidi"/>
      <w:color w:val="17365D" w:themeColor="text2" w:themeShade="BF"/>
    </w:rPr>
  </w:style>
  <w:style w:type="paragraph" w:styleId="Ttulo6">
    <w:name w:val="heading 6"/>
    <w:basedOn w:val="Normal"/>
    <w:next w:val="Normal"/>
    <w:link w:val="Ttulo6Car"/>
    <w:uiPriority w:val="9"/>
    <w:unhideWhenUsed/>
    <w:qFormat/>
    <w:rsid w:val="000F6D5A"/>
    <w:pPr>
      <w:keepNext/>
      <w:keepLines/>
      <w:numPr>
        <w:ilvl w:val="5"/>
        <w:numId w:val="8"/>
      </w:numPr>
      <w:spacing w:before="200" w:after="0"/>
      <w:outlineLvl w:val="5"/>
    </w:pPr>
    <w:rPr>
      <w:rFonts w:asciiTheme="majorHAnsi" w:eastAsiaTheme="majorEastAsia" w:hAnsiTheme="majorHAnsi" w:cstheme="majorBidi"/>
      <w:i/>
      <w:iCs/>
      <w:color w:val="17365D" w:themeColor="text2" w:themeShade="BF"/>
    </w:rPr>
  </w:style>
  <w:style w:type="paragraph" w:styleId="Ttulo7">
    <w:name w:val="heading 7"/>
    <w:basedOn w:val="Normal"/>
    <w:next w:val="Normal"/>
    <w:link w:val="Ttulo7Car"/>
    <w:uiPriority w:val="9"/>
    <w:semiHidden/>
    <w:unhideWhenUsed/>
    <w:qFormat/>
    <w:rsid w:val="000F6D5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F6D5A"/>
    <w:pPr>
      <w:keepNext/>
      <w:keepLines/>
      <w:numPr>
        <w:ilvl w:val="7"/>
        <w:numId w:val="8"/>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0F6D5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F6D5A"/>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F6D5A"/>
    <w:pPr>
      <w:ind w:left="720"/>
      <w:contextualSpacing/>
    </w:pPr>
  </w:style>
  <w:style w:type="character" w:styleId="Hipervnculo">
    <w:name w:val="Hyperlink"/>
    <w:basedOn w:val="Fuentedeprrafopredeter"/>
    <w:uiPriority w:val="99"/>
    <w:unhideWhenUsed/>
    <w:rsid w:val="000F6D5A"/>
    <w:rPr>
      <w:color w:val="0000FF"/>
      <w:u w:val="single"/>
    </w:rPr>
  </w:style>
  <w:style w:type="character" w:styleId="Refdecomentario">
    <w:name w:val="annotation reference"/>
    <w:basedOn w:val="Fuentedeprrafopredeter"/>
    <w:uiPriority w:val="99"/>
    <w:unhideWhenUsed/>
    <w:rsid w:val="000F6D5A"/>
    <w:rPr>
      <w:sz w:val="16"/>
      <w:szCs w:val="16"/>
    </w:rPr>
  </w:style>
  <w:style w:type="paragraph" w:styleId="Textocomentario">
    <w:name w:val="annotation text"/>
    <w:basedOn w:val="Normal"/>
    <w:link w:val="TextocomentarioCar"/>
    <w:uiPriority w:val="99"/>
    <w:unhideWhenUsed/>
    <w:rsid w:val="000F6D5A"/>
    <w:pPr>
      <w:spacing w:line="240" w:lineRule="auto"/>
    </w:pPr>
    <w:rPr>
      <w:szCs w:val="20"/>
    </w:rPr>
  </w:style>
  <w:style w:type="character" w:customStyle="1" w:styleId="TextocomentarioCar">
    <w:name w:val="Texto comentario Car"/>
    <w:basedOn w:val="Fuentedeprrafopredeter"/>
    <w:link w:val="Textocomentario"/>
    <w:uiPriority w:val="99"/>
    <w:rsid w:val="000F6D5A"/>
    <w:rPr>
      <w:rFonts w:ascii="ITC Avant Garde" w:eastAsiaTheme="minorEastAsia" w:hAnsi="ITC Avant Garde"/>
      <w:sz w:val="20"/>
      <w:szCs w:val="20"/>
      <w:lang w:eastAsia="ja-JP"/>
    </w:rPr>
  </w:style>
  <w:style w:type="paragraph" w:customStyle="1" w:styleId="Default">
    <w:name w:val="Default"/>
    <w:rsid w:val="000F6D5A"/>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0F6D5A"/>
    <w:pPr>
      <w:spacing w:after="0" w:line="240" w:lineRule="auto"/>
    </w:pPr>
    <w:rPr>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6D5A"/>
    <w:rPr>
      <w:rFonts w:ascii="ITC Avant Garde" w:eastAsiaTheme="minorEastAsia" w:hAnsi="ITC Avant Garde"/>
      <w:sz w:val="20"/>
      <w:szCs w:val="20"/>
      <w:lang w:eastAsia="ja-JP"/>
    </w:rPr>
  </w:style>
  <w:style w:type="character" w:styleId="Refdenotaalpie">
    <w:name w:val="footnote reference"/>
    <w:aliases w:val="Ref,de nota al pie"/>
    <w:basedOn w:val="Fuentedeprrafopredeter"/>
    <w:uiPriority w:val="99"/>
    <w:unhideWhenUsed/>
    <w:qFormat/>
    <w:rsid w:val="000F6D5A"/>
    <w:rPr>
      <w:vertAlign w:val="superscript"/>
    </w:rPr>
  </w:style>
  <w:style w:type="paragraph" w:styleId="Encabezado">
    <w:name w:val="header"/>
    <w:basedOn w:val="Normal"/>
    <w:link w:val="EncabezadoCar"/>
    <w:uiPriority w:val="99"/>
    <w:unhideWhenUsed/>
    <w:rsid w:val="000F6D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D5A"/>
    <w:rPr>
      <w:rFonts w:ascii="ITC Avant Garde" w:eastAsiaTheme="minorEastAsia" w:hAnsi="ITC Avant Garde"/>
      <w:sz w:val="20"/>
      <w:szCs w:val="24"/>
      <w:lang w:eastAsia="ja-JP"/>
    </w:rPr>
  </w:style>
  <w:style w:type="paragraph" w:styleId="Textodeglobo">
    <w:name w:val="Balloon Text"/>
    <w:basedOn w:val="Normal"/>
    <w:link w:val="TextodegloboCar"/>
    <w:uiPriority w:val="99"/>
    <w:semiHidden/>
    <w:unhideWhenUsed/>
    <w:rsid w:val="000F6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D5A"/>
    <w:rPr>
      <w:rFonts w:ascii="Segoe UI" w:eastAsiaTheme="minorEastAsia" w:hAnsi="Segoe UI" w:cs="Segoe UI"/>
      <w:sz w:val="18"/>
      <w:szCs w:val="18"/>
      <w:lang w:eastAsia="ja-JP"/>
    </w:rPr>
  </w:style>
  <w:style w:type="paragraph" w:styleId="Asuntodelcomentario">
    <w:name w:val="annotation subject"/>
    <w:basedOn w:val="Textocomentario"/>
    <w:next w:val="Textocomentario"/>
    <w:link w:val="AsuntodelcomentarioCar"/>
    <w:uiPriority w:val="99"/>
    <w:semiHidden/>
    <w:unhideWhenUsed/>
    <w:rsid w:val="000F6D5A"/>
    <w:rPr>
      <w:b/>
      <w:bCs/>
    </w:rPr>
  </w:style>
  <w:style w:type="character" w:customStyle="1" w:styleId="AsuntodelcomentarioCar">
    <w:name w:val="Asunto del comentario Car"/>
    <w:basedOn w:val="TextocomentarioCar"/>
    <w:link w:val="Asuntodelcomentario"/>
    <w:uiPriority w:val="99"/>
    <w:semiHidden/>
    <w:rsid w:val="000F6D5A"/>
    <w:rPr>
      <w:rFonts w:ascii="ITC Avant Garde" w:eastAsiaTheme="minorEastAsia" w:hAnsi="ITC Avant Garde"/>
      <w:b/>
      <w:bCs/>
      <w:sz w:val="20"/>
      <w:szCs w:val="20"/>
      <w:lang w:eastAsia="ja-JP"/>
    </w:rPr>
  </w:style>
  <w:style w:type="character" w:styleId="Textodelmarcadordeposicin">
    <w:name w:val="Placeholder Text"/>
    <w:basedOn w:val="Fuentedeprrafopredeter"/>
    <w:uiPriority w:val="99"/>
    <w:semiHidden/>
    <w:rsid w:val="000F6D5A"/>
    <w:rPr>
      <w:color w:val="808080"/>
    </w:rPr>
  </w:style>
  <w:style w:type="paragraph" w:styleId="Piedepgina">
    <w:name w:val="footer"/>
    <w:basedOn w:val="Normal"/>
    <w:link w:val="PiedepginaCar"/>
    <w:uiPriority w:val="99"/>
    <w:unhideWhenUsed/>
    <w:rsid w:val="000F6D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D5A"/>
    <w:rPr>
      <w:rFonts w:ascii="ITC Avant Garde" w:eastAsiaTheme="minorEastAsia" w:hAnsi="ITC Avant Garde"/>
      <w:sz w:val="20"/>
      <w:szCs w:val="24"/>
      <w:lang w:eastAsia="ja-JP"/>
    </w:rPr>
  </w:style>
  <w:style w:type="paragraph" w:styleId="NormalWeb">
    <w:name w:val="Normal (Web)"/>
    <w:basedOn w:val="Normal"/>
    <w:uiPriority w:val="99"/>
    <w:unhideWhenUsed/>
    <w:rsid w:val="000F6D5A"/>
    <w:pPr>
      <w:spacing w:before="100" w:beforeAutospacing="1" w:after="100" w:afterAutospacing="1" w:line="240" w:lineRule="auto"/>
      <w:jc w:val="left"/>
    </w:pPr>
    <w:rPr>
      <w:rFonts w:ascii="Times New Roman" w:eastAsia="Times New Roman" w:hAnsi="Times New Roman" w:cs="Times New Roman"/>
      <w:sz w:val="24"/>
      <w:lang w:eastAsia="es-MX"/>
    </w:rPr>
  </w:style>
  <w:style w:type="character" w:customStyle="1" w:styleId="Ttulo1Car">
    <w:name w:val="Título 1 Car"/>
    <w:basedOn w:val="Fuentedeprrafopredeter"/>
    <w:link w:val="Ttulo1"/>
    <w:uiPriority w:val="9"/>
    <w:rsid w:val="00553479"/>
    <w:rPr>
      <w:rFonts w:ascii="ITC Avant Garde" w:eastAsiaTheme="minorEastAsia" w:hAnsi="ITC Avant Garde"/>
      <w:b/>
      <w:sz w:val="20"/>
      <w:szCs w:val="24"/>
      <w:lang w:eastAsia="ja-JP"/>
    </w:rPr>
  </w:style>
  <w:style w:type="paragraph" w:styleId="TtulodeTDC">
    <w:name w:val="TOC Heading"/>
    <w:basedOn w:val="Ttulo1"/>
    <w:next w:val="Normal"/>
    <w:uiPriority w:val="39"/>
    <w:unhideWhenUsed/>
    <w:qFormat/>
    <w:rsid w:val="000F6D5A"/>
    <w:pPr>
      <w:outlineLvl w:val="9"/>
    </w:pPr>
  </w:style>
  <w:style w:type="paragraph" w:styleId="TDC2">
    <w:name w:val="toc 2"/>
    <w:basedOn w:val="TDC1"/>
    <w:next w:val="Normal"/>
    <w:autoRedefine/>
    <w:uiPriority w:val="39"/>
    <w:unhideWhenUsed/>
    <w:rsid w:val="00194E58"/>
    <w:pPr>
      <w:spacing w:after="100"/>
      <w:ind w:left="220"/>
      <w:jc w:val="center"/>
    </w:pPr>
  </w:style>
  <w:style w:type="paragraph" w:styleId="TDC1">
    <w:name w:val="toc 1"/>
    <w:basedOn w:val="Normal"/>
    <w:next w:val="Normal"/>
    <w:autoRedefine/>
    <w:uiPriority w:val="39"/>
    <w:unhideWhenUsed/>
    <w:qFormat/>
    <w:rsid w:val="00917AF1"/>
    <w:pPr>
      <w:tabs>
        <w:tab w:val="right" w:leader="dot" w:pos="9345"/>
      </w:tabs>
      <w:spacing w:before="0" w:after="40" w:line="240" w:lineRule="auto"/>
    </w:pPr>
    <w:rPr>
      <w:sz w:val="18"/>
    </w:rPr>
  </w:style>
  <w:style w:type="paragraph" w:styleId="TDC3">
    <w:name w:val="toc 3"/>
    <w:basedOn w:val="TDC1"/>
    <w:next w:val="Normal"/>
    <w:autoRedefine/>
    <w:uiPriority w:val="39"/>
    <w:unhideWhenUsed/>
    <w:qFormat/>
    <w:rsid w:val="00194E58"/>
    <w:pPr>
      <w:spacing w:after="100"/>
      <w:ind w:left="442"/>
    </w:pPr>
  </w:style>
  <w:style w:type="character" w:styleId="Hipervnculovisitado">
    <w:name w:val="FollowedHyperlink"/>
    <w:basedOn w:val="Fuentedeprrafopredeter"/>
    <w:uiPriority w:val="99"/>
    <w:semiHidden/>
    <w:unhideWhenUsed/>
    <w:rsid w:val="001159AC"/>
    <w:rPr>
      <w:color w:val="800080" w:themeColor="followedHyperlink"/>
      <w:u w:val="single"/>
    </w:rPr>
  </w:style>
  <w:style w:type="paragraph" w:customStyle="1" w:styleId="texto">
    <w:name w:val="texto"/>
    <w:basedOn w:val="Normal"/>
    <w:rsid w:val="00460A8F"/>
    <w:pPr>
      <w:spacing w:after="101" w:line="240" w:lineRule="auto"/>
      <w:ind w:firstLine="288"/>
    </w:pPr>
    <w:rPr>
      <w:rFonts w:ascii="Times New Roman" w:eastAsia="Times New Roman" w:hAnsi="Times New Roman" w:cs="Times New Roman"/>
      <w:color w:val="2F2F2F"/>
      <w:sz w:val="18"/>
      <w:szCs w:val="18"/>
      <w:lang w:eastAsia="es-MX"/>
    </w:rPr>
  </w:style>
  <w:style w:type="paragraph" w:customStyle="1" w:styleId="Bullets">
    <w:name w:val="Bullets"/>
    <w:basedOn w:val="Normal"/>
    <w:qFormat/>
    <w:rsid w:val="00194E58"/>
    <w:pPr>
      <w:numPr>
        <w:numId w:val="2"/>
      </w:numPr>
      <w:spacing w:after="0"/>
    </w:pPr>
  </w:style>
  <w:style w:type="paragraph" w:styleId="Cita">
    <w:name w:val="Quote"/>
    <w:basedOn w:val="Normal"/>
    <w:next w:val="Normal"/>
    <w:link w:val="CitaCar"/>
    <w:uiPriority w:val="29"/>
    <w:qFormat/>
    <w:rsid w:val="000F6D5A"/>
    <w:pPr>
      <w:spacing w:before="160"/>
      <w:ind w:left="720" w:right="720"/>
    </w:pPr>
    <w:rPr>
      <w:i/>
      <w:iCs/>
      <w:color w:val="000000" w:themeColor="text1"/>
    </w:rPr>
  </w:style>
  <w:style w:type="character" w:customStyle="1" w:styleId="CitaCar">
    <w:name w:val="Cita Car"/>
    <w:basedOn w:val="Fuentedeprrafopredeter"/>
    <w:link w:val="Cita"/>
    <w:uiPriority w:val="29"/>
    <w:rsid w:val="000F6D5A"/>
    <w:rPr>
      <w:rFonts w:ascii="ITC Avant Garde" w:eastAsiaTheme="minorEastAsia" w:hAnsi="ITC Avant Garde"/>
      <w:i/>
      <w:iCs/>
      <w:color w:val="000000" w:themeColor="text1"/>
      <w:sz w:val="20"/>
      <w:szCs w:val="24"/>
      <w:lang w:eastAsia="ja-JP"/>
    </w:rPr>
  </w:style>
  <w:style w:type="character" w:styleId="nfasis">
    <w:name w:val="Emphasis"/>
    <w:basedOn w:val="Fuentedeprrafopredeter"/>
    <w:uiPriority w:val="20"/>
    <w:qFormat/>
    <w:rsid w:val="000F6D5A"/>
    <w:rPr>
      <w:i/>
      <w:iCs/>
      <w:color w:val="auto"/>
    </w:rPr>
  </w:style>
  <w:style w:type="character" w:customStyle="1" w:styleId="Estilo2">
    <w:name w:val="Estilo2"/>
    <w:basedOn w:val="Fuentedeprrafopredeter"/>
    <w:uiPriority w:val="1"/>
    <w:rsid w:val="00194E58"/>
    <w:rPr>
      <w:rFonts w:ascii="ITC Avant Garde" w:hAnsi="ITC Avant Garde"/>
      <w:sz w:val="22"/>
    </w:rPr>
  </w:style>
  <w:style w:type="character" w:customStyle="1" w:styleId="Estilo3">
    <w:name w:val="Estilo3"/>
    <w:basedOn w:val="Fuentedeprrafopredeter"/>
    <w:uiPriority w:val="1"/>
    <w:rsid w:val="00194E58"/>
    <w:rPr>
      <w:rFonts w:ascii="ITC Avant Garde" w:eastAsia="Times New Roman" w:hAnsi="ITC Avant Garde" w:cs="Times New Roman"/>
      <w:bCs/>
      <w:color w:val="000000"/>
      <w:sz w:val="22"/>
      <w:szCs w:val="24"/>
      <w:lang w:val="es-ES_tradnl" w:eastAsia="es-ES"/>
    </w:rPr>
  </w:style>
  <w:style w:type="character" w:customStyle="1" w:styleId="PrrafodelistaCar">
    <w:name w:val="Párrafo de lista Car"/>
    <w:basedOn w:val="Fuentedeprrafopredeter"/>
    <w:link w:val="Prrafodelista"/>
    <w:uiPriority w:val="34"/>
    <w:rsid w:val="000F6D5A"/>
    <w:rPr>
      <w:rFonts w:ascii="ITC Avant Garde" w:eastAsiaTheme="minorEastAsia" w:hAnsi="ITC Avant Garde"/>
      <w:sz w:val="20"/>
      <w:szCs w:val="24"/>
      <w:lang w:eastAsia="ja-JP"/>
    </w:rPr>
  </w:style>
  <w:style w:type="paragraph" w:styleId="Sinespaciado">
    <w:name w:val="No Spacing"/>
    <w:uiPriority w:val="1"/>
    <w:qFormat/>
    <w:rsid w:val="000F6D5A"/>
    <w:pPr>
      <w:spacing w:after="0" w:line="240" w:lineRule="auto"/>
    </w:pPr>
    <w:rPr>
      <w:rFonts w:eastAsiaTheme="minorEastAsia"/>
      <w:lang w:val="en-US" w:eastAsia="ja-JP"/>
    </w:rPr>
  </w:style>
  <w:style w:type="paragraph" w:customStyle="1" w:styleId="Sinespacio">
    <w:name w:val="Sin espacio"/>
    <w:basedOn w:val="Prrafodelista"/>
    <w:link w:val="SinespacioCar"/>
    <w:qFormat/>
    <w:rsid w:val="00194E58"/>
    <w:pPr>
      <w:autoSpaceDE w:val="0"/>
      <w:autoSpaceDN w:val="0"/>
      <w:adjustRightInd w:val="0"/>
      <w:spacing w:before="0" w:after="0" w:line="240" w:lineRule="auto"/>
      <w:ind w:left="714" w:hanging="357"/>
      <w:contextualSpacing w:val="0"/>
    </w:pPr>
    <w:rPr>
      <w:rFonts w:eastAsia="Times New Roman"/>
      <w:bCs/>
      <w:color w:val="000000"/>
      <w:lang w:val="es-ES_tradnl" w:eastAsia="es-ES"/>
    </w:rPr>
  </w:style>
  <w:style w:type="character" w:customStyle="1" w:styleId="SinespacioCar">
    <w:name w:val="Sin espacio Car"/>
    <w:link w:val="Sinespacio"/>
    <w:rsid w:val="00194E58"/>
    <w:rPr>
      <w:rFonts w:ascii="ITC Avant Garde" w:eastAsia="Times New Roman" w:hAnsi="ITC Avant Garde" w:cs="Times New Roman"/>
      <w:bCs/>
      <w:color w:val="000000"/>
      <w:szCs w:val="24"/>
      <w:lang w:val="es-ES_tradnl" w:eastAsia="es-ES"/>
    </w:rPr>
  </w:style>
  <w:style w:type="paragraph" w:styleId="Subttulo">
    <w:name w:val="Subtitle"/>
    <w:basedOn w:val="Normal"/>
    <w:next w:val="Normal"/>
    <w:link w:val="SubttuloCar"/>
    <w:uiPriority w:val="11"/>
    <w:qFormat/>
    <w:rsid w:val="000F6D5A"/>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0F6D5A"/>
    <w:rPr>
      <w:rFonts w:ascii="ITC Avant Garde" w:eastAsiaTheme="minorEastAsia" w:hAnsi="ITC Avant Garde"/>
      <w:color w:val="5A5A5A" w:themeColor="text1" w:themeTint="A5"/>
      <w:spacing w:val="10"/>
      <w:sz w:val="20"/>
      <w:szCs w:val="24"/>
      <w:lang w:eastAsia="ja-JP"/>
    </w:rPr>
  </w:style>
  <w:style w:type="table" w:styleId="Tabladelista3-nfasis6">
    <w:name w:val="List Table 3 Accent 6"/>
    <w:basedOn w:val="Tablanormal"/>
    <w:uiPriority w:val="48"/>
    <w:rsid w:val="00194E5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TDC4">
    <w:name w:val="toc 4"/>
    <w:basedOn w:val="TDC1"/>
    <w:next w:val="Normal"/>
    <w:autoRedefine/>
    <w:uiPriority w:val="39"/>
    <w:unhideWhenUsed/>
    <w:qFormat/>
    <w:rsid w:val="00194E58"/>
    <w:pPr>
      <w:spacing w:after="100"/>
      <w:ind w:left="660"/>
    </w:pPr>
  </w:style>
  <w:style w:type="paragraph" w:styleId="TDC5">
    <w:name w:val="toc 5"/>
    <w:basedOn w:val="TDC1"/>
    <w:next w:val="Normal"/>
    <w:autoRedefine/>
    <w:uiPriority w:val="39"/>
    <w:semiHidden/>
    <w:unhideWhenUsed/>
    <w:qFormat/>
    <w:rsid w:val="00194E58"/>
    <w:pPr>
      <w:spacing w:after="100"/>
      <w:ind w:left="880"/>
    </w:pPr>
  </w:style>
  <w:style w:type="paragraph" w:styleId="TDC6">
    <w:name w:val="toc 6"/>
    <w:basedOn w:val="TDC1"/>
    <w:next w:val="Normal"/>
    <w:autoRedefine/>
    <w:uiPriority w:val="39"/>
    <w:semiHidden/>
    <w:unhideWhenUsed/>
    <w:qFormat/>
    <w:rsid w:val="00194E58"/>
    <w:pPr>
      <w:spacing w:after="100"/>
      <w:ind w:left="1100"/>
    </w:pPr>
  </w:style>
  <w:style w:type="paragraph" w:styleId="TDC7">
    <w:name w:val="toc 7"/>
    <w:basedOn w:val="TDC1"/>
    <w:next w:val="Normal"/>
    <w:autoRedefine/>
    <w:uiPriority w:val="39"/>
    <w:semiHidden/>
    <w:unhideWhenUsed/>
    <w:qFormat/>
    <w:rsid w:val="00194E58"/>
    <w:pPr>
      <w:spacing w:after="100"/>
      <w:ind w:left="1320"/>
    </w:pPr>
  </w:style>
  <w:style w:type="paragraph" w:styleId="Textodebloque">
    <w:name w:val="Block Text"/>
    <w:basedOn w:val="Normal"/>
    <w:qFormat/>
    <w:rsid w:val="00194E58"/>
    <w:pPr>
      <w:spacing w:before="0" w:after="240" w:line="240" w:lineRule="auto"/>
      <w:jc w:val="left"/>
    </w:pPr>
    <w:rPr>
      <w:rFonts w:ascii="Times New Roman" w:hAnsi="Times New Roman"/>
      <w:iCs/>
      <w:sz w:val="24"/>
      <w:lang w:val="en-US"/>
    </w:rPr>
  </w:style>
  <w:style w:type="paragraph" w:styleId="Textoindependiente2">
    <w:name w:val="Body Text 2"/>
    <w:basedOn w:val="Normal"/>
    <w:link w:val="Textoindependiente2Car"/>
    <w:semiHidden/>
    <w:rsid w:val="00194E58"/>
    <w:pPr>
      <w:tabs>
        <w:tab w:val="left" w:pos="0"/>
        <w:tab w:val="left" w:pos="142"/>
      </w:tabs>
      <w:spacing w:before="0" w:after="0"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194E58"/>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rsid w:val="000F6D5A"/>
    <w:rPr>
      <w:rFonts w:ascii="ITC Avant Garde" w:eastAsiaTheme="minorEastAsia" w:hAnsi="ITC Avant Garde"/>
      <w:b/>
      <w:sz w:val="20"/>
      <w:szCs w:val="20"/>
      <w:u w:val="single"/>
      <w:lang w:eastAsia="ja-JP"/>
    </w:rPr>
  </w:style>
  <w:style w:type="character" w:customStyle="1" w:styleId="Ttulo3Car">
    <w:name w:val="Título 3 Car"/>
    <w:basedOn w:val="Fuentedeprrafopredeter"/>
    <w:link w:val="Ttulo3"/>
    <w:uiPriority w:val="9"/>
    <w:rsid w:val="000F6D5A"/>
    <w:rPr>
      <w:rFonts w:ascii="ITC Avant Garde" w:eastAsiaTheme="minorEastAsia" w:hAnsi="ITC Avant Garde"/>
      <w:b/>
      <w:sz w:val="20"/>
      <w:szCs w:val="24"/>
      <w:lang w:eastAsia="ja-JP"/>
    </w:rPr>
  </w:style>
  <w:style w:type="character" w:customStyle="1" w:styleId="Ttulo4Car">
    <w:name w:val="Título 4 Car"/>
    <w:basedOn w:val="Fuentedeprrafopredeter"/>
    <w:link w:val="Ttulo4"/>
    <w:uiPriority w:val="9"/>
    <w:rsid w:val="000F6D5A"/>
    <w:rPr>
      <w:rFonts w:asciiTheme="majorHAnsi" w:eastAsiaTheme="majorEastAsia" w:hAnsiTheme="majorHAnsi" w:cstheme="majorBidi"/>
      <w:b/>
      <w:bCs/>
      <w:i/>
      <w:iCs/>
      <w:color w:val="000000" w:themeColor="text1"/>
      <w:sz w:val="20"/>
      <w:szCs w:val="24"/>
      <w:lang w:eastAsia="ja-JP"/>
    </w:rPr>
  </w:style>
  <w:style w:type="character" w:customStyle="1" w:styleId="Ttulo5Car">
    <w:name w:val="Título 5 Car"/>
    <w:basedOn w:val="Fuentedeprrafopredeter"/>
    <w:link w:val="Ttulo5"/>
    <w:uiPriority w:val="9"/>
    <w:rsid w:val="000F6D5A"/>
    <w:rPr>
      <w:rFonts w:asciiTheme="majorHAnsi" w:eastAsiaTheme="majorEastAsia" w:hAnsiTheme="majorHAnsi" w:cstheme="majorBidi"/>
      <w:color w:val="17365D" w:themeColor="text2" w:themeShade="BF"/>
      <w:sz w:val="20"/>
      <w:szCs w:val="24"/>
      <w:lang w:eastAsia="ja-JP"/>
    </w:rPr>
  </w:style>
  <w:style w:type="character" w:customStyle="1" w:styleId="Ttulo6Car">
    <w:name w:val="Título 6 Car"/>
    <w:basedOn w:val="Fuentedeprrafopredeter"/>
    <w:link w:val="Ttulo6"/>
    <w:uiPriority w:val="9"/>
    <w:rsid w:val="000F6D5A"/>
    <w:rPr>
      <w:rFonts w:asciiTheme="majorHAnsi" w:eastAsiaTheme="majorEastAsia" w:hAnsiTheme="majorHAnsi" w:cstheme="majorBidi"/>
      <w:i/>
      <w:iCs/>
      <w:color w:val="17365D" w:themeColor="text2" w:themeShade="BF"/>
      <w:sz w:val="20"/>
      <w:szCs w:val="24"/>
      <w:lang w:eastAsia="ja-JP"/>
    </w:rPr>
  </w:style>
  <w:style w:type="paragraph" w:customStyle="1" w:styleId="Prrafoantecedentes">
    <w:name w:val="Párrafo antecedentes"/>
    <w:basedOn w:val="Normal"/>
    <w:qFormat/>
    <w:rsid w:val="000F5F09"/>
    <w:pPr>
      <w:numPr>
        <w:numId w:val="3"/>
      </w:numPr>
      <w:spacing w:after="0"/>
      <w:ind w:right="-1"/>
    </w:pPr>
  </w:style>
  <w:style w:type="paragraph" w:customStyle="1" w:styleId="Seccin">
    <w:name w:val="Sección"/>
    <w:basedOn w:val="Prrafoantecedentes"/>
    <w:qFormat/>
    <w:rsid w:val="000F6D5A"/>
    <w:pPr>
      <w:numPr>
        <w:numId w:val="0"/>
      </w:numPr>
      <w:spacing w:before="360"/>
      <w:ind w:right="0"/>
    </w:pPr>
    <w:rPr>
      <w:b/>
      <w:smallCaps/>
    </w:rPr>
  </w:style>
  <w:style w:type="paragraph" w:customStyle="1" w:styleId="Cm">
    <w:name w:val="Cm"/>
    <w:basedOn w:val="3ttulo"/>
    <w:link w:val="CmCar"/>
    <w:qFormat/>
    <w:rsid w:val="000F6D5A"/>
    <w:pPr>
      <w:keepNext/>
      <w:numPr>
        <w:numId w:val="0"/>
      </w:numPr>
    </w:pPr>
  </w:style>
  <w:style w:type="character" w:customStyle="1" w:styleId="CmCar">
    <w:name w:val="Cm Car"/>
    <w:basedOn w:val="3ttuloCar"/>
    <w:link w:val="Cm"/>
    <w:rsid w:val="000F6D5A"/>
    <w:rPr>
      <w:rFonts w:ascii="ITC Avant Garde" w:eastAsiaTheme="minorEastAsia" w:hAnsi="ITC Avant Garde"/>
      <w:b/>
      <w:sz w:val="20"/>
      <w:szCs w:val="20"/>
      <w:lang w:eastAsia="es-MX"/>
    </w:rPr>
  </w:style>
  <w:style w:type="paragraph" w:customStyle="1" w:styleId="1Ttulo">
    <w:name w:val="1_Título"/>
    <w:basedOn w:val="Ttulo1"/>
    <w:link w:val="1TtuloCar"/>
    <w:qFormat/>
    <w:rsid w:val="000F6D5A"/>
    <w:pPr>
      <w:numPr>
        <w:numId w:val="0"/>
      </w:numPr>
    </w:pPr>
  </w:style>
  <w:style w:type="character" w:customStyle="1" w:styleId="1TtuloCar">
    <w:name w:val="1_Título Car"/>
    <w:basedOn w:val="Fuentedeprrafopredeter"/>
    <w:link w:val="1Ttulo"/>
    <w:rsid w:val="000F6D5A"/>
    <w:rPr>
      <w:rFonts w:ascii="ITC Avant Garde" w:eastAsiaTheme="minorEastAsia" w:hAnsi="ITC Avant Garde"/>
      <w:b/>
      <w:sz w:val="20"/>
      <w:szCs w:val="24"/>
      <w:lang w:eastAsia="ja-JP"/>
    </w:rPr>
  </w:style>
  <w:style w:type="paragraph" w:customStyle="1" w:styleId="2Ttulo">
    <w:name w:val="2_Título"/>
    <w:basedOn w:val="Prrafodelista"/>
    <w:link w:val="2TtuloCar"/>
    <w:qFormat/>
    <w:rsid w:val="000F6D5A"/>
    <w:pPr>
      <w:keepNext/>
      <w:numPr>
        <w:numId w:val="4"/>
      </w:numPr>
      <w:spacing w:before="240"/>
      <w:contextualSpacing w:val="0"/>
    </w:pPr>
    <w:rPr>
      <w:b/>
    </w:rPr>
  </w:style>
  <w:style w:type="character" w:customStyle="1" w:styleId="2TtuloCar">
    <w:name w:val="2_Título Car"/>
    <w:basedOn w:val="PrrafodelistaCar"/>
    <w:link w:val="2Ttulo"/>
    <w:rsid w:val="000F6D5A"/>
    <w:rPr>
      <w:rFonts w:ascii="ITC Avant Garde" w:eastAsiaTheme="minorEastAsia" w:hAnsi="ITC Avant Garde"/>
      <w:b/>
      <w:sz w:val="20"/>
      <w:szCs w:val="24"/>
      <w:lang w:eastAsia="ja-JP"/>
    </w:rPr>
  </w:style>
  <w:style w:type="paragraph" w:customStyle="1" w:styleId="3ttulo">
    <w:name w:val="3_título"/>
    <w:basedOn w:val="Prrafodelista"/>
    <w:link w:val="3ttuloCar"/>
    <w:qFormat/>
    <w:rsid w:val="000F6D5A"/>
    <w:pPr>
      <w:numPr>
        <w:numId w:val="5"/>
      </w:numPr>
      <w:contextualSpacing w:val="0"/>
    </w:pPr>
    <w:rPr>
      <w:b/>
      <w:szCs w:val="20"/>
      <w:lang w:eastAsia="es-MX"/>
    </w:rPr>
  </w:style>
  <w:style w:type="character" w:customStyle="1" w:styleId="3ttuloCar">
    <w:name w:val="3_título Car"/>
    <w:basedOn w:val="PrrafodelistaCar"/>
    <w:link w:val="3ttulo"/>
    <w:rsid w:val="000F6D5A"/>
    <w:rPr>
      <w:rFonts w:ascii="ITC Avant Garde" w:eastAsiaTheme="minorEastAsia" w:hAnsi="ITC Avant Garde"/>
      <w:b/>
      <w:sz w:val="20"/>
      <w:szCs w:val="20"/>
      <w:lang w:eastAsia="es-MX"/>
    </w:rPr>
  </w:style>
  <w:style w:type="paragraph" w:customStyle="1" w:styleId="4Ttulo">
    <w:name w:val="4_Título"/>
    <w:basedOn w:val="3ttulo"/>
    <w:link w:val="4TtuloCar"/>
    <w:qFormat/>
    <w:rsid w:val="000F6D5A"/>
    <w:pPr>
      <w:numPr>
        <w:ilvl w:val="1"/>
        <w:numId w:val="6"/>
      </w:numPr>
    </w:pPr>
  </w:style>
  <w:style w:type="character" w:customStyle="1" w:styleId="4TtuloCar">
    <w:name w:val="4_Título Car"/>
    <w:basedOn w:val="3ttuloCar"/>
    <w:link w:val="4Ttulo"/>
    <w:rsid w:val="000F6D5A"/>
    <w:rPr>
      <w:rFonts w:ascii="ITC Avant Garde" w:eastAsiaTheme="minorEastAsia" w:hAnsi="ITC Avant Garde"/>
      <w:b/>
      <w:sz w:val="20"/>
      <w:szCs w:val="20"/>
      <w:lang w:eastAsia="es-MX"/>
    </w:rPr>
  </w:style>
  <w:style w:type="character" w:customStyle="1" w:styleId="apple-converted-space">
    <w:name w:val="apple-converted-space"/>
    <w:basedOn w:val="Fuentedeprrafopredeter"/>
    <w:rsid w:val="000F6D5A"/>
  </w:style>
  <w:style w:type="paragraph" w:styleId="Citadestacada">
    <w:name w:val="Intense Quote"/>
    <w:basedOn w:val="Normal"/>
    <w:next w:val="Normal"/>
    <w:link w:val="CitadestacadaCar"/>
    <w:uiPriority w:val="30"/>
    <w:qFormat/>
    <w:rsid w:val="000F6D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0F6D5A"/>
    <w:rPr>
      <w:rFonts w:ascii="ITC Avant Garde" w:eastAsiaTheme="minorEastAsia" w:hAnsi="ITC Avant Garde"/>
      <w:color w:val="000000" w:themeColor="text1"/>
      <w:sz w:val="20"/>
      <w:szCs w:val="24"/>
      <w:shd w:val="clear" w:color="auto" w:fill="F2F2F2" w:themeFill="background1" w:themeFillShade="F2"/>
      <w:lang w:eastAsia="ja-JP"/>
    </w:rPr>
  </w:style>
  <w:style w:type="paragraph" w:styleId="Descripcin">
    <w:name w:val="caption"/>
    <w:basedOn w:val="Normal"/>
    <w:next w:val="Normal"/>
    <w:uiPriority w:val="35"/>
    <w:semiHidden/>
    <w:unhideWhenUsed/>
    <w:qFormat/>
    <w:rsid w:val="000F6D5A"/>
    <w:pPr>
      <w:spacing w:after="200" w:line="240" w:lineRule="auto"/>
    </w:pPr>
    <w:rPr>
      <w:i/>
      <w:iCs/>
      <w:color w:val="1F497D" w:themeColor="text2"/>
      <w:sz w:val="18"/>
      <w:szCs w:val="18"/>
    </w:rPr>
  </w:style>
  <w:style w:type="character" w:styleId="nfasisintenso">
    <w:name w:val="Intense Emphasis"/>
    <w:basedOn w:val="Fuentedeprrafopredeter"/>
    <w:uiPriority w:val="21"/>
    <w:qFormat/>
    <w:rsid w:val="000F6D5A"/>
    <w:rPr>
      <w:b/>
      <w:bCs/>
      <w:i/>
      <w:iCs/>
      <w:caps/>
    </w:rPr>
  </w:style>
  <w:style w:type="character" w:styleId="nfasissutil">
    <w:name w:val="Subtle Emphasis"/>
    <w:basedOn w:val="Fuentedeprrafopredeter"/>
    <w:uiPriority w:val="19"/>
    <w:qFormat/>
    <w:rsid w:val="000F6D5A"/>
    <w:rPr>
      <w:i/>
      <w:iCs/>
      <w:color w:val="404040" w:themeColor="text1" w:themeTint="BF"/>
    </w:rPr>
  </w:style>
  <w:style w:type="paragraph" w:customStyle="1" w:styleId="Fraccin">
    <w:name w:val="Fracción"/>
    <w:basedOn w:val="Prrafodelista"/>
    <w:link w:val="FraccinCar"/>
    <w:qFormat/>
    <w:rsid w:val="000F6D5A"/>
    <w:pPr>
      <w:spacing w:after="0" w:line="264" w:lineRule="auto"/>
      <w:ind w:left="0"/>
      <w:contextualSpacing w:val="0"/>
    </w:pPr>
  </w:style>
  <w:style w:type="character" w:customStyle="1" w:styleId="FraccinCar">
    <w:name w:val="Fracción Car"/>
    <w:basedOn w:val="PrrafodelistaCar"/>
    <w:link w:val="Fraccin"/>
    <w:rsid w:val="000F6D5A"/>
    <w:rPr>
      <w:rFonts w:ascii="ITC Avant Garde" w:eastAsiaTheme="minorEastAsia" w:hAnsi="ITC Avant Garde"/>
      <w:sz w:val="20"/>
      <w:szCs w:val="24"/>
      <w:lang w:eastAsia="ja-JP"/>
    </w:rPr>
  </w:style>
  <w:style w:type="paragraph" w:customStyle="1" w:styleId="Nuevo">
    <w:name w:val="Nuevo"/>
    <w:basedOn w:val="Normal"/>
    <w:qFormat/>
    <w:rsid w:val="000F6D5A"/>
    <w:rPr>
      <w:color w:val="0070C0"/>
    </w:rPr>
  </w:style>
  <w:style w:type="paragraph" w:styleId="Puesto">
    <w:name w:val="Title"/>
    <w:basedOn w:val="Normal"/>
    <w:next w:val="Normal"/>
    <w:link w:val="PuestoCar"/>
    <w:uiPriority w:val="10"/>
    <w:qFormat/>
    <w:rsid w:val="000F6D5A"/>
    <w:pPr>
      <w:spacing w:after="0" w:line="240" w:lineRule="auto"/>
      <w:contextualSpacing/>
      <w:jc w:val="center"/>
    </w:pPr>
    <w:rPr>
      <w:rFonts w:eastAsiaTheme="majorEastAsia" w:cstheme="majorBidi"/>
      <w:color w:val="000000" w:themeColor="text1"/>
      <w:sz w:val="28"/>
      <w:szCs w:val="28"/>
    </w:rPr>
  </w:style>
  <w:style w:type="character" w:customStyle="1" w:styleId="PuestoCar">
    <w:name w:val="Puesto Car"/>
    <w:basedOn w:val="Fuentedeprrafopredeter"/>
    <w:link w:val="Puesto"/>
    <w:uiPriority w:val="10"/>
    <w:rsid w:val="000F6D5A"/>
    <w:rPr>
      <w:rFonts w:ascii="ITC Avant Garde" w:eastAsiaTheme="majorEastAsia" w:hAnsi="ITC Avant Garde" w:cstheme="majorBidi"/>
      <w:color w:val="000000" w:themeColor="text1"/>
      <w:sz w:val="28"/>
      <w:szCs w:val="28"/>
      <w:lang w:eastAsia="ja-JP"/>
    </w:rPr>
  </w:style>
  <w:style w:type="character" w:styleId="Referenciaintensa">
    <w:name w:val="Intense Reference"/>
    <w:basedOn w:val="Fuentedeprrafopredeter"/>
    <w:uiPriority w:val="32"/>
    <w:qFormat/>
    <w:rsid w:val="000F6D5A"/>
    <w:rPr>
      <w:b/>
      <w:bCs/>
      <w:smallCaps/>
      <w:u w:val="single"/>
    </w:rPr>
  </w:style>
  <w:style w:type="character" w:styleId="Referenciasutil">
    <w:name w:val="Subtle Reference"/>
    <w:basedOn w:val="Fuentedeprrafopredeter"/>
    <w:uiPriority w:val="31"/>
    <w:qFormat/>
    <w:rsid w:val="000F6D5A"/>
    <w:rPr>
      <w:smallCaps/>
      <w:color w:val="404040" w:themeColor="text1" w:themeTint="BF"/>
      <w:u w:val="single" w:color="7F7F7F" w:themeColor="text1" w:themeTint="80"/>
    </w:rPr>
  </w:style>
  <w:style w:type="character" w:styleId="Textoennegrita">
    <w:name w:val="Strong"/>
    <w:basedOn w:val="Fuentedeprrafopredeter"/>
    <w:uiPriority w:val="22"/>
    <w:qFormat/>
    <w:rsid w:val="000F6D5A"/>
    <w:rPr>
      <w:b/>
      <w:bCs/>
      <w:color w:val="000000" w:themeColor="text1"/>
    </w:rPr>
  </w:style>
  <w:style w:type="paragraph" w:customStyle="1" w:styleId="Titulo3">
    <w:name w:val="Titulo 3"/>
    <w:basedOn w:val="Prrafodelista"/>
    <w:link w:val="Titulo3Car"/>
    <w:qFormat/>
    <w:rsid w:val="000F6D5A"/>
    <w:pPr>
      <w:keepNext/>
      <w:tabs>
        <w:tab w:val="left" w:pos="1843"/>
      </w:tabs>
      <w:spacing w:before="240"/>
      <w:ind w:left="1077" w:hanging="720"/>
      <w:contextualSpacing w:val="0"/>
    </w:pPr>
  </w:style>
  <w:style w:type="character" w:customStyle="1" w:styleId="Titulo3Car">
    <w:name w:val="Titulo 3 Car"/>
    <w:basedOn w:val="PrrafodelistaCar"/>
    <w:link w:val="Titulo3"/>
    <w:rsid w:val="000F6D5A"/>
    <w:rPr>
      <w:rFonts w:ascii="ITC Avant Garde" w:eastAsiaTheme="minorEastAsia" w:hAnsi="ITC Avant Garde"/>
      <w:sz w:val="20"/>
      <w:szCs w:val="24"/>
      <w:lang w:eastAsia="ja-JP"/>
    </w:rPr>
  </w:style>
  <w:style w:type="character" w:customStyle="1" w:styleId="Ttulo7Car">
    <w:name w:val="Título 7 Car"/>
    <w:basedOn w:val="Fuentedeprrafopredeter"/>
    <w:link w:val="Ttulo7"/>
    <w:uiPriority w:val="9"/>
    <w:semiHidden/>
    <w:rsid w:val="000F6D5A"/>
    <w:rPr>
      <w:rFonts w:asciiTheme="majorHAnsi" w:eastAsiaTheme="majorEastAsia" w:hAnsiTheme="majorHAnsi" w:cstheme="majorBidi"/>
      <w:i/>
      <w:iCs/>
      <w:color w:val="404040" w:themeColor="text1" w:themeTint="BF"/>
      <w:sz w:val="20"/>
      <w:szCs w:val="24"/>
      <w:lang w:eastAsia="ja-JP"/>
    </w:rPr>
  </w:style>
  <w:style w:type="character" w:customStyle="1" w:styleId="Ttulo8Car">
    <w:name w:val="Título 8 Car"/>
    <w:basedOn w:val="Fuentedeprrafopredeter"/>
    <w:link w:val="Ttulo8"/>
    <w:uiPriority w:val="9"/>
    <w:semiHidden/>
    <w:rsid w:val="000F6D5A"/>
    <w:rPr>
      <w:rFonts w:asciiTheme="majorHAnsi" w:eastAsiaTheme="majorEastAsia" w:hAnsiTheme="majorHAnsi" w:cstheme="majorBidi"/>
      <w:color w:val="404040" w:themeColor="text1" w:themeTint="BF"/>
      <w:sz w:val="20"/>
      <w:szCs w:val="20"/>
      <w:lang w:eastAsia="ja-JP"/>
    </w:rPr>
  </w:style>
  <w:style w:type="character" w:customStyle="1" w:styleId="Ttulo9Car">
    <w:name w:val="Título 9 Car"/>
    <w:basedOn w:val="Fuentedeprrafopredeter"/>
    <w:link w:val="Ttulo9"/>
    <w:uiPriority w:val="9"/>
    <w:semiHidden/>
    <w:rsid w:val="000F6D5A"/>
    <w:rPr>
      <w:rFonts w:asciiTheme="majorHAnsi" w:eastAsiaTheme="majorEastAsia" w:hAnsiTheme="majorHAnsi" w:cstheme="majorBidi"/>
      <w:i/>
      <w:iCs/>
      <w:color w:val="404040" w:themeColor="text1" w:themeTint="BF"/>
      <w:sz w:val="20"/>
      <w:szCs w:val="20"/>
      <w:lang w:eastAsia="ja-JP"/>
    </w:rPr>
  </w:style>
  <w:style w:type="character" w:styleId="Ttulodellibro">
    <w:name w:val="Book Title"/>
    <w:basedOn w:val="Fuentedeprrafopredeter"/>
    <w:uiPriority w:val="33"/>
    <w:qFormat/>
    <w:rsid w:val="000F6D5A"/>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580">
      <w:bodyDiv w:val="1"/>
      <w:marLeft w:val="0"/>
      <w:marRight w:val="0"/>
      <w:marTop w:val="0"/>
      <w:marBottom w:val="0"/>
      <w:divBdr>
        <w:top w:val="none" w:sz="0" w:space="0" w:color="auto"/>
        <w:left w:val="none" w:sz="0" w:space="0" w:color="auto"/>
        <w:bottom w:val="none" w:sz="0" w:space="0" w:color="auto"/>
        <w:right w:val="none" w:sz="0" w:space="0" w:color="auto"/>
      </w:divBdr>
    </w:div>
    <w:div w:id="132135975">
      <w:bodyDiv w:val="1"/>
      <w:marLeft w:val="0"/>
      <w:marRight w:val="0"/>
      <w:marTop w:val="0"/>
      <w:marBottom w:val="0"/>
      <w:divBdr>
        <w:top w:val="none" w:sz="0" w:space="0" w:color="auto"/>
        <w:left w:val="none" w:sz="0" w:space="0" w:color="auto"/>
        <w:bottom w:val="none" w:sz="0" w:space="0" w:color="auto"/>
        <w:right w:val="none" w:sz="0" w:space="0" w:color="auto"/>
      </w:divBdr>
    </w:div>
    <w:div w:id="547840724">
      <w:bodyDiv w:val="1"/>
      <w:marLeft w:val="0"/>
      <w:marRight w:val="0"/>
      <w:marTop w:val="0"/>
      <w:marBottom w:val="0"/>
      <w:divBdr>
        <w:top w:val="none" w:sz="0" w:space="0" w:color="auto"/>
        <w:left w:val="none" w:sz="0" w:space="0" w:color="auto"/>
        <w:bottom w:val="none" w:sz="0" w:space="0" w:color="auto"/>
        <w:right w:val="none" w:sz="0" w:space="0" w:color="auto"/>
      </w:divBdr>
    </w:div>
    <w:div w:id="818155279">
      <w:bodyDiv w:val="1"/>
      <w:marLeft w:val="0"/>
      <w:marRight w:val="0"/>
      <w:marTop w:val="0"/>
      <w:marBottom w:val="0"/>
      <w:divBdr>
        <w:top w:val="none" w:sz="0" w:space="0" w:color="auto"/>
        <w:left w:val="none" w:sz="0" w:space="0" w:color="auto"/>
        <w:bottom w:val="none" w:sz="0" w:space="0" w:color="auto"/>
        <w:right w:val="none" w:sz="0" w:space="0" w:color="auto"/>
      </w:divBdr>
    </w:div>
    <w:div w:id="832457371">
      <w:bodyDiv w:val="1"/>
      <w:marLeft w:val="0"/>
      <w:marRight w:val="0"/>
      <w:marTop w:val="0"/>
      <w:marBottom w:val="0"/>
      <w:divBdr>
        <w:top w:val="none" w:sz="0" w:space="0" w:color="auto"/>
        <w:left w:val="none" w:sz="0" w:space="0" w:color="auto"/>
        <w:bottom w:val="none" w:sz="0" w:space="0" w:color="auto"/>
        <w:right w:val="none" w:sz="0" w:space="0" w:color="auto"/>
      </w:divBdr>
    </w:div>
    <w:div w:id="835538258">
      <w:bodyDiv w:val="1"/>
      <w:marLeft w:val="0"/>
      <w:marRight w:val="0"/>
      <w:marTop w:val="0"/>
      <w:marBottom w:val="0"/>
      <w:divBdr>
        <w:top w:val="none" w:sz="0" w:space="0" w:color="auto"/>
        <w:left w:val="none" w:sz="0" w:space="0" w:color="auto"/>
        <w:bottom w:val="none" w:sz="0" w:space="0" w:color="auto"/>
        <w:right w:val="none" w:sz="0" w:space="0" w:color="auto"/>
      </w:divBdr>
    </w:div>
    <w:div w:id="1104764572">
      <w:bodyDiv w:val="1"/>
      <w:marLeft w:val="0"/>
      <w:marRight w:val="0"/>
      <w:marTop w:val="0"/>
      <w:marBottom w:val="0"/>
      <w:divBdr>
        <w:top w:val="none" w:sz="0" w:space="0" w:color="auto"/>
        <w:left w:val="none" w:sz="0" w:space="0" w:color="auto"/>
        <w:bottom w:val="none" w:sz="0" w:space="0" w:color="auto"/>
        <w:right w:val="none" w:sz="0" w:space="0" w:color="auto"/>
      </w:divBdr>
      <w:divsChild>
        <w:div w:id="1922980648">
          <w:marLeft w:val="0"/>
          <w:marRight w:val="0"/>
          <w:marTop w:val="240"/>
          <w:marBottom w:val="0"/>
          <w:divBdr>
            <w:top w:val="none" w:sz="0" w:space="0" w:color="auto"/>
            <w:left w:val="none" w:sz="0" w:space="0" w:color="auto"/>
            <w:bottom w:val="none" w:sz="0" w:space="0" w:color="auto"/>
            <w:right w:val="none" w:sz="0" w:space="0" w:color="auto"/>
          </w:divBdr>
          <w:divsChild>
            <w:div w:id="20808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3736">
      <w:bodyDiv w:val="1"/>
      <w:marLeft w:val="0"/>
      <w:marRight w:val="0"/>
      <w:marTop w:val="0"/>
      <w:marBottom w:val="0"/>
      <w:divBdr>
        <w:top w:val="none" w:sz="0" w:space="0" w:color="auto"/>
        <w:left w:val="none" w:sz="0" w:space="0" w:color="auto"/>
        <w:bottom w:val="none" w:sz="0" w:space="0" w:color="auto"/>
        <w:right w:val="none" w:sz="0" w:space="0" w:color="auto"/>
      </w:divBdr>
    </w:div>
    <w:div w:id="1492599773">
      <w:bodyDiv w:val="1"/>
      <w:marLeft w:val="0"/>
      <w:marRight w:val="0"/>
      <w:marTop w:val="0"/>
      <w:marBottom w:val="0"/>
      <w:divBdr>
        <w:top w:val="none" w:sz="0" w:space="0" w:color="auto"/>
        <w:left w:val="none" w:sz="0" w:space="0" w:color="auto"/>
        <w:bottom w:val="none" w:sz="0" w:space="0" w:color="auto"/>
        <w:right w:val="none" w:sz="0" w:space="0" w:color="auto"/>
      </w:divBdr>
    </w:div>
    <w:div w:id="1565678970">
      <w:bodyDiv w:val="1"/>
      <w:marLeft w:val="0"/>
      <w:marRight w:val="0"/>
      <w:marTop w:val="0"/>
      <w:marBottom w:val="0"/>
      <w:divBdr>
        <w:top w:val="none" w:sz="0" w:space="0" w:color="auto"/>
        <w:left w:val="none" w:sz="0" w:space="0" w:color="auto"/>
        <w:bottom w:val="none" w:sz="0" w:space="0" w:color="auto"/>
        <w:right w:val="none" w:sz="0" w:space="0" w:color="auto"/>
      </w:divBdr>
    </w:div>
    <w:div w:id="1575971799">
      <w:bodyDiv w:val="1"/>
      <w:marLeft w:val="0"/>
      <w:marRight w:val="0"/>
      <w:marTop w:val="0"/>
      <w:marBottom w:val="0"/>
      <w:divBdr>
        <w:top w:val="none" w:sz="0" w:space="0" w:color="auto"/>
        <w:left w:val="none" w:sz="0" w:space="0" w:color="auto"/>
        <w:bottom w:val="none" w:sz="0" w:space="0" w:color="auto"/>
        <w:right w:val="none" w:sz="0" w:space="0" w:color="auto"/>
      </w:divBdr>
    </w:div>
    <w:div w:id="1625622873">
      <w:bodyDiv w:val="1"/>
      <w:marLeft w:val="0"/>
      <w:marRight w:val="0"/>
      <w:marTop w:val="0"/>
      <w:marBottom w:val="0"/>
      <w:divBdr>
        <w:top w:val="none" w:sz="0" w:space="0" w:color="auto"/>
        <w:left w:val="none" w:sz="0" w:space="0" w:color="auto"/>
        <w:bottom w:val="none" w:sz="0" w:space="0" w:color="auto"/>
        <w:right w:val="none" w:sz="0" w:space="0" w:color="auto"/>
      </w:divBdr>
    </w:div>
    <w:div w:id="1779984807">
      <w:bodyDiv w:val="1"/>
      <w:marLeft w:val="0"/>
      <w:marRight w:val="0"/>
      <w:marTop w:val="0"/>
      <w:marBottom w:val="0"/>
      <w:divBdr>
        <w:top w:val="none" w:sz="0" w:space="0" w:color="auto"/>
        <w:left w:val="none" w:sz="0" w:space="0" w:color="auto"/>
        <w:bottom w:val="none" w:sz="0" w:space="0" w:color="auto"/>
        <w:right w:val="none" w:sz="0" w:space="0" w:color="auto"/>
      </w:divBdr>
    </w:div>
    <w:div w:id="1795444063">
      <w:bodyDiv w:val="1"/>
      <w:marLeft w:val="0"/>
      <w:marRight w:val="0"/>
      <w:marTop w:val="0"/>
      <w:marBottom w:val="0"/>
      <w:divBdr>
        <w:top w:val="none" w:sz="0" w:space="0" w:color="auto"/>
        <w:left w:val="none" w:sz="0" w:space="0" w:color="auto"/>
        <w:bottom w:val="none" w:sz="0" w:space="0" w:color="auto"/>
        <w:right w:val="none" w:sz="0" w:space="0" w:color="auto"/>
      </w:divBdr>
    </w:div>
    <w:div w:id="1800997812">
      <w:bodyDiv w:val="1"/>
      <w:marLeft w:val="0"/>
      <w:marRight w:val="0"/>
      <w:marTop w:val="0"/>
      <w:marBottom w:val="0"/>
      <w:divBdr>
        <w:top w:val="none" w:sz="0" w:space="0" w:color="auto"/>
        <w:left w:val="none" w:sz="0" w:space="0" w:color="auto"/>
        <w:bottom w:val="none" w:sz="0" w:space="0" w:color="auto"/>
        <w:right w:val="none" w:sz="0" w:space="0" w:color="auto"/>
      </w:divBdr>
    </w:div>
    <w:div w:id="19201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industria/consultas-publicas/consulta-publica-sobre-el-criterio-tecnico-para-el-calculo-y-aplicacion-de-un-indice-cuantitativo" TargetMode="External"/><Relationship Id="rId1" Type="http://schemas.openxmlformats.org/officeDocument/2006/relationships/hyperlink" Target="http://www.ift.org.mx/industria/consultas-publicas/consulta-publica-sobre-el-criterio-tecnico-para-el-calculo-y-aplicacion-de-un-indice-cuantitati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BF6C69A7-116F-4DF8-A92F-E689ED894049}"/>
      </w:docPartPr>
      <w:docPartBody>
        <w:p w:rsidR="00EE75BD" w:rsidRDefault="00EE75BD">
          <w:r w:rsidRPr="00EE4952">
            <w:rPr>
              <w:rStyle w:val="Textodelmarcadordeposicin"/>
            </w:rPr>
            <w:t>Haga clic aquí para escribir una fecha.</w:t>
          </w:r>
        </w:p>
      </w:docPartBody>
    </w:docPart>
    <w:docPart>
      <w:docPartPr>
        <w:name w:val="CD2E3C1685D94B4CA584BD7880092D34"/>
        <w:category>
          <w:name w:val="General"/>
          <w:gallery w:val="placeholder"/>
        </w:category>
        <w:types>
          <w:type w:val="bbPlcHdr"/>
        </w:types>
        <w:behaviors>
          <w:behavior w:val="content"/>
        </w:behaviors>
        <w:guid w:val="{67B61A42-E699-44A2-B011-BFBCA9CDE04B}"/>
      </w:docPartPr>
      <w:docPartBody>
        <w:p w:rsidR="00EE75BD" w:rsidRDefault="00EE75BD" w:rsidP="00EE75BD">
          <w:pPr>
            <w:pStyle w:val="CD2E3C1685D94B4CA584BD7880092D34"/>
          </w:pPr>
          <w:r w:rsidRPr="00EE4952">
            <w:rPr>
              <w:rStyle w:val="Textodelmarcadordeposicin"/>
            </w:rPr>
            <w:t>Haga clic aquí para escribir una fecha.</w:t>
          </w:r>
        </w:p>
      </w:docPartBody>
    </w:docPart>
    <w:docPart>
      <w:docPartPr>
        <w:name w:val="B74B6D61D3B948DC8655CE11ACC58CB5"/>
        <w:category>
          <w:name w:val="General"/>
          <w:gallery w:val="placeholder"/>
        </w:category>
        <w:types>
          <w:type w:val="bbPlcHdr"/>
        </w:types>
        <w:behaviors>
          <w:behavior w:val="content"/>
        </w:behaviors>
        <w:guid w:val="{DA94EFBA-2F98-48E0-8EA9-5D117E86B2E7}"/>
      </w:docPartPr>
      <w:docPartBody>
        <w:p w:rsidR="00EE75BD" w:rsidRDefault="00EE75BD" w:rsidP="00EE75BD">
          <w:pPr>
            <w:pStyle w:val="B74B6D61D3B948DC8655CE11ACC58CB5"/>
          </w:pPr>
          <w:r w:rsidRPr="00EE4952">
            <w:rPr>
              <w:rStyle w:val="Textodelmarcadordeposicin"/>
            </w:rPr>
            <w:t>Haga clic aquí para escribir una fecha.</w:t>
          </w:r>
        </w:p>
      </w:docPartBody>
    </w:docPart>
    <w:docPart>
      <w:docPartPr>
        <w:name w:val="819D8CD668434E1E9AF8F4B73DB81481"/>
        <w:category>
          <w:name w:val="General"/>
          <w:gallery w:val="placeholder"/>
        </w:category>
        <w:types>
          <w:type w:val="bbPlcHdr"/>
        </w:types>
        <w:behaviors>
          <w:behavior w:val="content"/>
        </w:behaviors>
        <w:guid w:val="{9A7DD5E8-480B-4F5A-B1E6-C068E3130261}"/>
      </w:docPartPr>
      <w:docPartBody>
        <w:p w:rsidR="00EE75BD" w:rsidRDefault="00EE75BD" w:rsidP="00EE75BD">
          <w:pPr>
            <w:pStyle w:val="819D8CD668434E1E9AF8F4B73DB81481"/>
          </w:pPr>
          <w:r w:rsidRPr="00EE4952">
            <w:rPr>
              <w:rStyle w:val="Textodelmarcadordeposicin"/>
            </w:rPr>
            <w:t>Haga clic aquí para escribir una fecha.</w:t>
          </w:r>
        </w:p>
      </w:docPartBody>
    </w:docPart>
    <w:docPart>
      <w:docPartPr>
        <w:name w:val="2D19F3D6536042EDA887B52C5344F45F"/>
        <w:category>
          <w:name w:val="General"/>
          <w:gallery w:val="placeholder"/>
        </w:category>
        <w:types>
          <w:type w:val="bbPlcHdr"/>
        </w:types>
        <w:behaviors>
          <w:behavior w:val="content"/>
        </w:behaviors>
        <w:guid w:val="{E9BA7497-4C20-49D1-A189-0E1D074E02F7}"/>
      </w:docPartPr>
      <w:docPartBody>
        <w:p w:rsidR="00EE75BD" w:rsidRDefault="00EE75BD" w:rsidP="00EE75BD">
          <w:pPr>
            <w:pStyle w:val="2D19F3D6536042EDA887B52C5344F45F"/>
          </w:pPr>
          <w:r w:rsidRPr="00EE4952">
            <w:rPr>
              <w:rStyle w:val="Textodelmarcadordeposicin"/>
            </w:rPr>
            <w:t>Haga clic aquí para escribir una fecha.</w:t>
          </w:r>
        </w:p>
      </w:docPartBody>
    </w:docPart>
    <w:docPart>
      <w:docPartPr>
        <w:name w:val="7924A9BE445E4A708A8991554C7648FC"/>
        <w:category>
          <w:name w:val="General"/>
          <w:gallery w:val="placeholder"/>
        </w:category>
        <w:types>
          <w:type w:val="bbPlcHdr"/>
        </w:types>
        <w:behaviors>
          <w:behavior w:val="content"/>
        </w:behaviors>
        <w:guid w:val="{E0AC6C9A-D907-46EF-828C-05A9C5DD3B7C}"/>
      </w:docPartPr>
      <w:docPartBody>
        <w:p w:rsidR="00EE75BD" w:rsidRDefault="00EE75BD" w:rsidP="00EE75BD">
          <w:pPr>
            <w:pStyle w:val="7924A9BE445E4A708A8991554C7648FC"/>
          </w:pPr>
          <w:r w:rsidRPr="00EE4952">
            <w:rPr>
              <w:rStyle w:val="Textodelmarcadordeposicin"/>
            </w:rPr>
            <w:t>Haga clic aquí para escribir una fecha.</w:t>
          </w:r>
        </w:p>
      </w:docPartBody>
    </w:docPart>
    <w:docPart>
      <w:docPartPr>
        <w:name w:val="D83024B81C0340CB8C8B61FE9FD5DC23"/>
        <w:category>
          <w:name w:val="General"/>
          <w:gallery w:val="placeholder"/>
        </w:category>
        <w:types>
          <w:type w:val="bbPlcHdr"/>
        </w:types>
        <w:behaviors>
          <w:behavior w:val="content"/>
        </w:behaviors>
        <w:guid w:val="{85F545AF-6D27-4EEF-BE9D-758637FC1F04}"/>
      </w:docPartPr>
      <w:docPartBody>
        <w:p w:rsidR="00EE75BD" w:rsidRDefault="00EE75BD" w:rsidP="00EE75BD">
          <w:pPr>
            <w:pStyle w:val="D83024B81C0340CB8C8B61FE9FD5DC23"/>
          </w:pPr>
          <w:r w:rsidRPr="00EE495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BD"/>
    <w:rsid w:val="003736F5"/>
    <w:rsid w:val="003A56DD"/>
    <w:rsid w:val="00402D26"/>
    <w:rsid w:val="007652D7"/>
    <w:rsid w:val="00D24FC2"/>
    <w:rsid w:val="00E00AFE"/>
    <w:rsid w:val="00E27684"/>
    <w:rsid w:val="00EE7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E75BD"/>
    <w:rPr>
      <w:color w:val="808080"/>
    </w:rPr>
  </w:style>
  <w:style w:type="paragraph" w:customStyle="1" w:styleId="CD2E3C1685D94B4CA584BD7880092D34">
    <w:name w:val="CD2E3C1685D94B4CA584BD7880092D34"/>
    <w:rsid w:val="00EE75BD"/>
  </w:style>
  <w:style w:type="paragraph" w:customStyle="1" w:styleId="B74B6D61D3B948DC8655CE11ACC58CB5">
    <w:name w:val="B74B6D61D3B948DC8655CE11ACC58CB5"/>
    <w:rsid w:val="00EE75BD"/>
  </w:style>
  <w:style w:type="paragraph" w:customStyle="1" w:styleId="819D8CD668434E1E9AF8F4B73DB81481">
    <w:name w:val="819D8CD668434E1E9AF8F4B73DB81481"/>
    <w:rsid w:val="00EE75BD"/>
  </w:style>
  <w:style w:type="paragraph" w:customStyle="1" w:styleId="6B31D65F68834882AC8A7D9388D3AA70">
    <w:name w:val="6B31D65F68834882AC8A7D9388D3AA70"/>
    <w:rsid w:val="00EE75BD"/>
  </w:style>
  <w:style w:type="paragraph" w:customStyle="1" w:styleId="55D8400BCE0141CD9DFC9A33448E28E1">
    <w:name w:val="55D8400BCE0141CD9DFC9A33448E28E1"/>
    <w:rsid w:val="00EE75BD"/>
  </w:style>
  <w:style w:type="paragraph" w:customStyle="1" w:styleId="2D19F3D6536042EDA887B52C5344F45F">
    <w:name w:val="2D19F3D6536042EDA887B52C5344F45F"/>
    <w:rsid w:val="00EE75BD"/>
  </w:style>
  <w:style w:type="paragraph" w:customStyle="1" w:styleId="7924A9BE445E4A708A8991554C7648FC">
    <w:name w:val="7924A9BE445E4A708A8991554C7648FC"/>
    <w:rsid w:val="00EE75BD"/>
  </w:style>
  <w:style w:type="paragraph" w:customStyle="1" w:styleId="D83024B81C0340CB8C8B61FE9FD5DC23">
    <w:name w:val="D83024B81C0340CB8C8B61FE9FD5DC23"/>
    <w:rsid w:val="00EE75BD"/>
  </w:style>
  <w:style w:type="paragraph" w:customStyle="1" w:styleId="72C5F31EE2794392A6000FB0C8E830FC">
    <w:name w:val="72C5F31EE2794392A6000FB0C8E830FC"/>
    <w:rsid w:val="00402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1413-67F0-4D20-B86F-9C35853F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4616</Words>
  <Characters>25388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flores santillan</dc:creator>
  <cp:lastModifiedBy>Yaratzel Funes Lopez</cp:lastModifiedBy>
  <cp:revision>2</cp:revision>
  <cp:lastPrinted>2016-02-11T20:16:00Z</cp:lastPrinted>
  <dcterms:created xsi:type="dcterms:W3CDTF">2016-02-12T00:00:00Z</dcterms:created>
  <dcterms:modified xsi:type="dcterms:W3CDTF">2016-02-12T00:00:00Z</dcterms:modified>
</cp:coreProperties>
</file>