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20290" w14:textId="507CF587" w:rsidR="00A23053" w:rsidRPr="000045D9" w:rsidRDefault="00CC3133" w:rsidP="00042EE5">
      <w:pPr>
        <w:spacing w:after="0"/>
        <w:ind w:right="-1"/>
        <w:jc w:val="both"/>
        <w:rPr>
          <w:rFonts w:ascii="ITC Avant Garde" w:hAnsi="ITC Avant Garde" w:cs="Times New Roman"/>
          <w:b/>
        </w:rPr>
      </w:pPr>
      <w:r w:rsidRPr="000045D9">
        <w:rPr>
          <w:rFonts w:ascii="ITC Avant Garde" w:hAnsi="ITC Avant Garde"/>
          <w:b/>
        </w:rPr>
        <w:t xml:space="preserve">ANTEPROYECTO DE CRITERIO TÉCNICO PARA EL CÁLCULO Y APLICACIÓN DE UN ÍNDICE CUANTITATIVO A FIN DE DETERMINAR EL GRADO DE CONCENTRACIÓN EN LOS </w:t>
      </w:r>
      <w:r w:rsidR="00DD718B">
        <w:rPr>
          <w:rFonts w:ascii="ITC Avant Garde" w:hAnsi="ITC Avant Garde"/>
          <w:b/>
        </w:rPr>
        <w:t>MERCADO</w:t>
      </w:r>
      <w:r w:rsidR="00F85263">
        <w:rPr>
          <w:rFonts w:ascii="ITC Avant Garde" w:hAnsi="ITC Avant Garde"/>
          <w:b/>
        </w:rPr>
        <w:t>S</w:t>
      </w:r>
      <w:r w:rsidR="00DD718B">
        <w:rPr>
          <w:rFonts w:ascii="ITC Avant Garde" w:hAnsi="ITC Avant Garde"/>
          <w:b/>
        </w:rPr>
        <w:t xml:space="preserve"> Y </w:t>
      </w:r>
      <w:r w:rsidR="00622391">
        <w:rPr>
          <w:rFonts w:ascii="ITC Avant Garde" w:hAnsi="ITC Avant Garde"/>
          <w:b/>
        </w:rPr>
        <w:t xml:space="preserve">SERVICIOS CORRESPONDIENTES A LOS </w:t>
      </w:r>
      <w:r w:rsidRPr="000045D9">
        <w:rPr>
          <w:rFonts w:ascii="ITC Avant Garde" w:hAnsi="ITC Avant Garde"/>
          <w:b/>
        </w:rPr>
        <w:t>SECTORES DE TELECOMUNICACIONES Y RADIODIFUSIÓN</w:t>
      </w:r>
    </w:p>
    <w:p w14:paraId="1322CF71" w14:textId="77777777" w:rsidR="00F21CA1" w:rsidRPr="000045D9" w:rsidRDefault="00F21CA1" w:rsidP="00042EE5">
      <w:pPr>
        <w:spacing w:after="0"/>
        <w:ind w:right="-1"/>
        <w:rPr>
          <w:rFonts w:ascii="ITC Avant Garde" w:hAnsi="ITC Avant Garde" w:cs="Times New Roman"/>
          <w:b/>
        </w:rPr>
      </w:pPr>
    </w:p>
    <w:p w14:paraId="397CE569" w14:textId="4BDA3F20" w:rsidR="00F21CA1" w:rsidRPr="000045D9" w:rsidRDefault="00F21CA1" w:rsidP="00042EE5">
      <w:pPr>
        <w:spacing w:after="0"/>
        <w:ind w:right="-1" w:firstLine="1"/>
        <w:jc w:val="both"/>
        <w:rPr>
          <w:rFonts w:ascii="ITC Avant Garde" w:hAnsi="ITC Avant Garde" w:cs="Times New Roman"/>
        </w:rPr>
      </w:pPr>
      <w:r w:rsidRPr="000045D9">
        <w:rPr>
          <w:rFonts w:ascii="ITC Avant Garde" w:hAnsi="ITC Avant Garde" w:cs="Times New Roman"/>
          <w:b/>
        </w:rPr>
        <w:t xml:space="preserve">PRIMERO. </w:t>
      </w:r>
      <w:r w:rsidRPr="000045D9">
        <w:rPr>
          <w:rFonts w:ascii="ITC Avant Garde" w:hAnsi="ITC Avant Garde" w:cs="Times New Roman"/>
        </w:rPr>
        <w:t>E</w:t>
      </w:r>
      <w:r w:rsidR="00DD718B">
        <w:rPr>
          <w:rFonts w:ascii="ITC Avant Garde" w:hAnsi="ITC Avant Garde" w:cs="Times New Roman"/>
        </w:rPr>
        <w:t>ste</w:t>
      </w:r>
      <w:r w:rsidRPr="000045D9">
        <w:rPr>
          <w:rFonts w:ascii="ITC Avant Garde" w:hAnsi="ITC Avant Garde" w:cs="Times New Roman"/>
        </w:rPr>
        <w:t xml:space="preserve"> criterio técnico se emite </w:t>
      </w:r>
      <w:r w:rsidR="00DD718B">
        <w:rPr>
          <w:rFonts w:ascii="ITC Avant Garde" w:hAnsi="ITC Avant Garde" w:cs="Times New Roman"/>
        </w:rPr>
        <w:t xml:space="preserve">con el objeto de </w:t>
      </w:r>
      <w:r w:rsidRPr="000045D9">
        <w:rPr>
          <w:rFonts w:ascii="ITC Avant Garde" w:hAnsi="ITC Avant Garde" w:cs="Times New Roman"/>
        </w:rPr>
        <w:t>dar a conocer</w:t>
      </w:r>
      <w:r w:rsidR="00DD718B">
        <w:rPr>
          <w:rFonts w:ascii="ITC Avant Garde" w:hAnsi="ITC Avant Garde" w:cs="Times New Roman"/>
        </w:rPr>
        <w:t>: 1)</w:t>
      </w:r>
      <w:r w:rsidRPr="000045D9">
        <w:rPr>
          <w:rFonts w:ascii="ITC Avant Garde" w:hAnsi="ITC Avant Garde" w:cs="Times New Roman"/>
        </w:rPr>
        <w:t xml:space="preserve"> el índice mediante el cual el </w:t>
      </w:r>
      <w:r w:rsidRPr="000045D9">
        <w:rPr>
          <w:rFonts w:ascii="ITC Avant Garde" w:eastAsia="Times New Roman" w:hAnsi="ITC Avant Garde"/>
          <w:bCs/>
          <w:color w:val="000000"/>
          <w:lang w:eastAsia="es-MX"/>
        </w:rPr>
        <w:t xml:space="preserve">Instituto Federal de Telecomunicaciones (Instituto) </w:t>
      </w:r>
      <w:r w:rsidRPr="000045D9">
        <w:rPr>
          <w:rFonts w:ascii="ITC Avant Garde" w:hAnsi="ITC Avant Garde" w:cs="Times New Roman"/>
        </w:rPr>
        <w:t xml:space="preserve">determinará el grado de concentración en los mercados </w:t>
      </w:r>
      <w:r w:rsidR="00DD718B">
        <w:rPr>
          <w:rFonts w:ascii="ITC Avant Garde" w:hAnsi="ITC Avant Garde" w:cs="Times New Roman"/>
        </w:rPr>
        <w:t>y</w:t>
      </w:r>
      <w:r w:rsidR="005B19E6">
        <w:rPr>
          <w:rFonts w:ascii="ITC Avant Garde" w:hAnsi="ITC Avant Garde" w:cs="Times New Roman"/>
        </w:rPr>
        <w:t xml:space="preserve"> servicios correspondientes a los</w:t>
      </w:r>
      <w:r w:rsidRPr="000045D9">
        <w:rPr>
          <w:rFonts w:ascii="ITC Avant Garde" w:hAnsi="ITC Avant Garde" w:cs="Times New Roman"/>
        </w:rPr>
        <w:t xml:space="preserve"> sectores de telecomunicaciones y radiodifusión, </w:t>
      </w:r>
      <w:r w:rsidR="00DD718B">
        <w:rPr>
          <w:rFonts w:ascii="ITC Avant Garde" w:hAnsi="ITC Avant Garde" w:cs="Times New Roman"/>
        </w:rPr>
        <w:t xml:space="preserve">2) los umbrales que, como un indicio, permitirán al Instituto identificar las </w:t>
      </w:r>
      <w:r w:rsidR="00A63F0F">
        <w:rPr>
          <w:rFonts w:ascii="ITC Avant Garde" w:hAnsi="ITC Avant Garde" w:cs="Times New Roman"/>
        </w:rPr>
        <w:t>operaciones,</w:t>
      </w:r>
      <w:r w:rsidR="00A63F0F" w:rsidRPr="00A63F0F">
        <w:rPr>
          <w:rFonts w:ascii="ITC Avant Garde" w:hAnsi="ITC Avant Garde"/>
        </w:rPr>
        <w:t xml:space="preserve"> </w:t>
      </w:r>
      <w:r w:rsidR="00A63F0F" w:rsidRPr="00DC5F81">
        <w:rPr>
          <w:rFonts w:ascii="ITC Avant Garde" w:hAnsi="ITC Avant Garde"/>
        </w:rPr>
        <w:t xml:space="preserve">incluyendo las </w:t>
      </w:r>
      <w:r w:rsidR="00DD718B">
        <w:rPr>
          <w:rFonts w:ascii="ITC Avant Garde" w:hAnsi="ITC Avant Garde" w:cs="Times New Roman"/>
        </w:rPr>
        <w:t>concentraciones</w:t>
      </w:r>
      <w:r w:rsidR="00A63F0F">
        <w:rPr>
          <w:rFonts w:ascii="ITC Avant Garde" w:hAnsi="ITC Avant Garde" w:cs="Times New Roman"/>
        </w:rPr>
        <w:t>,</w:t>
      </w:r>
      <w:r w:rsidR="00DD718B">
        <w:rPr>
          <w:rFonts w:ascii="ITC Avant Garde" w:hAnsi="ITC Avant Garde" w:cs="Times New Roman"/>
        </w:rPr>
        <w:t xml:space="preserve"> que </w:t>
      </w:r>
      <w:r w:rsidR="00A63F0F">
        <w:rPr>
          <w:rFonts w:ascii="ITC Avant Garde" w:hAnsi="ITC Avant Garde" w:cs="Times New Roman"/>
        </w:rPr>
        <w:t xml:space="preserve">tienen poca probabilidad de </w:t>
      </w:r>
      <w:r w:rsidR="00A63F0F" w:rsidRPr="000045D9">
        <w:rPr>
          <w:rFonts w:ascii="ITC Avant Garde" w:hAnsi="ITC Avant Garde"/>
        </w:rPr>
        <w:t>obstaculizar, disminuir, dañar o impedir la competencia y la libre concurrencia</w:t>
      </w:r>
      <w:r w:rsidR="00DD718B">
        <w:rPr>
          <w:rFonts w:ascii="ITC Avant Garde" w:hAnsi="ITC Avant Garde" w:cs="Times New Roman"/>
        </w:rPr>
        <w:t>, y 3) el ámbito de aplicación del índice y de los umbrales</w:t>
      </w:r>
      <w:r w:rsidR="00FD2746">
        <w:rPr>
          <w:rFonts w:ascii="ITC Avant Garde" w:hAnsi="ITC Avant Garde" w:cs="Times New Roman"/>
        </w:rPr>
        <w:t xml:space="preserve"> en procedimientos que tramita y resuelve el Instituto</w:t>
      </w:r>
      <w:r w:rsidR="00C77878" w:rsidRPr="000045D9">
        <w:rPr>
          <w:rFonts w:ascii="ITC Avant Garde" w:hAnsi="ITC Avant Garde" w:cs="Times New Roman"/>
        </w:rPr>
        <w:t>. Lo anterior</w:t>
      </w:r>
      <w:r w:rsidR="008B6F22" w:rsidRPr="000045D9">
        <w:rPr>
          <w:rFonts w:ascii="ITC Avant Garde" w:hAnsi="ITC Avant Garde" w:cs="Times New Roman"/>
        </w:rPr>
        <w:t>,</w:t>
      </w:r>
      <w:r w:rsidR="009357EF" w:rsidRPr="000045D9">
        <w:rPr>
          <w:rFonts w:ascii="ITC Avant Garde" w:hAnsi="ITC Avant Garde" w:cs="Times New Roman"/>
        </w:rPr>
        <w:t xml:space="preserve"> </w:t>
      </w:r>
      <w:r w:rsidRPr="000045D9">
        <w:rPr>
          <w:rFonts w:ascii="ITC Avant Garde" w:hAnsi="ITC Avant Garde" w:cs="Times New Roman"/>
        </w:rPr>
        <w:t xml:space="preserve">en términos de los artículos </w:t>
      </w:r>
      <w:r w:rsidR="001A3D2C" w:rsidRPr="000045D9">
        <w:rPr>
          <w:rFonts w:ascii="ITC Avant Garde" w:hAnsi="ITC Avant Garde" w:cs="Times New Roman"/>
        </w:rPr>
        <w:t xml:space="preserve">28, párrafo décimo sexto, de la Constitución Política de los Estados Unidos Mexicanos; </w:t>
      </w:r>
      <w:r w:rsidR="00F85263">
        <w:rPr>
          <w:rFonts w:ascii="ITC Avant Garde" w:hAnsi="ITC Avant Garde" w:cs="Times New Roman"/>
        </w:rPr>
        <w:t xml:space="preserve">1, 2, </w:t>
      </w:r>
      <w:r w:rsidR="001A3D2C" w:rsidRPr="000045D9">
        <w:rPr>
          <w:rFonts w:ascii="ITC Avant Garde" w:hAnsi="ITC Avant Garde" w:cs="Times New Roman"/>
        </w:rPr>
        <w:t>5</w:t>
      </w:r>
      <w:r w:rsidR="00F85263">
        <w:rPr>
          <w:rFonts w:ascii="ITC Avant Garde" w:hAnsi="ITC Avant Garde" w:cs="Times New Roman"/>
        </w:rPr>
        <w:t>, párrafo primero,</w:t>
      </w:r>
      <w:r w:rsidR="00F85263" w:rsidRPr="00F85263">
        <w:rPr>
          <w:rFonts w:ascii="ITC Avant Garde" w:hAnsi="ITC Avant Garde"/>
        </w:rPr>
        <w:t xml:space="preserve"> </w:t>
      </w:r>
      <w:r w:rsidR="00F85263" w:rsidRPr="00021217">
        <w:rPr>
          <w:rFonts w:ascii="ITC Avant Garde" w:hAnsi="ITC Avant Garde"/>
        </w:rPr>
        <w:t>12, fracciones I y XX</w:t>
      </w:r>
      <w:r w:rsidR="00F85263">
        <w:rPr>
          <w:rFonts w:ascii="ITC Avant Garde" w:hAnsi="ITC Avant Garde"/>
        </w:rPr>
        <w:t>II</w:t>
      </w:r>
      <w:r w:rsidR="00F85263" w:rsidRPr="00021217">
        <w:rPr>
          <w:rFonts w:ascii="ITC Avant Garde" w:hAnsi="ITC Avant Garde"/>
        </w:rPr>
        <w:t>,</w:t>
      </w:r>
      <w:r w:rsidR="00F85263">
        <w:rPr>
          <w:rFonts w:ascii="ITC Avant Garde" w:hAnsi="ITC Avant Garde"/>
        </w:rPr>
        <w:t xml:space="preserve"> párrafo tercero,</w:t>
      </w:r>
      <w:r w:rsidR="00F85263" w:rsidRPr="00021217">
        <w:rPr>
          <w:rFonts w:ascii="ITC Avant Garde" w:hAnsi="ITC Avant Garde"/>
        </w:rPr>
        <w:t xml:space="preserve"> </w:t>
      </w:r>
      <w:r w:rsidR="00F85263">
        <w:rPr>
          <w:rFonts w:ascii="ITC Avant Garde" w:hAnsi="ITC Avant Garde"/>
        </w:rPr>
        <w:t>incisos a) y g), 18, párrafo séptimo, 28, fracción X,</w:t>
      </w:r>
      <w:r w:rsidR="001A3D2C" w:rsidRPr="000045D9">
        <w:rPr>
          <w:rFonts w:ascii="ITC Avant Garde" w:hAnsi="ITC Avant Garde" w:cs="Times New Roman"/>
        </w:rPr>
        <w:t xml:space="preserve"> y </w:t>
      </w:r>
      <w:r w:rsidRPr="000045D9">
        <w:rPr>
          <w:rFonts w:ascii="ITC Avant Garde" w:hAnsi="ITC Avant Garde" w:cs="Times New Roman"/>
        </w:rPr>
        <w:t>63, fracción II, de la Ley Federal de Competencia Económica (LFCE)</w:t>
      </w:r>
      <w:r w:rsidR="00802B3E">
        <w:rPr>
          <w:rFonts w:ascii="ITC Avant Garde" w:hAnsi="ITC Avant Garde" w:cs="Times New Roman"/>
        </w:rPr>
        <w:t xml:space="preserve">; </w:t>
      </w:r>
      <w:r w:rsidR="00802B3E">
        <w:rPr>
          <w:rFonts w:ascii="ITC Avant Garde" w:eastAsia="Times New Roman" w:hAnsi="ITC Avant Garde"/>
          <w:bCs/>
          <w:color w:val="000000"/>
          <w:lang w:eastAsia="es-MX"/>
        </w:rPr>
        <w:t>7, párrafo tercero, de la Ley Federal de Telecomunicaciones y Radiodifusión (LFTR)</w:t>
      </w:r>
      <w:r w:rsidR="00F85263">
        <w:rPr>
          <w:rFonts w:ascii="ITC Avant Garde" w:eastAsia="Times New Roman" w:hAnsi="ITC Avant Garde"/>
          <w:bCs/>
          <w:color w:val="000000"/>
          <w:lang w:eastAsia="es-MX"/>
        </w:rPr>
        <w:t>;</w:t>
      </w:r>
      <w:r w:rsidRPr="000045D9">
        <w:rPr>
          <w:rFonts w:ascii="ITC Avant Garde" w:hAnsi="ITC Avant Garde" w:cs="Times New Roman"/>
        </w:rPr>
        <w:t xml:space="preserve"> y 13 de las Disposiciones Regulatorias de la Ley Federal de Competencia Económica para los sectores de telecomunicaciones y radiodifusión</w:t>
      </w:r>
      <w:r w:rsidR="0074252E" w:rsidRPr="000045D9">
        <w:rPr>
          <w:rFonts w:ascii="ITC Avant Garde" w:hAnsi="ITC Avant Garde" w:cs="Times New Roman"/>
        </w:rPr>
        <w:t xml:space="preserve"> (Disposiciones Regulatorias)</w:t>
      </w:r>
      <w:r w:rsidRPr="000045D9">
        <w:rPr>
          <w:rFonts w:ascii="ITC Avant Garde" w:hAnsi="ITC Avant Garde" w:cs="Times New Roman"/>
        </w:rPr>
        <w:t>.</w:t>
      </w:r>
    </w:p>
    <w:p w14:paraId="0779D24D" w14:textId="77777777" w:rsidR="00F21CA1" w:rsidRPr="000045D9" w:rsidRDefault="00F21CA1" w:rsidP="00042EE5">
      <w:pPr>
        <w:spacing w:after="0"/>
        <w:ind w:right="-1" w:firstLine="1"/>
        <w:jc w:val="both"/>
        <w:rPr>
          <w:rFonts w:ascii="ITC Avant Garde" w:hAnsi="ITC Avant Garde" w:cs="Times New Roman"/>
        </w:rPr>
      </w:pPr>
    </w:p>
    <w:p w14:paraId="2F695384" w14:textId="56BC6D6F" w:rsidR="00286013" w:rsidRPr="000045D9" w:rsidRDefault="008B6F22" w:rsidP="0063017F">
      <w:pPr>
        <w:pStyle w:val="Default"/>
        <w:spacing w:line="276" w:lineRule="auto"/>
        <w:ind w:right="-1"/>
        <w:jc w:val="both"/>
        <w:rPr>
          <w:rFonts w:ascii="ITC Avant Garde" w:hAnsi="ITC Avant Garde"/>
          <w:color w:val="auto"/>
          <w:sz w:val="22"/>
          <w:szCs w:val="22"/>
        </w:rPr>
      </w:pPr>
      <w:r w:rsidRPr="000045D9">
        <w:rPr>
          <w:rFonts w:ascii="ITC Avant Garde" w:hAnsi="ITC Avant Garde"/>
          <w:b/>
          <w:sz w:val="22"/>
          <w:szCs w:val="22"/>
        </w:rPr>
        <w:t xml:space="preserve">SEGUNDO. </w:t>
      </w:r>
      <w:r w:rsidR="0063017F" w:rsidRPr="000045D9">
        <w:rPr>
          <w:rFonts w:ascii="ITC Avant Garde" w:hAnsi="ITC Avant Garde"/>
          <w:sz w:val="22"/>
          <w:szCs w:val="22"/>
        </w:rPr>
        <w:t xml:space="preserve">El Instituto utilizará el índice como un indicador del grado de concentración en </w:t>
      </w:r>
      <w:r w:rsidR="00F85263">
        <w:rPr>
          <w:rFonts w:ascii="ITC Avant Garde" w:hAnsi="ITC Avant Garde"/>
          <w:sz w:val="22"/>
          <w:szCs w:val="22"/>
        </w:rPr>
        <w:t>los mercados</w:t>
      </w:r>
      <w:r w:rsidR="008E1F0F">
        <w:rPr>
          <w:rFonts w:ascii="ITC Avant Garde" w:hAnsi="ITC Avant Garde"/>
          <w:sz w:val="22"/>
          <w:szCs w:val="22"/>
        </w:rPr>
        <w:t xml:space="preserve"> y</w:t>
      </w:r>
      <w:r w:rsidR="00A26BCE">
        <w:rPr>
          <w:rFonts w:ascii="ITC Avant Garde" w:hAnsi="ITC Avant Garde"/>
          <w:sz w:val="22"/>
          <w:szCs w:val="22"/>
        </w:rPr>
        <w:t xml:space="preserve"> servicios </w:t>
      </w:r>
      <w:r w:rsidR="008E1F0F">
        <w:rPr>
          <w:rFonts w:ascii="ITC Avant Garde" w:hAnsi="ITC Avant Garde"/>
          <w:sz w:val="22"/>
          <w:szCs w:val="22"/>
        </w:rPr>
        <w:t>en</w:t>
      </w:r>
      <w:r w:rsidR="00F85263">
        <w:rPr>
          <w:rFonts w:ascii="ITC Avant Garde" w:hAnsi="ITC Avant Garde"/>
          <w:sz w:val="22"/>
          <w:szCs w:val="22"/>
        </w:rPr>
        <w:t xml:space="preserve"> </w:t>
      </w:r>
      <w:r w:rsidR="00A26BCE">
        <w:rPr>
          <w:rFonts w:ascii="ITC Avant Garde" w:hAnsi="ITC Avant Garde"/>
          <w:sz w:val="22"/>
          <w:szCs w:val="22"/>
        </w:rPr>
        <w:t xml:space="preserve">los </w:t>
      </w:r>
      <w:r w:rsidR="00F85263">
        <w:rPr>
          <w:rFonts w:ascii="ITC Avant Garde" w:hAnsi="ITC Avant Garde"/>
          <w:sz w:val="22"/>
          <w:szCs w:val="22"/>
        </w:rPr>
        <w:t xml:space="preserve">sectores de telecomunicaciones y radiodifusión. En </w:t>
      </w:r>
      <w:r w:rsidR="00EB2855">
        <w:rPr>
          <w:rFonts w:ascii="ITC Avant Garde" w:hAnsi="ITC Avant Garde"/>
          <w:sz w:val="22"/>
          <w:szCs w:val="22"/>
        </w:rPr>
        <w:t>la evaluación</w:t>
      </w:r>
      <w:r w:rsidR="00F85263">
        <w:rPr>
          <w:rFonts w:ascii="ITC Avant Garde" w:hAnsi="ITC Avant Garde"/>
          <w:sz w:val="22"/>
          <w:szCs w:val="22"/>
        </w:rPr>
        <w:t xml:space="preserve"> de concentraciones</w:t>
      </w:r>
      <w:r w:rsidR="00EB2855">
        <w:rPr>
          <w:rFonts w:ascii="ITC Avant Garde" w:hAnsi="ITC Avant Garde"/>
          <w:sz w:val="22"/>
          <w:szCs w:val="22"/>
        </w:rPr>
        <w:t xml:space="preserve"> </w:t>
      </w:r>
      <w:r w:rsidR="00EB2855" w:rsidRPr="005D7FEF">
        <w:rPr>
          <w:rFonts w:ascii="ITC Avant Garde" w:hAnsi="ITC Avant Garde"/>
          <w:sz w:val="22"/>
          <w:szCs w:val="22"/>
        </w:rPr>
        <w:t>u operaciones similares</w:t>
      </w:r>
      <w:r w:rsidR="00F85263">
        <w:rPr>
          <w:rFonts w:ascii="ITC Avant Garde" w:hAnsi="ITC Avant Garde"/>
          <w:sz w:val="22"/>
          <w:szCs w:val="22"/>
        </w:rPr>
        <w:t>, el Instituto utilizará el índice</w:t>
      </w:r>
      <w:r w:rsidR="00EB2855">
        <w:rPr>
          <w:rFonts w:ascii="ITC Avant Garde" w:hAnsi="ITC Avant Garde"/>
          <w:sz w:val="22"/>
          <w:szCs w:val="22"/>
        </w:rPr>
        <w:t xml:space="preserve"> y los umbrales</w:t>
      </w:r>
      <w:r w:rsidR="00A843C9" w:rsidRPr="000045D9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DA0EAC" w:rsidRPr="000045D9">
        <w:rPr>
          <w:rFonts w:ascii="ITC Avant Garde" w:hAnsi="ITC Avant Garde"/>
          <w:color w:val="auto"/>
          <w:sz w:val="22"/>
          <w:szCs w:val="22"/>
        </w:rPr>
        <w:t xml:space="preserve">como </w:t>
      </w:r>
      <w:r w:rsidR="002012BF" w:rsidRPr="000045D9">
        <w:rPr>
          <w:rFonts w:ascii="ITC Avant Garde" w:hAnsi="ITC Avant Garde"/>
          <w:color w:val="auto"/>
          <w:sz w:val="22"/>
          <w:szCs w:val="22"/>
        </w:rPr>
        <w:t>referencia</w:t>
      </w:r>
      <w:r w:rsidR="00A843C9" w:rsidRPr="000045D9">
        <w:rPr>
          <w:rFonts w:ascii="ITC Avant Garde" w:hAnsi="ITC Avant Garde"/>
          <w:color w:val="auto"/>
          <w:sz w:val="22"/>
          <w:szCs w:val="22"/>
        </w:rPr>
        <w:t xml:space="preserve"> de </w:t>
      </w:r>
      <w:r w:rsidR="00F85263">
        <w:rPr>
          <w:rFonts w:ascii="ITC Avant Garde" w:hAnsi="ITC Avant Garde"/>
          <w:color w:val="auto"/>
          <w:sz w:val="22"/>
          <w:szCs w:val="22"/>
        </w:rPr>
        <w:t>la</w:t>
      </w:r>
      <w:r w:rsidR="002012BF" w:rsidRPr="000045D9">
        <w:rPr>
          <w:rFonts w:ascii="ITC Avant Garde" w:hAnsi="ITC Avant Garde"/>
          <w:color w:val="auto"/>
          <w:sz w:val="22"/>
          <w:szCs w:val="22"/>
        </w:rPr>
        <w:t xml:space="preserve"> probabilidad de</w:t>
      </w:r>
      <w:r w:rsidR="00A843C9" w:rsidRPr="000045D9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63017F" w:rsidRPr="000045D9">
        <w:rPr>
          <w:rFonts w:ascii="ITC Avant Garde" w:hAnsi="ITC Avant Garde"/>
          <w:color w:val="auto"/>
          <w:sz w:val="22"/>
          <w:szCs w:val="22"/>
        </w:rPr>
        <w:t xml:space="preserve">que </w:t>
      </w:r>
      <w:r w:rsidR="00F85263">
        <w:rPr>
          <w:rFonts w:ascii="ITC Avant Garde" w:hAnsi="ITC Avant Garde"/>
          <w:color w:val="auto"/>
          <w:sz w:val="22"/>
          <w:szCs w:val="22"/>
        </w:rPr>
        <w:t>éstas</w:t>
      </w:r>
      <w:r w:rsidR="0063017F" w:rsidRPr="000045D9">
        <w:rPr>
          <w:rFonts w:ascii="ITC Avant Garde" w:hAnsi="ITC Avant Garde"/>
          <w:color w:val="auto"/>
          <w:sz w:val="22"/>
          <w:szCs w:val="22"/>
        </w:rPr>
        <w:t xml:space="preserve"> tenga</w:t>
      </w:r>
      <w:r w:rsidR="00F85263">
        <w:rPr>
          <w:rFonts w:ascii="ITC Avant Garde" w:hAnsi="ITC Avant Garde"/>
          <w:color w:val="auto"/>
          <w:sz w:val="22"/>
          <w:szCs w:val="22"/>
        </w:rPr>
        <w:t>n</w:t>
      </w:r>
      <w:r w:rsidR="0063017F" w:rsidRPr="000045D9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63017F" w:rsidRPr="000045D9">
        <w:rPr>
          <w:rFonts w:ascii="ITC Avant Garde" w:hAnsi="ITC Avant Garde"/>
          <w:sz w:val="22"/>
          <w:szCs w:val="22"/>
        </w:rPr>
        <w:t xml:space="preserve">por objeto o efecto obstaculizar, disminuir, dañar o impedir la competencia y la libre concurrencia </w:t>
      </w:r>
      <w:r w:rsidRPr="000045D9">
        <w:rPr>
          <w:rFonts w:ascii="ITC Avant Garde" w:hAnsi="ITC Avant Garde"/>
          <w:color w:val="auto"/>
          <w:sz w:val="22"/>
          <w:szCs w:val="22"/>
        </w:rPr>
        <w:t>en el mercado</w:t>
      </w:r>
      <w:r w:rsidR="00A843C9" w:rsidRPr="000045D9">
        <w:rPr>
          <w:rFonts w:ascii="ITC Avant Garde" w:hAnsi="ITC Avant Garde"/>
          <w:color w:val="auto"/>
          <w:sz w:val="22"/>
          <w:szCs w:val="22"/>
        </w:rPr>
        <w:t>.</w:t>
      </w:r>
      <w:r w:rsidR="00A843C9" w:rsidRPr="000045D9" w:rsidDel="00A843C9">
        <w:rPr>
          <w:rFonts w:ascii="ITC Avant Garde" w:hAnsi="ITC Avant Garde"/>
          <w:color w:val="auto"/>
          <w:sz w:val="22"/>
          <w:szCs w:val="22"/>
        </w:rPr>
        <w:t xml:space="preserve"> </w:t>
      </w:r>
    </w:p>
    <w:p w14:paraId="328F5757" w14:textId="77777777" w:rsidR="00286013" w:rsidRPr="000045D9" w:rsidRDefault="00286013" w:rsidP="0063017F">
      <w:pPr>
        <w:pStyle w:val="Default"/>
        <w:spacing w:line="276" w:lineRule="auto"/>
        <w:ind w:right="-1"/>
        <w:jc w:val="both"/>
        <w:rPr>
          <w:rFonts w:ascii="ITC Avant Garde" w:hAnsi="ITC Avant Garde"/>
          <w:color w:val="auto"/>
          <w:sz w:val="22"/>
          <w:szCs w:val="22"/>
        </w:rPr>
      </w:pPr>
    </w:p>
    <w:p w14:paraId="67858FB0" w14:textId="0EB47B6E" w:rsidR="00F21CA1" w:rsidRPr="000045D9" w:rsidRDefault="00286013" w:rsidP="0063017F">
      <w:pPr>
        <w:pStyle w:val="Default"/>
        <w:spacing w:line="276" w:lineRule="auto"/>
        <w:ind w:right="-1"/>
        <w:jc w:val="both"/>
        <w:rPr>
          <w:rFonts w:ascii="ITC Avant Garde" w:hAnsi="ITC Avant Garde"/>
          <w:b/>
          <w:sz w:val="22"/>
          <w:szCs w:val="22"/>
        </w:rPr>
      </w:pPr>
      <w:r w:rsidRPr="000045D9">
        <w:rPr>
          <w:rFonts w:ascii="ITC Avant Garde" w:hAnsi="ITC Avant Garde"/>
          <w:b/>
          <w:sz w:val="22"/>
          <w:szCs w:val="22"/>
        </w:rPr>
        <w:t xml:space="preserve">TERCERO. </w:t>
      </w:r>
      <w:r w:rsidRPr="000045D9">
        <w:rPr>
          <w:rFonts w:ascii="ITC Avant Garde" w:hAnsi="ITC Avant Garde"/>
          <w:color w:val="auto"/>
          <w:sz w:val="22"/>
          <w:szCs w:val="22"/>
        </w:rPr>
        <w:t xml:space="preserve">Además de ser una referencia en la evaluación de concentraciones, el índice </w:t>
      </w:r>
      <w:r w:rsidR="00060AED">
        <w:rPr>
          <w:rFonts w:ascii="ITC Avant Garde" w:hAnsi="ITC Avant Garde"/>
          <w:color w:val="auto"/>
          <w:sz w:val="22"/>
          <w:szCs w:val="22"/>
        </w:rPr>
        <w:t xml:space="preserve">y, en su caso, los umbrales, </w:t>
      </w:r>
      <w:r w:rsidRPr="000045D9">
        <w:rPr>
          <w:rFonts w:ascii="ITC Avant Garde" w:hAnsi="ITC Avant Garde"/>
          <w:color w:val="auto"/>
          <w:sz w:val="22"/>
          <w:szCs w:val="22"/>
        </w:rPr>
        <w:t xml:space="preserve">también </w:t>
      </w:r>
      <w:r w:rsidR="00A26BCE">
        <w:rPr>
          <w:rFonts w:ascii="ITC Avant Garde" w:hAnsi="ITC Avant Garde"/>
          <w:color w:val="auto"/>
          <w:sz w:val="22"/>
          <w:szCs w:val="22"/>
        </w:rPr>
        <w:t xml:space="preserve">podrán </w:t>
      </w:r>
      <w:r w:rsidRPr="000045D9">
        <w:rPr>
          <w:rFonts w:ascii="ITC Avant Garde" w:hAnsi="ITC Avant Garde"/>
          <w:color w:val="auto"/>
          <w:sz w:val="22"/>
          <w:szCs w:val="22"/>
        </w:rPr>
        <w:t>emplear</w:t>
      </w:r>
      <w:r w:rsidR="00A26BCE">
        <w:rPr>
          <w:rFonts w:ascii="ITC Avant Garde" w:hAnsi="ITC Avant Garde"/>
          <w:color w:val="auto"/>
          <w:sz w:val="22"/>
          <w:szCs w:val="22"/>
        </w:rPr>
        <w:t xml:space="preserve">se </w:t>
      </w:r>
      <w:r w:rsidRPr="000045D9">
        <w:rPr>
          <w:rFonts w:ascii="ITC Avant Garde" w:hAnsi="ITC Avant Garde"/>
          <w:color w:val="auto"/>
          <w:sz w:val="22"/>
          <w:szCs w:val="22"/>
        </w:rPr>
        <w:t xml:space="preserve">en el análisis de </w:t>
      </w:r>
      <w:r w:rsidR="00A26BCE">
        <w:rPr>
          <w:rFonts w:ascii="ITC Avant Garde" w:hAnsi="ITC Avant Garde"/>
          <w:color w:val="auto"/>
          <w:sz w:val="22"/>
          <w:szCs w:val="22"/>
        </w:rPr>
        <w:t xml:space="preserve">solicitudes de </w:t>
      </w:r>
      <w:r w:rsidR="00074119" w:rsidRPr="000045D9">
        <w:rPr>
          <w:rFonts w:ascii="ITC Avant Garde" w:hAnsi="ITC Avant Garde"/>
          <w:color w:val="auto"/>
          <w:sz w:val="22"/>
          <w:szCs w:val="22"/>
        </w:rPr>
        <w:t xml:space="preserve">otorgamiento </w:t>
      </w:r>
      <w:r w:rsidR="00F85263">
        <w:rPr>
          <w:rFonts w:ascii="ITC Avant Garde" w:hAnsi="ITC Avant Garde"/>
          <w:color w:val="auto"/>
          <w:sz w:val="22"/>
          <w:szCs w:val="22"/>
        </w:rPr>
        <w:t xml:space="preserve">y cesiones </w:t>
      </w:r>
      <w:r w:rsidR="00074119" w:rsidRPr="000045D9">
        <w:rPr>
          <w:rFonts w:ascii="ITC Avant Garde" w:hAnsi="ITC Avant Garde"/>
          <w:color w:val="auto"/>
          <w:sz w:val="22"/>
          <w:szCs w:val="22"/>
        </w:rPr>
        <w:t>de concesiones</w:t>
      </w:r>
      <w:r w:rsidR="00060AED">
        <w:rPr>
          <w:rFonts w:ascii="ITC Avant Garde" w:hAnsi="ITC Avant Garde"/>
          <w:color w:val="auto"/>
          <w:sz w:val="22"/>
          <w:szCs w:val="22"/>
        </w:rPr>
        <w:t xml:space="preserve">; </w:t>
      </w:r>
      <w:r w:rsidR="00074119" w:rsidRPr="000045D9">
        <w:rPr>
          <w:rFonts w:ascii="ITC Avant Garde" w:hAnsi="ITC Avant Garde"/>
          <w:color w:val="auto"/>
          <w:sz w:val="22"/>
          <w:szCs w:val="22"/>
        </w:rPr>
        <w:t xml:space="preserve">venta de acciones, </w:t>
      </w:r>
      <w:r w:rsidR="003C51FA" w:rsidRPr="000045D9">
        <w:rPr>
          <w:rFonts w:ascii="ITC Avant Garde" w:hAnsi="ITC Avant Garde"/>
          <w:color w:val="auto"/>
          <w:sz w:val="22"/>
          <w:szCs w:val="22"/>
        </w:rPr>
        <w:t xml:space="preserve">suscripciones, </w:t>
      </w:r>
      <w:r w:rsidR="00CA3A50" w:rsidRPr="000045D9">
        <w:rPr>
          <w:rFonts w:ascii="ITC Avant Garde" w:hAnsi="ITC Avant Garde"/>
          <w:color w:val="auto"/>
          <w:sz w:val="22"/>
          <w:szCs w:val="22"/>
        </w:rPr>
        <w:t>enajenaciones,</w:t>
      </w:r>
      <w:r w:rsidR="00F85263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060AED">
        <w:rPr>
          <w:rFonts w:ascii="ITC Avant Garde" w:hAnsi="ITC Avant Garde"/>
          <w:color w:val="auto"/>
          <w:sz w:val="22"/>
          <w:szCs w:val="22"/>
        </w:rPr>
        <w:t xml:space="preserve">desincorporaciones </w:t>
      </w:r>
      <w:r w:rsidR="00F85263">
        <w:rPr>
          <w:rFonts w:ascii="ITC Avant Garde" w:hAnsi="ITC Avant Garde"/>
          <w:color w:val="auto"/>
          <w:sz w:val="22"/>
          <w:szCs w:val="22"/>
        </w:rPr>
        <w:t>o</w:t>
      </w:r>
      <w:r w:rsidR="00CA3A50" w:rsidRPr="000045D9">
        <w:rPr>
          <w:rFonts w:ascii="ITC Avant Garde" w:hAnsi="ITC Avant Garde"/>
          <w:color w:val="auto"/>
          <w:sz w:val="22"/>
          <w:szCs w:val="22"/>
        </w:rPr>
        <w:t xml:space="preserve"> movimientos en la estructura accionaria</w:t>
      </w:r>
      <w:r w:rsidR="00F85263">
        <w:rPr>
          <w:rFonts w:ascii="ITC Avant Garde" w:hAnsi="ITC Avant Garde"/>
          <w:color w:val="auto"/>
          <w:sz w:val="22"/>
          <w:szCs w:val="22"/>
        </w:rPr>
        <w:t xml:space="preserve"> de </w:t>
      </w:r>
      <w:r w:rsidR="00060AED">
        <w:rPr>
          <w:rFonts w:ascii="ITC Avant Garde" w:hAnsi="ITC Avant Garde"/>
          <w:color w:val="auto"/>
          <w:sz w:val="22"/>
          <w:szCs w:val="22"/>
        </w:rPr>
        <w:t>agentes económicos;</w:t>
      </w:r>
      <w:r w:rsidR="003C70C3" w:rsidRPr="000045D9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3C51FA" w:rsidRPr="000045D9">
        <w:rPr>
          <w:rFonts w:ascii="ITC Avant Garde" w:hAnsi="ITC Avant Garde"/>
          <w:color w:val="auto"/>
          <w:sz w:val="22"/>
          <w:szCs w:val="22"/>
        </w:rPr>
        <w:t>arrendamiento</w:t>
      </w:r>
      <w:r w:rsidR="00F85263">
        <w:rPr>
          <w:rFonts w:ascii="ITC Avant Garde" w:hAnsi="ITC Avant Garde"/>
          <w:color w:val="auto"/>
          <w:sz w:val="22"/>
          <w:szCs w:val="22"/>
        </w:rPr>
        <w:t xml:space="preserve"> o</w:t>
      </w:r>
      <w:r w:rsidR="003C51FA" w:rsidRPr="000045D9">
        <w:rPr>
          <w:rFonts w:ascii="ITC Avant Garde" w:hAnsi="ITC Avant Garde"/>
          <w:color w:val="auto"/>
          <w:sz w:val="22"/>
          <w:szCs w:val="22"/>
        </w:rPr>
        <w:t xml:space="preserve"> cambio de bandas</w:t>
      </w:r>
      <w:r w:rsidR="00F85263">
        <w:rPr>
          <w:rFonts w:ascii="ITC Avant Garde" w:hAnsi="ITC Avant Garde"/>
          <w:color w:val="auto"/>
          <w:sz w:val="22"/>
          <w:szCs w:val="22"/>
        </w:rPr>
        <w:t xml:space="preserve"> de frecuencias del espectro radioeléctrico</w:t>
      </w:r>
      <w:r w:rsidR="00060AED">
        <w:rPr>
          <w:rFonts w:ascii="ITC Avant Garde" w:hAnsi="ITC Avant Garde"/>
          <w:color w:val="auto"/>
          <w:sz w:val="22"/>
          <w:szCs w:val="22"/>
        </w:rPr>
        <w:t>;</w:t>
      </w:r>
      <w:r w:rsidR="003C51FA" w:rsidRPr="000045D9">
        <w:rPr>
          <w:rFonts w:ascii="ITC Avant Garde" w:hAnsi="ITC Avant Garde"/>
          <w:color w:val="auto"/>
          <w:sz w:val="22"/>
          <w:szCs w:val="22"/>
        </w:rPr>
        <w:t xml:space="preserve"> </w:t>
      </w:r>
      <w:r w:rsidRPr="000045D9">
        <w:rPr>
          <w:rFonts w:ascii="ITC Avant Garde" w:hAnsi="ITC Avant Garde"/>
          <w:color w:val="auto"/>
          <w:sz w:val="22"/>
          <w:szCs w:val="22"/>
        </w:rPr>
        <w:t>así como en la determinación de poder sustancial, condiciones de competencia</w:t>
      </w:r>
      <w:r w:rsidR="007A6094" w:rsidRPr="000045D9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060AED">
        <w:rPr>
          <w:rFonts w:ascii="ITC Avant Garde" w:hAnsi="ITC Avant Garde"/>
          <w:color w:val="auto"/>
          <w:sz w:val="22"/>
          <w:szCs w:val="22"/>
        </w:rPr>
        <w:t xml:space="preserve">efectiva, </w:t>
      </w:r>
      <w:r w:rsidR="00060AED" w:rsidRPr="00042EE5">
        <w:rPr>
          <w:rFonts w:ascii="ITC Avant Garde" w:hAnsi="ITC Avant Garde"/>
          <w:sz w:val="22"/>
          <w:szCs w:val="22"/>
        </w:rPr>
        <w:t xml:space="preserve">barreras a la entrada, insumos esenciales </w:t>
      </w:r>
      <w:r w:rsidR="00060AED">
        <w:rPr>
          <w:rFonts w:ascii="ITC Avant Garde" w:hAnsi="ITC Avant Garde"/>
          <w:sz w:val="22"/>
          <w:szCs w:val="22"/>
        </w:rPr>
        <w:t xml:space="preserve">u </w:t>
      </w:r>
      <w:r w:rsidR="007A6094" w:rsidRPr="000045D9">
        <w:rPr>
          <w:rFonts w:ascii="ITC Avant Garde" w:hAnsi="ITC Avant Garde"/>
          <w:color w:val="auto"/>
          <w:sz w:val="22"/>
          <w:szCs w:val="22"/>
        </w:rPr>
        <w:t>otro</w:t>
      </w:r>
      <w:r w:rsidR="0001610D" w:rsidRPr="000045D9">
        <w:rPr>
          <w:rFonts w:ascii="ITC Avant Garde" w:hAnsi="ITC Avant Garde"/>
          <w:color w:val="auto"/>
          <w:sz w:val="22"/>
          <w:szCs w:val="22"/>
        </w:rPr>
        <w:t xml:space="preserve">s </w:t>
      </w:r>
      <w:r w:rsidR="007A6094" w:rsidRPr="000045D9">
        <w:rPr>
          <w:rFonts w:ascii="ITC Avant Garde" w:hAnsi="ITC Avant Garde"/>
          <w:color w:val="auto"/>
          <w:sz w:val="22"/>
          <w:szCs w:val="22"/>
        </w:rPr>
        <w:t>asuntos</w:t>
      </w:r>
      <w:r w:rsidR="0001610D" w:rsidRPr="000045D9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590EE9" w:rsidRPr="000045D9">
        <w:rPr>
          <w:rFonts w:ascii="ITC Avant Garde" w:hAnsi="ITC Avant Garde"/>
          <w:color w:val="auto"/>
          <w:sz w:val="22"/>
          <w:szCs w:val="22"/>
        </w:rPr>
        <w:t>en materia de libre concurrencia y competencia económica</w:t>
      </w:r>
      <w:r w:rsidR="00CA3A50" w:rsidRPr="000045D9">
        <w:rPr>
          <w:rFonts w:ascii="ITC Avant Garde" w:hAnsi="ITC Avant Garde"/>
          <w:color w:val="auto"/>
          <w:sz w:val="22"/>
          <w:szCs w:val="22"/>
        </w:rPr>
        <w:t xml:space="preserve"> que el Instituto tenga facultades de estudiar y resolver en términos de lo que indica la LFCE, la </w:t>
      </w:r>
      <w:r w:rsidR="00802B3E">
        <w:rPr>
          <w:rFonts w:ascii="ITC Avant Garde" w:hAnsi="ITC Avant Garde"/>
          <w:color w:val="auto"/>
          <w:sz w:val="22"/>
          <w:szCs w:val="22"/>
        </w:rPr>
        <w:t>LFTR</w:t>
      </w:r>
      <w:r w:rsidR="00CA3A50" w:rsidRPr="000045D9">
        <w:rPr>
          <w:rFonts w:ascii="ITC Avant Garde" w:hAnsi="ITC Avant Garde"/>
          <w:color w:val="auto"/>
          <w:sz w:val="22"/>
          <w:szCs w:val="22"/>
        </w:rPr>
        <w:t xml:space="preserve"> y las Disposiciones Regulatorias</w:t>
      </w:r>
      <w:r w:rsidRPr="000045D9">
        <w:rPr>
          <w:rFonts w:ascii="ITC Avant Garde" w:hAnsi="ITC Avant Garde"/>
          <w:color w:val="auto"/>
          <w:sz w:val="22"/>
          <w:szCs w:val="22"/>
        </w:rPr>
        <w:t>.</w:t>
      </w:r>
      <w:r w:rsidR="00555E0C" w:rsidRPr="000045D9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555E0C" w:rsidRPr="000045D9">
        <w:rPr>
          <w:rFonts w:ascii="ITC Avant Garde" w:hAnsi="ITC Avant Garde"/>
          <w:sz w:val="22"/>
          <w:szCs w:val="22"/>
        </w:rPr>
        <w:t xml:space="preserve">El Instituto también </w:t>
      </w:r>
      <w:r w:rsidR="00A26BCE">
        <w:rPr>
          <w:rFonts w:ascii="ITC Avant Garde" w:hAnsi="ITC Avant Garde"/>
          <w:sz w:val="22"/>
          <w:szCs w:val="22"/>
        </w:rPr>
        <w:t xml:space="preserve">podrá </w:t>
      </w:r>
      <w:r w:rsidR="00555E0C" w:rsidRPr="000045D9">
        <w:rPr>
          <w:rFonts w:ascii="ITC Avant Garde" w:hAnsi="ITC Avant Garde"/>
          <w:sz w:val="22"/>
          <w:szCs w:val="22"/>
        </w:rPr>
        <w:t>utilizar el índice de concentración como un indicador del grado de concentración en mercados relacionados.</w:t>
      </w:r>
    </w:p>
    <w:p w14:paraId="51F30469" w14:textId="77777777" w:rsidR="003C70C3" w:rsidRPr="000045D9" w:rsidRDefault="003C70C3" w:rsidP="00042EE5">
      <w:pPr>
        <w:spacing w:after="0"/>
        <w:ind w:right="-1"/>
        <w:jc w:val="both"/>
        <w:rPr>
          <w:rFonts w:ascii="ITC Avant Garde" w:hAnsi="ITC Avant Garde" w:cs="Times New Roman"/>
          <w:b/>
        </w:rPr>
      </w:pPr>
    </w:p>
    <w:p w14:paraId="62BA4D23" w14:textId="71DCBB0B" w:rsidR="007C24A6" w:rsidRPr="000045D9" w:rsidRDefault="00286013" w:rsidP="00042EE5">
      <w:pPr>
        <w:spacing w:after="0"/>
        <w:ind w:right="-1"/>
        <w:jc w:val="both"/>
        <w:rPr>
          <w:rFonts w:ascii="ITC Avant Garde" w:hAnsi="ITC Avant Garde"/>
        </w:rPr>
      </w:pPr>
      <w:r w:rsidRPr="000045D9">
        <w:rPr>
          <w:rFonts w:ascii="ITC Avant Garde" w:hAnsi="ITC Avant Garde" w:cs="Times New Roman"/>
          <w:b/>
        </w:rPr>
        <w:t>CUARTO</w:t>
      </w:r>
      <w:r w:rsidR="007C24A6" w:rsidRPr="000045D9">
        <w:rPr>
          <w:rFonts w:ascii="ITC Avant Garde" w:hAnsi="ITC Avant Garde" w:cs="Times New Roman"/>
          <w:b/>
        </w:rPr>
        <w:t xml:space="preserve">. </w:t>
      </w:r>
      <w:r w:rsidR="00A843C9" w:rsidRPr="000045D9">
        <w:rPr>
          <w:rFonts w:ascii="ITC Avant Garde" w:hAnsi="ITC Avant Garde" w:cs="Times New Roman"/>
        </w:rPr>
        <w:t>En ningún caso</w:t>
      </w:r>
      <w:r w:rsidR="00A843C9" w:rsidRPr="000045D9">
        <w:rPr>
          <w:rFonts w:ascii="ITC Avant Garde" w:hAnsi="ITC Avant Garde" w:cs="Times New Roman"/>
          <w:b/>
        </w:rPr>
        <w:t xml:space="preserve"> </w:t>
      </w:r>
      <w:r w:rsidR="00A843C9" w:rsidRPr="000045D9">
        <w:rPr>
          <w:rFonts w:ascii="ITC Avant Garde" w:hAnsi="ITC Avant Garde" w:cs="Times New Roman"/>
        </w:rPr>
        <w:t xml:space="preserve">el Instituto </w:t>
      </w:r>
      <w:r w:rsidR="00B75EB5" w:rsidRPr="000045D9">
        <w:rPr>
          <w:rFonts w:ascii="ITC Avant Garde" w:hAnsi="ITC Avant Garde" w:cs="Times New Roman"/>
        </w:rPr>
        <w:t>tomará sus decisiones utilizando</w:t>
      </w:r>
      <w:r w:rsidR="00A843C9" w:rsidRPr="000045D9">
        <w:rPr>
          <w:rFonts w:ascii="ITC Avant Garde" w:hAnsi="ITC Avant Garde" w:cs="Times New Roman"/>
        </w:rPr>
        <w:t xml:space="preserve"> </w:t>
      </w:r>
      <w:r w:rsidR="00B75EB5" w:rsidRPr="000045D9">
        <w:rPr>
          <w:rFonts w:ascii="ITC Avant Garde" w:hAnsi="ITC Avant Garde" w:cs="Times New Roman"/>
        </w:rPr>
        <w:t xml:space="preserve">como único elemento de análisis </w:t>
      </w:r>
      <w:r w:rsidR="00060AED">
        <w:rPr>
          <w:rFonts w:ascii="ITC Avant Garde" w:hAnsi="ITC Avant Garde" w:cs="Times New Roman"/>
        </w:rPr>
        <w:t xml:space="preserve">el </w:t>
      </w:r>
      <w:r w:rsidR="00F8211E" w:rsidRPr="000045D9">
        <w:rPr>
          <w:rFonts w:ascii="ITC Avant Garde" w:hAnsi="ITC Avant Garde" w:cs="Times New Roman"/>
        </w:rPr>
        <w:t>índice de concentración</w:t>
      </w:r>
      <w:r w:rsidR="00060AED">
        <w:rPr>
          <w:rFonts w:ascii="ITC Avant Garde" w:hAnsi="ITC Avant Garde" w:cs="Times New Roman"/>
        </w:rPr>
        <w:t xml:space="preserve"> y los umbrales. En el caso de concentraciones</w:t>
      </w:r>
      <w:r w:rsidR="00A26BCE">
        <w:rPr>
          <w:rFonts w:ascii="ITC Avant Garde" w:hAnsi="ITC Avant Garde" w:cs="Times New Roman"/>
        </w:rPr>
        <w:t xml:space="preserve"> notificadas y demás procedimientos que se tramiten en términos de la LFCE</w:t>
      </w:r>
      <w:r w:rsidR="00060AED">
        <w:rPr>
          <w:rFonts w:ascii="ITC Avant Garde" w:hAnsi="ITC Avant Garde" w:cs="Times New Roman"/>
        </w:rPr>
        <w:t xml:space="preserve"> el Instituto </w:t>
      </w:r>
      <w:r w:rsidR="00A26BCE">
        <w:rPr>
          <w:rFonts w:ascii="ITC Avant Garde" w:hAnsi="ITC Avant Garde" w:cs="Times New Roman"/>
        </w:rPr>
        <w:t xml:space="preserve">podrá </w:t>
      </w:r>
      <w:r w:rsidR="00B75EB5" w:rsidRPr="000045D9">
        <w:rPr>
          <w:rFonts w:ascii="ITC Avant Garde" w:hAnsi="ITC Avant Garde"/>
        </w:rPr>
        <w:t>considerar</w:t>
      </w:r>
      <w:r w:rsidR="00A26BCE">
        <w:rPr>
          <w:rFonts w:ascii="ITC Avant Garde" w:hAnsi="ITC Avant Garde"/>
        </w:rPr>
        <w:t xml:space="preserve">, según corresponda, </w:t>
      </w:r>
      <w:r w:rsidR="00A843C9" w:rsidRPr="000045D9">
        <w:rPr>
          <w:rFonts w:ascii="ITC Avant Garde" w:hAnsi="ITC Avant Garde"/>
        </w:rPr>
        <w:t xml:space="preserve">los </w:t>
      </w:r>
      <w:r w:rsidR="00874D67" w:rsidRPr="000045D9">
        <w:rPr>
          <w:rFonts w:ascii="ITC Avant Garde" w:hAnsi="ITC Avant Garde"/>
        </w:rPr>
        <w:t xml:space="preserve">elementos </w:t>
      </w:r>
      <w:r w:rsidR="00A843C9" w:rsidRPr="000045D9">
        <w:rPr>
          <w:rFonts w:ascii="ITC Avant Garde" w:hAnsi="ITC Avant Garde"/>
        </w:rPr>
        <w:t>previstos en</w:t>
      </w:r>
      <w:r w:rsidR="00874D67" w:rsidRPr="000045D9">
        <w:rPr>
          <w:rFonts w:ascii="ITC Avant Garde" w:hAnsi="ITC Avant Garde"/>
        </w:rPr>
        <w:t xml:space="preserve"> </w:t>
      </w:r>
      <w:r w:rsidR="00FC51B9" w:rsidRPr="000045D9">
        <w:rPr>
          <w:rFonts w:ascii="ITC Avant Garde" w:hAnsi="ITC Avant Garde"/>
        </w:rPr>
        <w:t>los artículos 58, 59,</w:t>
      </w:r>
      <w:r w:rsidR="003F5E33">
        <w:rPr>
          <w:rFonts w:ascii="ITC Avant Garde" w:hAnsi="ITC Avant Garde"/>
        </w:rPr>
        <w:t xml:space="preserve"> </w:t>
      </w:r>
      <w:r w:rsidR="00FC51B9" w:rsidRPr="000045D9">
        <w:rPr>
          <w:rFonts w:ascii="ITC Avant Garde" w:hAnsi="ITC Avant Garde"/>
        </w:rPr>
        <w:t>63 y 64 de</w:t>
      </w:r>
      <w:r w:rsidR="00A26BCE">
        <w:rPr>
          <w:rFonts w:ascii="ITC Avant Garde" w:hAnsi="ITC Avant Garde"/>
        </w:rPr>
        <w:t>l mismo ordenamiento</w:t>
      </w:r>
      <w:r w:rsidR="00A843C9" w:rsidRPr="000045D9">
        <w:rPr>
          <w:rFonts w:ascii="ITC Avant Garde" w:hAnsi="ITC Avant Garde"/>
        </w:rPr>
        <w:t xml:space="preserve"> y </w:t>
      </w:r>
      <w:r w:rsidR="00FC51B9" w:rsidRPr="000045D9">
        <w:rPr>
          <w:rFonts w:ascii="ITC Avant Garde" w:hAnsi="ITC Avant Garde"/>
        </w:rPr>
        <w:t xml:space="preserve">los </w:t>
      </w:r>
      <w:r w:rsidR="00A26BCE">
        <w:rPr>
          <w:rFonts w:ascii="ITC Avant Garde" w:hAnsi="ITC Avant Garde"/>
        </w:rPr>
        <w:t>relacionados de</w:t>
      </w:r>
      <w:r w:rsidR="00FC51B9" w:rsidRPr="000045D9">
        <w:rPr>
          <w:rFonts w:ascii="ITC Avant Garde" w:hAnsi="ITC Avant Garde"/>
        </w:rPr>
        <w:t xml:space="preserve"> </w:t>
      </w:r>
      <w:r w:rsidR="00A843C9" w:rsidRPr="000045D9">
        <w:rPr>
          <w:rFonts w:ascii="ITC Avant Garde" w:hAnsi="ITC Avant Garde"/>
        </w:rPr>
        <w:t xml:space="preserve">las </w:t>
      </w:r>
      <w:r w:rsidR="004D608C" w:rsidRPr="000045D9">
        <w:rPr>
          <w:rFonts w:ascii="ITC Avant Garde" w:hAnsi="ITC Avant Garde"/>
        </w:rPr>
        <w:t>Disposiciones Regulatorias</w:t>
      </w:r>
      <w:r w:rsidR="00874D67" w:rsidRPr="000045D9">
        <w:rPr>
          <w:rFonts w:ascii="ITC Avant Garde" w:hAnsi="ITC Avant Garde"/>
        </w:rPr>
        <w:t>, tales como</w:t>
      </w:r>
      <w:r w:rsidR="007C24A6" w:rsidRPr="000045D9">
        <w:rPr>
          <w:rFonts w:ascii="ITC Avant Garde" w:hAnsi="ITC Avant Garde"/>
        </w:rPr>
        <w:t xml:space="preserve"> barreras a la entrada, poder </w:t>
      </w:r>
      <w:r w:rsidR="00DA0EAC" w:rsidRPr="000045D9">
        <w:rPr>
          <w:rFonts w:ascii="ITC Avant Garde" w:hAnsi="ITC Avant Garde"/>
        </w:rPr>
        <w:t xml:space="preserve">sustancial </w:t>
      </w:r>
      <w:r w:rsidR="00A843C9" w:rsidRPr="000045D9">
        <w:rPr>
          <w:rFonts w:ascii="ITC Avant Garde" w:hAnsi="ITC Avant Garde"/>
        </w:rPr>
        <w:t>de mercado</w:t>
      </w:r>
      <w:r w:rsidR="007C24A6" w:rsidRPr="000045D9">
        <w:rPr>
          <w:rFonts w:ascii="ITC Avant Garde" w:hAnsi="ITC Avant Garde"/>
        </w:rPr>
        <w:t>,</w:t>
      </w:r>
      <w:r w:rsidR="00A843C9" w:rsidRPr="000045D9">
        <w:rPr>
          <w:rFonts w:ascii="ITC Avant Garde" w:hAnsi="ITC Avant Garde"/>
        </w:rPr>
        <w:t xml:space="preserve"> acceso a fuentes de insumos, comportamiento reciente de los agentes, así como los</w:t>
      </w:r>
      <w:r w:rsidR="007C24A6" w:rsidRPr="000045D9">
        <w:rPr>
          <w:rFonts w:ascii="ITC Avant Garde" w:hAnsi="ITC Avant Garde"/>
        </w:rPr>
        <w:t xml:space="preserve"> efectos de la concentración </w:t>
      </w:r>
      <w:r w:rsidR="00A843C9" w:rsidRPr="000045D9">
        <w:rPr>
          <w:rFonts w:ascii="ITC Avant Garde" w:hAnsi="ITC Avant Garde"/>
        </w:rPr>
        <w:t xml:space="preserve">analizada </w:t>
      </w:r>
      <w:r w:rsidR="007C24A6" w:rsidRPr="000045D9">
        <w:rPr>
          <w:rFonts w:ascii="ITC Avant Garde" w:hAnsi="ITC Avant Garde"/>
        </w:rPr>
        <w:t xml:space="preserve">y </w:t>
      </w:r>
      <w:r w:rsidR="00A843C9" w:rsidRPr="000045D9">
        <w:rPr>
          <w:rFonts w:ascii="ITC Avant Garde" w:hAnsi="ITC Avant Garde"/>
        </w:rPr>
        <w:t xml:space="preserve">las </w:t>
      </w:r>
      <w:r w:rsidR="007C24A6" w:rsidRPr="000045D9">
        <w:rPr>
          <w:rFonts w:ascii="ITC Avant Garde" w:hAnsi="ITC Avant Garde"/>
        </w:rPr>
        <w:t xml:space="preserve">eficiencias económicas derivadas de la </w:t>
      </w:r>
      <w:r w:rsidR="00A843C9" w:rsidRPr="000045D9">
        <w:rPr>
          <w:rFonts w:ascii="ITC Avant Garde" w:hAnsi="ITC Avant Garde"/>
        </w:rPr>
        <w:t>misma</w:t>
      </w:r>
      <w:r w:rsidR="007C24A6" w:rsidRPr="000045D9">
        <w:rPr>
          <w:rFonts w:ascii="ITC Avant Garde" w:hAnsi="ITC Avant Garde"/>
        </w:rPr>
        <w:t>.</w:t>
      </w:r>
    </w:p>
    <w:p w14:paraId="202E2F27" w14:textId="77777777" w:rsidR="00874D67" w:rsidRPr="000045D9" w:rsidRDefault="00874D67" w:rsidP="00042EE5">
      <w:pPr>
        <w:spacing w:after="0"/>
        <w:ind w:right="-1"/>
        <w:jc w:val="both"/>
        <w:rPr>
          <w:rFonts w:ascii="ITC Avant Garde" w:hAnsi="ITC Avant Garde"/>
        </w:rPr>
      </w:pPr>
    </w:p>
    <w:p w14:paraId="26D3B32D" w14:textId="4E8399D2" w:rsidR="00F24091" w:rsidRPr="000045D9" w:rsidRDefault="00286013" w:rsidP="00042EE5">
      <w:pPr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 w:rsidRPr="000045D9">
        <w:rPr>
          <w:rFonts w:ascii="ITC Avant Garde" w:hAnsi="ITC Avant Garde"/>
          <w:b/>
        </w:rPr>
        <w:t>QUINTO</w:t>
      </w:r>
      <w:r w:rsidR="00874D67" w:rsidRPr="000045D9">
        <w:rPr>
          <w:rFonts w:ascii="ITC Avant Garde" w:hAnsi="ITC Avant Garde"/>
          <w:b/>
        </w:rPr>
        <w:t xml:space="preserve">. </w:t>
      </w:r>
      <w:r w:rsidR="00874D67" w:rsidRPr="000045D9">
        <w:rPr>
          <w:rFonts w:ascii="ITC Avant Garde" w:hAnsi="ITC Avant Garde"/>
        </w:rPr>
        <w:t>El índice de concentración se calcula</w:t>
      </w:r>
      <w:r w:rsidR="00F24091" w:rsidRPr="000045D9">
        <w:rPr>
          <w:rFonts w:ascii="ITC Avant Garde" w:hAnsi="ITC Avant Garde"/>
        </w:rPr>
        <w:t>rá</w:t>
      </w:r>
      <w:r w:rsidR="00874D67" w:rsidRPr="000045D9">
        <w:rPr>
          <w:rFonts w:ascii="ITC Avant Garde" w:hAnsi="ITC Avant Garde"/>
        </w:rPr>
        <w:t xml:space="preserve"> a partir de las participaciones de los agentes económicos.</w:t>
      </w:r>
      <w:r w:rsidR="00F24091" w:rsidRPr="000045D9">
        <w:rPr>
          <w:rFonts w:ascii="ITC Avant Garde" w:hAnsi="ITC Avant Garde"/>
        </w:rPr>
        <w:t xml:space="preserve"> </w:t>
      </w:r>
      <w:r w:rsidR="002D58A8" w:rsidRPr="000045D9">
        <w:rPr>
          <w:rFonts w:ascii="ITC Avant Garde" w:hAnsi="ITC Avant Garde"/>
        </w:rPr>
        <w:t>Éstas</w:t>
      </w:r>
      <w:r w:rsidR="00F24091" w:rsidRPr="000045D9">
        <w:rPr>
          <w:rFonts w:ascii="ITC Avant Garde" w:hAnsi="ITC Avant Garde"/>
        </w:rPr>
        <w:t xml:space="preserve"> se calcularán </w:t>
      </w:r>
      <w:r w:rsidR="00B67C2D" w:rsidRPr="000045D9">
        <w:rPr>
          <w:rFonts w:ascii="ITC Avant Garde" w:hAnsi="ITC Avant Garde"/>
        </w:rPr>
        <w:t>a partir de variables como</w:t>
      </w:r>
      <w:r w:rsidR="00F24091" w:rsidRPr="000045D9">
        <w:rPr>
          <w:rFonts w:ascii="ITC Avant Garde" w:hAnsi="ITC Avant Garde"/>
        </w:rPr>
        <w:t xml:space="preserve"> </w:t>
      </w:r>
      <w:r w:rsidR="00F24091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usuarios, </w:t>
      </w:r>
      <w:r w:rsidR="001241A4" w:rsidRPr="000045D9">
        <w:rPr>
          <w:rFonts w:ascii="ITC Avant Garde" w:eastAsia="Times New Roman" w:hAnsi="ITC Avant Garde" w:cs="Times New Roman"/>
          <w:color w:val="000000"/>
          <w:lang w:eastAsia="es-MX"/>
        </w:rPr>
        <w:t>suscripciones</w:t>
      </w:r>
      <w:r w:rsidR="00AE5A5E" w:rsidRPr="000045D9">
        <w:rPr>
          <w:rFonts w:ascii="ITC Avant Garde" w:eastAsia="Times New Roman" w:hAnsi="ITC Avant Garde" w:cs="Times New Roman"/>
          <w:color w:val="000000"/>
          <w:lang w:eastAsia="es-MX"/>
        </w:rPr>
        <w:t>,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="00F24091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audiencia, tráfico en las redes, </w:t>
      </w:r>
      <w:r w:rsidR="002D58A8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número de frecuencias o estaciones, </w:t>
      </w:r>
      <w:r w:rsidR="00F24091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capacidad </w:t>
      </w:r>
      <w:r w:rsidR="00B67C2D" w:rsidRPr="000045D9">
        <w:rPr>
          <w:rFonts w:ascii="ITC Avant Garde" w:eastAsia="Times New Roman" w:hAnsi="ITC Avant Garde" w:cs="Times New Roman"/>
          <w:color w:val="000000"/>
          <w:lang w:eastAsia="es-MX"/>
        </w:rPr>
        <w:t>instalada</w:t>
      </w:r>
      <w:r w:rsidR="002D58A8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, </w:t>
      </w:r>
      <w:r w:rsidR="002D58A8" w:rsidRPr="000045D9">
        <w:rPr>
          <w:rFonts w:ascii="ITC Avant Garde" w:hAnsi="ITC Avant Garde"/>
        </w:rPr>
        <w:t xml:space="preserve">valor o volumen de las </w:t>
      </w:r>
      <w:r w:rsidR="002D58A8" w:rsidRPr="000045D9">
        <w:rPr>
          <w:rFonts w:ascii="ITC Avant Garde" w:eastAsia="Times New Roman" w:hAnsi="ITC Avant Garde" w:cs="Times New Roman"/>
          <w:color w:val="000000"/>
          <w:lang w:eastAsia="es-MX"/>
        </w:rPr>
        <w:t>ventas</w:t>
      </w:r>
      <w:r w:rsidR="00F24091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u otra variable que el Instituto considere </w:t>
      </w:r>
      <w:r w:rsidR="00B64D63" w:rsidRPr="000045D9">
        <w:rPr>
          <w:rFonts w:ascii="ITC Avant Garde" w:eastAsia="Times New Roman" w:hAnsi="ITC Avant Garde" w:cs="Times New Roman"/>
          <w:color w:val="000000"/>
          <w:lang w:eastAsia="es-MX"/>
        </w:rPr>
        <w:t>pertinente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. </w:t>
      </w:r>
    </w:p>
    <w:p w14:paraId="228D8E2E" w14:textId="77777777" w:rsidR="00F24091" w:rsidRPr="000045D9" w:rsidRDefault="00F24091" w:rsidP="00042EE5">
      <w:pPr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</w:p>
    <w:p w14:paraId="2B944378" w14:textId="399998AD" w:rsidR="00C262B6" w:rsidRPr="000045D9" w:rsidRDefault="00FE560F" w:rsidP="00042EE5">
      <w:pPr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>P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or ejemplo, 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si </w:t>
      </w:r>
      <w:r w:rsidR="00F24091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se considera la variable de </w:t>
      </w:r>
      <w:r w:rsidR="00B67C2D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valor de las </w:t>
      </w:r>
      <w:r w:rsidR="00F24091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ventas </w:t>
      </w:r>
      <w:r w:rsidR="00CE1C21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y </w:t>
      </w:r>
      <w:r w:rsidR="00B67C2D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se </w:t>
      </w:r>
      <w:r w:rsidR="00CE1C21" w:rsidRPr="000045D9">
        <w:rPr>
          <w:rFonts w:ascii="ITC Avant Garde" w:eastAsia="Times New Roman" w:hAnsi="ITC Avant Garde" w:cs="Times New Roman"/>
          <w:color w:val="000000"/>
          <w:lang w:eastAsia="es-MX"/>
        </w:rPr>
        <w:t>defin</w:t>
      </w:r>
      <w:r w:rsidR="00B67C2D" w:rsidRPr="000045D9">
        <w:rPr>
          <w:rFonts w:ascii="ITC Avant Garde" w:eastAsia="Times New Roman" w:hAnsi="ITC Avant Garde" w:cs="Times New Roman"/>
          <w:color w:val="000000"/>
          <w:lang w:eastAsia="es-MX"/>
        </w:rPr>
        <w:t>e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lang w:eastAsia="es-MX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lang w:eastAsia="es-MX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eastAsia="es-MX"/>
              </w:rPr>
              <m:t>i</m:t>
            </m:r>
          </m:sub>
        </m:sSub>
      </m:oMath>
      <w:r w:rsidR="00C262B6" w:rsidRPr="000045D9">
        <w:rPr>
          <w:rFonts w:ascii="ITC Avant Garde" w:eastAsia="Times New Roman" w:hAnsi="ITC Avant Garde" w:cs="Times New Roman"/>
          <w:i/>
          <w:color w:val="000000"/>
          <w:lang w:eastAsia="es-MX"/>
        </w:rPr>
        <w:t xml:space="preserve"> 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como el valor de ventas del </w:t>
      </w:r>
      <m:oMath>
        <m:r>
          <w:rPr>
            <w:rFonts w:ascii="Cambria Math" w:eastAsia="Times New Roman" w:hAnsi="Cambria Math" w:cs="Times New Roman"/>
            <w:color w:val="000000"/>
            <w:lang w:eastAsia="es-MX"/>
          </w:rPr>
          <m:t>i</m:t>
        </m:r>
      </m:oMath>
      <w:r w:rsidR="00DF1C25" w:rsidRPr="000045D9">
        <w:rPr>
          <w:rFonts w:ascii="ITC Avant Garde" w:eastAsia="Times New Roman" w:hAnsi="ITC Avant Garde" w:cs="Times New Roman"/>
          <w:color w:val="000000"/>
          <w:lang w:eastAsia="es-MX"/>
        </w:rPr>
        <w:t>-é</w:t>
      </w:r>
      <w:proofErr w:type="spellStart"/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>simo</w:t>
      </w:r>
      <w:proofErr w:type="spellEnd"/>
      <w:r w:rsidR="00CE1C21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agente económico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, y a </w:t>
      </w:r>
      <m:oMath>
        <m:r>
          <w:rPr>
            <w:rFonts w:ascii="Cambria Math" w:eastAsia="Times New Roman" w:hAnsi="Cambria Math" w:cs="Times New Roman"/>
            <w:color w:val="000000"/>
            <w:lang w:eastAsia="es-MX"/>
          </w:rPr>
          <m:t>V</m:t>
        </m:r>
      </m:oMath>
      <w:r w:rsidR="00AB5B1E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como el valor de ventas </w:t>
      </w:r>
      <w:r w:rsidR="00A43D46">
        <w:rPr>
          <w:rFonts w:ascii="ITC Avant Garde" w:eastAsia="Times New Roman" w:hAnsi="ITC Avant Garde" w:cs="Times New Roman"/>
          <w:color w:val="000000"/>
          <w:lang w:eastAsia="es-MX"/>
        </w:rPr>
        <w:t>total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, </w:t>
      </w:r>
      <w:r w:rsidR="00CE1C21" w:rsidRPr="000045D9">
        <w:rPr>
          <w:rFonts w:ascii="ITC Avant Garde" w:eastAsia="Times New Roman" w:hAnsi="ITC Avant Garde" w:cs="Times New Roman"/>
          <w:color w:val="000000"/>
          <w:lang w:eastAsia="es-MX"/>
        </w:rPr>
        <w:t>donde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lang w:eastAsia="es-MX"/>
          </w:rPr>
          <m:t>V=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 w:cs="Times New Roman"/>
                <w:i/>
                <w:color w:val="000000"/>
                <w:lang w:eastAsia="es-MX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lang w:eastAsia="es-MX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es-MX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es-MX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es-MX"/>
                  </w:rPr>
                  <m:t>i</m:t>
                </m:r>
              </m:sub>
            </m:sSub>
          </m:e>
        </m:nary>
      </m:oMath>
      <w:r w:rsidR="00CE1C21" w:rsidRPr="000045D9">
        <w:rPr>
          <w:rFonts w:ascii="ITC Avant Garde" w:eastAsia="Times New Roman" w:hAnsi="ITC Avant Garde" w:cs="Times New Roman"/>
          <w:i/>
          <w:color w:val="000000"/>
          <w:lang w:eastAsia="es-MX"/>
        </w:rPr>
        <w:t>,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="00CE1C21" w:rsidRPr="000045D9">
        <w:rPr>
          <w:rFonts w:ascii="ITC Avant Garde" w:eastAsia="Times New Roman" w:hAnsi="ITC Avant Garde" w:cs="Times New Roman"/>
          <w:color w:val="000000"/>
          <w:lang w:eastAsia="es-MX"/>
        </w:rPr>
        <w:t>e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ntonces, la </w:t>
      </w:r>
      <w:r w:rsidR="00C262B6" w:rsidRPr="000045D9">
        <w:rPr>
          <w:rFonts w:ascii="ITC Avant Garde" w:eastAsia="Times New Roman" w:hAnsi="ITC Avant Garde" w:cs="Times New Roman"/>
          <w:b/>
          <w:color w:val="000000"/>
          <w:lang w:eastAsia="es-MX"/>
        </w:rPr>
        <w:t xml:space="preserve">participación 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del </w:t>
      </w:r>
      <m:oMath>
        <m:r>
          <w:rPr>
            <w:rFonts w:ascii="Cambria Math" w:eastAsia="Times New Roman" w:hAnsi="Cambria Math" w:cs="Times New Roman"/>
            <w:color w:val="000000"/>
            <w:lang w:eastAsia="es-MX"/>
          </w:rPr>
          <m:t>i</m:t>
        </m:r>
      </m:oMath>
      <w:r w:rsidR="00CE1C21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-ésimo 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>agente económico,</w:t>
      </w:r>
      <w:r w:rsidR="00510CF5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que se identificará como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lang w:eastAsia="es-MX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lang w:eastAsia="es-MX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lang w:eastAsia="es-MX"/>
              </w:rPr>
              <m:t>i</m:t>
            </m:r>
          </m:sub>
        </m:sSub>
      </m:oMath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>, se define como:</w:t>
      </w:r>
    </w:p>
    <w:p w14:paraId="71ED1461" w14:textId="77777777" w:rsidR="00C84A11" w:rsidRPr="000045D9" w:rsidRDefault="00C84A11" w:rsidP="00042EE5">
      <w:pPr>
        <w:shd w:val="clear" w:color="auto" w:fill="FFFFFF"/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</w:p>
    <w:p w14:paraId="2F33B983" w14:textId="77777777" w:rsidR="00C262B6" w:rsidRPr="000045D9" w:rsidRDefault="00F94B2A" w:rsidP="00042EE5">
      <w:pPr>
        <w:shd w:val="clear" w:color="auto" w:fill="FFFFFF"/>
        <w:spacing w:after="0"/>
        <w:ind w:right="-1"/>
        <w:jc w:val="both"/>
        <w:rPr>
          <w:rFonts w:ascii="ITC Avant Garde" w:eastAsia="Times New Roman" w:hAnsi="ITC Avant Garde" w:cs="Times New Roman"/>
          <w:i/>
          <w:color w:val="000000"/>
          <w:lang w:eastAsia="es-MX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lang w:eastAsia="es-MX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lang w:eastAsia="es-MX"/>
                </w:rPr>
                <m:t>α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lang w:eastAsia="es-MX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lang w:eastAsia="es-MX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lang w:eastAsia="es-MX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lang w:eastAsia="es-MX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lang w:eastAsia="es-MX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lang w:eastAsia="es-MX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eastAsia="es-MX"/>
                    </w:rPr>
                    <m:t>V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/>
              <w:lang w:eastAsia="es-MX"/>
            </w:rPr>
            <m:t xml:space="preserve"> X 100</m:t>
          </m:r>
        </m:oMath>
      </m:oMathPara>
    </w:p>
    <w:p w14:paraId="6E609C32" w14:textId="77777777" w:rsidR="00C84A11" w:rsidRPr="000045D9" w:rsidRDefault="00C84A11" w:rsidP="00042EE5">
      <w:pPr>
        <w:shd w:val="clear" w:color="auto" w:fill="FFFFFF"/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</w:p>
    <w:p w14:paraId="0B55208E" w14:textId="40CA939A" w:rsidR="00C262B6" w:rsidRPr="000045D9" w:rsidRDefault="00286013" w:rsidP="00042EE5">
      <w:pPr>
        <w:shd w:val="clear" w:color="auto" w:fill="FFFFFF"/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 w:rsidRPr="000045D9">
        <w:rPr>
          <w:rFonts w:ascii="ITC Avant Garde" w:eastAsia="Times New Roman" w:hAnsi="ITC Avant Garde" w:cs="Times New Roman"/>
          <w:b/>
          <w:color w:val="000000"/>
          <w:lang w:eastAsia="es-MX"/>
        </w:rPr>
        <w:t>SEXTO</w:t>
      </w:r>
      <w:r w:rsidR="00093BF2" w:rsidRPr="000045D9">
        <w:rPr>
          <w:rFonts w:ascii="ITC Avant Garde" w:eastAsia="Times New Roman" w:hAnsi="ITC Avant Garde" w:cs="Times New Roman"/>
          <w:b/>
          <w:color w:val="000000"/>
          <w:lang w:eastAsia="es-MX"/>
        </w:rPr>
        <w:t>.</w:t>
      </w:r>
      <w:r w:rsidR="00093BF2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El índice de concentración, conocido en la literatura especializada como índice de </w:t>
      </w:r>
      <w:proofErr w:type="spellStart"/>
      <w:r w:rsidR="00093BF2" w:rsidRPr="000045D9">
        <w:rPr>
          <w:rFonts w:ascii="ITC Avant Garde" w:eastAsia="Times New Roman" w:hAnsi="ITC Avant Garde" w:cs="Times New Roman"/>
          <w:color w:val="000000"/>
          <w:lang w:eastAsia="es-MX"/>
        </w:rPr>
        <w:t>Herfindahl-Hirschman</w:t>
      </w:r>
      <w:proofErr w:type="spellEnd"/>
      <w:r w:rsidR="00093BF2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(</w:t>
      </w:r>
      <w:r w:rsidR="00A43D46">
        <w:rPr>
          <w:rFonts w:ascii="ITC Avant Garde" w:eastAsia="Times New Roman" w:hAnsi="ITC Avant Garde" w:cs="Times New Roman"/>
          <w:color w:val="000000"/>
          <w:lang w:eastAsia="es-MX"/>
        </w:rPr>
        <w:t>I</w:t>
      </w:r>
      <w:r w:rsidR="00093BF2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HH), se calculará 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>como la suma de las participaciones de cada agente ec</w:t>
      </w:r>
      <w:r w:rsidR="00D77A59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onómico 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>elevadas al cuadrado, es decir,</w:t>
      </w:r>
    </w:p>
    <w:p w14:paraId="5BCE9AC3" w14:textId="77777777" w:rsidR="00510CF5" w:rsidRPr="000045D9" w:rsidRDefault="00510CF5" w:rsidP="00042EE5">
      <w:pPr>
        <w:shd w:val="clear" w:color="auto" w:fill="FFFFFF"/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</w:p>
    <w:p w14:paraId="00192BAD" w14:textId="77777777" w:rsidR="00A26BCE" w:rsidRPr="000045D9" w:rsidRDefault="00A26BCE" w:rsidP="00A26BCE">
      <w:pPr>
        <w:shd w:val="clear" w:color="auto" w:fill="FFFFFF"/>
        <w:spacing w:after="0"/>
        <w:ind w:right="-1" w:firstLine="288"/>
        <w:jc w:val="center"/>
        <w:rPr>
          <w:rFonts w:ascii="ITC Avant Garde" w:eastAsia="Times New Roman" w:hAnsi="ITC Avant Garde" w:cs="Times New Roman"/>
          <w:color w:val="000000"/>
          <w:lang w:eastAsia="es-MX"/>
        </w:rPr>
      </w:pPr>
      <w:r>
        <w:rPr>
          <w:rFonts w:ascii="ITC Avant Garde" w:eastAsia="Times New Roman" w:hAnsi="ITC Avant Garde" w:cs="Times New Roman"/>
          <w:color w:val="000000"/>
          <w:lang w:eastAsia="es-MX"/>
        </w:rPr>
        <w:t>IHH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lang w:eastAsia="es-MX"/>
              </w:rPr>
            </m:ctrlPr>
          </m:sSubSupPr>
          <m:e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es-MX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es-MX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lang w:eastAsia="es-MX"/>
                  </w:rPr>
                  <m:t>N</m:t>
                </m:r>
              </m:sup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es-MX"/>
                  </w:rPr>
                  <m:t>α</m:t>
                </m:r>
              </m:e>
            </m:nary>
          </m:e>
          <m:sub>
            <m:r>
              <w:rPr>
                <w:rFonts w:ascii="Cambria Math" w:eastAsia="Times New Roman" w:hAnsi="Cambria Math" w:cs="Times New Roman"/>
                <w:color w:val="000000"/>
                <w:lang w:eastAsia="es-MX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lang w:eastAsia="es-MX"/>
              </w:rPr>
              <m:t>2</m:t>
            </m:r>
          </m:sup>
        </m:sSubSup>
      </m:oMath>
    </w:p>
    <w:p w14:paraId="3B5D74E0" w14:textId="77777777" w:rsidR="00510CF5" w:rsidRPr="000045D9" w:rsidRDefault="00510CF5" w:rsidP="00042EE5">
      <w:pPr>
        <w:shd w:val="clear" w:color="auto" w:fill="FFFFFF"/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</w:p>
    <w:p w14:paraId="0B59821B" w14:textId="6C4C1E55" w:rsidR="00DB0DEE" w:rsidRPr="000045D9" w:rsidRDefault="008E17DA" w:rsidP="00042EE5">
      <w:pPr>
        <w:shd w:val="clear" w:color="auto" w:fill="FFFFFF"/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>
        <w:rPr>
          <w:rFonts w:ascii="ITC Avant Garde" w:eastAsia="Times New Roman" w:hAnsi="ITC Avant Garde" w:cs="Times New Roman"/>
          <w:color w:val="000000"/>
          <w:lang w:eastAsia="es-MX"/>
        </w:rPr>
        <w:t xml:space="preserve">Las </w:t>
      </w:r>
      <w:r w:rsidR="00DB0DEE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características </w:t>
      </w:r>
      <w:r>
        <w:rPr>
          <w:rFonts w:ascii="ITC Avant Garde" w:eastAsia="Times New Roman" w:hAnsi="ITC Avant Garde" w:cs="Times New Roman"/>
          <w:color w:val="000000"/>
          <w:lang w:eastAsia="es-MX"/>
        </w:rPr>
        <w:t xml:space="preserve">más relevantes </w:t>
      </w:r>
      <w:r w:rsidR="00DB0DEE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del </w:t>
      </w:r>
      <w:r w:rsidR="00A43D46">
        <w:rPr>
          <w:rFonts w:ascii="ITC Avant Garde" w:eastAsia="Times New Roman" w:hAnsi="ITC Avant Garde" w:cs="Times New Roman"/>
          <w:color w:val="000000"/>
          <w:lang w:eastAsia="es-MX"/>
        </w:rPr>
        <w:t>IHH</w:t>
      </w:r>
      <w:r w:rsidR="00C262B6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="00DB0DEE" w:rsidRPr="000045D9">
        <w:rPr>
          <w:rFonts w:ascii="ITC Avant Garde" w:eastAsia="Times New Roman" w:hAnsi="ITC Avant Garde" w:cs="Times New Roman"/>
          <w:color w:val="000000"/>
          <w:lang w:eastAsia="es-MX"/>
        </w:rPr>
        <w:t>son las siguientes:</w:t>
      </w:r>
    </w:p>
    <w:p w14:paraId="03E0F94A" w14:textId="77777777" w:rsidR="00DB0DEE" w:rsidRPr="000045D9" w:rsidRDefault="00DB0DEE" w:rsidP="00042EE5">
      <w:pPr>
        <w:shd w:val="clear" w:color="auto" w:fill="FFFFFF"/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</w:p>
    <w:p w14:paraId="5AE54E18" w14:textId="553B262A" w:rsidR="008E17DA" w:rsidRPr="000045D9" w:rsidRDefault="008E17DA" w:rsidP="008E17DA">
      <w:pPr>
        <w:pStyle w:val="Prrafodelista"/>
        <w:numPr>
          <w:ilvl w:val="0"/>
          <w:numId w:val="29"/>
        </w:numPr>
        <w:shd w:val="clear" w:color="auto" w:fill="FFFFFF"/>
        <w:spacing w:after="120"/>
        <w:ind w:left="567" w:hanging="283"/>
        <w:contextualSpacing w:val="0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color w:val="000000"/>
          <w:lang w:eastAsia="es-MX"/>
        </w:rPr>
        <w:t xml:space="preserve">Independientemente del asunto analizado, puede </w:t>
      </w:r>
      <w:r w:rsidRPr="008E17DA">
        <w:rPr>
          <w:rFonts w:ascii="ITC Avant Garde" w:eastAsia="Times New Roman" w:hAnsi="ITC Avant Garde" w:cs="Times New Roman"/>
          <w:b/>
          <w:color w:val="000000"/>
          <w:lang w:eastAsia="es-MX"/>
        </w:rPr>
        <w:t>tomar valores entre cero y diez mil puntos.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Un valor bajo, cercano a cero, corresponde a una situación en la cual cada uno de</w:t>
      </w:r>
      <w:r>
        <w:rPr>
          <w:rFonts w:ascii="ITC Avant Garde" w:eastAsia="Times New Roman" w:hAnsi="ITC Avant Garde" w:cs="Times New Roman"/>
          <w:color w:val="000000"/>
          <w:lang w:eastAsia="es-MX"/>
        </w:rPr>
        <w:t xml:space="preserve"> los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agentes económicos </w:t>
      </w:r>
      <w:r>
        <w:rPr>
          <w:rFonts w:ascii="ITC Avant Garde" w:eastAsia="Times New Roman" w:hAnsi="ITC Avant Garde" w:cs="Times New Roman"/>
          <w:color w:val="000000"/>
          <w:lang w:eastAsia="es-MX"/>
        </w:rPr>
        <w:t xml:space="preserve">tiene una participación 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>poco significativ</w:t>
      </w:r>
      <w:r>
        <w:rPr>
          <w:rFonts w:ascii="ITC Avant Garde" w:eastAsia="Times New Roman" w:hAnsi="ITC Avant Garde" w:cs="Times New Roman"/>
          <w:color w:val="000000"/>
          <w:lang w:eastAsia="es-MX"/>
        </w:rPr>
        <w:t>a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. En el otro extremo, el valor máximo corresponde a una situación en la que </w:t>
      </w:r>
      <w:r>
        <w:rPr>
          <w:rFonts w:ascii="ITC Avant Garde" w:eastAsia="Times New Roman" w:hAnsi="ITC Avant Garde" w:cs="Times New Roman"/>
          <w:color w:val="000000"/>
          <w:lang w:eastAsia="es-MX"/>
        </w:rPr>
        <w:t xml:space="preserve">existe sólo 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un agente económico. Así, valores elevados del </w:t>
      </w:r>
      <w:r>
        <w:rPr>
          <w:rFonts w:ascii="ITC Avant Garde" w:eastAsia="Times New Roman" w:hAnsi="ITC Avant Garde" w:cs="Times New Roman"/>
          <w:color w:val="000000"/>
          <w:lang w:eastAsia="es-MX"/>
        </w:rPr>
        <w:t>I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HH son el reflejo de mercados con alto grado de concentración. </w:t>
      </w:r>
    </w:p>
    <w:p w14:paraId="19EB2F1A" w14:textId="0553AB10" w:rsidR="008E17DA" w:rsidRDefault="008E17DA" w:rsidP="008E17DA">
      <w:pPr>
        <w:pStyle w:val="Prrafodelista"/>
        <w:numPr>
          <w:ilvl w:val="0"/>
          <w:numId w:val="29"/>
        </w:numPr>
        <w:shd w:val="clear" w:color="auto" w:fill="FFFFFF"/>
        <w:spacing w:after="120"/>
        <w:ind w:left="567" w:hanging="283"/>
        <w:contextualSpacing w:val="0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lastRenderedPageBreak/>
        <w:t>El IHH</w:t>
      </w:r>
      <w:r w:rsidRPr="00CC3133">
        <w:rPr>
          <w:rFonts w:ascii="ITC Avant Garde" w:hAnsi="ITC Avant Garde"/>
          <w:b/>
        </w:rPr>
        <w:t xml:space="preserve"> </w:t>
      </w:r>
      <w:r>
        <w:rPr>
          <w:rFonts w:ascii="ITC Avant Garde" w:hAnsi="ITC Avant Garde"/>
          <w:b/>
        </w:rPr>
        <w:t xml:space="preserve">considera toda la actividad económica analizada y </w:t>
      </w:r>
      <w:r w:rsidRPr="00CC3133">
        <w:rPr>
          <w:rFonts w:ascii="ITC Avant Garde" w:hAnsi="ITC Avant Garde"/>
          <w:b/>
        </w:rPr>
        <w:t>refleja la</w:t>
      </w:r>
      <w:r>
        <w:rPr>
          <w:rFonts w:ascii="ITC Avant Garde" w:hAnsi="ITC Avant Garde"/>
          <w:b/>
        </w:rPr>
        <w:t xml:space="preserve"> posición relativa de los agente</w:t>
      </w:r>
      <w:r w:rsidRPr="00CC3133">
        <w:rPr>
          <w:rFonts w:ascii="ITC Avant Garde" w:hAnsi="ITC Avant Garde"/>
          <w:b/>
        </w:rPr>
        <w:t>s</w:t>
      </w:r>
      <w:r>
        <w:rPr>
          <w:rFonts w:ascii="ITC Avant Garde" w:hAnsi="ITC Avant Garde"/>
          <w:b/>
        </w:rPr>
        <w:t xml:space="preserve"> económicos</w:t>
      </w:r>
      <w:r w:rsidRPr="00CC3133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 xml:space="preserve">y </w:t>
      </w:r>
      <w:r w:rsidRPr="00CC3133">
        <w:rPr>
          <w:rFonts w:ascii="ITC Avant Garde" w:hAnsi="ITC Avant Garde"/>
        </w:rPr>
        <w:t xml:space="preserve">no es necesario determinar </w:t>
      </w:r>
      <w:r w:rsidRPr="00CC3133">
        <w:rPr>
          <w:rFonts w:ascii="ITC Avant Garde" w:hAnsi="ITC Avant Garde"/>
          <w:i/>
        </w:rPr>
        <w:t>a priori</w:t>
      </w:r>
      <w:r w:rsidRPr="00CC3133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a los </w:t>
      </w:r>
      <w:r w:rsidRPr="00CC3133">
        <w:rPr>
          <w:rFonts w:ascii="ITC Avant Garde" w:hAnsi="ITC Avant Garde"/>
        </w:rPr>
        <w:t>más importantes para calcularlo.</w:t>
      </w:r>
    </w:p>
    <w:p w14:paraId="3D732D77" w14:textId="77777777" w:rsidR="008E17DA" w:rsidRDefault="008E17DA" w:rsidP="008E17DA">
      <w:pPr>
        <w:pStyle w:val="Prrafodelista"/>
        <w:numPr>
          <w:ilvl w:val="0"/>
          <w:numId w:val="29"/>
        </w:numPr>
        <w:shd w:val="clear" w:color="auto" w:fill="FFFFFF"/>
        <w:spacing w:after="120"/>
        <w:ind w:left="567" w:hanging="283"/>
        <w:contextualSpacing w:val="0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El IHH</w:t>
      </w:r>
      <w:r w:rsidRPr="00BE0EE4">
        <w:rPr>
          <w:rFonts w:ascii="ITC Avant Garde" w:hAnsi="ITC Avant Garde"/>
          <w:b/>
        </w:rPr>
        <w:t xml:space="preserve"> aumenta cuando el número de empresas disminuye</w:t>
      </w:r>
      <w:r w:rsidRPr="00BE0EE4">
        <w:rPr>
          <w:rFonts w:ascii="ITC Avant Garde" w:hAnsi="ITC Avant Garde"/>
        </w:rPr>
        <w:t xml:space="preserve">. Esta característica implica que cualquier fusión o adquisición completa entre dos o más empresas </w:t>
      </w:r>
      <w:r>
        <w:rPr>
          <w:rFonts w:ascii="ITC Avant Garde" w:hAnsi="ITC Avant Garde"/>
        </w:rPr>
        <w:t>se ve reflejada en un valor más alto</w:t>
      </w:r>
      <w:r w:rsidRPr="00BE0EE4">
        <w:rPr>
          <w:rFonts w:ascii="ITC Avant Garde" w:hAnsi="ITC Avant Garde"/>
        </w:rPr>
        <w:t xml:space="preserve"> de</w:t>
      </w:r>
      <w:r>
        <w:rPr>
          <w:rFonts w:ascii="ITC Avant Garde" w:hAnsi="ITC Avant Garde"/>
        </w:rPr>
        <w:t>l IHH</w:t>
      </w:r>
      <w:r w:rsidRPr="00BE0EE4">
        <w:rPr>
          <w:rFonts w:ascii="ITC Avant Garde" w:hAnsi="ITC Avant Garde"/>
        </w:rPr>
        <w:t>.</w:t>
      </w:r>
      <w:r w:rsidRPr="00F4311C">
        <w:rPr>
          <w:rFonts w:ascii="ITC Avant Garde" w:eastAsia="Times New Roman" w:hAnsi="ITC Avant Garde"/>
          <w:lang w:eastAsia="es-MX"/>
        </w:rPr>
        <w:t xml:space="preserve"> </w:t>
      </w:r>
      <w:r w:rsidRPr="00CC3133">
        <w:rPr>
          <w:rFonts w:ascii="ITC Avant Garde" w:eastAsia="Times New Roman" w:hAnsi="ITC Avant Garde"/>
          <w:lang w:eastAsia="es-MX"/>
        </w:rPr>
        <w:t xml:space="preserve">Entre más pequeño sea el número de </w:t>
      </w:r>
      <w:r>
        <w:rPr>
          <w:rFonts w:ascii="ITC Avant Garde" w:eastAsia="Times New Roman" w:hAnsi="ITC Avant Garde"/>
          <w:lang w:eastAsia="es-MX"/>
        </w:rPr>
        <w:t>participantes</w:t>
      </w:r>
      <w:r w:rsidRPr="00CC3133">
        <w:rPr>
          <w:rFonts w:ascii="ITC Avant Garde" w:eastAsia="Times New Roman" w:hAnsi="ITC Avant Garde"/>
          <w:lang w:eastAsia="es-MX"/>
        </w:rPr>
        <w:t xml:space="preserve">, es más probable que </w:t>
      </w:r>
      <w:r>
        <w:rPr>
          <w:rFonts w:ascii="ITC Avant Garde" w:eastAsia="Times New Roman" w:hAnsi="ITC Avant Garde"/>
          <w:lang w:eastAsia="es-MX"/>
        </w:rPr>
        <w:t>las variaciones en el número de participantes o de las participaciones,</w:t>
      </w:r>
      <w:r w:rsidRPr="00CC3133">
        <w:rPr>
          <w:rFonts w:ascii="ITC Avant Garde" w:eastAsia="Times New Roman" w:hAnsi="ITC Avant Garde"/>
          <w:lang w:eastAsia="es-MX"/>
        </w:rPr>
        <w:t xml:space="preserve"> </w:t>
      </w:r>
      <w:r>
        <w:rPr>
          <w:rFonts w:ascii="ITC Avant Garde" w:eastAsia="Times New Roman" w:hAnsi="ITC Avant Garde"/>
          <w:lang w:eastAsia="es-MX"/>
        </w:rPr>
        <w:t xml:space="preserve">modifiquen las condiciones de </w:t>
      </w:r>
      <w:r w:rsidRPr="00CC3133">
        <w:rPr>
          <w:rFonts w:ascii="ITC Avant Garde" w:eastAsia="Times New Roman" w:hAnsi="ITC Avant Garde"/>
          <w:lang w:eastAsia="es-MX"/>
        </w:rPr>
        <w:t>competencia para el resto de los agentes</w:t>
      </w:r>
      <w:r>
        <w:rPr>
          <w:rFonts w:ascii="ITC Avant Garde" w:eastAsia="Times New Roman" w:hAnsi="ITC Avant Garde"/>
          <w:lang w:eastAsia="es-MX"/>
        </w:rPr>
        <w:t xml:space="preserve"> económicos</w:t>
      </w:r>
      <w:r w:rsidRPr="00CC3133">
        <w:rPr>
          <w:rFonts w:ascii="ITC Avant Garde" w:eastAsia="Times New Roman" w:hAnsi="ITC Avant Garde"/>
          <w:lang w:eastAsia="es-MX"/>
        </w:rPr>
        <w:t>. Est</w:t>
      </w:r>
      <w:r>
        <w:rPr>
          <w:rFonts w:ascii="ITC Avant Garde" w:eastAsia="Times New Roman" w:hAnsi="ITC Avant Garde"/>
          <w:lang w:eastAsia="es-MX"/>
        </w:rPr>
        <w:t>os cambios en las condiciones de</w:t>
      </w:r>
      <w:r w:rsidRPr="00CC3133">
        <w:rPr>
          <w:rFonts w:ascii="ITC Avant Garde" w:eastAsia="Times New Roman" w:hAnsi="ITC Avant Garde"/>
          <w:lang w:eastAsia="es-MX"/>
        </w:rPr>
        <w:t xml:space="preserve"> competencia es capturada mediante un</w:t>
      </w:r>
      <w:r>
        <w:rPr>
          <w:rFonts w:ascii="ITC Avant Garde" w:eastAsia="Times New Roman" w:hAnsi="ITC Avant Garde"/>
          <w:lang w:eastAsia="es-MX"/>
        </w:rPr>
        <w:t xml:space="preserve">a variación </w:t>
      </w:r>
      <w:r w:rsidRPr="00CC3133">
        <w:rPr>
          <w:rFonts w:ascii="ITC Avant Garde" w:eastAsia="Times New Roman" w:hAnsi="ITC Avant Garde"/>
          <w:lang w:eastAsia="es-MX"/>
        </w:rPr>
        <w:t xml:space="preserve">del </w:t>
      </w:r>
      <w:r>
        <w:rPr>
          <w:rFonts w:ascii="ITC Avant Garde" w:eastAsia="Times New Roman" w:hAnsi="ITC Avant Garde"/>
          <w:lang w:eastAsia="es-MX"/>
        </w:rPr>
        <w:t>IHH</w:t>
      </w:r>
      <w:r w:rsidRPr="00CC3133">
        <w:rPr>
          <w:rFonts w:ascii="ITC Avant Garde" w:eastAsia="Times New Roman" w:hAnsi="ITC Avant Garde"/>
          <w:lang w:eastAsia="es-MX"/>
        </w:rPr>
        <w:t>, pues éste aumenta cuando el número de competidores disminuye</w:t>
      </w:r>
      <w:r>
        <w:rPr>
          <w:rFonts w:ascii="ITC Avant Garde" w:eastAsia="Times New Roman" w:hAnsi="ITC Avant Garde"/>
          <w:lang w:eastAsia="es-MX"/>
        </w:rPr>
        <w:t xml:space="preserve"> y viceversa.</w:t>
      </w:r>
    </w:p>
    <w:p w14:paraId="0F7E2207" w14:textId="77777777" w:rsidR="001A7D46" w:rsidRPr="000045D9" w:rsidRDefault="001A7D46" w:rsidP="00042EE5">
      <w:pPr>
        <w:shd w:val="clear" w:color="auto" w:fill="FFFFFF"/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</w:p>
    <w:p w14:paraId="1CCFDEF3" w14:textId="7148F695" w:rsidR="00605939" w:rsidRPr="000045D9" w:rsidRDefault="00286013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  <w:r w:rsidRPr="000045D9">
        <w:rPr>
          <w:rFonts w:ascii="ITC Avant Garde" w:hAnsi="ITC Avant Garde"/>
          <w:b/>
        </w:rPr>
        <w:t>SÉPTIMO.</w:t>
      </w:r>
      <w:r w:rsidR="00FC6232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="00A43D46">
        <w:rPr>
          <w:rFonts w:ascii="ITC Avant Garde" w:eastAsia="Times New Roman" w:hAnsi="ITC Avant Garde" w:cs="Times New Roman"/>
          <w:color w:val="000000"/>
          <w:lang w:eastAsia="es-MX"/>
        </w:rPr>
        <w:t>En el análisis de una concentración</w:t>
      </w:r>
      <w:r w:rsidR="00EB2855">
        <w:rPr>
          <w:rFonts w:ascii="ITC Avant Garde" w:eastAsia="Times New Roman" w:hAnsi="ITC Avant Garde" w:cs="Times New Roman"/>
          <w:color w:val="000000"/>
          <w:lang w:eastAsia="es-MX"/>
        </w:rPr>
        <w:t xml:space="preserve"> u operaciones similares</w:t>
      </w:r>
      <w:r w:rsidR="00A43D46">
        <w:rPr>
          <w:rFonts w:ascii="ITC Avant Garde" w:eastAsia="Times New Roman" w:hAnsi="ITC Avant Garde" w:cs="Times New Roman"/>
          <w:color w:val="000000"/>
          <w:lang w:eastAsia="es-MX"/>
        </w:rPr>
        <w:t>, e</w:t>
      </w:r>
      <w:r w:rsidR="007874EB" w:rsidRPr="000045D9">
        <w:rPr>
          <w:rFonts w:ascii="ITC Avant Garde" w:eastAsia="Times New Roman" w:hAnsi="ITC Avant Garde" w:cs="Times New Roman"/>
          <w:color w:val="000000"/>
          <w:lang w:eastAsia="es-MX"/>
        </w:rPr>
        <w:t>l Instituto calculará l</w:t>
      </w:r>
      <w:r w:rsidR="00FF6FEC" w:rsidRPr="000045D9">
        <w:rPr>
          <w:rFonts w:ascii="ITC Avant Garde" w:hAnsi="ITC Avant Garde" w:cs="Times New Roman"/>
          <w:color w:val="000000"/>
        </w:rPr>
        <w:t xml:space="preserve">a </w:t>
      </w:r>
      <w:r w:rsidR="001B1534" w:rsidRPr="000045D9">
        <w:rPr>
          <w:rFonts w:ascii="ITC Avant Garde" w:hAnsi="ITC Avant Garde" w:cs="Times New Roman"/>
          <w:color w:val="000000"/>
        </w:rPr>
        <w:t xml:space="preserve">variación del </w:t>
      </w:r>
      <w:r w:rsidR="00A43D46">
        <w:rPr>
          <w:rFonts w:ascii="ITC Avant Garde" w:hAnsi="ITC Avant Garde" w:cs="Times New Roman"/>
          <w:color w:val="000000"/>
        </w:rPr>
        <w:t>IHH</w:t>
      </w:r>
      <w:r w:rsidR="00FF6FEC" w:rsidRPr="000045D9">
        <w:rPr>
          <w:rFonts w:ascii="ITC Avant Garde" w:hAnsi="ITC Avant Garde" w:cs="Times New Roman"/>
          <w:color w:val="000000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∆HH</m:t>
        </m:r>
      </m:oMath>
      <w:r w:rsidR="00FF6FEC" w:rsidRPr="000045D9">
        <w:rPr>
          <w:rFonts w:ascii="ITC Avant Garde" w:hAnsi="ITC Avant Garde" w:cs="Times New Roman"/>
          <w:color w:val="000000"/>
        </w:rPr>
        <w:t>)</w:t>
      </w:r>
      <w:r w:rsidR="007874EB" w:rsidRPr="000045D9">
        <w:rPr>
          <w:rFonts w:ascii="ITC Avant Garde" w:hAnsi="ITC Avant Garde" w:cs="Times New Roman"/>
          <w:color w:val="000000"/>
        </w:rPr>
        <w:t xml:space="preserve"> como una medida del cambio en el grado de concentración en el mercado derivado de </w:t>
      </w:r>
      <w:r w:rsidR="00A43D46">
        <w:rPr>
          <w:rFonts w:ascii="ITC Avant Garde" w:hAnsi="ITC Avant Garde" w:cs="Times New Roman"/>
          <w:color w:val="000000"/>
        </w:rPr>
        <w:t>la misma</w:t>
      </w:r>
      <w:r w:rsidR="00C262B6" w:rsidRPr="000045D9">
        <w:rPr>
          <w:rFonts w:ascii="ITC Avant Garde" w:hAnsi="ITC Avant Garde" w:cs="Times New Roman"/>
          <w:color w:val="000000"/>
        </w:rPr>
        <w:t xml:space="preserve">. La 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∆HH</m:t>
        </m:r>
      </m:oMath>
      <w:r w:rsidR="00C262B6" w:rsidRPr="000045D9">
        <w:rPr>
          <w:rFonts w:ascii="ITC Avant Garde" w:hAnsi="ITC Avant Garde" w:cs="Times New Roman"/>
          <w:color w:val="000000"/>
        </w:rPr>
        <w:t xml:space="preserve"> se calcula</w:t>
      </w:r>
      <w:r w:rsidR="00ED71DA" w:rsidRPr="000045D9">
        <w:rPr>
          <w:rFonts w:ascii="ITC Avant Garde" w:hAnsi="ITC Avant Garde" w:cs="Times New Roman"/>
          <w:color w:val="000000"/>
        </w:rPr>
        <w:t>rá</w:t>
      </w:r>
      <w:r w:rsidR="00C262B6" w:rsidRPr="000045D9">
        <w:rPr>
          <w:rFonts w:ascii="ITC Avant Garde" w:hAnsi="ITC Avant Garde" w:cs="Times New Roman"/>
          <w:color w:val="000000"/>
        </w:rPr>
        <w:t xml:space="preserve"> como la diferencia </w:t>
      </w:r>
      <w:r w:rsidR="00A43D46">
        <w:rPr>
          <w:rFonts w:ascii="ITC Avant Garde" w:hAnsi="ITC Avant Garde" w:cs="Times New Roman"/>
          <w:color w:val="000000"/>
        </w:rPr>
        <w:t xml:space="preserve">aritmética </w:t>
      </w:r>
      <w:r w:rsidR="00C262B6" w:rsidRPr="000045D9">
        <w:rPr>
          <w:rFonts w:ascii="ITC Avant Garde" w:hAnsi="ITC Avant Garde" w:cs="Times New Roman"/>
          <w:color w:val="000000"/>
        </w:rPr>
        <w:t xml:space="preserve">del valor </w:t>
      </w:r>
      <w:r w:rsidR="00A43D46">
        <w:rPr>
          <w:rFonts w:ascii="ITC Avant Garde" w:hAnsi="ITC Avant Garde" w:cs="Times New Roman"/>
          <w:color w:val="000000"/>
        </w:rPr>
        <w:t>de</w:t>
      </w:r>
      <w:r w:rsidR="00FF6FEC" w:rsidRPr="000045D9">
        <w:rPr>
          <w:rFonts w:ascii="ITC Avant Garde" w:hAnsi="ITC Avant Garde" w:cs="Times New Roman"/>
          <w:color w:val="000000"/>
        </w:rPr>
        <w:t xml:space="preserve">l </w:t>
      </w:r>
      <w:r w:rsidR="00A43D46">
        <w:rPr>
          <w:rFonts w:ascii="ITC Avant Garde" w:hAnsi="ITC Avant Garde" w:cs="Times New Roman"/>
          <w:color w:val="000000"/>
        </w:rPr>
        <w:t>IHH</w:t>
      </w:r>
      <w:r w:rsidR="00C262B6" w:rsidRPr="000045D9">
        <w:rPr>
          <w:rFonts w:ascii="ITC Avant Garde" w:hAnsi="ITC Avant Garde" w:cs="Times New Roman"/>
          <w:color w:val="000000"/>
        </w:rPr>
        <w:t xml:space="preserve"> </w:t>
      </w:r>
      <w:r w:rsidR="00FF6FEC" w:rsidRPr="000045D9">
        <w:rPr>
          <w:rFonts w:ascii="ITC Avant Garde" w:hAnsi="ITC Avant Garde" w:cs="Times New Roman"/>
          <w:color w:val="000000"/>
        </w:rPr>
        <w:t>después</w:t>
      </w:r>
      <w:r w:rsidR="00B62C3A" w:rsidRPr="000045D9">
        <w:rPr>
          <w:rFonts w:ascii="ITC Avant Garde" w:hAnsi="ITC Avant Garde" w:cs="Times New Roman"/>
          <w:color w:val="000000"/>
        </w:rPr>
        <w:t xml:space="preserve"> (</w:t>
      </w:r>
      <m:oMath>
        <m:r>
          <w:rPr>
            <w:rFonts w:ascii="Cambria Math" w:hAnsi="Cambria Math" w:cs="Times New Roman"/>
            <w:color w:val="000000"/>
          </w:rPr>
          <m:t>I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HH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D</m:t>
            </m:r>
          </m:sub>
        </m:sSub>
      </m:oMath>
      <w:r w:rsidR="00B62C3A" w:rsidRPr="000045D9">
        <w:rPr>
          <w:rFonts w:ascii="ITC Avant Garde" w:hAnsi="ITC Avant Garde" w:cs="Times New Roman"/>
          <w:color w:val="000000"/>
        </w:rPr>
        <w:t>)</w:t>
      </w:r>
      <w:r w:rsidR="00FF6FEC" w:rsidRPr="000045D9">
        <w:rPr>
          <w:rFonts w:ascii="ITC Avant Garde" w:hAnsi="ITC Avant Garde" w:cs="Times New Roman"/>
          <w:color w:val="000000"/>
        </w:rPr>
        <w:t xml:space="preserve"> y an</w:t>
      </w:r>
      <w:r w:rsidR="00C262B6" w:rsidRPr="000045D9">
        <w:rPr>
          <w:rFonts w:ascii="ITC Avant Garde" w:hAnsi="ITC Avant Garde" w:cs="Times New Roman"/>
          <w:color w:val="000000"/>
        </w:rPr>
        <w:t>tes</w:t>
      </w:r>
      <w:r w:rsidR="00B62C3A" w:rsidRPr="000045D9">
        <w:rPr>
          <w:rFonts w:ascii="ITC Avant Garde" w:hAnsi="ITC Avant Garde" w:cs="Times New Roman"/>
          <w:color w:val="000000"/>
        </w:rPr>
        <w:t xml:space="preserve"> (</w:t>
      </w:r>
      <m:oMath>
        <m:r>
          <w:rPr>
            <w:rFonts w:ascii="Cambria Math" w:hAnsi="Cambria Math" w:cs="Times New Roman"/>
            <w:color w:val="000000"/>
          </w:rPr>
          <m:t>I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HH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A</m:t>
            </m:r>
          </m:sub>
        </m:sSub>
      </m:oMath>
      <w:r w:rsidR="00B62C3A" w:rsidRPr="000045D9">
        <w:rPr>
          <w:rFonts w:ascii="ITC Avant Garde" w:eastAsiaTheme="minorEastAsia" w:hAnsi="ITC Avant Garde" w:cs="Times New Roman"/>
          <w:color w:val="000000"/>
        </w:rPr>
        <w:t>)</w:t>
      </w:r>
      <w:r w:rsidR="00C262B6" w:rsidRPr="000045D9">
        <w:rPr>
          <w:rFonts w:ascii="ITC Avant Garde" w:hAnsi="ITC Avant Garde" w:cs="Times New Roman"/>
          <w:color w:val="000000"/>
        </w:rPr>
        <w:t xml:space="preserve"> de </w:t>
      </w:r>
      <w:r w:rsidR="0082466A" w:rsidRPr="000045D9">
        <w:rPr>
          <w:rFonts w:ascii="ITC Avant Garde" w:hAnsi="ITC Avant Garde" w:cs="Times New Roman"/>
          <w:color w:val="000000"/>
        </w:rPr>
        <w:t xml:space="preserve">que se lleve a cabo </w:t>
      </w:r>
      <w:r w:rsidR="00C262B6" w:rsidRPr="000045D9">
        <w:rPr>
          <w:rFonts w:ascii="ITC Avant Garde" w:hAnsi="ITC Avant Garde" w:cs="Times New Roman"/>
          <w:color w:val="000000"/>
        </w:rPr>
        <w:t xml:space="preserve">la </w:t>
      </w:r>
      <w:r w:rsidR="00EB2855">
        <w:rPr>
          <w:rFonts w:ascii="ITC Avant Garde" w:hAnsi="ITC Avant Garde" w:cs="Times New Roman"/>
          <w:color w:val="000000"/>
        </w:rPr>
        <w:t>operación</w:t>
      </w:r>
      <w:r w:rsidR="00C262B6" w:rsidRPr="000045D9">
        <w:rPr>
          <w:rFonts w:ascii="ITC Avant Garde" w:hAnsi="ITC Avant Garde" w:cs="Times New Roman"/>
          <w:color w:val="000000"/>
        </w:rPr>
        <w:t xml:space="preserve">. </w:t>
      </w:r>
    </w:p>
    <w:p w14:paraId="02054B47" w14:textId="77777777" w:rsidR="00605939" w:rsidRPr="000045D9" w:rsidRDefault="00605939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74EC324B" w14:textId="0C07AC56" w:rsidR="00FF6FEC" w:rsidRPr="000045D9" w:rsidRDefault="00B62C3A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  <w:r w:rsidRPr="000045D9">
        <w:rPr>
          <w:rFonts w:ascii="ITC Avant Garde" w:hAnsi="ITC Avant Garde" w:cs="Times New Roman"/>
          <w:color w:val="000000"/>
        </w:rPr>
        <w:t xml:space="preserve">En el cálculo del </w:t>
      </w:r>
      <m:oMath>
        <m:r>
          <w:rPr>
            <w:rFonts w:ascii="Cambria Math" w:hAnsi="Cambria Math" w:cs="Times New Roman"/>
            <w:color w:val="000000"/>
          </w:rPr>
          <m:t>I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HH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D</m:t>
            </m:r>
          </m:sub>
        </m:sSub>
      </m:oMath>
      <w:r w:rsidRPr="000045D9">
        <w:rPr>
          <w:rFonts w:ascii="ITC Avant Garde" w:hAnsi="ITC Avant Garde" w:cs="Times New Roman"/>
          <w:color w:val="000000"/>
        </w:rPr>
        <w:t xml:space="preserve"> se considera la participación que tendría el agente económico resultante de la </w:t>
      </w:r>
      <w:r w:rsidR="00EB2855">
        <w:rPr>
          <w:rFonts w:ascii="ITC Avant Garde" w:hAnsi="ITC Avant Garde" w:cs="Times New Roman"/>
          <w:color w:val="000000"/>
        </w:rPr>
        <w:t>operación</w:t>
      </w:r>
      <w:r w:rsidRPr="000045D9">
        <w:rPr>
          <w:rFonts w:ascii="ITC Avant Garde" w:hAnsi="ITC Avant Garde" w:cs="Times New Roman"/>
          <w:color w:val="000000"/>
        </w:rPr>
        <w:t xml:space="preserve">, mientras que en el cálculo del </w:t>
      </w:r>
      <m:oMath>
        <m:r>
          <w:rPr>
            <w:rFonts w:ascii="Cambria Math" w:hAnsi="Cambria Math" w:cs="Times New Roman"/>
            <w:color w:val="000000"/>
          </w:rPr>
          <m:t>I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HH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A</m:t>
            </m:r>
          </m:sub>
        </m:sSub>
      </m:oMath>
      <w:r w:rsidRPr="000045D9">
        <w:rPr>
          <w:rFonts w:ascii="ITC Avant Garde" w:hAnsi="ITC Avant Garde" w:cs="Times New Roman"/>
          <w:color w:val="000000"/>
        </w:rPr>
        <w:t xml:space="preserve"> se consideran las participaciones por separado de cada un</w:t>
      </w:r>
      <w:r w:rsidR="00ED71DA" w:rsidRPr="000045D9">
        <w:rPr>
          <w:rFonts w:ascii="ITC Avant Garde" w:hAnsi="ITC Avant Garde" w:cs="Times New Roman"/>
          <w:color w:val="000000"/>
        </w:rPr>
        <w:t>o</w:t>
      </w:r>
      <w:r w:rsidRPr="000045D9">
        <w:rPr>
          <w:rFonts w:ascii="ITC Avant Garde" w:hAnsi="ITC Avant Garde" w:cs="Times New Roman"/>
          <w:color w:val="000000"/>
        </w:rPr>
        <w:t xml:space="preserve"> de l</w:t>
      </w:r>
      <w:r w:rsidR="00ED71DA" w:rsidRPr="000045D9">
        <w:rPr>
          <w:rFonts w:ascii="ITC Avant Garde" w:hAnsi="ITC Avant Garde" w:cs="Times New Roman"/>
          <w:color w:val="000000"/>
        </w:rPr>
        <w:t>os</w:t>
      </w:r>
      <w:r w:rsidRPr="000045D9">
        <w:rPr>
          <w:rFonts w:ascii="ITC Avant Garde" w:hAnsi="ITC Avant Garde" w:cs="Times New Roman"/>
          <w:color w:val="000000"/>
        </w:rPr>
        <w:t xml:space="preserve"> </w:t>
      </w:r>
      <w:r w:rsidR="00ED71DA" w:rsidRPr="000045D9">
        <w:rPr>
          <w:rFonts w:ascii="ITC Avant Garde" w:hAnsi="ITC Avant Garde" w:cs="Times New Roman"/>
          <w:color w:val="000000"/>
        </w:rPr>
        <w:t xml:space="preserve">agentes económicos </w:t>
      </w:r>
      <w:r w:rsidR="00EB2855">
        <w:rPr>
          <w:rFonts w:ascii="ITC Avant Garde" w:hAnsi="ITC Avant Garde" w:cs="Times New Roman"/>
          <w:color w:val="000000"/>
        </w:rPr>
        <w:t>involucrados</w:t>
      </w:r>
      <w:r w:rsidR="00A80740">
        <w:rPr>
          <w:rFonts w:ascii="ITC Avant Garde" w:hAnsi="ITC Avant Garde" w:cs="Times New Roman"/>
          <w:color w:val="000000"/>
        </w:rPr>
        <w:t>.</w:t>
      </w:r>
      <w:r w:rsidRPr="000045D9">
        <w:rPr>
          <w:rFonts w:ascii="ITC Avant Garde" w:hAnsi="ITC Avant Garde" w:cs="Times New Roman"/>
          <w:color w:val="000000"/>
        </w:rPr>
        <w:t xml:space="preserve"> </w:t>
      </w:r>
      <w:r w:rsidR="00A80740">
        <w:rPr>
          <w:rFonts w:ascii="ITC Avant Garde" w:hAnsi="ITC Avant Garde" w:cs="Times New Roman"/>
          <w:color w:val="000000"/>
        </w:rPr>
        <w:t>E</w:t>
      </w:r>
      <w:r w:rsidRPr="000045D9">
        <w:rPr>
          <w:rFonts w:ascii="ITC Avant Garde" w:hAnsi="ITC Avant Garde" w:cs="Times New Roman"/>
          <w:color w:val="000000"/>
        </w:rPr>
        <w:t xml:space="preserve">n ambos casos, las participaciones de los agentes económicos no </w:t>
      </w:r>
      <w:r w:rsidR="0076659A" w:rsidRPr="000045D9">
        <w:rPr>
          <w:rFonts w:ascii="ITC Avant Garde" w:hAnsi="ITC Avant Garde" w:cs="Times New Roman"/>
          <w:color w:val="000000"/>
        </w:rPr>
        <w:t xml:space="preserve">involucrados </w:t>
      </w:r>
      <w:r w:rsidRPr="000045D9">
        <w:rPr>
          <w:rFonts w:ascii="ITC Avant Garde" w:hAnsi="ITC Avant Garde" w:cs="Times New Roman"/>
          <w:color w:val="000000"/>
        </w:rPr>
        <w:t xml:space="preserve">en la </w:t>
      </w:r>
      <w:r w:rsidR="00EB2855">
        <w:rPr>
          <w:rFonts w:ascii="ITC Avant Garde" w:hAnsi="ITC Avant Garde" w:cs="Times New Roman"/>
          <w:color w:val="000000"/>
        </w:rPr>
        <w:t>operación</w:t>
      </w:r>
      <w:r w:rsidR="00EB2855" w:rsidRPr="000045D9">
        <w:rPr>
          <w:rFonts w:ascii="ITC Avant Garde" w:hAnsi="ITC Avant Garde" w:cs="Times New Roman"/>
          <w:color w:val="000000"/>
        </w:rPr>
        <w:t xml:space="preserve"> </w:t>
      </w:r>
      <w:r w:rsidRPr="000045D9">
        <w:rPr>
          <w:rFonts w:ascii="ITC Avant Garde" w:hAnsi="ITC Avant Garde" w:cs="Times New Roman"/>
          <w:color w:val="000000"/>
        </w:rPr>
        <w:t>se mantienen sin variación.</w:t>
      </w:r>
    </w:p>
    <w:p w14:paraId="24525997" w14:textId="77777777" w:rsidR="00FF6FEC" w:rsidRPr="000045D9" w:rsidRDefault="00FF6FEC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0643B087" w14:textId="0F2C1210" w:rsidR="00C262B6" w:rsidRPr="000045D9" w:rsidRDefault="00C262B6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  <w:r w:rsidRPr="000045D9">
        <w:rPr>
          <w:rFonts w:ascii="ITC Avant Garde" w:hAnsi="ITC Avant Garde" w:cs="Times New Roman"/>
          <w:color w:val="000000"/>
        </w:rPr>
        <w:t xml:space="preserve">Por ejemplo, </w:t>
      </w:r>
      <w:r w:rsidR="007754E3" w:rsidRPr="000045D9">
        <w:rPr>
          <w:rFonts w:ascii="ITC Avant Garde" w:hAnsi="ITC Avant Garde" w:cs="Times New Roman"/>
          <w:color w:val="000000"/>
        </w:rPr>
        <w:t>en el caso particular de que 2 (</w:t>
      </w:r>
      <w:r w:rsidRPr="000045D9">
        <w:rPr>
          <w:rFonts w:ascii="ITC Avant Garde" w:hAnsi="ITC Avant Garde" w:cs="Times New Roman"/>
          <w:color w:val="000000"/>
        </w:rPr>
        <w:t>dos</w:t>
      </w:r>
      <w:r w:rsidR="007754E3" w:rsidRPr="000045D9">
        <w:rPr>
          <w:rFonts w:ascii="ITC Avant Garde" w:hAnsi="ITC Avant Garde" w:cs="Times New Roman"/>
          <w:color w:val="000000"/>
        </w:rPr>
        <w:t>)</w:t>
      </w:r>
      <w:r w:rsidRPr="000045D9">
        <w:rPr>
          <w:rFonts w:ascii="ITC Avant Garde" w:hAnsi="ITC Avant Garde" w:cs="Times New Roman"/>
          <w:color w:val="000000"/>
        </w:rPr>
        <w:t xml:space="preserve"> agentes económicos con participaci</w:t>
      </w:r>
      <w:r w:rsidR="007754E3" w:rsidRPr="000045D9">
        <w:rPr>
          <w:rFonts w:ascii="ITC Avant Garde" w:hAnsi="ITC Avant Garde" w:cs="Times New Roman"/>
          <w:color w:val="000000"/>
        </w:rPr>
        <w:t>ones</w:t>
      </w:r>
      <w:r w:rsidR="00FF6FEC" w:rsidRPr="000045D9">
        <w:rPr>
          <w:rFonts w:ascii="ITC Avant Garde" w:hAnsi="ITC Avant Garde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α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1</m:t>
            </m:r>
          </m:sub>
        </m:sSub>
      </m:oMath>
      <w:r w:rsidRPr="000045D9">
        <w:rPr>
          <w:rFonts w:ascii="ITC Avant Garde" w:hAnsi="ITC Avant Garde" w:cs="Times New Roman"/>
          <w:color w:val="000000"/>
        </w:rPr>
        <w:t xml:space="preserve"> y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α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 w:rsidRPr="000045D9">
        <w:rPr>
          <w:rFonts w:ascii="ITC Avant Garde" w:hAnsi="ITC Avant Garde" w:cs="Times New Roman"/>
          <w:color w:val="000000"/>
        </w:rPr>
        <w:t xml:space="preserve"> </w:t>
      </w:r>
      <w:r w:rsidR="008E17DA">
        <w:rPr>
          <w:rFonts w:ascii="ITC Avant Garde" w:hAnsi="ITC Avant Garde" w:cs="Times New Roman"/>
          <w:color w:val="000000"/>
        </w:rPr>
        <w:t>propusieran una</w:t>
      </w:r>
      <w:r w:rsidRPr="000045D9">
        <w:rPr>
          <w:rFonts w:ascii="ITC Avant Garde" w:hAnsi="ITC Avant Garde" w:cs="Times New Roman"/>
          <w:color w:val="000000"/>
        </w:rPr>
        <w:t xml:space="preserve"> concentra</w:t>
      </w:r>
      <w:r w:rsidR="008E17DA">
        <w:rPr>
          <w:rFonts w:ascii="ITC Avant Garde" w:hAnsi="ITC Avant Garde" w:cs="Times New Roman"/>
          <w:color w:val="000000"/>
        </w:rPr>
        <w:t>ción</w:t>
      </w:r>
      <w:r w:rsidRPr="000045D9">
        <w:rPr>
          <w:rFonts w:ascii="ITC Avant Garde" w:hAnsi="ITC Avant Garde" w:cs="Times New Roman"/>
          <w:color w:val="000000"/>
        </w:rPr>
        <w:t xml:space="preserve">, </w:t>
      </w:r>
      <w:r w:rsidR="00D81AB0" w:rsidRPr="000045D9">
        <w:rPr>
          <w:rFonts w:ascii="ITC Avant Garde" w:hAnsi="ITC Avant Garde" w:cs="Times New Roman"/>
          <w:color w:val="000000"/>
        </w:rPr>
        <w:t>la variación del</w:t>
      </w:r>
      <w:r w:rsidRPr="000045D9">
        <w:rPr>
          <w:rFonts w:ascii="ITC Avant Garde" w:hAnsi="ITC Avant Garde" w:cs="Times New Roman"/>
          <w:color w:val="000000"/>
        </w:rPr>
        <w:t xml:space="preserve"> </w:t>
      </w:r>
      <w:r w:rsidR="00A43D46">
        <w:rPr>
          <w:rFonts w:ascii="ITC Avant Garde" w:hAnsi="ITC Avant Garde" w:cs="Times New Roman"/>
          <w:color w:val="000000"/>
        </w:rPr>
        <w:t>IHH</w:t>
      </w:r>
      <w:r w:rsidRPr="000045D9">
        <w:rPr>
          <w:rFonts w:ascii="ITC Avant Garde" w:hAnsi="ITC Avant Garde" w:cs="Times New Roman"/>
          <w:color w:val="000000"/>
        </w:rPr>
        <w:t xml:space="preserve"> </w:t>
      </w:r>
      <w:r w:rsidR="00A350C5" w:rsidRPr="000045D9">
        <w:rPr>
          <w:rFonts w:ascii="ITC Avant Garde" w:hAnsi="ITC Avant Garde" w:cs="Times New Roman"/>
          <w:color w:val="000000"/>
        </w:rPr>
        <w:t>(</w:t>
      </w:r>
      <m:oMath>
        <m:r>
          <w:rPr>
            <w:rFonts w:ascii="Cambria Math" w:hAnsi="Cambria Math" w:cs="Times New Roman"/>
            <w:color w:val="000000"/>
          </w:rPr>
          <m:t>∆HH</m:t>
        </m:r>
      </m:oMath>
      <w:r w:rsidR="00A350C5" w:rsidRPr="000045D9">
        <w:rPr>
          <w:rFonts w:ascii="ITC Avant Garde" w:hAnsi="ITC Avant Garde" w:cs="Times New Roman"/>
          <w:color w:val="000000"/>
        </w:rPr>
        <w:t xml:space="preserve">) </w:t>
      </w:r>
      <w:r w:rsidRPr="000045D9">
        <w:rPr>
          <w:rFonts w:ascii="ITC Avant Garde" w:hAnsi="ITC Avant Garde" w:cs="Times New Roman"/>
          <w:color w:val="000000"/>
        </w:rPr>
        <w:t>se calcula</w:t>
      </w:r>
      <w:r w:rsidR="00D81AB0" w:rsidRPr="000045D9">
        <w:rPr>
          <w:rFonts w:ascii="ITC Avant Garde" w:hAnsi="ITC Avant Garde" w:cs="Times New Roman"/>
          <w:color w:val="000000"/>
        </w:rPr>
        <w:t>ría</w:t>
      </w:r>
      <w:r w:rsidRPr="000045D9">
        <w:rPr>
          <w:rFonts w:ascii="ITC Avant Garde" w:hAnsi="ITC Avant Garde" w:cs="Times New Roman"/>
          <w:color w:val="000000"/>
        </w:rPr>
        <w:t xml:space="preserve"> como sigue:</w:t>
      </w:r>
    </w:p>
    <w:p w14:paraId="0ECAF71E" w14:textId="77777777" w:rsidR="00ED71DA" w:rsidRPr="000045D9" w:rsidRDefault="00ED71DA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1B7705CE" w14:textId="2A6E0D2E" w:rsidR="00D81AB0" w:rsidRPr="000045D9" w:rsidRDefault="00C262B6" w:rsidP="00042EE5">
      <w:pPr>
        <w:shd w:val="clear" w:color="auto" w:fill="FFFFFF"/>
        <w:spacing w:after="0"/>
        <w:ind w:right="-1"/>
        <w:jc w:val="both"/>
        <w:rPr>
          <w:rFonts w:ascii="ITC Avant Garde" w:eastAsiaTheme="minorEastAsia" w:hAnsi="ITC Avant Garde" w:cs="Times New Roman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</w:rPr>
            <m:t xml:space="preserve">∆HH =                   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</w:rPr>
                <m:t>IHH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D</m:t>
              </m:r>
            </m:sub>
          </m:sSub>
          <m:r>
            <w:rPr>
              <w:rFonts w:ascii="Cambria Math" w:hAnsi="Cambria Math" w:cs="Times New Roman"/>
              <w:color w:val="000000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</w:rPr>
                <m:t>IHH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A</m:t>
              </m:r>
            </m:sub>
          </m:sSub>
        </m:oMath>
      </m:oMathPara>
    </w:p>
    <w:p w14:paraId="40266363" w14:textId="77777777" w:rsidR="00ED71DA" w:rsidRPr="000045D9" w:rsidRDefault="00ED71DA" w:rsidP="00042EE5">
      <w:pPr>
        <w:shd w:val="clear" w:color="auto" w:fill="FFFFFF"/>
        <w:spacing w:after="0"/>
        <w:ind w:right="-1"/>
        <w:jc w:val="both"/>
        <w:rPr>
          <w:rFonts w:ascii="ITC Avant Garde" w:eastAsiaTheme="minorEastAsia" w:hAnsi="ITC Avant Garde" w:cs="Times New Roman"/>
          <w:color w:val="000000"/>
        </w:rPr>
      </w:pPr>
    </w:p>
    <w:p w14:paraId="1BBFA59C" w14:textId="77777777" w:rsidR="00C262B6" w:rsidRPr="000045D9" w:rsidRDefault="00D81AB0" w:rsidP="00042EE5">
      <w:pPr>
        <w:shd w:val="clear" w:color="auto" w:fill="FFFFFF"/>
        <w:spacing w:after="0"/>
        <w:ind w:left="567" w:right="-1"/>
        <w:jc w:val="both"/>
        <w:rPr>
          <w:rFonts w:ascii="ITC Avant Garde" w:eastAsiaTheme="minorEastAsia" w:hAnsi="ITC Avant Garde" w:cs="Times New Roman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/>
            </w:rPr>
            <m:t xml:space="preserve">=              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</w:rPr>
                <m:t>+…+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color w:val="000000"/>
            </w:rPr>
            <m:t>-[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</w:rPr>
            <m:t>+…+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</w:rPr>
            <m:t>]</m:t>
          </m:r>
        </m:oMath>
      </m:oMathPara>
    </w:p>
    <w:p w14:paraId="22410094" w14:textId="77777777" w:rsidR="00ED71DA" w:rsidRPr="000045D9" w:rsidRDefault="00ED71DA" w:rsidP="00042EE5">
      <w:pPr>
        <w:shd w:val="clear" w:color="auto" w:fill="FFFFFF"/>
        <w:spacing w:after="0"/>
        <w:ind w:left="567" w:right="-1"/>
        <w:jc w:val="both"/>
        <w:rPr>
          <w:rFonts w:ascii="ITC Avant Garde" w:eastAsiaTheme="minorEastAsia" w:hAnsi="ITC Avant Garde" w:cs="Times New Roman"/>
          <w:color w:val="000000"/>
        </w:rPr>
      </w:pPr>
    </w:p>
    <w:p w14:paraId="32BFFC5E" w14:textId="77777777" w:rsidR="00C262B6" w:rsidRPr="000045D9" w:rsidRDefault="00D81AB0" w:rsidP="00042EE5">
      <w:pPr>
        <w:shd w:val="clear" w:color="auto" w:fill="FFFFFF"/>
        <w:spacing w:after="0"/>
        <w:ind w:left="567" w:right="-1"/>
        <w:jc w:val="both"/>
        <w:rPr>
          <w:rFonts w:ascii="ITC Avant Garde" w:eastAsiaTheme="minorEastAsia" w:hAnsi="ITC Avant Garde" w:cs="Times New Roman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(α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 xml:space="preserve">2 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</w:rPr>
                <m:t>+…+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color w:val="000000"/>
            </w:rPr>
            <m:t>-[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</w:rPr>
            <m:t>+…+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color w:val="000000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/>
            </w:rPr>
            <m:t>]</m:t>
          </m:r>
        </m:oMath>
      </m:oMathPara>
    </w:p>
    <w:p w14:paraId="0A416A62" w14:textId="77777777" w:rsidR="00ED71DA" w:rsidRPr="000045D9" w:rsidRDefault="00ED71DA" w:rsidP="00042EE5">
      <w:pPr>
        <w:shd w:val="clear" w:color="auto" w:fill="FFFFFF"/>
        <w:spacing w:after="0"/>
        <w:ind w:left="567" w:right="-1"/>
        <w:jc w:val="both"/>
        <w:rPr>
          <w:rFonts w:ascii="ITC Avant Garde" w:eastAsiaTheme="minorEastAsia" w:hAnsi="ITC Avant Garde" w:cs="Times New Roman"/>
          <w:color w:val="000000"/>
        </w:rPr>
      </w:pPr>
    </w:p>
    <w:p w14:paraId="0A9AE8FA" w14:textId="77777777" w:rsidR="00C262B6" w:rsidRPr="000045D9" w:rsidRDefault="00C262B6" w:rsidP="00042EE5">
      <w:pPr>
        <w:shd w:val="clear" w:color="auto" w:fill="FFFFFF"/>
        <w:spacing w:after="0"/>
        <w:ind w:left="567" w:right="-1"/>
        <w:jc w:val="both"/>
        <w:rPr>
          <w:rFonts w:ascii="ITC Avant Garde" w:hAnsi="ITC Avant Garde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</w:rPr>
            <m:t>=                                                                    2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 xml:space="preserve">2 </m:t>
              </m:r>
            </m:sub>
          </m:sSub>
        </m:oMath>
      </m:oMathPara>
    </w:p>
    <w:p w14:paraId="73E87B36" w14:textId="77777777" w:rsidR="00C262B6" w:rsidRPr="000045D9" w:rsidRDefault="00C262B6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6D1E88B5" w14:textId="5D2F93CE" w:rsidR="00A350C5" w:rsidRPr="000045D9" w:rsidRDefault="00A350C5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  <w:r w:rsidRPr="000045D9">
        <w:rPr>
          <w:rFonts w:ascii="ITC Avant Garde" w:hAnsi="ITC Avant Garde" w:cs="Times New Roman"/>
          <w:color w:val="000000"/>
        </w:rPr>
        <w:t xml:space="preserve">Es decir, </w:t>
      </w:r>
      <w:r w:rsidR="00A80740">
        <w:rPr>
          <w:rFonts w:ascii="ITC Avant Garde" w:hAnsi="ITC Avant Garde" w:cs="Times New Roman"/>
          <w:color w:val="000000"/>
        </w:rPr>
        <w:t xml:space="preserve">para el ejemplo que se presenta, </w:t>
      </w:r>
      <w:r w:rsidRPr="000045D9">
        <w:rPr>
          <w:rFonts w:ascii="ITC Avant Garde" w:hAnsi="ITC Avant Garde" w:cs="Times New Roman"/>
          <w:color w:val="000000"/>
        </w:rPr>
        <w:t xml:space="preserve">la variación del </w:t>
      </w:r>
      <w:r w:rsidR="00A43D46">
        <w:rPr>
          <w:rFonts w:ascii="ITC Avant Garde" w:hAnsi="ITC Avant Garde" w:cs="Times New Roman"/>
          <w:color w:val="000000"/>
        </w:rPr>
        <w:t>IHH</w:t>
      </w:r>
      <w:r w:rsidRPr="000045D9">
        <w:rPr>
          <w:rFonts w:ascii="ITC Avant Garde" w:hAnsi="ITC Avant Garde" w:cs="Times New Roman"/>
          <w:color w:val="000000"/>
        </w:rPr>
        <w:t xml:space="preserve"> se puede obtener de la diferencia </w:t>
      </w:r>
      <w:r w:rsidR="00A80740">
        <w:rPr>
          <w:rFonts w:ascii="ITC Avant Garde" w:hAnsi="ITC Avant Garde" w:cs="Times New Roman"/>
          <w:color w:val="000000"/>
        </w:rPr>
        <w:t>entre el valor de</w:t>
      </w:r>
      <w:r w:rsidRPr="000045D9">
        <w:rPr>
          <w:rFonts w:ascii="ITC Avant Garde" w:hAnsi="ITC Avant Garde" w:cs="Times New Roman"/>
          <w:color w:val="000000"/>
        </w:rPr>
        <w:t xml:space="preserve">l </w:t>
      </w:r>
      <m:oMath>
        <m:r>
          <w:rPr>
            <w:rFonts w:ascii="Cambria Math" w:hAnsi="Cambria Math" w:cs="Times New Roman"/>
            <w:color w:val="000000"/>
          </w:rPr>
          <m:t>I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HH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D</m:t>
            </m:r>
          </m:sub>
        </m:sSub>
      </m:oMath>
      <w:r w:rsidRPr="000045D9">
        <w:rPr>
          <w:rFonts w:ascii="ITC Avant Garde" w:hAnsi="ITC Avant Garde" w:cs="Times New Roman"/>
          <w:color w:val="000000"/>
        </w:rPr>
        <w:t xml:space="preserve"> y </w:t>
      </w:r>
      <w:r w:rsidR="00A80740">
        <w:rPr>
          <w:rFonts w:ascii="ITC Avant Garde" w:hAnsi="ITC Avant Garde" w:cs="Times New Roman"/>
          <w:color w:val="000000"/>
        </w:rPr>
        <w:t>d</w:t>
      </w:r>
      <w:r w:rsidRPr="000045D9">
        <w:rPr>
          <w:rFonts w:ascii="ITC Avant Garde" w:hAnsi="ITC Avant Garde" w:cs="Times New Roman"/>
          <w:color w:val="000000"/>
        </w:rPr>
        <w:t xml:space="preserve">el </w:t>
      </w:r>
      <m:oMath>
        <m:r>
          <w:rPr>
            <w:rFonts w:ascii="Cambria Math" w:hAnsi="Cambria Math" w:cs="Times New Roman"/>
            <w:color w:val="000000"/>
          </w:rPr>
          <m:t>I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HH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A</m:t>
            </m:r>
          </m:sub>
        </m:sSub>
      </m:oMath>
      <w:r w:rsidRPr="000045D9">
        <w:rPr>
          <w:rFonts w:ascii="ITC Avant Garde" w:eastAsiaTheme="minorEastAsia" w:hAnsi="ITC Avant Garde" w:cs="Times New Roman"/>
          <w:color w:val="000000"/>
        </w:rPr>
        <w:t xml:space="preserve"> o de multiplicar por dos el producto de las participaciones de los </w:t>
      </w:r>
      <w:r w:rsidRPr="000045D9">
        <w:rPr>
          <w:rFonts w:ascii="ITC Avant Garde" w:hAnsi="ITC Avant Garde" w:cs="Times New Roman"/>
          <w:color w:val="000000"/>
        </w:rPr>
        <w:t>2 (dos) agentes económicos</w:t>
      </w:r>
      <w:r w:rsidRPr="000045D9">
        <w:rPr>
          <w:rFonts w:ascii="ITC Avant Garde" w:eastAsiaTheme="minorEastAsia" w:hAnsi="ITC Avant Garde" w:cs="Times New Roman"/>
          <w:color w:val="000000"/>
        </w:rPr>
        <w:t xml:space="preserve"> que se concentran.</w:t>
      </w:r>
    </w:p>
    <w:p w14:paraId="476F79CB" w14:textId="77777777" w:rsidR="00A350C5" w:rsidRPr="000045D9" w:rsidRDefault="00A350C5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2F9922F9" w14:textId="37508F2A" w:rsidR="00DF17E6" w:rsidRPr="00DC5F81" w:rsidRDefault="007A6094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  <w:r w:rsidRPr="000045D9">
        <w:rPr>
          <w:rFonts w:ascii="ITC Avant Garde" w:hAnsi="ITC Avant Garde"/>
        </w:rPr>
        <w:t xml:space="preserve">En la evaluación de conductas anticompetitivas, así como en la determinación de poder sustancial, condiciones de competencia y otros asuntos en materia de libre concurrencia y competencia económica, el Instituto no </w:t>
      </w:r>
      <w:r w:rsidR="00A80740">
        <w:rPr>
          <w:rFonts w:ascii="ITC Avant Garde" w:hAnsi="ITC Avant Garde"/>
        </w:rPr>
        <w:t xml:space="preserve"> necesariamente </w:t>
      </w:r>
      <w:r w:rsidRPr="000045D9">
        <w:rPr>
          <w:rFonts w:ascii="ITC Avant Garde" w:hAnsi="ITC Avant Garde"/>
        </w:rPr>
        <w:t xml:space="preserve">calculará </w:t>
      </w:r>
      <w:r w:rsidR="00A80740">
        <w:rPr>
          <w:rFonts w:ascii="ITC Avant Garde" w:hAnsi="ITC Avant Garde"/>
        </w:rPr>
        <w:t xml:space="preserve">la </w:t>
      </w:r>
      <m:oMath>
        <m:r>
          <w:rPr>
            <w:rFonts w:ascii="Cambria Math" w:hAnsi="Cambria Math" w:cs="Times New Roman"/>
            <w:color w:val="000000"/>
          </w:rPr>
          <m:t>∆HH</m:t>
        </m:r>
      </m:oMath>
      <w:r w:rsidRPr="000045D9">
        <w:rPr>
          <w:rFonts w:ascii="ITC Avant Garde" w:hAnsi="ITC Avant Garde"/>
        </w:rPr>
        <w:t xml:space="preserve"> y </w:t>
      </w:r>
      <w:r w:rsidR="00A80740" w:rsidRPr="00DC5F81">
        <w:rPr>
          <w:rFonts w:ascii="ITC Avant Garde" w:hAnsi="ITC Avant Garde"/>
        </w:rPr>
        <w:t xml:space="preserve">podrá considerar </w:t>
      </w:r>
      <w:r w:rsidRPr="00DC5F81">
        <w:rPr>
          <w:rFonts w:ascii="ITC Avant Garde" w:hAnsi="ITC Avant Garde"/>
        </w:rPr>
        <w:t xml:space="preserve">sólo el </w:t>
      </w:r>
      <w:r w:rsidR="00F70767" w:rsidRPr="00DC5F81">
        <w:rPr>
          <w:rFonts w:ascii="ITC Avant Garde" w:hAnsi="ITC Avant Garde"/>
        </w:rPr>
        <w:t xml:space="preserve">valor </w:t>
      </w:r>
      <w:r w:rsidRPr="00DC5F81">
        <w:rPr>
          <w:rFonts w:ascii="ITC Avant Garde" w:hAnsi="ITC Avant Garde"/>
        </w:rPr>
        <w:t>resulta</w:t>
      </w:r>
      <w:r w:rsidR="00F70767" w:rsidRPr="00DC5F81">
        <w:rPr>
          <w:rFonts w:ascii="ITC Avant Garde" w:hAnsi="ITC Avant Garde"/>
        </w:rPr>
        <w:t>nte</w:t>
      </w:r>
      <w:r w:rsidRPr="00DC5F81">
        <w:rPr>
          <w:rFonts w:ascii="ITC Avant Garde" w:hAnsi="ITC Avant Garde"/>
        </w:rPr>
        <w:t xml:space="preserve"> del </w:t>
      </w:r>
      <w:r w:rsidR="00A43D46" w:rsidRPr="00DC5F81">
        <w:rPr>
          <w:rFonts w:ascii="ITC Avant Garde" w:hAnsi="ITC Avant Garde" w:cs="Times New Roman"/>
          <w:color w:val="000000"/>
        </w:rPr>
        <w:t>IHH</w:t>
      </w:r>
      <w:r w:rsidRPr="00DC5F81">
        <w:rPr>
          <w:rFonts w:ascii="ITC Avant Garde" w:hAnsi="ITC Avant Garde" w:cs="Times New Roman"/>
          <w:color w:val="000000"/>
        </w:rPr>
        <w:t>.</w:t>
      </w:r>
    </w:p>
    <w:p w14:paraId="24153D77" w14:textId="77777777" w:rsidR="007A6094" w:rsidRPr="00DC5F81" w:rsidRDefault="007A6094" w:rsidP="00042EE5">
      <w:pPr>
        <w:shd w:val="clear" w:color="auto" w:fill="FFFFFF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38CBAFE4" w14:textId="28911853" w:rsidR="00ED71DA" w:rsidRPr="000045D9" w:rsidRDefault="00286013" w:rsidP="00042EE5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  <w:r w:rsidRPr="00DC5F81">
        <w:rPr>
          <w:rFonts w:ascii="ITC Avant Garde" w:hAnsi="ITC Avant Garde"/>
          <w:b/>
          <w:sz w:val="22"/>
          <w:szCs w:val="22"/>
        </w:rPr>
        <w:t>OCTAVO</w:t>
      </w:r>
      <w:r w:rsidR="00ED71DA" w:rsidRPr="00DC5F81">
        <w:rPr>
          <w:rFonts w:ascii="ITC Avant Garde" w:hAnsi="ITC Avant Garde"/>
          <w:b/>
          <w:sz w:val="22"/>
          <w:szCs w:val="22"/>
        </w:rPr>
        <w:t>.</w:t>
      </w:r>
      <w:r w:rsidR="00ED71DA" w:rsidRPr="00DC5F81">
        <w:rPr>
          <w:rFonts w:ascii="ITC Avant Garde" w:hAnsi="ITC Avant Garde"/>
          <w:sz w:val="22"/>
          <w:szCs w:val="22"/>
        </w:rPr>
        <w:t xml:space="preserve"> El Instituto considerará que es poco probable que una </w:t>
      </w:r>
      <w:r w:rsidR="00DF7E8B" w:rsidRPr="00DC5F81">
        <w:rPr>
          <w:rFonts w:ascii="ITC Avant Garde" w:hAnsi="ITC Avant Garde"/>
          <w:sz w:val="22"/>
          <w:szCs w:val="22"/>
        </w:rPr>
        <w:t xml:space="preserve">operación, incluyendo las </w:t>
      </w:r>
      <w:r w:rsidR="00ED71DA" w:rsidRPr="00DC5F81">
        <w:rPr>
          <w:rFonts w:ascii="ITC Avant Garde" w:hAnsi="ITC Avant Garde"/>
          <w:sz w:val="22"/>
          <w:szCs w:val="22"/>
        </w:rPr>
        <w:t>concentraci</w:t>
      </w:r>
      <w:r w:rsidR="00DF7E8B" w:rsidRPr="00DC5F81">
        <w:rPr>
          <w:rFonts w:ascii="ITC Avant Garde" w:hAnsi="ITC Avant Garde"/>
          <w:sz w:val="22"/>
          <w:szCs w:val="22"/>
        </w:rPr>
        <w:t>ones,</w:t>
      </w:r>
      <w:r w:rsidR="00ED71DA" w:rsidRPr="00DC5F81">
        <w:rPr>
          <w:rFonts w:ascii="ITC Avant Garde" w:hAnsi="ITC Avant Garde"/>
          <w:sz w:val="22"/>
          <w:szCs w:val="22"/>
        </w:rPr>
        <w:t xml:space="preserve"> tiene p</w:t>
      </w:r>
      <w:r w:rsidR="00ED71DA" w:rsidRPr="000045D9">
        <w:rPr>
          <w:rFonts w:ascii="ITC Avant Garde" w:hAnsi="ITC Avant Garde"/>
          <w:sz w:val="22"/>
          <w:szCs w:val="22"/>
        </w:rPr>
        <w:t xml:space="preserve">or objeto o efecto </w:t>
      </w:r>
      <w:r w:rsidR="00CE1DBC" w:rsidRPr="000045D9">
        <w:rPr>
          <w:rFonts w:ascii="ITC Avant Garde" w:hAnsi="ITC Avant Garde"/>
          <w:sz w:val="22"/>
          <w:szCs w:val="22"/>
        </w:rPr>
        <w:t xml:space="preserve">obstaculizar, </w:t>
      </w:r>
      <w:r w:rsidR="00ED71DA" w:rsidRPr="000045D9">
        <w:rPr>
          <w:rFonts w:ascii="ITC Avant Garde" w:hAnsi="ITC Avant Garde"/>
          <w:sz w:val="22"/>
          <w:szCs w:val="22"/>
        </w:rPr>
        <w:t>disminuir, dañar o impedir la competencia y la libre concurrencia</w:t>
      </w:r>
      <w:r w:rsidR="004E1B99" w:rsidRPr="000045D9">
        <w:rPr>
          <w:rFonts w:ascii="ITC Avant Garde" w:hAnsi="ITC Avant Garde"/>
          <w:sz w:val="22"/>
          <w:szCs w:val="22"/>
        </w:rPr>
        <w:t>,</w:t>
      </w:r>
      <w:r w:rsidR="00ED71DA" w:rsidRPr="000045D9">
        <w:rPr>
          <w:rFonts w:ascii="ITC Avant Garde" w:hAnsi="ITC Avant Garde"/>
          <w:sz w:val="22"/>
          <w:szCs w:val="22"/>
        </w:rPr>
        <w:t xml:space="preserve"> cuando posterior a la </w:t>
      </w:r>
      <w:r w:rsidR="00DF7E8B">
        <w:rPr>
          <w:rFonts w:ascii="ITC Avant Garde" w:hAnsi="ITC Avant Garde"/>
          <w:sz w:val="22"/>
          <w:szCs w:val="22"/>
        </w:rPr>
        <w:t>operación</w:t>
      </w:r>
      <w:r w:rsidR="00DF7E8B" w:rsidRPr="000045D9">
        <w:rPr>
          <w:rFonts w:ascii="ITC Avant Garde" w:hAnsi="ITC Avant Garde"/>
          <w:sz w:val="22"/>
          <w:szCs w:val="22"/>
        </w:rPr>
        <w:t xml:space="preserve"> </w:t>
      </w:r>
      <w:r w:rsidR="00ED71DA" w:rsidRPr="000045D9">
        <w:rPr>
          <w:rFonts w:ascii="ITC Avant Garde" w:hAnsi="ITC Avant Garde"/>
          <w:sz w:val="22"/>
          <w:szCs w:val="22"/>
        </w:rPr>
        <w:t>suceda alguna de las siguientes situaciones:</w:t>
      </w:r>
    </w:p>
    <w:p w14:paraId="79279F9B" w14:textId="77777777" w:rsidR="00ED71DA" w:rsidRPr="000045D9" w:rsidRDefault="00ED71DA" w:rsidP="00042EE5">
      <w:pPr>
        <w:pStyle w:val="Default"/>
        <w:spacing w:line="276" w:lineRule="auto"/>
        <w:ind w:left="720" w:right="-1"/>
        <w:jc w:val="both"/>
        <w:rPr>
          <w:rFonts w:ascii="ITC Avant Garde" w:hAnsi="ITC Avant Garde"/>
          <w:sz w:val="22"/>
          <w:szCs w:val="22"/>
        </w:rPr>
      </w:pPr>
    </w:p>
    <w:p w14:paraId="0022FF17" w14:textId="2BDD49FA" w:rsidR="00ED71DA" w:rsidRPr="000045D9" w:rsidRDefault="00A43D46" w:rsidP="00016229">
      <w:pPr>
        <w:pStyle w:val="Default"/>
        <w:numPr>
          <w:ilvl w:val="0"/>
          <w:numId w:val="26"/>
        </w:numPr>
        <w:spacing w:after="120" w:line="276" w:lineRule="auto"/>
        <w:ind w:left="2552" w:hanging="35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IHH</w:t>
      </w:r>
      <w:r w:rsidR="00A92D85" w:rsidRPr="000045D9">
        <w:rPr>
          <w:rFonts w:ascii="ITC Avant Garde" w:hAnsi="ITC Avant Garde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≤</m:t>
        </m:r>
      </m:oMath>
      <w:r w:rsidR="00A92D85" w:rsidRPr="000045D9">
        <w:rPr>
          <w:rFonts w:ascii="ITC Avant Garde" w:hAnsi="ITC Avant Garde"/>
          <w:sz w:val="22"/>
          <w:szCs w:val="22"/>
        </w:rPr>
        <w:t xml:space="preserve"> 2,000</w:t>
      </w:r>
      <w:r w:rsidR="00DF7E8B">
        <w:rPr>
          <w:rFonts w:ascii="ITC Avant Garde" w:hAnsi="ITC Avant Garde"/>
          <w:sz w:val="22"/>
          <w:szCs w:val="22"/>
        </w:rPr>
        <w:t xml:space="preserve"> puntos</w:t>
      </w:r>
      <w:r w:rsidR="00ED71DA" w:rsidRPr="000045D9">
        <w:rPr>
          <w:rFonts w:ascii="ITC Avant Garde" w:hAnsi="ITC Avant Garde"/>
          <w:sz w:val="22"/>
          <w:szCs w:val="22"/>
        </w:rPr>
        <w:t>;</w:t>
      </w:r>
    </w:p>
    <w:p w14:paraId="59A0B98B" w14:textId="0E562CB3" w:rsidR="00ED71DA" w:rsidRPr="000045D9" w:rsidRDefault="00A92D85" w:rsidP="00016229">
      <w:pPr>
        <w:pStyle w:val="Default"/>
        <w:numPr>
          <w:ilvl w:val="0"/>
          <w:numId w:val="26"/>
        </w:numPr>
        <w:spacing w:after="120" w:line="276" w:lineRule="auto"/>
        <w:ind w:left="2552" w:hanging="357"/>
        <w:jc w:val="both"/>
        <w:rPr>
          <w:rFonts w:ascii="ITC Avant Garde" w:hAnsi="ITC Avant Garde"/>
          <w:sz w:val="22"/>
          <w:szCs w:val="22"/>
        </w:rPr>
      </w:pPr>
      <w:r w:rsidRPr="000045D9">
        <w:rPr>
          <w:rFonts w:ascii="ITC Avant Garde" w:hAnsi="ITC Avant Garde"/>
          <w:sz w:val="22"/>
          <w:szCs w:val="22"/>
        </w:rPr>
        <w:t xml:space="preserve">2,000 &lt; </w:t>
      </w:r>
      <w:r w:rsidR="00A43D46">
        <w:rPr>
          <w:rFonts w:ascii="ITC Avant Garde" w:hAnsi="ITC Avant Garde"/>
          <w:sz w:val="22"/>
          <w:szCs w:val="22"/>
        </w:rPr>
        <w:t>IHH</w:t>
      </w:r>
      <w:r w:rsidRPr="000045D9">
        <w:rPr>
          <w:rFonts w:ascii="ITC Avant Garde" w:hAnsi="ITC Avant Garde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≤</m:t>
        </m:r>
      </m:oMath>
      <w:r w:rsidRPr="000045D9">
        <w:rPr>
          <w:rFonts w:ascii="ITC Avant Garde" w:hAnsi="ITC Avant Garde"/>
          <w:sz w:val="22"/>
          <w:szCs w:val="22"/>
        </w:rPr>
        <w:t xml:space="preserve"> </w:t>
      </w:r>
      <w:r w:rsidR="00A60D8C">
        <w:rPr>
          <w:rFonts w:ascii="ITC Avant Garde" w:hAnsi="ITC Avant Garde"/>
          <w:sz w:val="22"/>
          <w:szCs w:val="22"/>
        </w:rPr>
        <w:t>3,0</w:t>
      </w:r>
      <w:r w:rsidRPr="000045D9">
        <w:rPr>
          <w:rFonts w:ascii="ITC Avant Garde" w:hAnsi="ITC Avant Garde"/>
          <w:sz w:val="22"/>
          <w:szCs w:val="22"/>
        </w:rPr>
        <w:t xml:space="preserve">00 </w:t>
      </w:r>
      <w:r w:rsidR="00ED71DA" w:rsidRPr="000045D9">
        <w:rPr>
          <w:rFonts w:ascii="ITC Avant Garde" w:hAnsi="ITC Avant Garde"/>
          <w:sz w:val="22"/>
          <w:szCs w:val="22"/>
        </w:rPr>
        <w:t>y</w:t>
      </w:r>
      <w:r w:rsidR="00ED71DA" w:rsidRPr="000045D9">
        <w:rPr>
          <w:rFonts w:ascii="ITC Avant Garde" w:eastAsiaTheme="minorEastAsia" w:hAnsi="ITC Avant Garde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∆HH</m:t>
        </m:r>
      </m:oMath>
      <w:r w:rsidR="00ED71DA" w:rsidRPr="000045D9">
        <w:rPr>
          <w:rFonts w:ascii="ITC Avant Garde" w:hAnsi="ITC Avant Garde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≤</m:t>
        </m:r>
      </m:oMath>
      <w:r w:rsidR="00ED71DA" w:rsidRPr="000045D9">
        <w:rPr>
          <w:rFonts w:ascii="ITC Avant Garde" w:hAnsi="ITC Avant Garde"/>
          <w:sz w:val="22"/>
          <w:szCs w:val="22"/>
        </w:rPr>
        <w:t xml:space="preserve"> </w:t>
      </w:r>
      <w:r w:rsidR="00EB2F73" w:rsidRPr="000045D9">
        <w:rPr>
          <w:rFonts w:ascii="ITC Avant Garde" w:hAnsi="ITC Avant Garde"/>
          <w:sz w:val="22"/>
          <w:szCs w:val="22"/>
        </w:rPr>
        <w:t>150</w:t>
      </w:r>
      <w:r w:rsidR="00ED71DA" w:rsidRPr="000045D9">
        <w:rPr>
          <w:rFonts w:ascii="ITC Avant Garde" w:hAnsi="ITC Avant Garde"/>
          <w:sz w:val="22"/>
          <w:szCs w:val="22"/>
        </w:rPr>
        <w:t xml:space="preserve"> puntos;</w:t>
      </w:r>
      <w:r w:rsidR="00DF7E8B">
        <w:rPr>
          <w:rFonts w:ascii="ITC Avant Garde" w:hAnsi="ITC Avant Garde"/>
          <w:sz w:val="22"/>
          <w:szCs w:val="22"/>
        </w:rPr>
        <w:t xml:space="preserve"> o</w:t>
      </w:r>
    </w:p>
    <w:p w14:paraId="6E0A193D" w14:textId="3A86D921" w:rsidR="00DF17E6" w:rsidRPr="000045D9" w:rsidRDefault="00A43D46" w:rsidP="00016229">
      <w:pPr>
        <w:pStyle w:val="Default"/>
        <w:numPr>
          <w:ilvl w:val="0"/>
          <w:numId w:val="26"/>
        </w:numPr>
        <w:spacing w:line="276" w:lineRule="auto"/>
        <w:ind w:left="2552" w:right="-1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IHH</w:t>
      </w:r>
      <w:r w:rsidR="00A92D85" w:rsidRPr="000045D9">
        <w:rPr>
          <w:rFonts w:ascii="ITC Avant Garde" w:hAnsi="ITC Avant Garde"/>
          <w:sz w:val="22"/>
          <w:szCs w:val="22"/>
        </w:rPr>
        <w:t xml:space="preserve"> &gt; </w:t>
      </w:r>
      <w:r w:rsidR="00A60D8C">
        <w:rPr>
          <w:rFonts w:ascii="ITC Avant Garde" w:hAnsi="ITC Avant Garde"/>
          <w:sz w:val="22"/>
          <w:szCs w:val="22"/>
        </w:rPr>
        <w:t>3,0</w:t>
      </w:r>
      <w:r w:rsidR="00A92D85" w:rsidRPr="000045D9">
        <w:rPr>
          <w:rFonts w:ascii="ITC Avant Garde" w:hAnsi="ITC Avant Garde"/>
          <w:sz w:val="22"/>
          <w:szCs w:val="22"/>
        </w:rPr>
        <w:t xml:space="preserve">00 </w:t>
      </w:r>
      <w:r w:rsidR="00ED71DA" w:rsidRPr="000045D9">
        <w:rPr>
          <w:rFonts w:ascii="ITC Avant Garde" w:hAnsi="ITC Avant Garde"/>
          <w:sz w:val="22"/>
          <w:szCs w:val="22"/>
        </w:rPr>
        <w:t xml:space="preserve">y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∆HH</m:t>
        </m:r>
      </m:oMath>
      <w:r w:rsidR="00ED71DA" w:rsidRPr="000045D9">
        <w:rPr>
          <w:rFonts w:ascii="ITC Avant Garde" w:hAnsi="ITC Avant Garde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≤</m:t>
        </m:r>
      </m:oMath>
      <w:r w:rsidR="00ED71DA" w:rsidRPr="000045D9">
        <w:rPr>
          <w:rFonts w:ascii="ITC Avant Garde" w:eastAsiaTheme="minorEastAsia" w:hAnsi="ITC Avant Garde"/>
          <w:sz w:val="22"/>
          <w:szCs w:val="22"/>
        </w:rPr>
        <w:t xml:space="preserve"> </w:t>
      </w:r>
      <w:r w:rsidR="00ED71DA" w:rsidRPr="000045D9">
        <w:rPr>
          <w:rFonts w:ascii="ITC Avant Garde" w:hAnsi="ITC Avant Garde"/>
          <w:sz w:val="22"/>
          <w:szCs w:val="22"/>
        </w:rPr>
        <w:t>100 puntos.</w:t>
      </w:r>
    </w:p>
    <w:p w14:paraId="092629CF" w14:textId="77777777" w:rsidR="00ED71DA" w:rsidRPr="000045D9" w:rsidRDefault="00ED71DA" w:rsidP="00042EE5">
      <w:pPr>
        <w:autoSpaceDE w:val="0"/>
        <w:autoSpaceDN w:val="0"/>
        <w:adjustRightInd w:val="0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6815D36A" w14:textId="7B00BC5B" w:rsidR="00B32475" w:rsidRDefault="009303A5" w:rsidP="00042EE5">
      <w:pPr>
        <w:autoSpaceDE w:val="0"/>
        <w:autoSpaceDN w:val="0"/>
        <w:adjustRightInd w:val="0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  <w:r>
        <w:rPr>
          <w:rFonts w:ascii="ITC Avant Garde" w:hAnsi="ITC Avant Garde" w:cs="Times New Roman"/>
          <w:color w:val="000000"/>
        </w:rPr>
        <w:t xml:space="preserve">Respecto a los </w:t>
      </w:r>
      <w:r w:rsidRPr="000045D9">
        <w:rPr>
          <w:rFonts w:ascii="ITC Avant Garde" w:hAnsi="ITC Avant Garde"/>
        </w:rPr>
        <w:t>métodos de cálculo publicados por la Comisión Federal de Competencia el veinticuatro de julio de mil novecientos noventa y ocho en el Diario Oficial de la Federación</w:t>
      </w:r>
      <w:r>
        <w:rPr>
          <w:rFonts w:ascii="ITC Avant Garde" w:hAnsi="ITC Avant Garde"/>
        </w:rPr>
        <w:t>, no se adopta el Índice de Dominancia (ID) y los umbrales se modifican. Esto en virtud de</w:t>
      </w:r>
      <w:r w:rsidRPr="00B009B8">
        <w:rPr>
          <w:rFonts w:ascii="ITC Avant Garde" w:hAnsi="ITC Avant Garde" w:cs="Times New Roman"/>
          <w:color w:val="000000"/>
        </w:rPr>
        <w:t>:</w:t>
      </w:r>
    </w:p>
    <w:p w14:paraId="04DC160D" w14:textId="77777777" w:rsidR="009303A5" w:rsidRPr="000045D9" w:rsidRDefault="009303A5" w:rsidP="00042EE5">
      <w:pPr>
        <w:autoSpaceDE w:val="0"/>
        <w:autoSpaceDN w:val="0"/>
        <w:adjustRightInd w:val="0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0F6AD822" w14:textId="0D38D07E" w:rsidR="00B32475" w:rsidRPr="000045D9" w:rsidRDefault="00B32475" w:rsidP="00016229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/>
        <w:ind w:left="426" w:right="-1"/>
        <w:jc w:val="both"/>
        <w:rPr>
          <w:rFonts w:ascii="ITC Avant Garde" w:hAnsi="ITC Avant Garde" w:cs="Times New Roman"/>
          <w:color w:val="000000"/>
        </w:rPr>
      </w:pPr>
      <w:r w:rsidRPr="000045D9">
        <w:rPr>
          <w:rFonts w:ascii="ITC Avant Garde" w:hAnsi="ITC Avant Garde" w:cs="Times New Roman"/>
          <w:color w:val="000000"/>
        </w:rPr>
        <w:t>R</w:t>
      </w:r>
      <w:r w:rsidR="00A40924" w:rsidRPr="000045D9">
        <w:rPr>
          <w:rFonts w:ascii="ITC Avant Garde" w:hAnsi="ITC Avant Garde" w:cs="Times New Roman"/>
          <w:color w:val="000000"/>
        </w:rPr>
        <w:t>esoluciones previas que se han tomado para los sectores de telecomunicaciones y radiodifusión</w:t>
      </w:r>
      <w:r w:rsidRPr="000045D9">
        <w:rPr>
          <w:rFonts w:ascii="ITC Avant Garde" w:hAnsi="ITC Avant Garde" w:cs="Times New Roman"/>
          <w:color w:val="000000"/>
        </w:rPr>
        <w:t>,</w:t>
      </w:r>
      <w:r w:rsidR="00A40924" w:rsidRPr="000045D9">
        <w:rPr>
          <w:rFonts w:ascii="ITC Avant Garde" w:hAnsi="ITC Avant Garde" w:cs="Times New Roman"/>
          <w:color w:val="000000"/>
        </w:rPr>
        <w:t xml:space="preserve"> tanto en el mismo Instituto como en </w:t>
      </w:r>
      <w:r w:rsidR="00DF7E8B">
        <w:rPr>
          <w:rFonts w:ascii="ITC Avant Garde" w:hAnsi="ITC Avant Garde" w:cs="Times New Roman"/>
          <w:color w:val="000000"/>
        </w:rPr>
        <w:t xml:space="preserve">práctica decisoria de la </w:t>
      </w:r>
      <w:r w:rsidR="00A40924" w:rsidRPr="000045D9">
        <w:rPr>
          <w:rFonts w:ascii="ITC Avant Garde" w:hAnsi="ITC Avant Garde" w:cs="Times New Roman"/>
          <w:color w:val="000000"/>
        </w:rPr>
        <w:t>extinta Comisión Federal de Competencia</w:t>
      </w:r>
      <w:r w:rsidRPr="000045D9">
        <w:rPr>
          <w:rFonts w:ascii="ITC Avant Garde" w:hAnsi="ITC Avant Garde" w:cs="Times New Roman"/>
          <w:color w:val="000000"/>
        </w:rPr>
        <w:t>;</w:t>
      </w:r>
    </w:p>
    <w:p w14:paraId="285C7BC6" w14:textId="77777777" w:rsidR="00B32475" w:rsidRPr="000045D9" w:rsidRDefault="00B32475" w:rsidP="00016229">
      <w:pPr>
        <w:pStyle w:val="Prrafodelista"/>
        <w:autoSpaceDE w:val="0"/>
        <w:autoSpaceDN w:val="0"/>
        <w:adjustRightInd w:val="0"/>
        <w:spacing w:after="0"/>
        <w:ind w:left="426" w:right="-1"/>
        <w:jc w:val="both"/>
        <w:rPr>
          <w:rFonts w:ascii="ITC Avant Garde" w:hAnsi="ITC Avant Garde" w:cs="Times New Roman"/>
          <w:color w:val="000000"/>
        </w:rPr>
      </w:pPr>
    </w:p>
    <w:p w14:paraId="3643D702" w14:textId="46E0A815" w:rsidR="00B32475" w:rsidRPr="000045D9" w:rsidRDefault="00B32475" w:rsidP="00016229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/>
        <w:ind w:left="426" w:right="-1"/>
        <w:jc w:val="both"/>
        <w:rPr>
          <w:rFonts w:ascii="ITC Avant Garde" w:hAnsi="ITC Avant Garde" w:cs="Times New Roman"/>
          <w:color w:val="000000"/>
        </w:rPr>
      </w:pPr>
      <w:r w:rsidRPr="000045D9">
        <w:rPr>
          <w:rFonts w:ascii="ITC Avant Garde" w:hAnsi="ITC Avant Garde" w:cs="Times New Roman"/>
          <w:color w:val="000000"/>
        </w:rPr>
        <w:t>L</w:t>
      </w:r>
      <w:r w:rsidR="004D2F53" w:rsidRPr="000045D9">
        <w:rPr>
          <w:rFonts w:ascii="ITC Avant Garde" w:hAnsi="ITC Avant Garde" w:cs="Times New Roman"/>
          <w:color w:val="000000"/>
        </w:rPr>
        <w:t xml:space="preserve">as estructuras actuales de diversos mercados en </w:t>
      </w:r>
      <w:r w:rsidRPr="000045D9">
        <w:rPr>
          <w:rFonts w:ascii="ITC Avant Garde" w:hAnsi="ITC Avant Garde" w:cs="Times New Roman"/>
          <w:color w:val="000000"/>
        </w:rPr>
        <w:t>los sectores de telecomunicaciones y radiodifusión;</w:t>
      </w:r>
    </w:p>
    <w:p w14:paraId="7BC8B223" w14:textId="77777777" w:rsidR="00B32475" w:rsidRPr="000045D9" w:rsidRDefault="00B32475" w:rsidP="00016229">
      <w:pPr>
        <w:pStyle w:val="Prrafodelista"/>
        <w:ind w:left="426"/>
        <w:rPr>
          <w:rFonts w:ascii="ITC Avant Garde" w:hAnsi="ITC Avant Garde" w:cs="Times New Roman"/>
          <w:color w:val="000000"/>
        </w:rPr>
      </w:pPr>
    </w:p>
    <w:p w14:paraId="58E1B55A" w14:textId="3DA7351A" w:rsidR="00A40924" w:rsidRPr="000045D9" w:rsidRDefault="00B32475" w:rsidP="00016229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/>
        <w:ind w:left="426" w:right="-1"/>
        <w:jc w:val="both"/>
        <w:rPr>
          <w:rFonts w:ascii="ITC Avant Garde" w:hAnsi="ITC Avant Garde" w:cs="Times New Roman"/>
          <w:color w:val="000000"/>
        </w:rPr>
      </w:pPr>
      <w:r w:rsidRPr="000045D9">
        <w:rPr>
          <w:rFonts w:ascii="ITC Avant Garde" w:hAnsi="ITC Avant Garde" w:cs="Times New Roman"/>
          <w:color w:val="000000"/>
        </w:rPr>
        <w:t>L</w:t>
      </w:r>
      <w:r w:rsidR="004D2F53" w:rsidRPr="000045D9">
        <w:rPr>
          <w:rFonts w:ascii="ITC Avant Garde" w:hAnsi="ITC Avant Garde" w:cs="Times New Roman"/>
          <w:color w:val="000000"/>
        </w:rPr>
        <w:t xml:space="preserve">as posibles modificaciones que podrían experimentar </w:t>
      </w:r>
      <w:r w:rsidR="002618BC" w:rsidRPr="000045D9">
        <w:rPr>
          <w:rFonts w:ascii="ITC Avant Garde" w:hAnsi="ITC Avant Garde" w:cs="Times New Roman"/>
          <w:color w:val="000000"/>
        </w:rPr>
        <w:t xml:space="preserve">las estructuras de los mercados analizados, </w:t>
      </w:r>
      <w:r w:rsidR="004D2F53" w:rsidRPr="000045D9">
        <w:rPr>
          <w:rFonts w:ascii="ITC Avant Garde" w:hAnsi="ITC Avant Garde" w:cs="Times New Roman"/>
          <w:color w:val="000000"/>
        </w:rPr>
        <w:t xml:space="preserve">como consecuencia de </w:t>
      </w:r>
      <w:r w:rsidR="00DF7E8B">
        <w:rPr>
          <w:rFonts w:ascii="ITC Avant Garde" w:hAnsi="ITC Avant Garde" w:cs="Times New Roman"/>
          <w:color w:val="000000"/>
        </w:rPr>
        <w:t>mayor disponibilidad de recursos o entrada de nuevos participantes; y</w:t>
      </w:r>
    </w:p>
    <w:p w14:paraId="2EE099E3" w14:textId="77777777" w:rsidR="002618BC" w:rsidRPr="000045D9" w:rsidRDefault="002618BC" w:rsidP="00016229">
      <w:pPr>
        <w:pStyle w:val="Prrafodelista"/>
        <w:ind w:left="426"/>
        <w:rPr>
          <w:rFonts w:ascii="ITC Avant Garde" w:hAnsi="ITC Avant Garde" w:cs="Times New Roman"/>
          <w:color w:val="000000"/>
        </w:rPr>
      </w:pPr>
    </w:p>
    <w:p w14:paraId="6F33BCD8" w14:textId="47BF4646" w:rsidR="002618BC" w:rsidRPr="000045D9" w:rsidRDefault="002618BC" w:rsidP="00016229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/>
        <w:ind w:left="426" w:right="-1"/>
        <w:jc w:val="both"/>
        <w:rPr>
          <w:rFonts w:ascii="ITC Avant Garde" w:hAnsi="ITC Avant Garde" w:cs="Times New Roman"/>
          <w:color w:val="000000"/>
        </w:rPr>
      </w:pPr>
      <w:r w:rsidRPr="000045D9">
        <w:rPr>
          <w:rFonts w:ascii="ITC Avant Garde" w:hAnsi="ITC Avant Garde" w:cs="Times New Roman"/>
          <w:color w:val="000000"/>
        </w:rPr>
        <w:t>Criterios utilizados por otras autoridades de competencia en el mundo y en México.</w:t>
      </w:r>
    </w:p>
    <w:p w14:paraId="65F72206" w14:textId="77777777" w:rsidR="00A40924" w:rsidRDefault="00A40924" w:rsidP="00042EE5">
      <w:pPr>
        <w:autoSpaceDE w:val="0"/>
        <w:autoSpaceDN w:val="0"/>
        <w:adjustRightInd w:val="0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40DA0641" w14:textId="77777777" w:rsidR="00F94B2A" w:rsidRPr="000045D9" w:rsidRDefault="00F94B2A" w:rsidP="00042EE5">
      <w:pPr>
        <w:autoSpaceDE w:val="0"/>
        <w:autoSpaceDN w:val="0"/>
        <w:adjustRightInd w:val="0"/>
        <w:spacing w:after="0"/>
        <w:ind w:right="-1"/>
        <w:jc w:val="both"/>
        <w:rPr>
          <w:rFonts w:ascii="ITC Avant Garde" w:hAnsi="ITC Avant Garde" w:cs="Times New Roman"/>
          <w:color w:val="000000"/>
        </w:rPr>
      </w:pPr>
    </w:p>
    <w:p w14:paraId="181E8D91" w14:textId="2B9584C6" w:rsidR="00E30A99" w:rsidRPr="000045D9" w:rsidRDefault="00286013" w:rsidP="00042EE5">
      <w:pPr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 w:rsidRPr="000045D9">
        <w:rPr>
          <w:rFonts w:ascii="ITC Avant Garde" w:hAnsi="ITC Avant Garde" w:cs="Times New Roman"/>
          <w:b/>
        </w:rPr>
        <w:t>NOVENO</w:t>
      </w:r>
      <w:r w:rsidR="00A92D85" w:rsidRPr="000045D9">
        <w:rPr>
          <w:rFonts w:ascii="ITC Avant Garde" w:hAnsi="ITC Avant Garde" w:cs="Times New Roman"/>
          <w:b/>
        </w:rPr>
        <w:t>.</w:t>
      </w:r>
      <w:r w:rsidR="00A92D85" w:rsidRPr="000045D9">
        <w:rPr>
          <w:rFonts w:ascii="ITC Avant Garde" w:hAnsi="ITC Avant Garde" w:cs="Times New Roman"/>
        </w:rPr>
        <w:t xml:space="preserve"> </w:t>
      </w:r>
      <w:r w:rsidR="007A6094" w:rsidRPr="000045D9">
        <w:rPr>
          <w:rFonts w:ascii="ITC Avant Garde" w:hAnsi="ITC Avant Garde" w:cs="Times New Roman"/>
        </w:rPr>
        <w:t>A</w:t>
      </w:r>
      <w:r w:rsidR="00F70767" w:rsidRPr="000045D9">
        <w:rPr>
          <w:rFonts w:ascii="ITC Avant Garde" w:hAnsi="ITC Avant Garde" w:cs="Times New Roman"/>
        </w:rPr>
        <w:t>u</w:t>
      </w:r>
      <w:r w:rsidR="007A6094" w:rsidRPr="000045D9">
        <w:rPr>
          <w:rFonts w:ascii="ITC Avant Garde" w:hAnsi="ITC Avant Garde" w:cs="Times New Roman"/>
        </w:rPr>
        <w:t>n cuando</w:t>
      </w:r>
      <w:r w:rsidR="00F70767" w:rsidRPr="000045D9">
        <w:rPr>
          <w:rFonts w:ascii="ITC Avant Garde" w:hAnsi="ITC Avant Garde" w:cs="Times New Roman"/>
        </w:rPr>
        <w:t xml:space="preserve"> una </w:t>
      </w:r>
      <w:r w:rsidR="00DF7E8B">
        <w:rPr>
          <w:rFonts w:ascii="ITC Avant Garde" w:hAnsi="ITC Avant Garde" w:cs="Times New Roman"/>
        </w:rPr>
        <w:t>operación</w:t>
      </w:r>
      <w:r w:rsidR="00BC724F">
        <w:rPr>
          <w:rFonts w:ascii="ITC Avant Garde" w:hAnsi="ITC Avant Garde" w:cs="Times New Roman"/>
        </w:rPr>
        <w:t xml:space="preserve"> implique valores del IHH y de la </w:t>
      </w:r>
      <w:r w:rsidR="00DF7E8B" w:rsidRPr="000045D9">
        <w:rPr>
          <w:rFonts w:ascii="ITC Avant Garde" w:hAnsi="ITC Avant Garde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∆HH</m:t>
        </m:r>
      </m:oMath>
      <w:r w:rsidR="00BC724F" w:rsidRPr="000045D9">
        <w:rPr>
          <w:rFonts w:ascii="ITC Avant Garde" w:hAnsi="ITC Avant Garde" w:cs="Times New Roman"/>
        </w:rPr>
        <w:t xml:space="preserve"> </w:t>
      </w:r>
      <w:r w:rsidR="00BC724F">
        <w:rPr>
          <w:rFonts w:ascii="ITC Avant Garde" w:hAnsi="ITC Avant Garde" w:cs="Times New Roman"/>
        </w:rPr>
        <w:t xml:space="preserve">que </w:t>
      </w:r>
      <w:r w:rsidR="00F70767" w:rsidRPr="000045D9">
        <w:rPr>
          <w:rFonts w:ascii="ITC Avant Garde" w:hAnsi="ITC Avant Garde" w:cs="Times New Roman"/>
        </w:rPr>
        <w:t>se ubique</w:t>
      </w:r>
      <w:r w:rsidR="00BC724F">
        <w:rPr>
          <w:rFonts w:ascii="ITC Avant Garde" w:hAnsi="ITC Avant Garde" w:cs="Times New Roman"/>
        </w:rPr>
        <w:t>n</w:t>
      </w:r>
      <w:r w:rsidR="00F70767" w:rsidRPr="000045D9">
        <w:rPr>
          <w:rFonts w:ascii="ITC Avant Garde" w:hAnsi="ITC Avant Garde" w:cs="Times New Roman"/>
        </w:rPr>
        <w:t xml:space="preserve"> dentro de los umbrales establecidos en el numeral anterior,</w:t>
      </w:r>
      <w:r w:rsidR="007A6094" w:rsidRPr="000045D9">
        <w:rPr>
          <w:rFonts w:ascii="ITC Avant Garde" w:hAnsi="ITC Avant Garde" w:cs="Times New Roman"/>
        </w:rPr>
        <w:t xml:space="preserve"> </w:t>
      </w:r>
      <w:r w:rsidR="00F70767" w:rsidRPr="000045D9">
        <w:rPr>
          <w:rFonts w:ascii="ITC Avant Garde" w:hAnsi="ITC Avant Garde" w:cs="Times New Roman"/>
        </w:rPr>
        <w:t>e</w:t>
      </w:r>
      <w:r w:rsidR="00A92D85" w:rsidRPr="000045D9">
        <w:rPr>
          <w:rFonts w:ascii="ITC Avant Garde" w:hAnsi="ITC Avant Garde" w:cs="Times New Roman"/>
        </w:rPr>
        <w:t xml:space="preserve">l Instituto </w:t>
      </w:r>
      <w:r w:rsidR="00CE1DBC" w:rsidRPr="000045D9">
        <w:rPr>
          <w:rFonts w:ascii="ITC Avant Garde" w:hAnsi="ITC Avant Garde" w:cs="Times New Roman"/>
        </w:rPr>
        <w:t xml:space="preserve">podrá </w:t>
      </w:r>
      <w:r w:rsidR="00AE3690" w:rsidRPr="000045D9">
        <w:rPr>
          <w:rFonts w:ascii="ITC Avant Garde" w:hAnsi="ITC Avant Garde" w:cs="Times New Roman"/>
        </w:rPr>
        <w:t>c</w:t>
      </w:r>
      <w:r w:rsidR="00E30A99" w:rsidRPr="000045D9">
        <w:rPr>
          <w:rFonts w:ascii="ITC Avant Garde" w:hAnsi="ITC Avant Garde" w:cs="Times New Roman"/>
        </w:rPr>
        <w:t xml:space="preserve">onsiderar que </w:t>
      </w:r>
      <w:r w:rsidR="00DF7E8B">
        <w:rPr>
          <w:rFonts w:ascii="ITC Avant Garde" w:hAnsi="ITC Avant Garde" w:cs="Times New Roman"/>
        </w:rPr>
        <w:t xml:space="preserve">existen potenciales riesgos </w:t>
      </w:r>
      <w:r w:rsidR="00BC724F">
        <w:rPr>
          <w:rFonts w:ascii="ITC Avant Garde" w:hAnsi="ITC Avant Garde" w:cs="Times New Roman"/>
        </w:rPr>
        <w:t>de</w:t>
      </w:r>
      <w:r w:rsidR="00F70767" w:rsidRPr="000045D9">
        <w:rPr>
          <w:rFonts w:ascii="ITC Avant Garde" w:hAnsi="ITC Avant Garde"/>
        </w:rPr>
        <w:t xml:space="preserve"> que </w:t>
      </w:r>
      <w:r w:rsidR="00F70767" w:rsidRPr="000045D9">
        <w:rPr>
          <w:rFonts w:ascii="ITC Avant Garde" w:hAnsi="ITC Avant Garde" w:cs="Times New Roman"/>
        </w:rPr>
        <w:t xml:space="preserve">ésta </w:t>
      </w:r>
      <w:r w:rsidR="00AE3690" w:rsidRPr="000045D9">
        <w:rPr>
          <w:rFonts w:ascii="ITC Avant Garde" w:hAnsi="ITC Avant Garde"/>
        </w:rPr>
        <w:t>t</w:t>
      </w:r>
      <w:r w:rsidR="00F70767" w:rsidRPr="000045D9">
        <w:rPr>
          <w:rFonts w:ascii="ITC Avant Garde" w:hAnsi="ITC Avant Garde"/>
        </w:rPr>
        <w:t>iene</w:t>
      </w:r>
      <w:r w:rsidR="00AE3690" w:rsidRPr="000045D9">
        <w:rPr>
          <w:rFonts w:ascii="ITC Avant Garde" w:hAnsi="ITC Avant Garde"/>
        </w:rPr>
        <w:t xml:space="preserve"> por objeto o efecto </w:t>
      </w:r>
      <w:r w:rsidR="009303D6" w:rsidRPr="000045D9">
        <w:rPr>
          <w:rFonts w:ascii="ITC Avant Garde" w:hAnsi="ITC Avant Garde"/>
        </w:rPr>
        <w:t xml:space="preserve">obstaculizar, </w:t>
      </w:r>
      <w:r w:rsidR="00AE3690" w:rsidRPr="000045D9">
        <w:rPr>
          <w:rFonts w:ascii="ITC Avant Garde" w:hAnsi="ITC Avant Garde"/>
        </w:rPr>
        <w:t>disminuir, dañar o impedir la competencia y la libre concurrencia</w:t>
      </w:r>
      <w:r w:rsidR="00E30A99" w:rsidRPr="000045D9">
        <w:rPr>
          <w:rFonts w:ascii="ITC Avant Garde" w:hAnsi="ITC Avant Garde" w:cs="Times New Roman"/>
        </w:rPr>
        <w:t xml:space="preserve">, si sucede </w:t>
      </w:r>
      <w:r w:rsidR="00E30A99" w:rsidRPr="000045D9">
        <w:rPr>
          <w:rFonts w:ascii="ITC Avant Garde" w:eastAsia="Times New Roman" w:hAnsi="ITC Avant Garde" w:cs="Times New Roman"/>
          <w:color w:val="000000"/>
          <w:lang w:eastAsia="es-MX"/>
        </w:rPr>
        <w:t>una o varias de las siguientes circunstancias:</w:t>
      </w:r>
    </w:p>
    <w:p w14:paraId="6729C353" w14:textId="77777777" w:rsidR="00AE3690" w:rsidRPr="000045D9" w:rsidRDefault="00AE3690" w:rsidP="00042EE5">
      <w:pPr>
        <w:pStyle w:val="Prrafodelista"/>
        <w:spacing w:after="0"/>
        <w:ind w:right="-1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</w:p>
    <w:p w14:paraId="4F36990C" w14:textId="0688C0FE" w:rsidR="00555E0C" w:rsidRPr="000045D9" w:rsidRDefault="00E30A99" w:rsidP="0001622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357"/>
        <w:contextualSpacing w:val="0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lastRenderedPageBreak/>
        <w:t xml:space="preserve">Los agentes económicos involucrados en la </w:t>
      </w:r>
      <w:r w:rsidR="00BC724F">
        <w:rPr>
          <w:rFonts w:ascii="ITC Avant Garde" w:eastAsia="Times New Roman" w:hAnsi="ITC Avant Garde" w:cs="Times New Roman"/>
          <w:color w:val="000000"/>
          <w:lang w:eastAsia="es-MX"/>
        </w:rPr>
        <w:t>operación</w:t>
      </w:r>
      <w:r w:rsidR="00BC724F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>t</w:t>
      </w:r>
      <w:r w:rsidRPr="000045D9">
        <w:rPr>
          <w:rFonts w:ascii="ITC Avant Garde" w:hAnsi="ITC Avant Garde" w:cs="Times New Roman"/>
        </w:rPr>
        <w:t>engan o puedan llegar a adquirir poder sustancial en mercados relacionados;</w:t>
      </w:r>
    </w:p>
    <w:p w14:paraId="48372437" w14:textId="47608C11" w:rsidR="008D1AC2" w:rsidRPr="000045D9" w:rsidRDefault="00555E0C" w:rsidP="0001622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357"/>
        <w:contextualSpacing w:val="0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Los agentes económicos involucrados en la </w:t>
      </w:r>
      <w:r w:rsidR="00BC724F">
        <w:rPr>
          <w:rFonts w:ascii="ITC Avant Garde" w:eastAsia="Times New Roman" w:hAnsi="ITC Avant Garde" w:cs="Times New Roman"/>
          <w:color w:val="000000"/>
          <w:lang w:eastAsia="es-MX"/>
        </w:rPr>
        <w:t xml:space="preserve">operación 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>alcancen una participación superior al treinta y cinco por ciento</w:t>
      </w:r>
      <w:r w:rsidRPr="000045D9">
        <w:rPr>
          <w:rFonts w:ascii="ITC Avant Garde" w:hAnsi="ITC Avant Garde" w:cs="Times New Roman"/>
        </w:rPr>
        <w:t>;</w:t>
      </w:r>
    </w:p>
    <w:p w14:paraId="06751C63" w14:textId="03C1B6E2" w:rsidR="008D1AC2" w:rsidRPr="007A0278" w:rsidRDefault="00555E0C" w:rsidP="0001622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357"/>
        <w:contextualSpacing w:val="0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El </w:t>
      </w:r>
      <w:r w:rsidR="00BC724F">
        <w:rPr>
          <w:rFonts w:ascii="ITC Avant Garde" w:eastAsia="Times New Roman" w:hAnsi="ITC Avant Garde" w:cs="Times New Roman"/>
          <w:color w:val="000000"/>
          <w:lang w:eastAsia="es-MX"/>
        </w:rPr>
        <w:t xml:space="preserve">agente </w:t>
      </w:r>
      <w:r w:rsidR="00BC724F"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económico </w:t>
      </w:r>
      <w:r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adquirido </w:t>
      </w:r>
      <w:r w:rsidR="00BC724F" w:rsidRPr="007A0278">
        <w:rPr>
          <w:rFonts w:ascii="ITC Avant Garde" w:eastAsia="Times New Roman" w:hAnsi="ITC Avant Garde" w:cs="Times New Roman"/>
          <w:color w:val="000000"/>
          <w:lang w:eastAsia="es-MX"/>
        </w:rPr>
        <w:t>es</w:t>
      </w:r>
      <w:r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 un agente económico disruptivo</w:t>
      </w:r>
      <w:r w:rsidR="00BC724F"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 (conocido como </w:t>
      </w:r>
      <w:proofErr w:type="spellStart"/>
      <w:r w:rsidR="00BC724F" w:rsidRPr="007A0278">
        <w:rPr>
          <w:rFonts w:ascii="ITC Avant Garde" w:eastAsia="Times New Roman" w:hAnsi="ITC Avant Garde" w:cs="Times New Roman"/>
          <w:i/>
          <w:color w:val="000000"/>
          <w:lang w:eastAsia="es-MX"/>
        </w:rPr>
        <w:t>maverick</w:t>
      </w:r>
      <w:proofErr w:type="spellEnd"/>
      <w:r w:rsidR="00BC724F"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 en inglés)</w:t>
      </w:r>
      <w:r w:rsidR="00327421" w:rsidRPr="00327421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="00327421">
        <w:rPr>
          <w:rFonts w:ascii="ITC Avant Garde" w:eastAsia="Times New Roman" w:hAnsi="ITC Avant Garde" w:cs="Times New Roman"/>
          <w:color w:val="000000"/>
          <w:lang w:eastAsia="es-MX"/>
        </w:rPr>
        <w:t>que se distinga, por ejemplo, por introducir o desarrollar nuevas tecnologías o modelos de negocios o que pueda disciplinar los precios con base en su habilidad e incentivos a expandirse rápidamente</w:t>
      </w:r>
      <w:r w:rsidR="008D1AC2" w:rsidRPr="007A0278">
        <w:rPr>
          <w:rFonts w:ascii="ITC Avant Garde" w:eastAsia="Times New Roman" w:hAnsi="ITC Avant Garde" w:cs="Times New Roman"/>
          <w:color w:val="000000"/>
          <w:lang w:eastAsia="es-MX"/>
        </w:rPr>
        <w:t>;</w:t>
      </w:r>
    </w:p>
    <w:p w14:paraId="440030B9" w14:textId="22135D00" w:rsidR="007944B9" w:rsidRDefault="00B20FE1" w:rsidP="00D96705">
      <w:pPr>
        <w:pStyle w:val="Prrafodelista"/>
        <w:numPr>
          <w:ilvl w:val="0"/>
          <w:numId w:val="27"/>
        </w:numPr>
        <w:spacing w:after="120"/>
        <w:ind w:left="425" w:hanging="357"/>
        <w:contextualSpacing w:val="0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 w:rsidRPr="007A0278">
        <w:rPr>
          <w:rFonts w:ascii="ITC Avant Garde" w:eastAsia="Times New Roman" w:hAnsi="ITC Avant Garde" w:cs="Times New Roman"/>
          <w:color w:val="000000"/>
          <w:lang w:eastAsia="es-MX"/>
        </w:rPr>
        <w:t>Uno o más</w:t>
      </w:r>
      <w:r w:rsidR="00E12099"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="007944B9"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de los agentes económicos involucrados en la </w:t>
      </w:r>
      <w:r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operación </w:t>
      </w:r>
      <w:r w:rsidR="007944B9"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haya participado </w:t>
      </w:r>
      <w:r w:rsidR="002C322D" w:rsidRPr="007A0278">
        <w:rPr>
          <w:rFonts w:ascii="ITC Avant Garde" w:eastAsia="Times New Roman" w:hAnsi="ITC Avant Garde" w:cs="Times New Roman"/>
          <w:color w:val="000000"/>
          <w:lang w:eastAsia="es-MX"/>
        </w:rPr>
        <w:t xml:space="preserve">dentro de los últimos </w:t>
      </w:r>
      <w:r w:rsidR="002C322D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cinco años </w:t>
      </w:r>
      <w:r w:rsidR="007944B9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en </w:t>
      </w:r>
      <w:r>
        <w:rPr>
          <w:rFonts w:ascii="ITC Avant Garde" w:eastAsia="Times New Roman" w:hAnsi="ITC Avant Garde" w:cs="Times New Roman"/>
          <w:color w:val="000000"/>
          <w:lang w:eastAsia="es-MX"/>
        </w:rPr>
        <w:t>operaciones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="007944B9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previas en el </w:t>
      </w:r>
      <w:r>
        <w:rPr>
          <w:rFonts w:ascii="ITC Avant Garde" w:eastAsia="Times New Roman" w:hAnsi="ITC Avant Garde" w:cs="Times New Roman"/>
          <w:color w:val="000000"/>
          <w:lang w:eastAsia="es-MX"/>
        </w:rPr>
        <w:t xml:space="preserve">mismo </w:t>
      </w:r>
      <w:r w:rsidR="007944B9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mercado y que consideradas en conjunto con la </w:t>
      </w:r>
      <w:r>
        <w:rPr>
          <w:rFonts w:ascii="ITC Avant Garde" w:eastAsia="Times New Roman" w:hAnsi="ITC Avant Garde" w:cs="Times New Roman"/>
          <w:color w:val="000000"/>
          <w:lang w:eastAsia="es-MX"/>
        </w:rPr>
        <w:t>operación</w:t>
      </w:r>
      <w:r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 </w:t>
      </w:r>
      <w:r w:rsidR="007944B9" w:rsidRPr="000045D9">
        <w:rPr>
          <w:rFonts w:ascii="ITC Avant Garde" w:eastAsia="Times New Roman" w:hAnsi="ITC Avant Garde" w:cs="Times New Roman"/>
          <w:color w:val="000000"/>
          <w:lang w:eastAsia="es-MX"/>
        </w:rPr>
        <w:t xml:space="preserve">analizada, rebasen los umbrales referidos en el numeral </w:t>
      </w:r>
      <w:r>
        <w:rPr>
          <w:rFonts w:ascii="ITC Avant Garde" w:eastAsia="Times New Roman" w:hAnsi="ITC Avant Garde" w:cs="Times New Roman"/>
          <w:color w:val="000000"/>
          <w:lang w:eastAsia="es-MX"/>
        </w:rPr>
        <w:t>Octavo</w:t>
      </w:r>
      <w:r w:rsidR="007944B9" w:rsidRPr="000045D9">
        <w:rPr>
          <w:rFonts w:ascii="ITC Avant Garde" w:eastAsia="Times New Roman" w:hAnsi="ITC Avant Garde" w:cs="Times New Roman"/>
          <w:color w:val="000000"/>
          <w:lang w:eastAsia="es-MX"/>
        </w:rPr>
        <w:t>.</w:t>
      </w:r>
    </w:p>
    <w:p w14:paraId="5F2303ED" w14:textId="3CEFE568" w:rsidR="0042096E" w:rsidRDefault="0042096E" w:rsidP="00D96705">
      <w:pPr>
        <w:pStyle w:val="Prrafodelista"/>
        <w:numPr>
          <w:ilvl w:val="0"/>
          <w:numId w:val="27"/>
        </w:numPr>
        <w:spacing w:after="120"/>
        <w:ind w:left="425" w:hanging="357"/>
        <w:contextualSpacing w:val="0"/>
        <w:jc w:val="both"/>
        <w:rPr>
          <w:rFonts w:ascii="ITC Avant Garde" w:eastAsia="Times New Roman" w:hAnsi="ITC Avant Garde" w:cs="Times New Roman"/>
          <w:color w:val="000000"/>
          <w:lang w:eastAsia="es-MX"/>
        </w:rPr>
      </w:pPr>
      <w:r>
        <w:rPr>
          <w:rFonts w:ascii="ITC Avant Garde" w:eastAsia="Times New Roman" w:hAnsi="ITC Avant Garde" w:cs="Times New Roman"/>
          <w:color w:val="000000"/>
          <w:lang w:eastAsia="es-MX"/>
        </w:rPr>
        <w:t xml:space="preserve">La </w:t>
      </w:r>
      <w:r w:rsidR="00A63F0F">
        <w:rPr>
          <w:rFonts w:ascii="ITC Avant Garde" w:eastAsia="Times New Roman" w:hAnsi="ITC Avant Garde" w:cs="Times New Roman"/>
          <w:color w:val="000000"/>
          <w:lang w:eastAsia="es-MX"/>
        </w:rPr>
        <w:t xml:space="preserve">operación </w:t>
      </w:r>
      <w:r>
        <w:rPr>
          <w:rFonts w:ascii="ITC Avant Garde" w:eastAsia="Times New Roman" w:hAnsi="ITC Avant Garde" w:cs="Times New Roman"/>
          <w:color w:val="000000"/>
          <w:lang w:eastAsia="es-MX"/>
        </w:rPr>
        <w:t xml:space="preserve">pueda generar incentivos </w:t>
      </w:r>
      <w:r w:rsidR="00B20FE1">
        <w:rPr>
          <w:rFonts w:ascii="ITC Avant Garde" w:eastAsia="Times New Roman" w:hAnsi="ITC Avant Garde" w:cs="Times New Roman"/>
          <w:color w:val="000000"/>
          <w:lang w:eastAsia="es-MX"/>
        </w:rPr>
        <w:t xml:space="preserve">o facilitar </w:t>
      </w:r>
      <w:r>
        <w:rPr>
          <w:rFonts w:ascii="ITC Avant Garde" w:eastAsia="Times New Roman" w:hAnsi="ITC Avant Garde" w:cs="Times New Roman"/>
          <w:color w:val="000000"/>
          <w:lang w:eastAsia="es-MX"/>
        </w:rPr>
        <w:t xml:space="preserve">la coordinación entre los agentes económicos que participen en el mercado </w:t>
      </w:r>
      <w:r w:rsidR="00B20FE1">
        <w:rPr>
          <w:rFonts w:ascii="ITC Avant Garde" w:eastAsia="Times New Roman" w:hAnsi="ITC Avant Garde" w:cs="Times New Roman"/>
          <w:color w:val="000000"/>
          <w:lang w:eastAsia="es-MX"/>
        </w:rPr>
        <w:t xml:space="preserve">analizado </w:t>
      </w:r>
      <w:r>
        <w:rPr>
          <w:rFonts w:ascii="ITC Avant Garde" w:eastAsia="Times New Roman" w:hAnsi="ITC Avant Garde" w:cs="Times New Roman"/>
          <w:color w:val="000000"/>
          <w:lang w:eastAsia="es-MX"/>
        </w:rPr>
        <w:t>o mercados relacionados.</w:t>
      </w:r>
    </w:p>
    <w:p w14:paraId="4F609CEE" w14:textId="77777777" w:rsidR="00B5567C" w:rsidRPr="000045D9" w:rsidRDefault="00B5567C" w:rsidP="00042EE5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</w:p>
    <w:p w14:paraId="6ED323B7" w14:textId="6AB2991B" w:rsidR="00D82E54" w:rsidRPr="000045D9" w:rsidRDefault="00945838" w:rsidP="00042EE5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b/>
          <w:sz w:val="22"/>
          <w:szCs w:val="22"/>
        </w:rPr>
        <w:t>DÉCIMO</w:t>
      </w:r>
      <w:r w:rsidR="00042EE5" w:rsidRPr="000045D9">
        <w:rPr>
          <w:rFonts w:ascii="ITC Avant Garde" w:hAnsi="ITC Avant Garde"/>
          <w:b/>
          <w:sz w:val="22"/>
          <w:szCs w:val="22"/>
        </w:rPr>
        <w:t>.</w:t>
      </w:r>
      <w:r w:rsidR="00042EE5" w:rsidRPr="000045D9">
        <w:rPr>
          <w:rFonts w:ascii="ITC Avant Garde" w:hAnsi="ITC Avant Garde"/>
          <w:sz w:val="22"/>
          <w:szCs w:val="22"/>
        </w:rPr>
        <w:t xml:space="preserve"> </w:t>
      </w:r>
      <w:r w:rsidR="00A60D8C">
        <w:rPr>
          <w:rFonts w:ascii="ITC Avant Garde" w:hAnsi="ITC Avant Garde"/>
          <w:sz w:val="22"/>
          <w:szCs w:val="22"/>
        </w:rPr>
        <w:t>El presente criterio técnico no se aplicará c</w:t>
      </w:r>
      <w:r w:rsidR="00D82E54" w:rsidRPr="000045D9">
        <w:rPr>
          <w:rFonts w:ascii="ITC Avant Garde" w:hAnsi="ITC Avant Garde"/>
          <w:sz w:val="22"/>
          <w:szCs w:val="22"/>
        </w:rPr>
        <w:t>uando el Instituto resuelva conforme a lo establecido en el artículo Noveno Transitorio</w:t>
      </w:r>
      <w:r w:rsidR="0011081E">
        <w:rPr>
          <w:rFonts w:ascii="ITC Avant Garde" w:hAnsi="ITC Avant Garde"/>
          <w:sz w:val="22"/>
          <w:szCs w:val="22"/>
        </w:rPr>
        <w:t>,</w:t>
      </w:r>
      <w:r w:rsidR="008E17DA">
        <w:rPr>
          <w:rFonts w:ascii="ITC Avant Garde" w:hAnsi="ITC Avant Garde"/>
          <w:sz w:val="22"/>
          <w:szCs w:val="22"/>
        </w:rPr>
        <w:t xml:space="preserve"> </w:t>
      </w:r>
      <w:r w:rsidR="0011081E" w:rsidRPr="000045D9">
        <w:rPr>
          <w:rFonts w:ascii="ITC Avant Garde" w:hAnsi="ITC Avant Garde"/>
          <w:sz w:val="22"/>
          <w:szCs w:val="22"/>
        </w:rPr>
        <w:t>párrafos primero a cuarto</w:t>
      </w:r>
      <w:r w:rsidR="0011081E">
        <w:rPr>
          <w:rFonts w:ascii="ITC Avant Garde" w:hAnsi="ITC Avant Garde"/>
          <w:sz w:val="22"/>
          <w:szCs w:val="22"/>
        </w:rPr>
        <w:t xml:space="preserve">, </w:t>
      </w:r>
      <w:r w:rsidR="008E17DA">
        <w:rPr>
          <w:rFonts w:ascii="ITC Avant Garde" w:hAnsi="ITC Avant Garde"/>
          <w:sz w:val="22"/>
          <w:szCs w:val="22"/>
        </w:rPr>
        <w:t>del Decreto que expide la LFTR</w:t>
      </w:r>
      <w:r w:rsidR="00B03B87" w:rsidRPr="000045D9">
        <w:rPr>
          <w:rFonts w:ascii="ITC Avant Garde" w:hAnsi="ITC Avant Garde"/>
          <w:sz w:val="22"/>
          <w:szCs w:val="22"/>
        </w:rPr>
        <w:t>,</w:t>
      </w:r>
      <w:r w:rsidR="008E17DA">
        <w:rPr>
          <w:rStyle w:val="Refdenotaalpie"/>
          <w:rFonts w:ascii="ITC Avant Garde" w:hAnsi="ITC Avant Garde"/>
          <w:sz w:val="22"/>
          <w:szCs w:val="22"/>
        </w:rPr>
        <w:footnoteReference w:id="2"/>
      </w:r>
      <w:r w:rsidR="00D82E54" w:rsidRPr="000045D9">
        <w:rPr>
          <w:rFonts w:ascii="ITC Avant Garde" w:hAnsi="ITC Avant Garde"/>
          <w:sz w:val="22"/>
          <w:szCs w:val="22"/>
        </w:rPr>
        <w:t xml:space="preserve"> </w:t>
      </w:r>
      <w:r w:rsidR="00A60D8C">
        <w:rPr>
          <w:rFonts w:ascii="ITC Avant Garde" w:hAnsi="ITC Avant Garde"/>
          <w:sz w:val="22"/>
          <w:szCs w:val="22"/>
        </w:rPr>
        <w:t>el cual señala explícitamente el cálculo y aplicación</w:t>
      </w:r>
      <w:r w:rsidR="00A60D8C" w:rsidRPr="000045D9">
        <w:rPr>
          <w:rFonts w:ascii="ITC Avant Garde" w:hAnsi="ITC Avant Garde"/>
          <w:sz w:val="22"/>
          <w:szCs w:val="22"/>
        </w:rPr>
        <w:t xml:space="preserve"> </w:t>
      </w:r>
      <w:r w:rsidR="00A60D8C" w:rsidRPr="00811EF2">
        <w:rPr>
          <w:rFonts w:ascii="ITC Avant Garde" w:hAnsi="ITC Avant Garde"/>
          <w:sz w:val="22"/>
          <w:szCs w:val="22"/>
        </w:rPr>
        <w:t xml:space="preserve">del </w:t>
      </w:r>
      <w:r w:rsidR="00D82E54" w:rsidRPr="00811EF2">
        <w:rPr>
          <w:rFonts w:ascii="ITC Avant Garde" w:hAnsi="ITC Avant Garde"/>
          <w:sz w:val="22"/>
          <w:szCs w:val="22"/>
        </w:rPr>
        <w:t>Índice de Dominancia, el</w:t>
      </w:r>
      <w:r w:rsidR="00D82E54" w:rsidRPr="000045D9">
        <w:rPr>
          <w:rFonts w:ascii="ITC Avant Garde" w:hAnsi="ITC Avant Garde"/>
          <w:sz w:val="22"/>
          <w:szCs w:val="22"/>
        </w:rPr>
        <w:t xml:space="preserve"> </w:t>
      </w:r>
      <w:r w:rsidR="00A43D46">
        <w:rPr>
          <w:rFonts w:ascii="ITC Avant Garde" w:hAnsi="ITC Avant Garde"/>
          <w:sz w:val="22"/>
          <w:szCs w:val="22"/>
        </w:rPr>
        <w:t>IHH</w:t>
      </w:r>
      <w:r w:rsidR="00D82E54" w:rsidRPr="000045D9">
        <w:rPr>
          <w:rFonts w:ascii="ITC Avant Garde" w:hAnsi="ITC Avant Garde"/>
          <w:sz w:val="22"/>
          <w:szCs w:val="22"/>
        </w:rPr>
        <w:t xml:space="preserve"> y la ∆HH.</w:t>
      </w:r>
    </w:p>
    <w:p w14:paraId="350E0DE1" w14:textId="77777777" w:rsidR="00D82E54" w:rsidRPr="000045D9" w:rsidRDefault="00D82E54" w:rsidP="00042EE5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</w:p>
    <w:p w14:paraId="41A11523" w14:textId="084E72AF" w:rsidR="00042EE5" w:rsidRPr="000045D9" w:rsidRDefault="00042EE5" w:rsidP="00042EE5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  <w:r w:rsidRPr="000045D9">
        <w:rPr>
          <w:rFonts w:ascii="ITC Avant Garde" w:hAnsi="ITC Avant Garde"/>
          <w:b/>
          <w:sz w:val="22"/>
          <w:szCs w:val="22"/>
        </w:rPr>
        <w:t>DÉCIMO</w:t>
      </w:r>
      <w:r w:rsidR="00945838">
        <w:rPr>
          <w:rFonts w:ascii="ITC Avant Garde" w:hAnsi="ITC Avant Garde"/>
          <w:b/>
          <w:sz w:val="22"/>
          <w:szCs w:val="22"/>
        </w:rPr>
        <w:t xml:space="preserve"> PRIMERO</w:t>
      </w:r>
      <w:r w:rsidRPr="000045D9">
        <w:rPr>
          <w:rFonts w:ascii="ITC Avant Garde" w:hAnsi="ITC Avant Garde"/>
          <w:b/>
          <w:sz w:val="22"/>
          <w:szCs w:val="22"/>
        </w:rPr>
        <w:t>.</w:t>
      </w:r>
      <w:r w:rsidRPr="000045D9">
        <w:rPr>
          <w:rFonts w:ascii="ITC Avant Garde" w:hAnsi="ITC Avant Garde"/>
          <w:sz w:val="22"/>
          <w:szCs w:val="22"/>
        </w:rPr>
        <w:t xml:space="preserve"> </w:t>
      </w:r>
      <w:r w:rsidR="00187AA6" w:rsidRPr="000045D9">
        <w:rPr>
          <w:rFonts w:ascii="ITC Avant Garde" w:hAnsi="ITC Avant Garde"/>
          <w:sz w:val="22"/>
          <w:szCs w:val="22"/>
        </w:rPr>
        <w:t>En términos del artículo 110 de la LFCE, e</w:t>
      </w:r>
      <w:r w:rsidRPr="000045D9">
        <w:rPr>
          <w:rFonts w:ascii="ITC Avant Garde" w:hAnsi="ITC Avant Garde"/>
          <w:sz w:val="22"/>
          <w:szCs w:val="22"/>
        </w:rPr>
        <w:t>l Instituto</w:t>
      </w:r>
      <w:r w:rsidR="0074252E" w:rsidRPr="000045D9">
        <w:rPr>
          <w:rFonts w:ascii="ITC Avant Garde" w:hAnsi="ITC Avant Garde"/>
          <w:sz w:val="22"/>
          <w:szCs w:val="22"/>
        </w:rPr>
        <w:t xml:space="preserve">, </w:t>
      </w:r>
      <w:r w:rsidR="00BA5E16" w:rsidRPr="000045D9">
        <w:rPr>
          <w:rFonts w:ascii="ITC Avant Garde" w:hAnsi="ITC Avant Garde"/>
          <w:sz w:val="22"/>
          <w:szCs w:val="22"/>
        </w:rPr>
        <w:t>a través de la Unidad de Competencia Económica</w:t>
      </w:r>
      <w:r w:rsidR="00CF3476">
        <w:rPr>
          <w:rFonts w:ascii="ITC Avant Garde" w:hAnsi="ITC Avant Garde"/>
          <w:sz w:val="22"/>
          <w:szCs w:val="22"/>
        </w:rPr>
        <w:t xml:space="preserve"> del Instituto</w:t>
      </w:r>
      <w:r w:rsidR="0074252E" w:rsidRPr="000045D9">
        <w:rPr>
          <w:rFonts w:ascii="ITC Avant Garde" w:hAnsi="ITC Avant Garde"/>
          <w:sz w:val="22"/>
          <w:szCs w:val="22"/>
        </w:rPr>
        <w:t xml:space="preserve">, </w:t>
      </w:r>
      <w:r w:rsidRPr="000045D9">
        <w:rPr>
          <w:rFonts w:ascii="ITC Avant Garde" w:hAnsi="ITC Avant Garde"/>
          <w:sz w:val="22"/>
          <w:szCs w:val="22"/>
        </w:rPr>
        <w:t>ofrecerá orientación a cualquier persona física o moral</w:t>
      </w:r>
      <w:r w:rsidR="00187AA6" w:rsidRPr="000045D9">
        <w:rPr>
          <w:rFonts w:ascii="ITC Avant Garde" w:hAnsi="ITC Avant Garde"/>
          <w:sz w:val="22"/>
          <w:szCs w:val="22"/>
        </w:rPr>
        <w:t>, así como a cualquier Autoridad Pública,</w:t>
      </w:r>
      <w:r w:rsidRPr="000045D9">
        <w:rPr>
          <w:rFonts w:ascii="ITC Avant Garde" w:hAnsi="ITC Avant Garde"/>
          <w:sz w:val="22"/>
          <w:szCs w:val="22"/>
        </w:rPr>
        <w:t xml:space="preserve"> </w:t>
      </w:r>
      <w:r w:rsidR="00187AA6" w:rsidRPr="000045D9">
        <w:rPr>
          <w:rFonts w:ascii="ITC Avant Garde" w:hAnsi="ITC Avant Garde"/>
          <w:sz w:val="22"/>
          <w:szCs w:val="22"/>
        </w:rPr>
        <w:t>en relación con la aplicación de</w:t>
      </w:r>
      <w:r w:rsidR="0099058A" w:rsidRPr="000045D9">
        <w:rPr>
          <w:rFonts w:ascii="ITC Avant Garde" w:hAnsi="ITC Avant Garde"/>
          <w:sz w:val="22"/>
          <w:szCs w:val="22"/>
        </w:rPr>
        <w:t xml:space="preserve"> este</w:t>
      </w:r>
      <w:r w:rsidRPr="000045D9">
        <w:rPr>
          <w:rFonts w:ascii="ITC Avant Garde" w:hAnsi="ITC Avant Garde"/>
          <w:sz w:val="22"/>
          <w:szCs w:val="22"/>
        </w:rPr>
        <w:t xml:space="preserve"> criterio técnico</w:t>
      </w:r>
      <w:r w:rsidR="0074252E" w:rsidRPr="000045D9">
        <w:rPr>
          <w:rFonts w:ascii="ITC Avant Garde" w:hAnsi="ITC Avant Garde"/>
          <w:sz w:val="22"/>
          <w:szCs w:val="22"/>
        </w:rPr>
        <w:t>.</w:t>
      </w:r>
    </w:p>
    <w:p w14:paraId="4C67E147" w14:textId="3F292F10" w:rsidR="00C43393" w:rsidRDefault="00C43393" w:rsidP="00042EE5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</w:p>
    <w:p w14:paraId="57D53075" w14:textId="77777777" w:rsidR="00CF3476" w:rsidRPr="000045D9" w:rsidRDefault="00CF3476" w:rsidP="00042EE5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</w:p>
    <w:p w14:paraId="4116B90C" w14:textId="77777777" w:rsidR="00042EE5" w:rsidRPr="000045D9" w:rsidRDefault="00042EE5" w:rsidP="008E17DA">
      <w:pPr>
        <w:pStyle w:val="Default"/>
        <w:keepNext/>
        <w:spacing w:line="276" w:lineRule="auto"/>
        <w:jc w:val="center"/>
        <w:rPr>
          <w:rFonts w:ascii="ITC Avant Garde" w:hAnsi="ITC Avant Garde"/>
          <w:b/>
          <w:sz w:val="22"/>
          <w:szCs w:val="22"/>
        </w:rPr>
      </w:pPr>
      <w:bookmarkStart w:id="0" w:name="_GoBack"/>
      <w:bookmarkEnd w:id="0"/>
      <w:r w:rsidRPr="000045D9">
        <w:rPr>
          <w:rFonts w:ascii="ITC Avant Garde" w:hAnsi="ITC Avant Garde"/>
          <w:b/>
          <w:sz w:val="22"/>
          <w:szCs w:val="22"/>
        </w:rPr>
        <w:t>TRANSITORIOS</w:t>
      </w:r>
    </w:p>
    <w:p w14:paraId="1FC5E970" w14:textId="77777777" w:rsidR="0074252E" w:rsidRDefault="0074252E" w:rsidP="008E17DA">
      <w:pPr>
        <w:pStyle w:val="Default"/>
        <w:keepNext/>
        <w:spacing w:line="276" w:lineRule="auto"/>
        <w:jc w:val="both"/>
        <w:rPr>
          <w:rFonts w:ascii="ITC Avant Garde" w:hAnsi="ITC Avant Garde"/>
          <w:sz w:val="22"/>
          <w:szCs w:val="22"/>
        </w:rPr>
      </w:pPr>
    </w:p>
    <w:p w14:paraId="28B0CE26" w14:textId="77777777" w:rsidR="00CF3476" w:rsidRPr="000045D9" w:rsidRDefault="00CF3476" w:rsidP="008E17DA">
      <w:pPr>
        <w:pStyle w:val="Default"/>
        <w:keepNext/>
        <w:spacing w:line="276" w:lineRule="auto"/>
        <w:jc w:val="both"/>
        <w:rPr>
          <w:rFonts w:ascii="ITC Avant Garde" w:hAnsi="ITC Avant Garde"/>
          <w:sz w:val="22"/>
          <w:szCs w:val="22"/>
        </w:rPr>
      </w:pPr>
    </w:p>
    <w:p w14:paraId="06992CA2" w14:textId="6276650A" w:rsidR="00042EE5" w:rsidRPr="000045D9" w:rsidRDefault="00042EE5" w:rsidP="00042EE5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  <w:r w:rsidRPr="000045D9">
        <w:rPr>
          <w:rFonts w:ascii="ITC Avant Garde" w:hAnsi="ITC Avant Garde"/>
          <w:b/>
          <w:sz w:val="22"/>
          <w:szCs w:val="22"/>
        </w:rPr>
        <w:t>PRIMERO</w:t>
      </w:r>
      <w:r w:rsidRPr="000045D9">
        <w:rPr>
          <w:rFonts w:ascii="ITC Avant Garde" w:hAnsi="ITC Avant Garde"/>
          <w:sz w:val="22"/>
          <w:szCs w:val="22"/>
        </w:rPr>
        <w:t xml:space="preserve">. </w:t>
      </w:r>
      <w:r w:rsidR="0074252E" w:rsidRPr="000045D9">
        <w:rPr>
          <w:rFonts w:ascii="ITC Avant Garde" w:hAnsi="ITC Avant Garde"/>
          <w:sz w:val="22"/>
          <w:szCs w:val="22"/>
        </w:rPr>
        <w:t xml:space="preserve">El </w:t>
      </w:r>
      <w:r w:rsidRPr="000045D9">
        <w:rPr>
          <w:rFonts w:ascii="ITC Avant Garde" w:hAnsi="ITC Avant Garde"/>
          <w:sz w:val="22"/>
          <w:szCs w:val="22"/>
        </w:rPr>
        <w:t xml:space="preserve">presente criterio técnico entrará en vigor </w:t>
      </w:r>
      <w:r w:rsidR="00FE01C6" w:rsidRPr="000045D9">
        <w:rPr>
          <w:rFonts w:ascii="ITC Avant Garde" w:hAnsi="ITC Avant Garde"/>
          <w:sz w:val="22"/>
          <w:szCs w:val="22"/>
        </w:rPr>
        <w:t>a los sesenta días hábiles</w:t>
      </w:r>
      <w:r w:rsidR="00B43AC4" w:rsidRPr="000045D9">
        <w:rPr>
          <w:rFonts w:ascii="ITC Avant Garde" w:hAnsi="ITC Avant Garde"/>
          <w:sz w:val="22"/>
          <w:szCs w:val="22"/>
        </w:rPr>
        <w:t xml:space="preserve"> siguiente</w:t>
      </w:r>
      <w:r w:rsidR="00FE01C6" w:rsidRPr="000045D9">
        <w:rPr>
          <w:rFonts w:ascii="ITC Avant Garde" w:hAnsi="ITC Avant Garde"/>
          <w:sz w:val="22"/>
          <w:szCs w:val="22"/>
        </w:rPr>
        <w:t>s</w:t>
      </w:r>
      <w:r w:rsidR="0074252E" w:rsidRPr="000045D9">
        <w:rPr>
          <w:rFonts w:ascii="ITC Avant Garde" w:hAnsi="ITC Avant Garde"/>
          <w:sz w:val="22"/>
          <w:szCs w:val="22"/>
        </w:rPr>
        <w:t xml:space="preserve"> </w:t>
      </w:r>
      <w:r w:rsidRPr="000045D9">
        <w:rPr>
          <w:rFonts w:ascii="ITC Avant Garde" w:hAnsi="ITC Avant Garde"/>
          <w:sz w:val="22"/>
          <w:szCs w:val="22"/>
        </w:rPr>
        <w:t>de su publicación en el Diario Oficial de la Federación.</w:t>
      </w:r>
    </w:p>
    <w:p w14:paraId="3D51E625" w14:textId="77777777" w:rsidR="0074252E" w:rsidRPr="000045D9" w:rsidRDefault="0074252E" w:rsidP="00042EE5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</w:p>
    <w:p w14:paraId="33195203" w14:textId="54EBA696" w:rsidR="00FE01C6" w:rsidRPr="000045D9" w:rsidRDefault="00042EE5" w:rsidP="00B829AD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  <w:r w:rsidRPr="000045D9">
        <w:rPr>
          <w:rFonts w:ascii="ITC Avant Garde" w:hAnsi="ITC Avant Garde"/>
          <w:b/>
          <w:sz w:val="22"/>
          <w:szCs w:val="22"/>
        </w:rPr>
        <w:t>SEGUNDO</w:t>
      </w:r>
      <w:r w:rsidRPr="000045D9">
        <w:rPr>
          <w:rFonts w:ascii="ITC Avant Garde" w:hAnsi="ITC Avant Garde"/>
          <w:sz w:val="22"/>
          <w:szCs w:val="22"/>
        </w:rPr>
        <w:t xml:space="preserve">. </w:t>
      </w:r>
      <w:r w:rsidR="00FE01C6" w:rsidRPr="000045D9">
        <w:rPr>
          <w:rFonts w:ascii="ITC Avant Garde" w:hAnsi="ITC Avant Garde"/>
          <w:sz w:val="22"/>
          <w:szCs w:val="22"/>
        </w:rPr>
        <w:t xml:space="preserve">En términos del artículo Cuarto Transitorio, párrafo segundo, de las Disposiciones Regulatorias, los métodos de cálculo publicados por la Comisión Federal </w:t>
      </w:r>
      <w:r w:rsidR="00FE01C6" w:rsidRPr="000045D9">
        <w:rPr>
          <w:rFonts w:ascii="ITC Avant Garde" w:hAnsi="ITC Avant Garde"/>
          <w:sz w:val="22"/>
          <w:szCs w:val="22"/>
        </w:rPr>
        <w:lastRenderedPageBreak/>
        <w:t>de Competencia el veinticuatro de julio de mil novecientos noventa y ocho en el Diario Oficial de la Federación, no serán aplicables para el Instituto conforme a lo expuesto en el artículo que antecede.</w:t>
      </w:r>
    </w:p>
    <w:p w14:paraId="662BCF06" w14:textId="77777777" w:rsidR="000045D9" w:rsidRPr="000045D9" w:rsidRDefault="000045D9" w:rsidP="00B829AD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</w:p>
    <w:p w14:paraId="39B20CDF" w14:textId="7A875AA4" w:rsidR="000045D9" w:rsidRPr="000045D9" w:rsidRDefault="000045D9" w:rsidP="00B829AD">
      <w:pPr>
        <w:pStyle w:val="Default"/>
        <w:spacing w:line="276" w:lineRule="auto"/>
        <w:ind w:right="-1"/>
        <w:jc w:val="both"/>
        <w:rPr>
          <w:rFonts w:ascii="ITC Avant Garde" w:hAnsi="ITC Avant Garde"/>
          <w:sz w:val="22"/>
          <w:szCs w:val="22"/>
        </w:rPr>
      </w:pPr>
      <w:r w:rsidRPr="000045D9">
        <w:rPr>
          <w:rFonts w:ascii="ITC Avant Garde" w:hAnsi="ITC Avant Garde"/>
          <w:b/>
          <w:sz w:val="22"/>
          <w:szCs w:val="22"/>
        </w:rPr>
        <w:t>TERCERO.</w:t>
      </w:r>
      <w:r w:rsidRPr="000045D9">
        <w:rPr>
          <w:rFonts w:ascii="ITC Avant Garde" w:hAnsi="ITC Avant Garde"/>
          <w:sz w:val="22"/>
          <w:szCs w:val="22"/>
        </w:rPr>
        <w:t xml:space="preserve"> El presente criterio técnico deberá revisarse por el Instituto en un plazo no mayor a los cinco años de su entrada en vigor a </w:t>
      </w:r>
      <w:r w:rsidRPr="00811EF2">
        <w:rPr>
          <w:rFonts w:ascii="ITC Avant Garde" w:hAnsi="ITC Avant Garde"/>
          <w:sz w:val="22"/>
          <w:szCs w:val="22"/>
        </w:rPr>
        <w:t xml:space="preserve">efecto de evaluar la eficacia con la que determina el grado de concentración en los mercados </w:t>
      </w:r>
      <w:r w:rsidR="00A63F0F">
        <w:rPr>
          <w:rFonts w:ascii="ITC Avant Garde" w:hAnsi="ITC Avant Garde"/>
          <w:sz w:val="22"/>
          <w:szCs w:val="22"/>
        </w:rPr>
        <w:t xml:space="preserve"> y servicios correspondientes a </w:t>
      </w:r>
      <w:r w:rsidRPr="000045D9">
        <w:rPr>
          <w:rFonts w:ascii="ITC Avant Garde" w:hAnsi="ITC Avant Garde"/>
          <w:sz w:val="22"/>
          <w:szCs w:val="22"/>
        </w:rPr>
        <w:t>los sectores de telecomunicaciones y radiodifusión.</w:t>
      </w:r>
    </w:p>
    <w:sectPr w:rsidR="000045D9" w:rsidRPr="000045D9" w:rsidSect="00F94B2A">
      <w:footerReference w:type="default" r:id="rId8"/>
      <w:pgSz w:w="12240" w:h="15840"/>
      <w:pgMar w:top="212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D049" w14:textId="77777777" w:rsidR="003F69E3" w:rsidRDefault="003F69E3" w:rsidP="00C262B6">
      <w:pPr>
        <w:spacing w:after="0" w:line="240" w:lineRule="auto"/>
      </w:pPr>
      <w:r>
        <w:separator/>
      </w:r>
    </w:p>
  </w:endnote>
  <w:endnote w:type="continuationSeparator" w:id="0">
    <w:p w14:paraId="6DD730FD" w14:textId="77777777" w:rsidR="003F69E3" w:rsidRDefault="003F69E3" w:rsidP="00C262B6">
      <w:pPr>
        <w:spacing w:after="0" w:line="240" w:lineRule="auto"/>
      </w:pPr>
      <w:r>
        <w:continuationSeparator/>
      </w:r>
    </w:p>
  </w:endnote>
  <w:endnote w:type="continuationNotice" w:id="1">
    <w:p w14:paraId="742764F1" w14:textId="77777777" w:rsidR="003F69E3" w:rsidRDefault="003F6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846263"/>
      <w:docPartObj>
        <w:docPartGallery w:val="Page Numbers (Bottom of Page)"/>
        <w:docPartUnique/>
      </w:docPartObj>
    </w:sdtPr>
    <w:sdtEndPr/>
    <w:sdtContent>
      <w:sdt>
        <w:sdtPr>
          <w:id w:val="473039927"/>
          <w:docPartObj>
            <w:docPartGallery w:val="Page Numbers (Top of Page)"/>
            <w:docPartUnique/>
          </w:docPartObj>
        </w:sdtPr>
        <w:sdtEndPr/>
        <w:sdtContent>
          <w:p w14:paraId="66078097" w14:textId="77777777" w:rsidR="00F21CA1" w:rsidRDefault="00F21CA1">
            <w:pPr>
              <w:pStyle w:val="Piedepgina"/>
              <w:jc w:val="right"/>
            </w:pPr>
            <w:r w:rsidRPr="001A7D46">
              <w:rPr>
                <w:rFonts w:ascii="ITC Avant Garde" w:hAnsi="ITC Avant Garde"/>
                <w:b/>
                <w:bCs/>
              </w:rPr>
              <w:fldChar w:fldCharType="begin"/>
            </w:r>
            <w:r w:rsidRPr="001A7D46">
              <w:rPr>
                <w:rFonts w:ascii="ITC Avant Garde" w:hAnsi="ITC Avant Garde"/>
                <w:b/>
                <w:bCs/>
              </w:rPr>
              <w:instrText>PAGE</w:instrText>
            </w:r>
            <w:r w:rsidRPr="001A7D46">
              <w:rPr>
                <w:rFonts w:ascii="ITC Avant Garde" w:hAnsi="ITC Avant Garde"/>
                <w:b/>
                <w:bCs/>
              </w:rPr>
              <w:fldChar w:fldCharType="separate"/>
            </w:r>
            <w:r w:rsidR="00F94B2A">
              <w:rPr>
                <w:rFonts w:ascii="ITC Avant Garde" w:hAnsi="ITC Avant Garde"/>
                <w:b/>
                <w:bCs/>
                <w:noProof/>
              </w:rPr>
              <w:t>4</w:t>
            </w:r>
            <w:r w:rsidRPr="001A7D46">
              <w:rPr>
                <w:rFonts w:ascii="ITC Avant Garde" w:hAnsi="ITC Avant Garde"/>
                <w:b/>
                <w:bCs/>
              </w:rPr>
              <w:fldChar w:fldCharType="end"/>
            </w:r>
            <w:r w:rsidRPr="001A7D46">
              <w:rPr>
                <w:rFonts w:ascii="ITC Avant Garde" w:hAnsi="ITC Avant Garde"/>
                <w:lang w:val="es-ES"/>
              </w:rPr>
              <w:t xml:space="preserve"> / </w:t>
            </w:r>
            <w:r w:rsidRPr="001A7D46">
              <w:rPr>
                <w:rFonts w:ascii="ITC Avant Garde" w:hAnsi="ITC Avant Garde"/>
                <w:b/>
                <w:bCs/>
              </w:rPr>
              <w:fldChar w:fldCharType="begin"/>
            </w:r>
            <w:r w:rsidRPr="001A7D46">
              <w:rPr>
                <w:rFonts w:ascii="ITC Avant Garde" w:hAnsi="ITC Avant Garde"/>
                <w:b/>
                <w:bCs/>
              </w:rPr>
              <w:instrText>NUMPAGES</w:instrText>
            </w:r>
            <w:r w:rsidRPr="001A7D46">
              <w:rPr>
                <w:rFonts w:ascii="ITC Avant Garde" w:hAnsi="ITC Avant Garde"/>
                <w:b/>
                <w:bCs/>
              </w:rPr>
              <w:fldChar w:fldCharType="separate"/>
            </w:r>
            <w:r w:rsidR="00F94B2A">
              <w:rPr>
                <w:rFonts w:ascii="ITC Avant Garde" w:hAnsi="ITC Avant Garde"/>
                <w:b/>
                <w:bCs/>
                <w:noProof/>
              </w:rPr>
              <w:t>6</w:t>
            </w:r>
            <w:r w:rsidRPr="001A7D46">
              <w:rPr>
                <w:rFonts w:ascii="ITC Avant Garde" w:hAnsi="ITC Avant Garde"/>
                <w:b/>
                <w:bCs/>
              </w:rPr>
              <w:fldChar w:fldCharType="end"/>
            </w:r>
          </w:p>
        </w:sdtContent>
      </w:sdt>
    </w:sdtContent>
  </w:sdt>
  <w:p w14:paraId="48DD1285" w14:textId="77777777" w:rsidR="00F21CA1" w:rsidRDefault="00F21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5BC39" w14:textId="77777777" w:rsidR="003F69E3" w:rsidRDefault="003F69E3" w:rsidP="00C262B6">
      <w:pPr>
        <w:spacing w:after="0" w:line="240" w:lineRule="auto"/>
      </w:pPr>
      <w:r>
        <w:separator/>
      </w:r>
    </w:p>
  </w:footnote>
  <w:footnote w:type="continuationSeparator" w:id="0">
    <w:p w14:paraId="75C76172" w14:textId="77777777" w:rsidR="003F69E3" w:rsidRDefault="003F69E3" w:rsidP="00C262B6">
      <w:pPr>
        <w:spacing w:after="0" w:line="240" w:lineRule="auto"/>
      </w:pPr>
      <w:r>
        <w:continuationSeparator/>
      </w:r>
    </w:p>
  </w:footnote>
  <w:footnote w:type="continuationNotice" w:id="1">
    <w:p w14:paraId="751C42CE" w14:textId="77777777" w:rsidR="003F69E3" w:rsidRDefault="003F69E3">
      <w:pPr>
        <w:spacing w:after="0" w:line="240" w:lineRule="auto"/>
      </w:pPr>
    </w:p>
  </w:footnote>
  <w:footnote w:id="2">
    <w:p w14:paraId="421D05E3" w14:textId="33004A7D" w:rsidR="008E17DA" w:rsidRPr="008E17DA" w:rsidRDefault="008E17DA" w:rsidP="008E17DA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8E17DA">
        <w:rPr>
          <w:rStyle w:val="Refdenotaalpie"/>
          <w:rFonts w:ascii="ITC Avant Garde" w:hAnsi="ITC Avant Garde"/>
          <w:sz w:val="16"/>
          <w:szCs w:val="16"/>
        </w:rPr>
        <w:footnoteRef/>
      </w:r>
      <w:r w:rsidRPr="008E17DA">
        <w:rPr>
          <w:rFonts w:ascii="ITC Avant Garde" w:hAnsi="ITC Avant Garde"/>
          <w:sz w:val="16"/>
          <w:szCs w:val="16"/>
        </w:rPr>
        <w:t xml:space="preserve"> DECRETO por el que se expiden la Ley Federal de Telecomunicaciones y Radiodifusión, y la Ley del Sistema Público de Radiodifusión del Estado Mexicano; y se reforman, adicionan y derogan diversas disposiciones en materia de telecomunicaciones y radiodifusión. Publicado en el Diario Oficial de la Federación el 14 de julio de 2014. Disponible en: </w:t>
      </w:r>
      <w:hyperlink r:id="rId1" w:history="1">
        <w:r w:rsidRPr="008E17DA">
          <w:rPr>
            <w:rStyle w:val="Hipervnculo"/>
            <w:rFonts w:ascii="ITC Avant Garde" w:hAnsi="ITC Avant Garde"/>
            <w:sz w:val="16"/>
            <w:szCs w:val="16"/>
          </w:rPr>
          <w:t>http://www.dof.gob.mx/nota_detalle.php?codigo=5352323&amp;fecha=14/07/2014</w:t>
        </w:r>
      </w:hyperlink>
      <w:r w:rsidRPr="008E17DA">
        <w:rPr>
          <w:rFonts w:ascii="ITC Avant Garde" w:hAnsi="ITC Avant Garde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7AB6"/>
    <w:multiLevelType w:val="hybridMultilevel"/>
    <w:tmpl w:val="DADCC0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8BF"/>
    <w:multiLevelType w:val="hybridMultilevel"/>
    <w:tmpl w:val="27D47C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74393"/>
    <w:multiLevelType w:val="hybridMultilevel"/>
    <w:tmpl w:val="B7A25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1878"/>
    <w:multiLevelType w:val="hybridMultilevel"/>
    <w:tmpl w:val="CD62A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D5D"/>
    <w:multiLevelType w:val="hybridMultilevel"/>
    <w:tmpl w:val="514ADB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16095"/>
    <w:multiLevelType w:val="hybridMultilevel"/>
    <w:tmpl w:val="0CF6802E"/>
    <w:lvl w:ilvl="0" w:tplc="08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E61073F"/>
    <w:multiLevelType w:val="hybridMultilevel"/>
    <w:tmpl w:val="FFEEE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8349F"/>
    <w:multiLevelType w:val="hybridMultilevel"/>
    <w:tmpl w:val="D35895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D30EB"/>
    <w:multiLevelType w:val="hybridMultilevel"/>
    <w:tmpl w:val="0F22C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65BA"/>
    <w:multiLevelType w:val="hybridMultilevel"/>
    <w:tmpl w:val="D2A6A9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74DBF"/>
    <w:multiLevelType w:val="hybridMultilevel"/>
    <w:tmpl w:val="EEFCFB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6EC"/>
    <w:multiLevelType w:val="hybridMultilevel"/>
    <w:tmpl w:val="52866C44"/>
    <w:lvl w:ilvl="0" w:tplc="F9DE7E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70B89"/>
    <w:multiLevelType w:val="hybridMultilevel"/>
    <w:tmpl w:val="491C1CC0"/>
    <w:lvl w:ilvl="0" w:tplc="51BC1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05A11"/>
    <w:multiLevelType w:val="hybridMultilevel"/>
    <w:tmpl w:val="0CE87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471FC"/>
    <w:multiLevelType w:val="hybridMultilevel"/>
    <w:tmpl w:val="2A78B218"/>
    <w:lvl w:ilvl="0" w:tplc="B6B4A8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B47C2"/>
    <w:multiLevelType w:val="hybridMultilevel"/>
    <w:tmpl w:val="6276DEF6"/>
    <w:lvl w:ilvl="0" w:tplc="080A0011">
      <w:start w:val="1"/>
      <w:numFmt w:val="decimal"/>
      <w:lvlText w:val="%1)"/>
      <w:lvlJc w:val="left"/>
      <w:pPr>
        <w:ind w:left="721" w:hanging="360"/>
      </w:p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561C478F"/>
    <w:multiLevelType w:val="hybridMultilevel"/>
    <w:tmpl w:val="053C08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8304D"/>
    <w:multiLevelType w:val="hybridMultilevel"/>
    <w:tmpl w:val="6478D1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C8D"/>
    <w:multiLevelType w:val="hybridMultilevel"/>
    <w:tmpl w:val="EF1C9F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232BB"/>
    <w:multiLevelType w:val="hybridMultilevel"/>
    <w:tmpl w:val="F946B70A"/>
    <w:lvl w:ilvl="0" w:tplc="A3FA3F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5DB653A2"/>
    <w:multiLevelType w:val="hybridMultilevel"/>
    <w:tmpl w:val="7EFCF69C"/>
    <w:lvl w:ilvl="0" w:tplc="08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E08217D"/>
    <w:multiLevelType w:val="hybridMultilevel"/>
    <w:tmpl w:val="13E2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F3A35"/>
    <w:multiLevelType w:val="hybridMultilevel"/>
    <w:tmpl w:val="858A74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3E396A"/>
    <w:multiLevelType w:val="hybridMultilevel"/>
    <w:tmpl w:val="B964BC16"/>
    <w:lvl w:ilvl="0" w:tplc="964457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63EDF"/>
    <w:multiLevelType w:val="hybridMultilevel"/>
    <w:tmpl w:val="86563BFA"/>
    <w:lvl w:ilvl="0" w:tplc="6C662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46B70"/>
    <w:multiLevelType w:val="hybridMultilevel"/>
    <w:tmpl w:val="E3B2E0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312214"/>
    <w:multiLevelType w:val="hybridMultilevel"/>
    <w:tmpl w:val="C0226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A1E15"/>
    <w:multiLevelType w:val="hybridMultilevel"/>
    <w:tmpl w:val="D1F07928"/>
    <w:lvl w:ilvl="0" w:tplc="6AD4E228">
      <w:start w:val="1"/>
      <w:numFmt w:val="lowerRoman"/>
      <w:lvlText w:val="%1)"/>
      <w:lvlJc w:val="left"/>
      <w:pPr>
        <w:ind w:left="115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6" w:hanging="360"/>
      </w:pPr>
    </w:lvl>
    <w:lvl w:ilvl="2" w:tplc="080A001B" w:tentative="1">
      <w:start w:val="1"/>
      <w:numFmt w:val="lowerRoman"/>
      <w:lvlText w:val="%3."/>
      <w:lvlJc w:val="right"/>
      <w:pPr>
        <w:ind w:left="2236" w:hanging="180"/>
      </w:pPr>
    </w:lvl>
    <w:lvl w:ilvl="3" w:tplc="080A000F" w:tentative="1">
      <w:start w:val="1"/>
      <w:numFmt w:val="decimal"/>
      <w:lvlText w:val="%4."/>
      <w:lvlJc w:val="left"/>
      <w:pPr>
        <w:ind w:left="2956" w:hanging="360"/>
      </w:pPr>
    </w:lvl>
    <w:lvl w:ilvl="4" w:tplc="080A0019" w:tentative="1">
      <w:start w:val="1"/>
      <w:numFmt w:val="lowerLetter"/>
      <w:lvlText w:val="%5."/>
      <w:lvlJc w:val="left"/>
      <w:pPr>
        <w:ind w:left="3676" w:hanging="360"/>
      </w:pPr>
    </w:lvl>
    <w:lvl w:ilvl="5" w:tplc="080A001B" w:tentative="1">
      <w:start w:val="1"/>
      <w:numFmt w:val="lowerRoman"/>
      <w:lvlText w:val="%6."/>
      <w:lvlJc w:val="right"/>
      <w:pPr>
        <w:ind w:left="4396" w:hanging="180"/>
      </w:pPr>
    </w:lvl>
    <w:lvl w:ilvl="6" w:tplc="080A000F" w:tentative="1">
      <w:start w:val="1"/>
      <w:numFmt w:val="decimal"/>
      <w:lvlText w:val="%7."/>
      <w:lvlJc w:val="left"/>
      <w:pPr>
        <w:ind w:left="5116" w:hanging="360"/>
      </w:pPr>
    </w:lvl>
    <w:lvl w:ilvl="7" w:tplc="080A0019" w:tentative="1">
      <w:start w:val="1"/>
      <w:numFmt w:val="lowerLetter"/>
      <w:lvlText w:val="%8."/>
      <w:lvlJc w:val="left"/>
      <w:pPr>
        <w:ind w:left="5836" w:hanging="360"/>
      </w:pPr>
    </w:lvl>
    <w:lvl w:ilvl="8" w:tplc="08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753E0E7A"/>
    <w:multiLevelType w:val="hybridMultilevel"/>
    <w:tmpl w:val="4112B0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A6CE4"/>
    <w:multiLevelType w:val="hybridMultilevel"/>
    <w:tmpl w:val="CFEE5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4247"/>
    <w:multiLevelType w:val="hybridMultilevel"/>
    <w:tmpl w:val="42680C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966145"/>
    <w:multiLevelType w:val="hybridMultilevel"/>
    <w:tmpl w:val="97169556"/>
    <w:lvl w:ilvl="0" w:tplc="89C0FC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8"/>
  </w:num>
  <w:num w:numId="3">
    <w:abstractNumId w:val="31"/>
  </w:num>
  <w:num w:numId="4">
    <w:abstractNumId w:val="6"/>
  </w:num>
  <w:num w:numId="5">
    <w:abstractNumId w:val="15"/>
  </w:num>
  <w:num w:numId="6">
    <w:abstractNumId w:val="19"/>
  </w:num>
  <w:num w:numId="7">
    <w:abstractNumId w:val="12"/>
  </w:num>
  <w:num w:numId="8">
    <w:abstractNumId w:val="21"/>
  </w:num>
  <w:num w:numId="9">
    <w:abstractNumId w:val="11"/>
  </w:num>
  <w:num w:numId="10">
    <w:abstractNumId w:val="29"/>
  </w:num>
  <w:num w:numId="11">
    <w:abstractNumId w:val="7"/>
  </w:num>
  <w:num w:numId="12">
    <w:abstractNumId w:val="5"/>
  </w:num>
  <w:num w:numId="13">
    <w:abstractNumId w:val="23"/>
  </w:num>
  <w:num w:numId="14">
    <w:abstractNumId w:val="20"/>
  </w:num>
  <w:num w:numId="15">
    <w:abstractNumId w:val="28"/>
  </w:num>
  <w:num w:numId="16">
    <w:abstractNumId w:val="22"/>
  </w:num>
  <w:num w:numId="17">
    <w:abstractNumId w:val="1"/>
  </w:num>
  <w:num w:numId="18">
    <w:abstractNumId w:val="13"/>
  </w:num>
  <w:num w:numId="19">
    <w:abstractNumId w:val="4"/>
  </w:num>
  <w:num w:numId="20">
    <w:abstractNumId w:val="25"/>
  </w:num>
  <w:num w:numId="21">
    <w:abstractNumId w:val="16"/>
  </w:num>
  <w:num w:numId="22">
    <w:abstractNumId w:val="2"/>
  </w:num>
  <w:num w:numId="23">
    <w:abstractNumId w:val="30"/>
  </w:num>
  <w:num w:numId="24">
    <w:abstractNumId w:val="24"/>
  </w:num>
  <w:num w:numId="25">
    <w:abstractNumId w:val="9"/>
  </w:num>
  <w:num w:numId="26">
    <w:abstractNumId w:val="0"/>
  </w:num>
  <w:num w:numId="27">
    <w:abstractNumId w:val="17"/>
  </w:num>
  <w:num w:numId="28">
    <w:abstractNumId w:val="18"/>
  </w:num>
  <w:num w:numId="29">
    <w:abstractNumId w:val="27"/>
  </w:num>
  <w:num w:numId="30">
    <w:abstractNumId w:val="3"/>
  </w:num>
  <w:num w:numId="31">
    <w:abstractNumId w:val="10"/>
  </w:num>
  <w:num w:numId="32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B6"/>
    <w:rsid w:val="000004BF"/>
    <w:rsid w:val="00001FB5"/>
    <w:rsid w:val="0000459F"/>
    <w:rsid w:val="000045D9"/>
    <w:rsid w:val="000063E4"/>
    <w:rsid w:val="0000713D"/>
    <w:rsid w:val="00015056"/>
    <w:rsid w:val="000156E0"/>
    <w:rsid w:val="000159E3"/>
    <w:rsid w:val="0001610D"/>
    <w:rsid w:val="00016229"/>
    <w:rsid w:val="000179A9"/>
    <w:rsid w:val="000217AD"/>
    <w:rsid w:val="00021911"/>
    <w:rsid w:val="00022393"/>
    <w:rsid w:val="00022EE4"/>
    <w:rsid w:val="00031782"/>
    <w:rsid w:val="00033234"/>
    <w:rsid w:val="000365FF"/>
    <w:rsid w:val="00042EE5"/>
    <w:rsid w:val="000455E3"/>
    <w:rsid w:val="000507A3"/>
    <w:rsid w:val="00052F97"/>
    <w:rsid w:val="00060AED"/>
    <w:rsid w:val="000616C0"/>
    <w:rsid w:val="00062C68"/>
    <w:rsid w:val="00063245"/>
    <w:rsid w:val="00063CB4"/>
    <w:rsid w:val="00066EC9"/>
    <w:rsid w:val="00067D35"/>
    <w:rsid w:val="0007002C"/>
    <w:rsid w:val="0007305B"/>
    <w:rsid w:val="00074119"/>
    <w:rsid w:val="0007514F"/>
    <w:rsid w:val="00075AA5"/>
    <w:rsid w:val="00081711"/>
    <w:rsid w:val="00082E35"/>
    <w:rsid w:val="000866FA"/>
    <w:rsid w:val="00090D68"/>
    <w:rsid w:val="00093BF2"/>
    <w:rsid w:val="000967F0"/>
    <w:rsid w:val="000A2B4D"/>
    <w:rsid w:val="000A3F9D"/>
    <w:rsid w:val="000A4D9F"/>
    <w:rsid w:val="000A6184"/>
    <w:rsid w:val="000B172A"/>
    <w:rsid w:val="000B2DD3"/>
    <w:rsid w:val="000B3DD3"/>
    <w:rsid w:val="000B4BF4"/>
    <w:rsid w:val="000B57B5"/>
    <w:rsid w:val="000B73B5"/>
    <w:rsid w:val="000C108A"/>
    <w:rsid w:val="000C31B0"/>
    <w:rsid w:val="000C56EA"/>
    <w:rsid w:val="000D07F3"/>
    <w:rsid w:val="000D6071"/>
    <w:rsid w:val="000D7916"/>
    <w:rsid w:val="000E242F"/>
    <w:rsid w:val="000E3989"/>
    <w:rsid w:val="000E7A9B"/>
    <w:rsid w:val="000F11C1"/>
    <w:rsid w:val="000F2EB0"/>
    <w:rsid w:val="000F5E9D"/>
    <w:rsid w:val="0010506C"/>
    <w:rsid w:val="00107F0D"/>
    <w:rsid w:val="0011081E"/>
    <w:rsid w:val="00111C60"/>
    <w:rsid w:val="00115C8B"/>
    <w:rsid w:val="00115FAA"/>
    <w:rsid w:val="001241A4"/>
    <w:rsid w:val="00126018"/>
    <w:rsid w:val="001261C3"/>
    <w:rsid w:val="0013063D"/>
    <w:rsid w:val="00131085"/>
    <w:rsid w:val="00131C33"/>
    <w:rsid w:val="00136460"/>
    <w:rsid w:val="001372EE"/>
    <w:rsid w:val="00140F36"/>
    <w:rsid w:val="00143D56"/>
    <w:rsid w:val="00144DE1"/>
    <w:rsid w:val="00152181"/>
    <w:rsid w:val="00152FC8"/>
    <w:rsid w:val="001539C8"/>
    <w:rsid w:val="0015441B"/>
    <w:rsid w:val="00160CEC"/>
    <w:rsid w:val="0016512D"/>
    <w:rsid w:val="00176E8D"/>
    <w:rsid w:val="00183871"/>
    <w:rsid w:val="001856B6"/>
    <w:rsid w:val="00187AA6"/>
    <w:rsid w:val="00191145"/>
    <w:rsid w:val="00193D31"/>
    <w:rsid w:val="001951BB"/>
    <w:rsid w:val="001A0AC1"/>
    <w:rsid w:val="001A2296"/>
    <w:rsid w:val="001A2838"/>
    <w:rsid w:val="001A3D2C"/>
    <w:rsid w:val="001A67E4"/>
    <w:rsid w:val="001A7D46"/>
    <w:rsid w:val="001B018B"/>
    <w:rsid w:val="001B1534"/>
    <w:rsid w:val="001B1C44"/>
    <w:rsid w:val="001B1D1E"/>
    <w:rsid w:val="001B30CF"/>
    <w:rsid w:val="001B46B9"/>
    <w:rsid w:val="001B4A3A"/>
    <w:rsid w:val="001B5DB7"/>
    <w:rsid w:val="001C2322"/>
    <w:rsid w:val="001C5425"/>
    <w:rsid w:val="001D4948"/>
    <w:rsid w:val="001D628E"/>
    <w:rsid w:val="001D7DD4"/>
    <w:rsid w:val="001E0221"/>
    <w:rsid w:val="001E027E"/>
    <w:rsid w:val="001E0705"/>
    <w:rsid w:val="001E0AB7"/>
    <w:rsid w:val="001E0BD3"/>
    <w:rsid w:val="001E207E"/>
    <w:rsid w:val="001E225B"/>
    <w:rsid w:val="001E2CDB"/>
    <w:rsid w:val="001F5210"/>
    <w:rsid w:val="002012BF"/>
    <w:rsid w:val="002032AE"/>
    <w:rsid w:val="00203396"/>
    <w:rsid w:val="00204766"/>
    <w:rsid w:val="00206475"/>
    <w:rsid w:val="002065D0"/>
    <w:rsid w:val="0021207A"/>
    <w:rsid w:val="0021373D"/>
    <w:rsid w:val="00222876"/>
    <w:rsid w:val="00222BA5"/>
    <w:rsid w:val="00222C43"/>
    <w:rsid w:val="00223AA3"/>
    <w:rsid w:val="002257D7"/>
    <w:rsid w:val="00225854"/>
    <w:rsid w:val="002342D5"/>
    <w:rsid w:val="002357F5"/>
    <w:rsid w:val="00235CFB"/>
    <w:rsid w:val="00237F32"/>
    <w:rsid w:val="00243B96"/>
    <w:rsid w:val="00243C56"/>
    <w:rsid w:val="002504C5"/>
    <w:rsid w:val="00257C52"/>
    <w:rsid w:val="002618BC"/>
    <w:rsid w:val="0026380D"/>
    <w:rsid w:val="00264E78"/>
    <w:rsid w:val="002714DC"/>
    <w:rsid w:val="002731F9"/>
    <w:rsid w:val="0027692C"/>
    <w:rsid w:val="002821DC"/>
    <w:rsid w:val="0028279B"/>
    <w:rsid w:val="002849A9"/>
    <w:rsid w:val="00286013"/>
    <w:rsid w:val="002865BF"/>
    <w:rsid w:val="00286D41"/>
    <w:rsid w:val="002943E8"/>
    <w:rsid w:val="00295222"/>
    <w:rsid w:val="002A23C5"/>
    <w:rsid w:val="002A7D90"/>
    <w:rsid w:val="002B46DB"/>
    <w:rsid w:val="002B564F"/>
    <w:rsid w:val="002B6863"/>
    <w:rsid w:val="002C011B"/>
    <w:rsid w:val="002C0DD9"/>
    <w:rsid w:val="002C322D"/>
    <w:rsid w:val="002C6A19"/>
    <w:rsid w:val="002D2B25"/>
    <w:rsid w:val="002D2FAB"/>
    <w:rsid w:val="002D57DB"/>
    <w:rsid w:val="002D58A8"/>
    <w:rsid w:val="002D6356"/>
    <w:rsid w:val="002D7C8D"/>
    <w:rsid w:val="002E3835"/>
    <w:rsid w:val="002E5FA0"/>
    <w:rsid w:val="002E6F6C"/>
    <w:rsid w:val="002F4E6E"/>
    <w:rsid w:val="002F72EC"/>
    <w:rsid w:val="002F7DFB"/>
    <w:rsid w:val="00306797"/>
    <w:rsid w:val="00313131"/>
    <w:rsid w:val="00317A32"/>
    <w:rsid w:val="00317D63"/>
    <w:rsid w:val="0032168C"/>
    <w:rsid w:val="0032218B"/>
    <w:rsid w:val="00323FD5"/>
    <w:rsid w:val="0032415D"/>
    <w:rsid w:val="00327421"/>
    <w:rsid w:val="00333056"/>
    <w:rsid w:val="0033732B"/>
    <w:rsid w:val="00341E5C"/>
    <w:rsid w:val="00347D31"/>
    <w:rsid w:val="003565C3"/>
    <w:rsid w:val="00362C44"/>
    <w:rsid w:val="003638C8"/>
    <w:rsid w:val="0036691E"/>
    <w:rsid w:val="00366927"/>
    <w:rsid w:val="00376657"/>
    <w:rsid w:val="003769B3"/>
    <w:rsid w:val="00387C4F"/>
    <w:rsid w:val="0039194C"/>
    <w:rsid w:val="00391B8B"/>
    <w:rsid w:val="00391E2A"/>
    <w:rsid w:val="003943E5"/>
    <w:rsid w:val="00396C65"/>
    <w:rsid w:val="003A6D10"/>
    <w:rsid w:val="003B05A6"/>
    <w:rsid w:val="003B6662"/>
    <w:rsid w:val="003C46F7"/>
    <w:rsid w:val="003C51FA"/>
    <w:rsid w:val="003C54EE"/>
    <w:rsid w:val="003C70C3"/>
    <w:rsid w:val="003D125A"/>
    <w:rsid w:val="003D31DB"/>
    <w:rsid w:val="003D5014"/>
    <w:rsid w:val="003E42C4"/>
    <w:rsid w:val="003E5EB8"/>
    <w:rsid w:val="003E681B"/>
    <w:rsid w:val="003F5E33"/>
    <w:rsid w:val="003F69E3"/>
    <w:rsid w:val="004127AE"/>
    <w:rsid w:val="0042096E"/>
    <w:rsid w:val="0042182B"/>
    <w:rsid w:val="00423CF9"/>
    <w:rsid w:val="0042476D"/>
    <w:rsid w:val="00424D36"/>
    <w:rsid w:val="0042735F"/>
    <w:rsid w:val="0043260A"/>
    <w:rsid w:val="00434070"/>
    <w:rsid w:val="00434309"/>
    <w:rsid w:val="0044044B"/>
    <w:rsid w:val="00441A11"/>
    <w:rsid w:val="00442DFB"/>
    <w:rsid w:val="0044340F"/>
    <w:rsid w:val="004447AC"/>
    <w:rsid w:val="00444C81"/>
    <w:rsid w:val="0044549A"/>
    <w:rsid w:val="00450104"/>
    <w:rsid w:val="00464ADB"/>
    <w:rsid w:val="00465A2B"/>
    <w:rsid w:val="00471E4D"/>
    <w:rsid w:val="0047553B"/>
    <w:rsid w:val="00476B2D"/>
    <w:rsid w:val="004774EB"/>
    <w:rsid w:val="004778DF"/>
    <w:rsid w:val="00481E98"/>
    <w:rsid w:val="00482295"/>
    <w:rsid w:val="00482A38"/>
    <w:rsid w:val="00486C5D"/>
    <w:rsid w:val="00487860"/>
    <w:rsid w:val="00494FFA"/>
    <w:rsid w:val="00497595"/>
    <w:rsid w:val="004A0155"/>
    <w:rsid w:val="004A04A0"/>
    <w:rsid w:val="004A0B25"/>
    <w:rsid w:val="004A138E"/>
    <w:rsid w:val="004A2415"/>
    <w:rsid w:val="004A3E93"/>
    <w:rsid w:val="004A5066"/>
    <w:rsid w:val="004B32E1"/>
    <w:rsid w:val="004B3555"/>
    <w:rsid w:val="004B395D"/>
    <w:rsid w:val="004B680B"/>
    <w:rsid w:val="004B6D29"/>
    <w:rsid w:val="004C0700"/>
    <w:rsid w:val="004C110F"/>
    <w:rsid w:val="004C1A7F"/>
    <w:rsid w:val="004D2F53"/>
    <w:rsid w:val="004D58DC"/>
    <w:rsid w:val="004D608C"/>
    <w:rsid w:val="004E1519"/>
    <w:rsid w:val="004E1B99"/>
    <w:rsid w:val="004E6F11"/>
    <w:rsid w:val="004F0195"/>
    <w:rsid w:val="004F082B"/>
    <w:rsid w:val="004F762D"/>
    <w:rsid w:val="004F7781"/>
    <w:rsid w:val="0050236B"/>
    <w:rsid w:val="00504704"/>
    <w:rsid w:val="00504F22"/>
    <w:rsid w:val="00505AA9"/>
    <w:rsid w:val="0050638F"/>
    <w:rsid w:val="00510CF5"/>
    <w:rsid w:val="00511377"/>
    <w:rsid w:val="005159E1"/>
    <w:rsid w:val="005175D2"/>
    <w:rsid w:val="005219F1"/>
    <w:rsid w:val="00522CDB"/>
    <w:rsid w:val="0052663E"/>
    <w:rsid w:val="005329DD"/>
    <w:rsid w:val="00533923"/>
    <w:rsid w:val="00533DFB"/>
    <w:rsid w:val="00535C74"/>
    <w:rsid w:val="00545F25"/>
    <w:rsid w:val="0054693B"/>
    <w:rsid w:val="0055049A"/>
    <w:rsid w:val="0055162B"/>
    <w:rsid w:val="00551733"/>
    <w:rsid w:val="00555E0C"/>
    <w:rsid w:val="0055621E"/>
    <w:rsid w:val="00560384"/>
    <w:rsid w:val="0056078E"/>
    <w:rsid w:val="00560918"/>
    <w:rsid w:val="00561D01"/>
    <w:rsid w:val="00562A45"/>
    <w:rsid w:val="00564D68"/>
    <w:rsid w:val="005662D7"/>
    <w:rsid w:val="0057052B"/>
    <w:rsid w:val="005767E6"/>
    <w:rsid w:val="005774CB"/>
    <w:rsid w:val="00582E85"/>
    <w:rsid w:val="0058524A"/>
    <w:rsid w:val="00590EE9"/>
    <w:rsid w:val="00591542"/>
    <w:rsid w:val="005957CA"/>
    <w:rsid w:val="00597CF1"/>
    <w:rsid w:val="005A2DAD"/>
    <w:rsid w:val="005A6A71"/>
    <w:rsid w:val="005B0AF3"/>
    <w:rsid w:val="005B19E6"/>
    <w:rsid w:val="005B46FF"/>
    <w:rsid w:val="005B63B3"/>
    <w:rsid w:val="005C499A"/>
    <w:rsid w:val="005C4F85"/>
    <w:rsid w:val="005C5E78"/>
    <w:rsid w:val="005C742B"/>
    <w:rsid w:val="005D683E"/>
    <w:rsid w:val="005D7FEF"/>
    <w:rsid w:val="005E28A9"/>
    <w:rsid w:val="005F53A1"/>
    <w:rsid w:val="005F566F"/>
    <w:rsid w:val="005F70D9"/>
    <w:rsid w:val="005F7D19"/>
    <w:rsid w:val="00604DC1"/>
    <w:rsid w:val="0060511E"/>
    <w:rsid w:val="00605939"/>
    <w:rsid w:val="00610B83"/>
    <w:rsid w:val="0061150A"/>
    <w:rsid w:val="006176A5"/>
    <w:rsid w:val="00622391"/>
    <w:rsid w:val="0062286D"/>
    <w:rsid w:val="00624A0A"/>
    <w:rsid w:val="006256F6"/>
    <w:rsid w:val="0063017F"/>
    <w:rsid w:val="00631BB8"/>
    <w:rsid w:val="0063374D"/>
    <w:rsid w:val="00634DDB"/>
    <w:rsid w:val="006351C7"/>
    <w:rsid w:val="00635BB6"/>
    <w:rsid w:val="006463AD"/>
    <w:rsid w:val="006528C6"/>
    <w:rsid w:val="00652C6C"/>
    <w:rsid w:val="00657DA4"/>
    <w:rsid w:val="00657F38"/>
    <w:rsid w:val="0066096B"/>
    <w:rsid w:val="00661EAC"/>
    <w:rsid w:val="00662554"/>
    <w:rsid w:val="00662FB7"/>
    <w:rsid w:val="006651F6"/>
    <w:rsid w:val="00666455"/>
    <w:rsid w:val="0066785B"/>
    <w:rsid w:val="00670061"/>
    <w:rsid w:val="006712EF"/>
    <w:rsid w:val="00672052"/>
    <w:rsid w:val="00672CAD"/>
    <w:rsid w:val="00673340"/>
    <w:rsid w:val="006763A4"/>
    <w:rsid w:val="00683E57"/>
    <w:rsid w:val="00684503"/>
    <w:rsid w:val="00686F11"/>
    <w:rsid w:val="00687C11"/>
    <w:rsid w:val="00696BA2"/>
    <w:rsid w:val="006A1EDD"/>
    <w:rsid w:val="006A39DC"/>
    <w:rsid w:val="006A3BEC"/>
    <w:rsid w:val="006A5A6B"/>
    <w:rsid w:val="006A6217"/>
    <w:rsid w:val="006A73F5"/>
    <w:rsid w:val="006B2A0C"/>
    <w:rsid w:val="006B2B59"/>
    <w:rsid w:val="006B358D"/>
    <w:rsid w:val="006B4080"/>
    <w:rsid w:val="006B420D"/>
    <w:rsid w:val="006B4BF1"/>
    <w:rsid w:val="006C0808"/>
    <w:rsid w:val="006C2D17"/>
    <w:rsid w:val="006C39A4"/>
    <w:rsid w:val="006D16DC"/>
    <w:rsid w:val="006D7ED9"/>
    <w:rsid w:val="006E0F04"/>
    <w:rsid w:val="006E169D"/>
    <w:rsid w:val="006E1940"/>
    <w:rsid w:val="006E2C7A"/>
    <w:rsid w:val="006E3F47"/>
    <w:rsid w:val="006F45A0"/>
    <w:rsid w:val="006F4BA8"/>
    <w:rsid w:val="006F79DE"/>
    <w:rsid w:val="00702584"/>
    <w:rsid w:val="00702B57"/>
    <w:rsid w:val="00705436"/>
    <w:rsid w:val="00710B5F"/>
    <w:rsid w:val="007149BD"/>
    <w:rsid w:val="00715291"/>
    <w:rsid w:val="00717E55"/>
    <w:rsid w:val="007250D0"/>
    <w:rsid w:val="007257D9"/>
    <w:rsid w:val="007304DD"/>
    <w:rsid w:val="00735429"/>
    <w:rsid w:val="00736BEE"/>
    <w:rsid w:val="0074252E"/>
    <w:rsid w:val="00743786"/>
    <w:rsid w:val="00747225"/>
    <w:rsid w:val="007472E3"/>
    <w:rsid w:val="00750D93"/>
    <w:rsid w:val="00752543"/>
    <w:rsid w:val="00753252"/>
    <w:rsid w:val="00760DE0"/>
    <w:rsid w:val="00762298"/>
    <w:rsid w:val="00764507"/>
    <w:rsid w:val="0076659A"/>
    <w:rsid w:val="00770700"/>
    <w:rsid w:val="00774CE2"/>
    <w:rsid w:val="007753CD"/>
    <w:rsid w:val="007754E3"/>
    <w:rsid w:val="0078328D"/>
    <w:rsid w:val="0078440F"/>
    <w:rsid w:val="00784820"/>
    <w:rsid w:val="00786E57"/>
    <w:rsid w:val="007874EB"/>
    <w:rsid w:val="0079069C"/>
    <w:rsid w:val="00791D66"/>
    <w:rsid w:val="007943C5"/>
    <w:rsid w:val="007944B9"/>
    <w:rsid w:val="007950E3"/>
    <w:rsid w:val="00797CB1"/>
    <w:rsid w:val="007A0278"/>
    <w:rsid w:val="007A34F7"/>
    <w:rsid w:val="007A6094"/>
    <w:rsid w:val="007A7DDC"/>
    <w:rsid w:val="007B10C8"/>
    <w:rsid w:val="007B3FD8"/>
    <w:rsid w:val="007B5EF7"/>
    <w:rsid w:val="007B75CE"/>
    <w:rsid w:val="007C01F6"/>
    <w:rsid w:val="007C0D31"/>
    <w:rsid w:val="007C24A6"/>
    <w:rsid w:val="007C3FFD"/>
    <w:rsid w:val="007D0C1D"/>
    <w:rsid w:val="007D3609"/>
    <w:rsid w:val="007D63A1"/>
    <w:rsid w:val="007D687E"/>
    <w:rsid w:val="007D6D4E"/>
    <w:rsid w:val="007E4B64"/>
    <w:rsid w:val="007E6593"/>
    <w:rsid w:val="007E6A70"/>
    <w:rsid w:val="007E6CF9"/>
    <w:rsid w:val="007F26FC"/>
    <w:rsid w:val="007F3B77"/>
    <w:rsid w:val="007F69E4"/>
    <w:rsid w:val="00801B44"/>
    <w:rsid w:val="008022B1"/>
    <w:rsid w:val="00802B3E"/>
    <w:rsid w:val="00805F81"/>
    <w:rsid w:val="008079DE"/>
    <w:rsid w:val="0081089A"/>
    <w:rsid w:val="00811EF2"/>
    <w:rsid w:val="00814017"/>
    <w:rsid w:val="00815D9D"/>
    <w:rsid w:val="00815E61"/>
    <w:rsid w:val="008207FB"/>
    <w:rsid w:val="008223D4"/>
    <w:rsid w:val="008234BD"/>
    <w:rsid w:val="008245DF"/>
    <w:rsid w:val="0082466A"/>
    <w:rsid w:val="008279EE"/>
    <w:rsid w:val="00827E13"/>
    <w:rsid w:val="008339A8"/>
    <w:rsid w:val="00834DCF"/>
    <w:rsid w:val="008408ED"/>
    <w:rsid w:val="0084301D"/>
    <w:rsid w:val="008430C4"/>
    <w:rsid w:val="00843C86"/>
    <w:rsid w:val="0084680F"/>
    <w:rsid w:val="00850108"/>
    <w:rsid w:val="00851C67"/>
    <w:rsid w:val="00852214"/>
    <w:rsid w:val="00852A47"/>
    <w:rsid w:val="00853126"/>
    <w:rsid w:val="008548A9"/>
    <w:rsid w:val="0085769B"/>
    <w:rsid w:val="008618B0"/>
    <w:rsid w:val="00862A5B"/>
    <w:rsid w:val="00863E6E"/>
    <w:rsid w:val="00864450"/>
    <w:rsid w:val="008668A1"/>
    <w:rsid w:val="00872B25"/>
    <w:rsid w:val="00874D67"/>
    <w:rsid w:val="00877452"/>
    <w:rsid w:val="0088060B"/>
    <w:rsid w:val="00886D8C"/>
    <w:rsid w:val="00887EA8"/>
    <w:rsid w:val="008917CA"/>
    <w:rsid w:val="00892F4D"/>
    <w:rsid w:val="00894C16"/>
    <w:rsid w:val="00895573"/>
    <w:rsid w:val="00896B8F"/>
    <w:rsid w:val="008A1DA5"/>
    <w:rsid w:val="008A4C87"/>
    <w:rsid w:val="008A5950"/>
    <w:rsid w:val="008A7F3B"/>
    <w:rsid w:val="008B4BE0"/>
    <w:rsid w:val="008B69F8"/>
    <w:rsid w:val="008B6F22"/>
    <w:rsid w:val="008B7E51"/>
    <w:rsid w:val="008C1A47"/>
    <w:rsid w:val="008C2B5E"/>
    <w:rsid w:val="008C5EF6"/>
    <w:rsid w:val="008C63A8"/>
    <w:rsid w:val="008D1AC2"/>
    <w:rsid w:val="008D61E1"/>
    <w:rsid w:val="008E17DA"/>
    <w:rsid w:val="008E1F0F"/>
    <w:rsid w:val="008E3D48"/>
    <w:rsid w:val="008E5B30"/>
    <w:rsid w:val="008E5ECC"/>
    <w:rsid w:val="008E7015"/>
    <w:rsid w:val="008E742D"/>
    <w:rsid w:val="008F06E2"/>
    <w:rsid w:val="008F454D"/>
    <w:rsid w:val="008F5687"/>
    <w:rsid w:val="00902E10"/>
    <w:rsid w:val="0090344A"/>
    <w:rsid w:val="00910E84"/>
    <w:rsid w:val="00911C83"/>
    <w:rsid w:val="009144A7"/>
    <w:rsid w:val="009145A6"/>
    <w:rsid w:val="009171F0"/>
    <w:rsid w:val="00922581"/>
    <w:rsid w:val="009227FB"/>
    <w:rsid w:val="00924439"/>
    <w:rsid w:val="00925D30"/>
    <w:rsid w:val="009303A5"/>
    <w:rsid w:val="009303D6"/>
    <w:rsid w:val="00931259"/>
    <w:rsid w:val="0093125E"/>
    <w:rsid w:val="009324DC"/>
    <w:rsid w:val="0093577F"/>
    <w:rsid w:val="009357EF"/>
    <w:rsid w:val="009376DE"/>
    <w:rsid w:val="0094067B"/>
    <w:rsid w:val="00942745"/>
    <w:rsid w:val="00942A7F"/>
    <w:rsid w:val="00943499"/>
    <w:rsid w:val="009445A1"/>
    <w:rsid w:val="00945838"/>
    <w:rsid w:val="00946191"/>
    <w:rsid w:val="00946D54"/>
    <w:rsid w:val="00947775"/>
    <w:rsid w:val="00951848"/>
    <w:rsid w:val="00953BD2"/>
    <w:rsid w:val="00955E15"/>
    <w:rsid w:val="00961A01"/>
    <w:rsid w:val="00966264"/>
    <w:rsid w:val="00966F19"/>
    <w:rsid w:val="009723CC"/>
    <w:rsid w:val="00972502"/>
    <w:rsid w:val="0098321A"/>
    <w:rsid w:val="00983E27"/>
    <w:rsid w:val="00986DA3"/>
    <w:rsid w:val="00987EA1"/>
    <w:rsid w:val="00990378"/>
    <w:rsid w:val="0099058A"/>
    <w:rsid w:val="00994996"/>
    <w:rsid w:val="009A1082"/>
    <w:rsid w:val="009A22C1"/>
    <w:rsid w:val="009B6DC2"/>
    <w:rsid w:val="009C08D5"/>
    <w:rsid w:val="009C09E0"/>
    <w:rsid w:val="009C1D72"/>
    <w:rsid w:val="009C648A"/>
    <w:rsid w:val="009D001F"/>
    <w:rsid w:val="009D12DD"/>
    <w:rsid w:val="009D256C"/>
    <w:rsid w:val="009D38DB"/>
    <w:rsid w:val="009D4A92"/>
    <w:rsid w:val="009D678A"/>
    <w:rsid w:val="009D727F"/>
    <w:rsid w:val="009E1168"/>
    <w:rsid w:val="009E3D39"/>
    <w:rsid w:val="009F0681"/>
    <w:rsid w:val="009F40E3"/>
    <w:rsid w:val="009F4A84"/>
    <w:rsid w:val="009F6F69"/>
    <w:rsid w:val="009F74AB"/>
    <w:rsid w:val="00A002F6"/>
    <w:rsid w:val="00A007C8"/>
    <w:rsid w:val="00A02A23"/>
    <w:rsid w:val="00A07F18"/>
    <w:rsid w:val="00A10908"/>
    <w:rsid w:val="00A117C6"/>
    <w:rsid w:val="00A1476A"/>
    <w:rsid w:val="00A175DE"/>
    <w:rsid w:val="00A23053"/>
    <w:rsid w:val="00A25DD5"/>
    <w:rsid w:val="00A2675C"/>
    <w:rsid w:val="00A26BCE"/>
    <w:rsid w:val="00A3145E"/>
    <w:rsid w:val="00A350C5"/>
    <w:rsid w:val="00A37076"/>
    <w:rsid w:val="00A376A4"/>
    <w:rsid w:val="00A40437"/>
    <w:rsid w:val="00A40924"/>
    <w:rsid w:val="00A41304"/>
    <w:rsid w:val="00A43D46"/>
    <w:rsid w:val="00A43DE7"/>
    <w:rsid w:val="00A43ECB"/>
    <w:rsid w:val="00A50736"/>
    <w:rsid w:val="00A512E5"/>
    <w:rsid w:val="00A51C31"/>
    <w:rsid w:val="00A52218"/>
    <w:rsid w:val="00A5378D"/>
    <w:rsid w:val="00A60D8C"/>
    <w:rsid w:val="00A62B6D"/>
    <w:rsid w:val="00A63F0F"/>
    <w:rsid w:val="00A66EC7"/>
    <w:rsid w:val="00A67F5B"/>
    <w:rsid w:val="00A74195"/>
    <w:rsid w:val="00A80740"/>
    <w:rsid w:val="00A843C9"/>
    <w:rsid w:val="00A850FC"/>
    <w:rsid w:val="00A90524"/>
    <w:rsid w:val="00A92D85"/>
    <w:rsid w:val="00A9592E"/>
    <w:rsid w:val="00AA2AB7"/>
    <w:rsid w:val="00AA5361"/>
    <w:rsid w:val="00AA6798"/>
    <w:rsid w:val="00AA689F"/>
    <w:rsid w:val="00AA734C"/>
    <w:rsid w:val="00AA7A1D"/>
    <w:rsid w:val="00AB3A82"/>
    <w:rsid w:val="00AB5B1E"/>
    <w:rsid w:val="00AC4316"/>
    <w:rsid w:val="00AC446E"/>
    <w:rsid w:val="00AC6066"/>
    <w:rsid w:val="00AD2E7D"/>
    <w:rsid w:val="00AD504B"/>
    <w:rsid w:val="00AD5478"/>
    <w:rsid w:val="00AE04C9"/>
    <w:rsid w:val="00AE3690"/>
    <w:rsid w:val="00AE4DEC"/>
    <w:rsid w:val="00AE5A5E"/>
    <w:rsid w:val="00AE79C1"/>
    <w:rsid w:val="00AF11BE"/>
    <w:rsid w:val="00AF2706"/>
    <w:rsid w:val="00AF28A0"/>
    <w:rsid w:val="00AF2EC5"/>
    <w:rsid w:val="00AF33DE"/>
    <w:rsid w:val="00AF4984"/>
    <w:rsid w:val="00AF7B96"/>
    <w:rsid w:val="00B00FB2"/>
    <w:rsid w:val="00B026AC"/>
    <w:rsid w:val="00B02CF8"/>
    <w:rsid w:val="00B03B87"/>
    <w:rsid w:val="00B0679C"/>
    <w:rsid w:val="00B07BEC"/>
    <w:rsid w:val="00B07DC7"/>
    <w:rsid w:val="00B17B0B"/>
    <w:rsid w:val="00B201D4"/>
    <w:rsid w:val="00B20FE1"/>
    <w:rsid w:val="00B21E49"/>
    <w:rsid w:val="00B22E77"/>
    <w:rsid w:val="00B26B9A"/>
    <w:rsid w:val="00B31DB3"/>
    <w:rsid w:val="00B32475"/>
    <w:rsid w:val="00B33E44"/>
    <w:rsid w:val="00B36528"/>
    <w:rsid w:val="00B36885"/>
    <w:rsid w:val="00B423DF"/>
    <w:rsid w:val="00B43AC4"/>
    <w:rsid w:val="00B45EF7"/>
    <w:rsid w:val="00B47A07"/>
    <w:rsid w:val="00B50422"/>
    <w:rsid w:val="00B53527"/>
    <w:rsid w:val="00B5567C"/>
    <w:rsid w:val="00B5570E"/>
    <w:rsid w:val="00B62C3A"/>
    <w:rsid w:val="00B648F0"/>
    <w:rsid w:val="00B64D63"/>
    <w:rsid w:val="00B6507D"/>
    <w:rsid w:val="00B67C2D"/>
    <w:rsid w:val="00B74024"/>
    <w:rsid w:val="00B75EB5"/>
    <w:rsid w:val="00B77632"/>
    <w:rsid w:val="00B829AD"/>
    <w:rsid w:val="00B84344"/>
    <w:rsid w:val="00B8496B"/>
    <w:rsid w:val="00B856FF"/>
    <w:rsid w:val="00BA2A98"/>
    <w:rsid w:val="00BA5039"/>
    <w:rsid w:val="00BA5E16"/>
    <w:rsid w:val="00BB476B"/>
    <w:rsid w:val="00BC0DB2"/>
    <w:rsid w:val="00BC3494"/>
    <w:rsid w:val="00BC4680"/>
    <w:rsid w:val="00BC6CD4"/>
    <w:rsid w:val="00BC724F"/>
    <w:rsid w:val="00BD14A8"/>
    <w:rsid w:val="00BD196B"/>
    <w:rsid w:val="00BD4176"/>
    <w:rsid w:val="00BD705D"/>
    <w:rsid w:val="00BE0EE4"/>
    <w:rsid w:val="00BE4EAB"/>
    <w:rsid w:val="00BE59FD"/>
    <w:rsid w:val="00BF0131"/>
    <w:rsid w:val="00BF087B"/>
    <w:rsid w:val="00BF2142"/>
    <w:rsid w:val="00BF40E4"/>
    <w:rsid w:val="00BF41F5"/>
    <w:rsid w:val="00BF4C86"/>
    <w:rsid w:val="00C03623"/>
    <w:rsid w:val="00C042CF"/>
    <w:rsid w:val="00C10B40"/>
    <w:rsid w:val="00C16AD4"/>
    <w:rsid w:val="00C1708E"/>
    <w:rsid w:val="00C206DA"/>
    <w:rsid w:val="00C20E74"/>
    <w:rsid w:val="00C21B70"/>
    <w:rsid w:val="00C25D8B"/>
    <w:rsid w:val="00C262B6"/>
    <w:rsid w:val="00C26444"/>
    <w:rsid w:val="00C3694F"/>
    <w:rsid w:val="00C36E71"/>
    <w:rsid w:val="00C402A2"/>
    <w:rsid w:val="00C4153A"/>
    <w:rsid w:val="00C42A0C"/>
    <w:rsid w:val="00C43393"/>
    <w:rsid w:val="00C441E4"/>
    <w:rsid w:val="00C47C66"/>
    <w:rsid w:val="00C5547F"/>
    <w:rsid w:val="00C554F0"/>
    <w:rsid w:val="00C55BB3"/>
    <w:rsid w:val="00C60454"/>
    <w:rsid w:val="00C61E79"/>
    <w:rsid w:val="00C6793A"/>
    <w:rsid w:val="00C720E1"/>
    <w:rsid w:val="00C72222"/>
    <w:rsid w:val="00C75556"/>
    <w:rsid w:val="00C76103"/>
    <w:rsid w:val="00C76DFD"/>
    <w:rsid w:val="00C77878"/>
    <w:rsid w:val="00C804B4"/>
    <w:rsid w:val="00C84A11"/>
    <w:rsid w:val="00C84F21"/>
    <w:rsid w:val="00C8543E"/>
    <w:rsid w:val="00CA0CE6"/>
    <w:rsid w:val="00CA3A50"/>
    <w:rsid w:val="00CA40D6"/>
    <w:rsid w:val="00CA43EB"/>
    <w:rsid w:val="00CB6519"/>
    <w:rsid w:val="00CC103D"/>
    <w:rsid w:val="00CC25B5"/>
    <w:rsid w:val="00CC3133"/>
    <w:rsid w:val="00CC7A32"/>
    <w:rsid w:val="00CD0062"/>
    <w:rsid w:val="00CD1B93"/>
    <w:rsid w:val="00CD3808"/>
    <w:rsid w:val="00CD456C"/>
    <w:rsid w:val="00CD573B"/>
    <w:rsid w:val="00CD5F2C"/>
    <w:rsid w:val="00CD616A"/>
    <w:rsid w:val="00CD6AFB"/>
    <w:rsid w:val="00CD766E"/>
    <w:rsid w:val="00CE0529"/>
    <w:rsid w:val="00CE052C"/>
    <w:rsid w:val="00CE0C08"/>
    <w:rsid w:val="00CE1C21"/>
    <w:rsid w:val="00CE1DBC"/>
    <w:rsid w:val="00CE4016"/>
    <w:rsid w:val="00CE5F60"/>
    <w:rsid w:val="00CE6C50"/>
    <w:rsid w:val="00CF3476"/>
    <w:rsid w:val="00CF3814"/>
    <w:rsid w:val="00CF53E2"/>
    <w:rsid w:val="00D01F82"/>
    <w:rsid w:val="00D075A1"/>
    <w:rsid w:val="00D11AD9"/>
    <w:rsid w:val="00D12C40"/>
    <w:rsid w:val="00D13B33"/>
    <w:rsid w:val="00D15708"/>
    <w:rsid w:val="00D160D1"/>
    <w:rsid w:val="00D16B13"/>
    <w:rsid w:val="00D209E5"/>
    <w:rsid w:val="00D2123F"/>
    <w:rsid w:val="00D212DA"/>
    <w:rsid w:val="00D23D2B"/>
    <w:rsid w:val="00D240E2"/>
    <w:rsid w:val="00D24CDF"/>
    <w:rsid w:val="00D24EC3"/>
    <w:rsid w:val="00D27B0D"/>
    <w:rsid w:val="00D308B1"/>
    <w:rsid w:val="00D36E93"/>
    <w:rsid w:val="00D37F09"/>
    <w:rsid w:val="00D40035"/>
    <w:rsid w:val="00D40D18"/>
    <w:rsid w:val="00D44599"/>
    <w:rsid w:val="00D44C18"/>
    <w:rsid w:val="00D4625A"/>
    <w:rsid w:val="00D50AAE"/>
    <w:rsid w:val="00D513D3"/>
    <w:rsid w:val="00D579E2"/>
    <w:rsid w:val="00D61500"/>
    <w:rsid w:val="00D6309D"/>
    <w:rsid w:val="00D75C3C"/>
    <w:rsid w:val="00D76202"/>
    <w:rsid w:val="00D77A59"/>
    <w:rsid w:val="00D80D3B"/>
    <w:rsid w:val="00D81AB0"/>
    <w:rsid w:val="00D81B84"/>
    <w:rsid w:val="00D82E54"/>
    <w:rsid w:val="00D84DCA"/>
    <w:rsid w:val="00D86027"/>
    <w:rsid w:val="00D877FD"/>
    <w:rsid w:val="00D9204E"/>
    <w:rsid w:val="00D95436"/>
    <w:rsid w:val="00D95D76"/>
    <w:rsid w:val="00D96705"/>
    <w:rsid w:val="00D96941"/>
    <w:rsid w:val="00DA0D10"/>
    <w:rsid w:val="00DA0EAC"/>
    <w:rsid w:val="00DA2390"/>
    <w:rsid w:val="00DA537C"/>
    <w:rsid w:val="00DA7BD4"/>
    <w:rsid w:val="00DB0737"/>
    <w:rsid w:val="00DB0DEE"/>
    <w:rsid w:val="00DB2784"/>
    <w:rsid w:val="00DB361F"/>
    <w:rsid w:val="00DB4037"/>
    <w:rsid w:val="00DB5B13"/>
    <w:rsid w:val="00DB61AB"/>
    <w:rsid w:val="00DB61AD"/>
    <w:rsid w:val="00DB7E03"/>
    <w:rsid w:val="00DC3E78"/>
    <w:rsid w:val="00DC4334"/>
    <w:rsid w:val="00DC46C6"/>
    <w:rsid w:val="00DC5F81"/>
    <w:rsid w:val="00DD3CA8"/>
    <w:rsid w:val="00DD718B"/>
    <w:rsid w:val="00DF17E6"/>
    <w:rsid w:val="00DF1C22"/>
    <w:rsid w:val="00DF1C25"/>
    <w:rsid w:val="00DF22D1"/>
    <w:rsid w:val="00DF6345"/>
    <w:rsid w:val="00DF7E8B"/>
    <w:rsid w:val="00E01EA1"/>
    <w:rsid w:val="00E03133"/>
    <w:rsid w:val="00E07585"/>
    <w:rsid w:val="00E1042D"/>
    <w:rsid w:val="00E1056B"/>
    <w:rsid w:val="00E12099"/>
    <w:rsid w:val="00E164DD"/>
    <w:rsid w:val="00E26E58"/>
    <w:rsid w:val="00E308BC"/>
    <w:rsid w:val="00E30A99"/>
    <w:rsid w:val="00E30D93"/>
    <w:rsid w:val="00E33C7C"/>
    <w:rsid w:val="00E34B71"/>
    <w:rsid w:val="00E35F0E"/>
    <w:rsid w:val="00E424E7"/>
    <w:rsid w:val="00E42AE4"/>
    <w:rsid w:val="00E50022"/>
    <w:rsid w:val="00E51606"/>
    <w:rsid w:val="00E51EC4"/>
    <w:rsid w:val="00E54199"/>
    <w:rsid w:val="00E57DCB"/>
    <w:rsid w:val="00E6372E"/>
    <w:rsid w:val="00E64851"/>
    <w:rsid w:val="00E672DB"/>
    <w:rsid w:val="00E74AEE"/>
    <w:rsid w:val="00E74ED3"/>
    <w:rsid w:val="00E77406"/>
    <w:rsid w:val="00E852C2"/>
    <w:rsid w:val="00E9035D"/>
    <w:rsid w:val="00E91063"/>
    <w:rsid w:val="00E91F6B"/>
    <w:rsid w:val="00EA068B"/>
    <w:rsid w:val="00EA1FA8"/>
    <w:rsid w:val="00EA2824"/>
    <w:rsid w:val="00EB2855"/>
    <w:rsid w:val="00EB2F73"/>
    <w:rsid w:val="00EB5681"/>
    <w:rsid w:val="00EB63CB"/>
    <w:rsid w:val="00EB771F"/>
    <w:rsid w:val="00EB7F87"/>
    <w:rsid w:val="00EC2586"/>
    <w:rsid w:val="00EC6A64"/>
    <w:rsid w:val="00ED0130"/>
    <w:rsid w:val="00ED26E8"/>
    <w:rsid w:val="00ED4A42"/>
    <w:rsid w:val="00ED6BB2"/>
    <w:rsid w:val="00ED71DA"/>
    <w:rsid w:val="00EE00CB"/>
    <w:rsid w:val="00EE1F9D"/>
    <w:rsid w:val="00EE2500"/>
    <w:rsid w:val="00EE43E3"/>
    <w:rsid w:val="00EE6735"/>
    <w:rsid w:val="00EE6888"/>
    <w:rsid w:val="00EF5E00"/>
    <w:rsid w:val="00EF70D2"/>
    <w:rsid w:val="00F00FBF"/>
    <w:rsid w:val="00F01424"/>
    <w:rsid w:val="00F13353"/>
    <w:rsid w:val="00F139AC"/>
    <w:rsid w:val="00F17172"/>
    <w:rsid w:val="00F21CA1"/>
    <w:rsid w:val="00F24091"/>
    <w:rsid w:val="00F26AEF"/>
    <w:rsid w:val="00F33D0B"/>
    <w:rsid w:val="00F41D25"/>
    <w:rsid w:val="00F46306"/>
    <w:rsid w:val="00F4726B"/>
    <w:rsid w:val="00F47524"/>
    <w:rsid w:val="00F51D35"/>
    <w:rsid w:val="00F56D29"/>
    <w:rsid w:val="00F604C5"/>
    <w:rsid w:val="00F653AC"/>
    <w:rsid w:val="00F67416"/>
    <w:rsid w:val="00F70767"/>
    <w:rsid w:val="00F74544"/>
    <w:rsid w:val="00F751F0"/>
    <w:rsid w:val="00F8211E"/>
    <w:rsid w:val="00F824F2"/>
    <w:rsid w:val="00F83164"/>
    <w:rsid w:val="00F85263"/>
    <w:rsid w:val="00F86AF9"/>
    <w:rsid w:val="00F908A9"/>
    <w:rsid w:val="00F908B6"/>
    <w:rsid w:val="00F94B2A"/>
    <w:rsid w:val="00F94C4F"/>
    <w:rsid w:val="00F96E80"/>
    <w:rsid w:val="00F97A35"/>
    <w:rsid w:val="00FA17CC"/>
    <w:rsid w:val="00FA31A5"/>
    <w:rsid w:val="00FA3245"/>
    <w:rsid w:val="00FB1023"/>
    <w:rsid w:val="00FB10D4"/>
    <w:rsid w:val="00FB185A"/>
    <w:rsid w:val="00FC2CAD"/>
    <w:rsid w:val="00FC51B9"/>
    <w:rsid w:val="00FC53EA"/>
    <w:rsid w:val="00FC6232"/>
    <w:rsid w:val="00FD2746"/>
    <w:rsid w:val="00FD34CB"/>
    <w:rsid w:val="00FD633C"/>
    <w:rsid w:val="00FE01C6"/>
    <w:rsid w:val="00FE560F"/>
    <w:rsid w:val="00FF592F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1F5C"/>
  <w15:docId w15:val="{98A2381A-0884-46C3-8740-3605908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62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2B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262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62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62B6"/>
    <w:rPr>
      <w:sz w:val="20"/>
      <w:szCs w:val="20"/>
    </w:rPr>
  </w:style>
  <w:style w:type="paragraph" w:customStyle="1" w:styleId="Default">
    <w:name w:val="Default"/>
    <w:rsid w:val="00C26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62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62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62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262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2B6"/>
  </w:style>
  <w:style w:type="paragraph" w:styleId="Textodeglobo">
    <w:name w:val="Balloon Text"/>
    <w:basedOn w:val="Normal"/>
    <w:link w:val="TextodegloboCar"/>
    <w:uiPriority w:val="99"/>
    <w:semiHidden/>
    <w:unhideWhenUsed/>
    <w:rsid w:val="00C2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2B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28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28A9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74AEE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324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15D"/>
  </w:style>
  <w:style w:type="paragraph" w:styleId="NormalWeb">
    <w:name w:val="Normal (Web)"/>
    <w:basedOn w:val="Normal"/>
    <w:uiPriority w:val="99"/>
    <w:unhideWhenUsed/>
    <w:rsid w:val="00DB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98321A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01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f.gob.mx/nota_detalle.php?codigo=5352323&amp;fecha=14/07/20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9B15-28DD-4E86-B1F4-4B21ADF4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1786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Flores Santillan</dc:creator>
  <cp:lastModifiedBy>Karen Beatriz Martinez Munguia</cp:lastModifiedBy>
  <cp:revision>4</cp:revision>
  <cp:lastPrinted>2015-10-16T04:25:00Z</cp:lastPrinted>
  <dcterms:created xsi:type="dcterms:W3CDTF">2015-10-15T19:44:00Z</dcterms:created>
  <dcterms:modified xsi:type="dcterms:W3CDTF">2015-10-16T04:29:00Z</dcterms:modified>
</cp:coreProperties>
</file>