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14:paraId="7F91D585" w14:textId="77777777" w:rsidTr="0068307E">
        <w:trPr>
          <w:trHeight w:val="816"/>
        </w:trPr>
        <w:tc>
          <w:tcPr>
            <w:tcW w:w="3114" w:type="dxa"/>
            <w:shd w:val="clear" w:color="auto" w:fill="DBDBDB" w:themeFill="accent3" w:themeFillTint="66"/>
          </w:tcPr>
          <w:p w14:paraId="7EB05775" w14:textId="77777777" w:rsidR="00501ADF" w:rsidRPr="0068307E" w:rsidRDefault="00501ADF" w:rsidP="00501ADF">
            <w:pPr>
              <w:jc w:val="both"/>
              <w:rPr>
                <w:b/>
                <w:sz w:val="20"/>
              </w:rPr>
            </w:pPr>
            <w:r w:rsidRPr="0068307E">
              <w:rPr>
                <w:b/>
                <w:sz w:val="20"/>
              </w:rPr>
              <w:t>Unidad administrativa:</w:t>
            </w:r>
          </w:p>
          <w:p w14:paraId="4E180D7D" w14:textId="77777777" w:rsidR="0068307E" w:rsidRDefault="0068307E" w:rsidP="00501ADF">
            <w:pPr>
              <w:jc w:val="both"/>
              <w:rPr>
                <w:sz w:val="20"/>
              </w:rPr>
            </w:pPr>
          </w:p>
          <w:p w14:paraId="0BCA5EE3" w14:textId="77777777" w:rsidR="00E84126" w:rsidRPr="0068307E" w:rsidRDefault="00E84126" w:rsidP="00501ADF">
            <w:pPr>
              <w:jc w:val="both"/>
              <w:rPr>
                <w:sz w:val="20"/>
              </w:rPr>
            </w:pPr>
            <w:r>
              <w:rPr>
                <w:sz w:val="20"/>
              </w:rPr>
              <w:t>Unidad de Medios y Contenidos Audiovisuales</w:t>
            </w:r>
          </w:p>
          <w:p w14:paraId="6DA6E236" w14:textId="77777777" w:rsidR="0068307E" w:rsidRPr="0068307E" w:rsidRDefault="0068307E" w:rsidP="00501ADF">
            <w:pPr>
              <w:jc w:val="both"/>
              <w:rPr>
                <w:sz w:val="20"/>
              </w:rPr>
            </w:pPr>
          </w:p>
        </w:tc>
        <w:tc>
          <w:tcPr>
            <w:tcW w:w="5714" w:type="dxa"/>
            <w:gridSpan w:val="2"/>
            <w:shd w:val="clear" w:color="auto" w:fill="DBDBDB" w:themeFill="accent3" w:themeFillTint="66"/>
          </w:tcPr>
          <w:p w14:paraId="364110DA" w14:textId="77777777" w:rsidR="00501ADF" w:rsidRDefault="00501ADF" w:rsidP="00501ADF">
            <w:pPr>
              <w:jc w:val="both"/>
              <w:rPr>
                <w:b/>
                <w:sz w:val="20"/>
              </w:rPr>
            </w:pPr>
            <w:r w:rsidRPr="0068307E">
              <w:rPr>
                <w:b/>
                <w:sz w:val="20"/>
              </w:rPr>
              <w:t>Título del anteproyecto de regulación:</w:t>
            </w:r>
          </w:p>
          <w:p w14:paraId="79304FF0" w14:textId="77777777" w:rsidR="0068307E" w:rsidRDefault="0068307E" w:rsidP="00501ADF">
            <w:pPr>
              <w:jc w:val="both"/>
              <w:rPr>
                <w:b/>
                <w:sz w:val="20"/>
              </w:rPr>
            </w:pPr>
          </w:p>
          <w:p w14:paraId="4D7794BC" w14:textId="77777777" w:rsidR="0068307E" w:rsidRPr="00E84126" w:rsidRDefault="00E84126" w:rsidP="00B252E9">
            <w:pPr>
              <w:suppressAutoHyphens/>
              <w:jc w:val="both"/>
              <w:rPr>
                <w:rFonts w:cs="TimesNewRomanPS-BoldMT"/>
                <w:bCs/>
                <w:color w:val="000000"/>
                <w:sz w:val="20"/>
                <w:szCs w:val="20"/>
              </w:rPr>
            </w:pPr>
            <w:r>
              <w:rPr>
                <w:rFonts w:cs="TimesNewRomanPS-BoldMT"/>
                <w:bCs/>
                <w:color w:val="000000"/>
                <w:sz w:val="20"/>
                <w:szCs w:val="20"/>
              </w:rPr>
              <w:t>M</w:t>
            </w:r>
            <w:r w:rsidRPr="00E84126">
              <w:rPr>
                <w:rFonts w:cs="TimesNewRomanPS-BoldMT"/>
                <w:bCs/>
                <w:color w:val="000000"/>
                <w:sz w:val="20"/>
                <w:szCs w:val="20"/>
              </w:rPr>
              <w:t>odificación a los “</w:t>
            </w:r>
            <w:r>
              <w:rPr>
                <w:rFonts w:cs="TimesNewRomanPS-BoldMT"/>
                <w:bCs/>
                <w:color w:val="000000"/>
                <w:sz w:val="20"/>
                <w:szCs w:val="20"/>
              </w:rPr>
              <w:t>L</w:t>
            </w:r>
            <w:r w:rsidR="002F7AF8">
              <w:rPr>
                <w:sz w:val="20"/>
                <w:szCs w:val="20"/>
              </w:rPr>
              <w:t>ineamientos G</w:t>
            </w:r>
            <w:r w:rsidRPr="00E84126">
              <w:rPr>
                <w:sz w:val="20"/>
                <w:szCs w:val="20"/>
              </w:rPr>
              <w:t>enerales en relación co</w:t>
            </w:r>
            <w:r>
              <w:rPr>
                <w:sz w:val="20"/>
                <w:szCs w:val="20"/>
              </w:rPr>
              <w:t>n lo dispuesto por la fracción I</w:t>
            </w:r>
            <w:r w:rsidRPr="00E84126">
              <w:rPr>
                <w:sz w:val="20"/>
                <w:szCs w:val="20"/>
              </w:rPr>
              <w:t xml:space="preserve"> del artículo </w:t>
            </w:r>
            <w:r>
              <w:rPr>
                <w:sz w:val="20"/>
                <w:szCs w:val="20"/>
              </w:rPr>
              <w:t>O</w:t>
            </w:r>
            <w:r w:rsidRPr="00E84126">
              <w:rPr>
                <w:sz w:val="20"/>
                <w:szCs w:val="20"/>
              </w:rPr>
              <w:t xml:space="preserve">ctavo </w:t>
            </w:r>
            <w:r>
              <w:rPr>
                <w:sz w:val="20"/>
                <w:szCs w:val="20"/>
              </w:rPr>
              <w:t>Transitorio del D</w:t>
            </w:r>
            <w:r w:rsidRPr="00E84126">
              <w:rPr>
                <w:sz w:val="20"/>
                <w:szCs w:val="20"/>
              </w:rPr>
              <w:t>ecreto por el que se r</w:t>
            </w:r>
            <w:bookmarkStart w:id="0" w:name="_GoBack"/>
            <w:bookmarkEnd w:id="0"/>
            <w:r w:rsidRPr="00E84126">
              <w:rPr>
                <w:sz w:val="20"/>
                <w:szCs w:val="20"/>
              </w:rPr>
              <w:t>eforman y adicionan diversas disposiciones de los artículos 6°, 7°,</w:t>
            </w:r>
            <w:r>
              <w:rPr>
                <w:sz w:val="20"/>
                <w:szCs w:val="20"/>
              </w:rPr>
              <w:t xml:space="preserve"> 27, 28, 73, 78, 94 y 105 de la Constitución Política de los Estados Unidos M</w:t>
            </w:r>
            <w:r w:rsidR="00B252E9">
              <w:rPr>
                <w:sz w:val="20"/>
                <w:szCs w:val="20"/>
              </w:rPr>
              <w:t>exicanos, en materia de t</w:t>
            </w:r>
            <w:r w:rsidRPr="00E84126">
              <w:rPr>
                <w:sz w:val="20"/>
                <w:szCs w:val="20"/>
              </w:rPr>
              <w:t>elecomunicaciones</w:t>
            </w:r>
            <w:r w:rsidRPr="00E84126">
              <w:rPr>
                <w:rFonts w:eastAsia="Times New Roman"/>
                <w:kern w:val="1"/>
                <w:sz w:val="20"/>
                <w:szCs w:val="20"/>
                <w:lang w:eastAsia="ar-SA"/>
              </w:rPr>
              <w:t>.”</w:t>
            </w:r>
            <w:r>
              <w:rPr>
                <w:rFonts w:eastAsia="Times New Roman"/>
                <w:kern w:val="1"/>
                <w:sz w:val="20"/>
                <w:szCs w:val="20"/>
                <w:lang w:eastAsia="ar-SA"/>
              </w:rPr>
              <w:t xml:space="preserve"> </w:t>
            </w:r>
          </w:p>
        </w:tc>
      </w:tr>
      <w:tr w:rsidR="0068307E" w14:paraId="099C14BE" w14:textId="77777777" w:rsidTr="0068307E">
        <w:tc>
          <w:tcPr>
            <w:tcW w:w="3114" w:type="dxa"/>
            <w:vMerge w:val="restart"/>
            <w:shd w:val="clear" w:color="auto" w:fill="DBDBDB" w:themeFill="accent3" w:themeFillTint="66"/>
          </w:tcPr>
          <w:p w14:paraId="18B95EBB" w14:textId="77777777" w:rsidR="0068307E" w:rsidRDefault="0068307E" w:rsidP="00501ADF">
            <w:pPr>
              <w:jc w:val="both"/>
              <w:rPr>
                <w:b/>
                <w:sz w:val="20"/>
              </w:rPr>
            </w:pPr>
            <w:r w:rsidRPr="0068307E">
              <w:rPr>
                <w:b/>
                <w:sz w:val="20"/>
              </w:rPr>
              <w:t>Datos de contacto:</w:t>
            </w:r>
          </w:p>
          <w:p w14:paraId="1A73F8E3" w14:textId="77777777" w:rsidR="0068307E" w:rsidRDefault="0068307E" w:rsidP="00501ADF">
            <w:pPr>
              <w:jc w:val="both"/>
              <w:rPr>
                <w:b/>
                <w:sz w:val="20"/>
              </w:rPr>
            </w:pPr>
          </w:p>
          <w:p w14:paraId="6E1FE4D8" w14:textId="77777777" w:rsidR="0068307E" w:rsidRPr="0068307E" w:rsidRDefault="00B252E9" w:rsidP="00501ADF">
            <w:pPr>
              <w:jc w:val="both"/>
              <w:rPr>
                <w:sz w:val="20"/>
              </w:rPr>
            </w:pPr>
            <w:r>
              <w:rPr>
                <w:sz w:val="20"/>
              </w:rPr>
              <w:t>Lic. Assuán Olvera Sandoval</w:t>
            </w:r>
          </w:p>
          <w:p w14:paraId="589B1E24" w14:textId="77777777" w:rsidR="0068307E" w:rsidRDefault="0068307E" w:rsidP="00501ADF">
            <w:pPr>
              <w:jc w:val="both"/>
              <w:rPr>
                <w:sz w:val="20"/>
              </w:rPr>
            </w:pPr>
            <w:r w:rsidRPr="0068307E">
              <w:rPr>
                <w:sz w:val="20"/>
              </w:rPr>
              <w:t>Teléfono: 5015-</w:t>
            </w:r>
            <w:r w:rsidR="00B252E9">
              <w:rPr>
                <w:sz w:val="20"/>
              </w:rPr>
              <w:t>4000</w:t>
            </w:r>
          </w:p>
          <w:p w14:paraId="51E025AA" w14:textId="77777777" w:rsidR="00B252E9" w:rsidRPr="0068307E" w:rsidRDefault="00B252E9" w:rsidP="00501ADF">
            <w:pPr>
              <w:jc w:val="both"/>
              <w:rPr>
                <w:sz w:val="20"/>
              </w:rPr>
            </w:pPr>
            <w:r>
              <w:rPr>
                <w:sz w:val="20"/>
              </w:rPr>
              <w:t>Ext. 4885</w:t>
            </w:r>
          </w:p>
          <w:p w14:paraId="1F11DBC1" w14:textId="77777777" w:rsidR="0068307E" w:rsidRDefault="0068307E" w:rsidP="00501ADF">
            <w:pPr>
              <w:jc w:val="both"/>
              <w:rPr>
                <w:sz w:val="20"/>
              </w:rPr>
            </w:pPr>
            <w:r w:rsidRPr="0068307E">
              <w:rPr>
                <w:sz w:val="20"/>
              </w:rPr>
              <w:t>Correo</w:t>
            </w:r>
            <w:r>
              <w:rPr>
                <w:sz w:val="20"/>
              </w:rPr>
              <w:t xml:space="preserve"> </w:t>
            </w:r>
            <w:r w:rsidRPr="0068307E">
              <w:rPr>
                <w:sz w:val="20"/>
              </w:rPr>
              <w:t>electrónico:</w:t>
            </w:r>
          </w:p>
          <w:p w14:paraId="0B282B4C" w14:textId="77777777" w:rsidR="0068307E" w:rsidRPr="0068307E" w:rsidRDefault="00DC66F1" w:rsidP="00B252E9">
            <w:pPr>
              <w:jc w:val="both"/>
              <w:rPr>
                <w:b/>
                <w:sz w:val="20"/>
              </w:rPr>
            </w:pPr>
            <w:hyperlink r:id="rId7" w:history="1">
              <w:r w:rsidR="00B252E9" w:rsidRPr="00313CD0">
                <w:rPr>
                  <w:rStyle w:val="Hipervnculo"/>
                  <w:sz w:val="20"/>
                </w:rPr>
                <w:t>assuan.olvera@ift.org.mx</w:t>
              </w:r>
            </w:hyperlink>
            <w:r w:rsidR="0068307E">
              <w:rPr>
                <w:sz w:val="20"/>
              </w:rPr>
              <w:t xml:space="preserve"> </w:t>
            </w:r>
          </w:p>
        </w:tc>
        <w:tc>
          <w:tcPr>
            <w:tcW w:w="3402" w:type="dxa"/>
            <w:shd w:val="clear" w:color="auto" w:fill="DBDBDB" w:themeFill="accent3" w:themeFillTint="66"/>
          </w:tcPr>
          <w:p w14:paraId="1F11AE38" w14:textId="77777777" w:rsidR="0068307E" w:rsidRDefault="0068307E" w:rsidP="008A48B0">
            <w:pPr>
              <w:jc w:val="both"/>
              <w:rPr>
                <w:b/>
                <w:sz w:val="20"/>
              </w:rPr>
            </w:pPr>
            <w:r w:rsidRPr="0068307E">
              <w:rPr>
                <w:b/>
                <w:sz w:val="20"/>
              </w:rPr>
              <w:t>Fecha de elaboración:</w:t>
            </w:r>
          </w:p>
          <w:p w14:paraId="0455693F" w14:textId="77777777" w:rsidR="0068307E" w:rsidRPr="0068307E" w:rsidRDefault="0068307E" w:rsidP="008A48B0">
            <w:pPr>
              <w:jc w:val="both"/>
              <w:rPr>
                <w:b/>
                <w:sz w:val="20"/>
              </w:rPr>
            </w:pPr>
          </w:p>
        </w:tc>
        <w:tc>
          <w:tcPr>
            <w:tcW w:w="2312" w:type="dxa"/>
            <w:shd w:val="clear" w:color="auto" w:fill="DBDBDB" w:themeFill="accent3" w:themeFillTint="66"/>
          </w:tcPr>
          <w:p w14:paraId="5BB353A0" w14:textId="38074EFD" w:rsidR="0068307E" w:rsidRPr="00B252E9" w:rsidRDefault="006F1506" w:rsidP="005C6EAD">
            <w:pPr>
              <w:jc w:val="center"/>
              <w:rPr>
                <w:sz w:val="20"/>
              </w:rPr>
            </w:pPr>
            <w:r>
              <w:rPr>
                <w:sz w:val="20"/>
              </w:rPr>
              <w:t>18</w:t>
            </w:r>
            <w:r w:rsidR="002F7AF8" w:rsidRPr="00B252E9">
              <w:rPr>
                <w:sz w:val="20"/>
              </w:rPr>
              <w:t>/</w:t>
            </w:r>
            <w:r>
              <w:rPr>
                <w:sz w:val="20"/>
              </w:rPr>
              <w:t>12</w:t>
            </w:r>
            <w:r w:rsidR="002F7AF8" w:rsidRPr="00B252E9">
              <w:rPr>
                <w:sz w:val="20"/>
              </w:rPr>
              <w:t>/2015</w:t>
            </w:r>
          </w:p>
        </w:tc>
      </w:tr>
      <w:tr w:rsidR="0068307E" w14:paraId="2526FA49" w14:textId="77777777" w:rsidTr="0068307E">
        <w:trPr>
          <w:trHeight w:val="390"/>
        </w:trPr>
        <w:tc>
          <w:tcPr>
            <w:tcW w:w="3114" w:type="dxa"/>
            <w:vMerge/>
            <w:shd w:val="clear" w:color="auto" w:fill="DBDBDB" w:themeFill="accent3" w:themeFillTint="66"/>
          </w:tcPr>
          <w:p w14:paraId="43D47AEA" w14:textId="77777777" w:rsidR="0068307E" w:rsidRPr="0068307E" w:rsidRDefault="0068307E" w:rsidP="00501ADF">
            <w:pPr>
              <w:jc w:val="both"/>
              <w:rPr>
                <w:sz w:val="20"/>
              </w:rPr>
            </w:pPr>
          </w:p>
        </w:tc>
        <w:tc>
          <w:tcPr>
            <w:tcW w:w="3402" w:type="dxa"/>
            <w:shd w:val="clear" w:color="auto" w:fill="DBDBDB" w:themeFill="accent3" w:themeFillTint="66"/>
          </w:tcPr>
          <w:p w14:paraId="497C3E32" w14:textId="77777777"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14:paraId="3E6AE02D" w14:textId="17A8DAF0" w:rsidR="0068307E" w:rsidRPr="00B252E9" w:rsidRDefault="005C6EAD" w:rsidP="005C6EAD">
            <w:pPr>
              <w:jc w:val="center"/>
              <w:rPr>
                <w:sz w:val="20"/>
              </w:rPr>
            </w:pPr>
            <w:r>
              <w:rPr>
                <w:sz w:val="20"/>
              </w:rPr>
              <w:t>16</w:t>
            </w:r>
            <w:r w:rsidR="0068307E" w:rsidRPr="00B252E9">
              <w:rPr>
                <w:sz w:val="20"/>
              </w:rPr>
              <w:t>/</w:t>
            </w:r>
            <w:r>
              <w:rPr>
                <w:sz w:val="20"/>
              </w:rPr>
              <w:t>10</w:t>
            </w:r>
            <w:r w:rsidR="0068307E" w:rsidRPr="00B252E9">
              <w:rPr>
                <w:sz w:val="20"/>
              </w:rPr>
              <w:t>/</w:t>
            </w:r>
            <w:r>
              <w:rPr>
                <w:sz w:val="20"/>
              </w:rPr>
              <w:t>2015</w:t>
            </w:r>
          </w:p>
        </w:tc>
      </w:tr>
      <w:tr w:rsidR="0068307E" w14:paraId="7A97CC37" w14:textId="77777777" w:rsidTr="0068307E">
        <w:tc>
          <w:tcPr>
            <w:tcW w:w="3114" w:type="dxa"/>
            <w:vMerge/>
            <w:shd w:val="clear" w:color="auto" w:fill="DBDBDB" w:themeFill="accent3" w:themeFillTint="66"/>
          </w:tcPr>
          <w:p w14:paraId="635C977D" w14:textId="77777777" w:rsidR="0068307E" w:rsidRPr="0068307E" w:rsidRDefault="0068307E" w:rsidP="00501ADF">
            <w:pPr>
              <w:jc w:val="both"/>
              <w:rPr>
                <w:sz w:val="20"/>
              </w:rPr>
            </w:pPr>
          </w:p>
        </w:tc>
        <w:tc>
          <w:tcPr>
            <w:tcW w:w="3402" w:type="dxa"/>
            <w:shd w:val="clear" w:color="auto" w:fill="DBDBDB" w:themeFill="accent3" w:themeFillTint="66"/>
          </w:tcPr>
          <w:p w14:paraId="722C6F7F" w14:textId="77777777"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14:paraId="2DBE5A37" w14:textId="65CE9BA7" w:rsidR="0068307E" w:rsidRPr="00B252E9" w:rsidRDefault="005C6EAD" w:rsidP="005C6EAD">
            <w:pPr>
              <w:jc w:val="center"/>
              <w:rPr>
                <w:sz w:val="20"/>
              </w:rPr>
            </w:pPr>
            <w:r>
              <w:rPr>
                <w:sz w:val="20"/>
              </w:rPr>
              <w:t>30</w:t>
            </w:r>
            <w:r w:rsidR="0068307E" w:rsidRPr="00B252E9">
              <w:rPr>
                <w:sz w:val="20"/>
              </w:rPr>
              <w:t>/</w:t>
            </w:r>
            <w:r>
              <w:rPr>
                <w:sz w:val="20"/>
              </w:rPr>
              <w:t>10</w:t>
            </w:r>
            <w:r w:rsidR="0068307E" w:rsidRPr="00B252E9">
              <w:rPr>
                <w:sz w:val="20"/>
              </w:rPr>
              <w:t>/</w:t>
            </w:r>
            <w:r>
              <w:rPr>
                <w:sz w:val="20"/>
              </w:rPr>
              <w:t>2015</w:t>
            </w:r>
          </w:p>
        </w:tc>
      </w:tr>
    </w:tbl>
    <w:p w14:paraId="2C824AD3" w14:textId="77777777" w:rsidR="00501ADF" w:rsidRDefault="00501ADF" w:rsidP="00501ADF">
      <w:pPr>
        <w:jc w:val="both"/>
      </w:pPr>
    </w:p>
    <w:p w14:paraId="1D7D4969" w14:textId="77777777"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6080B" w14:paraId="072F7947" w14:textId="77777777" w:rsidTr="008A48B0">
        <w:tc>
          <w:tcPr>
            <w:tcW w:w="8828" w:type="dxa"/>
            <w:shd w:val="clear" w:color="auto" w:fill="FFFFFF" w:themeFill="background1"/>
          </w:tcPr>
          <w:p w14:paraId="6A7602EE" w14:textId="77777777" w:rsidR="001932FC" w:rsidRDefault="001932FC" w:rsidP="008A48B0">
            <w:pPr>
              <w:shd w:val="clear" w:color="auto" w:fill="FFFFFF" w:themeFill="background1"/>
              <w:jc w:val="both"/>
              <w:rPr>
                <w:sz w:val="20"/>
                <w:szCs w:val="20"/>
              </w:rPr>
            </w:pPr>
            <w:r w:rsidRPr="00E6080B">
              <w:rPr>
                <w:sz w:val="20"/>
                <w:szCs w:val="20"/>
              </w:rPr>
              <w:t>1.</w:t>
            </w:r>
            <w:r w:rsidR="00E6080B">
              <w:rPr>
                <w:sz w:val="20"/>
                <w:szCs w:val="20"/>
              </w:rPr>
              <w:t>-</w:t>
            </w:r>
            <w:r w:rsidRPr="00E6080B">
              <w:rPr>
                <w:sz w:val="20"/>
                <w:szCs w:val="20"/>
              </w:rPr>
              <w:t xml:space="preserve"> </w:t>
            </w:r>
            <w:r w:rsidR="00D221B5">
              <w:rPr>
                <w:sz w:val="20"/>
                <w:szCs w:val="20"/>
              </w:rPr>
              <w:t>Explique brevemente en qué consiste el anteproyecto de regulación propuesto así como sus objetivos generales</w:t>
            </w:r>
            <w:r w:rsidRPr="00E6080B">
              <w:rPr>
                <w:sz w:val="20"/>
                <w:szCs w:val="20"/>
              </w:rPr>
              <w:t>:</w:t>
            </w:r>
          </w:p>
          <w:p w14:paraId="4C5B50BB" w14:textId="77777777" w:rsidR="00E84126" w:rsidRDefault="00E84126" w:rsidP="008A48B0">
            <w:pPr>
              <w:shd w:val="clear" w:color="auto" w:fill="FFFFFF" w:themeFill="background1"/>
              <w:jc w:val="both"/>
              <w:rPr>
                <w:sz w:val="20"/>
                <w:szCs w:val="20"/>
              </w:rPr>
            </w:pPr>
          </w:p>
          <w:p w14:paraId="69A5CB40" w14:textId="77777777" w:rsidR="005E4C74" w:rsidRDefault="005E4C74" w:rsidP="005E4C74">
            <w:pPr>
              <w:shd w:val="clear" w:color="auto" w:fill="FFFFFF" w:themeFill="background1"/>
              <w:jc w:val="both"/>
              <w:rPr>
                <w:sz w:val="20"/>
              </w:rPr>
            </w:pPr>
            <w:r>
              <w:rPr>
                <w:sz w:val="20"/>
              </w:rPr>
              <w:t>El 27 de febrero de 2014, se publicaron en el DOF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(Lineamientos).</w:t>
            </w:r>
          </w:p>
          <w:p w14:paraId="1A941170" w14:textId="18733ACE" w:rsidR="00B252E9" w:rsidRPr="00E6080B" w:rsidRDefault="005E4C74" w:rsidP="005E4C74">
            <w:pPr>
              <w:shd w:val="clear" w:color="auto" w:fill="FFFFFF" w:themeFill="background1"/>
              <w:jc w:val="both"/>
              <w:rPr>
                <w:sz w:val="20"/>
                <w:szCs w:val="20"/>
              </w:rPr>
            </w:pPr>
            <w:r w:rsidRPr="00E6080B">
              <w:rPr>
                <w:sz w:val="20"/>
                <w:szCs w:val="20"/>
              </w:rPr>
              <w:t xml:space="preserve"> </w:t>
            </w:r>
          </w:p>
          <w:p w14:paraId="3D6DACFC" w14:textId="63FD97E1" w:rsidR="00E84126" w:rsidRDefault="00E84126" w:rsidP="00E84126">
            <w:pPr>
              <w:suppressAutoHyphens/>
              <w:jc w:val="both"/>
              <w:rPr>
                <w:kern w:val="1"/>
                <w:sz w:val="20"/>
                <w:szCs w:val="20"/>
                <w:lang w:val="es-ES" w:eastAsia="ar-SA"/>
              </w:rPr>
            </w:pPr>
            <w:r w:rsidRPr="00E84126">
              <w:rPr>
                <w:kern w:val="1"/>
                <w:sz w:val="20"/>
                <w:szCs w:val="20"/>
                <w:lang w:val="es-ES" w:eastAsia="ar-SA"/>
              </w:rPr>
              <w:t xml:space="preserve">El 14 de julio de 2014 se publicó el </w:t>
            </w:r>
            <w:r w:rsidR="00822A86">
              <w:rPr>
                <w:kern w:val="1"/>
                <w:sz w:val="20"/>
                <w:szCs w:val="20"/>
                <w:lang w:val="es-ES" w:eastAsia="ar-SA"/>
              </w:rPr>
              <w:t>“</w:t>
            </w:r>
            <w:r w:rsidR="00822A86">
              <w:rPr>
                <w:sz w:val="20"/>
              </w:rPr>
              <w:t>Decreto por el que se expiden</w:t>
            </w:r>
            <w:r w:rsidR="00422E92" w:rsidRPr="00E84126">
              <w:rPr>
                <w:sz w:val="20"/>
              </w:rPr>
              <w:t xml:space="preserve"> la Ley Federal de Telecomunicaciones y Radiodifusión, y la Ley del Sistema Público de Radiodifusión del Estado Mexicano; y se reforman, adicionan y derogan diversas disposiciones en materia de telecomunicaciones y radiodifusión</w:t>
            </w:r>
            <w:r w:rsidR="00822A86">
              <w:rPr>
                <w:sz w:val="20"/>
              </w:rPr>
              <w:t>”</w:t>
            </w:r>
            <w:r w:rsidRPr="00E84126">
              <w:rPr>
                <w:kern w:val="1"/>
                <w:sz w:val="20"/>
                <w:szCs w:val="20"/>
                <w:lang w:val="es-ES" w:eastAsia="ar-SA"/>
              </w:rPr>
              <w:t xml:space="preserve">, mismo que entró en vigor el 13 de agosto del mismo año, provocando la necesidad y conveniencia de efectuar </w:t>
            </w:r>
            <w:r w:rsidR="002F7AF8">
              <w:rPr>
                <w:kern w:val="1"/>
                <w:sz w:val="20"/>
                <w:szCs w:val="20"/>
                <w:lang w:val="es-ES" w:eastAsia="ar-SA"/>
              </w:rPr>
              <w:t>modificaciones</w:t>
            </w:r>
            <w:r w:rsidRPr="00E84126">
              <w:rPr>
                <w:kern w:val="1"/>
                <w:sz w:val="20"/>
                <w:szCs w:val="20"/>
                <w:lang w:val="es-ES" w:eastAsia="ar-SA"/>
              </w:rPr>
              <w:t xml:space="preserve"> en los Lineamientos.</w:t>
            </w:r>
          </w:p>
          <w:p w14:paraId="4236441D" w14:textId="77777777" w:rsidR="005C6EAD" w:rsidRDefault="005C6EAD" w:rsidP="00E84126">
            <w:pPr>
              <w:suppressAutoHyphens/>
              <w:jc w:val="both"/>
              <w:rPr>
                <w:kern w:val="1"/>
                <w:sz w:val="20"/>
                <w:szCs w:val="20"/>
                <w:lang w:val="es-ES" w:eastAsia="ar-SA"/>
              </w:rPr>
            </w:pPr>
          </w:p>
          <w:p w14:paraId="5285560A" w14:textId="77777777" w:rsidR="005C6EAD" w:rsidRPr="005C6EAD" w:rsidRDefault="005C6EAD" w:rsidP="005C6EAD">
            <w:pPr>
              <w:suppressAutoHyphens/>
              <w:jc w:val="both"/>
              <w:rPr>
                <w:sz w:val="20"/>
              </w:rPr>
            </w:pPr>
            <w:r w:rsidRPr="005C6EAD">
              <w:rPr>
                <w:sz w:val="20"/>
              </w:rPr>
              <w:t>El 26 de noviembre de 2014, mediante acuerdo P/IFT/261114/378 el Pleno del Instituto aprobó someter a consulta pública el anteproyecto de modificación a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(Acuerdo de Consulta),y determinó que la consulta pública se realizaría por un periodo de diez días hábiles contados a partir del día hábil siguiente de su publicación en el portal de internet del Instituto, lo que transcurrió entre el 1 al 12 de diciembre de 2014 de conformidad con los artículos 15 fracción I y 51 de la LFTR;</w:t>
            </w:r>
          </w:p>
          <w:p w14:paraId="6042ADCC" w14:textId="77777777" w:rsidR="005C6EAD" w:rsidRPr="005C6EAD" w:rsidRDefault="005C6EAD" w:rsidP="005C6EAD">
            <w:pPr>
              <w:suppressAutoHyphens/>
              <w:jc w:val="both"/>
              <w:rPr>
                <w:sz w:val="20"/>
              </w:rPr>
            </w:pPr>
          </w:p>
          <w:p w14:paraId="79126816" w14:textId="77777777" w:rsidR="005C6EAD" w:rsidRPr="005C6EAD" w:rsidRDefault="005C6EAD" w:rsidP="005C6EAD">
            <w:pPr>
              <w:suppressAutoHyphens/>
              <w:jc w:val="both"/>
              <w:rPr>
                <w:sz w:val="20"/>
              </w:rPr>
            </w:pPr>
            <w:r w:rsidRPr="005C6EAD">
              <w:rPr>
                <w:sz w:val="20"/>
              </w:rPr>
              <w:t>Con motivo de la consulta pública señalada en el numeral anterior y en atención a los comentarios recibidos, se hicieron diversas adecuaciones al anteproyecto de modificación a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p>
          <w:p w14:paraId="44CD5809" w14:textId="77777777" w:rsidR="005C6EAD" w:rsidRPr="005C6EAD" w:rsidRDefault="005C6EAD" w:rsidP="005C6EAD">
            <w:pPr>
              <w:suppressAutoHyphens/>
              <w:jc w:val="both"/>
              <w:rPr>
                <w:sz w:val="20"/>
              </w:rPr>
            </w:pPr>
          </w:p>
          <w:p w14:paraId="19611577" w14:textId="77777777" w:rsidR="005C6EAD" w:rsidRDefault="005C6EAD" w:rsidP="005C6EAD">
            <w:pPr>
              <w:suppressAutoHyphens/>
              <w:jc w:val="both"/>
              <w:rPr>
                <w:sz w:val="20"/>
              </w:rPr>
            </w:pPr>
            <w:r w:rsidRPr="005C6EAD">
              <w:rPr>
                <w:sz w:val="20"/>
              </w:rPr>
              <w:lastRenderedPageBreak/>
              <w:t>El 6 de febrero de 2015, se publicó en el DOF el “ACUERDO POR EL QUE EL PLENO DEL INSTITUTO FEDERAL DE TELECOMUNICACIONES MODIFICA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14:paraId="3EAAA9BF" w14:textId="77777777" w:rsidR="005C6EAD" w:rsidRDefault="005C6EAD" w:rsidP="005C6EAD">
            <w:pPr>
              <w:suppressAutoHyphens/>
              <w:jc w:val="both"/>
              <w:rPr>
                <w:sz w:val="20"/>
              </w:rPr>
            </w:pPr>
          </w:p>
          <w:p w14:paraId="6016C48D" w14:textId="676F92B4" w:rsidR="005C6EAD" w:rsidRPr="005C6EAD" w:rsidRDefault="005C6EAD" w:rsidP="005C6EAD">
            <w:pPr>
              <w:suppressAutoHyphens/>
              <w:jc w:val="both"/>
              <w:rPr>
                <w:sz w:val="20"/>
              </w:rPr>
            </w:pPr>
            <w:r>
              <w:rPr>
                <w:sz w:val="20"/>
              </w:rPr>
              <w:t>En ese marco de antecedentes, e</w:t>
            </w:r>
            <w:r w:rsidRPr="005C6EAD">
              <w:rPr>
                <w:sz w:val="20"/>
              </w:rPr>
              <w:t xml:space="preserve">l Instituto ha tenido conocimiento de la existencia de dudas por lo que hace a la retransmisión de “señales duplicadas” en términos del artículo 10 de los Lineamientos, es decir, se han recibido comentarios respecto a cuál es la señal que concesionarios de televisión restringida deben retransmitir en el supuesto mencionado. </w:t>
            </w:r>
          </w:p>
          <w:p w14:paraId="647F520D" w14:textId="77777777" w:rsidR="005C6EAD" w:rsidRPr="005C6EAD" w:rsidRDefault="005C6EAD" w:rsidP="005C6EAD">
            <w:pPr>
              <w:suppressAutoHyphens/>
              <w:jc w:val="both"/>
              <w:rPr>
                <w:sz w:val="20"/>
              </w:rPr>
            </w:pPr>
          </w:p>
          <w:p w14:paraId="037BAE18" w14:textId="76A0797D" w:rsidR="005C6EAD" w:rsidRPr="005C6EAD" w:rsidRDefault="005C6EAD" w:rsidP="005C6EAD">
            <w:pPr>
              <w:suppressAutoHyphens/>
              <w:jc w:val="both"/>
              <w:rPr>
                <w:sz w:val="20"/>
              </w:rPr>
            </w:pPr>
            <w:r w:rsidRPr="005C6EAD">
              <w:rPr>
                <w:sz w:val="20"/>
              </w:rPr>
              <w:t xml:space="preserve">Derivado de lo anterior, se </w:t>
            </w:r>
            <w:r>
              <w:rPr>
                <w:sz w:val="20"/>
              </w:rPr>
              <w:t>torna</w:t>
            </w:r>
            <w:r w:rsidRPr="005C6EAD">
              <w:rPr>
                <w:sz w:val="20"/>
              </w:rPr>
              <w:t xml:space="preserve"> necesario someter a consulta pública la adición de un segundo párrafo al artículo 10 de los Lineamientos a efecto de que se aclare que en caso de duplicidad de señales deberá privilegiarse la retransmisión de la señal que beneficie y fomente la pertenencia a la localidad correspondiente, en concordancia con el artículo 249 de la LFTR, lo cual también resulta conveniente para la población que podrá recibir contenidos que son producidos y programados pensando en sus necesidades específicas, incluyendo avisos de protección civil y desastres naturales, lo </w:t>
            </w:r>
            <w:r>
              <w:rPr>
                <w:sz w:val="20"/>
              </w:rPr>
              <w:t>que</w:t>
            </w:r>
            <w:r w:rsidRPr="005C6EAD">
              <w:rPr>
                <w:sz w:val="20"/>
              </w:rPr>
              <w:t xml:space="preserve"> puede implicar una diferencia significativa para actuar eficazmente en dichos casos. </w:t>
            </w:r>
          </w:p>
          <w:p w14:paraId="3AD27B60" w14:textId="77777777" w:rsidR="005C6EAD" w:rsidRPr="005C6EAD" w:rsidRDefault="005C6EAD" w:rsidP="005C6EAD">
            <w:pPr>
              <w:suppressAutoHyphens/>
              <w:jc w:val="both"/>
              <w:rPr>
                <w:sz w:val="20"/>
              </w:rPr>
            </w:pPr>
          </w:p>
          <w:p w14:paraId="37D3F59B" w14:textId="77777777" w:rsidR="005C6EAD" w:rsidRPr="005C6EAD" w:rsidRDefault="005C6EAD" w:rsidP="005C6EAD">
            <w:pPr>
              <w:suppressAutoHyphens/>
              <w:jc w:val="both"/>
              <w:rPr>
                <w:sz w:val="20"/>
              </w:rPr>
            </w:pPr>
            <w:r w:rsidRPr="005C6EAD">
              <w:rPr>
                <w:sz w:val="20"/>
              </w:rPr>
              <w:t>Por otra parte, también resulta conveniente modificar el contenido de los párrafos segundo y tercero del artículo 12 de los Lineamientos para efectos de no realizar un listado de Instituciones Públicas Federales (</w:t>
            </w:r>
            <w:proofErr w:type="spellStart"/>
            <w:r w:rsidRPr="005C6EAD">
              <w:rPr>
                <w:sz w:val="20"/>
              </w:rPr>
              <w:t>IPF</w:t>
            </w:r>
            <w:proofErr w:type="spellEnd"/>
            <w:r w:rsidRPr="005C6EAD">
              <w:rPr>
                <w:sz w:val="20"/>
              </w:rPr>
              <w:t>) que cuentan con señales radiodifundidas, ya que ello puede generar confusiones en cuanto a la existencia de las mismas.</w:t>
            </w:r>
          </w:p>
          <w:p w14:paraId="59820C14" w14:textId="77777777" w:rsidR="005C6EAD" w:rsidRPr="005C6EAD" w:rsidRDefault="005C6EAD" w:rsidP="005C6EAD">
            <w:pPr>
              <w:suppressAutoHyphens/>
              <w:jc w:val="both"/>
              <w:rPr>
                <w:sz w:val="20"/>
              </w:rPr>
            </w:pPr>
          </w:p>
          <w:p w14:paraId="0B6E07B2" w14:textId="77777777" w:rsidR="001932FC" w:rsidRDefault="005C6EAD" w:rsidP="00E84126">
            <w:pPr>
              <w:suppressAutoHyphens/>
              <w:jc w:val="both"/>
              <w:rPr>
                <w:sz w:val="20"/>
              </w:rPr>
            </w:pPr>
            <w:r w:rsidRPr="005C6EAD">
              <w:rPr>
                <w:sz w:val="20"/>
              </w:rPr>
              <w:t xml:space="preserve">Esto es, si bien es cierto que el propio artículo advierte que las </w:t>
            </w:r>
            <w:proofErr w:type="spellStart"/>
            <w:r w:rsidRPr="005C6EAD">
              <w:rPr>
                <w:sz w:val="20"/>
              </w:rPr>
              <w:t>IPF</w:t>
            </w:r>
            <w:proofErr w:type="spellEnd"/>
            <w:r w:rsidRPr="005C6EAD">
              <w:rPr>
                <w:sz w:val="20"/>
              </w:rPr>
              <w:t xml:space="preserve"> tienen dicha característica por su propia naturaleza jurídica, puede generarse confusión en la población y en concesionarios en cuanto a que dicha lista es limitativa, lo cual es contrario a la realidad, pues independientemente de la longitud de dicho listado, pueden incorporarse </w:t>
            </w:r>
            <w:proofErr w:type="spellStart"/>
            <w:r w:rsidRPr="005C6EAD">
              <w:rPr>
                <w:sz w:val="20"/>
              </w:rPr>
              <w:t>IPF</w:t>
            </w:r>
            <w:proofErr w:type="spellEnd"/>
            <w:r w:rsidRPr="005C6EAD">
              <w:rPr>
                <w:sz w:val="20"/>
              </w:rPr>
              <w:t xml:space="preserve"> para su retransmisión, como lo es ho</w:t>
            </w:r>
            <w:r>
              <w:rPr>
                <w:sz w:val="20"/>
              </w:rPr>
              <w:t>y en día el Canal del Congreso.</w:t>
            </w:r>
          </w:p>
          <w:p w14:paraId="1729EB98" w14:textId="77777777" w:rsidR="006F1506" w:rsidRDefault="006F1506" w:rsidP="00E84126">
            <w:pPr>
              <w:suppressAutoHyphens/>
              <w:jc w:val="both"/>
              <w:rPr>
                <w:sz w:val="20"/>
              </w:rPr>
            </w:pPr>
          </w:p>
          <w:p w14:paraId="33921B56" w14:textId="2120809E" w:rsidR="006F1506" w:rsidRPr="005C6EAD" w:rsidRDefault="006F1506" w:rsidP="00E84126">
            <w:pPr>
              <w:suppressAutoHyphens/>
              <w:jc w:val="both"/>
              <w:rPr>
                <w:sz w:val="20"/>
              </w:rPr>
            </w:pPr>
            <w:r>
              <w:rPr>
                <w:sz w:val="20"/>
              </w:rPr>
              <w:t>Finalmente, derivado de la consulta pública realizada al respecto, se hizo ver a este Instituto la conveniencia de considerar dentro de los Lineamientos una definición d</w:t>
            </w:r>
            <w:r w:rsidR="00EA1C6B">
              <w:rPr>
                <w:sz w:val="20"/>
              </w:rPr>
              <w:t>e Institución Pública Federal, y</w:t>
            </w:r>
            <w:r>
              <w:rPr>
                <w:sz w:val="20"/>
              </w:rPr>
              <w:t xml:space="preserve"> de incluir un plazo para que los concesionarios de televisión restringida lleven a cabo la retransmisión material de señales radiodifundidas nuevas, lo cual incluso aligera la carga regulatoria al re</w:t>
            </w:r>
            <w:r w:rsidR="00EA1C6B">
              <w:rPr>
                <w:sz w:val="20"/>
              </w:rPr>
              <w:t>specto, ya que con anterioridad</w:t>
            </w:r>
            <w:r>
              <w:rPr>
                <w:sz w:val="20"/>
              </w:rPr>
              <w:t xml:space="preserve"> dichos concesionarios se encontraban obligados a realizar dicha retransmisión de manera inmediata en cuanto el radiodifusor comenzara a operar.</w:t>
            </w:r>
          </w:p>
        </w:tc>
      </w:tr>
    </w:tbl>
    <w:p w14:paraId="434C53C3" w14:textId="77777777" w:rsidR="001932FC" w:rsidRDefault="001932FC" w:rsidP="001932FC">
      <w:pPr>
        <w:jc w:val="both"/>
      </w:pPr>
    </w:p>
    <w:p w14:paraId="623637CE" w14:textId="77777777" w:rsidR="001932FC" w:rsidRDefault="001932FC" w:rsidP="00A1622C">
      <w:pPr>
        <w:shd w:val="clear" w:color="auto" w:fill="A8D08D" w:themeFill="accent6" w:themeFillTint="99"/>
        <w:jc w:val="both"/>
      </w:pPr>
      <w:r>
        <w:t xml:space="preserve">II. </w:t>
      </w:r>
      <w:r w:rsidR="00E21B49">
        <w:t>IMPACTO DE LA REGULACIÓN</w:t>
      </w:r>
      <w:r>
        <w:t>.</w:t>
      </w:r>
    </w:p>
    <w:tbl>
      <w:tblPr>
        <w:tblStyle w:val="Tablaconcuadrcula"/>
        <w:tblW w:w="0" w:type="auto"/>
        <w:tblLook w:val="04A0" w:firstRow="1" w:lastRow="0" w:firstColumn="1" w:lastColumn="0" w:noHBand="0" w:noVBand="1"/>
      </w:tblPr>
      <w:tblGrid>
        <w:gridCol w:w="8828"/>
      </w:tblGrid>
      <w:tr w:rsidR="00E6080B" w14:paraId="6C329A94" w14:textId="77777777" w:rsidTr="00E6080B">
        <w:tc>
          <w:tcPr>
            <w:tcW w:w="8828" w:type="dxa"/>
          </w:tcPr>
          <w:p w14:paraId="5507BD1D" w14:textId="2939F8AE" w:rsidR="00801FED" w:rsidRPr="00801FED" w:rsidRDefault="00E35357" w:rsidP="00E6080B">
            <w:pPr>
              <w:jc w:val="both"/>
              <w:rPr>
                <w:sz w:val="20"/>
              </w:rPr>
            </w:pPr>
            <w:r>
              <w:rPr>
                <w:sz w:val="20"/>
              </w:rPr>
              <w:t>2</w:t>
            </w:r>
            <w:r w:rsidR="00E6080B" w:rsidRPr="00801FED">
              <w:rPr>
                <w:sz w:val="20"/>
              </w:rPr>
              <w:t xml:space="preserve">.- </w:t>
            </w:r>
            <w:r w:rsidR="00E21B49">
              <w:rPr>
                <w:sz w:val="20"/>
              </w:rPr>
              <w:t>Justifique las razones por las que considera que el anteproyecto de regulación propuesto no genera costos de cumplimiento para los particulares, independientemente de los beneficios que éste genere</w:t>
            </w:r>
            <w:r w:rsidR="00801FED" w:rsidRPr="00801FED">
              <w:rPr>
                <w:sz w:val="20"/>
              </w:rPr>
              <w:t>:</w:t>
            </w:r>
          </w:p>
          <w:p w14:paraId="24EEF53A" w14:textId="77777777" w:rsidR="00801FED" w:rsidRPr="00801FED" w:rsidRDefault="00801FED" w:rsidP="00E6080B">
            <w:pPr>
              <w:jc w:val="both"/>
              <w:rPr>
                <w:sz w:val="20"/>
              </w:rPr>
            </w:pPr>
          </w:p>
          <w:p w14:paraId="56D95F87" w14:textId="6F8FB154" w:rsidR="00E84126" w:rsidRDefault="00E84126" w:rsidP="005C6EAD">
            <w:pPr>
              <w:jc w:val="both"/>
            </w:pPr>
            <w:r>
              <w:rPr>
                <w:sz w:val="20"/>
              </w:rPr>
              <w:t xml:space="preserve">La modificación de los Lineamientos por parte del Pleno no genera impacto regulatorio </w:t>
            </w:r>
            <w:r w:rsidR="005C6EAD">
              <w:rPr>
                <w:sz w:val="20"/>
              </w:rPr>
              <w:t>alguno en virtud de que no añade obligaciones adicionales ni genera nuevas cargas a los sujetos regulados, sino que se constriñe por una parte a precisar en el artículo 10 qué señal es la que deberá privilegiarse en caso de señales duplicadas (ya existe la obligación y sólo se precisan los supuestos de prelación) y por otra se elimina un párrafo y se complementa otro del artículo 12 que no refieren a las obligaciones pertinentes en sí mismas.</w:t>
            </w:r>
          </w:p>
        </w:tc>
      </w:tr>
    </w:tbl>
    <w:p w14:paraId="6C61061E" w14:textId="77777777" w:rsidR="001D72C0" w:rsidRDefault="001D72C0" w:rsidP="00E21B49">
      <w:pPr>
        <w:jc w:val="both"/>
      </w:pPr>
    </w:p>
    <w:tbl>
      <w:tblPr>
        <w:tblStyle w:val="Tablaconcuadrcula"/>
        <w:tblW w:w="0" w:type="auto"/>
        <w:tblLook w:val="04A0" w:firstRow="1" w:lastRow="0" w:firstColumn="1" w:lastColumn="0" w:noHBand="0" w:noVBand="1"/>
      </w:tblPr>
      <w:tblGrid>
        <w:gridCol w:w="1696"/>
        <w:gridCol w:w="5670"/>
        <w:gridCol w:w="1462"/>
      </w:tblGrid>
      <w:tr w:rsidR="00804F49" w:rsidRPr="00804F49" w14:paraId="7098FC28" w14:textId="77777777" w:rsidTr="007D4E5B">
        <w:tc>
          <w:tcPr>
            <w:tcW w:w="1696" w:type="dxa"/>
            <w:vMerge w:val="restart"/>
          </w:tcPr>
          <w:p w14:paraId="61348B88" w14:textId="77777777" w:rsidR="00804F49" w:rsidRPr="00804F49" w:rsidRDefault="00E35357" w:rsidP="00804F49">
            <w:pPr>
              <w:jc w:val="both"/>
              <w:rPr>
                <w:sz w:val="20"/>
                <w:szCs w:val="20"/>
              </w:rPr>
            </w:pPr>
            <w:r>
              <w:rPr>
                <w:sz w:val="20"/>
                <w:szCs w:val="20"/>
              </w:rPr>
              <w:t>3</w:t>
            </w:r>
            <w:r w:rsidR="00804F49" w:rsidRPr="00804F49">
              <w:rPr>
                <w:sz w:val="20"/>
                <w:szCs w:val="20"/>
              </w:rPr>
              <w:t>.- Indique cuál(es) de la(s) siguiente(s) acciones corresponde(n) al anteproyecto de regulación propuesto</w:t>
            </w:r>
            <w:r w:rsidR="00804F49">
              <w:rPr>
                <w:sz w:val="20"/>
                <w:szCs w:val="20"/>
              </w:rPr>
              <w:t>.</w:t>
            </w:r>
          </w:p>
        </w:tc>
        <w:tc>
          <w:tcPr>
            <w:tcW w:w="5670" w:type="dxa"/>
            <w:shd w:val="clear" w:color="auto" w:fill="A8D08D" w:themeFill="accent6" w:themeFillTint="99"/>
          </w:tcPr>
          <w:p w14:paraId="37D9CA22" w14:textId="77777777" w:rsidR="00804F49" w:rsidRPr="00804F49" w:rsidRDefault="00804F49" w:rsidP="00804F49">
            <w:pPr>
              <w:jc w:val="center"/>
              <w:rPr>
                <w:sz w:val="20"/>
                <w:szCs w:val="20"/>
              </w:rPr>
            </w:pPr>
            <w:r w:rsidRPr="00804F49">
              <w:rPr>
                <w:sz w:val="20"/>
                <w:szCs w:val="20"/>
              </w:rPr>
              <w:t>Acciones</w:t>
            </w:r>
          </w:p>
        </w:tc>
        <w:tc>
          <w:tcPr>
            <w:tcW w:w="1462" w:type="dxa"/>
            <w:shd w:val="clear" w:color="auto" w:fill="A8D08D" w:themeFill="accent6" w:themeFillTint="99"/>
          </w:tcPr>
          <w:p w14:paraId="392C3924" w14:textId="77777777" w:rsidR="00804F49" w:rsidRPr="00804F49" w:rsidRDefault="00804F49" w:rsidP="00804F49">
            <w:pPr>
              <w:jc w:val="center"/>
              <w:rPr>
                <w:sz w:val="20"/>
                <w:szCs w:val="20"/>
              </w:rPr>
            </w:pPr>
            <w:r w:rsidRPr="00804F49">
              <w:rPr>
                <w:sz w:val="20"/>
                <w:szCs w:val="20"/>
              </w:rPr>
              <w:t>Seleccione</w:t>
            </w:r>
          </w:p>
        </w:tc>
      </w:tr>
      <w:tr w:rsidR="00804F49" w:rsidRPr="00804F49" w14:paraId="6B538924" w14:textId="77777777" w:rsidTr="00804F49">
        <w:tc>
          <w:tcPr>
            <w:tcW w:w="1696" w:type="dxa"/>
            <w:vMerge/>
          </w:tcPr>
          <w:p w14:paraId="380E81D1" w14:textId="77777777" w:rsidR="00804F49" w:rsidRPr="00804F49" w:rsidRDefault="00804F49" w:rsidP="00E21B49">
            <w:pPr>
              <w:jc w:val="both"/>
              <w:rPr>
                <w:sz w:val="20"/>
                <w:szCs w:val="20"/>
              </w:rPr>
            </w:pPr>
          </w:p>
        </w:tc>
        <w:tc>
          <w:tcPr>
            <w:tcW w:w="5670" w:type="dxa"/>
          </w:tcPr>
          <w:p w14:paraId="1F970F5C" w14:textId="77777777" w:rsidR="00804F49" w:rsidRPr="00804F49" w:rsidRDefault="00804F49" w:rsidP="00E21B49">
            <w:pPr>
              <w:jc w:val="both"/>
              <w:rPr>
                <w:sz w:val="20"/>
                <w:szCs w:val="20"/>
              </w:rPr>
            </w:pPr>
            <w:r w:rsidRPr="00804F49">
              <w:rPr>
                <w:sz w:val="20"/>
                <w:szCs w:val="20"/>
              </w:rPr>
              <w:t>Crea nuevas obligaciones y/o sanciones para los particulares o hace más estrictas las existentes</w:t>
            </w:r>
            <w:r>
              <w:rPr>
                <w:sz w:val="20"/>
                <w:szCs w:val="20"/>
              </w:rPr>
              <w:t>.</w:t>
            </w:r>
          </w:p>
        </w:tc>
        <w:tc>
          <w:tcPr>
            <w:tcW w:w="1462" w:type="dxa"/>
          </w:tcPr>
          <w:p w14:paraId="01350D80" w14:textId="77777777" w:rsidR="00804F49" w:rsidRPr="00804F49" w:rsidRDefault="00E84126" w:rsidP="00804F49">
            <w:pPr>
              <w:jc w:val="center"/>
              <w:rPr>
                <w:sz w:val="20"/>
                <w:szCs w:val="20"/>
              </w:rPr>
            </w:pPr>
            <w:r>
              <w:rPr>
                <w:sz w:val="20"/>
                <w:szCs w:val="20"/>
              </w:rPr>
              <w:t>Si ( ) No (X</w:t>
            </w:r>
            <w:r w:rsidR="00804F49">
              <w:rPr>
                <w:sz w:val="20"/>
                <w:szCs w:val="20"/>
              </w:rPr>
              <w:t>)</w:t>
            </w:r>
          </w:p>
        </w:tc>
      </w:tr>
      <w:tr w:rsidR="00804F49" w:rsidRPr="00804F49" w14:paraId="5C06C403" w14:textId="77777777" w:rsidTr="00804F49">
        <w:tc>
          <w:tcPr>
            <w:tcW w:w="1696" w:type="dxa"/>
            <w:vMerge/>
          </w:tcPr>
          <w:p w14:paraId="7EC11945" w14:textId="77777777" w:rsidR="00804F49" w:rsidRPr="00804F49" w:rsidRDefault="00804F49" w:rsidP="00804F49">
            <w:pPr>
              <w:jc w:val="both"/>
              <w:rPr>
                <w:sz w:val="20"/>
                <w:szCs w:val="20"/>
              </w:rPr>
            </w:pPr>
          </w:p>
        </w:tc>
        <w:tc>
          <w:tcPr>
            <w:tcW w:w="5670" w:type="dxa"/>
          </w:tcPr>
          <w:p w14:paraId="50F366B9" w14:textId="77777777" w:rsidR="00804F49" w:rsidRPr="00804F49" w:rsidRDefault="00804F49" w:rsidP="00804F49">
            <w:pPr>
              <w:jc w:val="both"/>
              <w:rPr>
                <w:sz w:val="20"/>
                <w:szCs w:val="20"/>
              </w:rPr>
            </w:pPr>
            <w:r w:rsidRPr="00804F49">
              <w:rPr>
                <w:sz w:val="20"/>
                <w:szCs w:val="20"/>
              </w:rPr>
              <w:t>Modifica o crea trámites que signifiquen mayores cargas administrativas o costos de cumplimiento para los particulares.</w:t>
            </w:r>
          </w:p>
        </w:tc>
        <w:tc>
          <w:tcPr>
            <w:tcW w:w="1462" w:type="dxa"/>
          </w:tcPr>
          <w:p w14:paraId="24B8AE63" w14:textId="77777777" w:rsidR="00804F49" w:rsidRDefault="00E84126" w:rsidP="00804F49">
            <w:pPr>
              <w:jc w:val="center"/>
            </w:pPr>
            <w:r>
              <w:rPr>
                <w:sz w:val="20"/>
                <w:szCs w:val="20"/>
              </w:rPr>
              <w:t>Si ( ) No (X</w:t>
            </w:r>
            <w:r w:rsidR="00804F49" w:rsidRPr="00D76D0A">
              <w:rPr>
                <w:sz w:val="20"/>
                <w:szCs w:val="20"/>
              </w:rPr>
              <w:t>)</w:t>
            </w:r>
          </w:p>
        </w:tc>
      </w:tr>
      <w:tr w:rsidR="00804F49" w:rsidRPr="00804F49" w14:paraId="4BD06276" w14:textId="77777777" w:rsidTr="00804F49">
        <w:tc>
          <w:tcPr>
            <w:tcW w:w="1696" w:type="dxa"/>
            <w:vMerge/>
          </w:tcPr>
          <w:p w14:paraId="0A9A7BD6" w14:textId="77777777" w:rsidR="00804F49" w:rsidRPr="00804F49" w:rsidRDefault="00804F49" w:rsidP="00804F49">
            <w:pPr>
              <w:jc w:val="both"/>
              <w:rPr>
                <w:sz w:val="20"/>
                <w:szCs w:val="20"/>
              </w:rPr>
            </w:pPr>
          </w:p>
        </w:tc>
        <w:tc>
          <w:tcPr>
            <w:tcW w:w="5670" w:type="dxa"/>
          </w:tcPr>
          <w:p w14:paraId="638D84ED" w14:textId="77777777" w:rsidR="00804F49" w:rsidRPr="00804F49" w:rsidRDefault="00804F49" w:rsidP="00804F49">
            <w:pPr>
              <w:jc w:val="both"/>
              <w:rPr>
                <w:sz w:val="20"/>
                <w:szCs w:val="20"/>
              </w:rPr>
            </w:pPr>
            <w:r w:rsidRPr="00804F49">
              <w:rPr>
                <w:sz w:val="20"/>
                <w:szCs w:val="20"/>
              </w:rPr>
              <w:t>Reduce o restringe prestaciones o derechos para los particulares.</w:t>
            </w:r>
          </w:p>
        </w:tc>
        <w:tc>
          <w:tcPr>
            <w:tcW w:w="1462" w:type="dxa"/>
          </w:tcPr>
          <w:p w14:paraId="47315D2D" w14:textId="77777777" w:rsidR="00804F49" w:rsidRDefault="00804F49" w:rsidP="00804F49">
            <w:pPr>
              <w:jc w:val="center"/>
            </w:pPr>
            <w:r w:rsidRPr="00D76D0A">
              <w:rPr>
                <w:sz w:val="20"/>
                <w:szCs w:val="20"/>
              </w:rPr>
              <w:t>Si</w:t>
            </w:r>
            <w:r w:rsidR="00E84126">
              <w:rPr>
                <w:sz w:val="20"/>
                <w:szCs w:val="20"/>
              </w:rPr>
              <w:t xml:space="preserve"> ( ) No (X</w:t>
            </w:r>
            <w:r w:rsidRPr="00D76D0A">
              <w:rPr>
                <w:sz w:val="20"/>
                <w:szCs w:val="20"/>
              </w:rPr>
              <w:t>)</w:t>
            </w:r>
          </w:p>
        </w:tc>
      </w:tr>
      <w:tr w:rsidR="00804F49" w:rsidRPr="00804F49" w14:paraId="0B3C443D" w14:textId="77777777" w:rsidTr="00804F49">
        <w:tc>
          <w:tcPr>
            <w:tcW w:w="1696" w:type="dxa"/>
            <w:vMerge/>
          </w:tcPr>
          <w:p w14:paraId="145E1DEA" w14:textId="77777777" w:rsidR="00804F49" w:rsidRPr="00804F49" w:rsidRDefault="00804F49" w:rsidP="00804F49">
            <w:pPr>
              <w:jc w:val="both"/>
              <w:rPr>
                <w:sz w:val="20"/>
                <w:szCs w:val="20"/>
              </w:rPr>
            </w:pPr>
          </w:p>
        </w:tc>
        <w:tc>
          <w:tcPr>
            <w:tcW w:w="5670" w:type="dxa"/>
          </w:tcPr>
          <w:p w14:paraId="79AE53B3" w14:textId="77777777" w:rsidR="00804F49" w:rsidRPr="00804F49" w:rsidRDefault="00804F49" w:rsidP="00804F49">
            <w:pPr>
              <w:jc w:val="both"/>
              <w:rPr>
                <w:sz w:val="20"/>
                <w:szCs w:val="20"/>
              </w:rPr>
            </w:pPr>
            <w:r w:rsidRPr="00804F49">
              <w:rPr>
                <w:sz w:val="20"/>
                <w:szCs w:val="20"/>
              </w:rPr>
              <w:t>Establece o modifica definiciones, clasificaciones, metodologías, criterios, caracterizaciones o cualquier otro término de referencia, afectando derechos, obligaciones, prestaciones o trámites de los particulares.</w:t>
            </w:r>
          </w:p>
        </w:tc>
        <w:tc>
          <w:tcPr>
            <w:tcW w:w="1462" w:type="dxa"/>
          </w:tcPr>
          <w:p w14:paraId="2FCDF4FC" w14:textId="77777777" w:rsidR="00804F49" w:rsidRDefault="00E84126" w:rsidP="00804F49">
            <w:pPr>
              <w:jc w:val="center"/>
            </w:pPr>
            <w:r>
              <w:rPr>
                <w:sz w:val="20"/>
                <w:szCs w:val="20"/>
              </w:rPr>
              <w:t>Si ( ) No (X</w:t>
            </w:r>
            <w:r w:rsidR="00804F49" w:rsidRPr="00D76D0A">
              <w:rPr>
                <w:sz w:val="20"/>
                <w:szCs w:val="20"/>
              </w:rPr>
              <w:t>)</w:t>
            </w:r>
          </w:p>
        </w:tc>
      </w:tr>
    </w:tbl>
    <w:p w14:paraId="22127FB9" w14:textId="77777777" w:rsidR="00E21B49" w:rsidRDefault="00E21B49" w:rsidP="00E21B49">
      <w:pPr>
        <w:jc w:val="both"/>
      </w:pPr>
    </w:p>
    <w:p w14:paraId="3ABAB273" w14:textId="77777777" w:rsidR="00A73AD8" w:rsidRDefault="00A73AD8" w:rsidP="00A73AD8">
      <w:pPr>
        <w:shd w:val="clear" w:color="auto" w:fill="A8D08D" w:themeFill="accent6" w:themeFillTint="99"/>
        <w:jc w:val="both"/>
      </w:pPr>
      <w:r>
        <w:t>I</w:t>
      </w:r>
      <w:r w:rsidR="00804F49">
        <w:t>I</w:t>
      </w:r>
      <w:r>
        <w:t>I. FUENTE</w:t>
      </w:r>
      <w:r w:rsidR="00B252E9">
        <w:t>S</w:t>
      </w:r>
      <w:r>
        <w:t xml:space="preserv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14:paraId="57A1201A" w14:textId="77777777" w:rsidTr="00A73AD8">
        <w:tc>
          <w:tcPr>
            <w:tcW w:w="8828" w:type="dxa"/>
          </w:tcPr>
          <w:p w14:paraId="275CC23E" w14:textId="77777777" w:rsidR="00B74C55" w:rsidRDefault="00E35357" w:rsidP="00A73AD8">
            <w:pPr>
              <w:jc w:val="both"/>
              <w:rPr>
                <w:sz w:val="20"/>
              </w:rPr>
            </w:pPr>
            <w:r>
              <w:rPr>
                <w:sz w:val="20"/>
              </w:rPr>
              <w:t>4</w:t>
            </w:r>
            <w:r w:rsidR="00A73AD8" w:rsidRPr="00A73AD8">
              <w:rPr>
                <w:sz w:val="20"/>
              </w:rPr>
              <w:t xml:space="preserve">.- </w:t>
            </w:r>
            <w:r w:rsidR="00A73AD8">
              <w:rPr>
                <w:sz w:val="20"/>
              </w:rPr>
              <w:t xml:space="preserve">Enliste </w:t>
            </w:r>
            <w:r w:rsidR="00B74C55">
              <w:rPr>
                <w:sz w:val="20"/>
              </w:rPr>
              <w:t>los datos bibliográficos o las direcciones electrónicas consultadas para el diseño y redacción</w:t>
            </w:r>
            <w:r w:rsidR="00804F49">
              <w:rPr>
                <w:sz w:val="20"/>
              </w:rPr>
              <w:t xml:space="preserve"> del anteproyecto de regulación, así como cualquier otra documentación que se considere de interés.</w:t>
            </w:r>
          </w:p>
          <w:p w14:paraId="2C947D8C" w14:textId="77777777" w:rsidR="00E84126" w:rsidRDefault="00E84126" w:rsidP="00B252E9">
            <w:pPr>
              <w:pStyle w:val="Prrafodelista"/>
              <w:jc w:val="both"/>
            </w:pPr>
          </w:p>
        </w:tc>
      </w:tr>
    </w:tbl>
    <w:p w14:paraId="5B5960C8" w14:textId="77777777" w:rsidR="0086684A" w:rsidRDefault="0086684A" w:rsidP="0086684A">
      <w:pPr>
        <w:jc w:val="both"/>
      </w:pPr>
    </w:p>
    <w:sectPr w:rsidR="0086684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D04B4" w14:textId="77777777" w:rsidR="00DC66F1" w:rsidRDefault="00DC66F1" w:rsidP="00501ADF">
      <w:pPr>
        <w:spacing w:after="0" w:line="240" w:lineRule="auto"/>
      </w:pPr>
      <w:r>
        <w:separator/>
      </w:r>
    </w:p>
  </w:endnote>
  <w:endnote w:type="continuationSeparator" w:id="0">
    <w:p w14:paraId="6D965C40" w14:textId="77777777" w:rsidR="00DC66F1" w:rsidRDefault="00DC66F1"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009A" w14:textId="77777777" w:rsidR="00DC66F1" w:rsidRDefault="00DC66F1" w:rsidP="00501ADF">
      <w:pPr>
        <w:spacing w:after="0" w:line="240" w:lineRule="auto"/>
      </w:pPr>
      <w:r>
        <w:separator/>
      </w:r>
    </w:p>
  </w:footnote>
  <w:footnote w:type="continuationSeparator" w:id="0">
    <w:p w14:paraId="54B6E9B1" w14:textId="77777777" w:rsidR="00DC66F1" w:rsidRDefault="00DC66F1"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7F13" w14:textId="77777777" w:rsidR="00501ADF" w:rsidRPr="00501ADF" w:rsidRDefault="00804F4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778CC223" wp14:editId="6E00B3D2">
              <wp:simplePos x="0" y="0"/>
              <wp:positionH relativeFrom="margin">
                <wp:posOffset>2263140</wp:posOffset>
              </wp:positionH>
              <wp:positionV relativeFrom="paragraph">
                <wp:posOffset>140970</wp:posOffset>
              </wp:positionV>
              <wp:extent cx="33432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66725"/>
                      </a:xfrm>
                      <a:prstGeom prst="rect">
                        <a:avLst/>
                      </a:prstGeom>
                      <a:solidFill>
                        <a:srgbClr val="FFFFFF"/>
                      </a:solidFill>
                      <a:ln w="9525">
                        <a:solidFill>
                          <a:schemeClr val="bg1"/>
                        </a:solidFill>
                        <a:miter lim="800000"/>
                        <a:headEnd/>
                        <a:tailEnd/>
                      </a:ln>
                    </wps:spPr>
                    <wps:txbx>
                      <w:txbxContent>
                        <w:p w14:paraId="655127FF" w14:textId="77777777" w:rsidR="00804F49" w:rsidRPr="00804F49" w:rsidRDefault="00E35357" w:rsidP="00804F49">
                          <w:pPr>
                            <w:jc w:val="right"/>
                          </w:pPr>
                          <w:r>
                            <w:t>ANÁ</w:t>
                          </w:r>
                          <w:r w:rsidR="00804F49" w:rsidRPr="00804F49">
                            <w:t xml:space="preserve">LISIS DE </w:t>
                          </w:r>
                          <w:r>
                            <w:t xml:space="preserve">NULO </w:t>
                          </w:r>
                          <w:r w:rsidR="00804F49" w:rsidRPr="00804F49">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CC223" id="_x0000_t202" coordsize="21600,21600" o:spt="202" path="m,l,21600r21600,l21600,xe">
              <v:stroke joinstyle="miter"/>
              <v:path gradientshapeok="t" o:connecttype="rect"/>
            </v:shapetype>
            <v:shape id="Cuadro de texto 2" o:spid="_x0000_s1026" type="#_x0000_t202" style="position:absolute;margin-left:178.2pt;margin-top:11.1pt;width:263.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" strokecolor="white [3212]">
              <v:textbox>
                <w:txbxContent>
                  <w:p w14:paraId="655127FF" w14:textId="77777777" w:rsidR="00804F49" w:rsidRPr="00804F49" w:rsidRDefault="00E35357" w:rsidP="00804F49">
                    <w:pPr>
                      <w:jc w:val="right"/>
                    </w:pPr>
                    <w:r>
                      <w:t>ANÁ</w:t>
                    </w:r>
                    <w:r w:rsidR="00804F49" w:rsidRPr="00804F49">
                      <w:t xml:space="preserve">LISIS DE </w:t>
                    </w:r>
                    <w:r>
                      <w:t xml:space="preserve">NULO </w:t>
                    </w:r>
                    <w:r w:rsidR="00804F49" w:rsidRPr="00804F49">
                      <w:t>IMPACTO REGULATORIO</w:t>
                    </w:r>
                  </w:p>
                </w:txbxContent>
              </v:textbox>
              <w10:wrap type="square" anchorx="margin"/>
            </v:shape>
          </w:pict>
        </mc:Fallback>
      </mc:AlternateContent>
    </w:r>
    <w:r w:rsidR="00501ADF"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2BFF69EA" wp14:editId="008EFBC5">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BB3F3" w14:textId="77777777" w:rsidR="00501ADF" w:rsidRDefault="00501ADF">
    <w:pPr>
      <w:pStyle w:val="Encabezado"/>
    </w:pPr>
  </w:p>
  <w:p w14:paraId="0DC34606" w14:textId="77777777" w:rsidR="00804F49" w:rsidRDefault="00804F49">
    <w:pPr>
      <w:pStyle w:val="Encabezado"/>
    </w:pPr>
  </w:p>
  <w:p w14:paraId="1762185E"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085D6C2B" wp14:editId="030B588F">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94D8CDD" w14:textId="77777777"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670ED9A6"/>
    <w:name w:val="WWNum25"/>
    <w:lvl w:ilvl="0">
      <w:start w:val="1"/>
      <w:numFmt w:val="decimal"/>
      <w:lvlText w:val="%1."/>
      <w:lvlJc w:val="left"/>
      <w:pPr>
        <w:tabs>
          <w:tab w:val="num" w:pos="4602"/>
        </w:tabs>
        <w:ind w:left="5322" w:hanging="360"/>
      </w:pPr>
      <w:rPr>
        <w:b w:val="0"/>
      </w:rPr>
    </w:lvl>
    <w:lvl w:ilvl="1">
      <w:start w:val="1"/>
      <w:numFmt w:val="lowerLetter"/>
      <w:lvlText w:val="%2."/>
      <w:lvlJc w:val="left"/>
      <w:pPr>
        <w:tabs>
          <w:tab w:val="num" w:pos="4602"/>
        </w:tabs>
        <w:ind w:left="6042" w:hanging="360"/>
      </w:pPr>
    </w:lvl>
    <w:lvl w:ilvl="2">
      <w:start w:val="1"/>
      <w:numFmt w:val="lowerRoman"/>
      <w:lvlText w:val="%3."/>
      <w:lvlJc w:val="left"/>
      <w:pPr>
        <w:tabs>
          <w:tab w:val="num" w:pos="4602"/>
        </w:tabs>
        <w:ind w:left="6762" w:hanging="180"/>
      </w:pPr>
    </w:lvl>
    <w:lvl w:ilvl="3">
      <w:start w:val="1"/>
      <w:numFmt w:val="decimal"/>
      <w:lvlText w:val="%4."/>
      <w:lvlJc w:val="left"/>
      <w:pPr>
        <w:tabs>
          <w:tab w:val="num" w:pos="4602"/>
        </w:tabs>
        <w:ind w:left="7482" w:hanging="360"/>
      </w:pPr>
    </w:lvl>
    <w:lvl w:ilvl="4">
      <w:start w:val="1"/>
      <w:numFmt w:val="lowerLetter"/>
      <w:lvlText w:val="%5."/>
      <w:lvlJc w:val="left"/>
      <w:pPr>
        <w:tabs>
          <w:tab w:val="num" w:pos="4602"/>
        </w:tabs>
        <w:ind w:left="8202" w:hanging="360"/>
      </w:pPr>
    </w:lvl>
    <w:lvl w:ilvl="5">
      <w:start w:val="1"/>
      <w:numFmt w:val="lowerRoman"/>
      <w:lvlText w:val="%6."/>
      <w:lvlJc w:val="left"/>
      <w:pPr>
        <w:tabs>
          <w:tab w:val="num" w:pos="4602"/>
        </w:tabs>
        <w:ind w:left="8922" w:hanging="180"/>
      </w:pPr>
    </w:lvl>
    <w:lvl w:ilvl="6">
      <w:start w:val="1"/>
      <w:numFmt w:val="decimal"/>
      <w:lvlText w:val="%7."/>
      <w:lvlJc w:val="left"/>
      <w:pPr>
        <w:tabs>
          <w:tab w:val="num" w:pos="4602"/>
        </w:tabs>
        <w:ind w:left="9642" w:hanging="360"/>
      </w:pPr>
    </w:lvl>
    <w:lvl w:ilvl="7">
      <w:start w:val="1"/>
      <w:numFmt w:val="lowerLetter"/>
      <w:lvlText w:val="%8."/>
      <w:lvlJc w:val="left"/>
      <w:pPr>
        <w:tabs>
          <w:tab w:val="num" w:pos="4602"/>
        </w:tabs>
        <w:ind w:left="10362" w:hanging="360"/>
      </w:pPr>
    </w:lvl>
    <w:lvl w:ilvl="8">
      <w:start w:val="1"/>
      <w:numFmt w:val="lowerRoman"/>
      <w:lvlText w:val="%9."/>
      <w:lvlJc w:val="left"/>
      <w:pPr>
        <w:tabs>
          <w:tab w:val="num" w:pos="4602"/>
        </w:tabs>
        <w:ind w:left="11082"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101A1F"/>
    <w:rsid w:val="00123CEA"/>
    <w:rsid w:val="001932FC"/>
    <w:rsid w:val="001D72C0"/>
    <w:rsid w:val="00263557"/>
    <w:rsid w:val="00286496"/>
    <w:rsid w:val="00295E97"/>
    <w:rsid w:val="002B4284"/>
    <w:rsid w:val="002F3FC7"/>
    <w:rsid w:val="002F7AF8"/>
    <w:rsid w:val="0030055F"/>
    <w:rsid w:val="003039BF"/>
    <w:rsid w:val="003076FE"/>
    <w:rsid w:val="003C037F"/>
    <w:rsid w:val="003F05E7"/>
    <w:rsid w:val="00400BCF"/>
    <w:rsid w:val="00422E92"/>
    <w:rsid w:val="00443C64"/>
    <w:rsid w:val="004A152E"/>
    <w:rsid w:val="004B6836"/>
    <w:rsid w:val="004C334F"/>
    <w:rsid w:val="004E0DA9"/>
    <w:rsid w:val="00501ADF"/>
    <w:rsid w:val="00576476"/>
    <w:rsid w:val="005A40FB"/>
    <w:rsid w:val="005C6EAD"/>
    <w:rsid w:val="005E4C74"/>
    <w:rsid w:val="006717D5"/>
    <w:rsid w:val="0068307E"/>
    <w:rsid w:val="006D7A08"/>
    <w:rsid w:val="006F1506"/>
    <w:rsid w:val="007D4E5B"/>
    <w:rsid w:val="00801FED"/>
    <w:rsid w:val="00804F49"/>
    <w:rsid w:val="00822A86"/>
    <w:rsid w:val="0086684A"/>
    <w:rsid w:val="00870931"/>
    <w:rsid w:val="00876D05"/>
    <w:rsid w:val="008A48B0"/>
    <w:rsid w:val="008C76AF"/>
    <w:rsid w:val="008E3011"/>
    <w:rsid w:val="00A1622C"/>
    <w:rsid w:val="00A204C3"/>
    <w:rsid w:val="00A261CB"/>
    <w:rsid w:val="00A73AD8"/>
    <w:rsid w:val="00B06836"/>
    <w:rsid w:val="00B252E9"/>
    <w:rsid w:val="00B6461E"/>
    <w:rsid w:val="00B74C55"/>
    <w:rsid w:val="00C55671"/>
    <w:rsid w:val="00C917FC"/>
    <w:rsid w:val="00CA325F"/>
    <w:rsid w:val="00D221B5"/>
    <w:rsid w:val="00D30A94"/>
    <w:rsid w:val="00DB2ABC"/>
    <w:rsid w:val="00DC66F1"/>
    <w:rsid w:val="00E21B49"/>
    <w:rsid w:val="00E27972"/>
    <w:rsid w:val="00E35357"/>
    <w:rsid w:val="00E6080B"/>
    <w:rsid w:val="00E84126"/>
    <w:rsid w:val="00EA1C6B"/>
    <w:rsid w:val="00F745FB"/>
    <w:rsid w:val="00F86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1430"/>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semiHidden/>
    <w:unhideWhenUsed/>
    <w:rsid w:val="00B252E9"/>
    <w:rPr>
      <w:sz w:val="16"/>
      <w:szCs w:val="16"/>
    </w:rPr>
  </w:style>
  <w:style w:type="paragraph" w:styleId="Textocomentario">
    <w:name w:val="annotation text"/>
    <w:basedOn w:val="Normal"/>
    <w:link w:val="TextocomentarioCar"/>
    <w:uiPriority w:val="99"/>
    <w:semiHidden/>
    <w:unhideWhenUsed/>
    <w:rsid w:val="00B252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52E9"/>
    <w:rPr>
      <w:sz w:val="20"/>
      <w:szCs w:val="20"/>
    </w:rPr>
  </w:style>
  <w:style w:type="paragraph" w:styleId="Asuntodelcomentario">
    <w:name w:val="annotation subject"/>
    <w:basedOn w:val="Textocomentario"/>
    <w:next w:val="Textocomentario"/>
    <w:link w:val="AsuntodelcomentarioCar"/>
    <w:uiPriority w:val="99"/>
    <w:semiHidden/>
    <w:unhideWhenUsed/>
    <w:rsid w:val="00B252E9"/>
    <w:rPr>
      <w:b/>
      <w:bCs/>
    </w:rPr>
  </w:style>
  <w:style w:type="character" w:customStyle="1" w:styleId="AsuntodelcomentarioCar">
    <w:name w:val="Asunto del comentario Car"/>
    <w:basedOn w:val="TextocomentarioCar"/>
    <w:link w:val="Asuntodelcomentario"/>
    <w:uiPriority w:val="99"/>
    <w:semiHidden/>
    <w:rsid w:val="00B252E9"/>
    <w:rPr>
      <w:b/>
      <w:bCs/>
      <w:sz w:val="20"/>
      <w:szCs w:val="20"/>
    </w:rPr>
  </w:style>
  <w:style w:type="paragraph" w:styleId="Textodeglobo">
    <w:name w:val="Balloon Text"/>
    <w:basedOn w:val="Normal"/>
    <w:link w:val="TextodegloboCar"/>
    <w:uiPriority w:val="99"/>
    <w:semiHidden/>
    <w:unhideWhenUsed/>
    <w:rsid w:val="00B252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2E9"/>
    <w:rPr>
      <w:rFonts w:ascii="Segoe UI" w:hAnsi="Segoe UI" w:cs="Segoe UI"/>
      <w:sz w:val="18"/>
      <w:szCs w:val="18"/>
    </w:rPr>
  </w:style>
  <w:style w:type="character" w:customStyle="1" w:styleId="Listavistosa-nfasis1Car">
    <w:name w:val="Lista vistosa - Énfasis 1 Car"/>
    <w:link w:val="Listavistosa-nfasis1"/>
    <w:uiPriority w:val="34"/>
    <w:locked/>
    <w:rsid w:val="005C6EAD"/>
    <w:rPr>
      <w:sz w:val="22"/>
      <w:szCs w:val="22"/>
      <w:lang w:eastAsia="en-US"/>
    </w:rPr>
  </w:style>
  <w:style w:type="table" w:styleId="Listavistosa-nfasis1">
    <w:name w:val="Colorful List Accent 1"/>
    <w:basedOn w:val="Tablanormal"/>
    <w:link w:val="Listavistosa-nfasis1Car"/>
    <w:uiPriority w:val="34"/>
    <w:semiHidden/>
    <w:unhideWhenUsed/>
    <w:rsid w:val="005C6EA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711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uan.olvera@ift.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Assuan Olvera Sandoval</cp:lastModifiedBy>
  <cp:revision>3</cp:revision>
  <dcterms:created xsi:type="dcterms:W3CDTF">2015-12-18T14:57:00Z</dcterms:created>
  <dcterms:modified xsi:type="dcterms:W3CDTF">2015-12-18T16:20:00Z</dcterms:modified>
</cp:coreProperties>
</file>