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34" w:rsidRDefault="006C1634" w:rsidP="006C1634">
      <w:pPr>
        <w:jc w:val="center"/>
        <w:rPr>
          <w:rFonts w:ascii="ITC Avant Garde" w:eastAsia="Calibri" w:hAnsi="ITC Avant Garde" w:cs="Times New Roman"/>
          <w:b/>
          <w:sz w:val="18"/>
          <w:szCs w:val="18"/>
          <w:lang w:val="es-ES"/>
        </w:rPr>
      </w:pPr>
      <w:r w:rsidRPr="006C1634">
        <w:rPr>
          <w:rFonts w:ascii="ITC Avant Garde" w:eastAsia="Calibri" w:hAnsi="ITC Avant Garde" w:cs="Times New Roman"/>
          <w:b/>
          <w:sz w:val="18"/>
          <w:szCs w:val="18"/>
          <w:lang w:val="es-ES"/>
        </w:rPr>
        <w:t>FORMATO PARA PARTICIPAR EN LA CONSULTA PÚBLICA</w:t>
      </w:r>
    </w:p>
    <w:p w:rsidR="000C7F6A" w:rsidRPr="000C7F6A" w:rsidRDefault="000C7F6A" w:rsidP="006C1634">
      <w:pPr>
        <w:jc w:val="center"/>
        <w:rPr>
          <w:rFonts w:ascii="ITC Avant Garde" w:eastAsia="Calibri" w:hAnsi="ITC Avant Garde" w:cs="Times New Roman"/>
          <w:b/>
          <w:sz w:val="18"/>
          <w:szCs w:val="18"/>
          <w:lang w:val="es-ES"/>
        </w:rPr>
      </w:pPr>
      <w:r w:rsidRPr="000C7F6A">
        <w:rPr>
          <w:rFonts w:ascii="ITC Avant Garde" w:eastAsia="Calibri" w:hAnsi="ITC Avant Garde" w:cs="Times New Roman"/>
          <w:b/>
          <w:sz w:val="18"/>
          <w:szCs w:val="18"/>
          <w:lang w:val="es-ES"/>
        </w:rPr>
        <w:t>Modelo de costos de infraestructura de radiodifusión</w:t>
      </w:r>
    </w:p>
    <w:p w:rsidR="006C1634" w:rsidRPr="006C1634" w:rsidRDefault="006C1634" w:rsidP="006C1634">
      <w:pPr>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Mecánica de la consulta pública</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 xml:space="preserve">Las opiniones, comentarios y propuestas deberán ser remitidas a la siguiente dirección de correo electrónico: </w:t>
      </w:r>
      <w:hyperlink r:id="rId8" w:history="1">
        <w:r w:rsidRPr="006C1634">
          <w:rPr>
            <w:rStyle w:val="Hipervnculo"/>
            <w:rFonts w:ascii="ITC Avant Garde" w:eastAsia="Calibri" w:hAnsi="ITC Avant Garde" w:cs="Times New Roman"/>
            <w:sz w:val="18"/>
            <w:szCs w:val="18"/>
            <w:lang w:val="es-ES"/>
          </w:rPr>
          <w:t>modelodecostos@ift.org.mx</w:t>
        </w:r>
      </w:hyperlink>
      <w:r w:rsidRPr="006C1634">
        <w:rPr>
          <w:rFonts w:ascii="ITC Avant Garde" w:eastAsia="Calibri" w:hAnsi="ITC Avant Garde" w:cs="Times New Roman"/>
          <w:sz w:val="18"/>
          <w:szCs w:val="18"/>
          <w:lang w:val="es-ES"/>
        </w:rPr>
        <w:t>, en donde habrá que considerarse que la capacidad límite para la remisión de archivos es de 20 MB.</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Elija la opción acorde con su consentimiento para que el IFT divulgue sus datos personales contenidos en el presente formato, así como lo relacionado con las opiniones, comentarios y propuestas que le sean remitidas.</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Lea minuciosamente el Aviso.</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Vierta sus comentarios al Modelo de Costos.</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Recuerde adjuntar -a su correo electrónico- la documentación que considere conveniente.</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 xml:space="preserve">  El período de consulta pública será del 1 de octubre al 11 de noviembre de 2015. Una vez   concluido se podrá continuar visualizando los comentarios vertidos, así como los documentos adjuntos en la siguiente dirección electrónica: </w:t>
      </w:r>
      <w:hyperlink r:id="rId9" w:history="1">
        <w:r w:rsidRPr="006C1634">
          <w:rPr>
            <w:rStyle w:val="Hipervnculo"/>
            <w:rFonts w:ascii="ITC Avant Garde" w:eastAsia="Calibri" w:hAnsi="ITC Avant Garde" w:cs="Times New Roman"/>
            <w:sz w:val="18"/>
            <w:szCs w:val="18"/>
            <w:lang w:val="es-ES"/>
          </w:rPr>
          <w:t>www.ift.org.mx</w:t>
        </w:r>
      </w:hyperlink>
      <w:r w:rsidRPr="006C1634">
        <w:rPr>
          <w:rFonts w:ascii="ITC Avant Garde" w:eastAsia="Calibri" w:hAnsi="ITC Avant Garde" w:cs="Times New Roman"/>
          <w:sz w:val="18"/>
          <w:szCs w:val="18"/>
          <w:lang w:val="es-ES"/>
        </w:rPr>
        <w:t xml:space="preserve"> ingresando a la sección “industria” subsección “consultas públicas”.</w:t>
      </w:r>
    </w:p>
    <w:p w:rsidR="006C1634" w:rsidRPr="006C1634" w:rsidRDefault="006C1634" w:rsidP="006C163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6C1634">
        <w:rPr>
          <w:rFonts w:ascii="ITC Avant Garde" w:eastAsia="Calibri" w:hAnsi="ITC Avant Garde" w:cs="Times New Roman"/>
          <w:sz w:val="18"/>
          <w:szCs w:val="18"/>
          <w:lang w:val="es-ES"/>
        </w:rPr>
        <w:t>Para cualquier duda o comentario sobre la presente consulta pública, favor de contactar a: César Zamora Martínez, Jefe de Departamento de Resolución de Desacuerdos 2 del Instituto Federal de Telecomunicaciones, a través de los siguientes datos: cesarzamora@ift.org.mx, teléfono 50154000, extensión: 2795.</w:t>
      </w:r>
    </w:p>
    <w:p w:rsidR="006C1634" w:rsidRPr="006C1634" w:rsidRDefault="006C1634" w:rsidP="006C1634">
      <w:pPr>
        <w:keepNext/>
        <w:keepLines/>
        <w:spacing w:before="360"/>
        <w:ind w:left="-499"/>
        <w:jc w:val="center"/>
        <w:outlineLvl w:val="1"/>
        <w:rPr>
          <w:rFonts w:ascii="ITC Avant Garde" w:eastAsiaTheme="majorEastAsia" w:hAnsi="ITC Avant Garde" w:cstheme="majorBidi"/>
          <w:b/>
          <w:bCs/>
          <w:sz w:val="18"/>
          <w:szCs w:val="18"/>
          <w:lang w:val="es-ES"/>
        </w:rPr>
      </w:pPr>
      <w:r w:rsidRPr="006C1634">
        <w:rPr>
          <w:rFonts w:ascii="ITC Avant Garde" w:eastAsiaTheme="majorEastAsia" w:hAnsi="ITC Avant Garde" w:cstheme="majorBidi"/>
          <w:b/>
          <w:bCs/>
          <w:sz w:val="18"/>
          <w:szCs w:val="18"/>
          <w:lang w:val="es-ES"/>
        </w:rPr>
        <w:t>Datos del participante en la consulta pública</w:t>
      </w:r>
    </w:p>
    <w:tbl>
      <w:tblPr>
        <w:tblW w:w="8774" w:type="dxa"/>
        <w:jc w:val="center"/>
        <w:tblCellMar>
          <w:left w:w="70" w:type="dxa"/>
          <w:right w:w="70" w:type="dxa"/>
        </w:tblCellMar>
        <w:tblLook w:val="04A0" w:firstRow="1" w:lastRow="0" w:firstColumn="1" w:lastColumn="0" w:noHBand="0" w:noVBand="1"/>
        <w:tblCaption w:val="Datos del participante en la consulta pública"/>
        <w:tblDescription w:val="Se describen datos del participante"/>
      </w:tblPr>
      <w:tblGrid>
        <w:gridCol w:w="4399"/>
        <w:gridCol w:w="4375"/>
      </w:tblGrid>
      <w:tr w:rsidR="006C1634" w:rsidRPr="006C1634" w:rsidTr="00A956C1">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rPr>
                <w:rFonts w:ascii="ITC Avant Garde" w:eastAsia="Times New Roman" w:hAnsi="ITC Avant Garde" w:cs="Times New Roman"/>
                <w:b/>
                <w:bCs/>
                <w:color w:val="000000"/>
                <w:sz w:val="18"/>
                <w:szCs w:val="18"/>
                <w:lang w:val="es-ES" w:eastAsia="es-MX"/>
              </w:rPr>
            </w:pPr>
            <w:r w:rsidRPr="006C1634">
              <w:rPr>
                <w:rFonts w:ascii="ITC Avant Garde" w:eastAsia="Times New Roman" w:hAnsi="ITC Avant Garde" w:cs="Times New Roman"/>
                <w:b/>
                <w:bCs/>
                <w:color w:val="000000"/>
                <w:sz w:val="18"/>
                <w:szCs w:val="18"/>
                <w:lang w:val="es-ES"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jc w:val="center"/>
              <w:rPr>
                <w:rFonts w:ascii="ITC Avant Garde" w:eastAsia="Times New Roman" w:hAnsi="ITC Avant Garde" w:cs="Times New Roman"/>
                <w:color w:val="000000"/>
                <w:sz w:val="18"/>
                <w:szCs w:val="18"/>
                <w:lang w:val="es-ES" w:eastAsia="es-MX"/>
              </w:rPr>
            </w:pPr>
            <w:r w:rsidRPr="006C1634">
              <w:rPr>
                <w:rFonts w:ascii="ITC Avant Garde" w:eastAsia="Times New Roman" w:hAnsi="ITC Avant Garde" w:cs="Times New Roman"/>
                <w:color w:val="000000"/>
                <w:sz w:val="18"/>
                <w:szCs w:val="18"/>
                <w:lang w:val="es-ES" w:eastAsia="es-MX"/>
              </w:rPr>
              <w:t> </w:t>
            </w:r>
          </w:p>
        </w:tc>
      </w:tr>
      <w:tr w:rsidR="006C1634" w:rsidRPr="006C1634" w:rsidTr="00A956C1">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rPr>
                <w:rFonts w:ascii="ITC Avant Garde" w:eastAsia="Times New Roman" w:hAnsi="ITC Avant Garde" w:cs="Times New Roman"/>
                <w:b/>
                <w:bCs/>
                <w:color w:val="000000"/>
                <w:sz w:val="18"/>
                <w:szCs w:val="18"/>
                <w:lang w:val="es-ES" w:eastAsia="es-MX"/>
              </w:rPr>
            </w:pPr>
            <w:r w:rsidRPr="006C1634">
              <w:rPr>
                <w:rFonts w:ascii="ITC Avant Garde" w:eastAsia="Times New Roman" w:hAnsi="ITC Avant Garde" w:cs="Times New Roman"/>
                <w:b/>
                <w:bCs/>
                <w:color w:val="000000"/>
                <w:sz w:val="18"/>
                <w:szCs w:val="18"/>
                <w:lang w:val="es-ES" w:eastAsia="es-MX"/>
              </w:rPr>
              <w:t>En su caso, nombre del representante legal</w:t>
            </w:r>
            <w:r w:rsidRPr="006C1634">
              <w:rPr>
                <w:rFonts w:ascii="ITC Avant Garde" w:eastAsia="Times New Roman" w:hAnsi="ITC Avant Garde" w:cs="Times New Roman"/>
                <w:bCs/>
                <w:color w:val="000000"/>
                <w:sz w:val="18"/>
                <w:szCs w:val="18"/>
                <w:lang w:val="es-ES"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634" w:rsidRPr="006C1634" w:rsidRDefault="006C1634" w:rsidP="00A956C1">
            <w:pPr>
              <w:spacing w:after="0" w:line="240" w:lineRule="auto"/>
              <w:jc w:val="center"/>
              <w:rPr>
                <w:rFonts w:ascii="ITC Avant Garde" w:eastAsia="Times New Roman" w:hAnsi="ITC Avant Garde" w:cs="Times New Roman"/>
                <w:color w:val="808080"/>
                <w:sz w:val="18"/>
                <w:szCs w:val="18"/>
                <w:lang w:val="es-ES" w:eastAsia="es-MX"/>
              </w:rPr>
            </w:pPr>
            <w:r w:rsidRPr="006C1634">
              <w:rPr>
                <w:rFonts w:ascii="ITC Avant Garde" w:eastAsia="Times New Roman" w:hAnsi="ITC Avant Garde" w:cs="Times New Roman"/>
                <w:color w:val="808080"/>
                <w:sz w:val="18"/>
                <w:szCs w:val="18"/>
                <w:lang w:val="es-ES" w:eastAsia="es-MX"/>
              </w:rPr>
              <w:t> </w:t>
            </w:r>
          </w:p>
        </w:tc>
      </w:tr>
      <w:tr w:rsidR="006C1634" w:rsidRPr="006C1634" w:rsidTr="00A956C1">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rPr>
                <w:rFonts w:ascii="ITC Avant Garde" w:eastAsia="Times New Roman" w:hAnsi="ITC Avant Garde" w:cs="Times New Roman"/>
                <w:b/>
                <w:bCs/>
                <w:color w:val="000000"/>
                <w:sz w:val="18"/>
                <w:szCs w:val="18"/>
                <w:lang w:val="es-ES" w:eastAsia="es-MX"/>
              </w:rPr>
            </w:pPr>
            <w:r w:rsidRPr="006C1634">
              <w:rPr>
                <w:rFonts w:ascii="ITC Avant Garde" w:eastAsia="Times New Roman" w:hAnsi="ITC Avant Garde" w:cs="Times New Roman"/>
                <w:b/>
                <w:bCs/>
                <w:color w:val="000000"/>
                <w:sz w:val="18"/>
                <w:szCs w:val="18"/>
                <w:lang w:val="es-ES" w:eastAsia="es-MX"/>
              </w:rPr>
              <w:t xml:space="preserve">Documento para la acreditación de la representación: </w:t>
            </w:r>
            <w:r w:rsidRPr="006C1634">
              <w:rPr>
                <w:rFonts w:ascii="ITC Avant Garde" w:eastAsia="Times New Roman" w:hAnsi="ITC Avant Garde" w:cs="Times New Roman"/>
                <w:bCs/>
                <w:color w:val="000000"/>
                <w:sz w:val="18"/>
                <w:szCs w:val="18"/>
                <w:lang w:val="es-ES" w:eastAsia="es-MX"/>
              </w:rPr>
              <w:t>(En caso de contar con representante legal, adjuntar copia digitalizada del documento que acredite dicha representación, vía correo electrónico).</w:t>
            </w:r>
          </w:p>
        </w:tc>
        <w:sdt>
          <w:sdtPr>
            <w:rPr>
              <w:rFonts w:ascii="ITC Avant Garde" w:eastAsia="Times New Roman" w:hAnsi="ITC Avant Garde" w:cs="Times New Roman"/>
              <w:color w:val="000000"/>
              <w:sz w:val="18"/>
              <w:szCs w:val="18"/>
              <w:lang w:val="es-ES" w:eastAsia="es-MX"/>
            </w:rPr>
            <w:tag w:val="(Seleccione opción)"/>
            <w:id w:val="1931310767"/>
            <w:placeholder>
              <w:docPart w:val="463E26F06C8B49FEA2A0A56498440F58"/>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jc w:val="center"/>
                  <w:rPr>
                    <w:rFonts w:ascii="ITC Avant Garde" w:eastAsia="Times New Roman" w:hAnsi="ITC Avant Garde" w:cs="Times New Roman"/>
                    <w:color w:val="000000"/>
                    <w:sz w:val="18"/>
                    <w:szCs w:val="18"/>
                    <w:lang w:val="es-ES" w:eastAsia="es-MX"/>
                  </w:rPr>
                </w:pPr>
                <w:r w:rsidRPr="006C1634">
                  <w:rPr>
                    <w:rFonts w:ascii="ITC Avant Garde" w:eastAsia="Calibri" w:hAnsi="ITC Avant Garde" w:cs="Times New Roman"/>
                    <w:color w:val="808080"/>
                    <w:sz w:val="18"/>
                    <w:szCs w:val="18"/>
                    <w:lang w:val="es-ES"/>
                  </w:rPr>
                  <w:t>Elija un elemento.</w:t>
                </w:r>
              </w:p>
            </w:tc>
          </w:sdtContent>
        </w:sdt>
      </w:tr>
      <w:tr w:rsidR="006C1634" w:rsidRPr="006C1634" w:rsidTr="00A956C1">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rPr>
                <w:rFonts w:ascii="ITC Avant Garde" w:eastAsia="Times New Roman" w:hAnsi="ITC Avant Garde" w:cs="Times New Roman"/>
                <w:color w:val="000000"/>
                <w:sz w:val="18"/>
                <w:szCs w:val="18"/>
                <w:lang w:val="es-ES" w:eastAsia="es-MX"/>
              </w:rPr>
            </w:pPr>
            <w:r w:rsidRPr="006C1634">
              <w:rPr>
                <w:rFonts w:ascii="ITC Avant Garde" w:eastAsia="Times New Roman" w:hAnsi="ITC Avant Garde" w:cs="Times New Roman"/>
                <w:color w:val="000000"/>
                <w:sz w:val="18"/>
                <w:szCs w:val="18"/>
                <w:lang w:val="es-ES"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sz w:val="18"/>
              <w:szCs w:val="18"/>
              <w:lang w:val="es-ES" w:eastAsia="es-MX"/>
            </w:rPr>
            <w:tag w:val="(Seleccione opción)"/>
            <w:id w:val="168676819"/>
            <w:placeholder>
              <w:docPart w:val="104BD744607540E2BAD1F26BBF57C785"/>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jc w:val="center"/>
                  <w:rPr>
                    <w:rFonts w:ascii="ITC Avant Garde" w:eastAsia="Times New Roman" w:hAnsi="ITC Avant Garde" w:cs="Times New Roman"/>
                    <w:color w:val="000000"/>
                    <w:sz w:val="18"/>
                    <w:szCs w:val="18"/>
                    <w:lang w:val="es-ES" w:eastAsia="es-MX"/>
                  </w:rPr>
                </w:pPr>
                <w:r w:rsidRPr="006C1634">
                  <w:rPr>
                    <w:rFonts w:ascii="ITC Avant Garde" w:eastAsia="Calibri" w:hAnsi="ITC Avant Garde" w:cs="Times New Roman"/>
                    <w:color w:val="808080"/>
                    <w:sz w:val="18"/>
                    <w:szCs w:val="18"/>
                    <w:lang w:val="es-ES"/>
                  </w:rPr>
                  <w:t>Elija un elemento.</w:t>
                </w:r>
              </w:p>
            </w:tc>
          </w:sdtContent>
        </w:sdt>
      </w:tr>
      <w:tr w:rsidR="006C1634" w:rsidRPr="006C1634" w:rsidTr="00A956C1">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C1634" w:rsidRPr="006C1634" w:rsidRDefault="006C1634" w:rsidP="00A956C1">
            <w:pPr>
              <w:spacing w:after="0" w:line="240" w:lineRule="auto"/>
              <w:jc w:val="center"/>
              <w:rPr>
                <w:rFonts w:ascii="ITC Avant Garde" w:eastAsia="Times New Roman" w:hAnsi="ITC Avant Garde" w:cs="Times New Roman"/>
                <w:b/>
                <w:bCs/>
                <w:color w:val="000000"/>
                <w:sz w:val="18"/>
                <w:szCs w:val="18"/>
                <w:lang w:val="es-ES" w:eastAsia="es-MX"/>
              </w:rPr>
            </w:pPr>
            <w:r w:rsidRPr="006C1634">
              <w:rPr>
                <w:rFonts w:ascii="ITC Avant Garde" w:eastAsia="Times New Roman" w:hAnsi="ITC Avant Garde" w:cs="Times New Roman"/>
                <w:b/>
                <w:bCs/>
                <w:color w:val="000000"/>
                <w:sz w:val="18"/>
                <w:szCs w:val="18"/>
                <w:lang w:val="es-ES" w:eastAsia="es-MX"/>
              </w:rPr>
              <w:t>AVISO IMPORTANTE</w:t>
            </w:r>
          </w:p>
        </w:tc>
      </w:tr>
      <w:tr w:rsidR="006C1634" w:rsidRPr="006C1634" w:rsidTr="00A956C1">
        <w:trPr>
          <w:trHeight w:val="274"/>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1634" w:rsidRPr="006C1634" w:rsidRDefault="006C1634" w:rsidP="00A956C1">
            <w:pPr>
              <w:spacing w:after="0" w:line="240" w:lineRule="auto"/>
              <w:rPr>
                <w:rFonts w:ascii="ITC Avant Garde" w:eastAsia="Times New Roman" w:hAnsi="ITC Avant Garde" w:cs="Times New Roman"/>
                <w:color w:val="000000"/>
                <w:sz w:val="18"/>
                <w:szCs w:val="18"/>
                <w:lang w:val="es-ES" w:eastAsia="es-MX"/>
              </w:rPr>
            </w:pPr>
            <w:r w:rsidRPr="006C1634">
              <w:rPr>
                <w:rFonts w:ascii="ITC Avant Garde" w:eastAsia="Times New Roman" w:hAnsi="ITC Avant Garde" w:cs="Times New Roman"/>
                <w:color w:val="000000"/>
                <w:sz w:val="18"/>
                <w:szCs w:val="18"/>
                <w:lang w:val="es-ES" w:eastAsia="es-MX"/>
              </w:rPr>
              <w:t xml:space="preserve">Los </w:t>
            </w:r>
            <w:r w:rsidRPr="006C1634">
              <w:rPr>
                <w:rFonts w:ascii="ITC Avant Garde" w:eastAsia="Calibri" w:hAnsi="ITC Avant Garde" w:cs="Times New Roman"/>
                <w:sz w:val="18"/>
                <w:szCs w:val="18"/>
                <w:lang w:val="es-ES"/>
              </w:rPr>
              <w:t xml:space="preserve"> </w:t>
            </w:r>
            <w:r w:rsidRPr="006C1634">
              <w:rPr>
                <w:rFonts w:ascii="ITC Avant Garde" w:eastAsia="Times New Roman" w:hAnsi="ITC Avant Garde" w:cs="Times New Roman"/>
                <w:color w:val="000000"/>
                <w:sz w:val="18"/>
                <w:szCs w:val="18"/>
                <w:lang w:val="es-ES" w:eastAsia="es-MX"/>
              </w:rPr>
              <w:t xml:space="preserve">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w:t>
            </w:r>
            <w:r w:rsidRPr="006C1634">
              <w:rPr>
                <w:rFonts w:ascii="ITC Avant Garde" w:eastAsia="Times New Roman" w:hAnsi="ITC Avant Garde" w:cs="Times New Roman"/>
                <w:color w:val="000000"/>
                <w:sz w:val="18"/>
                <w:szCs w:val="18"/>
                <w:lang w:val="es-ES" w:eastAsia="es-MX"/>
              </w:rPr>
              <w:lastRenderedPageBreak/>
              <w:t>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6C1634" w:rsidRDefault="006C1634" w:rsidP="006C1634">
      <w:pPr>
        <w:rPr>
          <w:rFonts w:ascii="ITC Avant Garde" w:eastAsia="Calibri" w:hAnsi="ITC Avant Garde" w:cs="Times New Roman"/>
          <w:b/>
          <w:sz w:val="18"/>
          <w:szCs w:val="18"/>
          <w:lang w:val="es-ES"/>
        </w:rPr>
      </w:pPr>
    </w:p>
    <w:p w:rsidR="006C2ACD" w:rsidRPr="00BA1F6D" w:rsidRDefault="006C2ACD" w:rsidP="006C2ACD">
      <w:pPr>
        <w:rPr>
          <w:rFonts w:ascii="ITC Avant Garde" w:eastAsia="Calibri" w:hAnsi="ITC Avant Garde" w:cs="Times New Roman"/>
          <w:sz w:val="18"/>
          <w:szCs w:val="18"/>
          <w:lang w:val="es-ES"/>
        </w:rPr>
      </w:pPr>
      <w:r w:rsidRPr="00BA1F6D">
        <w:rPr>
          <w:rFonts w:ascii="ITC Avant Garde" w:eastAsia="Calibri" w:hAnsi="ITC Avant Garde" w:cs="Times New Roman"/>
          <w:b/>
          <w:sz w:val="18"/>
          <w:szCs w:val="18"/>
          <w:lang w:val="es-ES"/>
        </w:rPr>
        <w:t>1.-</w:t>
      </w:r>
      <w:r w:rsidRPr="00BA1F6D">
        <w:rPr>
          <w:rFonts w:ascii="ITC Avant Garde" w:eastAsia="Calibri" w:hAnsi="ITC Avant Garde" w:cs="Times New Roman"/>
          <w:sz w:val="18"/>
          <w:szCs w:val="18"/>
          <w:lang w:val="es-ES"/>
        </w:rPr>
        <w:t xml:space="preserve">  </w:t>
      </w:r>
      <w:r w:rsidRPr="00BA1F6D">
        <w:rPr>
          <w:rFonts w:ascii="ITC Avant Garde" w:eastAsia="Calibri" w:hAnsi="ITC Avant Garde" w:cs="Times New Roman"/>
          <w:b/>
          <w:sz w:val="18"/>
          <w:szCs w:val="18"/>
          <w:lang w:val="es-ES"/>
        </w:rPr>
        <w:t>Cuestiones sometidas a consulta</w:t>
      </w:r>
    </w:p>
    <w:p w:rsidR="006C2ACD" w:rsidRPr="00FE45BC" w:rsidRDefault="006C2ACD" w:rsidP="006C2ACD">
      <w:pPr>
        <w:keepNext/>
        <w:keepLines/>
        <w:numPr>
          <w:ilvl w:val="1"/>
          <w:numId w:val="8"/>
        </w:numPr>
        <w:spacing w:before="360"/>
        <w:outlineLvl w:val="1"/>
        <w:rPr>
          <w:rFonts w:ascii="ITC Avant Garde" w:eastAsiaTheme="majorEastAsia" w:hAnsi="ITC Avant Garde" w:cstheme="majorBidi"/>
          <w:b/>
          <w:bCs/>
          <w:sz w:val="18"/>
          <w:szCs w:val="18"/>
          <w:lang w:val="es-ES"/>
        </w:rPr>
      </w:pPr>
      <w:r w:rsidRPr="00FE45BC">
        <w:rPr>
          <w:rFonts w:ascii="ITC Avant Garde" w:eastAsiaTheme="majorEastAsia" w:hAnsi="ITC Avant Garde" w:cstheme="majorBidi"/>
          <w:b/>
          <w:bCs/>
          <w:sz w:val="18"/>
          <w:szCs w:val="18"/>
          <w:lang w:val="es-ES"/>
        </w:rPr>
        <w:t xml:space="preserve">Instructivo  </w:t>
      </w:r>
    </w:p>
    <w:p w:rsidR="006C2ACD" w:rsidRPr="00FE45BC" w:rsidRDefault="006C2ACD" w:rsidP="006C2ACD">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 xml:space="preserve">Todos los concesionarios, permisionarios, autorizados y público en general, que deseen participar en la presente consulta pública sobre el modelo de costos de </w:t>
      </w:r>
      <w:r>
        <w:rPr>
          <w:rFonts w:ascii="ITC Avant Garde" w:eastAsia="Calibri" w:hAnsi="ITC Avant Garde" w:cs="Times New Roman"/>
          <w:sz w:val="18"/>
          <w:szCs w:val="18"/>
          <w:lang w:val="es-ES"/>
        </w:rPr>
        <w:t xml:space="preserve">infraestructura de radiodifusión </w:t>
      </w:r>
      <w:r w:rsidRPr="00FE45BC">
        <w:rPr>
          <w:rFonts w:ascii="ITC Avant Garde" w:eastAsia="Calibri" w:hAnsi="ITC Avant Garde" w:cs="Times New Roman"/>
          <w:sz w:val="18"/>
          <w:szCs w:val="18"/>
          <w:lang w:val="es-ES"/>
        </w:rPr>
        <w:t xml:space="preserve">podrán utilizar el presente formato, el cual contiene preguntas específicas sobre los principales conceptos utilizados en el modelo de costos propuesto y sobre el respectivo documento de apoyo “Modelo de </w:t>
      </w:r>
      <w:r>
        <w:rPr>
          <w:rFonts w:ascii="ITC Avant Garde" w:eastAsia="Calibri" w:hAnsi="ITC Avant Garde" w:cs="Times New Roman"/>
          <w:sz w:val="18"/>
          <w:szCs w:val="18"/>
          <w:lang w:val="es-ES"/>
        </w:rPr>
        <w:t>costos de infraestructura de radiodifusión.pdf</w:t>
      </w:r>
      <w:r w:rsidRPr="00FE45BC">
        <w:rPr>
          <w:rFonts w:ascii="ITC Avant Garde" w:eastAsia="Calibri" w:hAnsi="ITC Avant Garde" w:cs="Times New Roman"/>
          <w:sz w:val="18"/>
          <w:szCs w:val="18"/>
          <w:lang w:val="es-ES"/>
        </w:rPr>
        <w:t xml:space="preserve">”. No obstante, se podrán realizar comentarios acerca de cualquier otro aspecto relacionado con el modelo y la documentación asociada que forma parte de la consulta. </w:t>
      </w:r>
    </w:p>
    <w:p w:rsidR="006C2ACD" w:rsidRPr="00FE45BC" w:rsidRDefault="006C2ACD" w:rsidP="006C2ACD">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w:t>
      </w:r>
      <w:proofErr w:type="spellStart"/>
      <w:r w:rsidRPr="00FE45BC">
        <w:rPr>
          <w:rFonts w:ascii="ITC Avant Garde" w:eastAsia="Calibri" w:hAnsi="ITC Avant Garde" w:cs="Times New Roman"/>
          <w:sz w:val="18"/>
          <w:szCs w:val="18"/>
          <w:lang w:val="es-ES"/>
        </w:rPr>
        <w:t>recalibración</w:t>
      </w:r>
      <w:proofErr w:type="spellEnd"/>
      <w:r w:rsidRPr="00FE45BC">
        <w:rPr>
          <w:rFonts w:ascii="ITC Avant Garde" w:eastAsia="Calibri" w:hAnsi="ITC Avant Garde" w:cs="Times New Roman"/>
          <w:sz w:val="18"/>
          <w:szCs w:val="18"/>
          <w:lang w:val="es-ES"/>
        </w:rPr>
        <w:t xml:space="preserve"> del mismo.</w:t>
      </w:r>
      <w:r w:rsidRPr="00FE45BC">
        <w:rPr>
          <w:rFonts w:ascii="ITC Avant Garde" w:eastAsia="Calibri" w:hAnsi="ITC Avant Garde" w:cs="Times New Roman"/>
          <w:color w:val="0000FF"/>
          <w:sz w:val="18"/>
          <w:szCs w:val="18"/>
          <w:lang w:val="es-ES"/>
        </w:rPr>
        <w:t xml:space="preserve"> </w:t>
      </w:r>
    </w:p>
    <w:p w:rsidR="006C2ACD" w:rsidRPr="00FE45BC" w:rsidRDefault="006C2ACD" w:rsidP="006C2ACD">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El modelo de costos está disponible en formato Microsoft Excel, con el objetivo de dotar de transparencia al proceso y facilitar la compresión por parte de los participantes sobre los parámetros específicos utilizados en su construcción.</w:t>
      </w:r>
    </w:p>
    <w:p w:rsidR="006C2ACD" w:rsidRPr="00BA1F6D" w:rsidRDefault="006C2ACD" w:rsidP="006C2ACD">
      <w:pPr>
        <w:rPr>
          <w:rFonts w:ascii="ITC Avant Garde" w:eastAsia="Calibri" w:hAnsi="ITC Avant Garde" w:cs="Times New Roman"/>
          <w:bCs/>
          <w:sz w:val="18"/>
          <w:szCs w:val="18"/>
          <w:lang w:val="es-MX"/>
        </w:rPr>
      </w:pPr>
      <w:r w:rsidRPr="00FE45BC">
        <w:rPr>
          <w:rFonts w:ascii="ITC Avant Garde" w:eastAsia="Calibri" w:hAnsi="ITC Avant Garde" w:cs="Times New Roman"/>
          <w:sz w:val="18"/>
          <w:szCs w:val="18"/>
          <w:lang w:val="es-ES"/>
        </w:rPr>
        <w:t xml:space="preserve">El </w:t>
      </w:r>
      <w:r>
        <w:rPr>
          <w:rFonts w:ascii="ITC Avant Garde" w:eastAsia="Calibri" w:hAnsi="ITC Avant Garde" w:cs="Times New Roman"/>
          <w:sz w:val="18"/>
          <w:szCs w:val="18"/>
          <w:lang w:val="es-ES"/>
        </w:rPr>
        <w:t>m</w:t>
      </w:r>
      <w:r w:rsidRPr="00FE45BC">
        <w:rPr>
          <w:rFonts w:ascii="ITC Avant Garde" w:eastAsia="Calibri" w:hAnsi="ITC Avant Garde" w:cs="Times New Roman"/>
          <w:sz w:val="18"/>
          <w:szCs w:val="18"/>
          <w:lang w:val="es-ES"/>
        </w:rPr>
        <w:t xml:space="preserve">odelo de </w:t>
      </w:r>
      <w:r>
        <w:rPr>
          <w:rFonts w:ascii="ITC Avant Garde" w:eastAsia="Calibri" w:hAnsi="ITC Avant Garde" w:cs="Times New Roman"/>
          <w:sz w:val="18"/>
          <w:szCs w:val="18"/>
          <w:lang w:val="es-ES"/>
        </w:rPr>
        <w:t>costos de infraestructura de radiodifusión</w:t>
      </w:r>
      <w:r w:rsidRPr="00FE45BC">
        <w:rPr>
          <w:rFonts w:ascii="ITC Avant Garde" w:eastAsia="Calibri" w:hAnsi="ITC Avant Garde" w:cs="Times New Roman"/>
          <w:sz w:val="18"/>
          <w:szCs w:val="18"/>
          <w:lang w:val="es-ES"/>
        </w:rPr>
        <w:t xml:space="preserve"> no muestra los resultados finales de las tarifas de los diferentes servicios, toda vez que </w:t>
      </w:r>
      <w:r w:rsidRPr="00FE45BC">
        <w:rPr>
          <w:rFonts w:ascii="ITC Avant Garde" w:eastAsia="Calibri" w:hAnsi="ITC Avant Garde" w:cs="Times New Roman"/>
          <w:bCs/>
          <w:sz w:val="18"/>
          <w:szCs w:val="18"/>
          <w:lang w:val="es-MX"/>
        </w:rPr>
        <w:t>el objetivo de la consulta pública es el análisis del modelo, por lo que los resultados podrían modificarse derivado de circunstancias particulares de cada caso y eventualmente si el Instituto</w:t>
      </w:r>
      <w:r w:rsidRPr="00BA1F6D">
        <w:rPr>
          <w:rFonts w:ascii="ITC Avant Garde" w:eastAsia="Calibri" w:hAnsi="ITC Avant Garde" w:cs="Times New Roman"/>
          <w:bCs/>
          <w:sz w:val="18"/>
          <w:szCs w:val="18"/>
          <w:lang w:val="es-MX"/>
        </w:rPr>
        <w:t xml:space="preserve"> considera procedente realizar algún ajuste a partir de comentarios vertidos a través de la consulta pública. </w:t>
      </w:r>
      <w:r w:rsidRPr="00BA1F6D">
        <w:rPr>
          <w:rFonts w:ascii="ITC Avant Garde" w:eastAsia="Calibri" w:hAnsi="ITC Avant Garde" w:cs="Times New Roman"/>
          <w:sz w:val="18"/>
          <w:szCs w:val="18"/>
          <w:lang w:val="es-ES"/>
        </w:rPr>
        <w:t xml:space="preserve">No obstante, </w:t>
      </w:r>
      <w:r w:rsidRPr="00BA1F6D">
        <w:rPr>
          <w:rFonts w:ascii="ITC Avant Garde" w:eastAsia="Calibri" w:hAnsi="ITC Avant Garde" w:cs="Times New Roman"/>
          <w:bCs/>
          <w:sz w:val="18"/>
          <w:szCs w:val="18"/>
          <w:lang w:val="es-ES"/>
        </w:rPr>
        <w:t xml:space="preserve">a manera ilustrativa, </w:t>
      </w:r>
      <w:r w:rsidRPr="00BA1F6D">
        <w:rPr>
          <w:rFonts w:ascii="ITC Avant Garde" w:eastAsia="Calibri" w:hAnsi="ITC Avant Garde" w:cs="Times New Roman"/>
          <w:sz w:val="18"/>
          <w:szCs w:val="18"/>
          <w:lang w:val="es-ES"/>
        </w:rPr>
        <w:t xml:space="preserve">los resultados mostrados por el modelo se basan en una selección de variables específicas que permiten a </w:t>
      </w:r>
      <w:r w:rsidRPr="00BA1F6D">
        <w:rPr>
          <w:rFonts w:ascii="ITC Avant Garde" w:eastAsia="Calibri" w:hAnsi="ITC Avant Garde" w:cs="Times New Roman"/>
          <w:bCs/>
          <w:sz w:val="18"/>
          <w:szCs w:val="18"/>
          <w:lang w:val="es-MX"/>
        </w:rPr>
        <w:t>concesionarios, permisionarios, autorizados</w:t>
      </w:r>
      <w:r w:rsidRPr="00BA1F6D">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BA1F6D">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BA1F6D">
        <w:rPr>
          <w:rFonts w:ascii="ITC Avant Garde" w:eastAsia="Calibri" w:hAnsi="ITC Avant Garde" w:cs="Times New Roman"/>
          <w:sz w:val="18"/>
          <w:szCs w:val="18"/>
          <w:lang w:val="es-ES"/>
        </w:rPr>
        <w:t xml:space="preserve">. </w:t>
      </w:r>
    </w:p>
    <w:p w:rsidR="000708BF" w:rsidRPr="006C1634" w:rsidRDefault="000708BF" w:rsidP="000708BF">
      <w:pPr>
        <w:pStyle w:val="Ttulo2"/>
        <w:rPr>
          <w:rFonts w:ascii="ITC Avant Garde" w:hAnsi="ITC Avant Garde" w:cs="Times New Roman"/>
          <w:sz w:val="18"/>
          <w:szCs w:val="18"/>
          <w:lang w:val="es-ES_tradnl"/>
        </w:rPr>
      </w:pPr>
      <w:r w:rsidRPr="006C1634">
        <w:rPr>
          <w:rFonts w:ascii="ITC Avant Garde" w:eastAsia="Times New Roman" w:hAnsi="ITC Avant Garde" w:cs="Times New Roman"/>
          <w:sz w:val="18"/>
          <w:szCs w:val="18"/>
          <w:lang w:val="es-ES_tradnl"/>
        </w:rPr>
        <w:t>Aspectos relacionados con los servicios modelados</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El modelo calcula los precios de </w:t>
      </w:r>
      <w:r w:rsidRPr="006C1634">
        <w:rPr>
          <w:rFonts w:ascii="ITC Avant Garde" w:hAnsi="ITC Avant Garde"/>
          <w:b/>
          <w:sz w:val="18"/>
          <w:szCs w:val="18"/>
          <w:lang w:val="es-ES_tradnl"/>
        </w:rPr>
        <w:t xml:space="preserve">cuatro servicios de acceso mayoristas </w:t>
      </w:r>
      <w:r w:rsidRPr="006C1634">
        <w:rPr>
          <w:rFonts w:ascii="ITC Avant Garde" w:hAnsi="ITC Avant Garde"/>
          <w:sz w:val="18"/>
          <w:szCs w:val="18"/>
          <w:lang w:val="es-ES_tradnl"/>
        </w:rPr>
        <w:t>a la infraestructura pasiva de radiodifusión del A</w:t>
      </w:r>
      <w:r w:rsidR="006C1634">
        <w:rPr>
          <w:rFonts w:ascii="ITC Avant Garde" w:hAnsi="ITC Avant Garde"/>
          <w:sz w:val="18"/>
          <w:szCs w:val="18"/>
          <w:lang w:val="es-ES_tradnl"/>
        </w:rPr>
        <w:t xml:space="preserve">gente </w:t>
      </w:r>
      <w:r w:rsidRPr="006C1634">
        <w:rPr>
          <w:rFonts w:ascii="ITC Avant Garde" w:hAnsi="ITC Avant Garde"/>
          <w:sz w:val="18"/>
          <w:szCs w:val="18"/>
          <w:lang w:val="es-ES_tradnl"/>
        </w:rPr>
        <w:t>E</w:t>
      </w:r>
      <w:r w:rsidR="006C1634">
        <w:rPr>
          <w:rFonts w:ascii="ITC Avant Garde" w:hAnsi="ITC Avant Garde"/>
          <w:sz w:val="18"/>
          <w:szCs w:val="18"/>
          <w:lang w:val="es-ES_tradnl"/>
        </w:rPr>
        <w:t xml:space="preserve">conómico </w:t>
      </w:r>
      <w:r w:rsidRPr="006C1634">
        <w:rPr>
          <w:rFonts w:ascii="ITC Avant Garde" w:hAnsi="ITC Avant Garde"/>
          <w:sz w:val="18"/>
          <w:szCs w:val="18"/>
          <w:lang w:val="es-ES_tradnl"/>
        </w:rPr>
        <w:t>P</w:t>
      </w:r>
      <w:r w:rsidR="006C1634">
        <w:rPr>
          <w:rFonts w:ascii="ITC Avant Garde" w:hAnsi="ITC Avant Garde"/>
          <w:sz w:val="18"/>
          <w:szCs w:val="18"/>
          <w:lang w:val="es-ES_tradnl"/>
        </w:rPr>
        <w:t>reponderante (AEP)</w:t>
      </w:r>
      <w:r w:rsidRPr="006C1634">
        <w:rPr>
          <w:rFonts w:ascii="ITC Avant Garde" w:hAnsi="ITC Avant Garde"/>
          <w:sz w:val="18"/>
          <w:szCs w:val="18"/>
          <w:lang w:val="es-ES_tradnl"/>
        </w:rPr>
        <w:t xml:space="preserve"> para la coubicación de los equipos de los concesionarios solicitantes (CS): televisión digital y analógica, y radio digital y analógica.</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Para cada uno de los servicios modelados se definen dos categorías de servicios:</w:t>
      </w:r>
    </w:p>
    <w:p w:rsidR="000708BF" w:rsidRPr="006C1634" w:rsidRDefault="000708BF" w:rsidP="000708BF">
      <w:pPr>
        <w:pStyle w:val="I1"/>
        <w:rPr>
          <w:rFonts w:ascii="ITC Avant Garde" w:hAnsi="ITC Avant Garde"/>
          <w:b/>
          <w:sz w:val="18"/>
          <w:szCs w:val="18"/>
          <w:lang w:val="es-ES_tradnl"/>
        </w:rPr>
      </w:pPr>
      <w:r w:rsidRPr="006C1634">
        <w:rPr>
          <w:rFonts w:ascii="ITC Avant Garde" w:hAnsi="ITC Avant Garde"/>
          <w:b/>
          <w:sz w:val="18"/>
          <w:szCs w:val="18"/>
          <w:lang w:val="es-ES_tradnl"/>
        </w:rPr>
        <w:lastRenderedPageBreak/>
        <w:t>Servicio básico</w:t>
      </w:r>
      <w:r w:rsidRPr="006C1634">
        <w:rPr>
          <w:rFonts w:ascii="ITC Avant Garde" w:hAnsi="ITC Avant Garde"/>
          <w:sz w:val="18"/>
          <w:szCs w:val="18"/>
          <w:lang w:val="es-ES_tradnl"/>
        </w:rPr>
        <w:t>,</w:t>
      </w:r>
      <w:r w:rsidRPr="006C1634">
        <w:rPr>
          <w:rFonts w:ascii="ITC Avant Garde" w:hAnsi="ITC Avant Garde"/>
          <w:b/>
          <w:sz w:val="18"/>
          <w:szCs w:val="18"/>
          <w:lang w:val="es-ES_tradnl"/>
        </w:rPr>
        <w:t xml:space="preserve"> </w:t>
      </w:r>
      <w:r w:rsidRPr="006C1634">
        <w:rPr>
          <w:rFonts w:ascii="ITC Avant Garde" w:hAnsi="ITC Avant Garde"/>
          <w:sz w:val="18"/>
          <w:szCs w:val="18"/>
          <w:lang w:val="es-ES_tradnl"/>
        </w:rPr>
        <w:t>que incluye el suelo (interno y externo) y el espacio en la torre que el CS debe arrendar para la coubicación de su equipamiento.</w:t>
      </w:r>
    </w:p>
    <w:p w:rsidR="000708BF" w:rsidRDefault="000708BF" w:rsidP="000708BF">
      <w:pPr>
        <w:pStyle w:val="I1"/>
        <w:rPr>
          <w:rFonts w:ascii="ITC Avant Garde" w:hAnsi="ITC Avant Garde"/>
          <w:sz w:val="18"/>
          <w:szCs w:val="18"/>
          <w:lang w:val="es-ES_tradnl"/>
        </w:rPr>
      </w:pPr>
      <w:r w:rsidRPr="006C1634">
        <w:rPr>
          <w:rFonts w:ascii="ITC Avant Garde" w:hAnsi="ITC Avant Garde"/>
          <w:b/>
          <w:sz w:val="18"/>
          <w:szCs w:val="18"/>
          <w:lang w:val="es-ES_tradnl"/>
        </w:rPr>
        <w:t>Servicios opcionales</w:t>
      </w:r>
      <w:r w:rsidRPr="006C1634">
        <w:rPr>
          <w:rFonts w:ascii="ITC Avant Garde" w:hAnsi="ITC Avant Garde"/>
          <w:sz w:val="18"/>
          <w:szCs w:val="18"/>
          <w:lang w:val="es-ES_tradnl"/>
        </w:rPr>
        <w:t>,</w:t>
      </w:r>
      <w:r w:rsidRPr="006C1634">
        <w:rPr>
          <w:rFonts w:ascii="ITC Avant Garde" w:hAnsi="ITC Avant Garde"/>
          <w:b/>
          <w:sz w:val="18"/>
          <w:szCs w:val="18"/>
          <w:lang w:val="es-ES_tradnl"/>
        </w:rPr>
        <w:t xml:space="preserve"> </w:t>
      </w:r>
      <w:r w:rsidRPr="006C1634">
        <w:rPr>
          <w:rFonts w:ascii="ITC Avant Garde" w:hAnsi="ITC Avant Garde"/>
          <w:sz w:val="18"/>
          <w:szCs w:val="18"/>
          <w:lang w:val="es-ES_tradnl"/>
        </w:rPr>
        <w:t>que incluyen la energía eléctrica y el servicio de aire acondicionado.</w:t>
      </w:r>
    </w:p>
    <w:p w:rsidR="00400EF5" w:rsidRPr="006C1634" w:rsidRDefault="00400EF5" w:rsidP="00400EF5">
      <w:pPr>
        <w:pStyle w:val="I1"/>
        <w:numPr>
          <w:ilvl w:val="0"/>
          <w:numId w:val="0"/>
        </w:numPr>
        <w:rPr>
          <w:rFonts w:ascii="ITC Avant Garde" w:hAnsi="ITC Avant Garde"/>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1</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¿Considera adecuados los servicios modelados en el modelo de acceso y uso compartido de la infraestructura pasiva de radiodifusión?</w:t>
      </w:r>
    </w:p>
    <w:p w:rsidR="000708BF" w:rsidRPr="006C1634" w:rsidRDefault="000708BF" w:rsidP="000708BF">
      <w:pPr>
        <w:pStyle w:val="Ttulo2"/>
        <w:rPr>
          <w:rFonts w:ascii="ITC Avant Garde" w:hAnsi="ITC Avant Garde"/>
          <w:sz w:val="18"/>
          <w:szCs w:val="18"/>
          <w:lang w:val="es-ES_tradnl"/>
        </w:rPr>
      </w:pPr>
      <w:r w:rsidRPr="006C1634">
        <w:rPr>
          <w:rFonts w:ascii="ITC Avant Garde" w:hAnsi="ITC Avant Garde"/>
          <w:sz w:val="18"/>
          <w:szCs w:val="18"/>
          <w:lang w:val="es-ES_tradnl"/>
        </w:rPr>
        <w:t xml:space="preserve">Aspectos relacionados con la metodología del modelo </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Demanda</w:t>
      </w:r>
    </w:p>
    <w:p w:rsidR="000708BF" w:rsidRPr="006C1634" w:rsidRDefault="000708BF" w:rsidP="00312C6D">
      <w:pPr>
        <w:rPr>
          <w:rFonts w:ascii="ITC Avant Garde" w:hAnsi="ITC Avant Garde"/>
          <w:sz w:val="18"/>
          <w:szCs w:val="18"/>
          <w:lang w:val="es-ES_tradnl"/>
        </w:rPr>
      </w:pPr>
      <w:r w:rsidRPr="006C1634">
        <w:rPr>
          <w:rFonts w:ascii="ITC Avant Garde" w:hAnsi="ITC Avant Garde"/>
          <w:sz w:val="18"/>
          <w:szCs w:val="18"/>
          <w:lang w:val="es-ES_tradnl"/>
        </w:rPr>
        <w:t xml:space="preserve">Para calcular los precios del servicio de acceso mayorista a la infraestructura pasiva del </w:t>
      </w:r>
      <w:r w:rsidR="006C1634">
        <w:rPr>
          <w:rFonts w:ascii="ITC Avant Garde" w:hAnsi="ITC Avant Garde"/>
          <w:sz w:val="18"/>
          <w:szCs w:val="18"/>
          <w:lang w:val="es-ES_tradnl"/>
        </w:rPr>
        <w:t>AEP</w:t>
      </w:r>
      <w:r w:rsidRPr="006C1634">
        <w:rPr>
          <w:rFonts w:ascii="ITC Avant Garde" w:hAnsi="ITC Avant Garde"/>
          <w:sz w:val="18"/>
          <w:szCs w:val="18"/>
          <w:lang w:val="es-ES_tradnl"/>
        </w:rPr>
        <w:t xml:space="preserve"> (acceso a espacio en caseta, espacio en torre, compartición de antena), el modelo considera una serie de hipótesis de demanda:</w:t>
      </w:r>
    </w:p>
    <w:p w:rsidR="000708BF" w:rsidRPr="006C1634" w:rsidRDefault="000708BF" w:rsidP="000708BF">
      <w:pPr>
        <w:pStyle w:val="L1"/>
        <w:rPr>
          <w:rFonts w:ascii="ITC Avant Garde" w:hAnsi="ITC Avant Garde"/>
          <w:sz w:val="18"/>
          <w:szCs w:val="18"/>
          <w:lang w:val="es-ES_tradnl"/>
        </w:rPr>
      </w:pPr>
      <w:r w:rsidRPr="006C1634">
        <w:rPr>
          <w:rFonts w:ascii="ITC Avant Garde" w:hAnsi="ITC Avant Garde"/>
          <w:sz w:val="18"/>
          <w:szCs w:val="18"/>
          <w:lang w:val="es-ES_tradnl"/>
        </w:rPr>
        <w:t>se modelan los emplazamientos existentes que posee el AEP</w:t>
      </w:r>
    </w:p>
    <w:p w:rsidR="000708BF" w:rsidRPr="006C1634" w:rsidRDefault="000708BF" w:rsidP="000708BF">
      <w:pPr>
        <w:pStyle w:val="I1"/>
        <w:spacing w:after="0"/>
        <w:ind w:left="357" w:hanging="357"/>
        <w:rPr>
          <w:rFonts w:ascii="ITC Avant Garde" w:hAnsi="ITC Avant Garde"/>
          <w:sz w:val="18"/>
          <w:szCs w:val="18"/>
          <w:lang w:val="es-ES_tradnl"/>
        </w:rPr>
      </w:pPr>
      <w:r w:rsidRPr="006C1634">
        <w:rPr>
          <w:rFonts w:ascii="ITC Avant Garde" w:hAnsi="ITC Avant Garde"/>
          <w:sz w:val="18"/>
          <w:szCs w:val="18"/>
          <w:lang w:val="es-ES_tradnl"/>
        </w:rPr>
        <w:t>se considera la demanda (futura) de los nuevos operadores y la demanda (presente y futura) del AEP, lo que impacta en el dimensionamiento de la capacidad (y por extensión los costos) de los emplazamientos y la imputación de estos a los distintos servicios</w:t>
      </w:r>
    </w:p>
    <w:p w:rsidR="000708BF" w:rsidRPr="006C1634" w:rsidRDefault="000708BF" w:rsidP="000708BF">
      <w:pPr>
        <w:pStyle w:val="Listaconvietas"/>
        <w:rPr>
          <w:rFonts w:ascii="ITC Avant Garde" w:hAnsi="ITC Avant Garde"/>
          <w:sz w:val="18"/>
          <w:szCs w:val="18"/>
          <w:lang w:val="es-ES_tradnl"/>
        </w:rPr>
      </w:pPr>
      <w:r w:rsidRPr="006C1634">
        <w:rPr>
          <w:rFonts w:ascii="ITC Avant Garde" w:hAnsi="ITC Avant Garde"/>
          <w:sz w:val="18"/>
          <w:szCs w:val="18"/>
          <w:lang w:val="es-ES_tradnl"/>
        </w:rPr>
        <w:t>se asume que la disponibilidad de espacio puede (o no) variar antes y después del apagón analógico.</w:t>
      </w:r>
    </w:p>
    <w:p w:rsidR="000708BF" w:rsidRPr="006C1634" w:rsidRDefault="000708BF" w:rsidP="000708BF">
      <w:pPr>
        <w:pStyle w:val="Listaconvietas"/>
        <w:numPr>
          <w:ilvl w:val="0"/>
          <w:numId w:val="0"/>
        </w:numPr>
        <w:rPr>
          <w:rFonts w:ascii="ITC Avant Garde" w:hAnsi="ITC Avant Garde"/>
          <w:bCs/>
          <w:sz w:val="18"/>
          <w:szCs w:val="18"/>
          <w:lang w:val="es-ES_tradnl"/>
        </w:rPr>
      </w:pPr>
      <w:r w:rsidRPr="006C1634">
        <w:rPr>
          <w:rFonts w:ascii="ITC Avant Garde" w:hAnsi="ITC Avant Garde"/>
          <w:sz w:val="18"/>
          <w:szCs w:val="18"/>
          <w:lang w:val="es-ES_tradnl"/>
        </w:rPr>
        <w:t xml:space="preserve">Las previsiones de demanda tienen un impacto directo sobre el dimensionamiento de la red y el costeo de los distintos servicios. Además, la demanda del servicio (espacio físico que necesitan los CS en la infraestructura del AEP para la coubicación de sus equipos de radiodifusión) aumenta de manera escalonada en función del número de operadores y transmisores. Al tratarse de una demanda </w:t>
      </w:r>
      <w:r w:rsidRPr="006C1634">
        <w:rPr>
          <w:rFonts w:ascii="ITC Avant Garde" w:hAnsi="ITC Avant Garde"/>
          <w:bCs/>
          <w:sz w:val="18"/>
          <w:szCs w:val="18"/>
          <w:lang w:val="es-ES_tradnl"/>
        </w:rPr>
        <w:t>escalonada y baja</w:t>
      </w:r>
      <w:r w:rsidRPr="006C1634">
        <w:rPr>
          <w:rFonts w:ascii="ITC Avant Garde" w:hAnsi="ITC Avant Garde"/>
          <w:b/>
          <w:bCs/>
          <w:sz w:val="18"/>
          <w:szCs w:val="18"/>
          <w:lang w:val="es-ES_tradnl"/>
        </w:rPr>
        <w:t xml:space="preserve"> </w:t>
      </w:r>
      <w:r w:rsidRPr="006C1634">
        <w:rPr>
          <w:rFonts w:ascii="ITC Avant Garde" w:hAnsi="ITC Avant Garde"/>
          <w:sz w:val="18"/>
          <w:szCs w:val="18"/>
          <w:lang w:val="es-ES_tradnl"/>
        </w:rPr>
        <w:t xml:space="preserve">en términos de unidades de espacio por transmisor, una estimación errónea de la demanda acarrearía errores significativos en el costeo de los servicios, por lo que </w:t>
      </w:r>
      <w:r w:rsidRPr="006C1634">
        <w:rPr>
          <w:rFonts w:ascii="ITC Avant Garde" w:hAnsi="ITC Avant Garde"/>
          <w:bCs/>
          <w:sz w:val="18"/>
          <w:szCs w:val="18"/>
          <w:lang w:val="es-ES_tradnl"/>
        </w:rPr>
        <w:t xml:space="preserve">se asume un nivel constante de demanda a lo largo del horizonte temporal del modelo igual al nivel de demanda previsto para ‘el año </w:t>
      </w:r>
      <w:r w:rsidR="00312C6D" w:rsidRPr="006C1634">
        <w:rPr>
          <w:rFonts w:ascii="ITC Avant Garde" w:hAnsi="ITC Avant Garde"/>
          <w:bCs/>
          <w:sz w:val="18"/>
          <w:szCs w:val="18"/>
          <w:lang w:val="es-ES_tradnl"/>
        </w:rPr>
        <w:t>objetivo’ o ‘año de referencia’.</w:t>
      </w:r>
    </w:p>
    <w:p w:rsidR="00312C6D" w:rsidRPr="00400EF5" w:rsidRDefault="00400EF5" w:rsidP="00312C6D">
      <w:pPr>
        <w:pStyle w:val="Listaconvietas"/>
        <w:numPr>
          <w:ilvl w:val="0"/>
          <w:numId w:val="0"/>
        </w:numPr>
        <w:spacing w:after="120"/>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2</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¿Considera adecuada las consideraciones hechas respecto a la estimación de la demanda?</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Despliegue y dimensionamiento de la red</w:t>
      </w:r>
    </w:p>
    <w:p w:rsidR="000708BF" w:rsidRPr="006C1634" w:rsidRDefault="000708BF" w:rsidP="000708BF">
      <w:pPr>
        <w:rPr>
          <w:rFonts w:ascii="ITC Avant Garde" w:hAnsi="ITC Avant Garde"/>
          <w:spacing w:val="-4"/>
          <w:sz w:val="18"/>
          <w:szCs w:val="18"/>
          <w:lang w:val="es-ES_tradnl"/>
        </w:rPr>
      </w:pPr>
      <w:r w:rsidRPr="006C1634">
        <w:rPr>
          <w:rFonts w:ascii="ITC Avant Garde" w:hAnsi="ITC Avant Garde"/>
          <w:spacing w:val="-4"/>
          <w:sz w:val="18"/>
          <w:szCs w:val="18"/>
          <w:lang w:val="es-ES_tradnl"/>
        </w:rPr>
        <w:t xml:space="preserve">El modelo adopta un </w:t>
      </w:r>
      <w:r w:rsidRPr="006C1634">
        <w:rPr>
          <w:rFonts w:ascii="ITC Avant Garde" w:hAnsi="ITC Avant Garde"/>
          <w:b/>
          <w:spacing w:val="-4"/>
          <w:sz w:val="18"/>
          <w:szCs w:val="18"/>
          <w:lang w:val="es-ES_tradnl"/>
        </w:rPr>
        <w:t>enfoque ‘</w:t>
      </w:r>
      <w:proofErr w:type="spellStart"/>
      <w:r w:rsidRPr="006C1634">
        <w:rPr>
          <w:rFonts w:ascii="ITC Avant Garde" w:hAnsi="ITC Avant Garde"/>
          <w:b/>
          <w:i/>
          <w:spacing w:val="-4"/>
          <w:sz w:val="18"/>
          <w:szCs w:val="18"/>
          <w:lang w:val="es-ES_tradnl"/>
        </w:rPr>
        <w:t>big</w:t>
      </w:r>
      <w:proofErr w:type="spellEnd"/>
      <w:r w:rsidRPr="006C1634">
        <w:rPr>
          <w:rFonts w:ascii="ITC Avant Garde" w:hAnsi="ITC Avant Garde"/>
          <w:b/>
          <w:i/>
          <w:spacing w:val="-4"/>
          <w:sz w:val="18"/>
          <w:szCs w:val="18"/>
          <w:lang w:val="es-ES_tradnl"/>
        </w:rPr>
        <w:t xml:space="preserve"> </w:t>
      </w:r>
      <w:proofErr w:type="spellStart"/>
      <w:r w:rsidRPr="006C1634">
        <w:rPr>
          <w:rFonts w:ascii="ITC Avant Garde" w:hAnsi="ITC Avant Garde"/>
          <w:b/>
          <w:i/>
          <w:spacing w:val="-4"/>
          <w:sz w:val="18"/>
          <w:szCs w:val="18"/>
          <w:lang w:val="es-ES_tradnl"/>
        </w:rPr>
        <w:t>bang</w:t>
      </w:r>
      <w:proofErr w:type="spellEnd"/>
      <w:r w:rsidRPr="006C1634">
        <w:rPr>
          <w:rFonts w:ascii="ITC Avant Garde" w:hAnsi="ITC Avant Garde"/>
          <w:b/>
          <w:spacing w:val="-4"/>
          <w:sz w:val="18"/>
          <w:szCs w:val="18"/>
          <w:lang w:val="es-ES_tradnl"/>
        </w:rPr>
        <w:t xml:space="preserve"> puro</w:t>
      </w:r>
      <w:r w:rsidRPr="006C1634">
        <w:rPr>
          <w:rFonts w:ascii="ITC Avant Garde" w:hAnsi="ITC Avant Garde"/>
          <w:spacing w:val="-4"/>
          <w:sz w:val="18"/>
          <w:szCs w:val="18"/>
          <w:lang w:val="es-ES_tradnl"/>
        </w:rPr>
        <w:t>’ utilizando la demanda prevista a largo plazo para el año de referencia, que se asume constante. Este enfoque es el que mejor refleja la evolución a largo plazo de la red del AEP: por las características del servicio de radiotransmisión, una demanda estable en el tiempo es una hipótesis razonable que evita el riesgo asociado a otras opciones que pueden conllevar la devolución de pagos en exceso si la demanda es mayor de lo previsto inicialmente.</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A continuación se presenta de manera esquemática el despliegue de red modelado.</w:t>
      </w:r>
    </w:p>
    <w:p w:rsidR="000708BF" w:rsidRPr="006C1634" w:rsidRDefault="000708BF" w:rsidP="00312C6D">
      <w:pPr>
        <w:pStyle w:val="Descripcin"/>
        <w:spacing w:before="360" w:after="120" w:line="280" w:lineRule="atLeast"/>
        <w:rPr>
          <w:rFonts w:ascii="ITC Avant Garde" w:hAnsi="ITC Avant Garde"/>
          <w:lang w:val="es-ES_tradnl"/>
        </w:rPr>
      </w:pPr>
      <w:r w:rsidRPr="006C1634">
        <w:rPr>
          <w:rFonts w:ascii="ITC Avant Garde" w:hAnsi="ITC Avant Garde"/>
          <w:lang w:val="es-ES_tradnl"/>
        </w:rPr>
        <w:lastRenderedPageBreak/>
        <w:t>Figur</w:t>
      </w:r>
      <w:r w:rsidR="00312C6D" w:rsidRPr="006C1634">
        <w:rPr>
          <w:rFonts w:ascii="ITC Avant Garde" w:hAnsi="ITC Avant Garde"/>
          <w:lang w:val="es-ES_tradnl"/>
        </w:rPr>
        <w:t>a</w:t>
      </w:r>
      <w:r w:rsidRPr="006C1634">
        <w:rPr>
          <w:rFonts w:ascii="ITC Avant Garde" w:hAnsi="ITC Avant Garde"/>
          <w:lang w:val="es-ES_tradnl"/>
        </w:rPr>
        <w:t xml:space="preserve">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1</w:t>
      </w:r>
      <w:r w:rsidRPr="006C1634">
        <w:rPr>
          <w:rFonts w:ascii="ITC Avant Garde" w:hAnsi="ITC Avant Garde"/>
          <w:lang w:val="es-ES_tradnl"/>
        </w:rPr>
        <w:fldChar w:fldCharType="end"/>
      </w:r>
      <w:r w:rsidRPr="006C1634">
        <w:rPr>
          <w:rFonts w:ascii="ITC Avant Garde" w:hAnsi="ITC Avant Garde"/>
          <w:lang w:val="es-ES_tradnl"/>
        </w:rPr>
        <w:t xml:space="preserve">: Representación del despliegue de red modelado [Fuente: </w:t>
      </w:r>
      <w:r w:rsidR="00312C6D" w:rsidRPr="006C1634">
        <w:rPr>
          <w:rFonts w:ascii="ITC Avant Garde" w:hAnsi="ITC Avant Garde"/>
          <w:lang w:val="es-ES_tradnl"/>
        </w:rPr>
        <w:t>IFT</w:t>
      </w:r>
      <w:r w:rsidRPr="006C1634">
        <w:rPr>
          <w:rFonts w:ascii="ITC Avant Garde" w:hAnsi="ITC Avant Garde"/>
          <w:lang w:val="es-ES_tradnl"/>
        </w:rPr>
        <w:t>, 2015]</w:t>
      </w:r>
    </w:p>
    <w:p w:rsidR="000708BF" w:rsidRPr="006C1634" w:rsidRDefault="000708BF" w:rsidP="00312C6D">
      <w:pPr>
        <w:pStyle w:val="Border"/>
        <w:pBdr>
          <w:bottom w:val="none" w:sz="0" w:space="0" w:color="auto"/>
        </w:pBdr>
        <w:rPr>
          <w:rFonts w:ascii="ITC Avant Garde" w:hAnsi="ITC Avant Garde"/>
          <w:sz w:val="18"/>
          <w:szCs w:val="18"/>
          <w:lang w:val="es-ES_tradnl"/>
        </w:rPr>
      </w:pPr>
      <w:r w:rsidRPr="006C1634">
        <w:rPr>
          <w:rFonts w:ascii="ITC Avant Garde" w:hAnsi="ITC Avant Garde"/>
          <w:noProof/>
          <w:sz w:val="18"/>
          <w:szCs w:val="18"/>
          <w:lang w:val="es-MX" w:eastAsia="es-MX"/>
        </w:rPr>
        <w:drawing>
          <wp:inline distT="0" distB="0" distL="0" distR="0" wp14:anchorId="0C1FA2FC" wp14:editId="34BC663A">
            <wp:extent cx="5543550" cy="1003444"/>
            <wp:effectExtent l="0" t="0" r="0" b="6350"/>
            <wp:docPr id="4" name="Picture 4" descr="Incia por big bang en el año de referencia y termina con la red adicional se dimensiona de manera eficiente" title="Representación del despliegue de red modelad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1003444"/>
                    </a:xfrm>
                    <a:prstGeom prst="rect">
                      <a:avLst/>
                    </a:prstGeom>
                    <a:noFill/>
                    <a:ln>
                      <a:noFill/>
                    </a:ln>
                  </pic:spPr>
                </pic:pic>
              </a:graphicData>
            </a:graphic>
          </wp:inline>
        </w:drawing>
      </w:r>
    </w:p>
    <w:p w:rsidR="00312C6D" w:rsidRPr="006C1634" w:rsidRDefault="00312C6D" w:rsidP="00312C6D">
      <w:pPr>
        <w:rPr>
          <w:rFonts w:ascii="ITC Avant Garde" w:hAnsi="ITC Avant Garde"/>
          <w:sz w:val="18"/>
          <w:szCs w:val="18"/>
          <w:lang w:val="es-ES_tradnl"/>
        </w:rPr>
      </w:pPr>
    </w:p>
    <w:p w:rsidR="00400EF5" w:rsidRDefault="00400EF5" w:rsidP="000708BF">
      <w:pPr>
        <w:rPr>
          <w:rFonts w:ascii="ITC Avant Garde" w:hAnsi="ITC Avant Garde"/>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3</w:t>
      </w:r>
      <w:r w:rsidRPr="00400EF5">
        <w:rPr>
          <w:rFonts w:ascii="ITC Avant Garde" w:hAnsi="ITC Avant Garde"/>
          <w:sz w:val="18"/>
          <w:szCs w:val="18"/>
          <w:lang w:val="es-ES_tradnl"/>
        </w:rPr>
        <w:fldChar w:fldCharType="end"/>
      </w:r>
      <w:r w:rsidRPr="00400EF5">
        <w:rPr>
          <w:rFonts w:ascii="ITC Avant Garde" w:hAnsi="ITC Avant Garde"/>
          <w:sz w:val="18"/>
          <w:szCs w:val="18"/>
          <w:lang w:val="es-ES_tradnl"/>
        </w:rPr>
        <w:t>: ¿Tiene comentarios respecto a la metodología de despliegue implementada en el modelo?</w:t>
      </w:r>
    </w:p>
    <w:p w:rsidR="000708BF" w:rsidRPr="006C1634" w:rsidRDefault="00312C6D" w:rsidP="000708BF">
      <w:pPr>
        <w:rPr>
          <w:rFonts w:ascii="ITC Avant Garde" w:hAnsi="ITC Avant Garde"/>
          <w:sz w:val="18"/>
          <w:szCs w:val="18"/>
          <w:lang w:val="es-ES_tradnl"/>
        </w:rPr>
      </w:pPr>
      <w:r w:rsidRPr="006C1634">
        <w:rPr>
          <w:rFonts w:ascii="ITC Avant Garde" w:hAnsi="ITC Avant Garde"/>
          <w:sz w:val="18"/>
          <w:szCs w:val="18"/>
          <w:lang w:val="es-ES_tradnl"/>
        </w:rPr>
        <w:br/>
      </w:r>
      <w:r w:rsidR="000708BF" w:rsidRPr="006C1634">
        <w:rPr>
          <w:rFonts w:ascii="ITC Avant Garde" w:hAnsi="ITC Avant Garde"/>
          <w:sz w:val="18"/>
          <w:szCs w:val="18"/>
          <w:lang w:val="es-ES_tradnl"/>
        </w:rPr>
        <w:t>El modelo implementa un dimensionamiento de la demanda a largo plazo, una opción que permite calcular el precio ‘justo’ de los servicios desde un primer momento. La red se dimensiona, y los costos se distribuyen, entre el número ‘correcto’ o real de solicitantes de acceso.</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En una metodología de dimensionamiento de tipo ‘</w:t>
      </w:r>
      <w:proofErr w:type="spellStart"/>
      <w:r w:rsidRPr="006C1634">
        <w:rPr>
          <w:rFonts w:ascii="ITC Avant Garde" w:hAnsi="ITC Avant Garde"/>
          <w:i/>
          <w:iCs/>
          <w:sz w:val="18"/>
          <w:szCs w:val="18"/>
          <w:lang w:val="es-ES_tradnl"/>
        </w:rPr>
        <w:t>big</w:t>
      </w:r>
      <w:proofErr w:type="spellEnd"/>
      <w:r w:rsidRPr="006C1634">
        <w:rPr>
          <w:rFonts w:ascii="ITC Avant Garde" w:hAnsi="ITC Avant Garde"/>
          <w:i/>
          <w:iCs/>
          <w:sz w:val="18"/>
          <w:szCs w:val="18"/>
          <w:lang w:val="es-ES_tradnl"/>
        </w:rPr>
        <w:t xml:space="preserve"> </w:t>
      </w:r>
      <w:proofErr w:type="spellStart"/>
      <w:r w:rsidRPr="006C1634">
        <w:rPr>
          <w:rFonts w:ascii="ITC Avant Garde" w:hAnsi="ITC Avant Garde"/>
          <w:i/>
          <w:iCs/>
          <w:sz w:val="18"/>
          <w:szCs w:val="18"/>
          <w:lang w:val="es-ES_tradnl"/>
        </w:rPr>
        <w:t>bang</w:t>
      </w:r>
      <w:proofErr w:type="spellEnd"/>
      <w:r w:rsidRPr="006C1634">
        <w:rPr>
          <w:rFonts w:ascii="ITC Avant Garde" w:hAnsi="ITC Avant Garde"/>
          <w:i/>
          <w:iCs/>
          <w:sz w:val="18"/>
          <w:szCs w:val="18"/>
          <w:lang w:val="es-ES_tradnl"/>
        </w:rPr>
        <w:t xml:space="preserve"> </w:t>
      </w:r>
      <w:r w:rsidRPr="006C1634">
        <w:rPr>
          <w:rFonts w:ascii="ITC Avant Garde" w:hAnsi="ITC Avant Garde"/>
          <w:iCs/>
          <w:sz w:val="18"/>
          <w:szCs w:val="18"/>
          <w:lang w:val="es-ES_tradnl"/>
        </w:rPr>
        <w:t>puro</w:t>
      </w:r>
      <w:r w:rsidRPr="006C1634">
        <w:rPr>
          <w:rFonts w:ascii="ITC Avant Garde" w:hAnsi="ITC Avant Garde"/>
          <w:sz w:val="18"/>
          <w:szCs w:val="18"/>
          <w:lang w:val="es-ES_tradnl"/>
        </w:rPr>
        <w:t xml:space="preserve">’ existen varios escenarios de compartición y asignación de costos para el servicio de espacio en caseta y espacio en torre. Los distintos escenarios cambian en función de la disponibilidad y compartición de espacio en la sala de transmisores antes y después del apagón analógico: </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0708BF" w:rsidRPr="006C1634" w:rsidTr="00960997">
        <w:tc>
          <w:tcPr>
            <w:tcW w:w="6576" w:type="dxa"/>
            <w:tcBorders>
              <w:right w:val="single" w:sz="4" w:space="0" w:color="auto"/>
            </w:tcBorders>
            <w:shd w:val="clear" w:color="auto" w:fill="auto"/>
          </w:tcPr>
          <w:p w:rsidR="000708BF" w:rsidRPr="006C1634" w:rsidRDefault="000708BF" w:rsidP="00960997">
            <w:pPr>
              <w:pStyle w:val="Bordersmall"/>
              <w:spacing w:after="240"/>
              <w:rPr>
                <w:rFonts w:ascii="ITC Avant Garde" w:eastAsia="Calibri" w:hAnsi="ITC Avant Garde" w:cs="Times New Roman"/>
                <w:sz w:val="18"/>
                <w:szCs w:val="18"/>
                <w:lang w:val="es-ES_tradnl"/>
              </w:rPr>
            </w:pPr>
            <w:r w:rsidRPr="006C1634">
              <w:rPr>
                <w:rFonts w:ascii="ITC Avant Garde" w:hAnsi="ITC Avant Garde"/>
                <w:noProof/>
                <w:sz w:val="18"/>
                <w:szCs w:val="18"/>
                <w:lang w:val="es-MX" w:eastAsia="es-MX"/>
              </w:rPr>
              <w:drawing>
                <wp:inline distT="0" distB="0" distL="0" distR="0" wp14:anchorId="3AAAA041" wp14:editId="3ED2A7A5">
                  <wp:extent cx="4175125" cy="1975485"/>
                  <wp:effectExtent l="0" t="0" r="0" b="5715"/>
                  <wp:docPr id="1" name="Picture 1" descr="Se describe el espacio en sala de transmoisores antes y después del big bang puro" title="Figura 2: Diagrama de flujo del proceso de dimensionamiento y costeo del acceso y uso de espacio en uno de los edificios del AEP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5125" cy="1975485"/>
                          </a:xfrm>
                          <a:prstGeom prst="rect">
                            <a:avLst/>
                          </a:prstGeom>
                          <a:noFill/>
                          <a:ln>
                            <a:noFill/>
                          </a:ln>
                        </pic:spPr>
                      </pic:pic>
                    </a:graphicData>
                  </a:graphic>
                </wp:inline>
              </w:drawing>
            </w:r>
          </w:p>
        </w:tc>
        <w:tc>
          <w:tcPr>
            <w:tcW w:w="2154" w:type="dxa"/>
            <w:tcBorders>
              <w:left w:val="single" w:sz="4" w:space="0" w:color="auto"/>
            </w:tcBorders>
            <w:shd w:val="clear" w:color="auto" w:fill="auto"/>
          </w:tcPr>
          <w:p w:rsidR="000708BF" w:rsidRPr="006C1634" w:rsidRDefault="000708BF" w:rsidP="00312C6D">
            <w:pPr>
              <w:pStyle w:val="Captionsmall"/>
              <w:spacing w:after="240" w:line="280" w:lineRule="atLeast"/>
              <w:rPr>
                <w:rFonts w:ascii="ITC Avant Garde" w:hAnsi="ITC Avant Garde"/>
                <w:lang w:val="es-ES_tradnl"/>
              </w:rPr>
            </w:pPr>
            <w:r w:rsidRPr="006C1634">
              <w:rPr>
                <w:rFonts w:ascii="ITC Avant Garde" w:hAnsi="ITC Avant Garde"/>
                <w:lang w:val="es-ES_tradnl"/>
              </w:rPr>
              <w:t xml:space="preserve">Figura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2</w:t>
            </w:r>
            <w:r w:rsidRPr="006C1634">
              <w:rPr>
                <w:rFonts w:ascii="ITC Avant Garde" w:hAnsi="ITC Avant Garde"/>
                <w:lang w:val="es-ES_tradnl"/>
              </w:rPr>
              <w:fldChar w:fldCharType="end"/>
            </w:r>
            <w:r w:rsidRPr="006C1634">
              <w:rPr>
                <w:rFonts w:ascii="ITC Avant Garde" w:hAnsi="ITC Avant Garde"/>
                <w:lang w:val="es-ES_tradnl"/>
              </w:rPr>
              <w:t>: Diagrama de flujo del proceso de dimensionamiento y costeo del acceso y uso de espacio en</w:t>
            </w:r>
            <w:r w:rsidR="00A64D07" w:rsidRPr="006C1634">
              <w:rPr>
                <w:rFonts w:ascii="ITC Avant Garde" w:hAnsi="ITC Avant Garde"/>
                <w:lang w:val="es-ES_tradnl"/>
              </w:rPr>
              <w:t xml:space="preserve"> uno de los edificios del AEP</w:t>
            </w:r>
            <w:r w:rsidR="00A64D07" w:rsidRPr="006C1634">
              <w:rPr>
                <w:rFonts w:ascii="ITC Avant Garde" w:hAnsi="ITC Avant Garde"/>
                <w:color w:val="0000FF"/>
                <w:lang w:val="es-ES_tradnl"/>
              </w:rPr>
              <w:t xml:space="preserve"> </w:t>
            </w:r>
            <w:r w:rsidRPr="006C1634">
              <w:rPr>
                <w:rFonts w:ascii="ITC Avant Garde" w:hAnsi="ITC Avant Garde"/>
                <w:lang w:val="es-ES_tradnl"/>
              </w:rPr>
              <w:t xml:space="preserve">[Fuente: </w:t>
            </w:r>
            <w:r w:rsidR="00312C6D" w:rsidRPr="006C1634">
              <w:rPr>
                <w:rFonts w:ascii="ITC Avant Garde" w:hAnsi="ITC Avant Garde"/>
                <w:lang w:val="es-ES_tradnl"/>
              </w:rPr>
              <w:t>IFT</w:t>
            </w:r>
            <w:r w:rsidRPr="006C1634">
              <w:rPr>
                <w:rFonts w:ascii="ITC Avant Garde" w:hAnsi="ITC Avant Garde"/>
                <w:lang w:val="es-ES_tradnl"/>
              </w:rPr>
              <w:t>, 2015]</w:t>
            </w:r>
          </w:p>
        </w:tc>
      </w:tr>
    </w:tbl>
    <w:p w:rsidR="000708BF" w:rsidRPr="00400EF5" w:rsidRDefault="00400EF5" w:rsidP="000708BF">
      <w:pPr>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4</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¿Está de acuerdo con la metodología de dimensionamiento implementada en el modelo?</w:t>
      </w:r>
    </w:p>
    <w:p w:rsidR="000708BF" w:rsidRPr="006C1634" w:rsidRDefault="000708BF" w:rsidP="000708BF">
      <w:pPr>
        <w:pStyle w:val="Ttulo2"/>
        <w:rPr>
          <w:rFonts w:ascii="ITC Avant Garde" w:hAnsi="ITC Avant Garde"/>
          <w:sz w:val="18"/>
          <w:szCs w:val="18"/>
          <w:lang w:val="es-ES_tradnl"/>
        </w:rPr>
      </w:pPr>
      <w:r w:rsidRPr="006C1634">
        <w:rPr>
          <w:rFonts w:ascii="ITC Avant Garde" w:hAnsi="ITC Avant Garde"/>
          <w:sz w:val="18"/>
          <w:szCs w:val="18"/>
          <w:lang w:val="es-ES_tradnl"/>
        </w:rPr>
        <w:t xml:space="preserve">Aspectos relacionados con las principales variables del modelo </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Opciones asociadas a la demanda</w:t>
      </w:r>
    </w:p>
    <w:p w:rsidR="000708BF" w:rsidRPr="006C1634" w:rsidRDefault="000708BF" w:rsidP="000708BF">
      <w:pPr>
        <w:pStyle w:val="Listaconvietas"/>
        <w:numPr>
          <w:ilvl w:val="0"/>
          <w:numId w:val="0"/>
        </w:numPr>
        <w:rPr>
          <w:rFonts w:ascii="ITC Avant Garde" w:hAnsi="ITC Avant Garde"/>
          <w:sz w:val="18"/>
          <w:szCs w:val="18"/>
          <w:lang w:val="es-ES_tradnl"/>
        </w:rPr>
      </w:pPr>
      <w:r w:rsidRPr="006C1634">
        <w:rPr>
          <w:rFonts w:ascii="ITC Avant Garde" w:hAnsi="ITC Avant Garde"/>
          <w:sz w:val="18"/>
          <w:szCs w:val="18"/>
          <w:lang w:val="es-ES_tradnl"/>
        </w:rPr>
        <w:t>El nivel de demanda asumido en el modelo varía en función del escenario seleccionado y del servicio analizado.</w:t>
      </w:r>
    </w:p>
    <w:p w:rsidR="000708BF" w:rsidRPr="006C1634" w:rsidRDefault="000708BF" w:rsidP="000708BF">
      <w:pPr>
        <w:pStyle w:val="Listaconvietas"/>
        <w:numPr>
          <w:ilvl w:val="0"/>
          <w:numId w:val="0"/>
        </w:numPr>
        <w:rPr>
          <w:rFonts w:ascii="ITC Avant Garde" w:hAnsi="ITC Avant Garde"/>
          <w:sz w:val="18"/>
          <w:szCs w:val="18"/>
          <w:lang w:val="es-ES_tradnl"/>
        </w:rPr>
      </w:pPr>
      <w:r w:rsidRPr="006C1634">
        <w:rPr>
          <w:rFonts w:ascii="ITC Avant Garde" w:hAnsi="ITC Avant Garde"/>
          <w:sz w:val="18"/>
          <w:szCs w:val="18"/>
          <w:lang w:val="es-ES_tradnl"/>
        </w:rPr>
        <w:t>El modelo permite seleccionar el escenario de demanda a m</w:t>
      </w:r>
      <w:bookmarkStart w:id="0" w:name="_GoBack"/>
      <w:bookmarkEnd w:id="0"/>
      <w:r w:rsidRPr="006C1634">
        <w:rPr>
          <w:rFonts w:ascii="ITC Avant Garde" w:hAnsi="ITC Avant Garde"/>
          <w:sz w:val="18"/>
          <w:szCs w:val="18"/>
          <w:lang w:val="es-ES_tradnl"/>
        </w:rPr>
        <w:t>odelar (antes o después del apagón analógico), así como el año en el que se produce el apagón analógico para cada emplazamiento. El nivel de demanda para cada escenario (antes o después del apagón analógico) dependerá del año de referencia seleccionado.</w:t>
      </w:r>
    </w:p>
    <w:p w:rsidR="000708BF" w:rsidRPr="006C1634" w:rsidRDefault="000708BF" w:rsidP="000708BF">
      <w:pPr>
        <w:pStyle w:val="Listaconvietas"/>
        <w:numPr>
          <w:ilvl w:val="0"/>
          <w:numId w:val="0"/>
        </w:numPr>
        <w:rPr>
          <w:rFonts w:ascii="ITC Avant Garde" w:hAnsi="ITC Avant Garde"/>
          <w:sz w:val="18"/>
          <w:szCs w:val="18"/>
          <w:lang w:val="es-ES_tradnl"/>
        </w:rPr>
      </w:pPr>
      <w:r w:rsidRPr="006C1634">
        <w:rPr>
          <w:rFonts w:ascii="ITC Avant Garde" w:hAnsi="ITC Avant Garde"/>
          <w:sz w:val="18"/>
          <w:szCs w:val="18"/>
          <w:lang w:val="es-ES_tradnl"/>
        </w:rPr>
        <w:lastRenderedPageBreak/>
        <w:t>La demanda acumulada a largo plazo es un dato de entrada del modelo; ésta debe introducirse en el modelo para cada uno de los emplazamientos. La utilización de este enfoque evita el reemplazo de activos en el largo plazo, y por consiguiente el redimensionamiento de la red.</w:t>
      </w:r>
    </w:p>
    <w:p w:rsidR="000708BF" w:rsidRPr="006C1634" w:rsidRDefault="000708BF" w:rsidP="000708BF">
      <w:pPr>
        <w:pStyle w:val="Listaconvietas"/>
        <w:numPr>
          <w:ilvl w:val="0"/>
          <w:numId w:val="0"/>
        </w:numPr>
        <w:rPr>
          <w:rFonts w:ascii="ITC Avant Garde" w:hAnsi="ITC Avant Garde"/>
          <w:sz w:val="18"/>
          <w:szCs w:val="18"/>
          <w:lang w:val="es-ES_tradnl"/>
        </w:rPr>
      </w:pPr>
      <w:r w:rsidRPr="006C1634">
        <w:rPr>
          <w:rFonts w:ascii="ITC Avant Garde" w:hAnsi="ITC Avant Garde"/>
          <w:sz w:val="18"/>
          <w:szCs w:val="18"/>
          <w:lang w:val="es-ES_tradnl"/>
        </w:rPr>
        <w:t>A modo de ejemplo, a continuación se presentan las características de la demanda de televisión, para los diferentes escenarios, operadores y servicios.</w:t>
      </w:r>
    </w:p>
    <w:p w:rsidR="000708BF" w:rsidRPr="006C1634" w:rsidRDefault="000708BF" w:rsidP="00312C6D">
      <w:pPr>
        <w:pStyle w:val="Descripcin"/>
        <w:spacing w:before="360" w:after="120" w:line="280" w:lineRule="atLeast"/>
        <w:rPr>
          <w:rFonts w:ascii="ITC Avant Garde" w:hAnsi="ITC Avant Garde"/>
          <w:lang w:val="es-ES_tradnl"/>
        </w:rPr>
      </w:pPr>
      <w:r w:rsidRPr="006C1634">
        <w:rPr>
          <w:rFonts w:ascii="ITC Avant Garde" w:hAnsi="ITC Avant Garde"/>
          <w:lang w:val="es-ES_tradnl"/>
        </w:rPr>
        <w:t>Figur</w:t>
      </w:r>
      <w:r w:rsidR="00312C6D" w:rsidRPr="006C1634">
        <w:rPr>
          <w:rFonts w:ascii="ITC Avant Garde" w:hAnsi="ITC Avant Garde"/>
          <w:lang w:val="es-ES_tradnl"/>
        </w:rPr>
        <w:t>a</w:t>
      </w:r>
      <w:r w:rsidRPr="006C1634">
        <w:rPr>
          <w:rFonts w:ascii="ITC Avant Garde" w:hAnsi="ITC Avant Garde"/>
          <w:lang w:val="es-ES_tradnl"/>
        </w:rPr>
        <w:t xml:space="preserve">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3</w:t>
      </w:r>
      <w:r w:rsidRPr="006C1634">
        <w:rPr>
          <w:rFonts w:ascii="ITC Avant Garde" w:hAnsi="ITC Avant Garde"/>
          <w:lang w:val="es-ES_tradnl"/>
        </w:rPr>
        <w:fldChar w:fldCharType="end"/>
      </w:r>
      <w:r w:rsidRPr="006C1634">
        <w:rPr>
          <w:rFonts w:ascii="ITC Avant Garde" w:hAnsi="ITC Avant Garde"/>
          <w:lang w:val="es-ES_tradnl"/>
        </w:rPr>
        <w:t xml:space="preserve">: Resumen de las características de la demanda de televisión [Fuente: </w:t>
      </w:r>
      <w:r w:rsidR="00312C6D" w:rsidRPr="006C1634">
        <w:rPr>
          <w:rFonts w:ascii="ITC Avant Garde" w:hAnsi="ITC Avant Garde"/>
          <w:lang w:val="es-ES_tradnl"/>
        </w:rPr>
        <w:t>IFT</w:t>
      </w:r>
      <w:r w:rsidRPr="006C1634">
        <w:rPr>
          <w:rFonts w:ascii="ITC Avant Garde" w:hAnsi="ITC Avant Garde"/>
          <w:lang w:val="es-ES_tradnl"/>
        </w:rPr>
        <w:t>, 2015]</w:t>
      </w:r>
    </w:p>
    <w:p w:rsidR="000708BF" w:rsidRPr="006C1634" w:rsidRDefault="000708BF" w:rsidP="000708BF">
      <w:pPr>
        <w:pStyle w:val="Listaconvietas"/>
        <w:numPr>
          <w:ilvl w:val="0"/>
          <w:numId w:val="0"/>
        </w:numPr>
        <w:ind w:left="360" w:hanging="360"/>
        <w:rPr>
          <w:rFonts w:ascii="ITC Avant Garde" w:hAnsi="ITC Avant Garde"/>
          <w:sz w:val="18"/>
          <w:szCs w:val="18"/>
          <w:lang w:val="es-ES_tradnl"/>
        </w:rPr>
      </w:pPr>
      <w:r w:rsidRPr="006C1634">
        <w:rPr>
          <w:rFonts w:ascii="ITC Avant Garde" w:hAnsi="ITC Avant Garde"/>
          <w:noProof/>
          <w:sz w:val="18"/>
          <w:szCs w:val="18"/>
          <w:lang w:val="es-MX" w:eastAsia="es-MX"/>
        </w:rPr>
        <w:drawing>
          <wp:inline distT="0" distB="0" distL="0" distR="0" wp14:anchorId="32762A1A" wp14:editId="7A39F405">
            <wp:extent cx="5543550" cy="1871789"/>
            <wp:effectExtent l="0" t="0" r="0" b="0"/>
            <wp:docPr id="3" name="Picture 3" descr="Se describe demanda enates del apagón analógico y despues del apagón analógico" title="Figura 3: Resumen de las características de la demanda de televisión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1871789"/>
                    </a:xfrm>
                    <a:prstGeom prst="rect">
                      <a:avLst/>
                    </a:prstGeom>
                    <a:noFill/>
                    <a:ln>
                      <a:noFill/>
                    </a:ln>
                  </pic:spPr>
                </pic:pic>
              </a:graphicData>
            </a:graphic>
          </wp:inline>
        </w:drawing>
      </w:r>
    </w:p>
    <w:p w:rsidR="000708BF" w:rsidRPr="00400EF5" w:rsidRDefault="00400EF5" w:rsidP="000708BF">
      <w:pPr>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5</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¿Está de acuerdo con las características de demanda implementadas en el modelo?</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Parámetros de costos</w:t>
      </w:r>
    </w:p>
    <w:p w:rsidR="000708BF" w:rsidRPr="006C1634" w:rsidRDefault="000708BF" w:rsidP="000708BF">
      <w:pPr>
        <w:rPr>
          <w:rFonts w:ascii="ITC Avant Garde" w:hAnsi="ITC Avant Garde"/>
          <w:sz w:val="18"/>
          <w:szCs w:val="18"/>
          <w:lang w:val="es-ES_tradnl"/>
        </w:rPr>
      </w:pPr>
      <w:r w:rsidRPr="006C1634">
        <w:rPr>
          <w:rFonts w:ascii="ITC Avant Garde" w:hAnsi="ITC Avant Garde"/>
          <w:b/>
          <w:bCs/>
          <w:sz w:val="18"/>
          <w:szCs w:val="18"/>
          <w:lang w:val="es-ES_tradnl"/>
        </w:rPr>
        <w:t>El modelo calcula los resultados en base a costos corrientes</w:t>
      </w:r>
      <w:r w:rsidRPr="006C1634">
        <w:rPr>
          <w:rFonts w:ascii="ITC Avant Garde" w:hAnsi="ITC Avant Garde"/>
          <w:sz w:val="18"/>
          <w:szCs w:val="18"/>
          <w:lang w:val="es-ES_tradnl"/>
        </w:rPr>
        <w:t xml:space="preserve"> (CCA, del inglés </w:t>
      </w:r>
      <w:proofErr w:type="spellStart"/>
      <w:r w:rsidRPr="006C1634">
        <w:rPr>
          <w:rFonts w:ascii="ITC Avant Garde" w:hAnsi="ITC Avant Garde"/>
          <w:i/>
          <w:iCs/>
          <w:sz w:val="18"/>
          <w:szCs w:val="18"/>
          <w:lang w:val="es-ES_tradnl"/>
        </w:rPr>
        <w:t>current</w:t>
      </w:r>
      <w:proofErr w:type="spellEnd"/>
      <w:r w:rsidRPr="006C1634">
        <w:rPr>
          <w:rFonts w:ascii="ITC Avant Garde" w:hAnsi="ITC Avant Garde"/>
          <w:i/>
          <w:iCs/>
          <w:sz w:val="18"/>
          <w:szCs w:val="18"/>
          <w:lang w:val="es-ES_tradnl"/>
        </w:rPr>
        <w:t xml:space="preserve"> </w:t>
      </w:r>
      <w:proofErr w:type="spellStart"/>
      <w:r w:rsidRPr="006C1634">
        <w:rPr>
          <w:rFonts w:ascii="ITC Avant Garde" w:hAnsi="ITC Avant Garde"/>
          <w:i/>
          <w:iCs/>
          <w:sz w:val="18"/>
          <w:szCs w:val="18"/>
          <w:lang w:val="es-ES_tradnl"/>
        </w:rPr>
        <w:t>cost</w:t>
      </w:r>
      <w:proofErr w:type="spellEnd"/>
      <w:r w:rsidRPr="006C1634">
        <w:rPr>
          <w:rFonts w:ascii="ITC Avant Garde" w:hAnsi="ITC Avant Garde"/>
          <w:i/>
          <w:iCs/>
          <w:sz w:val="18"/>
          <w:szCs w:val="18"/>
          <w:lang w:val="es-ES_tradnl"/>
        </w:rPr>
        <w:t xml:space="preserve"> </w:t>
      </w:r>
      <w:proofErr w:type="spellStart"/>
      <w:r w:rsidRPr="006C1634">
        <w:rPr>
          <w:rFonts w:ascii="ITC Avant Garde" w:hAnsi="ITC Avant Garde"/>
          <w:i/>
          <w:iCs/>
          <w:sz w:val="18"/>
          <w:szCs w:val="18"/>
          <w:lang w:val="es-ES_tradnl"/>
        </w:rPr>
        <w:t>accounting</w:t>
      </w:r>
      <w:proofErr w:type="spellEnd"/>
      <w:r w:rsidRPr="006C1634">
        <w:rPr>
          <w:rFonts w:ascii="ITC Avant Garde" w:hAnsi="ITC Avant Garde"/>
          <w:sz w:val="18"/>
          <w:szCs w:val="18"/>
          <w:lang w:val="es-ES_tradnl"/>
        </w:rPr>
        <w:t xml:space="preserve">). Esta metodología calcula el costo bruto de reposición (GRC, del inglés </w:t>
      </w:r>
      <w:proofErr w:type="spellStart"/>
      <w:r w:rsidRPr="006C1634">
        <w:rPr>
          <w:rFonts w:ascii="ITC Avant Garde" w:hAnsi="ITC Avant Garde"/>
          <w:i/>
          <w:iCs/>
          <w:sz w:val="18"/>
          <w:szCs w:val="18"/>
          <w:lang w:val="es-ES_tradnl"/>
        </w:rPr>
        <w:t>gross</w:t>
      </w:r>
      <w:proofErr w:type="spellEnd"/>
      <w:r w:rsidRPr="006C1634">
        <w:rPr>
          <w:rFonts w:ascii="ITC Avant Garde" w:hAnsi="ITC Avant Garde"/>
          <w:i/>
          <w:iCs/>
          <w:sz w:val="18"/>
          <w:szCs w:val="18"/>
          <w:lang w:val="es-ES_tradnl"/>
        </w:rPr>
        <w:t xml:space="preserve"> </w:t>
      </w:r>
      <w:proofErr w:type="spellStart"/>
      <w:r w:rsidRPr="006C1634">
        <w:rPr>
          <w:rFonts w:ascii="ITC Avant Garde" w:hAnsi="ITC Avant Garde"/>
          <w:i/>
          <w:iCs/>
          <w:sz w:val="18"/>
          <w:szCs w:val="18"/>
          <w:lang w:val="es-ES_tradnl"/>
        </w:rPr>
        <w:t>replacement</w:t>
      </w:r>
      <w:proofErr w:type="spellEnd"/>
      <w:r w:rsidRPr="006C1634">
        <w:rPr>
          <w:rFonts w:ascii="ITC Avant Garde" w:hAnsi="ITC Avant Garde"/>
          <w:i/>
          <w:iCs/>
          <w:sz w:val="18"/>
          <w:szCs w:val="18"/>
          <w:lang w:val="es-ES_tradnl"/>
        </w:rPr>
        <w:t xml:space="preserve"> </w:t>
      </w:r>
      <w:proofErr w:type="spellStart"/>
      <w:r w:rsidRPr="006C1634">
        <w:rPr>
          <w:rFonts w:ascii="ITC Avant Garde" w:hAnsi="ITC Avant Garde"/>
          <w:i/>
          <w:iCs/>
          <w:sz w:val="18"/>
          <w:szCs w:val="18"/>
          <w:lang w:val="es-ES_tradnl"/>
        </w:rPr>
        <w:t>cost</w:t>
      </w:r>
      <w:proofErr w:type="spellEnd"/>
      <w:r w:rsidRPr="006C1634">
        <w:rPr>
          <w:rFonts w:ascii="ITC Avant Garde" w:hAnsi="ITC Avant Garde"/>
          <w:sz w:val="18"/>
          <w:szCs w:val="18"/>
          <w:lang w:val="es-ES_tradnl"/>
        </w:rPr>
        <w:t>) de la red, es decir, los costos que incurriría un operador por la construcción de una red a día de hoy (o en el año de ejecución del modelo).</w:t>
      </w:r>
    </w:p>
    <w:p w:rsidR="000708BF" w:rsidRPr="006C1634" w:rsidRDefault="000708BF" w:rsidP="000708BF">
      <w:pPr>
        <w:rPr>
          <w:rFonts w:ascii="ITC Avant Garde" w:hAnsi="ITC Avant Garde"/>
          <w:bCs/>
          <w:sz w:val="18"/>
          <w:szCs w:val="18"/>
          <w:lang w:val="es-ES_tradnl"/>
        </w:rPr>
      </w:pPr>
      <w:r w:rsidRPr="006C1634">
        <w:rPr>
          <w:rFonts w:ascii="ITC Avant Garde" w:hAnsi="ITC Avant Garde"/>
          <w:bCs/>
          <w:sz w:val="18"/>
          <w:szCs w:val="18"/>
          <w:lang w:val="es-ES_tradnl"/>
        </w:rPr>
        <w:t xml:space="preserve">Asimismo, los parámetros de costos utilizados para el cálculo de los costos de los servicios en el modelo son los siguientes: </w:t>
      </w:r>
    </w:p>
    <w:p w:rsidR="000708BF" w:rsidRPr="006C1634" w:rsidRDefault="000708BF" w:rsidP="000708BF">
      <w:pPr>
        <w:pStyle w:val="ListBulletCompact"/>
        <w:rPr>
          <w:rFonts w:ascii="ITC Avant Garde" w:hAnsi="ITC Avant Garde"/>
          <w:sz w:val="18"/>
          <w:szCs w:val="18"/>
          <w:lang w:val="es-ES_tradnl"/>
        </w:rPr>
      </w:pPr>
      <w:r w:rsidRPr="006C1634">
        <w:rPr>
          <w:rFonts w:ascii="ITC Avant Garde" w:hAnsi="ITC Avant Garde"/>
          <w:b/>
          <w:sz w:val="18"/>
          <w:szCs w:val="18"/>
          <w:lang w:val="es-ES_tradnl"/>
        </w:rPr>
        <w:t>año de referencia</w:t>
      </w:r>
      <w:r w:rsidRPr="006C1634">
        <w:rPr>
          <w:rFonts w:ascii="ITC Avant Garde" w:hAnsi="ITC Avant Garde"/>
          <w:sz w:val="18"/>
          <w:szCs w:val="18"/>
          <w:lang w:val="es-ES_tradnl"/>
        </w:rPr>
        <w:t xml:space="preserve"> </w:t>
      </w:r>
      <w:r w:rsidRPr="006C1634">
        <w:rPr>
          <w:rFonts w:ascii="ITC Avant Garde" w:hAnsi="ITC Avant Garde"/>
          <w:bCs/>
          <w:sz w:val="18"/>
          <w:szCs w:val="18"/>
          <w:lang w:val="es-ES_tradnl"/>
        </w:rPr>
        <w:t xml:space="preserve">– </w:t>
      </w:r>
      <w:r w:rsidRPr="006C1634">
        <w:rPr>
          <w:rFonts w:ascii="ITC Avant Garde" w:hAnsi="ITC Avant Garde"/>
          <w:sz w:val="18"/>
          <w:szCs w:val="18"/>
          <w:lang w:val="es-ES_tradnl"/>
        </w:rPr>
        <w:t>de 2015 a 2024</w:t>
      </w:r>
    </w:p>
    <w:p w:rsidR="000708BF" w:rsidRPr="006C1634" w:rsidRDefault="000708BF" w:rsidP="000708BF">
      <w:pPr>
        <w:pStyle w:val="ListBulletCompact"/>
        <w:rPr>
          <w:rFonts w:ascii="ITC Avant Garde" w:hAnsi="ITC Avant Garde"/>
          <w:b/>
          <w:sz w:val="18"/>
          <w:szCs w:val="18"/>
          <w:lang w:val="es-ES_tradnl"/>
        </w:rPr>
      </w:pPr>
      <w:r w:rsidRPr="006C1634">
        <w:rPr>
          <w:rFonts w:ascii="ITC Avant Garde" w:hAnsi="ITC Avant Garde"/>
          <w:b/>
          <w:sz w:val="18"/>
          <w:szCs w:val="18"/>
          <w:lang w:val="es-ES_tradnl"/>
        </w:rPr>
        <w:t>vida útil</w:t>
      </w:r>
      <w:r w:rsidRPr="006C1634">
        <w:rPr>
          <w:rFonts w:ascii="ITC Avant Garde" w:hAnsi="ITC Avant Garde"/>
          <w:sz w:val="18"/>
          <w:szCs w:val="18"/>
          <w:lang w:val="es-ES_tradnl"/>
        </w:rPr>
        <w:t xml:space="preserve"> </w:t>
      </w:r>
      <w:r w:rsidRPr="006C1634">
        <w:rPr>
          <w:rFonts w:ascii="ITC Avant Garde" w:hAnsi="ITC Avant Garde"/>
          <w:bCs/>
          <w:sz w:val="18"/>
          <w:szCs w:val="18"/>
          <w:lang w:val="es-ES_tradnl"/>
        </w:rPr>
        <w:t xml:space="preserve">– </w:t>
      </w:r>
      <w:r w:rsidRPr="006C1634">
        <w:rPr>
          <w:rFonts w:ascii="ITC Avant Garde" w:hAnsi="ITC Avant Garde"/>
          <w:sz w:val="18"/>
          <w:szCs w:val="18"/>
          <w:lang w:val="es-ES_tradnl"/>
        </w:rPr>
        <w:t>vidas útiles contables</w:t>
      </w:r>
    </w:p>
    <w:p w:rsidR="000708BF" w:rsidRPr="006C1634" w:rsidRDefault="000708BF" w:rsidP="000708BF">
      <w:pPr>
        <w:pStyle w:val="ListBulletCompact"/>
        <w:rPr>
          <w:rFonts w:ascii="ITC Avant Garde" w:hAnsi="ITC Avant Garde"/>
          <w:b/>
          <w:sz w:val="18"/>
          <w:szCs w:val="18"/>
          <w:lang w:val="es-ES_tradnl"/>
        </w:rPr>
      </w:pPr>
      <w:r w:rsidRPr="006C1634">
        <w:rPr>
          <w:rFonts w:ascii="ITC Avant Garde" w:hAnsi="ITC Avant Garde"/>
          <w:b/>
          <w:sz w:val="18"/>
          <w:szCs w:val="18"/>
          <w:lang w:val="es-ES_tradnl"/>
        </w:rPr>
        <w:t>tipo de costeo</w:t>
      </w:r>
      <w:r w:rsidRPr="006C1634">
        <w:rPr>
          <w:rFonts w:ascii="ITC Avant Garde" w:hAnsi="ITC Avant Garde"/>
          <w:sz w:val="18"/>
          <w:szCs w:val="18"/>
          <w:lang w:val="es-ES_tradnl"/>
        </w:rPr>
        <w:t xml:space="preserve"> </w:t>
      </w:r>
      <w:r w:rsidRPr="006C1634">
        <w:rPr>
          <w:rFonts w:ascii="ITC Avant Garde" w:hAnsi="ITC Avant Garde"/>
          <w:bCs/>
          <w:sz w:val="18"/>
          <w:szCs w:val="18"/>
          <w:lang w:val="es-ES_tradnl"/>
        </w:rPr>
        <w:t xml:space="preserve">– </w:t>
      </w:r>
      <w:r w:rsidRPr="006C1634">
        <w:rPr>
          <w:rFonts w:ascii="ITC Avant Garde" w:hAnsi="ITC Avant Garde"/>
          <w:sz w:val="18"/>
          <w:szCs w:val="18"/>
          <w:lang w:val="es-ES_tradnl"/>
        </w:rPr>
        <w:t>costos</w:t>
      </w:r>
      <w:r w:rsidRPr="006C1634">
        <w:rPr>
          <w:rFonts w:ascii="ITC Avant Garde" w:hAnsi="ITC Avant Garde"/>
          <w:b/>
          <w:sz w:val="18"/>
          <w:szCs w:val="18"/>
          <w:lang w:val="es-ES_tradnl"/>
        </w:rPr>
        <w:t xml:space="preserve"> </w:t>
      </w:r>
      <w:r w:rsidRPr="006C1634">
        <w:rPr>
          <w:rFonts w:ascii="ITC Avant Garde" w:hAnsi="ITC Avant Garde"/>
          <w:sz w:val="18"/>
          <w:szCs w:val="18"/>
          <w:lang w:val="es-ES_tradnl"/>
        </w:rPr>
        <w:t>corrientes</w:t>
      </w:r>
    </w:p>
    <w:p w:rsidR="000708BF" w:rsidRPr="006C1634" w:rsidRDefault="000708BF" w:rsidP="000708BF">
      <w:pPr>
        <w:pStyle w:val="ListBulletCompact"/>
        <w:rPr>
          <w:rFonts w:ascii="ITC Avant Garde" w:hAnsi="ITC Avant Garde"/>
          <w:sz w:val="18"/>
          <w:szCs w:val="18"/>
          <w:lang w:val="es-ES_tradnl"/>
        </w:rPr>
      </w:pPr>
      <w:r w:rsidRPr="006C1634">
        <w:rPr>
          <w:rFonts w:ascii="ITC Avant Garde" w:hAnsi="ITC Avant Garde"/>
          <w:b/>
          <w:sz w:val="18"/>
          <w:szCs w:val="18"/>
          <w:lang w:val="es-ES_tradnl"/>
        </w:rPr>
        <w:t xml:space="preserve">perfil de recuperación de los costos </w:t>
      </w:r>
      <w:r w:rsidRPr="006C1634">
        <w:rPr>
          <w:rFonts w:ascii="ITC Avant Garde" w:hAnsi="ITC Avant Garde"/>
          <w:bCs/>
          <w:sz w:val="18"/>
          <w:szCs w:val="18"/>
          <w:lang w:val="es-ES_tradnl"/>
        </w:rPr>
        <w:t xml:space="preserve">– </w:t>
      </w:r>
      <w:r w:rsidRPr="006C1634">
        <w:rPr>
          <w:rFonts w:ascii="ITC Avant Garde" w:hAnsi="ITC Avant Garde"/>
          <w:sz w:val="18"/>
          <w:szCs w:val="18"/>
          <w:lang w:val="es-ES_tradnl"/>
        </w:rPr>
        <w:t>a</w:t>
      </w:r>
      <w:r w:rsidRPr="006C1634">
        <w:rPr>
          <w:rFonts w:ascii="ITC Avant Garde" w:hAnsi="ITC Avant Garde"/>
          <w:bCs/>
          <w:sz w:val="18"/>
          <w:szCs w:val="18"/>
          <w:lang w:val="es-ES_tradnl"/>
        </w:rPr>
        <w:t>nualidad (</w:t>
      </w:r>
      <w:proofErr w:type="spellStart"/>
      <w:r w:rsidRPr="006C1634">
        <w:rPr>
          <w:rFonts w:ascii="ITC Avant Garde" w:hAnsi="ITC Avant Garde"/>
          <w:bCs/>
          <w:i/>
          <w:sz w:val="18"/>
          <w:szCs w:val="18"/>
          <w:lang w:val="es-ES_tradnl"/>
        </w:rPr>
        <w:t>annuity</w:t>
      </w:r>
      <w:proofErr w:type="spellEnd"/>
      <w:r w:rsidRPr="006C1634">
        <w:rPr>
          <w:rFonts w:ascii="ITC Avant Garde" w:hAnsi="ITC Avant Garde"/>
          <w:bCs/>
          <w:sz w:val="18"/>
          <w:szCs w:val="18"/>
          <w:lang w:val="es-ES_tradnl"/>
        </w:rPr>
        <w:t>)</w:t>
      </w:r>
    </w:p>
    <w:p w:rsidR="000708BF" w:rsidRPr="006C1634" w:rsidRDefault="000708BF" w:rsidP="000708BF">
      <w:pPr>
        <w:pStyle w:val="ListBulletCompact"/>
        <w:rPr>
          <w:rFonts w:ascii="ITC Avant Garde" w:hAnsi="ITC Avant Garde"/>
          <w:sz w:val="18"/>
          <w:szCs w:val="18"/>
          <w:lang w:val="es-ES_tradnl"/>
        </w:rPr>
      </w:pPr>
      <w:r w:rsidRPr="006C1634">
        <w:rPr>
          <w:rFonts w:ascii="ITC Avant Garde" w:hAnsi="ITC Avant Garde"/>
          <w:b/>
          <w:sz w:val="18"/>
          <w:szCs w:val="18"/>
          <w:lang w:val="es-ES_tradnl"/>
        </w:rPr>
        <w:t>costo del capital promedio ponderado (CCPP, o WACC por sus siglas en inglés) nominal antes de impuestos</w:t>
      </w:r>
      <w:r w:rsidRPr="006C1634">
        <w:rPr>
          <w:rFonts w:ascii="ITC Avant Garde" w:hAnsi="ITC Avant Garde"/>
          <w:sz w:val="18"/>
          <w:szCs w:val="18"/>
          <w:lang w:val="es-ES_tradnl"/>
        </w:rPr>
        <w:t xml:space="preserve"> </w:t>
      </w:r>
      <w:r w:rsidRPr="006C1634">
        <w:rPr>
          <w:rFonts w:ascii="ITC Avant Garde" w:hAnsi="ITC Avant Garde"/>
          <w:bCs/>
          <w:sz w:val="18"/>
          <w:szCs w:val="18"/>
          <w:lang w:val="es-ES_tradnl"/>
        </w:rPr>
        <w:t>– definido por el IFT</w:t>
      </w:r>
    </w:p>
    <w:p w:rsidR="000708BF" w:rsidRDefault="000708BF" w:rsidP="00312C6D">
      <w:pPr>
        <w:pStyle w:val="Listaconvietas"/>
        <w:spacing w:after="0"/>
        <w:ind w:left="357" w:hanging="357"/>
        <w:rPr>
          <w:rFonts w:ascii="ITC Avant Garde" w:hAnsi="ITC Avant Garde"/>
          <w:sz w:val="18"/>
          <w:szCs w:val="18"/>
          <w:lang w:val="es-ES_tradnl"/>
        </w:rPr>
      </w:pPr>
      <w:proofErr w:type="spellStart"/>
      <w:r w:rsidRPr="006C1634">
        <w:rPr>
          <w:rFonts w:ascii="ITC Avant Garde" w:hAnsi="ITC Avant Garde"/>
          <w:b/>
          <w:i/>
          <w:iCs/>
          <w:sz w:val="18"/>
          <w:szCs w:val="18"/>
          <w:lang w:val="es-ES_tradnl"/>
        </w:rPr>
        <w:t>mark</w:t>
      </w:r>
      <w:proofErr w:type="spellEnd"/>
      <w:r w:rsidRPr="006C1634">
        <w:rPr>
          <w:rFonts w:ascii="ITC Avant Garde" w:hAnsi="ITC Avant Garde"/>
          <w:b/>
          <w:i/>
          <w:iCs/>
          <w:sz w:val="18"/>
          <w:szCs w:val="18"/>
          <w:lang w:val="es-ES_tradnl"/>
        </w:rPr>
        <w:t>-up</w:t>
      </w:r>
      <w:r w:rsidRPr="006C1634">
        <w:rPr>
          <w:rFonts w:ascii="ITC Avant Garde" w:hAnsi="ITC Avant Garde"/>
          <w:b/>
          <w:sz w:val="18"/>
          <w:szCs w:val="18"/>
          <w:lang w:val="es-ES_tradnl"/>
        </w:rPr>
        <w:t xml:space="preserve"> de costos al </w:t>
      </w:r>
      <w:proofErr w:type="spellStart"/>
      <w:r w:rsidRPr="006C1634">
        <w:rPr>
          <w:rFonts w:ascii="ITC Avant Garde" w:hAnsi="ITC Avant Garde"/>
          <w:b/>
          <w:sz w:val="18"/>
          <w:szCs w:val="18"/>
          <w:lang w:val="es-ES_tradnl"/>
        </w:rPr>
        <w:t>capex</w:t>
      </w:r>
      <w:proofErr w:type="spellEnd"/>
      <w:r w:rsidRPr="006C1634">
        <w:rPr>
          <w:rFonts w:ascii="ITC Avant Garde" w:hAnsi="ITC Avant Garde"/>
          <w:b/>
          <w:sz w:val="18"/>
          <w:szCs w:val="18"/>
          <w:lang w:val="es-ES_tradnl"/>
        </w:rPr>
        <w:t xml:space="preserve"> y </w:t>
      </w:r>
      <w:proofErr w:type="spellStart"/>
      <w:r w:rsidRPr="006C1634">
        <w:rPr>
          <w:rFonts w:ascii="ITC Avant Garde" w:hAnsi="ITC Avant Garde"/>
          <w:b/>
          <w:sz w:val="18"/>
          <w:szCs w:val="18"/>
          <w:lang w:val="es-ES_tradnl"/>
        </w:rPr>
        <w:t>opex</w:t>
      </w:r>
      <w:proofErr w:type="spellEnd"/>
      <w:r w:rsidRPr="006C1634">
        <w:rPr>
          <w:rFonts w:ascii="ITC Avant Garde" w:hAnsi="ITC Avant Garde"/>
          <w:sz w:val="18"/>
          <w:szCs w:val="18"/>
          <w:lang w:val="es-ES_tradnl"/>
        </w:rPr>
        <w:t xml:space="preserve"> – fijado en 8% para tener en cuenta los costos comunes.</w:t>
      </w:r>
    </w:p>
    <w:p w:rsidR="00400EF5" w:rsidRPr="006C1634" w:rsidRDefault="00400EF5" w:rsidP="00400EF5">
      <w:pPr>
        <w:pStyle w:val="Listaconvietas"/>
        <w:numPr>
          <w:ilvl w:val="0"/>
          <w:numId w:val="0"/>
        </w:numPr>
        <w:spacing w:after="0"/>
        <w:ind w:left="357"/>
        <w:rPr>
          <w:rFonts w:ascii="ITC Avant Garde" w:hAnsi="ITC Avant Garde"/>
          <w:sz w:val="18"/>
          <w:szCs w:val="18"/>
          <w:lang w:val="es-ES_tradnl"/>
        </w:rPr>
      </w:pPr>
    </w:p>
    <w:p w:rsidR="00400EF5" w:rsidRPr="00400EF5" w:rsidRDefault="00400EF5" w:rsidP="00400EF5">
      <w:pPr>
        <w:spacing w:after="120"/>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6</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xml:space="preserve">: ¿Está de acuerdo con la selección de parámetros de costos definidos en el modelo? </w:t>
      </w:r>
    </w:p>
    <w:p w:rsidR="00312C6D" w:rsidRPr="00400EF5" w:rsidRDefault="00400EF5" w:rsidP="00400EF5">
      <w:pPr>
        <w:spacing w:after="120"/>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7</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¿Cree que existe algún parámetro adicional que debería haberse tenido en cuenta?</w:t>
      </w:r>
    </w:p>
    <w:p w:rsidR="000708BF" w:rsidRPr="006C1634" w:rsidRDefault="000708BF" w:rsidP="000708BF">
      <w:pPr>
        <w:pStyle w:val="Ttulo2"/>
        <w:rPr>
          <w:rFonts w:ascii="ITC Avant Garde" w:hAnsi="ITC Avant Garde"/>
          <w:sz w:val="18"/>
          <w:szCs w:val="18"/>
          <w:lang w:val="es-ES_tradnl"/>
        </w:rPr>
      </w:pPr>
      <w:r w:rsidRPr="006C1634">
        <w:rPr>
          <w:rFonts w:ascii="ITC Avant Garde" w:hAnsi="ITC Avant Garde"/>
          <w:sz w:val="18"/>
          <w:szCs w:val="18"/>
          <w:lang w:val="es-ES_tradnl"/>
        </w:rPr>
        <w:lastRenderedPageBreak/>
        <w:t>Aspectos relacionados con las reglas de dimensionamiento del modelo</w:t>
      </w:r>
    </w:p>
    <w:p w:rsidR="000708BF" w:rsidRPr="006C1634" w:rsidRDefault="000708BF" w:rsidP="000708BF">
      <w:pPr>
        <w:rPr>
          <w:rFonts w:ascii="ITC Avant Garde" w:hAnsi="ITC Avant Garde"/>
          <w:spacing w:val="-4"/>
          <w:sz w:val="18"/>
          <w:szCs w:val="18"/>
          <w:lang w:val="es-ES_tradnl"/>
        </w:rPr>
      </w:pPr>
      <w:r w:rsidRPr="006C1634">
        <w:rPr>
          <w:rFonts w:ascii="ITC Avant Garde" w:hAnsi="ITC Avant Garde"/>
          <w:spacing w:val="-4"/>
          <w:sz w:val="18"/>
          <w:szCs w:val="18"/>
          <w:lang w:val="es-ES_tradnl"/>
        </w:rPr>
        <w:t xml:space="preserve">El modelo permite dimensionar una red real, considerando la red actual del AEP. El </w:t>
      </w:r>
      <w:r w:rsidRPr="006C1634">
        <w:rPr>
          <w:rFonts w:ascii="ITC Avant Garde" w:hAnsi="ITC Avant Garde"/>
          <w:b/>
          <w:bCs/>
          <w:spacing w:val="-4"/>
          <w:sz w:val="18"/>
          <w:szCs w:val="18"/>
          <w:lang w:val="es-ES_tradnl"/>
        </w:rPr>
        <w:t xml:space="preserve">dimensionamiento real </w:t>
      </w:r>
      <w:r w:rsidRPr="006C1634">
        <w:rPr>
          <w:rFonts w:ascii="ITC Avant Garde" w:hAnsi="ITC Avant Garde"/>
          <w:spacing w:val="-4"/>
          <w:sz w:val="18"/>
          <w:szCs w:val="18"/>
          <w:lang w:val="es-ES_tradnl"/>
        </w:rPr>
        <w:t>de la red es la suma de dos componentes: la red existente y la red adicional:</w:t>
      </w:r>
    </w:p>
    <w:p w:rsidR="000708BF" w:rsidRPr="006C1634" w:rsidRDefault="000708BF" w:rsidP="000708BF">
      <w:pPr>
        <w:pStyle w:val="L1"/>
        <w:rPr>
          <w:rFonts w:ascii="ITC Avant Garde" w:hAnsi="ITC Avant Garde"/>
          <w:sz w:val="18"/>
          <w:szCs w:val="18"/>
          <w:lang w:val="es-ES_tradnl"/>
        </w:rPr>
      </w:pPr>
      <w:r w:rsidRPr="006C1634">
        <w:rPr>
          <w:rFonts w:ascii="ITC Avant Garde" w:hAnsi="ITC Avant Garde"/>
          <w:sz w:val="18"/>
          <w:szCs w:val="18"/>
          <w:lang w:val="es-ES_tradnl"/>
        </w:rPr>
        <w:t xml:space="preserve">la </w:t>
      </w:r>
      <w:r w:rsidRPr="006C1634">
        <w:rPr>
          <w:rFonts w:ascii="ITC Avant Garde" w:hAnsi="ITC Avant Garde"/>
          <w:i/>
          <w:iCs/>
          <w:sz w:val="18"/>
          <w:szCs w:val="18"/>
          <w:lang w:val="es-ES_tradnl"/>
        </w:rPr>
        <w:t xml:space="preserve">red existente </w:t>
      </w:r>
      <w:r w:rsidRPr="006C1634">
        <w:rPr>
          <w:rFonts w:ascii="ITC Avant Garde" w:hAnsi="ITC Avant Garde"/>
          <w:sz w:val="18"/>
          <w:szCs w:val="18"/>
          <w:lang w:val="es-ES_tradnl"/>
        </w:rPr>
        <w:t>representa la red del AEP en el estado en que se encuentra hoy en día (es decir, en 2014 en el modelo)</w:t>
      </w:r>
    </w:p>
    <w:p w:rsidR="000708BF" w:rsidRPr="006C1634" w:rsidRDefault="000708BF" w:rsidP="000708BF">
      <w:pPr>
        <w:pStyle w:val="L1"/>
        <w:rPr>
          <w:rFonts w:ascii="ITC Avant Garde" w:hAnsi="ITC Avant Garde"/>
          <w:sz w:val="18"/>
          <w:szCs w:val="18"/>
          <w:lang w:val="es-ES_tradnl"/>
        </w:rPr>
      </w:pPr>
      <w:r w:rsidRPr="006C1634">
        <w:rPr>
          <w:rFonts w:ascii="ITC Avant Garde" w:hAnsi="ITC Avant Garde"/>
          <w:sz w:val="18"/>
          <w:szCs w:val="18"/>
          <w:lang w:val="es-ES_tradnl"/>
        </w:rPr>
        <w:t xml:space="preserve">la </w:t>
      </w:r>
      <w:r w:rsidRPr="006C1634">
        <w:rPr>
          <w:rFonts w:ascii="ITC Avant Garde" w:hAnsi="ITC Avant Garde"/>
          <w:i/>
          <w:iCs/>
          <w:sz w:val="18"/>
          <w:szCs w:val="18"/>
          <w:lang w:val="es-ES_tradnl"/>
        </w:rPr>
        <w:t xml:space="preserve">red adicional </w:t>
      </w:r>
      <w:r w:rsidRPr="006C1634">
        <w:rPr>
          <w:rFonts w:ascii="ITC Avant Garde" w:hAnsi="ITC Avant Garde"/>
          <w:sz w:val="18"/>
          <w:szCs w:val="18"/>
          <w:lang w:val="es-ES_tradnl"/>
        </w:rPr>
        <w:t>representa los elementos adicionales necesarios para satisfacer la demanda adicional generada con respecto a la demanda actual, según el valor que el usuario introduzca en el modelo</w:t>
      </w:r>
    </w:p>
    <w:p w:rsidR="000708BF" w:rsidRPr="006C1634" w:rsidRDefault="000708BF" w:rsidP="000708BF">
      <w:pPr>
        <w:pStyle w:val="L1"/>
        <w:spacing w:after="240"/>
        <w:rPr>
          <w:rFonts w:ascii="ITC Avant Garde" w:hAnsi="ITC Avant Garde"/>
          <w:sz w:val="18"/>
          <w:szCs w:val="18"/>
          <w:lang w:val="es-ES_tradnl"/>
        </w:rPr>
      </w:pPr>
      <w:r w:rsidRPr="006C1634">
        <w:rPr>
          <w:rFonts w:ascii="ITC Avant Garde" w:hAnsi="ITC Avant Garde"/>
          <w:sz w:val="18"/>
          <w:szCs w:val="18"/>
          <w:lang w:val="es-ES_tradnl"/>
        </w:rPr>
        <w:t>el dimensionamiento de la red adicional se realiza de manera eficiente y utilizando activos modernos equivalentes.</w:t>
      </w:r>
    </w:p>
    <w:p w:rsidR="000708BF" w:rsidRPr="006C1634" w:rsidRDefault="000708BF" w:rsidP="000708BF">
      <w:pPr>
        <w:rPr>
          <w:rFonts w:ascii="ITC Avant Garde" w:hAnsi="ITC Avant Garde"/>
          <w:spacing w:val="-4"/>
          <w:sz w:val="18"/>
          <w:szCs w:val="18"/>
          <w:lang w:val="es-ES_tradnl"/>
        </w:rPr>
      </w:pPr>
      <w:r w:rsidRPr="006C1634">
        <w:rPr>
          <w:rFonts w:ascii="ITC Avant Garde" w:hAnsi="ITC Avant Garde"/>
          <w:spacing w:val="-4"/>
          <w:sz w:val="18"/>
          <w:szCs w:val="18"/>
          <w:lang w:val="es-ES_tradnl"/>
        </w:rPr>
        <w:t>Este enfoque utiliza un conjunto de parámetros (ej., ajustes, coeficientes) y datos de entrada (p.ej. características técnicas de los equipos eficientes) cuyos valores pueden calcularse a partir de valores reales o, alternativamente, pueden ser introducidos manualmente por el usuario en el modelo.</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A continuación se presentan de manera esquemática los enfoques utilizados para el dimensionamiento de la red.</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0708BF" w:rsidRPr="006C1634" w:rsidTr="00960997">
        <w:tc>
          <w:tcPr>
            <w:tcW w:w="6576" w:type="dxa"/>
            <w:tcBorders>
              <w:right w:val="single" w:sz="4" w:space="0" w:color="auto"/>
            </w:tcBorders>
            <w:shd w:val="clear" w:color="auto" w:fill="auto"/>
          </w:tcPr>
          <w:p w:rsidR="000708BF" w:rsidRPr="006C1634" w:rsidRDefault="000708BF" w:rsidP="00960997">
            <w:pPr>
              <w:pStyle w:val="Bordersmall"/>
              <w:rPr>
                <w:rFonts w:ascii="ITC Avant Garde" w:hAnsi="ITC Avant Garde"/>
                <w:sz w:val="18"/>
                <w:szCs w:val="18"/>
                <w:lang w:val="es-ES_tradnl"/>
              </w:rPr>
            </w:pPr>
            <w:r w:rsidRPr="006C1634">
              <w:rPr>
                <w:rFonts w:ascii="ITC Avant Garde" w:hAnsi="ITC Avant Garde"/>
                <w:noProof/>
                <w:sz w:val="18"/>
                <w:szCs w:val="18"/>
                <w:lang w:val="es-MX" w:eastAsia="es-MX"/>
              </w:rPr>
              <w:drawing>
                <wp:inline distT="0" distB="0" distL="0" distR="0" wp14:anchorId="1C535616" wp14:editId="441A3D9E">
                  <wp:extent cx="3811905" cy="2084070"/>
                  <wp:effectExtent l="0" t="0" r="0" b="0"/>
                  <wp:docPr id="5" name="Picture 5" descr="se presentan de manera esquemática los enfoques utilizados para el dimensionamiento de la red." title="Figura 4: Enfoques utilizados para el dimensionamiento de la red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905" cy="2084070"/>
                          </a:xfrm>
                          <a:prstGeom prst="rect">
                            <a:avLst/>
                          </a:prstGeom>
                          <a:noFill/>
                          <a:ln>
                            <a:noFill/>
                          </a:ln>
                        </pic:spPr>
                      </pic:pic>
                    </a:graphicData>
                  </a:graphic>
                </wp:inline>
              </w:drawing>
            </w:r>
          </w:p>
        </w:tc>
        <w:tc>
          <w:tcPr>
            <w:tcW w:w="2154" w:type="dxa"/>
            <w:tcBorders>
              <w:left w:val="single" w:sz="4" w:space="0" w:color="auto"/>
            </w:tcBorders>
            <w:shd w:val="clear" w:color="auto" w:fill="auto"/>
          </w:tcPr>
          <w:p w:rsidR="000708BF" w:rsidRPr="006C1634" w:rsidRDefault="000708BF" w:rsidP="00312C6D">
            <w:pPr>
              <w:pStyle w:val="Captionsmall"/>
              <w:spacing w:after="240" w:line="280" w:lineRule="atLeast"/>
              <w:rPr>
                <w:rFonts w:ascii="ITC Avant Garde" w:hAnsi="ITC Avant Garde"/>
                <w:lang w:val="es-ES_tradnl"/>
              </w:rPr>
            </w:pPr>
            <w:r w:rsidRPr="006C1634">
              <w:rPr>
                <w:rFonts w:ascii="ITC Avant Garde" w:hAnsi="ITC Avant Garde"/>
                <w:lang w:val="es-ES_tradnl"/>
              </w:rPr>
              <w:t xml:space="preserve">Figura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4</w:t>
            </w:r>
            <w:r w:rsidRPr="006C1634">
              <w:rPr>
                <w:rFonts w:ascii="ITC Avant Garde" w:hAnsi="ITC Avant Garde"/>
                <w:lang w:val="es-ES_tradnl"/>
              </w:rPr>
              <w:fldChar w:fldCharType="end"/>
            </w:r>
            <w:r w:rsidRPr="006C1634">
              <w:rPr>
                <w:rFonts w:ascii="ITC Avant Garde" w:hAnsi="ITC Avant Garde"/>
                <w:lang w:val="es-ES_tradnl"/>
              </w:rPr>
              <w:t xml:space="preserve">: Enfoques utilizados para el dimensionamiento de la red [Fuente: </w:t>
            </w:r>
            <w:r w:rsidR="00312C6D" w:rsidRPr="006C1634">
              <w:rPr>
                <w:rFonts w:ascii="ITC Avant Garde" w:hAnsi="ITC Avant Garde"/>
                <w:lang w:val="es-ES_tradnl"/>
              </w:rPr>
              <w:t>IFT</w:t>
            </w:r>
            <w:r w:rsidRPr="006C1634">
              <w:rPr>
                <w:rFonts w:ascii="ITC Avant Garde" w:hAnsi="ITC Avant Garde"/>
                <w:lang w:val="es-ES_tradnl"/>
              </w:rPr>
              <w:t>, 2015]</w:t>
            </w:r>
          </w:p>
        </w:tc>
      </w:tr>
    </w:tbl>
    <w:p w:rsidR="000708BF" w:rsidRPr="006C1634" w:rsidRDefault="000708BF" w:rsidP="000708BF">
      <w:pPr>
        <w:rPr>
          <w:rFonts w:ascii="ITC Avant Garde" w:hAnsi="ITC Avant Garde"/>
          <w:sz w:val="18"/>
          <w:szCs w:val="18"/>
          <w:lang w:val="es-ES_tradnl"/>
        </w:rPr>
      </w:pP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Los activos dimensionados se categorizan en grupos y sub-grupos homogéneos según su función. Cabe señalar que se han modelado igualmente equipos activos que no se comparten o elementos que no han sido incluidos en la oferta de referencia final para tomar en consideración cómo estos equipos utilizan/ocupan la infraestructura que está siendo costeada. La siguiente gráfica presenta esquemáticamente y a alto nivel la división de los activos dimensionados. </w:t>
      </w:r>
    </w:p>
    <w:p w:rsidR="000708BF" w:rsidRPr="006C1634" w:rsidRDefault="000708BF" w:rsidP="00312C6D">
      <w:pPr>
        <w:pStyle w:val="Descripcin"/>
        <w:spacing w:before="360" w:after="120" w:line="280" w:lineRule="atLeast"/>
        <w:rPr>
          <w:rFonts w:ascii="ITC Avant Garde" w:hAnsi="ITC Avant Garde"/>
          <w:lang w:val="es-ES_tradnl"/>
        </w:rPr>
      </w:pPr>
      <w:r w:rsidRPr="006C1634">
        <w:rPr>
          <w:rFonts w:ascii="ITC Avant Garde" w:hAnsi="ITC Avant Garde"/>
          <w:lang w:val="es-ES_tradnl"/>
        </w:rPr>
        <w:t xml:space="preserve">Figura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5</w:t>
      </w:r>
      <w:r w:rsidRPr="006C1634">
        <w:rPr>
          <w:rFonts w:ascii="ITC Avant Garde" w:hAnsi="ITC Avant Garde"/>
          <w:lang w:val="es-ES_tradnl"/>
        </w:rPr>
        <w:fldChar w:fldCharType="end"/>
      </w:r>
      <w:r w:rsidRPr="006C1634">
        <w:rPr>
          <w:rFonts w:ascii="ITC Avant Garde" w:hAnsi="ITC Avant Garde"/>
          <w:lang w:val="es-ES_tradnl"/>
        </w:rPr>
        <w:t xml:space="preserve">: Estructura de alto nivel de la hoja </w:t>
      </w:r>
      <w:r w:rsidRPr="006C1634">
        <w:rPr>
          <w:rFonts w:ascii="ITC Avant Garde" w:hAnsi="ITC Avant Garde"/>
          <w:i w:val="0"/>
          <w:lang w:val="es-ES_tradnl"/>
        </w:rPr>
        <w:t>Dimensionamiento</w:t>
      </w:r>
      <w:r w:rsidRPr="006C1634">
        <w:rPr>
          <w:rFonts w:ascii="ITC Avant Garde" w:hAnsi="ITC Avant Garde"/>
          <w:lang w:val="es-ES_tradnl"/>
        </w:rPr>
        <w:t xml:space="preserve"> del modelo [Fuente: </w:t>
      </w:r>
      <w:r w:rsidR="00312C6D" w:rsidRPr="006C1634">
        <w:rPr>
          <w:rFonts w:ascii="ITC Avant Garde" w:hAnsi="ITC Avant Garde"/>
          <w:lang w:val="es-ES_tradnl"/>
        </w:rPr>
        <w:t>IFT</w:t>
      </w:r>
      <w:r w:rsidRPr="006C1634">
        <w:rPr>
          <w:rFonts w:ascii="ITC Avant Garde" w:hAnsi="ITC Avant Garde"/>
          <w:lang w:val="es-ES_tradnl"/>
        </w:rPr>
        <w:t>, 2015]</w:t>
      </w:r>
    </w:p>
    <w:p w:rsidR="00312C6D" w:rsidRPr="006C1634" w:rsidRDefault="00A64D07" w:rsidP="006C1634">
      <w:pPr>
        <w:pStyle w:val="Border"/>
        <w:pBdr>
          <w:bottom w:val="none" w:sz="0" w:space="0" w:color="auto"/>
        </w:pBdr>
        <w:rPr>
          <w:rFonts w:ascii="ITC Avant Garde" w:hAnsi="ITC Avant Garde"/>
          <w:sz w:val="18"/>
          <w:szCs w:val="18"/>
          <w:lang w:val="es-ES_tradnl"/>
        </w:rPr>
      </w:pPr>
      <w:r w:rsidRPr="006C1634">
        <w:rPr>
          <w:rFonts w:ascii="ITC Avant Garde" w:hAnsi="ITC Avant Garde"/>
          <w:noProof/>
          <w:sz w:val="18"/>
          <w:szCs w:val="18"/>
          <w:lang w:val="es-MX" w:eastAsia="es-MX"/>
        </w:rPr>
        <w:lastRenderedPageBreak/>
        <w:drawing>
          <wp:inline distT="0" distB="0" distL="0" distR="0" wp14:anchorId="3DBAB602" wp14:editId="3EE53BE0">
            <wp:extent cx="5543550" cy="2385749"/>
            <wp:effectExtent l="0" t="0" r="0" b="0"/>
            <wp:docPr id="6" name="Picture 6" descr="La  gráfica presenta esquemáticamente y a alto nivel la división de los activos dimensionados. " title="Figura 5: Estructura de alto nivel de la hoja Dimensionamiento d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2385749"/>
                    </a:xfrm>
                    <a:prstGeom prst="rect">
                      <a:avLst/>
                    </a:prstGeom>
                    <a:noFill/>
                    <a:ln>
                      <a:noFill/>
                    </a:ln>
                  </pic:spPr>
                </pic:pic>
              </a:graphicData>
            </a:graphic>
          </wp:inline>
        </w:drawing>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El área total del emplazamiento se compone de cuatro elementos:</w:t>
      </w:r>
    </w:p>
    <w:p w:rsidR="000708BF" w:rsidRPr="006C1634" w:rsidRDefault="000708BF" w:rsidP="000708BF">
      <w:pPr>
        <w:pStyle w:val="I1"/>
        <w:spacing w:after="0"/>
        <w:rPr>
          <w:rFonts w:ascii="ITC Avant Garde" w:hAnsi="ITC Avant Garde"/>
          <w:sz w:val="18"/>
          <w:szCs w:val="18"/>
          <w:lang w:val="es-ES_tradnl"/>
        </w:rPr>
      </w:pPr>
      <w:r w:rsidRPr="006C1634">
        <w:rPr>
          <w:rFonts w:ascii="ITC Avant Garde" w:hAnsi="ITC Avant Garde"/>
          <w:sz w:val="18"/>
          <w:szCs w:val="18"/>
          <w:lang w:val="es-ES_tradnl"/>
        </w:rPr>
        <w:t>el área ocupada por la caseta, que a su vez se divide en</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transmisores analógicos</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transmisores digitales</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mantenimiento</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control</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 xml:space="preserve">sala de subestación eléctrica </w:t>
      </w:r>
    </w:p>
    <w:p w:rsidR="000708BF" w:rsidRPr="006C1634" w:rsidRDefault="000708BF" w:rsidP="000708BF">
      <w:pPr>
        <w:pStyle w:val="II"/>
        <w:rPr>
          <w:rFonts w:ascii="ITC Avant Garde" w:hAnsi="ITC Avant Garde"/>
          <w:sz w:val="18"/>
          <w:szCs w:val="18"/>
          <w:lang w:val="es-ES_tradnl"/>
        </w:rPr>
      </w:pPr>
      <w:r w:rsidRPr="006C1634">
        <w:rPr>
          <w:rFonts w:ascii="ITC Avant Garde" w:hAnsi="ITC Avant Garde"/>
          <w:sz w:val="18"/>
          <w:szCs w:val="18"/>
          <w:lang w:val="es-ES_tradnl"/>
        </w:rPr>
        <w:t>áreas de servicio (espacios comunes y otras salas)</w:t>
      </w:r>
      <w:r w:rsidRPr="006C1634">
        <w:rPr>
          <w:rStyle w:val="Refdenotaalpie"/>
          <w:rFonts w:ascii="ITC Avant Garde" w:hAnsi="ITC Avant Garde"/>
          <w:sz w:val="18"/>
          <w:szCs w:val="18"/>
          <w:lang w:val="es-ES_tradnl"/>
        </w:rPr>
        <w:footnoteReference w:id="1"/>
      </w:r>
    </w:p>
    <w:p w:rsidR="000708BF" w:rsidRPr="006C1634" w:rsidRDefault="000708BF" w:rsidP="000708BF">
      <w:pPr>
        <w:pStyle w:val="ListBulletCompact"/>
        <w:rPr>
          <w:rFonts w:ascii="ITC Avant Garde" w:hAnsi="ITC Avant Garde"/>
          <w:sz w:val="18"/>
          <w:szCs w:val="18"/>
          <w:lang w:val="es-ES_tradnl"/>
        </w:rPr>
      </w:pPr>
      <w:r w:rsidRPr="006C1634">
        <w:rPr>
          <w:rFonts w:ascii="ITC Avant Garde" w:hAnsi="ITC Avant Garde"/>
          <w:sz w:val="18"/>
          <w:szCs w:val="18"/>
          <w:lang w:val="es-ES_tradnl"/>
        </w:rPr>
        <w:t>el área ocupada por la torre</w:t>
      </w:r>
    </w:p>
    <w:p w:rsidR="000708BF" w:rsidRPr="006C1634" w:rsidRDefault="000708BF" w:rsidP="000708BF">
      <w:pPr>
        <w:pStyle w:val="ListBulletCompact"/>
        <w:rPr>
          <w:rFonts w:ascii="ITC Avant Garde" w:hAnsi="ITC Avant Garde"/>
          <w:sz w:val="18"/>
          <w:szCs w:val="18"/>
          <w:lang w:val="es-ES_tradnl"/>
        </w:rPr>
      </w:pPr>
      <w:r w:rsidRPr="006C1634">
        <w:rPr>
          <w:rFonts w:ascii="ITC Avant Garde" w:hAnsi="ITC Avant Garde"/>
          <w:sz w:val="18"/>
          <w:szCs w:val="18"/>
          <w:lang w:val="es-ES_tradnl"/>
        </w:rPr>
        <w:t xml:space="preserve">el área disponible, no utilizada pero </w:t>
      </w:r>
      <w:r w:rsidRPr="006C1634">
        <w:rPr>
          <w:rFonts w:ascii="ITC Avant Garde" w:hAnsi="ITC Avant Garde"/>
          <w:i/>
          <w:iCs/>
          <w:sz w:val="18"/>
          <w:szCs w:val="18"/>
          <w:lang w:val="es-ES_tradnl"/>
        </w:rPr>
        <w:t xml:space="preserve">utilizable </w:t>
      </w:r>
      <w:r w:rsidRPr="006C1634">
        <w:rPr>
          <w:rFonts w:ascii="ITC Avant Garde" w:hAnsi="ITC Avant Garde"/>
          <w:sz w:val="18"/>
          <w:szCs w:val="18"/>
          <w:lang w:val="es-ES_tradnl"/>
        </w:rPr>
        <w:t>para ampliar la caseta</w:t>
      </w:r>
    </w:p>
    <w:p w:rsidR="000708BF" w:rsidRPr="006C1634" w:rsidRDefault="000708BF" w:rsidP="000708BF">
      <w:pPr>
        <w:pStyle w:val="I1"/>
        <w:rPr>
          <w:rFonts w:ascii="ITC Avant Garde" w:hAnsi="ITC Avant Garde"/>
          <w:sz w:val="18"/>
          <w:szCs w:val="18"/>
          <w:lang w:val="es-ES_tradnl"/>
        </w:rPr>
      </w:pPr>
      <w:r w:rsidRPr="006C1634">
        <w:rPr>
          <w:rFonts w:ascii="ITC Avant Garde" w:hAnsi="ITC Avant Garde"/>
          <w:sz w:val="18"/>
          <w:szCs w:val="18"/>
          <w:lang w:val="es-ES_tradnl"/>
        </w:rPr>
        <w:t>el área no utilizable.</w:t>
      </w:r>
    </w:p>
    <w:p w:rsidR="00312C6D"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El área de cada espacio disponible en caseta (ej. sala de transmisores, sala de mantenimiento) se calcula aplicando un </w:t>
      </w:r>
      <w:proofErr w:type="spellStart"/>
      <w:r w:rsidRPr="006C1634">
        <w:rPr>
          <w:rFonts w:ascii="ITC Avant Garde" w:hAnsi="ITC Avant Garde"/>
          <w:i/>
          <w:iCs/>
          <w:sz w:val="18"/>
          <w:szCs w:val="18"/>
          <w:lang w:val="es-ES_tradnl"/>
        </w:rPr>
        <w:t>mark</w:t>
      </w:r>
      <w:proofErr w:type="spellEnd"/>
      <w:r w:rsidRPr="006C1634">
        <w:rPr>
          <w:rFonts w:ascii="ITC Avant Garde" w:hAnsi="ITC Avant Garde"/>
          <w:i/>
          <w:iCs/>
          <w:sz w:val="18"/>
          <w:szCs w:val="18"/>
          <w:lang w:val="es-ES_tradnl"/>
        </w:rPr>
        <w:t xml:space="preserve">-up </w:t>
      </w:r>
      <w:r w:rsidRPr="006C1634">
        <w:rPr>
          <w:rFonts w:ascii="ITC Avant Garde" w:hAnsi="ITC Avant Garde"/>
          <w:sz w:val="18"/>
          <w:szCs w:val="18"/>
          <w:lang w:val="es-ES_tradnl"/>
        </w:rPr>
        <w:t>(en porcentaje) al área ocupada por el componente instalado (p.ej. área del transmisor digital en la sala de transmisores digitales).</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Asimismo, para el cálculo del área total del predio se han dimensionado cada uno de los sub-elementos que se detallan en la siguiente gráfica:</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0708BF" w:rsidRPr="006C1634" w:rsidTr="00960997">
        <w:tc>
          <w:tcPr>
            <w:tcW w:w="6576" w:type="dxa"/>
            <w:tcBorders>
              <w:right w:val="single" w:sz="4" w:space="0" w:color="auto"/>
            </w:tcBorders>
            <w:shd w:val="clear" w:color="auto" w:fill="auto"/>
          </w:tcPr>
          <w:p w:rsidR="000708BF" w:rsidRPr="006C1634" w:rsidRDefault="000708BF" w:rsidP="00960997">
            <w:pPr>
              <w:pStyle w:val="Bordersmall"/>
              <w:rPr>
                <w:rFonts w:ascii="ITC Avant Garde" w:hAnsi="ITC Avant Garde"/>
                <w:sz w:val="18"/>
                <w:szCs w:val="18"/>
                <w:lang w:val="es-ES_tradnl"/>
              </w:rPr>
            </w:pPr>
            <w:r w:rsidRPr="006C1634">
              <w:rPr>
                <w:rFonts w:ascii="ITC Avant Garde" w:hAnsi="ITC Avant Garde"/>
                <w:noProof/>
                <w:sz w:val="18"/>
                <w:szCs w:val="18"/>
                <w:lang w:val="es-MX" w:eastAsia="es-MX"/>
              </w:rPr>
              <w:lastRenderedPageBreak/>
              <w:drawing>
                <wp:inline distT="0" distB="0" distL="0" distR="0" wp14:anchorId="7B36CF59" wp14:editId="00BD7469">
                  <wp:extent cx="4168140" cy="2125980"/>
                  <wp:effectExtent l="0" t="0" r="3810" b="7620"/>
                  <wp:docPr id="11" name="Picture 11" descr="para el cálculo del área total del predio se han dimensionado cada uno de los sub-elementos que se detallan en la  gráfica:" title="Figura 6: Componentes del área del emplazamient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8140" cy="2125980"/>
                          </a:xfrm>
                          <a:prstGeom prst="rect">
                            <a:avLst/>
                          </a:prstGeom>
                          <a:noFill/>
                          <a:ln>
                            <a:noFill/>
                          </a:ln>
                        </pic:spPr>
                      </pic:pic>
                    </a:graphicData>
                  </a:graphic>
                </wp:inline>
              </w:drawing>
            </w:r>
          </w:p>
        </w:tc>
        <w:tc>
          <w:tcPr>
            <w:tcW w:w="2154" w:type="dxa"/>
            <w:tcBorders>
              <w:left w:val="single" w:sz="4" w:space="0" w:color="auto"/>
            </w:tcBorders>
            <w:shd w:val="clear" w:color="auto" w:fill="auto"/>
          </w:tcPr>
          <w:p w:rsidR="000708BF" w:rsidRPr="006C1634" w:rsidRDefault="000708BF" w:rsidP="00312C6D">
            <w:pPr>
              <w:pStyle w:val="Captionsmall"/>
              <w:spacing w:line="280" w:lineRule="atLeast"/>
              <w:rPr>
                <w:rFonts w:ascii="ITC Avant Garde" w:hAnsi="ITC Avant Garde"/>
                <w:lang w:val="es-ES_tradnl"/>
              </w:rPr>
            </w:pPr>
            <w:r w:rsidRPr="006C1634">
              <w:rPr>
                <w:rFonts w:ascii="ITC Avant Garde" w:hAnsi="ITC Avant Garde"/>
                <w:lang w:val="es-ES_tradnl"/>
              </w:rPr>
              <w:t xml:space="preserve">Figura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6</w:t>
            </w:r>
            <w:r w:rsidRPr="006C1634">
              <w:rPr>
                <w:rFonts w:ascii="ITC Avant Garde" w:hAnsi="ITC Avant Garde"/>
                <w:lang w:val="es-ES_tradnl"/>
              </w:rPr>
              <w:fldChar w:fldCharType="end"/>
            </w:r>
            <w:r w:rsidRPr="006C1634">
              <w:rPr>
                <w:rFonts w:ascii="ITC Avant Garde" w:hAnsi="ITC Avant Garde"/>
                <w:lang w:val="es-ES_tradnl"/>
              </w:rPr>
              <w:t xml:space="preserve">: Componentes del área del emplazamiento [Fuente: </w:t>
            </w:r>
            <w:r w:rsidR="00312C6D" w:rsidRPr="006C1634">
              <w:rPr>
                <w:rFonts w:ascii="ITC Avant Garde" w:hAnsi="ITC Avant Garde"/>
                <w:lang w:val="es-ES_tradnl"/>
              </w:rPr>
              <w:t>IFT</w:t>
            </w:r>
            <w:r w:rsidRPr="006C1634">
              <w:rPr>
                <w:rFonts w:ascii="ITC Avant Garde" w:hAnsi="ITC Avant Garde"/>
                <w:lang w:val="es-ES_tradnl"/>
              </w:rPr>
              <w:t>, 2015]</w:t>
            </w:r>
          </w:p>
        </w:tc>
      </w:tr>
    </w:tbl>
    <w:p w:rsidR="000708BF" w:rsidRPr="006C1634" w:rsidRDefault="000708BF" w:rsidP="000708BF">
      <w:pPr>
        <w:rPr>
          <w:rFonts w:ascii="ITC Avant Garde" w:hAnsi="ITC Avant Garde"/>
          <w:sz w:val="18"/>
          <w:szCs w:val="18"/>
          <w:lang w:val="es-ES_tradnl"/>
        </w:rPr>
      </w:pP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El input principal necesario para el dimensionamiento de la red eléctrica es la potencia requerida por los transmisores. El dimensionamiento de la potencia requerida transformada por la subestación eléctrica se basa en la potencia total requerida por los transmisores, que son los dispositivos que absorben la mayor cantidad de energía, a la cual se aplican dos </w:t>
      </w:r>
      <w:proofErr w:type="spellStart"/>
      <w:r w:rsidRPr="006C1634">
        <w:rPr>
          <w:rFonts w:ascii="ITC Avant Garde" w:hAnsi="ITC Avant Garde"/>
          <w:i/>
          <w:iCs/>
          <w:sz w:val="18"/>
          <w:szCs w:val="18"/>
          <w:lang w:val="es-ES_tradnl"/>
        </w:rPr>
        <w:t>mark</w:t>
      </w:r>
      <w:proofErr w:type="spellEnd"/>
      <w:r w:rsidRPr="006C1634">
        <w:rPr>
          <w:rFonts w:ascii="ITC Avant Garde" w:hAnsi="ITC Avant Garde"/>
          <w:i/>
          <w:iCs/>
          <w:sz w:val="18"/>
          <w:szCs w:val="18"/>
          <w:lang w:val="es-ES_tradnl"/>
        </w:rPr>
        <w:t>-ups</w:t>
      </w:r>
      <w:r w:rsidRPr="006C1634">
        <w:rPr>
          <w:rFonts w:ascii="ITC Avant Garde" w:hAnsi="ITC Avant Garde"/>
          <w:sz w:val="18"/>
          <w:szCs w:val="18"/>
          <w:lang w:val="es-ES_tradnl"/>
        </w:rPr>
        <w:t>, que deben permitir un búfer (por pérdidas, ineficiencias, etc.) y para alimentar otros equipos (p.ej. equipos de control).</w:t>
      </w:r>
    </w:p>
    <w:p w:rsidR="000708BF" w:rsidRPr="006C1634" w:rsidRDefault="000708BF" w:rsidP="000708BF">
      <w:pPr>
        <w:rPr>
          <w:rFonts w:ascii="ITC Avant Garde" w:hAnsi="ITC Avant Garde"/>
          <w:i/>
          <w:iCs/>
          <w:sz w:val="18"/>
          <w:szCs w:val="18"/>
          <w:lang w:val="es-ES_tradnl"/>
        </w:rPr>
      </w:pPr>
      <w:r w:rsidRPr="006C1634">
        <w:rPr>
          <w:rFonts w:ascii="ITC Avant Garde" w:hAnsi="ITC Avant Garde"/>
          <w:sz w:val="18"/>
          <w:szCs w:val="18"/>
          <w:lang w:val="es-ES_tradnl"/>
        </w:rPr>
        <w:t xml:space="preserve">En lo que respecta al sistema de aire acondicionado, éste se dimensiona en proporción al área de la caseta, aplicando un </w:t>
      </w:r>
      <w:proofErr w:type="spellStart"/>
      <w:r w:rsidRPr="006C1634">
        <w:rPr>
          <w:rFonts w:ascii="ITC Avant Garde" w:hAnsi="ITC Avant Garde"/>
          <w:i/>
          <w:iCs/>
          <w:sz w:val="18"/>
          <w:szCs w:val="18"/>
          <w:lang w:val="es-ES_tradnl"/>
        </w:rPr>
        <w:t>mark</w:t>
      </w:r>
      <w:proofErr w:type="spellEnd"/>
      <w:r w:rsidRPr="006C1634">
        <w:rPr>
          <w:rFonts w:ascii="ITC Avant Garde" w:hAnsi="ITC Avant Garde"/>
          <w:i/>
          <w:iCs/>
          <w:sz w:val="18"/>
          <w:szCs w:val="18"/>
          <w:lang w:val="es-ES_tradnl"/>
        </w:rPr>
        <w:t>-up.</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Los valores de los parámetros del modelo se han calibrado a partir de los datos recibidos en respuesta a la petición de datos emitida durante el proceso de desarrollo del modelo. De este modo se utilizan varios </w:t>
      </w:r>
      <w:proofErr w:type="spellStart"/>
      <w:r w:rsidRPr="006C1634">
        <w:rPr>
          <w:rFonts w:ascii="ITC Avant Garde" w:hAnsi="ITC Avant Garde"/>
          <w:i/>
          <w:sz w:val="18"/>
          <w:szCs w:val="18"/>
          <w:lang w:val="es-ES_tradnl"/>
        </w:rPr>
        <w:t>mark</w:t>
      </w:r>
      <w:proofErr w:type="spellEnd"/>
      <w:r w:rsidRPr="006C1634">
        <w:rPr>
          <w:rFonts w:ascii="ITC Avant Garde" w:hAnsi="ITC Avant Garde"/>
          <w:i/>
          <w:sz w:val="18"/>
          <w:szCs w:val="18"/>
          <w:lang w:val="es-ES_tradnl"/>
        </w:rPr>
        <w:t xml:space="preserve">-ups </w:t>
      </w:r>
      <w:r w:rsidRPr="006C1634">
        <w:rPr>
          <w:rFonts w:ascii="ITC Avant Garde" w:hAnsi="ITC Avant Garde"/>
          <w:sz w:val="18"/>
          <w:szCs w:val="18"/>
          <w:lang w:val="es-ES_tradnl"/>
        </w:rPr>
        <w:t>(por ejemplo, para calcular el área de varias salas, la potencia, o la capacidad del aire acondicionado).</w:t>
      </w:r>
    </w:p>
    <w:p w:rsidR="00400EF5" w:rsidRPr="00400EF5" w:rsidRDefault="00400EF5" w:rsidP="00400EF5">
      <w:pPr>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8</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¿Tiene algún comentario relativo a las características y variables que el usuario puede definir en el modelo para el dimensionamiento de la red?</w:t>
      </w:r>
    </w:p>
    <w:p w:rsidR="00312C6D" w:rsidRPr="00400EF5" w:rsidRDefault="00400EF5" w:rsidP="00400EF5">
      <w:pPr>
        <w:rPr>
          <w:rFonts w:ascii="ITC Avant Garde" w:hAnsi="ITC Avant Garde"/>
          <w:b/>
          <w:sz w:val="18"/>
          <w:szCs w:val="18"/>
          <w:lang w:val="es-ES_tradnl"/>
        </w:rPr>
      </w:pPr>
      <w:r w:rsidRPr="00400EF5">
        <w:rPr>
          <w:rFonts w:ascii="ITC Avant Garde" w:hAnsi="ITC Avant Garde"/>
          <w:b/>
          <w:sz w:val="18"/>
          <w:szCs w:val="18"/>
          <w:lang w:val="es-ES_tradnl"/>
        </w:rPr>
        <w:t>Q.</w:t>
      </w:r>
      <w:r w:rsidRPr="00400EF5">
        <w:rPr>
          <w:rFonts w:ascii="ITC Avant Garde" w:hAnsi="ITC Avant Garde"/>
          <w:b/>
          <w:sz w:val="18"/>
          <w:szCs w:val="18"/>
          <w:lang w:val="es-ES_tradnl"/>
        </w:rPr>
        <w:fldChar w:fldCharType="begin"/>
      </w:r>
      <w:r w:rsidRPr="00400EF5">
        <w:rPr>
          <w:rFonts w:ascii="ITC Avant Garde" w:hAnsi="ITC Avant Garde"/>
          <w:b/>
          <w:sz w:val="18"/>
          <w:szCs w:val="18"/>
          <w:lang w:val="es-ES_tradnl"/>
        </w:rPr>
        <w:instrText xml:space="preserve"> SEQ Recommendation \* ARABIC \s 0 </w:instrText>
      </w:r>
      <w:r w:rsidRPr="00400EF5">
        <w:rPr>
          <w:rFonts w:ascii="ITC Avant Garde" w:hAnsi="ITC Avant Garde"/>
          <w:b/>
          <w:sz w:val="18"/>
          <w:szCs w:val="18"/>
          <w:lang w:val="es-ES_tradnl"/>
        </w:rPr>
        <w:fldChar w:fldCharType="separate"/>
      </w:r>
      <w:r w:rsidRPr="00400EF5">
        <w:rPr>
          <w:rFonts w:ascii="ITC Avant Garde" w:hAnsi="ITC Avant Garde"/>
          <w:b/>
          <w:sz w:val="18"/>
          <w:szCs w:val="18"/>
          <w:lang w:val="es-ES_tradnl"/>
        </w:rPr>
        <w:t>9</w:t>
      </w:r>
      <w:r w:rsidRPr="00400EF5">
        <w:rPr>
          <w:rFonts w:ascii="ITC Avant Garde" w:hAnsi="ITC Avant Garde"/>
          <w:b/>
          <w:sz w:val="18"/>
          <w:szCs w:val="18"/>
          <w:lang w:val="es-ES_tradnl"/>
        </w:rPr>
        <w:fldChar w:fldCharType="end"/>
      </w:r>
      <w:r w:rsidRPr="00400EF5">
        <w:rPr>
          <w:rFonts w:ascii="ITC Avant Garde" w:hAnsi="ITC Avant Garde"/>
          <w:b/>
          <w:sz w:val="18"/>
          <w:szCs w:val="18"/>
          <w:lang w:val="es-ES_tradnl"/>
        </w:rPr>
        <w:t>: ¿Está de acuerdo con las reglas de dimensionamiento definidas en el modelo?</w:t>
      </w:r>
    </w:p>
    <w:p w:rsidR="000708BF" w:rsidRPr="006C1634" w:rsidRDefault="000708BF" w:rsidP="000708BF">
      <w:pPr>
        <w:pStyle w:val="Ttulo2"/>
        <w:rPr>
          <w:rFonts w:ascii="ITC Avant Garde" w:hAnsi="ITC Avant Garde"/>
          <w:sz w:val="18"/>
          <w:szCs w:val="18"/>
          <w:lang w:val="es-ES_tradnl"/>
        </w:rPr>
      </w:pPr>
      <w:r w:rsidRPr="006C1634">
        <w:rPr>
          <w:rFonts w:ascii="ITC Avant Garde" w:hAnsi="ITC Avant Garde"/>
          <w:sz w:val="18"/>
          <w:szCs w:val="18"/>
          <w:lang w:val="es-ES_tradnl"/>
        </w:rPr>
        <w:t>Estructura y resultados del modelo</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Estructura del modelo</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El modelo de costos tiene una estructura simple y bien definida, tal y como se resume en la siguiente tabla.</w:t>
      </w:r>
    </w:p>
    <w:p w:rsidR="000708BF" w:rsidRPr="006C1634" w:rsidRDefault="000708BF" w:rsidP="00312C6D">
      <w:pPr>
        <w:pStyle w:val="Descripcin"/>
        <w:spacing w:before="360" w:after="120" w:line="280" w:lineRule="atLeast"/>
        <w:ind w:left="0" w:firstLine="0"/>
        <w:rPr>
          <w:rFonts w:ascii="ITC Avant Garde" w:hAnsi="ITC Avant Garde"/>
          <w:lang w:val="es-ES_tradnl"/>
        </w:rPr>
      </w:pPr>
      <w:r w:rsidRPr="006C1634">
        <w:rPr>
          <w:rFonts w:ascii="ITC Avant Garde" w:hAnsi="ITC Avant Garde"/>
          <w:lang w:val="es-ES_tradnl"/>
        </w:rPr>
        <w:t xml:space="preserve">Figura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7</w:t>
      </w:r>
      <w:r w:rsidRPr="006C1634">
        <w:rPr>
          <w:rFonts w:ascii="ITC Avant Garde" w:hAnsi="ITC Avant Garde"/>
          <w:lang w:val="es-ES_tradnl"/>
        </w:rPr>
        <w:fldChar w:fldCharType="end"/>
      </w:r>
      <w:r w:rsidRPr="006C1634">
        <w:rPr>
          <w:rFonts w:ascii="ITC Avant Garde" w:hAnsi="ITC Avant Garde"/>
          <w:lang w:val="es-ES_tradnl"/>
        </w:rPr>
        <w:t xml:space="preserve">: Estructura del modelo de costos de acceso y uso de la infraestructura pasiva de radiodifusión [Fuente: </w:t>
      </w:r>
      <w:r w:rsidR="00312C6D" w:rsidRPr="006C1634">
        <w:rPr>
          <w:rFonts w:ascii="ITC Avant Garde" w:hAnsi="ITC Avant Garde"/>
          <w:lang w:val="es-ES_tradnl"/>
        </w:rPr>
        <w:t>IFT</w:t>
      </w:r>
      <w:r w:rsidRPr="006C1634">
        <w:rPr>
          <w:rFonts w:ascii="ITC Avant Garde" w:hAnsi="ITC Avant Garde"/>
          <w:lang w:val="es-ES_tradnl"/>
        </w:rPr>
        <w:t>, 2015]</w:t>
      </w:r>
    </w:p>
    <w:tbl>
      <w:tblPr>
        <w:tblStyle w:val="Sombreadomedio2-nfasis1"/>
        <w:tblW w:w="8731" w:type="dxa"/>
        <w:tblInd w:w="108" w:type="dxa"/>
        <w:tblBorders>
          <w:top w:val="none" w:sz="0" w:space="0" w:color="auto"/>
          <w:bottom w:val="single" w:sz="4" w:space="0" w:color="808080"/>
        </w:tblBorders>
        <w:tblLook w:val="0420" w:firstRow="1" w:lastRow="0" w:firstColumn="0" w:lastColumn="0" w:noHBand="0" w:noVBand="1"/>
        <w:tblCaption w:val="Figura 7: Estructura del modelo de costos de acceso y uso de la infraestructura pasiva de radiodifusión [Fuente: IFT, 2015]"/>
        <w:tblDescription w:val="Se divide en hoja de cálculo y descripción"/>
      </w:tblPr>
      <w:tblGrid>
        <w:gridCol w:w="1843"/>
        <w:gridCol w:w="6888"/>
      </w:tblGrid>
      <w:tr w:rsidR="000708BF" w:rsidRPr="006C1634" w:rsidTr="00960997">
        <w:trPr>
          <w:cnfStyle w:val="100000000000" w:firstRow="1" w:lastRow="0" w:firstColumn="0" w:lastColumn="0" w:oddVBand="0" w:evenVBand="0" w:oddHBand="0" w:evenHBand="0" w:firstRowFirstColumn="0" w:firstRowLastColumn="0" w:lastRowFirstColumn="0" w:lastRowLastColumn="0"/>
          <w:tblHeader/>
        </w:trPr>
        <w:tc>
          <w:tcPr>
            <w:tcW w:w="1843" w:type="dxa"/>
            <w:tcBorders>
              <w:top w:val="single" w:sz="18" w:space="0" w:color="FFFFFF" w:themeColor="background1"/>
              <w:bottom w:val="single" w:sz="18" w:space="0" w:color="FFFFFF" w:themeColor="background1"/>
            </w:tcBorders>
            <w:shd w:val="solid" w:color="221F72" w:fill="221F72"/>
          </w:tcPr>
          <w:p w:rsidR="000708BF" w:rsidRPr="006C1634" w:rsidRDefault="000708BF" w:rsidP="00960997">
            <w:pPr>
              <w:pStyle w:val="Tableheading"/>
              <w:rPr>
                <w:rFonts w:ascii="ITC Avant Garde" w:hAnsi="ITC Avant Garde"/>
                <w:b w:val="0"/>
                <w:i w:val="0"/>
                <w:szCs w:val="18"/>
                <w:lang w:val="es-ES_tradnl"/>
              </w:rPr>
            </w:pPr>
            <w:r w:rsidRPr="006C1634">
              <w:rPr>
                <w:rFonts w:ascii="ITC Avant Garde" w:hAnsi="ITC Avant Garde"/>
                <w:i w:val="0"/>
                <w:szCs w:val="18"/>
                <w:lang w:val="es-ES_tradnl"/>
              </w:rPr>
              <w:t>Hoja de cálculo</w:t>
            </w:r>
          </w:p>
        </w:tc>
        <w:tc>
          <w:tcPr>
            <w:tcW w:w="6888" w:type="dxa"/>
            <w:tcBorders>
              <w:top w:val="single" w:sz="18" w:space="0" w:color="FFFFFF" w:themeColor="background1"/>
              <w:bottom w:val="single" w:sz="18" w:space="0" w:color="FFFFFF" w:themeColor="background1"/>
            </w:tcBorders>
            <w:shd w:val="solid" w:color="221F72" w:fill="221F72"/>
          </w:tcPr>
          <w:p w:rsidR="000708BF" w:rsidRPr="006C1634" w:rsidRDefault="000708BF" w:rsidP="00960997">
            <w:pPr>
              <w:pStyle w:val="Tableheading"/>
              <w:rPr>
                <w:rFonts w:ascii="ITC Avant Garde" w:hAnsi="ITC Avant Garde"/>
                <w:b w:val="0"/>
                <w:i w:val="0"/>
                <w:szCs w:val="18"/>
                <w:lang w:val="es-ES_tradnl"/>
              </w:rPr>
            </w:pPr>
            <w:r w:rsidRPr="006C1634">
              <w:rPr>
                <w:rFonts w:ascii="ITC Avant Garde" w:hAnsi="ITC Avant Garde"/>
                <w:i w:val="0"/>
                <w:szCs w:val="18"/>
                <w:lang w:val="es-ES_tradnl"/>
              </w:rPr>
              <w:t>Descripción</w:t>
            </w:r>
          </w:p>
        </w:tc>
      </w:tr>
      <w:tr w:rsidR="000708BF" w:rsidRPr="006C1634" w:rsidTr="00960997">
        <w:trPr>
          <w:cnfStyle w:val="000000100000" w:firstRow="0" w:lastRow="0" w:firstColumn="0" w:lastColumn="0" w:oddVBand="0" w:evenVBand="0" w:oddHBand="1" w:evenHBand="0" w:firstRowFirstColumn="0" w:firstRowLastColumn="0" w:lastRowFirstColumn="0" w:lastRowLastColumn="0"/>
        </w:trPr>
        <w:tc>
          <w:tcPr>
            <w:tcW w:w="1843" w:type="dxa"/>
            <w:tcBorders>
              <w:top w:val="single" w:sz="18" w:space="0" w:color="FFFFFF" w:themeColor="background1"/>
            </w:tcBorders>
          </w:tcPr>
          <w:p w:rsidR="000708BF" w:rsidRPr="006C1634" w:rsidRDefault="000708BF" w:rsidP="00960997">
            <w:pPr>
              <w:pStyle w:val="Tablecells"/>
              <w:rPr>
                <w:rFonts w:ascii="ITC Avant Garde" w:hAnsi="ITC Avant Garde"/>
                <w:i/>
                <w:szCs w:val="18"/>
                <w:lang w:val="es-ES_tradnl"/>
              </w:rPr>
            </w:pPr>
            <w:r w:rsidRPr="006C1634">
              <w:rPr>
                <w:rFonts w:ascii="ITC Avant Garde" w:hAnsi="ITC Avant Garde"/>
                <w:i/>
                <w:szCs w:val="18"/>
                <w:lang w:val="es-ES_tradnl"/>
              </w:rPr>
              <w:t>Control</w:t>
            </w:r>
          </w:p>
        </w:tc>
        <w:tc>
          <w:tcPr>
            <w:tcW w:w="6888" w:type="dxa"/>
            <w:tcBorders>
              <w:top w:val="single" w:sz="18" w:space="0" w:color="FFFFFF" w:themeColor="background1"/>
            </w:tcBorders>
          </w:tcPr>
          <w:p w:rsidR="000708BF" w:rsidRPr="006C1634" w:rsidRDefault="000708BF" w:rsidP="00960997">
            <w:pPr>
              <w:pStyle w:val="Tablecells"/>
              <w:rPr>
                <w:rFonts w:ascii="ITC Avant Garde" w:hAnsi="ITC Avant Garde"/>
                <w:szCs w:val="18"/>
                <w:lang w:val="es-ES_tradnl"/>
              </w:rPr>
            </w:pPr>
            <w:r w:rsidRPr="006C1634">
              <w:rPr>
                <w:rFonts w:ascii="ITC Avant Garde" w:hAnsi="ITC Avant Garde"/>
                <w:szCs w:val="18"/>
                <w:lang w:val="es-ES_tradnl"/>
              </w:rPr>
              <w:t xml:space="preserve">La hoja de cálculo </w:t>
            </w:r>
            <w:r w:rsidRPr="006C1634">
              <w:rPr>
                <w:rFonts w:ascii="ITC Avant Garde" w:hAnsi="ITC Avant Garde"/>
                <w:i/>
                <w:szCs w:val="18"/>
                <w:lang w:val="es-ES_tradnl"/>
              </w:rPr>
              <w:t>Control</w:t>
            </w:r>
            <w:r w:rsidRPr="006C1634">
              <w:rPr>
                <w:rFonts w:ascii="ITC Avant Garde" w:hAnsi="ITC Avant Garde"/>
                <w:szCs w:val="18"/>
                <w:lang w:val="es-ES_tradnl"/>
              </w:rPr>
              <w:t xml:space="preserve"> permite seleccionar el año de referencia que determina la elección del nivel de demanda antes y después del apagón </w:t>
            </w:r>
            <w:r w:rsidRPr="006C1634">
              <w:rPr>
                <w:rFonts w:ascii="ITC Avant Garde" w:hAnsi="ITC Avant Garde"/>
                <w:szCs w:val="18"/>
                <w:lang w:val="es-ES_tradnl"/>
              </w:rPr>
              <w:lastRenderedPageBreak/>
              <w:t xml:space="preserve">analógico en la hoja </w:t>
            </w:r>
            <w:r w:rsidRPr="006C1634">
              <w:rPr>
                <w:rFonts w:ascii="ITC Avant Garde" w:hAnsi="ITC Avant Garde"/>
                <w:i/>
                <w:szCs w:val="18"/>
                <w:lang w:val="es-ES_tradnl"/>
              </w:rPr>
              <w:t>Demanda</w:t>
            </w:r>
            <w:r w:rsidRPr="006C1634">
              <w:rPr>
                <w:rFonts w:ascii="ITC Avant Garde" w:hAnsi="ITC Avant Garde"/>
                <w:szCs w:val="18"/>
                <w:lang w:val="es-ES_tradnl"/>
              </w:rPr>
              <w:t xml:space="preserve">. La hoja </w:t>
            </w:r>
            <w:r w:rsidRPr="006C1634">
              <w:rPr>
                <w:rFonts w:ascii="ITC Avant Garde" w:hAnsi="ITC Avant Garde"/>
                <w:i/>
                <w:iCs/>
                <w:szCs w:val="18"/>
                <w:lang w:val="es-ES_tradnl"/>
              </w:rPr>
              <w:t>Control</w:t>
            </w:r>
            <w:r w:rsidRPr="006C1634">
              <w:rPr>
                <w:rFonts w:ascii="ITC Avant Garde" w:hAnsi="ITC Avant Garde"/>
                <w:szCs w:val="18"/>
                <w:lang w:val="es-ES_tradnl"/>
              </w:rPr>
              <w:t xml:space="preserve"> también permite seleccionar el tipo de compartición del sistema de antena y la posible inclusión de servicios auxiliares </w:t>
            </w:r>
            <w:r w:rsidRPr="006C1634">
              <w:rPr>
                <w:rFonts w:ascii="ITC Avant Garde" w:hAnsi="ITC Avant Garde"/>
                <w:szCs w:val="18"/>
                <w:lang w:val="es-ES_tradnl"/>
              </w:rPr>
              <w:br/>
              <w:t xml:space="preserve">(ej. energía eléctrica, aire acondicionado). Se introducen los </w:t>
            </w:r>
            <w:proofErr w:type="spellStart"/>
            <w:r w:rsidRPr="006C1634">
              <w:rPr>
                <w:rFonts w:ascii="ITC Avant Garde" w:hAnsi="ITC Avant Garde"/>
                <w:i/>
                <w:iCs/>
                <w:szCs w:val="18"/>
                <w:lang w:val="es-ES_tradnl"/>
              </w:rPr>
              <w:t>mark</w:t>
            </w:r>
            <w:proofErr w:type="spellEnd"/>
            <w:r w:rsidRPr="006C1634">
              <w:rPr>
                <w:rFonts w:ascii="ITC Avant Garde" w:hAnsi="ITC Avant Garde"/>
                <w:i/>
                <w:iCs/>
                <w:szCs w:val="18"/>
                <w:lang w:val="es-ES_tradnl"/>
              </w:rPr>
              <w:t>-ups</w:t>
            </w:r>
            <w:r w:rsidRPr="006C1634">
              <w:rPr>
                <w:rFonts w:ascii="ITC Avant Garde" w:hAnsi="ITC Avant Garde"/>
                <w:szCs w:val="18"/>
                <w:lang w:val="es-ES_tradnl"/>
              </w:rPr>
              <w:t xml:space="preserve"> que, a través de la hoja </w:t>
            </w:r>
            <w:proofErr w:type="spellStart"/>
            <w:r w:rsidRPr="006C1634">
              <w:rPr>
                <w:rFonts w:ascii="ITC Avant Garde" w:hAnsi="ITC Avant Garde"/>
                <w:i/>
                <w:iCs/>
                <w:szCs w:val="18"/>
                <w:lang w:val="es-ES_tradnl"/>
              </w:rPr>
              <w:t>Side</w:t>
            </w:r>
            <w:proofErr w:type="spellEnd"/>
            <w:r w:rsidRPr="006C1634">
              <w:rPr>
                <w:rFonts w:ascii="ITC Avant Garde" w:hAnsi="ITC Avant Garde"/>
                <w:i/>
                <w:iCs/>
                <w:szCs w:val="18"/>
                <w:lang w:val="es-ES_tradnl"/>
              </w:rPr>
              <w:t xml:space="preserve"> </w:t>
            </w:r>
            <w:proofErr w:type="spellStart"/>
            <w:r w:rsidRPr="006C1634">
              <w:rPr>
                <w:rFonts w:ascii="ITC Avant Garde" w:hAnsi="ITC Avant Garde"/>
                <w:i/>
                <w:iCs/>
                <w:szCs w:val="18"/>
                <w:lang w:val="es-ES_tradnl"/>
              </w:rPr>
              <w:t>calculation</w:t>
            </w:r>
            <w:proofErr w:type="spellEnd"/>
            <w:r w:rsidRPr="006C1634">
              <w:rPr>
                <w:rFonts w:ascii="ITC Avant Garde" w:hAnsi="ITC Avant Garde"/>
                <w:szCs w:val="18"/>
                <w:lang w:val="es-ES_tradnl"/>
              </w:rPr>
              <w:t xml:space="preserve">, se utilizan en la hoja </w:t>
            </w:r>
            <w:r w:rsidRPr="006C1634">
              <w:rPr>
                <w:rFonts w:ascii="ITC Avant Garde" w:hAnsi="ITC Avant Garde"/>
                <w:i/>
                <w:iCs/>
                <w:szCs w:val="18"/>
                <w:lang w:val="es-ES_tradnl"/>
              </w:rPr>
              <w:t>Dimensionado</w:t>
            </w:r>
          </w:p>
        </w:tc>
      </w:tr>
      <w:tr w:rsidR="000708BF" w:rsidRPr="006C1634" w:rsidTr="00960997">
        <w:tc>
          <w:tcPr>
            <w:tcW w:w="1843" w:type="dxa"/>
          </w:tcPr>
          <w:p w:rsidR="000708BF" w:rsidRPr="006C1634" w:rsidRDefault="000708BF" w:rsidP="00960997">
            <w:pPr>
              <w:pStyle w:val="Tablecells"/>
              <w:rPr>
                <w:rFonts w:ascii="ITC Avant Garde" w:hAnsi="ITC Avant Garde"/>
                <w:i/>
                <w:szCs w:val="18"/>
                <w:lang w:val="es-ES_tradnl"/>
              </w:rPr>
            </w:pPr>
            <w:r w:rsidRPr="006C1634">
              <w:rPr>
                <w:rFonts w:ascii="ITC Avant Garde" w:hAnsi="ITC Avant Garde"/>
                <w:i/>
                <w:szCs w:val="18"/>
                <w:lang w:val="es-ES_tradnl"/>
              </w:rPr>
              <w:lastRenderedPageBreak/>
              <w:t>Dimensionado</w:t>
            </w:r>
          </w:p>
        </w:tc>
        <w:tc>
          <w:tcPr>
            <w:tcW w:w="6888" w:type="dxa"/>
          </w:tcPr>
          <w:p w:rsidR="000708BF" w:rsidRPr="006C1634" w:rsidRDefault="000708BF" w:rsidP="00960997">
            <w:pPr>
              <w:pStyle w:val="Tablecells"/>
              <w:rPr>
                <w:rFonts w:ascii="ITC Avant Garde" w:hAnsi="ITC Avant Garde"/>
                <w:szCs w:val="18"/>
                <w:lang w:val="es-ES_tradnl"/>
              </w:rPr>
            </w:pPr>
            <w:r w:rsidRPr="006C1634">
              <w:rPr>
                <w:rFonts w:ascii="ITC Avant Garde" w:hAnsi="ITC Avant Garde"/>
                <w:szCs w:val="18"/>
                <w:lang w:val="es-ES_tradnl"/>
              </w:rPr>
              <w:t xml:space="preserve">La hoja </w:t>
            </w:r>
            <w:r w:rsidRPr="006C1634">
              <w:rPr>
                <w:rFonts w:ascii="ITC Avant Garde" w:hAnsi="ITC Avant Garde"/>
                <w:i/>
                <w:szCs w:val="18"/>
                <w:lang w:val="es-ES_tradnl"/>
              </w:rPr>
              <w:t>Dimensionado</w:t>
            </w:r>
            <w:r w:rsidR="00A64D07" w:rsidRPr="006C1634">
              <w:rPr>
                <w:rFonts w:ascii="ITC Avant Garde" w:hAnsi="ITC Avant Garde"/>
                <w:i/>
                <w:szCs w:val="18"/>
                <w:lang w:val="es-ES_tradnl"/>
              </w:rPr>
              <w:t xml:space="preserve"> </w:t>
            </w:r>
            <w:r w:rsidR="00A64D07" w:rsidRPr="006C1634">
              <w:rPr>
                <w:rFonts w:ascii="ITC Avant Garde" w:hAnsi="ITC Avant Garde"/>
                <w:szCs w:val="18"/>
                <w:lang w:val="es-ES_tradnl"/>
              </w:rPr>
              <w:t>(</w:t>
            </w:r>
            <w:r w:rsidR="00A64D07" w:rsidRPr="006C1634">
              <w:rPr>
                <w:rFonts w:ascii="ITC Avant Garde" w:hAnsi="ITC Avant Garde"/>
                <w:i/>
                <w:szCs w:val="18"/>
                <w:lang w:val="es-ES_tradnl"/>
              </w:rPr>
              <w:t xml:space="preserve">DB </w:t>
            </w:r>
            <w:r w:rsidR="00A64D07" w:rsidRPr="006C1634">
              <w:rPr>
                <w:rFonts w:ascii="ITC Avant Garde" w:hAnsi="ITC Avant Garde"/>
                <w:szCs w:val="18"/>
                <w:lang w:val="es-ES_tradnl"/>
              </w:rPr>
              <w:t>en el modelo)</w:t>
            </w:r>
            <w:r w:rsidRPr="006C1634">
              <w:rPr>
                <w:rFonts w:ascii="ITC Avant Garde" w:hAnsi="ITC Avant Garde"/>
                <w:szCs w:val="18"/>
                <w:lang w:val="es-ES_tradnl"/>
              </w:rPr>
              <w:t xml:space="preserve"> procesa la base de datos de los emplazamientos (hoja </w:t>
            </w:r>
            <w:r w:rsidRPr="006C1634">
              <w:rPr>
                <w:rFonts w:ascii="ITC Avant Garde" w:hAnsi="ITC Avant Garde"/>
                <w:i/>
                <w:szCs w:val="18"/>
                <w:lang w:val="es-ES_tradnl"/>
              </w:rPr>
              <w:t>DB</w:t>
            </w:r>
            <w:r w:rsidRPr="006C1634">
              <w:rPr>
                <w:rFonts w:ascii="ITC Avant Garde" w:hAnsi="ITC Avant Garde"/>
                <w:szCs w:val="18"/>
                <w:lang w:val="es-ES_tradnl"/>
              </w:rPr>
              <w:t xml:space="preserve">) para calcular los parámetros de dimensionamiento real y procesar los </w:t>
            </w:r>
            <w:proofErr w:type="spellStart"/>
            <w:r w:rsidRPr="006C1634">
              <w:rPr>
                <w:rFonts w:ascii="ITC Avant Garde" w:hAnsi="ITC Avant Garde"/>
                <w:i/>
                <w:szCs w:val="18"/>
                <w:lang w:val="es-ES_tradnl"/>
              </w:rPr>
              <w:t>mark</w:t>
            </w:r>
            <w:proofErr w:type="spellEnd"/>
            <w:r w:rsidRPr="006C1634">
              <w:rPr>
                <w:rFonts w:ascii="ITC Avant Garde" w:hAnsi="ITC Avant Garde"/>
                <w:i/>
                <w:szCs w:val="18"/>
                <w:lang w:val="es-ES_tradnl"/>
              </w:rPr>
              <w:t>-ups</w:t>
            </w:r>
            <w:r w:rsidRPr="006C1634">
              <w:rPr>
                <w:rFonts w:ascii="ITC Avant Garde" w:hAnsi="ITC Avant Garde"/>
                <w:szCs w:val="18"/>
                <w:lang w:val="es-ES_tradnl"/>
              </w:rPr>
              <w:t xml:space="preserve">. La hoja </w:t>
            </w:r>
            <w:r w:rsidRPr="006C1634">
              <w:rPr>
                <w:rFonts w:ascii="ITC Avant Garde" w:hAnsi="ITC Avant Garde"/>
                <w:i/>
                <w:szCs w:val="18"/>
                <w:lang w:val="es-ES_tradnl"/>
              </w:rPr>
              <w:t>Dimensionado</w:t>
            </w:r>
            <w:r w:rsidRPr="006C1634">
              <w:rPr>
                <w:rFonts w:ascii="ITC Avant Garde" w:hAnsi="ITC Avant Garde"/>
                <w:szCs w:val="18"/>
                <w:lang w:val="es-ES_tradnl"/>
              </w:rPr>
              <w:t xml:space="preserve"> arroja como resultado el número de activos y su tamaño correspondiente. Las características del emplazamiento seleccionado son extraídas de la hoja </w:t>
            </w:r>
            <w:r w:rsidRPr="006C1634">
              <w:rPr>
                <w:rFonts w:ascii="ITC Avant Garde" w:hAnsi="ITC Avant Garde"/>
                <w:i/>
                <w:szCs w:val="18"/>
                <w:lang w:val="es-ES_tradnl"/>
              </w:rPr>
              <w:t>DB</w:t>
            </w:r>
            <w:r w:rsidRPr="006C1634">
              <w:rPr>
                <w:rFonts w:ascii="ITC Avant Garde" w:hAnsi="ITC Avant Garde"/>
                <w:szCs w:val="18"/>
                <w:lang w:val="es-ES_tradnl"/>
              </w:rPr>
              <w:t xml:space="preserve"> y, junto con los inputs de demanda, los parámetros de los distintos escenarios modelados y los </w:t>
            </w:r>
            <w:proofErr w:type="spellStart"/>
            <w:r w:rsidRPr="006C1634">
              <w:rPr>
                <w:rFonts w:ascii="ITC Avant Garde" w:hAnsi="ITC Avant Garde"/>
                <w:i/>
                <w:szCs w:val="18"/>
                <w:lang w:val="es-ES_tradnl"/>
              </w:rPr>
              <w:t>mark</w:t>
            </w:r>
            <w:proofErr w:type="spellEnd"/>
            <w:r w:rsidRPr="006C1634">
              <w:rPr>
                <w:rFonts w:ascii="ITC Avant Garde" w:hAnsi="ITC Avant Garde"/>
                <w:i/>
                <w:szCs w:val="18"/>
                <w:lang w:val="es-ES_tradnl"/>
              </w:rPr>
              <w:t>-ups</w:t>
            </w:r>
            <w:r w:rsidRPr="006C1634">
              <w:rPr>
                <w:rFonts w:ascii="ITC Avant Garde" w:hAnsi="ITC Avant Garde"/>
                <w:szCs w:val="18"/>
                <w:lang w:val="es-ES_tradnl"/>
              </w:rPr>
              <w:t xml:space="preserve"> de la hoja </w:t>
            </w:r>
            <w:r w:rsidRPr="006C1634">
              <w:rPr>
                <w:rFonts w:ascii="ITC Avant Garde" w:hAnsi="ITC Avant Garde"/>
                <w:i/>
                <w:szCs w:val="18"/>
                <w:lang w:val="es-ES_tradnl"/>
              </w:rPr>
              <w:t>Control</w:t>
            </w:r>
            <w:r w:rsidRPr="006C1634">
              <w:rPr>
                <w:rFonts w:ascii="ITC Avant Garde" w:hAnsi="ITC Avant Garde"/>
                <w:szCs w:val="18"/>
                <w:lang w:val="es-ES_tradnl"/>
              </w:rPr>
              <w:t xml:space="preserve">, se procesan en la hoja </w:t>
            </w:r>
            <w:r w:rsidRPr="006C1634">
              <w:rPr>
                <w:rFonts w:ascii="ITC Avant Garde" w:hAnsi="ITC Avant Garde"/>
                <w:i/>
                <w:szCs w:val="18"/>
                <w:lang w:val="es-ES_tradnl"/>
              </w:rPr>
              <w:t>Dimensionado</w:t>
            </w:r>
          </w:p>
        </w:tc>
      </w:tr>
      <w:tr w:rsidR="000708BF" w:rsidRPr="006C1634" w:rsidTr="00960997">
        <w:trPr>
          <w:cnfStyle w:val="000000100000" w:firstRow="0" w:lastRow="0" w:firstColumn="0" w:lastColumn="0" w:oddVBand="0" w:evenVBand="0" w:oddHBand="1" w:evenHBand="0" w:firstRowFirstColumn="0" w:firstRowLastColumn="0" w:lastRowFirstColumn="0" w:lastRowLastColumn="0"/>
        </w:trPr>
        <w:tc>
          <w:tcPr>
            <w:tcW w:w="1843" w:type="dxa"/>
          </w:tcPr>
          <w:p w:rsidR="000708BF" w:rsidRPr="006C1634" w:rsidRDefault="000708BF" w:rsidP="00960997">
            <w:pPr>
              <w:pStyle w:val="Tablecells"/>
              <w:rPr>
                <w:rFonts w:ascii="ITC Avant Garde" w:hAnsi="ITC Avant Garde"/>
                <w:i/>
                <w:szCs w:val="18"/>
                <w:lang w:val="es-ES_tradnl"/>
              </w:rPr>
            </w:pPr>
            <w:r w:rsidRPr="006C1634">
              <w:rPr>
                <w:rFonts w:ascii="ITC Avant Garde" w:hAnsi="ITC Avant Garde"/>
                <w:i/>
                <w:szCs w:val="18"/>
                <w:lang w:val="es-ES_tradnl"/>
              </w:rPr>
              <w:t>Costeo</w:t>
            </w:r>
          </w:p>
        </w:tc>
        <w:tc>
          <w:tcPr>
            <w:tcW w:w="6888" w:type="dxa"/>
          </w:tcPr>
          <w:p w:rsidR="000708BF" w:rsidRPr="006C1634" w:rsidRDefault="000708BF" w:rsidP="00960997">
            <w:pPr>
              <w:pStyle w:val="Tablecells"/>
              <w:rPr>
                <w:rFonts w:ascii="ITC Avant Garde" w:hAnsi="ITC Avant Garde"/>
                <w:szCs w:val="18"/>
                <w:lang w:val="es-ES_tradnl"/>
              </w:rPr>
            </w:pPr>
            <w:r w:rsidRPr="006C1634">
              <w:rPr>
                <w:rFonts w:ascii="ITC Avant Garde" w:hAnsi="ITC Avant Garde"/>
                <w:szCs w:val="18"/>
                <w:lang w:val="es-ES_tradnl"/>
              </w:rPr>
              <w:t xml:space="preserve">En la hoja </w:t>
            </w:r>
            <w:r w:rsidRPr="006C1634">
              <w:rPr>
                <w:rFonts w:ascii="ITC Avant Garde" w:hAnsi="ITC Avant Garde"/>
                <w:i/>
                <w:szCs w:val="18"/>
                <w:lang w:val="es-ES_tradnl"/>
              </w:rPr>
              <w:t>Costeo</w:t>
            </w:r>
            <w:r w:rsidRPr="006C1634">
              <w:rPr>
                <w:rFonts w:ascii="ITC Avant Garde" w:hAnsi="ITC Avant Garde"/>
                <w:szCs w:val="18"/>
                <w:lang w:val="es-ES_tradnl"/>
              </w:rPr>
              <w:t xml:space="preserve"> se aplican los costos unitarios de la hoja </w:t>
            </w:r>
            <w:r w:rsidRPr="006C1634">
              <w:rPr>
                <w:rFonts w:ascii="ITC Avant Garde" w:hAnsi="ITC Avant Garde"/>
                <w:i/>
                <w:szCs w:val="18"/>
                <w:lang w:val="es-ES_tradnl"/>
              </w:rPr>
              <w:t>Costos unitarios</w:t>
            </w:r>
            <w:r w:rsidRPr="006C1634">
              <w:rPr>
                <w:rFonts w:ascii="ITC Avant Garde" w:hAnsi="ITC Avant Garde"/>
                <w:szCs w:val="18"/>
                <w:lang w:val="es-ES_tradnl"/>
              </w:rPr>
              <w:t xml:space="preserve"> a las cantidades calculadas en la hoja </w:t>
            </w:r>
            <w:r w:rsidRPr="006C1634">
              <w:rPr>
                <w:rFonts w:ascii="ITC Avant Garde" w:hAnsi="ITC Avant Garde"/>
                <w:i/>
                <w:szCs w:val="18"/>
                <w:lang w:val="es-ES_tradnl"/>
              </w:rPr>
              <w:t xml:space="preserve">Dimensionado </w:t>
            </w:r>
            <w:r w:rsidRPr="006C1634">
              <w:rPr>
                <w:rFonts w:ascii="ITC Avant Garde" w:hAnsi="ITC Avant Garde"/>
                <w:szCs w:val="18"/>
                <w:lang w:val="es-ES_tradnl"/>
              </w:rPr>
              <w:t>(P</w:t>
            </w:r>
            <w:r w:rsidRPr="006C1634">
              <w:rPr>
                <w:rFonts w:ascii="ITC Avant Garde" w:hAnsi="ITC Avant Garde" w:cs="Arial"/>
                <w:szCs w:val="18"/>
                <w:lang w:val="es-ES_tradnl"/>
              </w:rPr>
              <w:t>×</w:t>
            </w:r>
            <w:r w:rsidRPr="006C1634">
              <w:rPr>
                <w:rFonts w:ascii="ITC Avant Garde" w:hAnsi="ITC Avant Garde"/>
                <w:szCs w:val="18"/>
                <w:lang w:val="es-ES_tradnl"/>
              </w:rPr>
              <w:t>Q)</w:t>
            </w:r>
          </w:p>
        </w:tc>
      </w:tr>
      <w:tr w:rsidR="000708BF" w:rsidRPr="006C1634" w:rsidTr="00960997">
        <w:tc>
          <w:tcPr>
            <w:tcW w:w="1843" w:type="dxa"/>
          </w:tcPr>
          <w:p w:rsidR="000708BF" w:rsidRPr="006C1634" w:rsidRDefault="000708BF" w:rsidP="00960997">
            <w:pPr>
              <w:pStyle w:val="Tablecells"/>
              <w:rPr>
                <w:rFonts w:ascii="ITC Avant Garde" w:hAnsi="ITC Avant Garde"/>
                <w:i/>
                <w:szCs w:val="18"/>
                <w:lang w:val="es-ES_tradnl"/>
              </w:rPr>
            </w:pPr>
            <w:r w:rsidRPr="006C1634">
              <w:rPr>
                <w:rFonts w:ascii="ITC Avant Garde" w:hAnsi="ITC Avant Garde"/>
                <w:i/>
                <w:szCs w:val="18"/>
                <w:lang w:val="es-ES_tradnl"/>
              </w:rPr>
              <w:t>Precio</w:t>
            </w:r>
          </w:p>
        </w:tc>
        <w:tc>
          <w:tcPr>
            <w:tcW w:w="6888" w:type="dxa"/>
          </w:tcPr>
          <w:p w:rsidR="000708BF" w:rsidRPr="006C1634" w:rsidRDefault="000708BF" w:rsidP="00960997">
            <w:pPr>
              <w:pStyle w:val="Tablecells"/>
              <w:rPr>
                <w:rFonts w:ascii="ITC Avant Garde" w:hAnsi="ITC Avant Garde"/>
                <w:szCs w:val="18"/>
                <w:lang w:val="es-ES_tradnl"/>
              </w:rPr>
            </w:pPr>
            <w:r w:rsidRPr="006C1634">
              <w:rPr>
                <w:rFonts w:ascii="ITC Avant Garde" w:hAnsi="ITC Avant Garde"/>
                <w:szCs w:val="18"/>
                <w:lang w:val="es-ES_tradnl"/>
              </w:rPr>
              <w:t xml:space="preserve">En la hoja </w:t>
            </w:r>
            <w:r w:rsidRPr="006C1634">
              <w:rPr>
                <w:rFonts w:ascii="ITC Avant Garde" w:hAnsi="ITC Avant Garde"/>
                <w:i/>
                <w:szCs w:val="18"/>
                <w:lang w:val="es-ES_tradnl"/>
              </w:rPr>
              <w:t>Precio</w:t>
            </w:r>
            <w:r w:rsidRPr="006C1634">
              <w:rPr>
                <w:rFonts w:ascii="ITC Avant Garde" w:hAnsi="ITC Avant Garde"/>
                <w:szCs w:val="18"/>
                <w:lang w:val="es-ES_tradnl"/>
              </w:rPr>
              <w:t xml:space="preserve"> se asigna el costo de la red a los distintos servicios y se calcula el precio final del servicio mayorista</w:t>
            </w:r>
          </w:p>
        </w:tc>
      </w:tr>
    </w:tbl>
    <w:p w:rsidR="000708BF" w:rsidRPr="006C1634" w:rsidRDefault="000708BF" w:rsidP="000708BF">
      <w:pPr>
        <w:rPr>
          <w:rFonts w:ascii="ITC Avant Garde" w:hAnsi="ITC Avant Garde"/>
          <w:sz w:val="18"/>
          <w:szCs w:val="18"/>
          <w:lang w:val="es-ES_tradnl"/>
        </w:rPr>
      </w:pPr>
    </w:p>
    <w:p w:rsidR="000708BF" w:rsidRPr="006C1634" w:rsidRDefault="000708BF" w:rsidP="00312C6D">
      <w:pPr>
        <w:pStyle w:val="Descripcin"/>
        <w:spacing w:before="360" w:after="120" w:line="280" w:lineRule="atLeast"/>
        <w:rPr>
          <w:rFonts w:ascii="ITC Avant Garde" w:hAnsi="ITC Avant Garde"/>
          <w:lang w:val="es-ES_tradnl"/>
        </w:rPr>
      </w:pPr>
      <w:r w:rsidRPr="006C1634">
        <w:rPr>
          <w:rFonts w:ascii="ITC Avant Garde" w:hAnsi="ITC Avant Garde"/>
          <w:lang w:val="es-ES_tradnl"/>
        </w:rPr>
        <w:t>Figur</w:t>
      </w:r>
      <w:r w:rsidR="00312C6D" w:rsidRPr="006C1634">
        <w:rPr>
          <w:rFonts w:ascii="ITC Avant Garde" w:hAnsi="ITC Avant Garde"/>
          <w:lang w:val="es-ES_tradnl"/>
        </w:rPr>
        <w:t>a</w:t>
      </w:r>
      <w:r w:rsidRPr="006C1634">
        <w:rPr>
          <w:rFonts w:ascii="ITC Avant Garde" w:hAnsi="ITC Avant Garde"/>
          <w:lang w:val="es-ES_tradnl"/>
        </w:rPr>
        <w:t xml:space="preserve"> </w:t>
      </w:r>
      <w:r w:rsidRPr="006C1634">
        <w:rPr>
          <w:rFonts w:ascii="ITC Avant Garde" w:hAnsi="ITC Avant Garde"/>
          <w:lang w:val="es-ES_tradnl"/>
        </w:rPr>
        <w:fldChar w:fldCharType="begin"/>
      </w:r>
      <w:r w:rsidRPr="006C1634">
        <w:rPr>
          <w:rFonts w:ascii="ITC Avant Garde" w:hAnsi="ITC Avant Garde"/>
          <w:lang w:val="es-ES_tradnl"/>
        </w:rPr>
        <w:instrText xml:space="preserve"> SEQ Figure \* ARABIC \n \* MERGEFORMAT </w:instrText>
      </w:r>
      <w:r w:rsidRPr="006C1634">
        <w:rPr>
          <w:rFonts w:ascii="ITC Avant Garde" w:hAnsi="ITC Avant Garde"/>
          <w:lang w:val="es-ES_tradnl"/>
        </w:rPr>
        <w:fldChar w:fldCharType="separate"/>
      </w:r>
      <w:r w:rsidRPr="006C1634">
        <w:rPr>
          <w:rFonts w:ascii="ITC Avant Garde" w:hAnsi="ITC Avant Garde"/>
          <w:noProof/>
          <w:lang w:val="es-ES_tradnl"/>
        </w:rPr>
        <w:t>8</w:t>
      </w:r>
      <w:r w:rsidRPr="006C1634">
        <w:rPr>
          <w:rFonts w:ascii="ITC Avant Garde" w:hAnsi="ITC Avant Garde"/>
          <w:lang w:val="es-ES_tradnl"/>
        </w:rPr>
        <w:fldChar w:fldCharType="end"/>
      </w:r>
      <w:r w:rsidRPr="006C1634">
        <w:rPr>
          <w:rFonts w:ascii="ITC Avant Garde" w:hAnsi="ITC Avant Garde"/>
          <w:lang w:val="es-ES_tradnl"/>
        </w:rPr>
        <w:t xml:space="preserve">: Flujo del modelo [Fuente: </w:t>
      </w:r>
      <w:r w:rsidR="00312C6D" w:rsidRPr="006C1634">
        <w:rPr>
          <w:rFonts w:ascii="ITC Avant Garde" w:hAnsi="ITC Avant Garde"/>
          <w:lang w:val="es-ES_tradnl"/>
        </w:rPr>
        <w:t>IFT</w:t>
      </w:r>
      <w:r w:rsidRPr="006C1634">
        <w:rPr>
          <w:rFonts w:ascii="ITC Avant Garde" w:hAnsi="ITC Avant Garde"/>
          <w:lang w:val="es-ES_tradnl"/>
        </w:rPr>
        <w:t>, 2015]</w:t>
      </w:r>
    </w:p>
    <w:p w:rsidR="000708BF" w:rsidRPr="006C1634" w:rsidRDefault="000708BF" w:rsidP="00312C6D">
      <w:pPr>
        <w:pStyle w:val="Border"/>
        <w:pBdr>
          <w:bottom w:val="none" w:sz="0" w:space="0" w:color="auto"/>
        </w:pBdr>
        <w:rPr>
          <w:rFonts w:ascii="ITC Avant Garde" w:hAnsi="ITC Avant Garde"/>
          <w:sz w:val="18"/>
          <w:szCs w:val="18"/>
          <w:lang w:val="es-ES_tradnl"/>
        </w:rPr>
      </w:pPr>
      <w:r w:rsidRPr="006C1634">
        <w:rPr>
          <w:rFonts w:ascii="ITC Avant Garde" w:hAnsi="ITC Avant Garde"/>
          <w:noProof/>
          <w:sz w:val="18"/>
          <w:szCs w:val="18"/>
          <w:lang w:val="es-MX" w:eastAsia="es-MX"/>
        </w:rPr>
        <w:drawing>
          <wp:inline distT="0" distB="0" distL="0" distR="0" wp14:anchorId="7F2782FC" wp14:editId="29D8E926">
            <wp:extent cx="5543550" cy="1389572"/>
            <wp:effectExtent l="0" t="0" r="0" b="0"/>
            <wp:docPr id="2" name="Picture 2" descr="Flujo del modelo [Fuente: IFT, 2015]" title="Flujo d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0" cy="1389572"/>
                    </a:xfrm>
                    <a:prstGeom prst="rect">
                      <a:avLst/>
                    </a:prstGeom>
                    <a:noFill/>
                    <a:ln>
                      <a:noFill/>
                    </a:ln>
                  </pic:spPr>
                </pic:pic>
              </a:graphicData>
            </a:graphic>
          </wp:inline>
        </w:drawing>
      </w:r>
    </w:p>
    <w:p w:rsidR="00312C6D" w:rsidRPr="006C1634" w:rsidRDefault="00312C6D" w:rsidP="00312C6D">
      <w:pPr>
        <w:rPr>
          <w:rFonts w:ascii="ITC Avant Garde" w:hAnsi="ITC Avant Garde"/>
          <w:sz w:val="18"/>
          <w:szCs w:val="18"/>
          <w:lang w:val="es-ES_tradnl"/>
        </w:rPr>
      </w:pPr>
    </w:p>
    <w:p w:rsidR="00312C6D" w:rsidRPr="0086270B" w:rsidRDefault="0086270B" w:rsidP="00312C6D">
      <w:pPr>
        <w:rPr>
          <w:rFonts w:ascii="ITC Avant Garde" w:hAnsi="ITC Avant Garde"/>
          <w:b/>
          <w:sz w:val="18"/>
          <w:szCs w:val="18"/>
          <w:lang w:val="es-ES_tradnl"/>
        </w:rPr>
      </w:pPr>
      <w:r w:rsidRPr="0086270B">
        <w:rPr>
          <w:rFonts w:ascii="ITC Avant Garde" w:hAnsi="ITC Avant Garde"/>
          <w:b/>
          <w:sz w:val="18"/>
          <w:szCs w:val="18"/>
          <w:lang w:val="es-ES_tradnl"/>
        </w:rPr>
        <w:t>Q.</w:t>
      </w:r>
      <w:r w:rsidRPr="0086270B">
        <w:rPr>
          <w:rFonts w:ascii="ITC Avant Garde" w:hAnsi="ITC Avant Garde"/>
          <w:b/>
          <w:sz w:val="18"/>
          <w:szCs w:val="18"/>
          <w:lang w:val="es-ES_tradnl"/>
        </w:rPr>
        <w:fldChar w:fldCharType="begin"/>
      </w:r>
      <w:r w:rsidRPr="0086270B">
        <w:rPr>
          <w:rFonts w:ascii="ITC Avant Garde" w:hAnsi="ITC Avant Garde"/>
          <w:b/>
          <w:sz w:val="18"/>
          <w:szCs w:val="18"/>
          <w:lang w:val="es-ES_tradnl"/>
        </w:rPr>
        <w:instrText xml:space="preserve"> SEQ Recommendation \* ARABIC \s 0 </w:instrText>
      </w:r>
      <w:r w:rsidRPr="0086270B">
        <w:rPr>
          <w:rFonts w:ascii="ITC Avant Garde" w:hAnsi="ITC Avant Garde"/>
          <w:b/>
          <w:sz w:val="18"/>
          <w:szCs w:val="18"/>
          <w:lang w:val="es-ES_tradnl"/>
        </w:rPr>
        <w:fldChar w:fldCharType="separate"/>
      </w:r>
      <w:r w:rsidRPr="0086270B">
        <w:rPr>
          <w:rFonts w:ascii="ITC Avant Garde" w:hAnsi="ITC Avant Garde"/>
          <w:b/>
          <w:sz w:val="18"/>
          <w:szCs w:val="18"/>
          <w:lang w:val="es-ES_tradnl"/>
        </w:rPr>
        <w:t>10</w:t>
      </w:r>
      <w:r w:rsidRPr="0086270B">
        <w:rPr>
          <w:rFonts w:ascii="ITC Avant Garde" w:hAnsi="ITC Avant Garde"/>
          <w:b/>
          <w:sz w:val="18"/>
          <w:szCs w:val="18"/>
          <w:lang w:val="es-ES_tradnl"/>
        </w:rPr>
        <w:fldChar w:fldCharType="end"/>
      </w:r>
      <w:r w:rsidRPr="0086270B">
        <w:rPr>
          <w:rFonts w:ascii="ITC Avant Garde" w:hAnsi="ITC Avant Garde"/>
          <w:b/>
          <w:sz w:val="18"/>
          <w:szCs w:val="18"/>
          <w:lang w:val="es-ES_tradnl"/>
        </w:rPr>
        <w:t>: ¿Tiene algún comentario relacionado con los valores de entrada al modelo y/o los cálculos efectuados en las diferentes hojas que lo componen?</w:t>
      </w:r>
    </w:p>
    <w:p w:rsidR="000708BF" w:rsidRPr="006C1634" w:rsidRDefault="000708BF" w:rsidP="000708BF">
      <w:pPr>
        <w:pStyle w:val="Ttulo3"/>
        <w:rPr>
          <w:rFonts w:ascii="ITC Avant Garde" w:hAnsi="ITC Avant Garde"/>
          <w:sz w:val="18"/>
          <w:szCs w:val="18"/>
          <w:lang w:val="es-ES_tradnl"/>
        </w:rPr>
      </w:pPr>
      <w:r w:rsidRPr="006C1634">
        <w:rPr>
          <w:rFonts w:ascii="ITC Avant Garde" w:hAnsi="ITC Avant Garde"/>
          <w:sz w:val="18"/>
          <w:szCs w:val="18"/>
          <w:lang w:val="es-ES_tradnl"/>
        </w:rPr>
        <w:t>Resultados del modelo</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Los resultados del modelo se estructuran de la siguiente manera:</w:t>
      </w:r>
    </w:p>
    <w:p w:rsidR="000708BF" w:rsidRPr="006C1634" w:rsidRDefault="000708BF" w:rsidP="000708BF">
      <w:pPr>
        <w:pStyle w:val="I1"/>
        <w:spacing w:after="0"/>
        <w:rPr>
          <w:rFonts w:ascii="ITC Avant Garde" w:hAnsi="ITC Avant Garde"/>
          <w:b/>
          <w:sz w:val="18"/>
          <w:szCs w:val="18"/>
          <w:lang w:val="es-ES_tradnl"/>
        </w:rPr>
      </w:pPr>
      <w:r w:rsidRPr="006C1634">
        <w:rPr>
          <w:rFonts w:ascii="ITC Avant Garde" w:hAnsi="ITC Avant Garde"/>
          <w:b/>
          <w:sz w:val="18"/>
          <w:szCs w:val="18"/>
          <w:lang w:val="es-ES_tradnl"/>
        </w:rPr>
        <w:t>Servicio básico:</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sitios físicos (tierra) (MXN/m</w:t>
      </w:r>
      <w:r w:rsidRPr="006C1634">
        <w:rPr>
          <w:rFonts w:ascii="ITC Avant Garde" w:hAnsi="ITC Avant Garde"/>
          <w:sz w:val="18"/>
          <w:szCs w:val="18"/>
          <w:vertAlign w:val="superscript"/>
          <w:lang w:val="es-ES_tradnl"/>
        </w:rPr>
        <w:t>2</w:t>
      </w:r>
      <w:r w:rsidRPr="006C1634">
        <w:rPr>
          <w:rFonts w:ascii="ITC Avant Garde" w:hAnsi="ITC Avant Garde"/>
          <w:sz w:val="18"/>
          <w:szCs w:val="18"/>
          <w:lang w:val="es-ES_tradnl"/>
        </w:rPr>
        <w:t xml:space="preserve"> de área de sala de transmisor)</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transmisor (MXN/m</w:t>
      </w:r>
      <w:r w:rsidRPr="006C1634">
        <w:rPr>
          <w:rFonts w:ascii="ITC Avant Garde" w:hAnsi="ITC Avant Garde"/>
          <w:sz w:val="18"/>
          <w:szCs w:val="18"/>
          <w:vertAlign w:val="superscript"/>
          <w:lang w:val="es-ES_tradnl"/>
        </w:rPr>
        <w:t>2</w:t>
      </w:r>
      <w:r w:rsidRPr="006C1634">
        <w:rPr>
          <w:rFonts w:ascii="ITC Avant Garde" w:hAnsi="ITC Avant Garde"/>
          <w:sz w:val="18"/>
          <w:szCs w:val="18"/>
          <w:lang w:val="es-ES_tradnl"/>
        </w:rPr>
        <w:t>)</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mantenimiento (MXN/operador (sólo el primer acceso))</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control (MXN/operador (sólo el primer acceso))</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sala de servicios y otros (MXN/operador (sólo el primer acceso))</w:t>
      </w:r>
    </w:p>
    <w:p w:rsidR="000708BF" w:rsidRPr="006C1634" w:rsidRDefault="000708BF" w:rsidP="000708BF">
      <w:pPr>
        <w:pStyle w:val="LL"/>
        <w:spacing w:after="240"/>
        <w:rPr>
          <w:rFonts w:ascii="ITC Avant Garde" w:hAnsi="ITC Avant Garde"/>
          <w:sz w:val="18"/>
          <w:szCs w:val="18"/>
          <w:lang w:val="es-ES_tradnl"/>
        </w:rPr>
      </w:pPr>
      <w:r w:rsidRPr="006C1634">
        <w:rPr>
          <w:rFonts w:ascii="ITC Avant Garde" w:hAnsi="ITC Avant Garde"/>
          <w:sz w:val="18"/>
          <w:szCs w:val="18"/>
          <w:lang w:val="es-ES_tradnl"/>
        </w:rPr>
        <w:t>torre (MXN/m).</w:t>
      </w:r>
    </w:p>
    <w:p w:rsidR="000708BF" w:rsidRPr="006C1634" w:rsidRDefault="000708BF" w:rsidP="000708BF">
      <w:pPr>
        <w:pStyle w:val="I1"/>
        <w:spacing w:after="0"/>
        <w:rPr>
          <w:rFonts w:ascii="ITC Avant Garde" w:hAnsi="ITC Avant Garde"/>
          <w:b/>
          <w:sz w:val="18"/>
          <w:szCs w:val="18"/>
          <w:lang w:val="es-ES_tradnl"/>
        </w:rPr>
      </w:pPr>
      <w:r w:rsidRPr="006C1634">
        <w:rPr>
          <w:rFonts w:ascii="ITC Avant Garde" w:hAnsi="ITC Avant Garde"/>
          <w:b/>
          <w:sz w:val="18"/>
          <w:szCs w:val="18"/>
          <w:lang w:val="es-ES_tradnl"/>
        </w:rPr>
        <w:t>Red eléctrica y aire acondicionado:</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lastRenderedPageBreak/>
        <w:t>subestación eléctrica (MXN/kW)</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planta de emergencia (MXN/kW)</w:t>
      </w:r>
    </w:p>
    <w:p w:rsidR="000708BF" w:rsidRPr="006C1634" w:rsidRDefault="000708BF" w:rsidP="000708BF">
      <w:pPr>
        <w:pStyle w:val="LL"/>
        <w:rPr>
          <w:rFonts w:ascii="ITC Avant Garde" w:hAnsi="ITC Avant Garde"/>
          <w:sz w:val="18"/>
          <w:szCs w:val="18"/>
          <w:lang w:val="es-ES_tradnl"/>
        </w:rPr>
      </w:pPr>
      <w:r w:rsidRPr="006C1634">
        <w:rPr>
          <w:rFonts w:ascii="ITC Avant Garde" w:hAnsi="ITC Avant Garde"/>
          <w:sz w:val="18"/>
          <w:szCs w:val="18"/>
          <w:lang w:val="es-ES_tradnl"/>
        </w:rPr>
        <w:t xml:space="preserve">fuente de poder </w:t>
      </w:r>
      <w:r w:rsidR="00A64D07" w:rsidRPr="006C1634">
        <w:rPr>
          <w:rFonts w:ascii="ITC Avant Garde" w:hAnsi="ITC Avant Garde"/>
          <w:sz w:val="18"/>
          <w:szCs w:val="18"/>
          <w:lang w:val="es-ES_tradnl"/>
        </w:rPr>
        <w:t xml:space="preserve">ininterrumpida </w:t>
      </w:r>
      <w:r w:rsidRPr="006C1634">
        <w:rPr>
          <w:rFonts w:ascii="ITC Avant Garde" w:hAnsi="ITC Avant Garde"/>
          <w:sz w:val="18"/>
          <w:szCs w:val="18"/>
          <w:lang w:val="es-ES_tradnl"/>
        </w:rPr>
        <w:t>disponible (MXN/kW)</w:t>
      </w:r>
    </w:p>
    <w:p w:rsidR="000708BF" w:rsidRPr="006C1634" w:rsidRDefault="000708BF" w:rsidP="000708BF">
      <w:pPr>
        <w:pStyle w:val="LL"/>
        <w:spacing w:after="240"/>
        <w:rPr>
          <w:rFonts w:ascii="ITC Avant Garde" w:hAnsi="ITC Avant Garde"/>
          <w:sz w:val="18"/>
          <w:szCs w:val="18"/>
          <w:lang w:val="es-ES_tradnl"/>
        </w:rPr>
      </w:pPr>
      <w:r w:rsidRPr="006C1634">
        <w:rPr>
          <w:rFonts w:ascii="ITC Avant Garde" w:hAnsi="ITC Avant Garde"/>
          <w:sz w:val="18"/>
          <w:szCs w:val="18"/>
          <w:lang w:val="es-ES_tradnl"/>
        </w:rPr>
        <w:t>sistema de aire acondicionado (MXN/kW).</w:t>
      </w:r>
    </w:p>
    <w:p w:rsidR="000708BF" w:rsidRPr="006C1634" w:rsidRDefault="000708BF" w:rsidP="000708BF">
      <w:pPr>
        <w:rPr>
          <w:rFonts w:ascii="ITC Avant Garde" w:hAnsi="ITC Avant Garde"/>
          <w:sz w:val="18"/>
          <w:szCs w:val="18"/>
          <w:lang w:val="es-ES_tradnl"/>
        </w:rPr>
      </w:pPr>
      <w:r w:rsidRPr="006C1634">
        <w:rPr>
          <w:rFonts w:ascii="ITC Avant Garde" w:hAnsi="ITC Avant Garde"/>
          <w:sz w:val="18"/>
          <w:szCs w:val="18"/>
          <w:lang w:val="es-ES_tradnl"/>
        </w:rPr>
        <w:t xml:space="preserve">Como mencionamos anteriormente, el modelo de costos sometido a consulta pública no muestra los resultados reales de los distintos servicios con el objetivo de preservar la confidencialidad de la información aportada por los operadores durante la fase de construcción del modelo. En su lugar, se han introducido variables </w:t>
      </w:r>
      <w:proofErr w:type="spellStart"/>
      <w:r w:rsidRPr="006C1634">
        <w:rPr>
          <w:rFonts w:ascii="ITC Avant Garde" w:hAnsi="ITC Avant Garde"/>
          <w:i/>
          <w:sz w:val="18"/>
          <w:szCs w:val="18"/>
          <w:lang w:val="es-ES_tradnl"/>
        </w:rPr>
        <w:t>dummy</w:t>
      </w:r>
      <w:proofErr w:type="spellEnd"/>
      <w:r w:rsidRPr="006C1634">
        <w:rPr>
          <w:rFonts w:ascii="ITC Avant Garde" w:hAnsi="ITC Avant Garde"/>
          <w:sz w:val="18"/>
          <w:szCs w:val="18"/>
          <w:lang w:val="es-ES_tradnl"/>
        </w:rPr>
        <w:t xml:space="preserve"> no necesariamente ajustadas a la realidad.</w:t>
      </w:r>
    </w:p>
    <w:p w:rsidR="0086270B" w:rsidRPr="0086270B" w:rsidRDefault="0086270B" w:rsidP="0086270B">
      <w:pPr>
        <w:rPr>
          <w:rFonts w:ascii="ITC Avant Garde" w:hAnsi="ITC Avant Garde"/>
          <w:b/>
          <w:sz w:val="18"/>
          <w:szCs w:val="18"/>
          <w:lang w:val="es-ES_tradnl"/>
        </w:rPr>
      </w:pPr>
      <w:r w:rsidRPr="0086270B">
        <w:rPr>
          <w:rFonts w:ascii="ITC Avant Garde" w:hAnsi="ITC Avant Garde"/>
          <w:b/>
          <w:sz w:val="18"/>
          <w:szCs w:val="18"/>
          <w:lang w:val="es-ES_tradnl"/>
        </w:rPr>
        <w:t>Q.</w:t>
      </w:r>
      <w:r w:rsidRPr="0086270B">
        <w:rPr>
          <w:rFonts w:ascii="ITC Avant Garde" w:hAnsi="ITC Avant Garde"/>
          <w:b/>
          <w:sz w:val="18"/>
          <w:szCs w:val="18"/>
          <w:lang w:val="es-ES_tradnl"/>
        </w:rPr>
        <w:fldChar w:fldCharType="begin"/>
      </w:r>
      <w:r w:rsidRPr="0086270B">
        <w:rPr>
          <w:rFonts w:ascii="ITC Avant Garde" w:hAnsi="ITC Avant Garde"/>
          <w:b/>
          <w:sz w:val="18"/>
          <w:szCs w:val="18"/>
          <w:lang w:val="es-ES_tradnl"/>
        </w:rPr>
        <w:instrText xml:space="preserve"> SEQ Recommendation \* ARABIC \s 0 </w:instrText>
      </w:r>
      <w:r w:rsidRPr="0086270B">
        <w:rPr>
          <w:rFonts w:ascii="ITC Avant Garde" w:hAnsi="ITC Avant Garde"/>
          <w:b/>
          <w:sz w:val="18"/>
          <w:szCs w:val="18"/>
          <w:lang w:val="es-ES_tradnl"/>
        </w:rPr>
        <w:fldChar w:fldCharType="separate"/>
      </w:r>
      <w:r w:rsidRPr="0086270B">
        <w:rPr>
          <w:rFonts w:ascii="ITC Avant Garde" w:hAnsi="ITC Avant Garde"/>
          <w:b/>
          <w:sz w:val="18"/>
          <w:szCs w:val="18"/>
          <w:lang w:val="es-ES_tradnl"/>
        </w:rPr>
        <w:t>11</w:t>
      </w:r>
      <w:r w:rsidRPr="0086270B">
        <w:rPr>
          <w:rFonts w:ascii="ITC Avant Garde" w:hAnsi="ITC Avant Garde"/>
          <w:b/>
          <w:sz w:val="18"/>
          <w:szCs w:val="18"/>
          <w:lang w:val="es-ES_tradnl"/>
        </w:rPr>
        <w:fldChar w:fldCharType="end"/>
      </w:r>
      <w:r w:rsidRPr="0086270B">
        <w:rPr>
          <w:rFonts w:ascii="ITC Avant Garde" w:hAnsi="ITC Avant Garde"/>
          <w:b/>
          <w:sz w:val="18"/>
          <w:szCs w:val="18"/>
          <w:lang w:val="es-ES_tradnl"/>
        </w:rPr>
        <w:t>: ¿Está de acuerdo con la estructura de precios de los servicios modelados, así como con las unidades en las que se costean los servicios?</w:t>
      </w:r>
    </w:p>
    <w:p w:rsidR="001438D2" w:rsidRPr="0086270B" w:rsidRDefault="0086270B" w:rsidP="0086270B">
      <w:pPr>
        <w:rPr>
          <w:rFonts w:ascii="ITC Avant Garde" w:hAnsi="ITC Avant Garde"/>
          <w:b/>
          <w:sz w:val="18"/>
          <w:szCs w:val="18"/>
          <w:lang w:val="es-ES_tradnl"/>
        </w:rPr>
      </w:pPr>
      <w:r w:rsidRPr="0086270B">
        <w:rPr>
          <w:rFonts w:ascii="ITC Avant Garde" w:hAnsi="ITC Avant Garde"/>
          <w:b/>
          <w:sz w:val="18"/>
          <w:szCs w:val="18"/>
          <w:lang w:val="es-ES_tradnl"/>
        </w:rPr>
        <w:t>Q.</w:t>
      </w:r>
      <w:r w:rsidRPr="0086270B">
        <w:rPr>
          <w:rFonts w:ascii="ITC Avant Garde" w:hAnsi="ITC Avant Garde"/>
          <w:b/>
          <w:sz w:val="18"/>
          <w:szCs w:val="18"/>
          <w:lang w:val="es-ES_tradnl"/>
        </w:rPr>
        <w:fldChar w:fldCharType="begin"/>
      </w:r>
      <w:r w:rsidRPr="0086270B">
        <w:rPr>
          <w:rFonts w:ascii="ITC Avant Garde" w:hAnsi="ITC Avant Garde"/>
          <w:b/>
          <w:sz w:val="18"/>
          <w:szCs w:val="18"/>
          <w:lang w:val="es-ES_tradnl"/>
        </w:rPr>
        <w:instrText xml:space="preserve"> SEQ Recommendation \* ARABIC \s 0 </w:instrText>
      </w:r>
      <w:r w:rsidRPr="0086270B">
        <w:rPr>
          <w:rFonts w:ascii="ITC Avant Garde" w:hAnsi="ITC Avant Garde"/>
          <w:b/>
          <w:sz w:val="18"/>
          <w:szCs w:val="18"/>
          <w:lang w:val="es-ES_tradnl"/>
        </w:rPr>
        <w:fldChar w:fldCharType="separate"/>
      </w:r>
      <w:r w:rsidRPr="0086270B">
        <w:rPr>
          <w:rFonts w:ascii="ITC Avant Garde" w:hAnsi="ITC Avant Garde"/>
          <w:b/>
          <w:sz w:val="18"/>
          <w:szCs w:val="18"/>
          <w:lang w:val="es-ES_tradnl"/>
        </w:rPr>
        <w:t>12</w:t>
      </w:r>
      <w:r w:rsidRPr="0086270B">
        <w:rPr>
          <w:rFonts w:ascii="ITC Avant Garde" w:hAnsi="ITC Avant Garde"/>
          <w:b/>
          <w:sz w:val="18"/>
          <w:szCs w:val="18"/>
          <w:lang w:val="es-ES_tradnl"/>
        </w:rPr>
        <w:fldChar w:fldCharType="end"/>
      </w:r>
      <w:r w:rsidRPr="0086270B">
        <w:rPr>
          <w:rFonts w:ascii="ITC Avant Garde" w:hAnsi="ITC Avant Garde"/>
          <w:b/>
          <w:sz w:val="18"/>
          <w:szCs w:val="18"/>
          <w:lang w:val="es-ES_tradnl"/>
        </w:rPr>
        <w:t>: ¿Tiene algún comentario adicional relativo al modelo de costos y/o documentación asociada?</w:t>
      </w:r>
    </w:p>
    <w:sectPr w:rsidR="001438D2" w:rsidRPr="0086270B" w:rsidSect="001438D2">
      <w:headerReference w:type="default" r:id="rId17"/>
      <w:footerReference w:type="default" r:id="rId18"/>
      <w:footerReference w:type="first" r:id="rId19"/>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DB" w:rsidRDefault="00AD66DB" w:rsidP="003C6172">
      <w:pPr>
        <w:spacing w:after="0" w:line="240" w:lineRule="auto"/>
      </w:pPr>
      <w:r>
        <w:separator/>
      </w:r>
    </w:p>
  </w:endnote>
  <w:endnote w:type="continuationSeparator" w:id="0">
    <w:p w:rsidR="00AD66DB" w:rsidRDefault="00AD66DB"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8B" w:rsidRDefault="00F14F8B" w:rsidP="006C1634">
    <w:pPr>
      <w:pStyle w:val="Piedepgina"/>
      <w:spacing w:before="720"/>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8B" w:rsidRDefault="00F14F8B" w:rsidP="006C1634">
    <w:pPr>
      <w:pStyle w:val="Piedepgina"/>
      <w:spacing w:before="72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DB" w:rsidRDefault="00AD66DB" w:rsidP="003C6172">
      <w:pPr>
        <w:spacing w:after="0" w:line="240" w:lineRule="auto"/>
      </w:pPr>
      <w:r>
        <w:separator/>
      </w:r>
    </w:p>
  </w:footnote>
  <w:footnote w:type="continuationSeparator" w:id="0">
    <w:p w:rsidR="00AD66DB" w:rsidRDefault="00AD66DB" w:rsidP="003C6172">
      <w:pPr>
        <w:spacing w:after="0" w:line="240" w:lineRule="auto"/>
      </w:pPr>
      <w:r>
        <w:continuationSeparator/>
      </w:r>
    </w:p>
  </w:footnote>
  <w:footnote w:id="1">
    <w:p w:rsidR="000708BF" w:rsidRPr="00D03C61" w:rsidRDefault="000708BF" w:rsidP="000708BF">
      <w:pPr>
        <w:pStyle w:val="Textonotapie"/>
        <w:rPr>
          <w:lang w:val="es-ES_tradnl"/>
        </w:rPr>
      </w:pPr>
      <w:r w:rsidRPr="00D03C61">
        <w:rPr>
          <w:rStyle w:val="Refdenotaalpie"/>
          <w:lang w:val="es-ES_tradnl"/>
        </w:rPr>
        <w:footnoteRef/>
      </w:r>
      <w:r w:rsidRPr="00D03C61">
        <w:rPr>
          <w:lang w:val="es-ES_tradnl"/>
        </w:rPr>
        <w:t xml:space="preserve"> </w:t>
      </w:r>
      <w:r w:rsidRPr="00D03C61">
        <w:rPr>
          <w:lang w:val="es-ES_tradnl"/>
        </w:rPr>
        <w:tab/>
        <w:t>Incluyen espacios comunes (pasillos, cuartos de baño, vestíbulos) y, en algunos sitios, grandes salas</w:t>
      </w:r>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8B" w:rsidRPr="00F14F8B" w:rsidRDefault="00F14F8B" w:rsidP="00F14F8B">
    <w:pPr>
      <w:pStyle w:val="Encabezado"/>
      <w:rPr>
        <w:lang w:val="es-E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AE602FE0"/>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1"/>
  </w:num>
  <w:num w:numId="4">
    <w:abstractNumId w:val="8"/>
  </w:num>
  <w:num w:numId="5">
    <w:abstractNumId w:val="13"/>
  </w:num>
  <w:num w:numId="6">
    <w:abstractNumId w:val="17"/>
  </w:num>
  <w:num w:numId="7">
    <w:abstractNumId w:val="12"/>
  </w:num>
  <w:num w:numId="8">
    <w:abstractNumId w:val="14"/>
  </w:num>
  <w:num w:numId="9">
    <w:abstractNumId w:val="21"/>
  </w:num>
  <w:num w:numId="10">
    <w:abstractNumId w:val="18"/>
  </w:num>
  <w:num w:numId="11">
    <w:abstractNumId w:val="24"/>
  </w:num>
  <w:num w:numId="12">
    <w:abstractNumId w:val="22"/>
  </w:num>
  <w:num w:numId="13">
    <w:abstractNumId w:val="23"/>
  </w:num>
  <w:num w:numId="14">
    <w:abstractNumId w:val="16"/>
  </w:num>
  <w:num w:numId="15">
    <w:abstractNumId w:val="20"/>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19"/>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466BB"/>
    <w:rsid w:val="0005644D"/>
    <w:rsid w:val="00066589"/>
    <w:rsid w:val="000708BF"/>
    <w:rsid w:val="000721ED"/>
    <w:rsid w:val="000A7C0A"/>
    <w:rsid w:val="000C21E9"/>
    <w:rsid w:val="000C49E3"/>
    <w:rsid w:val="000C6C0D"/>
    <w:rsid w:val="000C7F6A"/>
    <w:rsid w:val="0012797F"/>
    <w:rsid w:val="0013763A"/>
    <w:rsid w:val="001438D2"/>
    <w:rsid w:val="00157D64"/>
    <w:rsid w:val="001820C8"/>
    <w:rsid w:val="00191E40"/>
    <w:rsid w:val="00193324"/>
    <w:rsid w:val="001A5353"/>
    <w:rsid w:val="001C54DD"/>
    <w:rsid w:val="001D259C"/>
    <w:rsid w:val="001E4098"/>
    <w:rsid w:val="002061B5"/>
    <w:rsid w:val="00215A6F"/>
    <w:rsid w:val="002222A7"/>
    <w:rsid w:val="00245939"/>
    <w:rsid w:val="00263060"/>
    <w:rsid w:val="0026545D"/>
    <w:rsid w:val="002750D4"/>
    <w:rsid w:val="00282B1C"/>
    <w:rsid w:val="0029355D"/>
    <w:rsid w:val="002C2016"/>
    <w:rsid w:val="002D5AAC"/>
    <w:rsid w:val="002F1F37"/>
    <w:rsid w:val="003110D4"/>
    <w:rsid w:val="00311803"/>
    <w:rsid w:val="00312C6D"/>
    <w:rsid w:val="00320F3B"/>
    <w:rsid w:val="003226EB"/>
    <w:rsid w:val="00337756"/>
    <w:rsid w:val="00372E2A"/>
    <w:rsid w:val="003934A0"/>
    <w:rsid w:val="003C1F76"/>
    <w:rsid w:val="003C6172"/>
    <w:rsid w:val="003D05E2"/>
    <w:rsid w:val="00400EF5"/>
    <w:rsid w:val="00414199"/>
    <w:rsid w:val="00417CB6"/>
    <w:rsid w:val="00444DA5"/>
    <w:rsid w:val="0046065A"/>
    <w:rsid w:val="004727D7"/>
    <w:rsid w:val="00480565"/>
    <w:rsid w:val="00486181"/>
    <w:rsid w:val="00491F91"/>
    <w:rsid w:val="00495BBE"/>
    <w:rsid w:val="004E3222"/>
    <w:rsid w:val="00517391"/>
    <w:rsid w:val="0053181C"/>
    <w:rsid w:val="0058057E"/>
    <w:rsid w:val="005C4F3F"/>
    <w:rsid w:val="005C513E"/>
    <w:rsid w:val="00607E5F"/>
    <w:rsid w:val="00625D84"/>
    <w:rsid w:val="00634925"/>
    <w:rsid w:val="00637B9E"/>
    <w:rsid w:val="00641CB9"/>
    <w:rsid w:val="00647B4E"/>
    <w:rsid w:val="0067149E"/>
    <w:rsid w:val="00682B77"/>
    <w:rsid w:val="00685CDE"/>
    <w:rsid w:val="00685F22"/>
    <w:rsid w:val="0069500B"/>
    <w:rsid w:val="00696966"/>
    <w:rsid w:val="006A1C1E"/>
    <w:rsid w:val="006C1634"/>
    <w:rsid w:val="006C2ACD"/>
    <w:rsid w:val="006F33E0"/>
    <w:rsid w:val="00703750"/>
    <w:rsid w:val="007236F8"/>
    <w:rsid w:val="00743DCD"/>
    <w:rsid w:val="00752327"/>
    <w:rsid w:val="00761314"/>
    <w:rsid w:val="0076581D"/>
    <w:rsid w:val="00780CD0"/>
    <w:rsid w:val="007A2BB9"/>
    <w:rsid w:val="007D382C"/>
    <w:rsid w:val="007F2A33"/>
    <w:rsid w:val="00830B7D"/>
    <w:rsid w:val="00851767"/>
    <w:rsid w:val="0086270B"/>
    <w:rsid w:val="00873B62"/>
    <w:rsid w:val="008A515A"/>
    <w:rsid w:val="008B3F33"/>
    <w:rsid w:val="008D3F8A"/>
    <w:rsid w:val="00946DD7"/>
    <w:rsid w:val="009803EB"/>
    <w:rsid w:val="00985537"/>
    <w:rsid w:val="00994555"/>
    <w:rsid w:val="009962D7"/>
    <w:rsid w:val="009B6E56"/>
    <w:rsid w:val="00A15173"/>
    <w:rsid w:val="00A46A18"/>
    <w:rsid w:val="00A64D07"/>
    <w:rsid w:val="00A705E9"/>
    <w:rsid w:val="00A73836"/>
    <w:rsid w:val="00A74642"/>
    <w:rsid w:val="00AA02E1"/>
    <w:rsid w:val="00AD06B7"/>
    <w:rsid w:val="00AD66DB"/>
    <w:rsid w:val="00AD7E0E"/>
    <w:rsid w:val="00AE0F00"/>
    <w:rsid w:val="00AF1EA6"/>
    <w:rsid w:val="00B001F8"/>
    <w:rsid w:val="00B029F2"/>
    <w:rsid w:val="00B07286"/>
    <w:rsid w:val="00B13207"/>
    <w:rsid w:val="00B93BD1"/>
    <w:rsid w:val="00BB3B88"/>
    <w:rsid w:val="00BE4026"/>
    <w:rsid w:val="00C036A6"/>
    <w:rsid w:val="00C14ABC"/>
    <w:rsid w:val="00C164D3"/>
    <w:rsid w:val="00C21F9B"/>
    <w:rsid w:val="00C44515"/>
    <w:rsid w:val="00C45082"/>
    <w:rsid w:val="00C556AB"/>
    <w:rsid w:val="00C80269"/>
    <w:rsid w:val="00C86653"/>
    <w:rsid w:val="00C911BF"/>
    <w:rsid w:val="00CC01EC"/>
    <w:rsid w:val="00CC2310"/>
    <w:rsid w:val="00CD09B7"/>
    <w:rsid w:val="00D05F54"/>
    <w:rsid w:val="00D34F31"/>
    <w:rsid w:val="00D440B1"/>
    <w:rsid w:val="00D74D08"/>
    <w:rsid w:val="00D77C8F"/>
    <w:rsid w:val="00DA2A4F"/>
    <w:rsid w:val="00DA790E"/>
    <w:rsid w:val="00DB2804"/>
    <w:rsid w:val="00DB4001"/>
    <w:rsid w:val="00DE301F"/>
    <w:rsid w:val="00E43A41"/>
    <w:rsid w:val="00E43DB9"/>
    <w:rsid w:val="00E81B4B"/>
    <w:rsid w:val="00E92DAB"/>
    <w:rsid w:val="00E96093"/>
    <w:rsid w:val="00EA7B6F"/>
    <w:rsid w:val="00EE74BA"/>
    <w:rsid w:val="00EE7921"/>
    <w:rsid w:val="00F0613B"/>
    <w:rsid w:val="00F14F8B"/>
    <w:rsid w:val="00F1570E"/>
    <w:rsid w:val="00F366FF"/>
    <w:rsid w:val="00F85C68"/>
    <w:rsid w:val="00F86B41"/>
    <w:rsid w:val="00F91A02"/>
    <w:rsid w:val="00F9278A"/>
    <w:rsid w:val="00FB321F"/>
    <w:rsid w:val="00FC226E"/>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7DDD8E-64E6-4DFA-B951-70C89DCB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3E26F06C8B49FEA2A0A56498440F58"/>
        <w:category>
          <w:name w:val="General"/>
          <w:gallery w:val="placeholder"/>
        </w:category>
        <w:types>
          <w:type w:val="bbPlcHdr"/>
        </w:types>
        <w:behaviors>
          <w:behavior w:val="content"/>
        </w:behaviors>
        <w:guid w:val="{2FE0E0C9-04B7-4241-B6C6-00E3696E125D}"/>
      </w:docPartPr>
      <w:docPartBody>
        <w:p w:rsidR="00C87E47" w:rsidRDefault="00A65938" w:rsidP="00A65938">
          <w:pPr>
            <w:pStyle w:val="463E26F06C8B49FEA2A0A56498440F58"/>
          </w:pPr>
          <w:r w:rsidRPr="00DD396E">
            <w:rPr>
              <w:rStyle w:val="Textodelmarcadordeposicin"/>
            </w:rPr>
            <w:t>Elija un elemento.</w:t>
          </w:r>
        </w:p>
      </w:docPartBody>
    </w:docPart>
    <w:docPart>
      <w:docPartPr>
        <w:name w:val="104BD744607540E2BAD1F26BBF57C785"/>
        <w:category>
          <w:name w:val="General"/>
          <w:gallery w:val="placeholder"/>
        </w:category>
        <w:types>
          <w:type w:val="bbPlcHdr"/>
        </w:types>
        <w:behaviors>
          <w:behavior w:val="content"/>
        </w:behaviors>
        <w:guid w:val="{3EE98C81-D867-480A-B836-75DB6CC7FFDC}"/>
      </w:docPartPr>
      <w:docPartBody>
        <w:p w:rsidR="00C87E47" w:rsidRDefault="00A65938" w:rsidP="00A65938">
          <w:pPr>
            <w:pStyle w:val="104BD744607540E2BAD1F26BBF57C78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0204BF"/>
    <w:rsid w:val="000F56C6"/>
    <w:rsid w:val="002C31FD"/>
    <w:rsid w:val="003774DF"/>
    <w:rsid w:val="00415A08"/>
    <w:rsid w:val="005E76D4"/>
    <w:rsid w:val="00627761"/>
    <w:rsid w:val="007A621D"/>
    <w:rsid w:val="00A65938"/>
    <w:rsid w:val="00C87E47"/>
    <w:rsid w:val="00DE37D5"/>
    <w:rsid w:val="00E81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5938"/>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463E26F06C8B49FEA2A0A56498440F58">
    <w:name w:val="463E26F06C8B49FEA2A0A56498440F58"/>
    <w:rsid w:val="00A65938"/>
    <w:pPr>
      <w:spacing w:after="160" w:line="259" w:lineRule="auto"/>
    </w:pPr>
    <w:rPr>
      <w:lang w:val="es-MX" w:eastAsia="es-MX"/>
    </w:rPr>
  </w:style>
  <w:style w:type="paragraph" w:customStyle="1" w:styleId="104BD744607540E2BAD1F26BBF57C785">
    <w:name w:val="104BD744607540E2BAD1F26BBF57C785"/>
    <w:rsid w:val="00A65938"/>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2AEC-1A75-4E5E-98C2-27DB5EA3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3</TotalTime>
  <Pages>10</Pages>
  <Words>3019</Words>
  <Characters>16610</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Analysys Mason document</vt:lpstr>
    </vt:vector>
  </TitlesOfParts>
  <Manager>-</Manager>
  <Company>Analysys Mason</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Rocio Orta Lopez</dc:creator>
  <cp:lastModifiedBy>Rocio Lopez Orta</cp:lastModifiedBy>
  <cp:revision>3</cp:revision>
  <cp:lastPrinted>2011-01-06T16:36:00Z</cp:lastPrinted>
  <dcterms:created xsi:type="dcterms:W3CDTF">2015-10-15T22:51:00Z</dcterms:created>
  <dcterms:modified xsi:type="dcterms:W3CDTF">2015-10-15T22:53:00Z</dcterms:modified>
</cp:coreProperties>
</file>