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92EC1" w14:textId="77777777" w:rsidR="00750393" w:rsidRDefault="00750393" w:rsidP="008E5F79">
      <w:pPr>
        <w:jc w:val="left"/>
        <w:rPr>
          <w:rFonts w:ascii="ITC Avant Garde" w:eastAsia="Calibri" w:hAnsi="ITC Avant Garde" w:cs="Times New Roman"/>
          <w:b/>
          <w:sz w:val="18"/>
          <w:szCs w:val="18"/>
          <w:lang w:val="es-ES"/>
        </w:rPr>
      </w:pPr>
      <w:bookmarkStart w:id="0" w:name="_GoBack"/>
      <w:bookmarkEnd w:id="0"/>
      <w:r>
        <w:rPr>
          <w:rFonts w:ascii="ITC Avant Garde" w:eastAsia="Calibri" w:hAnsi="ITC Avant Garde" w:cs="Times New Roman"/>
          <w:b/>
          <w:sz w:val="18"/>
          <w:szCs w:val="18"/>
          <w:lang w:val="es-ES"/>
        </w:rPr>
        <w:t xml:space="preserve">RESPUESTAS GENERALES A </w:t>
      </w:r>
      <w:r w:rsidRPr="00A918A4">
        <w:rPr>
          <w:rFonts w:ascii="ITC Avant Garde" w:eastAsia="Calibri" w:hAnsi="ITC Avant Garde" w:cs="Times New Roman"/>
          <w:b/>
          <w:sz w:val="18"/>
          <w:szCs w:val="18"/>
          <w:lang w:val="es-ES"/>
        </w:rPr>
        <w:t>LA CONSULTA PÚBLICA</w:t>
      </w:r>
    </w:p>
    <w:p w14:paraId="43892EC2" w14:textId="77777777" w:rsidR="00750393" w:rsidRPr="005D3DE9" w:rsidRDefault="00750393" w:rsidP="00750393">
      <w:pPr>
        <w:jc w:val="center"/>
        <w:rPr>
          <w:rFonts w:ascii="ITC Avant Garde" w:eastAsia="Calibri" w:hAnsi="ITC Avant Garde" w:cs="Times New Roman"/>
          <w:b/>
          <w:sz w:val="18"/>
          <w:szCs w:val="18"/>
          <w:lang w:val="es-ES"/>
        </w:rPr>
      </w:pPr>
      <w:r w:rsidRPr="00F37C68">
        <w:rPr>
          <w:rFonts w:ascii="ITC Avant Garde" w:eastAsia="Calibri" w:hAnsi="ITC Avant Garde" w:cs="Times New Roman"/>
          <w:b/>
          <w:sz w:val="18"/>
          <w:szCs w:val="18"/>
          <w:lang w:val="es-ES"/>
        </w:rPr>
        <w:t>Model</w:t>
      </w:r>
      <w:r>
        <w:rPr>
          <w:rFonts w:ascii="ITC Avant Garde" w:eastAsia="Calibri" w:hAnsi="ITC Avant Garde" w:cs="Times New Roman"/>
          <w:b/>
          <w:sz w:val="18"/>
          <w:szCs w:val="18"/>
          <w:lang w:val="es-ES"/>
        </w:rPr>
        <w:t xml:space="preserve">o </w:t>
      </w:r>
      <w:r>
        <w:rPr>
          <w:rFonts w:ascii="ITC Avant Garde" w:hAnsi="ITC Avant Garde"/>
          <w:b/>
          <w:sz w:val="18"/>
          <w:szCs w:val="18"/>
          <w:lang w:val="es-ES_tradnl"/>
        </w:rPr>
        <w:t>de coubicación móvil</w:t>
      </w:r>
    </w:p>
    <w:p w14:paraId="43892EC3" w14:textId="77777777" w:rsidR="00750393" w:rsidRPr="00AB3941" w:rsidRDefault="00750393" w:rsidP="00750393">
      <w:pPr>
        <w:keepNext/>
        <w:keepLines/>
        <w:numPr>
          <w:ilvl w:val="1"/>
          <w:numId w:val="8"/>
        </w:numPr>
        <w:spacing w:before="360"/>
        <w:outlineLvl w:val="1"/>
        <w:rPr>
          <w:rFonts w:ascii="ITC Avant Garde" w:eastAsiaTheme="majorEastAsia" w:hAnsi="ITC Avant Garde" w:cstheme="majorBidi"/>
          <w:b/>
          <w:bCs/>
          <w:sz w:val="18"/>
          <w:szCs w:val="18"/>
          <w:lang w:val="es-ES"/>
        </w:rPr>
      </w:pPr>
      <w:r w:rsidRPr="00910FF9">
        <w:rPr>
          <w:rFonts w:ascii="ITC Avant Garde" w:eastAsiaTheme="majorEastAsia" w:hAnsi="ITC Avant Garde" w:cs="Times New Roman"/>
          <w:b/>
          <w:bCs/>
          <w:sz w:val="18"/>
          <w:szCs w:val="18"/>
          <w:lang w:val="es-ES"/>
        </w:rPr>
        <w:t>Introducción</w:t>
      </w:r>
    </w:p>
    <w:p w14:paraId="43892EC4" w14:textId="4A545B30" w:rsidR="00750393" w:rsidRPr="00766053" w:rsidRDefault="00750393" w:rsidP="00750393">
      <w:pPr>
        <w:rPr>
          <w:rFonts w:ascii="ITC Avant Garde" w:hAnsi="ITC Avant Garde"/>
          <w:sz w:val="18"/>
          <w:szCs w:val="18"/>
          <w:lang w:val="es-ES_tradnl"/>
        </w:rPr>
      </w:pPr>
      <w:r w:rsidRPr="00203113">
        <w:rPr>
          <w:rFonts w:ascii="ITC Avant Garde" w:hAnsi="ITC Avant Garde"/>
          <w:sz w:val="18"/>
          <w:szCs w:val="18"/>
          <w:lang w:val="es-ES_tradnl"/>
        </w:rPr>
        <w:t xml:space="preserve">Con relación a las manifestaciones, opiniones, comentarios y propuestas concretas recibidas </w:t>
      </w:r>
      <w:r w:rsidR="00B76293">
        <w:rPr>
          <w:rFonts w:ascii="ITC Avant Garde" w:eastAsia="Calibri" w:hAnsi="ITC Avant Garde" w:cs="Times New Roman"/>
          <w:sz w:val="18"/>
          <w:szCs w:val="18"/>
          <w:lang w:val="es-ES"/>
        </w:rPr>
        <w:t xml:space="preserve">del 1 de octubre al 11 de </w:t>
      </w:r>
      <w:r w:rsidR="008319EE">
        <w:rPr>
          <w:rFonts w:ascii="ITC Avant Garde" w:eastAsia="Calibri" w:hAnsi="ITC Avant Garde" w:cs="Times New Roman"/>
          <w:sz w:val="18"/>
          <w:szCs w:val="18"/>
          <w:lang w:val="es-ES"/>
        </w:rPr>
        <w:t>N</w:t>
      </w:r>
      <w:r w:rsidR="00B76293">
        <w:rPr>
          <w:rFonts w:ascii="ITC Avant Garde" w:eastAsia="Calibri" w:hAnsi="ITC Avant Garde" w:cs="Times New Roman"/>
          <w:sz w:val="18"/>
          <w:szCs w:val="18"/>
          <w:lang w:val="es-ES"/>
        </w:rPr>
        <w:t xml:space="preserve">oviembre </w:t>
      </w:r>
      <w:r w:rsidRPr="00203113">
        <w:rPr>
          <w:rFonts w:ascii="ITC Avant Garde" w:hAnsi="ITC Avant Garde"/>
          <w:sz w:val="18"/>
          <w:szCs w:val="18"/>
          <w:lang w:val="es-ES_tradnl"/>
        </w:rPr>
        <w:t>de 2015, de acuerdo a</w:t>
      </w:r>
      <w:r w:rsidR="00E343EC">
        <w:rPr>
          <w:rFonts w:ascii="ITC Avant Garde" w:hAnsi="ITC Avant Garde"/>
          <w:sz w:val="18"/>
          <w:szCs w:val="18"/>
          <w:lang w:val="es-ES_tradnl"/>
        </w:rPr>
        <w:t xml:space="preserve"> la Consulta Pública del modelo</w:t>
      </w:r>
      <w:r w:rsidR="00A059B9">
        <w:rPr>
          <w:rFonts w:ascii="ITC Avant Garde" w:hAnsi="ITC Avant Garde"/>
          <w:sz w:val="18"/>
          <w:szCs w:val="18"/>
          <w:lang w:val="es-ES_tradnl"/>
        </w:rPr>
        <w:t xml:space="preserve"> </w:t>
      </w:r>
      <w:r w:rsidRPr="00203113">
        <w:rPr>
          <w:rFonts w:ascii="ITC Avant Garde" w:hAnsi="ITC Avant Garde"/>
          <w:sz w:val="18"/>
          <w:szCs w:val="18"/>
          <w:lang w:val="es-ES_tradnl"/>
        </w:rPr>
        <w:t xml:space="preserve">de coubicación móvil, se informa que el Instituto Federal de </w:t>
      </w:r>
      <w:r w:rsidRPr="00766053">
        <w:rPr>
          <w:rFonts w:ascii="ITC Avant Garde" w:hAnsi="ITC Avant Garde"/>
          <w:sz w:val="18"/>
          <w:szCs w:val="18"/>
          <w:lang w:val="es-ES_tradnl"/>
        </w:rPr>
        <w:t xml:space="preserve">Telecomunicaciones (el “Instituto”) </w:t>
      </w:r>
      <w:r w:rsidR="00B76293" w:rsidRPr="00766053">
        <w:rPr>
          <w:rFonts w:ascii="ITC Avant Garde" w:hAnsi="ITC Avant Garde"/>
          <w:sz w:val="18"/>
          <w:szCs w:val="18"/>
          <w:lang w:val="es-ES_tradnl"/>
        </w:rPr>
        <w:t>l</w:t>
      </w:r>
      <w:r w:rsidR="00223D75">
        <w:rPr>
          <w:rFonts w:ascii="ITC Avant Garde" w:hAnsi="ITC Avant Garde"/>
          <w:sz w:val="18"/>
          <w:szCs w:val="18"/>
          <w:lang w:val="es-ES_tradnl"/>
        </w:rPr>
        <w:t>a</w:t>
      </w:r>
      <w:r w:rsidR="00B76293" w:rsidRPr="00766053">
        <w:rPr>
          <w:rFonts w:ascii="ITC Avant Garde" w:hAnsi="ITC Avant Garde"/>
          <w:sz w:val="18"/>
          <w:szCs w:val="18"/>
          <w:lang w:val="es-ES_tradnl"/>
        </w:rPr>
        <w:t xml:space="preserve">s </w:t>
      </w:r>
      <w:r w:rsidRPr="00766053">
        <w:rPr>
          <w:rFonts w:ascii="ITC Avant Garde" w:hAnsi="ITC Avant Garde"/>
          <w:sz w:val="18"/>
          <w:szCs w:val="18"/>
          <w:lang w:val="es-ES_tradnl"/>
        </w:rPr>
        <w:t>agrupó conforme a las preguntas de la consulta para su mejor identificación. No obstante lo anterior, se menciona que todas las opiniones y pronunciamientos recibidos se encuentran disponibles para su consulta en la página de internet del Instituto.</w:t>
      </w:r>
    </w:p>
    <w:p w14:paraId="43892EC5" w14:textId="77777777" w:rsidR="00FB7722" w:rsidRPr="00766053" w:rsidRDefault="00FB7722">
      <w:pPr>
        <w:rPr>
          <w:rFonts w:ascii="ITC Avant Garde" w:hAnsi="ITC Avant Garde"/>
          <w:sz w:val="18"/>
          <w:szCs w:val="18"/>
          <w:lang w:val="es-ES_tradnl"/>
        </w:rPr>
      </w:pPr>
      <w:r w:rsidRPr="00766053">
        <w:rPr>
          <w:rFonts w:ascii="ITC Avant Garde" w:eastAsia="Calibri" w:hAnsi="ITC Avant Garde" w:cs="Times New Roman"/>
          <w:sz w:val="18"/>
          <w:szCs w:val="18"/>
          <w:lang w:val="es-ES"/>
        </w:rPr>
        <w:t>Una vez concluido el plazo de consulta respectivo, se publicaron en el portal de internet del Instituto todos y cada uno de los comentarios, opiniones y propuestas concretas recibidas respecto del Anteproyecto materia de dicha Consulta Pública.</w:t>
      </w:r>
    </w:p>
    <w:p w14:paraId="43892EC6" w14:textId="77777777" w:rsidR="00750393" w:rsidRPr="00766053" w:rsidRDefault="00FB7722">
      <w:pPr>
        <w:rPr>
          <w:rFonts w:ascii="ITC Avant Garde" w:hAnsi="ITC Avant Garde"/>
          <w:sz w:val="18"/>
          <w:szCs w:val="18"/>
          <w:lang w:val="es-ES_tradnl"/>
        </w:rPr>
      </w:pPr>
      <w:r w:rsidRPr="00766053">
        <w:rPr>
          <w:rFonts w:ascii="ITC Avant Garde" w:hAnsi="ITC Avant Garde"/>
          <w:sz w:val="18"/>
          <w:szCs w:val="18"/>
          <w:lang w:val="es-ES_tradnl"/>
        </w:rPr>
        <w:t>Asimismo, d</w:t>
      </w:r>
      <w:r w:rsidR="00750393" w:rsidRPr="00766053">
        <w:rPr>
          <w:rFonts w:ascii="ITC Avant Garde" w:hAnsi="ITC Avant Garde"/>
          <w:sz w:val="18"/>
          <w:szCs w:val="18"/>
          <w:lang w:val="es-ES_tradnl"/>
        </w:rPr>
        <w:t xml:space="preserve">urante el plazo de duración de la Consulta Pública de mérito, se recibieron </w:t>
      </w:r>
      <w:r w:rsidR="00B76293" w:rsidRPr="00766053">
        <w:rPr>
          <w:rFonts w:ascii="ITC Avant Garde" w:hAnsi="ITC Avant Garde"/>
          <w:sz w:val="18"/>
          <w:szCs w:val="18"/>
          <w:lang w:val="es-ES_tradnl"/>
        </w:rPr>
        <w:t xml:space="preserve">comentarios </w:t>
      </w:r>
      <w:r w:rsidR="00750393" w:rsidRPr="00766053">
        <w:rPr>
          <w:rFonts w:ascii="ITC Avant Garde" w:hAnsi="ITC Avant Garde"/>
          <w:sz w:val="18"/>
          <w:szCs w:val="18"/>
          <w:lang w:val="es-ES_tradnl"/>
        </w:rPr>
        <w:t xml:space="preserve">de los siguientes </w:t>
      </w:r>
      <w:r w:rsidR="00B76293" w:rsidRPr="00766053">
        <w:rPr>
          <w:rFonts w:ascii="ITC Avant Garde" w:hAnsi="ITC Avant Garde"/>
          <w:sz w:val="18"/>
          <w:szCs w:val="18"/>
          <w:lang w:val="es-ES_tradnl"/>
        </w:rPr>
        <w:t>participantes</w:t>
      </w:r>
      <w:r w:rsidR="00750393" w:rsidRPr="00766053">
        <w:rPr>
          <w:rFonts w:ascii="ITC Avant Garde" w:hAnsi="ITC Avant Garde"/>
          <w:sz w:val="18"/>
          <w:szCs w:val="18"/>
          <w:lang w:val="es-ES_tradnl"/>
        </w:rPr>
        <w:t>:</w:t>
      </w:r>
      <w:r w:rsidR="00AF07C3" w:rsidRPr="00766053">
        <w:rPr>
          <w:rFonts w:ascii="ITC Avant Garde" w:hAnsi="ITC Avant Garde"/>
          <w:sz w:val="18"/>
          <w:szCs w:val="18"/>
          <w:lang w:val="es-ES_tradnl"/>
        </w:rPr>
        <w:t xml:space="preserve"> </w:t>
      </w:r>
    </w:p>
    <w:p w14:paraId="43892EC7" w14:textId="77777777" w:rsidR="00AF07C3" w:rsidRPr="00766053" w:rsidRDefault="00AF07C3"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Antonio Garza Cánovas, en representación de AT&amp;T Digital, S. de R.L. de C.V., AT&amp;T Opco Une Mex, S. de R.L. de C.V., AT&amp;T del Occidente, S. de R.L. de C.V., AT&amp;T Comcentro, S. de R.L. de C.V., AT&amp;T del Golfo , S. de R.L. de C.V., AT&amp;T Sureste, S. de R.L. de C.V., AT&amp;T Central, S. de R.L. de C.V., AT&amp;T Desarrollo en Comunicaciones de México, S. de R.L. de C.V., AT&amp;T Norte, S. de R.L. de C.V., AT&amp;T Frecuencias, S. de R.L. de C.V., AT&amp;T Frecuencia Móvil, S. de R.L. de C.V. (conjuntamente “AT&amp;T”)</w:t>
      </w:r>
    </w:p>
    <w:p w14:paraId="43892EC8" w14:textId="77777777" w:rsidR="00AF07C3" w:rsidRPr="00766053" w:rsidRDefault="00AF07C3"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Cámara Nacional de la Industria Electrónica de Telecomunicaciones y Tecnologías de la Comunicación (“CANIETI”);</w:t>
      </w:r>
    </w:p>
    <w:p w14:paraId="43892EC9" w14:textId="77777777" w:rsidR="00AF07C3" w:rsidRPr="00766053" w:rsidRDefault="00AF07C3"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Dr. Lester Benito García Olvera;</w:t>
      </w:r>
    </w:p>
    <w:p w14:paraId="43892ECA" w14:textId="77777777" w:rsidR="00AF07C3" w:rsidRPr="00766053" w:rsidRDefault="00AF07C3"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MATC DIGITAL, S. DE R.L. DE C.V. (“MATC”)</w:t>
      </w:r>
    </w:p>
    <w:p w14:paraId="43892ECB" w14:textId="77777777" w:rsidR="003E7A96" w:rsidRPr="00766053" w:rsidRDefault="003E7A96"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OPERADORA DE SITES MEXICANOS, S.A. DE C.V.  (“OPSIMEX”)</w:t>
      </w:r>
    </w:p>
    <w:p w14:paraId="43892ECC" w14:textId="77777777" w:rsidR="00AF07C3" w:rsidRPr="00766053" w:rsidRDefault="00AF07C3"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PEGASO PCS, S.A. DE C.V, GRUPO DE TELECOMUNICACIONES MEXICANAS, S.A. DE C.V (“TELEFÓNICA”)</w:t>
      </w:r>
    </w:p>
    <w:p w14:paraId="43892ECD" w14:textId="77777777" w:rsidR="00AF07C3" w:rsidRPr="00766053" w:rsidRDefault="00AF07C3" w:rsidP="00AF07C3">
      <w:pPr>
        <w:pStyle w:val="Prrafodelista"/>
        <w:numPr>
          <w:ilvl w:val="0"/>
          <w:numId w:val="28"/>
        </w:numPr>
        <w:rPr>
          <w:rFonts w:ascii="ITC Avant Garde" w:hAnsi="ITC Avant Garde"/>
          <w:sz w:val="18"/>
          <w:szCs w:val="18"/>
        </w:rPr>
      </w:pPr>
      <w:r w:rsidRPr="00766053">
        <w:rPr>
          <w:rFonts w:ascii="ITC Avant Garde" w:hAnsi="ITC Avant Garde"/>
          <w:sz w:val="18"/>
          <w:szCs w:val="18"/>
        </w:rPr>
        <w:t>Gonzalo Martínez Pous, en representación de las empresas Operbes, S.A. de C.V., Bestphone, S.A. de C.V., Cablevisión, S.A. de C.V., Cablemas Telecomunicaciones, S.A de C.V., Cable y Comunicación de Campeche, S.A. de C.V. y Cablevisión Red, S.A. de C.V. (conjuntamente, “TELEVISA”);</w:t>
      </w:r>
    </w:p>
    <w:p w14:paraId="43892ECE" w14:textId="77777777" w:rsidR="00930508" w:rsidRPr="00766053" w:rsidRDefault="00930508" w:rsidP="00930508">
      <w:pPr>
        <w:pStyle w:val="Prrafodelista"/>
        <w:numPr>
          <w:ilvl w:val="0"/>
          <w:numId w:val="28"/>
        </w:numPr>
        <w:rPr>
          <w:rFonts w:ascii="ITC Avant Garde" w:hAnsi="ITC Avant Garde"/>
          <w:bCs/>
          <w:sz w:val="18"/>
          <w:szCs w:val="18"/>
          <w:lang w:val="es-MX"/>
        </w:rPr>
      </w:pPr>
      <w:r w:rsidRPr="00766053">
        <w:rPr>
          <w:rFonts w:ascii="ITC Avant Garde" w:hAnsi="ITC Avant Garde"/>
          <w:sz w:val="18"/>
          <w:szCs w:val="18"/>
        </w:rPr>
        <w:t>Alfonso Lúa Reyes, en representación de Corporación de Radio y Televisión del Norte de México (“</w:t>
      </w:r>
      <w:r w:rsidRPr="00766053">
        <w:rPr>
          <w:rFonts w:ascii="ITC Avant Garde" w:hAnsi="ITC Avant Garde"/>
          <w:sz w:val="18"/>
          <w:szCs w:val="18"/>
          <w:lang w:val="es-ES_tradnl"/>
        </w:rPr>
        <w:t>Radio y TV del Norte</w:t>
      </w:r>
      <w:r w:rsidRPr="00766053">
        <w:rPr>
          <w:rFonts w:ascii="ITC Avant Garde" w:hAnsi="ITC Avant Garde"/>
          <w:sz w:val="18"/>
          <w:szCs w:val="18"/>
        </w:rPr>
        <w:t>”).</w:t>
      </w:r>
    </w:p>
    <w:p w14:paraId="43892ECF" w14:textId="77777777" w:rsidR="00930508" w:rsidRPr="00766053" w:rsidRDefault="00930508" w:rsidP="00930508">
      <w:pPr>
        <w:pStyle w:val="Prrafodelista"/>
        <w:ind w:left="1080"/>
        <w:rPr>
          <w:rFonts w:ascii="ITC Avant Garde" w:hAnsi="ITC Avant Garde"/>
          <w:sz w:val="18"/>
          <w:szCs w:val="18"/>
        </w:rPr>
      </w:pPr>
    </w:p>
    <w:p w14:paraId="43892ED0" w14:textId="77777777" w:rsidR="00750393" w:rsidRPr="00766053" w:rsidRDefault="00750393" w:rsidP="00750393">
      <w:pPr>
        <w:rPr>
          <w:rFonts w:ascii="ITC Avant Garde" w:hAnsi="ITC Avant Garde"/>
          <w:sz w:val="18"/>
          <w:szCs w:val="18"/>
          <w:lang w:val="es-ES_tradnl"/>
        </w:rPr>
      </w:pPr>
      <w:r w:rsidRPr="00766053">
        <w:rPr>
          <w:rFonts w:ascii="ITC Avant Garde" w:hAnsi="ITC Avant Garde"/>
          <w:sz w:val="18"/>
          <w:szCs w:val="18"/>
          <w:lang w:val="es-ES_tradnl"/>
        </w:rPr>
        <w:t xml:space="preserve">Lo contenido en la presentes Respuestas Generales atiende únicamente lo relacionado con las observaciones realizadas por los </w:t>
      </w:r>
      <w:r w:rsidR="00B76293" w:rsidRPr="00766053">
        <w:rPr>
          <w:rFonts w:ascii="ITC Avant Garde" w:hAnsi="ITC Avant Garde"/>
          <w:sz w:val="18"/>
          <w:szCs w:val="18"/>
          <w:lang w:val="es-ES_tradnl"/>
        </w:rPr>
        <w:t xml:space="preserve">participantes </w:t>
      </w:r>
      <w:r w:rsidRPr="00766053">
        <w:rPr>
          <w:rFonts w:ascii="ITC Avant Garde" w:hAnsi="ITC Avant Garde"/>
          <w:sz w:val="18"/>
          <w:szCs w:val="18"/>
          <w:lang w:val="es-ES_tradnl"/>
        </w:rPr>
        <w:t>en la Consulta Pública referente a los asuntos relacionados con el modelo de costo considerado. Se excluye por lo tanto los comentarios y respuestas asociadas a la Oferta de Referencia correspondiente, ya cubierto en Consultas Públicas anteriores. As</w:t>
      </w:r>
      <w:r w:rsidR="0007596B" w:rsidRPr="00766053">
        <w:rPr>
          <w:rFonts w:ascii="ITC Avant Garde" w:hAnsi="ITC Avant Garde"/>
          <w:sz w:val="18"/>
          <w:szCs w:val="18"/>
          <w:lang w:val="es-ES_tradnl"/>
        </w:rPr>
        <w:t>i</w:t>
      </w:r>
      <w:r w:rsidRPr="00766053">
        <w:rPr>
          <w:rFonts w:ascii="ITC Avant Garde" w:hAnsi="ITC Avant Garde"/>
          <w:sz w:val="18"/>
          <w:szCs w:val="18"/>
          <w:lang w:val="es-ES_tradnl"/>
        </w:rPr>
        <w:t xml:space="preserve">mismo, no se responde a comentarios, referencias y sugerencias explícitas a los cálculos del modelo, si bien se han tenido en cuenta de forma explícita, corrigiéndolos o modificándolos ahí donde se haya considerado pertinente. </w:t>
      </w:r>
    </w:p>
    <w:p w14:paraId="43892ED1" w14:textId="77777777" w:rsidR="001438D2" w:rsidRPr="00766053" w:rsidRDefault="001438D2" w:rsidP="001438D2">
      <w:pPr>
        <w:pStyle w:val="Ttulo2"/>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lastRenderedPageBreak/>
        <w:t>Aspectos relacionados con los servicios modelados</w:t>
      </w:r>
    </w:p>
    <w:p w14:paraId="43892ED2" w14:textId="77777777" w:rsidR="00750393" w:rsidRPr="00766053" w:rsidRDefault="00C70070" w:rsidP="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1</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¿Considera adecuados los servicios modelados en el modelo de coubicación móvil?</w:t>
      </w:r>
    </w:p>
    <w:p w14:paraId="43892ED3" w14:textId="77777777" w:rsidR="00FA21F7" w:rsidRPr="00766053" w:rsidRDefault="00FA21F7" w:rsidP="00FA21F7">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ED4" w14:textId="77777777" w:rsidR="00B86409" w:rsidRDefault="003140E0" w:rsidP="00185B74">
      <w:pPr>
        <w:rPr>
          <w:rFonts w:ascii="ITC Avant Garde" w:hAnsi="ITC Avant Garde"/>
          <w:sz w:val="18"/>
          <w:szCs w:val="18"/>
          <w:lang w:val="es-ES_tradnl"/>
        </w:rPr>
      </w:pPr>
      <w:r>
        <w:rPr>
          <w:rFonts w:ascii="ITC Avant Garde" w:hAnsi="ITC Avant Garde"/>
          <w:sz w:val="18"/>
          <w:szCs w:val="18"/>
          <w:lang w:val="es-ES_tradnl"/>
        </w:rPr>
        <w:t>Al respecto, u</w:t>
      </w:r>
      <w:r w:rsidR="00185B74" w:rsidRPr="00766053">
        <w:rPr>
          <w:rFonts w:ascii="ITC Avant Garde" w:hAnsi="ITC Avant Garde"/>
          <w:sz w:val="18"/>
          <w:szCs w:val="18"/>
          <w:lang w:val="es-ES_tradnl"/>
        </w:rPr>
        <w:t xml:space="preserve">n </w:t>
      </w:r>
      <w:r w:rsidR="00D65C64"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[Lester García] considera adecuados los servicios modelados en este modelo. </w:t>
      </w:r>
    </w:p>
    <w:p w14:paraId="43892ED5" w14:textId="77777777" w:rsidR="00185B74" w:rsidRPr="00766053" w:rsidRDefault="00B86409" w:rsidP="00185B74">
      <w:pPr>
        <w:rPr>
          <w:rFonts w:ascii="ITC Avant Garde" w:hAnsi="ITC Avant Garde"/>
          <w:sz w:val="18"/>
          <w:szCs w:val="18"/>
          <w:lang w:val="es-ES_tradnl"/>
        </w:rPr>
      </w:pPr>
      <w:r>
        <w:rPr>
          <w:rFonts w:ascii="ITC Avant Garde" w:hAnsi="ITC Avant Garde"/>
          <w:sz w:val="18"/>
          <w:szCs w:val="18"/>
          <w:lang w:val="es-ES_tradnl"/>
        </w:rPr>
        <w:t>En complemento</w:t>
      </w:r>
      <w:r w:rsidR="005930D9" w:rsidRPr="00766053">
        <w:rPr>
          <w:rFonts w:ascii="ITC Avant Garde" w:hAnsi="ITC Avant Garde"/>
          <w:sz w:val="18"/>
          <w:szCs w:val="18"/>
          <w:lang w:val="es-ES_tradnl"/>
        </w:rPr>
        <w:t>, otro</w:t>
      </w:r>
      <w:r w:rsidR="00AE30E3" w:rsidRPr="00766053">
        <w:rPr>
          <w:rFonts w:ascii="ITC Avant Garde" w:hAnsi="ITC Avant Garde"/>
          <w:sz w:val="18"/>
          <w:szCs w:val="18"/>
          <w:lang w:val="es-ES_tradnl"/>
        </w:rPr>
        <w:t xml:space="preserve"> participante </w:t>
      </w:r>
      <w:r w:rsidR="00185B74" w:rsidRPr="00766053">
        <w:rPr>
          <w:rFonts w:ascii="ITC Avant Garde" w:hAnsi="ITC Avant Garde"/>
          <w:sz w:val="18"/>
          <w:szCs w:val="18"/>
          <w:lang w:val="es-ES_tradnl"/>
        </w:rPr>
        <w:t xml:space="preserve">[MATC] menciona que en el modelo se usa indistintamente el concepto de “coubicación móvil” y el de “servicios de acceso y uso compartido de infraestructura pasiva de redes móviles” y esto puede crear confusiones. </w:t>
      </w:r>
      <w:r w:rsidR="00D63AFA" w:rsidRPr="00766053">
        <w:rPr>
          <w:rFonts w:ascii="ITC Avant Garde" w:hAnsi="ITC Avant Garde"/>
          <w:sz w:val="18"/>
          <w:szCs w:val="18"/>
          <w:lang w:val="es-ES_tradnl"/>
        </w:rPr>
        <w:t>En este sentido, s</w:t>
      </w:r>
      <w:r w:rsidR="00185B74" w:rsidRPr="00766053">
        <w:rPr>
          <w:rFonts w:ascii="ITC Avant Garde" w:hAnsi="ITC Avant Garde"/>
          <w:sz w:val="18"/>
          <w:szCs w:val="18"/>
          <w:lang w:val="es-ES_tradnl"/>
        </w:rPr>
        <w:t>ugiere emplear el término “servicios de compartición de infraestructura pasiva de la red móvil del Agente Económico Preponderante”. Además, sugiere que se tengan en cuenta elementos de la infraestructura pasiva, como los der</w:t>
      </w:r>
      <w:r w:rsidR="00F233EE">
        <w:rPr>
          <w:rFonts w:ascii="ITC Avant Garde" w:hAnsi="ITC Avant Garde"/>
          <w:sz w:val="18"/>
          <w:szCs w:val="18"/>
          <w:lang w:val="es-ES_tradnl"/>
        </w:rPr>
        <w:t xml:space="preserve">echos de vía, postes, mástiles y otros </w:t>
      </w:r>
      <w:r w:rsidR="00185B74" w:rsidRPr="00766053">
        <w:rPr>
          <w:rFonts w:ascii="ITC Avant Garde" w:hAnsi="ITC Avant Garde"/>
          <w:sz w:val="18"/>
          <w:szCs w:val="18"/>
          <w:lang w:val="es-ES_tradnl"/>
        </w:rPr>
        <w:t xml:space="preserve">que han sido omitidos. </w:t>
      </w:r>
    </w:p>
    <w:p w14:paraId="43892ED6" w14:textId="77777777" w:rsidR="00185B74" w:rsidRPr="00766053" w:rsidRDefault="00185B74" w:rsidP="00185B74">
      <w:pPr>
        <w:rPr>
          <w:rFonts w:ascii="ITC Avant Garde" w:hAnsi="ITC Avant Garde"/>
          <w:sz w:val="18"/>
          <w:szCs w:val="18"/>
          <w:lang w:val="es-ES_tradnl"/>
        </w:rPr>
      </w:pPr>
      <w:r w:rsidRPr="00766053">
        <w:rPr>
          <w:rFonts w:ascii="ITC Avant Garde" w:hAnsi="ITC Avant Garde"/>
          <w:sz w:val="18"/>
          <w:szCs w:val="18"/>
          <w:lang w:val="es-ES_tradnl"/>
        </w:rPr>
        <w:t xml:space="preserve">En referencia a los servicios complementarios, un </w:t>
      </w:r>
      <w:r w:rsidR="0007596B" w:rsidRPr="00766053">
        <w:rPr>
          <w:rFonts w:ascii="ITC Avant Garde" w:hAnsi="ITC Avant Garde"/>
          <w:sz w:val="18"/>
          <w:szCs w:val="18"/>
          <w:lang w:val="es-ES_tradnl"/>
        </w:rPr>
        <w:t xml:space="preserve">participante </w:t>
      </w:r>
      <w:r w:rsidRPr="00766053">
        <w:rPr>
          <w:rFonts w:ascii="ITC Avant Garde" w:hAnsi="ITC Avant Garde"/>
          <w:sz w:val="18"/>
          <w:szCs w:val="18"/>
          <w:lang w:val="es-ES_tradnl"/>
        </w:rPr>
        <w:t>[Telefónica] c</w:t>
      </w:r>
      <w:r w:rsidR="00B71773">
        <w:rPr>
          <w:rFonts w:ascii="ITC Avant Garde" w:hAnsi="ITC Avant Garde"/>
          <w:sz w:val="18"/>
          <w:szCs w:val="18"/>
          <w:lang w:val="es-ES_tradnl"/>
        </w:rPr>
        <w:t>onsidera</w:t>
      </w:r>
      <w:r w:rsidRPr="00766053">
        <w:rPr>
          <w:rFonts w:ascii="ITC Avant Garde" w:hAnsi="ITC Avant Garde"/>
          <w:sz w:val="18"/>
          <w:szCs w:val="18"/>
          <w:lang w:val="es-ES_tradnl"/>
        </w:rPr>
        <w:t xml:space="preserve"> que debería acotarse el alcance de los mismos y sugiere que se definan unas horas típicas para cada uno de ellos. </w:t>
      </w:r>
      <w:r w:rsidR="00B86409">
        <w:rPr>
          <w:rFonts w:ascii="ITC Avant Garde" w:hAnsi="ITC Avant Garde"/>
          <w:sz w:val="18"/>
          <w:szCs w:val="18"/>
          <w:lang w:val="es-ES_tradnl"/>
        </w:rPr>
        <w:t>Asimismo, propone</w:t>
      </w:r>
      <w:r w:rsidRPr="00766053">
        <w:rPr>
          <w:rFonts w:ascii="ITC Avant Garde" w:hAnsi="ITC Avant Garde"/>
          <w:sz w:val="18"/>
          <w:szCs w:val="18"/>
          <w:lang w:val="es-ES_tradnl"/>
        </w:rPr>
        <w:t xml:space="preserve"> también que estos servicios se conjunten y se absorban en una sola cuota o pago. </w:t>
      </w:r>
    </w:p>
    <w:p w14:paraId="43892ED7" w14:textId="77777777" w:rsidR="00FA21F7" w:rsidRPr="00C07C28" w:rsidRDefault="00FA21F7" w:rsidP="00C07C28">
      <w:pPr>
        <w:spacing w:after="120"/>
        <w:rPr>
          <w:rFonts w:ascii="ITC Avant Garde" w:hAnsi="ITC Avant Garde"/>
          <w:i/>
          <w:sz w:val="18"/>
          <w:szCs w:val="18"/>
          <w:u w:val="single"/>
          <w:lang w:val="es-ES_tradnl"/>
        </w:rPr>
      </w:pPr>
      <w:r w:rsidRPr="00C07C28">
        <w:rPr>
          <w:rFonts w:ascii="ITC Avant Garde" w:hAnsi="ITC Avant Garde"/>
          <w:i/>
          <w:sz w:val="18"/>
          <w:szCs w:val="18"/>
          <w:u w:val="single"/>
          <w:lang w:val="es-ES_tradnl"/>
        </w:rPr>
        <w:t>Respuesta del Instituto</w:t>
      </w:r>
    </w:p>
    <w:p w14:paraId="43892ED8" w14:textId="77777777" w:rsidR="00FA21F7" w:rsidRPr="00766053" w:rsidRDefault="00B71773" w:rsidP="00F9397A">
      <w:pPr>
        <w:rPr>
          <w:rFonts w:ascii="ITC Avant Garde" w:hAnsi="ITC Avant Garde"/>
          <w:sz w:val="18"/>
          <w:szCs w:val="18"/>
          <w:lang w:val="es-ES_tradnl"/>
        </w:rPr>
      </w:pPr>
      <w:r>
        <w:rPr>
          <w:rFonts w:ascii="ITC Avant Garde" w:hAnsi="ITC Avant Garde"/>
          <w:sz w:val="18"/>
          <w:szCs w:val="18"/>
          <w:lang w:val="es-ES_tradnl"/>
        </w:rPr>
        <w:t xml:space="preserve">Con relación a la denominación del modelo, el Instituto considera </w:t>
      </w:r>
      <w:r w:rsidR="00117B54">
        <w:rPr>
          <w:rFonts w:ascii="ITC Avant Garde" w:hAnsi="ITC Avant Garde"/>
          <w:sz w:val="18"/>
          <w:szCs w:val="18"/>
          <w:lang w:val="es-ES_tradnl"/>
        </w:rPr>
        <w:t xml:space="preserve">procedente modificar la denominación de dicha herramienta y que el nombre a emplearse deberá definirse </w:t>
      </w:r>
      <w:r w:rsidR="004048D4">
        <w:rPr>
          <w:rFonts w:ascii="ITC Avant Garde" w:hAnsi="ITC Avant Garde"/>
          <w:sz w:val="18"/>
          <w:szCs w:val="18"/>
          <w:lang w:val="es-ES_tradnl"/>
        </w:rPr>
        <w:t xml:space="preserve">ante su expedición, ya que </w:t>
      </w:r>
      <w:r w:rsidR="004048D4" w:rsidRPr="00153EA3">
        <w:rPr>
          <w:rFonts w:ascii="ITC Avant Garde" w:eastAsiaTheme="majorEastAsia" w:hAnsi="ITC Avant Garde" w:cstheme="majorBidi"/>
          <w:bCs/>
          <w:color w:val="000000" w:themeColor="text1"/>
          <w:sz w:val="18"/>
          <w:szCs w:val="18"/>
          <w:lang w:val="es-ES_tradnl"/>
        </w:rPr>
        <w:t xml:space="preserve">conforme al artículo 15, fracción I de la Ley Federal de Telecomunicaciones y Radiodifusión </w:t>
      </w:r>
      <w:r w:rsidR="004048D4">
        <w:rPr>
          <w:rFonts w:ascii="ITC Avant Garde" w:eastAsiaTheme="majorEastAsia" w:hAnsi="ITC Avant Garde" w:cstheme="majorBidi"/>
          <w:bCs/>
          <w:color w:val="000000" w:themeColor="text1"/>
          <w:sz w:val="18"/>
          <w:szCs w:val="18"/>
          <w:lang w:val="es-ES_tradnl"/>
        </w:rPr>
        <w:t>(“</w:t>
      </w:r>
      <w:r w:rsidR="004048D4" w:rsidRPr="00153EA3">
        <w:rPr>
          <w:rFonts w:ascii="ITC Avant Garde" w:eastAsiaTheme="majorEastAsia" w:hAnsi="ITC Avant Garde" w:cstheme="majorBidi"/>
          <w:bCs/>
          <w:color w:val="000000" w:themeColor="text1"/>
          <w:sz w:val="18"/>
          <w:szCs w:val="18"/>
          <w:lang w:val="es-ES_tradnl"/>
        </w:rPr>
        <w:t>LFTyR</w:t>
      </w:r>
      <w:r w:rsidR="004048D4">
        <w:rPr>
          <w:rFonts w:ascii="ITC Avant Garde" w:eastAsiaTheme="majorEastAsia" w:hAnsi="ITC Avant Garde" w:cstheme="majorBidi"/>
          <w:bCs/>
          <w:color w:val="000000" w:themeColor="text1"/>
          <w:sz w:val="18"/>
          <w:szCs w:val="18"/>
          <w:lang w:val="es-ES_tradnl"/>
        </w:rPr>
        <w:t>”)</w:t>
      </w:r>
      <w:r w:rsidR="004048D4" w:rsidRPr="00153EA3">
        <w:rPr>
          <w:rFonts w:ascii="ITC Avant Garde" w:eastAsiaTheme="majorEastAsia" w:hAnsi="ITC Avant Garde" w:cstheme="majorBidi"/>
          <w:bCs/>
          <w:color w:val="000000" w:themeColor="text1"/>
          <w:sz w:val="18"/>
          <w:szCs w:val="18"/>
          <w:lang w:val="es-ES_tradnl"/>
        </w:rPr>
        <w:t>, el Instituto posee la facultad expedir modelos de costos</w:t>
      </w:r>
      <w:r w:rsidR="004048D4">
        <w:rPr>
          <w:rFonts w:ascii="ITC Avant Garde" w:eastAsiaTheme="majorEastAsia" w:hAnsi="ITC Avant Garde" w:cstheme="majorBidi"/>
          <w:bCs/>
          <w:color w:val="000000" w:themeColor="text1"/>
          <w:sz w:val="18"/>
          <w:szCs w:val="18"/>
          <w:lang w:val="es-ES_tradnl"/>
        </w:rPr>
        <w:t>.</w:t>
      </w:r>
    </w:p>
    <w:p w14:paraId="43892ED9" w14:textId="2E41D295" w:rsidR="00925F2B" w:rsidRDefault="00661934" w:rsidP="00925F2B">
      <w:pPr>
        <w:pStyle w:val="L1"/>
        <w:numPr>
          <w:ilvl w:val="0"/>
          <w:numId w:val="0"/>
        </w:numPr>
        <w:spacing w:after="240"/>
        <w:rPr>
          <w:rFonts w:ascii="ITC Avant Garde" w:hAnsi="ITC Avant Garde"/>
          <w:color w:val="000000" w:themeColor="text1"/>
          <w:sz w:val="18"/>
          <w:szCs w:val="18"/>
          <w:lang w:val="es-ES_tradnl"/>
        </w:rPr>
      </w:pPr>
      <w:r w:rsidRPr="00766053">
        <w:rPr>
          <w:rFonts w:ascii="ITC Avant Garde" w:hAnsi="ITC Avant Garde"/>
          <w:sz w:val="18"/>
          <w:szCs w:val="18"/>
          <w:lang w:val="es-ES_tradnl"/>
        </w:rPr>
        <w:t xml:space="preserve">Por lo que hace a los comentarios respecto a que el modelo no considera diversos elementos asociados a infraestructura pasiva, </w:t>
      </w:r>
      <w:r w:rsidR="00925F2B">
        <w:rPr>
          <w:rFonts w:ascii="ITC Avant Garde" w:hAnsi="ITC Avant Garde"/>
          <w:color w:val="000000" w:themeColor="text1"/>
          <w:sz w:val="18"/>
          <w:szCs w:val="18"/>
          <w:lang w:val="es-ES_tradnl"/>
        </w:rPr>
        <w:t>e</w:t>
      </w:r>
      <w:r w:rsidR="00925F2B" w:rsidRPr="007224FA">
        <w:rPr>
          <w:rFonts w:ascii="ITC Avant Garde" w:hAnsi="ITC Avant Garde"/>
          <w:color w:val="000000" w:themeColor="text1"/>
          <w:sz w:val="18"/>
          <w:szCs w:val="18"/>
          <w:lang w:val="es-ES_tradnl"/>
        </w:rPr>
        <w:t xml:space="preserve">l Instituto señala que derivado de las opiniones y comentarios vertidos en la </w:t>
      </w:r>
      <w:r w:rsidR="00925F2B">
        <w:rPr>
          <w:rFonts w:ascii="ITC Avant Garde" w:hAnsi="ITC Avant Garde"/>
          <w:color w:val="000000" w:themeColor="text1"/>
          <w:sz w:val="18"/>
          <w:szCs w:val="18"/>
          <w:lang w:val="es-ES_tradnl"/>
        </w:rPr>
        <w:t xml:space="preserve">presente </w:t>
      </w:r>
      <w:r w:rsidR="00925F2B" w:rsidRPr="007224FA">
        <w:rPr>
          <w:rFonts w:ascii="ITC Avant Garde" w:hAnsi="ITC Avant Garde"/>
          <w:color w:val="000000" w:themeColor="text1"/>
          <w:sz w:val="18"/>
          <w:szCs w:val="18"/>
          <w:lang w:val="es-ES_tradnl"/>
        </w:rPr>
        <w:t>consulta pública, así como resultado del análisis de información proporcionada por el AEP,</w:t>
      </w:r>
      <w:r w:rsidR="00925F2B">
        <w:rPr>
          <w:rFonts w:ascii="ITC Avant Garde" w:hAnsi="ITC Avant Garde"/>
          <w:color w:val="000000" w:themeColor="text1"/>
          <w:sz w:val="18"/>
          <w:szCs w:val="18"/>
          <w:lang w:val="es-ES_tradnl"/>
        </w:rPr>
        <w:t xml:space="preserve"> </w:t>
      </w:r>
      <w:r w:rsidR="00D96301">
        <w:rPr>
          <w:rFonts w:ascii="ITC Avant Garde" w:hAnsi="ITC Avant Garde"/>
          <w:color w:val="000000" w:themeColor="text1"/>
          <w:sz w:val="18"/>
          <w:szCs w:val="18"/>
          <w:lang w:val="es-ES_tradnl"/>
        </w:rPr>
        <w:t xml:space="preserve">se ajustará </w:t>
      </w:r>
      <w:r w:rsidR="00043CDA" w:rsidRPr="00043CDA">
        <w:rPr>
          <w:rFonts w:ascii="ITC Avant Garde" w:hAnsi="ITC Avant Garde"/>
          <w:color w:val="000000" w:themeColor="text1"/>
          <w:sz w:val="18"/>
          <w:szCs w:val="18"/>
          <w:lang w:val="es-ES_tradnl"/>
        </w:rPr>
        <w:t>conforme a la especificación y alcance que en su momento precise en la oferta de referencia correspondiente, a partir de lo establecido en las Medidas impuestas por al AEP por el Instituto.</w:t>
      </w:r>
    </w:p>
    <w:p w14:paraId="43892EDD" w14:textId="4B932FDD" w:rsidR="002A2437" w:rsidRPr="00766053" w:rsidRDefault="00D96301" w:rsidP="003F757D">
      <w:pPr>
        <w:rPr>
          <w:rFonts w:ascii="ITC Avant Garde" w:hAnsi="ITC Avant Garde"/>
          <w:sz w:val="18"/>
          <w:szCs w:val="18"/>
          <w:lang w:val="es-ES_tradnl"/>
        </w:rPr>
      </w:pPr>
      <w:r>
        <w:rPr>
          <w:rFonts w:ascii="ITC Avant Garde" w:hAnsi="ITC Avant Garde"/>
          <w:color w:val="000000" w:themeColor="text1"/>
          <w:sz w:val="18"/>
          <w:szCs w:val="18"/>
          <w:lang w:val="es-ES_tradnl"/>
        </w:rPr>
        <w:t>En complemento, el Instituto señala que el modelo considerará únicamente los elem</w:t>
      </w:r>
      <w:r w:rsidR="008C16C7">
        <w:rPr>
          <w:rFonts w:ascii="ITC Avant Garde" w:hAnsi="ITC Avant Garde"/>
          <w:color w:val="000000" w:themeColor="text1"/>
          <w:sz w:val="18"/>
          <w:szCs w:val="18"/>
          <w:lang w:val="es-ES_tradnl"/>
        </w:rPr>
        <w:t xml:space="preserve">entos de infraestructura </w:t>
      </w:r>
      <w:r w:rsidR="00432CB4">
        <w:rPr>
          <w:rFonts w:ascii="ITC Avant Garde" w:hAnsi="ITC Avant Garde"/>
          <w:color w:val="000000" w:themeColor="text1"/>
          <w:sz w:val="18"/>
          <w:szCs w:val="18"/>
          <w:lang w:val="es-419"/>
        </w:rPr>
        <w:t>que report</w:t>
      </w:r>
      <w:r w:rsidR="00141380">
        <w:rPr>
          <w:rFonts w:ascii="ITC Avant Garde" w:hAnsi="ITC Avant Garde"/>
          <w:color w:val="000000" w:themeColor="text1"/>
          <w:sz w:val="18"/>
          <w:szCs w:val="18"/>
          <w:lang w:val="es-419"/>
        </w:rPr>
        <w:t>a</w:t>
      </w:r>
      <w:r>
        <w:rPr>
          <w:rFonts w:ascii="ITC Avant Garde" w:hAnsi="ITC Avant Garde"/>
          <w:color w:val="000000" w:themeColor="text1"/>
          <w:sz w:val="18"/>
          <w:szCs w:val="18"/>
          <w:lang w:val="es-ES_tradnl"/>
        </w:rPr>
        <w:t xml:space="preserve"> el AEP con relación a servicios móviles, por lo cual no es precedente incluir </w:t>
      </w:r>
      <w:r w:rsidR="00275011">
        <w:rPr>
          <w:rFonts w:ascii="ITC Avant Garde" w:hAnsi="ITC Avant Garde"/>
          <w:color w:val="000000" w:themeColor="text1"/>
          <w:sz w:val="18"/>
          <w:szCs w:val="18"/>
          <w:lang w:val="es-ES_tradnl"/>
        </w:rPr>
        <w:t>en ésta a</w:t>
      </w:r>
      <w:r w:rsidR="008C16C7">
        <w:rPr>
          <w:rFonts w:ascii="ITC Avant Garde" w:hAnsi="ITC Avant Garde"/>
          <w:color w:val="000000" w:themeColor="text1"/>
          <w:sz w:val="18"/>
          <w:szCs w:val="18"/>
          <w:lang w:val="es-ES_tradnl"/>
        </w:rPr>
        <w:t xml:space="preserve"> elementos tales como</w:t>
      </w:r>
      <w:r w:rsidR="00C91459">
        <w:rPr>
          <w:rFonts w:ascii="ITC Avant Garde" w:hAnsi="ITC Avant Garde"/>
          <w:color w:val="000000" w:themeColor="text1"/>
          <w:sz w:val="18"/>
          <w:szCs w:val="18"/>
          <w:lang w:val="es-ES_tradnl"/>
        </w:rPr>
        <w:t xml:space="preserve"> </w:t>
      </w:r>
      <w:r>
        <w:rPr>
          <w:rFonts w:ascii="ITC Avant Garde" w:hAnsi="ITC Avant Garde"/>
          <w:sz w:val="18"/>
          <w:szCs w:val="18"/>
          <w:lang w:val="es-ES_tradnl"/>
        </w:rPr>
        <w:t>postes, mástiles, entre otros.</w:t>
      </w:r>
      <w:r w:rsidR="00C91459">
        <w:rPr>
          <w:rFonts w:ascii="ITC Avant Garde" w:hAnsi="ITC Avant Garde"/>
          <w:sz w:val="18"/>
          <w:szCs w:val="18"/>
          <w:lang w:val="es-ES_tradnl"/>
        </w:rPr>
        <w:t xml:space="preserve"> </w:t>
      </w:r>
      <w:r w:rsidR="002A2437">
        <w:rPr>
          <w:rFonts w:ascii="ITC Avant Garde" w:hAnsi="ITC Avant Garde"/>
          <w:sz w:val="18"/>
          <w:szCs w:val="18"/>
          <w:lang w:val="es-ES_tradnl"/>
        </w:rPr>
        <w:t xml:space="preserve">Finalmente, </w:t>
      </w:r>
      <w:r w:rsidR="00925F2B">
        <w:rPr>
          <w:rFonts w:ascii="ITC Avant Garde" w:hAnsi="ITC Avant Garde"/>
          <w:sz w:val="18"/>
          <w:szCs w:val="18"/>
          <w:lang w:val="es-ES_tradnl"/>
        </w:rPr>
        <w:t>e</w:t>
      </w:r>
      <w:r w:rsidR="00925F2B" w:rsidRPr="004B1FD7">
        <w:rPr>
          <w:rFonts w:ascii="ITC Avant Garde" w:eastAsiaTheme="majorEastAsia" w:hAnsi="ITC Avant Garde" w:cstheme="majorBidi"/>
          <w:bCs/>
          <w:color w:val="000000" w:themeColor="text1"/>
          <w:sz w:val="18"/>
          <w:szCs w:val="18"/>
          <w:lang w:val="es-ES_tradnl"/>
        </w:rPr>
        <w:t xml:space="preserve">n torno a los comentarios sobre los servicios complementarios, el Instituto señala que los </w:t>
      </w:r>
      <w:r w:rsidR="00925F2B" w:rsidRPr="004B1FD7">
        <w:rPr>
          <w:rFonts w:ascii="ITC Avant Garde" w:eastAsiaTheme="majorEastAsia" w:hAnsi="ITC Avant Garde" w:cstheme="majorBidi"/>
          <w:bCs/>
          <w:color w:val="000000" w:themeColor="text1"/>
          <w:sz w:val="18"/>
          <w:szCs w:val="18"/>
          <w:lang w:val="es-ES_tradnl"/>
        </w:rPr>
        <w:t>anteriores se considera</w:t>
      </w:r>
      <w:r w:rsidR="008C16C7">
        <w:rPr>
          <w:rFonts w:ascii="ITC Avant Garde" w:eastAsiaTheme="majorEastAsia" w:hAnsi="ITC Avant Garde" w:cstheme="majorBidi"/>
          <w:bCs/>
          <w:color w:val="000000" w:themeColor="text1"/>
          <w:sz w:val="18"/>
          <w:szCs w:val="18"/>
          <w:lang w:val="es-ES_tradnl"/>
        </w:rPr>
        <w:t>rá</w:t>
      </w:r>
      <w:r w:rsidR="00925F2B">
        <w:rPr>
          <w:rFonts w:ascii="ITC Avant Garde" w:eastAsiaTheme="majorEastAsia" w:hAnsi="ITC Avant Garde" w:cstheme="majorBidi"/>
          <w:bCs/>
          <w:color w:val="000000" w:themeColor="text1"/>
          <w:sz w:val="18"/>
          <w:szCs w:val="18"/>
          <w:lang w:val="es-ES_tradnl"/>
        </w:rPr>
        <w:t>n</w:t>
      </w:r>
      <w:r w:rsidR="00925F2B" w:rsidRPr="004B1FD7">
        <w:rPr>
          <w:rFonts w:ascii="ITC Avant Garde" w:eastAsiaTheme="majorEastAsia" w:hAnsi="ITC Avant Garde" w:cstheme="majorBidi"/>
          <w:bCs/>
          <w:color w:val="000000" w:themeColor="text1"/>
          <w:sz w:val="18"/>
          <w:szCs w:val="18"/>
          <w:lang w:val="es-ES_tradnl"/>
        </w:rPr>
        <w:t xml:space="preserve"> </w:t>
      </w:r>
      <w:r w:rsidR="00C91459">
        <w:rPr>
          <w:rFonts w:ascii="ITC Avant Garde" w:eastAsiaTheme="majorEastAsia" w:hAnsi="ITC Avant Garde" w:cstheme="majorBidi"/>
          <w:bCs/>
          <w:color w:val="000000" w:themeColor="text1"/>
          <w:sz w:val="18"/>
          <w:szCs w:val="18"/>
          <w:lang w:val="es-ES_tradnl"/>
        </w:rPr>
        <w:t>en otros</w:t>
      </w:r>
      <w:r w:rsidR="00925F2B" w:rsidRPr="004B1FD7">
        <w:rPr>
          <w:rFonts w:ascii="ITC Avant Garde" w:eastAsiaTheme="majorEastAsia" w:hAnsi="ITC Avant Garde" w:cstheme="majorBidi"/>
          <w:bCs/>
          <w:color w:val="000000" w:themeColor="text1"/>
          <w:sz w:val="18"/>
          <w:szCs w:val="18"/>
          <w:lang w:val="es-ES_tradnl"/>
        </w:rPr>
        <w:t xml:space="preserve"> modelos </w:t>
      </w:r>
      <w:r w:rsidR="00925F2B">
        <w:rPr>
          <w:rFonts w:ascii="ITC Avant Garde" w:eastAsiaTheme="majorEastAsia" w:hAnsi="ITC Avant Garde" w:cstheme="majorBidi"/>
          <w:bCs/>
          <w:color w:val="000000" w:themeColor="text1"/>
          <w:sz w:val="18"/>
          <w:szCs w:val="18"/>
          <w:lang w:val="es-ES_tradnl"/>
        </w:rPr>
        <w:t xml:space="preserve">de costos </w:t>
      </w:r>
      <w:r w:rsidR="00C91459">
        <w:rPr>
          <w:rFonts w:ascii="ITC Avant Garde" w:eastAsiaTheme="majorEastAsia" w:hAnsi="ITC Avant Garde" w:cstheme="majorBidi"/>
          <w:bCs/>
          <w:color w:val="000000" w:themeColor="text1"/>
          <w:sz w:val="18"/>
          <w:szCs w:val="18"/>
          <w:lang w:val="es-ES_tradnl"/>
        </w:rPr>
        <w:t xml:space="preserve">del Instituto </w:t>
      </w:r>
      <w:r w:rsidR="00925F2B" w:rsidRPr="004B1FD7">
        <w:rPr>
          <w:rFonts w:ascii="ITC Avant Garde" w:eastAsiaTheme="majorEastAsia" w:hAnsi="ITC Avant Garde" w:cstheme="majorBidi"/>
          <w:bCs/>
          <w:color w:val="000000" w:themeColor="text1"/>
          <w:sz w:val="18"/>
          <w:szCs w:val="18"/>
          <w:lang w:val="es-ES_tradnl"/>
        </w:rPr>
        <w:t>que resulta</w:t>
      </w:r>
      <w:r w:rsidR="00C91459">
        <w:rPr>
          <w:rFonts w:ascii="ITC Avant Garde" w:eastAsiaTheme="majorEastAsia" w:hAnsi="ITC Avant Garde" w:cstheme="majorBidi"/>
          <w:bCs/>
          <w:color w:val="000000" w:themeColor="text1"/>
          <w:sz w:val="18"/>
          <w:szCs w:val="18"/>
          <w:lang w:val="es-ES_tradnl"/>
        </w:rPr>
        <w:t>rá</w:t>
      </w:r>
      <w:r w:rsidR="00925F2B">
        <w:rPr>
          <w:rFonts w:ascii="ITC Avant Garde" w:eastAsiaTheme="majorEastAsia" w:hAnsi="ITC Avant Garde" w:cstheme="majorBidi"/>
          <w:bCs/>
          <w:color w:val="000000" w:themeColor="text1"/>
          <w:sz w:val="18"/>
          <w:szCs w:val="18"/>
          <w:lang w:val="es-ES_tradnl"/>
        </w:rPr>
        <w:t>n</w:t>
      </w:r>
      <w:r w:rsidR="00925F2B" w:rsidRPr="004B1FD7">
        <w:rPr>
          <w:rFonts w:ascii="ITC Avant Garde" w:eastAsiaTheme="majorEastAsia" w:hAnsi="ITC Avant Garde" w:cstheme="majorBidi"/>
          <w:bCs/>
          <w:color w:val="000000" w:themeColor="text1"/>
          <w:sz w:val="18"/>
          <w:szCs w:val="18"/>
          <w:lang w:val="es-ES_tradnl"/>
        </w:rPr>
        <w:t xml:space="preserve"> aplicable</w:t>
      </w:r>
      <w:r w:rsidR="00925F2B">
        <w:rPr>
          <w:rFonts w:ascii="ITC Avant Garde" w:eastAsiaTheme="majorEastAsia" w:hAnsi="ITC Avant Garde" w:cstheme="majorBidi"/>
          <w:bCs/>
          <w:color w:val="000000" w:themeColor="text1"/>
          <w:sz w:val="18"/>
          <w:szCs w:val="18"/>
          <w:lang w:val="es-ES_tradnl"/>
        </w:rPr>
        <w:t>s a la</w:t>
      </w:r>
      <w:r w:rsidR="00925F2B" w:rsidRPr="004B1FD7">
        <w:rPr>
          <w:rFonts w:ascii="ITC Avant Garde" w:eastAsiaTheme="majorEastAsia" w:hAnsi="ITC Avant Garde" w:cstheme="majorBidi"/>
          <w:bCs/>
          <w:color w:val="000000" w:themeColor="text1"/>
          <w:sz w:val="18"/>
          <w:szCs w:val="18"/>
          <w:lang w:val="es-ES_tradnl"/>
        </w:rPr>
        <w:t xml:space="preserve"> </w:t>
      </w:r>
      <w:r w:rsidR="00C91459">
        <w:rPr>
          <w:rFonts w:ascii="ITC Avant Garde" w:eastAsiaTheme="majorEastAsia" w:hAnsi="ITC Avant Garde" w:cstheme="majorBidi"/>
          <w:bCs/>
          <w:color w:val="000000" w:themeColor="text1"/>
          <w:sz w:val="18"/>
          <w:szCs w:val="18"/>
          <w:lang w:val="es-ES_tradnl"/>
        </w:rPr>
        <w:t>o</w:t>
      </w:r>
      <w:r w:rsidR="00925F2B" w:rsidRPr="004B1FD7">
        <w:rPr>
          <w:rFonts w:ascii="ITC Avant Garde" w:eastAsiaTheme="majorEastAsia" w:hAnsi="ITC Avant Garde" w:cstheme="majorBidi"/>
          <w:bCs/>
          <w:color w:val="000000" w:themeColor="text1"/>
          <w:sz w:val="18"/>
          <w:szCs w:val="18"/>
          <w:lang w:val="es-ES_tradnl"/>
        </w:rPr>
        <w:t xml:space="preserve">ferta de </w:t>
      </w:r>
      <w:r w:rsidR="00C91459">
        <w:rPr>
          <w:rFonts w:ascii="ITC Avant Garde" w:eastAsiaTheme="majorEastAsia" w:hAnsi="ITC Avant Garde" w:cstheme="majorBidi"/>
          <w:bCs/>
          <w:color w:val="000000" w:themeColor="text1"/>
          <w:sz w:val="18"/>
          <w:szCs w:val="18"/>
          <w:lang w:val="es-ES_tradnl"/>
        </w:rPr>
        <w:t>r</w:t>
      </w:r>
      <w:r w:rsidR="00925F2B" w:rsidRPr="004B1FD7">
        <w:rPr>
          <w:rFonts w:ascii="ITC Avant Garde" w:eastAsiaTheme="majorEastAsia" w:hAnsi="ITC Avant Garde" w:cstheme="majorBidi"/>
          <w:bCs/>
          <w:color w:val="000000" w:themeColor="text1"/>
          <w:sz w:val="18"/>
          <w:szCs w:val="18"/>
          <w:lang w:val="es-ES_tradnl"/>
        </w:rPr>
        <w:t>eferencia correspondiente.</w:t>
      </w:r>
    </w:p>
    <w:p w14:paraId="43892EDE" w14:textId="77777777" w:rsidR="001438D2" w:rsidRPr="00766053" w:rsidRDefault="001438D2" w:rsidP="001438D2">
      <w:pPr>
        <w:pStyle w:val="Ttulo2"/>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t xml:space="preserve">Aspectos relacionados con la metodología del modelo </w:t>
      </w:r>
    </w:p>
    <w:p w14:paraId="43892EDF" w14:textId="77777777" w:rsidR="001438D2" w:rsidRPr="00766053" w:rsidRDefault="001438D2" w:rsidP="001438D2">
      <w:pPr>
        <w:pStyle w:val="Ttulo3"/>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t>Demanda</w:t>
      </w:r>
    </w:p>
    <w:p w14:paraId="43892EE0" w14:textId="77777777" w:rsidR="00C70070" w:rsidRPr="00766053" w:rsidRDefault="00C70070" w:rsidP="00203113">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2</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¿Considera adecuada las consideraciones hechas respecto a la estimación de la demanda?</w:t>
      </w:r>
    </w:p>
    <w:p w14:paraId="43892EE1" w14:textId="77777777" w:rsidR="00644544" w:rsidRPr="00766053" w:rsidRDefault="00644544" w:rsidP="00644544">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EE2" w14:textId="77777777" w:rsidR="00272801" w:rsidRDefault="00F2410C" w:rsidP="00F9397A">
      <w:pPr>
        <w:rPr>
          <w:rFonts w:ascii="ITC Avant Garde" w:hAnsi="ITC Avant Garde"/>
          <w:sz w:val="18"/>
          <w:szCs w:val="18"/>
          <w:lang w:val="es-ES_tradnl"/>
        </w:rPr>
      </w:pPr>
      <w:r>
        <w:rPr>
          <w:rFonts w:ascii="ITC Avant Garde" w:hAnsi="ITC Avant Garde"/>
          <w:sz w:val="18"/>
          <w:szCs w:val="18"/>
          <w:lang w:val="es-ES_tradnl"/>
        </w:rPr>
        <w:lastRenderedPageBreak/>
        <w:t>Al respecto, u</w:t>
      </w:r>
      <w:r w:rsidR="00185B74" w:rsidRPr="00766053">
        <w:rPr>
          <w:rFonts w:ascii="ITC Avant Garde" w:hAnsi="ITC Avant Garde"/>
          <w:sz w:val="18"/>
          <w:szCs w:val="18"/>
          <w:lang w:val="es-ES_tradnl"/>
        </w:rPr>
        <w:t xml:space="preserve">n </w:t>
      </w:r>
      <w:r w:rsidR="00D65C64" w:rsidRPr="00766053">
        <w:rPr>
          <w:rFonts w:ascii="ITC Avant Garde" w:hAnsi="ITC Avant Garde"/>
          <w:sz w:val="18"/>
          <w:szCs w:val="18"/>
          <w:lang w:val="es-ES_tradnl"/>
        </w:rPr>
        <w:t>participante</w:t>
      </w:r>
      <w:r w:rsidR="00BA3E2D">
        <w:rPr>
          <w:rFonts w:ascii="ITC Avant Garde" w:hAnsi="ITC Avant Garde"/>
          <w:sz w:val="18"/>
          <w:szCs w:val="18"/>
          <w:lang w:val="es-ES_tradnl"/>
        </w:rPr>
        <w:t xml:space="preserve"> </w:t>
      </w:r>
      <w:r w:rsidR="00185B74" w:rsidRPr="00766053">
        <w:rPr>
          <w:rFonts w:ascii="ITC Avant Garde" w:hAnsi="ITC Avant Garde"/>
          <w:sz w:val="18"/>
          <w:szCs w:val="18"/>
          <w:lang w:val="es-ES_tradnl"/>
        </w:rPr>
        <w:t xml:space="preserve">[Lester García] considera que </w:t>
      </w:r>
      <w:r w:rsidR="002652C6">
        <w:rPr>
          <w:rFonts w:ascii="ITC Avant Garde" w:hAnsi="ITC Avant Garde"/>
          <w:sz w:val="18"/>
          <w:szCs w:val="18"/>
          <w:lang w:val="es-ES_tradnl"/>
        </w:rPr>
        <w:t>dej</w:t>
      </w:r>
      <w:r w:rsidR="00185B74" w:rsidRPr="00766053">
        <w:rPr>
          <w:rFonts w:ascii="ITC Avant Garde" w:hAnsi="ITC Avant Garde"/>
          <w:sz w:val="18"/>
          <w:szCs w:val="18"/>
          <w:lang w:val="es-ES_tradnl"/>
        </w:rPr>
        <w:t>a</w:t>
      </w:r>
      <w:r w:rsidR="002652C6">
        <w:rPr>
          <w:rFonts w:ascii="ITC Avant Garde" w:hAnsi="ITC Avant Garde"/>
          <w:sz w:val="18"/>
          <w:szCs w:val="18"/>
          <w:lang w:val="es-ES_tradnl"/>
        </w:rPr>
        <w:t>r la</w:t>
      </w:r>
      <w:r w:rsidR="00185B74" w:rsidRPr="00766053">
        <w:rPr>
          <w:rFonts w:ascii="ITC Avant Garde" w:hAnsi="ITC Avant Garde"/>
          <w:sz w:val="18"/>
          <w:szCs w:val="18"/>
          <w:lang w:val="es-ES_tradnl"/>
        </w:rPr>
        <w:t xml:space="preserve"> demanda abierta al usuario conlleva la problemática de saber cuáles serán los criterios que el regulador utilizará para definir el nivel de dicha tarifa mayorista. </w:t>
      </w:r>
    </w:p>
    <w:p w14:paraId="43892EE3" w14:textId="77777777" w:rsidR="00155A62" w:rsidRPr="00766053" w:rsidRDefault="00B0353E" w:rsidP="00F9397A">
      <w:pPr>
        <w:rPr>
          <w:rFonts w:ascii="ITC Avant Garde" w:hAnsi="ITC Avant Garde"/>
          <w:sz w:val="18"/>
          <w:szCs w:val="18"/>
          <w:lang w:val="es-ES_tradnl"/>
        </w:rPr>
      </w:pPr>
      <w:r w:rsidRPr="00766053">
        <w:rPr>
          <w:rFonts w:ascii="ITC Avant Garde" w:hAnsi="ITC Avant Garde"/>
          <w:sz w:val="18"/>
          <w:szCs w:val="18"/>
          <w:lang w:val="es-ES_tradnl"/>
        </w:rPr>
        <w:t>Asimismo</w:t>
      </w:r>
      <w:r w:rsidR="002652C6">
        <w:rPr>
          <w:rFonts w:ascii="ITC Avant Garde" w:hAnsi="ITC Avant Garde"/>
          <w:sz w:val="18"/>
          <w:szCs w:val="18"/>
          <w:lang w:val="es-ES_tradnl"/>
        </w:rPr>
        <w:t>, otro</w:t>
      </w:r>
      <w:r w:rsidR="00155A62" w:rsidRPr="00766053">
        <w:rPr>
          <w:rFonts w:ascii="ITC Avant Garde" w:hAnsi="ITC Avant Garde"/>
          <w:sz w:val="18"/>
          <w:szCs w:val="18"/>
          <w:lang w:val="es-ES_tradnl"/>
        </w:rPr>
        <w:t xml:space="preserve"> </w:t>
      </w:r>
      <w:r w:rsidR="00D65C64" w:rsidRPr="00766053">
        <w:rPr>
          <w:rFonts w:ascii="ITC Avant Garde" w:hAnsi="ITC Avant Garde"/>
          <w:sz w:val="18"/>
          <w:szCs w:val="18"/>
          <w:lang w:val="es-ES_tradnl"/>
        </w:rPr>
        <w:t>participante</w:t>
      </w:r>
      <w:r w:rsidR="00155A62" w:rsidRPr="00766053">
        <w:rPr>
          <w:rFonts w:ascii="ITC Avant Garde" w:hAnsi="ITC Avant Garde"/>
          <w:sz w:val="18"/>
          <w:szCs w:val="18"/>
          <w:lang w:val="es-ES_tradnl"/>
        </w:rPr>
        <w:t xml:space="preserve"> [MATC] sugiere que se incorporen al modelo los siguientes aspectos dinámicos: estimaciones del número de sitios que requerirá el mercado y la oferta actual y esperada de otros proveedores de arrendamiento de sitios que existen en el mercado. Además, </w:t>
      </w:r>
      <w:r w:rsidR="002652C6">
        <w:rPr>
          <w:rFonts w:ascii="ITC Avant Garde" w:hAnsi="ITC Avant Garde"/>
          <w:sz w:val="18"/>
          <w:szCs w:val="18"/>
          <w:lang w:val="es-ES_tradnl"/>
        </w:rPr>
        <w:t xml:space="preserve">indica que </w:t>
      </w:r>
      <w:r w:rsidR="00155A62" w:rsidRPr="00766053">
        <w:rPr>
          <w:rFonts w:ascii="ITC Avant Garde" w:hAnsi="ITC Avant Garde"/>
          <w:sz w:val="18"/>
          <w:szCs w:val="18"/>
          <w:lang w:val="es-ES_tradnl"/>
        </w:rPr>
        <w:t xml:space="preserve">para que la demanda sea más realista </w:t>
      </w:r>
      <w:r w:rsidR="002652C6">
        <w:rPr>
          <w:rFonts w:ascii="ITC Avant Garde" w:hAnsi="ITC Avant Garde"/>
          <w:sz w:val="18"/>
          <w:szCs w:val="18"/>
          <w:lang w:val="es-ES_tradnl"/>
        </w:rPr>
        <w:t>se debe considerar</w:t>
      </w:r>
      <w:r w:rsidR="00155A62" w:rsidRPr="00766053">
        <w:rPr>
          <w:rFonts w:ascii="ITC Avant Garde" w:hAnsi="ITC Avant Garde"/>
          <w:sz w:val="18"/>
          <w:szCs w:val="18"/>
          <w:lang w:val="es-ES_tradnl"/>
        </w:rPr>
        <w:t xml:space="preserve"> el efecto indirecto del incremento de la demanda minorista que incrementa a su vez la demanda mayorista. </w:t>
      </w:r>
    </w:p>
    <w:p w14:paraId="43892EE4" w14:textId="03A40E0F" w:rsidR="006665E5" w:rsidRPr="00766053" w:rsidRDefault="00185B74" w:rsidP="00203113">
      <w:pPr>
        <w:rPr>
          <w:rFonts w:ascii="ITC Avant Garde" w:hAnsi="ITC Avant Garde"/>
          <w:sz w:val="18"/>
          <w:szCs w:val="18"/>
          <w:lang w:val="es-ES_tradnl"/>
        </w:rPr>
      </w:pPr>
      <w:r w:rsidRPr="00766053">
        <w:rPr>
          <w:rFonts w:ascii="ITC Avant Garde" w:hAnsi="ITC Avant Garde"/>
          <w:sz w:val="18"/>
          <w:szCs w:val="18"/>
          <w:lang w:val="es-ES_tradnl"/>
        </w:rPr>
        <w:t xml:space="preserve">Otro </w:t>
      </w:r>
      <w:r w:rsidR="00AA7610" w:rsidRPr="00766053">
        <w:rPr>
          <w:rFonts w:ascii="ITC Avant Garde" w:hAnsi="ITC Avant Garde"/>
          <w:sz w:val="18"/>
          <w:szCs w:val="18"/>
          <w:lang w:val="es-ES_tradnl"/>
        </w:rPr>
        <w:t>participante de la consulta</w:t>
      </w:r>
      <w:r w:rsidRPr="00766053">
        <w:rPr>
          <w:rFonts w:ascii="ITC Avant Garde" w:hAnsi="ITC Avant Garde"/>
          <w:sz w:val="18"/>
          <w:szCs w:val="18"/>
          <w:lang w:val="es-ES_tradnl"/>
        </w:rPr>
        <w:t xml:space="preserve"> [Telefónica] solicita que la asignación de costos </w:t>
      </w:r>
      <w:r w:rsidR="00C91459">
        <w:rPr>
          <w:rFonts w:ascii="ITC Avant Garde" w:hAnsi="ITC Avant Garde"/>
          <w:sz w:val="18"/>
          <w:szCs w:val="18"/>
          <w:lang w:val="es-ES_tradnl"/>
        </w:rPr>
        <w:t>considere</w:t>
      </w:r>
      <w:r w:rsidRPr="00766053">
        <w:rPr>
          <w:rFonts w:ascii="ITC Avant Garde" w:hAnsi="ITC Avant Garde"/>
          <w:sz w:val="18"/>
          <w:szCs w:val="18"/>
          <w:lang w:val="es-ES_tradnl"/>
        </w:rPr>
        <w:t xml:space="preserve"> </w:t>
      </w:r>
      <w:r w:rsidR="00C91459">
        <w:rPr>
          <w:rFonts w:ascii="ITC Avant Garde" w:hAnsi="ITC Avant Garde"/>
          <w:sz w:val="18"/>
          <w:szCs w:val="18"/>
          <w:lang w:val="es-ES_tradnl"/>
        </w:rPr>
        <w:t>la</w:t>
      </w:r>
      <w:r w:rsidRPr="00766053">
        <w:rPr>
          <w:rFonts w:ascii="ITC Avant Garde" w:hAnsi="ITC Avant Garde"/>
          <w:sz w:val="18"/>
          <w:szCs w:val="18"/>
          <w:lang w:val="es-ES_tradnl"/>
        </w:rPr>
        <w:t xml:space="preserve"> ocupación de </w:t>
      </w:r>
      <w:r w:rsidR="00C91459">
        <w:rPr>
          <w:rFonts w:ascii="ITC Avant Garde" w:hAnsi="ITC Avant Garde"/>
          <w:sz w:val="18"/>
          <w:szCs w:val="18"/>
          <w:lang w:val="es-ES_tradnl"/>
        </w:rPr>
        <w:t>espacio de</w:t>
      </w:r>
      <w:r w:rsidRPr="00766053">
        <w:rPr>
          <w:rFonts w:ascii="ITC Avant Garde" w:hAnsi="ITC Avant Garde"/>
          <w:sz w:val="18"/>
          <w:szCs w:val="18"/>
          <w:lang w:val="es-ES_tradnl"/>
        </w:rPr>
        <w:t xml:space="preserve"> antena</w:t>
      </w:r>
      <w:r w:rsidR="00C91459">
        <w:rPr>
          <w:rFonts w:ascii="ITC Avant Garde" w:hAnsi="ITC Avant Garde"/>
          <w:sz w:val="18"/>
          <w:szCs w:val="18"/>
          <w:lang w:val="es-ES_tradnl"/>
        </w:rPr>
        <w:t xml:space="preserve"> en las torres</w:t>
      </w:r>
      <w:r w:rsidRPr="00766053">
        <w:rPr>
          <w:rFonts w:ascii="ITC Avant Garde" w:hAnsi="ITC Avant Garde"/>
          <w:sz w:val="18"/>
          <w:szCs w:val="18"/>
          <w:lang w:val="es-ES_tradnl"/>
        </w:rPr>
        <w:t xml:space="preserve"> y no solo el número de concesionarios coubicados. </w:t>
      </w:r>
      <w:r w:rsidR="00C91459">
        <w:rPr>
          <w:rFonts w:ascii="ITC Avant Garde" w:hAnsi="ITC Avant Garde"/>
          <w:sz w:val="18"/>
          <w:szCs w:val="18"/>
          <w:lang w:val="es-ES_tradnl"/>
        </w:rPr>
        <w:t>En complemento, dicho participante también consider</w:t>
      </w:r>
      <w:r w:rsidR="00863777">
        <w:rPr>
          <w:rFonts w:ascii="ITC Avant Garde" w:hAnsi="ITC Avant Garde"/>
          <w:sz w:val="18"/>
          <w:szCs w:val="18"/>
          <w:lang w:val="es-ES_tradnl"/>
        </w:rPr>
        <w:t>a que para el servicio de coubicación se debe</w:t>
      </w:r>
      <w:r w:rsidRPr="00766053">
        <w:rPr>
          <w:rFonts w:ascii="ITC Avant Garde" w:hAnsi="ITC Avant Garde"/>
          <w:sz w:val="18"/>
          <w:szCs w:val="18"/>
          <w:lang w:val="es-ES_tradnl"/>
        </w:rPr>
        <w:t xml:space="preserve"> </w:t>
      </w:r>
      <w:r w:rsidR="00863777">
        <w:rPr>
          <w:rFonts w:ascii="ITC Avant Garde" w:hAnsi="ITC Avant Garde"/>
          <w:sz w:val="18"/>
          <w:szCs w:val="18"/>
          <w:lang w:val="es-ES_tradnl"/>
        </w:rPr>
        <w:t xml:space="preserve">permitir la </w:t>
      </w:r>
      <w:r w:rsidRPr="00766053">
        <w:rPr>
          <w:rFonts w:ascii="ITC Avant Garde" w:hAnsi="ITC Avant Garde"/>
          <w:sz w:val="18"/>
          <w:szCs w:val="18"/>
          <w:lang w:val="es-ES_tradnl"/>
        </w:rPr>
        <w:t>instalación de un gabinete sobre otro</w:t>
      </w:r>
      <w:r w:rsidR="00863777">
        <w:rPr>
          <w:rFonts w:ascii="ITC Avant Garde" w:hAnsi="ITC Avant Garde"/>
          <w:sz w:val="18"/>
          <w:szCs w:val="18"/>
          <w:lang w:val="es-ES_tradnl"/>
        </w:rPr>
        <w:t xml:space="preserve">, pues indica que esto </w:t>
      </w:r>
      <w:r w:rsidRPr="00766053">
        <w:rPr>
          <w:rFonts w:ascii="ITC Avant Garde" w:hAnsi="ITC Avant Garde"/>
          <w:sz w:val="18"/>
          <w:szCs w:val="18"/>
          <w:lang w:val="es-ES_tradnl"/>
        </w:rPr>
        <w:t xml:space="preserve">no supone </w:t>
      </w:r>
      <w:r w:rsidR="00863777">
        <w:rPr>
          <w:rFonts w:ascii="ITC Avant Garde" w:hAnsi="ITC Avant Garde"/>
          <w:sz w:val="18"/>
          <w:szCs w:val="18"/>
          <w:lang w:val="es-ES_tradnl"/>
        </w:rPr>
        <w:t>el uso de</w:t>
      </w:r>
      <w:r w:rsidRPr="00766053">
        <w:rPr>
          <w:rFonts w:ascii="ITC Avant Garde" w:hAnsi="ITC Avant Garde"/>
          <w:sz w:val="18"/>
          <w:szCs w:val="18"/>
          <w:lang w:val="es-ES_tradnl"/>
        </w:rPr>
        <w:t xml:space="preserve"> espacio adicional en piso.</w:t>
      </w:r>
    </w:p>
    <w:p w14:paraId="43892EE5" w14:textId="77777777" w:rsidR="00B0353E" w:rsidRPr="001F5B60" w:rsidRDefault="00B0353E" w:rsidP="001F5B6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EE6" w14:textId="3B3FF688" w:rsidR="004736CC" w:rsidRDefault="004736CC" w:rsidP="004736CC">
      <w:pPr>
        <w:spacing w:after="120"/>
        <w:rPr>
          <w:rFonts w:ascii="ITC Avant Garde" w:eastAsiaTheme="majorEastAsia" w:hAnsi="ITC Avant Garde" w:cstheme="majorBidi"/>
          <w:bCs/>
          <w:color w:val="000000" w:themeColor="text1"/>
          <w:sz w:val="18"/>
          <w:szCs w:val="18"/>
          <w:lang w:val="es-ES_tradnl"/>
        </w:rPr>
      </w:pPr>
      <w:r>
        <w:rPr>
          <w:rFonts w:ascii="ITC Avant Garde" w:hAnsi="ITC Avant Garde"/>
          <w:sz w:val="18"/>
          <w:szCs w:val="18"/>
          <w:lang w:val="es-ES_tradnl"/>
        </w:rPr>
        <w:t>En torno a quien establecerá, como usuario del modelo, los parámetros de demanda</w:t>
      </w:r>
      <w:r w:rsidR="006620DE">
        <w:rPr>
          <w:rFonts w:ascii="ITC Avant Garde" w:hAnsi="ITC Avant Garde"/>
          <w:sz w:val="18"/>
          <w:szCs w:val="18"/>
          <w:lang w:val="es-ES_tradnl"/>
        </w:rPr>
        <w:t xml:space="preserve"> (tanto de Espacio en Torre como de Espacio en Piso)</w:t>
      </w:r>
      <w:r>
        <w:rPr>
          <w:rFonts w:ascii="ITC Avant Garde" w:hAnsi="ITC Avant Garde"/>
          <w:sz w:val="18"/>
          <w:szCs w:val="18"/>
          <w:lang w:val="es-ES_tradnl"/>
        </w:rPr>
        <w:t xml:space="preserve">, el Instituto reitera </w:t>
      </w:r>
      <w:r w:rsidR="007F624D">
        <w:rPr>
          <w:rFonts w:ascii="ITC Avant Garde" w:hAnsi="ITC Avant Garde"/>
          <w:sz w:val="18"/>
          <w:szCs w:val="18"/>
          <w:lang w:val="es-ES_tradnl"/>
        </w:rPr>
        <w:t xml:space="preserve">que </w:t>
      </w:r>
      <w:r w:rsidRPr="00153EA3">
        <w:rPr>
          <w:rFonts w:ascii="ITC Avant Garde" w:eastAsiaTheme="majorEastAsia" w:hAnsi="ITC Avant Garde" w:cstheme="majorBidi"/>
          <w:bCs/>
          <w:color w:val="000000" w:themeColor="text1"/>
          <w:sz w:val="18"/>
          <w:szCs w:val="18"/>
          <w:lang w:val="es-ES_tradnl"/>
        </w:rPr>
        <w:t xml:space="preserve">conforme al artículo 15, fracción I de la LFTyR, el Instituto posee la facultad </w:t>
      </w:r>
      <w:r w:rsidR="007F624D">
        <w:rPr>
          <w:rFonts w:ascii="ITC Avant Garde" w:eastAsiaTheme="majorEastAsia" w:hAnsi="ITC Avant Garde" w:cstheme="majorBidi"/>
          <w:bCs/>
          <w:color w:val="000000" w:themeColor="text1"/>
          <w:sz w:val="18"/>
          <w:szCs w:val="18"/>
          <w:lang w:val="es-ES_tradnl"/>
        </w:rPr>
        <w:t xml:space="preserve">para </w:t>
      </w:r>
      <w:r w:rsidRPr="00153EA3">
        <w:rPr>
          <w:rFonts w:ascii="ITC Avant Garde" w:eastAsiaTheme="majorEastAsia" w:hAnsi="ITC Avant Garde" w:cstheme="majorBidi"/>
          <w:bCs/>
          <w:color w:val="000000" w:themeColor="text1"/>
          <w:sz w:val="18"/>
          <w:szCs w:val="18"/>
          <w:lang w:val="es-ES_tradnl"/>
        </w:rPr>
        <w:t>expedir modelos de costos, y que de ellos se desprende en particular, que el Instituto tiene la atribución de determinar los parámetros que se involucran en el referido modelo de costos y determinar las tarifas aplicables a los servicios</w:t>
      </w:r>
      <w:r w:rsidR="007F624D">
        <w:rPr>
          <w:rFonts w:ascii="ITC Avant Garde" w:eastAsiaTheme="majorEastAsia" w:hAnsi="ITC Avant Garde" w:cstheme="majorBidi"/>
          <w:bCs/>
          <w:color w:val="000000" w:themeColor="text1"/>
          <w:sz w:val="18"/>
          <w:szCs w:val="18"/>
          <w:lang w:val="es-ES_tradnl"/>
        </w:rPr>
        <w:t>, que deberán ser congruentes con las definiciones y alcances de los servicios que se determinan en las respectivas ofertas de referencia.</w:t>
      </w:r>
    </w:p>
    <w:p w14:paraId="43892EE7" w14:textId="1524362D" w:rsidR="006620DE" w:rsidRDefault="006620DE" w:rsidP="004736CC">
      <w:pPr>
        <w:spacing w:after="120"/>
        <w:rPr>
          <w:rFonts w:ascii="ITC Avant Garde" w:eastAsiaTheme="majorEastAsia" w:hAnsi="ITC Avant Garde" w:cstheme="majorBidi"/>
          <w:bCs/>
          <w:color w:val="000000" w:themeColor="text1"/>
          <w:sz w:val="18"/>
          <w:szCs w:val="18"/>
          <w:lang w:val="es-ES_tradnl"/>
        </w:rPr>
      </w:pPr>
      <w:r>
        <w:rPr>
          <w:rFonts w:ascii="ITC Avant Garde" w:eastAsiaTheme="majorEastAsia" w:hAnsi="ITC Avant Garde" w:cstheme="majorBidi"/>
          <w:bCs/>
          <w:color w:val="000000" w:themeColor="text1"/>
          <w:sz w:val="18"/>
          <w:szCs w:val="18"/>
          <w:lang w:val="es-ES_tradnl"/>
        </w:rPr>
        <w:t xml:space="preserve">Por otra parte, la versión final del modelo </w:t>
      </w:r>
      <w:r w:rsidR="004610F6">
        <w:rPr>
          <w:rFonts w:ascii="ITC Avant Garde" w:eastAsiaTheme="majorEastAsia" w:hAnsi="ITC Avant Garde" w:cstheme="majorBidi"/>
          <w:bCs/>
          <w:color w:val="000000" w:themeColor="text1"/>
          <w:sz w:val="18"/>
          <w:szCs w:val="18"/>
          <w:lang w:val="es-ES_tradnl"/>
        </w:rPr>
        <w:t xml:space="preserve">deberá </w:t>
      </w:r>
      <w:r>
        <w:rPr>
          <w:rFonts w:ascii="ITC Avant Garde" w:eastAsiaTheme="majorEastAsia" w:hAnsi="ITC Avant Garde" w:cstheme="majorBidi"/>
          <w:bCs/>
          <w:color w:val="000000" w:themeColor="text1"/>
          <w:sz w:val="18"/>
          <w:szCs w:val="18"/>
          <w:lang w:val="es-ES_tradnl"/>
        </w:rPr>
        <w:t>considera</w:t>
      </w:r>
      <w:r w:rsidR="004610F6">
        <w:rPr>
          <w:rFonts w:ascii="ITC Avant Garde" w:eastAsiaTheme="majorEastAsia" w:hAnsi="ITC Avant Garde" w:cstheme="majorBidi"/>
          <w:bCs/>
          <w:color w:val="000000" w:themeColor="text1"/>
          <w:sz w:val="18"/>
          <w:szCs w:val="18"/>
          <w:lang w:val="es-ES_tradnl"/>
        </w:rPr>
        <w:t>r</w:t>
      </w:r>
      <w:r>
        <w:rPr>
          <w:rFonts w:ascii="ITC Avant Garde" w:eastAsiaTheme="majorEastAsia" w:hAnsi="ITC Avant Garde" w:cstheme="majorBidi"/>
          <w:bCs/>
          <w:color w:val="000000" w:themeColor="text1"/>
          <w:sz w:val="18"/>
          <w:szCs w:val="18"/>
          <w:lang w:val="es-ES_tradnl"/>
        </w:rPr>
        <w:t xml:space="preserve"> información de la totalidad de sitios del AEP, así como de la </w:t>
      </w:r>
      <w:r w:rsidR="00024CAF">
        <w:rPr>
          <w:rFonts w:ascii="ITC Avant Garde" w:eastAsiaTheme="majorEastAsia" w:hAnsi="ITC Avant Garde" w:cstheme="majorBidi"/>
          <w:bCs/>
          <w:color w:val="000000" w:themeColor="text1"/>
          <w:sz w:val="18"/>
          <w:szCs w:val="18"/>
          <w:lang w:val="es-ES_tradnl"/>
        </w:rPr>
        <w:t>demanda promedio observada</w:t>
      </w:r>
      <w:r>
        <w:rPr>
          <w:rFonts w:ascii="ITC Avant Garde" w:eastAsiaTheme="majorEastAsia" w:hAnsi="ITC Avant Garde" w:cstheme="majorBidi"/>
          <w:bCs/>
          <w:color w:val="000000" w:themeColor="text1"/>
          <w:sz w:val="18"/>
          <w:szCs w:val="18"/>
          <w:lang w:val="es-ES_tradnl"/>
        </w:rPr>
        <w:t xml:space="preserve"> respecto a los servicios de las Ofertas de Referencia correspondientes</w:t>
      </w:r>
      <w:r w:rsidR="004610F6">
        <w:rPr>
          <w:rFonts w:ascii="ITC Avant Garde" w:eastAsiaTheme="majorEastAsia" w:hAnsi="ITC Avant Garde" w:cstheme="majorBidi"/>
          <w:bCs/>
          <w:color w:val="000000" w:themeColor="text1"/>
          <w:sz w:val="18"/>
          <w:szCs w:val="18"/>
          <w:lang w:val="es-ES_tradnl"/>
        </w:rPr>
        <w:t xml:space="preserve">, </w:t>
      </w:r>
      <w:r>
        <w:rPr>
          <w:rFonts w:ascii="ITC Avant Garde" w:eastAsiaTheme="majorEastAsia" w:hAnsi="ITC Avant Garde" w:cstheme="majorBidi"/>
          <w:bCs/>
          <w:color w:val="000000" w:themeColor="text1"/>
          <w:sz w:val="18"/>
          <w:szCs w:val="18"/>
          <w:lang w:val="es-ES_tradnl"/>
        </w:rPr>
        <w:t xml:space="preserve">a través de las cuales se </w:t>
      </w:r>
      <w:r w:rsidR="003B3539">
        <w:rPr>
          <w:rFonts w:ascii="ITC Avant Garde" w:eastAsiaTheme="majorEastAsia" w:hAnsi="ITC Avant Garde" w:cstheme="majorBidi"/>
          <w:bCs/>
          <w:color w:val="000000" w:themeColor="text1"/>
          <w:sz w:val="18"/>
          <w:szCs w:val="18"/>
          <w:lang w:val="es-ES_tradnl"/>
        </w:rPr>
        <w:t>solicita</w:t>
      </w:r>
      <w:r w:rsidR="004610F6">
        <w:rPr>
          <w:rFonts w:ascii="ITC Avant Garde" w:eastAsiaTheme="majorEastAsia" w:hAnsi="ITC Avant Garde" w:cstheme="majorBidi"/>
          <w:bCs/>
          <w:color w:val="000000" w:themeColor="text1"/>
          <w:sz w:val="18"/>
          <w:szCs w:val="18"/>
          <w:lang w:val="es-ES_tradnl"/>
        </w:rPr>
        <w:t>rá</w:t>
      </w:r>
      <w:r w:rsidR="003B3539">
        <w:rPr>
          <w:rFonts w:ascii="ITC Avant Garde" w:eastAsiaTheme="majorEastAsia" w:hAnsi="ITC Avant Garde" w:cstheme="majorBidi"/>
          <w:bCs/>
          <w:color w:val="000000" w:themeColor="text1"/>
          <w:sz w:val="18"/>
          <w:szCs w:val="18"/>
          <w:lang w:val="es-ES_tradnl"/>
        </w:rPr>
        <w:t xml:space="preserve"> al AEP</w:t>
      </w:r>
      <w:r>
        <w:rPr>
          <w:rFonts w:ascii="ITC Avant Garde" w:eastAsiaTheme="majorEastAsia" w:hAnsi="ITC Avant Garde" w:cstheme="majorBidi"/>
          <w:bCs/>
          <w:color w:val="000000" w:themeColor="text1"/>
          <w:sz w:val="18"/>
          <w:szCs w:val="18"/>
          <w:lang w:val="es-ES_tradnl"/>
        </w:rPr>
        <w:t xml:space="preserve"> </w:t>
      </w:r>
      <w:r w:rsidR="003B3539">
        <w:rPr>
          <w:rFonts w:ascii="ITC Avant Garde" w:eastAsiaTheme="majorEastAsia" w:hAnsi="ITC Avant Garde" w:cstheme="majorBidi"/>
          <w:bCs/>
          <w:color w:val="000000" w:themeColor="text1"/>
          <w:sz w:val="18"/>
          <w:szCs w:val="18"/>
          <w:lang w:val="es-ES_tradnl"/>
        </w:rPr>
        <w:t xml:space="preserve">del acceso y uso compartido del espacio (en términos de </w:t>
      </w:r>
      <w:r>
        <w:rPr>
          <w:rFonts w:ascii="ITC Avant Garde" w:eastAsiaTheme="majorEastAsia" w:hAnsi="ITC Avant Garde" w:cstheme="majorBidi"/>
          <w:bCs/>
          <w:color w:val="000000" w:themeColor="text1"/>
          <w:sz w:val="18"/>
          <w:szCs w:val="18"/>
          <w:lang w:val="es-ES_tradnl"/>
        </w:rPr>
        <w:t>Espacio en Torre y Espacio en Piso</w:t>
      </w:r>
      <w:r w:rsidR="003B3539">
        <w:rPr>
          <w:rFonts w:ascii="ITC Avant Garde" w:eastAsiaTheme="majorEastAsia" w:hAnsi="ITC Avant Garde" w:cstheme="majorBidi"/>
          <w:bCs/>
          <w:color w:val="000000" w:themeColor="text1"/>
          <w:sz w:val="18"/>
          <w:szCs w:val="18"/>
          <w:lang w:val="es-ES_tradnl"/>
        </w:rPr>
        <w:t>)</w:t>
      </w:r>
      <w:r w:rsidR="00D47634">
        <w:rPr>
          <w:rFonts w:ascii="ITC Avant Garde" w:eastAsiaTheme="majorEastAsia" w:hAnsi="ITC Avant Garde" w:cstheme="majorBidi"/>
          <w:bCs/>
          <w:color w:val="000000" w:themeColor="text1"/>
          <w:sz w:val="18"/>
          <w:szCs w:val="18"/>
          <w:lang w:val="es-ES_tradnl"/>
        </w:rPr>
        <w:t>.</w:t>
      </w:r>
    </w:p>
    <w:p w14:paraId="43892EE8" w14:textId="293F25A1" w:rsidR="00D47634" w:rsidRPr="00153EA3" w:rsidRDefault="00850BDC" w:rsidP="004736CC">
      <w:pPr>
        <w:spacing w:after="120"/>
        <w:rPr>
          <w:rFonts w:ascii="ITC Avant Garde" w:eastAsiaTheme="majorEastAsia" w:hAnsi="ITC Avant Garde" w:cstheme="majorBidi"/>
          <w:bCs/>
          <w:color w:val="000000" w:themeColor="text1"/>
          <w:sz w:val="18"/>
          <w:szCs w:val="18"/>
          <w:lang w:val="es-ES_tradnl"/>
        </w:rPr>
      </w:pPr>
      <w:r>
        <w:rPr>
          <w:rFonts w:ascii="ITC Avant Garde" w:eastAsiaTheme="majorEastAsia" w:hAnsi="ITC Avant Garde" w:cstheme="majorBidi"/>
          <w:bCs/>
          <w:color w:val="000000" w:themeColor="text1"/>
          <w:sz w:val="18"/>
          <w:szCs w:val="18"/>
          <w:lang w:val="es-ES_tradnl"/>
        </w:rPr>
        <w:t>En complemento,</w:t>
      </w:r>
      <w:r w:rsidR="00D47634">
        <w:rPr>
          <w:rFonts w:ascii="ITC Avant Garde" w:eastAsiaTheme="majorEastAsia" w:hAnsi="ITC Avant Garde" w:cstheme="majorBidi"/>
          <w:bCs/>
          <w:color w:val="000000" w:themeColor="text1"/>
          <w:sz w:val="18"/>
          <w:szCs w:val="18"/>
          <w:lang w:val="es-ES_tradnl"/>
        </w:rPr>
        <w:t xml:space="preserve"> no se considera apropiado incluir </w:t>
      </w:r>
      <w:r w:rsidR="00D47634" w:rsidRPr="00766053">
        <w:rPr>
          <w:rFonts w:ascii="ITC Avant Garde" w:hAnsi="ITC Avant Garde"/>
          <w:sz w:val="18"/>
          <w:szCs w:val="18"/>
          <w:lang w:val="es-ES_tradnl"/>
        </w:rPr>
        <w:t xml:space="preserve">el efecto indirecto del incremento de la demanda minorista </w:t>
      </w:r>
      <w:r w:rsidR="00D47634">
        <w:rPr>
          <w:rFonts w:ascii="ITC Avant Garde" w:hAnsi="ITC Avant Garde"/>
          <w:sz w:val="18"/>
          <w:szCs w:val="18"/>
          <w:lang w:val="es-ES_tradnl"/>
        </w:rPr>
        <w:t>sobre la</w:t>
      </w:r>
      <w:r w:rsidR="00D47634" w:rsidRPr="00766053">
        <w:rPr>
          <w:rFonts w:ascii="ITC Avant Garde" w:hAnsi="ITC Avant Garde"/>
          <w:sz w:val="18"/>
          <w:szCs w:val="18"/>
          <w:lang w:val="es-ES_tradnl"/>
        </w:rPr>
        <w:t xml:space="preserve"> demanda mayorista</w:t>
      </w:r>
      <w:r w:rsidR="00D47634">
        <w:rPr>
          <w:rFonts w:ascii="ITC Avant Garde" w:hAnsi="ITC Avant Garde"/>
          <w:sz w:val="18"/>
          <w:szCs w:val="18"/>
          <w:lang w:val="es-ES_tradnl"/>
        </w:rPr>
        <w:t xml:space="preserve"> dado que </w:t>
      </w:r>
      <w:r w:rsidR="00F1766C">
        <w:rPr>
          <w:rFonts w:ascii="ITC Avant Garde" w:hAnsi="ITC Avant Garde"/>
          <w:sz w:val="18"/>
          <w:szCs w:val="18"/>
          <w:lang w:val="es-ES_tradnl"/>
        </w:rPr>
        <w:t xml:space="preserve">dicho efecto </w:t>
      </w:r>
      <w:r w:rsidR="00D47634">
        <w:rPr>
          <w:rFonts w:ascii="ITC Avant Garde" w:hAnsi="ITC Avant Garde"/>
          <w:sz w:val="18"/>
          <w:szCs w:val="18"/>
          <w:lang w:val="es-ES_tradnl"/>
        </w:rPr>
        <w:t xml:space="preserve">depende de una serie de factores altamente variables, que inciden finalmente sobre la estrategia de negocio </w:t>
      </w:r>
      <w:r w:rsidR="00F1766C">
        <w:rPr>
          <w:rFonts w:ascii="ITC Avant Garde" w:hAnsi="ITC Avant Garde"/>
          <w:sz w:val="18"/>
          <w:szCs w:val="18"/>
          <w:lang w:val="es-ES_tradnl"/>
        </w:rPr>
        <w:t xml:space="preserve">de </w:t>
      </w:r>
      <w:r w:rsidR="00D47634">
        <w:rPr>
          <w:rFonts w:ascii="ITC Avant Garde" w:hAnsi="ITC Avant Garde"/>
          <w:sz w:val="18"/>
          <w:szCs w:val="18"/>
          <w:lang w:val="es-ES_tradnl"/>
        </w:rPr>
        <w:t xml:space="preserve">los operadores, (por ejemplo, infraestructura ya desplegada, facilidades técnicas y disponibilidad de espectro radioeléctrico), que restarían robustez a las estimaciones del modelo. En este sentido, se considera que la </w:t>
      </w:r>
      <w:r w:rsidR="00024CAF">
        <w:rPr>
          <w:rFonts w:ascii="ITC Avant Garde" w:hAnsi="ITC Avant Garde"/>
          <w:sz w:val="18"/>
          <w:szCs w:val="18"/>
          <w:lang w:val="es-ES_tradnl"/>
        </w:rPr>
        <w:t xml:space="preserve">demanda promedio </w:t>
      </w:r>
      <w:r w:rsidR="00F1766C">
        <w:rPr>
          <w:rFonts w:ascii="ITC Avant Garde" w:hAnsi="ITC Avant Garde"/>
          <w:sz w:val="18"/>
          <w:szCs w:val="18"/>
          <w:lang w:val="es-ES_tradnl"/>
        </w:rPr>
        <w:t xml:space="preserve">mayorista </w:t>
      </w:r>
      <w:r w:rsidR="00024CAF">
        <w:rPr>
          <w:rFonts w:ascii="ITC Avant Garde" w:hAnsi="ITC Avant Garde"/>
          <w:sz w:val="18"/>
          <w:szCs w:val="18"/>
          <w:lang w:val="es-ES_tradnl"/>
        </w:rPr>
        <w:t>observada</w:t>
      </w:r>
      <w:r w:rsidR="00D47634">
        <w:rPr>
          <w:rFonts w:ascii="ITC Avant Garde" w:hAnsi="ITC Avant Garde"/>
          <w:sz w:val="18"/>
          <w:szCs w:val="18"/>
          <w:lang w:val="es-ES_tradnl"/>
        </w:rPr>
        <w:t xml:space="preserve"> es un parámetro que refleja dicho componente de manera más precisa.</w:t>
      </w:r>
    </w:p>
    <w:p w14:paraId="43892EE9" w14:textId="176D8DBB" w:rsidR="00766053" w:rsidRDefault="006620DE" w:rsidP="00D47634">
      <w:pPr>
        <w:spacing w:after="120"/>
        <w:rPr>
          <w:rFonts w:ascii="ITC Avant Garde" w:hAnsi="ITC Avant Garde"/>
          <w:sz w:val="18"/>
          <w:szCs w:val="18"/>
          <w:lang w:val="es-ES_tradnl"/>
        </w:rPr>
      </w:pPr>
      <w:r w:rsidRPr="00EB70FA">
        <w:rPr>
          <w:rFonts w:ascii="ITC Avant Garde" w:hAnsi="ITC Avant Garde"/>
          <w:sz w:val="18"/>
          <w:szCs w:val="18"/>
          <w:lang w:val="es-ES_tradnl"/>
        </w:rPr>
        <w:t>En este sentido, en la versión final del modelo</w:t>
      </w:r>
      <w:r w:rsidR="00275011">
        <w:rPr>
          <w:rFonts w:ascii="ITC Avant Garde" w:hAnsi="ITC Avant Garde"/>
          <w:sz w:val="18"/>
          <w:szCs w:val="18"/>
          <w:lang w:val="es-ES_tradnl"/>
        </w:rPr>
        <w:t>,</w:t>
      </w:r>
      <w:r w:rsidRPr="00EB70FA">
        <w:rPr>
          <w:rFonts w:ascii="ITC Avant Garde" w:hAnsi="ITC Avant Garde"/>
          <w:sz w:val="18"/>
          <w:szCs w:val="18"/>
          <w:lang w:val="es-ES_tradnl"/>
        </w:rPr>
        <w:t xml:space="preserve"> la asignación de costos </w:t>
      </w:r>
      <w:r w:rsidR="001654E4">
        <w:rPr>
          <w:rFonts w:ascii="ITC Avant Garde" w:hAnsi="ITC Avant Garde"/>
          <w:sz w:val="18"/>
          <w:szCs w:val="18"/>
          <w:lang w:val="es-ES_tradnl"/>
        </w:rPr>
        <w:t xml:space="preserve">deberá </w:t>
      </w:r>
      <w:r w:rsidRPr="00EB70FA">
        <w:rPr>
          <w:rFonts w:ascii="ITC Avant Garde" w:hAnsi="ITC Avant Garde"/>
          <w:sz w:val="18"/>
          <w:szCs w:val="18"/>
          <w:lang w:val="es-ES_tradnl"/>
        </w:rPr>
        <w:t>reconoce</w:t>
      </w:r>
      <w:r w:rsidR="001654E4">
        <w:rPr>
          <w:rFonts w:ascii="ITC Avant Garde" w:hAnsi="ITC Avant Garde"/>
          <w:sz w:val="18"/>
          <w:szCs w:val="18"/>
          <w:lang w:val="es-ES_tradnl"/>
        </w:rPr>
        <w:t>r</w:t>
      </w:r>
      <w:r w:rsidRPr="00EB70FA">
        <w:rPr>
          <w:rFonts w:ascii="ITC Avant Garde" w:hAnsi="ITC Avant Garde"/>
          <w:sz w:val="18"/>
          <w:szCs w:val="18"/>
          <w:lang w:val="es-ES_tradnl"/>
        </w:rPr>
        <w:t xml:space="preserve"> el nivel de ocupación </w:t>
      </w:r>
      <w:r w:rsidR="00850BDC">
        <w:rPr>
          <w:rFonts w:ascii="ITC Avant Garde" w:hAnsi="ITC Avant Garde"/>
          <w:sz w:val="18"/>
          <w:szCs w:val="18"/>
          <w:lang w:val="es-419"/>
        </w:rPr>
        <w:t xml:space="preserve">actual </w:t>
      </w:r>
      <w:r w:rsidRPr="00EB70FA">
        <w:rPr>
          <w:rFonts w:ascii="ITC Avant Garde" w:hAnsi="ITC Avant Garde"/>
          <w:sz w:val="18"/>
          <w:szCs w:val="18"/>
          <w:lang w:val="es-ES_tradnl"/>
        </w:rPr>
        <w:t>de la infraestructura del AEP</w:t>
      </w:r>
      <w:r w:rsidR="00EB70FA" w:rsidRPr="00EB70FA">
        <w:rPr>
          <w:rFonts w:ascii="ITC Avant Garde" w:hAnsi="ITC Avant Garde"/>
          <w:sz w:val="18"/>
          <w:szCs w:val="18"/>
          <w:lang w:val="es-ES_tradnl"/>
        </w:rPr>
        <w:t>.</w:t>
      </w:r>
    </w:p>
    <w:p w14:paraId="43892EEA" w14:textId="77777777" w:rsidR="001438D2" w:rsidRPr="00766053" w:rsidRDefault="001438D2" w:rsidP="001438D2">
      <w:pPr>
        <w:pStyle w:val="Ttulo3"/>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t>Despliegue</w:t>
      </w:r>
    </w:p>
    <w:p w14:paraId="43892EEB" w14:textId="77777777" w:rsidR="00C70070" w:rsidRPr="00766053" w:rsidRDefault="00C70070" w:rsidP="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3</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¿Tiene comentarios respecto a la metodología de despliegue implementada en el modelo?</w:t>
      </w:r>
    </w:p>
    <w:p w14:paraId="43892EEC" w14:textId="77777777" w:rsidR="00EC0F2B" w:rsidRPr="00766053" w:rsidRDefault="00EC0F2B" w:rsidP="00EC0F2B">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EED" w14:textId="77777777" w:rsidR="00185B74" w:rsidRPr="00766053" w:rsidRDefault="00801080" w:rsidP="00185B74">
      <w:pPr>
        <w:rPr>
          <w:rFonts w:ascii="ITC Avant Garde" w:hAnsi="ITC Avant Garde"/>
          <w:sz w:val="18"/>
          <w:szCs w:val="18"/>
          <w:lang w:val="es-ES_tradnl"/>
        </w:rPr>
      </w:pPr>
      <w:r>
        <w:rPr>
          <w:rFonts w:ascii="ITC Avant Garde" w:hAnsi="ITC Avant Garde"/>
          <w:sz w:val="18"/>
          <w:szCs w:val="18"/>
          <w:lang w:val="es-ES_tradnl"/>
        </w:rPr>
        <w:t>Al respecto</w:t>
      </w:r>
      <w:r w:rsidR="005A629E">
        <w:rPr>
          <w:rFonts w:ascii="ITC Avant Garde" w:hAnsi="ITC Avant Garde"/>
          <w:sz w:val="18"/>
          <w:szCs w:val="18"/>
          <w:lang w:val="es-ES_tradnl"/>
        </w:rPr>
        <w:t>, ciertos participantes</w:t>
      </w:r>
      <w:r w:rsidR="00AA7610" w:rsidRPr="00766053">
        <w:rPr>
          <w:rFonts w:ascii="ITC Avant Garde" w:hAnsi="ITC Avant Garde"/>
          <w:sz w:val="18"/>
          <w:szCs w:val="18"/>
          <w:lang w:val="es-ES_tradnl"/>
        </w:rPr>
        <w:t xml:space="preserve"> de la consulta</w:t>
      </w:r>
      <w:r w:rsidR="00185B74" w:rsidRPr="00766053">
        <w:rPr>
          <w:rFonts w:ascii="ITC Avant Garde" w:hAnsi="ITC Avant Garde"/>
          <w:sz w:val="18"/>
          <w:szCs w:val="18"/>
          <w:lang w:val="es-ES_tradnl"/>
        </w:rPr>
        <w:t xml:space="preserve"> [CANIETI</w:t>
      </w:r>
      <w:r w:rsidR="005A629E">
        <w:rPr>
          <w:rFonts w:ascii="ITC Avant Garde" w:hAnsi="ITC Avant Garde"/>
          <w:sz w:val="18"/>
          <w:szCs w:val="18"/>
          <w:lang w:val="es-ES_tradnl"/>
        </w:rPr>
        <w:t xml:space="preserve"> y </w:t>
      </w:r>
      <w:r w:rsidR="005A629E" w:rsidRPr="00766053">
        <w:rPr>
          <w:rFonts w:ascii="ITC Avant Garde" w:hAnsi="ITC Avant Garde"/>
          <w:sz w:val="18"/>
          <w:szCs w:val="18"/>
          <w:lang w:val="es-ES_tradnl"/>
        </w:rPr>
        <w:t>Televisa</w:t>
      </w:r>
      <w:r w:rsidR="00185B74" w:rsidRPr="00766053">
        <w:rPr>
          <w:rFonts w:ascii="ITC Avant Garde" w:hAnsi="ITC Avant Garde"/>
          <w:sz w:val="18"/>
          <w:szCs w:val="18"/>
          <w:lang w:val="es-ES_tradnl"/>
        </w:rPr>
        <w:t xml:space="preserve">] </w:t>
      </w:r>
      <w:r w:rsidR="00070BB3">
        <w:rPr>
          <w:rFonts w:ascii="ITC Avant Garde" w:hAnsi="ITC Avant Garde"/>
          <w:sz w:val="18"/>
          <w:szCs w:val="18"/>
          <w:lang w:val="es-ES_tradnl"/>
        </w:rPr>
        <w:t>considera</w:t>
      </w:r>
      <w:r w:rsidR="005A629E">
        <w:rPr>
          <w:rFonts w:ascii="ITC Avant Garde" w:hAnsi="ITC Avant Garde"/>
          <w:sz w:val="18"/>
          <w:szCs w:val="18"/>
          <w:lang w:val="es-ES_tradnl"/>
        </w:rPr>
        <w:t>n</w:t>
      </w:r>
      <w:r w:rsidR="00185B74" w:rsidRPr="00766053">
        <w:rPr>
          <w:rFonts w:ascii="ITC Avant Garde" w:hAnsi="ITC Avant Garde"/>
          <w:sz w:val="18"/>
          <w:szCs w:val="18"/>
          <w:lang w:val="es-ES_tradnl"/>
        </w:rPr>
        <w:t xml:space="preserve"> que este tipo de modelo puede resultar operativamente problemático si el CS solicita la coubicación en cientos de torr</w:t>
      </w:r>
      <w:r w:rsidR="00070BB3">
        <w:rPr>
          <w:rFonts w:ascii="ITC Avant Garde" w:hAnsi="ITC Avant Garde"/>
          <w:sz w:val="18"/>
          <w:szCs w:val="18"/>
          <w:lang w:val="es-ES_tradnl"/>
        </w:rPr>
        <w:t>es a la vez, en el sentido de que necesitaría información numerosa y que retrasaría la firma de acuerdos entre operadores</w:t>
      </w:r>
      <w:r w:rsidR="00185B74" w:rsidRPr="00766053">
        <w:rPr>
          <w:rFonts w:ascii="ITC Avant Garde" w:hAnsi="ITC Avant Garde"/>
          <w:sz w:val="18"/>
          <w:szCs w:val="18"/>
          <w:lang w:val="es-ES_tradnl"/>
        </w:rPr>
        <w:t>.</w:t>
      </w:r>
      <w:r w:rsidR="005A629E">
        <w:rPr>
          <w:rFonts w:ascii="ITC Avant Garde" w:hAnsi="ITC Avant Garde"/>
          <w:sz w:val="18"/>
          <w:szCs w:val="18"/>
          <w:lang w:val="es-ES_tradnl"/>
        </w:rPr>
        <w:t xml:space="preserve"> En complemento, uno de tales participantes </w:t>
      </w:r>
      <w:r w:rsidR="00AA7610" w:rsidRPr="00766053">
        <w:rPr>
          <w:rFonts w:ascii="ITC Avant Garde" w:hAnsi="ITC Avant Garde"/>
          <w:sz w:val="18"/>
          <w:szCs w:val="18"/>
          <w:lang w:val="es-ES_tradnl"/>
        </w:rPr>
        <w:t xml:space="preserve"> </w:t>
      </w:r>
      <w:r w:rsidR="00185B74" w:rsidRPr="00766053">
        <w:rPr>
          <w:rFonts w:ascii="ITC Avant Garde" w:hAnsi="ITC Avant Garde"/>
          <w:sz w:val="18"/>
          <w:szCs w:val="18"/>
          <w:lang w:val="es-ES_tradnl"/>
        </w:rPr>
        <w:lastRenderedPageBreak/>
        <w:t xml:space="preserve">[Televisa] sugiere que para agilizar el proceso de tarificación, se cree una base de datos centralizada a la que se pueda acceder en línea, que cuente con la información técnica de todas las torres del AEP. </w:t>
      </w:r>
    </w:p>
    <w:p w14:paraId="43892EEE" w14:textId="60E2EF56" w:rsidR="00185B74" w:rsidRPr="00766053" w:rsidRDefault="00C226BB" w:rsidP="00C226BB">
      <w:pPr>
        <w:rPr>
          <w:rFonts w:ascii="ITC Avant Garde" w:hAnsi="ITC Avant Garde"/>
          <w:sz w:val="18"/>
          <w:szCs w:val="18"/>
          <w:lang w:val="es-ES_tradnl"/>
        </w:rPr>
      </w:pPr>
      <w:r>
        <w:rPr>
          <w:rFonts w:ascii="ITC Avant Garde" w:hAnsi="ITC Avant Garde"/>
          <w:sz w:val="18"/>
          <w:szCs w:val="18"/>
          <w:lang w:val="es-ES_tradnl"/>
        </w:rPr>
        <w:t xml:space="preserve">Asimismo, un participante </w:t>
      </w:r>
      <w:r w:rsidRPr="00766053">
        <w:rPr>
          <w:rFonts w:ascii="ITC Avant Garde" w:hAnsi="ITC Avant Garde"/>
          <w:sz w:val="18"/>
          <w:szCs w:val="18"/>
          <w:lang w:val="es-ES_tradnl"/>
        </w:rPr>
        <w:t>[Telefónica</w:t>
      </w:r>
      <w:r>
        <w:rPr>
          <w:rFonts w:ascii="ITC Avant Garde" w:hAnsi="ITC Avant Garde"/>
          <w:sz w:val="18"/>
          <w:szCs w:val="18"/>
          <w:lang w:val="es-ES_tradnl"/>
        </w:rPr>
        <w:t>)</w:t>
      </w:r>
      <w:r w:rsidRPr="00C226BB">
        <w:rPr>
          <w:rFonts w:ascii="ITC Avant Garde" w:hAnsi="ITC Avant Garde"/>
          <w:sz w:val="18"/>
          <w:szCs w:val="18"/>
          <w:lang w:val="es-ES_tradnl"/>
        </w:rPr>
        <w:t xml:space="preserve"> </w:t>
      </w:r>
      <w:r w:rsidRPr="00766053">
        <w:rPr>
          <w:rFonts w:ascii="ITC Avant Garde" w:hAnsi="ITC Avant Garde"/>
          <w:sz w:val="18"/>
          <w:szCs w:val="18"/>
          <w:lang w:val="es-ES_tradnl"/>
        </w:rPr>
        <w:t xml:space="preserve">recomienda que se definan las condiciones que se aplicarán para variables previsibles tales como coubicaciones menores que un año o instalaciones </w:t>
      </w:r>
      <w:r>
        <w:rPr>
          <w:rFonts w:ascii="ITC Avant Garde" w:hAnsi="ITC Avant Garde"/>
          <w:sz w:val="18"/>
          <w:szCs w:val="18"/>
          <w:lang w:val="es-ES_tradnl"/>
        </w:rPr>
        <w:t>con múltiples concesionarios solicitantes (CS) que requieran servicio</w:t>
      </w:r>
      <w:r w:rsidRPr="00766053">
        <w:rPr>
          <w:rFonts w:ascii="ITC Avant Garde" w:hAnsi="ITC Avant Garde"/>
          <w:sz w:val="18"/>
          <w:szCs w:val="18"/>
          <w:lang w:val="es-ES_tradnl"/>
        </w:rPr>
        <w:t xml:space="preserve"> en diferentes meses del año</w:t>
      </w:r>
      <w:r>
        <w:rPr>
          <w:rFonts w:ascii="ITC Avant Garde" w:hAnsi="ITC Avant Garde"/>
          <w:sz w:val="18"/>
          <w:szCs w:val="18"/>
          <w:lang w:val="es-ES_tradnl"/>
        </w:rPr>
        <w:t>. A este respecto considera que se debe definir</w:t>
      </w:r>
      <w:r w:rsidR="00185B74" w:rsidRPr="00766053">
        <w:rPr>
          <w:rFonts w:ascii="ITC Avant Garde" w:hAnsi="ITC Avant Garde"/>
          <w:sz w:val="18"/>
          <w:szCs w:val="18"/>
          <w:lang w:val="es-ES_tradnl"/>
        </w:rPr>
        <w:t xml:space="preserve"> anualmente la renta mensual aplicable por CS o que se defina el costo anual de la coubicación con base en un supuesto de operadores coubicados promedio. </w:t>
      </w:r>
    </w:p>
    <w:p w14:paraId="43892EEF" w14:textId="77777777" w:rsidR="00185B74" w:rsidRPr="00766053" w:rsidRDefault="0071333F" w:rsidP="00185B74">
      <w:pPr>
        <w:rPr>
          <w:rFonts w:ascii="ITC Avant Garde" w:hAnsi="ITC Avant Garde"/>
          <w:sz w:val="18"/>
          <w:szCs w:val="18"/>
          <w:lang w:val="es-ES_tradnl"/>
        </w:rPr>
      </w:pPr>
      <w:r>
        <w:rPr>
          <w:rFonts w:ascii="ITC Avant Garde" w:hAnsi="ITC Avant Garde"/>
          <w:sz w:val="18"/>
          <w:szCs w:val="18"/>
          <w:lang w:val="es-ES_tradnl"/>
        </w:rPr>
        <w:t>Adicionalmente, otro</w:t>
      </w:r>
      <w:r w:rsidR="00185B74" w:rsidRPr="00766053">
        <w:rPr>
          <w:rFonts w:ascii="ITC Avant Garde" w:hAnsi="ITC Avant Garde"/>
          <w:sz w:val="18"/>
          <w:szCs w:val="18"/>
          <w:lang w:val="es-ES_tradnl"/>
        </w:rPr>
        <w:t xml:space="preserve"> </w:t>
      </w:r>
      <w:r w:rsidR="00612ED8" w:rsidRPr="00766053">
        <w:rPr>
          <w:rFonts w:ascii="ITC Avant Garde" w:hAnsi="ITC Avant Garde"/>
          <w:sz w:val="18"/>
          <w:szCs w:val="18"/>
          <w:lang w:val="es-ES_tradnl"/>
        </w:rPr>
        <w:t xml:space="preserve">participante </w:t>
      </w:r>
      <w:r w:rsidR="00F52D79">
        <w:rPr>
          <w:rFonts w:ascii="ITC Avant Garde" w:hAnsi="ITC Avant Garde"/>
          <w:sz w:val="18"/>
          <w:szCs w:val="18"/>
          <w:lang w:val="es-ES_tradnl"/>
        </w:rPr>
        <w:t>[AT&amp;T] considera que no es congruente que se apliquen diferentes metodologías</w:t>
      </w:r>
      <w:r w:rsidR="00185B74" w:rsidRPr="00766053">
        <w:rPr>
          <w:rFonts w:ascii="ITC Avant Garde" w:hAnsi="ITC Avant Garde"/>
          <w:sz w:val="18"/>
          <w:szCs w:val="18"/>
          <w:lang w:val="es-ES_tradnl"/>
        </w:rPr>
        <w:t xml:space="preserve"> entre los distintos Modelos de Costos presentados en otras </w:t>
      </w:r>
      <w:r w:rsidR="00F52D79">
        <w:rPr>
          <w:rFonts w:ascii="ITC Avant Garde" w:hAnsi="ITC Avant Garde"/>
          <w:sz w:val="18"/>
          <w:szCs w:val="18"/>
          <w:lang w:val="es-ES_tradnl"/>
        </w:rPr>
        <w:t>ofertas. En este sentido considera que no es correcto</w:t>
      </w:r>
      <w:r w:rsidR="00185B74" w:rsidRPr="00766053">
        <w:rPr>
          <w:rFonts w:ascii="ITC Avant Garde" w:hAnsi="ITC Avant Garde"/>
          <w:sz w:val="18"/>
          <w:szCs w:val="18"/>
          <w:lang w:val="es-ES_tradnl"/>
        </w:rPr>
        <w:t xml:space="preserve"> que para las tarifas de interconexión se use el Modelo de Costos Incrementales de Largo Plazo Puro y </w:t>
      </w:r>
      <w:r w:rsidR="00F52D79">
        <w:rPr>
          <w:rFonts w:ascii="ITC Avant Garde" w:hAnsi="ITC Avant Garde"/>
          <w:sz w:val="18"/>
          <w:szCs w:val="18"/>
          <w:lang w:val="es-ES_tradnl"/>
        </w:rPr>
        <w:t xml:space="preserve">mientras que </w:t>
      </w:r>
      <w:r w:rsidR="00185B74" w:rsidRPr="00766053">
        <w:rPr>
          <w:rFonts w:ascii="ITC Avant Garde" w:hAnsi="ITC Avant Garde"/>
          <w:sz w:val="18"/>
          <w:szCs w:val="18"/>
          <w:lang w:val="es-ES_tradnl"/>
        </w:rPr>
        <w:t>para los servicios de coubicación móvil el Modelo de Costos Incre</w:t>
      </w:r>
      <w:r w:rsidR="00F52D79">
        <w:rPr>
          <w:rFonts w:ascii="ITC Avant Garde" w:hAnsi="ITC Avant Garde"/>
          <w:sz w:val="18"/>
          <w:szCs w:val="18"/>
          <w:lang w:val="es-ES_tradnl"/>
        </w:rPr>
        <w:t>mentales Totales de Largo Plazo</w:t>
      </w:r>
      <w:r w:rsidR="00185B74" w:rsidRPr="00766053">
        <w:rPr>
          <w:rFonts w:ascii="ITC Avant Garde" w:hAnsi="ITC Avant Garde"/>
          <w:sz w:val="18"/>
          <w:szCs w:val="18"/>
          <w:lang w:val="es-ES_tradnl"/>
        </w:rPr>
        <w:t>.</w:t>
      </w:r>
    </w:p>
    <w:p w14:paraId="43892EF0" w14:textId="77777777" w:rsidR="00185B74"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Por último, otro </w:t>
      </w:r>
      <w:r w:rsidR="00AA7610" w:rsidRPr="00766053">
        <w:rPr>
          <w:rFonts w:ascii="ITC Avant Garde" w:hAnsi="ITC Avant Garde"/>
          <w:sz w:val="18"/>
          <w:szCs w:val="18"/>
          <w:lang w:val="es-ES_tradnl"/>
        </w:rPr>
        <w:t>participante de la consulta</w:t>
      </w:r>
      <w:r w:rsidRPr="00766053">
        <w:rPr>
          <w:rFonts w:ascii="ITC Avant Garde" w:hAnsi="ITC Avant Garde"/>
          <w:sz w:val="18"/>
          <w:szCs w:val="18"/>
          <w:lang w:val="es-ES_tradnl"/>
        </w:rPr>
        <w:t xml:space="preserve"> [MATC] afirma que esta metodología </w:t>
      </w:r>
      <w:r w:rsidR="00F52D79">
        <w:rPr>
          <w:rFonts w:ascii="ITC Avant Garde" w:hAnsi="ITC Avant Garde"/>
          <w:sz w:val="18"/>
          <w:szCs w:val="18"/>
          <w:lang w:val="es-ES_tradnl"/>
        </w:rPr>
        <w:t xml:space="preserve">del modelo </w:t>
      </w:r>
      <w:r w:rsidRPr="00766053">
        <w:rPr>
          <w:rFonts w:ascii="ITC Avant Garde" w:hAnsi="ITC Avant Garde"/>
          <w:sz w:val="18"/>
          <w:szCs w:val="18"/>
          <w:lang w:val="es-ES_tradnl"/>
        </w:rPr>
        <w:t xml:space="preserve">excluye elementos relevantes como el tiempo promedio de contrato de los predios que son arrendados a terceros y que impactan en el largo plazo en los costos de prestar el servicio. </w:t>
      </w:r>
    </w:p>
    <w:p w14:paraId="43892EF2" w14:textId="6A4495D8" w:rsidR="003B064F" w:rsidRDefault="001F5B60" w:rsidP="003B064F">
      <w:pPr>
        <w:rPr>
          <w:rFonts w:ascii="ITC Avant Garde" w:hAnsi="ITC Avant Garde"/>
          <w:sz w:val="18"/>
          <w:szCs w:val="18"/>
          <w:lang w:val="es-ES_tradnl"/>
        </w:rPr>
      </w:pPr>
      <w:r w:rsidRPr="001F5B60">
        <w:rPr>
          <w:rFonts w:ascii="ITC Avant Garde" w:hAnsi="ITC Avant Garde"/>
          <w:i/>
          <w:sz w:val="18"/>
          <w:u w:val="single"/>
          <w:lang w:val="es-ES_tradnl"/>
        </w:rPr>
        <w:t>Respuesta del Instituto</w:t>
      </w:r>
    </w:p>
    <w:p w14:paraId="43892EF4" w14:textId="5863DD05" w:rsidR="000508F2" w:rsidRPr="000508F2" w:rsidRDefault="004A1F3D" w:rsidP="00E01D7A">
      <w:pPr>
        <w:pStyle w:val="L1"/>
        <w:numPr>
          <w:ilvl w:val="0"/>
          <w:numId w:val="0"/>
        </w:numPr>
        <w:spacing w:after="240"/>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E</w:t>
      </w:r>
      <w:r w:rsidRPr="007224FA">
        <w:rPr>
          <w:rFonts w:ascii="ITC Avant Garde" w:hAnsi="ITC Avant Garde"/>
          <w:color w:val="000000" w:themeColor="text1"/>
          <w:sz w:val="18"/>
          <w:szCs w:val="18"/>
          <w:lang w:val="es-ES_tradnl"/>
        </w:rPr>
        <w:t xml:space="preserve">l Instituto </w:t>
      </w:r>
      <w:r>
        <w:rPr>
          <w:rFonts w:ascii="ITC Avant Garde" w:hAnsi="ITC Avant Garde"/>
          <w:color w:val="000000" w:themeColor="text1"/>
          <w:sz w:val="18"/>
          <w:szCs w:val="18"/>
          <w:lang w:val="es-ES_tradnl"/>
        </w:rPr>
        <w:t xml:space="preserve">reitera que en la versión final del modelo se </w:t>
      </w:r>
      <w:r w:rsidR="001654E4">
        <w:rPr>
          <w:rFonts w:ascii="ITC Avant Garde" w:hAnsi="ITC Avant Garde"/>
          <w:color w:val="000000" w:themeColor="text1"/>
          <w:sz w:val="18"/>
          <w:szCs w:val="18"/>
          <w:lang w:val="es-ES_tradnl"/>
        </w:rPr>
        <w:t>ajustará</w:t>
      </w:r>
      <w:r>
        <w:rPr>
          <w:rFonts w:ascii="ITC Avant Garde" w:hAnsi="ITC Avant Garde"/>
          <w:color w:val="000000" w:themeColor="text1"/>
          <w:sz w:val="18"/>
          <w:szCs w:val="18"/>
          <w:lang w:val="es-ES_tradnl"/>
        </w:rPr>
        <w:t xml:space="preserve"> la definición y alcance de  los servicios modelados </w:t>
      </w:r>
      <w:r w:rsidR="00E01D7A">
        <w:rPr>
          <w:rFonts w:ascii="ITC Avant Garde" w:hAnsi="ITC Avant Garde"/>
          <w:color w:val="000000" w:themeColor="text1"/>
          <w:sz w:val="18"/>
          <w:szCs w:val="18"/>
          <w:lang w:val="es-ES_tradnl"/>
        </w:rPr>
        <w:t>con el fin de que refleje un</w:t>
      </w:r>
      <w:r w:rsidR="000508F2">
        <w:rPr>
          <w:rFonts w:ascii="ITC Avant Garde" w:hAnsi="ITC Avant Garde"/>
          <w:color w:val="000000" w:themeColor="text1"/>
          <w:sz w:val="18"/>
          <w:szCs w:val="18"/>
          <w:lang w:val="es-ES_tradnl"/>
        </w:rPr>
        <w:t xml:space="preserve"> enfoque de estimación de tarifas de cálculo “sitio a sitio” </w:t>
      </w:r>
      <w:r w:rsidR="00E01D7A">
        <w:rPr>
          <w:rFonts w:ascii="ITC Avant Garde" w:hAnsi="ITC Avant Garde"/>
          <w:color w:val="000000" w:themeColor="text1"/>
          <w:sz w:val="18"/>
          <w:szCs w:val="18"/>
          <w:lang w:val="es-ES_tradnl"/>
        </w:rPr>
        <w:t xml:space="preserve">empleado </w:t>
      </w:r>
      <w:r w:rsidR="000508F2">
        <w:rPr>
          <w:rFonts w:ascii="ITC Avant Garde" w:hAnsi="ITC Avant Garde"/>
          <w:color w:val="000000" w:themeColor="text1"/>
          <w:sz w:val="18"/>
          <w:szCs w:val="18"/>
          <w:lang w:val="es-ES_tradnl"/>
        </w:rPr>
        <w:t>para estimar tarifas por geotipos/niveles (AAA, AA, A, B e I)</w:t>
      </w:r>
      <w:r w:rsidR="00E96FBA">
        <w:rPr>
          <w:rFonts w:ascii="ITC Avant Garde" w:hAnsi="ITC Avant Garde"/>
          <w:color w:val="000000" w:themeColor="text1"/>
          <w:sz w:val="18"/>
          <w:szCs w:val="18"/>
          <w:lang w:val="es-ES_tradnl"/>
        </w:rPr>
        <w:t xml:space="preserve">, </w:t>
      </w:r>
      <w:r w:rsidR="00E96FBA" w:rsidRPr="00043CDA">
        <w:rPr>
          <w:rFonts w:ascii="ITC Avant Garde" w:hAnsi="ITC Avant Garde"/>
          <w:color w:val="000000" w:themeColor="text1"/>
          <w:sz w:val="18"/>
          <w:szCs w:val="18"/>
          <w:lang w:val="es-ES_tradnl"/>
        </w:rPr>
        <w:t>conforme a la especificación y alcance que en su momento precise en la oferta de referencia correspondiente, a partir de lo estableci</w:t>
      </w:r>
      <w:r w:rsidR="00E96FBA">
        <w:rPr>
          <w:rFonts w:ascii="ITC Avant Garde" w:hAnsi="ITC Avant Garde"/>
          <w:color w:val="000000" w:themeColor="text1"/>
          <w:sz w:val="18"/>
          <w:szCs w:val="18"/>
          <w:lang w:val="es-ES_tradnl"/>
        </w:rPr>
        <w:t xml:space="preserve">do en las Medidas impuestas </w:t>
      </w:r>
      <w:r w:rsidR="00E96FBA" w:rsidRPr="00043CDA">
        <w:rPr>
          <w:rFonts w:ascii="ITC Avant Garde" w:hAnsi="ITC Avant Garde"/>
          <w:color w:val="000000" w:themeColor="text1"/>
          <w:sz w:val="18"/>
          <w:szCs w:val="18"/>
          <w:lang w:val="es-ES_tradnl"/>
        </w:rPr>
        <w:t>al AEP por el Instituto</w:t>
      </w:r>
    </w:p>
    <w:p w14:paraId="243793D2" w14:textId="0A22F803" w:rsidR="00E01D7A" w:rsidRDefault="00E01D7A" w:rsidP="004B7EBE">
      <w:pPr>
        <w:rPr>
          <w:rFonts w:ascii="ITC Avant Garde" w:hAnsi="ITC Avant Garde"/>
          <w:sz w:val="18"/>
          <w:szCs w:val="18"/>
          <w:lang w:val="es-ES_tradnl"/>
        </w:rPr>
      </w:pPr>
      <w:r w:rsidRPr="00E01D7A">
        <w:rPr>
          <w:rFonts w:ascii="ITC Avant Garde" w:hAnsi="ITC Avant Garde"/>
          <w:sz w:val="18"/>
          <w:szCs w:val="18"/>
          <w:lang w:val="es-ES_tradnl"/>
        </w:rPr>
        <w:t xml:space="preserve">En este sentido, dicha herramienta </w:t>
      </w:r>
      <w:r w:rsidR="001654E4">
        <w:rPr>
          <w:rFonts w:ascii="ITC Avant Garde" w:hAnsi="ITC Avant Garde"/>
          <w:sz w:val="18"/>
          <w:szCs w:val="18"/>
          <w:lang w:val="es-ES_tradnl"/>
        </w:rPr>
        <w:t>se modificará</w:t>
      </w:r>
      <w:r w:rsidRPr="00E01D7A">
        <w:rPr>
          <w:rFonts w:ascii="ITC Avant Garde" w:hAnsi="ITC Avant Garde"/>
          <w:sz w:val="18"/>
          <w:szCs w:val="18"/>
          <w:lang w:val="es-ES_tradnl"/>
        </w:rPr>
        <w:t xml:space="preserve"> para que en su versión final para obtener tarifas acorde a la estructura tarifaria relativa al Espacio en Torre de la </w:t>
      </w:r>
      <w:r>
        <w:rPr>
          <w:rFonts w:ascii="ITC Avant Garde" w:hAnsi="ITC Avant Garde"/>
          <w:sz w:val="18"/>
          <w:szCs w:val="18"/>
          <w:lang w:val="es-ES_tradnl"/>
        </w:rPr>
        <w:t>oferta de referencia correspondiente</w:t>
      </w:r>
      <w:r w:rsidRPr="00E01D7A">
        <w:rPr>
          <w:rFonts w:ascii="ITC Avant Garde" w:hAnsi="ITC Avant Garde"/>
          <w:sz w:val="18"/>
          <w:szCs w:val="18"/>
          <w:lang w:val="es-ES_tradnl"/>
        </w:rPr>
        <w:t>, en términos de los geotipos Nivel Alto (AAA), Nivel Medio Alto (AA), Nivel Medio (A), Nivel Bajo/Rural (B) y Nivel Industrial (I).</w:t>
      </w:r>
    </w:p>
    <w:p w14:paraId="43892EF5" w14:textId="7A9153D8" w:rsidR="004B7EBE" w:rsidRPr="00766053" w:rsidRDefault="00E01D7A" w:rsidP="004B7EBE">
      <w:pPr>
        <w:rPr>
          <w:rFonts w:ascii="ITC Avant Garde" w:hAnsi="ITC Avant Garde"/>
          <w:sz w:val="18"/>
          <w:szCs w:val="18"/>
          <w:lang w:val="es-ES_tradnl"/>
        </w:rPr>
      </w:pPr>
      <w:r>
        <w:rPr>
          <w:rFonts w:ascii="ITC Avant Garde" w:hAnsi="ITC Avant Garde"/>
          <w:sz w:val="18"/>
          <w:szCs w:val="18"/>
          <w:lang w:val="es-ES_tradnl"/>
        </w:rPr>
        <w:t>Por otra parte, e</w:t>
      </w:r>
      <w:r w:rsidR="007E10A1">
        <w:rPr>
          <w:rFonts w:ascii="ITC Avant Garde" w:hAnsi="ITC Avant Garde"/>
          <w:sz w:val="18"/>
          <w:szCs w:val="18"/>
          <w:lang w:val="es-ES_tradnl"/>
        </w:rPr>
        <w:t>l Instituto señala que las metodologías aplicables a los diferentes modelos de costos derivan de la Resolución de Preponderancia, y que han sido plasmadas en las correspondientes Medidas que aplican al AEP.</w:t>
      </w:r>
      <w:r w:rsidR="00D21671">
        <w:rPr>
          <w:rFonts w:ascii="ITC Avant Garde" w:hAnsi="ITC Avant Garde"/>
          <w:sz w:val="18"/>
          <w:szCs w:val="18"/>
          <w:lang w:val="es-ES_tradnl"/>
        </w:rPr>
        <w:t xml:space="preserve"> En este sentido, la metodología del modelo en comento se apega a la dispuesta en la legislación aplicable.</w:t>
      </w:r>
    </w:p>
    <w:p w14:paraId="43892EF7" w14:textId="43FCA487" w:rsidR="004150EF" w:rsidRDefault="0024604D" w:rsidP="00425AFA">
      <w:pPr>
        <w:rPr>
          <w:sz w:val="18"/>
          <w:szCs w:val="18"/>
        </w:rPr>
      </w:pPr>
      <w:r w:rsidRPr="00DF7A2A">
        <w:rPr>
          <w:rFonts w:ascii="ITC Avant Garde" w:hAnsi="ITC Avant Garde"/>
          <w:sz w:val="18"/>
          <w:szCs w:val="18"/>
          <w:lang w:val="es-ES_tradnl"/>
        </w:rPr>
        <w:t>Finalmente, respecto al comentario para considerar el tiempo promedio de contrato de los predios arrendados</w:t>
      </w:r>
      <w:r w:rsidR="009215C5" w:rsidRPr="00DF7A2A">
        <w:rPr>
          <w:rFonts w:ascii="ITC Avant Garde" w:hAnsi="ITC Avant Garde"/>
          <w:sz w:val="18"/>
          <w:szCs w:val="18"/>
          <w:lang w:val="es-ES_tradnl"/>
        </w:rPr>
        <w:t xml:space="preserve"> a terceros</w:t>
      </w:r>
      <w:r w:rsidRPr="00DF7A2A">
        <w:rPr>
          <w:rFonts w:ascii="ITC Avant Garde" w:hAnsi="ITC Avant Garde"/>
          <w:sz w:val="18"/>
          <w:szCs w:val="18"/>
          <w:lang w:val="es-ES_tradnl"/>
        </w:rPr>
        <w:t xml:space="preserve">, </w:t>
      </w:r>
      <w:r w:rsidR="00DF7A2A" w:rsidRPr="00DF7A2A">
        <w:rPr>
          <w:rFonts w:ascii="ITC Avant Garde" w:hAnsi="ITC Avant Garde"/>
          <w:sz w:val="18"/>
          <w:szCs w:val="18"/>
          <w:lang w:val="es-ES_tradnl"/>
        </w:rPr>
        <w:t xml:space="preserve">el Instituto </w:t>
      </w:r>
      <w:r w:rsidRPr="00DF7A2A">
        <w:rPr>
          <w:rFonts w:ascii="ITC Avant Garde" w:hAnsi="ITC Avant Garde"/>
          <w:sz w:val="18"/>
          <w:szCs w:val="18"/>
          <w:lang w:val="es-ES_tradnl"/>
        </w:rPr>
        <w:t xml:space="preserve"> precisa que el objeto sobre el cual aplican dichas tarifas se refiere a aquellos sitios cuya propiedad es del AEP, considerando que en aquellos casos en los que exista arrendamiento de los sitios a terceros, la tarifa y condiciones correspondientes deb</w:t>
      </w:r>
      <w:r w:rsidR="00DF7A2A" w:rsidRPr="00DF7A2A">
        <w:rPr>
          <w:rFonts w:ascii="ITC Avant Garde" w:hAnsi="ITC Avant Garde"/>
          <w:sz w:val="18"/>
          <w:szCs w:val="18"/>
          <w:lang w:val="es-ES_tradnl"/>
        </w:rPr>
        <w:t xml:space="preserve">erá ajustarse </w:t>
      </w:r>
      <w:r w:rsidR="0057028E">
        <w:rPr>
          <w:rFonts w:ascii="ITC Avant Garde" w:hAnsi="ITC Avant Garde"/>
          <w:sz w:val="18"/>
          <w:szCs w:val="18"/>
          <w:lang w:val="es-ES_tradnl"/>
        </w:rPr>
        <w:t>a lo que se establezca en la oferta de referencia correspondiente, que entre otros elementos debe contener los conceptos y la periodicidad</w:t>
      </w:r>
      <w:r w:rsidRPr="00DF7A2A">
        <w:rPr>
          <w:rFonts w:ascii="ITC Avant Garde" w:hAnsi="ITC Avant Garde"/>
          <w:sz w:val="18"/>
          <w:szCs w:val="18"/>
          <w:lang w:val="es-ES_tradnl"/>
        </w:rPr>
        <w:t>.</w:t>
      </w:r>
    </w:p>
    <w:p w14:paraId="43892EF8" w14:textId="77777777" w:rsidR="001438D2" w:rsidRPr="004150EF" w:rsidRDefault="001438D2" w:rsidP="004150EF">
      <w:pPr>
        <w:pStyle w:val="Ttulo3"/>
        <w:rPr>
          <w:rFonts w:ascii="ITC Avant Garde" w:eastAsiaTheme="minorHAnsi" w:hAnsi="ITC Avant Garde" w:cstheme="minorBidi"/>
          <w:bCs w:val="0"/>
          <w:sz w:val="18"/>
          <w:szCs w:val="18"/>
          <w:lang w:val="es-ES_tradnl"/>
        </w:rPr>
      </w:pPr>
      <w:r w:rsidRPr="004150EF">
        <w:rPr>
          <w:rFonts w:ascii="ITC Avant Garde" w:eastAsiaTheme="minorHAnsi" w:hAnsi="ITC Avant Garde" w:cstheme="minorBidi"/>
          <w:bCs w:val="0"/>
          <w:sz w:val="18"/>
          <w:szCs w:val="18"/>
          <w:lang w:val="es-ES_tradnl"/>
        </w:rPr>
        <w:t>Tipo de dimensionamiento</w:t>
      </w:r>
      <w:r w:rsidR="004150EF" w:rsidRPr="004150EF">
        <w:rPr>
          <w:rFonts w:ascii="ITC Avant Garde" w:eastAsiaTheme="minorHAnsi" w:hAnsi="ITC Avant Garde" w:cstheme="minorBidi"/>
          <w:bCs w:val="0"/>
          <w:sz w:val="18"/>
          <w:szCs w:val="18"/>
          <w:lang w:val="es-ES_tradnl"/>
        </w:rPr>
        <w:t>.</w:t>
      </w:r>
    </w:p>
    <w:p w14:paraId="43892EF9" w14:textId="77777777" w:rsidR="00C70070" w:rsidRPr="00766053" w:rsidRDefault="00C70070" w:rsidP="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4</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¿Está de acuerdo con la metodología de dimensionamiento implementada en el modelo?</w:t>
      </w:r>
    </w:p>
    <w:p w14:paraId="43892EFA" w14:textId="77777777" w:rsidR="00CE316D" w:rsidRPr="00766053" w:rsidRDefault="00CE316D" w:rsidP="00CE316D">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EFB" w14:textId="4E40B9AA" w:rsidR="00F230C2" w:rsidRPr="00766053" w:rsidRDefault="001F44CF" w:rsidP="00AE4C00">
      <w:pPr>
        <w:rPr>
          <w:rFonts w:ascii="ITC Avant Garde" w:hAnsi="ITC Avant Garde"/>
          <w:sz w:val="18"/>
          <w:szCs w:val="18"/>
          <w:lang w:val="es-ES_tradnl"/>
        </w:rPr>
      </w:pPr>
      <w:r>
        <w:rPr>
          <w:rFonts w:ascii="ITC Avant Garde" w:hAnsi="ITC Avant Garde"/>
          <w:sz w:val="18"/>
          <w:szCs w:val="18"/>
          <w:lang w:val="es-ES_tradnl"/>
        </w:rPr>
        <w:lastRenderedPageBreak/>
        <w:t>Al respecto, u</w:t>
      </w:r>
      <w:r w:rsidR="00185B74" w:rsidRPr="00766053">
        <w:rPr>
          <w:rFonts w:ascii="ITC Avant Garde" w:hAnsi="ITC Avant Garde"/>
          <w:sz w:val="18"/>
          <w:szCs w:val="18"/>
          <w:lang w:val="es-ES_tradnl"/>
        </w:rPr>
        <w:t xml:space="preserve">n </w:t>
      </w:r>
      <w:r w:rsidR="00D65C64"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[Lester García] considera que debe </w:t>
      </w:r>
      <w:r w:rsidR="00BE661D">
        <w:rPr>
          <w:rFonts w:ascii="ITC Avant Garde" w:hAnsi="ITC Avant Garde"/>
          <w:sz w:val="18"/>
          <w:szCs w:val="18"/>
          <w:lang w:val="es-ES_tradnl"/>
        </w:rPr>
        <w:t>aclarars</w:t>
      </w:r>
      <w:r w:rsidR="00185B74" w:rsidRPr="00766053">
        <w:rPr>
          <w:rFonts w:ascii="ITC Avant Garde" w:hAnsi="ITC Avant Garde"/>
          <w:sz w:val="18"/>
          <w:szCs w:val="18"/>
          <w:lang w:val="es-ES_tradnl"/>
        </w:rPr>
        <w:t>e c</w:t>
      </w:r>
      <w:r w:rsidR="00241C05">
        <w:rPr>
          <w:rFonts w:ascii="ITC Avant Garde" w:hAnsi="ITC Avant Garde"/>
          <w:sz w:val="18"/>
          <w:szCs w:val="18"/>
          <w:lang w:val="es-ES_tradnl"/>
        </w:rPr>
        <w:t>ó</w:t>
      </w:r>
      <w:r w:rsidR="00185B74" w:rsidRPr="00766053">
        <w:rPr>
          <w:rFonts w:ascii="ITC Avant Garde" w:hAnsi="ITC Avant Garde"/>
          <w:sz w:val="18"/>
          <w:szCs w:val="18"/>
          <w:lang w:val="es-ES_tradnl"/>
        </w:rPr>
        <w:t xml:space="preserve">mo procederá el regulador en caso de ser necesario definir una tarifa, en lo que respecta a los datos de dimensionamiento que se aplicarían. </w:t>
      </w:r>
    </w:p>
    <w:p w14:paraId="43892EFC" w14:textId="77777777" w:rsidR="003B3539" w:rsidRDefault="00BE661D">
      <w:pPr>
        <w:rPr>
          <w:rFonts w:ascii="ITC Avant Garde" w:hAnsi="ITC Avant Garde"/>
          <w:sz w:val="18"/>
          <w:szCs w:val="18"/>
          <w:lang w:val="es-ES_tradnl"/>
        </w:rPr>
      </w:pPr>
      <w:r>
        <w:rPr>
          <w:rFonts w:ascii="ITC Avant Garde" w:hAnsi="ITC Avant Garde"/>
          <w:sz w:val="18"/>
          <w:szCs w:val="18"/>
          <w:lang w:val="es-ES_tradnl"/>
        </w:rPr>
        <w:t>Asimismo, un</w:t>
      </w:r>
      <w:r w:rsidR="00D51A1A" w:rsidRPr="00766053">
        <w:rPr>
          <w:rFonts w:ascii="ITC Avant Garde" w:hAnsi="ITC Avant Garde"/>
          <w:sz w:val="18"/>
          <w:szCs w:val="18"/>
          <w:lang w:val="es-ES_tradnl"/>
        </w:rPr>
        <w:t xml:space="preserve"> </w:t>
      </w:r>
      <w:r w:rsidR="00AA7610" w:rsidRPr="00766053">
        <w:rPr>
          <w:rFonts w:ascii="ITC Avant Garde" w:hAnsi="ITC Avant Garde"/>
          <w:sz w:val="18"/>
          <w:szCs w:val="18"/>
          <w:lang w:val="es-ES_tradnl"/>
        </w:rPr>
        <w:t>participante de la consulta</w:t>
      </w:r>
      <w:r>
        <w:rPr>
          <w:rFonts w:ascii="ITC Avant Garde" w:hAnsi="ITC Avant Garde"/>
          <w:sz w:val="18"/>
          <w:szCs w:val="18"/>
          <w:lang w:val="es-ES_tradnl"/>
        </w:rPr>
        <w:t xml:space="preserve"> [MATC] considera que</w:t>
      </w:r>
      <w:r w:rsidR="00D51A1A" w:rsidRPr="00766053">
        <w:rPr>
          <w:rFonts w:ascii="ITC Avant Garde" w:hAnsi="ITC Avant Garde"/>
          <w:sz w:val="18"/>
          <w:szCs w:val="18"/>
          <w:lang w:val="es-ES_tradnl"/>
        </w:rPr>
        <w:t xml:space="preserve"> resulta poco práctico y costoso calcular el precio por sitio con este modelo. </w:t>
      </w:r>
    </w:p>
    <w:p w14:paraId="43892EFD" w14:textId="77777777" w:rsidR="003B4D43" w:rsidRPr="00766053" w:rsidRDefault="00DC143C">
      <w:pPr>
        <w:rPr>
          <w:rFonts w:ascii="ITC Avant Garde" w:hAnsi="ITC Avant Garde"/>
          <w:sz w:val="18"/>
          <w:szCs w:val="18"/>
          <w:lang w:val="es-ES_tradnl"/>
        </w:rPr>
      </w:pPr>
      <w:r>
        <w:rPr>
          <w:rFonts w:ascii="ITC Avant Garde" w:hAnsi="ITC Avant Garde"/>
          <w:sz w:val="18"/>
          <w:szCs w:val="18"/>
          <w:lang w:val="es-ES_tradnl"/>
        </w:rPr>
        <w:t xml:space="preserve">En complemento, </w:t>
      </w:r>
      <w:r w:rsidR="00D51A1A" w:rsidRPr="00766053">
        <w:rPr>
          <w:rFonts w:ascii="ITC Avant Garde" w:hAnsi="ITC Avant Garde"/>
          <w:sz w:val="18"/>
          <w:szCs w:val="18"/>
          <w:lang w:val="es-ES_tradnl"/>
        </w:rPr>
        <w:t>o</w:t>
      </w:r>
      <w:r w:rsidR="00185B74" w:rsidRPr="00766053">
        <w:rPr>
          <w:rFonts w:ascii="ITC Avant Garde" w:hAnsi="ITC Avant Garde"/>
          <w:sz w:val="18"/>
          <w:szCs w:val="18"/>
          <w:lang w:val="es-ES_tradnl"/>
        </w:rPr>
        <w:t xml:space="preserve">tro </w:t>
      </w:r>
      <w:r w:rsidR="00AA7610" w:rsidRPr="00766053">
        <w:rPr>
          <w:rFonts w:ascii="ITC Avant Garde" w:hAnsi="ITC Avant Garde"/>
          <w:sz w:val="18"/>
          <w:szCs w:val="18"/>
          <w:lang w:val="es-ES_tradnl"/>
        </w:rPr>
        <w:t xml:space="preserve">participante </w:t>
      </w:r>
      <w:r w:rsidR="00185B74" w:rsidRPr="00766053">
        <w:rPr>
          <w:rFonts w:ascii="ITC Avant Garde" w:hAnsi="ITC Avant Garde"/>
          <w:sz w:val="18"/>
          <w:szCs w:val="18"/>
          <w:lang w:val="es-ES_tradnl"/>
        </w:rPr>
        <w:t>[Telefónica] cree que la metodología es ineficiente y sugiere que se tipifiquen unos pocos tipos de antenas de acuerdo a sus característi</w:t>
      </w:r>
      <w:r>
        <w:rPr>
          <w:rFonts w:ascii="ITC Avant Garde" w:hAnsi="ITC Avant Garde"/>
          <w:sz w:val="18"/>
          <w:szCs w:val="18"/>
          <w:lang w:val="es-ES_tradnl"/>
        </w:rPr>
        <w:t>cas más representativas de costo, ya que estima que</w:t>
      </w:r>
      <w:r w:rsidR="00185B74" w:rsidRPr="00766053">
        <w:rPr>
          <w:rFonts w:ascii="ITC Avant Garde" w:hAnsi="ITC Avant Garde"/>
          <w:sz w:val="18"/>
          <w:szCs w:val="18"/>
          <w:lang w:val="es-ES_tradnl"/>
        </w:rPr>
        <w:t xml:space="preserve"> las tarifas correspondientes deben quedar definidas en un catálogo </w:t>
      </w:r>
      <w:r>
        <w:rPr>
          <w:rFonts w:ascii="ITC Avant Garde" w:hAnsi="ITC Avant Garde"/>
          <w:sz w:val="18"/>
          <w:szCs w:val="18"/>
          <w:lang w:val="es-ES_tradnl"/>
        </w:rPr>
        <w:t>anual</w:t>
      </w:r>
      <w:r w:rsidR="00185B74" w:rsidRPr="00766053">
        <w:rPr>
          <w:rFonts w:ascii="ITC Avant Garde" w:hAnsi="ITC Avant Garde"/>
          <w:sz w:val="18"/>
          <w:szCs w:val="18"/>
          <w:lang w:val="es-ES_tradnl"/>
        </w:rPr>
        <w:t xml:space="preserve"> y, solo en caso de que se modifique la ocupación de la torre, éstas deberían actualizarse. </w:t>
      </w:r>
    </w:p>
    <w:p w14:paraId="43892EFE" w14:textId="77777777" w:rsidR="00D51A1A" w:rsidRPr="00766053" w:rsidRDefault="00D51A1A" w:rsidP="00203113">
      <w:pPr>
        <w:rPr>
          <w:rFonts w:ascii="ITC Avant Garde" w:hAnsi="ITC Avant Garde"/>
          <w:sz w:val="18"/>
          <w:szCs w:val="18"/>
          <w:lang w:val="es-ES_tradnl"/>
        </w:rPr>
      </w:pPr>
      <w:r w:rsidRPr="00766053">
        <w:rPr>
          <w:rFonts w:ascii="ITC Avant Garde" w:hAnsi="ITC Avant Garde"/>
          <w:sz w:val="18"/>
          <w:szCs w:val="18"/>
          <w:lang w:val="es-ES_tradnl"/>
        </w:rPr>
        <w:t xml:space="preserve">Por otro lado, un </w:t>
      </w:r>
      <w:r w:rsidR="00AA7610" w:rsidRPr="00766053">
        <w:rPr>
          <w:rFonts w:ascii="ITC Avant Garde" w:hAnsi="ITC Avant Garde"/>
          <w:sz w:val="18"/>
          <w:szCs w:val="18"/>
          <w:lang w:val="es-ES_tradnl"/>
        </w:rPr>
        <w:t>participante de la consulta</w:t>
      </w:r>
      <w:r w:rsidRPr="00766053">
        <w:rPr>
          <w:rFonts w:ascii="ITC Avant Garde" w:hAnsi="ITC Avant Garde"/>
          <w:sz w:val="18"/>
          <w:szCs w:val="18"/>
          <w:lang w:val="es-ES_tradnl"/>
        </w:rPr>
        <w:t xml:space="preserve"> [AT&amp;T] afirma que el modelo debe considerar como premisa que el AEP tiene la obligación de compartir espacio en torre sólo en aquellos lugares en que ya se encuentre en operación o bien que tenga planeado instalar para su uso propio. En este último caso, el AEP debería informar a los </w:t>
      </w:r>
      <w:r w:rsidR="00C33070" w:rsidRPr="00766053">
        <w:rPr>
          <w:rFonts w:ascii="ITC Avant Garde" w:hAnsi="ITC Avant Garde"/>
          <w:sz w:val="18"/>
          <w:szCs w:val="18"/>
          <w:lang w:val="es-ES_tradnl"/>
        </w:rPr>
        <w:t xml:space="preserve">demás concesionarios </w:t>
      </w:r>
      <w:r w:rsidRPr="00766053">
        <w:rPr>
          <w:rFonts w:ascii="ITC Avant Garde" w:hAnsi="ITC Avant Garde"/>
          <w:sz w:val="18"/>
          <w:szCs w:val="18"/>
          <w:lang w:val="es-ES_tradnl"/>
        </w:rPr>
        <w:t>con al menos seis meses de antelación para considerar la compartición desde el diseño del mismo. En cualquier caso, el hecho de compartir infraestructura significa un ahorro o ingreso marginal para el AEP.</w:t>
      </w:r>
    </w:p>
    <w:p w14:paraId="43892EFF" w14:textId="77777777" w:rsidR="001F5B60" w:rsidRPr="001F5B60" w:rsidRDefault="001F5B60" w:rsidP="001F5B6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00" w14:textId="60ED48EA" w:rsidR="00F42197" w:rsidRDefault="003B3539" w:rsidP="00F42197">
      <w:pPr>
        <w:pStyle w:val="L1"/>
        <w:numPr>
          <w:ilvl w:val="0"/>
          <w:numId w:val="0"/>
        </w:numPr>
        <w:spacing w:after="240"/>
        <w:rPr>
          <w:rFonts w:ascii="ITC Avant Garde" w:eastAsiaTheme="majorEastAsia" w:hAnsi="ITC Avant Garde" w:cstheme="majorBidi"/>
          <w:bCs/>
          <w:color w:val="000000" w:themeColor="text1"/>
          <w:sz w:val="18"/>
          <w:szCs w:val="18"/>
          <w:lang w:val="es-ES_tradnl"/>
        </w:rPr>
      </w:pPr>
      <w:r w:rsidRPr="00F42197">
        <w:rPr>
          <w:rFonts w:ascii="ITC Avant Garde" w:hAnsi="ITC Avant Garde"/>
          <w:sz w:val="18"/>
          <w:szCs w:val="18"/>
          <w:lang w:val="es-ES_tradnl"/>
        </w:rPr>
        <w:t xml:space="preserve">El Instituto reitera </w:t>
      </w:r>
      <w:r w:rsidR="00241C05">
        <w:rPr>
          <w:rFonts w:ascii="ITC Avant Garde" w:hAnsi="ITC Avant Garde"/>
          <w:sz w:val="18"/>
          <w:szCs w:val="18"/>
          <w:lang w:val="es-ES_tradnl"/>
        </w:rPr>
        <w:t xml:space="preserve">lo señalado en la pregunta anterior, en el sentido de </w:t>
      </w:r>
      <w:r w:rsidRPr="00F42197">
        <w:rPr>
          <w:rFonts w:ascii="ITC Avant Garde" w:hAnsi="ITC Avant Garde"/>
          <w:sz w:val="18"/>
          <w:szCs w:val="18"/>
          <w:lang w:val="es-ES_tradnl"/>
        </w:rPr>
        <w:t xml:space="preserve">que </w:t>
      </w:r>
      <w:r w:rsidR="00F42197" w:rsidRPr="00F42197">
        <w:rPr>
          <w:rFonts w:ascii="ITC Avant Garde" w:eastAsiaTheme="majorEastAsia" w:hAnsi="ITC Avant Garde" w:cstheme="majorBidi"/>
          <w:bCs/>
          <w:color w:val="000000" w:themeColor="text1"/>
          <w:sz w:val="18"/>
          <w:szCs w:val="18"/>
          <w:lang w:val="es-ES_tradnl"/>
        </w:rPr>
        <w:t>la versión final del modelo considera</w:t>
      </w:r>
      <w:r w:rsidR="00241C05">
        <w:rPr>
          <w:rFonts w:ascii="ITC Avant Garde" w:eastAsiaTheme="majorEastAsia" w:hAnsi="ITC Avant Garde" w:cstheme="majorBidi"/>
          <w:bCs/>
          <w:color w:val="000000" w:themeColor="text1"/>
          <w:sz w:val="18"/>
          <w:szCs w:val="18"/>
          <w:lang w:val="es-ES_tradnl"/>
        </w:rPr>
        <w:t>rá la</w:t>
      </w:r>
      <w:r w:rsidR="00F42197" w:rsidRPr="00F42197">
        <w:rPr>
          <w:rFonts w:ascii="ITC Avant Garde" w:eastAsiaTheme="majorEastAsia" w:hAnsi="ITC Avant Garde" w:cstheme="majorBidi"/>
          <w:bCs/>
          <w:color w:val="000000" w:themeColor="text1"/>
          <w:sz w:val="18"/>
          <w:szCs w:val="18"/>
          <w:lang w:val="es-ES_tradnl"/>
        </w:rPr>
        <w:t xml:space="preserve"> información de la totalidad de sitios del AEP para m</w:t>
      </w:r>
      <w:r w:rsidR="00F42197" w:rsidRPr="00F42197">
        <w:rPr>
          <w:rFonts w:ascii="ITC Avant Garde" w:hAnsi="ITC Avant Garde"/>
          <w:color w:val="000000" w:themeColor="text1"/>
          <w:sz w:val="18"/>
          <w:szCs w:val="18"/>
          <w:lang w:val="es-ES_tradnl"/>
        </w:rPr>
        <w:t>odificar el enfoque de estimación de tarifas de cálculo “sitio a sitio” para estimar tarifas por geotipos/niveles (AAA, AA, A, B e I). Asimismo, en la versión final de dicha herramienta se emplea</w:t>
      </w:r>
      <w:r w:rsidR="002951C2">
        <w:rPr>
          <w:rFonts w:ascii="ITC Avant Garde" w:hAnsi="ITC Avant Garde"/>
          <w:color w:val="000000" w:themeColor="text1"/>
          <w:sz w:val="18"/>
          <w:szCs w:val="18"/>
          <w:lang w:val="es-ES_tradnl"/>
        </w:rPr>
        <w:t>rá</w:t>
      </w:r>
      <w:r w:rsidR="00F42197" w:rsidRPr="00F42197">
        <w:rPr>
          <w:rFonts w:ascii="ITC Avant Garde" w:hAnsi="ITC Avant Garde"/>
          <w:color w:val="000000" w:themeColor="text1"/>
          <w:sz w:val="18"/>
          <w:szCs w:val="18"/>
          <w:lang w:val="es-ES_tradnl"/>
        </w:rPr>
        <w:t xml:space="preserve"> </w:t>
      </w:r>
      <w:r w:rsidR="00F42197" w:rsidRPr="00F42197">
        <w:rPr>
          <w:rFonts w:ascii="ITC Avant Garde" w:eastAsiaTheme="majorEastAsia" w:hAnsi="ITC Avant Garde" w:cstheme="majorBidi"/>
          <w:bCs/>
          <w:color w:val="000000" w:themeColor="text1"/>
          <w:sz w:val="18"/>
          <w:szCs w:val="18"/>
          <w:lang w:val="es-ES_tradnl"/>
        </w:rPr>
        <w:t xml:space="preserve">la </w:t>
      </w:r>
      <w:r w:rsidR="00024CAF">
        <w:rPr>
          <w:rFonts w:ascii="ITC Avant Garde" w:eastAsiaTheme="majorEastAsia" w:hAnsi="ITC Avant Garde" w:cstheme="majorBidi"/>
          <w:bCs/>
          <w:color w:val="000000" w:themeColor="text1"/>
          <w:sz w:val="18"/>
          <w:szCs w:val="18"/>
          <w:lang w:val="es-ES_tradnl"/>
        </w:rPr>
        <w:t>demanda promedio observada</w:t>
      </w:r>
      <w:r w:rsidR="00F42197" w:rsidRPr="00F42197">
        <w:rPr>
          <w:rFonts w:ascii="ITC Avant Garde" w:eastAsiaTheme="majorEastAsia" w:hAnsi="ITC Avant Garde" w:cstheme="majorBidi"/>
          <w:bCs/>
          <w:color w:val="000000" w:themeColor="text1"/>
          <w:sz w:val="18"/>
          <w:szCs w:val="18"/>
          <w:lang w:val="es-ES_tradnl"/>
        </w:rPr>
        <w:t xml:space="preserve"> respecto a los servicios de </w:t>
      </w:r>
      <w:r w:rsidR="0085488F">
        <w:rPr>
          <w:rFonts w:ascii="ITC Avant Garde" w:eastAsiaTheme="majorEastAsia" w:hAnsi="ITC Avant Garde" w:cstheme="majorBidi"/>
          <w:bCs/>
          <w:color w:val="000000" w:themeColor="text1"/>
          <w:sz w:val="18"/>
          <w:szCs w:val="18"/>
          <w:lang w:val="es-ES_tradnl"/>
        </w:rPr>
        <w:t>la o</w:t>
      </w:r>
      <w:r w:rsidR="00F42197" w:rsidRPr="00F42197">
        <w:rPr>
          <w:rFonts w:ascii="ITC Avant Garde" w:eastAsiaTheme="majorEastAsia" w:hAnsi="ITC Avant Garde" w:cstheme="majorBidi"/>
          <w:bCs/>
          <w:color w:val="000000" w:themeColor="text1"/>
          <w:sz w:val="18"/>
          <w:szCs w:val="18"/>
          <w:lang w:val="es-ES_tradnl"/>
        </w:rPr>
        <w:t xml:space="preserve">fertas de </w:t>
      </w:r>
      <w:r w:rsidR="0085488F">
        <w:rPr>
          <w:rFonts w:ascii="ITC Avant Garde" w:eastAsiaTheme="majorEastAsia" w:hAnsi="ITC Avant Garde" w:cstheme="majorBidi"/>
          <w:bCs/>
          <w:color w:val="000000" w:themeColor="text1"/>
          <w:sz w:val="18"/>
          <w:szCs w:val="18"/>
          <w:lang w:val="es-ES_tradnl"/>
        </w:rPr>
        <w:t>r</w:t>
      </w:r>
      <w:r w:rsidR="00F42197" w:rsidRPr="00F42197">
        <w:rPr>
          <w:rFonts w:ascii="ITC Avant Garde" w:eastAsiaTheme="majorEastAsia" w:hAnsi="ITC Avant Garde" w:cstheme="majorBidi"/>
          <w:bCs/>
          <w:color w:val="000000" w:themeColor="text1"/>
          <w:sz w:val="18"/>
          <w:szCs w:val="18"/>
          <w:lang w:val="es-ES_tradnl"/>
        </w:rPr>
        <w:t>eferencia correspondiente</w:t>
      </w:r>
      <w:r w:rsidR="00A35381">
        <w:rPr>
          <w:rFonts w:ascii="ITC Avant Garde" w:eastAsiaTheme="majorEastAsia" w:hAnsi="ITC Avant Garde" w:cstheme="majorBidi"/>
          <w:bCs/>
          <w:color w:val="000000" w:themeColor="text1"/>
          <w:sz w:val="18"/>
          <w:szCs w:val="18"/>
          <w:lang w:val="es-ES_tradnl"/>
        </w:rPr>
        <w:t xml:space="preserve">, </w:t>
      </w:r>
      <w:r w:rsidR="00F42197" w:rsidRPr="00F42197">
        <w:rPr>
          <w:rFonts w:ascii="ITC Avant Garde" w:eastAsiaTheme="majorEastAsia" w:hAnsi="ITC Avant Garde" w:cstheme="majorBidi"/>
          <w:bCs/>
          <w:color w:val="000000" w:themeColor="text1"/>
          <w:sz w:val="18"/>
          <w:szCs w:val="18"/>
          <w:lang w:val="es-ES_tradnl"/>
        </w:rPr>
        <w:t>a través de las cuales se solicita</w:t>
      </w:r>
      <w:r w:rsidR="0085488F">
        <w:rPr>
          <w:rFonts w:ascii="ITC Avant Garde" w:eastAsiaTheme="majorEastAsia" w:hAnsi="ITC Avant Garde" w:cstheme="majorBidi"/>
          <w:bCs/>
          <w:color w:val="000000" w:themeColor="text1"/>
          <w:sz w:val="18"/>
          <w:szCs w:val="18"/>
          <w:lang w:val="es-ES_tradnl"/>
        </w:rPr>
        <w:t>rá</w:t>
      </w:r>
      <w:r w:rsidR="00F42197" w:rsidRPr="00F42197">
        <w:rPr>
          <w:rFonts w:ascii="ITC Avant Garde" w:eastAsiaTheme="majorEastAsia" w:hAnsi="ITC Avant Garde" w:cstheme="majorBidi"/>
          <w:bCs/>
          <w:color w:val="000000" w:themeColor="text1"/>
          <w:sz w:val="18"/>
          <w:szCs w:val="18"/>
          <w:lang w:val="es-ES_tradnl"/>
        </w:rPr>
        <w:t xml:space="preserve"> al AEP el acceso y uso compartido </w:t>
      </w:r>
      <w:r w:rsidR="00333B44">
        <w:rPr>
          <w:rFonts w:ascii="ITC Avant Garde" w:eastAsiaTheme="majorEastAsia" w:hAnsi="ITC Avant Garde" w:cstheme="majorBidi"/>
          <w:bCs/>
          <w:color w:val="000000" w:themeColor="text1"/>
          <w:sz w:val="18"/>
          <w:szCs w:val="18"/>
          <w:lang w:val="es-ES_tradnl"/>
        </w:rPr>
        <w:t>de torre</w:t>
      </w:r>
      <w:r w:rsidR="00F42197" w:rsidRPr="00F42197">
        <w:rPr>
          <w:rFonts w:ascii="ITC Avant Garde" w:eastAsiaTheme="majorEastAsia" w:hAnsi="ITC Avant Garde" w:cstheme="majorBidi"/>
          <w:bCs/>
          <w:color w:val="000000" w:themeColor="text1"/>
          <w:sz w:val="18"/>
          <w:szCs w:val="18"/>
          <w:lang w:val="es-ES_tradnl"/>
        </w:rPr>
        <w:t xml:space="preserve"> (en términos de Espacio en Torre y Espacio en Piso)</w:t>
      </w:r>
      <w:r w:rsidR="006F004C">
        <w:rPr>
          <w:rFonts w:ascii="ITC Avant Garde" w:eastAsiaTheme="majorEastAsia" w:hAnsi="ITC Avant Garde" w:cstheme="majorBidi"/>
          <w:bCs/>
          <w:color w:val="000000" w:themeColor="text1"/>
          <w:sz w:val="18"/>
          <w:szCs w:val="18"/>
          <w:lang w:val="es-ES_tradnl"/>
        </w:rPr>
        <w:t>,</w:t>
      </w:r>
      <w:r w:rsidR="006F004C" w:rsidRPr="006F004C">
        <w:rPr>
          <w:rFonts w:ascii="ITC Avant Garde" w:hAnsi="ITC Avant Garde"/>
          <w:color w:val="000000" w:themeColor="text1"/>
          <w:sz w:val="18"/>
          <w:szCs w:val="18"/>
          <w:lang w:val="es-ES_tradnl"/>
        </w:rPr>
        <w:t xml:space="preserve"> </w:t>
      </w:r>
      <w:r w:rsidR="006F004C" w:rsidRPr="00043CDA">
        <w:rPr>
          <w:rFonts w:ascii="ITC Avant Garde" w:hAnsi="ITC Avant Garde"/>
          <w:color w:val="000000" w:themeColor="text1"/>
          <w:sz w:val="18"/>
          <w:szCs w:val="18"/>
          <w:lang w:val="es-ES_tradnl"/>
        </w:rPr>
        <w:t>a partir de lo establecido en las Medidas impuestas por al AEP por el Instituto</w:t>
      </w:r>
      <w:r w:rsidR="00F42197" w:rsidRPr="00F42197">
        <w:rPr>
          <w:rFonts w:ascii="ITC Avant Garde" w:eastAsiaTheme="majorEastAsia" w:hAnsi="ITC Avant Garde" w:cstheme="majorBidi"/>
          <w:bCs/>
          <w:color w:val="000000" w:themeColor="text1"/>
          <w:sz w:val="18"/>
          <w:szCs w:val="18"/>
          <w:lang w:val="es-ES_tradnl"/>
        </w:rPr>
        <w:t>.</w:t>
      </w:r>
    </w:p>
    <w:p w14:paraId="43892F01" w14:textId="62C3F34C" w:rsidR="00F42197" w:rsidRDefault="00F42197" w:rsidP="00F42197">
      <w:pPr>
        <w:pStyle w:val="L1"/>
        <w:numPr>
          <w:ilvl w:val="0"/>
          <w:numId w:val="0"/>
        </w:numPr>
        <w:spacing w:after="240"/>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Por otra parte</w:t>
      </w:r>
      <w:r w:rsidRPr="0059157B">
        <w:rPr>
          <w:rFonts w:ascii="ITC Avant Garde" w:hAnsi="ITC Avant Garde"/>
          <w:color w:val="000000" w:themeColor="text1"/>
          <w:sz w:val="18"/>
          <w:szCs w:val="18"/>
          <w:lang w:val="es-ES_tradnl"/>
        </w:rPr>
        <w:t xml:space="preserve"> las contraprestaciones aplicables a </w:t>
      </w:r>
      <w:r>
        <w:rPr>
          <w:rFonts w:ascii="ITC Avant Garde" w:hAnsi="ITC Avant Garde"/>
          <w:color w:val="000000" w:themeColor="text1"/>
          <w:sz w:val="18"/>
          <w:szCs w:val="18"/>
          <w:lang w:val="es-ES_tradnl"/>
        </w:rPr>
        <w:t>los servicios en comento y</w:t>
      </w:r>
      <w:r w:rsidRPr="0059157B">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en particular su periodicidad</w:t>
      </w:r>
      <w:r w:rsidR="002F4438">
        <w:rPr>
          <w:rFonts w:ascii="ITC Avant Garde" w:hAnsi="ITC Avant Garde"/>
          <w:color w:val="000000" w:themeColor="text1"/>
          <w:sz w:val="18"/>
          <w:szCs w:val="18"/>
          <w:lang w:val="es-ES_tradnl"/>
        </w:rPr>
        <w:t xml:space="preserve"> deberán ser precisadas a través de la </w:t>
      </w:r>
      <w:r w:rsidR="006F004C">
        <w:rPr>
          <w:rFonts w:ascii="ITC Avant Garde" w:hAnsi="ITC Avant Garde"/>
          <w:color w:val="000000" w:themeColor="text1"/>
          <w:sz w:val="18"/>
          <w:szCs w:val="18"/>
          <w:lang w:val="es-ES_tradnl"/>
        </w:rPr>
        <w:t>o</w:t>
      </w:r>
      <w:r w:rsidR="002F4438">
        <w:rPr>
          <w:rFonts w:ascii="ITC Avant Garde" w:hAnsi="ITC Avant Garde"/>
          <w:color w:val="000000" w:themeColor="text1"/>
          <w:sz w:val="18"/>
          <w:szCs w:val="18"/>
          <w:lang w:val="es-ES_tradnl"/>
        </w:rPr>
        <w:t xml:space="preserve">fertas de </w:t>
      </w:r>
      <w:r w:rsidR="006F004C">
        <w:rPr>
          <w:rFonts w:ascii="ITC Avant Garde" w:hAnsi="ITC Avant Garde"/>
          <w:color w:val="000000" w:themeColor="text1"/>
          <w:sz w:val="18"/>
          <w:szCs w:val="18"/>
          <w:lang w:val="es-ES_tradnl"/>
        </w:rPr>
        <w:t>r</w:t>
      </w:r>
      <w:r w:rsidR="002F4438">
        <w:rPr>
          <w:rFonts w:ascii="ITC Avant Garde" w:hAnsi="ITC Avant Garde"/>
          <w:color w:val="000000" w:themeColor="text1"/>
          <w:sz w:val="18"/>
          <w:szCs w:val="18"/>
          <w:lang w:val="es-ES_tradnl"/>
        </w:rPr>
        <w:t>eferencia correspondiente</w:t>
      </w:r>
      <w:r w:rsidRPr="0059157B">
        <w:rPr>
          <w:rFonts w:ascii="ITC Avant Garde" w:hAnsi="ITC Avant Garde"/>
          <w:color w:val="000000" w:themeColor="text1"/>
          <w:sz w:val="18"/>
          <w:szCs w:val="18"/>
          <w:lang w:val="es-ES_tradnl"/>
        </w:rPr>
        <w:t>.</w:t>
      </w:r>
    </w:p>
    <w:p w14:paraId="43892F02" w14:textId="30295885" w:rsidR="006B2FAC" w:rsidRPr="00766053" w:rsidRDefault="006B2FAC">
      <w:pPr>
        <w:rPr>
          <w:rFonts w:ascii="ITC Avant Garde" w:eastAsiaTheme="majorEastAsia" w:hAnsi="ITC Avant Garde" w:cstheme="majorBidi"/>
          <w:bCs/>
          <w:sz w:val="18"/>
          <w:szCs w:val="18"/>
          <w:lang w:val="es-ES_tradnl"/>
        </w:rPr>
      </w:pPr>
      <w:r w:rsidRPr="00766053">
        <w:rPr>
          <w:rFonts w:ascii="ITC Avant Garde" w:eastAsiaTheme="majorEastAsia" w:hAnsi="ITC Avant Garde" w:cstheme="majorBidi"/>
          <w:bCs/>
          <w:sz w:val="18"/>
          <w:szCs w:val="18"/>
          <w:lang w:val="es-ES_tradnl"/>
        </w:rPr>
        <w:t xml:space="preserve">Finalmente, con relación </w:t>
      </w:r>
      <w:r w:rsidRPr="00766053">
        <w:rPr>
          <w:rFonts w:ascii="ITC Avant Garde" w:hAnsi="ITC Avant Garde"/>
          <w:sz w:val="18"/>
          <w:szCs w:val="18"/>
          <w:lang w:val="es-ES_tradnl"/>
        </w:rPr>
        <w:t xml:space="preserve">al comentario </w:t>
      </w:r>
      <w:r w:rsidR="00E56081">
        <w:rPr>
          <w:rFonts w:ascii="ITC Avant Garde" w:hAnsi="ITC Avant Garde"/>
          <w:sz w:val="18"/>
          <w:szCs w:val="18"/>
          <w:lang w:val="es-ES_tradnl"/>
        </w:rPr>
        <w:t>donde se considera que</w:t>
      </w:r>
      <w:r w:rsidRPr="00766053">
        <w:rPr>
          <w:rFonts w:ascii="ITC Avant Garde" w:hAnsi="ITC Avant Garde"/>
          <w:sz w:val="18"/>
          <w:szCs w:val="18"/>
          <w:lang w:val="es-ES_tradnl"/>
        </w:rPr>
        <w:t xml:space="preserve"> el AEP debe compartir espacio en torre solo en aquellos lugares en que ya se encuentre en operación o bien tenga planeado instalar su infraestructura, el Instituto hace notar que dichas manifestaciones</w:t>
      </w:r>
      <w:r w:rsidR="00241C05">
        <w:rPr>
          <w:rFonts w:ascii="ITC Avant Garde" w:hAnsi="ITC Avant Garde"/>
          <w:sz w:val="18"/>
          <w:szCs w:val="18"/>
          <w:lang w:val="es-ES_tradnl"/>
        </w:rPr>
        <w:t xml:space="preserve"> no están directamente relacionados con el objeto de la presente consulta pública</w:t>
      </w:r>
      <w:r w:rsidRPr="00766053">
        <w:rPr>
          <w:rFonts w:ascii="ITC Avant Garde" w:hAnsi="ITC Avant Garde"/>
          <w:sz w:val="18"/>
          <w:szCs w:val="18"/>
          <w:lang w:val="es-ES_tradnl"/>
        </w:rPr>
        <w:t>.</w:t>
      </w:r>
    </w:p>
    <w:p w14:paraId="43892F03" w14:textId="77777777" w:rsidR="001438D2" w:rsidRPr="00766053" w:rsidRDefault="001438D2" w:rsidP="001438D2">
      <w:pPr>
        <w:pStyle w:val="Ttulo2"/>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t xml:space="preserve">Aspectos relacionados con las principales variables del modelo </w:t>
      </w:r>
    </w:p>
    <w:p w14:paraId="43892F04" w14:textId="77777777" w:rsidR="00185B74" w:rsidRPr="00766053" w:rsidRDefault="001438D2" w:rsidP="00203113">
      <w:pPr>
        <w:pStyle w:val="Ttulo3"/>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t>Características del sitio</w:t>
      </w:r>
    </w:p>
    <w:p w14:paraId="43892F05" w14:textId="77777777" w:rsidR="00185B74" w:rsidRPr="00766053" w:rsidRDefault="00185B74" w:rsidP="00185B74">
      <w:pPr>
        <w:spacing w:before="60" w:after="120"/>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5</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xml:space="preserve">: ¿Concuerda con la elección de variables utilizadas en el modelo? </w:t>
      </w:r>
    </w:p>
    <w:p w14:paraId="43892F06" w14:textId="77777777" w:rsidR="00CE316D" w:rsidRPr="00766053" w:rsidRDefault="00CE316D" w:rsidP="00CE316D">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07" w14:textId="77777777" w:rsidR="00185B74" w:rsidRPr="00766053" w:rsidRDefault="006B5834" w:rsidP="00185B74">
      <w:pPr>
        <w:rPr>
          <w:rFonts w:ascii="ITC Avant Garde" w:hAnsi="ITC Avant Garde"/>
          <w:sz w:val="18"/>
          <w:szCs w:val="18"/>
          <w:lang w:val="es-ES_tradnl"/>
        </w:rPr>
      </w:pPr>
      <w:r>
        <w:rPr>
          <w:rFonts w:ascii="ITC Avant Garde" w:hAnsi="ITC Avant Garde"/>
          <w:sz w:val="18"/>
          <w:szCs w:val="18"/>
          <w:lang w:val="es-ES_tradnl"/>
        </w:rPr>
        <w:t>Al respecto, d</w:t>
      </w:r>
      <w:r w:rsidR="00185B74" w:rsidRPr="00766053">
        <w:rPr>
          <w:rFonts w:ascii="ITC Avant Garde" w:hAnsi="ITC Avant Garde"/>
          <w:sz w:val="18"/>
          <w:szCs w:val="18"/>
          <w:lang w:val="es-ES_tradnl"/>
        </w:rPr>
        <w:t xml:space="preserve">os </w:t>
      </w:r>
      <w:r w:rsidR="00AA7610" w:rsidRPr="00766053">
        <w:rPr>
          <w:rFonts w:ascii="ITC Avant Garde" w:hAnsi="ITC Avant Garde"/>
          <w:sz w:val="18"/>
          <w:szCs w:val="18"/>
          <w:lang w:val="es-ES_tradnl"/>
        </w:rPr>
        <w:t>participantes</w:t>
      </w:r>
      <w:r w:rsidR="00185B74" w:rsidRPr="00766053">
        <w:rPr>
          <w:rFonts w:ascii="ITC Avant Garde" w:hAnsi="ITC Avant Garde"/>
          <w:sz w:val="18"/>
          <w:szCs w:val="18"/>
          <w:lang w:val="es-ES_tradnl"/>
        </w:rPr>
        <w:t xml:space="preserve"> [Lester García y Telefónica] consideran que las va</w:t>
      </w:r>
      <w:r>
        <w:rPr>
          <w:rFonts w:ascii="ITC Avant Garde" w:hAnsi="ITC Avant Garde"/>
          <w:sz w:val="18"/>
          <w:szCs w:val="18"/>
          <w:lang w:val="es-ES_tradnl"/>
        </w:rPr>
        <w:t>riables elegidas son correctas.</w:t>
      </w:r>
    </w:p>
    <w:p w14:paraId="43892F08" w14:textId="77777777" w:rsidR="00D51A1A" w:rsidRPr="00766053" w:rsidRDefault="006B5834" w:rsidP="00185B74">
      <w:pPr>
        <w:rPr>
          <w:rFonts w:ascii="ITC Avant Garde" w:hAnsi="ITC Avant Garde"/>
          <w:sz w:val="18"/>
          <w:szCs w:val="18"/>
          <w:lang w:val="es-ES_tradnl"/>
        </w:rPr>
      </w:pPr>
      <w:r>
        <w:rPr>
          <w:rFonts w:ascii="ITC Avant Garde" w:hAnsi="ITC Avant Garde"/>
          <w:sz w:val="18"/>
          <w:szCs w:val="18"/>
          <w:lang w:val="es-ES_tradnl"/>
        </w:rPr>
        <w:lastRenderedPageBreak/>
        <w:t>En contraste, u</w:t>
      </w:r>
      <w:r w:rsidR="00185B74" w:rsidRPr="00766053">
        <w:rPr>
          <w:rFonts w:ascii="ITC Avant Garde" w:hAnsi="ITC Avant Garde"/>
          <w:sz w:val="18"/>
          <w:szCs w:val="18"/>
          <w:lang w:val="es-ES_tradnl"/>
        </w:rPr>
        <w:t xml:space="preserve">n </w:t>
      </w:r>
      <w:r w:rsidR="00FF663D" w:rsidRPr="00766053">
        <w:rPr>
          <w:rFonts w:ascii="ITC Avant Garde" w:hAnsi="ITC Avant Garde"/>
          <w:sz w:val="18"/>
          <w:szCs w:val="18"/>
          <w:lang w:val="es-ES_tradnl"/>
        </w:rPr>
        <w:t xml:space="preserve">participante </w:t>
      </w:r>
      <w:r w:rsidR="00185B74" w:rsidRPr="00766053">
        <w:rPr>
          <w:rFonts w:ascii="ITC Avant Garde" w:hAnsi="ITC Avant Garde"/>
          <w:sz w:val="18"/>
          <w:szCs w:val="18"/>
          <w:lang w:val="es-ES_tradnl"/>
        </w:rPr>
        <w:t xml:space="preserve">[MATC] recomienda incluir una variable referente a la disponibilidad de energía eléctrica (baja, media y alta tensión) y otra relacionada con la disponibilidad de fibra óptica en las inmediaciones del sitio. </w:t>
      </w:r>
      <w:r>
        <w:rPr>
          <w:rFonts w:ascii="ITC Avant Garde" w:hAnsi="ITC Avant Garde"/>
          <w:sz w:val="18"/>
          <w:szCs w:val="18"/>
          <w:lang w:val="es-ES_tradnl"/>
        </w:rPr>
        <w:t>Asimismo, e</w:t>
      </w:r>
      <w:r w:rsidR="00185B74" w:rsidRPr="00766053">
        <w:rPr>
          <w:rFonts w:ascii="ITC Avant Garde" w:hAnsi="ITC Avant Garde"/>
          <w:sz w:val="18"/>
          <w:szCs w:val="18"/>
          <w:lang w:val="es-ES_tradnl"/>
        </w:rPr>
        <w:t xml:space="preserve">n relación con los geotipos, sugiere añadir una variable adicional relativa al grado de demanda o densidad de usuarios. </w:t>
      </w:r>
    </w:p>
    <w:p w14:paraId="43892F09" w14:textId="77777777" w:rsidR="001F5B60" w:rsidRPr="001F5B60" w:rsidRDefault="001F5B60" w:rsidP="001F5B6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74D62423" w14:textId="2214BFAC" w:rsidR="003F558E" w:rsidRDefault="000445C6" w:rsidP="003F558E">
      <w:pPr>
        <w:rPr>
          <w:rFonts w:ascii="ITC Avant Garde" w:hAnsi="ITC Avant Garde"/>
          <w:sz w:val="18"/>
          <w:szCs w:val="18"/>
          <w:lang w:val="es-ES_tradnl"/>
        </w:rPr>
      </w:pPr>
      <w:r>
        <w:rPr>
          <w:rFonts w:ascii="ITC Avant Garde" w:eastAsiaTheme="majorEastAsia" w:hAnsi="ITC Avant Garde" w:cstheme="majorBidi"/>
          <w:bCs/>
          <w:sz w:val="18"/>
          <w:szCs w:val="18"/>
          <w:lang w:val="es-ES_tradnl"/>
        </w:rPr>
        <w:t>Respecto a los comentarios a través de los cuales se solicita incluir en el modelo</w:t>
      </w:r>
      <w:r w:rsidR="0064068E">
        <w:rPr>
          <w:rFonts w:ascii="ITC Avant Garde" w:eastAsiaTheme="majorEastAsia" w:hAnsi="ITC Avant Garde" w:cstheme="majorBidi"/>
          <w:bCs/>
          <w:sz w:val="18"/>
          <w:szCs w:val="18"/>
          <w:lang w:val="es-ES_tradnl"/>
        </w:rPr>
        <w:t>,</w:t>
      </w:r>
      <w:r w:rsidR="00B35892" w:rsidRPr="00766053">
        <w:rPr>
          <w:rFonts w:ascii="ITC Avant Garde" w:eastAsiaTheme="majorEastAsia" w:hAnsi="ITC Avant Garde" w:cstheme="majorBidi"/>
          <w:bCs/>
          <w:sz w:val="18"/>
          <w:szCs w:val="18"/>
          <w:lang w:val="es-ES_tradnl"/>
        </w:rPr>
        <w:t xml:space="preserve"> variable</w:t>
      </w:r>
      <w:r>
        <w:rPr>
          <w:rFonts w:ascii="ITC Avant Garde" w:eastAsiaTheme="majorEastAsia" w:hAnsi="ITC Avant Garde" w:cstheme="majorBidi"/>
          <w:bCs/>
          <w:sz w:val="18"/>
          <w:szCs w:val="18"/>
          <w:lang w:val="es-ES_tradnl"/>
        </w:rPr>
        <w:t>s</w:t>
      </w:r>
      <w:r w:rsidR="00B35892" w:rsidRPr="00766053">
        <w:rPr>
          <w:rFonts w:ascii="ITC Avant Garde" w:eastAsiaTheme="majorEastAsia" w:hAnsi="ITC Avant Garde" w:cstheme="majorBidi"/>
          <w:bCs/>
          <w:sz w:val="18"/>
          <w:szCs w:val="18"/>
          <w:lang w:val="es-ES_tradnl"/>
        </w:rPr>
        <w:t xml:space="preserve"> referente</w:t>
      </w:r>
      <w:r>
        <w:rPr>
          <w:rFonts w:ascii="ITC Avant Garde" w:eastAsiaTheme="majorEastAsia" w:hAnsi="ITC Avant Garde" w:cstheme="majorBidi"/>
          <w:bCs/>
          <w:sz w:val="18"/>
          <w:szCs w:val="18"/>
          <w:lang w:val="es-ES_tradnl"/>
        </w:rPr>
        <w:t>s</w:t>
      </w:r>
      <w:r w:rsidR="00B35892" w:rsidRPr="00766053">
        <w:rPr>
          <w:rFonts w:ascii="ITC Avant Garde" w:eastAsiaTheme="majorEastAsia" w:hAnsi="ITC Avant Garde" w:cstheme="majorBidi"/>
          <w:bCs/>
          <w:sz w:val="18"/>
          <w:szCs w:val="18"/>
          <w:lang w:val="es-ES_tradnl"/>
        </w:rPr>
        <w:t xml:space="preserve"> a la disponibilidad de energía eléctrica</w:t>
      </w:r>
      <w:r w:rsidR="001C0E20" w:rsidRPr="00766053">
        <w:rPr>
          <w:rFonts w:ascii="ITC Avant Garde" w:eastAsiaTheme="majorEastAsia" w:hAnsi="ITC Avant Garde" w:cstheme="majorBidi"/>
          <w:bCs/>
          <w:sz w:val="18"/>
          <w:szCs w:val="18"/>
          <w:lang w:val="es-ES_tradnl"/>
        </w:rPr>
        <w:t xml:space="preserve"> </w:t>
      </w:r>
      <w:r w:rsidR="003F558E" w:rsidRPr="00766053">
        <w:rPr>
          <w:rFonts w:ascii="ITC Avant Garde" w:eastAsiaTheme="majorEastAsia" w:hAnsi="ITC Avant Garde" w:cstheme="majorBidi"/>
          <w:bCs/>
          <w:sz w:val="18"/>
          <w:szCs w:val="18"/>
          <w:lang w:val="es-ES_tradnl"/>
        </w:rPr>
        <w:t xml:space="preserve">el Instituto considera </w:t>
      </w:r>
      <w:r w:rsidR="003F558E">
        <w:rPr>
          <w:rFonts w:ascii="ITC Avant Garde" w:eastAsiaTheme="majorEastAsia" w:hAnsi="ITC Avant Garde" w:cstheme="majorBidi"/>
          <w:bCs/>
          <w:sz w:val="18"/>
          <w:szCs w:val="18"/>
          <w:lang w:val="es-ES_tradnl"/>
        </w:rPr>
        <w:t xml:space="preserve">procedente este punto, en el entendido de que la disponibilidad de tales elementos </w:t>
      </w:r>
      <w:r w:rsidR="003F558E">
        <w:rPr>
          <w:rFonts w:ascii="ITC Avant Garde" w:hAnsi="ITC Avant Garde"/>
          <w:sz w:val="18"/>
          <w:szCs w:val="18"/>
          <w:lang w:val="es-ES_tradnl"/>
        </w:rPr>
        <w:t xml:space="preserve">será altamente dependiente de la infraestructura presente en los sitios,  y de que en su caso cada CS deberá </w:t>
      </w:r>
      <w:r w:rsidR="003F558E" w:rsidRPr="00766053">
        <w:rPr>
          <w:rFonts w:ascii="ITC Avant Garde" w:hAnsi="ITC Avant Garde"/>
          <w:sz w:val="18"/>
          <w:szCs w:val="18"/>
          <w:lang w:val="es-ES_tradnl"/>
        </w:rPr>
        <w:t>pagar por los servici</w:t>
      </w:r>
      <w:r w:rsidR="003F558E">
        <w:rPr>
          <w:rFonts w:ascii="ITC Avant Garde" w:hAnsi="ITC Avant Garde"/>
          <w:sz w:val="18"/>
          <w:szCs w:val="18"/>
          <w:lang w:val="es-ES_tradnl"/>
        </w:rPr>
        <w:t>os que son concretamente demandados, según se especifique en la oferta de referencia correspondiente</w:t>
      </w:r>
      <w:r w:rsidR="002F5566">
        <w:rPr>
          <w:rFonts w:ascii="ITC Avant Garde" w:eastAsiaTheme="majorEastAsia" w:hAnsi="ITC Avant Garde" w:cstheme="majorBidi"/>
          <w:bCs/>
          <w:color w:val="000000" w:themeColor="text1"/>
          <w:sz w:val="18"/>
          <w:szCs w:val="18"/>
          <w:lang w:val="es-ES_tradnl"/>
        </w:rPr>
        <w:t>,</w:t>
      </w:r>
      <w:r w:rsidR="002F5566" w:rsidRPr="006F004C">
        <w:rPr>
          <w:rFonts w:ascii="ITC Avant Garde" w:hAnsi="ITC Avant Garde"/>
          <w:color w:val="000000" w:themeColor="text1"/>
          <w:sz w:val="18"/>
          <w:szCs w:val="18"/>
          <w:lang w:val="es-ES_tradnl"/>
        </w:rPr>
        <w:t xml:space="preserve"> </w:t>
      </w:r>
      <w:r w:rsidR="002F5566" w:rsidRPr="00043CDA">
        <w:rPr>
          <w:rFonts w:ascii="ITC Avant Garde" w:hAnsi="ITC Avant Garde"/>
          <w:color w:val="000000" w:themeColor="text1"/>
          <w:sz w:val="18"/>
          <w:szCs w:val="18"/>
          <w:lang w:val="es-ES_tradnl"/>
        </w:rPr>
        <w:t>a partir de lo establecido en las Medidas impuestas por al AEP por el Instituto</w:t>
      </w:r>
      <w:r w:rsidR="003F558E">
        <w:rPr>
          <w:rFonts w:ascii="ITC Avant Garde" w:hAnsi="ITC Avant Garde"/>
          <w:sz w:val="18"/>
          <w:szCs w:val="18"/>
          <w:lang w:val="es-ES_tradnl"/>
        </w:rPr>
        <w:t>.</w:t>
      </w:r>
    </w:p>
    <w:p w14:paraId="5D5E9B5D" w14:textId="3D35B1FF" w:rsidR="008F0252" w:rsidRDefault="0064068E" w:rsidP="0064068E">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Por otra parte, en lo tocante a considerar</w:t>
      </w:r>
      <w:r w:rsidR="001C0E20" w:rsidRPr="00766053">
        <w:rPr>
          <w:rFonts w:ascii="ITC Avant Garde" w:eastAsiaTheme="majorEastAsia" w:hAnsi="ITC Avant Garde" w:cstheme="majorBidi"/>
          <w:bCs/>
          <w:sz w:val="18"/>
          <w:szCs w:val="18"/>
          <w:lang w:val="es-ES_tradnl"/>
        </w:rPr>
        <w:t xml:space="preserve"> fibra óptica</w:t>
      </w:r>
      <w:r w:rsidR="00B35892" w:rsidRPr="00766053">
        <w:rPr>
          <w:rFonts w:ascii="ITC Avant Garde" w:eastAsiaTheme="majorEastAsia" w:hAnsi="ITC Avant Garde" w:cstheme="majorBidi"/>
          <w:bCs/>
          <w:sz w:val="18"/>
          <w:szCs w:val="18"/>
          <w:lang w:val="es-ES_tradnl"/>
        </w:rPr>
        <w:t xml:space="preserve">, </w:t>
      </w:r>
      <w:r w:rsidR="008F0252">
        <w:rPr>
          <w:rFonts w:ascii="ITC Avant Garde" w:hAnsi="ITC Avant Garde"/>
          <w:color w:val="000000" w:themeColor="text1"/>
          <w:sz w:val="18"/>
          <w:szCs w:val="18"/>
          <w:lang w:val="es-ES_tradnl"/>
        </w:rPr>
        <w:t>el Instituto señala que el modelo considerará únicamente los elementos de infraestructura con los que cuenta el AEP con relación a servicios móviles, por lo cual, tomando en cuenta la información aportada por el AEP, no es precedente incluir servicios relativos a dicho elemento dado que no forman parte de la infraestructura presente en sus sitios</w:t>
      </w:r>
      <w:r w:rsidR="008F0252">
        <w:rPr>
          <w:rFonts w:ascii="ITC Avant Garde" w:hAnsi="ITC Avant Garde"/>
          <w:sz w:val="18"/>
          <w:szCs w:val="18"/>
          <w:lang w:val="es-ES_tradnl"/>
        </w:rPr>
        <w:t>.</w:t>
      </w:r>
    </w:p>
    <w:p w14:paraId="43892F0B" w14:textId="2E415FAD" w:rsidR="00B35892" w:rsidRDefault="00B35892" w:rsidP="00185B74">
      <w:pPr>
        <w:rPr>
          <w:rFonts w:ascii="ITC Avant Garde" w:eastAsiaTheme="majorEastAsia" w:hAnsi="ITC Avant Garde" w:cstheme="majorBidi"/>
          <w:bCs/>
          <w:sz w:val="18"/>
          <w:szCs w:val="18"/>
          <w:lang w:val="es-ES_tradnl"/>
        </w:rPr>
      </w:pPr>
      <w:r w:rsidRPr="00766053">
        <w:rPr>
          <w:rFonts w:ascii="ITC Avant Garde" w:hAnsi="ITC Avant Garde"/>
          <w:sz w:val="18"/>
          <w:szCs w:val="18"/>
          <w:lang w:val="es-ES_tradnl"/>
        </w:rPr>
        <w:t>En cualquier caso</w:t>
      </w:r>
      <w:r w:rsidR="0064068E">
        <w:rPr>
          <w:rFonts w:ascii="ITC Avant Garde" w:hAnsi="ITC Avant Garde"/>
          <w:sz w:val="18"/>
          <w:szCs w:val="18"/>
          <w:lang w:val="es-ES_tradnl"/>
        </w:rPr>
        <w:t>, como ya se mencionó anteriormente</w:t>
      </w:r>
      <w:r w:rsidR="008B052E">
        <w:rPr>
          <w:rFonts w:ascii="ITC Avant Garde" w:hAnsi="ITC Avant Garde"/>
          <w:sz w:val="18"/>
          <w:szCs w:val="18"/>
          <w:lang w:val="es-ES_tradnl"/>
        </w:rPr>
        <w:t xml:space="preserve"> </w:t>
      </w:r>
      <w:r w:rsidRPr="00766053">
        <w:rPr>
          <w:rFonts w:ascii="ITC Avant Garde" w:hAnsi="ITC Avant Garde"/>
          <w:sz w:val="18"/>
          <w:szCs w:val="18"/>
          <w:lang w:val="es-ES_tradnl"/>
        </w:rPr>
        <w:t xml:space="preserve">la estructura </w:t>
      </w:r>
      <w:r w:rsidR="00333B44">
        <w:rPr>
          <w:rFonts w:ascii="ITC Avant Garde" w:hAnsi="ITC Avant Garde"/>
          <w:sz w:val="18"/>
          <w:szCs w:val="18"/>
          <w:lang w:val="es-ES_tradnl"/>
        </w:rPr>
        <w:t xml:space="preserve">de la versión final del modelo </w:t>
      </w:r>
      <w:r w:rsidRPr="00766053">
        <w:rPr>
          <w:rFonts w:ascii="ITC Avant Garde" w:hAnsi="ITC Avant Garde"/>
          <w:sz w:val="18"/>
          <w:szCs w:val="18"/>
          <w:lang w:val="es-ES_tradnl"/>
        </w:rPr>
        <w:t xml:space="preserve">se articula alrededor de cinco geotipos que cubren el uso del espacio en la torre y el predio, con independencias de la demanda o densidad de usuarios. </w:t>
      </w:r>
      <w:r w:rsidR="009F4E4C" w:rsidRPr="00766053">
        <w:rPr>
          <w:rFonts w:ascii="ITC Avant Garde" w:hAnsi="ITC Avant Garde"/>
          <w:sz w:val="18"/>
          <w:szCs w:val="18"/>
          <w:lang w:val="es-ES_tradnl"/>
        </w:rPr>
        <w:t>Por lo que l</w:t>
      </w:r>
      <w:r w:rsidRPr="00766053">
        <w:rPr>
          <w:rFonts w:ascii="ITC Avant Garde" w:hAnsi="ITC Avant Garde"/>
          <w:sz w:val="18"/>
          <w:szCs w:val="18"/>
          <w:lang w:val="es-ES_tradnl"/>
        </w:rPr>
        <w:t>as inversiones adicionales que pudiera requerir el CS para adaptar el emplazamiento a sus necesidades no es considerado en la presente consulta.</w:t>
      </w:r>
      <w:r w:rsidRPr="00766053">
        <w:rPr>
          <w:rFonts w:ascii="ITC Avant Garde" w:eastAsiaTheme="majorEastAsia" w:hAnsi="ITC Avant Garde" w:cstheme="majorBidi"/>
          <w:bCs/>
          <w:sz w:val="18"/>
          <w:szCs w:val="18"/>
          <w:lang w:val="es-ES_tradnl"/>
        </w:rPr>
        <w:t xml:space="preserve"> </w:t>
      </w:r>
    </w:p>
    <w:p w14:paraId="43892F0C" w14:textId="2BD05C60" w:rsidR="00333B44" w:rsidRPr="00766053" w:rsidRDefault="00333B44" w:rsidP="00185B74">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 xml:space="preserve">Finalmente, el Instituto considera que los parámetros de demanda </w:t>
      </w:r>
      <w:r w:rsidR="008B052E">
        <w:rPr>
          <w:rFonts w:ascii="ITC Avant Garde" w:eastAsiaTheme="majorEastAsia" w:hAnsi="ITC Avant Garde" w:cstheme="majorBidi"/>
          <w:bCs/>
          <w:sz w:val="18"/>
          <w:szCs w:val="18"/>
          <w:lang w:val="es-ES_tradnl"/>
        </w:rPr>
        <w:t xml:space="preserve">que deberán contemplarse </w:t>
      </w:r>
      <w:r>
        <w:rPr>
          <w:rFonts w:ascii="ITC Avant Garde" w:eastAsiaTheme="majorEastAsia" w:hAnsi="ITC Avant Garde" w:cstheme="majorBidi"/>
          <w:bCs/>
          <w:sz w:val="18"/>
          <w:szCs w:val="18"/>
          <w:lang w:val="es-ES_tradnl"/>
        </w:rPr>
        <w:t xml:space="preserve">en la versión final del modelo </w:t>
      </w:r>
      <w:r w:rsidR="008B052E">
        <w:rPr>
          <w:rFonts w:ascii="ITC Avant Garde" w:eastAsiaTheme="majorEastAsia" w:hAnsi="ITC Avant Garde" w:cstheme="majorBidi"/>
          <w:bCs/>
          <w:sz w:val="18"/>
          <w:szCs w:val="18"/>
          <w:lang w:val="es-ES_tradnl"/>
        </w:rPr>
        <w:t>deben ser</w:t>
      </w:r>
      <w:r>
        <w:rPr>
          <w:rFonts w:ascii="ITC Avant Garde" w:eastAsiaTheme="majorEastAsia" w:hAnsi="ITC Avant Garde" w:cstheme="majorBidi"/>
          <w:bCs/>
          <w:sz w:val="18"/>
          <w:szCs w:val="18"/>
          <w:lang w:val="es-ES_tradnl"/>
        </w:rPr>
        <w:t xml:space="preserve"> representativos de la de</w:t>
      </w:r>
      <w:r w:rsidRPr="00333B44">
        <w:rPr>
          <w:rFonts w:ascii="ITC Avant Garde" w:eastAsiaTheme="majorEastAsia" w:hAnsi="ITC Avant Garde" w:cstheme="majorBidi"/>
          <w:bCs/>
          <w:color w:val="000000" w:themeColor="text1"/>
          <w:sz w:val="18"/>
          <w:szCs w:val="18"/>
          <w:lang w:val="es-ES_tradnl"/>
        </w:rPr>
        <w:t xml:space="preserve"> </w:t>
      </w:r>
      <w:r>
        <w:rPr>
          <w:rFonts w:ascii="ITC Avant Garde" w:eastAsiaTheme="majorEastAsia" w:hAnsi="ITC Avant Garde" w:cstheme="majorBidi"/>
          <w:bCs/>
          <w:color w:val="000000" w:themeColor="text1"/>
          <w:sz w:val="18"/>
          <w:szCs w:val="18"/>
          <w:lang w:val="es-ES_tradnl"/>
        </w:rPr>
        <w:t>demanda de servicios de acceso y uso compartido de torre</w:t>
      </w:r>
      <w:r w:rsidRPr="00F42197">
        <w:rPr>
          <w:rFonts w:ascii="ITC Avant Garde" w:eastAsiaTheme="majorEastAsia" w:hAnsi="ITC Avant Garde" w:cstheme="majorBidi"/>
          <w:bCs/>
          <w:color w:val="000000" w:themeColor="text1"/>
          <w:sz w:val="18"/>
          <w:szCs w:val="18"/>
          <w:lang w:val="es-ES_tradnl"/>
        </w:rPr>
        <w:t xml:space="preserve"> (en términos de Espacio en Torre y Espacio en Piso)</w:t>
      </w:r>
      <w:r>
        <w:rPr>
          <w:rFonts w:ascii="ITC Avant Garde" w:eastAsiaTheme="majorEastAsia" w:hAnsi="ITC Avant Garde" w:cstheme="majorBidi"/>
          <w:bCs/>
          <w:color w:val="000000" w:themeColor="text1"/>
          <w:sz w:val="18"/>
          <w:szCs w:val="18"/>
          <w:lang w:val="es-ES_tradnl"/>
        </w:rPr>
        <w:t>, por lo que no considera necesario incluir un parámetro adicional relacionado con “</w:t>
      </w:r>
      <w:r w:rsidRPr="00766053">
        <w:rPr>
          <w:rFonts w:ascii="ITC Avant Garde" w:hAnsi="ITC Avant Garde"/>
          <w:sz w:val="18"/>
          <w:szCs w:val="18"/>
          <w:lang w:val="es-ES_tradnl"/>
        </w:rPr>
        <w:t>grado de demanda o densidad de usuarios</w:t>
      </w:r>
      <w:r>
        <w:rPr>
          <w:rFonts w:ascii="ITC Avant Garde" w:hAnsi="ITC Avant Garde"/>
          <w:sz w:val="18"/>
          <w:szCs w:val="18"/>
          <w:lang w:val="es-ES_tradnl"/>
        </w:rPr>
        <w:t>”.</w:t>
      </w:r>
    </w:p>
    <w:p w14:paraId="43892F0D" w14:textId="77777777" w:rsidR="00185B74" w:rsidRPr="00766053" w:rsidRDefault="00185B74" w:rsidP="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6</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¿Tiene algún comentario relativo a las características y variables que el usuario puede definir en el modelo?</w:t>
      </w:r>
    </w:p>
    <w:p w14:paraId="43892F0E" w14:textId="77777777" w:rsidR="00CE316D" w:rsidRPr="00766053" w:rsidRDefault="00CE316D" w:rsidP="00CE316D">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0F" w14:textId="77777777" w:rsidR="003739DA" w:rsidRPr="00766053" w:rsidRDefault="00F25C09" w:rsidP="00AE4C00">
      <w:pPr>
        <w:rPr>
          <w:rFonts w:ascii="ITC Avant Garde" w:hAnsi="ITC Avant Garde"/>
          <w:sz w:val="18"/>
          <w:szCs w:val="18"/>
          <w:lang w:val="es-ES_tradnl"/>
        </w:rPr>
      </w:pPr>
      <w:r>
        <w:rPr>
          <w:rFonts w:ascii="ITC Avant Garde" w:hAnsi="ITC Avant Garde"/>
          <w:sz w:val="18"/>
          <w:szCs w:val="18"/>
          <w:lang w:val="es-ES_tradnl"/>
        </w:rPr>
        <w:t>Al respecto, u</w:t>
      </w:r>
      <w:r w:rsidR="00185B74" w:rsidRPr="00766053">
        <w:rPr>
          <w:rFonts w:ascii="ITC Avant Garde" w:hAnsi="ITC Avant Garde"/>
          <w:sz w:val="18"/>
          <w:szCs w:val="18"/>
          <w:lang w:val="es-ES_tradnl"/>
        </w:rPr>
        <w:t xml:space="preserve">n </w:t>
      </w:r>
      <w:r w:rsidR="00D65C64"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[Lester García] considera </w:t>
      </w:r>
      <w:r w:rsidR="000A7310">
        <w:rPr>
          <w:rFonts w:ascii="ITC Avant Garde" w:hAnsi="ITC Avant Garde"/>
          <w:sz w:val="18"/>
          <w:szCs w:val="18"/>
          <w:lang w:val="es-ES_tradnl"/>
        </w:rPr>
        <w:t>no es claro quién será el usuario del modelo por lo cual existe</w:t>
      </w:r>
      <w:r w:rsidR="00185B74" w:rsidRPr="00766053">
        <w:rPr>
          <w:rFonts w:ascii="ITC Avant Garde" w:hAnsi="ITC Avant Garde"/>
          <w:sz w:val="18"/>
          <w:szCs w:val="18"/>
          <w:lang w:val="es-ES_tradnl"/>
        </w:rPr>
        <w:t xml:space="preserve"> incertidumbre sobre la forma en la que el regulador fijará las mismas. Otro </w:t>
      </w:r>
      <w:r w:rsidR="00FF663D" w:rsidRPr="00766053">
        <w:rPr>
          <w:rFonts w:ascii="ITC Avant Garde" w:hAnsi="ITC Avant Garde"/>
          <w:sz w:val="18"/>
          <w:szCs w:val="18"/>
          <w:lang w:val="es-ES_tradnl"/>
        </w:rPr>
        <w:t>participante de la consulta</w:t>
      </w:r>
      <w:r w:rsidR="00185B74" w:rsidRPr="00766053">
        <w:rPr>
          <w:rFonts w:ascii="ITC Avant Garde" w:hAnsi="ITC Avant Garde"/>
          <w:sz w:val="18"/>
          <w:szCs w:val="18"/>
          <w:lang w:val="es-ES_tradnl"/>
        </w:rPr>
        <w:t xml:space="preserve"> [MATC] comparte este </w:t>
      </w:r>
      <w:r w:rsidR="00C33070" w:rsidRPr="00766053">
        <w:rPr>
          <w:rFonts w:ascii="ITC Avant Garde" w:hAnsi="ITC Avant Garde"/>
          <w:sz w:val="18"/>
          <w:szCs w:val="18"/>
          <w:lang w:val="es-ES_tradnl"/>
        </w:rPr>
        <w:t xml:space="preserve">punto de vista </w:t>
      </w:r>
      <w:r w:rsidR="00185B74" w:rsidRPr="00766053">
        <w:rPr>
          <w:rFonts w:ascii="ITC Avant Garde" w:hAnsi="ITC Avant Garde"/>
          <w:sz w:val="18"/>
          <w:szCs w:val="18"/>
          <w:lang w:val="es-ES_tradnl"/>
        </w:rPr>
        <w:t>y afirma que los costos de transacción para validar todas las variables resulta</w:t>
      </w:r>
      <w:r w:rsidR="00155A62" w:rsidRPr="00766053">
        <w:rPr>
          <w:rFonts w:ascii="ITC Avant Garde" w:hAnsi="ITC Avant Garde"/>
          <w:sz w:val="18"/>
          <w:szCs w:val="18"/>
          <w:lang w:val="es-ES_tradnl"/>
        </w:rPr>
        <w:t>n</w:t>
      </w:r>
      <w:r w:rsidR="00185B74" w:rsidRPr="00766053">
        <w:rPr>
          <w:rFonts w:ascii="ITC Avant Garde" w:hAnsi="ITC Avant Garde"/>
          <w:sz w:val="18"/>
          <w:szCs w:val="18"/>
          <w:lang w:val="es-ES_tradnl"/>
        </w:rPr>
        <w:t xml:space="preserve"> elevado</w:t>
      </w:r>
      <w:r w:rsidR="00155A62" w:rsidRPr="00766053">
        <w:rPr>
          <w:rFonts w:ascii="ITC Avant Garde" w:hAnsi="ITC Avant Garde"/>
          <w:sz w:val="18"/>
          <w:szCs w:val="18"/>
          <w:lang w:val="es-ES_tradnl"/>
        </w:rPr>
        <w:t>s</w:t>
      </w:r>
      <w:r w:rsidR="00185B74" w:rsidRPr="00766053">
        <w:rPr>
          <w:rFonts w:ascii="ITC Avant Garde" w:hAnsi="ITC Avant Garde"/>
          <w:sz w:val="18"/>
          <w:szCs w:val="18"/>
          <w:lang w:val="es-ES_tradnl"/>
        </w:rPr>
        <w:t>.</w:t>
      </w:r>
      <w:r w:rsidR="003B4D43" w:rsidRPr="00766053">
        <w:rPr>
          <w:rFonts w:ascii="ITC Avant Garde" w:hAnsi="ITC Avant Garde"/>
          <w:sz w:val="18"/>
          <w:szCs w:val="18"/>
          <w:lang w:val="es-ES_tradnl"/>
        </w:rPr>
        <w:t xml:space="preserve"> </w:t>
      </w:r>
    </w:p>
    <w:p w14:paraId="43892F10" w14:textId="77777777" w:rsidR="00D51A1A" w:rsidRPr="00766053" w:rsidRDefault="008B4EB0" w:rsidP="00203113">
      <w:pPr>
        <w:rPr>
          <w:rFonts w:ascii="ITC Avant Garde" w:hAnsi="ITC Avant Garde"/>
          <w:sz w:val="18"/>
          <w:szCs w:val="18"/>
          <w:lang w:val="es-ES_tradnl"/>
        </w:rPr>
      </w:pPr>
      <w:r>
        <w:rPr>
          <w:rFonts w:ascii="ITC Avant Garde" w:hAnsi="ITC Avant Garde"/>
          <w:sz w:val="18"/>
          <w:szCs w:val="18"/>
          <w:lang w:val="es-ES_tradnl"/>
        </w:rPr>
        <w:t>Asimismo, o</w:t>
      </w:r>
      <w:r w:rsidR="00185B74" w:rsidRPr="00766053">
        <w:rPr>
          <w:rFonts w:ascii="ITC Avant Garde" w:hAnsi="ITC Avant Garde"/>
          <w:sz w:val="18"/>
          <w:szCs w:val="18"/>
          <w:lang w:val="es-ES_tradnl"/>
        </w:rPr>
        <w:t xml:space="preserve">tro </w:t>
      </w:r>
      <w:r w:rsidR="00155A62" w:rsidRPr="00766053">
        <w:rPr>
          <w:rFonts w:ascii="ITC Avant Garde" w:hAnsi="ITC Avant Garde"/>
          <w:sz w:val="18"/>
          <w:szCs w:val="18"/>
          <w:lang w:val="es-ES_tradnl"/>
        </w:rPr>
        <w:t xml:space="preserve">de los </w:t>
      </w:r>
      <w:r w:rsidR="00FF663D" w:rsidRPr="00766053">
        <w:rPr>
          <w:rFonts w:ascii="ITC Avant Garde" w:hAnsi="ITC Avant Garde"/>
          <w:sz w:val="18"/>
          <w:szCs w:val="18"/>
          <w:lang w:val="es-ES_tradnl"/>
        </w:rPr>
        <w:t>participante</w:t>
      </w:r>
      <w:r>
        <w:rPr>
          <w:rFonts w:ascii="ITC Avant Garde" w:hAnsi="ITC Avant Garde"/>
          <w:sz w:val="18"/>
          <w:szCs w:val="18"/>
          <w:lang w:val="es-ES_tradnl"/>
        </w:rPr>
        <w:t>s</w:t>
      </w:r>
      <w:r w:rsidR="00FF663D" w:rsidRPr="00766053">
        <w:rPr>
          <w:rFonts w:ascii="ITC Avant Garde" w:hAnsi="ITC Avant Garde"/>
          <w:sz w:val="18"/>
          <w:szCs w:val="18"/>
          <w:lang w:val="es-ES_tradnl"/>
        </w:rPr>
        <w:t xml:space="preserve"> </w:t>
      </w:r>
      <w:r>
        <w:rPr>
          <w:rFonts w:ascii="ITC Avant Garde" w:hAnsi="ITC Avant Garde"/>
          <w:sz w:val="18"/>
          <w:szCs w:val="18"/>
          <w:lang w:val="es-ES_tradnl"/>
        </w:rPr>
        <w:t>[Televisa] expresa</w:t>
      </w:r>
      <w:r w:rsidR="00185B74" w:rsidRPr="00766053">
        <w:rPr>
          <w:rFonts w:ascii="ITC Avant Garde" w:hAnsi="ITC Avant Garde"/>
          <w:sz w:val="18"/>
          <w:szCs w:val="18"/>
          <w:lang w:val="es-ES_tradnl"/>
        </w:rPr>
        <w:t xml:space="preserve"> que el proceso para definir las características técnicas del sitio requiere bastante trabajo previo y conlleva la recopilación de muchos detalles técnicos sobre los sitios demandados en caso de presentarse un desacuerdo ante el </w:t>
      </w:r>
      <w:r w:rsidR="00E6509B">
        <w:rPr>
          <w:rFonts w:ascii="ITC Avant Garde" w:hAnsi="ITC Avant Garde"/>
          <w:sz w:val="18"/>
          <w:szCs w:val="18"/>
          <w:lang w:val="es-ES_tradnl"/>
        </w:rPr>
        <w:t>Instituto</w:t>
      </w:r>
      <w:r w:rsidR="00185B74" w:rsidRPr="00766053">
        <w:rPr>
          <w:rFonts w:ascii="ITC Avant Garde" w:hAnsi="ITC Avant Garde"/>
          <w:sz w:val="18"/>
          <w:szCs w:val="18"/>
          <w:lang w:val="es-ES_tradnl"/>
        </w:rPr>
        <w:t>.</w:t>
      </w:r>
    </w:p>
    <w:p w14:paraId="43892F11" w14:textId="77777777" w:rsidR="00185B74" w:rsidRPr="00766053" w:rsidRDefault="00155A62" w:rsidP="00203113">
      <w:pPr>
        <w:rPr>
          <w:rFonts w:ascii="ITC Avant Garde" w:hAnsi="ITC Avant Garde"/>
          <w:sz w:val="18"/>
          <w:szCs w:val="18"/>
          <w:lang w:val="es-ES_tradnl"/>
        </w:rPr>
      </w:pPr>
      <w:r w:rsidRPr="00766053">
        <w:rPr>
          <w:rFonts w:ascii="ITC Avant Garde" w:hAnsi="ITC Avant Garde"/>
          <w:sz w:val="18"/>
          <w:szCs w:val="18"/>
          <w:lang w:val="es-ES_tradnl"/>
        </w:rPr>
        <w:t xml:space="preserve">En </w:t>
      </w:r>
      <w:r w:rsidR="008B4EB0">
        <w:rPr>
          <w:rFonts w:ascii="ITC Avant Garde" w:hAnsi="ITC Avant Garde"/>
          <w:sz w:val="18"/>
          <w:szCs w:val="18"/>
          <w:lang w:val="es-ES_tradnl"/>
        </w:rPr>
        <w:t xml:space="preserve">complemento, uno de los participantes </w:t>
      </w:r>
      <w:r w:rsidR="008B4EB0" w:rsidRPr="00766053">
        <w:rPr>
          <w:rFonts w:ascii="ITC Avant Garde" w:hAnsi="ITC Avant Garde"/>
          <w:sz w:val="18"/>
          <w:szCs w:val="18"/>
          <w:lang w:val="es-ES_tradnl"/>
        </w:rPr>
        <w:t xml:space="preserve">[Telefónica] </w:t>
      </w:r>
      <w:r w:rsidR="008B4EB0">
        <w:rPr>
          <w:rFonts w:ascii="ITC Avant Garde" w:hAnsi="ITC Avant Garde"/>
          <w:sz w:val="18"/>
          <w:szCs w:val="18"/>
          <w:lang w:val="es-ES_tradnl"/>
        </w:rPr>
        <w:t xml:space="preserve">señala, con </w:t>
      </w:r>
      <w:r w:rsidRPr="00766053">
        <w:rPr>
          <w:rFonts w:ascii="ITC Avant Garde" w:hAnsi="ITC Avant Garde"/>
          <w:sz w:val="18"/>
          <w:szCs w:val="18"/>
          <w:lang w:val="es-ES_tradnl"/>
        </w:rPr>
        <w:t xml:space="preserve">relación </w:t>
      </w:r>
      <w:r w:rsidR="008B4EB0">
        <w:rPr>
          <w:rFonts w:ascii="ITC Avant Garde" w:hAnsi="ITC Avant Garde"/>
          <w:sz w:val="18"/>
          <w:szCs w:val="18"/>
          <w:lang w:val="es-ES_tradnl"/>
        </w:rPr>
        <w:t>a</w:t>
      </w:r>
      <w:r w:rsidRPr="00766053">
        <w:rPr>
          <w:rFonts w:ascii="ITC Avant Garde" w:hAnsi="ITC Avant Garde"/>
          <w:sz w:val="18"/>
          <w:szCs w:val="18"/>
          <w:lang w:val="es-ES_tradnl"/>
        </w:rPr>
        <w:t xml:space="preserve"> los rangos de cargas de viento, que estos son muy amplios y que el modelo se inicia con un valor muy alto. </w:t>
      </w:r>
    </w:p>
    <w:p w14:paraId="43892F12" w14:textId="77777777" w:rsidR="00155A62" w:rsidRPr="00766053" w:rsidRDefault="003A2103" w:rsidP="00203113">
      <w:pPr>
        <w:rPr>
          <w:rFonts w:ascii="ITC Avant Garde" w:hAnsi="ITC Avant Garde"/>
          <w:sz w:val="18"/>
          <w:szCs w:val="18"/>
          <w:lang w:val="es-ES_tradnl"/>
        </w:rPr>
      </w:pPr>
      <w:r>
        <w:rPr>
          <w:rFonts w:ascii="ITC Avant Garde" w:hAnsi="ITC Avant Garde"/>
          <w:sz w:val="18"/>
          <w:szCs w:val="18"/>
          <w:lang w:val="es-ES_tradnl"/>
        </w:rPr>
        <w:lastRenderedPageBreak/>
        <w:t>Adicionalmente, ciertos</w:t>
      </w:r>
      <w:r w:rsidR="00185B74" w:rsidRPr="00766053">
        <w:rPr>
          <w:rFonts w:ascii="ITC Avant Garde" w:hAnsi="ITC Avant Garde"/>
          <w:sz w:val="18"/>
          <w:szCs w:val="18"/>
          <w:lang w:val="es-ES_tradnl"/>
        </w:rPr>
        <w:t xml:space="preserve"> </w:t>
      </w:r>
      <w:r w:rsidR="00FF663D" w:rsidRPr="00766053">
        <w:rPr>
          <w:rFonts w:ascii="ITC Avant Garde" w:hAnsi="ITC Avant Garde"/>
          <w:sz w:val="18"/>
          <w:szCs w:val="18"/>
          <w:lang w:val="es-ES_tradnl"/>
        </w:rPr>
        <w:t xml:space="preserve">participantes </w:t>
      </w:r>
      <w:r w:rsidR="00185B74" w:rsidRPr="00766053">
        <w:rPr>
          <w:rFonts w:ascii="ITC Avant Garde" w:hAnsi="ITC Avant Garde"/>
          <w:sz w:val="18"/>
          <w:szCs w:val="18"/>
          <w:lang w:val="es-ES_tradnl"/>
        </w:rPr>
        <w:t xml:space="preserve">[AT&amp;T y MATC] mencionan que no queda claro cómo se debe usar el modelo </w:t>
      </w:r>
      <w:r w:rsidR="00155A62" w:rsidRPr="00766053">
        <w:rPr>
          <w:rFonts w:ascii="ITC Avant Garde" w:hAnsi="ITC Avant Garde"/>
          <w:sz w:val="18"/>
          <w:szCs w:val="18"/>
          <w:lang w:val="es-ES_tradnl"/>
        </w:rPr>
        <w:t>en caso de tener que</w:t>
      </w:r>
      <w:r w:rsidR="00185B74" w:rsidRPr="00766053">
        <w:rPr>
          <w:rFonts w:ascii="ITC Avant Garde" w:hAnsi="ITC Avant Garde"/>
          <w:sz w:val="18"/>
          <w:szCs w:val="18"/>
          <w:lang w:val="es-ES_tradnl"/>
        </w:rPr>
        <w:t xml:space="preserve"> reforzar </w:t>
      </w:r>
      <w:r w:rsidR="00155A62" w:rsidRPr="00766053">
        <w:rPr>
          <w:rFonts w:ascii="ITC Avant Garde" w:hAnsi="ITC Avant Garde"/>
          <w:sz w:val="18"/>
          <w:szCs w:val="18"/>
          <w:lang w:val="es-ES_tradnl"/>
        </w:rPr>
        <w:t>o</w:t>
      </w:r>
      <w:r w:rsidR="00185B74" w:rsidRPr="00766053">
        <w:rPr>
          <w:rFonts w:ascii="ITC Avant Garde" w:hAnsi="ITC Avant Garde"/>
          <w:sz w:val="18"/>
          <w:szCs w:val="18"/>
          <w:lang w:val="es-ES_tradnl"/>
        </w:rPr>
        <w:t xml:space="preserve"> aumentar</w:t>
      </w:r>
      <w:r w:rsidR="00155A62" w:rsidRPr="00766053">
        <w:rPr>
          <w:rFonts w:ascii="ITC Avant Garde" w:hAnsi="ITC Avant Garde"/>
          <w:sz w:val="18"/>
          <w:szCs w:val="18"/>
          <w:lang w:val="es-ES_tradnl"/>
        </w:rPr>
        <w:t xml:space="preserve"> torres</w:t>
      </w:r>
      <w:r w:rsidR="00185B74" w:rsidRPr="00766053">
        <w:rPr>
          <w:rFonts w:ascii="ITC Avant Garde" w:hAnsi="ITC Avant Garde"/>
          <w:sz w:val="18"/>
          <w:szCs w:val="18"/>
          <w:lang w:val="es-ES_tradnl"/>
        </w:rPr>
        <w:t xml:space="preserve">. Para reforzarla sería necesario variar la resistencia al viento y, en caso de necesitar un aumento de tamaño, habría que considerar otra torre. </w:t>
      </w:r>
    </w:p>
    <w:p w14:paraId="43892F13" w14:textId="77777777" w:rsidR="00185B74" w:rsidRPr="00766053" w:rsidRDefault="00185B74" w:rsidP="00203113">
      <w:pPr>
        <w:rPr>
          <w:rFonts w:ascii="ITC Avant Garde" w:hAnsi="ITC Avant Garde"/>
          <w:sz w:val="18"/>
          <w:szCs w:val="18"/>
          <w:lang w:val="es-ES_tradnl"/>
        </w:rPr>
      </w:pPr>
      <w:r w:rsidRPr="00766053">
        <w:rPr>
          <w:rFonts w:ascii="ITC Avant Garde" w:hAnsi="ITC Avant Garde"/>
          <w:sz w:val="18"/>
          <w:szCs w:val="18"/>
          <w:lang w:val="es-ES_tradnl"/>
        </w:rPr>
        <w:t xml:space="preserve">Por </w:t>
      </w:r>
      <w:r w:rsidR="00155A62" w:rsidRPr="00766053">
        <w:rPr>
          <w:rFonts w:ascii="ITC Avant Garde" w:hAnsi="ITC Avant Garde"/>
          <w:sz w:val="18"/>
          <w:szCs w:val="18"/>
          <w:lang w:val="es-ES_tradnl"/>
        </w:rPr>
        <w:t>último</w:t>
      </w:r>
      <w:r w:rsidRPr="00766053">
        <w:rPr>
          <w:rFonts w:ascii="ITC Avant Garde" w:hAnsi="ITC Avant Garde"/>
          <w:sz w:val="18"/>
          <w:szCs w:val="18"/>
          <w:lang w:val="es-ES_tradnl"/>
        </w:rPr>
        <w:t xml:space="preserve">, </w:t>
      </w:r>
      <w:r w:rsidR="00A748F3" w:rsidRPr="00766053">
        <w:rPr>
          <w:rFonts w:ascii="ITC Avant Garde" w:hAnsi="ITC Avant Garde"/>
          <w:sz w:val="18"/>
          <w:szCs w:val="18"/>
          <w:lang w:val="es-ES_tradnl"/>
        </w:rPr>
        <w:t>un</w:t>
      </w:r>
      <w:r w:rsidRPr="00766053">
        <w:rPr>
          <w:rFonts w:ascii="ITC Avant Garde" w:hAnsi="ITC Avant Garde"/>
          <w:sz w:val="18"/>
          <w:szCs w:val="18"/>
          <w:lang w:val="es-ES_tradnl"/>
        </w:rPr>
        <w:t xml:space="preserve"> </w:t>
      </w:r>
      <w:r w:rsidR="00FF663D" w:rsidRPr="00766053">
        <w:rPr>
          <w:rFonts w:ascii="ITC Avant Garde" w:hAnsi="ITC Avant Garde"/>
          <w:sz w:val="18"/>
          <w:szCs w:val="18"/>
          <w:lang w:val="es-ES_tradnl"/>
        </w:rPr>
        <w:t xml:space="preserve">participante </w:t>
      </w:r>
      <w:r w:rsidRPr="00766053">
        <w:rPr>
          <w:rFonts w:ascii="ITC Avant Garde" w:hAnsi="ITC Avant Garde"/>
          <w:sz w:val="18"/>
          <w:szCs w:val="18"/>
          <w:lang w:val="es-ES_tradnl"/>
        </w:rPr>
        <w:t xml:space="preserve">[Televisa] afirma que para que los CS que están en posiciones menos favorables reciban descuentos, sería necesario una tarifa más robusta que tenga en cuenta una variable que indique la posición de los inquilinos en la torre. </w:t>
      </w:r>
    </w:p>
    <w:p w14:paraId="43892F14" w14:textId="77777777" w:rsidR="001F5B60" w:rsidRPr="001F5B60" w:rsidRDefault="001F5B60" w:rsidP="001F5B6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15" w14:textId="1DB91C44" w:rsidR="0089019F" w:rsidRDefault="0089019F" w:rsidP="0089019F">
      <w:pPr>
        <w:pStyle w:val="Listaconvietas"/>
        <w:numPr>
          <w:ilvl w:val="0"/>
          <w:numId w:val="0"/>
        </w:numPr>
        <w:rPr>
          <w:rFonts w:ascii="ITC Avant Garde" w:eastAsiaTheme="majorEastAsia" w:hAnsi="ITC Avant Garde" w:cstheme="majorBidi"/>
          <w:bCs/>
          <w:color w:val="000000" w:themeColor="text1"/>
          <w:sz w:val="18"/>
          <w:szCs w:val="18"/>
          <w:lang w:val="es-ES_tradnl"/>
        </w:rPr>
      </w:pPr>
      <w:r>
        <w:rPr>
          <w:rFonts w:ascii="ITC Avant Garde" w:eastAsiaTheme="majorEastAsia" w:hAnsi="ITC Avant Garde" w:cstheme="majorBidi"/>
          <w:bCs/>
          <w:color w:val="000000" w:themeColor="text1"/>
          <w:sz w:val="18"/>
          <w:szCs w:val="18"/>
          <w:lang w:val="es-ES_tradnl"/>
        </w:rPr>
        <w:t>En lo tocante a quien</w:t>
      </w:r>
      <w:r w:rsidRPr="00153EA3">
        <w:rPr>
          <w:rFonts w:ascii="ITC Avant Garde" w:eastAsiaTheme="majorEastAsia" w:hAnsi="ITC Avant Garde" w:cstheme="majorBidi"/>
          <w:bCs/>
          <w:color w:val="000000" w:themeColor="text1"/>
          <w:sz w:val="18"/>
          <w:szCs w:val="18"/>
          <w:lang w:val="es-ES_tradnl"/>
        </w:rPr>
        <w:t xml:space="preserve"> será el usuario del modelo, </w:t>
      </w:r>
      <w:r>
        <w:rPr>
          <w:rFonts w:ascii="ITC Avant Garde" w:eastAsiaTheme="majorEastAsia" w:hAnsi="ITC Avant Garde" w:cstheme="majorBidi"/>
          <w:bCs/>
          <w:color w:val="000000" w:themeColor="text1"/>
          <w:sz w:val="18"/>
          <w:szCs w:val="18"/>
          <w:lang w:val="es-ES_tradnl"/>
        </w:rPr>
        <w:t>se reitera</w:t>
      </w:r>
      <w:r w:rsidRPr="00153EA3">
        <w:rPr>
          <w:rFonts w:ascii="ITC Avant Garde" w:eastAsiaTheme="majorEastAsia" w:hAnsi="ITC Avant Garde" w:cstheme="majorBidi"/>
          <w:bCs/>
          <w:color w:val="000000" w:themeColor="text1"/>
          <w:sz w:val="18"/>
          <w:szCs w:val="18"/>
          <w:lang w:val="es-ES_tradnl"/>
        </w:rPr>
        <w:t xml:space="preserve"> que conforme al artículo 15, fracción I de la </w:t>
      </w:r>
      <w:r>
        <w:rPr>
          <w:rFonts w:ascii="ITC Avant Garde" w:eastAsiaTheme="majorEastAsia" w:hAnsi="ITC Avant Garde" w:cstheme="majorBidi"/>
          <w:bCs/>
          <w:color w:val="000000" w:themeColor="text1"/>
          <w:sz w:val="18"/>
          <w:szCs w:val="18"/>
          <w:lang w:val="es-ES_tradnl"/>
        </w:rPr>
        <w:t>LFTyR</w:t>
      </w:r>
      <w:r w:rsidRPr="00153EA3">
        <w:rPr>
          <w:rFonts w:ascii="ITC Avant Garde" w:eastAsiaTheme="majorEastAsia" w:hAnsi="ITC Avant Garde" w:cstheme="majorBidi"/>
          <w:bCs/>
          <w:color w:val="000000" w:themeColor="text1"/>
          <w:sz w:val="18"/>
          <w:szCs w:val="18"/>
          <w:lang w:val="es-ES_tradnl"/>
        </w:rPr>
        <w:t xml:space="preserve">, el Instituto posee la facultad </w:t>
      </w:r>
      <w:r w:rsidR="00E81F1F">
        <w:rPr>
          <w:rFonts w:ascii="ITC Avant Garde" w:eastAsiaTheme="majorEastAsia" w:hAnsi="ITC Avant Garde" w:cstheme="majorBidi"/>
          <w:bCs/>
          <w:color w:val="000000" w:themeColor="text1"/>
          <w:sz w:val="18"/>
          <w:szCs w:val="18"/>
          <w:lang w:val="es-ES_tradnl"/>
        </w:rPr>
        <w:t xml:space="preserve">para </w:t>
      </w:r>
      <w:r w:rsidRPr="00153EA3">
        <w:rPr>
          <w:rFonts w:ascii="ITC Avant Garde" w:eastAsiaTheme="majorEastAsia" w:hAnsi="ITC Avant Garde" w:cstheme="majorBidi"/>
          <w:bCs/>
          <w:color w:val="000000" w:themeColor="text1"/>
          <w:sz w:val="18"/>
          <w:szCs w:val="18"/>
          <w:lang w:val="es-ES_tradnl"/>
        </w:rPr>
        <w:t xml:space="preserve">expedir modelos de costos, y que de ello se desprende en particular, que el Instituto tiene la atribución de determinar los parámetros que se involucran en el referido modelo de costos y </w:t>
      </w:r>
      <w:r w:rsidR="00E81F1F" w:rsidRPr="00153EA3">
        <w:rPr>
          <w:rFonts w:ascii="ITC Avant Garde" w:eastAsiaTheme="majorEastAsia" w:hAnsi="ITC Avant Garde" w:cstheme="majorBidi"/>
          <w:bCs/>
          <w:color w:val="000000" w:themeColor="text1"/>
          <w:sz w:val="18"/>
          <w:szCs w:val="18"/>
          <w:lang w:val="es-ES_tradnl"/>
        </w:rPr>
        <w:t>establecer</w:t>
      </w:r>
      <w:r w:rsidRPr="00153EA3">
        <w:rPr>
          <w:rFonts w:ascii="ITC Avant Garde" w:eastAsiaTheme="majorEastAsia" w:hAnsi="ITC Avant Garde" w:cstheme="majorBidi"/>
          <w:bCs/>
          <w:color w:val="000000" w:themeColor="text1"/>
          <w:sz w:val="18"/>
          <w:szCs w:val="18"/>
          <w:lang w:val="es-ES_tradnl"/>
        </w:rPr>
        <w:t xml:space="preserve"> las tarifas aplicables a los servicios.</w:t>
      </w:r>
      <w:r>
        <w:rPr>
          <w:rFonts w:ascii="ITC Avant Garde" w:eastAsiaTheme="majorEastAsia" w:hAnsi="ITC Avant Garde" w:cstheme="majorBidi"/>
          <w:bCs/>
          <w:color w:val="000000" w:themeColor="text1"/>
          <w:sz w:val="18"/>
          <w:szCs w:val="18"/>
          <w:lang w:val="es-ES_tradnl"/>
        </w:rPr>
        <w:t xml:space="preserve"> </w:t>
      </w:r>
    </w:p>
    <w:p w14:paraId="43892F16" w14:textId="3BD24B4C" w:rsidR="0089019F" w:rsidRDefault="0089019F" w:rsidP="0089019F">
      <w:pPr>
        <w:pStyle w:val="Listaconvietas"/>
        <w:numPr>
          <w:ilvl w:val="0"/>
          <w:numId w:val="0"/>
        </w:numPr>
        <w:rPr>
          <w:rFonts w:ascii="ITC Avant Garde" w:hAnsi="ITC Avant Garde"/>
          <w:color w:val="000000" w:themeColor="text1"/>
          <w:sz w:val="18"/>
          <w:szCs w:val="18"/>
          <w:lang w:val="es-ES_tradnl"/>
        </w:rPr>
      </w:pPr>
      <w:r>
        <w:rPr>
          <w:rFonts w:ascii="ITC Avant Garde" w:hAnsi="ITC Avant Garde"/>
          <w:sz w:val="18"/>
          <w:szCs w:val="18"/>
          <w:lang w:val="es-ES_tradnl"/>
        </w:rPr>
        <w:t>Por otra parte, el Instituto señala</w:t>
      </w:r>
      <w:r w:rsidRPr="00F42197">
        <w:rPr>
          <w:rFonts w:ascii="ITC Avant Garde" w:hAnsi="ITC Avant Garde"/>
          <w:sz w:val="18"/>
          <w:szCs w:val="18"/>
          <w:lang w:val="es-ES_tradnl"/>
        </w:rPr>
        <w:t xml:space="preserve"> que </w:t>
      </w:r>
      <w:r w:rsidRPr="00F42197">
        <w:rPr>
          <w:rFonts w:ascii="ITC Avant Garde" w:eastAsiaTheme="majorEastAsia" w:hAnsi="ITC Avant Garde" w:cstheme="majorBidi"/>
          <w:bCs/>
          <w:color w:val="000000" w:themeColor="text1"/>
          <w:sz w:val="18"/>
          <w:szCs w:val="18"/>
          <w:lang w:val="es-ES_tradnl"/>
        </w:rPr>
        <w:t xml:space="preserve">la versión final del modelo </w:t>
      </w:r>
      <w:r w:rsidR="00E81F1F">
        <w:rPr>
          <w:rFonts w:ascii="ITC Avant Garde" w:eastAsiaTheme="majorEastAsia" w:hAnsi="ITC Avant Garde" w:cstheme="majorBidi"/>
          <w:bCs/>
          <w:color w:val="000000" w:themeColor="text1"/>
          <w:sz w:val="18"/>
          <w:szCs w:val="18"/>
          <w:lang w:val="es-ES_tradnl"/>
        </w:rPr>
        <w:t xml:space="preserve">se </w:t>
      </w:r>
      <w:r w:rsidRPr="00F42197">
        <w:rPr>
          <w:rFonts w:ascii="ITC Avant Garde" w:eastAsiaTheme="majorEastAsia" w:hAnsi="ITC Avant Garde" w:cstheme="majorBidi"/>
          <w:bCs/>
          <w:color w:val="000000" w:themeColor="text1"/>
          <w:sz w:val="18"/>
          <w:szCs w:val="18"/>
          <w:lang w:val="es-ES_tradnl"/>
        </w:rPr>
        <w:t>considera</w:t>
      </w:r>
      <w:r w:rsidR="00E81F1F">
        <w:rPr>
          <w:rFonts w:ascii="ITC Avant Garde" w:eastAsiaTheme="majorEastAsia" w:hAnsi="ITC Avant Garde" w:cstheme="majorBidi"/>
          <w:bCs/>
          <w:color w:val="000000" w:themeColor="text1"/>
          <w:sz w:val="18"/>
          <w:szCs w:val="18"/>
          <w:lang w:val="es-ES_tradnl"/>
        </w:rPr>
        <w:t>rá</w:t>
      </w:r>
      <w:r w:rsidRPr="00F42197">
        <w:rPr>
          <w:rFonts w:ascii="ITC Avant Garde" w:eastAsiaTheme="majorEastAsia" w:hAnsi="ITC Avant Garde" w:cstheme="majorBidi"/>
          <w:bCs/>
          <w:color w:val="000000" w:themeColor="text1"/>
          <w:sz w:val="18"/>
          <w:szCs w:val="18"/>
          <w:lang w:val="es-ES_tradnl"/>
        </w:rPr>
        <w:t xml:space="preserve"> información de la totalidad de sitios del AEP para m</w:t>
      </w:r>
      <w:r w:rsidRPr="00F42197">
        <w:rPr>
          <w:rFonts w:ascii="ITC Avant Garde" w:hAnsi="ITC Avant Garde"/>
          <w:color w:val="000000" w:themeColor="text1"/>
          <w:sz w:val="18"/>
          <w:szCs w:val="18"/>
          <w:lang w:val="es-ES_tradnl"/>
        </w:rPr>
        <w:t xml:space="preserve">odificar el enfoque de estimación de tarifas de cálculo “sitio a sitio” </w:t>
      </w:r>
      <w:r w:rsidR="00E81F1F">
        <w:rPr>
          <w:rFonts w:ascii="ITC Avant Garde" w:hAnsi="ITC Avant Garde"/>
          <w:color w:val="000000" w:themeColor="text1"/>
          <w:sz w:val="18"/>
          <w:szCs w:val="18"/>
          <w:lang w:val="es-ES_tradnl"/>
        </w:rPr>
        <w:t>a efecto de determinar</w:t>
      </w:r>
      <w:r w:rsidRPr="00F42197">
        <w:rPr>
          <w:rFonts w:ascii="ITC Avant Garde" w:hAnsi="ITC Avant Garde"/>
          <w:color w:val="000000" w:themeColor="text1"/>
          <w:sz w:val="18"/>
          <w:szCs w:val="18"/>
          <w:lang w:val="es-ES_tradnl"/>
        </w:rPr>
        <w:t xml:space="preserve"> tarifas por geotipos/niveles (AAA, AA, A, B e I). </w:t>
      </w:r>
    </w:p>
    <w:p w14:paraId="43892F17" w14:textId="3ADD94CB" w:rsidR="0089019F" w:rsidRPr="00153EA3" w:rsidRDefault="0089019F" w:rsidP="0089019F">
      <w:pPr>
        <w:pStyle w:val="Listaconvietas"/>
        <w:numPr>
          <w:ilvl w:val="0"/>
          <w:numId w:val="0"/>
        </w:numPr>
        <w:rPr>
          <w:rFonts w:ascii="ITC Avant Garde" w:eastAsiaTheme="majorEastAsia" w:hAnsi="ITC Avant Garde" w:cstheme="majorBidi"/>
          <w:bCs/>
          <w:color w:val="000000" w:themeColor="text1"/>
          <w:sz w:val="18"/>
          <w:szCs w:val="18"/>
          <w:lang w:val="es-ES_tradnl"/>
        </w:rPr>
      </w:pPr>
      <w:r>
        <w:rPr>
          <w:rFonts w:ascii="ITC Avant Garde" w:hAnsi="ITC Avant Garde"/>
          <w:color w:val="000000" w:themeColor="text1"/>
          <w:sz w:val="18"/>
          <w:szCs w:val="18"/>
          <w:lang w:val="es-ES_tradnl"/>
        </w:rPr>
        <w:t>En adición, el Instituto señala que las características de las torres que se considera</w:t>
      </w:r>
      <w:r w:rsidR="0000376D">
        <w:rPr>
          <w:rFonts w:ascii="ITC Avant Garde" w:hAnsi="ITC Avant Garde"/>
          <w:color w:val="000000" w:themeColor="text1"/>
          <w:sz w:val="18"/>
          <w:szCs w:val="18"/>
          <w:lang w:val="es-ES_tradnl"/>
        </w:rPr>
        <w:t>rá</w:t>
      </w:r>
      <w:r>
        <w:rPr>
          <w:rFonts w:ascii="ITC Avant Garde" w:hAnsi="ITC Avant Garde"/>
          <w:color w:val="000000" w:themeColor="text1"/>
          <w:sz w:val="18"/>
          <w:szCs w:val="18"/>
          <w:lang w:val="es-ES_tradnl"/>
        </w:rPr>
        <w:t>n en el modelo prov</w:t>
      </w:r>
      <w:r w:rsidR="0000376D">
        <w:rPr>
          <w:rFonts w:ascii="ITC Avant Garde" w:hAnsi="ITC Avant Garde"/>
          <w:color w:val="000000" w:themeColor="text1"/>
          <w:sz w:val="18"/>
          <w:szCs w:val="18"/>
          <w:lang w:val="es-ES_tradnl"/>
        </w:rPr>
        <w:t>endrá</w:t>
      </w:r>
      <w:r>
        <w:rPr>
          <w:rFonts w:ascii="ITC Avant Garde" w:hAnsi="ITC Avant Garde"/>
          <w:color w:val="000000" w:themeColor="text1"/>
          <w:sz w:val="18"/>
          <w:szCs w:val="18"/>
          <w:lang w:val="es-ES_tradnl"/>
        </w:rPr>
        <w:t>n de información proporcionada por el AEP, en particular aquella relativa a la carga máxima de viento que soportan</w:t>
      </w:r>
      <w:r w:rsidR="0000376D">
        <w:rPr>
          <w:rFonts w:ascii="ITC Avant Garde" w:hAnsi="ITC Avant Garde"/>
          <w:color w:val="000000" w:themeColor="text1"/>
          <w:sz w:val="18"/>
          <w:szCs w:val="18"/>
          <w:lang w:val="es-ES_tradnl"/>
        </w:rPr>
        <w:t>.</w:t>
      </w:r>
    </w:p>
    <w:p w14:paraId="43892F18" w14:textId="302DA50A" w:rsidR="0089019F" w:rsidRDefault="00AD1E6E" w:rsidP="007C0E66">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Asimismo, el Instituto destaca que el modelo no considera</w:t>
      </w:r>
      <w:r w:rsidR="004A19C8">
        <w:rPr>
          <w:rFonts w:ascii="ITC Avant Garde" w:eastAsiaTheme="majorEastAsia" w:hAnsi="ITC Avant Garde" w:cstheme="majorBidi"/>
          <w:bCs/>
          <w:sz w:val="18"/>
          <w:szCs w:val="18"/>
          <w:lang w:val="es-ES_tradnl"/>
        </w:rPr>
        <w:t>rá</w:t>
      </w:r>
      <w:r>
        <w:rPr>
          <w:rFonts w:ascii="ITC Avant Garde" w:eastAsiaTheme="majorEastAsia" w:hAnsi="ITC Avant Garde" w:cstheme="majorBidi"/>
          <w:bCs/>
          <w:sz w:val="18"/>
          <w:szCs w:val="18"/>
          <w:lang w:val="es-ES_tradnl"/>
        </w:rPr>
        <w:t xml:space="preserve"> el </w:t>
      </w:r>
      <w:r w:rsidR="00671A02">
        <w:rPr>
          <w:rFonts w:ascii="ITC Avant Garde" w:eastAsiaTheme="majorEastAsia" w:hAnsi="ITC Avant Garde" w:cstheme="majorBidi"/>
          <w:bCs/>
          <w:sz w:val="18"/>
          <w:szCs w:val="18"/>
          <w:lang w:val="es-ES_tradnl"/>
        </w:rPr>
        <w:t>reforzamiento,</w:t>
      </w:r>
      <w:r>
        <w:rPr>
          <w:rFonts w:ascii="ITC Avant Garde" w:eastAsiaTheme="majorEastAsia" w:hAnsi="ITC Avant Garde" w:cstheme="majorBidi"/>
          <w:bCs/>
          <w:sz w:val="18"/>
          <w:szCs w:val="18"/>
          <w:lang w:val="es-ES_tradnl"/>
        </w:rPr>
        <w:t xml:space="preserve"> aumento de la torre</w:t>
      </w:r>
      <w:r w:rsidR="00671A02">
        <w:rPr>
          <w:rFonts w:ascii="ITC Avant Garde" w:eastAsiaTheme="majorEastAsia" w:hAnsi="ITC Avant Garde" w:cstheme="majorBidi"/>
          <w:bCs/>
          <w:sz w:val="18"/>
          <w:szCs w:val="18"/>
          <w:lang w:val="es-ES_tradnl"/>
        </w:rPr>
        <w:t xml:space="preserve"> o una variabilidad de la tarifa estimada respecto a la posición de los CS en la torre</w:t>
      </w:r>
      <w:r>
        <w:rPr>
          <w:rFonts w:ascii="ITC Avant Garde" w:eastAsiaTheme="majorEastAsia" w:hAnsi="ITC Avant Garde" w:cstheme="majorBidi"/>
          <w:bCs/>
          <w:sz w:val="18"/>
          <w:szCs w:val="18"/>
          <w:lang w:val="es-ES_tradnl"/>
        </w:rPr>
        <w:t xml:space="preserve">, en entendido de que tales especificaciones </w:t>
      </w:r>
      <w:r w:rsidR="00C74D38">
        <w:rPr>
          <w:rFonts w:ascii="ITC Avant Garde" w:hAnsi="ITC Avant Garde"/>
          <w:sz w:val="18"/>
          <w:szCs w:val="18"/>
          <w:lang w:val="es-ES_tradnl"/>
        </w:rPr>
        <w:t>son</w:t>
      </w:r>
      <w:r w:rsidRPr="00766053">
        <w:rPr>
          <w:rFonts w:ascii="ITC Avant Garde" w:hAnsi="ITC Avant Garde"/>
          <w:sz w:val="18"/>
          <w:szCs w:val="18"/>
          <w:lang w:val="es-ES_tradnl"/>
        </w:rPr>
        <w:t xml:space="preserve"> aspectos </w:t>
      </w:r>
      <w:r w:rsidR="00833ED9">
        <w:rPr>
          <w:rFonts w:ascii="ITC Avant Garde" w:hAnsi="ITC Avant Garde"/>
          <w:sz w:val="18"/>
          <w:szCs w:val="18"/>
          <w:lang w:val="es-ES_tradnl"/>
        </w:rPr>
        <w:t>casuísticos y que no forman parte propiamente del alcance del modelo en cuestión</w:t>
      </w:r>
      <w:r>
        <w:rPr>
          <w:rFonts w:ascii="ITC Avant Garde" w:hAnsi="ITC Avant Garde"/>
          <w:sz w:val="18"/>
          <w:szCs w:val="18"/>
          <w:lang w:val="es-ES_tradnl"/>
        </w:rPr>
        <w:t>.</w:t>
      </w:r>
    </w:p>
    <w:p w14:paraId="43892F19" w14:textId="77777777" w:rsidR="001438D2" w:rsidRPr="00766053" w:rsidRDefault="001438D2" w:rsidP="00203113">
      <w:pPr>
        <w:pStyle w:val="Ttulo3"/>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t>Opciones asociadas a la demanda</w:t>
      </w:r>
    </w:p>
    <w:p w14:paraId="43892F1A" w14:textId="77777777" w:rsidR="00C70070" w:rsidRPr="00766053" w:rsidRDefault="00C70070" w:rsidP="00203113">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7</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¿Está de acuerdo con las características de demanda implementadas en el modelo?</w:t>
      </w:r>
    </w:p>
    <w:p w14:paraId="43892F1B" w14:textId="77777777" w:rsidR="00CE316D" w:rsidRPr="00766053" w:rsidRDefault="00CE316D" w:rsidP="00CE316D">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1C" w14:textId="2E646179" w:rsidR="003B0AB8" w:rsidRPr="00766053" w:rsidRDefault="00A623A4" w:rsidP="00AE4C00">
      <w:pPr>
        <w:rPr>
          <w:rFonts w:ascii="ITC Avant Garde" w:hAnsi="ITC Avant Garde"/>
          <w:sz w:val="18"/>
          <w:szCs w:val="18"/>
          <w:lang w:val="es-ES_tradnl"/>
        </w:rPr>
      </w:pPr>
      <w:r>
        <w:rPr>
          <w:rFonts w:ascii="ITC Avant Garde" w:hAnsi="ITC Avant Garde"/>
          <w:sz w:val="18"/>
          <w:szCs w:val="18"/>
          <w:lang w:val="es-ES_tradnl"/>
        </w:rPr>
        <w:t>Al respecto, u</w:t>
      </w:r>
      <w:r w:rsidR="00185B74" w:rsidRPr="00766053">
        <w:rPr>
          <w:rFonts w:ascii="ITC Avant Garde" w:hAnsi="ITC Avant Garde"/>
          <w:sz w:val="18"/>
          <w:szCs w:val="18"/>
          <w:lang w:val="es-ES_tradnl"/>
        </w:rPr>
        <w:t xml:space="preserve">n </w:t>
      </w:r>
      <w:r w:rsidR="00D65C64"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[Lester García] considera correctas las características de la demanda</w:t>
      </w:r>
      <w:r w:rsidR="000058C0">
        <w:rPr>
          <w:rFonts w:ascii="ITC Avant Garde" w:hAnsi="ITC Avant Garde"/>
          <w:sz w:val="18"/>
          <w:szCs w:val="18"/>
          <w:lang w:val="es-ES_tradnl"/>
        </w:rPr>
        <w:t>, y</w:t>
      </w:r>
      <w:r w:rsidR="00185B74" w:rsidRPr="00766053">
        <w:rPr>
          <w:rFonts w:ascii="ITC Avant Garde" w:hAnsi="ITC Avant Garde"/>
          <w:sz w:val="18"/>
          <w:szCs w:val="18"/>
          <w:lang w:val="es-ES_tradnl"/>
        </w:rPr>
        <w:t xml:space="preserve"> </w:t>
      </w:r>
      <w:r w:rsidR="00292BFE">
        <w:rPr>
          <w:rFonts w:ascii="ITC Avant Garde" w:hAnsi="ITC Avant Garde"/>
          <w:sz w:val="18"/>
          <w:szCs w:val="18"/>
          <w:lang w:val="es-ES_tradnl"/>
        </w:rPr>
        <w:t xml:space="preserve">sugiere </w:t>
      </w:r>
      <w:r w:rsidR="00D830D4">
        <w:rPr>
          <w:rFonts w:ascii="ITC Avant Garde" w:hAnsi="ITC Avant Garde"/>
          <w:sz w:val="18"/>
          <w:szCs w:val="18"/>
          <w:lang w:val="es-ES_tradnl"/>
        </w:rPr>
        <w:t>que se debe aclarar</w:t>
      </w:r>
      <w:r w:rsidR="00185B74" w:rsidRPr="00766053">
        <w:rPr>
          <w:rFonts w:ascii="ITC Avant Garde" w:hAnsi="ITC Avant Garde"/>
          <w:sz w:val="18"/>
          <w:szCs w:val="18"/>
          <w:lang w:val="es-ES_tradnl"/>
        </w:rPr>
        <w:t xml:space="preserve"> si la tarifa de coubicación se fijará en función de las características de </w:t>
      </w:r>
      <w:r w:rsidR="00292BFE">
        <w:rPr>
          <w:rFonts w:ascii="ITC Avant Garde" w:hAnsi="ITC Avant Garde"/>
          <w:sz w:val="18"/>
          <w:szCs w:val="18"/>
          <w:lang w:val="es-ES_tradnl"/>
        </w:rPr>
        <w:t>é</w:t>
      </w:r>
      <w:r w:rsidR="00185B74" w:rsidRPr="00766053">
        <w:rPr>
          <w:rFonts w:ascii="ITC Avant Garde" w:hAnsi="ITC Avant Garde"/>
          <w:sz w:val="18"/>
          <w:szCs w:val="18"/>
          <w:lang w:val="es-ES_tradnl"/>
        </w:rPr>
        <w:t xml:space="preserve">sta demanda y por ende </w:t>
      </w:r>
      <w:r w:rsidR="001153BD" w:rsidRPr="00766053">
        <w:rPr>
          <w:rFonts w:ascii="ITC Avant Garde" w:hAnsi="ITC Avant Garde"/>
          <w:sz w:val="18"/>
          <w:szCs w:val="18"/>
          <w:lang w:val="es-ES_tradnl"/>
        </w:rPr>
        <w:t xml:space="preserve">si </w:t>
      </w:r>
      <w:r w:rsidR="00292BFE">
        <w:rPr>
          <w:rFonts w:ascii="ITC Avant Garde" w:hAnsi="ITC Avant Garde"/>
          <w:sz w:val="18"/>
          <w:szCs w:val="18"/>
          <w:lang w:val="es-ES_tradnl"/>
        </w:rPr>
        <w:t xml:space="preserve">se </w:t>
      </w:r>
      <w:r w:rsidR="00185B74" w:rsidRPr="00766053">
        <w:rPr>
          <w:rFonts w:ascii="ITC Avant Garde" w:hAnsi="ITC Avant Garde"/>
          <w:sz w:val="18"/>
          <w:szCs w:val="18"/>
          <w:lang w:val="es-ES_tradnl"/>
        </w:rPr>
        <w:t>tendrán tarifas diferenciadas, o si se calculará una tarifa promedio.</w:t>
      </w:r>
      <w:r w:rsidR="00155A62" w:rsidRPr="00766053">
        <w:rPr>
          <w:rFonts w:ascii="ITC Avant Garde" w:hAnsi="ITC Avant Garde"/>
          <w:sz w:val="18"/>
          <w:szCs w:val="18"/>
          <w:lang w:val="es-ES_tradnl"/>
        </w:rPr>
        <w:t xml:space="preserve"> </w:t>
      </w:r>
    </w:p>
    <w:p w14:paraId="43892F1D" w14:textId="3941974A" w:rsidR="00185B74" w:rsidRPr="00766053" w:rsidRDefault="002C62AE" w:rsidP="00203113">
      <w:pPr>
        <w:rPr>
          <w:rFonts w:ascii="ITC Avant Garde" w:hAnsi="ITC Avant Garde"/>
          <w:sz w:val="18"/>
          <w:szCs w:val="18"/>
          <w:lang w:val="es-ES_tradnl"/>
        </w:rPr>
      </w:pPr>
      <w:r>
        <w:rPr>
          <w:rFonts w:ascii="ITC Avant Garde" w:hAnsi="ITC Avant Garde"/>
          <w:sz w:val="18"/>
          <w:szCs w:val="18"/>
          <w:lang w:val="es-ES_tradnl"/>
        </w:rPr>
        <w:t>Por otra parte, ciertos</w:t>
      </w:r>
      <w:r w:rsidR="00155A62" w:rsidRPr="00766053">
        <w:rPr>
          <w:rFonts w:ascii="ITC Avant Garde" w:hAnsi="ITC Avant Garde"/>
          <w:sz w:val="18"/>
          <w:szCs w:val="18"/>
          <w:lang w:val="es-ES_tradnl"/>
        </w:rPr>
        <w:t xml:space="preserve"> </w:t>
      </w:r>
      <w:r w:rsidR="001D31DB" w:rsidRPr="00766053">
        <w:rPr>
          <w:rFonts w:ascii="ITC Avant Garde" w:hAnsi="ITC Avant Garde"/>
          <w:sz w:val="18"/>
          <w:szCs w:val="18"/>
          <w:lang w:val="es-ES_tradnl"/>
        </w:rPr>
        <w:t xml:space="preserve">participantes </w:t>
      </w:r>
      <w:r w:rsidR="00155A62" w:rsidRPr="00766053">
        <w:rPr>
          <w:rFonts w:ascii="ITC Avant Garde" w:hAnsi="ITC Avant Garde"/>
          <w:sz w:val="18"/>
          <w:szCs w:val="18"/>
          <w:lang w:val="es-ES_tradnl"/>
        </w:rPr>
        <w:t>[</w:t>
      </w:r>
      <w:r w:rsidRPr="00766053">
        <w:rPr>
          <w:rFonts w:ascii="ITC Avant Garde" w:hAnsi="ITC Avant Garde"/>
          <w:sz w:val="18"/>
          <w:szCs w:val="18"/>
          <w:lang w:val="es-ES_tradnl"/>
        </w:rPr>
        <w:t xml:space="preserve">MATC </w:t>
      </w:r>
      <w:r>
        <w:rPr>
          <w:rFonts w:ascii="ITC Avant Garde" w:hAnsi="ITC Avant Garde"/>
          <w:sz w:val="18"/>
          <w:szCs w:val="18"/>
          <w:lang w:val="es-ES_tradnl"/>
        </w:rPr>
        <w:t xml:space="preserve">y </w:t>
      </w:r>
      <w:r w:rsidR="00155A62" w:rsidRPr="00766053">
        <w:rPr>
          <w:rFonts w:ascii="ITC Avant Garde" w:hAnsi="ITC Avant Garde"/>
          <w:sz w:val="18"/>
          <w:szCs w:val="18"/>
          <w:lang w:val="es-ES_tradnl"/>
        </w:rPr>
        <w:t xml:space="preserve">Televisa] afirman que la demanda establecida debe </w:t>
      </w:r>
      <w:r w:rsidR="00DD7665">
        <w:rPr>
          <w:rFonts w:ascii="ITC Avant Garde" w:hAnsi="ITC Avant Garde"/>
          <w:sz w:val="18"/>
          <w:szCs w:val="18"/>
          <w:lang w:val="es-ES_tradnl"/>
        </w:rPr>
        <w:t xml:space="preserve">prever </w:t>
      </w:r>
      <w:r w:rsidR="00155A62" w:rsidRPr="00766053">
        <w:rPr>
          <w:rFonts w:ascii="ITC Avant Garde" w:hAnsi="ITC Avant Garde"/>
          <w:sz w:val="18"/>
          <w:szCs w:val="18"/>
          <w:lang w:val="es-ES_tradnl"/>
        </w:rPr>
        <w:t xml:space="preserve">mirar más allá de lo que está ocurriendo hoy en día y se debe de asumir también cierta carga futura en términos de inquilinos adicionales. Para </w:t>
      </w:r>
      <w:r w:rsidR="00A748F3" w:rsidRPr="00766053">
        <w:rPr>
          <w:rFonts w:ascii="ITC Avant Garde" w:hAnsi="ITC Avant Garde"/>
          <w:sz w:val="18"/>
          <w:szCs w:val="18"/>
          <w:lang w:val="es-ES_tradnl"/>
        </w:rPr>
        <w:t xml:space="preserve">uno </w:t>
      </w:r>
      <w:r w:rsidR="00155A62" w:rsidRPr="00766053">
        <w:rPr>
          <w:rFonts w:ascii="ITC Avant Garde" w:hAnsi="ITC Avant Garde"/>
          <w:sz w:val="18"/>
          <w:szCs w:val="18"/>
          <w:lang w:val="es-ES_tradnl"/>
        </w:rPr>
        <w:t xml:space="preserve">de ellos [Televisa], sería oportuno asumir que la demanda de los CS en los sitios del AEP llegará a un promedio de entre 1.5 y 2 arrendatarios con un </w:t>
      </w:r>
      <w:r w:rsidR="001B101F">
        <w:rPr>
          <w:rFonts w:ascii="ITC Avant Garde" w:hAnsi="ITC Avant Garde"/>
          <w:sz w:val="18"/>
          <w:szCs w:val="18"/>
          <w:lang w:val="es-ES_tradnl"/>
        </w:rPr>
        <w:t>“</w:t>
      </w:r>
      <w:r w:rsidR="00155A62" w:rsidRPr="00766053">
        <w:rPr>
          <w:rFonts w:ascii="ITC Avant Garde" w:hAnsi="ITC Avant Garde"/>
          <w:sz w:val="18"/>
          <w:szCs w:val="18"/>
          <w:lang w:val="es-ES_tradnl"/>
        </w:rPr>
        <w:t>grupo mínimo de antenas</w:t>
      </w:r>
      <w:r w:rsidR="001B101F">
        <w:rPr>
          <w:rFonts w:ascii="ITC Avant Garde" w:hAnsi="ITC Avant Garde"/>
          <w:sz w:val="18"/>
          <w:szCs w:val="18"/>
          <w:lang w:val="es-ES_tradnl"/>
        </w:rPr>
        <w:t>”</w:t>
      </w:r>
      <w:r w:rsidR="00155A62" w:rsidRPr="00766053">
        <w:rPr>
          <w:rFonts w:ascii="ITC Avant Garde" w:hAnsi="ITC Avant Garde"/>
          <w:sz w:val="18"/>
          <w:szCs w:val="18"/>
          <w:lang w:val="es-ES_tradnl"/>
        </w:rPr>
        <w:t>.</w:t>
      </w:r>
    </w:p>
    <w:p w14:paraId="43892F1E" w14:textId="72AF0339" w:rsidR="003B4D43" w:rsidRPr="00766053" w:rsidRDefault="00EC3FFA">
      <w:pPr>
        <w:rPr>
          <w:rFonts w:ascii="ITC Avant Garde" w:hAnsi="ITC Avant Garde"/>
          <w:sz w:val="18"/>
          <w:szCs w:val="18"/>
          <w:lang w:val="es-ES_tradnl"/>
        </w:rPr>
      </w:pPr>
      <w:r>
        <w:rPr>
          <w:rFonts w:ascii="ITC Avant Garde" w:hAnsi="ITC Avant Garde"/>
          <w:sz w:val="18"/>
          <w:szCs w:val="18"/>
          <w:lang w:val="es-ES_tradnl"/>
        </w:rPr>
        <w:t>Finalmente, o</w:t>
      </w:r>
      <w:r w:rsidR="00185B74" w:rsidRPr="00766053">
        <w:rPr>
          <w:rFonts w:ascii="ITC Avant Garde" w:hAnsi="ITC Avant Garde"/>
          <w:sz w:val="18"/>
          <w:szCs w:val="18"/>
          <w:lang w:val="es-ES_tradnl"/>
        </w:rPr>
        <w:t xml:space="preserve">tro </w:t>
      </w:r>
      <w:r w:rsidR="00FD3880" w:rsidRPr="00766053">
        <w:rPr>
          <w:rFonts w:ascii="ITC Avant Garde" w:hAnsi="ITC Avant Garde"/>
          <w:sz w:val="18"/>
          <w:szCs w:val="18"/>
          <w:lang w:val="es-ES_tradnl"/>
        </w:rPr>
        <w:t>participante de la consulta</w:t>
      </w:r>
      <w:r w:rsidR="00185B74" w:rsidRPr="00766053">
        <w:rPr>
          <w:rFonts w:ascii="ITC Avant Garde" w:hAnsi="ITC Avant Garde"/>
          <w:sz w:val="18"/>
          <w:szCs w:val="18"/>
          <w:lang w:val="es-ES_tradnl"/>
        </w:rPr>
        <w:t xml:space="preserve"> [Telefónica] </w:t>
      </w:r>
      <w:r>
        <w:rPr>
          <w:rFonts w:ascii="ITC Avant Garde" w:hAnsi="ITC Avant Garde"/>
          <w:sz w:val="18"/>
          <w:szCs w:val="18"/>
          <w:lang w:val="es-ES_tradnl"/>
        </w:rPr>
        <w:t>considera que se debe acotar</w:t>
      </w:r>
      <w:r w:rsidR="00185B74" w:rsidRPr="00766053">
        <w:rPr>
          <w:rFonts w:ascii="ITC Avant Garde" w:hAnsi="ITC Avant Garde"/>
          <w:sz w:val="18"/>
          <w:szCs w:val="18"/>
          <w:lang w:val="es-ES_tradnl"/>
        </w:rPr>
        <w:t xml:space="preserve"> el dimensionamiento de los gabinetes </w:t>
      </w:r>
      <w:r w:rsidR="00185B74" w:rsidRPr="00362DE6">
        <w:rPr>
          <w:rFonts w:ascii="ITC Avant Garde" w:hAnsi="ITC Avant Garde"/>
          <w:i/>
          <w:sz w:val="18"/>
          <w:szCs w:val="18"/>
          <w:lang w:val="es-ES_tradnl"/>
        </w:rPr>
        <w:t>outdoor</w:t>
      </w:r>
      <w:r w:rsidR="00185B74" w:rsidRPr="00766053">
        <w:rPr>
          <w:rFonts w:ascii="ITC Avant Garde" w:hAnsi="ITC Avant Garde"/>
          <w:sz w:val="18"/>
          <w:szCs w:val="18"/>
          <w:lang w:val="es-ES_tradnl"/>
        </w:rPr>
        <w:t xml:space="preserve"> dado que, al utilizarse dimensiones estándar de un proveedor de equipo de telecomunicaciones, es posible que dos gabinetes, montados uno encima de otro quepan sob</w:t>
      </w:r>
      <w:r w:rsidR="009D7263">
        <w:rPr>
          <w:rFonts w:ascii="ITC Avant Garde" w:hAnsi="ITC Avant Garde"/>
          <w:sz w:val="18"/>
          <w:szCs w:val="18"/>
          <w:lang w:val="es-ES_tradnl"/>
        </w:rPr>
        <w:t xml:space="preserve">re una misma área, puesto que considera que </w:t>
      </w:r>
      <w:r w:rsidR="00185B74" w:rsidRPr="00766053">
        <w:rPr>
          <w:rFonts w:ascii="ITC Avant Garde" w:hAnsi="ITC Avant Garde"/>
          <w:sz w:val="18"/>
          <w:szCs w:val="18"/>
          <w:lang w:val="es-ES_tradnl"/>
        </w:rPr>
        <w:t xml:space="preserve">para fines de </w:t>
      </w:r>
      <w:r w:rsidR="00185B74" w:rsidRPr="00766053">
        <w:rPr>
          <w:rFonts w:ascii="ITC Avant Garde" w:hAnsi="ITC Avant Garde"/>
          <w:sz w:val="18"/>
          <w:szCs w:val="18"/>
          <w:lang w:val="es-ES_tradnl"/>
        </w:rPr>
        <w:lastRenderedPageBreak/>
        <w:t xml:space="preserve">cuantificación de espacio en piso, dichos gabinetes </w:t>
      </w:r>
      <w:r w:rsidR="00DD7665">
        <w:rPr>
          <w:rFonts w:ascii="ITC Avant Garde" w:hAnsi="ITC Avant Garde"/>
          <w:sz w:val="18"/>
          <w:szCs w:val="18"/>
          <w:lang w:val="es-ES_tradnl"/>
        </w:rPr>
        <w:t>ocupan el espació de un</w:t>
      </w:r>
      <w:r w:rsidR="00185B74" w:rsidRPr="00766053">
        <w:rPr>
          <w:rFonts w:ascii="ITC Avant Garde" w:hAnsi="ITC Avant Garde"/>
          <w:sz w:val="18"/>
          <w:szCs w:val="18"/>
          <w:lang w:val="es-ES_tradnl"/>
        </w:rPr>
        <w:t xml:space="preserve"> único gabinete y por lo tanto se podrá reducir el costo final que el AEP deberá aplicar a los CS. </w:t>
      </w:r>
    </w:p>
    <w:p w14:paraId="43892F1F" w14:textId="77777777" w:rsidR="001F5B60" w:rsidRPr="001F5B60" w:rsidRDefault="001F5B60" w:rsidP="001F5B6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20" w14:textId="5F7DA476" w:rsidR="00362DE6" w:rsidRDefault="00901C17" w:rsidP="00362DE6">
      <w:pPr>
        <w:spacing w:after="120"/>
        <w:rPr>
          <w:rFonts w:ascii="ITC Avant Garde" w:eastAsiaTheme="majorEastAsia" w:hAnsi="ITC Avant Garde" w:cstheme="majorBidi"/>
          <w:bCs/>
          <w:color w:val="000000" w:themeColor="text1"/>
          <w:sz w:val="18"/>
          <w:szCs w:val="18"/>
          <w:lang w:val="es-ES_tradnl"/>
        </w:rPr>
      </w:pPr>
      <w:r w:rsidRPr="00362DE6">
        <w:rPr>
          <w:rFonts w:ascii="ITC Avant Garde" w:hAnsi="ITC Avant Garde"/>
          <w:sz w:val="18"/>
          <w:szCs w:val="18"/>
          <w:lang w:val="es-ES_tradnl"/>
        </w:rPr>
        <w:t>Con respecto a la estructura de precios</w:t>
      </w:r>
      <w:r w:rsidR="00362DE6" w:rsidRPr="00362DE6">
        <w:rPr>
          <w:rFonts w:ascii="ITC Avant Garde" w:hAnsi="ITC Avant Garde"/>
          <w:sz w:val="18"/>
          <w:szCs w:val="18"/>
          <w:lang w:val="es-ES_tradnl"/>
        </w:rPr>
        <w:t xml:space="preserve">, el Instituto señala que la versión final del modelo </w:t>
      </w:r>
      <w:r w:rsidR="005565FB">
        <w:rPr>
          <w:rFonts w:ascii="ITC Avant Garde" w:hAnsi="ITC Avant Garde"/>
          <w:sz w:val="18"/>
          <w:szCs w:val="18"/>
          <w:lang w:val="es-ES_tradnl"/>
        </w:rPr>
        <w:t>se ajustará con las especificaciones precisadas en la oferta de referencia correspondiente</w:t>
      </w:r>
      <w:r w:rsidR="00362DE6" w:rsidRPr="00362DE6">
        <w:rPr>
          <w:rFonts w:ascii="ITC Avant Garde" w:hAnsi="ITC Avant Garde"/>
          <w:sz w:val="18"/>
          <w:szCs w:val="18"/>
          <w:lang w:val="es-ES_tradnl"/>
        </w:rPr>
        <w:t>,</w:t>
      </w:r>
      <w:r w:rsidR="00ED2EBD" w:rsidRPr="00425AFA">
        <w:rPr>
          <w:rFonts w:ascii="ITC Avant Garde" w:hAnsi="ITC Avant Garde"/>
          <w:sz w:val="18"/>
          <w:szCs w:val="18"/>
          <w:lang w:val="es-ES_tradnl"/>
        </w:rPr>
        <w:t xml:space="preserve"> a partir de lo establecido en las Medidas impuestas al AEP por el Instituto, </w:t>
      </w:r>
      <w:r w:rsidR="00362DE6" w:rsidRPr="00362DE6">
        <w:rPr>
          <w:rFonts w:ascii="ITC Avant Garde" w:hAnsi="ITC Avant Garde"/>
          <w:sz w:val="18"/>
          <w:szCs w:val="18"/>
          <w:lang w:val="es-ES_tradnl"/>
        </w:rPr>
        <w:t xml:space="preserve"> considerando de manera particular la </w:t>
      </w:r>
      <w:r w:rsidR="00362DE6" w:rsidRPr="00362DE6">
        <w:rPr>
          <w:rFonts w:ascii="ITC Avant Garde" w:eastAsiaTheme="majorEastAsia" w:hAnsi="ITC Avant Garde" w:cstheme="majorBidi"/>
          <w:bCs/>
          <w:color w:val="000000" w:themeColor="text1"/>
          <w:sz w:val="18"/>
          <w:szCs w:val="18"/>
          <w:lang w:val="es-ES_tradnl"/>
        </w:rPr>
        <w:t xml:space="preserve">demanda </w:t>
      </w:r>
      <w:r w:rsidR="00024CAF">
        <w:rPr>
          <w:rFonts w:ascii="ITC Avant Garde" w:eastAsiaTheme="majorEastAsia" w:hAnsi="ITC Avant Garde" w:cstheme="majorBidi"/>
          <w:bCs/>
          <w:color w:val="000000" w:themeColor="text1"/>
          <w:sz w:val="18"/>
          <w:szCs w:val="18"/>
          <w:lang w:val="es-ES_tradnl"/>
        </w:rPr>
        <w:t xml:space="preserve">promedio </w:t>
      </w:r>
      <w:r w:rsidR="00362DE6" w:rsidRPr="00362DE6">
        <w:rPr>
          <w:rFonts w:ascii="ITC Avant Garde" w:eastAsiaTheme="majorEastAsia" w:hAnsi="ITC Avant Garde" w:cstheme="majorBidi"/>
          <w:bCs/>
          <w:color w:val="000000" w:themeColor="text1"/>
          <w:sz w:val="18"/>
          <w:szCs w:val="18"/>
          <w:lang w:val="es-ES_tradnl"/>
        </w:rPr>
        <w:t>observada respecto a los servicios de acceso y uso compartido del espacio (en términos de Espacio en Torre y Espacio en Piso).</w:t>
      </w:r>
    </w:p>
    <w:p w14:paraId="43892F21" w14:textId="721B3E45" w:rsidR="00362DE6" w:rsidRDefault="00024CAF" w:rsidP="00024CAF">
      <w:pPr>
        <w:pStyle w:val="Listaconvietas"/>
        <w:numPr>
          <w:ilvl w:val="0"/>
          <w:numId w:val="0"/>
        </w:numPr>
        <w:rPr>
          <w:rFonts w:ascii="ITC Avant Garde" w:hAnsi="ITC Avant Garde"/>
          <w:sz w:val="18"/>
          <w:szCs w:val="18"/>
          <w:lang w:val="es-ES_tradnl"/>
        </w:rPr>
      </w:pPr>
      <w:r>
        <w:rPr>
          <w:rFonts w:ascii="ITC Avant Garde" w:eastAsiaTheme="majorEastAsia" w:hAnsi="ITC Avant Garde" w:cstheme="majorBidi"/>
          <w:bCs/>
          <w:color w:val="000000" w:themeColor="text1"/>
          <w:sz w:val="18"/>
          <w:szCs w:val="18"/>
          <w:lang w:val="es-ES_tradnl"/>
        </w:rPr>
        <w:t xml:space="preserve">El Instituto considera apropiada </w:t>
      </w:r>
      <w:r w:rsidR="005565FB">
        <w:rPr>
          <w:rFonts w:ascii="ITC Avant Garde" w:eastAsiaTheme="majorEastAsia" w:hAnsi="ITC Avant Garde" w:cstheme="majorBidi"/>
          <w:bCs/>
          <w:color w:val="000000" w:themeColor="text1"/>
          <w:sz w:val="18"/>
          <w:szCs w:val="18"/>
          <w:lang w:val="es-ES_tradnl"/>
        </w:rPr>
        <w:t xml:space="preserve">dicha </w:t>
      </w:r>
      <w:r>
        <w:rPr>
          <w:rFonts w:ascii="ITC Avant Garde" w:eastAsiaTheme="majorEastAsia" w:hAnsi="ITC Avant Garde" w:cstheme="majorBidi"/>
          <w:bCs/>
          <w:color w:val="000000" w:themeColor="text1"/>
          <w:sz w:val="18"/>
          <w:szCs w:val="18"/>
          <w:lang w:val="es-ES_tradnl"/>
        </w:rPr>
        <w:t>elección de la demanda dada la incertidumbre sobre la evolución de demanda de servicios en el corto y mediano plazo, y en el entendido de</w:t>
      </w:r>
      <w:r w:rsidRPr="00D31D82">
        <w:rPr>
          <w:rFonts w:ascii="ITC Avant Garde" w:eastAsiaTheme="majorEastAsia" w:hAnsi="ITC Avant Garde" w:cstheme="majorBidi"/>
          <w:bCs/>
          <w:color w:val="000000" w:themeColor="text1"/>
          <w:sz w:val="18"/>
          <w:szCs w:val="18"/>
          <w:lang w:val="es-ES_tradnl"/>
        </w:rPr>
        <w:t xml:space="preserve"> que al ser </w:t>
      </w:r>
      <w:r>
        <w:rPr>
          <w:rFonts w:ascii="ITC Avant Garde" w:eastAsiaTheme="majorEastAsia" w:hAnsi="ITC Avant Garde" w:cstheme="majorBidi"/>
          <w:bCs/>
          <w:color w:val="000000" w:themeColor="text1"/>
          <w:sz w:val="18"/>
          <w:szCs w:val="18"/>
          <w:lang w:val="es-ES_tradnl"/>
        </w:rPr>
        <w:t>dicho parámetro del tipo</w:t>
      </w:r>
      <w:r w:rsidRPr="00D31D82">
        <w:rPr>
          <w:rFonts w:ascii="ITC Avant Garde" w:eastAsiaTheme="majorEastAsia" w:hAnsi="ITC Avant Garde" w:cstheme="majorBidi"/>
          <w:bCs/>
          <w:color w:val="000000" w:themeColor="text1"/>
          <w:sz w:val="18"/>
          <w:szCs w:val="18"/>
          <w:lang w:val="es-ES_tradnl"/>
        </w:rPr>
        <w:t xml:space="preserve"> </w:t>
      </w:r>
      <w:r>
        <w:rPr>
          <w:rFonts w:ascii="ITC Avant Garde" w:eastAsiaTheme="majorEastAsia" w:hAnsi="ITC Avant Garde" w:cstheme="majorBidi"/>
          <w:bCs/>
          <w:color w:val="000000" w:themeColor="text1"/>
          <w:sz w:val="18"/>
          <w:szCs w:val="18"/>
          <w:lang w:val="es-ES_tradnl"/>
        </w:rPr>
        <w:t>escalonado y bajo</w:t>
      </w:r>
      <w:r w:rsidRPr="00D31D82">
        <w:rPr>
          <w:rFonts w:ascii="ITC Avant Garde" w:eastAsiaTheme="majorEastAsia" w:hAnsi="ITC Avant Garde" w:cstheme="majorBidi"/>
          <w:bCs/>
          <w:color w:val="000000" w:themeColor="text1"/>
          <w:sz w:val="18"/>
          <w:szCs w:val="18"/>
          <w:lang w:val="es-ES_tradnl"/>
        </w:rPr>
        <w:t xml:space="preserve">, una estimación errónea del número de operadores acarrearía consigo errores significativos en el costeo del servicio de acceso. </w:t>
      </w:r>
    </w:p>
    <w:p w14:paraId="43892F22" w14:textId="29E34DB8" w:rsidR="002E6A74" w:rsidRPr="00766053" w:rsidRDefault="002E6A74" w:rsidP="00B10499">
      <w:pPr>
        <w:rPr>
          <w:rFonts w:ascii="ITC Avant Garde" w:hAnsi="ITC Avant Garde"/>
          <w:sz w:val="18"/>
          <w:szCs w:val="18"/>
          <w:lang w:val="es-ES_tradnl"/>
        </w:rPr>
      </w:pPr>
      <w:r w:rsidRPr="00766053">
        <w:rPr>
          <w:rFonts w:ascii="ITC Avant Garde" w:hAnsi="ITC Avant Garde"/>
          <w:sz w:val="18"/>
          <w:szCs w:val="18"/>
          <w:lang w:val="es-ES_tradnl"/>
        </w:rPr>
        <w:t xml:space="preserve">Por último, sobre el comentario por el cual se cree necesario que se acote en el modelo el dimensionamiento de gabinetes </w:t>
      </w:r>
      <w:r w:rsidRPr="00512A72">
        <w:rPr>
          <w:rFonts w:ascii="ITC Avant Garde" w:hAnsi="ITC Avant Garde"/>
          <w:i/>
          <w:sz w:val="18"/>
          <w:szCs w:val="18"/>
          <w:lang w:val="es-ES_tradnl"/>
        </w:rPr>
        <w:t>outdoor</w:t>
      </w:r>
      <w:r w:rsidRPr="00766053">
        <w:rPr>
          <w:rFonts w:ascii="ITC Avant Garde" w:hAnsi="ITC Avant Garde"/>
          <w:sz w:val="18"/>
          <w:szCs w:val="18"/>
          <w:lang w:val="es-ES_tradnl"/>
        </w:rPr>
        <w:t>, de dimensiones estándar, montados uno encima de otro,</w:t>
      </w:r>
      <w:r w:rsidR="00512A72">
        <w:rPr>
          <w:rFonts w:ascii="ITC Avant Garde" w:hAnsi="ITC Avant Garde"/>
          <w:sz w:val="18"/>
          <w:szCs w:val="18"/>
          <w:lang w:val="es-ES_tradnl"/>
        </w:rPr>
        <w:t xml:space="preserve"> el Instituto reitera que la demanda de Espacio en Piso </w:t>
      </w:r>
      <w:r w:rsidR="005565FB">
        <w:rPr>
          <w:rFonts w:ascii="ITC Avant Garde" w:hAnsi="ITC Avant Garde"/>
          <w:sz w:val="18"/>
          <w:szCs w:val="18"/>
          <w:lang w:val="es-ES_tradnl"/>
        </w:rPr>
        <w:t>a considerarse</w:t>
      </w:r>
      <w:r w:rsidR="00512A72">
        <w:rPr>
          <w:rFonts w:ascii="ITC Avant Garde" w:hAnsi="ITC Avant Garde"/>
          <w:sz w:val="18"/>
          <w:szCs w:val="18"/>
          <w:lang w:val="es-ES_tradnl"/>
        </w:rPr>
        <w:t xml:space="preserve"> en la versión final del modelo </w:t>
      </w:r>
      <w:r w:rsidR="005565FB">
        <w:rPr>
          <w:rFonts w:ascii="ITC Avant Garde" w:hAnsi="ITC Avant Garde"/>
          <w:sz w:val="18"/>
          <w:szCs w:val="18"/>
          <w:lang w:val="es-ES_tradnl"/>
        </w:rPr>
        <w:t xml:space="preserve">debe </w:t>
      </w:r>
      <w:r w:rsidR="00512A72">
        <w:rPr>
          <w:rFonts w:ascii="ITC Avant Garde" w:hAnsi="ITC Avant Garde"/>
          <w:sz w:val="18"/>
          <w:szCs w:val="18"/>
          <w:lang w:val="es-ES_tradnl"/>
        </w:rPr>
        <w:t>part</w:t>
      </w:r>
      <w:r w:rsidR="005565FB">
        <w:rPr>
          <w:rFonts w:ascii="ITC Avant Garde" w:hAnsi="ITC Avant Garde"/>
          <w:sz w:val="18"/>
          <w:szCs w:val="18"/>
          <w:lang w:val="es-ES_tradnl"/>
        </w:rPr>
        <w:t>ir</w:t>
      </w:r>
      <w:r w:rsidR="00512A72">
        <w:rPr>
          <w:rFonts w:ascii="ITC Avant Garde" w:hAnsi="ITC Avant Garde"/>
          <w:sz w:val="18"/>
          <w:szCs w:val="18"/>
          <w:lang w:val="es-ES_tradnl"/>
        </w:rPr>
        <w:t xml:space="preserve"> de la demanda real observada, </w:t>
      </w:r>
      <w:r w:rsidR="00512A72" w:rsidRPr="00766053">
        <w:rPr>
          <w:rFonts w:ascii="ITC Avant Garde" w:hAnsi="ITC Avant Garde"/>
          <w:sz w:val="18"/>
          <w:szCs w:val="18"/>
          <w:lang w:val="es-ES_tradnl"/>
        </w:rPr>
        <w:t>c</w:t>
      </w:r>
      <w:r w:rsidR="00512A72">
        <w:rPr>
          <w:rFonts w:ascii="ITC Avant Garde" w:hAnsi="ITC Avant Garde"/>
          <w:sz w:val="18"/>
          <w:szCs w:val="18"/>
          <w:lang w:val="es-ES_tradnl"/>
        </w:rPr>
        <w:t>onsiderando</w:t>
      </w:r>
      <w:r w:rsidR="00512A72" w:rsidRPr="00766053">
        <w:rPr>
          <w:rFonts w:ascii="ITC Avant Garde" w:hAnsi="ITC Avant Garde"/>
          <w:sz w:val="18"/>
          <w:szCs w:val="18"/>
          <w:lang w:val="es-ES_tradnl"/>
        </w:rPr>
        <w:t xml:space="preserve"> las características de los predios y los espacios comunes y compartidos </w:t>
      </w:r>
      <w:r w:rsidR="00512A72">
        <w:rPr>
          <w:rFonts w:ascii="ITC Avant Garde" w:hAnsi="ITC Avant Garde"/>
          <w:sz w:val="18"/>
          <w:szCs w:val="18"/>
          <w:lang w:val="es-ES_tradnl"/>
        </w:rPr>
        <w:t>para el acceso, por lo cual el comentario no tiene impacto material sobre el dimensionamiento de espacio involucrado en la estimación</w:t>
      </w:r>
      <w:r w:rsidRPr="00766053">
        <w:rPr>
          <w:rFonts w:ascii="ITC Avant Garde" w:hAnsi="ITC Avant Garde"/>
          <w:sz w:val="18"/>
          <w:szCs w:val="18"/>
          <w:lang w:val="es-ES_tradnl"/>
        </w:rPr>
        <w:t>.</w:t>
      </w:r>
    </w:p>
    <w:p w14:paraId="43892F23" w14:textId="77777777" w:rsidR="001438D2" w:rsidRPr="00766053" w:rsidRDefault="001438D2" w:rsidP="00203113">
      <w:pPr>
        <w:pStyle w:val="Ttulo3"/>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t>Parámetros de costos</w:t>
      </w:r>
      <w:r w:rsidRPr="00766053">
        <w:rPr>
          <w:rFonts w:ascii="ITC Avant Garde" w:eastAsiaTheme="minorHAnsi" w:hAnsi="ITC Avant Garde" w:cstheme="minorBidi"/>
          <w:bCs w:val="0"/>
          <w:sz w:val="18"/>
          <w:szCs w:val="18"/>
          <w:lang w:val="es-ES_tradnl"/>
        </w:rPr>
        <w:t>.</w:t>
      </w:r>
    </w:p>
    <w:p w14:paraId="43892F24" w14:textId="77777777" w:rsidR="00185B74" w:rsidRPr="00766053" w:rsidRDefault="00185B74" w:rsidP="00203113">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8</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xml:space="preserve">: ¿Está de acuerdo con la selección de parámetros de costos definidos en el modelo? </w:t>
      </w:r>
    </w:p>
    <w:p w14:paraId="43892F25" w14:textId="77777777" w:rsidR="00CE316D" w:rsidRPr="00766053" w:rsidRDefault="00CE316D" w:rsidP="00CE316D">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26" w14:textId="10294A90" w:rsidR="003B4D43" w:rsidRPr="00766053" w:rsidRDefault="002E6AEF" w:rsidP="00AE4C00">
      <w:pPr>
        <w:rPr>
          <w:rFonts w:ascii="ITC Avant Garde" w:hAnsi="ITC Avant Garde"/>
          <w:sz w:val="18"/>
          <w:szCs w:val="18"/>
          <w:lang w:val="es-ES_tradnl"/>
        </w:rPr>
      </w:pPr>
      <w:r>
        <w:rPr>
          <w:rFonts w:ascii="ITC Avant Garde" w:hAnsi="ITC Avant Garde"/>
          <w:sz w:val="18"/>
          <w:szCs w:val="18"/>
          <w:lang w:val="es-ES_tradnl"/>
        </w:rPr>
        <w:t>Al respecto, u</w:t>
      </w:r>
      <w:r w:rsidR="00185B74" w:rsidRPr="00766053">
        <w:rPr>
          <w:rFonts w:ascii="ITC Avant Garde" w:hAnsi="ITC Avant Garde"/>
          <w:sz w:val="18"/>
          <w:szCs w:val="18"/>
          <w:lang w:val="es-ES_tradnl"/>
        </w:rPr>
        <w:t xml:space="preserve">n </w:t>
      </w:r>
      <w:r w:rsidR="00D65C64"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[Lester García] </w:t>
      </w:r>
      <w:r>
        <w:rPr>
          <w:rFonts w:ascii="ITC Avant Garde" w:hAnsi="ITC Avant Garde"/>
          <w:sz w:val="18"/>
          <w:szCs w:val="18"/>
          <w:lang w:val="es-ES_tradnl"/>
        </w:rPr>
        <w:t>considera que se necesita mayor detalle</w:t>
      </w:r>
      <w:r w:rsidR="00185B74" w:rsidRPr="00766053">
        <w:rPr>
          <w:rFonts w:ascii="ITC Avant Garde" w:hAnsi="ITC Avant Garde"/>
          <w:sz w:val="18"/>
          <w:szCs w:val="18"/>
          <w:lang w:val="es-ES_tradnl"/>
        </w:rPr>
        <w:t xml:space="preserve"> sobre los datos utilizados para el cálculo de algunos parámetros</w:t>
      </w:r>
      <w:r>
        <w:rPr>
          <w:rFonts w:ascii="ITC Avant Garde" w:hAnsi="ITC Avant Garde"/>
          <w:sz w:val="18"/>
          <w:szCs w:val="18"/>
          <w:lang w:val="es-ES_tradnl"/>
        </w:rPr>
        <w:t>; en concreto</w:t>
      </w:r>
      <w:r w:rsidR="00177542">
        <w:rPr>
          <w:rFonts w:ascii="ITC Avant Garde" w:hAnsi="ITC Avant Garde"/>
          <w:sz w:val="18"/>
          <w:szCs w:val="18"/>
          <w:lang w:val="es-ES_tradnl"/>
        </w:rPr>
        <w:t xml:space="preserve"> sobre el</w:t>
      </w:r>
      <w:r>
        <w:rPr>
          <w:rFonts w:ascii="ITC Avant Garde" w:hAnsi="ITC Avant Garde"/>
          <w:sz w:val="18"/>
          <w:szCs w:val="18"/>
          <w:lang w:val="es-ES_tradnl"/>
        </w:rPr>
        <w:t xml:space="preserve"> Costo de Capital Promedio Ponderado (CCPP, o </w:t>
      </w:r>
      <w:r w:rsidR="00185B74" w:rsidRPr="00766053">
        <w:rPr>
          <w:rFonts w:ascii="ITC Avant Garde" w:hAnsi="ITC Avant Garde"/>
          <w:sz w:val="18"/>
          <w:szCs w:val="18"/>
          <w:lang w:val="es-ES_tradnl"/>
        </w:rPr>
        <w:t xml:space="preserve">WACC </w:t>
      </w:r>
      <w:r>
        <w:rPr>
          <w:rFonts w:ascii="ITC Avant Garde" w:hAnsi="ITC Avant Garde"/>
          <w:sz w:val="18"/>
          <w:szCs w:val="18"/>
          <w:lang w:val="es-ES_tradnl"/>
        </w:rPr>
        <w:t xml:space="preserve">por sus siglas en inglés) y de los porcentajes de </w:t>
      </w:r>
      <w:r w:rsidRPr="002E6AEF">
        <w:rPr>
          <w:rFonts w:ascii="ITC Avant Garde" w:hAnsi="ITC Avant Garde"/>
          <w:i/>
          <w:sz w:val="18"/>
          <w:szCs w:val="18"/>
          <w:lang w:val="es-ES_tradnl"/>
        </w:rPr>
        <w:t>mark-</w:t>
      </w:r>
      <w:r w:rsidR="00185B74" w:rsidRPr="002E6AEF">
        <w:rPr>
          <w:rFonts w:ascii="ITC Avant Garde" w:hAnsi="ITC Avant Garde"/>
          <w:i/>
          <w:sz w:val="18"/>
          <w:szCs w:val="18"/>
          <w:lang w:val="es-ES_tradnl"/>
        </w:rPr>
        <w:t>up</w:t>
      </w:r>
      <w:r w:rsidR="00185B74" w:rsidRPr="00766053">
        <w:rPr>
          <w:rFonts w:ascii="ITC Avant Garde" w:hAnsi="ITC Avant Garde"/>
          <w:sz w:val="18"/>
          <w:szCs w:val="18"/>
          <w:lang w:val="es-ES_tradnl"/>
        </w:rPr>
        <w:t xml:space="preserve"> de gastos comunes por red y business. </w:t>
      </w:r>
      <w:r w:rsidR="00177542">
        <w:rPr>
          <w:rFonts w:ascii="ITC Avant Garde" w:hAnsi="ITC Avant Garde"/>
          <w:sz w:val="18"/>
          <w:szCs w:val="18"/>
          <w:lang w:val="es-ES_tradnl"/>
        </w:rPr>
        <w:t>En complemento, r</w:t>
      </w:r>
      <w:r w:rsidR="00003EFE">
        <w:rPr>
          <w:rFonts w:ascii="ITC Avant Garde" w:hAnsi="ITC Avant Garde"/>
          <w:sz w:val="18"/>
          <w:szCs w:val="18"/>
          <w:lang w:val="es-ES_tradnl"/>
        </w:rPr>
        <w:t xml:space="preserve">especto al </w:t>
      </w:r>
      <w:r w:rsidR="00003EFE" w:rsidRPr="00003EFE">
        <w:rPr>
          <w:rFonts w:ascii="ITC Avant Garde" w:hAnsi="ITC Avant Garde"/>
          <w:i/>
          <w:sz w:val="18"/>
          <w:szCs w:val="18"/>
          <w:lang w:val="es-ES_tradnl"/>
        </w:rPr>
        <w:t>mark-</w:t>
      </w:r>
      <w:r w:rsidR="00E26A85" w:rsidRPr="00003EFE">
        <w:rPr>
          <w:rFonts w:ascii="ITC Avant Garde" w:hAnsi="ITC Avant Garde"/>
          <w:i/>
          <w:sz w:val="18"/>
          <w:szCs w:val="18"/>
          <w:lang w:val="es-ES_tradnl"/>
        </w:rPr>
        <w:t>up</w:t>
      </w:r>
      <w:r w:rsidR="00177542">
        <w:rPr>
          <w:rFonts w:ascii="ITC Avant Garde" w:hAnsi="ITC Avant Garde"/>
          <w:i/>
          <w:sz w:val="18"/>
          <w:szCs w:val="18"/>
          <w:lang w:val="es-ES_tradnl"/>
        </w:rPr>
        <w:t xml:space="preserve"> </w:t>
      </w:r>
      <w:r w:rsidR="00177542" w:rsidRPr="00177542">
        <w:rPr>
          <w:rFonts w:ascii="ITC Avant Garde" w:hAnsi="ITC Avant Garde"/>
          <w:sz w:val="18"/>
          <w:szCs w:val="18"/>
          <w:lang w:val="es-ES_tradnl"/>
        </w:rPr>
        <w:t xml:space="preserve">de gastos comunes y </w:t>
      </w:r>
      <w:r w:rsidR="00177542" w:rsidRPr="004C6C38">
        <w:rPr>
          <w:rFonts w:ascii="ITC Avant Garde" w:hAnsi="ITC Avant Garde"/>
          <w:i/>
          <w:sz w:val="18"/>
          <w:szCs w:val="18"/>
          <w:lang w:val="es-ES_tradnl"/>
        </w:rPr>
        <w:t>bussiness</w:t>
      </w:r>
      <w:r w:rsidR="00E26A85" w:rsidRPr="00766053">
        <w:rPr>
          <w:rFonts w:ascii="ITC Avant Garde" w:hAnsi="ITC Avant Garde"/>
          <w:sz w:val="18"/>
          <w:szCs w:val="18"/>
          <w:lang w:val="es-ES_tradnl"/>
        </w:rPr>
        <w:t xml:space="preserve">, un </w:t>
      </w:r>
      <w:r w:rsidR="00FD3880" w:rsidRPr="00766053">
        <w:rPr>
          <w:rFonts w:ascii="ITC Avant Garde" w:hAnsi="ITC Avant Garde"/>
          <w:sz w:val="18"/>
          <w:szCs w:val="18"/>
          <w:lang w:val="es-ES_tradnl"/>
        </w:rPr>
        <w:t xml:space="preserve">participante </w:t>
      </w:r>
      <w:r w:rsidR="00E26A85" w:rsidRPr="00766053">
        <w:rPr>
          <w:rFonts w:ascii="ITC Avant Garde" w:hAnsi="ITC Avant Garde"/>
          <w:sz w:val="18"/>
          <w:szCs w:val="18"/>
          <w:lang w:val="es-ES_tradnl"/>
        </w:rPr>
        <w:t>[AT&amp;T] considera que éste debería variar dependiendo del tipo de piso.</w:t>
      </w:r>
    </w:p>
    <w:p w14:paraId="43892F27" w14:textId="1B1E2B11" w:rsidR="00003EFE" w:rsidRDefault="00003EFE">
      <w:pPr>
        <w:rPr>
          <w:rFonts w:ascii="ITC Avant Garde" w:hAnsi="ITC Avant Garde"/>
          <w:sz w:val="18"/>
          <w:szCs w:val="18"/>
          <w:lang w:val="es-ES_tradnl"/>
        </w:rPr>
      </w:pPr>
      <w:r>
        <w:rPr>
          <w:rFonts w:ascii="ITC Avant Garde" w:hAnsi="ITC Avant Garde"/>
          <w:sz w:val="18"/>
          <w:szCs w:val="18"/>
          <w:lang w:val="es-ES_tradnl"/>
        </w:rPr>
        <w:t xml:space="preserve">Asimismo, ciertos participantes </w:t>
      </w:r>
      <w:r w:rsidRPr="00766053">
        <w:rPr>
          <w:rFonts w:ascii="ITC Avant Garde" w:hAnsi="ITC Avant Garde"/>
          <w:sz w:val="18"/>
          <w:szCs w:val="18"/>
          <w:lang w:val="es-ES_tradnl"/>
        </w:rPr>
        <w:t>[AT&amp;T</w:t>
      </w:r>
      <w:r>
        <w:rPr>
          <w:rFonts w:ascii="ITC Avant Garde" w:hAnsi="ITC Avant Garde"/>
          <w:sz w:val="18"/>
          <w:szCs w:val="18"/>
          <w:lang w:val="es-ES_tradnl"/>
        </w:rPr>
        <w:t xml:space="preserve">, Telefónica y </w:t>
      </w:r>
      <w:r w:rsidRPr="00766053">
        <w:rPr>
          <w:rFonts w:ascii="ITC Avant Garde" w:hAnsi="ITC Avant Garde"/>
          <w:sz w:val="18"/>
          <w:szCs w:val="18"/>
          <w:lang w:val="es-ES_tradnl"/>
        </w:rPr>
        <w:t>Televisa]</w:t>
      </w:r>
      <w:r w:rsidRPr="00003EFE">
        <w:rPr>
          <w:rFonts w:ascii="ITC Avant Garde" w:hAnsi="ITC Avant Garde"/>
          <w:sz w:val="18"/>
          <w:szCs w:val="18"/>
          <w:lang w:val="es-ES_tradnl"/>
        </w:rPr>
        <w:t xml:space="preserve"> </w:t>
      </w:r>
      <w:r>
        <w:rPr>
          <w:rFonts w:ascii="ITC Avant Garde" w:hAnsi="ITC Avant Garde"/>
          <w:sz w:val="18"/>
          <w:szCs w:val="18"/>
          <w:lang w:val="es-ES_tradnl"/>
        </w:rPr>
        <w:t xml:space="preserve">consideran  que no </w:t>
      </w:r>
      <w:r w:rsidRPr="00766053">
        <w:rPr>
          <w:rFonts w:ascii="ITC Avant Garde" w:hAnsi="ITC Avant Garde"/>
          <w:sz w:val="18"/>
          <w:szCs w:val="18"/>
          <w:lang w:val="es-ES_tradnl"/>
        </w:rPr>
        <w:t xml:space="preserve">es injustificable que </w:t>
      </w:r>
      <w:r>
        <w:rPr>
          <w:rFonts w:ascii="ITC Avant Garde" w:hAnsi="ITC Avant Garde"/>
          <w:sz w:val="18"/>
          <w:szCs w:val="18"/>
          <w:lang w:val="es-ES_tradnl"/>
        </w:rPr>
        <w:t xml:space="preserve">el valor del CCPP empleado en el modelo sea mayor </w:t>
      </w:r>
      <w:r w:rsidRPr="00766053">
        <w:rPr>
          <w:rFonts w:ascii="ITC Avant Garde" w:hAnsi="ITC Avant Garde"/>
          <w:sz w:val="18"/>
          <w:szCs w:val="18"/>
          <w:lang w:val="es-ES_tradnl"/>
        </w:rPr>
        <w:t>a</w:t>
      </w:r>
      <w:r>
        <w:rPr>
          <w:rFonts w:ascii="ITC Avant Garde" w:hAnsi="ITC Avant Garde"/>
          <w:sz w:val="18"/>
          <w:szCs w:val="18"/>
          <w:lang w:val="es-ES_tradnl"/>
        </w:rPr>
        <w:t>l</w:t>
      </w:r>
      <w:r w:rsidRPr="00766053">
        <w:rPr>
          <w:rFonts w:ascii="ITC Avant Garde" w:hAnsi="ITC Avant Garde"/>
          <w:sz w:val="18"/>
          <w:szCs w:val="18"/>
          <w:lang w:val="es-ES_tradnl"/>
        </w:rPr>
        <w:t xml:space="preserve"> correspondiente a </w:t>
      </w:r>
      <w:r w:rsidR="00177542">
        <w:rPr>
          <w:rFonts w:ascii="ITC Avant Garde" w:hAnsi="ITC Avant Garde"/>
          <w:sz w:val="18"/>
          <w:szCs w:val="18"/>
          <w:lang w:val="es-ES_tradnl"/>
        </w:rPr>
        <w:t>los</w:t>
      </w:r>
      <w:r w:rsidRPr="00766053">
        <w:rPr>
          <w:rFonts w:ascii="ITC Avant Garde" w:hAnsi="ITC Avant Garde"/>
          <w:sz w:val="18"/>
          <w:szCs w:val="18"/>
          <w:lang w:val="es-ES_tradnl"/>
        </w:rPr>
        <w:t xml:space="preserve"> competidores móviles</w:t>
      </w:r>
      <w:r w:rsidR="00177542">
        <w:rPr>
          <w:rFonts w:ascii="ITC Avant Garde" w:hAnsi="ITC Avant Garde"/>
          <w:sz w:val="18"/>
          <w:szCs w:val="18"/>
          <w:lang w:val="es-ES_tradnl"/>
        </w:rPr>
        <w:t xml:space="preserve"> del AEP</w:t>
      </w:r>
      <w:r w:rsidRPr="00766053">
        <w:rPr>
          <w:rFonts w:ascii="ITC Avant Garde" w:hAnsi="ITC Avant Garde"/>
          <w:sz w:val="18"/>
          <w:szCs w:val="18"/>
          <w:lang w:val="es-ES_tradnl"/>
        </w:rPr>
        <w:t xml:space="preserve"> y, dado que el Instituto ha fijado una WACC de 9.7% a los operadores no preponderantes, la tasa correspondiente al AEP debería ser notoriamente menor. Otro participante [MATC] afirma que no puede dar su opinión sobre el WACC al no presentarse los valores utilizados para su cálculo.</w:t>
      </w:r>
    </w:p>
    <w:p w14:paraId="43892F28" w14:textId="6F66D9DB" w:rsidR="00D72337" w:rsidRDefault="00003EFE">
      <w:pPr>
        <w:rPr>
          <w:rFonts w:ascii="ITC Avant Garde" w:hAnsi="ITC Avant Garde"/>
          <w:sz w:val="18"/>
          <w:szCs w:val="18"/>
          <w:lang w:val="es-ES_tradnl"/>
        </w:rPr>
      </w:pPr>
      <w:r>
        <w:rPr>
          <w:rFonts w:ascii="ITC Avant Garde" w:hAnsi="ITC Avant Garde"/>
          <w:sz w:val="18"/>
          <w:szCs w:val="18"/>
          <w:lang w:val="es-ES_tradnl"/>
        </w:rPr>
        <w:t>En complemento, e</w:t>
      </w:r>
      <w:r w:rsidR="00185B74" w:rsidRPr="00766053">
        <w:rPr>
          <w:rFonts w:ascii="ITC Avant Garde" w:hAnsi="ITC Avant Garde"/>
          <w:sz w:val="18"/>
          <w:szCs w:val="18"/>
          <w:lang w:val="es-ES_tradnl"/>
        </w:rPr>
        <w:t xml:space="preserve">stos y otros </w:t>
      </w:r>
      <w:r w:rsidR="002D2070" w:rsidRPr="00766053">
        <w:rPr>
          <w:rFonts w:ascii="ITC Avant Garde" w:hAnsi="ITC Avant Garde"/>
          <w:sz w:val="18"/>
          <w:szCs w:val="18"/>
          <w:lang w:val="es-ES_tradnl"/>
        </w:rPr>
        <w:t xml:space="preserve">participantes </w:t>
      </w:r>
      <w:r>
        <w:rPr>
          <w:rFonts w:ascii="ITC Avant Garde" w:hAnsi="ITC Avant Garde"/>
          <w:sz w:val="18"/>
          <w:szCs w:val="18"/>
          <w:lang w:val="es-ES_tradnl"/>
        </w:rPr>
        <w:t>de la consulta pública</w:t>
      </w:r>
      <w:r w:rsidR="002D2070" w:rsidRPr="00766053">
        <w:rPr>
          <w:rFonts w:ascii="ITC Avant Garde" w:hAnsi="ITC Avant Garde"/>
          <w:sz w:val="18"/>
          <w:szCs w:val="18"/>
          <w:lang w:val="es-ES_tradnl"/>
        </w:rPr>
        <w:t xml:space="preserve"> </w:t>
      </w:r>
      <w:r w:rsidR="00185B74" w:rsidRPr="00766053">
        <w:rPr>
          <w:rFonts w:ascii="ITC Avant Garde" w:hAnsi="ITC Avant Garde"/>
          <w:sz w:val="18"/>
          <w:szCs w:val="18"/>
          <w:lang w:val="es-ES_tradnl"/>
        </w:rPr>
        <w:t>[</w:t>
      </w:r>
      <w:r w:rsidR="00544F1C" w:rsidRPr="00766053">
        <w:rPr>
          <w:rFonts w:ascii="ITC Avant Garde" w:hAnsi="ITC Avant Garde"/>
          <w:sz w:val="18"/>
          <w:szCs w:val="18"/>
          <w:lang w:val="es-ES_tradnl"/>
        </w:rPr>
        <w:t>AT&amp;T</w:t>
      </w:r>
      <w:r w:rsidR="00544F1C">
        <w:rPr>
          <w:rFonts w:ascii="ITC Avant Garde" w:hAnsi="ITC Avant Garde"/>
          <w:sz w:val="18"/>
          <w:szCs w:val="18"/>
          <w:lang w:val="es-ES_tradnl"/>
        </w:rPr>
        <w:t xml:space="preserve">, </w:t>
      </w:r>
      <w:r w:rsidR="00544F1C" w:rsidRPr="00766053">
        <w:rPr>
          <w:rFonts w:ascii="ITC Avant Garde" w:hAnsi="ITC Avant Garde"/>
          <w:sz w:val="18"/>
          <w:szCs w:val="18"/>
          <w:lang w:val="es-ES_tradnl"/>
        </w:rPr>
        <w:t xml:space="preserve">MATC </w:t>
      </w:r>
      <w:r w:rsidR="00544F1C">
        <w:rPr>
          <w:rFonts w:ascii="ITC Avant Garde" w:hAnsi="ITC Avant Garde"/>
          <w:sz w:val="18"/>
          <w:szCs w:val="18"/>
          <w:lang w:val="es-ES_tradnl"/>
        </w:rPr>
        <w:t xml:space="preserve">y </w:t>
      </w:r>
      <w:r>
        <w:rPr>
          <w:rFonts w:ascii="ITC Avant Garde" w:hAnsi="ITC Avant Garde"/>
          <w:sz w:val="18"/>
          <w:szCs w:val="18"/>
          <w:lang w:val="es-ES_tradnl"/>
        </w:rPr>
        <w:t>Telefónica] considera</w:t>
      </w:r>
      <w:r w:rsidR="00177542">
        <w:rPr>
          <w:rFonts w:ascii="ITC Avant Garde" w:hAnsi="ITC Avant Garde"/>
          <w:sz w:val="18"/>
          <w:szCs w:val="18"/>
          <w:lang w:val="es-ES_tradnl"/>
        </w:rPr>
        <w:t xml:space="preserve">n </w:t>
      </w:r>
      <w:r>
        <w:rPr>
          <w:rFonts w:ascii="ITC Avant Garde" w:hAnsi="ITC Avant Garde"/>
          <w:sz w:val="18"/>
          <w:szCs w:val="18"/>
          <w:lang w:val="es-ES_tradnl"/>
        </w:rPr>
        <w:t>que las vidas útiles contables, incluidas en el modelo,</w:t>
      </w:r>
      <w:r w:rsidR="00185B74" w:rsidRPr="00766053">
        <w:rPr>
          <w:rFonts w:ascii="ITC Avant Garde" w:hAnsi="ITC Avant Garde"/>
          <w:sz w:val="18"/>
          <w:szCs w:val="18"/>
          <w:lang w:val="es-ES_tradnl"/>
        </w:rPr>
        <w:t xml:space="preserve"> subestiman la </w:t>
      </w:r>
      <w:r>
        <w:rPr>
          <w:rFonts w:ascii="ITC Avant Garde" w:hAnsi="ITC Avant Garde"/>
          <w:sz w:val="18"/>
          <w:szCs w:val="18"/>
          <w:lang w:val="es-ES_tradnl"/>
        </w:rPr>
        <w:t>“</w:t>
      </w:r>
      <w:r w:rsidR="00185B74" w:rsidRPr="00766053">
        <w:rPr>
          <w:rFonts w:ascii="ITC Avant Garde" w:hAnsi="ITC Avant Garde"/>
          <w:sz w:val="18"/>
          <w:szCs w:val="18"/>
          <w:lang w:val="es-ES_tradnl"/>
        </w:rPr>
        <w:t>vida útil real</w:t>
      </w:r>
      <w:r>
        <w:rPr>
          <w:rFonts w:ascii="ITC Avant Garde" w:hAnsi="ITC Avant Garde"/>
          <w:sz w:val="18"/>
          <w:szCs w:val="18"/>
          <w:lang w:val="es-ES_tradnl"/>
        </w:rPr>
        <w:t>”</w:t>
      </w:r>
      <w:r w:rsidR="00185B74" w:rsidRPr="00766053">
        <w:rPr>
          <w:rFonts w:ascii="ITC Avant Garde" w:hAnsi="ITC Avant Garde"/>
          <w:sz w:val="18"/>
          <w:szCs w:val="18"/>
          <w:lang w:val="es-ES_tradnl"/>
        </w:rPr>
        <w:t xml:space="preserve"> y, al </w:t>
      </w:r>
      <w:r>
        <w:rPr>
          <w:rFonts w:ascii="ITC Avant Garde" w:hAnsi="ITC Avant Garde"/>
          <w:sz w:val="18"/>
          <w:szCs w:val="18"/>
          <w:lang w:val="es-ES_tradnl"/>
        </w:rPr>
        <w:t xml:space="preserve">que al tomarse en cuenta </w:t>
      </w:r>
      <w:r w:rsidR="00185B74" w:rsidRPr="00766053">
        <w:rPr>
          <w:rFonts w:ascii="ITC Avant Garde" w:hAnsi="ITC Avant Garde"/>
          <w:sz w:val="18"/>
          <w:szCs w:val="18"/>
          <w:lang w:val="es-ES_tradnl"/>
        </w:rPr>
        <w:t>periodos demasiado cortos para la recuperación de la inversión, las anualidade</w:t>
      </w:r>
      <w:r w:rsidR="00544F1C">
        <w:rPr>
          <w:rFonts w:ascii="ITC Avant Garde" w:hAnsi="ITC Avant Garde"/>
          <w:sz w:val="18"/>
          <w:szCs w:val="18"/>
          <w:lang w:val="es-ES_tradnl"/>
        </w:rPr>
        <w:t xml:space="preserve">s son más elevadas. </w:t>
      </w:r>
    </w:p>
    <w:p w14:paraId="43892F29" w14:textId="57C0869E" w:rsidR="00E26A85" w:rsidRPr="00766053" w:rsidRDefault="00D72337" w:rsidP="00D72337">
      <w:pPr>
        <w:rPr>
          <w:rFonts w:ascii="ITC Avant Garde" w:hAnsi="ITC Avant Garde"/>
          <w:sz w:val="18"/>
          <w:szCs w:val="18"/>
          <w:lang w:val="es-ES_tradnl"/>
        </w:rPr>
      </w:pPr>
      <w:r>
        <w:rPr>
          <w:rFonts w:ascii="ITC Avant Garde" w:hAnsi="ITC Avant Garde"/>
          <w:sz w:val="18"/>
          <w:szCs w:val="18"/>
          <w:lang w:val="es-ES_tradnl"/>
        </w:rPr>
        <w:t>En tal sentido, u</w:t>
      </w:r>
      <w:r w:rsidR="00544F1C">
        <w:rPr>
          <w:rFonts w:ascii="ITC Avant Garde" w:hAnsi="ITC Avant Garde"/>
          <w:sz w:val="18"/>
          <w:szCs w:val="18"/>
          <w:lang w:val="es-ES_tradnl"/>
        </w:rPr>
        <w:t>no de éstos participantes</w:t>
      </w:r>
      <w:r w:rsidR="00185B74" w:rsidRPr="00766053">
        <w:rPr>
          <w:rFonts w:ascii="ITC Avant Garde" w:hAnsi="ITC Avant Garde"/>
          <w:sz w:val="18"/>
          <w:szCs w:val="18"/>
          <w:lang w:val="es-ES_tradnl"/>
        </w:rPr>
        <w:t xml:space="preserve"> [MATC] </w:t>
      </w:r>
      <w:r>
        <w:rPr>
          <w:rFonts w:ascii="ITC Avant Garde" w:hAnsi="ITC Avant Garde"/>
          <w:sz w:val="18"/>
          <w:szCs w:val="18"/>
          <w:lang w:val="es-ES_tradnl"/>
        </w:rPr>
        <w:t xml:space="preserve">que no </w:t>
      </w:r>
      <w:r w:rsidR="00177542">
        <w:rPr>
          <w:rFonts w:ascii="ITC Avant Garde" w:hAnsi="ITC Avant Garde"/>
          <w:sz w:val="18"/>
          <w:szCs w:val="18"/>
          <w:lang w:val="es-ES_tradnl"/>
        </w:rPr>
        <w:t xml:space="preserve">es claro </w:t>
      </w:r>
      <w:r w:rsidR="00185B74" w:rsidRPr="00766053">
        <w:rPr>
          <w:rFonts w:ascii="ITC Avant Garde" w:hAnsi="ITC Avant Garde"/>
          <w:sz w:val="18"/>
          <w:szCs w:val="18"/>
          <w:lang w:val="es-ES_tradnl"/>
        </w:rPr>
        <w:t xml:space="preserve">en qué circunstancias se aplicarían precios diferentes respecto al espacio en las azoteas de </w:t>
      </w:r>
      <w:r w:rsidR="00544F1C">
        <w:rPr>
          <w:rFonts w:ascii="ITC Avant Garde" w:hAnsi="ITC Avant Garde"/>
          <w:sz w:val="18"/>
          <w:szCs w:val="18"/>
          <w:lang w:val="es-ES_tradnl"/>
        </w:rPr>
        <w:t>“</w:t>
      </w:r>
      <w:r w:rsidR="00185B74" w:rsidRPr="00766053">
        <w:rPr>
          <w:rFonts w:ascii="ITC Avant Garde" w:hAnsi="ITC Avant Garde"/>
          <w:sz w:val="18"/>
          <w:szCs w:val="18"/>
          <w:lang w:val="es-ES_tradnl"/>
        </w:rPr>
        <w:t>TELMEX/TELNOR</w:t>
      </w:r>
      <w:r w:rsidR="00544F1C">
        <w:rPr>
          <w:rFonts w:ascii="ITC Avant Garde" w:hAnsi="ITC Avant Garde"/>
          <w:sz w:val="18"/>
          <w:szCs w:val="18"/>
          <w:lang w:val="es-ES_tradnl"/>
        </w:rPr>
        <w:t>”</w:t>
      </w:r>
      <w:r w:rsidR="00185B74" w:rsidRPr="00766053">
        <w:rPr>
          <w:rFonts w:ascii="ITC Avant Garde" w:hAnsi="ITC Avant Garde"/>
          <w:sz w:val="18"/>
          <w:szCs w:val="18"/>
          <w:lang w:val="es-ES_tradnl"/>
        </w:rPr>
        <w:t>.</w:t>
      </w:r>
    </w:p>
    <w:p w14:paraId="43892F2A" w14:textId="77777777" w:rsidR="001438D2"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lastRenderedPageBreak/>
        <w:t xml:space="preserve">Por último, </w:t>
      </w:r>
      <w:r w:rsidR="00C635C1">
        <w:rPr>
          <w:rFonts w:ascii="ITC Avant Garde" w:hAnsi="ITC Avant Garde"/>
          <w:sz w:val="18"/>
          <w:szCs w:val="18"/>
          <w:lang w:val="es-ES_tradnl"/>
        </w:rPr>
        <w:t>este último participante</w:t>
      </w:r>
      <w:r w:rsidR="006F5749" w:rsidRPr="00766053">
        <w:rPr>
          <w:rFonts w:ascii="ITC Avant Garde" w:hAnsi="ITC Avant Garde"/>
          <w:sz w:val="18"/>
          <w:szCs w:val="18"/>
          <w:lang w:val="es-ES_tradnl"/>
        </w:rPr>
        <w:t xml:space="preserve"> </w:t>
      </w:r>
      <w:r w:rsidRPr="00766053">
        <w:rPr>
          <w:rFonts w:ascii="ITC Avant Garde" w:hAnsi="ITC Avant Garde"/>
          <w:sz w:val="18"/>
          <w:szCs w:val="18"/>
          <w:lang w:val="es-ES_tradnl"/>
        </w:rPr>
        <w:t>[MATC] considera que el valor del arrendamiento anual de predios por m</w:t>
      </w:r>
      <w:r w:rsidRPr="00F233EE">
        <w:rPr>
          <w:rFonts w:ascii="ITC Avant Garde" w:hAnsi="ITC Avant Garde"/>
          <w:sz w:val="18"/>
          <w:szCs w:val="18"/>
          <w:vertAlign w:val="superscript"/>
          <w:lang w:val="es-ES_tradnl"/>
        </w:rPr>
        <w:t>2</w:t>
      </w:r>
      <w:r w:rsidRPr="00766053">
        <w:rPr>
          <w:rFonts w:ascii="ITC Avant Garde" w:hAnsi="ITC Avant Garde"/>
          <w:sz w:val="18"/>
          <w:szCs w:val="18"/>
          <w:lang w:val="es-ES_tradnl"/>
        </w:rPr>
        <w:t xml:space="preserve"> es muy reducido para zonas urbanas y en especial para la Ciudad de México. Esto</w:t>
      </w:r>
      <w:r w:rsidR="005B1DDC">
        <w:rPr>
          <w:rFonts w:ascii="ITC Avant Garde" w:hAnsi="ITC Avant Garde"/>
          <w:sz w:val="18"/>
          <w:szCs w:val="18"/>
          <w:lang w:val="es-ES_tradnl"/>
        </w:rPr>
        <w:t>, expresa,</w:t>
      </w:r>
      <w:r w:rsidRPr="00766053">
        <w:rPr>
          <w:rFonts w:ascii="ITC Avant Garde" w:hAnsi="ITC Avant Garde"/>
          <w:sz w:val="18"/>
          <w:szCs w:val="18"/>
          <w:lang w:val="es-ES_tradnl"/>
        </w:rPr>
        <w:t xml:space="preserve"> puede deberse a un error en el modelo al tomar como costo total de arrendamiento del precio valores que en realidad corresponden a costo por metro cuadrado.</w:t>
      </w:r>
    </w:p>
    <w:p w14:paraId="43892F2B" w14:textId="77777777" w:rsidR="001F5B60" w:rsidRPr="001F5B60" w:rsidRDefault="001F5B60" w:rsidP="001F5B6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2C" w14:textId="34A4A001" w:rsidR="00D854D5" w:rsidRDefault="00D854D5" w:rsidP="00D854D5">
      <w:pPr>
        <w:pStyle w:val="Listaconvietas"/>
        <w:numPr>
          <w:ilvl w:val="0"/>
          <w:numId w:val="0"/>
        </w:numPr>
        <w:rPr>
          <w:rFonts w:ascii="ITC Avant Garde" w:hAnsi="ITC Avant Garde"/>
          <w:sz w:val="18"/>
          <w:szCs w:val="18"/>
          <w:lang w:val="es-ES_tradnl"/>
        </w:rPr>
      </w:pPr>
      <w:r w:rsidRPr="00535320">
        <w:rPr>
          <w:rFonts w:ascii="ITC Avant Garde" w:hAnsi="ITC Avant Garde"/>
          <w:sz w:val="18"/>
          <w:szCs w:val="18"/>
          <w:lang w:val="es-ES_tradnl"/>
        </w:rPr>
        <w:t>El</w:t>
      </w:r>
      <w:r>
        <w:rPr>
          <w:rFonts w:ascii="ITC Avant Garde" w:hAnsi="ITC Avant Garde"/>
          <w:sz w:val="18"/>
          <w:szCs w:val="18"/>
          <w:lang w:val="es-ES_tradnl"/>
        </w:rPr>
        <w:t xml:space="preserve"> Instituto señala que la actualización del</w:t>
      </w:r>
      <w:r w:rsidRPr="00535320">
        <w:rPr>
          <w:rFonts w:ascii="ITC Avant Garde" w:hAnsi="ITC Avant Garde"/>
          <w:sz w:val="18"/>
          <w:szCs w:val="18"/>
          <w:lang w:val="es-ES_tradnl"/>
        </w:rPr>
        <w:t xml:space="preserve"> modelo, y por extensión sus parámetros, se revisa</w:t>
      </w:r>
      <w:r w:rsidR="00BC57B0">
        <w:rPr>
          <w:rFonts w:ascii="ITC Avant Garde" w:hAnsi="ITC Avant Garde"/>
          <w:sz w:val="18"/>
          <w:szCs w:val="18"/>
          <w:lang w:val="es-ES_tradnl"/>
        </w:rPr>
        <w:t>rán</w:t>
      </w:r>
      <w:r w:rsidRPr="00535320">
        <w:rPr>
          <w:rFonts w:ascii="ITC Avant Garde" w:hAnsi="ITC Avant Garde"/>
          <w:sz w:val="18"/>
          <w:szCs w:val="18"/>
          <w:lang w:val="es-ES_tradnl"/>
        </w:rPr>
        <w:t xml:space="preserve"> </w:t>
      </w:r>
      <w:r w:rsidR="00BC57B0">
        <w:rPr>
          <w:rFonts w:ascii="ITC Avant Garde" w:hAnsi="ITC Avant Garde"/>
          <w:sz w:val="18"/>
          <w:szCs w:val="18"/>
          <w:lang w:val="es-ES_tradnl"/>
        </w:rPr>
        <w:t>con</w:t>
      </w:r>
      <w:r w:rsidRPr="00535320">
        <w:rPr>
          <w:rFonts w:ascii="ITC Avant Garde" w:hAnsi="ITC Avant Garde"/>
          <w:sz w:val="18"/>
          <w:szCs w:val="18"/>
          <w:lang w:val="es-ES_tradnl"/>
        </w:rPr>
        <w:t xml:space="preserve"> base </w:t>
      </w:r>
      <w:r w:rsidR="00BC57B0">
        <w:rPr>
          <w:rFonts w:ascii="ITC Avant Garde" w:hAnsi="ITC Avant Garde"/>
          <w:sz w:val="18"/>
          <w:szCs w:val="18"/>
          <w:lang w:val="es-ES_tradnl"/>
        </w:rPr>
        <w:t>en</w:t>
      </w:r>
      <w:r w:rsidRPr="00535320">
        <w:rPr>
          <w:rFonts w:ascii="ITC Avant Garde" w:hAnsi="ITC Avant Garde"/>
          <w:sz w:val="18"/>
          <w:szCs w:val="18"/>
          <w:lang w:val="es-ES_tradnl"/>
        </w:rPr>
        <w:t xml:space="preserve"> las respuestas a la presente consulta, así como a los datos adicionales proporcionados</w:t>
      </w:r>
      <w:r>
        <w:rPr>
          <w:rFonts w:ascii="ITC Avant Garde" w:hAnsi="ITC Avant Garde"/>
          <w:sz w:val="18"/>
          <w:szCs w:val="18"/>
          <w:lang w:val="es-ES_tradnl"/>
        </w:rPr>
        <w:t xml:space="preserve"> por el AEP y los diferentes operadores</w:t>
      </w:r>
      <w:r w:rsidRPr="00535320">
        <w:rPr>
          <w:rFonts w:ascii="ITC Avant Garde" w:hAnsi="ITC Avant Garde"/>
          <w:sz w:val="18"/>
          <w:szCs w:val="18"/>
          <w:lang w:val="es-ES_tradnl"/>
        </w:rPr>
        <w:t>.</w:t>
      </w:r>
      <w:r>
        <w:rPr>
          <w:rFonts w:ascii="ITC Avant Garde" w:hAnsi="ITC Avant Garde"/>
          <w:sz w:val="18"/>
          <w:szCs w:val="18"/>
          <w:lang w:val="es-ES_tradnl"/>
        </w:rPr>
        <w:t xml:space="preserve"> Lo anterior resulta aplicable para los valores considerados para reflejar los </w:t>
      </w:r>
      <w:r w:rsidRPr="00D854D5">
        <w:rPr>
          <w:rFonts w:ascii="ITC Avant Garde" w:hAnsi="ITC Avant Garde"/>
          <w:sz w:val="18"/>
          <w:szCs w:val="18"/>
          <w:lang w:val="es-ES_tradnl"/>
        </w:rPr>
        <w:t>mark-up</w:t>
      </w:r>
      <w:r w:rsidR="00C635C1">
        <w:rPr>
          <w:rFonts w:ascii="ITC Avant Garde" w:hAnsi="ITC Avant Garde"/>
          <w:sz w:val="18"/>
          <w:szCs w:val="18"/>
          <w:lang w:val="es-ES_tradnl"/>
        </w:rPr>
        <w:t>’s</w:t>
      </w:r>
      <w:r w:rsidRPr="00D854D5">
        <w:rPr>
          <w:rFonts w:ascii="ITC Avant Garde" w:hAnsi="ITC Avant Garde"/>
          <w:sz w:val="18"/>
          <w:szCs w:val="18"/>
          <w:lang w:val="es-ES_tradnl"/>
        </w:rPr>
        <w:t xml:space="preserve"> de gastos </w:t>
      </w:r>
      <w:r w:rsidR="00C635C1" w:rsidRPr="00D854D5">
        <w:rPr>
          <w:rFonts w:ascii="ITC Avant Garde" w:hAnsi="ITC Avant Garde"/>
          <w:sz w:val="18"/>
          <w:szCs w:val="18"/>
          <w:lang w:val="es-ES_tradnl"/>
        </w:rPr>
        <w:t>comunes</w:t>
      </w:r>
      <w:r w:rsidRPr="00D854D5">
        <w:rPr>
          <w:rFonts w:ascii="ITC Avant Garde" w:hAnsi="ITC Avant Garde"/>
          <w:sz w:val="18"/>
          <w:szCs w:val="18"/>
          <w:lang w:val="es-ES_tradnl"/>
        </w:rPr>
        <w:t xml:space="preserve"> y </w:t>
      </w:r>
      <w:r w:rsidRPr="00D854D5">
        <w:rPr>
          <w:rFonts w:ascii="ITC Avant Garde" w:hAnsi="ITC Avant Garde"/>
          <w:i/>
          <w:sz w:val="18"/>
          <w:szCs w:val="18"/>
          <w:lang w:val="es-ES_tradnl"/>
        </w:rPr>
        <w:t>business</w:t>
      </w:r>
      <w:r w:rsidRPr="00D854D5">
        <w:rPr>
          <w:rFonts w:ascii="ITC Avant Garde" w:hAnsi="ITC Avant Garde"/>
          <w:sz w:val="18"/>
          <w:szCs w:val="18"/>
          <w:lang w:val="es-ES_tradnl"/>
        </w:rPr>
        <w:t>.</w:t>
      </w:r>
    </w:p>
    <w:p w14:paraId="43892F2D" w14:textId="1B7744D8" w:rsidR="00D854D5" w:rsidRDefault="00D854D5" w:rsidP="00D854D5">
      <w:pPr>
        <w:pStyle w:val="Listaconvietas"/>
        <w:numPr>
          <w:ilvl w:val="0"/>
          <w:numId w:val="0"/>
        </w:numPr>
        <w:rPr>
          <w:rFonts w:ascii="ITC Avant Garde" w:hAnsi="ITC Avant Garde"/>
          <w:sz w:val="18"/>
          <w:szCs w:val="18"/>
          <w:lang w:val="es-ES_tradnl"/>
        </w:rPr>
      </w:pPr>
      <w:r>
        <w:rPr>
          <w:rFonts w:ascii="ITC Avant Garde" w:hAnsi="ITC Avant Garde"/>
          <w:sz w:val="18"/>
          <w:szCs w:val="18"/>
          <w:lang w:val="es-ES_tradnl"/>
        </w:rPr>
        <w:t xml:space="preserve">De manera particular, </w:t>
      </w:r>
      <w:r w:rsidR="00BC57B0">
        <w:rPr>
          <w:rFonts w:ascii="ITC Avant Garde" w:hAnsi="ITC Avant Garde"/>
          <w:sz w:val="18"/>
          <w:szCs w:val="18"/>
          <w:lang w:val="es-ES_tradnl"/>
        </w:rPr>
        <w:t xml:space="preserve">en </w:t>
      </w:r>
      <w:r>
        <w:rPr>
          <w:rFonts w:ascii="ITC Avant Garde" w:hAnsi="ITC Avant Garde"/>
          <w:sz w:val="18"/>
          <w:szCs w:val="18"/>
          <w:lang w:val="es-ES_tradnl"/>
        </w:rPr>
        <w:t xml:space="preserve">la versión final del modelo </w:t>
      </w:r>
      <w:r w:rsidR="00BC57B0">
        <w:rPr>
          <w:rFonts w:ascii="ITC Avant Garde" w:hAnsi="ITC Avant Garde"/>
          <w:sz w:val="18"/>
          <w:szCs w:val="18"/>
          <w:lang w:val="es-ES_tradnl"/>
        </w:rPr>
        <w:t xml:space="preserve">se </w:t>
      </w:r>
      <w:r>
        <w:rPr>
          <w:rFonts w:ascii="ITC Avant Garde" w:hAnsi="ITC Avant Garde"/>
          <w:sz w:val="18"/>
          <w:szCs w:val="18"/>
          <w:lang w:val="es-ES_tradnl"/>
        </w:rPr>
        <w:t>incorpora</w:t>
      </w:r>
      <w:r w:rsidR="00BC57B0">
        <w:rPr>
          <w:rFonts w:ascii="ITC Avant Garde" w:hAnsi="ITC Avant Garde"/>
          <w:sz w:val="18"/>
          <w:szCs w:val="18"/>
          <w:lang w:val="es-ES_tradnl"/>
        </w:rPr>
        <w:t>rá</w:t>
      </w:r>
      <w:r>
        <w:rPr>
          <w:rFonts w:ascii="ITC Avant Garde" w:hAnsi="ITC Avant Garde"/>
          <w:sz w:val="18"/>
          <w:szCs w:val="18"/>
          <w:lang w:val="es-ES_tradnl"/>
        </w:rPr>
        <w:t xml:space="preserve"> el valor más reciente</w:t>
      </w:r>
      <w:r w:rsidR="00F91D6A">
        <w:rPr>
          <w:rFonts w:ascii="ITC Avant Garde" w:hAnsi="ITC Avant Garde"/>
          <w:sz w:val="18"/>
          <w:szCs w:val="18"/>
          <w:lang w:val="es-ES_tradnl"/>
        </w:rPr>
        <w:t xml:space="preserve"> del CCPP estimado por el Instituto para </w:t>
      </w:r>
      <w:r w:rsidR="00BC57B0">
        <w:rPr>
          <w:rFonts w:ascii="ITC Avant Garde" w:hAnsi="ITC Avant Garde"/>
          <w:sz w:val="18"/>
          <w:szCs w:val="18"/>
          <w:lang w:val="es-ES_tradnl"/>
        </w:rPr>
        <w:t>servicios mayoristas prestados por el AEP</w:t>
      </w:r>
      <w:r w:rsidR="00F91D6A">
        <w:rPr>
          <w:rFonts w:ascii="ITC Avant Garde" w:hAnsi="ITC Avant Garde"/>
          <w:sz w:val="18"/>
          <w:szCs w:val="18"/>
          <w:lang w:val="es-ES_tradnl"/>
        </w:rPr>
        <w:t xml:space="preserve"> en los correspondientes modelos de costos.</w:t>
      </w:r>
    </w:p>
    <w:p w14:paraId="43892F2E" w14:textId="5E0AC28F" w:rsidR="00F91D6A" w:rsidRPr="00077776" w:rsidRDefault="005E0A28" w:rsidP="00F91D6A">
      <w:pPr>
        <w:pStyle w:val="Listaconvietas"/>
        <w:numPr>
          <w:ilvl w:val="0"/>
          <w:numId w:val="0"/>
        </w:numPr>
        <w:rPr>
          <w:rFonts w:ascii="ITC Avant Garde" w:hAnsi="ITC Avant Garde"/>
          <w:color w:val="000000" w:themeColor="text1"/>
          <w:sz w:val="18"/>
          <w:szCs w:val="18"/>
          <w:lang w:val="es-ES"/>
        </w:rPr>
      </w:pPr>
      <w:r w:rsidRPr="00F91D6A">
        <w:rPr>
          <w:rFonts w:ascii="ITC Avant Garde" w:hAnsi="ITC Avant Garde"/>
          <w:color w:val="000000" w:themeColor="text1"/>
          <w:sz w:val="18"/>
          <w:szCs w:val="18"/>
          <w:lang w:val="es-ES"/>
        </w:rPr>
        <w:t xml:space="preserve">Por otra parte, sobre los comentarios en cuanto a que las vidas útiles contables subestiman la </w:t>
      </w:r>
      <w:r w:rsidR="00F91D6A" w:rsidRPr="00F91D6A">
        <w:rPr>
          <w:rFonts w:ascii="ITC Avant Garde" w:hAnsi="ITC Avant Garde"/>
          <w:color w:val="000000" w:themeColor="text1"/>
          <w:sz w:val="18"/>
          <w:szCs w:val="18"/>
          <w:lang w:val="es-ES"/>
        </w:rPr>
        <w:t>“</w:t>
      </w:r>
      <w:r w:rsidRPr="00F91D6A">
        <w:rPr>
          <w:rFonts w:ascii="ITC Avant Garde" w:hAnsi="ITC Avant Garde"/>
          <w:color w:val="000000" w:themeColor="text1"/>
          <w:sz w:val="18"/>
          <w:szCs w:val="18"/>
          <w:lang w:val="es-ES"/>
        </w:rPr>
        <w:t>vida útil real</w:t>
      </w:r>
      <w:r w:rsidR="00F91D6A" w:rsidRPr="00F91D6A">
        <w:rPr>
          <w:rFonts w:ascii="ITC Avant Garde" w:hAnsi="ITC Avant Garde"/>
          <w:color w:val="000000" w:themeColor="text1"/>
          <w:sz w:val="18"/>
          <w:szCs w:val="18"/>
          <w:lang w:val="es-ES"/>
        </w:rPr>
        <w:t>”</w:t>
      </w:r>
      <w:r w:rsidRPr="00F91D6A">
        <w:rPr>
          <w:rFonts w:ascii="ITC Avant Garde" w:hAnsi="ITC Avant Garde"/>
          <w:color w:val="000000" w:themeColor="text1"/>
          <w:sz w:val="18"/>
          <w:szCs w:val="18"/>
          <w:lang w:val="es-ES"/>
        </w:rPr>
        <w:t xml:space="preserve"> de los activos y que en consistencia con el periodo de recuperación de la inversión sugieren el valor de la </w:t>
      </w:r>
      <w:r w:rsidR="00F91D6A" w:rsidRPr="00F91D6A">
        <w:rPr>
          <w:rFonts w:ascii="ITC Avant Garde" w:hAnsi="ITC Avant Garde"/>
          <w:color w:val="000000" w:themeColor="text1"/>
          <w:sz w:val="18"/>
          <w:szCs w:val="18"/>
          <w:lang w:val="es-ES"/>
        </w:rPr>
        <w:t>“</w:t>
      </w:r>
      <w:r w:rsidRPr="00F91D6A">
        <w:rPr>
          <w:rFonts w:ascii="ITC Avant Garde" w:hAnsi="ITC Avant Garde"/>
          <w:color w:val="000000" w:themeColor="text1"/>
          <w:sz w:val="18"/>
          <w:szCs w:val="18"/>
          <w:lang w:val="es-ES"/>
        </w:rPr>
        <w:t>vida útil real</w:t>
      </w:r>
      <w:r w:rsidR="00F91D6A" w:rsidRPr="00F91D6A">
        <w:rPr>
          <w:rFonts w:ascii="ITC Avant Garde" w:hAnsi="ITC Avant Garde"/>
          <w:color w:val="000000" w:themeColor="text1"/>
          <w:sz w:val="18"/>
          <w:szCs w:val="18"/>
          <w:lang w:val="es-ES"/>
        </w:rPr>
        <w:t>”</w:t>
      </w:r>
      <w:r w:rsidRPr="00F91D6A">
        <w:rPr>
          <w:rFonts w:ascii="ITC Avant Garde" w:hAnsi="ITC Avant Garde"/>
          <w:color w:val="000000" w:themeColor="text1"/>
          <w:sz w:val="18"/>
          <w:szCs w:val="18"/>
          <w:lang w:val="es-ES"/>
        </w:rPr>
        <w:t xml:space="preserve">, el Instituto señala que las vidas útiles </w:t>
      </w:r>
      <w:r w:rsidR="0022734D">
        <w:rPr>
          <w:rFonts w:ascii="ITC Avant Garde" w:hAnsi="ITC Avant Garde"/>
          <w:color w:val="000000" w:themeColor="text1"/>
          <w:sz w:val="18"/>
          <w:szCs w:val="18"/>
          <w:lang w:val="es-ES"/>
        </w:rPr>
        <w:t xml:space="preserve"> s</w:t>
      </w:r>
      <w:r w:rsidR="00FB2625">
        <w:rPr>
          <w:rFonts w:ascii="ITC Avant Garde" w:hAnsi="ITC Avant Garde"/>
          <w:color w:val="000000" w:themeColor="text1"/>
          <w:sz w:val="18"/>
          <w:szCs w:val="18"/>
          <w:lang w:val="es-ES"/>
        </w:rPr>
        <w:t>erán</w:t>
      </w:r>
      <w:r w:rsidR="0022734D">
        <w:rPr>
          <w:rFonts w:ascii="ITC Avant Garde" w:hAnsi="ITC Avant Garde"/>
          <w:color w:val="000000" w:themeColor="text1"/>
          <w:sz w:val="18"/>
          <w:szCs w:val="18"/>
          <w:lang w:val="es-ES"/>
        </w:rPr>
        <w:t xml:space="preserve"> </w:t>
      </w:r>
      <w:r w:rsidR="00993DE5">
        <w:rPr>
          <w:rFonts w:ascii="ITC Avant Garde" w:hAnsi="ITC Avant Garde"/>
          <w:color w:val="000000" w:themeColor="text1"/>
          <w:sz w:val="18"/>
          <w:szCs w:val="18"/>
          <w:lang w:val="es-ES"/>
        </w:rPr>
        <w:t xml:space="preserve">de tipo </w:t>
      </w:r>
      <w:r w:rsidR="0022734D">
        <w:rPr>
          <w:rFonts w:ascii="ITC Avant Garde" w:hAnsi="ITC Avant Garde"/>
          <w:color w:val="000000" w:themeColor="text1"/>
          <w:sz w:val="18"/>
          <w:szCs w:val="18"/>
          <w:lang w:val="es-ES"/>
        </w:rPr>
        <w:t xml:space="preserve">económicas, </w:t>
      </w:r>
      <w:r w:rsidR="00FB2625">
        <w:rPr>
          <w:rFonts w:ascii="ITC Avant Garde" w:hAnsi="ITC Avant Garde"/>
          <w:color w:val="000000" w:themeColor="text1"/>
          <w:sz w:val="18"/>
          <w:szCs w:val="18"/>
          <w:lang w:val="es-ES"/>
        </w:rPr>
        <w:t>considerando la información</w:t>
      </w:r>
      <w:r w:rsidR="00F91D6A" w:rsidRPr="00077776">
        <w:rPr>
          <w:rFonts w:ascii="ITC Avant Garde" w:hAnsi="ITC Avant Garde"/>
          <w:color w:val="000000" w:themeColor="text1"/>
          <w:sz w:val="18"/>
          <w:szCs w:val="18"/>
          <w:lang w:val="es-ES"/>
        </w:rPr>
        <w:t xml:space="preserve"> provist</w:t>
      </w:r>
      <w:r w:rsidR="00FB2625">
        <w:rPr>
          <w:rFonts w:ascii="ITC Avant Garde" w:hAnsi="ITC Avant Garde"/>
          <w:color w:val="000000" w:themeColor="text1"/>
          <w:sz w:val="18"/>
          <w:szCs w:val="18"/>
          <w:lang w:val="es-ES"/>
        </w:rPr>
        <w:t>a</w:t>
      </w:r>
      <w:r w:rsidR="00F91D6A" w:rsidRPr="00077776">
        <w:rPr>
          <w:rFonts w:ascii="ITC Avant Garde" w:hAnsi="ITC Avant Garde"/>
          <w:color w:val="000000" w:themeColor="text1"/>
          <w:sz w:val="18"/>
          <w:szCs w:val="18"/>
          <w:lang w:val="es-ES"/>
        </w:rPr>
        <w:t xml:space="preserve"> por el AEP para alimentar par</w:t>
      </w:r>
      <w:r w:rsidR="00F91D6A">
        <w:rPr>
          <w:rFonts w:ascii="ITC Avant Garde" w:hAnsi="ITC Avant Garde"/>
          <w:color w:val="000000" w:themeColor="text1"/>
          <w:sz w:val="18"/>
          <w:szCs w:val="18"/>
          <w:lang w:val="es-ES"/>
        </w:rPr>
        <w:t>ámetros</w:t>
      </w:r>
      <w:r w:rsidR="00FB2625">
        <w:rPr>
          <w:rFonts w:ascii="ITC Avant Garde" w:hAnsi="ITC Avant Garde"/>
          <w:color w:val="000000" w:themeColor="text1"/>
          <w:sz w:val="18"/>
          <w:szCs w:val="18"/>
          <w:lang w:val="es-ES"/>
        </w:rPr>
        <w:t xml:space="preserve"> de entra</w:t>
      </w:r>
      <w:r w:rsidR="00F91D6A" w:rsidRPr="00077776">
        <w:rPr>
          <w:rFonts w:ascii="ITC Avant Garde" w:hAnsi="ITC Avant Garde"/>
          <w:color w:val="000000" w:themeColor="text1"/>
          <w:sz w:val="18"/>
          <w:szCs w:val="18"/>
          <w:lang w:val="es-ES"/>
        </w:rPr>
        <w:t xml:space="preserve">, </w:t>
      </w:r>
      <w:r w:rsidR="00FB2625">
        <w:rPr>
          <w:rFonts w:ascii="ITC Avant Garde" w:hAnsi="ITC Avant Garde"/>
          <w:color w:val="000000" w:themeColor="text1"/>
          <w:sz w:val="18"/>
          <w:szCs w:val="18"/>
          <w:lang w:val="es-ES"/>
        </w:rPr>
        <w:t xml:space="preserve">los cuales serán </w:t>
      </w:r>
      <w:r w:rsidR="00F91D6A" w:rsidRPr="00077776">
        <w:rPr>
          <w:rFonts w:ascii="ITC Avant Garde" w:hAnsi="ITC Avant Garde"/>
          <w:color w:val="000000" w:themeColor="text1"/>
          <w:sz w:val="18"/>
          <w:szCs w:val="18"/>
          <w:lang w:val="es-ES"/>
        </w:rPr>
        <w:t xml:space="preserve">debidamente analizados y contrastados, siempre que </w:t>
      </w:r>
      <w:r w:rsidR="00FB2625">
        <w:rPr>
          <w:rFonts w:ascii="ITC Avant Garde" w:hAnsi="ITC Avant Garde"/>
          <w:color w:val="000000" w:themeColor="text1"/>
          <w:sz w:val="18"/>
          <w:szCs w:val="18"/>
          <w:lang w:val="es-ES"/>
        </w:rPr>
        <w:t>sea</w:t>
      </w:r>
      <w:r w:rsidR="00F91D6A" w:rsidRPr="00077776">
        <w:rPr>
          <w:rFonts w:ascii="ITC Avant Garde" w:hAnsi="ITC Avant Garde"/>
          <w:color w:val="000000" w:themeColor="text1"/>
          <w:sz w:val="18"/>
          <w:szCs w:val="18"/>
          <w:lang w:val="es-ES"/>
        </w:rPr>
        <w:t xml:space="preserve"> posible, y que se </w:t>
      </w:r>
      <w:r w:rsidR="00FB2625">
        <w:rPr>
          <w:rFonts w:ascii="ITC Avant Garde" w:hAnsi="ITC Avant Garde"/>
          <w:color w:val="000000" w:themeColor="text1"/>
          <w:sz w:val="18"/>
          <w:szCs w:val="18"/>
          <w:lang w:val="es-ES"/>
        </w:rPr>
        <w:t>emplearán</w:t>
      </w:r>
      <w:r w:rsidR="00F91D6A" w:rsidRPr="00077776">
        <w:rPr>
          <w:rFonts w:ascii="ITC Avant Garde" w:hAnsi="ITC Avant Garde"/>
          <w:color w:val="000000" w:themeColor="text1"/>
          <w:sz w:val="18"/>
          <w:szCs w:val="18"/>
          <w:lang w:val="es-ES"/>
        </w:rPr>
        <w:t xml:space="preserve"> comparativas internacionales o estimaciones donde no </w:t>
      </w:r>
      <w:r w:rsidR="00FB2625">
        <w:rPr>
          <w:rFonts w:ascii="ITC Avant Garde" w:hAnsi="ITC Avant Garde"/>
          <w:color w:val="000000" w:themeColor="text1"/>
          <w:sz w:val="18"/>
          <w:szCs w:val="18"/>
          <w:lang w:val="es-ES"/>
        </w:rPr>
        <w:t>sea</w:t>
      </w:r>
      <w:r w:rsidR="00F91D6A" w:rsidRPr="00077776">
        <w:rPr>
          <w:rFonts w:ascii="ITC Avant Garde" w:hAnsi="ITC Avant Garde"/>
          <w:color w:val="000000" w:themeColor="text1"/>
          <w:sz w:val="18"/>
          <w:szCs w:val="18"/>
          <w:lang w:val="es-ES"/>
        </w:rPr>
        <w:t xml:space="preserve"> posible hacerlo de otra manera.</w:t>
      </w:r>
    </w:p>
    <w:p w14:paraId="43892F2F" w14:textId="5DD6DAAA" w:rsidR="00266793" w:rsidRPr="00766053" w:rsidRDefault="00C635C1">
      <w:pPr>
        <w:rPr>
          <w:rFonts w:ascii="ITC Avant Garde" w:eastAsiaTheme="majorEastAsia" w:hAnsi="ITC Avant Garde" w:cstheme="majorBidi"/>
          <w:bCs/>
          <w:sz w:val="18"/>
          <w:szCs w:val="18"/>
          <w:lang w:val="es-ES_tradnl"/>
        </w:rPr>
      </w:pPr>
      <w:r>
        <w:rPr>
          <w:rFonts w:ascii="ITC Avant Garde" w:hAnsi="ITC Avant Garde"/>
          <w:sz w:val="18"/>
          <w:szCs w:val="18"/>
          <w:lang w:val="es-ES_tradnl"/>
        </w:rPr>
        <w:t>Por último, el Instituto señala que la versión final del modelo estima</w:t>
      </w:r>
      <w:r w:rsidR="00A716AD">
        <w:rPr>
          <w:rFonts w:ascii="ITC Avant Garde" w:hAnsi="ITC Avant Garde"/>
          <w:sz w:val="18"/>
          <w:szCs w:val="18"/>
          <w:lang w:val="es-ES_tradnl"/>
        </w:rPr>
        <w:t>rá</w:t>
      </w:r>
      <w:r>
        <w:rPr>
          <w:rFonts w:ascii="ITC Avant Garde" w:hAnsi="ITC Avant Garde"/>
          <w:sz w:val="18"/>
          <w:szCs w:val="18"/>
          <w:lang w:val="es-ES_tradnl"/>
        </w:rPr>
        <w:t xml:space="preserve"> tarifas correspondientes a predios cuya propiedad pertenece al AEP, y que el caso de predios arrendados </w:t>
      </w:r>
      <w:r w:rsidR="00A716AD">
        <w:rPr>
          <w:rFonts w:ascii="ITC Avant Garde" w:hAnsi="ITC Avant Garde"/>
          <w:sz w:val="18"/>
          <w:szCs w:val="18"/>
          <w:lang w:val="es-ES_tradnl"/>
        </w:rPr>
        <w:t>corresponderá a lo precisado en la oferta de referencia correspondiente</w:t>
      </w:r>
      <w:r w:rsidR="00993DE5">
        <w:rPr>
          <w:rFonts w:ascii="ITC Avant Garde" w:hAnsi="ITC Avant Garde"/>
          <w:sz w:val="18"/>
          <w:szCs w:val="18"/>
          <w:lang w:val="es-ES_tradnl"/>
        </w:rPr>
        <w:t>,</w:t>
      </w:r>
      <w:r w:rsidR="00993DE5" w:rsidRPr="00425AFA">
        <w:rPr>
          <w:rFonts w:ascii="ITC Avant Garde" w:hAnsi="ITC Avant Garde"/>
          <w:sz w:val="18"/>
          <w:szCs w:val="18"/>
          <w:lang w:val="es-ES_tradnl"/>
        </w:rPr>
        <w:t xml:space="preserve"> a partir de lo establecido en las Medidas impuestas al AEP por el Instituto</w:t>
      </w:r>
      <w:r>
        <w:rPr>
          <w:rFonts w:ascii="ITC Avant Garde" w:hAnsi="ITC Avant Garde"/>
          <w:sz w:val="18"/>
          <w:szCs w:val="18"/>
          <w:lang w:val="es-ES_tradnl"/>
        </w:rPr>
        <w:t>.</w:t>
      </w:r>
      <w:r w:rsidR="00266793" w:rsidRPr="00766053">
        <w:rPr>
          <w:rFonts w:ascii="ITC Avant Garde" w:hAnsi="ITC Avant Garde"/>
          <w:sz w:val="18"/>
          <w:szCs w:val="18"/>
          <w:lang w:val="es-ES_tradnl"/>
        </w:rPr>
        <w:t xml:space="preserve"> </w:t>
      </w:r>
    </w:p>
    <w:p w14:paraId="43892F30" w14:textId="77777777" w:rsidR="00185B74" w:rsidRPr="00766053" w:rsidRDefault="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9</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¿Cree que existe algún parámetro adicional que debería haberse tenido en cuenta?</w:t>
      </w:r>
    </w:p>
    <w:p w14:paraId="43892F31" w14:textId="77777777" w:rsidR="00872D58" w:rsidRPr="00766053" w:rsidRDefault="00872D58" w:rsidP="00872D58">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32" w14:textId="77777777" w:rsidR="00B847E3" w:rsidRPr="00766053" w:rsidRDefault="001F5B60">
      <w:pPr>
        <w:rPr>
          <w:rFonts w:ascii="ITC Avant Garde" w:hAnsi="ITC Avant Garde"/>
          <w:sz w:val="18"/>
          <w:szCs w:val="18"/>
          <w:lang w:val="es-ES_tradnl"/>
        </w:rPr>
      </w:pPr>
      <w:r>
        <w:rPr>
          <w:rFonts w:ascii="ITC Avant Garde" w:hAnsi="ITC Avant Garde"/>
          <w:sz w:val="18"/>
          <w:szCs w:val="18"/>
          <w:lang w:val="es-ES_tradnl"/>
        </w:rPr>
        <w:t>Al respecto, d</w:t>
      </w:r>
      <w:r w:rsidR="00185B74" w:rsidRPr="00766053">
        <w:rPr>
          <w:rFonts w:ascii="ITC Avant Garde" w:hAnsi="ITC Avant Garde"/>
          <w:sz w:val="18"/>
          <w:szCs w:val="18"/>
          <w:lang w:val="es-ES_tradnl"/>
        </w:rPr>
        <w:t xml:space="preserve">os </w:t>
      </w:r>
      <w:r w:rsidR="006F5749" w:rsidRPr="00766053">
        <w:rPr>
          <w:rFonts w:ascii="ITC Avant Garde" w:hAnsi="ITC Avant Garde"/>
          <w:sz w:val="18"/>
          <w:szCs w:val="18"/>
          <w:lang w:val="es-ES_tradnl"/>
        </w:rPr>
        <w:t xml:space="preserve">participantes </w:t>
      </w:r>
      <w:r w:rsidR="00185B74" w:rsidRPr="00766053">
        <w:rPr>
          <w:rFonts w:ascii="ITC Avant Garde" w:hAnsi="ITC Avant Garde"/>
          <w:sz w:val="18"/>
          <w:szCs w:val="18"/>
          <w:lang w:val="es-ES_tradnl"/>
        </w:rPr>
        <w:t xml:space="preserve">[Lester García y Telefónica] consideran que los parámetros elegidos son los relevantes. </w:t>
      </w:r>
    </w:p>
    <w:p w14:paraId="43892F33" w14:textId="77777777" w:rsidR="008C243A" w:rsidRDefault="009109E8">
      <w:pPr>
        <w:rPr>
          <w:rFonts w:ascii="ITC Avant Garde" w:hAnsi="ITC Avant Garde"/>
          <w:sz w:val="18"/>
          <w:szCs w:val="18"/>
          <w:lang w:val="es-ES_tradnl"/>
        </w:rPr>
      </w:pPr>
      <w:r>
        <w:rPr>
          <w:rFonts w:ascii="ITC Avant Garde" w:hAnsi="ITC Avant Garde"/>
          <w:sz w:val="18"/>
          <w:szCs w:val="18"/>
          <w:lang w:val="es-ES_tradnl"/>
        </w:rPr>
        <w:t>Por otra parte, un</w:t>
      </w:r>
      <w:r w:rsidR="00185B74" w:rsidRPr="00766053">
        <w:rPr>
          <w:rFonts w:ascii="ITC Avant Garde" w:hAnsi="ITC Avant Garde"/>
          <w:sz w:val="18"/>
          <w:szCs w:val="18"/>
          <w:lang w:val="es-ES_tradnl"/>
        </w:rPr>
        <w:t xml:space="preserve"> </w:t>
      </w:r>
      <w:r w:rsidR="006F5749"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[MATC] </w:t>
      </w:r>
      <w:r w:rsidR="008C243A">
        <w:rPr>
          <w:rFonts w:ascii="ITC Avant Garde" w:hAnsi="ITC Avant Garde"/>
          <w:sz w:val="18"/>
          <w:szCs w:val="18"/>
          <w:lang w:val="es-ES_tradnl"/>
        </w:rPr>
        <w:t>considera que se debe añadir</w:t>
      </w:r>
      <w:r w:rsidR="00185B74" w:rsidRPr="00766053">
        <w:rPr>
          <w:rFonts w:ascii="ITC Avant Garde" w:hAnsi="ITC Avant Garde"/>
          <w:sz w:val="18"/>
          <w:szCs w:val="18"/>
          <w:lang w:val="es-ES_tradnl"/>
        </w:rPr>
        <w:t xml:space="preserve"> seguros de responsabilidad civil y </w:t>
      </w:r>
      <w:r w:rsidR="008C243A">
        <w:rPr>
          <w:rFonts w:ascii="ITC Avant Garde" w:hAnsi="ITC Avant Garde"/>
          <w:sz w:val="18"/>
          <w:szCs w:val="18"/>
          <w:lang w:val="es-ES_tradnl"/>
        </w:rPr>
        <w:t>otros que</w:t>
      </w:r>
      <w:r w:rsidR="00185B74" w:rsidRPr="00766053">
        <w:rPr>
          <w:rFonts w:ascii="ITC Avant Garde" w:hAnsi="ITC Avant Garde"/>
          <w:sz w:val="18"/>
          <w:szCs w:val="18"/>
          <w:lang w:val="es-ES_tradnl"/>
        </w:rPr>
        <w:t xml:space="preserve"> garantizan el valor de los activos y cubren al prestador del servicio. Además, menciona </w:t>
      </w:r>
      <w:r w:rsidR="008C243A">
        <w:rPr>
          <w:rFonts w:ascii="ITC Avant Garde" w:hAnsi="ITC Avant Garde"/>
          <w:sz w:val="18"/>
          <w:szCs w:val="18"/>
          <w:lang w:val="es-ES_tradnl"/>
        </w:rPr>
        <w:t>deberían considerarse</w:t>
      </w:r>
      <w:r w:rsidR="00185B74" w:rsidRPr="00766053">
        <w:rPr>
          <w:rFonts w:ascii="ITC Avant Garde" w:hAnsi="ITC Avant Garde"/>
          <w:sz w:val="18"/>
          <w:szCs w:val="18"/>
          <w:lang w:val="es-ES_tradnl"/>
        </w:rPr>
        <w:t xml:space="preserve"> costos y gastos indirectos para el</w:t>
      </w:r>
      <w:r w:rsidR="008C243A">
        <w:rPr>
          <w:rFonts w:ascii="ITC Avant Garde" w:hAnsi="ITC Avant Garde"/>
          <w:sz w:val="18"/>
          <w:szCs w:val="18"/>
          <w:lang w:val="es-ES_tradnl"/>
        </w:rPr>
        <w:t xml:space="preserve"> AEP</w:t>
      </w:r>
      <w:r w:rsidR="00185B74" w:rsidRPr="00766053">
        <w:rPr>
          <w:rFonts w:ascii="ITC Avant Garde" w:hAnsi="ITC Avant Garde"/>
          <w:sz w:val="18"/>
          <w:szCs w:val="18"/>
          <w:lang w:val="es-ES_tradnl"/>
        </w:rPr>
        <w:t xml:space="preserve">. </w:t>
      </w:r>
    </w:p>
    <w:p w14:paraId="43892F34" w14:textId="77777777" w:rsidR="00185B74" w:rsidRPr="00766053" w:rsidRDefault="008C243A">
      <w:pPr>
        <w:rPr>
          <w:rFonts w:ascii="ITC Avant Garde" w:hAnsi="ITC Avant Garde"/>
          <w:sz w:val="18"/>
          <w:szCs w:val="18"/>
          <w:lang w:val="es-ES_tradnl"/>
        </w:rPr>
      </w:pPr>
      <w:r>
        <w:rPr>
          <w:rFonts w:ascii="ITC Avant Garde" w:hAnsi="ITC Avant Garde"/>
          <w:sz w:val="18"/>
          <w:szCs w:val="18"/>
          <w:lang w:val="es-ES_tradnl"/>
        </w:rPr>
        <w:t xml:space="preserve">Este mismo participante </w:t>
      </w:r>
      <w:r w:rsidR="00185B74" w:rsidRPr="00766053">
        <w:rPr>
          <w:rFonts w:ascii="ITC Avant Garde" w:hAnsi="ITC Avant Garde"/>
          <w:sz w:val="18"/>
          <w:szCs w:val="18"/>
          <w:lang w:val="es-ES_tradnl"/>
        </w:rPr>
        <w:t>sugiere que se utilice un porcentaje de inflación en lug</w:t>
      </w:r>
      <w:r>
        <w:rPr>
          <w:rFonts w:ascii="ITC Avant Garde" w:hAnsi="ITC Avant Garde"/>
          <w:sz w:val="18"/>
          <w:szCs w:val="18"/>
          <w:lang w:val="es-ES_tradnl"/>
        </w:rPr>
        <w:t>ar del escalador fijo propuesto, y que p</w:t>
      </w:r>
      <w:r w:rsidR="00185B74" w:rsidRPr="00766053">
        <w:rPr>
          <w:rFonts w:ascii="ITC Avant Garde" w:hAnsi="ITC Avant Garde"/>
          <w:sz w:val="18"/>
          <w:szCs w:val="18"/>
          <w:lang w:val="es-ES_tradnl"/>
        </w:rPr>
        <w:t xml:space="preserve">ara elementos que se cotizan en dólares americanos se sugiere utilizar la tasa de inflación en dólares (CPI) más la tasa esperada de depreciación cambiaria. </w:t>
      </w:r>
    </w:p>
    <w:p w14:paraId="43892F35" w14:textId="77777777" w:rsidR="00185B74"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Por último, consideran que el costo laboral estimado por hora para servicios auxiliares debería ser de entre un 25 y un 50% del costo real, incluyendo la carga social, salarios conforme a mercado, </w:t>
      </w:r>
      <w:r w:rsidR="00791414">
        <w:rPr>
          <w:rFonts w:ascii="ITC Avant Garde" w:hAnsi="ITC Avant Garde"/>
          <w:sz w:val="18"/>
          <w:szCs w:val="18"/>
          <w:lang w:val="es-ES_tradnl"/>
        </w:rPr>
        <w:t>entre otros</w:t>
      </w:r>
      <w:r w:rsidRPr="00766053">
        <w:rPr>
          <w:rFonts w:ascii="ITC Avant Garde" w:hAnsi="ITC Avant Garde"/>
          <w:sz w:val="18"/>
          <w:szCs w:val="18"/>
          <w:lang w:val="es-ES_tradnl"/>
        </w:rPr>
        <w:t>.</w:t>
      </w:r>
    </w:p>
    <w:p w14:paraId="43892F36" w14:textId="77777777" w:rsidR="006C4191" w:rsidRPr="001F5B60" w:rsidRDefault="006C4191" w:rsidP="006C4191">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37" w14:textId="59687A06" w:rsidR="00000838" w:rsidRDefault="00A6605C">
      <w:pPr>
        <w:rPr>
          <w:rFonts w:ascii="ITC Avant Garde" w:eastAsiaTheme="majorEastAsia" w:hAnsi="ITC Avant Garde" w:cstheme="majorBidi"/>
          <w:bCs/>
          <w:sz w:val="18"/>
          <w:szCs w:val="18"/>
          <w:lang w:val="es-ES_tradnl"/>
        </w:rPr>
      </w:pPr>
      <w:r w:rsidRPr="00766053">
        <w:rPr>
          <w:rFonts w:ascii="ITC Avant Garde" w:eastAsiaTheme="majorEastAsia" w:hAnsi="ITC Avant Garde" w:cstheme="majorBidi"/>
          <w:bCs/>
          <w:sz w:val="18"/>
          <w:szCs w:val="18"/>
          <w:lang w:val="es-ES_tradnl"/>
        </w:rPr>
        <w:t xml:space="preserve">Al respecto, </w:t>
      </w:r>
      <w:r w:rsidR="00000838">
        <w:rPr>
          <w:rFonts w:ascii="ITC Avant Garde" w:eastAsiaTheme="majorEastAsia" w:hAnsi="ITC Avant Garde" w:cstheme="majorBidi"/>
          <w:bCs/>
          <w:sz w:val="18"/>
          <w:szCs w:val="18"/>
          <w:lang w:val="es-ES_tradnl"/>
        </w:rPr>
        <w:t xml:space="preserve">de incluir </w:t>
      </w:r>
      <w:r w:rsidRPr="00766053">
        <w:rPr>
          <w:rFonts w:ascii="ITC Avant Garde" w:eastAsiaTheme="majorEastAsia" w:hAnsi="ITC Avant Garde" w:cstheme="majorBidi"/>
          <w:bCs/>
          <w:sz w:val="18"/>
          <w:szCs w:val="18"/>
          <w:lang w:val="es-ES_tradnl"/>
        </w:rPr>
        <w:t>costo</w:t>
      </w:r>
      <w:r w:rsidR="00000838">
        <w:rPr>
          <w:rFonts w:ascii="ITC Avant Garde" w:eastAsiaTheme="majorEastAsia" w:hAnsi="ITC Avant Garde" w:cstheme="majorBidi"/>
          <w:bCs/>
          <w:sz w:val="18"/>
          <w:szCs w:val="18"/>
          <w:lang w:val="es-ES_tradnl"/>
        </w:rPr>
        <w:t>s</w:t>
      </w:r>
      <w:r w:rsidRPr="00766053">
        <w:rPr>
          <w:rFonts w:ascii="ITC Avant Garde" w:eastAsiaTheme="majorEastAsia" w:hAnsi="ITC Avant Garde" w:cstheme="majorBidi"/>
          <w:bCs/>
          <w:sz w:val="18"/>
          <w:szCs w:val="18"/>
          <w:lang w:val="es-ES_tradnl"/>
        </w:rPr>
        <w:t xml:space="preserve"> relacionado</w:t>
      </w:r>
      <w:r w:rsidR="00000838">
        <w:rPr>
          <w:rFonts w:ascii="ITC Avant Garde" w:eastAsiaTheme="majorEastAsia" w:hAnsi="ITC Avant Garde" w:cstheme="majorBidi"/>
          <w:bCs/>
          <w:sz w:val="18"/>
          <w:szCs w:val="18"/>
          <w:lang w:val="es-ES_tradnl"/>
        </w:rPr>
        <w:t xml:space="preserve">s con </w:t>
      </w:r>
      <w:r w:rsidRPr="00766053">
        <w:rPr>
          <w:rFonts w:ascii="ITC Avant Garde" w:eastAsiaTheme="majorEastAsia" w:hAnsi="ITC Avant Garde" w:cstheme="majorBidi"/>
          <w:bCs/>
          <w:sz w:val="18"/>
          <w:szCs w:val="18"/>
          <w:lang w:val="es-ES_tradnl"/>
        </w:rPr>
        <w:t>seguros de responsabilidad civil y otro</w:t>
      </w:r>
      <w:r w:rsidR="00000838">
        <w:rPr>
          <w:rFonts w:ascii="ITC Avant Garde" w:eastAsiaTheme="majorEastAsia" w:hAnsi="ITC Avant Garde" w:cstheme="majorBidi"/>
          <w:bCs/>
          <w:sz w:val="18"/>
          <w:szCs w:val="18"/>
          <w:lang w:val="es-ES_tradnl"/>
        </w:rPr>
        <w:t>s</w:t>
      </w:r>
      <w:r w:rsidRPr="00766053">
        <w:rPr>
          <w:rFonts w:ascii="ITC Avant Garde" w:eastAsiaTheme="majorEastAsia" w:hAnsi="ITC Avant Garde" w:cstheme="majorBidi"/>
          <w:bCs/>
          <w:sz w:val="18"/>
          <w:szCs w:val="18"/>
          <w:lang w:val="es-ES_tradnl"/>
        </w:rPr>
        <w:t xml:space="preserve"> que garantizan el valo</w:t>
      </w:r>
      <w:r w:rsidR="00000838">
        <w:rPr>
          <w:rFonts w:ascii="ITC Avant Garde" w:eastAsiaTheme="majorEastAsia" w:hAnsi="ITC Avant Garde" w:cstheme="majorBidi"/>
          <w:bCs/>
          <w:sz w:val="18"/>
          <w:szCs w:val="18"/>
          <w:lang w:val="es-ES_tradnl"/>
        </w:rPr>
        <w:t xml:space="preserve">r de los activos, el Instituto </w:t>
      </w:r>
      <w:r w:rsidR="008A4A5C">
        <w:rPr>
          <w:rFonts w:ascii="ITC Avant Garde" w:eastAsiaTheme="majorEastAsia" w:hAnsi="ITC Avant Garde" w:cstheme="majorBidi"/>
          <w:bCs/>
          <w:sz w:val="18"/>
          <w:szCs w:val="18"/>
          <w:lang w:val="es-ES_tradnl"/>
        </w:rPr>
        <w:t>considera procedente considerarlos en la versión final del modelo para determinar</w:t>
      </w:r>
      <w:r w:rsidR="000575A8">
        <w:rPr>
          <w:rFonts w:ascii="ITC Avant Garde" w:eastAsiaTheme="majorEastAsia" w:hAnsi="ITC Avant Garde" w:cstheme="majorBidi"/>
          <w:bCs/>
          <w:sz w:val="18"/>
          <w:szCs w:val="18"/>
          <w:lang w:val="es-ES_tradnl"/>
        </w:rPr>
        <w:t xml:space="preserve"> la tarifa aplicable a los servicios</w:t>
      </w:r>
      <w:r w:rsidR="008A4A5C">
        <w:rPr>
          <w:rFonts w:ascii="ITC Avant Garde" w:eastAsiaTheme="majorEastAsia" w:hAnsi="ITC Avant Garde" w:cstheme="majorBidi"/>
          <w:bCs/>
          <w:sz w:val="18"/>
          <w:szCs w:val="18"/>
          <w:lang w:val="es-ES_tradnl"/>
        </w:rPr>
        <w:t xml:space="preserve"> en cuestión</w:t>
      </w:r>
      <w:r w:rsidR="000575A8">
        <w:rPr>
          <w:rFonts w:ascii="ITC Avant Garde" w:eastAsiaTheme="majorEastAsia" w:hAnsi="ITC Avant Garde" w:cstheme="majorBidi"/>
          <w:bCs/>
          <w:sz w:val="18"/>
          <w:szCs w:val="18"/>
          <w:lang w:val="es-ES_tradnl"/>
        </w:rPr>
        <w:t>.</w:t>
      </w:r>
    </w:p>
    <w:p w14:paraId="43892F38" w14:textId="77777777" w:rsidR="006C7BB0" w:rsidRPr="00766053" w:rsidRDefault="006C7BB0">
      <w:pPr>
        <w:rPr>
          <w:rFonts w:ascii="ITC Avant Garde" w:hAnsi="ITC Avant Garde"/>
          <w:sz w:val="18"/>
          <w:szCs w:val="18"/>
          <w:lang w:val="es-ES_tradnl"/>
        </w:rPr>
      </w:pPr>
      <w:r w:rsidRPr="00766053">
        <w:rPr>
          <w:rFonts w:ascii="ITC Avant Garde" w:eastAsiaTheme="majorEastAsia" w:hAnsi="ITC Avant Garde" w:cstheme="majorBidi"/>
          <w:bCs/>
          <w:sz w:val="18"/>
          <w:szCs w:val="18"/>
          <w:lang w:val="es-ES_tradnl"/>
        </w:rPr>
        <w:lastRenderedPageBreak/>
        <w:t>Asimismo, respecto al comentario para que se utilice un porcentaje de inflación en lugar del escalador fijo propuest</w:t>
      </w:r>
      <w:r w:rsidR="001C1643">
        <w:rPr>
          <w:rFonts w:ascii="ITC Avant Garde" w:eastAsiaTheme="majorEastAsia" w:hAnsi="ITC Avant Garde" w:cstheme="majorBidi"/>
          <w:bCs/>
          <w:sz w:val="18"/>
          <w:szCs w:val="18"/>
          <w:lang w:val="es-ES_tradnl"/>
        </w:rPr>
        <w:t>o</w:t>
      </w:r>
      <w:r w:rsidRPr="00766053">
        <w:rPr>
          <w:rFonts w:ascii="ITC Avant Garde" w:eastAsiaTheme="majorEastAsia" w:hAnsi="ITC Avant Garde" w:cstheme="majorBidi"/>
          <w:bCs/>
          <w:sz w:val="18"/>
          <w:szCs w:val="18"/>
          <w:lang w:val="es-ES_tradnl"/>
        </w:rPr>
        <w:t xml:space="preserve">, </w:t>
      </w:r>
      <w:r w:rsidR="001C1643">
        <w:rPr>
          <w:rFonts w:ascii="ITC Avant Garde" w:eastAsiaTheme="majorEastAsia" w:hAnsi="ITC Avant Garde" w:cstheme="majorBidi"/>
          <w:bCs/>
          <w:sz w:val="18"/>
          <w:szCs w:val="18"/>
          <w:lang w:val="es-ES_tradnl"/>
        </w:rPr>
        <w:t>así como</w:t>
      </w:r>
      <w:r w:rsidRPr="00766053">
        <w:rPr>
          <w:rFonts w:ascii="ITC Avant Garde" w:eastAsiaTheme="majorEastAsia" w:hAnsi="ITC Avant Garde" w:cstheme="majorBidi"/>
          <w:bCs/>
          <w:sz w:val="18"/>
          <w:szCs w:val="18"/>
          <w:lang w:val="es-ES_tradnl"/>
        </w:rPr>
        <w:t xml:space="preserve"> para elementos que se cotizan en dólares se utilice la tasa de inflación en dólares más la tasa esperada de depreciación cambiaria, el Instituto considera que </w:t>
      </w:r>
      <w:r w:rsidRPr="00766053">
        <w:rPr>
          <w:rFonts w:ascii="ITC Avant Garde" w:hAnsi="ITC Avant Garde"/>
          <w:sz w:val="18"/>
          <w:szCs w:val="18"/>
          <w:lang w:val="es-ES_tradnl"/>
        </w:rPr>
        <w:t>el modelo se encuentra expresado en términos nominales, por ende el escalador de precios incluido en el modelo ya considera la tasa de inflación y otros factores monetarios y de tasa de cambio.</w:t>
      </w:r>
    </w:p>
    <w:p w14:paraId="43892F39" w14:textId="489935A2" w:rsidR="006C7BB0" w:rsidRPr="00766053" w:rsidRDefault="006C7BB0">
      <w:pPr>
        <w:rPr>
          <w:rFonts w:ascii="ITC Avant Garde" w:eastAsiaTheme="majorEastAsia" w:hAnsi="ITC Avant Garde" w:cstheme="majorBidi"/>
          <w:bCs/>
          <w:sz w:val="18"/>
          <w:szCs w:val="18"/>
          <w:lang w:val="es-ES_tradnl"/>
        </w:rPr>
      </w:pPr>
      <w:r w:rsidRPr="00766053">
        <w:rPr>
          <w:rFonts w:ascii="ITC Avant Garde" w:hAnsi="ITC Avant Garde"/>
          <w:sz w:val="18"/>
          <w:szCs w:val="18"/>
          <w:lang w:val="es-ES_tradnl"/>
        </w:rPr>
        <w:t xml:space="preserve">Finalmente, sobre el comentario para que se considere el costo laboral estimado por hora para servicios auxiliares </w:t>
      </w:r>
      <w:r w:rsidR="00C76378">
        <w:rPr>
          <w:rFonts w:ascii="ITC Avant Garde" w:hAnsi="ITC Avant Garde"/>
          <w:sz w:val="18"/>
          <w:szCs w:val="18"/>
          <w:lang w:val="es-ES_tradnl"/>
        </w:rPr>
        <w:t xml:space="preserve">en un cierto rango del </w:t>
      </w:r>
      <w:r w:rsidRPr="00766053">
        <w:rPr>
          <w:rFonts w:ascii="ITC Avant Garde" w:hAnsi="ITC Avant Garde"/>
          <w:sz w:val="18"/>
          <w:szCs w:val="18"/>
          <w:lang w:val="es-ES_tradnl"/>
        </w:rPr>
        <w:t>costo real, el Instituto</w:t>
      </w:r>
      <w:r w:rsidR="006547D1">
        <w:rPr>
          <w:rFonts w:ascii="ITC Avant Garde" w:hAnsi="ITC Avant Garde"/>
          <w:sz w:val="18"/>
          <w:szCs w:val="18"/>
          <w:lang w:val="es-ES_tradnl"/>
        </w:rPr>
        <w:t xml:space="preserve"> considerará,</w:t>
      </w:r>
      <w:r w:rsidR="00993DE5">
        <w:rPr>
          <w:rFonts w:ascii="ITC Avant Garde" w:hAnsi="ITC Avant Garde"/>
          <w:sz w:val="18"/>
          <w:szCs w:val="18"/>
          <w:lang w:val="es-ES_tradnl"/>
        </w:rPr>
        <w:t xml:space="preserve"> </w:t>
      </w:r>
      <w:r w:rsidRPr="00766053">
        <w:rPr>
          <w:rFonts w:ascii="ITC Avant Garde" w:hAnsi="ITC Avant Garde"/>
          <w:sz w:val="18"/>
          <w:szCs w:val="18"/>
          <w:lang w:val="es-ES_tradnl"/>
        </w:rPr>
        <w:t>con base en la información proporcionada por el propio AEP en sus operacion</w:t>
      </w:r>
      <w:r w:rsidR="00C76378">
        <w:rPr>
          <w:rFonts w:ascii="ITC Avant Garde" w:hAnsi="ITC Avant Garde"/>
          <w:sz w:val="18"/>
          <w:szCs w:val="18"/>
          <w:lang w:val="es-ES_tradnl"/>
        </w:rPr>
        <w:t>es</w:t>
      </w:r>
      <w:r w:rsidR="006547D1">
        <w:rPr>
          <w:rFonts w:ascii="ITC Avant Garde" w:hAnsi="ITC Avant Garde"/>
          <w:sz w:val="18"/>
          <w:szCs w:val="18"/>
          <w:lang w:val="es-ES_tradnl"/>
        </w:rPr>
        <w:t>,</w:t>
      </w:r>
      <w:r w:rsidR="00C76378">
        <w:rPr>
          <w:rFonts w:ascii="ITC Avant Garde" w:hAnsi="ITC Avant Garde"/>
          <w:sz w:val="18"/>
          <w:szCs w:val="18"/>
          <w:lang w:val="es-ES_tradnl"/>
        </w:rPr>
        <w:t xml:space="preserve"> </w:t>
      </w:r>
      <w:r w:rsidR="006547D1">
        <w:rPr>
          <w:rFonts w:ascii="ITC Avant Garde" w:hAnsi="ITC Avant Garde"/>
          <w:sz w:val="18"/>
          <w:szCs w:val="18"/>
          <w:lang w:val="es-ES_tradnl"/>
        </w:rPr>
        <w:t>que</w:t>
      </w:r>
      <w:r w:rsidR="006547D1" w:rsidRPr="00766053">
        <w:rPr>
          <w:rFonts w:ascii="ITC Avant Garde" w:hAnsi="ITC Avant Garde"/>
          <w:sz w:val="18"/>
          <w:szCs w:val="18"/>
          <w:lang w:val="es-ES_tradnl"/>
        </w:rPr>
        <w:t xml:space="preserve"> </w:t>
      </w:r>
      <w:r w:rsidRPr="00766053">
        <w:rPr>
          <w:rFonts w:ascii="ITC Avant Garde" w:hAnsi="ITC Avant Garde"/>
          <w:sz w:val="18"/>
          <w:szCs w:val="18"/>
          <w:lang w:val="es-ES_tradnl"/>
        </w:rPr>
        <w:t>el costo laboral por hora para determinar el valor de los salarios como parte del cálculo de los servicios auxiliares</w:t>
      </w:r>
      <w:r w:rsidR="006547D1">
        <w:rPr>
          <w:rFonts w:ascii="ITC Avant Garde" w:hAnsi="ITC Avant Garde"/>
          <w:sz w:val="18"/>
          <w:szCs w:val="18"/>
          <w:lang w:val="es-ES_tradnl"/>
        </w:rPr>
        <w:t xml:space="preserve"> dentro de otros modelo</w:t>
      </w:r>
      <w:r w:rsidR="00993DE5">
        <w:rPr>
          <w:rFonts w:ascii="ITC Avant Garde" w:hAnsi="ITC Avant Garde"/>
          <w:sz w:val="18"/>
          <w:szCs w:val="18"/>
          <w:lang w:val="es-ES_tradnl"/>
        </w:rPr>
        <w:t>s</w:t>
      </w:r>
      <w:r w:rsidR="006547D1">
        <w:rPr>
          <w:rFonts w:ascii="ITC Avant Garde" w:hAnsi="ITC Avant Garde"/>
          <w:sz w:val="18"/>
          <w:szCs w:val="18"/>
          <w:lang w:val="es-ES_tradnl"/>
        </w:rPr>
        <w:t xml:space="preserve"> aplicables a la oferta de referencia correspondiente</w:t>
      </w:r>
      <w:r w:rsidRPr="00766053">
        <w:rPr>
          <w:rFonts w:ascii="ITC Avant Garde" w:hAnsi="ITC Avant Garde"/>
          <w:sz w:val="18"/>
          <w:szCs w:val="18"/>
          <w:lang w:val="es-ES_tradnl"/>
        </w:rPr>
        <w:t xml:space="preserve">. </w:t>
      </w:r>
    </w:p>
    <w:p w14:paraId="43892F3A" w14:textId="77777777" w:rsidR="001438D2" w:rsidRPr="00766053" w:rsidRDefault="001438D2" w:rsidP="00203113">
      <w:pPr>
        <w:pStyle w:val="Ttulo2"/>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t>Aspectos relacionados con el dimensionamiento eficiente del modelo</w:t>
      </w:r>
    </w:p>
    <w:p w14:paraId="43892F3B" w14:textId="77777777" w:rsidR="00185B74" w:rsidRPr="00766053" w:rsidRDefault="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10</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¿Tiene comentarios relativos a los parámetros de dimensionamiento definidos en el modelo?</w:t>
      </w:r>
    </w:p>
    <w:p w14:paraId="43892F3C" w14:textId="77777777" w:rsidR="00872D58" w:rsidRPr="00766053" w:rsidRDefault="00872D58" w:rsidP="00872D58">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3D" w14:textId="77777777" w:rsidR="00185B74"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Dos </w:t>
      </w:r>
      <w:r w:rsidR="006F5749" w:rsidRPr="00766053">
        <w:rPr>
          <w:rFonts w:ascii="ITC Avant Garde" w:hAnsi="ITC Avant Garde"/>
          <w:sz w:val="18"/>
          <w:szCs w:val="18"/>
          <w:lang w:val="es-ES_tradnl"/>
        </w:rPr>
        <w:t>participantes</w:t>
      </w:r>
      <w:r w:rsidRPr="00766053">
        <w:rPr>
          <w:rFonts w:ascii="ITC Avant Garde" w:hAnsi="ITC Avant Garde"/>
          <w:sz w:val="18"/>
          <w:szCs w:val="18"/>
          <w:lang w:val="es-ES_tradnl"/>
        </w:rPr>
        <w:t xml:space="preserve"> [Lester García y Telefónica] consideran que los parámetros de dimensionamiento definidos son los adecuados. </w:t>
      </w:r>
      <w:r w:rsidR="004F0DC7">
        <w:rPr>
          <w:rFonts w:ascii="ITC Avant Garde" w:hAnsi="ITC Avant Garde"/>
          <w:sz w:val="18"/>
          <w:szCs w:val="18"/>
          <w:lang w:val="es-ES_tradnl"/>
        </w:rPr>
        <w:t>En contraste</w:t>
      </w:r>
      <w:r w:rsidR="00B847E3" w:rsidRPr="00766053">
        <w:rPr>
          <w:rFonts w:ascii="ITC Avant Garde" w:hAnsi="ITC Avant Garde"/>
          <w:sz w:val="18"/>
          <w:szCs w:val="18"/>
          <w:lang w:val="es-ES_tradnl"/>
        </w:rPr>
        <w:t>, o</w:t>
      </w:r>
      <w:r w:rsidRPr="00766053">
        <w:rPr>
          <w:rFonts w:ascii="ITC Avant Garde" w:hAnsi="ITC Avant Garde"/>
          <w:sz w:val="18"/>
          <w:szCs w:val="18"/>
          <w:lang w:val="es-ES_tradnl"/>
        </w:rPr>
        <w:t xml:space="preserve">tro </w:t>
      </w:r>
      <w:r w:rsidR="006F5749" w:rsidRPr="00766053">
        <w:rPr>
          <w:rFonts w:ascii="ITC Avant Garde" w:hAnsi="ITC Avant Garde"/>
          <w:sz w:val="18"/>
          <w:szCs w:val="18"/>
          <w:lang w:val="es-ES_tradnl"/>
        </w:rPr>
        <w:t>participante</w:t>
      </w:r>
      <w:r w:rsidRPr="00766053">
        <w:rPr>
          <w:rFonts w:ascii="ITC Avant Garde" w:hAnsi="ITC Avant Garde"/>
          <w:sz w:val="18"/>
          <w:szCs w:val="18"/>
          <w:lang w:val="es-ES_tradnl"/>
        </w:rPr>
        <w:t xml:space="preserve"> [MATC] menciona que no se observa el CAPEX relacionado con la adquisición de sistemas operativos y auxiliares necesarios para la operación, evaluación y construcción de los sitios así como el personal necesario para dar uso y soporte a dichos sistemas. </w:t>
      </w:r>
    </w:p>
    <w:p w14:paraId="43892F3E" w14:textId="77777777" w:rsidR="006C4191" w:rsidRPr="001F5B60" w:rsidRDefault="006C4191" w:rsidP="006C4191">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3F" w14:textId="1141FF51" w:rsidR="006C7BB0" w:rsidRPr="00766053" w:rsidRDefault="004F0DC7">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 xml:space="preserve">En torno a los comentarios relacionados con el  CAPEX, el Instituto señala que </w:t>
      </w:r>
      <w:r w:rsidR="00782D8C">
        <w:rPr>
          <w:rFonts w:ascii="ITC Avant Garde" w:eastAsiaTheme="majorEastAsia" w:hAnsi="ITC Avant Garde" w:cstheme="majorBidi"/>
          <w:bCs/>
          <w:sz w:val="18"/>
          <w:szCs w:val="18"/>
          <w:lang w:val="es-ES_tradnl"/>
        </w:rPr>
        <w:t xml:space="preserve">en </w:t>
      </w:r>
      <w:r>
        <w:rPr>
          <w:rFonts w:ascii="ITC Avant Garde" w:eastAsiaTheme="majorEastAsia" w:hAnsi="ITC Avant Garde" w:cstheme="majorBidi"/>
          <w:bCs/>
          <w:sz w:val="18"/>
          <w:szCs w:val="18"/>
          <w:lang w:val="es-ES_tradnl"/>
        </w:rPr>
        <w:t xml:space="preserve">la versión final del modelo </w:t>
      </w:r>
      <w:r w:rsidR="00782D8C">
        <w:rPr>
          <w:rFonts w:ascii="ITC Avant Garde" w:eastAsiaTheme="majorEastAsia" w:hAnsi="ITC Avant Garde" w:cstheme="majorBidi"/>
          <w:bCs/>
          <w:sz w:val="18"/>
          <w:szCs w:val="18"/>
          <w:lang w:val="es-ES_tradnl"/>
        </w:rPr>
        <w:t xml:space="preserve">se </w:t>
      </w:r>
      <w:r>
        <w:rPr>
          <w:rFonts w:ascii="ITC Avant Garde" w:eastAsiaTheme="majorEastAsia" w:hAnsi="ITC Avant Garde" w:cstheme="majorBidi"/>
          <w:bCs/>
          <w:sz w:val="18"/>
          <w:szCs w:val="18"/>
          <w:lang w:val="es-ES_tradnl"/>
        </w:rPr>
        <w:t>toma</w:t>
      </w:r>
      <w:r w:rsidR="00782D8C">
        <w:rPr>
          <w:rFonts w:ascii="ITC Avant Garde" w:eastAsiaTheme="majorEastAsia" w:hAnsi="ITC Avant Garde" w:cstheme="majorBidi"/>
          <w:bCs/>
          <w:sz w:val="18"/>
          <w:szCs w:val="18"/>
          <w:lang w:val="es-ES_tradnl"/>
        </w:rPr>
        <w:t>rá</w:t>
      </w:r>
      <w:r>
        <w:rPr>
          <w:rFonts w:ascii="ITC Avant Garde" w:eastAsiaTheme="majorEastAsia" w:hAnsi="ITC Avant Garde" w:cstheme="majorBidi"/>
          <w:bCs/>
          <w:sz w:val="18"/>
          <w:szCs w:val="18"/>
          <w:lang w:val="es-ES_tradnl"/>
        </w:rPr>
        <w:t xml:space="preserve"> en cuenta la adquisición de elementos </w:t>
      </w:r>
      <w:r w:rsidRPr="00766053">
        <w:rPr>
          <w:rFonts w:ascii="ITC Avant Garde" w:eastAsiaTheme="majorEastAsia" w:hAnsi="ITC Avant Garde" w:cstheme="majorBidi"/>
          <w:bCs/>
          <w:sz w:val="18"/>
          <w:szCs w:val="18"/>
          <w:lang w:val="es-ES_tradnl"/>
        </w:rPr>
        <w:t>para la operación, evaluación y construcción sitio</w:t>
      </w:r>
      <w:r>
        <w:rPr>
          <w:rFonts w:ascii="ITC Avant Garde" w:eastAsiaTheme="majorEastAsia" w:hAnsi="ITC Avant Garde" w:cstheme="majorBidi"/>
          <w:bCs/>
          <w:sz w:val="18"/>
          <w:szCs w:val="18"/>
          <w:lang w:val="es-ES_tradnl"/>
        </w:rPr>
        <w:t xml:space="preserve">, así como los costos derivados del </w:t>
      </w:r>
      <w:r w:rsidRPr="00766053">
        <w:rPr>
          <w:rFonts w:ascii="ITC Avant Garde" w:eastAsiaTheme="majorEastAsia" w:hAnsi="ITC Avant Garde" w:cstheme="majorBidi"/>
          <w:bCs/>
          <w:sz w:val="18"/>
          <w:szCs w:val="18"/>
          <w:lang w:val="es-ES_tradnl"/>
        </w:rPr>
        <w:t>personal necesario para dar uso y soporte</w:t>
      </w:r>
      <w:r>
        <w:rPr>
          <w:rFonts w:ascii="ITC Avant Garde" w:eastAsiaTheme="majorEastAsia" w:hAnsi="ITC Avant Garde" w:cstheme="majorBidi"/>
          <w:bCs/>
          <w:sz w:val="18"/>
          <w:szCs w:val="18"/>
          <w:lang w:val="es-ES_tradnl"/>
        </w:rPr>
        <w:t xml:space="preserve"> a estos</w:t>
      </w:r>
      <w:r w:rsidR="000D154E">
        <w:rPr>
          <w:rFonts w:ascii="ITC Avant Garde" w:eastAsiaTheme="majorEastAsia" w:hAnsi="ITC Avant Garde" w:cstheme="majorBidi"/>
          <w:bCs/>
          <w:sz w:val="18"/>
          <w:szCs w:val="18"/>
          <w:lang w:val="es-ES_tradnl"/>
        </w:rPr>
        <w:t>, lo anterior a través de los datos d</w:t>
      </w:r>
      <w:r w:rsidR="007D51B2" w:rsidRPr="00766053">
        <w:rPr>
          <w:rFonts w:ascii="ITC Avant Garde" w:eastAsiaTheme="majorEastAsia" w:hAnsi="ITC Avant Garde" w:cstheme="majorBidi"/>
          <w:bCs/>
          <w:sz w:val="18"/>
          <w:szCs w:val="18"/>
          <w:lang w:val="es-ES_tradnl"/>
        </w:rPr>
        <w:t>e CAPEX y OPEX</w:t>
      </w:r>
      <w:r w:rsidR="000D154E">
        <w:rPr>
          <w:rFonts w:ascii="ITC Avant Garde" w:eastAsiaTheme="majorEastAsia" w:hAnsi="ITC Avant Garde" w:cstheme="majorBidi"/>
          <w:bCs/>
          <w:sz w:val="18"/>
          <w:szCs w:val="18"/>
          <w:lang w:val="es-ES_tradnl"/>
        </w:rPr>
        <w:t xml:space="preserve"> reportados por el AEP</w:t>
      </w:r>
      <w:r w:rsidR="00C06A40">
        <w:rPr>
          <w:rFonts w:ascii="ITC Avant Garde" w:eastAsiaTheme="majorEastAsia" w:hAnsi="ITC Avant Garde" w:cstheme="majorBidi"/>
          <w:bCs/>
          <w:sz w:val="18"/>
          <w:szCs w:val="18"/>
          <w:lang w:val="es-ES_tradnl"/>
        </w:rPr>
        <w:t xml:space="preserve"> y otros operadores</w:t>
      </w:r>
      <w:r w:rsidR="007D51B2" w:rsidRPr="00766053">
        <w:rPr>
          <w:rFonts w:ascii="ITC Avant Garde" w:eastAsiaTheme="majorEastAsia" w:hAnsi="ITC Avant Garde" w:cstheme="majorBidi"/>
          <w:bCs/>
          <w:sz w:val="18"/>
          <w:szCs w:val="18"/>
          <w:lang w:val="es-ES_tradnl"/>
        </w:rPr>
        <w:t xml:space="preserve">. </w:t>
      </w:r>
    </w:p>
    <w:p w14:paraId="43892F40" w14:textId="77777777" w:rsidR="001438D2" w:rsidRPr="00766053" w:rsidRDefault="001438D2" w:rsidP="00203113">
      <w:pPr>
        <w:pStyle w:val="Ttulo3"/>
        <w:rPr>
          <w:rFonts w:ascii="ITC Avant Garde" w:eastAsiaTheme="minorHAnsi" w:hAnsi="ITC Avant Garde"/>
          <w:sz w:val="18"/>
          <w:szCs w:val="18"/>
          <w:lang w:val="es-ES_tradnl"/>
        </w:rPr>
      </w:pPr>
      <w:r w:rsidRPr="00766053">
        <w:rPr>
          <w:rFonts w:ascii="ITC Avant Garde" w:eastAsiaTheme="minorHAnsi" w:hAnsi="ITC Avant Garde"/>
          <w:sz w:val="18"/>
          <w:szCs w:val="18"/>
          <w:lang w:val="es-ES_tradnl"/>
        </w:rPr>
        <w:t>Aspectos relacionados con la asignación de costos del modelo</w:t>
      </w:r>
    </w:p>
    <w:p w14:paraId="43892F41" w14:textId="77777777" w:rsidR="00185B74" w:rsidRPr="00766053" w:rsidRDefault="00185B74">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11</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¿Está de acuerdo con los drivers utilizados para la asignación de costos a los distintos servicios modelados?</w:t>
      </w:r>
    </w:p>
    <w:p w14:paraId="43892F42" w14:textId="77777777" w:rsidR="00872D58" w:rsidRPr="00766053" w:rsidRDefault="00872D58" w:rsidP="00872D58">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43" w14:textId="77777777" w:rsidR="00185B74"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Un </w:t>
      </w:r>
      <w:r w:rsidR="006F5749" w:rsidRPr="00766053">
        <w:rPr>
          <w:rFonts w:ascii="ITC Avant Garde" w:hAnsi="ITC Avant Garde"/>
          <w:sz w:val="18"/>
          <w:szCs w:val="18"/>
          <w:lang w:val="es-ES_tradnl"/>
        </w:rPr>
        <w:t>participante</w:t>
      </w:r>
      <w:r w:rsidRPr="00766053">
        <w:rPr>
          <w:rFonts w:ascii="ITC Avant Garde" w:hAnsi="ITC Avant Garde"/>
          <w:sz w:val="18"/>
          <w:szCs w:val="18"/>
          <w:lang w:val="es-ES_tradnl"/>
        </w:rPr>
        <w:t xml:space="preserve"> [Lester García] considera que los drivers utilizados están claramente definidos y afirma que son consistentes.  </w:t>
      </w:r>
      <w:r w:rsidR="00933634">
        <w:rPr>
          <w:rFonts w:ascii="ITC Avant Garde" w:hAnsi="ITC Avant Garde"/>
          <w:sz w:val="18"/>
          <w:szCs w:val="18"/>
          <w:lang w:val="es-ES_tradnl"/>
        </w:rPr>
        <w:t>En complemento, o</w:t>
      </w:r>
      <w:r w:rsidRPr="00766053">
        <w:rPr>
          <w:rFonts w:ascii="ITC Avant Garde" w:hAnsi="ITC Avant Garde"/>
          <w:sz w:val="18"/>
          <w:szCs w:val="18"/>
          <w:lang w:val="es-ES_tradnl"/>
        </w:rPr>
        <w:t xml:space="preserve">tro </w:t>
      </w:r>
      <w:r w:rsidR="006918ED" w:rsidRPr="00766053">
        <w:rPr>
          <w:rFonts w:ascii="ITC Avant Garde" w:hAnsi="ITC Avant Garde"/>
          <w:sz w:val="18"/>
          <w:szCs w:val="18"/>
          <w:lang w:val="es-ES_tradnl"/>
        </w:rPr>
        <w:t>participante</w:t>
      </w:r>
      <w:r w:rsidRPr="00766053">
        <w:rPr>
          <w:rFonts w:ascii="ITC Avant Garde" w:hAnsi="ITC Avant Garde"/>
          <w:sz w:val="18"/>
          <w:szCs w:val="18"/>
          <w:lang w:val="es-ES_tradnl"/>
        </w:rPr>
        <w:t xml:space="preserve"> [Telefónica] afirma que el concepto de precio o cobro similar a “espacio lineal ocupado por antenas” no debe incluirse en el activo “predio” ya que puede crear confusión en el momento de asignar los porcentajes por demanda en predio. </w:t>
      </w:r>
    </w:p>
    <w:p w14:paraId="43892F44" w14:textId="77777777" w:rsidR="00185B74"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Por otro lado, un </w:t>
      </w:r>
      <w:r w:rsidR="006918ED" w:rsidRPr="00766053">
        <w:rPr>
          <w:rFonts w:ascii="ITC Avant Garde" w:hAnsi="ITC Avant Garde"/>
          <w:sz w:val="18"/>
          <w:szCs w:val="18"/>
          <w:lang w:val="es-ES_tradnl"/>
        </w:rPr>
        <w:t>participante</w:t>
      </w:r>
      <w:r w:rsidRPr="00766053">
        <w:rPr>
          <w:rFonts w:ascii="ITC Avant Garde" w:hAnsi="ITC Avant Garde"/>
          <w:sz w:val="18"/>
          <w:szCs w:val="18"/>
          <w:lang w:val="es-ES_tradnl"/>
        </w:rPr>
        <w:t xml:space="preserve"> [MATC] comenta que, en contra de lo que señala la metodología CIPLP, no se observa ninguna contribución al </w:t>
      </w:r>
      <w:r w:rsidRPr="00933634">
        <w:rPr>
          <w:rFonts w:ascii="ITC Avant Garde" w:hAnsi="ITC Avant Garde"/>
          <w:i/>
          <w:sz w:val="18"/>
          <w:szCs w:val="18"/>
          <w:lang w:val="es-ES_tradnl"/>
        </w:rPr>
        <w:t>overhead</w:t>
      </w:r>
      <w:r w:rsidRPr="00766053">
        <w:rPr>
          <w:rFonts w:ascii="ITC Avant Garde" w:hAnsi="ITC Avant Garde"/>
          <w:sz w:val="18"/>
          <w:szCs w:val="18"/>
          <w:lang w:val="es-ES_tradnl"/>
        </w:rPr>
        <w:t xml:space="preserve"> relacionado con la administración de la infraestructura ni con las actividades de venta, facturación y cobranza de tales servicios. En línea con dicha metodología, </w:t>
      </w:r>
      <w:r w:rsidR="00933634">
        <w:rPr>
          <w:rFonts w:ascii="ITC Avant Garde" w:hAnsi="ITC Avant Garde"/>
          <w:sz w:val="18"/>
          <w:szCs w:val="18"/>
          <w:lang w:val="es-ES_tradnl"/>
        </w:rPr>
        <w:t xml:space="preserve">tampoco se entiende que el </w:t>
      </w:r>
      <w:r w:rsidR="00933634" w:rsidRPr="00933634">
        <w:rPr>
          <w:rFonts w:ascii="ITC Avant Garde" w:hAnsi="ITC Avant Garde"/>
          <w:i/>
          <w:sz w:val="18"/>
          <w:szCs w:val="18"/>
          <w:lang w:val="es-ES_tradnl"/>
        </w:rPr>
        <w:t>mark-</w:t>
      </w:r>
      <w:r w:rsidRPr="00933634">
        <w:rPr>
          <w:rFonts w:ascii="ITC Avant Garde" w:hAnsi="ITC Avant Garde"/>
          <w:i/>
          <w:sz w:val="18"/>
          <w:szCs w:val="18"/>
          <w:lang w:val="es-ES_tradnl"/>
        </w:rPr>
        <w:t xml:space="preserve">up </w:t>
      </w:r>
      <w:r w:rsidRPr="00766053">
        <w:rPr>
          <w:rFonts w:ascii="ITC Avant Garde" w:hAnsi="ITC Avant Garde"/>
          <w:sz w:val="18"/>
          <w:szCs w:val="18"/>
          <w:lang w:val="es-ES_tradnl"/>
        </w:rPr>
        <w:t xml:space="preserve">esté incluido en los costos unitarios. </w:t>
      </w:r>
    </w:p>
    <w:p w14:paraId="43892F45" w14:textId="77777777" w:rsidR="006C4191" w:rsidRPr="001F5B60" w:rsidRDefault="006C4191" w:rsidP="006C4191">
      <w:pPr>
        <w:rPr>
          <w:rFonts w:ascii="ITC Avant Garde" w:hAnsi="ITC Avant Garde"/>
          <w:i/>
          <w:sz w:val="18"/>
          <w:u w:val="single"/>
          <w:lang w:val="es-ES_tradnl"/>
        </w:rPr>
      </w:pPr>
      <w:r w:rsidRPr="001F5B60">
        <w:rPr>
          <w:rFonts w:ascii="ITC Avant Garde" w:hAnsi="ITC Avant Garde"/>
          <w:i/>
          <w:sz w:val="18"/>
          <w:u w:val="single"/>
          <w:lang w:val="es-ES_tradnl"/>
        </w:rPr>
        <w:lastRenderedPageBreak/>
        <w:t>Respuesta del Instituto</w:t>
      </w:r>
    </w:p>
    <w:p w14:paraId="43892F46" w14:textId="6A877721" w:rsidR="00775573" w:rsidRPr="00766053" w:rsidRDefault="004561E2" w:rsidP="00775573">
      <w:pPr>
        <w:rPr>
          <w:rFonts w:ascii="ITC Avant Garde" w:eastAsiaTheme="majorEastAsia" w:hAnsi="ITC Avant Garde" w:cstheme="majorBidi"/>
          <w:bCs/>
          <w:sz w:val="18"/>
          <w:szCs w:val="18"/>
          <w:lang w:val="es-ES_tradnl"/>
        </w:rPr>
      </w:pPr>
      <w:r w:rsidRPr="0010539F">
        <w:rPr>
          <w:rFonts w:ascii="ITC Avant Garde" w:eastAsiaTheme="majorEastAsia" w:hAnsi="ITC Avant Garde" w:cstheme="majorBidi"/>
          <w:bCs/>
          <w:sz w:val="18"/>
          <w:szCs w:val="18"/>
          <w:lang w:val="es-ES_tradnl"/>
        </w:rPr>
        <w:t xml:space="preserve">Respecto al primer comentario, el Instituto </w:t>
      </w:r>
      <w:r w:rsidR="007822D3">
        <w:rPr>
          <w:rFonts w:ascii="ITC Avant Garde" w:eastAsiaTheme="majorEastAsia" w:hAnsi="ITC Avant Garde" w:cstheme="majorBidi"/>
          <w:bCs/>
          <w:sz w:val="18"/>
          <w:szCs w:val="18"/>
          <w:lang w:val="es-ES_tradnl"/>
        </w:rPr>
        <w:t xml:space="preserve">considera procedente </w:t>
      </w:r>
      <w:r w:rsidR="0010539F" w:rsidRPr="0010539F">
        <w:rPr>
          <w:rFonts w:ascii="ITC Avant Garde" w:eastAsiaTheme="majorEastAsia" w:hAnsi="ITC Avant Garde" w:cstheme="majorBidi"/>
          <w:bCs/>
          <w:sz w:val="18"/>
          <w:szCs w:val="18"/>
          <w:lang w:val="es-ES_tradnl"/>
        </w:rPr>
        <w:t>revisa</w:t>
      </w:r>
      <w:r w:rsidR="007822D3">
        <w:rPr>
          <w:rFonts w:ascii="ITC Avant Garde" w:eastAsiaTheme="majorEastAsia" w:hAnsi="ITC Avant Garde" w:cstheme="majorBidi"/>
          <w:bCs/>
          <w:sz w:val="18"/>
          <w:szCs w:val="18"/>
          <w:lang w:val="es-ES_tradnl"/>
        </w:rPr>
        <w:t>r</w:t>
      </w:r>
      <w:r w:rsidR="0010539F" w:rsidRPr="0010539F">
        <w:rPr>
          <w:rFonts w:ascii="ITC Avant Garde" w:eastAsiaTheme="majorEastAsia" w:hAnsi="ITC Avant Garde" w:cstheme="majorBidi"/>
          <w:bCs/>
          <w:sz w:val="18"/>
          <w:szCs w:val="18"/>
          <w:lang w:val="es-ES_tradnl"/>
        </w:rPr>
        <w:t xml:space="preserve"> la nomenclatura y los drivers empleados a efecto de minimizar interpretaciones erróneas</w:t>
      </w:r>
      <w:r w:rsidR="006A2478">
        <w:rPr>
          <w:rFonts w:ascii="ITC Avant Garde" w:eastAsiaTheme="majorEastAsia" w:hAnsi="ITC Avant Garde" w:cstheme="majorBidi"/>
          <w:bCs/>
          <w:sz w:val="18"/>
          <w:szCs w:val="18"/>
          <w:lang w:val="es-ES_tradnl"/>
        </w:rPr>
        <w:t>, y asignar correctamente los costos asignados en función de los elementos involucrados en cada servicio.</w:t>
      </w:r>
    </w:p>
    <w:p w14:paraId="43892F47" w14:textId="3E36FEB3" w:rsidR="009144F1" w:rsidRPr="00766053" w:rsidRDefault="009144F1" w:rsidP="00775573">
      <w:pPr>
        <w:rPr>
          <w:rFonts w:ascii="ITC Avant Garde" w:eastAsiaTheme="majorEastAsia" w:hAnsi="ITC Avant Garde" w:cstheme="majorBidi"/>
          <w:bCs/>
          <w:sz w:val="18"/>
          <w:szCs w:val="18"/>
          <w:lang w:val="es-ES_tradnl"/>
        </w:rPr>
      </w:pPr>
      <w:r w:rsidRPr="00766053">
        <w:rPr>
          <w:rFonts w:ascii="ITC Avant Garde" w:eastAsiaTheme="majorEastAsia" w:hAnsi="ITC Avant Garde" w:cstheme="majorBidi"/>
          <w:bCs/>
          <w:sz w:val="18"/>
          <w:szCs w:val="18"/>
          <w:lang w:val="es-ES_tradnl"/>
        </w:rPr>
        <w:t xml:space="preserve">Por su parte, </w:t>
      </w:r>
      <w:r w:rsidR="00634353" w:rsidRPr="00766053">
        <w:rPr>
          <w:rFonts w:ascii="ITC Avant Garde" w:eastAsiaTheme="majorEastAsia" w:hAnsi="ITC Avant Garde" w:cstheme="majorBidi"/>
          <w:bCs/>
          <w:sz w:val="18"/>
          <w:szCs w:val="18"/>
          <w:lang w:val="es-ES_tradnl"/>
        </w:rPr>
        <w:t xml:space="preserve">respecto al comentario por el que señala que no observa ninguna contribución al </w:t>
      </w:r>
      <w:r w:rsidR="00634353" w:rsidRPr="004561E2">
        <w:rPr>
          <w:rFonts w:ascii="ITC Avant Garde" w:eastAsiaTheme="majorEastAsia" w:hAnsi="ITC Avant Garde" w:cstheme="majorBidi"/>
          <w:bCs/>
          <w:i/>
          <w:sz w:val="18"/>
          <w:szCs w:val="18"/>
          <w:lang w:val="es-ES_tradnl"/>
        </w:rPr>
        <w:t>overhead</w:t>
      </w:r>
      <w:r w:rsidR="004561E2">
        <w:rPr>
          <w:rFonts w:ascii="ITC Avant Garde" w:eastAsiaTheme="majorEastAsia" w:hAnsi="ITC Avant Garde" w:cstheme="majorBidi"/>
          <w:bCs/>
          <w:sz w:val="18"/>
          <w:szCs w:val="18"/>
          <w:lang w:val="es-ES_tradnl"/>
        </w:rPr>
        <w:t xml:space="preserve"> relacionado con diversos conceptos (como, </w:t>
      </w:r>
      <w:r w:rsidR="00634353" w:rsidRPr="00766053">
        <w:rPr>
          <w:rFonts w:ascii="ITC Avant Garde" w:eastAsiaTheme="majorEastAsia" w:hAnsi="ITC Avant Garde" w:cstheme="majorBidi"/>
          <w:bCs/>
          <w:sz w:val="18"/>
          <w:szCs w:val="18"/>
          <w:lang w:val="es-ES_tradnl"/>
        </w:rPr>
        <w:t>administración de la infraestructura</w:t>
      </w:r>
      <w:r w:rsidR="004561E2">
        <w:rPr>
          <w:rFonts w:ascii="ITC Avant Garde" w:eastAsiaTheme="majorEastAsia" w:hAnsi="ITC Avant Garde" w:cstheme="majorBidi"/>
          <w:bCs/>
          <w:sz w:val="18"/>
          <w:szCs w:val="18"/>
          <w:lang w:val="es-ES_tradnl"/>
        </w:rPr>
        <w:t>)</w:t>
      </w:r>
      <w:r w:rsidR="00634353" w:rsidRPr="00766053">
        <w:rPr>
          <w:rFonts w:ascii="ITC Avant Garde" w:eastAsiaTheme="majorEastAsia" w:hAnsi="ITC Avant Garde" w:cstheme="majorBidi"/>
          <w:bCs/>
          <w:sz w:val="18"/>
          <w:szCs w:val="18"/>
          <w:lang w:val="es-ES_tradnl"/>
        </w:rPr>
        <w:t xml:space="preserve">, el Instituto </w:t>
      </w:r>
      <w:r w:rsidR="004561E2">
        <w:rPr>
          <w:rFonts w:ascii="ITC Avant Garde" w:eastAsiaTheme="majorEastAsia" w:hAnsi="ITC Avant Garde" w:cstheme="majorBidi"/>
          <w:bCs/>
          <w:sz w:val="18"/>
          <w:szCs w:val="18"/>
          <w:lang w:val="es-ES_tradnl"/>
        </w:rPr>
        <w:t xml:space="preserve">señala que los montos correspondientes </w:t>
      </w:r>
      <w:r w:rsidR="00634353" w:rsidRPr="00766053">
        <w:rPr>
          <w:rFonts w:ascii="ITC Avant Garde" w:eastAsiaTheme="majorEastAsia" w:hAnsi="ITC Avant Garde" w:cstheme="majorBidi"/>
          <w:bCs/>
          <w:sz w:val="18"/>
          <w:szCs w:val="18"/>
          <w:lang w:val="es-ES_tradnl"/>
        </w:rPr>
        <w:t xml:space="preserve">se encuentran contemplados </w:t>
      </w:r>
      <w:r w:rsidR="004561E2">
        <w:rPr>
          <w:rFonts w:ascii="ITC Avant Garde" w:eastAsiaTheme="majorEastAsia" w:hAnsi="ITC Avant Garde" w:cstheme="majorBidi"/>
          <w:bCs/>
          <w:sz w:val="18"/>
          <w:szCs w:val="18"/>
          <w:lang w:val="es-ES_tradnl"/>
        </w:rPr>
        <w:t xml:space="preserve">a través de los valores de OPEX </w:t>
      </w:r>
      <w:r w:rsidR="007822D3">
        <w:rPr>
          <w:rFonts w:ascii="ITC Avant Garde" w:eastAsiaTheme="majorEastAsia" w:hAnsi="ITC Avant Garde" w:cstheme="majorBidi"/>
          <w:bCs/>
          <w:sz w:val="18"/>
          <w:szCs w:val="18"/>
          <w:lang w:val="es-ES_tradnl"/>
        </w:rPr>
        <w:t>a incluirse en la versión final del modelo</w:t>
      </w:r>
      <w:r w:rsidR="004561E2">
        <w:rPr>
          <w:rFonts w:ascii="ITC Avant Garde" w:eastAsiaTheme="majorEastAsia" w:hAnsi="ITC Avant Garde" w:cstheme="majorBidi"/>
          <w:bCs/>
          <w:sz w:val="18"/>
          <w:szCs w:val="18"/>
          <w:lang w:val="es-ES_tradnl"/>
        </w:rPr>
        <w:t>, a través de los cuales</w:t>
      </w:r>
      <w:r w:rsidR="00634353" w:rsidRPr="00766053">
        <w:rPr>
          <w:rFonts w:ascii="ITC Avant Garde" w:eastAsiaTheme="majorEastAsia" w:hAnsi="ITC Avant Garde" w:cstheme="majorBidi"/>
          <w:bCs/>
          <w:sz w:val="18"/>
          <w:szCs w:val="18"/>
          <w:lang w:val="es-ES_tradnl"/>
        </w:rPr>
        <w:t xml:space="preserve"> se </w:t>
      </w:r>
      <w:r w:rsidR="007822D3">
        <w:rPr>
          <w:rFonts w:ascii="ITC Avant Garde" w:eastAsiaTheme="majorEastAsia" w:hAnsi="ITC Avant Garde" w:cstheme="majorBidi"/>
          <w:bCs/>
          <w:sz w:val="18"/>
          <w:szCs w:val="18"/>
          <w:lang w:val="es-ES_tradnl"/>
        </w:rPr>
        <w:t>incorporarán</w:t>
      </w:r>
      <w:r w:rsidR="007822D3" w:rsidRPr="00766053">
        <w:rPr>
          <w:rFonts w:ascii="ITC Avant Garde" w:eastAsiaTheme="majorEastAsia" w:hAnsi="ITC Avant Garde" w:cstheme="majorBidi"/>
          <w:bCs/>
          <w:sz w:val="18"/>
          <w:szCs w:val="18"/>
          <w:lang w:val="es-ES_tradnl"/>
        </w:rPr>
        <w:t xml:space="preserve"> </w:t>
      </w:r>
      <w:r w:rsidR="00634353" w:rsidRPr="00766053">
        <w:rPr>
          <w:rFonts w:ascii="ITC Avant Garde" w:eastAsiaTheme="majorEastAsia" w:hAnsi="ITC Avant Garde" w:cstheme="majorBidi"/>
          <w:bCs/>
          <w:sz w:val="18"/>
          <w:szCs w:val="18"/>
          <w:lang w:val="es-ES_tradnl"/>
        </w:rPr>
        <w:t xml:space="preserve">los diferentes gastos generales como las actividades antes mencionadas y que se </w:t>
      </w:r>
      <w:r w:rsidR="007822D3">
        <w:rPr>
          <w:rFonts w:ascii="ITC Avant Garde" w:eastAsiaTheme="majorEastAsia" w:hAnsi="ITC Avant Garde" w:cstheme="majorBidi"/>
          <w:bCs/>
          <w:sz w:val="18"/>
          <w:szCs w:val="18"/>
          <w:lang w:val="es-ES_tradnl"/>
        </w:rPr>
        <w:t>basará</w:t>
      </w:r>
      <w:r w:rsidR="00634353" w:rsidRPr="00766053">
        <w:rPr>
          <w:rFonts w:ascii="ITC Avant Garde" w:eastAsiaTheme="majorEastAsia" w:hAnsi="ITC Avant Garde" w:cstheme="majorBidi"/>
          <w:bCs/>
          <w:sz w:val="18"/>
          <w:szCs w:val="18"/>
          <w:lang w:val="es-ES_tradnl"/>
        </w:rPr>
        <w:t xml:space="preserve"> en información provista por el AEP.</w:t>
      </w:r>
    </w:p>
    <w:p w14:paraId="43892F48" w14:textId="77777777" w:rsidR="001438D2" w:rsidRPr="00766053" w:rsidRDefault="001438D2" w:rsidP="00203113">
      <w:pPr>
        <w:pStyle w:val="Ttulo3"/>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t>Estructura y resultados del modelo</w:t>
      </w:r>
    </w:p>
    <w:p w14:paraId="43892F49" w14:textId="77777777" w:rsidR="001438D2" w:rsidRPr="00766053" w:rsidRDefault="001438D2" w:rsidP="001438D2">
      <w:pPr>
        <w:pStyle w:val="Ttulo3"/>
        <w:rPr>
          <w:rFonts w:ascii="ITC Avant Garde" w:eastAsiaTheme="minorHAnsi" w:hAnsi="ITC Avant Garde" w:cstheme="minorBidi"/>
          <w:bCs w:val="0"/>
          <w:sz w:val="18"/>
          <w:szCs w:val="18"/>
          <w:lang w:val="es-ES_tradnl"/>
        </w:rPr>
      </w:pPr>
      <w:r w:rsidRPr="00766053">
        <w:rPr>
          <w:rFonts w:ascii="ITC Avant Garde" w:eastAsiaTheme="minorHAnsi" w:hAnsi="ITC Avant Garde" w:cstheme="minorBidi"/>
          <w:bCs w:val="0"/>
          <w:sz w:val="18"/>
          <w:szCs w:val="18"/>
          <w:lang w:val="es-ES_tradnl"/>
        </w:rPr>
        <w:t>Estructura del modelo</w:t>
      </w:r>
    </w:p>
    <w:p w14:paraId="43892F4A" w14:textId="77777777" w:rsidR="00C70070" w:rsidRPr="00766053" w:rsidRDefault="00C70070">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12</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¿Tiene algún comentario relacionado con los valores de entrada al modelo y/o los cálculos efectuados en las diferentes hojas que lo componen?</w:t>
      </w:r>
    </w:p>
    <w:p w14:paraId="43892F4B" w14:textId="77777777" w:rsidR="00872D58" w:rsidRPr="00766053" w:rsidRDefault="00872D58" w:rsidP="00872D58">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4C" w14:textId="5ED5F1AA" w:rsidR="00856ABD" w:rsidRPr="00766053" w:rsidRDefault="00D25DE8">
      <w:pPr>
        <w:rPr>
          <w:rFonts w:ascii="ITC Avant Garde" w:hAnsi="ITC Avant Garde"/>
          <w:sz w:val="18"/>
          <w:szCs w:val="18"/>
          <w:lang w:val="es-ES_tradnl"/>
        </w:rPr>
      </w:pPr>
      <w:r>
        <w:rPr>
          <w:rFonts w:ascii="ITC Avant Garde" w:hAnsi="ITC Avant Garde"/>
          <w:sz w:val="18"/>
          <w:szCs w:val="18"/>
          <w:lang w:val="es-ES_tradnl"/>
        </w:rPr>
        <w:t xml:space="preserve">Al respecto, ciertos </w:t>
      </w:r>
      <w:r w:rsidR="006918ED" w:rsidRPr="00766053">
        <w:rPr>
          <w:rFonts w:ascii="ITC Avant Garde" w:hAnsi="ITC Avant Garde"/>
          <w:sz w:val="18"/>
          <w:szCs w:val="18"/>
          <w:lang w:val="es-ES_tradnl"/>
        </w:rPr>
        <w:t xml:space="preserve">participantes </w:t>
      </w:r>
      <w:r w:rsidR="00185B74" w:rsidRPr="00766053">
        <w:rPr>
          <w:rFonts w:ascii="ITC Avant Garde" w:hAnsi="ITC Avant Garde"/>
          <w:sz w:val="18"/>
          <w:szCs w:val="18"/>
          <w:lang w:val="es-ES_tradnl"/>
        </w:rPr>
        <w:t>[</w:t>
      </w:r>
      <w:r w:rsidR="006A2478" w:rsidRPr="00766053">
        <w:rPr>
          <w:rFonts w:ascii="ITC Avant Garde" w:hAnsi="ITC Avant Garde"/>
          <w:sz w:val="18"/>
          <w:szCs w:val="18"/>
          <w:lang w:val="es-ES_tradnl"/>
        </w:rPr>
        <w:t xml:space="preserve">AT&amp;T </w:t>
      </w:r>
      <w:r w:rsidR="006A2478">
        <w:rPr>
          <w:rFonts w:ascii="ITC Avant Garde" w:hAnsi="ITC Avant Garde"/>
          <w:sz w:val="18"/>
          <w:szCs w:val="18"/>
          <w:lang w:val="es-ES_tradnl"/>
        </w:rPr>
        <w:t xml:space="preserve">y </w:t>
      </w:r>
      <w:r w:rsidR="00185B74" w:rsidRPr="00766053">
        <w:rPr>
          <w:rFonts w:ascii="ITC Avant Garde" w:hAnsi="ITC Avant Garde"/>
          <w:sz w:val="18"/>
          <w:szCs w:val="18"/>
          <w:lang w:val="es-ES_tradnl"/>
        </w:rPr>
        <w:t>Telefónica</w:t>
      </w:r>
      <w:r w:rsidR="003B4D43" w:rsidRPr="00766053">
        <w:rPr>
          <w:rFonts w:ascii="ITC Avant Garde" w:hAnsi="ITC Avant Garde"/>
          <w:sz w:val="18"/>
          <w:szCs w:val="18"/>
          <w:lang w:val="es-ES_tradnl"/>
        </w:rPr>
        <w:t>,</w:t>
      </w:r>
      <w:r w:rsidR="00185B74" w:rsidRPr="00766053">
        <w:rPr>
          <w:rFonts w:ascii="ITC Avant Garde" w:hAnsi="ITC Avant Garde"/>
          <w:sz w:val="18"/>
          <w:szCs w:val="18"/>
          <w:lang w:val="es-ES_tradnl"/>
        </w:rPr>
        <w:t>] afirma</w:t>
      </w:r>
      <w:r w:rsidR="00583AA7" w:rsidRPr="00766053">
        <w:rPr>
          <w:rFonts w:ascii="ITC Avant Garde" w:hAnsi="ITC Avant Garde"/>
          <w:sz w:val="18"/>
          <w:szCs w:val="18"/>
          <w:lang w:val="es-ES_tradnl"/>
        </w:rPr>
        <w:t>n</w:t>
      </w:r>
      <w:r w:rsidR="00185B74" w:rsidRPr="00766053">
        <w:rPr>
          <w:rFonts w:ascii="ITC Avant Garde" w:hAnsi="ITC Avant Garde"/>
          <w:sz w:val="18"/>
          <w:szCs w:val="18"/>
          <w:lang w:val="es-ES_tradnl"/>
        </w:rPr>
        <w:t xml:space="preserve"> que los datos de entrada “costes unitarios” CAPEX y OPEX están fuera de mercado o afectados por algún facto</w:t>
      </w:r>
      <w:r w:rsidR="008F0074" w:rsidRPr="00766053">
        <w:rPr>
          <w:rFonts w:ascii="ITC Avant Garde" w:hAnsi="ITC Avant Garde"/>
          <w:sz w:val="18"/>
          <w:szCs w:val="18"/>
          <w:lang w:val="es-ES_tradnl"/>
        </w:rPr>
        <w:t>r</w:t>
      </w:r>
      <w:r w:rsidR="00185B74" w:rsidRPr="00766053">
        <w:rPr>
          <w:rFonts w:ascii="ITC Avant Garde" w:hAnsi="ITC Avant Garde"/>
          <w:sz w:val="18"/>
          <w:szCs w:val="18"/>
          <w:lang w:val="es-ES_tradnl"/>
        </w:rPr>
        <w:t xml:space="preserve"> extra y son excesivos. </w:t>
      </w:r>
      <w:r w:rsidR="00B32CDB">
        <w:rPr>
          <w:rFonts w:ascii="ITC Avant Garde" w:hAnsi="ITC Avant Garde"/>
          <w:sz w:val="18"/>
          <w:szCs w:val="18"/>
          <w:lang w:val="es-ES_tradnl"/>
        </w:rPr>
        <w:t>Asimismo, o</w:t>
      </w:r>
      <w:r w:rsidR="00B32CDB" w:rsidRPr="00766053">
        <w:rPr>
          <w:rFonts w:ascii="ITC Avant Garde" w:hAnsi="ITC Avant Garde"/>
          <w:sz w:val="18"/>
          <w:szCs w:val="18"/>
          <w:lang w:val="es-ES_tradnl"/>
        </w:rPr>
        <w:t xml:space="preserve">tro participante [Televisa] </w:t>
      </w:r>
      <w:r w:rsidR="00D51E77">
        <w:rPr>
          <w:rFonts w:ascii="ITC Avant Garde" w:hAnsi="ITC Avant Garde"/>
          <w:sz w:val="18"/>
          <w:szCs w:val="18"/>
          <w:lang w:val="es-ES_tradnl"/>
        </w:rPr>
        <w:t>señala</w:t>
      </w:r>
      <w:r w:rsidR="00D51E77" w:rsidRPr="00766053">
        <w:rPr>
          <w:rFonts w:ascii="ITC Avant Garde" w:hAnsi="ITC Avant Garde"/>
          <w:sz w:val="18"/>
          <w:szCs w:val="18"/>
          <w:lang w:val="es-ES_tradnl"/>
        </w:rPr>
        <w:t xml:space="preserve"> </w:t>
      </w:r>
      <w:r w:rsidR="00B32CDB" w:rsidRPr="00766053">
        <w:rPr>
          <w:rFonts w:ascii="ITC Avant Garde" w:hAnsi="ITC Avant Garde"/>
          <w:sz w:val="18"/>
          <w:szCs w:val="18"/>
          <w:lang w:val="es-ES_tradnl"/>
        </w:rPr>
        <w:t>la ausencia de costos unitarios para torres de altura entre 81</w:t>
      </w:r>
      <w:r w:rsidR="00B32CDB">
        <w:rPr>
          <w:rFonts w:ascii="ITC Avant Garde" w:hAnsi="ITC Avant Garde"/>
          <w:sz w:val="18"/>
          <w:szCs w:val="18"/>
          <w:lang w:val="es-ES_tradnl"/>
        </w:rPr>
        <w:t xml:space="preserve"> </w:t>
      </w:r>
      <w:r w:rsidR="00B32CDB" w:rsidRPr="00766053">
        <w:rPr>
          <w:rFonts w:ascii="ITC Avant Garde" w:hAnsi="ITC Avant Garde"/>
          <w:sz w:val="18"/>
          <w:szCs w:val="18"/>
          <w:lang w:val="es-ES_tradnl"/>
        </w:rPr>
        <w:t>m y 102</w:t>
      </w:r>
      <w:r w:rsidR="00B32CDB">
        <w:rPr>
          <w:rFonts w:ascii="ITC Avant Garde" w:hAnsi="ITC Avant Garde"/>
          <w:sz w:val="18"/>
          <w:szCs w:val="18"/>
          <w:lang w:val="es-ES_tradnl"/>
        </w:rPr>
        <w:t xml:space="preserve"> </w:t>
      </w:r>
      <w:r w:rsidR="00B32CDB" w:rsidRPr="00766053">
        <w:rPr>
          <w:rFonts w:ascii="ITC Avant Garde" w:hAnsi="ITC Avant Garde"/>
          <w:sz w:val="18"/>
          <w:szCs w:val="18"/>
          <w:lang w:val="es-ES_tradnl"/>
        </w:rPr>
        <w:t>m.</w:t>
      </w:r>
    </w:p>
    <w:p w14:paraId="43892F4D" w14:textId="50A50264" w:rsidR="00185B74" w:rsidRPr="00766053" w:rsidRDefault="003D5AF7">
      <w:pPr>
        <w:rPr>
          <w:rFonts w:ascii="ITC Avant Garde" w:hAnsi="ITC Avant Garde"/>
          <w:sz w:val="18"/>
          <w:szCs w:val="18"/>
          <w:lang w:val="es-ES_tradnl"/>
        </w:rPr>
      </w:pPr>
      <w:r>
        <w:rPr>
          <w:rFonts w:ascii="ITC Avant Garde" w:hAnsi="ITC Avant Garde"/>
          <w:sz w:val="18"/>
          <w:szCs w:val="18"/>
          <w:lang w:val="es-ES_tradnl"/>
        </w:rPr>
        <w:t>Por otra parte, un</w:t>
      </w:r>
      <w:r w:rsidR="003B4D43" w:rsidRPr="00766053">
        <w:rPr>
          <w:rFonts w:ascii="ITC Avant Garde" w:hAnsi="ITC Avant Garde"/>
          <w:sz w:val="18"/>
          <w:szCs w:val="18"/>
          <w:lang w:val="es-ES_tradnl"/>
        </w:rPr>
        <w:t xml:space="preserve"> </w:t>
      </w:r>
      <w:r w:rsidR="003369D4" w:rsidRPr="00766053">
        <w:rPr>
          <w:rFonts w:ascii="ITC Avant Garde" w:hAnsi="ITC Avant Garde"/>
          <w:sz w:val="18"/>
          <w:szCs w:val="18"/>
          <w:lang w:val="es-ES_tradnl"/>
        </w:rPr>
        <w:t>participante</w:t>
      </w:r>
      <w:r w:rsidR="00185B74" w:rsidRPr="00766053">
        <w:rPr>
          <w:rFonts w:ascii="ITC Avant Garde" w:hAnsi="ITC Avant Garde"/>
          <w:sz w:val="18"/>
          <w:szCs w:val="18"/>
          <w:lang w:val="es-ES_tradnl"/>
        </w:rPr>
        <w:t xml:space="preserve"> </w:t>
      </w:r>
      <w:r w:rsidR="003B4D43" w:rsidRPr="00766053">
        <w:rPr>
          <w:rFonts w:ascii="ITC Avant Garde" w:hAnsi="ITC Avant Garde"/>
          <w:sz w:val="18"/>
          <w:szCs w:val="18"/>
          <w:lang w:val="es-ES_tradnl"/>
        </w:rPr>
        <w:t xml:space="preserve">[Telefónica] </w:t>
      </w:r>
      <w:r>
        <w:rPr>
          <w:rFonts w:ascii="ITC Avant Garde" w:hAnsi="ITC Avant Garde"/>
          <w:sz w:val="18"/>
          <w:szCs w:val="18"/>
          <w:lang w:val="es-ES_tradnl"/>
        </w:rPr>
        <w:t xml:space="preserve">considera que </w:t>
      </w:r>
      <w:r w:rsidR="00D51E77">
        <w:rPr>
          <w:rFonts w:ascii="ITC Avant Garde" w:hAnsi="ITC Avant Garde"/>
          <w:sz w:val="18"/>
          <w:szCs w:val="18"/>
          <w:lang w:val="es-ES_tradnl"/>
        </w:rPr>
        <w:t>no es</w:t>
      </w:r>
      <w:r>
        <w:rPr>
          <w:rFonts w:ascii="ITC Avant Garde" w:hAnsi="ITC Avant Garde"/>
          <w:sz w:val="18"/>
          <w:szCs w:val="18"/>
          <w:lang w:val="es-ES_tradnl"/>
        </w:rPr>
        <w:t xml:space="preserve"> adecuado que</w:t>
      </w:r>
      <w:r w:rsidR="00185B74" w:rsidRPr="00766053">
        <w:rPr>
          <w:rFonts w:ascii="ITC Avant Garde" w:hAnsi="ITC Avant Garde"/>
          <w:sz w:val="18"/>
          <w:szCs w:val="18"/>
          <w:lang w:val="es-ES_tradnl"/>
        </w:rPr>
        <w:t xml:space="preserve"> se varíe la “tendencia de precio” en las estructuras de acero “torres de cualquier tipología”, ya que están hechas del mismo material de fabricación. </w:t>
      </w:r>
      <w:r w:rsidR="00B32CDB">
        <w:rPr>
          <w:rFonts w:ascii="ITC Avant Garde" w:hAnsi="ITC Avant Garde"/>
          <w:sz w:val="18"/>
          <w:szCs w:val="18"/>
          <w:lang w:val="es-ES_tradnl"/>
        </w:rPr>
        <w:t xml:space="preserve"> </w:t>
      </w:r>
    </w:p>
    <w:p w14:paraId="43892F4E" w14:textId="77777777" w:rsidR="00856ABD"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Por otro lado, </w:t>
      </w:r>
      <w:r w:rsidR="00AE1EDE">
        <w:rPr>
          <w:rFonts w:ascii="ITC Avant Garde" w:hAnsi="ITC Avant Garde"/>
          <w:sz w:val="18"/>
          <w:szCs w:val="18"/>
          <w:lang w:val="es-ES_tradnl"/>
        </w:rPr>
        <w:t>cierto</w:t>
      </w:r>
      <w:r w:rsidRPr="00766053">
        <w:rPr>
          <w:rFonts w:ascii="ITC Avant Garde" w:hAnsi="ITC Avant Garde"/>
          <w:sz w:val="18"/>
          <w:szCs w:val="18"/>
          <w:lang w:val="es-ES_tradnl"/>
        </w:rPr>
        <w:t xml:space="preserve">s </w:t>
      </w:r>
      <w:r w:rsidR="003369D4" w:rsidRPr="00766053">
        <w:rPr>
          <w:rFonts w:ascii="ITC Avant Garde" w:hAnsi="ITC Avant Garde"/>
          <w:sz w:val="18"/>
          <w:szCs w:val="18"/>
          <w:lang w:val="es-ES_tradnl"/>
        </w:rPr>
        <w:t xml:space="preserve">participantes </w:t>
      </w:r>
      <w:r w:rsidRPr="00766053">
        <w:rPr>
          <w:rFonts w:ascii="ITC Avant Garde" w:hAnsi="ITC Avant Garde"/>
          <w:sz w:val="18"/>
          <w:szCs w:val="18"/>
          <w:lang w:val="es-ES_tradnl"/>
        </w:rPr>
        <w:t>[AT&amp;T</w:t>
      </w:r>
      <w:r w:rsidR="00A748F3" w:rsidRPr="00766053">
        <w:rPr>
          <w:rFonts w:ascii="ITC Avant Garde" w:hAnsi="ITC Avant Garde"/>
          <w:sz w:val="18"/>
          <w:szCs w:val="18"/>
          <w:lang w:val="es-ES_tradnl"/>
        </w:rPr>
        <w:t xml:space="preserve"> y</w:t>
      </w:r>
      <w:r w:rsidR="00910FF9" w:rsidRPr="00766053">
        <w:rPr>
          <w:rFonts w:ascii="ITC Avant Garde" w:hAnsi="ITC Avant Garde"/>
          <w:sz w:val="18"/>
          <w:szCs w:val="18"/>
          <w:lang w:val="es-ES_tradnl"/>
        </w:rPr>
        <w:t xml:space="preserve"> </w:t>
      </w:r>
      <w:r w:rsidRPr="00766053">
        <w:rPr>
          <w:rFonts w:ascii="ITC Avant Garde" w:hAnsi="ITC Avant Garde"/>
          <w:sz w:val="18"/>
          <w:szCs w:val="18"/>
          <w:lang w:val="es-ES_tradnl"/>
        </w:rPr>
        <w:t xml:space="preserve">Televisa] afirman que la poca calidad de los valores de los insumos y el hecho de que los datos de entrada sean intervalos aleatorios hacen que los resultados varíen en un gran rango, impidiendo así una clara evaluación del modelo. </w:t>
      </w:r>
      <w:r w:rsidR="00D6186E">
        <w:rPr>
          <w:rFonts w:ascii="ITC Avant Garde" w:hAnsi="ITC Avant Garde"/>
          <w:sz w:val="18"/>
          <w:szCs w:val="18"/>
          <w:lang w:val="es-ES_tradnl"/>
        </w:rPr>
        <w:t>En particular, u</w:t>
      </w:r>
      <w:r w:rsidR="00A748F3" w:rsidRPr="00766053">
        <w:rPr>
          <w:rFonts w:ascii="ITC Avant Garde" w:hAnsi="ITC Avant Garde"/>
          <w:sz w:val="18"/>
          <w:szCs w:val="18"/>
          <w:lang w:val="es-ES_tradnl"/>
        </w:rPr>
        <w:t>no</w:t>
      </w:r>
      <w:r w:rsidRPr="00766053">
        <w:rPr>
          <w:rFonts w:ascii="ITC Avant Garde" w:hAnsi="ITC Avant Garde"/>
          <w:sz w:val="18"/>
          <w:szCs w:val="18"/>
          <w:lang w:val="es-ES_tradnl"/>
        </w:rPr>
        <w:t xml:space="preserve"> de ellos [Televisa] comenta además que los valores obtenidos en el modelo difieren en gran cantidad de los valores del manual.</w:t>
      </w:r>
    </w:p>
    <w:p w14:paraId="43892F4F" w14:textId="655984ED" w:rsidR="003B4D43" w:rsidRPr="00766053" w:rsidRDefault="00D6186E" w:rsidP="003B4D43">
      <w:pPr>
        <w:rPr>
          <w:rFonts w:ascii="ITC Avant Garde" w:hAnsi="ITC Avant Garde"/>
          <w:sz w:val="18"/>
          <w:szCs w:val="18"/>
          <w:lang w:val="es-ES_tradnl"/>
        </w:rPr>
      </w:pPr>
      <w:r>
        <w:rPr>
          <w:rFonts w:ascii="ITC Avant Garde" w:hAnsi="ITC Avant Garde"/>
          <w:sz w:val="18"/>
          <w:szCs w:val="18"/>
          <w:lang w:val="es-ES_tradnl"/>
        </w:rPr>
        <w:t>En adición, u</w:t>
      </w:r>
      <w:r w:rsidR="003B4D43" w:rsidRPr="00766053">
        <w:rPr>
          <w:rFonts w:ascii="ITC Avant Garde" w:hAnsi="ITC Avant Garde"/>
          <w:sz w:val="18"/>
          <w:szCs w:val="18"/>
          <w:lang w:val="es-ES_tradnl"/>
        </w:rPr>
        <w:t xml:space="preserve">n </w:t>
      </w:r>
      <w:r w:rsidR="003369D4" w:rsidRPr="00766053">
        <w:rPr>
          <w:rFonts w:ascii="ITC Avant Garde" w:hAnsi="ITC Avant Garde"/>
          <w:sz w:val="18"/>
          <w:szCs w:val="18"/>
          <w:lang w:val="es-ES_tradnl"/>
        </w:rPr>
        <w:t>participante</w:t>
      </w:r>
      <w:r w:rsidR="003B4D43" w:rsidRPr="00766053">
        <w:rPr>
          <w:rFonts w:ascii="ITC Avant Garde" w:hAnsi="ITC Avant Garde"/>
          <w:sz w:val="18"/>
          <w:szCs w:val="18"/>
          <w:lang w:val="es-ES_tradnl"/>
        </w:rPr>
        <w:t xml:space="preserve"> [AT&amp;T] propone dos alternativas al problema causado porque, por una parte el </w:t>
      </w:r>
      <w:r w:rsidR="00E6509B">
        <w:rPr>
          <w:rFonts w:ascii="ITC Avant Garde" w:hAnsi="ITC Avant Garde"/>
          <w:sz w:val="18"/>
          <w:szCs w:val="18"/>
          <w:lang w:val="es-ES_tradnl"/>
        </w:rPr>
        <w:t>Instituto</w:t>
      </w:r>
      <w:r w:rsidR="003B4D43" w:rsidRPr="00766053">
        <w:rPr>
          <w:rFonts w:ascii="ITC Avant Garde" w:hAnsi="ITC Avant Garde"/>
          <w:sz w:val="18"/>
          <w:szCs w:val="18"/>
          <w:lang w:val="es-ES_tradnl"/>
        </w:rPr>
        <w:t xml:space="preserve"> mantiene una relación de información asimétrica con el AEP y por otra, la calidad de los insumos del modelo es esencial para la efectividad regulatoria.  </w:t>
      </w:r>
      <w:r w:rsidR="00D51E77">
        <w:rPr>
          <w:rFonts w:ascii="ITC Avant Garde" w:hAnsi="ITC Avant Garde"/>
          <w:sz w:val="18"/>
          <w:szCs w:val="18"/>
          <w:lang w:val="es-ES_tradnl"/>
        </w:rPr>
        <w:t>A mayor abundamiento, señala que u</w:t>
      </w:r>
      <w:r w:rsidR="003B4D43" w:rsidRPr="00766053">
        <w:rPr>
          <w:rFonts w:ascii="ITC Avant Garde" w:hAnsi="ITC Avant Garde"/>
          <w:sz w:val="18"/>
          <w:szCs w:val="18"/>
          <w:lang w:val="es-ES_tradnl"/>
        </w:rPr>
        <w:t>na opción</w:t>
      </w:r>
      <w:r w:rsidR="00D51E77">
        <w:rPr>
          <w:rFonts w:ascii="ITC Avant Garde" w:hAnsi="ITC Avant Garde"/>
          <w:sz w:val="18"/>
          <w:szCs w:val="18"/>
          <w:lang w:val="es-ES_tradnl"/>
        </w:rPr>
        <w:t xml:space="preserve"> al respecto</w:t>
      </w:r>
      <w:r w:rsidR="003B4D43" w:rsidRPr="00766053">
        <w:rPr>
          <w:rFonts w:ascii="ITC Avant Garde" w:hAnsi="ITC Avant Garde"/>
          <w:sz w:val="18"/>
          <w:szCs w:val="18"/>
          <w:lang w:val="es-ES_tradnl"/>
        </w:rPr>
        <w:t xml:space="preserve"> es que el </w:t>
      </w:r>
      <w:r w:rsidR="00E6509B">
        <w:rPr>
          <w:rFonts w:ascii="ITC Avant Garde" w:hAnsi="ITC Avant Garde"/>
          <w:sz w:val="18"/>
          <w:szCs w:val="18"/>
          <w:lang w:val="es-ES_tradnl"/>
        </w:rPr>
        <w:t>Instituto</w:t>
      </w:r>
      <w:r w:rsidR="003B4D43" w:rsidRPr="00766053">
        <w:rPr>
          <w:rFonts w:ascii="ITC Avant Garde" w:hAnsi="ITC Avant Garde"/>
          <w:sz w:val="18"/>
          <w:szCs w:val="18"/>
          <w:lang w:val="es-ES_tradnl"/>
        </w:rPr>
        <w:t xml:space="preserve"> solicite información directamente a los Agentes Económicos No Preponderantes sobre los parámetros del modelo y la otra consistiría en usar valores reales de los parámetros y reportar los resultados del modelo a través de intervalos de competencia. Otro [Televisa], considera que el </w:t>
      </w:r>
      <w:r w:rsidR="00E6509B">
        <w:rPr>
          <w:rFonts w:ascii="ITC Avant Garde" w:hAnsi="ITC Avant Garde"/>
          <w:sz w:val="18"/>
          <w:szCs w:val="18"/>
          <w:lang w:val="es-ES_tradnl"/>
        </w:rPr>
        <w:t>Instituto</w:t>
      </w:r>
      <w:r w:rsidR="003B4D43" w:rsidRPr="00766053">
        <w:rPr>
          <w:rFonts w:ascii="ITC Avant Garde" w:hAnsi="ITC Avant Garde"/>
          <w:sz w:val="18"/>
          <w:szCs w:val="18"/>
          <w:lang w:val="es-ES_tradnl"/>
        </w:rPr>
        <w:t xml:space="preserve"> debe justificar las fuentes empleadas para los insumos relacionados con las torres y también debe sustentar mejor el valor del OPEX de mantenimiento. </w:t>
      </w:r>
    </w:p>
    <w:p w14:paraId="43892F50" w14:textId="77777777" w:rsidR="00185B74" w:rsidRPr="00766053" w:rsidRDefault="00185B74">
      <w:pPr>
        <w:rPr>
          <w:rFonts w:ascii="ITC Avant Garde" w:hAnsi="ITC Avant Garde"/>
          <w:sz w:val="18"/>
          <w:szCs w:val="18"/>
          <w:lang w:val="es-ES_tradnl"/>
        </w:rPr>
      </w:pPr>
      <w:r w:rsidRPr="00766053">
        <w:rPr>
          <w:rFonts w:ascii="ITC Avant Garde" w:hAnsi="ITC Avant Garde"/>
          <w:sz w:val="18"/>
          <w:szCs w:val="18"/>
          <w:lang w:val="es-ES_tradnl"/>
        </w:rPr>
        <w:t xml:space="preserve">Por último, uno de los </w:t>
      </w:r>
      <w:r w:rsidR="003369D4" w:rsidRPr="00766053">
        <w:rPr>
          <w:rFonts w:ascii="ITC Avant Garde" w:hAnsi="ITC Avant Garde"/>
          <w:sz w:val="18"/>
          <w:szCs w:val="18"/>
          <w:lang w:val="es-ES_tradnl"/>
        </w:rPr>
        <w:t xml:space="preserve">participantes </w:t>
      </w:r>
      <w:r w:rsidRPr="00766053">
        <w:rPr>
          <w:rFonts w:ascii="ITC Avant Garde" w:hAnsi="ITC Avant Garde"/>
          <w:sz w:val="18"/>
          <w:szCs w:val="18"/>
          <w:lang w:val="es-ES_tradnl"/>
        </w:rPr>
        <w:t>[MATC] ha resaltado  algunos errores en el modelo:</w:t>
      </w:r>
    </w:p>
    <w:p w14:paraId="43892F51" w14:textId="77777777" w:rsidR="00185B74" w:rsidRPr="00766053" w:rsidRDefault="00185B74" w:rsidP="00203113">
      <w:pPr>
        <w:pStyle w:val="Prrafodelista"/>
        <w:numPr>
          <w:ilvl w:val="0"/>
          <w:numId w:val="27"/>
        </w:numPr>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lastRenderedPageBreak/>
        <w:softHyphen/>
        <w:t>En referencia al predio, en el “Costeo” se aplica el mismo valor a todo el predio, mientras que en los “Costes unitarios” se maneja el alquiler por m</w:t>
      </w:r>
      <w:r w:rsidRPr="00F764CA">
        <w:rPr>
          <w:rFonts w:ascii="ITC Avant Garde" w:eastAsiaTheme="minorHAnsi" w:hAnsi="ITC Avant Garde" w:cstheme="minorBidi"/>
          <w:sz w:val="18"/>
          <w:szCs w:val="18"/>
          <w:vertAlign w:val="superscript"/>
          <w:lang w:val="es-ES_tradnl"/>
        </w:rPr>
        <w:t>2</w:t>
      </w:r>
      <w:r w:rsidRPr="00766053">
        <w:rPr>
          <w:rFonts w:ascii="ITC Avant Garde" w:eastAsiaTheme="minorHAnsi" w:hAnsi="ITC Avant Garde" w:cstheme="minorBidi"/>
          <w:sz w:val="18"/>
          <w:szCs w:val="18"/>
          <w:lang w:val="es-ES_tradnl"/>
        </w:rPr>
        <w:t xml:space="preserve">. </w:t>
      </w:r>
    </w:p>
    <w:p w14:paraId="43892F52" w14:textId="77777777" w:rsidR="00185B74" w:rsidRPr="00766053" w:rsidRDefault="00185B74" w:rsidP="00203113">
      <w:pPr>
        <w:pStyle w:val="Prrafodelista"/>
        <w:numPr>
          <w:ilvl w:val="0"/>
          <w:numId w:val="27"/>
        </w:numPr>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t xml:space="preserve">El CAPEX unitario en el </w:t>
      </w:r>
      <w:r w:rsidR="00D6186E">
        <w:rPr>
          <w:rFonts w:ascii="ITC Avant Garde" w:eastAsiaTheme="minorHAnsi" w:hAnsi="ITC Avant Garde" w:cstheme="minorBidi"/>
          <w:sz w:val="18"/>
          <w:szCs w:val="18"/>
          <w:lang w:val="es-ES_tradnl"/>
        </w:rPr>
        <w:t>“</w:t>
      </w:r>
      <w:r w:rsidRPr="00766053">
        <w:rPr>
          <w:rFonts w:ascii="ITC Avant Garde" w:eastAsiaTheme="minorHAnsi" w:hAnsi="ITC Avant Garde" w:cstheme="minorBidi"/>
          <w:sz w:val="18"/>
          <w:szCs w:val="18"/>
          <w:lang w:val="es-ES_tradnl"/>
        </w:rPr>
        <w:t>DF</w:t>
      </w:r>
      <w:r w:rsidR="00D6186E">
        <w:rPr>
          <w:rFonts w:ascii="ITC Avant Garde" w:eastAsiaTheme="minorHAnsi" w:hAnsi="ITC Avant Garde" w:cstheme="minorBidi"/>
          <w:sz w:val="18"/>
          <w:szCs w:val="18"/>
          <w:lang w:val="es-ES_tradnl"/>
        </w:rPr>
        <w:t>”</w:t>
      </w:r>
      <w:r w:rsidRPr="00766053">
        <w:rPr>
          <w:rFonts w:ascii="ITC Avant Garde" w:eastAsiaTheme="minorHAnsi" w:hAnsi="ITC Avant Garde" w:cstheme="minorBidi"/>
          <w:sz w:val="18"/>
          <w:szCs w:val="18"/>
          <w:lang w:val="es-ES_tradnl"/>
        </w:rPr>
        <w:t xml:space="preserve"> resulta significativamente inferior al CAPEX unitario en otras ciudades y esto no solo resulta ilógico sino que es contrario al valor del m</w:t>
      </w:r>
      <w:r w:rsidRPr="00D6186E">
        <w:rPr>
          <w:rFonts w:ascii="ITC Avant Garde" w:eastAsiaTheme="minorHAnsi" w:hAnsi="ITC Avant Garde" w:cstheme="minorBidi"/>
          <w:sz w:val="18"/>
          <w:szCs w:val="18"/>
          <w:vertAlign w:val="superscript"/>
          <w:lang w:val="es-ES_tradnl"/>
        </w:rPr>
        <w:t>2</w:t>
      </w:r>
      <w:r w:rsidRPr="00766053">
        <w:rPr>
          <w:rFonts w:ascii="ITC Avant Garde" w:eastAsiaTheme="minorHAnsi" w:hAnsi="ITC Avant Garde" w:cstheme="minorBidi"/>
          <w:sz w:val="18"/>
          <w:szCs w:val="18"/>
          <w:lang w:val="es-ES_tradnl"/>
        </w:rPr>
        <w:t xml:space="preserve"> en el </w:t>
      </w:r>
      <w:r w:rsidR="00D6186E">
        <w:rPr>
          <w:rFonts w:ascii="ITC Avant Garde" w:eastAsiaTheme="minorHAnsi" w:hAnsi="ITC Avant Garde" w:cstheme="minorBidi"/>
          <w:sz w:val="18"/>
          <w:szCs w:val="18"/>
          <w:lang w:val="es-ES_tradnl"/>
        </w:rPr>
        <w:t>“</w:t>
      </w:r>
      <w:r w:rsidRPr="00766053">
        <w:rPr>
          <w:rFonts w:ascii="ITC Avant Garde" w:eastAsiaTheme="minorHAnsi" w:hAnsi="ITC Avant Garde" w:cstheme="minorBidi"/>
          <w:sz w:val="18"/>
          <w:szCs w:val="18"/>
          <w:lang w:val="es-ES_tradnl"/>
        </w:rPr>
        <w:t>DF</w:t>
      </w:r>
      <w:r w:rsidR="00D6186E">
        <w:rPr>
          <w:rFonts w:ascii="ITC Avant Garde" w:eastAsiaTheme="minorHAnsi" w:hAnsi="ITC Avant Garde" w:cstheme="minorBidi"/>
          <w:sz w:val="18"/>
          <w:szCs w:val="18"/>
          <w:lang w:val="es-ES_tradnl"/>
        </w:rPr>
        <w:t>”</w:t>
      </w:r>
      <w:r w:rsidRPr="00766053">
        <w:rPr>
          <w:rFonts w:ascii="ITC Avant Garde" w:eastAsiaTheme="minorHAnsi" w:hAnsi="ITC Avant Garde" w:cstheme="minorBidi"/>
          <w:sz w:val="18"/>
          <w:szCs w:val="18"/>
          <w:lang w:val="es-ES_tradnl"/>
        </w:rPr>
        <w:t>.</w:t>
      </w:r>
    </w:p>
    <w:p w14:paraId="43892F53" w14:textId="77777777" w:rsidR="006C4191" w:rsidRPr="001F5B60" w:rsidRDefault="006C4191" w:rsidP="006C4191">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54" w14:textId="364D66B1" w:rsidR="004725AF" w:rsidRDefault="0002513E">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 xml:space="preserve">El </w:t>
      </w:r>
      <w:r w:rsidR="00634353" w:rsidRPr="00766053">
        <w:rPr>
          <w:rFonts w:ascii="ITC Avant Garde" w:eastAsiaTheme="majorEastAsia" w:hAnsi="ITC Avant Garde" w:cstheme="majorBidi"/>
          <w:bCs/>
          <w:sz w:val="18"/>
          <w:szCs w:val="18"/>
          <w:lang w:val="es-ES_tradnl"/>
        </w:rPr>
        <w:t xml:space="preserve">Instituto </w:t>
      </w:r>
      <w:r>
        <w:rPr>
          <w:rFonts w:ascii="ITC Avant Garde" w:eastAsiaTheme="majorEastAsia" w:hAnsi="ITC Avant Garde" w:cstheme="majorBidi"/>
          <w:bCs/>
          <w:sz w:val="18"/>
          <w:szCs w:val="18"/>
          <w:lang w:val="es-ES_tradnl"/>
        </w:rPr>
        <w:t>señala que los valores de CAPEX y OPEX considerados en la versión final del modelo</w:t>
      </w:r>
      <w:r w:rsidR="00B32CDB">
        <w:rPr>
          <w:rFonts w:ascii="ITC Avant Garde" w:eastAsiaTheme="majorEastAsia" w:hAnsi="ITC Avant Garde" w:cstheme="majorBidi"/>
          <w:bCs/>
          <w:sz w:val="18"/>
          <w:szCs w:val="18"/>
          <w:lang w:val="es-ES_tradnl"/>
        </w:rPr>
        <w:t xml:space="preserve"> </w:t>
      </w:r>
      <w:r w:rsidR="00D51E77">
        <w:rPr>
          <w:rFonts w:ascii="ITC Avant Garde" w:eastAsiaTheme="majorEastAsia" w:hAnsi="ITC Avant Garde" w:cstheme="majorBidi"/>
          <w:bCs/>
          <w:sz w:val="18"/>
          <w:szCs w:val="18"/>
          <w:lang w:val="es-ES_tradnl"/>
        </w:rPr>
        <w:t>se revisarán</w:t>
      </w:r>
      <w:r w:rsidR="00B32CDB">
        <w:rPr>
          <w:rFonts w:ascii="ITC Avant Garde" w:eastAsiaTheme="majorEastAsia" w:hAnsi="ITC Avant Garde" w:cstheme="majorBidi"/>
          <w:bCs/>
          <w:sz w:val="18"/>
          <w:szCs w:val="18"/>
          <w:lang w:val="es-ES_tradnl"/>
        </w:rPr>
        <w:t xml:space="preserve"> y que los datos incorporados en dicho proceso</w:t>
      </w:r>
      <w:r w:rsidR="00634353" w:rsidRPr="00766053">
        <w:rPr>
          <w:rFonts w:ascii="ITC Avant Garde" w:eastAsiaTheme="majorEastAsia" w:hAnsi="ITC Avant Garde" w:cstheme="majorBidi"/>
          <w:bCs/>
          <w:sz w:val="18"/>
          <w:szCs w:val="18"/>
          <w:lang w:val="es-ES_tradnl"/>
        </w:rPr>
        <w:t xml:space="preserve"> est</w:t>
      </w:r>
      <w:r w:rsidR="00D51E77">
        <w:rPr>
          <w:rFonts w:ascii="ITC Avant Garde" w:eastAsiaTheme="majorEastAsia" w:hAnsi="ITC Avant Garde" w:cstheme="majorBidi"/>
          <w:bCs/>
          <w:sz w:val="18"/>
          <w:szCs w:val="18"/>
          <w:lang w:val="es-ES_tradnl"/>
        </w:rPr>
        <w:t>ar</w:t>
      </w:r>
      <w:r w:rsidR="00634353" w:rsidRPr="00766053">
        <w:rPr>
          <w:rFonts w:ascii="ITC Avant Garde" w:eastAsiaTheme="majorEastAsia" w:hAnsi="ITC Avant Garde" w:cstheme="majorBidi"/>
          <w:bCs/>
          <w:sz w:val="18"/>
          <w:szCs w:val="18"/>
          <w:lang w:val="es-ES_tradnl"/>
        </w:rPr>
        <w:t xml:space="preserve">án </w:t>
      </w:r>
      <w:r w:rsidR="00D51E77">
        <w:rPr>
          <w:rFonts w:ascii="ITC Avant Garde" w:eastAsiaTheme="majorEastAsia" w:hAnsi="ITC Avant Garde" w:cstheme="majorBidi"/>
          <w:bCs/>
          <w:sz w:val="18"/>
          <w:szCs w:val="18"/>
          <w:lang w:val="es-ES_tradnl"/>
        </w:rPr>
        <w:t xml:space="preserve">principalmente </w:t>
      </w:r>
      <w:r w:rsidR="00634353" w:rsidRPr="00766053">
        <w:rPr>
          <w:rFonts w:ascii="ITC Avant Garde" w:eastAsiaTheme="majorEastAsia" w:hAnsi="ITC Avant Garde" w:cstheme="majorBidi"/>
          <w:bCs/>
          <w:sz w:val="18"/>
          <w:szCs w:val="18"/>
          <w:lang w:val="es-ES_tradnl"/>
        </w:rPr>
        <w:t>basados en datos proporcionados por el AEP</w:t>
      </w:r>
      <w:r w:rsidR="004725AF" w:rsidRPr="00766053">
        <w:rPr>
          <w:rFonts w:ascii="ITC Avant Garde" w:eastAsiaTheme="majorEastAsia" w:hAnsi="ITC Avant Garde" w:cstheme="majorBidi"/>
          <w:bCs/>
          <w:sz w:val="18"/>
          <w:szCs w:val="18"/>
          <w:lang w:val="es-ES_tradnl"/>
        </w:rPr>
        <w:t xml:space="preserve">, </w:t>
      </w:r>
      <w:r w:rsidR="00634353" w:rsidRPr="00766053">
        <w:rPr>
          <w:rFonts w:ascii="ITC Avant Garde" w:eastAsiaTheme="majorEastAsia" w:hAnsi="ITC Avant Garde" w:cstheme="majorBidi"/>
          <w:bCs/>
          <w:sz w:val="18"/>
          <w:szCs w:val="18"/>
          <w:lang w:val="es-ES_tradnl"/>
        </w:rPr>
        <w:t xml:space="preserve">contrastados con </w:t>
      </w:r>
      <w:r w:rsidR="004725AF" w:rsidRPr="00766053">
        <w:rPr>
          <w:rFonts w:ascii="ITC Avant Garde" w:eastAsiaTheme="majorEastAsia" w:hAnsi="ITC Avant Garde" w:cstheme="majorBidi"/>
          <w:bCs/>
          <w:sz w:val="18"/>
          <w:szCs w:val="18"/>
          <w:lang w:val="es-ES_tradnl"/>
        </w:rPr>
        <w:t>la mejor información disponible en la práctica internaci</w:t>
      </w:r>
      <w:r>
        <w:rPr>
          <w:rFonts w:ascii="ITC Avant Garde" w:eastAsiaTheme="majorEastAsia" w:hAnsi="ITC Avant Garde" w:cstheme="majorBidi"/>
          <w:bCs/>
          <w:sz w:val="18"/>
          <w:szCs w:val="18"/>
          <w:lang w:val="es-ES_tradnl"/>
        </w:rPr>
        <w:t>onal.</w:t>
      </w:r>
    </w:p>
    <w:p w14:paraId="43892F55" w14:textId="52697209" w:rsidR="006C7304" w:rsidRPr="00D74806" w:rsidRDefault="00D74806" w:rsidP="00D74806">
      <w:pPr>
        <w:pStyle w:val="Listaconvietas"/>
        <w:numPr>
          <w:ilvl w:val="0"/>
          <w:numId w:val="0"/>
        </w:numPr>
        <w:rPr>
          <w:rFonts w:ascii="ITC Avant Garde" w:hAnsi="ITC Avant Garde"/>
          <w:color w:val="000000" w:themeColor="text1"/>
          <w:sz w:val="18"/>
          <w:szCs w:val="18"/>
          <w:lang w:val="es-ES_tradnl"/>
        </w:rPr>
      </w:pPr>
      <w:r>
        <w:rPr>
          <w:rFonts w:ascii="ITC Avant Garde" w:eastAsiaTheme="majorEastAsia" w:hAnsi="ITC Avant Garde" w:cstheme="majorBidi"/>
          <w:bCs/>
          <w:sz w:val="18"/>
          <w:szCs w:val="18"/>
          <w:lang w:val="es-ES_tradnl"/>
        </w:rPr>
        <w:t xml:space="preserve">Por otra parte, </w:t>
      </w:r>
      <w:r>
        <w:rPr>
          <w:rFonts w:ascii="ITC Avant Garde" w:hAnsi="ITC Avant Garde"/>
          <w:color w:val="000000" w:themeColor="text1"/>
          <w:sz w:val="18"/>
          <w:szCs w:val="18"/>
          <w:lang w:val="es-ES_tradnl"/>
        </w:rPr>
        <w:t>e</w:t>
      </w:r>
      <w:r w:rsidRPr="008B62E5">
        <w:rPr>
          <w:rFonts w:ascii="ITC Avant Garde" w:hAnsi="ITC Avant Garde"/>
          <w:color w:val="000000" w:themeColor="text1"/>
          <w:sz w:val="18"/>
          <w:szCs w:val="18"/>
          <w:lang w:val="es-ES_tradnl"/>
        </w:rPr>
        <w:t>l Instituto reitera que la información empleada para definir los parámetros del modelo se basa en su gran mayoría en información confidencial provista por el AEP o en datos confidenciales de operadores internacionales</w:t>
      </w:r>
      <w:r>
        <w:rPr>
          <w:rFonts w:ascii="ITC Avant Garde" w:hAnsi="ITC Avant Garde"/>
          <w:color w:val="000000" w:themeColor="text1"/>
          <w:sz w:val="18"/>
          <w:szCs w:val="18"/>
          <w:lang w:val="es-ES_tradnl"/>
        </w:rPr>
        <w:t xml:space="preserve">, los cuales se anonimizan para proteger su carácter y de manera que el modelo sometido a consulta pública permita a los participantes </w:t>
      </w:r>
      <w:r w:rsidRPr="006E0556">
        <w:rPr>
          <w:rFonts w:ascii="ITC Avant Garde" w:hAnsi="ITC Avant Garde"/>
          <w:color w:val="000000" w:themeColor="text1"/>
          <w:sz w:val="18"/>
          <w:szCs w:val="18"/>
          <w:lang w:val="es-ES_tradnl"/>
        </w:rPr>
        <w:t>conocer el funcionamiento general del modelo de costos y diferencias en su configuración</w:t>
      </w:r>
      <w:r w:rsidRPr="008B62E5">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En este sentido</w:t>
      </w:r>
      <w:r w:rsidRPr="008B62E5">
        <w:rPr>
          <w:rFonts w:ascii="ITC Avant Garde" w:hAnsi="ITC Avant Garde"/>
          <w:color w:val="000000" w:themeColor="text1"/>
          <w:sz w:val="18"/>
          <w:szCs w:val="18"/>
          <w:lang w:val="es-ES_tradnl"/>
        </w:rPr>
        <w:t>, la consulta pública permite al Instituto recabar comentarios, opiniones y aportaciones que permiten robustecer la construcción del modelo en cuestión y en su caso realizar modificaciones correspondientes.</w:t>
      </w:r>
      <w:r w:rsidR="006C7304" w:rsidRPr="00766053">
        <w:rPr>
          <w:rFonts w:ascii="ITC Avant Garde" w:eastAsiaTheme="majorEastAsia" w:hAnsi="ITC Avant Garde" w:cstheme="majorBidi"/>
          <w:bCs/>
          <w:sz w:val="18"/>
          <w:szCs w:val="18"/>
          <w:lang w:val="es-ES_tradnl"/>
        </w:rPr>
        <w:t xml:space="preserve"> Asimismo, </w:t>
      </w:r>
      <w:r>
        <w:rPr>
          <w:rFonts w:ascii="ITC Avant Garde" w:eastAsiaTheme="majorEastAsia" w:hAnsi="ITC Avant Garde" w:cstheme="majorBidi"/>
          <w:bCs/>
          <w:sz w:val="18"/>
          <w:szCs w:val="18"/>
          <w:lang w:val="es-ES_tradnl"/>
        </w:rPr>
        <w:t xml:space="preserve">como resultado </w:t>
      </w:r>
      <w:r w:rsidR="006C7304" w:rsidRPr="00766053">
        <w:rPr>
          <w:rFonts w:ascii="ITC Avant Garde" w:eastAsiaTheme="majorEastAsia" w:hAnsi="ITC Avant Garde" w:cstheme="majorBidi"/>
          <w:bCs/>
          <w:sz w:val="18"/>
          <w:szCs w:val="18"/>
          <w:lang w:val="es-ES_tradnl"/>
        </w:rPr>
        <w:t>de dicha consulta se reconocen algunos elementos de costos que deberán ser considerados y que como parte de ello deberán ser analizados y actualizados en la implementación del modelo.</w:t>
      </w:r>
    </w:p>
    <w:p w14:paraId="43892F56" w14:textId="28161D75" w:rsidR="00CB2D18" w:rsidRPr="00766053" w:rsidRDefault="00CB2D18" w:rsidP="00F764CA">
      <w:pPr>
        <w:rPr>
          <w:rFonts w:ascii="ITC Avant Garde" w:eastAsiaTheme="majorEastAsia" w:hAnsi="ITC Avant Garde" w:cstheme="majorBidi"/>
          <w:bCs/>
          <w:sz w:val="18"/>
          <w:szCs w:val="18"/>
          <w:lang w:val="es-ES_tradnl"/>
        </w:rPr>
      </w:pPr>
      <w:r w:rsidRPr="00766053">
        <w:rPr>
          <w:rFonts w:ascii="ITC Avant Garde" w:eastAsiaTheme="majorEastAsia" w:hAnsi="ITC Avant Garde" w:cstheme="majorBidi"/>
          <w:bCs/>
          <w:sz w:val="18"/>
          <w:szCs w:val="18"/>
          <w:lang w:val="es-ES_tradnl"/>
        </w:rPr>
        <w:t>Finalmente, sobre los err</w:t>
      </w:r>
      <w:r w:rsidR="00F764CA">
        <w:rPr>
          <w:rFonts w:ascii="ITC Avant Garde" w:eastAsiaTheme="majorEastAsia" w:hAnsi="ITC Avant Garde" w:cstheme="majorBidi"/>
          <w:bCs/>
          <w:sz w:val="18"/>
          <w:szCs w:val="18"/>
          <w:lang w:val="es-ES_tradnl"/>
        </w:rPr>
        <w:t>ores que señalan respecto a diversos elementos y su costo</w:t>
      </w:r>
      <w:r w:rsidRPr="00766053">
        <w:rPr>
          <w:rFonts w:ascii="ITC Avant Garde" w:eastAsiaTheme="majorEastAsia" w:hAnsi="ITC Avant Garde" w:cstheme="majorBidi"/>
          <w:bCs/>
          <w:sz w:val="18"/>
          <w:szCs w:val="18"/>
          <w:lang w:val="es-ES_tradnl"/>
        </w:rPr>
        <w:t xml:space="preserve">, </w:t>
      </w:r>
      <w:r w:rsidR="00EC7A09" w:rsidRPr="00766053">
        <w:rPr>
          <w:rFonts w:ascii="ITC Avant Garde" w:eastAsiaTheme="majorEastAsia" w:hAnsi="ITC Avant Garde" w:cstheme="majorBidi"/>
          <w:bCs/>
          <w:sz w:val="18"/>
          <w:szCs w:val="18"/>
          <w:lang w:val="es-ES_tradnl"/>
        </w:rPr>
        <w:t xml:space="preserve">el Instituto </w:t>
      </w:r>
      <w:r w:rsidR="00F764CA">
        <w:rPr>
          <w:rFonts w:ascii="ITC Avant Garde" w:eastAsiaTheme="majorEastAsia" w:hAnsi="ITC Avant Garde" w:cstheme="majorBidi"/>
          <w:bCs/>
          <w:sz w:val="18"/>
          <w:szCs w:val="18"/>
          <w:lang w:val="es-ES_tradnl"/>
        </w:rPr>
        <w:t xml:space="preserve">señala que en la versión final del modelo los valores correspondientes se </w:t>
      </w:r>
      <w:r w:rsidR="00D51E77">
        <w:rPr>
          <w:rFonts w:ascii="ITC Avant Garde" w:eastAsiaTheme="majorEastAsia" w:hAnsi="ITC Avant Garde" w:cstheme="majorBidi"/>
          <w:bCs/>
          <w:sz w:val="18"/>
          <w:szCs w:val="18"/>
          <w:lang w:val="es-ES_tradnl"/>
        </w:rPr>
        <w:t>analizarán</w:t>
      </w:r>
      <w:r w:rsidR="00F764CA">
        <w:rPr>
          <w:rFonts w:ascii="ITC Avant Garde" w:eastAsiaTheme="majorEastAsia" w:hAnsi="ITC Avant Garde" w:cstheme="majorBidi"/>
          <w:bCs/>
          <w:sz w:val="18"/>
          <w:szCs w:val="18"/>
          <w:lang w:val="es-ES_tradnl"/>
        </w:rPr>
        <w:t>,</w:t>
      </w:r>
      <w:r w:rsidR="00F764CA">
        <w:rPr>
          <w:rFonts w:ascii="ITC Avant Garde" w:hAnsi="ITC Avant Garde"/>
          <w:sz w:val="18"/>
          <w:szCs w:val="18"/>
          <w:lang w:val="es-ES_tradnl"/>
        </w:rPr>
        <w:t xml:space="preserve"> contrastándolos con los </w:t>
      </w:r>
      <w:r w:rsidR="00F764CA" w:rsidRPr="00766053">
        <w:rPr>
          <w:rFonts w:ascii="ITC Avant Garde" w:eastAsiaTheme="majorEastAsia" w:hAnsi="ITC Avant Garde" w:cstheme="majorBidi"/>
          <w:bCs/>
          <w:sz w:val="18"/>
          <w:szCs w:val="18"/>
          <w:lang w:val="es-ES_tradnl"/>
        </w:rPr>
        <w:t xml:space="preserve">datos proporcionados por el AEP, </w:t>
      </w:r>
      <w:r w:rsidR="00F764CA">
        <w:rPr>
          <w:rFonts w:ascii="ITC Avant Garde" w:eastAsiaTheme="majorEastAsia" w:hAnsi="ITC Avant Garde" w:cstheme="majorBidi"/>
          <w:bCs/>
          <w:sz w:val="18"/>
          <w:szCs w:val="18"/>
          <w:lang w:val="es-ES_tradnl"/>
        </w:rPr>
        <w:t>y datos disponible</w:t>
      </w:r>
      <w:r w:rsidR="004F5C4C">
        <w:rPr>
          <w:rFonts w:ascii="ITC Avant Garde" w:eastAsiaTheme="majorEastAsia" w:hAnsi="ITC Avant Garde" w:cstheme="majorBidi"/>
          <w:bCs/>
          <w:sz w:val="18"/>
          <w:szCs w:val="18"/>
          <w:lang w:val="es-ES_tradnl"/>
        </w:rPr>
        <w:t>s</w:t>
      </w:r>
      <w:r w:rsidR="00F764CA">
        <w:rPr>
          <w:rFonts w:ascii="ITC Avant Garde" w:eastAsiaTheme="majorEastAsia" w:hAnsi="ITC Avant Garde" w:cstheme="majorBidi"/>
          <w:bCs/>
          <w:sz w:val="18"/>
          <w:szCs w:val="18"/>
          <w:lang w:val="es-ES_tradnl"/>
        </w:rPr>
        <w:t xml:space="preserve"> de </w:t>
      </w:r>
      <w:r w:rsidR="00F764CA" w:rsidRPr="00766053">
        <w:rPr>
          <w:rFonts w:ascii="ITC Avant Garde" w:eastAsiaTheme="majorEastAsia" w:hAnsi="ITC Avant Garde" w:cstheme="majorBidi"/>
          <w:bCs/>
          <w:sz w:val="18"/>
          <w:szCs w:val="18"/>
          <w:lang w:val="es-ES_tradnl"/>
        </w:rPr>
        <w:t>la práctica internaci</w:t>
      </w:r>
      <w:r w:rsidR="00F764CA">
        <w:rPr>
          <w:rFonts w:ascii="ITC Avant Garde" w:eastAsiaTheme="majorEastAsia" w:hAnsi="ITC Avant Garde" w:cstheme="majorBidi"/>
          <w:bCs/>
          <w:sz w:val="18"/>
          <w:szCs w:val="18"/>
          <w:lang w:val="es-ES_tradnl"/>
        </w:rPr>
        <w:t xml:space="preserve">onal, y de ser procedente se </w:t>
      </w:r>
      <w:r w:rsidR="0044138C">
        <w:rPr>
          <w:rFonts w:ascii="ITC Avant Garde" w:eastAsiaTheme="majorEastAsia" w:hAnsi="ITC Avant Garde" w:cstheme="majorBidi"/>
          <w:bCs/>
          <w:sz w:val="18"/>
          <w:szCs w:val="18"/>
          <w:lang w:val="es-ES_tradnl"/>
        </w:rPr>
        <w:t>realizarán</w:t>
      </w:r>
      <w:r w:rsidR="00F764CA">
        <w:rPr>
          <w:rFonts w:ascii="ITC Avant Garde" w:eastAsiaTheme="majorEastAsia" w:hAnsi="ITC Avant Garde" w:cstheme="majorBidi"/>
          <w:bCs/>
          <w:sz w:val="18"/>
          <w:szCs w:val="18"/>
          <w:lang w:val="es-ES_tradnl"/>
        </w:rPr>
        <w:t xml:space="preserve"> las modificaciones conducentes.</w:t>
      </w:r>
    </w:p>
    <w:p w14:paraId="43892F57" w14:textId="77777777" w:rsidR="001438D2" w:rsidRPr="00766053" w:rsidRDefault="001438D2" w:rsidP="00203113">
      <w:pPr>
        <w:pStyle w:val="Ttulo3"/>
        <w:rPr>
          <w:rFonts w:ascii="ITC Avant Garde" w:hAnsi="ITC Avant Garde"/>
          <w:sz w:val="18"/>
          <w:szCs w:val="18"/>
          <w:lang w:val="es-ES_tradnl"/>
        </w:rPr>
      </w:pPr>
      <w:r w:rsidRPr="00766053">
        <w:rPr>
          <w:rFonts w:ascii="ITC Avant Garde" w:eastAsiaTheme="minorHAnsi" w:hAnsi="ITC Avant Garde" w:cstheme="minorBidi"/>
          <w:sz w:val="18"/>
          <w:szCs w:val="18"/>
          <w:lang w:val="es-ES_tradnl"/>
        </w:rPr>
        <w:t>Resultados del modelo</w:t>
      </w:r>
    </w:p>
    <w:p w14:paraId="43892F58" w14:textId="77777777" w:rsidR="00C70070" w:rsidRPr="00766053" w:rsidRDefault="00C70070" w:rsidP="00C70070">
      <w:pPr>
        <w:spacing w:before="60" w:after="120"/>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13</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¿Está de acuerdo con la estructura de precios de los servicios modelados, así como con las unidades en las que se costean los servicios?</w:t>
      </w:r>
    </w:p>
    <w:p w14:paraId="43892F59" w14:textId="77777777" w:rsidR="00872D58" w:rsidRPr="00766053" w:rsidRDefault="00872D58" w:rsidP="00872D58">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5A" w14:textId="77777777" w:rsidR="00856ABD" w:rsidRPr="00766053" w:rsidRDefault="00C70070">
      <w:pPr>
        <w:rPr>
          <w:rFonts w:ascii="ITC Avant Garde" w:hAnsi="ITC Avant Garde"/>
          <w:sz w:val="18"/>
          <w:szCs w:val="18"/>
          <w:lang w:val="es-ES_tradnl"/>
        </w:rPr>
      </w:pPr>
      <w:r w:rsidRPr="00766053">
        <w:rPr>
          <w:rFonts w:ascii="ITC Avant Garde" w:hAnsi="ITC Avant Garde"/>
          <w:sz w:val="18"/>
          <w:szCs w:val="18"/>
          <w:lang w:val="es-ES_tradnl"/>
        </w:rPr>
        <w:t xml:space="preserve">Dos </w:t>
      </w:r>
      <w:r w:rsidR="003369D4" w:rsidRPr="00766053">
        <w:rPr>
          <w:rFonts w:ascii="ITC Avant Garde" w:hAnsi="ITC Avant Garde"/>
          <w:sz w:val="18"/>
          <w:szCs w:val="18"/>
          <w:lang w:val="es-ES_tradnl"/>
        </w:rPr>
        <w:t>participantes</w:t>
      </w:r>
      <w:r w:rsidRPr="00766053">
        <w:rPr>
          <w:rFonts w:ascii="ITC Avant Garde" w:hAnsi="ITC Avant Garde"/>
          <w:sz w:val="18"/>
          <w:szCs w:val="18"/>
          <w:lang w:val="es-ES_tradnl"/>
        </w:rPr>
        <w:t xml:space="preserve"> [Lester García y Telefónica] consideran que se costean los servicios pertinentes y en las unidades de medida apropiadas. </w:t>
      </w:r>
    </w:p>
    <w:p w14:paraId="43892F5B" w14:textId="77777777" w:rsidR="00C70070" w:rsidRPr="00766053" w:rsidRDefault="00466ED1">
      <w:pPr>
        <w:rPr>
          <w:rFonts w:ascii="ITC Avant Garde" w:hAnsi="ITC Avant Garde"/>
          <w:sz w:val="18"/>
          <w:szCs w:val="18"/>
          <w:lang w:val="es-ES_tradnl"/>
        </w:rPr>
      </w:pPr>
      <w:r>
        <w:rPr>
          <w:rFonts w:ascii="ITC Avant Garde" w:hAnsi="ITC Avant Garde"/>
          <w:sz w:val="18"/>
          <w:szCs w:val="18"/>
          <w:lang w:val="es-ES_tradnl"/>
        </w:rPr>
        <w:t>Por otra parte, ciertos</w:t>
      </w:r>
      <w:r w:rsidR="003369D4" w:rsidRPr="00766053">
        <w:rPr>
          <w:rFonts w:ascii="ITC Avant Garde" w:hAnsi="ITC Avant Garde"/>
          <w:sz w:val="18"/>
          <w:szCs w:val="18"/>
          <w:lang w:val="es-ES_tradnl"/>
        </w:rPr>
        <w:t xml:space="preserve"> participantes</w:t>
      </w:r>
      <w:r w:rsidR="00C70070" w:rsidRPr="00766053">
        <w:rPr>
          <w:rFonts w:ascii="ITC Avant Garde" w:hAnsi="ITC Avant Garde"/>
          <w:sz w:val="18"/>
          <w:szCs w:val="18"/>
          <w:lang w:val="es-ES_tradnl"/>
        </w:rPr>
        <w:t xml:space="preserve"> [CANIETI</w:t>
      </w:r>
      <w:r w:rsidR="00A748F3" w:rsidRPr="00766053">
        <w:rPr>
          <w:rFonts w:ascii="ITC Avant Garde" w:hAnsi="ITC Avant Garde"/>
          <w:sz w:val="18"/>
          <w:szCs w:val="18"/>
          <w:lang w:val="es-ES_tradnl"/>
        </w:rPr>
        <w:t xml:space="preserve"> </w:t>
      </w:r>
      <w:r w:rsidR="00C70070" w:rsidRPr="00766053">
        <w:rPr>
          <w:rFonts w:ascii="ITC Avant Garde" w:hAnsi="ITC Avant Garde"/>
          <w:sz w:val="18"/>
          <w:szCs w:val="18"/>
          <w:lang w:val="es-ES_tradnl"/>
        </w:rPr>
        <w:t>y Televisa] comentan que no se calculan las tarifas para los servicios complementarios, a pesar de estar incluidos en los servicios</w:t>
      </w:r>
      <w:r>
        <w:rPr>
          <w:rFonts w:ascii="ITC Avant Garde" w:hAnsi="ITC Avant Garde"/>
          <w:sz w:val="18"/>
          <w:szCs w:val="18"/>
          <w:lang w:val="es-ES_tradnl"/>
        </w:rPr>
        <w:t xml:space="preserve"> modelados.</w:t>
      </w:r>
    </w:p>
    <w:p w14:paraId="43892F5C" w14:textId="77777777" w:rsidR="00B847E3" w:rsidRPr="00766053" w:rsidRDefault="00466ED1">
      <w:pPr>
        <w:rPr>
          <w:rFonts w:ascii="ITC Avant Garde" w:hAnsi="ITC Avant Garde"/>
          <w:sz w:val="18"/>
          <w:szCs w:val="18"/>
          <w:lang w:val="es-ES_tradnl"/>
        </w:rPr>
      </w:pPr>
      <w:r>
        <w:rPr>
          <w:rFonts w:ascii="ITC Avant Garde" w:hAnsi="ITC Avant Garde"/>
          <w:sz w:val="18"/>
          <w:szCs w:val="18"/>
          <w:lang w:val="es-ES_tradnl"/>
        </w:rPr>
        <w:t>Asimismo, o</w:t>
      </w:r>
      <w:r w:rsidR="00B847E3" w:rsidRPr="00766053">
        <w:rPr>
          <w:rFonts w:ascii="ITC Avant Garde" w:hAnsi="ITC Avant Garde"/>
          <w:sz w:val="18"/>
          <w:szCs w:val="18"/>
          <w:lang w:val="es-ES_tradnl"/>
        </w:rPr>
        <w:t xml:space="preserve">tros </w:t>
      </w:r>
      <w:r w:rsidR="003369D4" w:rsidRPr="00766053">
        <w:rPr>
          <w:rFonts w:ascii="ITC Avant Garde" w:hAnsi="ITC Avant Garde"/>
          <w:sz w:val="18"/>
          <w:szCs w:val="18"/>
          <w:lang w:val="es-ES_tradnl"/>
        </w:rPr>
        <w:t>participantes</w:t>
      </w:r>
      <w:r w:rsidR="00B847E3" w:rsidRPr="00766053">
        <w:rPr>
          <w:rFonts w:ascii="ITC Avant Garde" w:hAnsi="ITC Avant Garde"/>
          <w:sz w:val="18"/>
          <w:szCs w:val="18"/>
          <w:lang w:val="es-ES_tradnl"/>
        </w:rPr>
        <w:t xml:space="preserve"> [</w:t>
      </w:r>
      <w:r w:rsidRPr="00766053">
        <w:rPr>
          <w:rFonts w:ascii="ITC Avant Garde" w:hAnsi="ITC Avant Garde"/>
          <w:sz w:val="18"/>
          <w:szCs w:val="18"/>
          <w:lang w:val="es-ES_tradnl"/>
        </w:rPr>
        <w:t xml:space="preserve">MATC </w:t>
      </w:r>
      <w:r>
        <w:rPr>
          <w:rFonts w:ascii="ITC Avant Garde" w:hAnsi="ITC Avant Garde"/>
          <w:sz w:val="18"/>
          <w:szCs w:val="18"/>
          <w:lang w:val="es-ES_tradnl"/>
        </w:rPr>
        <w:t>y Televisa</w:t>
      </w:r>
      <w:r w:rsidR="00B847E3" w:rsidRPr="00766053">
        <w:rPr>
          <w:rFonts w:ascii="ITC Avant Garde" w:hAnsi="ITC Avant Garde"/>
          <w:sz w:val="18"/>
          <w:szCs w:val="18"/>
          <w:lang w:val="es-ES_tradnl"/>
        </w:rPr>
        <w:t>] solicitan que se reevalúe la fórmula empleada para determinar el área necesaria para instalar una torre.</w:t>
      </w:r>
    </w:p>
    <w:p w14:paraId="43892F5D" w14:textId="77777777" w:rsidR="00C70070" w:rsidRPr="00766053" w:rsidRDefault="001847B8">
      <w:pPr>
        <w:rPr>
          <w:rFonts w:ascii="ITC Avant Garde" w:hAnsi="ITC Avant Garde"/>
          <w:sz w:val="18"/>
          <w:szCs w:val="18"/>
          <w:lang w:val="es-ES_tradnl"/>
        </w:rPr>
      </w:pPr>
      <w:r>
        <w:rPr>
          <w:rFonts w:ascii="ITC Avant Garde" w:hAnsi="ITC Avant Garde"/>
          <w:sz w:val="18"/>
          <w:szCs w:val="18"/>
          <w:lang w:val="es-ES_tradnl"/>
        </w:rPr>
        <w:t>Finalmente, o</w:t>
      </w:r>
      <w:r w:rsidR="00C70070" w:rsidRPr="00766053">
        <w:rPr>
          <w:rFonts w:ascii="ITC Avant Garde" w:hAnsi="ITC Avant Garde"/>
          <w:sz w:val="18"/>
          <w:szCs w:val="18"/>
          <w:lang w:val="es-ES_tradnl"/>
        </w:rPr>
        <w:t xml:space="preserve">tro de los </w:t>
      </w:r>
      <w:r w:rsidR="003369D4" w:rsidRPr="00766053">
        <w:rPr>
          <w:rFonts w:ascii="ITC Avant Garde" w:hAnsi="ITC Avant Garde"/>
          <w:sz w:val="18"/>
          <w:szCs w:val="18"/>
          <w:lang w:val="es-ES_tradnl"/>
        </w:rPr>
        <w:t xml:space="preserve">participantes </w:t>
      </w:r>
      <w:r w:rsidR="00C70070" w:rsidRPr="00766053">
        <w:rPr>
          <w:rFonts w:ascii="ITC Avant Garde" w:hAnsi="ITC Avant Garde"/>
          <w:sz w:val="18"/>
          <w:szCs w:val="18"/>
          <w:lang w:val="es-ES_tradnl"/>
        </w:rPr>
        <w:t xml:space="preserve">[MATC] afirma que la estructura de precios no se apega a las prácticas comerciales al determinar un precio distinto para cada sitio dependiendo de ciertas variables, dado que los CS suelen negociar un gran número de sitios por año. </w:t>
      </w:r>
      <w:r>
        <w:rPr>
          <w:rFonts w:ascii="ITC Avant Garde" w:hAnsi="ITC Avant Garde"/>
          <w:sz w:val="18"/>
          <w:szCs w:val="18"/>
          <w:lang w:val="es-ES_tradnl"/>
        </w:rPr>
        <w:t>En este sentido, considera que e</w:t>
      </w:r>
      <w:r w:rsidR="00C70070" w:rsidRPr="00766053">
        <w:rPr>
          <w:rFonts w:ascii="ITC Avant Garde" w:hAnsi="ITC Avant Garde"/>
          <w:sz w:val="18"/>
          <w:szCs w:val="18"/>
          <w:lang w:val="es-ES_tradnl"/>
        </w:rPr>
        <w:t>l modelar los precios sitio por sitio p</w:t>
      </w:r>
      <w:r>
        <w:rPr>
          <w:rFonts w:ascii="ITC Avant Garde" w:hAnsi="ITC Avant Garde"/>
          <w:sz w:val="18"/>
          <w:szCs w:val="18"/>
          <w:lang w:val="es-ES_tradnl"/>
        </w:rPr>
        <w:t>udiera resultar en una asignación</w:t>
      </w:r>
      <w:r w:rsidR="00C70070" w:rsidRPr="00766053">
        <w:rPr>
          <w:rFonts w:ascii="ITC Avant Garde" w:hAnsi="ITC Avant Garde"/>
          <w:sz w:val="18"/>
          <w:szCs w:val="18"/>
          <w:lang w:val="es-ES_tradnl"/>
        </w:rPr>
        <w:t xml:space="preserve"> anticompetitiva</w:t>
      </w:r>
      <w:r w:rsidR="003B4D43" w:rsidRPr="00766053">
        <w:rPr>
          <w:rFonts w:ascii="ITC Avant Garde" w:hAnsi="ITC Avant Garde"/>
          <w:sz w:val="18"/>
          <w:szCs w:val="18"/>
          <w:lang w:val="es-ES_tradnl"/>
        </w:rPr>
        <w:t>.</w:t>
      </w:r>
    </w:p>
    <w:p w14:paraId="43892F5E" w14:textId="77777777" w:rsidR="00EF1970" w:rsidRPr="001F5B60" w:rsidRDefault="00EF1970" w:rsidP="00EF1970">
      <w:pPr>
        <w:rPr>
          <w:rFonts w:ascii="ITC Avant Garde" w:hAnsi="ITC Avant Garde"/>
          <w:i/>
          <w:sz w:val="18"/>
          <w:u w:val="single"/>
          <w:lang w:val="es-ES_tradnl"/>
        </w:rPr>
      </w:pPr>
      <w:r w:rsidRPr="001F5B60">
        <w:rPr>
          <w:rFonts w:ascii="ITC Avant Garde" w:hAnsi="ITC Avant Garde"/>
          <w:i/>
          <w:sz w:val="18"/>
          <w:u w:val="single"/>
          <w:lang w:val="es-ES_tradnl"/>
        </w:rPr>
        <w:lastRenderedPageBreak/>
        <w:t>Respuesta del Instituto</w:t>
      </w:r>
    </w:p>
    <w:p w14:paraId="43892F60" w14:textId="2534FF6F" w:rsidR="000764E7" w:rsidRPr="00766053" w:rsidRDefault="001A2DA9" w:rsidP="00B71C1C">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Relativo a</w:t>
      </w:r>
      <w:r w:rsidRPr="004B1FD7">
        <w:rPr>
          <w:rFonts w:ascii="ITC Avant Garde" w:eastAsiaTheme="majorEastAsia" w:hAnsi="ITC Avant Garde" w:cstheme="majorBidi"/>
          <w:bCs/>
          <w:color w:val="000000" w:themeColor="text1"/>
          <w:sz w:val="18"/>
          <w:szCs w:val="18"/>
          <w:lang w:val="es-ES_tradnl"/>
        </w:rPr>
        <w:t xml:space="preserve"> los comentarios sobre los servicios complementarios, el Instituto señala que </w:t>
      </w:r>
      <w:r>
        <w:rPr>
          <w:rFonts w:ascii="ITC Avant Garde" w:eastAsiaTheme="majorEastAsia" w:hAnsi="ITC Avant Garde" w:cstheme="majorBidi"/>
          <w:bCs/>
          <w:color w:val="000000" w:themeColor="text1"/>
          <w:sz w:val="18"/>
          <w:szCs w:val="18"/>
          <w:lang w:val="es-ES_tradnl"/>
        </w:rPr>
        <w:t>estos</w:t>
      </w:r>
      <w:r w:rsidRPr="004B1FD7">
        <w:rPr>
          <w:rFonts w:ascii="ITC Avant Garde" w:eastAsiaTheme="majorEastAsia" w:hAnsi="ITC Avant Garde" w:cstheme="majorBidi"/>
          <w:bCs/>
          <w:color w:val="000000" w:themeColor="text1"/>
          <w:sz w:val="18"/>
          <w:szCs w:val="18"/>
          <w:lang w:val="es-ES_tradnl"/>
        </w:rPr>
        <w:t xml:space="preserve"> se </w:t>
      </w:r>
      <w:r w:rsidR="00B71C1C">
        <w:rPr>
          <w:rFonts w:ascii="ITC Avant Garde" w:eastAsiaTheme="majorEastAsia" w:hAnsi="ITC Avant Garde" w:cstheme="majorBidi"/>
          <w:bCs/>
          <w:color w:val="000000" w:themeColor="text1"/>
          <w:sz w:val="18"/>
          <w:szCs w:val="18"/>
          <w:lang w:val="es-ES_tradnl"/>
        </w:rPr>
        <w:t xml:space="preserve"> encuentran considerados en otros modelos de costos aplicables a los servicios materia de la oferta de referencia correspondiente,</w:t>
      </w:r>
      <w:r w:rsidR="000764E7" w:rsidRPr="00766053">
        <w:rPr>
          <w:rFonts w:ascii="ITC Avant Garde" w:eastAsiaTheme="majorEastAsia" w:hAnsi="ITC Avant Garde" w:cstheme="majorBidi"/>
          <w:bCs/>
          <w:sz w:val="18"/>
          <w:szCs w:val="18"/>
          <w:lang w:val="es-ES_tradnl"/>
        </w:rPr>
        <w:t xml:space="preserve"> con base en información proporcionada por el propio AEP respecto a</w:t>
      </w:r>
      <w:r w:rsidR="005907A2">
        <w:rPr>
          <w:rFonts w:ascii="ITC Avant Garde" w:eastAsiaTheme="majorEastAsia" w:hAnsi="ITC Avant Garde" w:cstheme="majorBidi"/>
          <w:bCs/>
          <w:sz w:val="18"/>
          <w:szCs w:val="18"/>
          <w:lang w:val="es-ES_tradnl"/>
        </w:rPr>
        <w:t xml:space="preserve"> </w:t>
      </w:r>
      <w:r w:rsidR="000764E7" w:rsidRPr="00766053">
        <w:rPr>
          <w:rFonts w:ascii="ITC Avant Garde" w:eastAsiaTheme="majorEastAsia" w:hAnsi="ITC Avant Garde" w:cstheme="majorBidi"/>
          <w:bCs/>
          <w:sz w:val="18"/>
          <w:szCs w:val="18"/>
          <w:lang w:val="es-ES_tradnl"/>
        </w:rPr>
        <w:t>l</w:t>
      </w:r>
      <w:r w:rsidR="005907A2">
        <w:rPr>
          <w:rFonts w:ascii="ITC Avant Garde" w:eastAsiaTheme="majorEastAsia" w:hAnsi="ITC Avant Garde" w:cstheme="majorBidi"/>
          <w:bCs/>
          <w:sz w:val="18"/>
          <w:szCs w:val="18"/>
          <w:lang w:val="es-ES_tradnl"/>
        </w:rPr>
        <w:t>os</w:t>
      </w:r>
      <w:r w:rsidR="000764E7" w:rsidRPr="00766053">
        <w:rPr>
          <w:rFonts w:ascii="ITC Avant Garde" w:eastAsiaTheme="majorEastAsia" w:hAnsi="ITC Avant Garde" w:cstheme="majorBidi"/>
          <w:bCs/>
          <w:sz w:val="18"/>
          <w:szCs w:val="18"/>
          <w:lang w:val="es-ES_tradnl"/>
        </w:rPr>
        <w:t xml:space="preserve"> costos de su personal</w:t>
      </w:r>
      <w:r w:rsidR="005907A2">
        <w:rPr>
          <w:rFonts w:ascii="ITC Avant Garde" w:eastAsiaTheme="majorEastAsia" w:hAnsi="ITC Avant Garde" w:cstheme="majorBidi"/>
          <w:bCs/>
          <w:sz w:val="18"/>
          <w:szCs w:val="18"/>
          <w:lang w:val="es-ES_tradnl"/>
        </w:rPr>
        <w:t>,</w:t>
      </w:r>
      <w:r w:rsidR="000764E7" w:rsidRPr="00766053">
        <w:rPr>
          <w:rFonts w:ascii="ITC Avant Garde" w:eastAsiaTheme="majorEastAsia" w:hAnsi="ITC Avant Garde" w:cstheme="majorBidi"/>
          <w:bCs/>
          <w:sz w:val="18"/>
          <w:szCs w:val="18"/>
          <w:lang w:val="es-ES_tradnl"/>
        </w:rPr>
        <w:t xml:space="preserve"> así como</w:t>
      </w:r>
      <w:r w:rsidR="00602E57">
        <w:rPr>
          <w:rFonts w:ascii="ITC Avant Garde" w:eastAsiaTheme="majorEastAsia" w:hAnsi="ITC Avant Garde" w:cstheme="majorBidi"/>
          <w:bCs/>
          <w:sz w:val="18"/>
          <w:szCs w:val="18"/>
          <w:lang w:val="es-ES_tradnl"/>
        </w:rPr>
        <w:t xml:space="preserve"> la </w:t>
      </w:r>
      <w:r w:rsidR="000764E7" w:rsidRPr="00766053">
        <w:rPr>
          <w:rFonts w:ascii="ITC Avant Garde" w:eastAsiaTheme="majorEastAsia" w:hAnsi="ITC Avant Garde" w:cstheme="majorBidi"/>
          <w:bCs/>
          <w:sz w:val="18"/>
          <w:szCs w:val="18"/>
          <w:lang w:val="es-ES_tradnl"/>
        </w:rPr>
        <w:t>jornada laboral para realizar cada uno de los servicios.</w:t>
      </w:r>
    </w:p>
    <w:p w14:paraId="43892F61" w14:textId="1905E67E" w:rsidR="001A2DA9" w:rsidRDefault="001A2DA9">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 xml:space="preserve">En </w:t>
      </w:r>
      <w:r w:rsidR="00FD0F3E">
        <w:rPr>
          <w:rFonts w:ascii="ITC Avant Garde" w:eastAsiaTheme="majorEastAsia" w:hAnsi="ITC Avant Garde" w:cstheme="majorBidi"/>
          <w:bCs/>
          <w:sz w:val="18"/>
          <w:szCs w:val="18"/>
          <w:lang w:val="es-ES_tradnl"/>
        </w:rPr>
        <w:t xml:space="preserve">lo tocante al área </w:t>
      </w:r>
      <w:r w:rsidR="00FD0F3E" w:rsidRPr="00766053">
        <w:rPr>
          <w:rFonts w:ascii="ITC Avant Garde" w:hAnsi="ITC Avant Garde"/>
          <w:sz w:val="18"/>
          <w:szCs w:val="18"/>
          <w:lang w:val="es-ES_tradnl"/>
        </w:rPr>
        <w:t>necesaria para instalar una torre</w:t>
      </w:r>
      <w:r w:rsidR="00FD0F3E">
        <w:rPr>
          <w:rFonts w:ascii="ITC Avant Garde" w:hAnsi="ITC Avant Garde"/>
          <w:sz w:val="18"/>
          <w:szCs w:val="18"/>
          <w:lang w:val="es-ES_tradnl"/>
        </w:rPr>
        <w:t xml:space="preserve">, el Instituto </w:t>
      </w:r>
      <w:r w:rsidR="00BE7803">
        <w:rPr>
          <w:rFonts w:ascii="ITC Avant Garde" w:hAnsi="ITC Avant Garde"/>
          <w:sz w:val="18"/>
          <w:szCs w:val="18"/>
          <w:lang w:val="es-ES_tradnl"/>
        </w:rPr>
        <w:t xml:space="preserve">considera procedente la </w:t>
      </w:r>
      <w:r w:rsidR="00E67C50">
        <w:rPr>
          <w:rFonts w:ascii="ITC Avant Garde" w:hAnsi="ITC Avant Garde"/>
          <w:sz w:val="18"/>
          <w:szCs w:val="18"/>
          <w:lang w:val="es-ES_tradnl"/>
        </w:rPr>
        <w:t>revisión</w:t>
      </w:r>
      <w:r w:rsidR="00BE7803">
        <w:rPr>
          <w:rFonts w:ascii="ITC Avant Garde" w:hAnsi="ITC Avant Garde"/>
          <w:sz w:val="18"/>
          <w:szCs w:val="18"/>
          <w:lang w:val="es-ES_tradnl"/>
        </w:rPr>
        <w:t xml:space="preserve"> de</w:t>
      </w:r>
      <w:r w:rsidR="00FD0F3E">
        <w:rPr>
          <w:rFonts w:ascii="ITC Avant Garde" w:hAnsi="ITC Avant Garde"/>
          <w:sz w:val="18"/>
          <w:szCs w:val="18"/>
          <w:lang w:val="es-ES_tradnl"/>
        </w:rPr>
        <w:t xml:space="preserve"> dicho parámetro </w:t>
      </w:r>
      <w:r w:rsidR="00BE7803">
        <w:rPr>
          <w:rFonts w:ascii="ITC Avant Garde" w:hAnsi="ITC Avant Garde"/>
          <w:sz w:val="18"/>
          <w:szCs w:val="18"/>
          <w:lang w:val="es-ES_tradnl"/>
        </w:rPr>
        <w:t>para consolidar la</w:t>
      </w:r>
      <w:r w:rsidR="00FD0F3E">
        <w:rPr>
          <w:rFonts w:ascii="ITC Avant Garde" w:hAnsi="ITC Avant Garde"/>
          <w:sz w:val="18"/>
          <w:szCs w:val="18"/>
          <w:lang w:val="es-ES_tradnl"/>
        </w:rPr>
        <w:t xml:space="preserve"> versión final del modelo, adecuándose el área considerada a partir de datos reportados por el AEP</w:t>
      </w:r>
      <w:r w:rsidR="00BE7803">
        <w:rPr>
          <w:rFonts w:ascii="ITC Avant Garde" w:hAnsi="ITC Avant Garde"/>
          <w:sz w:val="18"/>
          <w:szCs w:val="18"/>
          <w:lang w:val="es-ES_tradnl"/>
        </w:rPr>
        <w:t xml:space="preserve"> según corresponda</w:t>
      </w:r>
      <w:r w:rsidR="00FD0F3E">
        <w:rPr>
          <w:rFonts w:ascii="ITC Avant Garde" w:hAnsi="ITC Avant Garde"/>
          <w:sz w:val="18"/>
          <w:szCs w:val="18"/>
          <w:lang w:val="es-ES_tradnl"/>
        </w:rPr>
        <w:t>.</w:t>
      </w:r>
    </w:p>
    <w:p w14:paraId="43892F62" w14:textId="1F6EEB19" w:rsidR="000764E7" w:rsidRPr="00766053" w:rsidRDefault="00734126">
      <w:pPr>
        <w:rPr>
          <w:rFonts w:ascii="ITC Avant Garde" w:eastAsiaTheme="majorEastAsia" w:hAnsi="ITC Avant Garde" w:cstheme="majorBidi"/>
          <w:bCs/>
          <w:sz w:val="18"/>
          <w:szCs w:val="18"/>
          <w:lang w:val="es-ES_tradnl"/>
        </w:rPr>
      </w:pPr>
      <w:r w:rsidRPr="000128B0">
        <w:rPr>
          <w:rFonts w:ascii="ITC Avant Garde" w:eastAsiaTheme="majorEastAsia" w:hAnsi="ITC Avant Garde" w:cstheme="majorBidi"/>
          <w:bCs/>
          <w:sz w:val="18"/>
          <w:szCs w:val="18"/>
          <w:lang w:val="es-ES_tradnl"/>
        </w:rPr>
        <w:t xml:space="preserve">Sobre el comentario que señala que la estructura de precios no se apega a las prácticas comerciales al determinar un precio </w:t>
      </w:r>
      <w:r w:rsidR="00754641" w:rsidRPr="000128B0">
        <w:rPr>
          <w:rFonts w:ascii="ITC Avant Garde" w:eastAsiaTheme="majorEastAsia" w:hAnsi="ITC Avant Garde" w:cstheme="majorBidi"/>
          <w:bCs/>
          <w:sz w:val="18"/>
          <w:szCs w:val="18"/>
          <w:lang w:val="es-ES_tradnl"/>
        </w:rPr>
        <w:t>distinto</w:t>
      </w:r>
      <w:r w:rsidRPr="000128B0">
        <w:rPr>
          <w:rFonts w:ascii="ITC Avant Garde" w:eastAsiaTheme="majorEastAsia" w:hAnsi="ITC Avant Garde" w:cstheme="majorBidi"/>
          <w:bCs/>
          <w:sz w:val="18"/>
          <w:szCs w:val="18"/>
          <w:lang w:val="es-ES_tradnl"/>
        </w:rPr>
        <w:t xml:space="preserve"> para cada sitio, el Instituto</w:t>
      </w:r>
      <w:r w:rsidR="00FD0F3E" w:rsidRPr="000128B0">
        <w:rPr>
          <w:rFonts w:ascii="ITC Avant Garde" w:eastAsiaTheme="majorEastAsia" w:hAnsi="ITC Avant Garde" w:cstheme="majorBidi"/>
          <w:bCs/>
          <w:sz w:val="18"/>
          <w:szCs w:val="18"/>
          <w:lang w:val="es-ES_tradnl"/>
        </w:rPr>
        <w:t xml:space="preserve"> señala que la versión final del modelo</w:t>
      </w:r>
      <w:r w:rsidR="000128B0" w:rsidRPr="000128B0">
        <w:rPr>
          <w:rFonts w:ascii="ITC Avant Garde" w:eastAsiaTheme="majorEastAsia" w:hAnsi="ITC Avant Garde" w:cstheme="majorBidi"/>
          <w:bCs/>
          <w:sz w:val="18"/>
          <w:szCs w:val="18"/>
          <w:lang w:val="es-ES_tradnl"/>
        </w:rPr>
        <w:t xml:space="preserve"> se </w:t>
      </w:r>
      <w:r w:rsidR="00BE7803">
        <w:rPr>
          <w:rFonts w:ascii="ITC Avant Garde" w:eastAsiaTheme="majorEastAsia" w:hAnsi="ITC Avant Garde" w:cstheme="majorBidi"/>
          <w:bCs/>
          <w:sz w:val="18"/>
          <w:szCs w:val="18"/>
          <w:lang w:val="es-ES_tradnl"/>
        </w:rPr>
        <w:t>ajustará</w:t>
      </w:r>
      <w:r w:rsidR="000128B0" w:rsidRPr="000128B0">
        <w:rPr>
          <w:rFonts w:ascii="ITC Avant Garde" w:eastAsiaTheme="majorEastAsia" w:hAnsi="ITC Avant Garde" w:cstheme="majorBidi"/>
          <w:bCs/>
          <w:sz w:val="18"/>
          <w:szCs w:val="18"/>
          <w:lang w:val="es-ES_tradnl"/>
        </w:rPr>
        <w:t xml:space="preserve"> para reflejar la descripción y alcance de los servicios modelados en términos de la </w:t>
      </w:r>
      <w:r w:rsidR="00DF3B1C">
        <w:rPr>
          <w:rFonts w:ascii="ITC Avant Garde" w:eastAsiaTheme="majorEastAsia" w:hAnsi="ITC Avant Garde" w:cstheme="majorBidi"/>
          <w:bCs/>
          <w:sz w:val="18"/>
          <w:szCs w:val="18"/>
          <w:lang w:val="es-ES_tradnl"/>
        </w:rPr>
        <w:t>o</w:t>
      </w:r>
      <w:r w:rsidR="000128B0" w:rsidRPr="000128B0">
        <w:rPr>
          <w:rFonts w:ascii="ITC Avant Garde" w:eastAsiaTheme="majorEastAsia" w:hAnsi="ITC Avant Garde" w:cstheme="majorBidi"/>
          <w:bCs/>
          <w:sz w:val="18"/>
          <w:szCs w:val="18"/>
          <w:lang w:val="es-ES_tradnl"/>
        </w:rPr>
        <w:t xml:space="preserve">ferta de </w:t>
      </w:r>
      <w:r w:rsidR="00DF3B1C">
        <w:rPr>
          <w:rFonts w:ascii="ITC Avant Garde" w:eastAsiaTheme="majorEastAsia" w:hAnsi="ITC Avant Garde" w:cstheme="majorBidi"/>
          <w:bCs/>
          <w:sz w:val="18"/>
          <w:szCs w:val="18"/>
          <w:lang w:val="es-ES_tradnl"/>
        </w:rPr>
        <w:t>r</w:t>
      </w:r>
      <w:r w:rsidR="000128B0" w:rsidRPr="000128B0">
        <w:rPr>
          <w:rFonts w:ascii="ITC Avant Garde" w:eastAsiaTheme="majorEastAsia" w:hAnsi="ITC Avant Garde" w:cstheme="majorBidi"/>
          <w:bCs/>
          <w:sz w:val="18"/>
          <w:szCs w:val="18"/>
          <w:lang w:val="es-ES_tradnl"/>
        </w:rPr>
        <w:t>eferencia correspondiente,</w:t>
      </w:r>
      <w:r w:rsidR="00DF3B1C" w:rsidRPr="00DF3B1C">
        <w:t xml:space="preserve"> </w:t>
      </w:r>
      <w:r w:rsidR="00DF3B1C" w:rsidRPr="00DF3B1C">
        <w:rPr>
          <w:rFonts w:ascii="ITC Avant Garde" w:eastAsiaTheme="majorEastAsia" w:hAnsi="ITC Avant Garde" w:cstheme="majorBidi"/>
          <w:bCs/>
          <w:sz w:val="18"/>
          <w:szCs w:val="18"/>
          <w:lang w:val="es-ES_tradnl"/>
        </w:rPr>
        <w:t>a partir de lo establecido en las Medidas impuestas al AEP por el Instituto</w:t>
      </w:r>
      <w:r w:rsidR="00DF3B1C">
        <w:rPr>
          <w:rFonts w:ascii="ITC Avant Garde" w:eastAsiaTheme="majorEastAsia" w:hAnsi="ITC Avant Garde" w:cstheme="majorBidi"/>
          <w:bCs/>
          <w:sz w:val="18"/>
          <w:szCs w:val="18"/>
          <w:lang w:val="es-ES_tradnl"/>
        </w:rPr>
        <w:t>,</w:t>
      </w:r>
      <w:r w:rsidR="000128B0" w:rsidRPr="000128B0">
        <w:rPr>
          <w:rFonts w:ascii="ITC Avant Garde" w:eastAsiaTheme="majorEastAsia" w:hAnsi="ITC Avant Garde" w:cstheme="majorBidi"/>
          <w:bCs/>
          <w:sz w:val="18"/>
          <w:szCs w:val="18"/>
          <w:lang w:val="es-ES_tradnl"/>
        </w:rPr>
        <w:t xml:space="preserve"> y en particular de manera acorde a la estructura tarifaria establecida por </w:t>
      </w:r>
      <w:r w:rsidR="00DF3B1C">
        <w:rPr>
          <w:rFonts w:ascii="ITC Avant Garde" w:eastAsiaTheme="majorEastAsia" w:hAnsi="ITC Avant Garde" w:cstheme="majorBidi"/>
          <w:bCs/>
          <w:sz w:val="18"/>
          <w:szCs w:val="18"/>
          <w:lang w:val="es-ES_tradnl"/>
        </w:rPr>
        <w:t>é</w:t>
      </w:r>
      <w:r w:rsidR="000128B0" w:rsidRPr="000128B0">
        <w:rPr>
          <w:rFonts w:ascii="ITC Avant Garde" w:eastAsiaTheme="majorEastAsia" w:hAnsi="ITC Avant Garde" w:cstheme="majorBidi"/>
          <w:bCs/>
          <w:sz w:val="18"/>
          <w:szCs w:val="18"/>
          <w:lang w:val="es-ES_tradnl"/>
        </w:rPr>
        <w:t>sta</w:t>
      </w:r>
      <w:r w:rsidR="008A0718" w:rsidRPr="000128B0">
        <w:rPr>
          <w:rFonts w:ascii="ITC Avant Garde" w:hAnsi="ITC Avant Garde"/>
          <w:sz w:val="18"/>
          <w:szCs w:val="18"/>
          <w:lang w:val="es-ES_tradnl"/>
        </w:rPr>
        <w:t xml:space="preserve">. </w:t>
      </w:r>
    </w:p>
    <w:p w14:paraId="43892F63" w14:textId="77777777" w:rsidR="00C70070" w:rsidRPr="00766053" w:rsidRDefault="00C70070" w:rsidP="00C70070">
      <w:pPr>
        <w:rPr>
          <w:rFonts w:ascii="ITC Avant Garde" w:hAnsi="ITC Avant Garde"/>
          <w:b/>
          <w:sz w:val="18"/>
          <w:szCs w:val="18"/>
          <w:lang w:val="es-ES_tradnl"/>
        </w:rPr>
      </w:pPr>
      <w:r w:rsidRPr="00766053">
        <w:rPr>
          <w:rFonts w:ascii="ITC Avant Garde" w:hAnsi="ITC Avant Garde"/>
          <w:b/>
          <w:sz w:val="18"/>
          <w:szCs w:val="18"/>
          <w:lang w:val="es-ES_tradnl"/>
        </w:rPr>
        <w:t>Q.</w:t>
      </w:r>
      <w:r w:rsidRPr="00766053">
        <w:rPr>
          <w:rFonts w:ascii="ITC Avant Garde" w:hAnsi="ITC Avant Garde"/>
          <w:b/>
          <w:sz w:val="18"/>
          <w:szCs w:val="18"/>
          <w:lang w:val="es-ES_tradnl"/>
        </w:rPr>
        <w:fldChar w:fldCharType="begin"/>
      </w:r>
      <w:r w:rsidRPr="00766053">
        <w:rPr>
          <w:rFonts w:ascii="ITC Avant Garde" w:hAnsi="ITC Avant Garde"/>
          <w:b/>
          <w:sz w:val="18"/>
          <w:szCs w:val="18"/>
          <w:lang w:val="es-ES_tradnl"/>
        </w:rPr>
        <w:instrText xml:space="preserve"> SEQ Recommendation \* ARABIC \s 0 </w:instrText>
      </w:r>
      <w:r w:rsidRPr="00766053">
        <w:rPr>
          <w:rFonts w:ascii="ITC Avant Garde" w:hAnsi="ITC Avant Garde"/>
          <w:b/>
          <w:sz w:val="18"/>
          <w:szCs w:val="18"/>
          <w:lang w:val="es-ES_tradnl"/>
        </w:rPr>
        <w:fldChar w:fldCharType="separate"/>
      </w:r>
      <w:r w:rsidR="00766053" w:rsidRPr="00766053">
        <w:rPr>
          <w:rFonts w:ascii="ITC Avant Garde" w:hAnsi="ITC Avant Garde"/>
          <w:b/>
          <w:noProof/>
          <w:sz w:val="18"/>
          <w:szCs w:val="18"/>
          <w:lang w:val="es-ES_tradnl"/>
        </w:rPr>
        <w:t>14</w:t>
      </w:r>
      <w:r w:rsidRPr="00766053">
        <w:rPr>
          <w:rFonts w:ascii="ITC Avant Garde" w:hAnsi="ITC Avant Garde"/>
          <w:b/>
          <w:sz w:val="18"/>
          <w:szCs w:val="18"/>
          <w:lang w:val="es-ES_tradnl"/>
        </w:rPr>
        <w:fldChar w:fldCharType="end"/>
      </w:r>
      <w:r w:rsidRPr="00766053">
        <w:rPr>
          <w:rFonts w:ascii="ITC Avant Garde" w:hAnsi="ITC Avant Garde"/>
          <w:b/>
          <w:sz w:val="18"/>
          <w:szCs w:val="18"/>
          <w:lang w:val="es-ES_tradnl"/>
        </w:rPr>
        <w:t>: ¿Tiene algún comentario adicional relativo al modelo de costos y/o documentación asociada?</w:t>
      </w:r>
    </w:p>
    <w:p w14:paraId="43892F64" w14:textId="77777777" w:rsidR="00872D58" w:rsidRPr="00766053" w:rsidRDefault="00872D58" w:rsidP="00872D58">
      <w:pPr>
        <w:spacing w:after="120"/>
        <w:rPr>
          <w:rFonts w:ascii="ITC Avant Garde" w:hAnsi="ITC Avant Garde"/>
          <w:i/>
          <w:sz w:val="18"/>
          <w:szCs w:val="18"/>
          <w:u w:val="single"/>
          <w:lang w:val="es-ES_tradnl"/>
        </w:rPr>
      </w:pPr>
      <w:r w:rsidRPr="00766053">
        <w:rPr>
          <w:rFonts w:ascii="ITC Avant Garde" w:hAnsi="ITC Avant Garde"/>
          <w:i/>
          <w:sz w:val="18"/>
          <w:szCs w:val="18"/>
          <w:u w:val="single"/>
          <w:lang w:val="es-ES_tradnl"/>
        </w:rPr>
        <w:t>Resumen de comentarios de la Consulta Pública</w:t>
      </w:r>
    </w:p>
    <w:p w14:paraId="43892F65" w14:textId="77777777" w:rsidR="003B4D43" w:rsidRPr="00766053" w:rsidRDefault="00540491" w:rsidP="003B4D43">
      <w:pPr>
        <w:rPr>
          <w:rFonts w:ascii="ITC Avant Garde" w:hAnsi="ITC Avant Garde"/>
          <w:sz w:val="18"/>
          <w:szCs w:val="18"/>
          <w:lang w:val="es-ES_tradnl"/>
        </w:rPr>
      </w:pPr>
      <w:r>
        <w:rPr>
          <w:rFonts w:ascii="ITC Avant Garde" w:hAnsi="ITC Avant Garde"/>
          <w:sz w:val="18"/>
          <w:szCs w:val="18"/>
          <w:lang w:val="es-ES_tradnl"/>
        </w:rPr>
        <w:t>A este respecto, u</w:t>
      </w:r>
      <w:r w:rsidR="003B4D43" w:rsidRPr="00766053">
        <w:rPr>
          <w:rFonts w:ascii="ITC Avant Garde" w:hAnsi="ITC Avant Garde"/>
          <w:sz w:val="18"/>
          <w:szCs w:val="18"/>
          <w:lang w:val="es-ES_tradnl"/>
        </w:rPr>
        <w:t xml:space="preserve">n </w:t>
      </w:r>
      <w:r w:rsidR="005F5F97" w:rsidRPr="00766053">
        <w:rPr>
          <w:rFonts w:ascii="ITC Avant Garde" w:hAnsi="ITC Avant Garde"/>
          <w:sz w:val="18"/>
          <w:szCs w:val="18"/>
          <w:lang w:val="es-ES_tradnl"/>
        </w:rPr>
        <w:t xml:space="preserve">participante </w:t>
      </w:r>
      <w:r w:rsidR="003B4D43" w:rsidRPr="00766053">
        <w:rPr>
          <w:rFonts w:ascii="ITC Avant Garde" w:hAnsi="ITC Avant Garde"/>
          <w:sz w:val="18"/>
          <w:szCs w:val="18"/>
          <w:lang w:val="es-ES_tradnl"/>
        </w:rPr>
        <w:t xml:space="preserve">[CANIETI] menciona que parece que el modelo está dando resultados en línea con los precios del mercado para las torres más comúnmente utilizadas. </w:t>
      </w:r>
    </w:p>
    <w:p w14:paraId="43892F66" w14:textId="77777777" w:rsidR="00C70070" w:rsidRPr="00766053" w:rsidRDefault="00540491">
      <w:pPr>
        <w:rPr>
          <w:rFonts w:ascii="ITC Avant Garde" w:hAnsi="ITC Avant Garde"/>
          <w:sz w:val="18"/>
          <w:szCs w:val="18"/>
          <w:lang w:val="es-ES_tradnl"/>
        </w:rPr>
      </w:pPr>
      <w:r>
        <w:rPr>
          <w:rFonts w:ascii="ITC Avant Garde" w:hAnsi="ITC Avant Garde"/>
          <w:sz w:val="18"/>
          <w:szCs w:val="18"/>
          <w:lang w:val="es-ES_tradnl"/>
        </w:rPr>
        <w:t>Asimismo, o</w:t>
      </w:r>
      <w:r w:rsidR="005F5F97" w:rsidRPr="00766053">
        <w:rPr>
          <w:rFonts w:ascii="ITC Avant Garde" w:hAnsi="ITC Avant Garde"/>
          <w:sz w:val="18"/>
          <w:szCs w:val="18"/>
          <w:lang w:val="es-ES_tradnl"/>
        </w:rPr>
        <w:t>tro participante</w:t>
      </w:r>
      <w:r w:rsidR="00C70070" w:rsidRPr="00766053">
        <w:rPr>
          <w:rFonts w:ascii="ITC Avant Garde" w:hAnsi="ITC Avant Garde"/>
          <w:sz w:val="18"/>
          <w:szCs w:val="18"/>
          <w:lang w:val="es-ES_tradnl"/>
        </w:rPr>
        <w:t xml:space="preserve"> [OPSIMEX] </w:t>
      </w:r>
      <w:r w:rsidR="005F5F97" w:rsidRPr="00766053">
        <w:rPr>
          <w:rFonts w:ascii="ITC Avant Garde" w:hAnsi="ITC Avant Garde"/>
          <w:sz w:val="18"/>
          <w:szCs w:val="18"/>
          <w:lang w:val="es-ES_tradnl"/>
        </w:rPr>
        <w:t xml:space="preserve">expresó </w:t>
      </w:r>
      <w:r w:rsidR="00C70070" w:rsidRPr="00766053">
        <w:rPr>
          <w:rFonts w:ascii="ITC Avant Garde" w:hAnsi="ITC Avant Garde"/>
          <w:sz w:val="18"/>
          <w:szCs w:val="18"/>
          <w:lang w:val="es-ES_tradnl"/>
        </w:rPr>
        <w:t xml:space="preserve">su desacuerdo con el proyecto de metodología de costos para coubicación móvil dada la inexactitud de los datos que se emplean para calcular las tarifas en el modelo, de los que destaca la demanda estimada y las características compartibles de los sitios existentes.  </w:t>
      </w:r>
    </w:p>
    <w:p w14:paraId="43892F67" w14:textId="77777777" w:rsidR="00C70070" w:rsidRPr="00766053" w:rsidRDefault="00540491">
      <w:pPr>
        <w:rPr>
          <w:rFonts w:ascii="ITC Avant Garde" w:hAnsi="ITC Avant Garde"/>
          <w:sz w:val="18"/>
          <w:szCs w:val="18"/>
          <w:lang w:val="es-ES_tradnl"/>
        </w:rPr>
      </w:pPr>
      <w:r>
        <w:rPr>
          <w:rFonts w:ascii="ITC Avant Garde" w:hAnsi="ITC Avant Garde"/>
          <w:sz w:val="18"/>
          <w:szCs w:val="18"/>
          <w:lang w:val="es-ES_tradnl"/>
        </w:rPr>
        <w:t>En complemento, o</w:t>
      </w:r>
      <w:r w:rsidR="00C70070" w:rsidRPr="00766053">
        <w:rPr>
          <w:rFonts w:ascii="ITC Avant Garde" w:hAnsi="ITC Avant Garde"/>
          <w:sz w:val="18"/>
          <w:szCs w:val="18"/>
          <w:lang w:val="es-ES_tradnl"/>
        </w:rPr>
        <w:t xml:space="preserve">tro </w:t>
      </w:r>
      <w:r w:rsidR="00D65C64" w:rsidRPr="00766053">
        <w:rPr>
          <w:rFonts w:ascii="ITC Avant Garde" w:hAnsi="ITC Avant Garde"/>
          <w:sz w:val="18"/>
          <w:szCs w:val="18"/>
          <w:lang w:val="es-ES_tradnl"/>
        </w:rPr>
        <w:t>participante</w:t>
      </w:r>
      <w:r w:rsidR="00C70070" w:rsidRPr="00766053">
        <w:rPr>
          <w:rFonts w:ascii="ITC Avant Garde" w:hAnsi="ITC Avant Garde"/>
          <w:sz w:val="18"/>
          <w:szCs w:val="18"/>
          <w:lang w:val="es-ES_tradnl"/>
        </w:rPr>
        <w:t xml:space="preserve"> [Telefónica] afirma que el modelo considera una variabilidad de escenarios muy grande y esto puede causar precios inadecuados. </w:t>
      </w:r>
    </w:p>
    <w:p w14:paraId="43892F68" w14:textId="2620379C" w:rsidR="00C70070" w:rsidRPr="00766053" w:rsidRDefault="00C70070" w:rsidP="00C70070">
      <w:pPr>
        <w:rPr>
          <w:rFonts w:ascii="ITC Avant Garde" w:hAnsi="ITC Avant Garde"/>
          <w:sz w:val="18"/>
          <w:szCs w:val="18"/>
          <w:lang w:val="es-ES_tradnl"/>
        </w:rPr>
      </w:pPr>
      <w:r w:rsidRPr="00766053">
        <w:rPr>
          <w:rFonts w:ascii="ITC Avant Garde" w:hAnsi="ITC Avant Garde"/>
          <w:sz w:val="18"/>
          <w:szCs w:val="18"/>
          <w:lang w:val="es-ES_tradnl"/>
        </w:rPr>
        <w:t xml:space="preserve">Por último, otro de los </w:t>
      </w:r>
      <w:r w:rsidR="008E5F79">
        <w:rPr>
          <w:rFonts w:ascii="ITC Avant Garde" w:hAnsi="ITC Avant Garde"/>
          <w:sz w:val="18"/>
          <w:szCs w:val="18"/>
          <w:lang w:val="es-ES_tradnl"/>
        </w:rPr>
        <w:t>participantes de dicha consulta</w:t>
      </w:r>
      <w:r w:rsidRPr="00766053">
        <w:rPr>
          <w:rFonts w:ascii="ITC Avant Garde" w:hAnsi="ITC Avant Garde"/>
          <w:sz w:val="18"/>
          <w:szCs w:val="18"/>
          <w:lang w:val="es-ES_tradnl"/>
        </w:rPr>
        <w:t xml:space="preserve"> [MATC] critica que</w:t>
      </w:r>
      <w:r w:rsidR="00872697">
        <w:rPr>
          <w:rFonts w:ascii="ITC Avant Garde" w:hAnsi="ITC Avant Garde"/>
          <w:sz w:val="18"/>
          <w:szCs w:val="18"/>
          <w:lang w:val="es-ES_tradnl"/>
        </w:rPr>
        <w:t>,</w:t>
      </w:r>
      <w:r w:rsidRPr="00766053">
        <w:rPr>
          <w:rFonts w:ascii="ITC Avant Garde" w:hAnsi="ITC Avant Garde"/>
          <w:sz w:val="18"/>
          <w:szCs w:val="18"/>
          <w:lang w:val="es-ES_tradnl"/>
        </w:rPr>
        <w:t xml:space="preserve"> en relación con los benchmarks internacionales, por un lado se han tenido en cuenta características que no son aplicables al caso mexicano</w:t>
      </w:r>
      <w:r w:rsidR="005C29FE">
        <w:rPr>
          <w:rFonts w:ascii="ITC Avant Garde" w:hAnsi="ITC Avant Garde"/>
          <w:sz w:val="18"/>
          <w:szCs w:val="18"/>
          <w:lang w:val="es-ES_tradnl"/>
        </w:rPr>
        <w:t>,</w:t>
      </w:r>
      <w:r w:rsidRPr="00766053">
        <w:rPr>
          <w:rFonts w:ascii="ITC Avant Garde" w:hAnsi="ITC Avant Garde"/>
          <w:sz w:val="18"/>
          <w:szCs w:val="18"/>
          <w:lang w:val="es-ES_tradnl"/>
        </w:rPr>
        <w:t xml:space="preserve"> como por ejemplo las diferencias en el marco regulatorio o en el mercado laboral y, por otro, se ha omitido el hecho de que a diferencia de otros servicios mayoristas, en México existe un mercado de servicios de arrendamiento de espacios en sitios. </w:t>
      </w:r>
    </w:p>
    <w:p w14:paraId="43892F69" w14:textId="77777777" w:rsidR="00EF1970" w:rsidRPr="001F5B60" w:rsidRDefault="00EF1970" w:rsidP="00EF1970">
      <w:pPr>
        <w:rPr>
          <w:rFonts w:ascii="ITC Avant Garde" w:hAnsi="ITC Avant Garde"/>
          <w:i/>
          <w:sz w:val="18"/>
          <w:u w:val="single"/>
          <w:lang w:val="es-ES_tradnl"/>
        </w:rPr>
      </w:pPr>
      <w:r w:rsidRPr="001F5B60">
        <w:rPr>
          <w:rFonts w:ascii="ITC Avant Garde" w:hAnsi="ITC Avant Garde"/>
          <w:i/>
          <w:sz w:val="18"/>
          <w:u w:val="single"/>
          <w:lang w:val="es-ES_tradnl"/>
        </w:rPr>
        <w:t>Respuesta del Instituto</w:t>
      </w:r>
    </w:p>
    <w:p w14:paraId="43892F6A" w14:textId="34F37DF0" w:rsidR="008244F0" w:rsidRDefault="008244F0" w:rsidP="00DE273B">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 xml:space="preserve">En torno a los comentarios sobre </w:t>
      </w:r>
      <w:r w:rsidRPr="00766053">
        <w:rPr>
          <w:rFonts w:ascii="ITC Avant Garde" w:hAnsi="ITC Avant Garde"/>
          <w:sz w:val="18"/>
          <w:szCs w:val="18"/>
          <w:lang w:val="es-ES_tradnl"/>
        </w:rPr>
        <w:t>los datos que se emplean para calcular las tarifas en el modelo</w:t>
      </w:r>
      <w:r>
        <w:rPr>
          <w:rFonts w:ascii="ITC Avant Garde" w:hAnsi="ITC Avant Garde"/>
          <w:sz w:val="18"/>
          <w:szCs w:val="18"/>
          <w:lang w:val="es-ES_tradnl"/>
        </w:rPr>
        <w:t>, el Instituto señala que la versión final del modelo se basa</w:t>
      </w:r>
      <w:r w:rsidR="005C29FE">
        <w:rPr>
          <w:rFonts w:ascii="ITC Avant Garde" w:hAnsi="ITC Avant Garde"/>
          <w:sz w:val="18"/>
          <w:szCs w:val="18"/>
          <w:lang w:val="es-ES_tradnl"/>
        </w:rPr>
        <w:t>rá</w:t>
      </w:r>
      <w:r>
        <w:rPr>
          <w:rFonts w:ascii="ITC Avant Garde" w:hAnsi="ITC Avant Garde"/>
          <w:sz w:val="18"/>
          <w:szCs w:val="18"/>
          <w:lang w:val="es-ES_tradnl"/>
        </w:rPr>
        <w:t xml:space="preserve"> en </w:t>
      </w:r>
      <w:r w:rsidRPr="00077776">
        <w:rPr>
          <w:rFonts w:ascii="ITC Avant Garde" w:hAnsi="ITC Avant Garde"/>
          <w:color w:val="000000" w:themeColor="text1"/>
          <w:sz w:val="18"/>
          <w:szCs w:val="18"/>
          <w:lang w:val="es-ES"/>
        </w:rPr>
        <w:t xml:space="preserve">datos provistos por el AEP para alimentar </w:t>
      </w:r>
      <w:r>
        <w:rPr>
          <w:rFonts w:ascii="ITC Avant Garde" w:hAnsi="ITC Avant Garde"/>
          <w:color w:val="000000" w:themeColor="text1"/>
          <w:sz w:val="18"/>
          <w:szCs w:val="18"/>
          <w:lang w:val="es-ES"/>
        </w:rPr>
        <w:t>sus</w:t>
      </w:r>
      <w:r w:rsidRPr="00077776">
        <w:rPr>
          <w:rFonts w:ascii="ITC Avant Garde" w:hAnsi="ITC Avant Garde"/>
          <w:color w:val="000000" w:themeColor="text1"/>
          <w:sz w:val="18"/>
          <w:szCs w:val="18"/>
          <w:lang w:val="es-ES"/>
        </w:rPr>
        <w:t xml:space="preserve"> datos y par</w:t>
      </w:r>
      <w:r>
        <w:rPr>
          <w:rFonts w:ascii="ITC Avant Garde" w:hAnsi="ITC Avant Garde"/>
          <w:color w:val="000000" w:themeColor="text1"/>
          <w:sz w:val="18"/>
          <w:szCs w:val="18"/>
          <w:lang w:val="es-ES"/>
        </w:rPr>
        <w:t>ámetros</w:t>
      </w:r>
      <w:r w:rsidRPr="00077776">
        <w:rPr>
          <w:rFonts w:ascii="ITC Avant Garde" w:hAnsi="ITC Avant Garde"/>
          <w:color w:val="000000" w:themeColor="text1"/>
          <w:sz w:val="18"/>
          <w:szCs w:val="18"/>
          <w:lang w:val="es-ES"/>
        </w:rPr>
        <w:t xml:space="preserve">, </w:t>
      </w:r>
      <w:r>
        <w:rPr>
          <w:rFonts w:ascii="ITC Avant Garde" w:hAnsi="ITC Avant Garde"/>
          <w:color w:val="000000" w:themeColor="text1"/>
          <w:sz w:val="18"/>
          <w:szCs w:val="18"/>
          <w:lang w:val="es-ES"/>
        </w:rPr>
        <w:t xml:space="preserve">los cuales </w:t>
      </w:r>
      <w:r w:rsidR="005C29FE">
        <w:rPr>
          <w:rFonts w:ascii="ITC Avant Garde" w:hAnsi="ITC Avant Garde"/>
          <w:color w:val="000000" w:themeColor="text1"/>
          <w:sz w:val="18"/>
          <w:szCs w:val="18"/>
          <w:lang w:val="es-ES"/>
        </w:rPr>
        <w:t>serán</w:t>
      </w:r>
      <w:r>
        <w:rPr>
          <w:rFonts w:ascii="ITC Avant Garde" w:hAnsi="ITC Avant Garde"/>
          <w:color w:val="000000" w:themeColor="text1"/>
          <w:sz w:val="18"/>
          <w:szCs w:val="18"/>
          <w:lang w:val="es-ES"/>
        </w:rPr>
        <w:t xml:space="preserve"> </w:t>
      </w:r>
      <w:r w:rsidRPr="00077776">
        <w:rPr>
          <w:rFonts w:ascii="ITC Avant Garde" w:hAnsi="ITC Avant Garde"/>
          <w:color w:val="000000" w:themeColor="text1"/>
          <w:sz w:val="18"/>
          <w:szCs w:val="18"/>
          <w:lang w:val="es-ES"/>
        </w:rPr>
        <w:t xml:space="preserve">debidamente analizados y contrastados, siempre que </w:t>
      </w:r>
      <w:r w:rsidR="005C29FE">
        <w:rPr>
          <w:rFonts w:ascii="ITC Avant Garde" w:hAnsi="ITC Avant Garde"/>
          <w:color w:val="000000" w:themeColor="text1"/>
          <w:sz w:val="18"/>
          <w:szCs w:val="18"/>
          <w:lang w:val="es-ES"/>
        </w:rPr>
        <w:t>sea</w:t>
      </w:r>
      <w:r w:rsidRPr="00077776">
        <w:rPr>
          <w:rFonts w:ascii="ITC Avant Garde" w:hAnsi="ITC Avant Garde"/>
          <w:color w:val="000000" w:themeColor="text1"/>
          <w:sz w:val="18"/>
          <w:szCs w:val="18"/>
          <w:lang w:val="es-ES"/>
        </w:rPr>
        <w:t xml:space="preserve"> posible, y que </w:t>
      </w:r>
      <w:r w:rsidR="005C29FE">
        <w:rPr>
          <w:rFonts w:ascii="ITC Avant Garde" w:hAnsi="ITC Avant Garde"/>
          <w:color w:val="000000" w:themeColor="text1"/>
          <w:sz w:val="18"/>
          <w:szCs w:val="18"/>
          <w:lang w:val="es-ES"/>
        </w:rPr>
        <w:t>se emplearán</w:t>
      </w:r>
      <w:r w:rsidRPr="00077776">
        <w:rPr>
          <w:rFonts w:ascii="ITC Avant Garde" w:hAnsi="ITC Avant Garde"/>
          <w:color w:val="000000" w:themeColor="text1"/>
          <w:sz w:val="18"/>
          <w:szCs w:val="18"/>
          <w:lang w:val="es-ES"/>
        </w:rPr>
        <w:t xml:space="preserve"> comparativas internacionales o estimaciones donde no </w:t>
      </w:r>
      <w:r w:rsidR="005C29FE">
        <w:rPr>
          <w:rFonts w:ascii="ITC Avant Garde" w:hAnsi="ITC Avant Garde"/>
          <w:color w:val="000000" w:themeColor="text1"/>
          <w:sz w:val="18"/>
          <w:szCs w:val="18"/>
          <w:lang w:val="es-ES"/>
        </w:rPr>
        <w:t>sea</w:t>
      </w:r>
      <w:r w:rsidRPr="00077776">
        <w:rPr>
          <w:rFonts w:ascii="ITC Avant Garde" w:hAnsi="ITC Avant Garde"/>
          <w:color w:val="000000" w:themeColor="text1"/>
          <w:sz w:val="18"/>
          <w:szCs w:val="18"/>
          <w:lang w:val="es-ES"/>
        </w:rPr>
        <w:t xml:space="preserve"> posible hacerlo de otra manera</w:t>
      </w:r>
      <w:r>
        <w:rPr>
          <w:rFonts w:ascii="ITC Avant Garde" w:hAnsi="ITC Avant Garde"/>
          <w:color w:val="000000" w:themeColor="text1"/>
          <w:sz w:val="18"/>
          <w:szCs w:val="18"/>
          <w:lang w:val="es-ES"/>
        </w:rPr>
        <w:t>.</w:t>
      </w:r>
    </w:p>
    <w:p w14:paraId="43892F6B" w14:textId="5299721F" w:rsidR="00DE273B" w:rsidRPr="00766053" w:rsidRDefault="00C53349" w:rsidP="00DE273B">
      <w:pPr>
        <w:rPr>
          <w:rFonts w:ascii="ITC Avant Garde" w:eastAsiaTheme="majorEastAsia" w:hAnsi="ITC Avant Garde" w:cstheme="majorBidi"/>
          <w:bCs/>
          <w:sz w:val="18"/>
          <w:szCs w:val="18"/>
          <w:lang w:val="es-ES_tradnl"/>
        </w:rPr>
      </w:pPr>
      <w:r>
        <w:rPr>
          <w:rFonts w:ascii="ITC Avant Garde" w:eastAsiaTheme="majorEastAsia" w:hAnsi="ITC Avant Garde" w:cstheme="majorBidi"/>
          <w:bCs/>
          <w:sz w:val="18"/>
          <w:szCs w:val="18"/>
          <w:lang w:val="es-ES_tradnl"/>
        </w:rPr>
        <w:t xml:space="preserve">En torno a la variabilidad de escenarios en el modelo, el Instituto señala que dicha variabilidad </w:t>
      </w:r>
      <w:r w:rsidR="009D3286">
        <w:rPr>
          <w:rFonts w:ascii="ITC Avant Garde" w:eastAsiaTheme="majorEastAsia" w:hAnsi="ITC Avant Garde" w:cstheme="majorBidi"/>
          <w:bCs/>
          <w:sz w:val="18"/>
          <w:szCs w:val="18"/>
          <w:lang w:val="es-ES_tradnl"/>
        </w:rPr>
        <w:t xml:space="preserve">es procedente en el entendido de que </w:t>
      </w:r>
      <w:r>
        <w:rPr>
          <w:rFonts w:ascii="ITC Avant Garde" w:eastAsiaTheme="majorEastAsia" w:hAnsi="ITC Avant Garde" w:cstheme="majorBidi"/>
          <w:bCs/>
          <w:sz w:val="18"/>
          <w:szCs w:val="18"/>
          <w:lang w:val="es-ES_tradnl"/>
        </w:rPr>
        <w:t xml:space="preserve">permite </w:t>
      </w:r>
      <w:r w:rsidR="005C29FE">
        <w:rPr>
          <w:rFonts w:ascii="ITC Avant Garde" w:eastAsiaTheme="majorEastAsia" w:hAnsi="ITC Avant Garde" w:cstheme="majorBidi"/>
          <w:bCs/>
          <w:sz w:val="18"/>
          <w:szCs w:val="18"/>
          <w:lang w:val="es-ES_tradnl"/>
        </w:rPr>
        <w:t>al</w:t>
      </w:r>
      <w:r>
        <w:rPr>
          <w:rFonts w:ascii="ITC Avant Garde" w:eastAsiaTheme="majorEastAsia" w:hAnsi="ITC Avant Garde" w:cstheme="majorBidi"/>
          <w:bCs/>
          <w:sz w:val="18"/>
          <w:szCs w:val="18"/>
          <w:lang w:val="es-ES_tradnl"/>
        </w:rPr>
        <w:t xml:space="preserve"> modelo adaptarse a las casuísticas </w:t>
      </w:r>
      <w:r w:rsidR="009D3286" w:rsidRPr="00766053">
        <w:rPr>
          <w:rFonts w:ascii="ITC Avant Garde" w:eastAsiaTheme="majorEastAsia" w:hAnsi="ITC Avant Garde" w:cstheme="majorBidi"/>
          <w:bCs/>
          <w:sz w:val="18"/>
          <w:szCs w:val="18"/>
          <w:lang w:val="es-ES_tradnl"/>
        </w:rPr>
        <w:t xml:space="preserve">particulares y representativas </w:t>
      </w:r>
      <w:r>
        <w:rPr>
          <w:rFonts w:ascii="ITC Avant Garde" w:eastAsiaTheme="majorEastAsia" w:hAnsi="ITC Avant Garde" w:cstheme="majorBidi"/>
          <w:bCs/>
          <w:sz w:val="18"/>
          <w:szCs w:val="18"/>
          <w:lang w:val="es-ES_tradnl"/>
        </w:rPr>
        <w:t>que se pueden encontrar en los sitios del AEP, en los cuales este posee infraestructura susceptible de ser compartida.</w:t>
      </w:r>
      <w:r w:rsidR="009D3286">
        <w:rPr>
          <w:rFonts w:ascii="ITC Avant Garde" w:eastAsiaTheme="majorEastAsia" w:hAnsi="ITC Avant Garde" w:cstheme="majorBidi"/>
          <w:bCs/>
          <w:sz w:val="18"/>
          <w:szCs w:val="18"/>
          <w:lang w:val="es-ES_tradnl"/>
        </w:rPr>
        <w:t xml:space="preserve"> </w:t>
      </w:r>
      <w:r w:rsidR="00DE273B" w:rsidRPr="00766053">
        <w:rPr>
          <w:rFonts w:ascii="ITC Avant Garde" w:eastAsiaTheme="majorEastAsia" w:hAnsi="ITC Avant Garde" w:cstheme="majorBidi"/>
          <w:bCs/>
          <w:sz w:val="18"/>
          <w:szCs w:val="18"/>
          <w:lang w:val="es-ES_tradnl"/>
        </w:rPr>
        <w:t xml:space="preserve">Para ello se ha evitado una excesiva </w:t>
      </w:r>
      <w:r w:rsidR="00DE273B" w:rsidRPr="00766053">
        <w:rPr>
          <w:rFonts w:ascii="ITC Avant Garde" w:eastAsiaTheme="majorEastAsia" w:hAnsi="ITC Avant Garde" w:cstheme="majorBidi"/>
          <w:bCs/>
          <w:sz w:val="18"/>
          <w:szCs w:val="18"/>
          <w:lang w:val="es-ES_tradnl"/>
        </w:rPr>
        <w:lastRenderedPageBreak/>
        <w:t xml:space="preserve">parametrización o granularidad de escenarios particulares que </w:t>
      </w:r>
      <w:r w:rsidR="00C06729">
        <w:rPr>
          <w:rFonts w:ascii="ITC Avant Garde" w:eastAsiaTheme="majorEastAsia" w:hAnsi="ITC Avant Garde" w:cstheme="majorBidi"/>
          <w:bCs/>
          <w:sz w:val="18"/>
          <w:szCs w:val="18"/>
          <w:lang w:val="es-ES_tradnl"/>
        </w:rPr>
        <w:t>a partir de</w:t>
      </w:r>
      <w:r w:rsidR="00DE273B" w:rsidRPr="00766053">
        <w:rPr>
          <w:rFonts w:ascii="ITC Avant Garde" w:eastAsiaTheme="majorEastAsia" w:hAnsi="ITC Avant Garde" w:cstheme="majorBidi"/>
          <w:bCs/>
          <w:sz w:val="18"/>
          <w:szCs w:val="18"/>
          <w:lang w:val="es-ES_tradnl"/>
        </w:rPr>
        <w:t xml:space="preserve"> los datos disponibles no </w:t>
      </w:r>
      <w:r w:rsidR="00C06729">
        <w:rPr>
          <w:rFonts w:ascii="ITC Avant Garde" w:eastAsiaTheme="majorEastAsia" w:hAnsi="ITC Avant Garde" w:cstheme="majorBidi"/>
          <w:bCs/>
          <w:sz w:val="18"/>
          <w:szCs w:val="18"/>
          <w:lang w:val="es-ES_tradnl"/>
        </w:rPr>
        <w:t xml:space="preserve">se </w:t>
      </w:r>
      <w:r w:rsidR="00DE273B" w:rsidRPr="00766053">
        <w:rPr>
          <w:rFonts w:ascii="ITC Avant Garde" w:eastAsiaTheme="majorEastAsia" w:hAnsi="ITC Avant Garde" w:cstheme="majorBidi"/>
          <w:bCs/>
          <w:sz w:val="18"/>
          <w:szCs w:val="18"/>
          <w:lang w:val="es-ES_tradnl"/>
        </w:rPr>
        <w:t>justificaba el incremento de complejidad.</w:t>
      </w:r>
    </w:p>
    <w:p w14:paraId="43892F6C" w14:textId="77777777" w:rsidR="00DE273B" w:rsidRPr="00766053" w:rsidRDefault="00DE273B" w:rsidP="00DE273B">
      <w:pPr>
        <w:rPr>
          <w:rFonts w:ascii="ITC Avant Garde" w:eastAsiaTheme="majorEastAsia" w:hAnsi="ITC Avant Garde" w:cstheme="majorBidi"/>
          <w:bCs/>
          <w:sz w:val="18"/>
          <w:szCs w:val="18"/>
          <w:lang w:val="es-ES_tradnl"/>
        </w:rPr>
      </w:pPr>
      <w:r w:rsidRPr="00766053">
        <w:rPr>
          <w:rFonts w:ascii="ITC Avant Garde" w:eastAsiaTheme="majorEastAsia" w:hAnsi="ITC Avant Garde" w:cstheme="majorBidi"/>
          <w:bCs/>
          <w:sz w:val="18"/>
          <w:szCs w:val="18"/>
          <w:lang w:val="es-ES_tradnl"/>
        </w:rPr>
        <w:t xml:space="preserve">Finalmente, sobre el comentario </w:t>
      </w:r>
      <w:r w:rsidRPr="00766053">
        <w:rPr>
          <w:rFonts w:ascii="ITC Avant Garde" w:hAnsi="ITC Avant Garde"/>
          <w:sz w:val="18"/>
          <w:szCs w:val="18"/>
          <w:lang w:val="es-ES_tradnl"/>
        </w:rPr>
        <w:t>que señala que no se han tenido en cuenta características que no son aplicables al caso mexicano como por ejemplo las diferencias en el marco regulatorio o en el mercado laboral</w:t>
      </w:r>
      <w:r w:rsidR="00C732A4" w:rsidRPr="00766053">
        <w:rPr>
          <w:rFonts w:ascii="ITC Avant Garde" w:hAnsi="ITC Avant Garde"/>
          <w:sz w:val="18"/>
          <w:szCs w:val="18"/>
          <w:lang w:val="es-ES_tradnl"/>
        </w:rPr>
        <w:t>,</w:t>
      </w:r>
      <w:r w:rsidRPr="00766053">
        <w:rPr>
          <w:rFonts w:ascii="ITC Avant Garde" w:hAnsi="ITC Avant Garde"/>
          <w:sz w:val="18"/>
          <w:szCs w:val="18"/>
          <w:lang w:val="es-ES_tradnl"/>
        </w:rPr>
        <w:t xml:space="preserve"> </w:t>
      </w:r>
      <w:r w:rsidR="00C732A4" w:rsidRPr="00766053">
        <w:rPr>
          <w:rFonts w:ascii="ITC Avant Garde" w:hAnsi="ITC Avant Garde"/>
          <w:sz w:val="18"/>
          <w:szCs w:val="18"/>
          <w:lang w:val="es-ES_tradnl"/>
        </w:rPr>
        <w:t>e</w:t>
      </w:r>
      <w:r w:rsidRPr="00766053">
        <w:rPr>
          <w:rFonts w:ascii="ITC Avant Garde" w:hAnsi="ITC Avant Garde"/>
          <w:sz w:val="18"/>
          <w:szCs w:val="18"/>
          <w:lang w:val="es-ES_tradnl"/>
        </w:rPr>
        <w:t xml:space="preserve">l Instituto reitera que </w:t>
      </w:r>
      <w:r w:rsidR="00C732A4" w:rsidRPr="00766053">
        <w:rPr>
          <w:rFonts w:ascii="ITC Avant Garde" w:hAnsi="ITC Avant Garde"/>
          <w:sz w:val="18"/>
          <w:szCs w:val="18"/>
          <w:lang w:val="es-ES_tradnl"/>
        </w:rPr>
        <w:t>el modelo de costos se construye con información proporcionada por el propio AEP, contrastándola con la observada en el entorno internacional, con las mejores prácticas internacionales.</w:t>
      </w:r>
    </w:p>
    <w:sectPr w:rsidR="00DE273B" w:rsidRPr="00766053" w:rsidSect="00EF1970">
      <w:footerReference w:type="default" r:id="rId11"/>
      <w:footerReference w:type="first" r:id="rId12"/>
      <w:type w:val="continuous"/>
      <w:pgSz w:w="11906" w:h="16838"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2B20" w14:textId="77777777" w:rsidR="006F004C" w:rsidRDefault="006F004C" w:rsidP="003C6172">
      <w:pPr>
        <w:spacing w:after="0" w:line="240" w:lineRule="auto"/>
      </w:pPr>
      <w:r>
        <w:separator/>
      </w:r>
    </w:p>
  </w:endnote>
  <w:endnote w:type="continuationSeparator" w:id="0">
    <w:p w14:paraId="6D57D104" w14:textId="77777777" w:rsidR="006F004C" w:rsidRDefault="006F004C" w:rsidP="003C6172">
      <w:pPr>
        <w:spacing w:after="0" w:line="240" w:lineRule="auto"/>
      </w:pPr>
      <w:r>
        <w:continuationSeparator/>
      </w:r>
    </w:p>
  </w:endnote>
  <w:endnote w:type="continuationNotice" w:id="1">
    <w:p w14:paraId="0E5AF768" w14:textId="77777777" w:rsidR="006F004C" w:rsidRDefault="006F0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211534"/>
      <w:docPartObj>
        <w:docPartGallery w:val="Page Numbers (Bottom of Page)"/>
        <w:docPartUnique/>
      </w:docPartObj>
    </w:sdtPr>
    <w:sdtEndPr/>
    <w:sdtContent>
      <w:sdt>
        <w:sdtPr>
          <w:id w:val="1728636285"/>
          <w:docPartObj>
            <w:docPartGallery w:val="Page Numbers (Top of Page)"/>
            <w:docPartUnique/>
          </w:docPartObj>
        </w:sdtPr>
        <w:sdtEndPr/>
        <w:sdtContent>
          <w:p w14:paraId="43892F73" w14:textId="77777777" w:rsidR="006F004C" w:rsidRDefault="006F004C">
            <w:pPr>
              <w:pStyle w:val="Piedepgina"/>
              <w:jc w:val="center"/>
            </w:pPr>
            <w:r w:rsidRPr="00EF1970">
              <w:rPr>
                <w:rFonts w:ascii="ITC Avant Garde" w:hAnsi="ITC Avant Garde"/>
                <w:lang w:val="es-ES"/>
              </w:rPr>
              <w:t xml:space="preserve">Página </w:t>
            </w:r>
            <w:r w:rsidRPr="00EF1970">
              <w:rPr>
                <w:rFonts w:ascii="ITC Avant Garde" w:hAnsi="ITC Avant Garde"/>
                <w:b/>
                <w:bCs/>
                <w:sz w:val="24"/>
                <w:szCs w:val="24"/>
              </w:rPr>
              <w:fldChar w:fldCharType="begin"/>
            </w:r>
            <w:r w:rsidRPr="00EF1970">
              <w:rPr>
                <w:rFonts w:ascii="ITC Avant Garde" w:hAnsi="ITC Avant Garde"/>
                <w:b/>
                <w:bCs/>
              </w:rPr>
              <w:instrText>PAGE</w:instrText>
            </w:r>
            <w:r w:rsidRPr="00EF1970">
              <w:rPr>
                <w:rFonts w:ascii="ITC Avant Garde" w:hAnsi="ITC Avant Garde"/>
                <w:b/>
                <w:bCs/>
                <w:sz w:val="24"/>
                <w:szCs w:val="24"/>
              </w:rPr>
              <w:fldChar w:fldCharType="separate"/>
            </w:r>
            <w:r w:rsidR="00C253E5">
              <w:rPr>
                <w:rFonts w:ascii="ITC Avant Garde" w:hAnsi="ITC Avant Garde"/>
                <w:b/>
                <w:bCs/>
                <w:noProof/>
              </w:rPr>
              <w:t>2</w:t>
            </w:r>
            <w:r w:rsidRPr="00EF1970">
              <w:rPr>
                <w:rFonts w:ascii="ITC Avant Garde" w:hAnsi="ITC Avant Garde"/>
                <w:b/>
                <w:bCs/>
                <w:sz w:val="24"/>
                <w:szCs w:val="24"/>
              </w:rPr>
              <w:fldChar w:fldCharType="end"/>
            </w:r>
            <w:r w:rsidRPr="00EF1970">
              <w:rPr>
                <w:rFonts w:ascii="ITC Avant Garde" w:hAnsi="ITC Avant Garde"/>
                <w:lang w:val="es-ES"/>
              </w:rPr>
              <w:t xml:space="preserve"> de </w:t>
            </w:r>
            <w:r w:rsidRPr="00EF1970">
              <w:rPr>
                <w:rFonts w:ascii="ITC Avant Garde" w:hAnsi="ITC Avant Garde"/>
                <w:b/>
                <w:bCs/>
                <w:sz w:val="24"/>
                <w:szCs w:val="24"/>
              </w:rPr>
              <w:fldChar w:fldCharType="begin"/>
            </w:r>
            <w:r w:rsidRPr="00EF1970">
              <w:rPr>
                <w:rFonts w:ascii="ITC Avant Garde" w:hAnsi="ITC Avant Garde"/>
                <w:b/>
                <w:bCs/>
              </w:rPr>
              <w:instrText>NUMPAGES</w:instrText>
            </w:r>
            <w:r w:rsidRPr="00EF1970">
              <w:rPr>
                <w:rFonts w:ascii="ITC Avant Garde" w:hAnsi="ITC Avant Garde"/>
                <w:b/>
                <w:bCs/>
                <w:sz w:val="24"/>
                <w:szCs w:val="24"/>
              </w:rPr>
              <w:fldChar w:fldCharType="separate"/>
            </w:r>
            <w:r w:rsidR="00C253E5">
              <w:rPr>
                <w:rFonts w:ascii="ITC Avant Garde" w:hAnsi="ITC Avant Garde"/>
                <w:b/>
                <w:bCs/>
                <w:noProof/>
              </w:rPr>
              <w:t>15</w:t>
            </w:r>
            <w:r w:rsidRPr="00EF1970">
              <w:rPr>
                <w:rFonts w:ascii="ITC Avant Garde" w:hAnsi="ITC Avant Garde"/>
                <w:b/>
                <w:bCs/>
                <w:sz w:val="24"/>
                <w:szCs w:val="24"/>
              </w:rPr>
              <w:fldChar w:fldCharType="end"/>
            </w:r>
          </w:p>
        </w:sdtContent>
      </w:sdt>
    </w:sdtContent>
  </w:sdt>
  <w:p w14:paraId="43892F74" w14:textId="77777777" w:rsidR="006F004C" w:rsidRDefault="006F004C" w:rsidP="00FD6F5F">
    <w:pPr>
      <w:pStyle w:val="Piedepgina"/>
      <w:spacing w:befor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2F75" w14:textId="77777777" w:rsidR="006F004C" w:rsidRDefault="006F004C" w:rsidP="00FD6F5F">
    <w:pPr>
      <w:pStyle w:val="Piedepgina"/>
      <w:spacing w:befor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FEA9" w14:textId="77777777" w:rsidR="006F004C" w:rsidRDefault="006F004C" w:rsidP="003C6172">
      <w:pPr>
        <w:spacing w:after="0" w:line="240" w:lineRule="auto"/>
      </w:pPr>
      <w:r>
        <w:separator/>
      </w:r>
    </w:p>
  </w:footnote>
  <w:footnote w:type="continuationSeparator" w:id="0">
    <w:p w14:paraId="6FD6C514" w14:textId="77777777" w:rsidR="006F004C" w:rsidRDefault="006F004C" w:rsidP="003C6172">
      <w:pPr>
        <w:spacing w:after="0" w:line="240" w:lineRule="auto"/>
      </w:pPr>
      <w:r>
        <w:continuationSeparator/>
      </w:r>
    </w:p>
  </w:footnote>
  <w:footnote w:type="continuationNotice" w:id="1">
    <w:p w14:paraId="2A94F4DC" w14:textId="77777777" w:rsidR="006F004C" w:rsidRDefault="006F004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E3735F4"/>
    <w:multiLevelType w:val="multilevel"/>
    <w:tmpl w:val="62B88EFC"/>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5"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0F759CB"/>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5" w15:restartNumberingAfterBreak="0">
    <w:nsid w:val="66551761"/>
    <w:multiLevelType w:val="hybridMultilevel"/>
    <w:tmpl w:val="D9761176"/>
    <w:lvl w:ilvl="0" w:tplc="4CFCF6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7" w15:restartNumberingAfterBreak="0">
    <w:nsid w:val="759D4D3F"/>
    <w:multiLevelType w:val="hybridMultilevel"/>
    <w:tmpl w:val="454870EA"/>
    <w:lvl w:ilvl="0" w:tplc="F2402546">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E3795"/>
    <w:multiLevelType w:val="hybridMultilevel"/>
    <w:tmpl w:val="F9001B52"/>
    <w:lvl w:ilvl="0" w:tplc="603667E4">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3173A0"/>
    <w:multiLevelType w:val="hybridMultilevel"/>
    <w:tmpl w:val="3F562B7C"/>
    <w:lvl w:ilvl="0" w:tplc="0F9E90C4">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8"/>
  </w:num>
  <w:num w:numId="5">
    <w:abstractNumId w:val="13"/>
  </w:num>
  <w:num w:numId="6">
    <w:abstractNumId w:val="17"/>
  </w:num>
  <w:num w:numId="7">
    <w:abstractNumId w:val="12"/>
  </w:num>
  <w:num w:numId="8">
    <w:abstractNumId w:val="14"/>
  </w:num>
  <w:num w:numId="9">
    <w:abstractNumId w:val="22"/>
  </w:num>
  <w:num w:numId="10">
    <w:abstractNumId w:val="18"/>
  </w:num>
  <w:num w:numId="11">
    <w:abstractNumId w:val="26"/>
  </w:num>
  <w:num w:numId="12">
    <w:abstractNumId w:val="23"/>
  </w:num>
  <w:num w:numId="13">
    <w:abstractNumId w:val="24"/>
  </w:num>
  <w:num w:numId="14">
    <w:abstractNumId w:val="16"/>
  </w:num>
  <w:num w:numId="15">
    <w:abstractNumId w:val="21"/>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20"/>
  </w:num>
  <w:num w:numId="25">
    <w:abstractNumId w:val="15"/>
  </w:num>
  <w:num w:numId="26">
    <w:abstractNumId w:val="27"/>
  </w:num>
  <w:num w:numId="27">
    <w:abstractNumId w:val="29"/>
  </w:num>
  <w:num w:numId="28">
    <w:abstractNumId w:val="19"/>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28"/>
  </w:num>
  <w:num w:numId="38">
    <w:abstractNumId w:val="25"/>
  </w:num>
  <w:num w:numId="39">
    <w:abstractNumId w:val="9"/>
  </w:num>
  <w:num w:numId="4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0838"/>
    <w:rsid w:val="0000376D"/>
    <w:rsid w:val="00003EFE"/>
    <w:rsid w:val="000058C0"/>
    <w:rsid w:val="000128B0"/>
    <w:rsid w:val="000225C2"/>
    <w:rsid w:val="00024CAF"/>
    <w:rsid w:val="0002513E"/>
    <w:rsid w:val="00034EB2"/>
    <w:rsid w:val="00040E62"/>
    <w:rsid w:val="00043CDA"/>
    <w:rsid w:val="000445C6"/>
    <w:rsid w:val="000466BB"/>
    <w:rsid w:val="000469F4"/>
    <w:rsid w:val="000508F2"/>
    <w:rsid w:val="0005447D"/>
    <w:rsid w:val="0005701C"/>
    <w:rsid w:val="000575A8"/>
    <w:rsid w:val="00064AE3"/>
    <w:rsid w:val="00066589"/>
    <w:rsid w:val="00070BB3"/>
    <w:rsid w:val="00071A28"/>
    <w:rsid w:val="000721ED"/>
    <w:rsid w:val="0007596B"/>
    <w:rsid w:val="000764E7"/>
    <w:rsid w:val="0008406C"/>
    <w:rsid w:val="00090024"/>
    <w:rsid w:val="00091E17"/>
    <w:rsid w:val="00092B45"/>
    <w:rsid w:val="000A7310"/>
    <w:rsid w:val="000A7C0A"/>
    <w:rsid w:val="000B4388"/>
    <w:rsid w:val="000C21E9"/>
    <w:rsid w:val="000C3C46"/>
    <w:rsid w:val="000C49E3"/>
    <w:rsid w:val="000C6C0D"/>
    <w:rsid w:val="000C7150"/>
    <w:rsid w:val="000D154E"/>
    <w:rsid w:val="000D24E7"/>
    <w:rsid w:val="000D28C8"/>
    <w:rsid w:val="000D2A12"/>
    <w:rsid w:val="000D2DE8"/>
    <w:rsid w:val="000E2E7A"/>
    <w:rsid w:val="000E4483"/>
    <w:rsid w:val="000F2093"/>
    <w:rsid w:val="000F5122"/>
    <w:rsid w:val="0010230C"/>
    <w:rsid w:val="0010539F"/>
    <w:rsid w:val="00110F0B"/>
    <w:rsid w:val="00111645"/>
    <w:rsid w:val="0011271E"/>
    <w:rsid w:val="001153BD"/>
    <w:rsid w:val="00117B54"/>
    <w:rsid w:val="00126082"/>
    <w:rsid w:val="0012797F"/>
    <w:rsid w:val="00130786"/>
    <w:rsid w:val="00131B41"/>
    <w:rsid w:val="00132C08"/>
    <w:rsid w:val="0013763A"/>
    <w:rsid w:val="00141380"/>
    <w:rsid w:val="001438D2"/>
    <w:rsid w:val="00144336"/>
    <w:rsid w:val="00155A62"/>
    <w:rsid w:val="00157D64"/>
    <w:rsid w:val="001654E4"/>
    <w:rsid w:val="00167423"/>
    <w:rsid w:val="00176022"/>
    <w:rsid w:val="00176839"/>
    <w:rsid w:val="00177542"/>
    <w:rsid w:val="001777FE"/>
    <w:rsid w:val="001820C8"/>
    <w:rsid w:val="001847B8"/>
    <w:rsid w:val="00185B74"/>
    <w:rsid w:val="00191BF4"/>
    <w:rsid w:val="00193324"/>
    <w:rsid w:val="001A2DA9"/>
    <w:rsid w:val="001A4162"/>
    <w:rsid w:val="001A5353"/>
    <w:rsid w:val="001B101F"/>
    <w:rsid w:val="001C050F"/>
    <w:rsid w:val="001C0E20"/>
    <w:rsid w:val="001C14B9"/>
    <w:rsid w:val="001C1643"/>
    <w:rsid w:val="001C54DD"/>
    <w:rsid w:val="001D1314"/>
    <w:rsid w:val="001D31DB"/>
    <w:rsid w:val="001D4DE9"/>
    <w:rsid w:val="001E4098"/>
    <w:rsid w:val="001E5060"/>
    <w:rsid w:val="001F44CF"/>
    <w:rsid w:val="001F5B60"/>
    <w:rsid w:val="00203113"/>
    <w:rsid w:val="002061B5"/>
    <w:rsid w:val="0020714C"/>
    <w:rsid w:val="002108D4"/>
    <w:rsid w:val="002136DE"/>
    <w:rsid w:val="002206AC"/>
    <w:rsid w:val="00220737"/>
    <w:rsid w:val="002208A8"/>
    <w:rsid w:val="002222A7"/>
    <w:rsid w:val="00223D75"/>
    <w:rsid w:val="0022622A"/>
    <w:rsid w:val="0022734D"/>
    <w:rsid w:val="002349F5"/>
    <w:rsid w:val="00241C05"/>
    <w:rsid w:val="00241E62"/>
    <w:rsid w:val="00245939"/>
    <w:rsid w:val="0024604D"/>
    <w:rsid w:val="00253A92"/>
    <w:rsid w:val="00263060"/>
    <w:rsid w:val="00263F85"/>
    <w:rsid w:val="002652C6"/>
    <w:rsid w:val="0026545D"/>
    <w:rsid w:val="00266793"/>
    <w:rsid w:val="002700BE"/>
    <w:rsid w:val="00270F46"/>
    <w:rsid w:val="00272801"/>
    <w:rsid w:val="00273051"/>
    <w:rsid w:val="00273840"/>
    <w:rsid w:val="00275011"/>
    <w:rsid w:val="002750D4"/>
    <w:rsid w:val="00282B1C"/>
    <w:rsid w:val="00292BFE"/>
    <w:rsid w:val="0029355D"/>
    <w:rsid w:val="002951C2"/>
    <w:rsid w:val="002A2437"/>
    <w:rsid w:val="002A45B8"/>
    <w:rsid w:val="002A5569"/>
    <w:rsid w:val="002B5B69"/>
    <w:rsid w:val="002C2016"/>
    <w:rsid w:val="002C311D"/>
    <w:rsid w:val="002C62AE"/>
    <w:rsid w:val="002D2070"/>
    <w:rsid w:val="002D278A"/>
    <w:rsid w:val="002D4F88"/>
    <w:rsid w:val="002D5AAC"/>
    <w:rsid w:val="002E6A74"/>
    <w:rsid w:val="002E6AEF"/>
    <w:rsid w:val="002F03E5"/>
    <w:rsid w:val="002F1F37"/>
    <w:rsid w:val="002F4438"/>
    <w:rsid w:val="002F5566"/>
    <w:rsid w:val="003110D4"/>
    <w:rsid w:val="00311803"/>
    <w:rsid w:val="003140E0"/>
    <w:rsid w:val="00316300"/>
    <w:rsid w:val="00320F3B"/>
    <w:rsid w:val="003226EB"/>
    <w:rsid w:val="00324BCB"/>
    <w:rsid w:val="00331571"/>
    <w:rsid w:val="003332A9"/>
    <w:rsid w:val="00333B44"/>
    <w:rsid w:val="003369D4"/>
    <w:rsid w:val="00337756"/>
    <w:rsid w:val="0035137B"/>
    <w:rsid w:val="0035689C"/>
    <w:rsid w:val="0036210B"/>
    <w:rsid w:val="00362DE6"/>
    <w:rsid w:val="003711F8"/>
    <w:rsid w:val="00372E2A"/>
    <w:rsid w:val="003739DA"/>
    <w:rsid w:val="003934A0"/>
    <w:rsid w:val="00394117"/>
    <w:rsid w:val="003A2103"/>
    <w:rsid w:val="003A27C5"/>
    <w:rsid w:val="003A5881"/>
    <w:rsid w:val="003A5D6B"/>
    <w:rsid w:val="003B064F"/>
    <w:rsid w:val="003B0AB8"/>
    <w:rsid w:val="003B3539"/>
    <w:rsid w:val="003B4D43"/>
    <w:rsid w:val="003C02FE"/>
    <w:rsid w:val="003C1F76"/>
    <w:rsid w:val="003C6172"/>
    <w:rsid w:val="003C6F01"/>
    <w:rsid w:val="003D05E2"/>
    <w:rsid w:val="003D5AF7"/>
    <w:rsid w:val="003D708A"/>
    <w:rsid w:val="003E7A96"/>
    <w:rsid w:val="003F020E"/>
    <w:rsid w:val="003F558E"/>
    <w:rsid w:val="003F757D"/>
    <w:rsid w:val="004048D4"/>
    <w:rsid w:val="00414199"/>
    <w:rsid w:val="004146CD"/>
    <w:rsid w:val="004150EF"/>
    <w:rsid w:val="00417CB6"/>
    <w:rsid w:val="004233D8"/>
    <w:rsid w:val="00425253"/>
    <w:rsid w:val="00425AFA"/>
    <w:rsid w:val="00432CB4"/>
    <w:rsid w:val="00434EE2"/>
    <w:rsid w:val="00435CA1"/>
    <w:rsid w:val="0044080A"/>
    <w:rsid w:val="0044138C"/>
    <w:rsid w:val="00442E28"/>
    <w:rsid w:val="00444DA5"/>
    <w:rsid w:val="004561E2"/>
    <w:rsid w:val="00456EF8"/>
    <w:rsid w:val="004610F6"/>
    <w:rsid w:val="00466ED1"/>
    <w:rsid w:val="004725AF"/>
    <w:rsid w:val="004727D7"/>
    <w:rsid w:val="004736CC"/>
    <w:rsid w:val="00473815"/>
    <w:rsid w:val="00474934"/>
    <w:rsid w:val="004765D5"/>
    <w:rsid w:val="00480565"/>
    <w:rsid w:val="00482753"/>
    <w:rsid w:val="00485294"/>
    <w:rsid w:val="00486181"/>
    <w:rsid w:val="00491F91"/>
    <w:rsid w:val="00493DE0"/>
    <w:rsid w:val="00495BBE"/>
    <w:rsid w:val="00495CC5"/>
    <w:rsid w:val="004A19C8"/>
    <w:rsid w:val="004A1E22"/>
    <w:rsid w:val="004A1F3D"/>
    <w:rsid w:val="004B14FC"/>
    <w:rsid w:val="004B28D8"/>
    <w:rsid w:val="004B7EBE"/>
    <w:rsid w:val="004C6C38"/>
    <w:rsid w:val="004D2B8E"/>
    <w:rsid w:val="004D4882"/>
    <w:rsid w:val="004E3222"/>
    <w:rsid w:val="004E35D7"/>
    <w:rsid w:val="004F0CEF"/>
    <w:rsid w:val="004F0DC7"/>
    <w:rsid w:val="004F1FBE"/>
    <w:rsid w:val="004F2CDE"/>
    <w:rsid w:val="004F33FC"/>
    <w:rsid w:val="004F5C4C"/>
    <w:rsid w:val="00505613"/>
    <w:rsid w:val="005108D2"/>
    <w:rsid w:val="00511C29"/>
    <w:rsid w:val="00512A72"/>
    <w:rsid w:val="00513E4C"/>
    <w:rsid w:val="00517391"/>
    <w:rsid w:val="00524FD7"/>
    <w:rsid w:val="00527F09"/>
    <w:rsid w:val="0053181C"/>
    <w:rsid w:val="0053351D"/>
    <w:rsid w:val="00540491"/>
    <w:rsid w:val="00544F1C"/>
    <w:rsid w:val="005468D8"/>
    <w:rsid w:val="0055643D"/>
    <w:rsid w:val="005565FB"/>
    <w:rsid w:val="00566308"/>
    <w:rsid w:val="0057028E"/>
    <w:rsid w:val="0058057E"/>
    <w:rsid w:val="00581564"/>
    <w:rsid w:val="005823FB"/>
    <w:rsid w:val="00583AA7"/>
    <w:rsid w:val="0058590D"/>
    <w:rsid w:val="005907A2"/>
    <w:rsid w:val="00591AD3"/>
    <w:rsid w:val="005930D9"/>
    <w:rsid w:val="00593865"/>
    <w:rsid w:val="005A629E"/>
    <w:rsid w:val="005B1DDC"/>
    <w:rsid w:val="005B6522"/>
    <w:rsid w:val="005C1A07"/>
    <w:rsid w:val="005C29FE"/>
    <w:rsid w:val="005C4F3F"/>
    <w:rsid w:val="005C513E"/>
    <w:rsid w:val="005D4200"/>
    <w:rsid w:val="005E0A28"/>
    <w:rsid w:val="005E2BEF"/>
    <w:rsid w:val="005E791A"/>
    <w:rsid w:val="005F5F97"/>
    <w:rsid w:val="005F7BCE"/>
    <w:rsid w:val="00602E57"/>
    <w:rsid w:val="00603570"/>
    <w:rsid w:val="00606BFC"/>
    <w:rsid w:val="00607E5F"/>
    <w:rsid w:val="00610018"/>
    <w:rsid w:val="00612ED8"/>
    <w:rsid w:val="00625D84"/>
    <w:rsid w:val="00626884"/>
    <w:rsid w:val="00632707"/>
    <w:rsid w:val="00634353"/>
    <w:rsid w:val="00634925"/>
    <w:rsid w:val="006363EB"/>
    <w:rsid w:val="00637B9E"/>
    <w:rsid w:val="006403F9"/>
    <w:rsid w:val="0064068E"/>
    <w:rsid w:val="00641CB9"/>
    <w:rsid w:val="00644544"/>
    <w:rsid w:val="00647B4E"/>
    <w:rsid w:val="0065294D"/>
    <w:rsid w:val="006547D1"/>
    <w:rsid w:val="00661934"/>
    <w:rsid w:val="006620DE"/>
    <w:rsid w:val="006665E5"/>
    <w:rsid w:val="0067149E"/>
    <w:rsid w:val="00671A02"/>
    <w:rsid w:val="00681D99"/>
    <w:rsid w:val="00682B77"/>
    <w:rsid w:val="006838F3"/>
    <w:rsid w:val="006844CF"/>
    <w:rsid w:val="00685F22"/>
    <w:rsid w:val="0069110D"/>
    <w:rsid w:val="006918ED"/>
    <w:rsid w:val="006930AB"/>
    <w:rsid w:val="0069500B"/>
    <w:rsid w:val="00696966"/>
    <w:rsid w:val="00697C66"/>
    <w:rsid w:val="006A1C1E"/>
    <w:rsid w:val="006A2478"/>
    <w:rsid w:val="006B2FAC"/>
    <w:rsid w:val="006B3281"/>
    <w:rsid w:val="006B5834"/>
    <w:rsid w:val="006B7ACC"/>
    <w:rsid w:val="006C4191"/>
    <w:rsid w:val="006C4666"/>
    <w:rsid w:val="006C7304"/>
    <w:rsid w:val="006C7BB0"/>
    <w:rsid w:val="006D2F70"/>
    <w:rsid w:val="006D3B72"/>
    <w:rsid w:val="006E32D5"/>
    <w:rsid w:val="006E63B4"/>
    <w:rsid w:val="006F004C"/>
    <w:rsid w:val="006F33E0"/>
    <w:rsid w:val="006F5749"/>
    <w:rsid w:val="00703750"/>
    <w:rsid w:val="00704C38"/>
    <w:rsid w:val="00706E19"/>
    <w:rsid w:val="0071333F"/>
    <w:rsid w:val="00713686"/>
    <w:rsid w:val="00715B5A"/>
    <w:rsid w:val="007167BB"/>
    <w:rsid w:val="00720965"/>
    <w:rsid w:val="007236F8"/>
    <w:rsid w:val="00734126"/>
    <w:rsid w:val="00743DCD"/>
    <w:rsid w:val="007451D4"/>
    <w:rsid w:val="00750393"/>
    <w:rsid w:val="0075151B"/>
    <w:rsid w:val="00752327"/>
    <w:rsid w:val="00753C4B"/>
    <w:rsid w:val="00754641"/>
    <w:rsid w:val="00757A81"/>
    <w:rsid w:val="00761895"/>
    <w:rsid w:val="007618FE"/>
    <w:rsid w:val="0076581D"/>
    <w:rsid w:val="00766053"/>
    <w:rsid w:val="00770050"/>
    <w:rsid w:val="00775573"/>
    <w:rsid w:val="00780CD0"/>
    <w:rsid w:val="007822D3"/>
    <w:rsid w:val="00782D8C"/>
    <w:rsid w:val="00791414"/>
    <w:rsid w:val="007A2BB9"/>
    <w:rsid w:val="007B10A9"/>
    <w:rsid w:val="007B504F"/>
    <w:rsid w:val="007B584D"/>
    <w:rsid w:val="007B698F"/>
    <w:rsid w:val="007C0E66"/>
    <w:rsid w:val="007C6A49"/>
    <w:rsid w:val="007D382C"/>
    <w:rsid w:val="007D3A19"/>
    <w:rsid w:val="007D51B2"/>
    <w:rsid w:val="007E10A1"/>
    <w:rsid w:val="007E5EF9"/>
    <w:rsid w:val="007E6CF8"/>
    <w:rsid w:val="007F17FF"/>
    <w:rsid w:val="007F2A33"/>
    <w:rsid w:val="007F624D"/>
    <w:rsid w:val="007F7EE5"/>
    <w:rsid w:val="00801080"/>
    <w:rsid w:val="008150EC"/>
    <w:rsid w:val="0081563B"/>
    <w:rsid w:val="008221DE"/>
    <w:rsid w:val="00822526"/>
    <w:rsid w:val="008244F0"/>
    <w:rsid w:val="00830B7D"/>
    <w:rsid w:val="008319EE"/>
    <w:rsid w:val="00833ED9"/>
    <w:rsid w:val="00846336"/>
    <w:rsid w:val="00850BDC"/>
    <w:rsid w:val="00851767"/>
    <w:rsid w:val="008537B0"/>
    <w:rsid w:val="0085488F"/>
    <w:rsid w:val="00856ABD"/>
    <w:rsid w:val="008577DA"/>
    <w:rsid w:val="008624CA"/>
    <w:rsid w:val="00862E11"/>
    <w:rsid w:val="00863777"/>
    <w:rsid w:val="00872697"/>
    <w:rsid w:val="00872D58"/>
    <w:rsid w:val="00873219"/>
    <w:rsid w:val="00877B10"/>
    <w:rsid w:val="0089019F"/>
    <w:rsid w:val="00894394"/>
    <w:rsid w:val="008A0131"/>
    <w:rsid w:val="008A0718"/>
    <w:rsid w:val="008A14A4"/>
    <w:rsid w:val="008A4A5C"/>
    <w:rsid w:val="008A515A"/>
    <w:rsid w:val="008B052E"/>
    <w:rsid w:val="008B149B"/>
    <w:rsid w:val="008B3F33"/>
    <w:rsid w:val="008B4EB0"/>
    <w:rsid w:val="008C16C7"/>
    <w:rsid w:val="008C243A"/>
    <w:rsid w:val="008D15F2"/>
    <w:rsid w:val="008D3F8A"/>
    <w:rsid w:val="008D5E95"/>
    <w:rsid w:val="008D7FC1"/>
    <w:rsid w:val="008E2F07"/>
    <w:rsid w:val="008E5F79"/>
    <w:rsid w:val="008E7321"/>
    <w:rsid w:val="008F0074"/>
    <w:rsid w:val="008F01E0"/>
    <w:rsid w:val="008F0252"/>
    <w:rsid w:val="008F715F"/>
    <w:rsid w:val="00901C17"/>
    <w:rsid w:val="009102A1"/>
    <w:rsid w:val="009109E8"/>
    <w:rsid w:val="00910FF9"/>
    <w:rsid w:val="009144F1"/>
    <w:rsid w:val="00920412"/>
    <w:rsid w:val="009215C5"/>
    <w:rsid w:val="00925F2B"/>
    <w:rsid w:val="009261D2"/>
    <w:rsid w:val="00930508"/>
    <w:rsid w:val="00931C01"/>
    <w:rsid w:val="00933634"/>
    <w:rsid w:val="0093450C"/>
    <w:rsid w:val="009351C5"/>
    <w:rsid w:val="009375D8"/>
    <w:rsid w:val="00946610"/>
    <w:rsid w:val="00946DD7"/>
    <w:rsid w:val="009505B9"/>
    <w:rsid w:val="00952457"/>
    <w:rsid w:val="0096001C"/>
    <w:rsid w:val="009669EE"/>
    <w:rsid w:val="00973A58"/>
    <w:rsid w:val="00977665"/>
    <w:rsid w:val="009803EB"/>
    <w:rsid w:val="00985537"/>
    <w:rsid w:val="009910E0"/>
    <w:rsid w:val="00993DE5"/>
    <w:rsid w:val="00994555"/>
    <w:rsid w:val="009962D7"/>
    <w:rsid w:val="009B0A87"/>
    <w:rsid w:val="009B3064"/>
    <w:rsid w:val="009B6E56"/>
    <w:rsid w:val="009C363F"/>
    <w:rsid w:val="009D3286"/>
    <w:rsid w:val="009D3FBD"/>
    <w:rsid w:val="009D7263"/>
    <w:rsid w:val="009F22FB"/>
    <w:rsid w:val="009F4E4C"/>
    <w:rsid w:val="009F7553"/>
    <w:rsid w:val="00A059B9"/>
    <w:rsid w:val="00A15173"/>
    <w:rsid w:val="00A16A6D"/>
    <w:rsid w:val="00A17BF6"/>
    <w:rsid w:val="00A21838"/>
    <w:rsid w:val="00A21916"/>
    <w:rsid w:val="00A35381"/>
    <w:rsid w:val="00A3739E"/>
    <w:rsid w:val="00A46A18"/>
    <w:rsid w:val="00A5061A"/>
    <w:rsid w:val="00A52674"/>
    <w:rsid w:val="00A61D85"/>
    <w:rsid w:val="00A623A4"/>
    <w:rsid w:val="00A63C9F"/>
    <w:rsid w:val="00A6605C"/>
    <w:rsid w:val="00A705E9"/>
    <w:rsid w:val="00A716AD"/>
    <w:rsid w:val="00A71CD7"/>
    <w:rsid w:val="00A722A5"/>
    <w:rsid w:val="00A73836"/>
    <w:rsid w:val="00A748F3"/>
    <w:rsid w:val="00A758E2"/>
    <w:rsid w:val="00A7656F"/>
    <w:rsid w:val="00A85DFB"/>
    <w:rsid w:val="00A86676"/>
    <w:rsid w:val="00A969FF"/>
    <w:rsid w:val="00AA02E1"/>
    <w:rsid w:val="00AA1EE4"/>
    <w:rsid w:val="00AA7610"/>
    <w:rsid w:val="00AB3941"/>
    <w:rsid w:val="00AC0919"/>
    <w:rsid w:val="00AC1CF7"/>
    <w:rsid w:val="00AD06B7"/>
    <w:rsid w:val="00AD1E6E"/>
    <w:rsid w:val="00AD7E0E"/>
    <w:rsid w:val="00AE0F00"/>
    <w:rsid w:val="00AE1EDE"/>
    <w:rsid w:val="00AE30E3"/>
    <w:rsid w:val="00AE3C43"/>
    <w:rsid w:val="00AE4C00"/>
    <w:rsid w:val="00AE7641"/>
    <w:rsid w:val="00AF07C3"/>
    <w:rsid w:val="00AF1EA6"/>
    <w:rsid w:val="00AF327F"/>
    <w:rsid w:val="00AF4947"/>
    <w:rsid w:val="00AF560C"/>
    <w:rsid w:val="00AF7B95"/>
    <w:rsid w:val="00B001F8"/>
    <w:rsid w:val="00B026E8"/>
    <w:rsid w:val="00B029F2"/>
    <w:rsid w:val="00B0353E"/>
    <w:rsid w:val="00B07286"/>
    <w:rsid w:val="00B10499"/>
    <w:rsid w:val="00B10ED8"/>
    <w:rsid w:val="00B13207"/>
    <w:rsid w:val="00B22A5D"/>
    <w:rsid w:val="00B24BE1"/>
    <w:rsid w:val="00B26A80"/>
    <w:rsid w:val="00B32042"/>
    <w:rsid w:val="00B32CDB"/>
    <w:rsid w:val="00B35276"/>
    <w:rsid w:val="00B35892"/>
    <w:rsid w:val="00B36C11"/>
    <w:rsid w:val="00B40CD2"/>
    <w:rsid w:val="00B50809"/>
    <w:rsid w:val="00B53396"/>
    <w:rsid w:val="00B71773"/>
    <w:rsid w:val="00B71C1C"/>
    <w:rsid w:val="00B75C4F"/>
    <w:rsid w:val="00B76293"/>
    <w:rsid w:val="00B847E3"/>
    <w:rsid w:val="00B86409"/>
    <w:rsid w:val="00B93BD1"/>
    <w:rsid w:val="00BA181E"/>
    <w:rsid w:val="00BA3E2D"/>
    <w:rsid w:val="00BA4603"/>
    <w:rsid w:val="00BA7FC2"/>
    <w:rsid w:val="00BB059F"/>
    <w:rsid w:val="00BB0FBB"/>
    <w:rsid w:val="00BB24B6"/>
    <w:rsid w:val="00BB3B88"/>
    <w:rsid w:val="00BB6E07"/>
    <w:rsid w:val="00BC1B6C"/>
    <w:rsid w:val="00BC57B0"/>
    <w:rsid w:val="00BD016F"/>
    <w:rsid w:val="00BD0AC7"/>
    <w:rsid w:val="00BD3369"/>
    <w:rsid w:val="00BD43C6"/>
    <w:rsid w:val="00BD6A95"/>
    <w:rsid w:val="00BD7A10"/>
    <w:rsid w:val="00BE4026"/>
    <w:rsid w:val="00BE661D"/>
    <w:rsid w:val="00BE67A7"/>
    <w:rsid w:val="00BE7803"/>
    <w:rsid w:val="00C036A6"/>
    <w:rsid w:val="00C06729"/>
    <w:rsid w:val="00C06A40"/>
    <w:rsid w:val="00C07110"/>
    <w:rsid w:val="00C07C28"/>
    <w:rsid w:val="00C14ABC"/>
    <w:rsid w:val="00C164D3"/>
    <w:rsid w:val="00C21F9B"/>
    <w:rsid w:val="00C226BB"/>
    <w:rsid w:val="00C253E5"/>
    <w:rsid w:val="00C33070"/>
    <w:rsid w:val="00C3457F"/>
    <w:rsid w:val="00C42DFE"/>
    <w:rsid w:val="00C4385C"/>
    <w:rsid w:val="00C45082"/>
    <w:rsid w:val="00C45C68"/>
    <w:rsid w:val="00C472DC"/>
    <w:rsid w:val="00C507AB"/>
    <w:rsid w:val="00C53349"/>
    <w:rsid w:val="00C556A1"/>
    <w:rsid w:val="00C556AB"/>
    <w:rsid w:val="00C57217"/>
    <w:rsid w:val="00C61B1A"/>
    <w:rsid w:val="00C635C1"/>
    <w:rsid w:val="00C65DFB"/>
    <w:rsid w:val="00C70070"/>
    <w:rsid w:val="00C732A4"/>
    <w:rsid w:val="00C74D38"/>
    <w:rsid w:val="00C76378"/>
    <w:rsid w:val="00C80269"/>
    <w:rsid w:val="00C83808"/>
    <w:rsid w:val="00C86653"/>
    <w:rsid w:val="00C906CA"/>
    <w:rsid w:val="00C90A11"/>
    <w:rsid w:val="00C911BF"/>
    <w:rsid w:val="00C91459"/>
    <w:rsid w:val="00CB2D18"/>
    <w:rsid w:val="00CC2310"/>
    <w:rsid w:val="00CD09B7"/>
    <w:rsid w:val="00CD17A7"/>
    <w:rsid w:val="00CE2BE8"/>
    <w:rsid w:val="00CE316D"/>
    <w:rsid w:val="00CE469B"/>
    <w:rsid w:val="00CE5956"/>
    <w:rsid w:val="00CF3876"/>
    <w:rsid w:val="00CF4156"/>
    <w:rsid w:val="00D05F54"/>
    <w:rsid w:val="00D15C36"/>
    <w:rsid w:val="00D21671"/>
    <w:rsid w:val="00D23055"/>
    <w:rsid w:val="00D25DE8"/>
    <w:rsid w:val="00D33493"/>
    <w:rsid w:val="00D34F31"/>
    <w:rsid w:val="00D3593F"/>
    <w:rsid w:val="00D42817"/>
    <w:rsid w:val="00D440B1"/>
    <w:rsid w:val="00D45C75"/>
    <w:rsid w:val="00D473CE"/>
    <w:rsid w:val="00D47634"/>
    <w:rsid w:val="00D51A1A"/>
    <w:rsid w:val="00D51E77"/>
    <w:rsid w:val="00D6186E"/>
    <w:rsid w:val="00D63AFA"/>
    <w:rsid w:val="00D65C64"/>
    <w:rsid w:val="00D72337"/>
    <w:rsid w:val="00D73E6D"/>
    <w:rsid w:val="00D74806"/>
    <w:rsid w:val="00D74D08"/>
    <w:rsid w:val="00D7746D"/>
    <w:rsid w:val="00D77C8F"/>
    <w:rsid w:val="00D819C7"/>
    <w:rsid w:val="00D830D4"/>
    <w:rsid w:val="00D854D5"/>
    <w:rsid w:val="00D86AE7"/>
    <w:rsid w:val="00D90711"/>
    <w:rsid w:val="00D96301"/>
    <w:rsid w:val="00DA5877"/>
    <w:rsid w:val="00DA691B"/>
    <w:rsid w:val="00DA790E"/>
    <w:rsid w:val="00DB2804"/>
    <w:rsid w:val="00DB4001"/>
    <w:rsid w:val="00DC143C"/>
    <w:rsid w:val="00DD304A"/>
    <w:rsid w:val="00DD30B7"/>
    <w:rsid w:val="00DD7665"/>
    <w:rsid w:val="00DE273B"/>
    <w:rsid w:val="00DE301F"/>
    <w:rsid w:val="00DF3B1C"/>
    <w:rsid w:val="00DF7A2A"/>
    <w:rsid w:val="00DF7F98"/>
    <w:rsid w:val="00E01D7A"/>
    <w:rsid w:val="00E04055"/>
    <w:rsid w:val="00E178BA"/>
    <w:rsid w:val="00E26A85"/>
    <w:rsid w:val="00E33644"/>
    <w:rsid w:val="00E343EC"/>
    <w:rsid w:val="00E3574B"/>
    <w:rsid w:val="00E366B9"/>
    <w:rsid w:val="00E43A41"/>
    <w:rsid w:val="00E43DB9"/>
    <w:rsid w:val="00E46735"/>
    <w:rsid w:val="00E539EE"/>
    <w:rsid w:val="00E56081"/>
    <w:rsid w:val="00E64F73"/>
    <w:rsid w:val="00E6509B"/>
    <w:rsid w:val="00E67C50"/>
    <w:rsid w:val="00E81B4B"/>
    <w:rsid w:val="00E81F1F"/>
    <w:rsid w:val="00E92DAB"/>
    <w:rsid w:val="00E96093"/>
    <w:rsid w:val="00E96FBA"/>
    <w:rsid w:val="00E97F9F"/>
    <w:rsid w:val="00EA1157"/>
    <w:rsid w:val="00EA306F"/>
    <w:rsid w:val="00EA4B24"/>
    <w:rsid w:val="00EA7B6F"/>
    <w:rsid w:val="00EB70FA"/>
    <w:rsid w:val="00EC0F2B"/>
    <w:rsid w:val="00EC3FFA"/>
    <w:rsid w:val="00EC7A09"/>
    <w:rsid w:val="00ED11DD"/>
    <w:rsid w:val="00ED2EBD"/>
    <w:rsid w:val="00ED4DA3"/>
    <w:rsid w:val="00ED7F94"/>
    <w:rsid w:val="00EE07DC"/>
    <w:rsid w:val="00EE23F2"/>
    <w:rsid w:val="00EE4221"/>
    <w:rsid w:val="00EE74BA"/>
    <w:rsid w:val="00EF11BB"/>
    <w:rsid w:val="00EF1970"/>
    <w:rsid w:val="00EF51BB"/>
    <w:rsid w:val="00EF6092"/>
    <w:rsid w:val="00EF7A48"/>
    <w:rsid w:val="00F0613B"/>
    <w:rsid w:val="00F1570E"/>
    <w:rsid w:val="00F1766C"/>
    <w:rsid w:val="00F230C2"/>
    <w:rsid w:val="00F233EE"/>
    <w:rsid w:val="00F2410C"/>
    <w:rsid w:val="00F25C09"/>
    <w:rsid w:val="00F366FF"/>
    <w:rsid w:val="00F40917"/>
    <w:rsid w:val="00F42197"/>
    <w:rsid w:val="00F45E09"/>
    <w:rsid w:val="00F463D5"/>
    <w:rsid w:val="00F47FF3"/>
    <w:rsid w:val="00F52D79"/>
    <w:rsid w:val="00F764CA"/>
    <w:rsid w:val="00F85C68"/>
    <w:rsid w:val="00F86B41"/>
    <w:rsid w:val="00F91A02"/>
    <w:rsid w:val="00F91D6A"/>
    <w:rsid w:val="00F9278A"/>
    <w:rsid w:val="00F9397A"/>
    <w:rsid w:val="00F94F54"/>
    <w:rsid w:val="00FA21F7"/>
    <w:rsid w:val="00FB2625"/>
    <w:rsid w:val="00FB321F"/>
    <w:rsid w:val="00FB4194"/>
    <w:rsid w:val="00FB47F9"/>
    <w:rsid w:val="00FB7722"/>
    <w:rsid w:val="00FC226E"/>
    <w:rsid w:val="00FD0F3E"/>
    <w:rsid w:val="00FD3766"/>
    <w:rsid w:val="00FD3880"/>
    <w:rsid w:val="00FD3D59"/>
    <w:rsid w:val="00FD6F5F"/>
    <w:rsid w:val="00FE0AA4"/>
    <w:rsid w:val="00FE5BAC"/>
    <w:rsid w:val="00FF5185"/>
    <w:rsid w:val="00FF5F78"/>
    <w:rsid w:val="00FF66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3892EC1"/>
  <w15:docId w15:val="{64A2A75C-E112-4E64-992E-6FFF6889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70"/>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customStyle="1" w:styleId="Default">
    <w:name w:val="Default"/>
    <w:rsid w:val="003E7A96"/>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6210B"/>
    <w:rPr>
      <w:b/>
      <w:bCs/>
    </w:rPr>
  </w:style>
  <w:style w:type="character" w:customStyle="1" w:styleId="AsuntodelcomentarioCar">
    <w:name w:val="Asunto del comentario Car"/>
    <w:basedOn w:val="TextocomentarioCar"/>
    <w:link w:val="Asuntodelcomentario"/>
    <w:uiPriority w:val="99"/>
    <w:semiHidden/>
    <w:rsid w:val="0036210B"/>
    <w:rPr>
      <w:rFonts w:ascii="Times New Roman" w:hAnsi="Times New Roman"/>
      <w:b/>
      <w:bCs/>
      <w:sz w:val="20"/>
      <w:szCs w:val="20"/>
    </w:rPr>
  </w:style>
  <w:style w:type="paragraph" w:customStyle="1" w:styleId="IFTnormal">
    <w:name w:val="IFT normal"/>
    <w:basedOn w:val="Normal"/>
    <w:link w:val="IFTnormalCar"/>
    <w:qFormat/>
    <w:rsid w:val="00B75C4F"/>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B75C4F"/>
    <w:rPr>
      <w:rFonts w:ascii="ITC Avant Garde" w:eastAsia="Calibri" w:hAnsi="ITC Avant Garde" w:cs="Arial"/>
      <w:color w:val="000000"/>
      <w:lang w:val="es-ES_tradnl" w:eastAsia="es-ES"/>
    </w:rPr>
  </w:style>
  <w:style w:type="paragraph" w:customStyle="1" w:styleId="IFTTexto">
    <w:name w:val="IFT Texto"/>
    <w:link w:val="IFTTextoCar"/>
    <w:qFormat/>
    <w:rsid w:val="00B75C4F"/>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B75C4F"/>
    <w:rPr>
      <w:rFonts w:ascii="ITC Avant Garde" w:eastAsia="Calibri" w:hAnsi="ITC Avant Garde" w:cs="Arial"/>
      <w:color w:val="000000"/>
      <w:lang w:val="es-ES_tradnl" w:eastAsia="es-ES"/>
    </w:rPr>
  </w:style>
  <w:style w:type="paragraph" w:styleId="Revisin">
    <w:name w:val="Revision"/>
    <w:hidden/>
    <w:uiPriority w:val="99"/>
    <w:semiHidden/>
    <w:rsid w:val="00D15C3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593365015">
      <w:bodyDiv w:val="1"/>
      <w:marLeft w:val="0"/>
      <w:marRight w:val="0"/>
      <w:marTop w:val="0"/>
      <w:marBottom w:val="0"/>
      <w:divBdr>
        <w:top w:val="none" w:sz="0" w:space="0" w:color="auto"/>
        <w:left w:val="none" w:sz="0" w:space="0" w:color="auto"/>
        <w:bottom w:val="none" w:sz="0" w:space="0" w:color="auto"/>
        <w:right w:val="none" w:sz="0" w:space="0" w:color="auto"/>
      </w:divBdr>
      <w:divsChild>
        <w:div w:id="788403342">
          <w:marLeft w:val="562"/>
          <w:marRight w:val="0"/>
          <w:marTop w:val="0"/>
          <w:marBottom w:val="16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2244-72D6-49B8-A2B9-D315E20FCFF9}">
  <ds:schemaRefs>
    <ds:schemaRef ds:uri="http://schemas.microsoft.com/sharepoint/v3/contenttype/forms"/>
  </ds:schemaRefs>
</ds:datastoreItem>
</file>

<file path=customXml/itemProps2.xml><?xml version="1.0" encoding="utf-8"?>
<ds:datastoreItem xmlns:ds="http://schemas.openxmlformats.org/officeDocument/2006/customXml" ds:itemID="{A1E48E55-5343-4F2A-A0EA-1A1DAD3427DB}">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AD4DB494-93BB-4D47-B3E7-7036FD1D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463B55-2DBB-46E1-88CF-56A034AF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0</TotalTime>
  <Pages>15</Pages>
  <Words>6273</Words>
  <Characters>34505</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IFT document</vt:lpstr>
      <vt:lpstr>Analysys Mason document</vt:lpstr>
    </vt:vector>
  </TitlesOfParts>
  <Manager>-</Manager>
  <Company>IFT</Company>
  <LinksUpToDate>false</LinksUpToDate>
  <CharactersWithSpaces>40697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IFT document</dc:title>
  <dc:subject>-</dc:subject>
  <dc:creator>-</dc:creator>
  <cp:lastModifiedBy>Cesar Zamora Martinez</cp:lastModifiedBy>
  <cp:revision>2</cp:revision>
  <cp:lastPrinted>2011-01-06T16:36:00Z</cp:lastPrinted>
  <dcterms:created xsi:type="dcterms:W3CDTF">2017-09-08T17:46:00Z</dcterms:created>
  <dcterms:modified xsi:type="dcterms:W3CDTF">2017-09-08T17:46:00Z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