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2A79A7" w14:textId="77777777" w:rsidR="00A918A4" w:rsidRDefault="00AC7A65" w:rsidP="000265E8">
      <w:pPr>
        <w:ind w:left="720" w:hanging="720"/>
        <w:jc w:val="left"/>
        <w:rPr>
          <w:rFonts w:ascii="ITC Avant Garde" w:eastAsia="Calibri" w:hAnsi="ITC Avant Garde" w:cs="Times New Roman"/>
          <w:b/>
          <w:sz w:val="18"/>
          <w:szCs w:val="18"/>
          <w:lang w:val="es-ES"/>
        </w:rPr>
      </w:pPr>
      <w:bookmarkStart w:id="0" w:name="_Toc323285056"/>
      <w:bookmarkStart w:id="1" w:name="_GoBack"/>
      <w:bookmarkEnd w:id="1"/>
      <w:r>
        <w:rPr>
          <w:rFonts w:ascii="ITC Avant Garde" w:eastAsia="Calibri" w:hAnsi="ITC Avant Garde" w:cs="Times New Roman"/>
          <w:b/>
          <w:sz w:val="18"/>
          <w:szCs w:val="18"/>
          <w:lang w:val="es-ES"/>
        </w:rPr>
        <w:t xml:space="preserve">RESPUESTAS GENERALES A </w:t>
      </w:r>
      <w:r w:rsidR="00A918A4" w:rsidRPr="00A918A4">
        <w:rPr>
          <w:rFonts w:ascii="ITC Avant Garde" w:eastAsia="Calibri" w:hAnsi="ITC Avant Garde" w:cs="Times New Roman"/>
          <w:b/>
          <w:sz w:val="18"/>
          <w:szCs w:val="18"/>
          <w:lang w:val="es-ES"/>
        </w:rPr>
        <w:t>LA CONSULTA PÚBLICA</w:t>
      </w:r>
    </w:p>
    <w:p w14:paraId="342A79A8" w14:textId="77777777" w:rsidR="00F37C68" w:rsidRPr="00F37C68" w:rsidRDefault="00F37C68" w:rsidP="00A918A4">
      <w:pPr>
        <w:jc w:val="center"/>
        <w:rPr>
          <w:rFonts w:ascii="ITC Avant Garde" w:eastAsia="Calibri" w:hAnsi="ITC Avant Garde" w:cs="Times New Roman"/>
          <w:b/>
          <w:sz w:val="18"/>
          <w:szCs w:val="18"/>
          <w:lang w:val="es-ES"/>
        </w:rPr>
      </w:pPr>
      <w:r w:rsidRPr="00F37C68">
        <w:rPr>
          <w:rFonts w:ascii="ITC Avant Garde" w:eastAsia="Calibri" w:hAnsi="ITC Avant Garde" w:cs="Times New Roman"/>
          <w:b/>
          <w:sz w:val="18"/>
          <w:szCs w:val="18"/>
          <w:lang w:val="es-ES"/>
        </w:rPr>
        <w:t>Model</w:t>
      </w:r>
      <w:r w:rsidR="00242A64">
        <w:rPr>
          <w:rFonts w:ascii="ITC Avant Garde" w:eastAsia="Calibri" w:hAnsi="ITC Avant Garde" w:cs="Times New Roman"/>
          <w:b/>
          <w:sz w:val="18"/>
          <w:szCs w:val="18"/>
          <w:lang w:val="es-ES"/>
        </w:rPr>
        <w:t>o de costos de coubicación fija</w:t>
      </w:r>
    </w:p>
    <w:bookmarkEnd w:id="0"/>
    <w:p w14:paraId="342A79A9" w14:textId="77777777" w:rsidR="00A918A4" w:rsidRPr="00A918A4" w:rsidRDefault="00AC7A65" w:rsidP="00A918A4">
      <w:pPr>
        <w:keepNext/>
        <w:keepLines/>
        <w:numPr>
          <w:ilvl w:val="1"/>
          <w:numId w:val="8"/>
        </w:numPr>
        <w:spacing w:before="360"/>
        <w:outlineLvl w:val="1"/>
        <w:rPr>
          <w:rFonts w:ascii="ITC Avant Garde" w:eastAsiaTheme="majorEastAsia" w:hAnsi="ITC Avant Garde" w:cstheme="majorBidi"/>
          <w:b/>
          <w:bCs/>
          <w:sz w:val="18"/>
          <w:szCs w:val="18"/>
          <w:lang w:val="es-ES"/>
        </w:rPr>
      </w:pPr>
      <w:r>
        <w:rPr>
          <w:rFonts w:ascii="ITC Avant Garde" w:eastAsiaTheme="majorEastAsia" w:hAnsi="ITC Avant Garde" w:cstheme="majorBidi"/>
          <w:b/>
          <w:bCs/>
          <w:sz w:val="18"/>
          <w:szCs w:val="18"/>
          <w:lang w:val="es-ES"/>
        </w:rPr>
        <w:t>Introducción</w:t>
      </w:r>
    </w:p>
    <w:p w14:paraId="1437762E" w14:textId="77777777" w:rsidR="00350C22" w:rsidRPr="00AC7A65" w:rsidRDefault="00AC7A65" w:rsidP="00350C22">
      <w:pPr>
        <w:rPr>
          <w:rFonts w:ascii="ITC Avant Garde" w:eastAsia="Calibri" w:hAnsi="ITC Avant Garde" w:cs="Times New Roman"/>
          <w:sz w:val="18"/>
          <w:szCs w:val="18"/>
          <w:lang w:val="es-ES"/>
        </w:rPr>
      </w:pPr>
      <w:r w:rsidRPr="00AC7A65">
        <w:rPr>
          <w:rFonts w:ascii="ITC Avant Garde" w:eastAsia="Calibri" w:hAnsi="ITC Avant Garde" w:cs="Times New Roman"/>
          <w:sz w:val="18"/>
          <w:szCs w:val="18"/>
          <w:lang w:val="es-ES"/>
        </w:rPr>
        <w:t xml:space="preserve">Con relación a las manifestaciones, opiniones, comentarios y propuestas concretas recibidas hasta el </w:t>
      </w:r>
      <w:r w:rsidR="00350C22" w:rsidRPr="00344DBF">
        <w:rPr>
          <w:rFonts w:ascii="ITC Avant Garde" w:eastAsia="Calibri" w:hAnsi="ITC Avant Garde" w:cs="Times New Roman"/>
          <w:sz w:val="18"/>
          <w:szCs w:val="18"/>
          <w:lang w:val="es-ES"/>
        </w:rPr>
        <w:t>11 de Noviembre</w:t>
      </w:r>
      <w:r w:rsidR="00350C22">
        <w:rPr>
          <w:rFonts w:ascii="ITC Avant Garde" w:eastAsia="Calibri" w:hAnsi="ITC Avant Garde" w:cs="Times New Roman"/>
          <w:sz w:val="18"/>
          <w:szCs w:val="18"/>
          <w:lang w:val="es-ES"/>
        </w:rPr>
        <w:t xml:space="preserve"> </w:t>
      </w:r>
      <w:r w:rsidR="00350C22" w:rsidRPr="00AC7A65">
        <w:rPr>
          <w:rFonts w:ascii="ITC Avant Garde" w:eastAsia="Calibri" w:hAnsi="ITC Avant Garde" w:cs="Times New Roman"/>
          <w:sz w:val="18"/>
          <w:szCs w:val="18"/>
          <w:lang w:val="es-ES"/>
        </w:rPr>
        <w:t>de 2015</w:t>
      </w:r>
      <w:r w:rsidRPr="00AC7A65">
        <w:rPr>
          <w:rFonts w:ascii="ITC Avant Garde" w:eastAsia="Calibri" w:hAnsi="ITC Avant Garde" w:cs="Times New Roman"/>
          <w:sz w:val="18"/>
          <w:szCs w:val="18"/>
          <w:lang w:val="es-ES"/>
        </w:rPr>
        <w:t>, de acuerdo a</w:t>
      </w:r>
      <w:r>
        <w:rPr>
          <w:rFonts w:ascii="ITC Avant Garde" w:eastAsia="Calibri" w:hAnsi="ITC Avant Garde" w:cs="Times New Roman"/>
          <w:sz w:val="18"/>
          <w:szCs w:val="18"/>
          <w:lang w:val="es-ES"/>
        </w:rPr>
        <w:t xml:space="preserve"> </w:t>
      </w:r>
      <w:r w:rsidRPr="00AC7A65">
        <w:rPr>
          <w:rFonts w:ascii="ITC Avant Garde" w:eastAsia="Calibri" w:hAnsi="ITC Avant Garde" w:cs="Times New Roman"/>
          <w:sz w:val="18"/>
          <w:szCs w:val="18"/>
          <w:lang w:val="es-ES"/>
        </w:rPr>
        <w:t>l</w:t>
      </w:r>
      <w:r>
        <w:rPr>
          <w:rFonts w:ascii="ITC Avant Garde" w:eastAsia="Calibri" w:hAnsi="ITC Avant Garde" w:cs="Times New Roman"/>
          <w:sz w:val="18"/>
          <w:szCs w:val="18"/>
          <w:lang w:val="es-ES"/>
        </w:rPr>
        <w:t>a</w:t>
      </w:r>
      <w:r w:rsidRPr="00AC7A65">
        <w:rPr>
          <w:rFonts w:ascii="ITC Avant Garde" w:eastAsia="Calibri" w:hAnsi="ITC Avant Garde" w:cs="Times New Roman"/>
          <w:sz w:val="18"/>
          <w:szCs w:val="18"/>
          <w:lang w:val="es-ES"/>
        </w:rPr>
        <w:t xml:space="preserve"> </w:t>
      </w:r>
      <w:r>
        <w:rPr>
          <w:rFonts w:ascii="ITC Avant Garde" w:eastAsia="Calibri" w:hAnsi="ITC Avant Garde" w:cs="Times New Roman"/>
          <w:sz w:val="18"/>
          <w:szCs w:val="18"/>
          <w:lang w:val="es-ES"/>
        </w:rPr>
        <w:t xml:space="preserve">Consulta Pública del modelo de costos de coubicación fija, </w:t>
      </w:r>
      <w:r w:rsidRPr="00AC7A65">
        <w:rPr>
          <w:rFonts w:ascii="ITC Avant Garde" w:eastAsia="Calibri" w:hAnsi="ITC Avant Garde" w:cs="Times New Roman"/>
          <w:sz w:val="18"/>
          <w:szCs w:val="18"/>
          <w:lang w:val="es-ES"/>
        </w:rPr>
        <w:t xml:space="preserve">se informa que el Instituto Federal de Telecomunicaciones (el “Instituto”) </w:t>
      </w:r>
      <w:r w:rsidR="00350C22" w:rsidRPr="00AC7A65">
        <w:rPr>
          <w:rFonts w:ascii="ITC Avant Garde" w:eastAsia="Calibri" w:hAnsi="ITC Avant Garde" w:cs="Times New Roman"/>
          <w:sz w:val="18"/>
          <w:szCs w:val="18"/>
          <w:lang w:val="es-ES"/>
        </w:rPr>
        <w:t>agrupó conforme a l</w:t>
      </w:r>
      <w:r w:rsidR="00350C22">
        <w:rPr>
          <w:rFonts w:ascii="ITC Avant Garde" w:eastAsia="Calibri" w:hAnsi="ITC Avant Garde" w:cs="Times New Roman"/>
          <w:sz w:val="18"/>
          <w:szCs w:val="18"/>
          <w:lang w:val="es-ES"/>
        </w:rPr>
        <w:t>a</w:t>
      </w:r>
      <w:r w:rsidR="00350C22" w:rsidRPr="00AC7A65">
        <w:rPr>
          <w:rFonts w:ascii="ITC Avant Garde" w:eastAsia="Calibri" w:hAnsi="ITC Avant Garde" w:cs="Times New Roman"/>
          <w:sz w:val="18"/>
          <w:szCs w:val="18"/>
          <w:lang w:val="es-ES"/>
        </w:rPr>
        <w:t xml:space="preserve">s </w:t>
      </w:r>
      <w:r w:rsidR="00350C22">
        <w:rPr>
          <w:rFonts w:ascii="ITC Avant Garde" w:eastAsia="Calibri" w:hAnsi="ITC Avant Garde" w:cs="Times New Roman"/>
          <w:sz w:val="18"/>
          <w:szCs w:val="18"/>
          <w:lang w:val="es-ES"/>
        </w:rPr>
        <w:t xml:space="preserve">preguntas de la consulta </w:t>
      </w:r>
      <w:r w:rsidR="00350C22" w:rsidRPr="00AC7A65">
        <w:rPr>
          <w:rFonts w:ascii="ITC Avant Garde" w:eastAsia="Calibri" w:hAnsi="ITC Avant Garde" w:cs="Times New Roman"/>
          <w:sz w:val="18"/>
          <w:szCs w:val="18"/>
          <w:lang w:val="es-ES"/>
        </w:rPr>
        <w:t>para su mejor identificación. No obstante lo anterior, se menciona que todas las opiniones y pronunciamientos recibidos se encuentran disponibles para su consulta en la página de internet del Instituto.</w:t>
      </w:r>
    </w:p>
    <w:p w14:paraId="342A79AB" w14:textId="4436476C" w:rsidR="00AC7A65" w:rsidRDefault="00350C22" w:rsidP="00350C22">
      <w:pPr>
        <w:rPr>
          <w:rFonts w:ascii="ITC Avant Garde" w:eastAsia="Calibri" w:hAnsi="ITC Avant Garde" w:cs="Times New Roman"/>
          <w:sz w:val="18"/>
          <w:szCs w:val="18"/>
          <w:lang w:val="es-ES"/>
        </w:rPr>
      </w:pPr>
      <w:r w:rsidRPr="00AC7A65">
        <w:rPr>
          <w:rFonts w:ascii="ITC Avant Garde" w:eastAsia="Calibri" w:hAnsi="ITC Avant Garde" w:cs="Times New Roman"/>
          <w:sz w:val="18"/>
          <w:szCs w:val="18"/>
          <w:lang w:val="es-ES"/>
        </w:rPr>
        <w:t>Una vez concluido el plazo de consulta respectivo, se publicaron en el portal de internet del Instituto todos y cada uno de los comentarios, opiniones y propuestas concretas recibidas respecto de dicha Consulta Pública.</w:t>
      </w:r>
    </w:p>
    <w:p w14:paraId="342A79AC" w14:textId="2D66905E" w:rsidR="00AC7A65" w:rsidRPr="00AC7A65" w:rsidRDefault="00350C22" w:rsidP="00AC7A65">
      <w:pPr>
        <w:rPr>
          <w:rFonts w:ascii="ITC Avant Garde" w:eastAsia="Calibri" w:hAnsi="ITC Avant Garde" w:cs="Times New Roman"/>
          <w:sz w:val="18"/>
          <w:szCs w:val="18"/>
          <w:lang w:val="es-ES"/>
        </w:rPr>
      </w:pPr>
      <w:r w:rsidRPr="00AC7A65">
        <w:rPr>
          <w:rFonts w:ascii="ITC Avant Garde" w:eastAsia="Calibri" w:hAnsi="ITC Avant Garde" w:cs="Times New Roman"/>
          <w:sz w:val="18"/>
          <w:szCs w:val="18"/>
          <w:lang w:val="es-ES"/>
        </w:rPr>
        <w:t xml:space="preserve">Asimismo, durante el plazo de duración de la Consulta Pública de mérito, se recibieron </w:t>
      </w:r>
      <w:r w:rsidR="00D56A60">
        <w:rPr>
          <w:rFonts w:ascii="ITC Avant Garde" w:eastAsia="Calibri" w:hAnsi="ITC Avant Garde" w:cs="Times New Roman"/>
          <w:sz w:val="18"/>
          <w:szCs w:val="18"/>
          <w:lang w:val="es-ES"/>
        </w:rPr>
        <w:t xml:space="preserve">comentarios de los siguientes </w:t>
      </w:r>
      <w:r w:rsidRPr="00AC7A65">
        <w:rPr>
          <w:rFonts w:ascii="ITC Avant Garde" w:eastAsia="Calibri" w:hAnsi="ITC Avant Garde" w:cs="Times New Roman"/>
          <w:sz w:val="18"/>
          <w:szCs w:val="18"/>
          <w:lang w:val="es-ES"/>
        </w:rPr>
        <w:t>participa</w:t>
      </w:r>
      <w:r w:rsidR="00D56A60">
        <w:rPr>
          <w:rFonts w:ascii="ITC Avant Garde" w:eastAsia="Calibri" w:hAnsi="ITC Avant Garde" w:cs="Times New Roman"/>
          <w:sz w:val="18"/>
          <w:szCs w:val="18"/>
          <w:lang w:val="es-ES"/>
        </w:rPr>
        <w:t>ntes</w:t>
      </w:r>
      <w:r w:rsidRPr="00AC7A65">
        <w:rPr>
          <w:rFonts w:ascii="ITC Avant Garde" w:eastAsia="Calibri" w:hAnsi="ITC Avant Garde" w:cs="Times New Roman"/>
          <w:sz w:val="18"/>
          <w:szCs w:val="18"/>
          <w:lang w:val="es-ES"/>
        </w:rPr>
        <w:t>:</w:t>
      </w:r>
      <w:r w:rsidR="004751F3">
        <w:rPr>
          <w:rFonts w:ascii="ITC Avant Garde" w:eastAsia="Calibri" w:hAnsi="ITC Avant Garde" w:cs="Times New Roman"/>
          <w:sz w:val="18"/>
          <w:szCs w:val="18"/>
          <w:lang w:val="es-ES"/>
        </w:rPr>
        <w:t xml:space="preserve"> </w:t>
      </w:r>
    </w:p>
    <w:p w14:paraId="5F16592D" w14:textId="77777777" w:rsidR="00865955" w:rsidRDefault="00AC7A65" w:rsidP="00124ED4">
      <w:pPr>
        <w:pStyle w:val="Prrafodelista"/>
        <w:numPr>
          <w:ilvl w:val="0"/>
          <w:numId w:val="25"/>
        </w:numPr>
        <w:rPr>
          <w:rFonts w:ascii="ITC Avant Garde" w:hAnsi="ITC Avant Garde"/>
          <w:sz w:val="18"/>
          <w:szCs w:val="18"/>
        </w:rPr>
      </w:pPr>
      <w:r w:rsidRPr="00865955">
        <w:rPr>
          <w:rFonts w:ascii="ITC Avant Garde" w:hAnsi="ITC Avant Garde"/>
          <w:sz w:val="18"/>
          <w:szCs w:val="18"/>
        </w:rPr>
        <w:t>Antonio Garza Cánovas, en representación de AT&amp;T Digital, S. de R.L. de C.V., AT&amp;T Opco Une Mex, S. de R.L. de C.V., AT&amp;T del Occidente, S. de R.L. de C.V., AT&amp;T Comcentro, S. de R.L. de C.V., AT&amp;T del Golfo , S. de R.L. de C.V., AT&amp;T Sureste, S. de R.L. de C.V., AT&amp;T Central, S. de R.L. de C.V., AT&amp;T Desarrollo en Comunicaciones de México, S. de R.L. de C.V., AT&amp;T Norte, S. de R.L. de C.V., AT&amp;T Frecuencias, S. de R.L. de C.V., AT&amp;T Frecuencia Móvil, S. de R.L. de C.V. (conjuntamente “AT&amp;T”)</w:t>
      </w:r>
      <w:r w:rsidR="00865955">
        <w:rPr>
          <w:rFonts w:ascii="ITC Avant Garde" w:hAnsi="ITC Avant Garde"/>
          <w:sz w:val="18"/>
          <w:szCs w:val="18"/>
        </w:rPr>
        <w:t>.</w:t>
      </w:r>
    </w:p>
    <w:p w14:paraId="342A79AE" w14:textId="4EC879F0" w:rsidR="00AC7A65" w:rsidRPr="00865955" w:rsidRDefault="00865955" w:rsidP="00124ED4">
      <w:pPr>
        <w:pStyle w:val="Prrafodelista"/>
        <w:numPr>
          <w:ilvl w:val="0"/>
          <w:numId w:val="25"/>
        </w:numPr>
        <w:rPr>
          <w:rFonts w:ascii="ITC Avant Garde" w:hAnsi="ITC Avant Garde"/>
          <w:sz w:val="18"/>
          <w:szCs w:val="18"/>
        </w:rPr>
      </w:pPr>
      <w:r w:rsidRPr="00865955">
        <w:rPr>
          <w:rFonts w:ascii="ITC Avant Garde" w:hAnsi="ITC Avant Garde"/>
          <w:sz w:val="18"/>
        </w:rPr>
        <w:t>Alberto Razo Meza, en representación de Axtel, S.A.B. de C.V. y Avantel, S. de</w:t>
      </w:r>
      <w:r>
        <w:rPr>
          <w:rFonts w:ascii="ITC Avant Garde" w:hAnsi="ITC Avant Garde"/>
          <w:sz w:val="18"/>
        </w:rPr>
        <w:t xml:space="preserve"> </w:t>
      </w:r>
      <w:r w:rsidRPr="00865955">
        <w:rPr>
          <w:rFonts w:ascii="ITC Avant Garde" w:hAnsi="ITC Avant Garde"/>
          <w:sz w:val="18"/>
        </w:rPr>
        <w:t>R.L. de C.V. (conjuntamente “AXTEL”)</w:t>
      </w:r>
      <w:r w:rsidR="00AC7A65" w:rsidRPr="00865955">
        <w:rPr>
          <w:rFonts w:ascii="ITC Avant Garde" w:hAnsi="ITC Avant Garde"/>
          <w:sz w:val="18"/>
          <w:szCs w:val="18"/>
        </w:rPr>
        <w:t>;</w:t>
      </w:r>
    </w:p>
    <w:p w14:paraId="342A79AF" w14:textId="6130CF7C" w:rsidR="00AC7A65" w:rsidRDefault="00AC7A65" w:rsidP="00AC7A65">
      <w:pPr>
        <w:pStyle w:val="Prrafodelista"/>
        <w:numPr>
          <w:ilvl w:val="0"/>
          <w:numId w:val="25"/>
        </w:numPr>
        <w:rPr>
          <w:rFonts w:ascii="ITC Avant Garde" w:hAnsi="ITC Avant Garde"/>
          <w:sz w:val="18"/>
          <w:szCs w:val="18"/>
        </w:rPr>
      </w:pPr>
      <w:r>
        <w:rPr>
          <w:rFonts w:ascii="ITC Avant Garde" w:hAnsi="ITC Avant Garde"/>
          <w:sz w:val="18"/>
          <w:szCs w:val="18"/>
        </w:rPr>
        <w:t>Cámara Nacional de la Industria Electrónica de Telecomunicaciones y Tecnologías de la Comunicación (“CANIETI”)</w:t>
      </w:r>
      <w:r w:rsidR="00865955">
        <w:rPr>
          <w:rFonts w:ascii="ITC Avant Garde" w:hAnsi="ITC Avant Garde"/>
          <w:sz w:val="18"/>
          <w:szCs w:val="18"/>
        </w:rPr>
        <w:t>;</w:t>
      </w:r>
    </w:p>
    <w:p w14:paraId="342A79B0" w14:textId="77777777" w:rsidR="00AC7A65" w:rsidRPr="00AC7A65" w:rsidRDefault="00AC7A65" w:rsidP="00AC7A65">
      <w:pPr>
        <w:pStyle w:val="Prrafodelista"/>
        <w:numPr>
          <w:ilvl w:val="0"/>
          <w:numId w:val="25"/>
        </w:numPr>
        <w:rPr>
          <w:rFonts w:ascii="ITC Avant Garde" w:hAnsi="ITC Avant Garde"/>
          <w:bCs/>
          <w:sz w:val="18"/>
          <w:szCs w:val="18"/>
          <w:lang w:val="es-MX"/>
        </w:rPr>
      </w:pPr>
      <w:r>
        <w:rPr>
          <w:rFonts w:ascii="ITC Avant Garde" w:hAnsi="ITC Avant Garde"/>
          <w:sz w:val="18"/>
          <w:szCs w:val="18"/>
        </w:rPr>
        <w:t xml:space="preserve">Eduardo Ruiz Vega, en representación de </w:t>
      </w:r>
      <w:r w:rsidRPr="00AC7A65">
        <w:rPr>
          <w:rFonts w:ascii="ITC Avant Garde" w:hAnsi="ITC Avant Garde"/>
          <w:sz w:val="18"/>
          <w:szCs w:val="18"/>
        </w:rPr>
        <w:t>Total Play Telecomunicaciones, S.A. de C.V. (“TOTAL PLAY”);</w:t>
      </w:r>
    </w:p>
    <w:p w14:paraId="342A79B1" w14:textId="77777777" w:rsidR="00AC7A65" w:rsidRDefault="00AC7A65" w:rsidP="00AC7A65">
      <w:pPr>
        <w:pStyle w:val="Prrafodelista"/>
        <w:numPr>
          <w:ilvl w:val="0"/>
          <w:numId w:val="25"/>
        </w:numPr>
        <w:rPr>
          <w:rFonts w:ascii="ITC Avant Garde" w:hAnsi="ITC Avant Garde"/>
          <w:sz w:val="18"/>
          <w:szCs w:val="18"/>
        </w:rPr>
      </w:pPr>
      <w:r>
        <w:rPr>
          <w:rFonts w:ascii="ITC Avant Garde" w:hAnsi="ITC Avant Garde"/>
          <w:sz w:val="18"/>
          <w:szCs w:val="18"/>
        </w:rPr>
        <w:t>Dr. Lester Benito García Olvera</w:t>
      </w:r>
    </w:p>
    <w:p w14:paraId="342A79B2" w14:textId="57F9AC80" w:rsidR="00AC7A65" w:rsidRPr="00AC7A65" w:rsidRDefault="00AC7A65" w:rsidP="00AC7A65">
      <w:pPr>
        <w:pStyle w:val="Prrafodelista"/>
        <w:numPr>
          <w:ilvl w:val="0"/>
          <w:numId w:val="25"/>
        </w:numPr>
        <w:rPr>
          <w:rFonts w:ascii="ITC Avant Garde" w:hAnsi="ITC Avant Garde"/>
          <w:sz w:val="18"/>
          <w:szCs w:val="18"/>
        </w:rPr>
      </w:pPr>
      <w:r w:rsidRPr="00AC7A65">
        <w:rPr>
          <w:rFonts w:ascii="ITC Avant Garde" w:hAnsi="ITC Avant Garde"/>
          <w:sz w:val="18"/>
          <w:szCs w:val="18"/>
        </w:rPr>
        <w:t>Yamil Habib Ortiz, en representación de Pegaso PCS, S.A. de C.V.,</w:t>
      </w:r>
      <w:r>
        <w:rPr>
          <w:rFonts w:ascii="ITC Avant Garde" w:hAnsi="ITC Avant Garde"/>
          <w:sz w:val="18"/>
          <w:szCs w:val="18"/>
        </w:rPr>
        <w:t xml:space="preserve"> Grupo de Telecomunicaciones Mexicanas, </w:t>
      </w:r>
      <w:r w:rsidRPr="00AC7A65">
        <w:rPr>
          <w:rFonts w:ascii="ITC Avant Garde" w:hAnsi="ITC Avant Garde"/>
          <w:sz w:val="18"/>
          <w:szCs w:val="18"/>
        </w:rPr>
        <w:t>S.A. d</w:t>
      </w:r>
      <w:r>
        <w:rPr>
          <w:rFonts w:ascii="ITC Avant Garde" w:hAnsi="ITC Avant Garde"/>
          <w:sz w:val="18"/>
          <w:szCs w:val="18"/>
        </w:rPr>
        <w:t xml:space="preserve">e C.V. </w:t>
      </w:r>
      <w:r w:rsidRPr="00AC7A65">
        <w:rPr>
          <w:rFonts w:ascii="ITC Avant Garde" w:hAnsi="ITC Avant Garde"/>
          <w:sz w:val="18"/>
          <w:szCs w:val="18"/>
        </w:rPr>
        <w:t>(conjuntamente, “</w:t>
      </w:r>
      <w:r w:rsidR="002E769B">
        <w:rPr>
          <w:rFonts w:ascii="ITC Avant Garde" w:hAnsi="ITC Avant Garde"/>
          <w:sz w:val="18"/>
          <w:szCs w:val="18"/>
        </w:rPr>
        <w:t>TELEFÓNICA</w:t>
      </w:r>
      <w:r w:rsidRPr="00AC7A65">
        <w:rPr>
          <w:rFonts w:ascii="ITC Avant Garde" w:hAnsi="ITC Avant Garde"/>
          <w:sz w:val="18"/>
          <w:szCs w:val="18"/>
        </w:rPr>
        <w:t>”);</w:t>
      </w:r>
    </w:p>
    <w:p w14:paraId="342A79B3" w14:textId="77777777" w:rsidR="00AC7A65" w:rsidRDefault="00AC7A65" w:rsidP="00AC7A65">
      <w:pPr>
        <w:pStyle w:val="Prrafodelista"/>
        <w:numPr>
          <w:ilvl w:val="0"/>
          <w:numId w:val="25"/>
        </w:numPr>
        <w:rPr>
          <w:rFonts w:ascii="ITC Avant Garde" w:hAnsi="ITC Avant Garde"/>
          <w:sz w:val="18"/>
          <w:szCs w:val="18"/>
        </w:rPr>
      </w:pPr>
      <w:r>
        <w:rPr>
          <w:rFonts w:ascii="ITC Avant Garde" w:hAnsi="ITC Avant Garde"/>
          <w:sz w:val="18"/>
          <w:szCs w:val="18"/>
        </w:rPr>
        <w:t xml:space="preserve">Gonzalo Martínez Pous, en representación de las empresas </w:t>
      </w:r>
      <w:r w:rsidRPr="00AC7A65">
        <w:rPr>
          <w:rFonts w:ascii="ITC Avant Garde" w:hAnsi="ITC Avant Garde"/>
          <w:sz w:val="18"/>
          <w:szCs w:val="18"/>
        </w:rPr>
        <w:t>Operbes, S.A. de C.V., Bestphone, S.A. de C.V., Cablevisión, S.A. de C.V., Cablemas Telecomunicaciones, S.A de C.V., Cable y Comunicación de Campeche, S.A. de C.V. y Cable</w:t>
      </w:r>
      <w:r>
        <w:rPr>
          <w:rFonts w:ascii="ITC Avant Garde" w:hAnsi="ITC Avant Garde"/>
          <w:sz w:val="18"/>
          <w:szCs w:val="18"/>
        </w:rPr>
        <w:t>visión Red</w:t>
      </w:r>
      <w:r w:rsidRPr="00AC7A65">
        <w:rPr>
          <w:rFonts w:ascii="ITC Avant Garde" w:hAnsi="ITC Avant Garde"/>
          <w:sz w:val="18"/>
          <w:szCs w:val="18"/>
        </w:rPr>
        <w:t>, S.A. de C.V. (conjuntamente, “GRUPO TELEVISA”);</w:t>
      </w:r>
    </w:p>
    <w:p w14:paraId="342A79B4" w14:textId="27B74AC6" w:rsidR="00AC7A65" w:rsidRPr="00AC7A65" w:rsidRDefault="00BE690D" w:rsidP="00124D33">
      <w:pPr>
        <w:rPr>
          <w:rFonts w:ascii="ITC Avant Garde" w:eastAsia="Calibri" w:hAnsi="ITC Avant Garde" w:cs="Times New Roman"/>
          <w:bCs/>
          <w:sz w:val="18"/>
          <w:szCs w:val="18"/>
          <w:lang w:val="es-MX"/>
        </w:rPr>
      </w:pPr>
      <w:r w:rsidRPr="00AC7A65">
        <w:rPr>
          <w:rFonts w:ascii="ITC Avant Garde" w:eastAsia="Calibri" w:hAnsi="ITC Avant Garde" w:cs="Times New Roman"/>
          <w:sz w:val="18"/>
          <w:szCs w:val="18"/>
          <w:lang w:val="es-ES"/>
        </w:rPr>
        <w:t xml:space="preserve">Lo contenido en la presentes Respuestas Generales atiende únicamente lo relacionado con las observaciones realizadas por los concesionarios en la Consulta Pública referente a los asuntos relacionados con el modelo de costo considerado. Se excluye por lo tanto los comentarios y respuestas asociadas a la Oferta de Referencia correspondiente, ya cubierto en Consultas Públicas anteriores. </w:t>
      </w:r>
      <w:r w:rsidR="00016B8F" w:rsidRPr="00AC7A65">
        <w:rPr>
          <w:rFonts w:ascii="ITC Avant Garde" w:eastAsia="Calibri" w:hAnsi="ITC Avant Garde" w:cs="Times New Roman"/>
          <w:sz w:val="18"/>
          <w:szCs w:val="18"/>
          <w:lang w:val="es-ES"/>
        </w:rPr>
        <w:t>As</w:t>
      </w:r>
      <w:r w:rsidR="00016B8F">
        <w:rPr>
          <w:rFonts w:ascii="ITC Avant Garde" w:eastAsia="Calibri" w:hAnsi="ITC Avant Garde" w:cs="Times New Roman"/>
          <w:sz w:val="18"/>
          <w:szCs w:val="18"/>
          <w:lang w:val="es-ES"/>
        </w:rPr>
        <w:t>i</w:t>
      </w:r>
      <w:r w:rsidR="00016B8F" w:rsidRPr="00AC7A65">
        <w:rPr>
          <w:rFonts w:ascii="ITC Avant Garde" w:eastAsia="Calibri" w:hAnsi="ITC Avant Garde" w:cs="Times New Roman"/>
          <w:sz w:val="18"/>
          <w:szCs w:val="18"/>
          <w:lang w:val="es-ES"/>
        </w:rPr>
        <w:t xml:space="preserve">mismo, no se responde a comentarios, referencias y sugerencias explícitas a los cálculos del modelo, si bien se han </w:t>
      </w:r>
      <w:r w:rsidR="00016B8F">
        <w:rPr>
          <w:rFonts w:ascii="ITC Avant Garde" w:eastAsia="Calibri" w:hAnsi="ITC Avant Garde" w:cs="Times New Roman"/>
          <w:sz w:val="18"/>
          <w:szCs w:val="18"/>
          <w:lang w:val="es-ES"/>
        </w:rPr>
        <w:t>tomado</w:t>
      </w:r>
      <w:r w:rsidR="00016B8F" w:rsidRPr="00AC7A65">
        <w:rPr>
          <w:rFonts w:ascii="ITC Avant Garde" w:eastAsia="Calibri" w:hAnsi="ITC Avant Garde" w:cs="Times New Roman"/>
          <w:sz w:val="18"/>
          <w:szCs w:val="18"/>
          <w:lang w:val="es-ES"/>
        </w:rPr>
        <w:t xml:space="preserve"> en cuenta, corrigiéndolos o modificándolos </w:t>
      </w:r>
      <w:r w:rsidR="00016B8F">
        <w:rPr>
          <w:rFonts w:ascii="ITC Avant Garde" w:eastAsia="Calibri" w:hAnsi="ITC Avant Garde" w:cs="Times New Roman"/>
          <w:sz w:val="18"/>
          <w:szCs w:val="18"/>
          <w:lang w:val="es-ES"/>
        </w:rPr>
        <w:t>cuando</w:t>
      </w:r>
      <w:r w:rsidR="00016B8F" w:rsidRPr="00AC7A65">
        <w:rPr>
          <w:rFonts w:ascii="ITC Avant Garde" w:eastAsia="Calibri" w:hAnsi="ITC Avant Garde" w:cs="Times New Roman"/>
          <w:sz w:val="18"/>
          <w:szCs w:val="18"/>
          <w:lang w:val="es-ES"/>
        </w:rPr>
        <w:t xml:space="preserve"> se haya considerado pertinente.</w:t>
      </w:r>
      <w:r w:rsidR="00016B8F">
        <w:rPr>
          <w:rFonts w:ascii="ITC Avant Garde" w:eastAsia="Calibri" w:hAnsi="ITC Avant Garde" w:cs="Times New Roman"/>
          <w:sz w:val="18"/>
          <w:szCs w:val="18"/>
          <w:lang w:val="es-ES"/>
        </w:rPr>
        <w:t xml:space="preserve"> Finalmente, en los casos de comentarios idénticos efectuados por el mismo participante en más de una pregunta, se responde exclusivamente a la primera aparición con el fin de simplificar la respuesta sin restar detalle.</w:t>
      </w:r>
      <w:r w:rsidR="00016B8F" w:rsidRPr="00BA1F6D">
        <w:rPr>
          <w:rFonts w:ascii="ITC Avant Garde" w:eastAsia="Calibri" w:hAnsi="ITC Avant Garde" w:cs="Times New Roman"/>
          <w:sz w:val="18"/>
          <w:szCs w:val="18"/>
          <w:lang w:val="es-ES"/>
        </w:rPr>
        <w:t xml:space="preserve"> </w:t>
      </w:r>
    </w:p>
    <w:p w14:paraId="342A79B5" w14:textId="77777777" w:rsidR="009803EB" w:rsidRPr="005229D2" w:rsidRDefault="009803EB" w:rsidP="005229D2">
      <w:pPr>
        <w:pStyle w:val="Ttulo2"/>
        <w:rPr>
          <w:rFonts w:ascii="ITC Avant Garde" w:hAnsi="ITC Avant Garde" w:cs="Times New Roman"/>
          <w:sz w:val="18"/>
          <w:szCs w:val="18"/>
          <w:lang w:val="es-ES_tradnl"/>
        </w:rPr>
      </w:pPr>
      <w:r w:rsidRPr="00A918A4">
        <w:rPr>
          <w:rFonts w:ascii="ITC Avant Garde" w:eastAsia="Times New Roman" w:hAnsi="ITC Avant Garde" w:cs="Times New Roman"/>
          <w:sz w:val="18"/>
          <w:szCs w:val="18"/>
          <w:lang w:val="es-ES_tradnl"/>
        </w:rPr>
        <w:t>Aspectos relacionados con los servicios modelados</w:t>
      </w:r>
    </w:p>
    <w:p w14:paraId="342A79B6" w14:textId="77777777" w:rsidR="009803EB" w:rsidRDefault="0093118C" w:rsidP="009803EB">
      <w:pPr>
        <w:rPr>
          <w:rFonts w:ascii="ITC Avant Garde" w:hAnsi="ITC Avant Garde"/>
          <w:b/>
          <w:sz w:val="18"/>
          <w:szCs w:val="18"/>
          <w:lang w:val="es-ES_tradnl"/>
        </w:rPr>
      </w:pPr>
      <w:r w:rsidRPr="0093118C">
        <w:rPr>
          <w:rFonts w:ascii="ITC Avant Garde" w:hAnsi="ITC Avant Garde"/>
          <w:b/>
          <w:sz w:val="18"/>
          <w:szCs w:val="18"/>
          <w:lang w:val="es-ES_tradnl"/>
        </w:rPr>
        <w:t>Q.</w:t>
      </w:r>
      <w:r w:rsidRPr="0093118C">
        <w:rPr>
          <w:rFonts w:ascii="ITC Avant Garde" w:hAnsi="ITC Avant Garde"/>
          <w:b/>
          <w:sz w:val="18"/>
          <w:szCs w:val="18"/>
          <w:lang w:val="es-ES_tradnl"/>
        </w:rPr>
        <w:fldChar w:fldCharType="begin"/>
      </w:r>
      <w:r w:rsidRPr="0093118C">
        <w:rPr>
          <w:rFonts w:ascii="ITC Avant Garde" w:hAnsi="ITC Avant Garde"/>
          <w:b/>
          <w:sz w:val="18"/>
          <w:szCs w:val="18"/>
          <w:lang w:val="es-ES_tradnl"/>
        </w:rPr>
        <w:instrText xml:space="preserve"> SEQ Recommendation \* ARABIC \s 0 </w:instrText>
      </w:r>
      <w:r w:rsidRPr="0093118C">
        <w:rPr>
          <w:rFonts w:ascii="ITC Avant Garde" w:hAnsi="ITC Avant Garde"/>
          <w:b/>
          <w:sz w:val="18"/>
          <w:szCs w:val="18"/>
          <w:lang w:val="es-ES_tradnl"/>
        </w:rPr>
        <w:fldChar w:fldCharType="separate"/>
      </w:r>
      <w:r w:rsidRPr="0093118C">
        <w:rPr>
          <w:rFonts w:ascii="ITC Avant Garde" w:hAnsi="ITC Avant Garde"/>
          <w:b/>
          <w:sz w:val="18"/>
          <w:szCs w:val="18"/>
          <w:lang w:val="es-ES_tradnl"/>
        </w:rPr>
        <w:t>1</w:t>
      </w:r>
      <w:r w:rsidRPr="0093118C">
        <w:rPr>
          <w:rFonts w:ascii="ITC Avant Garde" w:hAnsi="ITC Avant Garde"/>
          <w:b/>
          <w:sz w:val="18"/>
          <w:szCs w:val="18"/>
          <w:lang w:val="es-ES_tradnl"/>
        </w:rPr>
        <w:fldChar w:fldCharType="end"/>
      </w:r>
      <w:r w:rsidRPr="0093118C">
        <w:rPr>
          <w:rFonts w:ascii="ITC Avant Garde" w:hAnsi="ITC Avant Garde"/>
          <w:b/>
          <w:sz w:val="18"/>
          <w:szCs w:val="18"/>
          <w:lang w:val="es-ES_tradnl"/>
        </w:rPr>
        <w:t>: ¿Considera adecuados los servicios modelados en el modelo de coubicación fija?</w:t>
      </w:r>
      <w:r w:rsidRPr="0093118C">
        <w:rPr>
          <w:rFonts w:ascii="ITC Avant Garde" w:hAnsi="ITC Avant Garde"/>
          <w:b/>
          <w:sz w:val="18"/>
          <w:szCs w:val="18"/>
          <w:lang w:val="es-ES_tradnl"/>
        </w:rPr>
        <w:tab/>
      </w:r>
    </w:p>
    <w:p w14:paraId="1062080A" w14:textId="40F943D8" w:rsidR="003D63B0" w:rsidRDefault="003D63B0" w:rsidP="009803EB">
      <w:pPr>
        <w:rPr>
          <w:rFonts w:ascii="ITC Avant Garde" w:hAnsi="ITC Avant Garde"/>
          <w:sz w:val="18"/>
          <w:szCs w:val="18"/>
          <w:lang w:val="es-ES_tradnl"/>
        </w:rPr>
      </w:pPr>
      <w:r w:rsidRPr="007F6C1D">
        <w:rPr>
          <w:rFonts w:ascii="ITC Avant Garde" w:hAnsi="ITC Avant Garde"/>
          <w:i/>
          <w:sz w:val="18"/>
          <w:szCs w:val="18"/>
          <w:u w:val="single"/>
          <w:lang w:val="es-ES_tradnl"/>
        </w:rPr>
        <w:t>Resumen de comentarios de la Consulta Pública</w:t>
      </w:r>
    </w:p>
    <w:p w14:paraId="342A79B7" w14:textId="1BDB23CE" w:rsidR="00F8526C" w:rsidRDefault="003D63B0" w:rsidP="009803EB">
      <w:pPr>
        <w:rPr>
          <w:rFonts w:ascii="ITC Avant Garde" w:hAnsi="ITC Avant Garde"/>
          <w:sz w:val="18"/>
          <w:szCs w:val="18"/>
          <w:lang w:val="es-ES_tradnl"/>
        </w:rPr>
      </w:pPr>
      <w:r>
        <w:rPr>
          <w:rFonts w:ascii="ITC Avant Garde" w:hAnsi="ITC Avant Garde"/>
          <w:sz w:val="18"/>
          <w:szCs w:val="18"/>
          <w:lang w:val="es-ES_tradnl"/>
        </w:rPr>
        <w:lastRenderedPageBreak/>
        <w:t>Al respecto, un conjunto de participantes de la consulta</w:t>
      </w:r>
      <w:r w:rsidR="00483FD1">
        <w:rPr>
          <w:rFonts w:ascii="ITC Avant Garde" w:hAnsi="ITC Avant Garde"/>
          <w:sz w:val="18"/>
          <w:szCs w:val="18"/>
          <w:lang w:val="es-ES_tradnl"/>
        </w:rPr>
        <w:t xml:space="preserve"> </w:t>
      </w:r>
      <w:r w:rsidR="00483FD1" w:rsidRPr="00483FD1">
        <w:rPr>
          <w:rFonts w:ascii="ITC Avant Garde" w:hAnsi="ITC Avant Garde"/>
          <w:sz w:val="18"/>
          <w:szCs w:val="18"/>
          <w:lang w:val="es-ES_tradnl"/>
        </w:rPr>
        <w:t>[Axtel, Lester Garcia, Total Play]</w:t>
      </w:r>
      <w:r w:rsidR="00483FD1">
        <w:rPr>
          <w:rFonts w:ascii="ITC Avant Garde" w:hAnsi="ITC Avant Garde"/>
          <w:sz w:val="18"/>
          <w:szCs w:val="18"/>
          <w:lang w:val="es-ES_tradnl"/>
        </w:rPr>
        <w:t xml:space="preserve"> consideran que los servicios modelados en el modelo de coubicación fija son adecuados. Sin embargo, </w:t>
      </w:r>
      <w:r>
        <w:rPr>
          <w:rFonts w:ascii="ITC Avant Garde" w:hAnsi="ITC Avant Garde"/>
          <w:sz w:val="18"/>
          <w:szCs w:val="18"/>
          <w:lang w:val="es-ES_tradnl"/>
        </w:rPr>
        <w:t>otro de ellos</w:t>
      </w:r>
      <w:r w:rsidR="00F8526C" w:rsidRPr="00F8526C">
        <w:rPr>
          <w:rFonts w:ascii="ITC Avant Garde" w:hAnsi="ITC Avant Garde"/>
          <w:sz w:val="18"/>
          <w:szCs w:val="18"/>
          <w:lang w:val="es-ES_tradnl"/>
        </w:rPr>
        <w:t xml:space="preserve"> [Telefónica] menciona que </w:t>
      </w:r>
      <w:r w:rsidR="00F8526C">
        <w:rPr>
          <w:rFonts w:ascii="ITC Avant Garde" w:hAnsi="ITC Avant Garde"/>
          <w:sz w:val="18"/>
          <w:szCs w:val="18"/>
          <w:lang w:val="es-ES_tradnl"/>
        </w:rPr>
        <w:t xml:space="preserve">no se incluyen en el modelo </w:t>
      </w:r>
      <w:r w:rsidR="00F8526C" w:rsidRPr="00F8526C">
        <w:rPr>
          <w:rFonts w:ascii="ITC Avant Garde" w:hAnsi="ITC Avant Garde"/>
          <w:sz w:val="18"/>
          <w:szCs w:val="18"/>
          <w:lang w:val="es-ES_tradnl"/>
        </w:rPr>
        <w:t>los módulos para la determinación del costo de los servicios complementarios</w:t>
      </w:r>
      <w:r w:rsidR="00F8526C">
        <w:rPr>
          <w:rFonts w:ascii="ITC Avant Garde" w:hAnsi="ITC Avant Garde"/>
          <w:sz w:val="18"/>
          <w:szCs w:val="18"/>
          <w:lang w:val="es-ES_tradnl"/>
        </w:rPr>
        <w:t>, los cuales deberían estar incluidos en el costo de</w:t>
      </w:r>
      <w:r w:rsidR="001C3BD5">
        <w:rPr>
          <w:rFonts w:ascii="ITC Avant Garde" w:hAnsi="ITC Avant Garde"/>
          <w:sz w:val="18"/>
          <w:szCs w:val="18"/>
          <w:lang w:val="es-ES_tradnl"/>
        </w:rPr>
        <w:t>l servicio de coubicación fija.</w:t>
      </w:r>
    </w:p>
    <w:p w14:paraId="342A79B8" w14:textId="216674FC" w:rsidR="001C3BD5" w:rsidRDefault="00865955" w:rsidP="009803EB">
      <w:pPr>
        <w:rPr>
          <w:rFonts w:ascii="ITC Avant Garde" w:eastAsiaTheme="majorEastAsia" w:hAnsi="ITC Avant Garde" w:cstheme="majorBidi"/>
          <w:bCs/>
          <w:sz w:val="18"/>
          <w:szCs w:val="18"/>
          <w:lang w:val="es-ES_tradnl"/>
        </w:rPr>
      </w:pPr>
      <w:r>
        <w:rPr>
          <w:rFonts w:ascii="ITC Avant Garde" w:eastAsiaTheme="majorEastAsia" w:hAnsi="ITC Avant Garde" w:cstheme="majorBidi"/>
          <w:bCs/>
          <w:sz w:val="18"/>
          <w:szCs w:val="18"/>
          <w:lang w:val="es-ES_tradnl"/>
        </w:rPr>
        <w:t xml:space="preserve">En adición, uno de los participantes </w:t>
      </w:r>
      <w:r w:rsidR="001C3BD5" w:rsidRPr="001C3BD5">
        <w:rPr>
          <w:rFonts w:ascii="ITC Avant Garde" w:eastAsiaTheme="majorEastAsia" w:hAnsi="ITC Avant Garde" w:cstheme="majorBidi"/>
          <w:bCs/>
          <w:sz w:val="18"/>
          <w:szCs w:val="18"/>
          <w:lang w:val="es-ES_tradnl"/>
        </w:rPr>
        <w:t>[Televisa]</w:t>
      </w:r>
      <w:r w:rsidR="001C3BD5">
        <w:rPr>
          <w:rFonts w:ascii="ITC Avant Garde" w:eastAsiaTheme="majorEastAsia" w:hAnsi="ITC Avant Garde" w:cstheme="majorBidi"/>
          <w:bCs/>
          <w:sz w:val="18"/>
          <w:szCs w:val="18"/>
          <w:lang w:val="es-ES_tradnl"/>
        </w:rPr>
        <w:t xml:space="preserve"> </w:t>
      </w:r>
      <w:r>
        <w:rPr>
          <w:rFonts w:ascii="ITC Avant Garde" w:eastAsiaTheme="majorEastAsia" w:hAnsi="ITC Avant Garde" w:cstheme="majorBidi"/>
          <w:bCs/>
          <w:sz w:val="18"/>
          <w:szCs w:val="18"/>
          <w:lang w:val="es-ES_tradnl"/>
        </w:rPr>
        <w:t>considera</w:t>
      </w:r>
      <w:r w:rsidR="001C3BD5">
        <w:rPr>
          <w:rFonts w:ascii="ITC Avant Garde" w:eastAsiaTheme="majorEastAsia" w:hAnsi="ITC Avant Garde" w:cstheme="majorBidi"/>
          <w:bCs/>
          <w:sz w:val="18"/>
          <w:szCs w:val="18"/>
          <w:lang w:val="es-ES_tradnl"/>
        </w:rPr>
        <w:t xml:space="preserve"> que el enfoque teórico consistente en la fijación de las características técnicas y dimensiones predefinidos de los activos fijos puede resultar </w:t>
      </w:r>
      <w:r w:rsidR="00321F7D">
        <w:rPr>
          <w:rFonts w:ascii="ITC Avant Garde" w:eastAsiaTheme="majorEastAsia" w:hAnsi="ITC Avant Garde" w:cstheme="majorBidi"/>
          <w:bCs/>
          <w:sz w:val="18"/>
          <w:szCs w:val="18"/>
          <w:lang w:val="es-ES_tradnl"/>
        </w:rPr>
        <w:t>en</w:t>
      </w:r>
      <w:r w:rsidR="001C3BD5">
        <w:rPr>
          <w:rFonts w:ascii="ITC Avant Garde" w:eastAsiaTheme="majorEastAsia" w:hAnsi="ITC Avant Garde" w:cstheme="majorBidi"/>
          <w:bCs/>
          <w:sz w:val="18"/>
          <w:szCs w:val="18"/>
          <w:lang w:val="es-ES_tradnl"/>
        </w:rPr>
        <w:t xml:space="preserve"> una excesiva simplificación de la realidad.</w:t>
      </w:r>
    </w:p>
    <w:p w14:paraId="342A79B9" w14:textId="66428644" w:rsidR="0033356B" w:rsidRDefault="00141720" w:rsidP="00141720">
      <w:pPr>
        <w:rPr>
          <w:lang w:val="es-ES_tradnl"/>
        </w:rPr>
      </w:pPr>
      <w:r w:rsidRPr="00E45AEA">
        <w:rPr>
          <w:rFonts w:ascii="ITC Avant Garde" w:hAnsi="ITC Avant Garde"/>
          <w:i/>
          <w:sz w:val="18"/>
          <w:szCs w:val="18"/>
          <w:u w:val="single"/>
          <w:lang w:val="es-ES_tradnl"/>
        </w:rPr>
        <w:t>Respuesta del Instituto</w:t>
      </w:r>
    </w:p>
    <w:p w14:paraId="342A79BA" w14:textId="70AB6B5C" w:rsidR="0033356B" w:rsidRPr="004B1FD7" w:rsidRDefault="00865955" w:rsidP="0033356B">
      <w:pPr>
        <w:rPr>
          <w:rFonts w:ascii="ITC Avant Garde" w:eastAsiaTheme="majorEastAsia" w:hAnsi="ITC Avant Garde" w:cstheme="majorBidi"/>
          <w:bCs/>
          <w:color w:val="000000" w:themeColor="text1"/>
          <w:sz w:val="18"/>
          <w:szCs w:val="18"/>
          <w:lang w:val="es-ES_tradnl"/>
        </w:rPr>
      </w:pPr>
      <w:r w:rsidRPr="004B1FD7">
        <w:rPr>
          <w:rFonts w:ascii="ITC Avant Garde" w:eastAsiaTheme="majorEastAsia" w:hAnsi="ITC Avant Garde" w:cstheme="majorBidi"/>
          <w:bCs/>
          <w:color w:val="000000" w:themeColor="text1"/>
          <w:sz w:val="18"/>
          <w:szCs w:val="18"/>
          <w:lang w:val="es-ES_tradnl"/>
        </w:rPr>
        <w:t>En torno a los comentarios sobre l</w:t>
      </w:r>
      <w:r w:rsidR="0033356B" w:rsidRPr="004B1FD7">
        <w:rPr>
          <w:rFonts w:ascii="ITC Avant Garde" w:eastAsiaTheme="majorEastAsia" w:hAnsi="ITC Avant Garde" w:cstheme="majorBidi"/>
          <w:bCs/>
          <w:color w:val="000000" w:themeColor="text1"/>
          <w:sz w:val="18"/>
          <w:szCs w:val="18"/>
          <w:lang w:val="es-ES_tradnl"/>
        </w:rPr>
        <w:t>os servicios complementarios</w:t>
      </w:r>
      <w:r w:rsidRPr="004B1FD7">
        <w:rPr>
          <w:rFonts w:ascii="ITC Avant Garde" w:eastAsiaTheme="majorEastAsia" w:hAnsi="ITC Avant Garde" w:cstheme="majorBidi"/>
          <w:bCs/>
          <w:color w:val="000000" w:themeColor="text1"/>
          <w:sz w:val="18"/>
          <w:szCs w:val="18"/>
          <w:lang w:val="es-ES_tradnl"/>
        </w:rPr>
        <w:t>, el Instituto señala que los anteriores se considera</w:t>
      </w:r>
      <w:r w:rsidR="009776DD">
        <w:rPr>
          <w:rFonts w:ascii="ITC Avant Garde" w:eastAsiaTheme="majorEastAsia" w:hAnsi="ITC Avant Garde" w:cstheme="majorBidi"/>
          <w:bCs/>
          <w:color w:val="000000" w:themeColor="text1"/>
          <w:sz w:val="18"/>
          <w:szCs w:val="18"/>
          <w:lang w:val="es-ES_tradnl"/>
        </w:rPr>
        <w:t>rá</w:t>
      </w:r>
      <w:r w:rsidR="004B1FD7">
        <w:rPr>
          <w:rFonts w:ascii="ITC Avant Garde" w:eastAsiaTheme="majorEastAsia" w:hAnsi="ITC Avant Garde" w:cstheme="majorBidi"/>
          <w:bCs/>
          <w:color w:val="000000" w:themeColor="text1"/>
          <w:sz w:val="18"/>
          <w:szCs w:val="18"/>
          <w:lang w:val="es-ES_tradnl"/>
        </w:rPr>
        <w:t>n</w:t>
      </w:r>
      <w:r w:rsidRPr="004B1FD7">
        <w:rPr>
          <w:rFonts w:ascii="ITC Avant Garde" w:eastAsiaTheme="majorEastAsia" w:hAnsi="ITC Avant Garde" w:cstheme="majorBidi"/>
          <w:bCs/>
          <w:color w:val="000000" w:themeColor="text1"/>
          <w:sz w:val="18"/>
          <w:szCs w:val="18"/>
          <w:lang w:val="es-ES_tradnl"/>
        </w:rPr>
        <w:t xml:space="preserve"> </w:t>
      </w:r>
      <w:r w:rsidR="0005687C">
        <w:rPr>
          <w:rFonts w:ascii="ITC Avant Garde" w:eastAsiaTheme="majorEastAsia" w:hAnsi="ITC Avant Garde" w:cstheme="majorBidi"/>
          <w:bCs/>
          <w:color w:val="000000" w:themeColor="text1"/>
          <w:sz w:val="18"/>
          <w:szCs w:val="18"/>
          <w:lang w:val="es-ES_tradnl"/>
        </w:rPr>
        <w:t>en</w:t>
      </w:r>
      <w:r w:rsidRPr="004B1FD7">
        <w:rPr>
          <w:rFonts w:ascii="ITC Avant Garde" w:eastAsiaTheme="majorEastAsia" w:hAnsi="ITC Avant Garde" w:cstheme="majorBidi"/>
          <w:bCs/>
          <w:color w:val="000000" w:themeColor="text1"/>
          <w:sz w:val="18"/>
          <w:szCs w:val="18"/>
          <w:lang w:val="es-ES_tradnl"/>
        </w:rPr>
        <w:t xml:space="preserve"> </w:t>
      </w:r>
      <w:r w:rsidR="007D5A41">
        <w:rPr>
          <w:rFonts w:ascii="ITC Avant Garde" w:eastAsiaTheme="majorEastAsia" w:hAnsi="ITC Avant Garde" w:cstheme="majorBidi"/>
          <w:bCs/>
          <w:color w:val="000000" w:themeColor="text1"/>
          <w:sz w:val="18"/>
          <w:szCs w:val="18"/>
          <w:lang w:val="es-ES_tradnl"/>
        </w:rPr>
        <w:t>otros</w:t>
      </w:r>
      <w:r w:rsidRPr="004B1FD7">
        <w:rPr>
          <w:rFonts w:ascii="ITC Avant Garde" w:eastAsiaTheme="majorEastAsia" w:hAnsi="ITC Avant Garde" w:cstheme="majorBidi"/>
          <w:bCs/>
          <w:color w:val="000000" w:themeColor="text1"/>
          <w:sz w:val="18"/>
          <w:szCs w:val="18"/>
          <w:lang w:val="es-ES_tradnl"/>
        </w:rPr>
        <w:t xml:space="preserve"> modelos </w:t>
      </w:r>
      <w:r w:rsidR="004B1FD7">
        <w:rPr>
          <w:rFonts w:ascii="ITC Avant Garde" w:eastAsiaTheme="majorEastAsia" w:hAnsi="ITC Avant Garde" w:cstheme="majorBidi"/>
          <w:bCs/>
          <w:color w:val="000000" w:themeColor="text1"/>
          <w:sz w:val="18"/>
          <w:szCs w:val="18"/>
          <w:lang w:val="es-ES_tradnl"/>
        </w:rPr>
        <w:t xml:space="preserve">de costos </w:t>
      </w:r>
      <w:r w:rsidRPr="004B1FD7">
        <w:rPr>
          <w:rFonts w:ascii="ITC Avant Garde" w:eastAsiaTheme="majorEastAsia" w:hAnsi="ITC Avant Garde" w:cstheme="majorBidi"/>
          <w:bCs/>
          <w:color w:val="000000" w:themeColor="text1"/>
          <w:sz w:val="18"/>
          <w:szCs w:val="18"/>
          <w:lang w:val="es-ES_tradnl"/>
        </w:rPr>
        <w:t>que resulta</w:t>
      </w:r>
      <w:r w:rsidR="00852A7B">
        <w:rPr>
          <w:rFonts w:ascii="ITC Avant Garde" w:eastAsiaTheme="majorEastAsia" w:hAnsi="ITC Avant Garde" w:cstheme="majorBidi"/>
          <w:bCs/>
          <w:color w:val="000000" w:themeColor="text1"/>
          <w:sz w:val="18"/>
          <w:szCs w:val="18"/>
          <w:lang w:val="es-ES_tradnl"/>
        </w:rPr>
        <w:t>rán</w:t>
      </w:r>
      <w:r w:rsidRPr="004B1FD7">
        <w:rPr>
          <w:rFonts w:ascii="ITC Avant Garde" w:eastAsiaTheme="majorEastAsia" w:hAnsi="ITC Avant Garde" w:cstheme="majorBidi"/>
          <w:bCs/>
          <w:color w:val="000000" w:themeColor="text1"/>
          <w:sz w:val="18"/>
          <w:szCs w:val="18"/>
          <w:lang w:val="es-ES_tradnl"/>
        </w:rPr>
        <w:t xml:space="preserve"> aplicable</w:t>
      </w:r>
      <w:r w:rsidR="004B1FD7">
        <w:rPr>
          <w:rFonts w:ascii="ITC Avant Garde" w:eastAsiaTheme="majorEastAsia" w:hAnsi="ITC Avant Garde" w:cstheme="majorBidi"/>
          <w:bCs/>
          <w:color w:val="000000" w:themeColor="text1"/>
          <w:sz w:val="18"/>
          <w:szCs w:val="18"/>
          <w:lang w:val="es-ES_tradnl"/>
        </w:rPr>
        <w:t>s</w:t>
      </w:r>
      <w:r w:rsidRPr="004B1FD7">
        <w:rPr>
          <w:rFonts w:ascii="ITC Avant Garde" w:eastAsiaTheme="majorEastAsia" w:hAnsi="ITC Avant Garde" w:cstheme="majorBidi"/>
          <w:bCs/>
          <w:color w:val="000000" w:themeColor="text1"/>
          <w:sz w:val="18"/>
          <w:szCs w:val="18"/>
          <w:lang w:val="es-ES_tradnl"/>
        </w:rPr>
        <w:t xml:space="preserve"> a</w:t>
      </w:r>
      <w:r w:rsidR="00E40C19">
        <w:rPr>
          <w:rFonts w:ascii="ITC Avant Garde" w:eastAsiaTheme="majorEastAsia" w:hAnsi="ITC Avant Garde" w:cstheme="majorBidi"/>
          <w:bCs/>
          <w:color w:val="000000" w:themeColor="text1"/>
          <w:sz w:val="18"/>
          <w:szCs w:val="18"/>
          <w:lang w:val="es-ES_tradnl"/>
        </w:rPr>
        <w:t xml:space="preserve"> los servicios previstos en</w:t>
      </w:r>
      <w:r w:rsidRPr="004B1FD7">
        <w:rPr>
          <w:rFonts w:ascii="ITC Avant Garde" w:eastAsiaTheme="majorEastAsia" w:hAnsi="ITC Avant Garde" w:cstheme="majorBidi"/>
          <w:bCs/>
          <w:color w:val="000000" w:themeColor="text1"/>
          <w:sz w:val="18"/>
          <w:szCs w:val="18"/>
          <w:lang w:val="es-ES_tradnl"/>
        </w:rPr>
        <w:t xml:space="preserve"> las </w:t>
      </w:r>
      <w:r w:rsidR="00B92C75">
        <w:rPr>
          <w:rFonts w:ascii="ITC Avant Garde" w:eastAsiaTheme="majorEastAsia" w:hAnsi="ITC Avant Garde" w:cstheme="majorBidi"/>
          <w:bCs/>
          <w:color w:val="000000" w:themeColor="text1"/>
          <w:sz w:val="18"/>
          <w:szCs w:val="18"/>
          <w:lang w:val="es-ES_tradnl"/>
        </w:rPr>
        <w:t>o</w:t>
      </w:r>
      <w:r w:rsidRPr="004B1FD7">
        <w:rPr>
          <w:rFonts w:ascii="ITC Avant Garde" w:eastAsiaTheme="majorEastAsia" w:hAnsi="ITC Avant Garde" w:cstheme="majorBidi"/>
          <w:bCs/>
          <w:color w:val="000000" w:themeColor="text1"/>
          <w:sz w:val="18"/>
          <w:szCs w:val="18"/>
          <w:lang w:val="es-ES_tradnl"/>
        </w:rPr>
        <w:t>fertas de Referenci</w:t>
      </w:r>
      <w:r w:rsidR="00B92C75">
        <w:rPr>
          <w:rFonts w:ascii="ITC Avant Garde" w:eastAsiaTheme="majorEastAsia" w:hAnsi="ITC Avant Garde" w:cstheme="majorBidi"/>
          <w:bCs/>
          <w:color w:val="000000" w:themeColor="text1"/>
          <w:sz w:val="18"/>
          <w:szCs w:val="18"/>
          <w:lang w:val="es-ES_tradnl"/>
        </w:rPr>
        <w:t>a</w:t>
      </w:r>
      <w:r w:rsidRPr="004B1FD7">
        <w:rPr>
          <w:rFonts w:ascii="ITC Avant Garde" w:eastAsiaTheme="majorEastAsia" w:hAnsi="ITC Avant Garde" w:cstheme="majorBidi"/>
          <w:bCs/>
          <w:color w:val="000000" w:themeColor="text1"/>
          <w:sz w:val="18"/>
          <w:szCs w:val="18"/>
          <w:lang w:val="es-ES_tradnl"/>
        </w:rPr>
        <w:t xml:space="preserve"> correspondientes</w:t>
      </w:r>
      <w:r w:rsidR="0033356B" w:rsidRPr="004B1FD7">
        <w:rPr>
          <w:rFonts w:ascii="ITC Avant Garde" w:eastAsiaTheme="majorEastAsia" w:hAnsi="ITC Avant Garde" w:cstheme="majorBidi"/>
          <w:bCs/>
          <w:color w:val="000000" w:themeColor="text1"/>
          <w:sz w:val="18"/>
          <w:szCs w:val="18"/>
          <w:lang w:val="es-ES_tradnl"/>
        </w:rPr>
        <w:t>.</w:t>
      </w:r>
    </w:p>
    <w:p w14:paraId="342A79BB" w14:textId="457D08C5" w:rsidR="0033356B" w:rsidRPr="003352F4" w:rsidRDefault="003352F4" w:rsidP="0033356B">
      <w:pPr>
        <w:rPr>
          <w:rFonts w:ascii="ITC Avant Garde" w:eastAsiaTheme="majorEastAsia" w:hAnsi="ITC Avant Garde" w:cstheme="majorBidi"/>
          <w:bCs/>
          <w:color w:val="000000" w:themeColor="text1"/>
          <w:sz w:val="18"/>
          <w:szCs w:val="18"/>
          <w:lang w:val="es-ES_tradnl"/>
        </w:rPr>
      </w:pPr>
      <w:r w:rsidRPr="003352F4">
        <w:rPr>
          <w:rFonts w:ascii="ITC Avant Garde" w:eastAsiaTheme="majorEastAsia" w:hAnsi="ITC Avant Garde" w:cstheme="majorBidi"/>
          <w:bCs/>
          <w:color w:val="000000" w:themeColor="text1"/>
          <w:sz w:val="18"/>
          <w:szCs w:val="18"/>
          <w:lang w:val="es-ES_tradnl"/>
        </w:rPr>
        <w:t>Por otro lado, en torno a los comentarios donde que se expresa que el modelo contiene una</w:t>
      </w:r>
      <w:r w:rsidR="0033356B" w:rsidRPr="003352F4">
        <w:rPr>
          <w:rFonts w:ascii="ITC Avant Garde" w:eastAsiaTheme="majorEastAsia" w:hAnsi="ITC Avant Garde" w:cstheme="majorBidi"/>
          <w:bCs/>
          <w:color w:val="000000" w:themeColor="text1"/>
          <w:sz w:val="18"/>
          <w:szCs w:val="18"/>
          <w:lang w:val="es-ES_tradnl"/>
        </w:rPr>
        <w:t xml:space="preserve"> excesiva simplificación de la realidad, </w:t>
      </w:r>
      <w:r w:rsidRPr="003352F4">
        <w:rPr>
          <w:rFonts w:ascii="ITC Avant Garde" w:eastAsiaTheme="majorEastAsia" w:hAnsi="ITC Avant Garde" w:cstheme="majorBidi"/>
          <w:bCs/>
          <w:color w:val="000000" w:themeColor="text1"/>
          <w:sz w:val="18"/>
          <w:szCs w:val="18"/>
          <w:lang w:val="es-ES_tradnl"/>
        </w:rPr>
        <w:t xml:space="preserve">el Instituto considera que </w:t>
      </w:r>
      <w:r w:rsidR="00A554AB" w:rsidRPr="003352F4">
        <w:rPr>
          <w:rFonts w:ascii="ITC Avant Garde" w:eastAsiaTheme="majorEastAsia" w:hAnsi="ITC Avant Garde" w:cstheme="majorBidi"/>
          <w:bCs/>
          <w:color w:val="000000" w:themeColor="text1"/>
          <w:sz w:val="18"/>
          <w:szCs w:val="18"/>
          <w:lang w:val="es-ES_tradnl"/>
        </w:rPr>
        <w:t>el</w:t>
      </w:r>
      <w:r w:rsidRPr="003352F4">
        <w:rPr>
          <w:rFonts w:ascii="ITC Avant Garde" w:eastAsiaTheme="majorEastAsia" w:hAnsi="ITC Avant Garde" w:cstheme="majorBidi"/>
          <w:bCs/>
          <w:color w:val="000000" w:themeColor="text1"/>
          <w:sz w:val="18"/>
          <w:szCs w:val="18"/>
          <w:lang w:val="es-ES_tradnl"/>
        </w:rPr>
        <w:t xml:space="preserve"> enfoque del modelado a partir</w:t>
      </w:r>
      <w:r w:rsidR="00A554AB" w:rsidRPr="003352F4">
        <w:rPr>
          <w:rFonts w:ascii="ITC Avant Garde" w:eastAsiaTheme="majorEastAsia" w:hAnsi="ITC Avant Garde" w:cstheme="majorBidi"/>
          <w:bCs/>
          <w:color w:val="000000" w:themeColor="text1"/>
          <w:sz w:val="18"/>
          <w:szCs w:val="18"/>
          <w:lang w:val="es-ES_tradnl"/>
        </w:rPr>
        <w:t xml:space="preserve"> características técnicas </w:t>
      </w:r>
      <w:r w:rsidRPr="003352F4">
        <w:rPr>
          <w:rFonts w:ascii="ITC Avant Garde" w:eastAsiaTheme="majorEastAsia" w:hAnsi="ITC Avant Garde" w:cstheme="majorBidi"/>
          <w:bCs/>
          <w:color w:val="000000" w:themeColor="text1"/>
          <w:sz w:val="18"/>
          <w:szCs w:val="18"/>
          <w:lang w:val="es-ES_tradnl"/>
        </w:rPr>
        <w:t xml:space="preserve">aplicables a los servicio </w:t>
      </w:r>
      <w:r w:rsidR="00A554AB" w:rsidRPr="003352F4">
        <w:rPr>
          <w:rFonts w:ascii="ITC Avant Garde" w:eastAsiaTheme="majorEastAsia" w:hAnsi="ITC Avant Garde" w:cstheme="majorBidi"/>
          <w:bCs/>
          <w:color w:val="000000" w:themeColor="text1"/>
          <w:sz w:val="18"/>
          <w:szCs w:val="18"/>
          <w:lang w:val="es-ES_tradnl"/>
        </w:rPr>
        <w:t>aporta justamente la flexibilidad necesaria para poder responder a la diversidad de situaciones exi</w:t>
      </w:r>
      <w:r w:rsidRPr="003352F4">
        <w:rPr>
          <w:rFonts w:ascii="ITC Avant Garde" w:eastAsiaTheme="majorEastAsia" w:hAnsi="ITC Avant Garde" w:cstheme="majorBidi"/>
          <w:bCs/>
          <w:color w:val="000000" w:themeColor="text1"/>
          <w:sz w:val="18"/>
          <w:szCs w:val="18"/>
          <w:lang w:val="es-ES_tradnl"/>
        </w:rPr>
        <w:t xml:space="preserve">stentes, por lo cual se considera adecuados y en línea con la metodología </w:t>
      </w:r>
      <w:r>
        <w:rPr>
          <w:rFonts w:ascii="ITC Avant Garde" w:eastAsiaTheme="majorEastAsia" w:hAnsi="ITC Avant Garde" w:cstheme="majorBidi"/>
          <w:bCs/>
          <w:color w:val="000000" w:themeColor="text1"/>
          <w:sz w:val="18"/>
          <w:szCs w:val="18"/>
          <w:lang w:val="es-ES_tradnl"/>
        </w:rPr>
        <w:t xml:space="preserve">que resulta </w:t>
      </w:r>
      <w:r w:rsidRPr="003352F4">
        <w:rPr>
          <w:rFonts w:ascii="ITC Avant Garde" w:eastAsiaTheme="majorEastAsia" w:hAnsi="ITC Avant Garde" w:cstheme="majorBidi"/>
          <w:bCs/>
          <w:color w:val="000000" w:themeColor="text1"/>
          <w:sz w:val="18"/>
          <w:szCs w:val="18"/>
          <w:lang w:val="es-ES_tradnl"/>
        </w:rPr>
        <w:t>aplicable</w:t>
      </w:r>
      <w:r>
        <w:rPr>
          <w:rFonts w:ascii="ITC Avant Garde" w:eastAsiaTheme="majorEastAsia" w:hAnsi="ITC Avant Garde" w:cstheme="majorBidi"/>
          <w:bCs/>
          <w:color w:val="000000" w:themeColor="text1"/>
          <w:sz w:val="18"/>
          <w:szCs w:val="18"/>
          <w:lang w:val="es-ES_tradnl"/>
        </w:rPr>
        <w:t xml:space="preserve"> para determinar las tarifas que corresponde a los servicios </w:t>
      </w:r>
      <w:r w:rsidR="00DF68E7">
        <w:rPr>
          <w:rFonts w:ascii="ITC Avant Garde" w:eastAsiaTheme="majorEastAsia" w:hAnsi="ITC Avant Garde" w:cstheme="majorBidi"/>
          <w:bCs/>
          <w:color w:val="000000" w:themeColor="text1"/>
          <w:sz w:val="18"/>
          <w:szCs w:val="18"/>
          <w:lang w:val="es-ES_tradnl"/>
        </w:rPr>
        <w:t>de coubicación</w:t>
      </w:r>
      <w:r w:rsidRPr="003352F4">
        <w:rPr>
          <w:rFonts w:ascii="ITC Avant Garde" w:eastAsiaTheme="majorEastAsia" w:hAnsi="ITC Avant Garde" w:cstheme="majorBidi"/>
          <w:bCs/>
          <w:color w:val="000000" w:themeColor="text1"/>
          <w:sz w:val="18"/>
          <w:szCs w:val="18"/>
          <w:lang w:val="es-ES_tradnl"/>
        </w:rPr>
        <w:t>.</w:t>
      </w:r>
    </w:p>
    <w:p w14:paraId="342A79BC" w14:textId="77777777" w:rsidR="009803EB" w:rsidRPr="00A918A4" w:rsidRDefault="009803EB" w:rsidP="009803EB">
      <w:pPr>
        <w:pStyle w:val="Ttulo2"/>
        <w:spacing w:before="0"/>
        <w:rPr>
          <w:rFonts w:ascii="ITC Avant Garde" w:hAnsi="ITC Avant Garde"/>
          <w:sz w:val="18"/>
          <w:szCs w:val="18"/>
          <w:lang w:val="es-ES_tradnl"/>
        </w:rPr>
      </w:pPr>
      <w:r w:rsidRPr="00A918A4">
        <w:rPr>
          <w:rFonts w:ascii="ITC Avant Garde" w:hAnsi="ITC Avant Garde"/>
          <w:sz w:val="18"/>
          <w:szCs w:val="18"/>
          <w:lang w:val="es-ES_tradnl"/>
        </w:rPr>
        <w:t xml:space="preserve">Aspectos relacionados con la metodología del modelo </w:t>
      </w:r>
    </w:p>
    <w:p w14:paraId="342A79BD" w14:textId="77777777" w:rsidR="009803EB" w:rsidRPr="005229D2" w:rsidRDefault="009803EB" w:rsidP="005229D2">
      <w:pPr>
        <w:pStyle w:val="Ttulo3"/>
        <w:spacing w:before="240" w:after="160"/>
        <w:rPr>
          <w:rFonts w:ascii="ITC Avant Garde" w:hAnsi="ITC Avant Garde"/>
          <w:sz w:val="18"/>
          <w:szCs w:val="18"/>
          <w:lang w:val="es-ES_tradnl"/>
        </w:rPr>
      </w:pPr>
      <w:r w:rsidRPr="00A918A4">
        <w:rPr>
          <w:rFonts w:ascii="ITC Avant Garde" w:hAnsi="ITC Avant Garde"/>
          <w:sz w:val="18"/>
          <w:szCs w:val="18"/>
          <w:lang w:val="es-ES_tradnl"/>
        </w:rPr>
        <w:t>Demanda</w:t>
      </w:r>
    </w:p>
    <w:p w14:paraId="342A79BE" w14:textId="77777777" w:rsidR="0093118C" w:rsidRDefault="0093118C" w:rsidP="0093118C">
      <w:pPr>
        <w:pStyle w:val="Listaconvietas"/>
        <w:numPr>
          <w:ilvl w:val="0"/>
          <w:numId w:val="0"/>
        </w:numPr>
        <w:rPr>
          <w:rFonts w:ascii="ITC Avant Garde" w:hAnsi="ITC Avant Garde"/>
          <w:b/>
          <w:sz w:val="18"/>
          <w:szCs w:val="18"/>
          <w:lang w:val="es-ES_tradnl"/>
        </w:rPr>
      </w:pPr>
      <w:r w:rsidRPr="0093118C">
        <w:rPr>
          <w:rFonts w:ascii="ITC Avant Garde" w:hAnsi="ITC Avant Garde"/>
          <w:b/>
          <w:sz w:val="18"/>
          <w:szCs w:val="18"/>
          <w:lang w:val="es-ES_tradnl"/>
        </w:rPr>
        <w:t>Q.</w:t>
      </w:r>
      <w:r w:rsidRPr="0093118C">
        <w:rPr>
          <w:rFonts w:ascii="ITC Avant Garde" w:hAnsi="ITC Avant Garde"/>
          <w:b/>
          <w:sz w:val="18"/>
          <w:szCs w:val="18"/>
          <w:lang w:val="es-ES_tradnl"/>
        </w:rPr>
        <w:fldChar w:fldCharType="begin"/>
      </w:r>
      <w:r w:rsidRPr="0093118C">
        <w:rPr>
          <w:rFonts w:ascii="ITC Avant Garde" w:hAnsi="ITC Avant Garde"/>
          <w:b/>
          <w:sz w:val="18"/>
          <w:szCs w:val="18"/>
          <w:lang w:val="es-ES_tradnl"/>
        </w:rPr>
        <w:instrText xml:space="preserve"> SEQ Recommendation \* ARABIC \s 0 </w:instrText>
      </w:r>
      <w:r w:rsidRPr="0093118C">
        <w:rPr>
          <w:rFonts w:ascii="ITC Avant Garde" w:hAnsi="ITC Avant Garde"/>
          <w:b/>
          <w:sz w:val="18"/>
          <w:szCs w:val="18"/>
          <w:lang w:val="es-ES_tradnl"/>
        </w:rPr>
        <w:fldChar w:fldCharType="separate"/>
      </w:r>
      <w:r w:rsidRPr="0093118C">
        <w:rPr>
          <w:rFonts w:ascii="ITC Avant Garde" w:hAnsi="ITC Avant Garde"/>
          <w:b/>
          <w:sz w:val="18"/>
          <w:szCs w:val="18"/>
          <w:lang w:val="es-ES_tradnl"/>
        </w:rPr>
        <w:t>2</w:t>
      </w:r>
      <w:r w:rsidRPr="0093118C">
        <w:rPr>
          <w:rFonts w:ascii="ITC Avant Garde" w:hAnsi="ITC Avant Garde"/>
          <w:b/>
          <w:sz w:val="18"/>
          <w:szCs w:val="18"/>
          <w:lang w:val="es-ES_tradnl"/>
        </w:rPr>
        <w:fldChar w:fldCharType="end"/>
      </w:r>
      <w:r w:rsidRPr="0093118C">
        <w:rPr>
          <w:rFonts w:ascii="ITC Avant Garde" w:hAnsi="ITC Avant Garde"/>
          <w:b/>
          <w:sz w:val="18"/>
          <w:szCs w:val="18"/>
          <w:lang w:val="es-ES_tradnl"/>
        </w:rPr>
        <w:t>: ¿Considera adecuada las consideraciones hechas respecto a la estimación de la demanda?</w:t>
      </w:r>
    </w:p>
    <w:p w14:paraId="35AC7D2D" w14:textId="667AEF12" w:rsidR="003D63B0" w:rsidRDefault="003D63B0" w:rsidP="0093118C">
      <w:pPr>
        <w:pStyle w:val="Listaconvietas"/>
        <w:numPr>
          <w:ilvl w:val="0"/>
          <w:numId w:val="0"/>
        </w:numPr>
        <w:rPr>
          <w:rFonts w:ascii="ITC Avant Garde" w:hAnsi="ITC Avant Garde"/>
          <w:sz w:val="18"/>
          <w:szCs w:val="18"/>
          <w:lang w:val="es-ES_tradnl"/>
        </w:rPr>
      </w:pPr>
      <w:r w:rsidRPr="007F6C1D">
        <w:rPr>
          <w:rFonts w:ascii="ITC Avant Garde" w:hAnsi="ITC Avant Garde"/>
          <w:i/>
          <w:sz w:val="18"/>
          <w:szCs w:val="18"/>
          <w:u w:val="single"/>
          <w:lang w:val="es-ES_tradnl"/>
        </w:rPr>
        <w:t>Resumen de comentarios de la Consulta Pública</w:t>
      </w:r>
    </w:p>
    <w:p w14:paraId="342A79BF" w14:textId="4D5130D4" w:rsidR="008A35BE" w:rsidRDefault="00C46618" w:rsidP="0093118C">
      <w:pPr>
        <w:pStyle w:val="Listaconvietas"/>
        <w:numPr>
          <w:ilvl w:val="0"/>
          <w:numId w:val="0"/>
        </w:numPr>
        <w:rPr>
          <w:rFonts w:ascii="ITC Avant Garde" w:hAnsi="ITC Avant Garde"/>
          <w:sz w:val="18"/>
          <w:szCs w:val="18"/>
          <w:lang w:val="es-ES_tradnl"/>
        </w:rPr>
      </w:pPr>
      <w:r>
        <w:rPr>
          <w:rFonts w:ascii="ITC Avant Garde" w:hAnsi="ITC Avant Garde"/>
          <w:sz w:val="18"/>
          <w:szCs w:val="18"/>
          <w:lang w:val="es-ES_tradnl"/>
        </w:rPr>
        <w:t xml:space="preserve">Al respecto, </w:t>
      </w:r>
      <w:r w:rsidR="0080069A">
        <w:rPr>
          <w:rFonts w:ascii="ITC Avant Garde" w:hAnsi="ITC Avant Garde"/>
          <w:sz w:val="18"/>
          <w:szCs w:val="18"/>
          <w:lang w:val="es-ES_tradnl"/>
        </w:rPr>
        <w:t xml:space="preserve">ciertos </w:t>
      </w:r>
      <w:r>
        <w:rPr>
          <w:rFonts w:ascii="ITC Avant Garde" w:hAnsi="ITC Avant Garde"/>
          <w:sz w:val="18"/>
          <w:szCs w:val="18"/>
          <w:lang w:val="es-ES_tradnl"/>
        </w:rPr>
        <w:t xml:space="preserve">participantes </w:t>
      </w:r>
      <w:r w:rsidR="00F8526C" w:rsidRPr="00A82D26">
        <w:rPr>
          <w:rFonts w:ascii="ITC Avant Garde" w:hAnsi="ITC Avant Garde"/>
          <w:sz w:val="18"/>
          <w:szCs w:val="18"/>
          <w:lang w:val="es-ES_tradnl"/>
        </w:rPr>
        <w:t>[</w:t>
      </w:r>
      <w:r w:rsidR="0080069A">
        <w:rPr>
          <w:rFonts w:ascii="ITC Avant Garde" w:hAnsi="ITC Avant Garde"/>
          <w:sz w:val="18"/>
          <w:szCs w:val="18"/>
          <w:lang w:val="es-ES_tradnl"/>
        </w:rPr>
        <w:t>Axtel</w:t>
      </w:r>
      <w:r w:rsidR="0080069A" w:rsidRPr="00A82D26">
        <w:rPr>
          <w:rFonts w:ascii="ITC Avant Garde" w:hAnsi="ITC Avant Garde"/>
          <w:sz w:val="18"/>
          <w:szCs w:val="18"/>
          <w:lang w:val="es-ES_tradnl"/>
        </w:rPr>
        <w:t xml:space="preserve"> </w:t>
      </w:r>
      <w:r w:rsidR="0080069A">
        <w:rPr>
          <w:rFonts w:ascii="ITC Avant Garde" w:hAnsi="ITC Avant Garde"/>
          <w:sz w:val="18"/>
          <w:szCs w:val="18"/>
          <w:lang w:val="es-ES_tradnl"/>
        </w:rPr>
        <w:t xml:space="preserve">y </w:t>
      </w:r>
      <w:r w:rsidR="00F8526C" w:rsidRPr="00A82D26">
        <w:rPr>
          <w:rFonts w:ascii="ITC Avant Garde" w:hAnsi="ITC Avant Garde"/>
          <w:sz w:val="18"/>
          <w:szCs w:val="18"/>
          <w:lang w:val="es-ES_tradnl"/>
        </w:rPr>
        <w:t xml:space="preserve">Telefónica] </w:t>
      </w:r>
      <w:r w:rsidR="0081716A">
        <w:rPr>
          <w:rFonts w:ascii="ITC Avant Garde" w:hAnsi="ITC Avant Garde"/>
          <w:sz w:val="18"/>
          <w:szCs w:val="18"/>
          <w:lang w:val="es-ES_tradnl"/>
        </w:rPr>
        <w:t>considera</w:t>
      </w:r>
      <w:r w:rsidR="000956E1">
        <w:rPr>
          <w:rFonts w:ascii="ITC Avant Garde" w:hAnsi="ITC Avant Garde"/>
          <w:sz w:val="18"/>
          <w:szCs w:val="18"/>
          <w:lang w:val="es-419"/>
        </w:rPr>
        <w:t>n</w:t>
      </w:r>
      <w:r w:rsidR="00F8526C" w:rsidRPr="00A82D26">
        <w:rPr>
          <w:rFonts w:ascii="ITC Avant Garde" w:hAnsi="ITC Avant Garde"/>
          <w:sz w:val="18"/>
          <w:szCs w:val="18"/>
          <w:lang w:val="es-ES_tradnl"/>
        </w:rPr>
        <w:t xml:space="preserve"> que </w:t>
      </w:r>
      <w:r w:rsidR="00485350">
        <w:rPr>
          <w:rFonts w:ascii="ITC Avant Garde" w:hAnsi="ITC Avant Garde"/>
          <w:sz w:val="18"/>
          <w:szCs w:val="18"/>
          <w:lang w:val="es-ES_tradnl"/>
        </w:rPr>
        <w:t xml:space="preserve">el límite de </w:t>
      </w:r>
      <w:r w:rsidR="00F8526C" w:rsidRPr="00A82D26">
        <w:rPr>
          <w:rFonts w:ascii="ITC Avant Garde" w:hAnsi="ITC Avant Garde"/>
          <w:sz w:val="18"/>
          <w:szCs w:val="18"/>
          <w:lang w:val="es-ES_tradnl"/>
        </w:rPr>
        <w:t xml:space="preserve">máximo 3 </w:t>
      </w:r>
      <w:r>
        <w:rPr>
          <w:rFonts w:ascii="ITC Avant Garde" w:hAnsi="ITC Avant Garde"/>
          <w:sz w:val="18"/>
          <w:szCs w:val="18"/>
          <w:lang w:val="es-ES_tradnl"/>
        </w:rPr>
        <w:t>concesionarios solicitantes (“</w:t>
      </w:r>
      <w:r w:rsidR="00F8526C" w:rsidRPr="00A82D26">
        <w:rPr>
          <w:rFonts w:ascii="ITC Avant Garde" w:hAnsi="ITC Avant Garde"/>
          <w:sz w:val="18"/>
          <w:szCs w:val="18"/>
          <w:lang w:val="es-ES_tradnl"/>
        </w:rPr>
        <w:t>CS</w:t>
      </w:r>
      <w:r>
        <w:rPr>
          <w:rFonts w:ascii="ITC Avant Garde" w:hAnsi="ITC Avant Garde"/>
          <w:sz w:val="18"/>
          <w:szCs w:val="18"/>
          <w:lang w:val="es-ES_tradnl"/>
        </w:rPr>
        <w:t>”)</w:t>
      </w:r>
      <w:r w:rsidR="00F8526C" w:rsidRPr="00A82D26">
        <w:rPr>
          <w:rFonts w:ascii="ITC Avant Garde" w:hAnsi="ITC Avant Garde"/>
          <w:sz w:val="18"/>
          <w:szCs w:val="18"/>
          <w:lang w:val="es-ES_tradnl"/>
        </w:rPr>
        <w:t xml:space="preserve"> por central </w:t>
      </w:r>
      <w:r w:rsidR="00485350">
        <w:rPr>
          <w:rFonts w:ascii="ITC Avant Garde" w:hAnsi="ITC Avant Garde"/>
          <w:sz w:val="18"/>
          <w:szCs w:val="18"/>
          <w:lang w:val="es-ES_tradnl"/>
        </w:rPr>
        <w:t xml:space="preserve">existente en el modelo </w:t>
      </w:r>
      <w:r w:rsidR="00F8526C" w:rsidRPr="00A82D26">
        <w:rPr>
          <w:rFonts w:ascii="ITC Avant Garde" w:hAnsi="ITC Avant Garde"/>
          <w:sz w:val="18"/>
          <w:szCs w:val="18"/>
          <w:lang w:val="es-ES_tradnl"/>
        </w:rPr>
        <w:t>provocaría que muchos concesionarios tengan que pagar un costo mayor por una coubicación distante.</w:t>
      </w:r>
      <w:r w:rsidR="000720C5">
        <w:rPr>
          <w:rFonts w:ascii="ITC Avant Garde" w:hAnsi="ITC Avant Garde"/>
          <w:sz w:val="18"/>
          <w:szCs w:val="18"/>
          <w:lang w:val="es-ES_tradnl"/>
        </w:rPr>
        <w:t xml:space="preserve"> En este sentido, indican que </w:t>
      </w:r>
      <w:r w:rsidR="0081716A">
        <w:rPr>
          <w:rFonts w:ascii="ITC Avant Garde" w:hAnsi="ITC Avant Garde"/>
          <w:sz w:val="18"/>
          <w:szCs w:val="18"/>
          <w:lang w:val="es-ES_tradnl"/>
        </w:rPr>
        <w:t>con</w:t>
      </w:r>
      <w:r w:rsidR="00F8526C" w:rsidRPr="00A82D26">
        <w:rPr>
          <w:rFonts w:ascii="ITC Avant Garde" w:hAnsi="ITC Avant Garde"/>
          <w:sz w:val="18"/>
          <w:szCs w:val="18"/>
          <w:lang w:val="es-ES_tradnl"/>
        </w:rPr>
        <w:t xml:space="preserve"> el</w:t>
      </w:r>
      <w:r w:rsidR="00485350">
        <w:rPr>
          <w:rFonts w:ascii="ITC Avant Garde" w:hAnsi="ITC Avant Garde"/>
          <w:sz w:val="18"/>
          <w:szCs w:val="18"/>
          <w:lang w:val="es-ES_tradnl"/>
        </w:rPr>
        <w:t xml:space="preserve"> </w:t>
      </w:r>
      <w:r w:rsidR="00F8526C" w:rsidRPr="00A82D26">
        <w:rPr>
          <w:rFonts w:ascii="ITC Avant Garde" w:hAnsi="ITC Avant Garde"/>
          <w:sz w:val="18"/>
          <w:szCs w:val="18"/>
          <w:lang w:val="es-ES_tradnl"/>
        </w:rPr>
        <w:t>fin de evitar este problema propone</w:t>
      </w:r>
      <w:r w:rsidR="00E40C19">
        <w:rPr>
          <w:rFonts w:ascii="ITC Avant Garde" w:hAnsi="ITC Avant Garde"/>
          <w:sz w:val="18"/>
          <w:szCs w:val="18"/>
          <w:lang w:val="es-ES_tradnl"/>
        </w:rPr>
        <w:t>n</w:t>
      </w:r>
      <w:r w:rsidR="00F8526C" w:rsidRPr="00A82D26">
        <w:rPr>
          <w:rFonts w:ascii="ITC Avant Garde" w:hAnsi="ITC Avant Garde"/>
          <w:sz w:val="18"/>
          <w:szCs w:val="18"/>
          <w:lang w:val="es-ES_tradnl"/>
        </w:rPr>
        <w:t xml:space="preserve"> considerar espacios de “rack” y espacios para colocación de rack completos</w:t>
      </w:r>
      <w:r w:rsidR="00D92ED7">
        <w:rPr>
          <w:rFonts w:ascii="ITC Avant Garde" w:hAnsi="ITC Avant Garde"/>
          <w:sz w:val="18"/>
          <w:szCs w:val="18"/>
          <w:lang w:val="es-ES_tradnl"/>
        </w:rPr>
        <w:t xml:space="preserve"> (gabinetes)</w:t>
      </w:r>
      <w:r w:rsidR="00485350">
        <w:rPr>
          <w:rFonts w:ascii="ITC Avant Garde" w:hAnsi="ITC Avant Garde"/>
          <w:sz w:val="18"/>
          <w:szCs w:val="18"/>
          <w:lang w:val="es-ES_tradnl"/>
        </w:rPr>
        <w:t xml:space="preserve"> en la central del </w:t>
      </w:r>
      <w:r w:rsidR="006A21BE">
        <w:rPr>
          <w:rFonts w:ascii="ITC Avant Garde" w:hAnsi="ITC Avant Garde"/>
          <w:sz w:val="18"/>
          <w:szCs w:val="18"/>
          <w:lang w:val="es-ES_tradnl"/>
        </w:rPr>
        <w:t>Agente Económico Preponderante (“</w:t>
      </w:r>
      <w:r w:rsidR="00485350">
        <w:rPr>
          <w:rFonts w:ascii="ITC Avant Garde" w:hAnsi="ITC Avant Garde"/>
          <w:sz w:val="18"/>
          <w:szCs w:val="18"/>
          <w:lang w:val="es-ES_tradnl"/>
        </w:rPr>
        <w:t>AEP</w:t>
      </w:r>
      <w:r w:rsidR="006A21BE">
        <w:rPr>
          <w:rFonts w:ascii="ITC Avant Garde" w:hAnsi="ITC Avant Garde"/>
          <w:sz w:val="18"/>
          <w:szCs w:val="18"/>
          <w:lang w:val="es-ES_tradnl"/>
        </w:rPr>
        <w:t>”)</w:t>
      </w:r>
      <w:r w:rsidR="00485350">
        <w:rPr>
          <w:rFonts w:ascii="ITC Avant Garde" w:hAnsi="ITC Avant Garde"/>
          <w:sz w:val="18"/>
          <w:szCs w:val="18"/>
          <w:lang w:val="es-ES_tradnl"/>
        </w:rPr>
        <w:t>.</w:t>
      </w:r>
      <w:r w:rsidR="00F8526C" w:rsidRPr="00A82D26">
        <w:rPr>
          <w:rFonts w:ascii="ITC Avant Garde" w:hAnsi="ITC Avant Garde"/>
          <w:sz w:val="18"/>
          <w:szCs w:val="18"/>
          <w:lang w:val="es-ES_tradnl"/>
        </w:rPr>
        <w:t xml:space="preserve"> </w:t>
      </w:r>
      <w:r w:rsidR="008A35BE">
        <w:rPr>
          <w:rFonts w:ascii="ITC Avant Garde" w:hAnsi="ITC Avant Garde"/>
          <w:sz w:val="18"/>
          <w:szCs w:val="18"/>
          <w:lang w:val="es-ES_tradnl"/>
        </w:rPr>
        <w:t xml:space="preserve">Otro </w:t>
      </w:r>
      <w:r w:rsidR="007B38C2">
        <w:rPr>
          <w:rFonts w:ascii="ITC Avant Garde" w:hAnsi="ITC Avant Garde"/>
          <w:sz w:val="18"/>
          <w:szCs w:val="18"/>
          <w:lang w:val="es-ES_tradnl"/>
        </w:rPr>
        <w:t xml:space="preserve">participante </w:t>
      </w:r>
      <w:r w:rsidR="008A35BE">
        <w:rPr>
          <w:rFonts w:ascii="ITC Avant Garde" w:hAnsi="ITC Avant Garde"/>
          <w:sz w:val="18"/>
          <w:szCs w:val="18"/>
          <w:lang w:val="es-ES_tradnl"/>
        </w:rPr>
        <w:t xml:space="preserve">[CANIETI] </w:t>
      </w:r>
      <w:r w:rsidR="00D92ED7">
        <w:rPr>
          <w:rFonts w:ascii="ITC Avant Garde" w:hAnsi="ITC Avant Garde"/>
          <w:sz w:val="18"/>
          <w:szCs w:val="18"/>
          <w:lang w:val="es-ES_tradnl"/>
        </w:rPr>
        <w:t>también menciona la ausencia de coubicación en gabinetes</w:t>
      </w:r>
      <w:r w:rsidR="00675DBB">
        <w:rPr>
          <w:rFonts w:ascii="ITC Avant Garde" w:hAnsi="ITC Avant Garde"/>
          <w:sz w:val="18"/>
          <w:szCs w:val="18"/>
          <w:lang w:val="es-ES_tradnl"/>
        </w:rPr>
        <w:t>.</w:t>
      </w:r>
    </w:p>
    <w:p w14:paraId="342A79C0" w14:textId="5DF23F19" w:rsidR="00483FD1" w:rsidRDefault="00483FD1" w:rsidP="00483FD1">
      <w:pPr>
        <w:pStyle w:val="Listaconvietas"/>
        <w:numPr>
          <w:ilvl w:val="0"/>
          <w:numId w:val="0"/>
        </w:numPr>
        <w:rPr>
          <w:rFonts w:ascii="ITC Avant Garde" w:hAnsi="ITC Avant Garde"/>
          <w:sz w:val="18"/>
          <w:szCs w:val="18"/>
          <w:lang w:val="es-ES_tradnl"/>
        </w:rPr>
      </w:pPr>
      <w:r>
        <w:rPr>
          <w:rFonts w:ascii="ITC Avant Garde" w:hAnsi="ITC Avant Garde"/>
          <w:sz w:val="18"/>
          <w:szCs w:val="18"/>
          <w:lang w:val="es-ES_tradnl"/>
        </w:rPr>
        <w:t xml:space="preserve">Por otra parte, </w:t>
      </w:r>
      <w:r w:rsidR="000720C5">
        <w:rPr>
          <w:rFonts w:ascii="ITC Avant Garde" w:hAnsi="ITC Avant Garde"/>
          <w:sz w:val="18"/>
          <w:szCs w:val="18"/>
          <w:lang w:val="es-ES_tradnl"/>
        </w:rPr>
        <w:t>otro conjunto de participantes de dicha consulta</w:t>
      </w:r>
      <w:r>
        <w:rPr>
          <w:rFonts w:ascii="ITC Avant Garde" w:hAnsi="ITC Avant Garde"/>
          <w:sz w:val="18"/>
          <w:szCs w:val="18"/>
          <w:lang w:val="es-ES_tradnl"/>
        </w:rPr>
        <w:t xml:space="preserve"> [</w:t>
      </w:r>
      <w:r w:rsidRPr="00483FD1">
        <w:rPr>
          <w:rFonts w:ascii="ITC Avant Garde" w:hAnsi="ITC Avant Garde"/>
          <w:sz w:val="18"/>
          <w:szCs w:val="18"/>
          <w:lang w:val="es-ES_tradnl"/>
        </w:rPr>
        <w:t>Lester Garcia y Total Play</w:t>
      </w:r>
      <w:r>
        <w:rPr>
          <w:rFonts w:ascii="ITC Avant Garde" w:hAnsi="ITC Avant Garde"/>
          <w:sz w:val="18"/>
          <w:szCs w:val="18"/>
          <w:lang w:val="es-ES_tradnl"/>
        </w:rPr>
        <w:t xml:space="preserve">] consideran que se debe determinar la forma en la que se establecerá la demanda por parte del regulador, al ser ésta un dato de entrada al modelo. </w:t>
      </w:r>
      <w:r w:rsidR="006F2B19">
        <w:rPr>
          <w:rFonts w:ascii="ITC Avant Garde" w:hAnsi="ITC Avant Garde"/>
          <w:sz w:val="18"/>
          <w:szCs w:val="18"/>
          <w:lang w:val="es-ES_tradnl"/>
        </w:rPr>
        <w:t>En complemento, otro participante</w:t>
      </w:r>
      <w:r>
        <w:rPr>
          <w:rFonts w:ascii="ITC Avant Garde" w:hAnsi="ITC Avant Garde"/>
          <w:sz w:val="18"/>
          <w:szCs w:val="18"/>
          <w:lang w:val="es-ES_tradnl"/>
        </w:rPr>
        <w:t xml:space="preserve"> [</w:t>
      </w:r>
      <w:r w:rsidRPr="00483FD1">
        <w:rPr>
          <w:rFonts w:ascii="ITC Avant Garde" w:hAnsi="ITC Avant Garde"/>
          <w:sz w:val="18"/>
          <w:szCs w:val="18"/>
          <w:lang w:val="es-ES_tradnl"/>
        </w:rPr>
        <w:t>Total Play</w:t>
      </w:r>
      <w:r>
        <w:rPr>
          <w:rFonts w:ascii="ITC Avant Garde" w:hAnsi="ITC Avant Garde"/>
          <w:sz w:val="18"/>
          <w:szCs w:val="18"/>
          <w:lang w:val="es-ES_tradnl"/>
        </w:rPr>
        <w:t>] aconseja la solicitud de información a los CS respecto a sus intenciones para solicitar acceso, para de ese modo conocer la disminución de costos debida</w:t>
      </w:r>
      <w:r w:rsidR="00EC36CC">
        <w:rPr>
          <w:rFonts w:ascii="ITC Avant Garde" w:hAnsi="ITC Avant Garde"/>
          <w:sz w:val="18"/>
          <w:szCs w:val="18"/>
          <w:lang w:val="es-ES_tradnl"/>
        </w:rPr>
        <w:t xml:space="preserve"> a la compartición.</w:t>
      </w:r>
    </w:p>
    <w:p w14:paraId="223FD260" w14:textId="77777777" w:rsidR="00141720" w:rsidRDefault="00141720" w:rsidP="0058572F">
      <w:pPr>
        <w:pStyle w:val="Listaconvietas"/>
        <w:numPr>
          <w:ilvl w:val="0"/>
          <w:numId w:val="0"/>
        </w:numPr>
        <w:rPr>
          <w:rFonts w:ascii="ITC Avant Garde" w:hAnsi="ITC Avant Garde"/>
          <w:color w:val="548DD4" w:themeColor="text2" w:themeTint="99"/>
          <w:sz w:val="18"/>
          <w:szCs w:val="18"/>
          <w:lang w:val="es-ES"/>
        </w:rPr>
      </w:pPr>
      <w:r w:rsidRPr="00E45AEA">
        <w:rPr>
          <w:rFonts w:ascii="ITC Avant Garde" w:hAnsi="ITC Avant Garde"/>
          <w:i/>
          <w:sz w:val="18"/>
          <w:szCs w:val="18"/>
          <w:u w:val="single"/>
          <w:lang w:val="es-ES_tradnl"/>
        </w:rPr>
        <w:t>Respuesta del Instituto</w:t>
      </w:r>
      <w:r w:rsidRPr="00FF5525">
        <w:rPr>
          <w:rFonts w:ascii="ITC Avant Garde" w:hAnsi="ITC Avant Garde"/>
          <w:color w:val="548DD4" w:themeColor="text2" w:themeTint="99"/>
          <w:sz w:val="18"/>
          <w:szCs w:val="18"/>
          <w:lang w:val="es-ES"/>
        </w:rPr>
        <w:t xml:space="preserve"> </w:t>
      </w:r>
    </w:p>
    <w:p w14:paraId="08D0E6F5" w14:textId="06686412" w:rsidR="0059157B" w:rsidRDefault="0059157B" w:rsidP="0059157B">
      <w:pPr>
        <w:pStyle w:val="L1"/>
        <w:numPr>
          <w:ilvl w:val="0"/>
          <w:numId w:val="0"/>
        </w:numPr>
        <w:spacing w:after="240"/>
        <w:rPr>
          <w:rFonts w:ascii="ITC Avant Garde" w:hAnsi="ITC Avant Garde"/>
          <w:color w:val="000000" w:themeColor="text1"/>
          <w:sz w:val="18"/>
          <w:szCs w:val="18"/>
          <w:lang w:val="es-ES_tradnl"/>
        </w:rPr>
      </w:pPr>
      <w:r>
        <w:rPr>
          <w:rFonts w:ascii="ITC Avant Garde" w:hAnsi="ITC Avant Garde"/>
          <w:color w:val="000000" w:themeColor="text1"/>
          <w:sz w:val="18"/>
          <w:szCs w:val="18"/>
          <w:lang w:val="es-ES_tradnl"/>
        </w:rPr>
        <w:t>P</w:t>
      </w:r>
      <w:r w:rsidRPr="003E51A3">
        <w:rPr>
          <w:rFonts w:ascii="ITC Avant Garde" w:hAnsi="ITC Avant Garde"/>
          <w:color w:val="000000" w:themeColor="text1"/>
          <w:sz w:val="18"/>
          <w:szCs w:val="18"/>
          <w:lang w:val="es-ES_tradnl"/>
        </w:rPr>
        <w:t>or lo que hace</w:t>
      </w:r>
      <w:r>
        <w:rPr>
          <w:rFonts w:ascii="ITC Avant Garde" w:hAnsi="ITC Avant Garde"/>
          <w:color w:val="000000" w:themeColor="text1"/>
          <w:sz w:val="18"/>
          <w:szCs w:val="18"/>
          <w:lang w:val="es-ES_tradnl"/>
        </w:rPr>
        <w:t xml:space="preserve"> a los comentarios expresados por los participantes donde se menciona la necesidad de ampliar el alcance de los servicios considerados, en particular para ampliar el alcance del tipo de modalidades de coubicación modeladas, e</w:t>
      </w:r>
      <w:r w:rsidRPr="007224FA">
        <w:rPr>
          <w:rFonts w:ascii="ITC Avant Garde" w:hAnsi="ITC Avant Garde"/>
          <w:color w:val="000000" w:themeColor="text1"/>
          <w:sz w:val="18"/>
          <w:szCs w:val="18"/>
          <w:lang w:val="es-ES_tradnl"/>
        </w:rPr>
        <w:t xml:space="preserve">l Instituto señala que derivado de las opiniones y comentarios vertidos en la </w:t>
      </w:r>
      <w:r>
        <w:rPr>
          <w:rFonts w:ascii="ITC Avant Garde" w:hAnsi="ITC Avant Garde"/>
          <w:color w:val="000000" w:themeColor="text1"/>
          <w:sz w:val="18"/>
          <w:szCs w:val="18"/>
          <w:lang w:val="es-ES_tradnl"/>
        </w:rPr>
        <w:t xml:space="preserve">presente </w:t>
      </w:r>
      <w:r w:rsidRPr="007224FA">
        <w:rPr>
          <w:rFonts w:ascii="ITC Avant Garde" w:hAnsi="ITC Avant Garde"/>
          <w:color w:val="000000" w:themeColor="text1"/>
          <w:sz w:val="18"/>
          <w:szCs w:val="18"/>
          <w:lang w:val="es-ES_tradnl"/>
        </w:rPr>
        <w:t>consulta pública, así como resultado del análisis de información proporcionada por el AEP,</w:t>
      </w:r>
      <w:r>
        <w:rPr>
          <w:rFonts w:ascii="ITC Avant Garde" w:hAnsi="ITC Avant Garde"/>
          <w:color w:val="000000" w:themeColor="text1"/>
          <w:sz w:val="18"/>
          <w:szCs w:val="18"/>
          <w:lang w:val="es-ES_tradnl"/>
        </w:rPr>
        <w:t xml:space="preserve"> </w:t>
      </w:r>
      <w:r w:rsidRPr="007224FA">
        <w:rPr>
          <w:rFonts w:ascii="ITC Avant Garde" w:hAnsi="ITC Avant Garde"/>
          <w:color w:val="000000" w:themeColor="text1"/>
          <w:sz w:val="18"/>
          <w:szCs w:val="18"/>
          <w:lang w:val="es-ES_tradnl"/>
        </w:rPr>
        <w:t>se realizar</w:t>
      </w:r>
      <w:r w:rsidR="00616A09">
        <w:rPr>
          <w:rFonts w:ascii="ITC Avant Garde" w:hAnsi="ITC Avant Garde"/>
          <w:color w:val="000000" w:themeColor="text1"/>
          <w:sz w:val="18"/>
          <w:szCs w:val="18"/>
          <w:lang w:val="es-ES_tradnl"/>
        </w:rPr>
        <w:t>án</w:t>
      </w:r>
      <w:r w:rsidRPr="007224FA">
        <w:rPr>
          <w:rFonts w:ascii="ITC Avant Garde" w:hAnsi="ITC Avant Garde"/>
          <w:color w:val="000000" w:themeColor="text1"/>
          <w:sz w:val="18"/>
          <w:szCs w:val="18"/>
          <w:lang w:val="es-ES_tradnl"/>
        </w:rPr>
        <w:t xml:space="preserve"> </w:t>
      </w:r>
      <w:r w:rsidR="00616A09">
        <w:rPr>
          <w:rFonts w:ascii="ITC Avant Garde" w:hAnsi="ITC Avant Garde"/>
          <w:color w:val="000000" w:themeColor="text1"/>
          <w:sz w:val="18"/>
          <w:szCs w:val="18"/>
          <w:lang w:val="es-ES_tradnl"/>
        </w:rPr>
        <w:t>ajustes</w:t>
      </w:r>
      <w:r>
        <w:rPr>
          <w:rFonts w:ascii="ITC Avant Garde" w:hAnsi="ITC Avant Garde"/>
          <w:color w:val="000000" w:themeColor="text1"/>
          <w:sz w:val="18"/>
          <w:szCs w:val="18"/>
          <w:lang w:val="es-ES_tradnl"/>
        </w:rPr>
        <w:t xml:space="preserve"> </w:t>
      </w:r>
      <w:r w:rsidR="00616A09">
        <w:rPr>
          <w:rFonts w:ascii="ITC Avant Garde" w:hAnsi="ITC Avant Garde"/>
          <w:color w:val="000000" w:themeColor="text1"/>
          <w:sz w:val="18"/>
          <w:szCs w:val="18"/>
          <w:lang w:val="es-ES_tradnl"/>
        </w:rPr>
        <w:t xml:space="preserve">al </w:t>
      </w:r>
      <w:r w:rsidRPr="007224FA">
        <w:rPr>
          <w:rFonts w:ascii="ITC Avant Garde" w:hAnsi="ITC Avant Garde"/>
          <w:color w:val="000000" w:themeColor="text1"/>
          <w:sz w:val="18"/>
          <w:szCs w:val="18"/>
          <w:lang w:val="es-ES_tradnl"/>
        </w:rPr>
        <w:t>modelo</w:t>
      </w:r>
      <w:r>
        <w:rPr>
          <w:rFonts w:ascii="ITC Avant Garde" w:hAnsi="ITC Avant Garde"/>
          <w:color w:val="000000" w:themeColor="text1"/>
          <w:sz w:val="18"/>
          <w:szCs w:val="18"/>
          <w:lang w:val="es-ES_tradnl"/>
        </w:rPr>
        <w:t xml:space="preserve"> sometido a consulta para consolidar </w:t>
      </w:r>
      <w:r w:rsidR="00616A09">
        <w:rPr>
          <w:rFonts w:ascii="ITC Avant Garde" w:hAnsi="ITC Avant Garde"/>
          <w:color w:val="000000" w:themeColor="text1"/>
          <w:sz w:val="18"/>
          <w:szCs w:val="18"/>
          <w:lang w:val="es-ES_tradnl"/>
        </w:rPr>
        <w:t xml:space="preserve">su </w:t>
      </w:r>
      <w:r>
        <w:rPr>
          <w:rFonts w:ascii="ITC Avant Garde" w:hAnsi="ITC Avant Garde"/>
          <w:color w:val="000000" w:themeColor="text1"/>
          <w:sz w:val="18"/>
          <w:szCs w:val="18"/>
          <w:lang w:val="es-ES_tradnl"/>
        </w:rPr>
        <w:t>versi</w:t>
      </w:r>
      <w:r w:rsidR="00616A09">
        <w:rPr>
          <w:rFonts w:ascii="ITC Avant Garde" w:hAnsi="ITC Avant Garde"/>
          <w:color w:val="000000" w:themeColor="text1"/>
          <w:sz w:val="18"/>
          <w:szCs w:val="18"/>
          <w:lang w:val="es-ES_tradnl"/>
        </w:rPr>
        <w:t>ó</w:t>
      </w:r>
      <w:r w:rsidRPr="007224FA">
        <w:rPr>
          <w:rFonts w:ascii="ITC Avant Garde" w:hAnsi="ITC Avant Garde"/>
          <w:color w:val="000000" w:themeColor="text1"/>
          <w:sz w:val="18"/>
          <w:szCs w:val="18"/>
          <w:lang w:val="es-ES_tradnl"/>
        </w:rPr>
        <w:t xml:space="preserve">n final, </w:t>
      </w:r>
      <w:r>
        <w:rPr>
          <w:rFonts w:ascii="ITC Avant Garde" w:hAnsi="ITC Avant Garde"/>
          <w:color w:val="000000" w:themeColor="text1"/>
          <w:sz w:val="18"/>
          <w:szCs w:val="18"/>
          <w:lang w:val="es-ES_tradnl"/>
        </w:rPr>
        <w:t xml:space="preserve">ampliando los servicios modelados conforme a la especificación y alcance </w:t>
      </w:r>
      <w:r w:rsidR="00B92C75" w:rsidRPr="000D0DC4">
        <w:rPr>
          <w:rFonts w:ascii="ITC Avant Garde" w:hAnsi="ITC Avant Garde"/>
          <w:color w:val="000000" w:themeColor="text1"/>
          <w:sz w:val="18"/>
          <w:szCs w:val="18"/>
          <w:lang w:val="es-ES_tradnl"/>
        </w:rPr>
        <w:t xml:space="preserve">precise en la oferta de referencia correspondiente, a partir de lo establecido en las Medidas impuestas al AEP </w:t>
      </w:r>
      <w:r w:rsidR="00B92C75" w:rsidRPr="000D0DC4">
        <w:rPr>
          <w:rFonts w:ascii="ITC Avant Garde" w:hAnsi="ITC Avant Garde"/>
          <w:color w:val="000000" w:themeColor="text1"/>
          <w:sz w:val="18"/>
          <w:szCs w:val="18"/>
          <w:lang w:val="es-ES_tradnl"/>
        </w:rPr>
        <w:lastRenderedPageBreak/>
        <w:t>por el Instituto</w:t>
      </w:r>
      <w:r w:rsidRPr="009419D2">
        <w:rPr>
          <w:rFonts w:ascii="ITC Avant Garde" w:hAnsi="ITC Avant Garde"/>
          <w:color w:val="000000" w:themeColor="text1"/>
          <w:sz w:val="18"/>
          <w:szCs w:val="18"/>
          <w:lang w:val="es-ES_tradnl"/>
        </w:rPr>
        <w:t>.</w:t>
      </w:r>
      <w:r>
        <w:rPr>
          <w:rFonts w:ascii="ITC Avant Garde" w:hAnsi="ITC Avant Garde"/>
          <w:color w:val="000000" w:themeColor="text1"/>
          <w:sz w:val="18"/>
          <w:szCs w:val="18"/>
          <w:lang w:val="es-ES_tradnl"/>
        </w:rPr>
        <w:t xml:space="preserve"> </w:t>
      </w:r>
      <w:r w:rsidRPr="0059157B">
        <w:rPr>
          <w:rFonts w:ascii="ITC Avant Garde" w:hAnsi="ITC Avant Garde"/>
          <w:color w:val="000000" w:themeColor="text1"/>
          <w:sz w:val="18"/>
          <w:szCs w:val="18"/>
          <w:lang w:val="es-ES_tradnl"/>
        </w:rPr>
        <w:t>Al respecto, se precisa que las contraprestaciones aplicables resultan independientes del número de concesionarios que se coubican en una central en un caso concreto.</w:t>
      </w:r>
    </w:p>
    <w:p w14:paraId="4E7F5AA7" w14:textId="3DFAB310" w:rsidR="0059157B" w:rsidRPr="0059157B" w:rsidRDefault="0059157B" w:rsidP="0059157B">
      <w:pPr>
        <w:pStyle w:val="Listaconvietas"/>
        <w:numPr>
          <w:ilvl w:val="0"/>
          <w:numId w:val="0"/>
        </w:numPr>
        <w:rPr>
          <w:rFonts w:ascii="ITC Avant Garde" w:hAnsi="ITC Avant Garde"/>
          <w:color w:val="000000" w:themeColor="text1"/>
          <w:sz w:val="18"/>
          <w:szCs w:val="18"/>
          <w:lang w:val="es-ES_tradnl"/>
        </w:rPr>
      </w:pPr>
      <w:r w:rsidRPr="0059157B">
        <w:rPr>
          <w:rFonts w:ascii="ITC Avant Garde" w:hAnsi="ITC Avant Garde"/>
          <w:color w:val="000000" w:themeColor="text1"/>
          <w:sz w:val="18"/>
          <w:szCs w:val="18"/>
          <w:lang w:val="es-ES_tradnl"/>
        </w:rPr>
        <w:t>Por otra parte, la experiencia internacional muestra que la coubicación de más de 3 concesionarios en una misma central tiende a ocurrir en ocasiones</w:t>
      </w:r>
      <w:r w:rsidR="00ED53E5">
        <w:rPr>
          <w:rFonts w:ascii="ITC Avant Garde" w:hAnsi="ITC Avant Garde"/>
          <w:color w:val="000000" w:themeColor="text1"/>
          <w:sz w:val="18"/>
          <w:szCs w:val="18"/>
          <w:lang w:val="es-ES_tradnl"/>
        </w:rPr>
        <w:t xml:space="preserve"> </w:t>
      </w:r>
      <w:r w:rsidR="004819EE">
        <w:rPr>
          <w:rFonts w:ascii="ITC Avant Garde" w:hAnsi="ITC Avant Garde"/>
          <w:color w:val="000000" w:themeColor="text1"/>
          <w:sz w:val="18"/>
          <w:szCs w:val="18"/>
          <w:lang w:val="es-ES_tradnl"/>
        </w:rPr>
        <w:t xml:space="preserve">poco </w:t>
      </w:r>
      <w:r w:rsidR="00ED53E5">
        <w:rPr>
          <w:rFonts w:ascii="ITC Avant Garde" w:hAnsi="ITC Avant Garde"/>
          <w:color w:val="000000" w:themeColor="text1"/>
          <w:sz w:val="18"/>
          <w:szCs w:val="18"/>
          <w:lang w:val="es-ES_tradnl"/>
        </w:rPr>
        <w:t xml:space="preserve">frecuentes. </w:t>
      </w:r>
      <w:r w:rsidRPr="0059157B">
        <w:rPr>
          <w:rFonts w:ascii="ITC Avant Garde" w:hAnsi="ITC Avant Garde"/>
          <w:color w:val="000000" w:themeColor="text1"/>
          <w:sz w:val="18"/>
          <w:szCs w:val="18"/>
          <w:lang w:val="es-ES_tradnl"/>
        </w:rPr>
        <w:t xml:space="preserve">Adicionalmente, el análisis de la situación actual del mercado mexicano muestra que es </w:t>
      </w:r>
      <w:r>
        <w:rPr>
          <w:rFonts w:ascii="ITC Avant Garde" w:hAnsi="ITC Avant Garde"/>
          <w:color w:val="000000" w:themeColor="text1"/>
          <w:sz w:val="18"/>
          <w:szCs w:val="18"/>
          <w:lang w:val="es-ES_tradnl"/>
        </w:rPr>
        <w:t xml:space="preserve">poco </w:t>
      </w:r>
      <w:r w:rsidRPr="0059157B">
        <w:rPr>
          <w:rFonts w:ascii="ITC Avant Garde" w:hAnsi="ITC Avant Garde"/>
          <w:color w:val="000000" w:themeColor="text1"/>
          <w:sz w:val="18"/>
          <w:szCs w:val="18"/>
          <w:lang w:val="es-ES_tradnl"/>
        </w:rPr>
        <w:t>probable la coubicación de más de 3 CS en una misma central</w:t>
      </w:r>
      <w:r w:rsidR="00E71FF5">
        <w:rPr>
          <w:rFonts w:ascii="ITC Avant Garde" w:hAnsi="ITC Avant Garde"/>
          <w:color w:val="000000" w:themeColor="text1"/>
          <w:sz w:val="18"/>
          <w:szCs w:val="18"/>
          <w:lang w:val="es-ES_tradnl"/>
        </w:rPr>
        <w:t xml:space="preserve"> debido principalmente a los siguiente</w:t>
      </w:r>
      <w:r w:rsidRPr="0059157B">
        <w:rPr>
          <w:rFonts w:ascii="ITC Avant Garde" w:hAnsi="ITC Avant Garde"/>
          <w:color w:val="000000" w:themeColor="text1"/>
          <w:sz w:val="18"/>
          <w:szCs w:val="18"/>
          <w:lang w:val="es-ES_tradnl"/>
        </w:rPr>
        <w:t xml:space="preserve">: a) el número de CS de alcance nacional es limitado, b) el número de CS de alcance regional es importante, pero </w:t>
      </w:r>
      <w:r w:rsidR="001350EE">
        <w:rPr>
          <w:rFonts w:ascii="ITC Avant Garde" w:hAnsi="ITC Avant Garde"/>
          <w:color w:val="000000" w:themeColor="text1"/>
          <w:sz w:val="18"/>
          <w:szCs w:val="18"/>
          <w:lang w:val="es-ES_tradnl"/>
        </w:rPr>
        <w:t>las zonas comunes de cobertura, es decir cubiertas por ambas</w:t>
      </w:r>
      <w:r w:rsidRPr="0059157B">
        <w:rPr>
          <w:rFonts w:ascii="ITC Avant Garde" w:hAnsi="ITC Avant Garde"/>
          <w:color w:val="000000" w:themeColor="text1"/>
          <w:sz w:val="18"/>
          <w:szCs w:val="18"/>
          <w:lang w:val="es-ES_tradnl"/>
        </w:rPr>
        <w:t xml:space="preserve"> sus redes</w:t>
      </w:r>
      <w:r w:rsidR="001350EE">
        <w:rPr>
          <w:rFonts w:ascii="ITC Avant Garde" w:hAnsi="ITC Avant Garde"/>
          <w:color w:val="000000" w:themeColor="text1"/>
          <w:sz w:val="18"/>
          <w:szCs w:val="18"/>
          <w:lang w:val="es-ES_tradnl"/>
        </w:rPr>
        <w:t>,</w:t>
      </w:r>
      <w:r w:rsidRPr="0059157B">
        <w:rPr>
          <w:rFonts w:ascii="ITC Avant Garde" w:hAnsi="ITC Avant Garde"/>
          <w:color w:val="000000" w:themeColor="text1"/>
          <w:sz w:val="18"/>
          <w:szCs w:val="18"/>
          <w:lang w:val="es-ES_tradnl"/>
        </w:rPr>
        <w:t xml:space="preserve"> s</w:t>
      </w:r>
      <w:r w:rsidR="001350EE">
        <w:rPr>
          <w:rFonts w:ascii="ITC Avant Garde" w:hAnsi="ITC Avant Garde"/>
          <w:color w:val="000000" w:themeColor="text1"/>
          <w:sz w:val="18"/>
          <w:szCs w:val="18"/>
          <w:lang w:val="es-ES_tradnl"/>
        </w:rPr>
        <w:t>on</w:t>
      </w:r>
      <w:r w:rsidRPr="0059157B">
        <w:rPr>
          <w:rFonts w:ascii="ITC Avant Garde" w:hAnsi="ITC Avant Garde"/>
          <w:color w:val="000000" w:themeColor="text1"/>
          <w:sz w:val="18"/>
          <w:szCs w:val="18"/>
          <w:lang w:val="es-ES_tradnl"/>
        </w:rPr>
        <w:t xml:space="preserve"> limitad</w:t>
      </w:r>
      <w:r w:rsidR="001350EE">
        <w:rPr>
          <w:rFonts w:ascii="ITC Avant Garde" w:hAnsi="ITC Avant Garde"/>
          <w:color w:val="000000" w:themeColor="text1"/>
          <w:sz w:val="18"/>
          <w:szCs w:val="18"/>
          <w:lang w:val="es-ES_tradnl"/>
        </w:rPr>
        <w:t>as</w:t>
      </w:r>
      <w:r w:rsidRPr="0059157B">
        <w:rPr>
          <w:rFonts w:ascii="ITC Avant Garde" w:hAnsi="ITC Avant Garde"/>
          <w:color w:val="000000" w:themeColor="text1"/>
          <w:sz w:val="18"/>
          <w:szCs w:val="18"/>
          <w:lang w:val="es-ES_tradnl"/>
        </w:rPr>
        <w:t>, y c) los operadores han desplegado ya su propia red en las regiones más rentables</w:t>
      </w:r>
      <w:r>
        <w:rPr>
          <w:rFonts w:ascii="ITC Avant Garde" w:hAnsi="ITC Avant Garde"/>
          <w:color w:val="000000" w:themeColor="text1"/>
          <w:sz w:val="18"/>
          <w:szCs w:val="18"/>
          <w:lang w:val="es-ES_tradnl"/>
        </w:rPr>
        <w:t>.</w:t>
      </w:r>
      <w:r w:rsidR="00ED53E5" w:rsidRPr="00ED53E5">
        <w:rPr>
          <w:rFonts w:ascii="ITC Avant Garde" w:hAnsi="ITC Avant Garde"/>
          <w:color w:val="000000" w:themeColor="text1"/>
          <w:sz w:val="18"/>
          <w:szCs w:val="18"/>
          <w:lang w:val="es-ES_tradnl"/>
        </w:rPr>
        <w:t xml:space="preserve"> </w:t>
      </w:r>
      <w:r w:rsidR="00ED53E5">
        <w:rPr>
          <w:rFonts w:ascii="ITC Avant Garde" w:hAnsi="ITC Avant Garde"/>
          <w:color w:val="000000" w:themeColor="text1"/>
          <w:sz w:val="18"/>
          <w:szCs w:val="18"/>
          <w:lang w:val="es-ES_tradnl"/>
        </w:rPr>
        <w:t>Por todo lo anterior, el Instituto considera adecuado</w:t>
      </w:r>
      <w:r w:rsidR="00ED53E5" w:rsidRPr="0059157B">
        <w:rPr>
          <w:rFonts w:ascii="ITC Avant Garde" w:hAnsi="ITC Avant Garde"/>
          <w:color w:val="000000" w:themeColor="text1"/>
          <w:sz w:val="18"/>
          <w:szCs w:val="18"/>
          <w:lang w:val="es-ES_tradnl"/>
        </w:rPr>
        <w:t xml:space="preserve"> fijar el máximo permitido del modelo de 3 CS por central.</w:t>
      </w:r>
    </w:p>
    <w:p w14:paraId="342A79CC" w14:textId="2BAB91A8" w:rsidR="00FF7427" w:rsidRDefault="00FC60FA" w:rsidP="00FF7427">
      <w:pPr>
        <w:pStyle w:val="Listaconvietas"/>
        <w:numPr>
          <w:ilvl w:val="0"/>
          <w:numId w:val="0"/>
        </w:numPr>
        <w:rPr>
          <w:rFonts w:ascii="ITC Avant Garde" w:hAnsi="ITC Avant Garde"/>
          <w:color w:val="548DD4" w:themeColor="text2" w:themeTint="99"/>
          <w:sz w:val="18"/>
          <w:szCs w:val="18"/>
          <w:lang w:val="es-ES"/>
        </w:rPr>
      </w:pPr>
      <w:r w:rsidRPr="00B55F7A">
        <w:rPr>
          <w:rFonts w:ascii="ITC Avant Garde" w:hAnsi="ITC Avant Garde"/>
          <w:color w:val="000000" w:themeColor="text1"/>
          <w:sz w:val="18"/>
          <w:szCs w:val="18"/>
          <w:lang w:val="es-ES_tradnl"/>
        </w:rPr>
        <w:t>Finalmente, en torno a la demanda a emplearse en el modelo</w:t>
      </w:r>
      <w:r w:rsidR="00D22E6F">
        <w:rPr>
          <w:rFonts w:ascii="ITC Avant Garde" w:hAnsi="ITC Avant Garde"/>
          <w:color w:val="000000" w:themeColor="text1"/>
          <w:sz w:val="18"/>
          <w:szCs w:val="18"/>
          <w:lang w:val="es-ES_tradnl"/>
        </w:rPr>
        <w:t>,</w:t>
      </w:r>
      <w:r w:rsidRPr="00B55F7A">
        <w:rPr>
          <w:rFonts w:ascii="ITC Avant Garde" w:hAnsi="ITC Avant Garde"/>
          <w:color w:val="000000" w:themeColor="text1"/>
          <w:sz w:val="18"/>
          <w:szCs w:val="18"/>
          <w:lang w:val="es-ES_tradnl"/>
        </w:rPr>
        <w:t xml:space="preserve"> el Instituto señala que esta se encuentra asociada a la especificación y alcance de los servicios de coubicación</w:t>
      </w:r>
      <w:r w:rsidR="00D22E6F">
        <w:rPr>
          <w:rFonts w:ascii="ITC Avant Garde" w:hAnsi="ITC Avant Garde"/>
          <w:color w:val="000000" w:themeColor="text1"/>
          <w:sz w:val="18"/>
          <w:szCs w:val="18"/>
          <w:lang w:val="es-ES_tradnl"/>
        </w:rPr>
        <w:t xml:space="preserve">, especificadas en la oferta de referencia correspondiente, </w:t>
      </w:r>
      <w:r w:rsidRPr="00B55F7A">
        <w:rPr>
          <w:rFonts w:ascii="ITC Avant Garde" w:hAnsi="ITC Avant Garde"/>
          <w:color w:val="000000" w:themeColor="text1"/>
          <w:sz w:val="18"/>
          <w:szCs w:val="18"/>
          <w:lang w:val="es-ES_tradnl"/>
        </w:rPr>
        <w:t>y que en este sentido debe</w:t>
      </w:r>
      <w:r w:rsidR="00B55F7A">
        <w:rPr>
          <w:rFonts w:ascii="ITC Avant Garde" w:hAnsi="ITC Avant Garde"/>
          <w:color w:val="000000" w:themeColor="text1"/>
          <w:sz w:val="18"/>
          <w:szCs w:val="18"/>
          <w:lang w:val="es-ES_tradnl"/>
        </w:rPr>
        <w:t xml:space="preserve"> determinarse empleando la mejor información disponible sobre la ocupación en las centrales, a efecto de la demanda estimada sea representativa de la demanda real.</w:t>
      </w:r>
    </w:p>
    <w:p w14:paraId="342A79CD" w14:textId="77777777" w:rsidR="009803EB" w:rsidRPr="00A918A4" w:rsidRDefault="009803EB" w:rsidP="009803EB">
      <w:pPr>
        <w:pStyle w:val="Ttulo3"/>
        <w:spacing w:after="160"/>
        <w:rPr>
          <w:rFonts w:ascii="ITC Avant Garde" w:hAnsi="ITC Avant Garde"/>
          <w:sz w:val="18"/>
          <w:szCs w:val="18"/>
          <w:lang w:val="es-ES_tradnl"/>
        </w:rPr>
      </w:pPr>
      <w:r w:rsidRPr="00A918A4">
        <w:rPr>
          <w:rFonts w:ascii="ITC Avant Garde" w:hAnsi="ITC Avant Garde"/>
          <w:sz w:val="18"/>
          <w:szCs w:val="18"/>
          <w:lang w:val="es-ES_tradnl"/>
        </w:rPr>
        <w:t>Despliegue</w:t>
      </w:r>
    </w:p>
    <w:p w14:paraId="342A79CE" w14:textId="77777777" w:rsidR="0093118C" w:rsidRDefault="0093118C" w:rsidP="009803EB">
      <w:pPr>
        <w:rPr>
          <w:rFonts w:ascii="ITC Avant Garde" w:hAnsi="ITC Avant Garde"/>
          <w:b/>
          <w:sz w:val="18"/>
          <w:szCs w:val="18"/>
          <w:lang w:val="es-ES_tradnl"/>
        </w:rPr>
      </w:pPr>
      <w:r w:rsidRPr="0093118C">
        <w:rPr>
          <w:rFonts w:ascii="ITC Avant Garde" w:hAnsi="ITC Avant Garde"/>
          <w:b/>
          <w:sz w:val="18"/>
          <w:szCs w:val="18"/>
          <w:lang w:val="es-ES_tradnl"/>
        </w:rPr>
        <w:t>Q.</w:t>
      </w:r>
      <w:r w:rsidRPr="0093118C">
        <w:rPr>
          <w:rFonts w:ascii="ITC Avant Garde" w:hAnsi="ITC Avant Garde"/>
          <w:b/>
          <w:sz w:val="18"/>
          <w:szCs w:val="18"/>
          <w:lang w:val="es-ES_tradnl"/>
        </w:rPr>
        <w:fldChar w:fldCharType="begin"/>
      </w:r>
      <w:r w:rsidRPr="0093118C">
        <w:rPr>
          <w:rFonts w:ascii="ITC Avant Garde" w:hAnsi="ITC Avant Garde"/>
          <w:b/>
          <w:sz w:val="18"/>
          <w:szCs w:val="18"/>
          <w:lang w:val="es-ES_tradnl"/>
        </w:rPr>
        <w:instrText xml:space="preserve"> SEQ Recommendation \* ARABIC \s 0 </w:instrText>
      </w:r>
      <w:r w:rsidRPr="0093118C">
        <w:rPr>
          <w:rFonts w:ascii="ITC Avant Garde" w:hAnsi="ITC Avant Garde"/>
          <w:b/>
          <w:sz w:val="18"/>
          <w:szCs w:val="18"/>
          <w:lang w:val="es-ES_tradnl"/>
        </w:rPr>
        <w:fldChar w:fldCharType="separate"/>
      </w:r>
      <w:r w:rsidRPr="0093118C">
        <w:rPr>
          <w:rFonts w:ascii="ITC Avant Garde" w:hAnsi="ITC Avant Garde"/>
          <w:b/>
          <w:sz w:val="18"/>
          <w:szCs w:val="18"/>
          <w:lang w:val="es-ES_tradnl"/>
        </w:rPr>
        <w:t>3</w:t>
      </w:r>
      <w:r w:rsidRPr="0093118C">
        <w:rPr>
          <w:rFonts w:ascii="ITC Avant Garde" w:hAnsi="ITC Avant Garde"/>
          <w:b/>
          <w:sz w:val="18"/>
          <w:szCs w:val="18"/>
          <w:lang w:val="es-ES_tradnl"/>
        </w:rPr>
        <w:fldChar w:fldCharType="end"/>
      </w:r>
      <w:r w:rsidRPr="0093118C">
        <w:rPr>
          <w:rFonts w:ascii="ITC Avant Garde" w:hAnsi="ITC Avant Garde"/>
          <w:b/>
          <w:sz w:val="18"/>
          <w:szCs w:val="18"/>
          <w:lang w:val="es-ES_tradnl"/>
        </w:rPr>
        <w:t>: ¿Tiene comentarios respecto a la metodología de despliegue implementada en el modelo?</w:t>
      </w:r>
    </w:p>
    <w:p w14:paraId="15327FE6" w14:textId="5AFFD87E" w:rsidR="003D63B0" w:rsidRDefault="003D63B0" w:rsidP="00483FD1">
      <w:pPr>
        <w:rPr>
          <w:rFonts w:ascii="ITC Avant Garde" w:hAnsi="ITC Avant Garde"/>
          <w:sz w:val="18"/>
          <w:szCs w:val="18"/>
          <w:lang w:val="es-ES_tradnl"/>
        </w:rPr>
      </w:pPr>
      <w:r w:rsidRPr="007F6C1D">
        <w:rPr>
          <w:rFonts w:ascii="ITC Avant Garde" w:hAnsi="ITC Avant Garde"/>
          <w:i/>
          <w:sz w:val="18"/>
          <w:szCs w:val="18"/>
          <w:u w:val="single"/>
          <w:lang w:val="es-ES_tradnl"/>
        </w:rPr>
        <w:t>Resumen de comentarios de la Consulta Pública</w:t>
      </w:r>
    </w:p>
    <w:p w14:paraId="342A79CF" w14:textId="1B3B2B71" w:rsidR="00483FD1" w:rsidRDefault="00A34EA8" w:rsidP="00483FD1">
      <w:pPr>
        <w:rPr>
          <w:rFonts w:ascii="ITC Avant Garde" w:hAnsi="ITC Avant Garde"/>
          <w:sz w:val="18"/>
          <w:szCs w:val="18"/>
          <w:lang w:val="es-ES_tradnl"/>
        </w:rPr>
      </w:pPr>
      <w:r>
        <w:rPr>
          <w:rFonts w:ascii="ITC Avant Garde" w:hAnsi="ITC Avant Garde"/>
          <w:sz w:val="18"/>
          <w:szCs w:val="18"/>
          <w:lang w:val="es-ES_tradnl"/>
        </w:rPr>
        <w:t>Al respecto, uno de los participantes de la consulta pública</w:t>
      </w:r>
      <w:r w:rsidR="00483FD1" w:rsidRPr="00483FD1">
        <w:rPr>
          <w:rFonts w:ascii="ITC Avant Garde" w:hAnsi="ITC Avant Garde"/>
          <w:sz w:val="18"/>
          <w:szCs w:val="18"/>
          <w:lang w:val="es-ES_tradnl"/>
        </w:rPr>
        <w:t xml:space="preserve"> [Lester García]</w:t>
      </w:r>
      <w:r w:rsidR="00483FD1">
        <w:rPr>
          <w:rFonts w:ascii="ITC Avant Garde" w:hAnsi="ITC Avant Garde"/>
          <w:sz w:val="18"/>
          <w:szCs w:val="18"/>
          <w:lang w:val="es-ES_tradnl"/>
        </w:rPr>
        <w:t xml:space="preserve"> considera que el supuesto es adecuado para simplificar el análisis. </w:t>
      </w:r>
      <w:r>
        <w:rPr>
          <w:rFonts w:ascii="ITC Avant Garde" w:hAnsi="ITC Avant Garde"/>
          <w:sz w:val="18"/>
          <w:szCs w:val="18"/>
          <w:lang w:val="es-ES_tradnl"/>
        </w:rPr>
        <w:t>En complemento, otro de los participantes</w:t>
      </w:r>
      <w:r w:rsidR="00483FD1" w:rsidRPr="00483FD1">
        <w:rPr>
          <w:rFonts w:ascii="ITC Avant Garde" w:hAnsi="ITC Avant Garde"/>
          <w:sz w:val="18"/>
          <w:szCs w:val="18"/>
          <w:lang w:val="es-ES_tradnl"/>
        </w:rPr>
        <w:t xml:space="preserve"> [Axtel] solicita</w:t>
      </w:r>
      <w:r w:rsidR="00483FD1">
        <w:rPr>
          <w:rFonts w:ascii="ITC Avant Garde" w:hAnsi="ITC Avant Garde"/>
          <w:sz w:val="18"/>
          <w:szCs w:val="18"/>
          <w:lang w:val="es-ES_tradnl"/>
        </w:rPr>
        <w:t xml:space="preserve"> también la posibilidad por parte de los CS de pagar el monto proporcional al periodo utilizado, cuando utilicen la infraestructura por periodos menores a una anualidad. </w:t>
      </w:r>
    </w:p>
    <w:p w14:paraId="342A79D0" w14:textId="3F9F10E4" w:rsidR="00483FD1" w:rsidRDefault="00E211F1" w:rsidP="00483FD1">
      <w:pPr>
        <w:rPr>
          <w:rFonts w:ascii="ITC Avant Garde" w:hAnsi="ITC Avant Garde"/>
          <w:sz w:val="18"/>
          <w:szCs w:val="18"/>
          <w:lang w:val="es-ES_tradnl"/>
        </w:rPr>
      </w:pPr>
      <w:r>
        <w:rPr>
          <w:rFonts w:ascii="ITC Avant Garde" w:hAnsi="ITC Avant Garde"/>
          <w:sz w:val="18"/>
          <w:szCs w:val="18"/>
          <w:lang w:val="es-ES_tradnl"/>
        </w:rPr>
        <w:t>Asimismo, otro de los participantes</w:t>
      </w:r>
      <w:r w:rsidR="006768BC">
        <w:rPr>
          <w:rFonts w:ascii="ITC Avant Garde" w:hAnsi="ITC Avant Garde"/>
          <w:sz w:val="18"/>
          <w:szCs w:val="18"/>
          <w:lang w:val="es-ES_tradnl"/>
        </w:rPr>
        <w:t xml:space="preserve"> [Total Play] </w:t>
      </w:r>
      <w:r>
        <w:rPr>
          <w:rFonts w:ascii="ITC Avant Garde" w:hAnsi="ITC Avant Garde"/>
          <w:sz w:val="18"/>
          <w:szCs w:val="18"/>
          <w:lang w:val="es-ES_tradnl"/>
        </w:rPr>
        <w:t>expresa</w:t>
      </w:r>
      <w:r w:rsidR="006768BC">
        <w:rPr>
          <w:rFonts w:ascii="ITC Avant Garde" w:hAnsi="ITC Avant Garde"/>
          <w:sz w:val="18"/>
          <w:szCs w:val="18"/>
          <w:lang w:val="es-ES_tradnl"/>
        </w:rPr>
        <w:t xml:space="preserve"> que</w:t>
      </w:r>
      <w:r>
        <w:rPr>
          <w:rFonts w:ascii="ITC Avant Garde" w:hAnsi="ITC Avant Garde"/>
          <w:sz w:val="18"/>
          <w:szCs w:val="18"/>
          <w:lang w:val="es-ES_tradnl"/>
        </w:rPr>
        <w:t>,</w:t>
      </w:r>
      <w:r w:rsidR="006768BC">
        <w:rPr>
          <w:rFonts w:ascii="ITC Avant Garde" w:hAnsi="ITC Avant Garde"/>
          <w:sz w:val="18"/>
          <w:szCs w:val="18"/>
          <w:lang w:val="es-ES_tradnl"/>
        </w:rPr>
        <w:t xml:space="preserve"> en razón de que </w:t>
      </w:r>
      <w:r w:rsidR="006054BB">
        <w:rPr>
          <w:rFonts w:ascii="ITC Avant Garde" w:hAnsi="ITC Avant Garde"/>
          <w:sz w:val="18"/>
          <w:szCs w:val="18"/>
          <w:lang w:val="es-ES_tradnl"/>
        </w:rPr>
        <w:t xml:space="preserve">la inversión inicial de un CS al coubicarse en un emplazamiento </w:t>
      </w:r>
      <w:r>
        <w:rPr>
          <w:rFonts w:ascii="ITC Avant Garde" w:hAnsi="ITC Avant Garde"/>
          <w:sz w:val="18"/>
          <w:szCs w:val="18"/>
          <w:lang w:val="es-ES_tradnl"/>
        </w:rPr>
        <w:t>es</w:t>
      </w:r>
      <w:r w:rsidR="006054BB">
        <w:rPr>
          <w:rFonts w:ascii="ITC Avant Garde" w:hAnsi="ITC Avant Garde"/>
          <w:sz w:val="18"/>
          <w:szCs w:val="18"/>
          <w:lang w:val="es-ES_tradnl"/>
        </w:rPr>
        <w:t xml:space="preserve"> una inversión a largo plazo, la demanda considerada en el modelo no debería ser considerada a corto plazo. </w:t>
      </w:r>
    </w:p>
    <w:p w14:paraId="342A79D1" w14:textId="2E2E8FA1" w:rsidR="006054BB" w:rsidRDefault="006054BB" w:rsidP="00483FD1">
      <w:pPr>
        <w:rPr>
          <w:rFonts w:ascii="ITC Avant Garde" w:hAnsi="ITC Avant Garde"/>
          <w:sz w:val="18"/>
          <w:szCs w:val="18"/>
          <w:lang w:val="es-ES_tradnl"/>
        </w:rPr>
      </w:pPr>
      <w:r>
        <w:rPr>
          <w:rFonts w:ascii="ITC Avant Garde" w:hAnsi="ITC Avant Garde"/>
          <w:sz w:val="18"/>
          <w:szCs w:val="18"/>
          <w:lang w:val="es-ES_tradnl"/>
        </w:rPr>
        <w:t xml:space="preserve">Finalmente, </w:t>
      </w:r>
      <w:r w:rsidR="006768BC">
        <w:rPr>
          <w:rFonts w:ascii="ITC Avant Garde" w:hAnsi="ITC Avant Garde"/>
          <w:sz w:val="18"/>
          <w:szCs w:val="18"/>
          <w:lang w:val="es-ES_tradnl"/>
        </w:rPr>
        <w:t>uno de los participantes</w:t>
      </w:r>
      <w:r>
        <w:rPr>
          <w:rFonts w:ascii="ITC Avant Garde" w:hAnsi="ITC Avant Garde"/>
          <w:sz w:val="18"/>
          <w:szCs w:val="18"/>
          <w:lang w:val="es-ES_tradnl"/>
        </w:rPr>
        <w:t xml:space="preserve"> [Telefónica] </w:t>
      </w:r>
      <w:r w:rsidR="006768BC">
        <w:rPr>
          <w:rFonts w:ascii="ITC Avant Garde" w:hAnsi="ITC Avant Garde"/>
          <w:sz w:val="18"/>
          <w:szCs w:val="18"/>
          <w:lang w:val="es-ES_tradnl"/>
        </w:rPr>
        <w:t>considera</w:t>
      </w:r>
      <w:r>
        <w:rPr>
          <w:rFonts w:ascii="ITC Avant Garde" w:hAnsi="ITC Avant Garde"/>
          <w:sz w:val="18"/>
          <w:szCs w:val="18"/>
          <w:lang w:val="es-ES_tradnl"/>
        </w:rPr>
        <w:t xml:space="preserve"> que debería tomarse en cuenta la deprec</w:t>
      </w:r>
      <w:r w:rsidR="006768BC">
        <w:rPr>
          <w:rFonts w:ascii="ITC Avant Garde" w:hAnsi="ITC Avant Garde"/>
          <w:sz w:val="18"/>
          <w:szCs w:val="18"/>
          <w:lang w:val="es-ES_tradnl"/>
        </w:rPr>
        <w:t>iación de los activos de Telmex en las estimaciones del presente modelo.</w:t>
      </w:r>
    </w:p>
    <w:p w14:paraId="326770F3" w14:textId="77777777" w:rsidR="00141720" w:rsidRDefault="00141720" w:rsidP="00EC36CC">
      <w:pPr>
        <w:pStyle w:val="Listaconvietas"/>
        <w:numPr>
          <w:ilvl w:val="0"/>
          <w:numId w:val="0"/>
        </w:numPr>
        <w:rPr>
          <w:rFonts w:ascii="ITC Avant Garde" w:eastAsiaTheme="majorEastAsia" w:hAnsi="ITC Avant Garde" w:cstheme="majorBidi"/>
          <w:bCs/>
          <w:color w:val="76923C" w:themeColor="accent3" w:themeShade="BF"/>
          <w:sz w:val="18"/>
          <w:szCs w:val="18"/>
          <w:lang w:val="es-ES_tradnl"/>
        </w:rPr>
      </w:pPr>
      <w:r w:rsidRPr="00E45AEA">
        <w:rPr>
          <w:rFonts w:ascii="ITC Avant Garde" w:hAnsi="ITC Avant Garde"/>
          <w:i/>
          <w:sz w:val="18"/>
          <w:szCs w:val="18"/>
          <w:u w:val="single"/>
          <w:lang w:val="es-ES_tradnl"/>
        </w:rPr>
        <w:t>Respuesta del Instituto</w:t>
      </w:r>
      <w:r w:rsidRPr="00BA70D0" w:rsidDel="004751F3">
        <w:rPr>
          <w:rFonts w:ascii="ITC Avant Garde" w:eastAsiaTheme="majorEastAsia" w:hAnsi="ITC Avant Garde" w:cstheme="majorBidi"/>
          <w:bCs/>
          <w:color w:val="76923C" w:themeColor="accent3" w:themeShade="BF"/>
          <w:sz w:val="18"/>
          <w:szCs w:val="18"/>
          <w:lang w:val="es-ES_tradnl"/>
        </w:rPr>
        <w:t xml:space="preserve"> </w:t>
      </w:r>
    </w:p>
    <w:p w14:paraId="44F9469A" w14:textId="3E6AF1C8" w:rsidR="00F56F6A" w:rsidRDefault="00F56F6A" w:rsidP="00EC36CC">
      <w:pPr>
        <w:pStyle w:val="Listaconvietas"/>
        <w:numPr>
          <w:ilvl w:val="0"/>
          <w:numId w:val="0"/>
        </w:numPr>
        <w:rPr>
          <w:rFonts w:ascii="ITC Avant Garde" w:hAnsi="ITC Avant Garde"/>
          <w:color w:val="000000" w:themeColor="text1"/>
          <w:sz w:val="18"/>
          <w:szCs w:val="18"/>
          <w:lang w:val="es-ES_tradnl"/>
        </w:rPr>
      </w:pPr>
      <w:r w:rsidRPr="00E211F1">
        <w:rPr>
          <w:rFonts w:ascii="ITC Avant Garde" w:hAnsi="ITC Avant Garde"/>
          <w:color w:val="000000" w:themeColor="text1"/>
          <w:sz w:val="18"/>
          <w:szCs w:val="18"/>
          <w:lang w:val="es-ES_tradnl"/>
        </w:rPr>
        <w:t xml:space="preserve">Al respecto de los comentarios sobre el esquema de cobro aplicable a las modalidades de coubicación, el </w:t>
      </w:r>
      <w:r>
        <w:rPr>
          <w:rFonts w:ascii="ITC Avant Garde" w:hAnsi="ITC Avant Garde"/>
          <w:color w:val="000000" w:themeColor="text1"/>
          <w:sz w:val="18"/>
          <w:szCs w:val="18"/>
          <w:lang w:val="es-ES_tradnl"/>
        </w:rPr>
        <w:t xml:space="preserve">Instituto reitera que la especificación y alcance de los niveles tarifarios de estos servicios </w:t>
      </w:r>
      <w:r w:rsidR="003E2C55">
        <w:rPr>
          <w:rFonts w:ascii="ITC Avant Garde" w:hAnsi="ITC Avant Garde"/>
          <w:color w:val="000000" w:themeColor="text1"/>
          <w:sz w:val="18"/>
          <w:szCs w:val="18"/>
          <w:lang w:val="es-ES_tradnl"/>
        </w:rPr>
        <w:t>se precisarán en la oferta de referencia correspondiente</w:t>
      </w:r>
      <w:r w:rsidR="00F31BE5">
        <w:rPr>
          <w:rFonts w:ascii="ITC Avant Garde" w:hAnsi="ITC Avant Garde"/>
          <w:color w:val="000000" w:themeColor="text1"/>
          <w:sz w:val="18"/>
          <w:szCs w:val="18"/>
          <w:lang w:val="es-ES_tradnl"/>
        </w:rPr>
        <w:t>,</w:t>
      </w:r>
      <w:r w:rsidR="00F31BE5" w:rsidRPr="00F31BE5">
        <w:rPr>
          <w:rFonts w:ascii="ITC Avant Garde" w:hAnsi="ITC Avant Garde"/>
          <w:color w:val="000000" w:themeColor="text1"/>
          <w:sz w:val="18"/>
          <w:szCs w:val="18"/>
          <w:lang w:val="es-ES_tradnl"/>
        </w:rPr>
        <w:t xml:space="preserve"> </w:t>
      </w:r>
      <w:r w:rsidR="00F31BE5" w:rsidRPr="000D0DC4">
        <w:rPr>
          <w:rFonts w:ascii="ITC Avant Garde" w:hAnsi="ITC Avant Garde"/>
          <w:color w:val="000000" w:themeColor="text1"/>
          <w:sz w:val="18"/>
          <w:szCs w:val="18"/>
          <w:lang w:val="es-ES_tradnl"/>
        </w:rPr>
        <w:t>a partir de lo establecido en las Medidas impuestas al AEP por el Instituto</w:t>
      </w:r>
      <w:r>
        <w:rPr>
          <w:rFonts w:ascii="ITC Avant Garde" w:hAnsi="ITC Avant Garde"/>
          <w:color w:val="000000" w:themeColor="text1"/>
          <w:sz w:val="18"/>
          <w:szCs w:val="18"/>
          <w:lang w:val="es-ES_tradnl"/>
        </w:rPr>
        <w:t>.</w:t>
      </w:r>
    </w:p>
    <w:p w14:paraId="342A79D4" w14:textId="728C0CD9" w:rsidR="00A66CCE" w:rsidRPr="00E211F1" w:rsidRDefault="00F56F6A" w:rsidP="00EC36CC">
      <w:pPr>
        <w:pStyle w:val="Listaconvietas"/>
        <w:numPr>
          <w:ilvl w:val="0"/>
          <w:numId w:val="0"/>
        </w:numPr>
        <w:rPr>
          <w:rFonts w:ascii="ITC Avant Garde" w:hAnsi="ITC Avant Garde"/>
          <w:color w:val="000000" w:themeColor="text1"/>
          <w:sz w:val="18"/>
          <w:szCs w:val="18"/>
          <w:lang w:val="es-ES_tradnl"/>
        </w:rPr>
      </w:pPr>
      <w:r w:rsidRPr="00E211F1">
        <w:rPr>
          <w:rFonts w:ascii="ITC Avant Garde" w:hAnsi="ITC Avant Garde"/>
          <w:color w:val="000000" w:themeColor="text1"/>
          <w:sz w:val="18"/>
          <w:szCs w:val="18"/>
          <w:lang w:val="es-ES_tradnl"/>
        </w:rPr>
        <w:t>Por otra parte</w:t>
      </w:r>
      <w:r w:rsidR="00E211F1" w:rsidRPr="00E211F1">
        <w:rPr>
          <w:rFonts w:ascii="ITC Avant Garde" w:hAnsi="ITC Avant Garde"/>
          <w:color w:val="000000" w:themeColor="text1"/>
          <w:sz w:val="18"/>
          <w:szCs w:val="18"/>
          <w:lang w:val="es-ES_tradnl"/>
        </w:rPr>
        <w:t>, en lo tocante a que la demanda del modelo no debería considerarse a corto plazo</w:t>
      </w:r>
      <w:r w:rsidR="00E211F1">
        <w:rPr>
          <w:rFonts w:ascii="ITC Avant Garde" w:hAnsi="ITC Avant Garde"/>
          <w:color w:val="000000" w:themeColor="text1"/>
          <w:sz w:val="18"/>
          <w:szCs w:val="18"/>
          <w:lang w:val="es-ES_tradnl"/>
        </w:rPr>
        <w:t>, el Instituto señala que l</w:t>
      </w:r>
      <w:r w:rsidR="00D33B6F" w:rsidRPr="00E211F1">
        <w:rPr>
          <w:rFonts w:ascii="ITC Avant Garde" w:hAnsi="ITC Avant Garde"/>
          <w:color w:val="000000" w:themeColor="text1"/>
          <w:sz w:val="18"/>
          <w:szCs w:val="18"/>
          <w:lang w:val="es-ES_tradnl"/>
        </w:rPr>
        <w:t>as inversiones efectuadas por los CS para coubicarse en un emplazamiento se efectúan a largo plazo, pero son independientes de la demanda</w:t>
      </w:r>
      <w:r w:rsidR="00E211F1" w:rsidRPr="00E211F1">
        <w:rPr>
          <w:rFonts w:ascii="ITC Avant Garde" w:hAnsi="ITC Avant Garde"/>
          <w:color w:val="000000" w:themeColor="text1"/>
          <w:sz w:val="18"/>
          <w:szCs w:val="18"/>
          <w:lang w:val="es-ES_tradnl"/>
        </w:rPr>
        <w:t xml:space="preserve"> de ocupación actual, en el sentido de que</w:t>
      </w:r>
      <w:r w:rsidR="00D33B6F" w:rsidRPr="00E211F1">
        <w:rPr>
          <w:rFonts w:ascii="ITC Avant Garde" w:hAnsi="ITC Avant Garde"/>
          <w:color w:val="000000" w:themeColor="text1"/>
          <w:sz w:val="18"/>
          <w:szCs w:val="18"/>
          <w:lang w:val="es-ES_tradnl"/>
        </w:rPr>
        <w:t xml:space="preserve"> la decisión de un CS de coubicarse no dependerá del número de CS ya coubicados, sino de la estrategia específica del operador en cuestión.</w:t>
      </w:r>
      <w:r w:rsidR="00441210" w:rsidRPr="00E211F1">
        <w:rPr>
          <w:rFonts w:ascii="ITC Avant Garde" w:hAnsi="ITC Avant Garde"/>
          <w:color w:val="000000" w:themeColor="text1"/>
          <w:sz w:val="18"/>
          <w:szCs w:val="18"/>
          <w:lang w:val="es-ES_tradnl"/>
        </w:rPr>
        <w:t xml:space="preserve"> Adicionalmente, al tratarse de una demanda escalonada y baja, una estimación errónea del número de operadores acarrearía consigo errores significativos e inaceptables en el costeo del servicio de acceso.</w:t>
      </w:r>
      <w:r w:rsidR="001D45E7" w:rsidRPr="00E211F1">
        <w:rPr>
          <w:rFonts w:ascii="ITC Avant Garde" w:hAnsi="ITC Avant Garde"/>
          <w:color w:val="000000" w:themeColor="text1"/>
          <w:sz w:val="18"/>
          <w:szCs w:val="18"/>
          <w:lang w:val="es-ES_tradnl"/>
        </w:rPr>
        <w:t xml:space="preserve"> </w:t>
      </w:r>
      <w:r w:rsidR="00E211F1">
        <w:rPr>
          <w:rFonts w:ascii="ITC Avant Garde" w:hAnsi="ITC Avant Garde"/>
          <w:color w:val="000000" w:themeColor="text1"/>
          <w:sz w:val="18"/>
          <w:szCs w:val="18"/>
          <w:lang w:val="es-ES_tradnl"/>
        </w:rPr>
        <w:t xml:space="preserve">En este sentido, se </w:t>
      </w:r>
      <w:r w:rsidR="00E211F1">
        <w:rPr>
          <w:rFonts w:ascii="ITC Avant Garde" w:hAnsi="ITC Avant Garde"/>
          <w:color w:val="000000" w:themeColor="text1"/>
          <w:sz w:val="18"/>
          <w:szCs w:val="18"/>
          <w:lang w:val="es-ES_tradnl"/>
        </w:rPr>
        <w:lastRenderedPageBreak/>
        <w:t>reit</w:t>
      </w:r>
      <w:r w:rsidR="00E01CC2">
        <w:rPr>
          <w:rFonts w:ascii="ITC Avant Garde" w:hAnsi="ITC Avant Garde"/>
          <w:color w:val="000000" w:themeColor="text1"/>
          <w:sz w:val="18"/>
          <w:szCs w:val="18"/>
          <w:lang w:val="es-ES_tradnl"/>
        </w:rPr>
        <w:t>e</w:t>
      </w:r>
      <w:r w:rsidR="00E211F1">
        <w:rPr>
          <w:rFonts w:ascii="ITC Avant Garde" w:hAnsi="ITC Avant Garde"/>
          <w:color w:val="000000" w:themeColor="text1"/>
          <w:sz w:val="18"/>
          <w:szCs w:val="18"/>
          <w:lang w:val="es-ES_tradnl"/>
        </w:rPr>
        <w:t>ra que la demanda</w:t>
      </w:r>
      <w:r w:rsidR="00E211F1" w:rsidRPr="00B55F7A">
        <w:rPr>
          <w:rFonts w:ascii="ITC Avant Garde" w:hAnsi="ITC Avant Garde"/>
          <w:color w:val="000000" w:themeColor="text1"/>
          <w:sz w:val="18"/>
          <w:szCs w:val="18"/>
          <w:lang w:val="es-ES_tradnl"/>
        </w:rPr>
        <w:t xml:space="preserve"> debe</w:t>
      </w:r>
      <w:r w:rsidR="00E211F1">
        <w:rPr>
          <w:rFonts w:ascii="ITC Avant Garde" w:hAnsi="ITC Avant Garde"/>
          <w:color w:val="000000" w:themeColor="text1"/>
          <w:sz w:val="18"/>
          <w:szCs w:val="18"/>
          <w:lang w:val="es-ES_tradnl"/>
        </w:rPr>
        <w:t xml:space="preserve"> determinarse empleando la mejor información disponible sobre la ocupación en las centrales, a efecto de la demanda estimada sea representativa de la demanda real.</w:t>
      </w:r>
    </w:p>
    <w:p w14:paraId="342A79D5" w14:textId="27CA53F5" w:rsidR="00EC392B" w:rsidRPr="002F5E06" w:rsidRDefault="002F5E06" w:rsidP="00EC36CC">
      <w:pPr>
        <w:pStyle w:val="Listaconvietas"/>
        <w:numPr>
          <w:ilvl w:val="0"/>
          <w:numId w:val="0"/>
        </w:numPr>
        <w:rPr>
          <w:rFonts w:ascii="ITC Avant Garde" w:hAnsi="ITC Avant Garde"/>
          <w:color w:val="000000" w:themeColor="text1"/>
          <w:sz w:val="18"/>
          <w:szCs w:val="18"/>
          <w:lang w:val="es-ES"/>
        </w:rPr>
      </w:pPr>
      <w:r w:rsidRPr="002F5E06">
        <w:rPr>
          <w:rFonts w:ascii="ITC Avant Garde" w:hAnsi="ITC Avant Garde"/>
          <w:color w:val="000000" w:themeColor="text1"/>
          <w:sz w:val="18"/>
          <w:szCs w:val="18"/>
          <w:lang w:val="es-ES"/>
        </w:rPr>
        <w:t>Finalmente, en torno a considerar la depreciación de los activos de</w:t>
      </w:r>
      <w:r w:rsidR="00E01CC2">
        <w:rPr>
          <w:rFonts w:ascii="ITC Avant Garde" w:hAnsi="ITC Avant Garde"/>
          <w:color w:val="000000" w:themeColor="text1"/>
          <w:sz w:val="18"/>
          <w:szCs w:val="18"/>
          <w:lang w:val="es-ES"/>
        </w:rPr>
        <w:t>l AEP</w:t>
      </w:r>
      <w:r w:rsidRPr="002F5E06">
        <w:rPr>
          <w:rFonts w:ascii="ITC Avant Garde" w:hAnsi="ITC Avant Garde"/>
          <w:color w:val="000000" w:themeColor="text1"/>
          <w:sz w:val="18"/>
          <w:szCs w:val="18"/>
          <w:lang w:val="es-ES"/>
        </w:rPr>
        <w:t xml:space="preserve"> en las estimaciones del modelo de costos en comento, en el Instituto señala que toda vez que e</w:t>
      </w:r>
      <w:r w:rsidR="00EC392B" w:rsidRPr="002F5E06">
        <w:rPr>
          <w:rFonts w:ascii="ITC Avant Garde" w:hAnsi="ITC Avant Garde"/>
          <w:color w:val="000000" w:themeColor="text1"/>
          <w:sz w:val="18"/>
          <w:szCs w:val="18"/>
          <w:lang w:val="es-ES"/>
        </w:rPr>
        <w:t xml:space="preserve">l modelo implementa un dimensionamiento eficiente, es decir, se modela </w:t>
      </w:r>
      <w:r w:rsidRPr="002F5E06">
        <w:rPr>
          <w:rFonts w:ascii="ITC Avant Garde" w:hAnsi="ITC Avant Garde"/>
          <w:color w:val="000000" w:themeColor="text1"/>
          <w:sz w:val="18"/>
          <w:szCs w:val="18"/>
          <w:lang w:val="es-ES"/>
        </w:rPr>
        <w:t xml:space="preserve">cierta parte </w:t>
      </w:r>
      <w:r w:rsidR="00EC392B" w:rsidRPr="002F5E06">
        <w:rPr>
          <w:rFonts w:ascii="ITC Avant Garde" w:hAnsi="ITC Avant Garde"/>
          <w:color w:val="000000" w:themeColor="text1"/>
          <w:sz w:val="18"/>
          <w:szCs w:val="18"/>
          <w:lang w:val="es-ES"/>
        </w:rPr>
        <w:t>una red</w:t>
      </w:r>
      <w:r w:rsidRPr="002F5E06">
        <w:rPr>
          <w:rFonts w:ascii="ITC Avant Garde" w:hAnsi="ITC Avant Garde"/>
          <w:color w:val="000000" w:themeColor="text1"/>
          <w:sz w:val="18"/>
          <w:szCs w:val="18"/>
          <w:lang w:val="es-ES"/>
        </w:rPr>
        <w:t>, que se considera</w:t>
      </w:r>
      <w:r w:rsidR="00EC392B" w:rsidRPr="002F5E06">
        <w:rPr>
          <w:rFonts w:ascii="ITC Avant Garde" w:hAnsi="ITC Avant Garde"/>
          <w:color w:val="000000" w:themeColor="text1"/>
          <w:sz w:val="18"/>
          <w:szCs w:val="18"/>
          <w:lang w:val="es-ES"/>
        </w:rPr>
        <w:t xml:space="preserve"> moderna </w:t>
      </w:r>
      <w:r w:rsidRPr="002F5E06">
        <w:rPr>
          <w:rFonts w:ascii="ITC Avant Garde" w:hAnsi="ITC Avant Garde"/>
          <w:color w:val="000000" w:themeColor="text1"/>
          <w:sz w:val="18"/>
          <w:szCs w:val="18"/>
          <w:lang w:val="es-ES"/>
        </w:rPr>
        <w:t xml:space="preserve">y </w:t>
      </w:r>
      <w:r w:rsidR="00EC392B" w:rsidRPr="002F5E06">
        <w:rPr>
          <w:rFonts w:ascii="ITC Avant Garde" w:hAnsi="ITC Avant Garde"/>
          <w:color w:val="000000" w:themeColor="text1"/>
          <w:sz w:val="18"/>
          <w:szCs w:val="18"/>
          <w:lang w:val="es-ES"/>
        </w:rPr>
        <w:t>equivalente a la del AEP</w:t>
      </w:r>
      <w:r w:rsidRPr="002F5E06">
        <w:rPr>
          <w:rFonts w:ascii="ITC Avant Garde" w:hAnsi="ITC Avant Garde"/>
          <w:color w:val="000000" w:themeColor="text1"/>
          <w:sz w:val="18"/>
          <w:szCs w:val="18"/>
          <w:lang w:val="es-ES"/>
        </w:rPr>
        <w:t>, bajo</w:t>
      </w:r>
      <w:r w:rsidR="00EC392B" w:rsidRPr="002F5E06">
        <w:rPr>
          <w:rFonts w:ascii="ITC Avant Garde" w:hAnsi="ITC Avant Garde"/>
          <w:color w:val="000000" w:themeColor="text1"/>
          <w:sz w:val="18"/>
          <w:szCs w:val="18"/>
          <w:lang w:val="es-ES"/>
        </w:rPr>
        <w:t xml:space="preserve"> un enfoque</w:t>
      </w:r>
      <w:r w:rsidR="006B50E4" w:rsidRPr="002F5E06">
        <w:rPr>
          <w:rFonts w:ascii="ITC Avant Garde" w:hAnsi="ITC Avant Garde"/>
          <w:color w:val="000000" w:themeColor="text1"/>
          <w:sz w:val="18"/>
          <w:szCs w:val="18"/>
          <w:lang w:val="es-ES"/>
        </w:rPr>
        <w:t xml:space="preserve"> teórico ascendente </w:t>
      </w:r>
      <w:r w:rsidRPr="002F5E06">
        <w:rPr>
          <w:rFonts w:ascii="ITC Avant Garde" w:hAnsi="ITC Avant Garde"/>
          <w:color w:val="000000" w:themeColor="text1"/>
          <w:sz w:val="18"/>
          <w:szCs w:val="18"/>
          <w:lang w:val="es-ES"/>
        </w:rPr>
        <w:t>este concepto no debe</w:t>
      </w:r>
      <w:r w:rsidR="00522BF7" w:rsidRPr="002F5E06">
        <w:rPr>
          <w:rFonts w:ascii="ITC Avant Garde" w:hAnsi="ITC Avant Garde"/>
          <w:color w:val="000000" w:themeColor="text1"/>
          <w:sz w:val="18"/>
          <w:szCs w:val="18"/>
          <w:lang w:val="es-ES"/>
        </w:rPr>
        <w:t xml:space="preserve"> ser considerad</w:t>
      </w:r>
      <w:r w:rsidRPr="002F5E06">
        <w:rPr>
          <w:rFonts w:ascii="ITC Avant Garde" w:hAnsi="ITC Avant Garde"/>
          <w:color w:val="000000" w:themeColor="text1"/>
          <w:sz w:val="18"/>
          <w:szCs w:val="18"/>
          <w:lang w:val="es-ES"/>
        </w:rPr>
        <w:t>o</w:t>
      </w:r>
      <w:r w:rsidR="00522BF7" w:rsidRPr="002F5E06">
        <w:rPr>
          <w:rFonts w:ascii="ITC Avant Garde" w:hAnsi="ITC Avant Garde"/>
          <w:color w:val="000000" w:themeColor="text1"/>
          <w:sz w:val="18"/>
          <w:szCs w:val="18"/>
          <w:lang w:val="es-ES"/>
        </w:rPr>
        <w:t xml:space="preserve"> en el ejercicio de modelado.</w:t>
      </w:r>
      <w:r w:rsidR="00FF65C7" w:rsidRPr="002F5E06">
        <w:rPr>
          <w:rFonts w:ascii="ITC Avant Garde" w:hAnsi="ITC Avant Garde"/>
          <w:color w:val="000000" w:themeColor="text1"/>
          <w:sz w:val="18"/>
          <w:szCs w:val="18"/>
          <w:lang w:val="es-ES"/>
        </w:rPr>
        <w:t xml:space="preserve"> </w:t>
      </w:r>
    </w:p>
    <w:p w14:paraId="342A79D6" w14:textId="77777777" w:rsidR="009803EB" w:rsidRPr="00A918A4" w:rsidRDefault="009803EB" w:rsidP="009803EB">
      <w:pPr>
        <w:pStyle w:val="Ttulo3"/>
        <w:spacing w:after="160"/>
        <w:rPr>
          <w:rFonts w:ascii="ITC Avant Garde" w:hAnsi="ITC Avant Garde"/>
          <w:sz w:val="18"/>
          <w:szCs w:val="18"/>
          <w:lang w:val="es-ES_tradnl"/>
        </w:rPr>
      </w:pPr>
      <w:r w:rsidRPr="00A918A4">
        <w:rPr>
          <w:rFonts w:ascii="ITC Avant Garde" w:hAnsi="ITC Avant Garde"/>
          <w:sz w:val="18"/>
          <w:szCs w:val="18"/>
          <w:lang w:val="es-ES_tradnl"/>
        </w:rPr>
        <w:t>Tipo de dimensionamiento</w:t>
      </w:r>
    </w:p>
    <w:p w14:paraId="342A79D7" w14:textId="77777777" w:rsidR="009803EB" w:rsidRDefault="0093118C" w:rsidP="009803EB">
      <w:pPr>
        <w:rPr>
          <w:rFonts w:ascii="ITC Avant Garde" w:hAnsi="ITC Avant Garde"/>
          <w:b/>
          <w:sz w:val="18"/>
          <w:szCs w:val="18"/>
          <w:lang w:val="es-ES_tradnl"/>
        </w:rPr>
      </w:pPr>
      <w:r w:rsidRPr="0093118C">
        <w:rPr>
          <w:rFonts w:ascii="ITC Avant Garde" w:hAnsi="ITC Avant Garde"/>
          <w:b/>
          <w:sz w:val="18"/>
          <w:szCs w:val="18"/>
          <w:lang w:val="es-ES_tradnl"/>
        </w:rPr>
        <w:t>Q.</w:t>
      </w:r>
      <w:r w:rsidRPr="0093118C">
        <w:rPr>
          <w:rFonts w:ascii="ITC Avant Garde" w:hAnsi="ITC Avant Garde"/>
          <w:b/>
          <w:sz w:val="18"/>
          <w:szCs w:val="18"/>
          <w:lang w:val="es-ES_tradnl"/>
        </w:rPr>
        <w:fldChar w:fldCharType="begin"/>
      </w:r>
      <w:r w:rsidRPr="0093118C">
        <w:rPr>
          <w:rFonts w:ascii="ITC Avant Garde" w:hAnsi="ITC Avant Garde"/>
          <w:b/>
          <w:sz w:val="18"/>
          <w:szCs w:val="18"/>
          <w:lang w:val="es-ES_tradnl"/>
        </w:rPr>
        <w:instrText xml:space="preserve"> SEQ Recommendation \* ARABIC \s 0 </w:instrText>
      </w:r>
      <w:r w:rsidRPr="0093118C">
        <w:rPr>
          <w:rFonts w:ascii="ITC Avant Garde" w:hAnsi="ITC Avant Garde"/>
          <w:b/>
          <w:sz w:val="18"/>
          <w:szCs w:val="18"/>
          <w:lang w:val="es-ES_tradnl"/>
        </w:rPr>
        <w:fldChar w:fldCharType="separate"/>
      </w:r>
      <w:r w:rsidRPr="0093118C">
        <w:rPr>
          <w:rFonts w:ascii="ITC Avant Garde" w:hAnsi="ITC Avant Garde"/>
          <w:b/>
          <w:sz w:val="18"/>
          <w:szCs w:val="18"/>
          <w:lang w:val="es-ES_tradnl"/>
        </w:rPr>
        <w:t>4</w:t>
      </w:r>
      <w:r w:rsidRPr="0093118C">
        <w:rPr>
          <w:rFonts w:ascii="ITC Avant Garde" w:hAnsi="ITC Avant Garde"/>
          <w:b/>
          <w:sz w:val="18"/>
          <w:szCs w:val="18"/>
          <w:lang w:val="es-ES_tradnl"/>
        </w:rPr>
        <w:fldChar w:fldCharType="end"/>
      </w:r>
      <w:r w:rsidRPr="0093118C">
        <w:rPr>
          <w:rFonts w:ascii="ITC Avant Garde" w:hAnsi="ITC Avant Garde"/>
          <w:b/>
          <w:sz w:val="18"/>
          <w:szCs w:val="18"/>
          <w:lang w:val="es-ES_tradnl"/>
        </w:rPr>
        <w:t>: ¿Está de acuerdo con la metodología de dimensionamiento implementada en el modelo?</w:t>
      </w:r>
    </w:p>
    <w:p w14:paraId="24215209" w14:textId="1C9417FE" w:rsidR="003D63B0" w:rsidRDefault="003D63B0" w:rsidP="00483FD1">
      <w:pPr>
        <w:rPr>
          <w:rFonts w:ascii="ITC Avant Garde" w:hAnsi="ITC Avant Garde"/>
          <w:sz w:val="18"/>
          <w:szCs w:val="18"/>
          <w:lang w:val="es-ES_tradnl"/>
        </w:rPr>
      </w:pPr>
      <w:r w:rsidRPr="007F6C1D">
        <w:rPr>
          <w:rFonts w:ascii="ITC Avant Garde" w:hAnsi="ITC Avant Garde"/>
          <w:i/>
          <w:sz w:val="18"/>
          <w:szCs w:val="18"/>
          <w:u w:val="single"/>
          <w:lang w:val="es-ES_tradnl"/>
        </w:rPr>
        <w:t>Resumen de comentarios de la Consulta Pública</w:t>
      </w:r>
    </w:p>
    <w:p w14:paraId="342A79D8" w14:textId="6260D175" w:rsidR="00483FD1" w:rsidRDefault="00A20F80" w:rsidP="00483FD1">
      <w:pPr>
        <w:rPr>
          <w:rFonts w:ascii="ITC Avant Garde" w:hAnsi="ITC Avant Garde"/>
          <w:sz w:val="18"/>
          <w:szCs w:val="18"/>
          <w:lang w:val="es-ES_tradnl"/>
        </w:rPr>
      </w:pPr>
      <w:r>
        <w:rPr>
          <w:rFonts w:ascii="ITC Avant Garde" w:hAnsi="ITC Avant Garde"/>
          <w:sz w:val="18"/>
          <w:szCs w:val="18"/>
          <w:lang w:val="es-ES_tradnl"/>
        </w:rPr>
        <w:t xml:space="preserve">Al respecto, ciertos participantes </w:t>
      </w:r>
      <w:r w:rsidR="00483FD1">
        <w:rPr>
          <w:rFonts w:ascii="ITC Avant Garde" w:hAnsi="ITC Avant Garde"/>
          <w:sz w:val="18"/>
          <w:szCs w:val="18"/>
          <w:lang w:val="es-ES_tradnl"/>
        </w:rPr>
        <w:t xml:space="preserve"> [</w:t>
      </w:r>
      <w:r w:rsidR="00483FD1" w:rsidRPr="00483FD1">
        <w:rPr>
          <w:rFonts w:ascii="ITC Avant Garde" w:hAnsi="ITC Avant Garde"/>
          <w:sz w:val="18"/>
          <w:szCs w:val="18"/>
          <w:lang w:val="es-ES_tradnl"/>
        </w:rPr>
        <w:t>Axtel, Lester García y Telefónica</w:t>
      </w:r>
      <w:r w:rsidR="00483FD1">
        <w:rPr>
          <w:rFonts w:ascii="ITC Avant Garde" w:hAnsi="ITC Avant Garde"/>
          <w:sz w:val="18"/>
          <w:szCs w:val="18"/>
          <w:lang w:val="es-ES_tradnl"/>
        </w:rPr>
        <w:t xml:space="preserve">] consideran adecuado </w:t>
      </w:r>
      <w:r w:rsidR="00241591">
        <w:rPr>
          <w:rFonts w:ascii="ITC Avant Garde" w:hAnsi="ITC Avant Garde"/>
          <w:sz w:val="18"/>
          <w:szCs w:val="18"/>
          <w:lang w:val="es-419"/>
        </w:rPr>
        <w:t xml:space="preserve">que </w:t>
      </w:r>
      <w:r w:rsidR="00241591">
        <w:rPr>
          <w:rFonts w:ascii="ITC Avant Garde" w:hAnsi="ITC Avant Garde"/>
          <w:sz w:val="18"/>
          <w:szCs w:val="18"/>
          <w:lang w:val="es-ES_tradnl"/>
        </w:rPr>
        <w:t>en la</w:t>
      </w:r>
      <w:r w:rsidRPr="00153EA3">
        <w:rPr>
          <w:rFonts w:ascii="ITC Avant Garde" w:hAnsi="ITC Avant Garde"/>
          <w:sz w:val="18"/>
          <w:szCs w:val="18"/>
          <w:lang w:val="es-ES_tradnl"/>
        </w:rPr>
        <w:t xml:space="preserve"> metodología de dimensionamiento</w:t>
      </w:r>
      <w:r>
        <w:rPr>
          <w:rFonts w:ascii="ITC Avant Garde" w:hAnsi="ITC Avant Garde"/>
          <w:sz w:val="18"/>
          <w:szCs w:val="18"/>
          <w:lang w:val="es-ES_tradnl"/>
        </w:rPr>
        <w:t xml:space="preserve"> del modelo se emplee </w:t>
      </w:r>
      <w:r w:rsidR="00483FD1" w:rsidRPr="008959AC">
        <w:rPr>
          <w:rFonts w:ascii="ITC Avant Garde" w:hAnsi="ITC Avant Garde"/>
          <w:sz w:val="18"/>
          <w:szCs w:val="18"/>
          <w:lang w:val="es-ES_tradnl"/>
        </w:rPr>
        <w:t>un enfoque teórico ascendente (</w:t>
      </w:r>
      <w:r w:rsidR="00483FD1" w:rsidRPr="00A20F80">
        <w:rPr>
          <w:rFonts w:ascii="ITC Avant Garde" w:hAnsi="ITC Avant Garde"/>
          <w:i/>
          <w:sz w:val="18"/>
          <w:szCs w:val="18"/>
          <w:lang w:val="es-ES_tradnl"/>
        </w:rPr>
        <w:t>bottom-up</w:t>
      </w:r>
      <w:r>
        <w:rPr>
          <w:rFonts w:ascii="ITC Avant Garde" w:hAnsi="ITC Avant Garde"/>
          <w:i/>
          <w:sz w:val="18"/>
          <w:szCs w:val="18"/>
          <w:lang w:val="es-ES_tradnl"/>
        </w:rPr>
        <w:t xml:space="preserve">, </w:t>
      </w:r>
      <w:r>
        <w:rPr>
          <w:rFonts w:ascii="ITC Avant Garde" w:hAnsi="ITC Avant Garde"/>
          <w:sz w:val="18"/>
          <w:szCs w:val="18"/>
          <w:lang w:val="es-ES_tradnl"/>
        </w:rPr>
        <w:t>en inglés</w:t>
      </w:r>
      <w:r w:rsidR="00483FD1" w:rsidRPr="008959AC">
        <w:rPr>
          <w:rFonts w:ascii="ITC Avant Garde" w:hAnsi="ITC Avant Garde"/>
          <w:sz w:val="18"/>
          <w:szCs w:val="18"/>
          <w:lang w:val="es-ES_tradnl"/>
        </w:rPr>
        <w:t>)</w:t>
      </w:r>
      <w:r w:rsidR="00483FD1">
        <w:rPr>
          <w:rFonts w:ascii="ITC Avant Garde" w:hAnsi="ITC Avant Garde"/>
          <w:sz w:val="18"/>
          <w:szCs w:val="18"/>
          <w:lang w:val="es-ES_tradnl"/>
        </w:rPr>
        <w:t xml:space="preserve">, complementado por un dimensionamiento </w:t>
      </w:r>
      <w:r>
        <w:rPr>
          <w:rFonts w:ascii="ITC Avant Garde" w:hAnsi="ITC Avant Garde"/>
          <w:sz w:val="18"/>
          <w:szCs w:val="18"/>
          <w:lang w:val="es-ES_tradnl"/>
        </w:rPr>
        <w:t>descendente (</w:t>
      </w:r>
      <w:r w:rsidR="00483FD1" w:rsidRPr="008959AC">
        <w:rPr>
          <w:rFonts w:ascii="ITC Avant Garde" w:hAnsi="ITC Avant Garde"/>
          <w:i/>
          <w:sz w:val="18"/>
          <w:szCs w:val="18"/>
          <w:lang w:val="es-ES_tradnl"/>
        </w:rPr>
        <w:t>top-down</w:t>
      </w:r>
      <w:r>
        <w:rPr>
          <w:rFonts w:ascii="ITC Avant Garde" w:hAnsi="ITC Avant Garde"/>
          <w:i/>
          <w:sz w:val="18"/>
          <w:szCs w:val="18"/>
          <w:lang w:val="es-ES_tradnl"/>
        </w:rPr>
        <w:t xml:space="preserve">, </w:t>
      </w:r>
      <w:r w:rsidRPr="00A20F80">
        <w:rPr>
          <w:rFonts w:ascii="ITC Avant Garde" w:hAnsi="ITC Avant Garde"/>
          <w:sz w:val="18"/>
          <w:szCs w:val="18"/>
          <w:lang w:val="es-ES_tradnl"/>
        </w:rPr>
        <w:t>en inglés)</w:t>
      </w:r>
      <w:r w:rsidR="00483FD1">
        <w:rPr>
          <w:rFonts w:ascii="ITC Avant Garde" w:hAnsi="ITC Avant Garde"/>
          <w:sz w:val="18"/>
          <w:szCs w:val="18"/>
          <w:lang w:val="es-ES_tradnl"/>
        </w:rPr>
        <w:t>.</w:t>
      </w:r>
    </w:p>
    <w:p w14:paraId="342A79D9" w14:textId="49910CB6" w:rsidR="00A82D26" w:rsidRPr="00FB49E1" w:rsidRDefault="00483FD1" w:rsidP="009803EB">
      <w:pPr>
        <w:rPr>
          <w:rFonts w:ascii="ITC Avant Garde" w:hAnsi="ITC Avant Garde"/>
          <w:sz w:val="18"/>
          <w:szCs w:val="18"/>
          <w:lang w:val="es-ES_tradnl"/>
        </w:rPr>
      </w:pPr>
      <w:r>
        <w:rPr>
          <w:rFonts w:ascii="ITC Avant Garde" w:hAnsi="ITC Avant Garde"/>
          <w:sz w:val="18"/>
          <w:szCs w:val="18"/>
          <w:lang w:val="es-ES_tradnl"/>
        </w:rPr>
        <w:t xml:space="preserve">Sin embargo, </w:t>
      </w:r>
      <w:r w:rsidR="00A20F80">
        <w:rPr>
          <w:rFonts w:ascii="ITC Avant Garde" w:hAnsi="ITC Avant Garde"/>
          <w:sz w:val="18"/>
          <w:szCs w:val="18"/>
          <w:lang w:val="es-ES_tradnl"/>
        </w:rPr>
        <w:t xml:space="preserve">un participante </w:t>
      </w:r>
      <w:r>
        <w:rPr>
          <w:rFonts w:ascii="ITC Avant Garde" w:hAnsi="ITC Avant Garde"/>
          <w:sz w:val="18"/>
          <w:szCs w:val="18"/>
          <w:lang w:val="es-ES_tradnl"/>
        </w:rPr>
        <w:t>[</w:t>
      </w:r>
      <w:r w:rsidRPr="00483FD1">
        <w:rPr>
          <w:rFonts w:ascii="ITC Avant Garde" w:hAnsi="ITC Avant Garde"/>
          <w:sz w:val="18"/>
          <w:szCs w:val="18"/>
          <w:lang w:val="es-ES_tradnl"/>
        </w:rPr>
        <w:t>Total-Play</w:t>
      </w:r>
      <w:r>
        <w:rPr>
          <w:rFonts w:ascii="ITC Avant Garde" w:hAnsi="ITC Avant Garde"/>
          <w:sz w:val="18"/>
          <w:szCs w:val="18"/>
          <w:lang w:val="es-ES_tradnl"/>
        </w:rPr>
        <w:t xml:space="preserve">] </w:t>
      </w:r>
      <w:r w:rsidR="00A20F80">
        <w:rPr>
          <w:rFonts w:ascii="ITC Avant Garde" w:hAnsi="ITC Avant Garde"/>
          <w:sz w:val="18"/>
          <w:szCs w:val="18"/>
          <w:lang w:val="es-ES_tradnl"/>
        </w:rPr>
        <w:t>expresa</w:t>
      </w:r>
      <w:r>
        <w:rPr>
          <w:rFonts w:ascii="ITC Avant Garde" w:hAnsi="ITC Avant Garde"/>
          <w:sz w:val="18"/>
          <w:szCs w:val="18"/>
          <w:lang w:val="es-ES_tradnl"/>
        </w:rPr>
        <w:t xml:space="preserve"> que un enfoque híbrido puede restar transparencia al modelo.</w:t>
      </w:r>
      <w:r w:rsidR="00FB49E1">
        <w:rPr>
          <w:rFonts w:ascii="ITC Avant Garde" w:hAnsi="ITC Avant Garde"/>
          <w:sz w:val="18"/>
          <w:szCs w:val="18"/>
          <w:lang w:val="es-ES_tradnl"/>
        </w:rPr>
        <w:t xml:space="preserve"> Menciona la posibilidad de que el regulador realice el modelo </w:t>
      </w:r>
      <w:r w:rsidR="00FB49E1">
        <w:rPr>
          <w:rFonts w:ascii="ITC Avant Garde" w:hAnsi="ITC Avant Garde"/>
          <w:i/>
          <w:sz w:val="18"/>
          <w:szCs w:val="18"/>
          <w:lang w:val="es-ES_tradnl"/>
        </w:rPr>
        <w:t>bottom-up</w:t>
      </w:r>
      <w:r w:rsidR="00FB49E1">
        <w:rPr>
          <w:rFonts w:ascii="ITC Avant Garde" w:hAnsi="ITC Avant Garde"/>
          <w:sz w:val="18"/>
          <w:szCs w:val="18"/>
          <w:lang w:val="es-ES_tradnl"/>
        </w:rPr>
        <w:t xml:space="preserve">, solicitando al AEP el dimensionamiento con enfoque </w:t>
      </w:r>
      <w:r w:rsidR="00FB49E1">
        <w:rPr>
          <w:rFonts w:ascii="ITC Avant Garde" w:hAnsi="ITC Avant Garde"/>
          <w:i/>
          <w:sz w:val="18"/>
          <w:szCs w:val="18"/>
          <w:lang w:val="es-ES_tradnl"/>
        </w:rPr>
        <w:t>top-down</w:t>
      </w:r>
      <w:r w:rsidR="00FB49E1">
        <w:rPr>
          <w:rFonts w:ascii="ITC Avant Garde" w:hAnsi="ITC Avant Garde"/>
          <w:sz w:val="18"/>
          <w:szCs w:val="18"/>
          <w:lang w:val="es-ES_tradnl"/>
        </w:rPr>
        <w:t>, conciliando ambos modelos en línea con la práctica internacional de modelos híbridos.</w:t>
      </w:r>
      <w:r w:rsidR="00FF65C7" w:rsidRPr="00BA70D0">
        <w:rPr>
          <w:rFonts w:ascii="ITC Avant Garde" w:hAnsi="ITC Avant Garde"/>
          <w:color w:val="C00000"/>
          <w:sz w:val="18"/>
          <w:szCs w:val="18"/>
          <w:lang w:val="es-ES_tradnl"/>
        </w:rPr>
        <w:t xml:space="preserve"> </w:t>
      </w:r>
    </w:p>
    <w:p w14:paraId="53A1D5DC" w14:textId="77777777" w:rsidR="00141720" w:rsidRDefault="00141720" w:rsidP="00EC36CC">
      <w:pPr>
        <w:pStyle w:val="Listaconvietas"/>
        <w:numPr>
          <w:ilvl w:val="0"/>
          <w:numId w:val="0"/>
        </w:numPr>
        <w:rPr>
          <w:rFonts w:ascii="ITC Avant Garde" w:eastAsiaTheme="majorEastAsia" w:hAnsi="ITC Avant Garde" w:cstheme="majorBidi"/>
          <w:bCs/>
          <w:color w:val="548DD4" w:themeColor="text2" w:themeTint="99"/>
          <w:sz w:val="18"/>
          <w:szCs w:val="18"/>
          <w:lang w:val="es-ES_tradnl"/>
        </w:rPr>
      </w:pPr>
      <w:r w:rsidRPr="00E45AEA">
        <w:rPr>
          <w:rFonts w:ascii="ITC Avant Garde" w:hAnsi="ITC Avant Garde"/>
          <w:i/>
          <w:sz w:val="18"/>
          <w:szCs w:val="18"/>
          <w:u w:val="single"/>
          <w:lang w:val="es-ES_tradnl"/>
        </w:rPr>
        <w:t>Respuesta del Instituto</w:t>
      </w:r>
      <w:r w:rsidRPr="00BA70D0">
        <w:rPr>
          <w:rFonts w:ascii="ITC Avant Garde" w:eastAsiaTheme="majorEastAsia" w:hAnsi="ITC Avant Garde" w:cstheme="majorBidi"/>
          <w:bCs/>
          <w:color w:val="548DD4" w:themeColor="text2" w:themeTint="99"/>
          <w:sz w:val="18"/>
          <w:szCs w:val="18"/>
          <w:lang w:val="es-ES_tradnl"/>
        </w:rPr>
        <w:t xml:space="preserve"> </w:t>
      </w:r>
    </w:p>
    <w:p w14:paraId="23F2E2FE" w14:textId="170579AC" w:rsidR="00A6032A" w:rsidRDefault="00FB49E1" w:rsidP="00EC36CC">
      <w:pPr>
        <w:pStyle w:val="Listaconvietas"/>
        <w:numPr>
          <w:ilvl w:val="0"/>
          <w:numId w:val="0"/>
        </w:numPr>
        <w:rPr>
          <w:rFonts w:ascii="ITC Avant Garde" w:eastAsiaTheme="majorEastAsia" w:hAnsi="ITC Avant Garde" w:cstheme="majorBidi"/>
          <w:bCs/>
          <w:color w:val="000000" w:themeColor="text1"/>
          <w:sz w:val="18"/>
          <w:szCs w:val="18"/>
          <w:lang w:val="es-ES_tradnl"/>
        </w:rPr>
      </w:pPr>
      <w:r w:rsidRPr="00A20F80">
        <w:rPr>
          <w:rFonts w:ascii="ITC Avant Garde" w:eastAsiaTheme="majorEastAsia" w:hAnsi="ITC Avant Garde" w:cstheme="majorBidi"/>
          <w:bCs/>
          <w:color w:val="000000" w:themeColor="text1"/>
          <w:sz w:val="18"/>
          <w:szCs w:val="18"/>
          <w:lang w:val="es-ES_tradnl"/>
        </w:rPr>
        <w:t xml:space="preserve">El </w:t>
      </w:r>
      <w:r w:rsidR="00A20F80" w:rsidRPr="00A20F80">
        <w:rPr>
          <w:rFonts w:ascii="ITC Avant Garde" w:eastAsiaTheme="majorEastAsia" w:hAnsi="ITC Avant Garde" w:cstheme="majorBidi"/>
          <w:bCs/>
          <w:color w:val="000000" w:themeColor="text1"/>
          <w:sz w:val="18"/>
          <w:szCs w:val="18"/>
          <w:lang w:val="es-ES_tradnl"/>
        </w:rPr>
        <w:t xml:space="preserve">Instituto </w:t>
      </w:r>
      <w:r w:rsidR="00A6032A">
        <w:rPr>
          <w:rFonts w:ascii="ITC Avant Garde" w:eastAsiaTheme="majorEastAsia" w:hAnsi="ITC Avant Garde" w:cstheme="majorBidi"/>
          <w:bCs/>
          <w:color w:val="000000" w:themeColor="text1"/>
          <w:sz w:val="18"/>
          <w:szCs w:val="18"/>
          <w:lang w:val="es-ES_tradnl"/>
        </w:rPr>
        <w:t xml:space="preserve">considera que no es apropiada la propuesta </w:t>
      </w:r>
      <w:r w:rsidR="00A6032A" w:rsidRPr="00A20F80">
        <w:rPr>
          <w:rFonts w:ascii="ITC Avant Garde" w:eastAsiaTheme="majorEastAsia" w:hAnsi="ITC Avant Garde" w:cstheme="majorBidi"/>
          <w:bCs/>
          <w:color w:val="000000" w:themeColor="text1"/>
          <w:sz w:val="18"/>
          <w:szCs w:val="18"/>
          <w:lang w:val="es-ES_tradnl"/>
        </w:rPr>
        <w:t xml:space="preserve">en la cual se pide que AEP desarrolle un modelo </w:t>
      </w:r>
      <w:r w:rsidR="00A6032A" w:rsidRPr="00A20F80">
        <w:rPr>
          <w:rFonts w:ascii="ITC Avant Garde" w:eastAsiaTheme="majorEastAsia" w:hAnsi="ITC Avant Garde" w:cstheme="majorBidi"/>
          <w:bCs/>
          <w:i/>
          <w:color w:val="000000" w:themeColor="text1"/>
          <w:sz w:val="18"/>
          <w:szCs w:val="18"/>
          <w:lang w:val="es-ES_tradnl"/>
        </w:rPr>
        <w:t xml:space="preserve">top-down </w:t>
      </w:r>
      <w:r w:rsidR="00A6032A" w:rsidRPr="00A20F80">
        <w:rPr>
          <w:rFonts w:ascii="ITC Avant Garde" w:eastAsiaTheme="majorEastAsia" w:hAnsi="ITC Avant Garde" w:cstheme="majorBidi"/>
          <w:bCs/>
          <w:color w:val="000000" w:themeColor="text1"/>
          <w:sz w:val="18"/>
          <w:szCs w:val="18"/>
          <w:lang w:val="es-ES_tradnl"/>
        </w:rPr>
        <w:t>para</w:t>
      </w:r>
      <w:r w:rsidR="00A6032A" w:rsidRPr="00A20F80">
        <w:rPr>
          <w:rFonts w:ascii="ITC Avant Garde" w:eastAsiaTheme="majorEastAsia" w:hAnsi="ITC Avant Garde" w:cstheme="majorBidi"/>
          <w:bCs/>
          <w:i/>
          <w:color w:val="000000" w:themeColor="text1"/>
          <w:sz w:val="18"/>
          <w:szCs w:val="18"/>
          <w:lang w:val="es-ES_tradnl"/>
        </w:rPr>
        <w:t xml:space="preserve"> </w:t>
      </w:r>
      <w:r w:rsidR="00A6032A" w:rsidRPr="00A20F80">
        <w:rPr>
          <w:rFonts w:ascii="ITC Avant Garde" w:eastAsiaTheme="majorEastAsia" w:hAnsi="ITC Avant Garde" w:cstheme="majorBidi"/>
          <w:bCs/>
          <w:color w:val="000000" w:themeColor="text1"/>
          <w:sz w:val="18"/>
          <w:szCs w:val="18"/>
          <w:lang w:val="es-ES_tradnl"/>
        </w:rPr>
        <w:t>su posterior conciliación</w:t>
      </w:r>
      <w:r w:rsidR="00A6032A">
        <w:rPr>
          <w:rFonts w:ascii="ITC Avant Garde" w:eastAsiaTheme="majorEastAsia" w:hAnsi="ITC Avant Garde" w:cstheme="majorBidi"/>
          <w:bCs/>
          <w:color w:val="000000" w:themeColor="text1"/>
          <w:sz w:val="18"/>
          <w:szCs w:val="18"/>
          <w:lang w:val="es-ES_tradnl"/>
        </w:rPr>
        <w:t xml:space="preserve"> ya que implica mezclar elementos de dos modelos metodológicamente distintos, que se construirían bajo principios que no necesariamente son compatibles necesariamente. Lo anterior implicaría</w:t>
      </w:r>
      <w:r w:rsidR="00A6032A" w:rsidRPr="00A20F80">
        <w:rPr>
          <w:rFonts w:ascii="ITC Avant Garde" w:eastAsiaTheme="majorEastAsia" w:hAnsi="ITC Avant Garde" w:cstheme="majorBidi"/>
          <w:bCs/>
          <w:color w:val="000000" w:themeColor="text1"/>
          <w:sz w:val="18"/>
          <w:szCs w:val="18"/>
          <w:lang w:val="es-ES_tradnl"/>
        </w:rPr>
        <w:t xml:space="preserve"> problemas de interpretación y definición de los términos involucrados </w:t>
      </w:r>
      <w:r w:rsidR="00A6032A">
        <w:rPr>
          <w:rFonts w:ascii="ITC Avant Garde" w:eastAsiaTheme="majorEastAsia" w:hAnsi="ITC Avant Garde" w:cstheme="majorBidi"/>
          <w:bCs/>
          <w:color w:val="000000" w:themeColor="text1"/>
          <w:sz w:val="18"/>
          <w:szCs w:val="18"/>
          <w:lang w:val="es-ES_tradnl"/>
        </w:rPr>
        <w:t xml:space="preserve">restando robustez a los </w:t>
      </w:r>
      <w:r w:rsidR="00A6032A" w:rsidRPr="00A20F80">
        <w:rPr>
          <w:rFonts w:ascii="ITC Avant Garde" w:eastAsiaTheme="majorEastAsia" w:hAnsi="ITC Avant Garde" w:cstheme="majorBidi"/>
          <w:bCs/>
          <w:color w:val="000000" w:themeColor="text1"/>
          <w:sz w:val="18"/>
          <w:szCs w:val="18"/>
          <w:lang w:val="es-ES_tradnl"/>
        </w:rPr>
        <w:t>niveles tarifarios propuestos</w:t>
      </w:r>
      <w:r w:rsidR="00A6032A">
        <w:rPr>
          <w:rFonts w:ascii="ITC Avant Garde" w:eastAsiaTheme="majorEastAsia" w:hAnsi="ITC Avant Garde" w:cstheme="majorBidi"/>
          <w:bCs/>
          <w:color w:val="000000" w:themeColor="text1"/>
          <w:sz w:val="18"/>
          <w:szCs w:val="18"/>
          <w:lang w:val="es-ES_tradnl"/>
        </w:rPr>
        <w:t>.</w:t>
      </w:r>
    </w:p>
    <w:p w14:paraId="342A79DB" w14:textId="4E7BB569" w:rsidR="00EC36CC" w:rsidRPr="00A20F80" w:rsidRDefault="00A6032A" w:rsidP="00A6032A">
      <w:pPr>
        <w:pStyle w:val="Listaconvietas"/>
        <w:numPr>
          <w:ilvl w:val="0"/>
          <w:numId w:val="0"/>
        </w:numPr>
        <w:rPr>
          <w:rFonts w:ascii="ITC Avant Garde" w:hAnsi="ITC Avant Garde"/>
          <w:color w:val="000000" w:themeColor="text1"/>
          <w:sz w:val="18"/>
          <w:szCs w:val="18"/>
          <w:lang w:val="es-ES_tradnl"/>
        </w:rPr>
      </w:pPr>
      <w:r>
        <w:rPr>
          <w:rFonts w:ascii="ITC Avant Garde" w:eastAsiaTheme="majorEastAsia" w:hAnsi="ITC Avant Garde" w:cstheme="majorBidi"/>
          <w:bCs/>
          <w:color w:val="000000" w:themeColor="text1"/>
          <w:sz w:val="18"/>
          <w:szCs w:val="18"/>
          <w:lang w:val="es-ES_tradnl"/>
        </w:rPr>
        <w:t>En complemento, el Instituto considera que es más apropiado desarrollar un único modelo para el dimensionamiento de los elementos involucrados en la prestación de los servicios, el cual se apoye en un</w:t>
      </w:r>
      <w:r w:rsidR="00A20F80" w:rsidRPr="00A20F80">
        <w:rPr>
          <w:rFonts w:ascii="ITC Avant Garde" w:eastAsiaTheme="majorEastAsia" w:hAnsi="ITC Avant Garde" w:cstheme="majorBidi"/>
          <w:bCs/>
          <w:color w:val="000000" w:themeColor="text1"/>
          <w:sz w:val="18"/>
          <w:szCs w:val="18"/>
          <w:lang w:val="es-ES_tradnl"/>
        </w:rPr>
        <w:t xml:space="preserve"> </w:t>
      </w:r>
      <w:r w:rsidR="00FB49E1" w:rsidRPr="00A20F80">
        <w:rPr>
          <w:rFonts w:ascii="ITC Avant Garde" w:eastAsiaTheme="majorEastAsia" w:hAnsi="ITC Avant Garde" w:cstheme="majorBidi"/>
          <w:bCs/>
          <w:color w:val="000000" w:themeColor="text1"/>
          <w:sz w:val="18"/>
          <w:szCs w:val="18"/>
          <w:lang w:val="es-ES_tradnl"/>
        </w:rPr>
        <w:t>enfoque híbrido</w:t>
      </w:r>
      <w:r w:rsidR="00A20F80" w:rsidRPr="00A20F80">
        <w:rPr>
          <w:rFonts w:ascii="ITC Avant Garde" w:eastAsiaTheme="majorEastAsia" w:hAnsi="ITC Avant Garde" w:cstheme="majorBidi"/>
          <w:bCs/>
          <w:color w:val="000000" w:themeColor="text1"/>
          <w:sz w:val="18"/>
          <w:szCs w:val="18"/>
          <w:lang w:val="es-ES_tradnl"/>
        </w:rPr>
        <w:t xml:space="preserve"> </w:t>
      </w:r>
      <w:r>
        <w:rPr>
          <w:rFonts w:ascii="ITC Avant Garde" w:eastAsiaTheme="majorEastAsia" w:hAnsi="ITC Avant Garde" w:cstheme="majorBidi"/>
          <w:bCs/>
          <w:color w:val="000000" w:themeColor="text1"/>
          <w:sz w:val="18"/>
          <w:szCs w:val="18"/>
          <w:lang w:val="es-ES_tradnl"/>
        </w:rPr>
        <w:t>ante la incertidumbre o ausencia de datos relevantes. Lo anterior en el entendido de que esta postura</w:t>
      </w:r>
      <w:r w:rsidR="00A20F80" w:rsidRPr="00A20F80">
        <w:rPr>
          <w:rFonts w:ascii="ITC Avant Garde" w:eastAsiaTheme="majorEastAsia" w:hAnsi="ITC Avant Garde" w:cstheme="majorBidi"/>
          <w:bCs/>
          <w:color w:val="000000" w:themeColor="text1"/>
          <w:sz w:val="18"/>
          <w:szCs w:val="18"/>
          <w:lang w:val="es-ES_tradnl"/>
        </w:rPr>
        <w:t xml:space="preserve"> </w:t>
      </w:r>
      <w:r>
        <w:rPr>
          <w:rFonts w:ascii="ITC Avant Garde" w:eastAsiaTheme="majorEastAsia" w:hAnsi="ITC Avant Garde" w:cstheme="majorBidi"/>
          <w:bCs/>
          <w:color w:val="000000" w:themeColor="text1"/>
          <w:sz w:val="18"/>
          <w:szCs w:val="18"/>
          <w:lang w:val="es-ES_tradnl"/>
        </w:rPr>
        <w:t xml:space="preserve"> </w:t>
      </w:r>
      <w:r w:rsidR="00A20F80" w:rsidRPr="00A20F80">
        <w:rPr>
          <w:rFonts w:ascii="ITC Avant Garde" w:eastAsiaTheme="majorEastAsia" w:hAnsi="ITC Avant Garde" w:cstheme="majorBidi"/>
          <w:bCs/>
          <w:color w:val="000000" w:themeColor="text1"/>
          <w:sz w:val="18"/>
          <w:szCs w:val="18"/>
          <w:lang w:val="es-ES_tradnl"/>
        </w:rPr>
        <w:t xml:space="preserve">se alinea con las mejores prácticas internacionales, </w:t>
      </w:r>
      <w:r w:rsidR="00E01CC2">
        <w:rPr>
          <w:rFonts w:ascii="ITC Avant Garde" w:eastAsiaTheme="majorEastAsia" w:hAnsi="ITC Avant Garde" w:cstheme="majorBidi"/>
          <w:bCs/>
          <w:color w:val="000000" w:themeColor="text1"/>
          <w:sz w:val="18"/>
          <w:szCs w:val="18"/>
          <w:lang w:val="es-ES_tradnl"/>
        </w:rPr>
        <w:t>siendo</w:t>
      </w:r>
      <w:r>
        <w:rPr>
          <w:rFonts w:ascii="ITC Avant Garde" w:eastAsiaTheme="majorEastAsia" w:hAnsi="ITC Avant Garde" w:cstheme="majorBidi"/>
          <w:bCs/>
          <w:color w:val="000000" w:themeColor="text1"/>
          <w:sz w:val="18"/>
          <w:szCs w:val="18"/>
          <w:lang w:val="es-ES_tradnl"/>
        </w:rPr>
        <w:t xml:space="preserve"> más transparente y </w:t>
      </w:r>
      <w:r w:rsidR="00FB49E1" w:rsidRPr="00A20F80">
        <w:rPr>
          <w:rFonts w:ascii="ITC Avant Garde" w:eastAsiaTheme="majorEastAsia" w:hAnsi="ITC Avant Garde" w:cstheme="majorBidi"/>
          <w:bCs/>
          <w:color w:val="000000" w:themeColor="text1"/>
          <w:sz w:val="18"/>
          <w:szCs w:val="18"/>
          <w:lang w:val="es-ES_tradnl"/>
        </w:rPr>
        <w:t>robust</w:t>
      </w:r>
      <w:r>
        <w:rPr>
          <w:rFonts w:ascii="ITC Avant Garde" w:eastAsiaTheme="majorEastAsia" w:hAnsi="ITC Avant Garde" w:cstheme="majorBidi"/>
          <w:bCs/>
          <w:color w:val="000000" w:themeColor="text1"/>
          <w:sz w:val="18"/>
          <w:szCs w:val="18"/>
          <w:lang w:val="es-ES_tradnl"/>
        </w:rPr>
        <w:t>a</w:t>
      </w:r>
      <w:r w:rsidR="00FB49E1" w:rsidRPr="00A20F80">
        <w:rPr>
          <w:rFonts w:ascii="ITC Avant Garde" w:eastAsiaTheme="majorEastAsia" w:hAnsi="ITC Avant Garde" w:cstheme="majorBidi"/>
          <w:bCs/>
          <w:color w:val="000000" w:themeColor="text1"/>
          <w:sz w:val="18"/>
          <w:szCs w:val="18"/>
          <w:lang w:val="es-ES_tradnl"/>
        </w:rPr>
        <w:t xml:space="preserve"> al </w:t>
      </w:r>
      <w:r>
        <w:rPr>
          <w:rFonts w:ascii="ITC Avant Garde" w:eastAsiaTheme="majorEastAsia" w:hAnsi="ITC Avant Garde" w:cstheme="majorBidi"/>
          <w:bCs/>
          <w:color w:val="000000" w:themeColor="text1"/>
          <w:sz w:val="18"/>
          <w:szCs w:val="18"/>
          <w:lang w:val="es-ES_tradnl"/>
        </w:rPr>
        <w:t>emplear</w:t>
      </w:r>
      <w:r w:rsidRPr="00A20F80">
        <w:rPr>
          <w:rFonts w:ascii="ITC Avant Garde" w:eastAsiaTheme="majorEastAsia" w:hAnsi="ITC Avant Garde" w:cstheme="majorBidi"/>
          <w:bCs/>
          <w:color w:val="000000" w:themeColor="text1"/>
          <w:sz w:val="18"/>
          <w:szCs w:val="18"/>
          <w:lang w:val="es-ES_tradnl"/>
        </w:rPr>
        <w:t xml:space="preserve"> </w:t>
      </w:r>
      <w:r w:rsidR="00A20F80" w:rsidRPr="00A20F80">
        <w:rPr>
          <w:rFonts w:ascii="ITC Avant Garde" w:eastAsiaTheme="majorEastAsia" w:hAnsi="ITC Avant Garde" w:cstheme="majorBidi"/>
          <w:bCs/>
          <w:color w:val="000000" w:themeColor="text1"/>
          <w:sz w:val="18"/>
          <w:szCs w:val="18"/>
          <w:lang w:val="es-ES_tradnl"/>
        </w:rPr>
        <w:t xml:space="preserve">para </w:t>
      </w:r>
      <w:r w:rsidR="00FB49E1" w:rsidRPr="00A20F80">
        <w:rPr>
          <w:rFonts w:ascii="ITC Avant Garde" w:eastAsiaTheme="majorEastAsia" w:hAnsi="ITC Avant Garde" w:cstheme="majorBidi"/>
          <w:bCs/>
          <w:color w:val="000000" w:themeColor="text1"/>
          <w:sz w:val="18"/>
          <w:szCs w:val="18"/>
          <w:lang w:val="es-ES_tradnl"/>
        </w:rPr>
        <w:t>su calibración en información pr</w:t>
      </w:r>
      <w:r w:rsidR="00A20F80" w:rsidRPr="00A20F80">
        <w:rPr>
          <w:rFonts w:ascii="ITC Avant Garde" w:eastAsiaTheme="majorEastAsia" w:hAnsi="ITC Avant Garde" w:cstheme="majorBidi"/>
          <w:bCs/>
          <w:color w:val="000000" w:themeColor="text1"/>
          <w:sz w:val="18"/>
          <w:szCs w:val="18"/>
          <w:lang w:val="es-ES_tradnl"/>
        </w:rPr>
        <w:t>ovista directamente por el AEP</w:t>
      </w:r>
      <w:r w:rsidR="00FB49E1" w:rsidRPr="00A20F80">
        <w:rPr>
          <w:rFonts w:ascii="ITC Avant Garde" w:eastAsiaTheme="majorEastAsia" w:hAnsi="ITC Avant Garde" w:cstheme="majorBidi"/>
          <w:bCs/>
          <w:color w:val="000000" w:themeColor="text1"/>
          <w:sz w:val="18"/>
          <w:szCs w:val="18"/>
          <w:lang w:val="es-ES_tradnl"/>
        </w:rPr>
        <w:t xml:space="preserve">. </w:t>
      </w:r>
    </w:p>
    <w:p w14:paraId="342A79DC" w14:textId="77777777" w:rsidR="009803EB" w:rsidRPr="00A918A4" w:rsidRDefault="009803EB" w:rsidP="009803EB">
      <w:pPr>
        <w:pStyle w:val="Ttulo2"/>
        <w:rPr>
          <w:rFonts w:ascii="ITC Avant Garde" w:hAnsi="ITC Avant Garde"/>
          <w:sz w:val="18"/>
          <w:szCs w:val="18"/>
          <w:lang w:val="es-ES_tradnl"/>
        </w:rPr>
      </w:pPr>
      <w:r w:rsidRPr="00A918A4">
        <w:rPr>
          <w:rFonts w:ascii="ITC Avant Garde" w:hAnsi="ITC Avant Garde"/>
          <w:sz w:val="18"/>
          <w:szCs w:val="18"/>
          <w:lang w:val="es-ES_tradnl"/>
        </w:rPr>
        <w:t xml:space="preserve">Aspectos relacionados con las principales variables del modelo </w:t>
      </w:r>
    </w:p>
    <w:p w14:paraId="342A79DD" w14:textId="77777777" w:rsidR="009803EB" w:rsidRPr="00A918A4" w:rsidRDefault="009803EB" w:rsidP="009803EB">
      <w:pPr>
        <w:pStyle w:val="Ttulo3"/>
        <w:rPr>
          <w:rFonts w:ascii="ITC Avant Garde" w:hAnsi="ITC Avant Garde"/>
          <w:sz w:val="18"/>
          <w:szCs w:val="18"/>
          <w:lang w:val="es-ES_tradnl"/>
        </w:rPr>
      </w:pPr>
      <w:r w:rsidRPr="00A918A4">
        <w:rPr>
          <w:rFonts w:ascii="ITC Avant Garde" w:hAnsi="ITC Avant Garde"/>
          <w:sz w:val="18"/>
          <w:szCs w:val="18"/>
          <w:lang w:val="es-ES_tradnl"/>
        </w:rPr>
        <w:t>Características del sitio</w:t>
      </w:r>
    </w:p>
    <w:p w14:paraId="342A79DE" w14:textId="77777777" w:rsidR="0093118C" w:rsidRDefault="0093118C" w:rsidP="0093118C">
      <w:pPr>
        <w:rPr>
          <w:rFonts w:ascii="ITC Avant Garde" w:hAnsi="ITC Avant Garde"/>
          <w:b/>
          <w:sz w:val="18"/>
          <w:szCs w:val="18"/>
          <w:lang w:val="es-ES_tradnl"/>
        </w:rPr>
      </w:pPr>
      <w:r w:rsidRPr="0093118C">
        <w:rPr>
          <w:rFonts w:ascii="ITC Avant Garde" w:hAnsi="ITC Avant Garde"/>
          <w:b/>
          <w:sz w:val="18"/>
          <w:szCs w:val="18"/>
          <w:lang w:val="es-ES_tradnl"/>
        </w:rPr>
        <w:t xml:space="preserve">Q.5: ¿Está de acuerdo con la elección de variables utilizadas en el modelo? </w:t>
      </w:r>
    </w:p>
    <w:p w14:paraId="78692CAF" w14:textId="0DF31B25" w:rsidR="003D63B0" w:rsidRDefault="003D63B0" w:rsidP="00483FD1">
      <w:pPr>
        <w:rPr>
          <w:rFonts w:ascii="ITC Avant Garde" w:hAnsi="ITC Avant Garde"/>
          <w:sz w:val="18"/>
          <w:szCs w:val="18"/>
          <w:lang w:val="es-ES_tradnl"/>
        </w:rPr>
      </w:pPr>
      <w:r w:rsidRPr="007F6C1D">
        <w:rPr>
          <w:rFonts w:ascii="ITC Avant Garde" w:hAnsi="ITC Avant Garde"/>
          <w:i/>
          <w:sz w:val="18"/>
          <w:szCs w:val="18"/>
          <w:u w:val="single"/>
          <w:lang w:val="es-ES_tradnl"/>
        </w:rPr>
        <w:t>Resumen de comentarios de la Consulta Pública</w:t>
      </w:r>
    </w:p>
    <w:p w14:paraId="342A79DF" w14:textId="5676D7E7" w:rsidR="00483FD1" w:rsidRDefault="00F26C99" w:rsidP="00483FD1">
      <w:pPr>
        <w:rPr>
          <w:rFonts w:ascii="ITC Avant Garde" w:hAnsi="ITC Avant Garde"/>
          <w:sz w:val="18"/>
          <w:szCs w:val="18"/>
          <w:lang w:val="es-ES_tradnl"/>
        </w:rPr>
      </w:pPr>
      <w:r>
        <w:rPr>
          <w:rFonts w:ascii="ITC Avant Garde" w:hAnsi="ITC Avant Garde"/>
          <w:sz w:val="18"/>
          <w:szCs w:val="18"/>
          <w:lang w:val="es-ES_tradnl"/>
        </w:rPr>
        <w:lastRenderedPageBreak/>
        <w:t>Al respecto, un conjunto de participantes</w:t>
      </w:r>
      <w:r w:rsidR="00483FD1" w:rsidRPr="00483FD1">
        <w:rPr>
          <w:rFonts w:ascii="ITC Avant Garde" w:hAnsi="ITC Avant Garde"/>
          <w:sz w:val="18"/>
          <w:szCs w:val="18"/>
          <w:lang w:val="es-ES_tradnl"/>
        </w:rPr>
        <w:t xml:space="preserve"> [Axtel, Lester García, Telefónica y Total Play] consideran</w:t>
      </w:r>
      <w:r w:rsidR="00483FD1">
        <w:rPr>
          <w:rFonts w:ascii="ITC Avant Garde" w:hAnsi="ITC Avant Garde"/>
          <w:sz w:val="18"/>
          <w:szCs w:val="18"/>
          <w:lang w:val="es-ES_tradnl"/>
        </w:rPr>
        <w:t xml:space="preserve"> adecuadas las variables utilizadas en el modelo de coubicación.</w:t>
      </w:r>
    </w:p>
    <w:p w14:paraId="27EE0A3C" w14:textId="77777777" w:rsidR="00F26C99" w:rsidRDefault="00F26C99" w:rsidP="00F26C99">
      <w:pPr>
        <w:rPr>
          <w:rFonts w:ascii="ITC Avant Garde" w:hAnsi="ITC Avant Garde"/>
          <w:i/>
          <w:sz w:val="18"/>
          <w:szCs w:val="18"/>
          <w:u w:val="single"/>
          <w:lang w:val="es-ES_tradnl"/>
        </w:rPr>
      </w:pPr>
      <w:r w:rsidRPr="00E45AEA">
        <w:rPr>
          <w:rFonts w:ascii="ITC Avant Garde" w:hAnsi="ITC Avant Garde"/>
          <w:i/>
          <w:sz w:val="18"/>
          <w:szCs w:val="18"/>
          <w:u w:val="single"/>
          <w:lang w:val="es-ES_tradnl"/>
        </w:rPr>
        <w:t>Respuesta del Instituto</w:t>
      </w:r>
    </w:p>
    <w:p w14:paraId="1F63BD53" w14:textId="720B6840" w:rsidR="00F26C99" w:rsidRPr="00F816B9" w:rsidRDefault="00F26C99" w:rsidP="00F26C99">
      <w:pPr>
        <w:rPr>
          <w:rFonts w:ascii="ITC Avant Garde" w:hAnsi="ITC Avant Garde"/>
          <w:sz w:val="18"/>
          <w:szCs w:val="18"/>
          <w:lang w:val="es-ES_tradnl"/>
        </w:rPr>
      </w:pPr>
      <w:r>
        <w:rPr>
          <w:rFonts w:ascii="ITC Avant Garde" w:hAnsi="ITC Avant Garde"/>
          <w:sz w:val="18"/>
          <w:szCs w:val="18"/>
          <w:lang w:val="es-ES_tradnl"/>
        </w:rPr>
        <w:t>El Instituto no tiene manifestaciones particulares en torno a los comentarios recibidos sobre la pregunta en comento.</w:t>
      </w:r>
    </w:p>
    <w:p w14:paraId="342A79E0" w14:textId="77777777" w:rsidR="00190BCF" w:rsidRDefault="0093118C" w:rsidP="0093118C">
      <w:pPr>
        <w:rPr>
          <w:rFonts w:ascii="ITC Avant Garde" w:hAnsi="ITC Avant Garde"/>
          <w:b/>
          <w:sz w:val="18"/>
          <w:szCs w:val="18"/>
          <w:lang w:val="es-ES_tradnl"/>
        </w:rPr>
      </w:pPr>
      <w:r w:rsidRPr="0093118C">
        <w:rPr>
          <w:rFonts w:ascii="ITC Avant Garde" w:hAnsi="ITC Avant Garde"/>
          <w:b/>
          <w:sz w:val="18"/>
          <w:szCs w:val="18"/>
          <w:lang w:val="es-ES_tradnl"/>
        </w:rPr>
        <w:t>Q.6: ¿Tiene algún comentario relativo a las características y variables que el usuario puede definir en el modelo?</w:t>
      </w:r>
    </w:p>
    <w:p w14:paraId="426503F4" w14:textId="5B116E39" w:rsidR="003D63B0" w:rsidRDefault="003D63B0" w:rsidP="00483FD1">
      <w:pPr>
        <w:rPr>
          <w:rFonts w:ascii="ITC Avant Garde" w:hAnsi="ITC Avant Garde"/>
          <w:sz w:val="18"/>
          <w:szCs w:val="18"/>
          <w:lang w:val="es-ES_tradnl"/>
        </w:rPr>
      </w:pPr>
      <w:r w:rsidRPr="007F6C1D">
        <w:rPr>
          <w:rFonts w:ascii="ITC Avant Garde" w:hAnsi="ITC Avant Garde"/>
          <w:i/>
          <w:sz w:val="18"/>
          <w:szCs w:val="18"/>
          <w:u w:val="single"/>
          <w:lang w:val="es-ES_tradnl"/>
        </w:rPr>
        <w:t>Resumen de comentarios de la Consulta Pública</w:t>
      </w:r>
    </w:p>
    <w:p w14:paraId="342A79E1" w14:textId="34603198" w:rsidR="00483FD1" w:rsidRPr="00F816B9" w:rsidRDefault="00A20F80" w:rsidP="00483FD1">
      <w:pPr>
        <w:rPr>
          <w:rFonts w:ascii="ITC Avant Garde" w:hAnsi="ITC Avant Garde"/>
          <w:sz w:val="18"/>
          <w:szCs w:val="18"/>
          <w:lang w:val="es-ES_tradnl"/>
        </w:rPr>
      </w:pPr>
      <w:r>
        <w:rPr>
          <w:rFonts w:ascii="ITC Avant Garde" w:hAnsi="ITC Avant Garde"/>
          <w:sz w:val="18"/>
          <w:szCs w:val="18"/>
          <w:lang w:val="es-ES_tradnl"/>
        </w:rPr>
        <w:t>Al respecto, ciertos participantes</w:t>
      </w:r>
      <w:r w:rsidR="00483FD1">
        <w:rPr>
          <w:rFonts w:ascii="ITC Avant Garde" w:hAnsi="ITC Avant Garde"/>
          <w:sz w:val="18"/>
          <w:szCs w:val="18"/>
          <w:lang w:val="es-ES_tradnl"/>
        </w:rPr>
        <w:t xml:space="preserve"> [</w:t>
      </w:r>
      <w:r>
        <w:rPr>
          <w:rFonts w:ascii="ITC Avant Garde" w:hAnsi="ITC Avant Garde"/>
          <w:sz w:val="18"/>
          <w:szCs w:val="18"/>
          <w:lang w:val="es-ES_tradnl"/>
        </w:rPr>
        <w:t>Axtel y</w:t>
      </w:r>
      <w:r w:rsidR="00483FD1" w:rsidRPr="00483FD1">
        <w:rPr>
          <w:rFonts w:ascii="ITC Avant Garde" w:hAnsi="ITC Avant Garde"/>
          <w:sz w:val="18"/>
          <w:szCs w:val="18"/>
          <w:lang w:val="es-ES_tradnl"/>
        </w:rPr>
        <w:t xml:space="preserve"> Lester García</w:t>
      </w:r>
      <w:r w:rsidR="00483FD1">
        <w:rPr>
          <w:rFonts w:ascii="ITC Avant Garde" w:hAnsi="ITC Avant Garde"/>
          <w:sz w:val="18"/>
          <w:szCs w:val="18"/>
          <w:lang w:val="es-ES_tradnl"/>
        </w:rPr>
        <w:t xml:space="preserve">] </w:t>
      </w:r>
      <w:r>
        <w:rPr>
          <w:rFonts w:ascii="ITC Avant Garde" w:hAnsi="ITC Avant Garde"/>
          <w:sz w:val="18"/>
          <w:szCs w:val="18"/>
          <w:lang w:val="es-ES_tradnl"/>
        </w:rPr>
        <w:t>consideran que hay</w:t>
      </w:r>
      <w:r w:rsidR="00483FD1">
        <w:rPr>
          <w:rFonts w:ascii="ITC Avant Garde" w:hAnsi="ITC Avant Garde"/>
          <w:sz w:val="18"/>
          <w:szCs w:val="18"/>
          <w:lang w:val="es-ES_tradnl"/>
        </w:rPr>
        <w:t xml:space="preserve"> incertidumbre </w:t>
      </w:r>
      <w:r>
        <w:rPr>
          <w:rFonts w:ascii="ITC Avant Garde" w:hAnsi="ITC Avant Garde"/>
          <w:sz w:val="18"/>
          <w:szCs w:val="18"/>
          <w:lang w:val="es-ES_tradnl"/>
        </w:rPr>
        <w:t xml:space="preserve">respecto a los criterios a emplear por el regulador para </w:t>
      </w:r>
      <w:r w:rsidR="00483FD1">
        <w:rPr>
          <w:rFonts w:ascii="ITC Avant Garde" w:hAnsi="ITC Avant Garde"/>
          <w:sz w:val="18"/>
          <w:szCs w:val="18"/>
          <w:lang w:val="es-ES_tradnl"/>
        </w:rPr>
        <w:t xml:space="preserve">la fijación </w:t>
      </w:r>
      <w:r w:rsidRPr="00A20F80">
        <w:rPr>
          <w:rFonts w:ascii="ITC Avant Garde" w:hAnsi="ITC Avant Garde"/>
          <w:sz w:val="18"/>
          <w:szCs w:val="18"/>
          <w:lang w:val="es-ES_tradnl"/>
        </w:rPr>
        <w:t>las características y variables que el usuario puede definir en el modelo</w:t>
      </w:r>
      <w:r>
        <w:rPr>
          <w:rFonts w:ascii="ITC Avant Garde" w:hAnsi="ITC Avant Garde"/>
          <w:sz w:val="18"/>
          <w:szCs w:val="18"/>
          <w:lang w:val="es-ES_tradnl"/>
        </w:rPr>
        <w:t xml:space="preserve">, así como que no es claro </w:t>
      </w:r>
      <w:r w:rsidR="00C554DA">
        <w:rPr>
          <w:rFonts w:ascii="ITC Avant Garde" w:hAnsi="ITC Avant Garde"/>
          <w:sz w:val="18"/>
          <w:szCs w:val="18"/>
          <w:lang w:val="es-ES_tradnl"/>
        </w:rPr>
        <w:t>quiénes</w:t>
      </w:r>
      <w:r>
        <w:rPr>
          <w:rFonts w:ascii="ITC Avant Garde" w:hAnsi="ITC Avant Garde"/>
          <w:sz w:val="18"/>
          <w:szCs w:val="18"/>
          <w:lang w:val="es-ES_tradnl"/>
        </w:rPr>
        <w:t xml:space="preserve"> </w:t>
      </w:r>
      <w:r w:rsidR="00C554DA">
        <w:rPr>
          <w:rFonts w:ascii="ITC Avant Garde" w:hAnsi="ITC Avant Garde"/>
          <w:sz w:val="18"/>
          <w:szCs w:val="18"/>
          <w:lang w:val="es-ES_tradnl"/>
        </w:rPr>
        <w:t xml:space="preserve">serán </w:t>
      </w:r>
      <w:r>
        <w:rPr>
          <w:rFonts w:ascii="ITC Avant Garde" w:hAnsi="ITC Avant Garde"/>
          <w:sz w:val="18"/>
          <w:szCs w:val="18"/>
          <w:lang w:val="es-ES_tradnl"/>
        </w:rPr>
        <w:t>los usuarios del modelo (el Instituto</w:t>
      </w:r>
      <w:r w:rsidR="00483FD1">
        <w:rPr>
          <w:rFonts w:ascii="ITC Avant Garde" w:hAnsi="ITC Avant Garde"/>
          <w:sz w:val="18"/>
          <w:szCs w:val="18"/>
          <w:lang w:val="es-ES_tradnl"/>
        </w:rPr>
        <w:t xml:space="preserve"> o </w:t>
      </w:r>
      <w:r>
        <w:rPr>
          <w:rFonts w:ascii="ITC Avant Garde" w:hAnsi="ITC Avant Garde"/>
          <w:sz w:val="18"/>
          <w:szCs w:val="18"/>
          <w:lang w:val="es-ES_tradnl"/>
        </w:rPr>
        <w:t xml:space="preserve">los </w:t>
      </w:r>
      <w:r w:rsidR="00483FD1">
        <w:rPr>
          <w:rFonts w:ascii="ITC Avant Garde" w:hAnsi="ITC Avant Garde"/>
          <w:sz w:val="18"/>
          <w:szCs w:val="18"/>
          <w:lang w:val="es-ES_tradnl"/>
        </w:rPr>
        <w:t>CS</w:t>
      </w:r>
      <w:r>
        <w:rPr>
          <w:rFonts w:ascii="ITC Avant Garde" w:hAnsi="ITC Avant Garde"/>
          <w:sz w:val="18"/>
          <w:szCs w:val="18"/>
          <w:lang w:val="es-ES_tradnl"/>
        </w:rPr>
        <w:t>)</w:t>
      </w:r>
      <w:r w:rsidR="00483FD1">
        <w:rPr>
          <w:rFonts w:ascii="ITC Avant Garde" w:hAnsi="ITC Avant Garde"/>
          <w:sz w:val="18"/>
          <w:szCs w:val="18"/>
          <w:lang w:val="es-ES_tradnl"/>
        </w:rPr>
        <w:t xml:space="preserve">. </w:t>
      </w:r>
    </w:p>
    <w:p w14:paraId="342A79E2" w14:textId="0AB77799" w:rsidR="00A82D26" w:rsidRPr="00A82D26" w:rsidRDefault="00A20F80" w:rsidP="0093118C">
      <w:pPr>
        <w:rPr>
          <w:rFonts w:ascii="ITC Avant Garde" w:hAnsi="ITC Avant Garde"/>
          <w:sz w:val="18"/>
          <w:szCs w:val="18"/>
          <w:lang w:val="es-ES_tradnl"/>
        </w:rPr>
      </w:pPr>
      <w:r>
        <w:rPr>
          <w:rFonts w:ascii="ITC Avant Garde" w:hAnsi="ITC Avant Garde"/>
          <w:sz w:val="18"/>
          <w:szCs w:val="18"/>
          <w:lang w:val="es-ES_tradnl"/>
        </w:rPr>
        <w:t>En complemento, otro de los participantes</w:t>
      </w:r>
      <w:r w:rsidR="00A82D26" w:rsidRPr="00A82D26">
        <w:rPr>
          <w:rFonts w:ascii="ITC Avant Garde" w:hAnsi="ITC Avant Garde"/>
          <w:sz w:val="18"/>
          <w:szCs w:val="18"/>
          <w:lang w:val="es-ES_tradnl"/>
        </w:rPr>
        <w:t xml:space="preserve"> [Telefónica] </w:t>
      </w:r>
      <w:r w:rsidR="00483FD1">
        <w:rPr>
          <w:rFonts w:ascii="ITC Avant Garde" w:hAnsi="ITC Avant Garde"/>
          <w:sz w:val="18"/>
          <w:szCs w:val="18"/>
          <w:lang w:val="es-ES_tradnl"/>
        </w:rPr>
        <w:t>señala</w:t>
      </w:r>
      <w:r w:rsidR="00A82D26" w:rsidRPr="00A82D26">
        <w:rPr>
          <w:rFonts w:ascii="ITC Avant Garde" w:hAnsi="ITC Avant Garde"/>
          <w:sz w:val="18"/>
          <w:szCs w:val="18"/>
          <w:lang w:val="es-ES_tradnl"/>
        </w:rPr>
        <w:t xml:space="preserve"> que no se tiene en cuenta si la central es “grande” o “pequeña”</w:t>
      </w:r>
      <w:r w:rsidR="00675DBB">
        <w:rPr>
          <w:rFonts w:ascii="ITC Avant Garde" w:hAnsi="ITC Avant Garde"/>
          <w:sz w:val="18"/>
          <w:szCs w:val="18"/>
          <w:lang w:val="es-ES_tradnl"/>
        </w:rPr>
        <w:t>.</w:t>
      </w:r>
    </w:p>
    <w:p w14:paraId="697B9953" w14:textId="77777777" w:rsidR="00141720" w:rsidRDefault="00141720" w:rsidP="00EC36CC">
      <w:pPr>
        <w:pStyle w:val="Listaconvietas"/>
        <w:numPr>
          <w:ilvl w:val="0"/>
          <w:numId w:val="0"/>
        </w:numPr>
        <w:rPr>
          <w:rFonts w:ascii="ITC Avant Garde" w:eastAsiaTheme="majorEastAsia" w:hAnsi="ITC Avant Garde" w:cstheme="majorBidi"/>
          <w:bCs/>
          <w:color w:val="548DD4" w:themeColor="text2" w:themeTint="99"/>
          <w:sz w:val="18"/>
          <w:szCs w:val="18"/>
          <w:lang w:val="es-ES_tradnl"/>
        </w:rPr>
      </w:pPr>
      <w:r w:rsidRPr="00E45AEA">
        <w:rPr>
          <w:rFonts w:ascii="ITC Avant Garde" w:hAnsi="ITC Avant Garde"/>
          <w:i/>
          <w:sz w:val="18"/>
          <w:szCs w:val="18"/>
          <w:u w:val="single"/>
          <w:lang w:val="es-ES_tradnl"/>
        </w:rPr>
        <w:t>Respuesta del Instituto</w:t>
      </w:r>
      <w:r w:rsidRPr="00BA70D0">
        <w:rPr>
          <w:rFonts w:ascii="ITC Avant Garde" w:eastAsiaTheme="majorEastAsia" w:hAnsi="ITC Avant Garde" w:cstheme="majorBidi"/>
          <w:bCs/>
          <w:color w:val="548DD4" w:themeColor="text2" w:themeTint="99"/>
          <w:sz w:val="18"/>
          <w:szCs w:val="18"/>
          <w:lang w:val="es-ES_tradnl"/>
        </w:rPr>
        <w:t xml:space="preserve"> </w:t>
      </w:r>
    </w:p>
    <w:p w14:paraId="7DD80653" w14:textId="46DC4CEE" w:rsidR="005365E1" w:rsidRPr="00153EA3" w:rsidRDefault="005365E1" w:rsidP="005365E1">
      <w:pPr>
        <w:pStyle w:val="Listaconvietas"/>
        <w:numPr>
          <w:ilvl w:val="0"/>
          <w:numId w:val="0"/>
        </w:numPr>
        <w:rPr>
          <w:rFonts w:ascii="ITC Avant Garde" w:eastAsiaTheme="majorEastAsia" w:hAnsi="ITC Avant Garde" w:cstheme="majorBidi"/>
          <w:bCs/>
          <w:color w:val="000000" w:themeColor="text1"/>
          <w:sz w:val="18"/>
          <w:szCs w:val="18"/>
          <w:lang w:val="es-ES_tradnl"/>
        </w:rPr>
      </w:pPr>
      <w:r w:rsidRPr="00153EA3">
        <w:rPr>
          <w:rFonts w:ascii="ITC Avant Garde" w:eastAsiaTheme="majorEastAsia" w:hAnsi="ITC Avant Garde" w:cstheme="majorBidi"/>
          <w:bCs/>
          <w:color w:val="000000" w:themeColor="text1"/>
          <w:sz w:val="18"/>
          <w:szCs w:val="18"/>
          <w:lang w:val="es-ES_tradnl"/>
        </w:rPr>
        <w:t xml:space="preserve">En torno a quien será el usuario del modelo, se destaca que conforme al artículo 15, fracción I de la </w:t>
      </w:r>
      <w:r w:rsidR="00153EA3" w:rsidRPr="00153EA3">
        <w:rPr>
          <w:rFonts w:ascii="ITC Avant Garde" w:eastAsiaTheme="majorEastAsia" w:hAnsi="ITC Avant Garde" w:cstheme="majorBidi"/>
          <w:bCs/>
          <w:color w:val="000000" w:themeColor="text1"/>
          <w:sz w:val="18"/>
          <w:szCs w:val="18"/>
          <w:lang w:val="es-ES_tradnl"/>
        </w:rPr>
        <w:t xml:space="preserve">Ley Federal de Telecomunicaciones y Radiodifusión </w:t>
      </w:r>
      <w:r w:rsidR="00153EA3">
        <w:rPr>
          <w:rFonts w:ascii="ITC Avant Garde" w:eastAsiaTheme="majorEastAsia" w:hAnsi="ITC Avant Garde" w:cstheme="majorBidi"/>
          <w:bCs/>
          <w:color w:val="000000" w:themeColor="text1"/>
          <w:sz w:val="18"/>
          <w:szCs w:val="18"/>
          <w:lang w:val="es-ES_tradnl"/>
        </w:rPr>
        <w:t>(“</w:t>
      </w:r>
      <w:r w:rsidRPr="00153EA3">
        <w:rPr>
          <w:rFonts w:ascii="ITC Avant Garde" w:eastAsiaTheme="majorEastAsia" w:hAnsi="ITC Avant Garde" w:cstheme="majorBidi"/>
          <w:bCs/>
          <w:color w:val="000000" w:themeColor="text1"/>
          <w:sz w:val="18"/>
          <w:szCs w:val="18"/>
          <w:lang w:val="es-ES_tradnl"/>
        </w:rPr>
        <w:t>LFTyR</w:t>
      </w:r>
      <w:r w:rsidR="00153EA3">
        <w:rPr>
          <w:rFonts w:ascii="ITC Avant Garde" w:eastAsiaTheme="majorEastAsia" w:hAnsi="ITC Avant Garde" w:cstheme="majorBidi"/>
          <w:bCs/>
          <w:color w:val="000000" w:themeColor="text1"/>
          <w:sz w:val="18"/>
          <w:szCs w:val="18"/>
          <w:lang w:val="es-ES_tradnl"/>
        </w:rPr>
        <w:t>”)</w:t>
      </w:r>
      <w:r w:rsidRPr="00153EA3">
        <w:rPr>
          <w:rFonts w:ascii="ITC Avant Garde" w:eastAsiaTheme="majorEastAsia" w:hAnsi="ITC Avant Garde" w:cstheme="majorBidi"/>
          <w:bCs/>
          <w:color w:val="000000" w:themeColor="text1"/>
          <w:sz w:val="18"/>
          <w:szCs w:val="18"/>
          <w:lang w:val="es-ES_tradnl"/>
        </w:rPr>
        <w:t xml:space="preserve">, el Instituto posee la facultad </w:t>
      </w:r>
      <w:r w:rsidR="00153EA3" w:rsidRPr="00153EA3">
        <w:rPr>
          <w:rFonts w:ascii="ITC Avant Garde" w:eastAsiaTheme="majorEastAsia" w:hAnsi="ITC Avant Garde" w:cstheme="majorBidi"/>
          <w:bCs/>
          <w:color w:val="000000" w:themeColor="text1"/>
          <w:sz w:val="18"/>
          <w:szCs w:val="18"/>
          <w:lang w:val="es-ES_tradnl"/>
        </w:rPr>
        <w:t xml:space="preserve">expedir </w:t>
      </w:r>
      <w:r w:rsidRPr="00153EA3">
        <w:rPr>
          <w:rFonts w:ascii="ITC Avant Garde" w:eastAsiaTheme="majorEastAsia" w:hAnsi="ITC Avant Garde" w:cstheme="majorBidi"/>
          <w:bCs/>
          <w:color w:val="000000" w:themeColor="text1"/>
          <w:sz w:val="18"/>
          <w:szCs w:val="18"/>
          <w:lang w:val="es-ES_tradnl"/>
        </w:rPr>
        <w:t>modelo</w:t>
      </w:r>
      <w:r w:rsidR="00153EA3" w:rsidRPr="00153EA3">
        <w:rPr>
          <w:rFonts w:ascii="ITC Avant Garde" w:eastAsiaTheme="majorEastAsia" w:hAnsi="ITC Avant Garde" w:cstheme="majorBidi"/>
          <w:bCs/>
          <w:color w:val="000000" w:themeColor="text1"/>
          <w:sz w:val="18"/>
          <w:szCs w:val="18"/>
          <w:lang w:val="es-ES_tradnl"/>
        </w:rPr>
        <w:t>s</w:t>
      </w:r>
      <w:r w:rsidRPr="00153EA3">
        <w:rPr>
          <w:rFonts w:ascii="ITC Avant Garde" w:eastAsiaTheme="majorEastAsia" w:hAnsi="ITC Avant Garde" w:cstheme="majorBidi"/>
          <w:bCs/>
          <w:color w:val="000000" w:themeColor="text1"/>
          <w:sz w:val="18"/>
          <w:szCs w:val="18"/>
          <w:lang w:val="es-ES_tradnl"/>
        </w:rPr>
        <w:t xml:space="preserve"> de costos</w:t>
      </w:r>
      <w:r w:rsidR="00153EA3" w:rsidRPr="00153EA3">
        <w:rPr>
          <w:rFonts w:ascii="ITC Avant Garde" w:eastAsiaTheme="majorEastAsia" w:hAnsi="ITC Avant Garde" w:cstheme="majorBidi"/>
          <w:bCs/>
          <w:color w:val="000000" w:themeColor="text1"/>
          <w:sz w:val="18"/>
          <w:szCs w:val="18"/>
          <w:lang w:val="es-ES_tradnl"/>
        </w:rPr>
        <w:t>, y que de ellos se desprende e</w:t>
      </w:r>
      <w:r w:rsidRPr="00153EA3">
        <w:rPr>
          <w:rFonts w:ascii="ITC Avant Garde" w:eastAsiaTheme="majorEastAsia" w:hAnsi="ITC Avant Garde" w:cstheme="majorBidi"/>
          <w:bCs/>
          <w:color w:val="000000" w:themeColor="text1"/>
          <w:sz w:val="18"/>
          <w:szCs w:val="18"/>
          <w:lang w:val="es-ES_tradnl"/>
        </w:rPr>
        <w:t xml:space="preserve">n particular, </w:t>
      </w:r>
      <w:r w:rsidR="00153EA3" w:rsidRPr="00153EA3">
        <w:rPr>
          <w:rFonts w:ascii="ITC Avant Garde" w:eastAsiaTheme="majorEastAsia" w:hAnsi="ITC Avant Garde" w:cstheme="majorBidi"/>
          <w:bCs/>
          <w:color w:val="000000" w:themeColor="text1"/>
          <w:sz w:val="18"/>
          <w:szCs w:val="18"/>
          <w:lang w:val="es-ES_tradnl"/>
        </w:rPr>
        <w:t xml:space="preserve">que </w:t>
      </w:r>
      <w:r w:rsidRPr="00153EA3">
        <w:rPr>
          <w:rFonts w:ascii="ITC Avant Garde" w:eastAsiaTheme="majorEastAsia" w:hAnsi="ITC Avant Garde" w:cstheme="majorBidi"/>
          <w:bCs/>
          <w:color w:val="000000" w:themeColor="text1"/>
          <w:sz w:val="18"/>
          <w:szCs w:val="18"/>
          <w:lang w:val="es-ES_tradnl"/>
        </w:rPr>
        <w:t xml:space="preserve">el Instituto tiene la atribución de determinar los parámetros que se involucran en el referido modelo de costos y </w:t>
      </w:r>
      <w:r w:rsidR="00C83981">
        <w:rPr>
          <w:rFonts w:ascii="ITC Avant Garde" w:eastAsiaTheme="majorEastAsia" w:hAnsi="ITC Avant Garde" w:cstheme="majorBidi"/>
          <w:bCs/>
          <w:color w:val="000000" w:themeColor="text1"/>
          <w:sz w:val="18"/>
          <w:szCs w:val="18"/>
          <w:lang w:val="es-ES_tradnl"/>
        </w:rPr>
        <w:t>de</w:t>
      </w:r>
      <w:r w:rsidR="00C83981" w:rsidRPr="00153EA3">
        <w:rPr>
          <w:rFonts w:ascii="ITC Avant Garde" w:eastAsiaTheme="majorEastAsia" w:hAnsi="ITC Avant Garde" w:cstheme="majorBidi"/>
          <w:bCs/>
          <w:color w:val="000000" w:themeColor="text1"/>
          <w:sz w:val="18"/>
          <w:szCs w:val="18"/>
          <w:lang w:val="es-ES_tradnl"/>
        </w:rPr>
        <w:t xml:space="preserve"> </w:t>
      </w:r>
      <w:r w:rsidRPr="00153EA3">
        <w:rPr>
          <w:rFonts w:ascii="ITC Avant Garde" w:eastAsiaTheme="majorEastAsia" w:hAnsi="ITC Avant Garde" w:cstheme="majorBidi"/>
          <w:bCs/>
          <w:color w:val="000000" w:themeColor="text1"/>
          <w:sz w:val="18"/>
          <w:szCs w:val="18"/>
          <w:lang w:val="es-ES_tradnl"/>
        </w:rPr>
        <w:t xml:space="preserve">determinar las tarifas aplicables </w:t>
      </w:r>
      <w:r w:rsidR="00153EA3" w:rsidRPr="00153EA3">
        <w:rPr>
          <w:rFonts w:ascii="ITC Avant Garde" w:eastAsiaTheme="majorEastAsia" w:hAnsi="ITC Avant Garde" w:cstheme="majorBidi"/>
          <w:bCs/>
          <w:color w:val="000000" w:themeColor="text1"/>
          <w:sz w:val="18"/>
          <w:szCs w:val="18"/>
          <w:lang w:val="es-ES_tradnl"/>
        </w:rPr>
        <w:t>a los servicios.</w:t>
      </w:r>
    </w:p>
    <w:p w14:paraId="1359C2F0" w14:textId="2BE80A30" w:rsidR="00153EA3" w:rsidRDefault="00153EA3" w:rsidP="00EC36CC">
      <w:pPr>
        <w:pStyle w:val="Listaconvietas"/>
        <w:numPr>
          <w:ilvl w:val="0"/>
          <w:numId w:val="0"/>
        </w:numPr>
        <w:rPr>
          <w:rFonts w:ascii="ITC Avant Garde" w:eastAsiaTheme="majorEastAsia" w:hAnsi="ITC Avant Garde" w:cstheme="majorBidi"/>
          <w:bCs/>
          <w:color w:val="548DD4" w:themeColor="text2" w:themeTint="99"/>
          <w:sz w:val="18"/>
          <w:szCs w:val="18"/>
          <w:lang w:val="es-ES_tradnl"/>
        </w:rPr>
      </w:pPr>
      <w:r w:rsidRPr="001E015C">
        <w:rPr>
          <w:rFonts w:ascii="ITC Avant Garde" w:hAnsi="ITC Avant Garde"/>
          <w:sz w:val="18"/>
          <w:szCs w:val="18"/>
          <w:lang w:val="es-ES_tradnl"/>
        </w:rPr>
        <w:t xml:space="preserve">En cuanto a los comentarios relativos a que el modelo debe considerar </w:t>
      </w:r>
      <w:r>
        <w:rPr>
          <w:rFonts w:ascii="ITC Avant Garde" w:hAnsi="ITC Avant Garde"/>
          <w:sz w:val="18"/>
          <w:szCs w:val="18"/>
          <w:lang w:val="es-ES_tradnl"/>
        </w:rPr>
        <w:t>el tamaño de la central</w:t>
      </w:r>
      <w:r w:rsidRPr="001E015C">
        <w:rPr>
          <w:rFonts w:ascii="ITC Avant Garde" w:hAnsi="ITC Avant Garde"/>
          <w:sz w:val="18"/>
          <w:szCs w:val="18"/>
          <w:lang w:val="es-ES_tradnl"/>
        </w:rPr>
        <w:t xml:space="preserve">, el Instituto menciona que en la versión actualizada del modelo </w:t>
      </w:r>
      <w:r w:rsidR="008273AC">
        <w:rPr>
          <w:rFonts w:ascii="ITC Avant Garde" w:hAnsi="ITC Avant Garde"/>
          <w:sz w:val="18"/>
          <w:szCs w:val="18"/>
          <w:lang w:val="es-ES_tradnl"/>
        </w:rPr>
        <w:t>se tomarán en cuenta</w:t>
      </w:r>
      <w:r w:rsidRPr="001E015C">
        <w:rPr>
          <w:rFonts w:ascii="ITC Avant Garde" w:hAnsi="ITC Avant Garde"/>
          <w:sz w:val="18"/>
          <w:szCs w:val="18"/>
          <w:lang w:val="es-ES_tradnl"/>
        </w:rPr>
        <w:t xml:space="preserve"> </w:t>
      </w:r>
      <w:r>
        <w:rPr>
          <w:rFonts w:ascii="ITC Avant Garde" w:hAnsi="ITC Avant Garde"/>
          <w:sz w:val="18"/>
          <w:szCs w:val="18"/>
          <w:lang w:val="es-ES_tradnl"/>
        </w:rPr>
        <w:t>las características de tamaño de la central</w:t>
      </w:r>
      <w:r w:rsidR="004C5989">
        <w:rPr>
          <w:rFonts w:ascii="ITC Avant Garde" w:hAnsi="ITC Avant Garde"/>
          <w:sz w:val="18"/>
          <w:szCs w:val="18"/>
          <w:lang w:val="es-ES_tradnl"/>
        </w:rPr>
        <w:t>, considerando que sus dimensiones</w:t>
      </w:r>
      <w:r>
        <w:rPr>
          <w:rFonts w:ascii="ITC Avant Garde" w:hAnsi="ITC Avant Garde"/>
          <w:sz w:val="18"/>
          <w:szCs w:val="18"/>
          <w:lang w:val="es-ES_tradnl"/>
        </w:rPr>
        <w:t xml:space="preserve"> varía</w:t>
      </w:r>
      <w:r w:rsidR="004444AE">
        <w:rPr>
          <w:rFonts w:ascii="ITC Avant Garde" w:hAnsi="ITC Avant Garde"/>
          <w:sz w:val="18"/>
          <w:szCs w:val="18"/>
          <w:lang w:val="es-ES_tradnl"/>
        </w:rPr>
        <w:t>n</w:t>
      </w:r>
      <w:r>
        <w:rPr>
          <w:rFonts w:ascii="ITC Avant Garde" w:hAnsi="ITC Avant Garde"/>
          <w:sz w:val="18"/>
          <w:szCs w:val="18"/>
          <w:lang w:val="es-ES_tradnl"/>
        </w:rPr>
        <w:t xml:space="preserve"> con respecto a la cantidad de </w:t>
      </w:r>
      <w:r w:rsidR="00B63FF4">
        <w:rPr>
          <w:rFonts w:ascii="ITC Avant Garde" w:hAnsi="ITC Avant Garde"/>
          <w:sz w:val="18"/>
          <w:szCs w:val="18"/>
          <w:lang w:val="es-ES_tradnl"/>
        </w:rPr>
        <w:t xml:space="preserve">bucles </w:t>
      </w:r>
      <w:r w:rsidR="004444AE">
        <w:rPr>
          <w:rFonts w:ascii="ITC Avant Garde" w:hAnsi="ITC Avant Garde"/>
          <w:sz w:val="18"/>
          <w:szCs w:val="18"/>
          <w:lang w:val="es-ES_tradnl"/>
        </w:rPr>
        <w:t>asociados a</w:t>
      </w:r>
      <w:r>
        <w:rPr>
          <w:rFonts w:ascii="ITC Avant Garde" w:hAnsi="ITC Avant Garde"/>
          <w:sz w:val="18"/>
          <w:szCs w:val="18"/>
          <w:lang w:val="es-ES_tradnl"/>
        </w:rPr>
        <w:t xml:space="preserve"> ésta</w:t>
      </w:r>
      <w:r w:rsidR="004C5989">
        <w:rPr>
          <w:rFonts w:ascii="ITC Avant Garde" w:hAnsi="ITC Avant Garde"/>
          <w:sz w:val="18"/>
          <w:szCs w:val="18"/>
          <w:lang w:val="es-ES_tradnl"/>
        </w:rPr>
        <w:t>s.</w:t>
      </w:r>
    </w:p>
    <w:p w14:paraId="342A79E5" w14:textId="77777777" w:rsidR="009803EB" w:rsidRPr="005229D2" w:rsidRDefault="009803EB" w:rsidP="005229D2">
      <w:pPr>
        <w:pStyle w:val="Ttulo3"/>
        <w:rPr>
          <w:rFonts w:ascii="ITC Avant Garde" w:hAnsi="ITC Avant Garde"/>
          <w:sz w:val="18"/>
          <w:szCs w:val="18"/>
          <w:lang w:val="es-ES_tradnl"/>
        </w:rPr>
      </w:pPr>
      <w:r w:rsidRPr="00A918A4">
        <w:rPr>
          <w:rFonts w:ascii="ITC Avant Garde" w:hAnsi="ITC Avant Garde"/>
          <w:sz w:val="18"/>
          <w:szCs w:val="18"/>
          <w:lang w:val="es-ES_tradnl"/>
        </w:rPr>
        <w:t>Opciones asociadas a la demanda</w:t>
      </w:r>
    </w:p>
    <w:p w14:paraId="342A79E6" w14:textId="77777777" w:rsidR="009803EB" w:rsidRDefault="0093118C" w:rsidP="009803EB">
      <w:pPr>
        <w:rPr>
          <w:rFonts w:ascii="ITC Avant Garde" w:hAnsi="ITC Avant Garde"/>
          <w:b/>
          <w:sz w:val="18"/>
          <w:szCs w:val="18"/>
          <w:lang w:val="es-ES_tradnl"/>
        </w:rPr>
      </w:pPr>
      <w:r w:rsidRPr="0093118C">
        <w:rPr>
          <w:rFonts w:ascii="ITC Avant Garde" w:hAnsi="ITC Avant Garde"/>
          <w:b/>
          <w:sz w:val="18"/>
          <w:szCs w:val="18"/>
          <w:lang w:val="es-ES_tradnl"/>
        </w:rPr>
        <w:t>Q.</w:t>
      </w:r>
      <w:r w:rsidRPr="0093118C">
        <w:rPr>
          <w:rFonts w:ascii="ITC Avant Garde" w:hAnsi="ITC Avant Garde"/>
          <w:b/>
          <w:sz w:val="18"/>
          <w:szCs w:val="18"/>
          <w:lang w:val="es-ES_tradnl"/>
        </w:rPr>
        <w:fldChar w:fldCharType="begin"/>
      </w:r>
      <w:r w:rsidRPr="0093118C">
        <w:rPr>
          <w:rFonts w:ascii="ITC Avant Garde" w:hAnsi="ITC Avant Garde"/>
          <w:b/>
          <w:sz w:val="18"/>
          <w:szCs w:val="18"/>
          <w:lang w:val="es-ES_tradnl"/>
        </w:rPr>
        <w:instrText xml:space="preserve"> SEQ Recommendation \* ARABIC \s 0 </w:instrText>
      </w:r>
      <w:r w:rsidRPr="0093118C">
        <w:rPr>
          <w:rFonts w:ascii="ITC Avant Garde" w:hAnsi="ITC Avant Garde"/>
          <w:b/>
          <w:sz w:val="18"/>
          <w:szCs w:val="18"/>
          <w:lang w:val="es-ES_tradnl"/>
        </w:rPr>
        <w:fldChar w:fldCharType="separate"/>
      </w:r>
      <w:r w:rsidRPr="0093118C">
        <w:rPr>
          <w:rFonts w:ascii="ITC Avant Garde" w:hAnsi="ITC Avant Garde"/>
          <w:b/>
          <w:sz w:val="18"/>
          <w:szCs w:val="18"/>
          <w:lang w:val="es-ES_tradnl"/>
        </w:rPr>
        <w:t>7</w:t>
      </w:r>
      <w:r w:rsidRPr="0093118C">
        <w:rPr>
          <w:rFonts w:ascii="ITC Avant Garde" w:hAnsi="ITC Avant Garde"/>
          <w:b/>
          <w:sz w:val="18"/>
          <w:szCs w:val="18"/>
          <w:lang w:val="es-ES_tradnl"/>
        </w:rPr>
        <w:fldChar w:fldCharType="end"/>
      </w:r>
      <w:r w:rsidRPr="0093118C">
        <w:rPr>
          <w:rFonts w:ascii="ITC Avant Garde" w:hAnsi="ITC Avant Garde"/>
          <w:b/>
          <w:sz w:val="18"/>
          <w:szCs w:val="18"/>
          <w:lang w:val="es-ES_tradnl"/>
        </w:rPr>
        <w:t>: ¿Está de acuerdo con las características de demanda implementadas en el modelo?</w:t>
      </w:r>
    </w:p>
    <w:p w14:paraId="46BE547A" w14:textId="14E0FFEA" w:rsidR="003D63B0" w:rsidRDefault="003D63B0" w:rsidP="00483FD1">
      <w:pPr>
        <w:rPr>
          <w:rFonts w:ascii="ITC Avant Garde" w:hAnsi="ITC Avant Garde"/>
          <w:sz w:val="18"/>
          <w:szCs w:val="18"/>
          <w:lang w:val="es-ES_tradnl"/>
        </w:rPr>
      </w:pPr>
      <w:r w:rsidRPr="007F6C1D">
        <w:rPr>
          <w:rFonts w:ascii="ITC Avant Garde" w:hAnsi="ITC Avant Garde"/>
          <w:i/>
          <w:sz w:val="18"/>
          <w:szCs w:val="18"/>
          <w:u w:val="single"/>
          <w:lang w:val="es-ES_tradnl"/>
        </w:rPr>
        <w:t>Resumen de comentarios de la Consulta Pública</w:t>
      </w:r>
    </w:p>
    <w:p w14:paraId="342A79E7" w14:textId="4F6E92B3" w:rsidR="00483FD1" w:rsidRDefault="00915351" w:rsidP="00483FD1">
      <w:pPr>
        <w:rPr>
          <w:rFonts w:ascii="ITC Avant Garde" w:hAnsi="ITC Avant Garde"/>
          <w:sz w:val="18"/>
          <w:szCs w:val="18"/>
          <w:lang w:val="es-ES_tradnl"/>
        </w:rPr>
      </w:pPr>
      <w:r>
        <w:rPr>
          <w:rFonts w:ascii="ITC Avant Garde" w:hAnsi="ITC Avant Garde"/>
          <w:sz w:val="18"/>
          <w:szCs w:val="18"/>
          <w:lang w:val="es-ES_tradnl"/>
        </w:rPr>
        <w:t>Al respecto, un participante de la consulta pública</w:t>
      </w:r>
      <w:r w:rsidR="00483FD1" w:rsidRPr="00483FD1">
        <w:rPr>
          <w:rFonts w:ascii="ITC Avant Garde" w:hAnsi="ITC Avant Garde"/>
          <w:sz w:val="18"/>
          <w:szCs w:val="18"/>
          <w:lang w:val="es-ES_tradnl"/>
        </w:rPr>
        <w:t xml:space="preserve"> [Total Play] considera</w:t>
      </w:r>
      <w:r w:rsidR="00483FD1">
        <w:rPr>
          <w:rFonts w:ascii="ITC Avant Garde" w:hAnsi="ITC Avant Garde"/>
          <w:sz w:val="18"/>
          <w:szCs w:val="18"/>
          <w:lang w:val="es-ES_tradnl"/>
        </w:rPr>
        <w:t xml:space="preserve"> que la demanda parece limitada por el horizonte temporal que se considera. </w:t>
      </w:r>
      <w:r>
        <w:rPr>
          <w:rFonts w:ascii="ITC Avant Garde" w:hAnsi="ITC Avant Garde"/>
          <w:sz w:val="18"/>
          <w:szCs w:val="18"/>
          <w:lang w:val="es-ES_tradnl"/>
        </w:rPr>
        <w:t>Asimismo, otro participante</w:t>
      </w:r>
      <w:r w:rsidR="00483FD1">
        <w:rPr>
          <w:rFonts w:ascii="ITC Avant Garde" w:hAnsi="ITC Avant Garde"/>
          <w:sz w:val="18"/>
          <w:szCs w:val="18"/>
          <w:lang w:val="es-ES_tradnl"/>
        </w:rPr>
        <w:t xml:space="preserve"> </w:t>
      </w:r>
      <w:r w:rsidR="00483FD1" w:rsidRPr="00483FD1">
        <w:rPr>
          <w:rFonts w:ascii="ITC Avant Garde" w:hAnsi="ITC Avant Garde"/>
          <w:sz w:val="18"/>
          <w:szCs w:val="18"/>
          <w:lang w:val="es-ES_tradnl"/>
        </w:rPr>
        <w:t>[Axtel] solicita</w:t>
      </w:r>
      <w:r w:rsidR="00483FD1">
        <w:rPr>
          <w:rFonts w:ascii="ITC Avant Garde" w:hAnsi="ITC Avant Garde"/>
          <w:sz w:val="18"/>
          <w:szCs w:val="18"/>
          <w:lang w:val="es-ES_tradnl"/>
        </w:rPr>
        <w:t xml:space="preserve"> la flexibilización de los parámetros relativos a los dimensionamientos que puedan solicitar los CS, </w:t>
      </w:r>
      <w:r>
        <w:rPr>
          <w:rFonts w:ascii="ITC Avant Garde" w:hAnsi="ITC Avant Garde"/>
          <w:sz w:val="18"/>
          <w:szCs w:val="18"/>
          <w:lang w:val="es-ES_tradnl"/>
        </w:rPr>
        <w:t>de manera que se pueda</w:t>
      </w:r>
      <w:r w:rsidR="00483FD1">
        <w:rPr>
          <w:rFonts w:ascii="ITC Avant Garde" w:hAnsi="ITC Avant Garde"/>
          <w:sz w:val="18"/>
          <w:szCs w:val="18"/>
          <w:lang w:val="es-ES_tradnl"/>
        </w:rPr>
        <w:t xml:space="preserve"> acceder a coubicaciones de menores dimensiones y por ende más baratas.</w:t>
      </w:r>
    </w:p>
    <w:p w14:paraId="342A79E8" w14:textId="26261422" w:rsidR="00483FD1" w:rsidRPr="00D618AF" w:rsidRDefault="00483FD1" w:rsidP="00483FD1">
      <w:pPr>
        <w:rPr>
          <w:rFonts w:ascii="ITC Avant Garde" w:hAnsi="ITC Avant Garde"/>
          <w:sz w:val="18"/>
          <w:szCs w:val="18"/>
          <w:lang w:val="es-ES_tradnl"/>
        </w:rPr>
      </w:pPr>
      <w:r>
        <w:rPr>
          <w:rFonts w:ascii="ITC Avant Garde" w:hAnsi="ITC Avant Garde"/>
          <w:sz w:val="18"/>
          <w:szCs w:val="18"/>
          <w:lang w:val="es-ES_tradnl"/>
        </w:rPr>
        <w:t xml:space="preserve">Por otra parte, </w:t>
      </w:r>
      <w:r w:rsidR="00915351">
        <w:rPr>
          <w:rFonts w:ascii="ITC Avant Garde" w:hAnsi="ITC Avant Garde"/>
          <w:sz w:val="18"/>
          <w:szCs w:val="18"/>
          <w:lang w:val="es-ES_tradnl"/>
        </w:rPr>
        <w:t>otro participante</w:t>
      </w:r>
      <w:r w:rsidRPr="00483FD1">
        <w:rPr>
          <w:rFonts w:ascii="ITC Avant Garde" w:hAnsi="ITC Avant Garde"/>
          <w:sz w:val="18"/>
          <w:szCs w:val="18"/>
          <w:lang w:val="es-ES_tradnl"/>
        </w:rPr>
        <w:t xml:space="preserve"> [Lester Garcia] </w:t>
      </w:r>
      <w:r w:rsidR="00CD6A6C">
        <w:rPr>
          <w:rFonts w:ascii="ITC Avant Garde" w:hAnsi="ITC Avant Garde"/>
          <w:sz w:val="18"/>
          <w:szCs w:val="18"/>
          <w:lang w:val="es-ES_tradnl"/>
        </w:rPr>
        <w:t>plantea interrogantes</w:t>
      </w:r>
      <w:r w:rsidR="00CD6A6C">
        <w:rPr>
          <w:rFonts w:ascii="ITC Avant Garde" w:hAnsi="ITC Avant Garde"/>
          <w:sz w:val="18"/>
          <w:szCs w:val="18"/>
          <w:lang w:val="es-419"/>
        </w:rPr>
        <w:t xml:space="preserve"> sobre</w:t>
      </w:r>
      <w:r w:rsidR="00915351">
        <w:rPr>
          <w:rFonts w:ascii="ITC Avant Garde" w:hAnsi="ITC Avant Garde"/>
          <w:sz w:val="18"/>
          <w:szCs w:val="18"/>
          <w:lang w:val="es-ES_tradnl"/>
        </w:rPr>
        <w:t xml:space="preserve"> como se fijará la tarifa (</w:t>
      </w:r>
      <w:r>
        <w:rPr>
          <w:rFonts w:ascii="ITC Avant Garde" w:hAnsi="ITC Avant Garde"/>
          <w:sz w:val="18"/>
          <w:szCs w:val="18"/>
          <w:lang w:val="es-ES_tradnl"/>
        </w:rPr>
        <w:t xml:space="preserve">en función de esta demanda, teniendo tarifas diferenciadas, o </w:t>
      </w:r>
      <w:r w:rsidR="00915351">
        <w:rPr>
          <w:rFonts w:ascii="ITC Avant Garde" w:hAnsi="ITC Avant Garde"/>
          <w:sz w:val="18"/>
          <w:szCs w:val="18"/>
          <w:lang w:val="es-ES_tradnl"/>
        </w:rPr>
        <w:t xml:space="preserve">bien </w:t>
      </w:r>
      <w:r>
        <w:rPr>
          <w:rFonts w:ascii="ITC Avant Garde" w:hAnsi="ITC Avant Garde"/>
          <w:sz w:val="18"/>
          <w:szCs w:val="18"/>
          <w:lang w:val="es-ES_tradnl"/>
        </w:rPr>
        <w:t>si se calculará una tarifa promedio</w:t>
      </w:r>
      <w:r w:rsidR="00915351">
        <w:rPr>
          <w:rFonts w:ascii="ITC Avant Garde" w:hAnsi="ITC Avant Garde"/>
          <w:sz w:val="18"/>
          <w:szCs w:val="18"/>
          <w:lang w:val="es-ES_tradnl"/>
        </w:rPr>
        <w:t>)</w:t>
      </w:r>
      <w:r>
        <w:rPr>
          <w:rFonts w:ascii="ITC Avant Garde" w:hAnsi="ITC Avant Garde"/>
          <w:sz w:val="18"/>
          <w:szCs w:val="18"/>
          <w:lang w:val="es-ES_tradnl"/>
        </w:rPr>
        <w:t>.</w:t>
      </w:r>
    </w:p>
    <w:p w14:paraId="752B930C" w14:textId="77777777" w:rsidR="00141720" w:rsidRDefault="00141720" w:rsidP="00EC36CC">
      <w:pPr>
        <w:pStyle w:val="Listaconvietas"/>
        <w:numPr>
          <w:ilvl w:val="0"/>
          <w:numId w:val="0"/>
        </w:numPr>
        <w:rPr>
          <w:rFonts w:ascii="ITC Avant Garde" w:eastAsiaTheme="majorEastAsia" w:hAnsi="ITC Avant Garde" w:cstheme="majorBidi"/>
          <w:bCs/>
          <w:color w:val="548DD4" w:themeColor="text2" w:themeTint="99"/>
          <w:sz w:val="18"/>
          <w:szCs w:val="18"/>
          <w:lang w:val="es-ES_tradnl"/>
        </w:rPr>
      </w:pPr>
      <w:r w:rsidRPr="00E45AEA">
        <w:rPr>
          <w:rFonts w:ascii="ITC Avant Garde" w:hAnsi="ITC Avant Garde"/>
          <w:i/>
          <w:sz w:val="18"/>
          <w:szCs w:val="18"/>
          <w:u w:val="single"/>
          <w:lang w:val="es-ES_tradnl"/>
        </w:rPr>
        <w:t>Respuesta del Instituto</w:t>
      </w:r>
      <w:r w:rsidRPr="00BA70D0">
        <w:rPr>
          <w:rFonts w:ascii="ITC Avant Garde" w:eastAsiaTheme="majorEastAsia" w:hAnsi="ITC Avant Garde" w:cstheme="majorBidi"/>
          <w:bCs/>
          <w:color w:val="548DD4" w:themeColor="text2" w:themeTint="99"/>
          <w:sz w:val="18"/>
          <w:szCs w:val="18"/>
          <w:lang w:val="es-ES_tradnl"/>
        </w:rPr>
        <w:t xml:space="preserve"> </w:t>
      </w:r>
    </w:p>
    <w:p w14:paraId="342A79EA" w14:textId="269F507B" w:rsidR="00C06713" w:rsidRPr="00D31D82" w:rsidRDefault="00D31D82" w:rsidP="00D31D82">
      <w:pPr>
        <w:pStyle w:val="Listaconvietas"/>
        <w:numPr>
          <w:ilvl w:val="0"/>
          <w:numId w:val="0"/>
        </w:numPr>
        <w:rPr>
          <w:rFonts w:ascii="ITC Avant Garde" w:eastAsiaTheme="majorEastAsia" w:hAnsi="ITC Avant Garde" w:cstheme="majorBidi"/>
          <w:bCs/>
          <w:color w:val="000000" w:themeColor="text1"/>
          <w:sz w:val="18"/>
          <w:szCs w:val="18"/>
          <w:lang w:val="es-ES_tradnl"/>
        </w:rPr>
      </w:pPr>
      <w:r w:rsidRPr="00D31D82">
        <w:rPr>
          <w:rFonts w:ascii="ITC Avant Garde" w:eastAsiaTheme="majorEastAsia" w:hAnsi="ITC Avant Garde" w:cstheme="majorBidi"/>
          <w:bCs/>
          <w:color w:val="000000" w:themeColor="text1"/>
          <w:sz w:val="18"/>
          <w:szCs w:val="18"/>
          <w:lang w:val="es-ES_tradnl"/>
        </w:rPr>
        <w:lastRenderedPageBreak/>
        <w:t>Respecto del horizonte temporal de la demanda, el Instituto señala que el enfoque del modelo</w:t>
      </w:r>
      <w:r w:rsidR="00C06713" w:rsidRPr="00D31D82">
        <w:rPr>
          <w:rFonts w:ascii="ITC Avant Garde" w:eastAsiaTheme="majorEastAsia" w:hAnsi="ITC Avant Garde" w:cstheme="majorBidi"/>
          <w:bCs/>
          <w:color w:val="000000" w:themeColor="text1"/>
          <w:sz w:val="18"/>
          <w:szCs w:val="18"/>
          <w:lang w:val="es-ES_tradnl"/>
        </w:rPr>
        <w:t xml:space="preserve"> está concebido para </w:t>
      </w:r>
      <w:r w:rsidR="00B63FF4">
        <w:rPr>
          <w:rFonts w:ascii="ITC Avant Garde" w:eastAsiaTheme="majorEastAsia" w:hAnsi="ITC Avant Garde" w:cstheme="majorBidi"/>
          <w:bCs/>
          <w:color w:val="000000" w:themeColor="text1"/>
          <w:sz w:val="18"/>
          <w:szCs w:val="18"/>
          <w:lang w:val="es-ES_tradnl"/>
        </w:rPr>
        <w:t>contemplar</w:t>
      </w:r>
      <w:r w:rsidR="00B63FF4" w:rsidRPr="00D31D82">
        <w:rPr>
          <w:rFonts w:ascii="ITC Avant Garde" w:eastAsiaTheme="majorEastAsia" w:hAnsi="ITC Avant Garde" w:cstheme="majorBidi"/>
          <w:bCs/>
          <w:color w:val="000000" w:themeColor="text1"/>
          <w:sz w:val="18"/>
          <w:szCs w:val="18"/>
          <w:lang w:val="es-ES_tradnl"/>
        </w:rPr>
        <w:t xml:space="preserve"> </w:t>
      </w:r>
      <w:r w:rsidR="00785577" w:rsidRPr="00D31D82">
        <w:rPr>
          <w:rFonts w:ascii="ITC Avant Garde" w:eastAsiaTheme="majorEastAsia" w:hAnsi="ITC Avant Garde" w:cstheme="majorBidi"/>
          <w:bCs/>
          <w:color w:val="000000" w:themeColor="text1"/>
          <w:sz w:val="18"/>
          <w:szCs w:val="18"/>
          <w:lang w:val="es-ES_tradnl"/>
        </w:rPr>
        <w:t xml:space="preserve">una </w:t>
      </w:r>
      <w:r w:rsidR="00C06713" w:rsidRPr="00D31D82">
        <w:rPr>
          <w:rFonts w:ascii="ITC Avant Garde" w:eastAsiaTheme="majorEastAsia" w:hAnsi="ITC Avant Garde" w:cstheme="majorBidi"/>
          <w:bCs/>
          <w:color w:val="000000" w:themeColor="text1"/>
          <w:sz w:val="18"/>
          <w:szCs w:val="18"/>
          <w:lang w:val="es-ES_tradnl"/>
        </w:rPr>
        <w:t xml:space="preserve">demanda </w:t>
      </w:r>
      <w:r w:rsidR="00785577" w:rsidRPr="00D31D82">
        <w:rPr>
          <w:rFonts w:ascii="ITC Avant Garde" w:eastAsiaTheme="majorEastAsia" w:hAnsi="ITC Avant Garde" w:cstheme="majorBidi"/>
          <w:bCs/>
          <w:color w:val="000000" w:themeColor="text1"/>
          <w:sz w:val="18"/>
          <w:szCs w:val="18"/>
          <w:lang w:val="es-ES_tradnl"/>
        </w:rPr>
        <w:t>anual</w:t>
      </w:r>
      <w:r w:rsidRPr="00D31D82">
        <w:rPr>
          <w:rFonts w:ascii="ITC Avant Garde" w:eastAsiaTheme="majorEastAsia" w:hAnsi="ITC Avant Garde" w:cstheme="majorBidi"/>
          <w:bCs/>
          <w:color w:val="000000" w:themeColor="text1"/>
          <w:sz w:val="18"/>
          <w:szCs w:val="18"/>
          <w:lang w:val="es-ES_tradnl"/>
        </w:rPr>
        <w:t xml:space="preserve">, el cual </w:t>
      </w:r>
      <w:r w:rsidR="00E10BD7">
        <w:rPr>
          <w:rFonts w:ascii="ITC Avant Garde" w:eastAsiaTheme="majorEastAsia" w:hAnsi="ITC Avant Garde" w:cstheme="majorBidi"/>
          <w:bCs/>
          <w:color w:val="000000" w:themeColor="text1"/>
          <w:sz w:val="18"/>
          <w:szCs w:val="18"/>
          <w:lang w:val="es-ES_tradnl"/>
        </w:rPr>
        <w:t>se considera</w:t>
      </w:r>
      <w:r w:rsidR="00E10BD7" w:rsidRPr="00D31D82">
        <w:rPr>
          <w:rFonts w:ascii="ITC Avant Garde" w:eastAsiaTheme="majorEastAsia" w:hAnsi="ITC Avant Garde" w:cstheme="majorBidi"/>
          <w:bCs/>
          <w:color w:val="000000" w:themeColor="text1"/>
          <w:sz w:val="18"/>
          <w:szCs w:val="18"/>
          <w:lang w:val="es-ES_tradnl"/>
        </w:rPr>
        <w:t xml:space="preserve"> </w:t>
      </w:r>
      <w:r w:rsidRPr="00D31D82">
        <w:rPr>
          <w:rFonts w:ascii="ITC Avant Garde" w:eastAsiaTheme="majorEastAsia" w:hAnsi="ITC Avant Garde" w:cstheme="majorBidi"/>
          <w:bCs/>
          <w:color w:val="000000" w:themeColor="text1"/>
          <w:sz w:val="18"/>
          <w:szCs w:val="18"/>
          <w:lang w:val="es-ES_tradnl"/>
        </w:rPr>
        <w:t>adecuado en el sentido de</w:t>
      </w:r>
      <w:r w:rsidR="00E10BD7">
        <w:rPr>
          <w:rFonts w:ascii="ITC Avant Garde" w:eastAsiaTheme="majorEastAsia" w:hAnsi="ITC Avant Garde" w:cstheme="majorBidi"/>
          <w:bCs/>
          <w:color w:val="000000" w:themeColor="text1"/>
          <w:sz w:val="18"/>
          <w:szCs w:val="18"/>
          <w:lang w:val="es-ES_tradnl"/>
        </w:rPr>
        <w:t xml:space="preserve"> que</w:t>
      </w:r>
      <w:r w:rsidRPr="00D31D82">
        <w:rPr>
          <w:rFonts w:ascii="ITC Avant Garde" w:eastAsiaTheme="majorEastAsia" w:hAnsi="ITC Avant Garde" w:cstheme="majorBidi"/>
          <w:bCs/>
          <w:color w:val="000000" w:themeColor="text1"/>
          <w:sz w:val="18"/>
          <w:szCs w:val="18"/>
          <w:lang w:val="es-ES_tradnl"/>
        </w:rPr>
        <w:t xml:space="preserve"> dicho enfoque permite evitar errores significativos en el costeo del servicio de acceso, derivados de una estimación de la demanda de los servicio de coubicación de la demanda empleada, respecto a la demanda de ocupación real. Lo anterior en el entendido que a</w:t>
      </w:r>
      <w:r w:rsidR="00C06713" w:rsidRPr="00D31D82">
        <w:rPr>
          <w:rFonts w:ascii="ITC Avant Garde" w:eastAsiaTheme="majorEastAsia" w:hAnsi="ITC Avant Garde" w:cstheme="majorBidi"/>
          <w:bCs/>
          <w:color w:val="000000" w:themeColor="text1"/>
          <w:sz w:val="18"/>
          <w:szCs w:val="18"/>
          <w:lang w:val="es-ES_tradnl"/>
        </w:rPr>
        <w:t xml:space="preserve">l ser </w:t>
      </w:r>
      <w:r w:rsidR="00785577" w:rsidRPr="00D31D82">
        <w:rPr>
          <w:rFonts w:ascii="ITC Avant Garde" w:eastAsiaTheme="majorEastAsia" w:hAnsi="ITC Avant Garde" w:cstheme="majorBidi"/>
          <w:bCs/>
          <w:color w:val="000000" w:themeColor="text1"/>
          <w:sz w:val="18"/>
          <w:szCs w:val="18"/>
          <w:lang w:val="es-ES_tradnl"/>
        </w:rPr>
        <w:t xml:space="preserve">la demanda </w:t>
      </w:r>
      <w:r w:rsidR="00C06713" w:rsidRPr="00D31D82">
        <w:rPr>
          <w:rFonts w:ascii="ITC Avant Garde" w:eastAsiaTheme="majorEastAsia" w:hAnsi="ITC Avant Garde" w:cstheme="majorBidi"/>
          <w:bCs/>
          <w:color w:val="000000" w:themeColor="text1"/>
          <w:sz w:val="18"/>
          <w:szCs w:val="18"/>
          <w:lang w:val="es-ES_tradnl"/>
        </w:rPr>
        <w:t>escalonada y baja, una estimación errónea del número de operadores acarrearía consigo errores significativos en el costeo del servicio de acceso.</w:t>
      </w:r>
      <w:r w:rsidR="00FF65C7" w:rsidRPr="00D31D82">
        <w:rPr>
          <w:rFonts w:ascii="ITC Avant Garde" w:eastAsiaTheme="majorEastAsia" w:hAnsi="ITC Avant Garde" w:cstheme="majorBidi"/>
          <w:bCs/>
          <w:color w:val="000000" w:themeColor="text1"/>
          <w:sz w:val="18"/>
          <w:szCs w:val="18"/>
          <w:lang w:val="es-ES_tradnl"/>
        </w:rPr>
        <w:t xml:space="preserve"> </w:t>
      </w:r>
    </w:p>
    <w:p w14:paraId="342A79EB" w14:textId="157FECE4" w:rsidR="009A5778" w:rsidRPr="00957063" w:rsidRDefault="00957063" w:rsidP="00EC36CC">
      <w:pPr>
        <w:pStyle w:val="Listaconvietas"/>
        <w:numPr>
          <w:ilvl w:val="0"/>
          <w:numId w:val="0"/>
        </w:numPr>
        <w:rPr>
          <w:rFonts w:ascii="ITC Avant Garde" w:hAnsi="ITC Avant Garde"/>
          <w:color w:val="000000" w:themeColor="text1"/>
          <w:sz w:val="18"/>
          <w:szCs w:val="18"/>
          <w:lang w:val="es-ES_tradnl"/>
        </w:rPr>
      </w:pPr>
      <w:r>
        <w:rPr>
          <w:rFonts w:ascii="ITC Avant Garde" w:eastAsiaTheme="majorEastAsia" w:hAnsi="ITC Avant Garde" w:cstheme="majorBidi"/>
          <w:bCs/>
          <w:color w:val="000000" w:themeColor="text1"/>
          <w:sz w:val="18"/>
          <w:szCs w:val="18"/>
          <w:lang w:val="es-ES_tradnl"/>
        </w:rPr>
        <w:t>El Instituto reitera</w:t>
      </w:r>
      <w:r w:rsidR="00CD6A6C">
        <w:rPr>
          <w:rFonts w:ascii="ITC Avant Garde" w:eastAsiaTheme="majorEastAsia" w:hAnsi="ITC Avant Garde" w:cstheme="majorBidi"/>
          <w:bCs/>
          <w:color w:val="000000" w:themeColor="text1"/>
          <w:sz w:val="18"/>
          <w:szCs w:val="18"/>
          <w:lang w:val="es-419"/>
        </w:rPr>
        <w:t xml:space="preserve"> que </w:t>
      </w:r>
      <w:r w:rsidR="00004E8E">
        <w:rPr>
          <w:rFonts w:ascii="ITC Avant Garde" w:eastAsiaTheme="majorEastAsia" w:hAnsi="ITC Avant Garde" w:cstheme="majorBidi"/>
          <w:bCs/>
          <w:color w:val="000000" w:themeColor="text1"/>
          <w:sz w:val="18"/>
          <w:szCs w:val="18"/>
          <w:lang w:val="es-ES_tradnl"/>
        </w:rPr>
        <w:t>el</w:t>
      </w:r>
      <w:r w:rsidR="00B63FF4">
        <w:rPr>
          <w:rFonts w:ascii="ITC Avant Garde" w:eastAsiaTheme="majorEastAsia" w:hAnsi="ITC Avant Garde" w:cstheme="majorBidi"/>
          <w:bCs/>
          <w:color w:val="000000" w:themeColor="text1"/>
          <w:sz w:val="18"/>
          <w:szCs w:val="18"/>
          <w:lang w:val="es-ES_tradnl"/>
        </w:rPr>
        <w:t xml:space="preserve"> modelo se ajustará</w:t>
      </w:r>
      <w:r w:rsidR="00C06713" w:rsidRPr="00957063">
        <w:rPr>
          <w:rFonts w:ascii="ITC Avant Garde" w:eastAsiaTheme="majorEastAsia" w:hAnsi="ITC Avant Garde" w:cstheme="majorBidi"/>
          <w:bCs/>
          <w:color w:val="000000" w:themeColor="text1"/>
          <w:sz w:val="18"/>
          <w:szCs w:val="18"/>
          <w:lang w:val="es-ES_tradnl"/>
        </w:rPr>
        <w:t xml:space="preserve"> para </w:t>
      </w:r>
      <w:r w:rsidR="00E10BD7">
        <w:rPr>
          <w:rFonts w:ascii="ITC Avant Garde" w:eastAsiaTheme="majorEastAsia" w:hAnsi="ITC Avant Garde" w:cstheme="majorBidi"/>
          <w:bCs/>
          <w:color w:val="000000" w:themeColor="text1"/>
          <w:sz w:val="18"/>
          <w:szCs w:val="18"/>
          <w:lang w:val="es-ES_tradnl"/>
        </w:rPr>
        <w:t xml:space="preserve">permita </w:t>
      </w:r>
      <w:r w:rsidR="00C06713" w:rsidRPr="00957063">
        <w:rPr>
          <w:rFonts w:ascii="ITC Avant Garde" w:eastAsiaTheme="majorEastAsia" w:hAnsi="ITC Avant Garde" w:cstheme="majorBidi"/>
          <w:bCs/>
          <w:color w:val="000000" w:themeColor="text1"/>
          <w:sz w:val="18"/>
          <w:szCs w:val="18"/>
          <w:lang w:val="es-ES_tradnl"/>
        </w:rPr>
        <w:t xml:space="preserve">reflejar las </w:t>
      </w:r>
      <w:r w:rsidR="009A5778" w:rsidRPr="00957063">
        <w:rPr>
          <w:rFonts w:ascii="ITC Avant Garde" w:eastAsiaTheme="majorEastAsia" w:hAnsi="ITC Avant Garde" w:cstheme="majorBidi"/>
          <w:bCs/>
          <w:color w:val="000000" w:themeColor="text1"/>
          <w:sz w:val="18"/>
          <w:szCs w:val="18"/>
          <w:lang w:val="es-ES_tradnl"/>
        </w:rPr>
        <w:t xml:space="preserve">coubicaciones </w:t>
      </w:r>
      <w:r w:rsidR="00B63FF4">
        <w:rPr>
          <w:rFonts w:ascii="ITC Avant Garde" w:eastAsiaTheme="majorEastAsia" w:hAnsi="ITC Avant Garde" w:cstheme="majorBidi"/>
          <w:bCs/>
          <w:color w:val="000000" w:themeColor="text1"/>
          <w:sz w:val="18"/>
          <w:szCs w:val="18"/>
          <w:lang w:val="es-ES_tradnl"/>
        </w:rPr>
        <w:t>que serán precisadas en la oferta de referencia correspondiente</w:t>
      </w:r>
      <w:r w:rsidRPr="00957063">
        <w:rPr>
          <w:rFonts w:ascii="ITC Avant Garde" w:eastAsiaTheme="majorEastAsia" w:hAnsi="ITC Avant Garde" w:cstheme="majorBidi"/>
          <w:bCs/>
          <w:color w:val="000000" w:themeColor="text1"/>
          <w:sz w:val="18"/>
          <w:szCs w:val="18"/>
          <w:lang w:val="es-ES_tradnl"/>
        </w:rPr>
        <w:t xml:space="preserve">, </w:t>
      </w:r>
      <w:r w:rsidR="00E10BD7">
        <w:rPr>
          <w:rFonts w:ascii="ITC Avant Garde" w:eastAsiaTheme="majorEastAsia" w:hAnsi="ITC Avant Garde" w:cstheme="majorBidi"/>
          <w:bCs/>
          <w:color w:val="000000" w:themeColor="text1"/>
          <w:sz w:val="18"/>
          <w:szCs w:val="18"/>
          <w:lang w:val="es-ES_tradnl"/>
        </w:rPr>
        <w:t xml:space="preserve">donde </w:t>
      </w:r>
      <w:r w:rsidR="00B63FF4">
        <w:rPr>
          <w:rFonts w:ascii="ITC Avant Garde" w:eastAsiaTheme="majorEastAsia" w:hAnsi="ITC Avant Garde" w:cstheme="majorBidi"/>
          <w:bCs/>
          <w:color w:val="000000" w:themeColor="text1"/>
          <w:sz w:val="18"/>
          <w:szCs w:val="18"/>
          <w:lang w:val="es-ES_tradnl"/>
        </w:rPr>
        <w:t xml:space="preserve">se establezca </w:t>
      </w:r>
      <w:r w:rsidRPr="00957063">
        <w:rPr>
          <w:rFonts w:ascii="ITC Avant Garde" w:eastAsiaTheme="majorEastAsia" w:hAnsi="ITC Avant Garde" w:cstheme="majorBidi"/>
          <w:bCs/>
          <w:color w:val="000000" w:themeColor="text1"/>
          <w:sz w:val="18"/>
          <w:szCs w:val="18"/>
          <w:lang w:val="es-ES_tradnl"/>
        </w:rPr>
        <w:t>la definición y alcance de los servicios, así como la estructura tarifaria asociada a estos</w:t>
      </w:r>
      <w:r w:rsidR="00C06713" w:rsidRPr="00957063">
        <w:rPr>
          <w:rFonts w:ascii="ITC Avant Garde" w:eastAsiaTheme="majorEastAsia" w:hAnsi="ITC Avant Garde" w:cstheme="majorBidi"/>
          <w:bCs/>
          <w:color w:val="000000" w:themeColor="text1"/>
          <w:sz w:val="18"/>
          <w:szCs w:val="18"/>
          <w:lang w:val="es-ES_tradnl"/>
        </w:rPr>
        <w:t>.</w:t>
      </w:r>
    </w:p>
    <w:p w14:paraId="342A79EC" w14:textId="77777777" w:rsidR="009803EB" w:rsidRPr="00A918A4" w:rsidRDefault="009803EB" w:rsidP="009803EB">
      <w:pPr>
        <w:pStyle w:val="Ttulo3"/>
        <w:rPr>
          <w:rFonts w:ascii="ITC Avant Garde" w:hAnsi="ITC Avant Garde"/>
          <w:sz w:val="18"/>
          <w:szCs w:val="18"/>
          <w:lang w:val="es-ES_tradnl"/>
        </w:rPr>
      </w:pPr>
      <w:r w:rsidRPr="00A918A4">
        <w:rPr>
          <w:rFonts w:ascii="ITC Avant Garde" w:hAnsi="ITC Avant Garde"/>
          <w:sz w:val="18"/>
          <w:szCs w:val="18"/>
          <w:lang w:val="es-ES_tradnl"/>
        </w:rPr>
        <w:t>Parámetros de costos</w:t>
      </w:r>
    </w:p>
    <w:p w14:paraId="342A79ED" w14:textId="77777777" w:rsidR="0093118C" w:rsidRDefault="0093118C" w:rsidP="0093118C">
      <w:pPr>
        <w:rPr>
          <w:rFonts w:ascii="ITC Avant Garde" w:hAnsi="ITC Avant Garde"/>
          <w:b/>
          <w:sz w:val="18"/>
          <w:szCs w:val="18"/>
          <w:lang w:val="es-ES_tradnl"/>
        </w:rPr>
      </w:pPr>
      <w:r w:rsidRPr="0093118C">
        <w:rPr>
          <w:rFonts w:ascii="ITC Avant Garde" w:hAnsi="ITC Avant Garde"/>
          <w:b/>
          <w:sz w:val="18"/>
          <w:szCs w:val="18"/>
          <w:lang w:val="es-ES_tradnl"/>
        </w:rPr>
        <w:t xml:space="preserve">Q.8: ¿Está de acuerdo con la selección de parámetros de costos definidos en el modelo? </w:t>
      </w:r>
    </w:p>
    <w:p w14:paraId="16C66A1C" w14:textId="5789181E" w:rsidR="003D63B0" w:rsidRDefault="003D63B0" w:rsidP="0093118C">
      <w:pPr>
        <w:rPr>
          <w:rFonts w:ascii="ITC Avant Garde" w:hAnsi="ITC Avant Garde"/>
          <w:sz w:val="18"/>
          <w:szCs w:val="18"/>
          <w:lang w:val="es-ES_tradnl"/>
        </w:rPr>
      </w:pPr>
      <w:r w:rsidRPr="007F6C1D">
        <w:rPr>
          <w:rFonts w:ascii="ITC Avant Garde" w:hAnsi="ITC Avant Garde"/>
          <w:i/>
          <w:sz w:val="18"/>
          <w:szCs w:val="18"/>
          <w:u w:val="single"/>
          <w:lang w:val="es-ES_tradnl"/>
        </w:rPr>
        <w:t>Resumen de comentarios de la Consulta Pública</w:t>
      </w:r>
    </w:p>
    <w:p w14:paraId="342A79EE" w14:textId="69654296" w:rsidR="00A82D26" w:rsidRPr="00A82D26" w:rsidRDefault="002E769B" w:rsidP="0093118C">
      <w:pPr>
        <w:rPr>
          <w:rFonts w:ascii="ITC Avant Garde" w:hAnsi="ITC Avant Garde"/>
          <w:sz w:val="18"/>
          <w:szCs w:val="18"/>
          <w:lang w:val="es-ES_tradnl"/>
        </w:rPr>
      </w:pPr>
      <w:r>
        <w:rPr>
          <w:rFonts w:ascii="ITC Avant Garde" w:hAnsi="ITC Avant Garde"/>
          <w:sz w:val="18"/>
          <w:szCs w:val="18"/>
          <w:lang w:val="es-ES_tradnl"/>
        </w:rPr>
        <w:t>Al respecto, ciertos participantes de la consulta pública</w:t>
      </w:r>
      <w:r w:rsidR="009630B7">
        <w:rPr>
          <w:rFonts w:ascii="ITC Avant Garde" w:hAnsi="ITC Avant Garde"/>
          <w:sz w:val="18"/>
          <w:szCs w:val="18"/>
          <w:lang w:val="es-ES_tradnl"/>
        </w:rPr>
        <w:t xml:space="preserve"> </w:t>
      </w:r>
      <w:r w:rsidR="009630B7" w:rsidRPr="009630B7">
        <w:rPr>
          <w:rFonts w:ascii="ITC Avant Garde" w:hAnsi="ITC Avant Garde"/>
          <w:sz w:val="18"/>
          <w:szCs w:val="18"/>
          <w:lang w:val="es-ES_tradnl"/>
        </w:rPr>
        <w:t>[Axtel, Lester García y Total Play]</w:t>
      </w:r>
      <w:r w:rsidR="009630B7">
        <w:rPr>
          <w:rFonts w:ascii="ITC Avant Garde" w:hAnsi="ITC Avant Garde"/>
          <w:sz w:val="18"/>
          <w:szCs w:val="18"/>
          <w:lang w:val="es-ES_tradnl"/>
        </w:rPr>
        <w:t xml:space="preserve"> consideran insuficiente la información sobre los parámetros utilizados, así como la justificación de su inclusión como parámetros. En particular se mencionan el </w:t>
      </w:r>
      <w:r w:rsidR="006A21BE">
        <w:rPr>
          <w:rFonts w:ascii="ITC Avant Garde" w:hAnsi="ITC Avant Garde"/>
          <w:sz w:val="18"/>
          <w:szCs w:val="18"/>
          <w:lang w:val="es-ES_tradnl"/>
        </w:rPr>
        <w:t xml:space="preserve">Costo de Capital Promedio Ponderado (CCPP, o </w:t>
      </w:r>
      <w:r w:rsidR="009630B7">
        <w:rPr>
          <w:rFonts w:ascii="ITC Avant Garde" w:hAnsi="ITC Avant Garde"/>
          <w:sz w:val="18"/>
          <w:szCs w:val="18"/>
          <w:lang w:val="es-ES_tradnl"/>
        </w:rPr>
        <w:t>WACC</w:t>
      </w:r>
      <w:r w:rsidR="006A21BE">
        <w:rPr>
          <w:rFonts w:ascii="ITC Avant Garde" w:hAnsi="ITC Avant Garde"/>
          <w:sz w:val="18"/>
          <w:szCs w:val="18"/>
          <w:lang w:val="es-ES_tradnl"/>
        </w:rPr>
        <w:t xml:space="preserve"> por sus siglas en inglés)</w:t>
      </w:r>
      <w:r w:rsidR="009630B7">
        <w:rPr>
          <w:rFonts w:ascii="ITC Avant Garde" w:hAnsi="ITC Avant Garde"/>
          <w:sz w:val="18"/>
          <w:szCs w:val="18"/>
          <w:lang w:val="es-ES_tradnl"/>
        </w:rPr>
        <w:t xml:space="preserve"> y los porcentajes de </w:t>
      </w:r>
      <w:r w:rsidR="0029036C">
        <w:rPr>
          <w:rFonts w:ascii="ITC Avant Garde" w:hAnsi="ITC Avant Garde"/>
          <w:i/>
          <w:sz w:val="18"/>
          <w:szCs w:val="18"/>
          <w:lang w:val="es-ES_tradnl"/>
        </w:rPr>
        <w:t>mark-</w:t>
      </w:r>
      <w:r w:rsidR="009630B7" w:rsidRPr="00B93FB7">
        <w:rPr>
          <w:rFonts w:ascii="ITC Avant Garde" w:hAnsi="ITC Avant Garde"/>
          <w:i/>
          <w:sz w:val="18"/>
          <w:szCs w:val="18"/>
          <w:lang w:val="es-ES_tradnl"/>
        </w:rPr>
        <w:t>up</w:t>
      </w:r>
      <w:r w:rsidR="009630B7">
        <w:rPr>
          <w:rFonts w:ascii="ITC Avant Garde" w:hAnsi="ITC Avant Garde"/>
          <w:sz w:val="18"/>
          <w:szCs w:val="18"/>
          <w:lang w:val="es-ES_tradnl"/>
        </w:rPr>
        <w:t xml:space="preserve"> de gastos comunes.</w:t>
      </w:r>
    </w:p>
    <w:p w14:paraId="342A79EF" w14:textId="041D9DEE" w:rsidR="009630B7" w:rsidRDefault="00BD259E" w:rsidP="009630B7">
      <w:pPr>
        <w:rPr>
          <w:rFonts w:ascii="ITC Avant Garde" w:hAnsi="ITC Avant Garde"/>
          <w:sz w:val="18"/>
          <w:szCs w:val="18"/>
          <w:lang w:val="es-ES_tradnl"/>
        </w:rPr>
      </w:pPr>
      <w:r>
        <w:rPr>
          <w:rFonts w:ascii="ITC Avant Garde" w:hAnsi="ITC Avant Garde"/>
          <w:sz w:val="18"/>
          <w:szCs w:val="18"/>
          <w:lang w:val="es-ES_tradnl"/>
        </w:rPr>
        <w:t>Con</w:t>
      </w:r>
      <w:r w:rsidRPr="00A82D26">
        <w:rPr>
          <w:rFonts w:ascii="ITC Avant Garde" w:hAnsi="ITC Avant Garde"/>
          <w:sz w:val="18"/>
          <w:szCs w:val="18"/>
          <w:lang w:val="es-ES_tradnl"/>
        </w:rPr>
        <w:t xml:space="preserve"> </w:t>
      </w:r>
      <w:r w:rsidR="00A82D26" w:rsidRPr="00A82D26">
        <w:rPr>
          <w:rFonts w:ascii="ITC Avant Garde" w:hAnsi="ITC Avant Garde"/>
          <w:sz w:val="18"/>
          <w:szCs w:val="18"/>
          <w:lang w:val="es-ES_tradnl"/>
        </w:rPr>
        <w:t xml:space="preserve">relación al WACC, </w:t>
      </w:r>
      <w:r w:rsidR="00171BC2">
        <w:rPr>
          <w:rFonts w:ascii="ITC Avant Garde" w:hAnsi="ITC Avant Garde"/>
          <w:sz w:val="18"/>
          <w:szCs w:val="18"/>
          <w:lang w:val="es-ES_tradnl"/>
        </w:rPr>
        <w:t>un conjunto de participantes</w:t>
      </w:r>
      <w:r w:rsidR="00A82D26" w:rsidRPr="00A82D26">
        <w:rPr>
          <w:rFonts w:ascii="ITC Avant Garde" w:hAnsi="ITC Avant Garde"/>
          <w:sz w:val="18"/>
          <w:szCs w:val="18"/>
          <w:lang w:val="es-ES_tradnl"/>
        </w:rPr>
        <w:t xml:space="preserve"> [</w:t>
      </w:r>
      <w:r w:rsidR="00171BC2">
        <w:rPr>
          <w:rFonts w:ascii="ITC Avant Garde" w:hAnsi="ITC Avant Garde"/>
          <w:sz w:val="18"/>
          <w:szCs w:val="18"/>
          <w:lang w:val="es-ES_tradnl"/>
        </w:rPr>
        <w:t>AT&amp;T,</w:t>
      </w:r>
      <w:r w:rsidR="00D92ED7">
        <w:rPr>
          <w:rFonts w:ascii="ITC Avant Garde" w:hAnsi="ITC Avant Garde"/>
          <w:sz w:val="18"/>
          <w:szCs w:val="18"/>
          <w:lang w:val="es-ES_tradnl"/>
        </w:rPr>
        <w:t xml:space="preserve"> </w:t>
      </w:r>
      <w:r w:rsidR="00A82D26" w:rsidRPr="00A82D26">
        <w:rPr>
          <w:rFonts w:ascii="ITC Avant Garde" w:hAnsi="ITC Avant Garde"/>
          <w:sz w:val="18"/>
          <w:szCs w:val="18"/>
          <w:lang w:val="es-ES_tradnl"/>
        </w:rPr>
        <w:t>Telefónica</w:t>
      </w:r>
      <w:r w:rsidR="00171BC2">
        <w:rPr>
          <w:rFonts w:ascii="ITC Avant Garde" w:hAnsi="ITC Avant Garde"/>
          <w:sz w:val="18"/>
          <w:szCs w:val="18"/>
          <w:lang w:val="es-ES_tradnl"/>
        </w:rPr>
        <w:t xml:space="preserve"> y</w:t>
      </w:r>
      <w:r w:rsidR="00171BC2" w:rsidRPr="00171BC2">
        <w:rPr>
          <w:rFonts w:ascii="ITC Avant Garde" w:hAnsi="ITC Avant Garde"/>
          <w:sz w:val="18"/>
          <w:szCs w:val="18"/>
          <w:lang w:val="es-ES_tradnl"/>
        </w:rPr>
        <w:t xml:space="preserve"> </w:t>
      </w:r>
      <w:r w:rsidR="00171BC2">
        <w:rPr>
          <w:rFonts w:ascii="ITC Avant Garde" w:hAnsi="ITC Avant Garde"/>
          <w:sz w:val="18"/>
          <w:szCs w:val="18"/>
          <w:lang w:val="es-ES_tradnl"/>
        </w:rPr>
        <w:t>Televisa</w:t>
      </w:r>
      <w:r w:rsidR="00A82D26" w:rsidRPr="00A82D26">
        <w:rPr>
          <w:rFonts w:ascii="ITC Avant Garde" w:hAnsi="ITC Avant Garde"/>
          <w:sz w:val="18"/>
          <w:szCs w:val="18"/>
          <w:lang w:val="es-ES_tradnl"/>
        </w:rPr>
        <w:t>] considera</w:t>
      </w:r>
      <w:r w:rsidR="009630B7">
        <w:rPr>
          <w:rFonts w:ascii="ITC Avant Garde" w:hAnsi="ITC Avant Garde"/>
          <w:sz w:val="18"/>
          <w:szCs w:val="18"/>
          <w:lang w:val="es-ES_tradnl"/>
        </w:rPr>
        <w:t>n</w:t>
      </w:r>
      <w:r w:rsidR="00A82D26" w:rsidRPr="00A82D26">
        <w:rPr>
          <w:rFonts w:ascii="ITC Avant Garde" w:hAnsi="ITC Avant Garde"/>
          <w:sz w:val="18"/>
          <w:szCs w:val="18"/>
          <w:lang w:val="es-ES_tradnl"/>
        </w:rPr>
        <w:t xml:space="preserve"> que </w:t>
      </w:r>
      <w:r w:rsidR="00D92ED7">
        <w:rPr>
          <w:rFonts w:ascii="ITC Avant Garde" w:hAnsi="ITC Avant Garde"/>
          <w:sz w:val="18"/>
          <w:szCs w:val="18"/>
          <w:lang w:val="es-ES_tradnl"/>
        </w:rPr>
        <w:t xml:space="preserve">el valor propuesto es demasiado alto y que </w:t>
      </w:r>
      <w:r w:rsidR="00A82D26" w:rsidRPr="00A82D26">
        <w:rPr>
          <w:rFonts w:ascii="ITC Avant Garde" w:hAnsi="ITC Avant Garde"/>
          <w:sz w:val="18"/>
          <w:szCs w:val="18"/>
          <w:lang w:val="es-ES_tradnl"/>
        </w:rPr>
        <w:t xml:space="preserve">debe estar en línea con el </w:t>
      </w:r>
      <w:r w:rsidR="00D92ED7">
        <w:rPr>
          <w:rFonts w:ascii="ITC Avant Garde" w:hAnsi="ITC Avant Garde"/>
          <w:sz w:val="18"/>
          <w:szCs w:val="18"/>
          <w:lang w:val="es-ES_tradnl"/>
        </w:rPr>
        <w:t xml:space="preserve">valor del </w:t>
      </w:r>
      <w:r w:rsidR="00A82D26" w:rsidRPr="00A82D26">
        <w:rPr>
          <w:rFonts w:ascii="ITC Avant Garde" w:hAnsi="ITC Avant Garde"/>
          <w:sz w:val="18"/>
          <w:szCs w:val="18"/>
          <w:lang w:val="es-ES_tradnl"/>
        </w:rPr>
        <w:t>modelo para operadores fijos no preponderantes, o incluso ser menor</w:t>
      </w:r>
      <w:r w:rsidR="00171BC2">
        <w:rPr>
          <w:rFonts w:ascii="ITC Avant Garde" w:hAnsi="ITC Avant Garde"/>
          <w:sz w:val="18"/>
          <w:szCs w:val="18"/>
          <w:lang w:val="es-ES_tradnl"/>
        </w:rPr>
        <w:t xml:space="preserve"> (en torno al 7 % - </w:t>
      </w:r>
      <w:r w:rsidR="00D92ED7">
        <w:rPr>
          <w:rFonts w:ascii="ITC Avant Garde" w:hAnsi="ITC Avant Garde"/>
          <w:sz w:val="18"/>
          <w:szCs w:val="18"/>
          <w:lang w:val="es-ES_tradnl"/>
        </w:rPr>
        <w:t>8 %)</w:t>
      </w:r>
      <w:r w:rsidR="00A82D26" w:rsidRPr="00A82D26">
        <w:rPr>
          <w:rFonts w:ascii="ITC Avant Garde" w:hAnsi="ITC Avant Garde"/>
          <w:sz w:val="18"/>
          <w:szCs w:val="18"/>
          <w:lang w:val="es-ES_tradnl"/>
        </w:rPr>
        <w:t xml:space="preserve">. </w:t>
      </w:r>
      <w:r w:rsidR="009630B7">
        <w:rPr>
          <w:rFonts w:ascii="ITC Avant Garde" w:hAnsi="ITC Avant Garde"/>
          <w:sz w:val="18"/>
          <w:szCs w:val="18"/>
          <w:lang w:val="es-ES_tradnl"/>
        </w:rPr>
        <w:t xml:space="preserve">También en referencia a este parámetro, </w:t>
      </w:r>
      <w:r w:rsidR="00171BC2">
        <w:rPr>
          <w:rFonts w:ascii="ITC Avant Garde" w:hAnsi="ITC Avant Garde"/>
          <w:sz w:val="18"/>
          <w:szCs w:val="18"/>
          <w:lang w:val="es-ES_tradnl"/>
        </w:rPr>
        <w:t>otro participante</w:t>
      </w:r>
      <w:r w:rsidR="009630B7" w:rsidRPr="009630B7">
        <w:rPr>
          <w:rFonts w:ascii="ITC Avant Garde" w:hAnsi="ITC Avant Garde"/>
          <w:sz w:val="18"/>
          <w:szCs w:val="18"/>
          <w:lang w:val="es-ES_tradnl"/>
        </w:rPr>
        <w:t xml:space="preserve"> [Total Play]</w:t>
      </w:r>
      <w:r w:rsidR="009630B7">
        <w:rPr>
          <w:rFonts w:ascii="ITC Avant Garde" w:hAnsi="ITC Avant Garde"/>
          <w:sz w:val="18"/>
          <w:szCs w:val="18"/>
          <w:lang w:val="es-ES_tradnl"/>
        </w:rPr>
        <w:t xml:space="preserve"> comenta la falta de justificación del uso de WACC nominal antes de impuestos, en vez de WACC real antes de impuestos.</w:t>
      </w:r>
    </w:p>
    <w:p w14:paraId="342A79F0" w14:textId="55D9D4D4" w:rsidR="001C3BD5" w:rsidRPr="00B93FB7" w:rsidRDefault="00171BC2" w:rsidP="009630B7">
      <w:pPr>
        <w:rPr>
          <w:rFonts w:ascii="ITC Avant Garde" w:hAnsi="ITC Avant Garde"/>
          <w:sz w:val="18"/>
          <w:szCs w:val="18"/>
          <w:lang w:val="es-ES_tradnl"/>
        </w:rPr>
      </w:pPr>
      <w:r>
        <w:rPr>
          <w:rFonts w:ascii="ITC Avant Garde" w:hAnsi="ITC Avant Garde"/>
          <w:sz w:val="18"/>
          <w:szCs w:val="18"/>
          <w:lang w:val="es-ES_tradnl"/>
        </w:rPr>
        <w:t>Finalmente, otro de los participantes</w:t>
      </w:r>
      <w:r w:rsidR="001C3BD5">
        <w:rPr>
          <w:rFonts w:ascii="ITC Avant Garde" w:hAnsi="ITC Avant Garde"/>
          <w:sz w:val="18"/>
          <w:szCs w:val="18"/>
          <w:lang w:val="es-ES_tradnl"/>
        </w:rPr>
        <w:t xml:space="preserve"> [Televisa] </w:t>
      </w:r>
      <w:r>
        <w:rPr>
          <w:rFonts w:ascii="ITC Avant Garde" w:hAnsi="ITC Avant Garde"/>
          <w:sz w:val="18"/>
          <w:szCs w:val="18"/>
          <w:lang w:val="es-ES_tradnl"/>
        </w:rPr>
        <w:t xml:space="preserve">señala </w:t>
      </w:r>
      <w:r w:rsidR="001C3BD5">
        <w:rPr>
          <w:rFonts w:ascii="ITC Avant Garde" w:hAnsi="ITC Avant Garde"/>
          <w:sz w:val="18"/>
          <w:szCs w:val="18"/>
          <w:lang w:val="es-ES_tradnl"/>
        </w:rPr>
        <w:t xml:space="preserve">la importancia de ser coherente a través de todos los modelos publicados por el </w:t>
      </w:r>
      <w:r>
        <w:rPr>
          <w:rFonts w:ascii="ITC Avant Garde" w:hAnsi="ITC Avant Garde"/>
          <w:sz w:val="18"/>
          <w:szCs w:val="18"/>
          <w:lang w:val="es-ES_tradnl"/>
        </w:rPr>
        <w:t>Instituto</w:t>
      </w:r>
      <w:r w:rsidR="001C3BD5">
        <w:rPr>
          <w:rFonts w:ascii="ITC Avant Garde" w:hAnsi="ITC Avant Garde"/>
          <w:sz w:val="18"/>
          <w:szCs w:val="18"/>
          <w:lang w:val="es-ES_tradnl"/>
        </w:rPr>
        <w:t xml:space="preserve"> para consulta, y en línea con el 7% de</w:t>
      </w:r>
      <w:r w:rsidR="006A21BE">
        <w:rPr>
          <w:rFonts w:ascii="ITC Avant Garde" w:hAnsi="ITC Avant Garde"/>
          <w:sz w:val="18"/>
          <w:szCs w:val="18"/>
          <w:lang w:val="es-ES_tradnl"/>
        </w:rPr>
        <w:t>l WACC fijo publicado por el Instituto</w:t>
      </w:r>
      <w:r w:rsidR="001C3BD5">
        <w:rPr>
          <w:rFonts w:ascii="ITC Avant Garde" w:hAnsi="ITC Avant Garde"/>
          <w:sz w:val="18"/>
          <w:szCs w:val="18"/>
          <w:lang w:val="es-ES_tradnl"/>
        </w:rPr>
        <w:t xml:space="preserve"> en 2015.</w:t>
      </w:r>
    </w:p>
    <w:p w14:paraId="35653E63" w14:textId="77777777" w:rsidR="00141720" w:rsidRDefault="00141720" w:rsidP="00EC36CC">
      <w:pPr>
        <w:pStyle w:val="Listaconvietas"/>
        <w:numPr>
          <w:ilvl w:val="0"/>
          <w:numId w:val="0"/>
        </w:numPr>
        <w:rPr>
          <w:rFonts w:ascii="ITC Avant Garde" w:hAnsi="ITC Avant Garde"/>
          <w:color w:val="548DD4" w:themeColor="text2" w:themeTint="99"/>
          <w:sz w:val="18"/>
          <w:szCs w:val="18"/>
          <w:lang w:val="es-ES_tradnl"/>
        </w:rPr>
      </w:pPr>
      <w:r w:rsidRPr="00E45AEA">
        <w:rPr>
          <w:rFonts w:ascii="ITC Avant Garde" w:hAnsi="ITC Avant Garde"/>
          <w:i/>
          <w:sz w:val="18"/>
          <w:szCs w:val="18"/>
          <w:u w:val="single"/>
          <w:lang w:val="es-ES_tradnl"/>
        </w:rPr>
        <w:t>Respuesta del Instituto</w:t>
      </w:r>
      <w:r w:rsidRPr="00BA70D0">
        <w:rPr>
          <w:rFonts w:ascii="ITC Avant Garde" w:hAnsi="ITC Avant Garde"/>
          <w:color w:val="548DD4" w:themeColor="text2" w:themeTint="99"/>
          <w:sz w:val="18"/>
          <w:szCs w:val="18"/>
          <w:lang w:val="es-ES_tradnl"/>
        </w:rPr>
        <w:t xml:space="preserve"> </w:t>
      </w:r>
    </w:p>
    <w:p w14:paraId="342A79F2" w14:textId="7F405939" w:rsidR="00E24B33" w:rsidRPr="0029036C" w:rsidRDefault="0029036C" w:rsidP="0029036C">
      <w:pPr>
        <w:rPr>
          <w:rFonts w:ascii="ITC Avant Garde" w:hAnsi="ITC Avant Garde"/>
          <w:sz w:val="18"/>
          <w:szCs w:val="18"/>
          <w:lang w:val="es-ES_tradnl"/>
        </w:rPr>
      </w:pPr>
      <w:r w:rsidRPr="0029036C">
        <w:rPr>
          <w:rFonts w:ascii="ITC Avant Garde" w:hAnsi="ITC Avant Garde"/>
          <w:sz w:val="18"/>
          <w:szCs w:val="18"/>
          <w:lang w:val="es-ES_tradnl"/>
        </w:rPr>
        <w:t>El Instituto señala que l</w:t>
      </w:r>
      <w:r w:rsidR="00E24B33" w:rsidRPr="0029036C">
        <w:rPr>
          <w:rFonts w:ascii="ITC Avant Garde" w:hAnsi="ITC Avant Garde"/>
          <w:sz w:val="18"/>
          <w:szCs w:val="18"/>
          <w:lang w:val="es-ES_tradnl"/>
        </w:rPr>
        <w:t xml:space="preserve">a información empleada para definir los parámetros del modelo se basa en su gran mayoría en información confidencial provista por el AEP o en datos confidenciales de operadores internacionales. </w:t>
      </w:r>
      <w:r w:rsidR="008E2F10" w:rsidRPr="0029036C">
        <w:rPr>
          <w:rFonts w:ascii="ITC Avant Garde" w:hAnsi="ITC Avant Garde"/>
          <w:sz w:val="18"/>
          <w:szCs w:val="18"/>
          <w:lang w:val="es-ES_tradnl"/>
        </w:rPr>
        <w:t xml:space="preserve">De hecho, la consulta pública </w:t>
      </w:r>
      <w:r w:rsidR="00FF65C7" w:rsidRPr="0029036C">
        <w:rPr>
          <w:rFonts w:ascii="ITC Avant Garde" w:hAnsi="ITC Avant Garde"/>
          <w:sz w:val="18"/>
          <w:szCs w:val="18"/>
          <w:lang w:val="es-ES_tradnl"/>
        </w:rPr>
        <w:t xml:space="preserve">ha dado </w:t>
      </w:r>
      <w:r w:rsidR="008E2F10" w:rsidRPr="0029036C">
        <w:rPr>
          <w:rFonts w:ascii="ITC Avant Garde" w:hAnsi="ITC Avant Garde"/>
          <w:sz w:val="18"/>
          <w:szCs w:val="18"/>
          <w:lang w:val="es-ES_tradnl"/>
        </w:rPr>
        <w:t xml:space="preserve">la oportunidad a los </w:t>
      </w:r>
      <w:r w:rsidR="00672190">
        <w:rPr>
          <w:rFonts w:ascii="ITC Avant Garde" w:hAnsi="ITC Avant Garde"/>
          <w:sz w:val="18"/>
          <w:szCs w:val="18"/>
          <w:lang w:val="es-ES_tradnl"/>
        </w:rPr>
        <w:t>participantes</w:t>
      </w:r>
      <w:r w:rsidR="008E2F10" w:rsidRPr="0029036C">
        <w:rPr>
          <w:rFonts w:ascii="ITC Avant Garde" w:hAnsi="ITC Avant Garde"/>
          <w:sz w:val="18"/>
          <w:szCs w:val="18"/>
          <w:lang w:val="es-ES_tradnl"/>
        </w:rPr>
        <w:t xml:space="preserve"> de aportar la información adicional que considerasen oportunas para la mejora del modelo, como han hecho algunos.</w:t>
      </w:r>
    </w:p>
    <w:p w14:paraId="342A79F3" w14:textId="0EC864B9" w:rsidR="0058572F" w:rsidRPr="0029036C" w:rsidRDefault="0029036C" w:rsidP="0029036C">
      <w:pPr>
        <w:rPr>
          <w:rFonts w:ascii="ITC Avant Garde" w:hAnsi="ITC Avant Garde"/>
          <w:sz w:val="18"/>
          <w:szCs w:val="18"/>
          <w:lang w:val="es-ES_tradnl"/>
        </w:rPr>
      </w:pPr>
      <w:r w:rsidRPr="0029036C">
        <w:rPr>
          <w:rFonts w:ascii="ITC Avant Garde" w:hAnsi="ITC Avant Garde"/>
          <w:sz w:val="18"/>
          <w:szCs w:val="18"/>
          <w:lang w:val="es-ES_tradnl"/>
        </w:rPr>
        <w:t xml:space="preserve">Asimismo, el Instituto destaca que </w:t>
      </w:r>
      <w:r w:rsidR="0064471B">
        <w:rPr>
          <w:rFonts w:ascii="ITC Avant Garde" w:hAnsi="ITC Avant Garde"/>
          <w:sz w:val="18"/>
          <w:szCs w:val="18"/>
          <w:lang w:val="es-ES_tradnl"/>
        </w:rPr>
        <w:t>p</w:t>
      </w:r>
      <w:r w:rsidR="00F84866" w:rsidRPr="0029036C">
        <w:rPr>
          <w:rFonts w:ascii="ITC Avant Garde" w:hAnsi="ITC Avant Garde"/>
          <w:sz w:val="18"/>
          <w:szCs w:val="18"/>
          <w:lang w:val="es-ES_tradnl"/>
        </w:rPr>
        <w:t>ara el cálculo de los costos comunes, e</w:t>
      </w:r>
      <w:r w:rsidR="001D45E7" w:rsidRPr="0029036C">
        <w:rPr>
          <w:rFonts w:ascii="ITC Avant Garde" w:hAnsi="ITC Avant Garde"/>
          <w:sz w:val="18"/>
          <w:szCs w:val="18"/>
          <w:lang w:val="es-ES_tradnl"/>
        </w:rPr>
        <w:t xml:space="preserve">l modelo </w:t>
      </w:r>
      <w:r w:rsidR="00004E8E">
        <w:rPr>
          <w:rFonts w:ascii="ITC Avant Garde" w:hAnsi="ITC Avant Garde"/>
          <w:sz w:val="18"/>
          <w:szCs w:val="18"/>
          <w:lang w:val="es-ES_tradnl"/>
        </w:rPr>
        <w:t>incorporará</w:t>
      </w:r>
      <w:r w:rsidR="00004E8E" w:rsidRPr="0029036C">
        <w:rPr>
          <w:rFonts w:ascii="ITC Avant Garde" w:hAnsi="ITC Avant Garde"/>
          <w:sz w:val="18"/>
          <w:szCs w:val="18"/>
          <w:lang w:val="es-ES_tradnl"/>
        </w:rPr>
        <w:t xml:space="preserve"> </w:t>
      </w:r>
      <w:r w:rsidR="001D45E7" w:rsidRPr="0029036C">
        <w:rPr>
          <w:rFonts w:ascii="ITC Avant Garde" w:hAnsi="ITC Avant Garde"/>
          <w:sz w:val="18"/>
          <w:szCs w:val="18"/>
          <w:lang w:val="es-ES_tradnl"/>
        </w:rPr>
        <w:t xml:space="preserve">un mark-up de gastos comunes (para </w:t>
      </w:r>
      <w:r w:rsidR="00594E92" w:rsidRPr="0029036C">
        <w:rPr>
          <w:rFonts w:ascii="ITC Avant Garde" w:hAnsi="ITC Avant Garde"/>
          <w:sz w:val="18"/>
          <w:szCs w:val="18"/>
          <w:lang w:val="es-ES_tradnl"/>
        </w:rPr>
        <w:t>OPEX</w:t>
      </w:r>
      <w:r w:rsidR="001D45E7" w:rsidRPr="0029036C">
        <w:rPr>
          <w:rFonts w:ascii="ITC Avant Garde" w:hAnsi="ITC Avant Garde"/>
          <w:sz w:val="18"/>
          <w:szCs w:val="18"/>
          <w:lang w:val="es-ES_tradnl"/>
        </w:rPr>
        <w:t xml:space="preserve"> y </w:t>
      </w:r>
      <w:r w:rsidR="00594E92" w:rsidRPr="0029036C">
        <w:rPr>
          <w:rFonts w:ascii="ITC Avant Garde" w:hAnsi="ITC Avant Garde"/>
          <w:sz w:val="18"/>
          <w:szCs w:val="18"/>
          <w:lang w:val="es-ES_tradnl"/>
        </w:rPr>
        <w:t>CAPEX</w:t>
      </w:r>
      <w:r w:rsidR="001D45E7" w:rsidRPr="0029036C">
        <w:rPr>
          <w:rFonts w:ascii="ITC Avant Garde" w:hAnsi="ITC Avant Garde"/>
          <w:sz w:val="18"/>
          <w:szCs w:val="18"/>
          <w:lang w:val="es-ES_tradnl"/>
        </w:rPr>
        <w:t>)</w:t>
      </w:r>
      <w:r w:rsidR="00F84866" w:rsidRPr="0029036C">
        <w:rPr>
          <w:rFonts w:ascii="ITC Avant Garde" w:hAnsi="ITC Avant Garde"/>
          <w:sz w:val="18"/>
          <w:szCs w:val="18"/>
          <w:lang w:val="es-ES_tradnl"/>
        </w:rPr>
        <w:t xml:space="preserve"> que </w:t>
      </w:r>
      <w:r w:rsidR="00004E8E" w:rsidRPr="0029036C">
        <w:rPr>
          <w:rFonts w:ascii="ITC Avant Garde" w:hAnsi="ITC Avant Garde"/>
          <w:sz w:val="18"/>
          <w:szCs w:val="18"/>
          <w:lang w:val="es-ES_tradnl"/>
        </w:rPr>
        <w:t>consider</w:t>
      </w:r>
      <w:r w:rsidR="00004E8E">
        <w:rPr>
          <w:rFonts w:ascii="ITC Avant Garde" w:hAnsi="ITC Avant Garde"/>
          <w:sz w:val="18"/>
          <w:szCs w:val="18"/>
          <w:lang w:val="es-ES_tradnl"/>
        </w:rPr>
        <w:t>e</w:t>
      </w:r>
      <w:r w:rsidR="00004E8E" w:rsidRPr="0029036C">
        <w:rPr>
          <w:rFonts w:ascii="ITC Avant Garde" w:hAnsi="ITC Avant Garde"/>
          <w:sz w:val="18"/>
          <w:szCs w:val="18"/>
          <w:lang w:val="es-ES_tradnl"/>
        </w:rPr>
        <w:t xml:space="preserve"> </w:t>
      </w:r>
      <w:r w:rsidR="00F84866" w:rsidRPr="0029036C">
        <w:rPr>
          <w:rFonts w:ascii="ITC Avant Garde" w:hAnsi="ITC Avant Garde"/>
          <w:sz w:val="18"/>
          <w:szCs w:val="18"/>
          <w:lang w:val="es-ES_tradnl"/>
        </w:rPr>
        <w:t xml:space="preserve">los </w:t>
      </w:r>
      <w:r w:rsidR="001D45E7" w:rsidRPr="0029036C">
        <w:rPr>
          <w:rFonts w:ascii="ITC Avant Garde" w:hAnsi="ITC Avant Garde"/>
          <w:sz w:val="18"/>
          <w:szCs w:val="18"/>
          <w:lang w:val="es-ES_tradnl"/>
        </w:rPr>
        <w:t xml:space="preserve">gastos corporativos </w:t>
      </w:r>
      <w:r w:rsidR="00F84866" w:rsidRPr="0029036C">
        <w:rPr>
          <w:rFonts w:ascii="ITC Avant Garde" w:hAnsi="ITC Avant Garde"/>
          <w:sz w:val="18"/>
          <w:szCs w:val="18"/>
          <w:lang w:val="es-ES_tradnl"/>
        </w:rPr>
        <w:t xml:space="preserve">asociados, como pueden ser los </w:t>
      </w:r>
      <w:r w:rsidR="001D45E7" w:rsidRPr="0029036C">
        <w:rPr>
          <w:rFonts w:ascii="ITC Avant Garde" w:hAnsi="ITC Avant Garde"/>
          <w:sz w:val="18"/>
          <w:szCs w:val="18"/>
          <w:lang w:val="es-ES_tradnl"/>
        </w:rPr>
        <w:t>gastos de contabilidad</w:t>
      </w:r>
      <w:r w:rsidR="0064471B">
        <w:rPr>
          <w:rFonts w:ascii="ITC Avant Garde" w:hAnsi="ITC Avant Garde"/>
          <w:sz w:val="18"/>
          <w:szCs w:val="18"/>
          <w:lang w:val="es-ES_tradnl"/>
        </w:rPr>
        <w:t>,</w:t>
      </w:r>
      <w:r w:rsidR="001D45E7" w:rsidRPr="0029036C">
        <w:rPr>
          <w:rFonts w:ascii="ITC Avant Garde" w:hAnsi="ITC Avant Garde"/>
          <w:sz w:val="18"/>
          <w:szCs w:val="18"/>
          <w:lang w:val="es-ES_tradnl"/>
        </w:rPr>
        <w:t xml:space="preserve"> seguros</w:t>
      </w:r>
      <w:r w:rsidR="0064471B">
        <w:rPr>
          <w:rFonts w:ascii="ITC Avant Garde" w:hAnsi="ITC Avant Garde"/>
          <w:sz w:val="18"/>
          <w:szCs w:val="18"/>
          <w:lang w:val="es-ES_tradnl"/>
        </w:rPr>
        <w:t xml:space="preserve"> o de personal</w:t>
      </w:r>
      <w:r w:rsidR="00EC1830" w:rsidRPr="0029036C">
        <w:rPr>
          <w:rFonts w:ascii="ITC Avant Garde" w:hAnsi="ITC Avant Garde"/>
          <w:sz w:val="18"/>
          <w:szCs w:val="18"/>
          <w:lang w:val="es-ES_tradnl"/>
        </w:rPr>
        <w:t>.</w:t>
      </w:r>
      <w:r w:rsidR="00F84866" w:rsidRPr="0029036C">
        <w:rPr>
          <w:rFonts w:ascii="ITC Avant Garde" w:hAnsi="ITC Avant Garde"/>
          <w:sz w:val="18"/>
          <w:szCs w:val="18"/>
          <w:lang w:val="es-ES_tradnl"/>
        </w:rPr>
        <w:t xml:space="preserve"> Dicho mark-up se </w:t>
      </w:r>
      <w:r w:rsidR="00004E8E">
        <w:rPr>
          <w:rFonts w:ascii="ITC Avant Garde" w:hAnsi="ITC Avant Garde"/>
          <w:sz w:val="18"/>
          <w:szCs w:val="18"/>
          <w:lang w:val="es-ES_tradnl"/>
        </w:rPr>
        <w:t>calculará</w:t>
      </w:r>
      <w:r w:rsidR="00F84866" w:rsidRPr="0029036C">
        <w:rPr>
          <w:rFonts w:ascii="ITC Avant Garde" w:hAnsi="ITC Avant Garde"/>
          <w:sz w:val="18"/>
          <w:szCs w:val="18"/>
          <w:lang w:val="es-ES_tradnl"/>
        </w:rPr>
        <w:t xml:space="preserve"> </w:t>
      </w:r>
      <w:r w:rsidR="0064471B">
        <w:rPr>
          <w:rFonts w:ascii="ITC Avant Garde" w:hAnsi="ITC Avant Garde"/>
          <w:sz w:val="18"/>
          <w:szCs w:val="18"/>
          <w:lang w:val="es-ES_tradnl"/>
        </w:rPr>
        <w:t>a partir de</w:t>
      </w:r>
      <w:r w:rsidR="0064471B" w:rsidRPr="0029036C">
        <w:rPr>
          <w:rFonts w:ascii="ITC Avant Garde" w:hAnsi="ITC Avant Garde"/>
          <w:sz w:val="18"/>
          <w:szCs w:val="18"/>
          <w:lang w:val="es-ES_tradnl"/>
        </w:rPr>
        <w:t xml:space="preserve"> </w:t>
      </w:r>
      <w:r w:rsidRPr="0029036C">
        <w:rPr>
          <w:rFonts w:ascii="ITC Avant Garde" w:hAnsi="ITC Avant Garde"/>
          <w:sz w:val="18"/>
          <w:szCs w:val="18"/>
          <w:lang w:val="es-ES_tradnl"/>
        </w:rPr>
        <w:t>la</w:t>
      </w:r>
      <w:r w:rsidR="0058572F" w:rsidRPr="0029036C">
        <w:rPr>
          <w:rFonts w:ascii="ITC Avant Garde" w:hAnsi="ITC Avant Garde"/>
          <w:sz w:val="18"/>
          <w:szCs w:val="18"/>
          <w:lang w:val="es-ES_tradnl"/>
        </w:rPr>
        <w:t xml:space="preserve"> experiencia</w:t>
      </w:r>
      <w:r>
        <w:rPr>
          <w:rFonts w:ascii="ITC Avant Garde" w:hAnsi="ITC Avant Garde"/>
          <w:sz w:val="18"/>
          <w:szCs w:val="18"/>
          <w:lang w:val="es-ES_tradnl"/>
        </w:rPr>
        <w:t xml:space="preserve"> y comparativas internacionales, </w:t>
      </w:r>
      <w:r w:rsidRPr="0029036C">
        <w:rPr>
          <w:rFonts w:ascii="ITC Avant Garde" w:hAnsi="ITC Avant Garde"/>
          <w:sz w:val="18"/>
          <w:szCs w:val="18"/>
          <w:lang w:val="es-ES_tradnl"/>
        </w:rPr>
        <w:t xml:space="preserve">provista por el AEP </w:t>
      </w:r>
      <w:r>
        <w:rPr>
          <w:rFonts w:ascii="ITC Avant Garde" w:hAnsi="ITC Avant Garde"/>
          <w:sz w:val="18"/>
          <w:szCs w:val="18"/>
          <w:lang w:val="es-ES_tradnl"/>
        </w:rPr>
        <w:t>y operadores.</w:t>
      </w:r>
    </w:p>
    <w:p w14:paraId="59179A7A" w14:textId="13E9F173" w:rsidR="00B63FF4" w:rsidRDefault="0029036C" w:rsidP="00C07FD3">
      <w:pPr>
        <w:rPr>
          <w:rFonts w:ascii="ITC Avant Garde" w:hAnsi="ITC Avant Garde"/>
          <w:sz w:val="18"/>
          <w:szCs w:val="18"/>
          <w:lang w:val="es-ES_tradnl"/>
        </w:rPr>
      </w:pPr>
      <w:r>
        <w:rPr>
          <w:rFonts w:ascii="ITC Avant Garde" w:hAnsi="ITC Avant Garde"/>
          <w:sz w:val="18"/>
          <w:szCs w:val="18"/>
          <w:lang w:val="es-ES_tradnl"/>
        </w:rPr>
        <w:t>De manera particular, e</w:t>
      </w:r>
      <w:r w:rsidR="00171BC2" w:rsidRPr="00171BC2">
        <w:rPr>
          <w:rFonts w:ascii="ITC Avant Garde" w:hAnsi="ITC Avant Garde"/>
          <w:sz w:val="18"/>
          <w:szCs w:val="18"/>
          <w:lang w:val="es-ES_tradnl"/>
        </w:rPr>
        <w:t xml:space="preserve">n lo tocante al </w:t>
      </w:r>
      <w:r w:rsidR="00594E92">
        <w:rPr>
          <w:rFonts w:ascii="ITC Avant Garde" w:hAnsi="ITC Avant Garde"/>
          <w:sz w:val="18"/>
          <w:szCs w:val="18"/>
          <w:lang w:val="es-ES_tradnl"/>
        </w:rPr>
        <w:t>CCPP</w:t>
      </w:r>
      <w:r w:rsidR="00171BC2" w:rsidRPr="00171BC2">
        <w:rPr>
          <w:rFonts w:ascii="ITC Avant Garde" w:hAnsi="ITC Avant Garde"/>
          <w:sz w:val="18"/>
          <w:szCs w:val="18"/>
          <w:lang w:val="es-ES_tradnl"/>
        </w:rPr>
        <w:t xml:space="preserve"> empleado en el modelo, el Institu</w:t>
      </w:r>
      <w:r w:rsidR="00784AB6">
        <w:rPr>
          <w:rFonts w:ascii="ITC Avant Garde" w:hAnsi="ITC Avant Garde"/>
          <w:sz w:val="18"/>
          <w:szCs w:val="18"/>
          <w:lang w:val="es-ES_tradnl"/>
        </w:rPr>
        <w:t>to señala que el</w:t>
      </w:r>
      <w:r w:rsidR="00E549D2">
        <w:rPr>
          <w:rFonts w:ascii="ITC Avant Garde" w:hAnsi="ITC Avant Garde"/>
          <w:sz w:val="18"/>
          <w:szCs w:val="18"/>
          <w:lang w:val="es-ES_tradnl"/>
        </w:rPr>
        <w:t xml:space="preserve"> valor empleado en la versión final del modelo corresponderá con el valor más actualizado que el Instituto haya estimado para emplearse en los diferentes modelos de costos asociados a servicios mayoristas del AEP</w:t>
      </w:r>
      <w:r w:rsidR="00171BC2" w:rsidRPr="00171BC2">
        <w:rPr>
          <w:rFonts w:ascii="ITC Avant Garde" w:hAnsi="ITC Avant Garde"/>
          <w:sz w:val="18"/>
          <w:szCs w:val="18"/>
          <w:lang w:val="es-ES_tradnl"/>
        </w:rPr>
        <w:t xml:space="preserve">. </w:t>
      </w:r>
    </w:p>
    <w:p w14:paraId="79A74DEF" w14:textId="484732A9" w:rsidR="00171BC2" w:rsidRPr="00171BC2" w:rsidRDefault="00E549D2" w:rsidP="00C07FD3">
      <w:pPr>
        <w:rPr>
          <w:rFonts w:ascii="ITC Avant Garde" w:hAnsi="ITC Avant Garde"/>
          <w:sz w:val="18"/>
          <w:szCs w:val="18"/>
          <w:lang w:val="es-ES_tradnl"/>
        </w:rPr>
      </w:pPr>
      <w:r>
        <w:rPr>
          <w:rFonts w:ascii="ITC Avant Garde" w:hAnsi="ITC Avant Garde"/>
          <w:sz w:val="18"/>
          <w:szCs w:val="18"/>
          <w:lang w:val="es-ES_tradnl"/>
        </w:rPr>
        <w:lastRenderedPageBreak/>
        <w:t>Por otra parte, e</w:t>
      </w:r>
      <w:r w:rsidR="00171BC2" w:rsidRPr="00171BC2">
        <w:rPr>
          <w:rFonts w:ascii="ITC Avant Garde" w:hAnsi="ITC Avant Garde"/>
          <w:sz w:val="18"/>
          <w:szCs w:val="18"/>
          <w:lang w:val="es-ES_tradnl"/>
        </w:rPr>
        <w:t xml:space="preserve">l Instituto señala que el CCPP nominal se emplea en lugar del real, ya que se supone que el total de la inversión para desplegar la red se hace en un solo año y en la actualización de esta para años futuros se aplica un cambio en precios, que se hace en el modelo con la denominada “tendencia de precio”. Bajo </w:t>
      </w:r>
      <w:r w:rsidR="00171BC2">
        <w:rPr>
          <w:rFonts w:ascii="ITC Avant Garde" w:hAnsi="ITC Avant Garde"/>
          <w:sz w:val="18"/>
          <w:szCs w:val="18"/>
          <w:lang w:val="es-ES_tradnl"/>
        </w:rPr>
        <w:t>e</w:t>
      </w:r>
      <w:r w:rsidR="00171BC2" w:rsidRPr="00171BC2">
        <w:rPr>
          <w:rFonts w:ascii="ITC Avant Garde" w:hAnsi="ITC Avant Garde"/>
          <w:sz w:val="18"/>
          <w:szCs w:val="18"/>
          <w:lang w:val="es-ES_tradnl"/>
        </w:rPr>
        <w:t xml:space="preserve">ste enfoque, el flujo de efectivo de la empresa hipotética dentro del modelo toma en consideración flujos nominales en términos de la inversión al valor de los costos que se actualizan por su tendencia en precios, lo que permite desarrollar el modelo en términos nominales, en vez de los términos reales. Por ello, </w:t>
      </w:r>
      <w:r w:rsidR="00BA7D90">
        <w:rPr>
          <w:rFonts w:ascii="ITC Avant Garde" w:hAnsi="ITC Avant Garde"/>
          <w:sz w:val="18"/>
          <w:szCs w:val="18"/>
          <w:lang w:val="es-ES_tradnl"/>
        </w:rPr>
        <w:t>se considera apropiad</w:t>
      </w:r>
      <w:r w:rsidR="00C07FD3">
        <w:rPr>
          <w:rFonts w:ascii="ITC Avant Garde" w:hAnsi="ITC Avant Garde"/>
          <w:sz w:val="18"/>
          <w:szCs w:val="18"/>
          <w:lang w:val="es-ES_tradnl"/>
        </w:rPr>
        <w:t xml:space="preserve">o utilizar </w:t>
      </w:r>
      <w:r w:rsidR="00171BC2" w:rsidRPr="00171BC2">
        <w:rPr>
          <w:rFonts w:ascii="ITC Avant Garde" w:hAnsi="ITC Avant Garde"/>
          <w:sz w:val="18"/>
          <w:szCs w:val="18"/>
          <w:lang w:val="es-ES_tradnl"/>
        </w:rPr>
        <w:t>el CCPP nominal.</w:t>
      </w:r>
    </w:p>
    <w:p w14:paraId="342A79F6" w14:textId="77777777" w:rsidR="009803EB" w:rsidRDefault="0093118C" w:rsidP="0093118C">
      <w:pPr>
        <w:rPr>
          <w:rFonts w:ascii="ITC Avant Garde" w:hAnsi="ITC Avant Garde"/>
          <w:b/>
          <w:sz w:val="18"/>
          <w:szCs w:val="18"/>
          <w:lang w:val="es-ES_tradnl"/>
        </w:rPr>
      </w:pPr>
      <w:r w:rsidRPr="0093118C">
        <w:rPr>
          <w:rFonts w:ascii="ITC Avant Garde" w:hAnsi="ITC Avant Garde"/>
          <w:b/>
          <w:sz w:val="18"/>
          <w:szCs w:val="18"/>
          <w:lang w:val="es-ES_tradnl"/>
        </w:rPr>
        <w:t>Q.9: ¿Cree que existe algún parámetro adicional que debería haberse tenido en cuenta?</w:t>
      </w:r>
    </w:p>
    <w:p w14:paraId="416F20D9" w14:textId="4F4A92E3" w:rsidR="003D63B0" w:rsidRDefault="003D63B0" w:rsidP="0093118C">
      <w:pPr>
        <w:rPr>
          <w:rFonts w:ascii="ITC Avant Garde" w:hAnsi="ITC Avant Garde"/>
          <w:sz w:val="18"/>
          <w:szCs w:val="18"/>
          <w:lang w:val="es-ES_tradnl"/>
        </w:rPr>
      </w:pPr>
      <w:r w:rsidRPr="007F6C1D">
        <w:rPr>
          <w:rFonts w:ascii="ITC Avant Garde" w:hAnsi="ITC Avant Garde"/>
          <w:i/>
          <w:sz w:val="18"/>
          <w:szCs w:val="18"/>
          <w:u w:val="single"/>
          <w:lang w:val="es-ES_tradnl"/>
        </w:rPr>
        <w:t>Resumen de comentarios de la Consulta Pública</w:t>
      </w:r>
    </w:p>
    <w:p w14:paraId="342A79F7" w14:textId="601E3EFA" w:rsidR="00A82D26" w:rsidRDefault="003D63B0" w:rsidP="0093118C">
      <w:pPr>
        <w:rPr>
          <w:rFonts w:ascii="ITC Avant Garde" w:hAnsi="ITC Avant Garde"/>
          <w:sz w:val="18"/>
          <w:szCs w:val="18"/>
          <w:lang w:val="es-ES_tradnl"/>
        </w:rPr>
      </w:pPr>
      <w:r>
        <w:rPr>
          <w:rFonts w:ascii="ITC Avant Garde" w:hAnsi="ITC Avant Garde"/>
          <w:sz w:val="18"/>
          <w:szCs w:val="18"/>
          <w:lang w:val="es-ES_tradnl"/>
        </w:rPr>
        <w:t xml:space="preserve">Los participantes de la consulta que </w:t>
      </w:r>
      <w:r w:rsidR="00D93938">
        <w:rPr>
          <w:rFonts w:ascii="ITC Avant Garde" w:hAnsi="ITC Avant Garde"/>
          <w:sz w:val="18"/>
          <w:szCs w:val="18"/>
          <w:lang w:val="es-ES_tradnl"/>
        </w:rPr>
        <w:t>han contestado a esta pregunta [Telefónica, Lester Garcia, Total Play y Axtel</w:t>
      </w:r>
      <w:r w:rsidR="00A82D26" w:rsidRPr="00A82D26">
        <w:rPr>
          <w:rFonts w:ascii="ITC Avant Garde" w:hAnsi="ITC Avant Garde"/>
          <w:sz w:val="18"/>
          <w:szCs w:val="18"/>
          <w:lang w:val="es-ES_tradnl"/>
        </w:rPr>
        <w:t xml:space="preserve">] </w:t>
      </w:r>
      <w:r w:rsidR="00D93938">
        <w:rPr>
          <w:rFonts w:ascii="ITC Avant Garde" w:hAnsi="ITC Avant Garde"/>
          <w:sz w:val="18"/>
          <w:szCs w:val="18"/>
          <w:lang w:val="es-ES_tradnl"/>
        </w:rPr>
        <w:t>consideran adecuados los parámetros utilizados</w:t>
      </w:r>
      <w:r w:rsidR="00A82D26" w:rsidRPr="00A82D26">
        <w:rPr>
          <w:rFonts w:ascii="ITC Avant Garde" w:hAnsi="ITC Avant Garde"/>
          <w:sz w:val="18"/>
          <w:szCs w:val="18"/>
          <w:lang w:val="es-ES_tradnl"/>
        </w:rPr>
        <w:t>.</w:t>
      </w:r>
    </w:p>
    <w:p w14:paraId="078F8615" w14:textId="4176A71A" w:rsidR="001165F9" w:rsidRDefault="001165F9" w:rsidP="0093118C">
      <w:pPr>
        <w:rPr>
          <w:rFonts w:ascii="ITC Avant Garde" w:hAnsi="ITC Avant Garde"/>
          <w:i/>
          <w:sz w:val="18"/>
          <w:szCs w:val="18"/>
          <w:u w:val="single"/>
          <w:lang w:val="es-ES_tradnl"/>
        </w:rPr>
      </w:pPr>
      <w:r w:rsidRPr="00E45AEA">
        <w:rPr>
          <w:rFonts w:ascii="ITC Avant Garde" w:hAnsi="ITC Avant Garde"/>
          <w:i/>
          <w:sz w:val="18"/>
          <w:szCs w:val="18"/>
          <w:u w:val="single"/>
          <w:lang w:val="es-ES_tradnl"/>
        </w:rPr>
        <w:t>Respuesta del Instituto</w:t>
      </w:r>
    </w:p>
    <w:p w14:paraId="5A8528AF" w14:textId="66F6F3AB" w:rsidR="001165F9" w:rsidRPr="00A82D26" w:rsidRDefault="001165F9" w:rsidP="0093118C">
      <w:pPr>
        <w:rPr>
          <w:rFonts w:ascii="ITC Avant Garde" w:hAnsi="ITC Avant Garde"/>
          <w:sz w:val="18"/>
          <w:szCs w:val="18"/>
          <w:lang w:val="es-ES_tradnl"/>
        </w:rPr>
      </w:pPr>
      <w:r>
        <w:rPr>
          <w:rFonts w:ascii="ITC Avant Garde" w:hAnsi="ITC Avant Garde"/>
          <w:sz w:val="18"/>
          <w:szCs w:val="18"/>
          <w:lang w:val="es-ES_tradnl"/>
        </w:rPr>
        <w:t>El Instituto no tiene manifestaciones particulares en torno a los comentarios recibidos sobre la pregunta en comento.</w:t>
      </w:r>
    </w:p>
    <w:p w14:paraId="342A79F8" w14:textId="77777777" w:rsidR="009803EB" w:rsidRPr="00A918A4" w:rsidRDefault="009803EB" w:rsidP="009803EB">
      <w:pPr>
        <w:pStyle w:val="Ttulo2"/>
        <w:rPr>
          <w:rFonts w:ascii="ITC Avant Garde" w:hAnsi="ITC Avant Garde"/>
          <w:sz w:val="18"/>
          <w:szCs w:val="18"/>
          <w:lang w:val="es-ES_tradnl"/>
        </w:rPr>
      </w:pPr>
      <w:r w:rsidRPr="00A918A4">
        <w:rPr>
          <w:rFonts w:ascii="ITC Avant Garde" w:hAnsi="ITC Avant Garde"/>
          <w:sz w:val="18"/>
          <w:szCs w:val="18"/>
          <w:lang w:val="es-ES_tradnl"/>
        </w:rPr>
        <w:t xml:space="preserve">Aspectos relacionados con el dimensionamiento eficiente del modelo </w:t>
      </w:r>
    </w:p>
    <w:p w14:paraId="342A79F9" w14:textId="77777777" w:rsidR="0093118C" w:rsidRDefault="0011386E" w:rsidP="0093118C">
      <w:pPr>
        <w:pStyle w:val="Listaconvietas"/>
        <w:numPr>
          <w:ilvl w:val="0"/>
          <w:numId w:val="0"/>
        </w:numPr>
        <w:rPr>
          <w:rFonts w:ascii="ITC Avant Garde" w:hAnsi="ITC Avant Garde"/>
          <w:b/>
          <w:sz w:val="18"/>
          <w:szCs w:val="18"/>
          <w:lang w:val="es-ES_tradnl"/>
        </w:rPr>
      </w:pPr>
      <w:r w:rsidRPr="0011386E">
        <w:rPr>
          <w:rFonts w:ascii="ITC Avant Garde" w:hAnsi="ITC Avant Garde"/>
          <w:b/>
          <w:sz w:val="18"/>
          <w:szCs w:val="18"/>
          <w:lang w:val="es-ES_tradnl"/>
        </w:rPr>
        <w:t>Q.</w:t>
      </w:r>
      <w:r w:rsidRPr="0011386E">
        <w:rPr>
          <w:rFonts w:ascii="ITC Avant Garde" w:hAnsi="ITC Avant Garde"/>
          <w:b/>
          <w:sz w:val="18"/>
          <w:szCs w:val="18"/>
          <w:lang w:val="es-ES_tradnl"/>
        </w:rPr>
        <w:fldChar w:fldCharType="begin"/>
      </w:r>
      <w:r w:rsidRPr="0011386E">
        <w:rPr>
          <w:rFonts w:ascii="ITC Avant Garde" w:hAnsi="ITC Avant Garde"/>
          <w:b/>
          <w:sz w:val="18"/>
          <w:szCs w:val="18"/>
          <w:lang w:val="es-ES_tradnl"/>
        </w:rPr>
        <w:instrText xml:space="preserve"> SEQ Recommendation \* ARABIC \s 0 </w:instrText>
      </w:r>
      <w:r w:rsidRPr="0011386E">
        <w:rPr>
          <w:rFonts w:ascii="ITC Avant Garde" w:hAnsi="ITC Avant Garde"/>
          <w:b/>
          <w:sz w:val="18"/>
          <w:szCs w:val="18"/>
          <w:lang w:val="es-ES_tradnl"/>
        </w:rPr>
        <w:fldChar w:fldCharType="separate"/>
      </w:r>
      <w:r w:rsidRPr="0011386E">
        <w:rPr>
          <w:rFonts w:ascii="ITC Avant Garde" w:hAnsi="ITC Avant Garde"/>
          <w:b/>
          <w:sz w:val="18"/>
          <w:szCs w:val="18"/>
          <w:lang w:val="es-ES_tradnl"/>
        </w:rPr>
        <w:t>10</w:t>
      </w:r>
      <w:r w:rsidRPr="0011386E">
        <w:rPr>
          <w:rFonts w:ascii="ITC Avant Garde" w:hAnsi="ITC Avant Garde"/>
          <w:b/>
          <w:sz w:val="18"/>
          <w:szCs w:val="18"/>
          <w:lang w:val="es-ES_tradnl"/>
        </w:rPr>
        <w:fldChar w:fldCharType="end"/>
      </w:r>
      <w:r w:rsidRPr="0011386E">
        <w:rPr>
          <w:rFonts w:ascii="ITC Avant Garde" w:hAnsi="ITC Avant Garde"/>
          <w:b/>
          <w:sz w:val="18"/>
          <w:szCs w:val="18"/>
          <w:lang w:val="es-ES_tradnl"/>
        </w:rPr>
        <w:t>: ¿Tiene comentarios relativos a los parámetros de dimensionamiento definidos en el modelo?</w:t>
      </w:r>
    </w:p>
    <w:p w14:paraId="43C6FF5D" w14:textId="2920675D" w:rsidR="003D63B0" w:rsidRDefault="003D63B0" w:rsidP="00D93938">
      <w:pPr>
        <w:pStyle w:val="Listaconvietas"/>
        <w:numPr>
          <w:ilvl w:val="0"/>
          <w:numId w:val="0"/>
        </w:numPr>
        <w:rPr>
          <w:rFonts w:ascii="ITC Avant Garde" w:hAnsi="ITC Avant Garde"/>
          <w:sz w:val="18"/>
          <w:szCs w:val="18"/>
          <w:lang w:val="es-ES_tradnl"/>
        </w:rPr>
      </w:pPr>
      <w:r w:rsidRPr="007F6C1D">
        <w:rPr>
          <w:rFonts w:ascii="ITC Avant Garde" w:hAnsi="ITC Avant Garde"/>
          <w:i/>
          <w:sz w:val="18"/>
          <w:szCs w:val="18"/>
          <w:u w:val="single"/>
          <w:lang w:val="es-ES_tradnl"/>
        </w:rPr>
        <w:t>Resumen de comentarios de la Consulta Pública</w:t>
      </w:r>
    </w:p>
    <w:p w14:paraId="342A79FA" w14:textId="4AD56541" w:rsidR="00D93938" w:rsidRDefault="00D76C81" w:rsidP="00D93938">
      <w:pPr>
        <w:pStyle w:val="Listaconvietas"/>
        <w:numPr>
          <w:ilvl w:val="0"/>
          <w:numId w:val="0"/>
        </w:numPr>
        <w:rPr>
          <w:rFonts w:ascii="ITC Avant Garde" w:hAnsi="ITC Avant Garde"/>
          <w:sz w:val="18"/>
          <w:szCs w:val="18"/>
          <w:lang w:val="es-ES_tradnl"/>
        </w:rPr>
      </w:pPr>
      <w:r>
        <w:rPr>
          <w:rFonts w:ascii="ITC Avant Garde" w:hAnsi="ITC Avant Garde"/>
          <w:sz w:val="18"/>
          <w:szCs w:val="18"/>
          <w:lang w:val="es-ES_tradnl"/>
        </w:rPr>
        <w:t>Al respecto, ciertos participantes [</w:t>
      </w:r>
      <w:r w:rsidRPr="00D93938">
        <w:rPr>
          <w:rFonts w:ascii="ITC Avant Garde" w:hAnsi="ITC Avant Garde"/>
          <w:sz w:val="18"/>
          <w:szCs w:val="18"/>
          <w:lang w:val="es-ES_tradnl"/>
        </w:rPr>
        <w:t>Axtel y Telefónica</w:t>
      </w:r>
      <w:r>
        <w:rPr>
          <w:rFonts w:ascii="ITC Avant Garde" w:hAnsi="ITC Avant Garde"/>
          <w:sz w:val="18"/>
          <w:szCs w:val="18"/>
          <w:lang w:val="es-ES_tradnl"/>
        </w:rPr>
        <w:t>] consideran que se debe proveer</w:t>
      </w:r>
      <w:r w:rsidR="00D93938">
        <w:rPr>
          <w:rFonts w:ascii="ITC Avant Garde" w:hAnsi="ITC Avant Garde"/>
          <w:sz w:val="18"/>
          <w:szCs w:val="18"/>
          <w:lang w:val="es-ES_tradnl"/>
        </w:rPr>
        <w:t xml:space="preserve"> la justificación del uso de tres concesionarias por sitio. Uno de </w:t>
      </w:r>
      <w:r w:rsidR="00672190">
        <w:rPr>
          <w:rFonts w:ascii="ITC Avant Garde" w:hAnsi="ITC Avant Garde"/>
          <w:sz w:val="18"/>
          <w:szCs w:val="18"/>
          <w:lang w:val="es-ES_tradnl"/>
        </w:rPr>
        <w:t>los participantes</w:t>
      </w:r>
      <w:r w:rsidR="00D93938">
        <w:rPr>
          <w:rFonts w:ascii="ITC Avant Garde" w:hAnsi="ITC Avant Garde"/>
          <w:sz w:val="18"/>
          <w:szCs w:val="18"/>
          <w:lang w:val="es-ES_tradnl"/>
        </w:rPr>
        <w:t xml:space="preserve"> [Axtel] solicita también la flexibilización de los parámetros relativos a los dimensionamientos para poder tener acceso a coubicaciones y servicios anexos de menores dimensiones.</w:t>
      </w:r>
    </w:p>
    <w:p w14:paraId="342A79FB" w14:textId="3D46AD5F" w:rsidR="00D93938" w:rsidRDefault="00D93938" w:rsidP="00D93938">
      <w:pPr>
        <w:pStyle w:val="Listaconvietas"/>
        <w:numPr>
          <w:ilvl w:val="0"/>
          <w:numId w:val="0"/>
        </w:numPr>
        <w:rPr>
          <w:rFonts w:ascii="ITC Avant Garde" w:hAnsi="ITC Avant Garde"/>
          <w:sz w:val="18"/>
          <w:szCs w:val="18"/>
          <w:lang w:val="es-ES_tradnl"/>
        </w:rPr>
      </w:pPr>
      <w:r>
        <w:rPr>
          <w:rFonts w:ascii="ITC Avant Garde" w:hAnsi="ITC Avant Garde"/>
          <w:sz w:val="18"/>
          <w:szCs w:val="18"/>
          <w:lang w:val="es-ES_tradnl"/>
        </w:rPr>
        <w:t xml:space="preserve">Por otro lado, un </w:t>
      </w:r>
      <w:r w:rsidR="00672190">
        <w:rPr>
          <w:rFonts w:ascii="ITC Avant Garde" w:hAnsi="ITC Avant Garde"/>
          <w:sz w:val="18"/>
          <w:szCs w:val="18"/>
          <w:lang w:val="es-ES_tradnl"/>
        </w:rPr>
        <w:t>participante de dicha consulta</w:t>
      </w:r>
      <w:r>
        <w:rPr>
          <w:rFonts w:ascii="ITC Avant Garde" w:hAnsi="ITC Avant Garde"/>
          <w:sz w:val="18"/>
          <w:szCs w:val="18"/>
          <w:lang w:val="es-ES_tradnl"/>
        </w:rPr>
        <w:t xml:space="preserve"> [</w:t>
      </w:r>
      <w:r w:rsidRPr="00D93938">
        <w:rPr>
          <w:rFonts w:ascii="ITC Avant Garde" w:hAnsi="ITC Avant Garde"/>
          <w:sz w:val="18"/>
          <w:szCs w:val="18"/>
          <w:lang w:val="es-ES_tradnl"/>
        </w:rPr>
        <w:t>Total Play]</w:t>
      </w:r>
      <w:r w:rsidR="00485350">
        <w:rPr>
          <w:rFonts w:ascii="ITC Avant Garde" w:hAnsi="ITC Avant Garde"/>
          <w:sz w:val="18"/>
          <w:szCs w:val="18"/>
          <w:lang w:val="es-ES_tradnl"/>
        </w:rPr>
        <w:t xml:space="preserve"> </w:t>
      </w:r>
      <w:r>
        <w:rPr>
          <w:rFonts w:ascii="ITC Avant Garde" w:hAnsi="ITC Avant Garde"/>
          <w:sz w:val="18"/>
          <w:szCs w:val="18"/>
          <w:lang w:val="es-ES_tradnl"/>
        </w:rPr>
        <w:t>solicita el uso de</w:t>
      </w:r>
      <w:r w:rsidR="00B14598">
        <w:rPr>
          <w:rFonts w:ascii="ITC Avant Garde" w:hAnsi="ITC Avant Garde"/>
          <w:sz w:val="18"/>
          <w:szCs w:val="18"/>
          <w:lang w:val="es-ES_tradnl"/>
        </w:rPr>
        <w:t xml:space="preserve"> un</w:t>
      </w:r>
      <w:r>
        <w:rPr>
          <w:rFonts w:ascii="ITC Avant Garde" w:hAnsi="ITC Avant Garde"/>
          <w:sz w:val="18"/>
          <w:szCs w:val="18"/>
          <w:lang w:val="es-ES_tradnl"/>
        </w:rPr>
        <w:t xml:space="preserve"> </w:t>
      </w:r>
      <w:r w:rsidR="00D76C81">
        <w:rPr>
          <w:rFonts w:ascii="ITC Avant Garde" w:hAnsi="ITC Avant Garde"/>
          <w:i/>
          <w:sz w:val="18"/>
          <w:szCs w:val="18"/>
          <w:lang w:val="es-ES_tradnl"/>
        </w:rPr>
        <w:t>mark-</w:t>
      </w:r>
      <w:r w:rsidRPr="00C11B37">
        <w:rPr>
          <w:rFonts w:ascii="ITC Avant Garde" w:hAnsi="ITC Avant Garde"/>
          <w:i/>
          <w:sz w:val="18"/>
          <w:szCs w:val="18"/>
          <w:lang w:val="es-ES_tradnl"/>
        </w:rPr>
        <w:t>up</w:t>
      </w:r>
      <w:r>
        <w:rPr>
          <w:rFonts w:ascii="ITC Avant Garde" w:hAnsi="ITC Avant Garde"/>
          <w:sz w:val="18"/>
          <w:szCs w:val="18"/>
          <w:lang w:val="es-ES_tradnl"/>
        </w:rPr>
        <w:t xml:space="preserve"> </w:t>
      </w:r>
      <w:r w:rsidR="00B14598">
        <w:rPr>
          <w:rFonts w:ascii="ITC Avant Garde" w:hAnsi="ITC Avant Garde"/>
          <w:sz w:val="18"/>
          <w:szCs w:val="18"/>
          <w:lang w:val="es-ES_tradnl"/>
        </w:rPr>
        <w:t xml:space="preserve">del predio </w:t>
      </w:r>
      <w:r>
        <w:rPr>
          <w:rFonts w:ascii="ITC Avant Garde" w:hAnsi="ITC Avant Garde"/>
          <w:sz w:val="18"/>
          <w:szCs w:val="18"/>
          <w:lang w:val="es-ES_tradnl"/>
        </w:rPr>
        <w:t>representativo del AEP</w:t>
      </w:r>
      <w:r w:rsidR="00B14598">
        <w:rPr>
          <w:rFonts w:ascii="ITC Avant Garde" w:hAnsi="ITC Avant Garde"/>
          <w:sz w:val="18"/>
          <w:szCs w:val="18"/>
          <w:lang w:val="es-ES_tradnl"/>
        </w:rPr>
        <w:t xml:space="preserve"> en lugar de un </w:t>
      </w:r>
      <w:r w:rsidR="00B14598" w:rsidRPr="00D76C81">
        <w:rPr>
          <w:rFonts w:ascii="ITC Avant Garde" w:hAnsi="ITC Avant Garde"/>
          <w:i/>
          <w:sz w:val="18"/>
          <w:szCs w:val="18"/>
          <w:lang w:val="es-ES_tradnl"/>
        </w:rPr>
        <w:t>mark-up</w:t>
      </w:r>
      <w:r w:rsidR="00B14598">
        <w:rPr>
          <w:rFonts w:ascii="ITC Avant Garde" w:hAnsi="ITC Avant Garde"/>
          <w:sz w:val="18"/>
          <w:szCs w:val="18"/>
          <w:lang w:val="es-ES_tradnl"/>
        </w:rPr>
        <w:t xml:space="preserve"> teórico</w:t>
      </w:r>
      <w:r>
        <w:rPr>
          <w:rFonts w:ascii="ITC Avant Garde" w:hAnsi="ITC Avant Garde"/>
          <w:sz w:val="18"/>
          <w:szCs w:val="18"/>
          <w:lang w:val="es-ES_tradnl"/>
        </w:rPr>
        <w:t>.</w:t>
      </w:r>
    </w:p>
    <w:p w14:paraId="486C0F72" w14:textId="77777777" w:rsidR="00141720" w:rsidRDefault="00141720" w:rsidP="00F35C08">
      <w:pPr>
        <w:pStyle w:val="Listaconvietas"/>
        <w:numPr>
          <w:ilvl w:val="0"/>
          <w:numId w:val="0"/>
        </w:numPr>
        <w:rPr>
          <w:rFonts w:ascii="ITC Avant Garde" w:hAnsi="ITC Avant Garde"/>
          <w:color w:val="548DD4" w:themeColor="text2" w:themeTint="99"/>
          <w:sz w:val="18"/>
          <w:szCs w:val="18"/>
          <w:lang w:val="es-ES_tradnl"/>
        </w:rPr>
      </w:pPr>
      <w:r w:rsidRPr="00E45AEA">
        <w:rPr>
          <w:rFonts w:ascii="ITC Avant Garde" w:hAnsi="ITC Avant Garde"/>
          <w:i/>
          <w:sz w:val="18"/>
          <w:szCs w:val="18"/>
          <w:u w:val="single"/>
          <w:lang w:val="es-ES_tradnl"/>
        </w:rPr>
        <w:t>Respuesta del Instituto</w:t>
      </w:r>
      <w:r>
        <w:rPr>
          <w:rFonts w:ascii="ITC Avant Garde" w:hAnsi="ITC Avant Garde"/>
          <w:color w:val="548DD4" w:themeColor="text2" w:themeTint="99"/>
          <w:sz w:val="18"/>
          <w:szCs w:val="18"/>
          <w:lang w:val="es-ES_tradnl"/>
        </w:rPr>
        <w:t xml:space="preserve"> </w:t>
      </w:r>
    </w:p>
    <w:p w14:paraId="32A4B8BB" w14:textId="743977A8" w:rsidR="000265E8" w:rsidRDefault="007158F8" w:rsidP="000265E8">
      <w:pPr>
        <w:pStyle w:val="L1"/>
        <w:numPr>
          <w:ilvl w:val="0"/>
          <w:numId w:val="0"/>
        </w:numPr>
        <w:spacing w:after="240"/>
        <w:rPr>
          <w:rFonts w:ascii="ITC Avant Garde" w:hAnsi="ITC Avant Garde"/>
          <w:color w:val="000000" w:themeColor="text1"/>
          <w:sz w:val="18"/>
          <w:szCs w:val="18"/>
          <w:lang w:val="es-ES_tradnl"/>
        </w:rPr>
      </w:pPr>
      <w:r w:rsidRPr="007158F8">
        <w:rPr>
          <w:rFonts w:ascii="ITC Avant Garde" w:hAnsi="ITC Avant Garde"/>
          <w:color w:val="000000" w:themeColor="text1"/>
          <w:sz w:val="18"/>
          <w:szCs w:val="18"/>
          <w:lang w:val="es-ES_tradnl"/>
        </w:rPr>
        <w:t>En torno a los comentarios sobre la justificación del uso de tres concesionarios en el modelo, el Instituto señala, como se ha</w:t>
      </w:r>
      <w:r w:rsidR="0058572F" w:rsidRPr="007158F8">
        <w:rPr>
          <w:rFonts w:ascii="ITC Avant Garde" w:hAnsi="ITC Avant Garde"/>
          <w:color w:val="000000" w:themeColor="text1"/>
          <w:sz w:val="18"/>
          <w:szCs w:val="18"/>
          <w:lang w:val="es-ES_tradnl"/>
        </w:rPr>
        <w:t xml:space="preserve"> mencionado anteriormente,</w:t>
      </w:r>
      <w:r w:rsidRPr="007158F8">
        <w:rPr>
          <w:rFonts w:ascii="ITC Avant Garde" w:hAnsi="ITC Avant Garde"/>
          <w:color w:val="000000" w:themeColor="text1"/>
          <w:sz w:val="18"/>
          <w:szCs w:val="18"/>
          <w:lang w:val="es-ES_tradnl"/>
        </w:rPr>
        <w:t xml:space="preserve"> que</w:t>
      </w:r>
      <w:r w:rsidR="000265E8">
        <w:rPr>
          <w:rFonts w:ascii="ITC Avant Garde" w:hAnsi="ITC Avant Garde"/>
          <w:color w:val="000000" w:themeColor="text1"/>
          <w:sz w:val="18"/>
          <w:szCs w:val="18"/>
          <w:lang w:val="es-ES_tradnl"/>
        </w:rPr>
        <w:t xml:space="preserve"> </w:t>
      </w:r>
      <w:r w:rsidR="000265E8" w:rsidRPr="007224FA">
        <w:rPr>
          <w:rFonts w:ascii="ITC Avant Garde" w:hAnsi="ITC Avant Garde"/>
          <w:color w:val="000000" w:themeColor="text1"/>
          <w:sz w:val="18"/>
          <w:szCs w:val="18"/>
          <w:lang w:val="es-ES_tradnl"/>
        </w:rPr>
        <w:t xml:space="preserve">derivado de las opiniones y comentarios vertidos en la </w:t>
      </w:r>
      <w:r w:rsidR="000265E8">
        <w:rPr>
          <w:rFonts w:ascii="ITC Avant Garde" w:hAnsi="ITC Avant Garde"/>
          <w:color w:val="000000" w:themeColor="text1"/>
          <w:sz w:val="18"/>
          <w:szCs w:val="18"/>
          <w:lang w:val="es-ES_tradnl"/>
        </w:rPr>
        <w:t xml:space="preserve">presente </w:t>
      </w:r>
      <w:r w:rsidR="000265E8" w:rsidRPr="007224FA">
        <w:rPr>
          <w:rFonts w:ascii="ITC Avant Garde" w:hAnsi="ITC Avant Garde"/>
          <w:color w:val="000000" w:themeColor="text1"/>
          <w:sz w:val="18"/>
          <w:szCs w:val="18"/>
          <w:lang w:val="es-ES_tradnl"/>
        </w:rPr>
        <w:t>consulta pública, así como resultado del análisis de información proporcionada por el AEP,</w:t>
      </w:r>
      <w:r w:rsidR="000265E8">
        <w:rPr>
          <w:rFonts w:ascii="ITC Avant Garde" w:hAnsi="ITC Avant Garde"/>
          <w:color w:val="000000" w:themeColor="text1"/>
          <w:sz w:val="18"/>
          <w:szCs w:val="18"/>
          <w:lang w:val="es-ES_tradnl"/>
        </w:rPr>
        <w:t xml:space="preserve"> </w:t>
      </w:r>
      <w:r w:rsidR="000265E8" w:rsidRPr="007224FA">
        <w:rPr>
          <w:rFonts w:ascii="ITC Avant Garde" w:hAnsi="ITC Avant Garde"/>
          <w:color w:val="000000" w:themeColor="text1"/>
          <w:sz w:val="18"/>
          <w:szCs w:val="18"/>
          <w:lang w:val="es-ES_tradnl"/>
        </w:rPr>
        <w:t xml:space="preserve"> se realizar</w:t>
      </w:r>
      <w:r w:rsidR="00DF109D">
        <w:rPr>
          <w:rFonts w:ascii="ITC Avant Garde" w:hAnsi="ITC Avant Garde"/>
          <w:color w:val="000000" w:themeColor="text1"/>
          <w:sz w:val="18"/>
          <w:szCs w:val="18"/>
          <w:lang w:val="es-ES_tradnl"/>
        </w:rPr>
        <w:t>á</w:t>
      </w:r>
      <w:r w:rsidR="000265E8" w:rsidRPr="007224FA">
        <w:rPr>
          <w:rFonts w:ascii="ITC Avant Garde" w:hAnsi="ITC Avant Garde"/>
          <w:color w:val="000000" w:themeColor="text1"/>
          <w:sz w:val="18"/>
          <w:szCs w:val="18"/>
          <w:lang w:val="es-ES_tradnl"/>
        </w:rPr>
        <w:t xml:space="preserve">n </w:t>
      </w:r>
      <w:r w:rsidR="00DF109D">
        <w:rPr>
          <w:rFonts w:ascii="ITC Avant Garde" w:hAnsi="ITC Avant Garde"/>
          <w:color w:val="000000" w:themeColor="text1"/>
          <w:sz w:val="18"/>
          <w:szCs w:val="18"/>
          <w:lang w:val="es-ES_tradnl"/>
        </w:rPr>
        <w:t>ajustes al modelo</w:t>
      </w:r>
      <w:r w:rsidR="000265E8">
        <w:rPr>
          <w:rFonts w:ascii="ITC Avant Garde" w:hAnsi="ITC Avant Garde"/>
          <w:color w:val="000000" w:themeColor="text1"/>
          <w:sz w:val="18"/>
          <w:szCs w:val="18"/>
          <w:lang w:val="es-ES_tradnl"/>
        </w:rPr>
        <w:t xml:space="preserve"> sometido a consulta para consolidar </w:t>
      </w:r>
      <w:r w:rsidR="00DF109D">
        <w:rPr>
          <w:rFonts w:ascii="ITC Avant Garde" w:hAnsi="ITC Avant Garde"/>
          <w:color w:val="000000" w:themeColor="text1"/>
          <w:sz w:val="18"/>
          <w:szCs w:val="18"/>
          <w:lang w:val="es-ES_tradnl"/>
        </w:rPr>
        <w:t xml:space="preserve">su </w:t>
      </w:r>
      <w:r w:rsidR="000265E8">
        <w:rPr>
          <w:rFonts w:ascii="ITC Avant Garde" w:hAnsi="ITC Avant Garde"/>
          <w:color w:val="000000" w:themeColor="text1"/>
          <w:sz w:val="18"/>
          <w:szCs w:val="18"/>
          <w:lang w:val="es-ES_tradnl"/>
        </w:rPr>
        <w:t>versio</w:t>
      </w:r>
      <w:r w:rsidR="000265E8" w:rsidRPr="007224FA">
        <w:rPr>
          <w:rFonts w:ascii="ITC Avant Garde" w:hAnsi="ITC Avant Garde"/>
          <w:color w:val="000000" w:themeColor="text1"/>
          <w:sz w:val="18"/>
          <w:szCs w:val="18"/>
          <w:lang w:val="es-ES_tradnl"/>
        </w:rPr>
        <w:t>n</w:t>
      </w:r>
      <w:r w:rsidR="000265E8">
        <w:rPr>
          <w:rFonts w:ascii="ITC Avant Garde" w:hAnsi="ITC Avant Garde"/>
          <w:color w:val="000000" w:themeColor="text1"/>
          <w:sz w:val="18"/>
          <w:szCs w:val="18"/>
          <w:lang w:val="es-ES_tradnl"/>
        </w:rPr>
        <w:t>es</w:t>
      </w:r>
      <w:r w:rsidR="000265E8" w:rsidRPr="007224FA">
        <w:rPr>
          <w:rFonts w:ascii="ITC Avant Garde" w:hAnsi="ITC Avant Garde"/>
          <w:color w:val="000000" w:themeColor="text1"/>
          <w:sz w:val="18"/>
          <w:szCs w:val="18"/>
          <w:lang w:val="es-ES_tradnl"/>
        </w:rPr>
        <w:t xml:space="preserve"> final, </w:t>
      </w:r>
      <w:r w:rsidR="000265E8">
        <w:rPr>
          <w:rFonts w:ascii="ITC Avant Garde" w:hAnsi="ITC Avant Garde"/>
          <w:color w:val="000000" w:themeColor="text1"/>
          <w:sz w:val="18"/>
          <w:szCs w:val="18"/>
          <w:lang w:val="es-ES_tradnl"/>
        </w:rPr>
        <w:t xml:space="preserve">ampliando </w:t>
      </w:r>
      <w:r w:rsidR="00DF109D">
        <w:rPr>
          <w:rFonts w:ascii="ITC Avant Garde" w:hAnsi="ITC Avant Garde"/>
          <w:color w:val="000000" w:themeColor="text1"/>
          <w:sz w:val="18"/>
          <w:szCs w:val="18"/>
          <w:lang w:val="es-ES_tradnl"/>
        </w:rPr>
        <w:t xml:space="preserve">de </w:t>
      </w:r>
      <w:r w:rsidR="000265E8">
        <w:rPr>
          <w:rFonts w:ascii="ITC Avant Garde" w:hAnsi="ITC Avant Garde"/>
          <w:color w:val="000000" w:themeColor="text1"/>
          <w:sz w:val="18"/>
          <w:szCs w:val="18"/>
          <w:lang w:val="es-ES_tradnl"/>
        </w:rPr>
        <w:t>los servicios modelados</w:t>
      </w:r>
      <w:r w:rsidR="00DF109D">
        <w:rPr>
          <w:rFonts w:ascii="ITC Avant Garde" w:hAnsi="ITC Avant Garde"/>
          <w:color w:val="000000" w:themeColor="text1"/>
          <w:sz w:val="18"/>
          <w:szCs w:val="18"/>
          <w:lang w:val="es-ES_tradnl"/>
        </w:rPr>
        <w:t xml:space="preserve"> de acuerdo a la oferta de referencia correspondiente</w:t>
      </w:r>
      <w:r w:rsidR="00F31BE5">
        <w:rPr>
          <w:rFonts w:ascii="ITC Avant Garde" w:hAnsi="ITC Avant Garde"/>
          <w:color w:val="000000" w:themeColor="text1"/>
          <w:sz w:val="18"/>
          <w:szCs w:val="18"/>
          <w:lang w:val="es-ES_tradnl"/>
        </w:rPr>
        <w:t>,</w:t>
      </w:r>
      <w:r w:rsidR="00F31BE5" w:rsidRPr="00F31BE5">
        <w:rPr>
          <w:rFonts w:ascii="ITC Avant Garde" w:hAnsi="ITC Avant Garde"/>
          <w:color w:val="000000" w:themeColor="text1"/>
          <w:sz w:val="18"/>
          <w:szCs w:val="18"/>
          <w:lang w:val="es-ES_tradnl"/>
        </w:rPr>
        <w:t xml:space="preserve"> </w:t>
      </w:r>
      <w:r w:rsidR="00F31BE5" w:rsidRPr="000D0DC4">
        <w:rPr>
          <w:rFonts w:ascii="ITC Avant Garde" w:hAnsi="ITC Avant Garde"/>
          <w:color w:val="000000" w:themeColor="text1"/>
          <w:sz w:val="18"/>
          <w:szCs w:val="18"/>
          <w:lang w:val="es-ES_tradnl"/>
        </w:rPr>
        <w:t>a partir de lo establecido en las Medidas impuestas al AEP por el Instituto</w:t>
      </w:r>
      <w:r w:rsidR="000265E8" w:rsidRPr="009419D2">
        <w:rPr>
          <w:rFonts w:ascii="ITC Avant Garde" w:hAnsi="ITC Avant Garde"/>
          <w:color w:val="000000" w:themeColor="text1"/>
          <w:sz w:val="18"/>
          <w:szCs w:val="18"/>
          <w:lang w:val="es-ES_tradnl"/>
        </w:rPr>
        <w:t>.</w:t>
      </w:r>
      <w:r w:rsidR="000265E8">
        <w:rPr>
          <w:rFonts w:ascii="ITC Avant Garde" w:hAnsi="ITC Avant Garde"/>
          <w:color w:val="000000" w:themeColor="text1"/>
          <w:sz w:val="18"/>
          <w:szCs w:val="18"/>
          <w:lang w:val="es-ES_tradnl"/>
        </w:rPr>
        <w:t xml:space="preserve"> </w:t>
      </w:r>
    </w:p>
    <w:p w14:paraId="48C01895" w14:textId="61B5089C" w:rsidR="00957D57" w:rsidRPr="0059157B" w:rsidRDefault="006E3A81" w:rsidP="00957D57">
      <w:pPr>
        <w:pStyle w:val="Listaconvietas"/>
        <w:numPr>
          <w:ilvl w:val="0"/>
          <w:numId w:val="0"/>
        </w:numPr>
        <w:rPr>
          <w:rFonts w:ascii="ITC Avant Garde" w:hAnsi="ITC Avant Garde"/>
          <w:color w:val="000000" w:themeColor="text1"/>
          <w:sz w:val="18"/>
          <w:szCs w:val="18"/>
          <w:lang w:val="es-ES_tradnl"/>
        </w:rPr>
      </w:pPr>
      <w:r>
        <w:rPr>
          <w:rFonts w:ascii="ITC Avant Garde" w:hAnsi="ITC Avant Garde"/>
          <w:color w:val="000000" w:themeColor="text1"/>
          <w:sz w:val="18"/>
          <w:szCs w:val="18"/>
          <w:lang w:val="es-419"/>
        </w:rPr>
        <w:t>Por otra parte</w:t>
      </w:r>
      <w:r w:rsidR="000265E8" w:rsidRPr="0059157B">
        <w:rPr>
          <w:rFonts w:ascii="ITC Avant Garde" w:hAnsi="ITC Avant Garde"/>
          <w:color w:val="000000" w:themeColor="text1"/>
          <w:sz w:val="18"/>
          <w:szCs w:val="18"/>
          <w:lang w:val="es-ES_tradnl"/>
        </w:rPr>
        <w:t xml:space="preserve">, </w:t>
      </w:r>
      <w:r w:rsidR="00957D57" w:rsidRPr="0059157B">
        <w:rPr>
          <w:rFonts w:ascii="ITC Avant Garde" w:hAnsi="ITC Avant Garde"/>
          <w:color w:val="000000" w:themeColor="text1"/>
          <w:sz w:val="18"/>
          <w:szCs w:val="18"/>
          <w:lang w:val="es-ES_tradnl"/>
        </w:rPr>
        <w:t>la experiencia internacional muestra que la coubicación de más de 3 concesionarios en una misma central tiende a ocurrir en ocasiones</w:t>
      </w:r>
      <w:r w:rsidR="00957D57">
        <w:rPr>
          <w:rFonts w:ascii="ITC Avant Garde" w:hAnsi="ITC Avant Garde"/>
          <w:color w:val="000000" w:themeColor="text1"/>
          <w:sz w:val="18"/>
          <w:szCs w:val="18"/>
          <w:lang w:val="es-ES_tradnl"/>
        </w:rPr>
        <w:t xml:space="preserve"> poco frecuentes. </w:t>
      </w:r>
      <w:r w:rsidR="00957D57" w:rsidRPr="0059157B">
        <w:rPr>
          <w:rFonts w:ascii="ITC Avant Garde" w:hAnsi="ITC Avant Garde"/>
          <w:color w:val="000000" w:themeColor="text1"/>
          <w:sz w:val="18"/>
          <w:szCs w:val="18"/>
          <w:lang w:val="es-ES_tradnl"/>
        </w:rPr>
        <w:t xml:space="preserve">Adicionalmente, el análisis de la situación actual del mercado mexicano muestra que es </w:t>
      </w:r>
      <w:r w:rsidR="00957D57">
        <w:rPr>
          <w:rFonts w:ascii="ITC Avant Garde" w:hAnsi="ITC Avant Garde"/>
          <w:color w:val="000000" w:themeColor="text1"/>
          <w:sz w:val="18"/>
          <w:szCs w:val="18"/>
          <w:lang w:val="es-ES_tradnl"/>
        </w:rPr>
        <w:t xml:space="preserve">poco </w:t>
      </w:r>
      <w:r w:rsidR="00957D57" w:rsidRPr="0059157B">
        <w:rPr>
          <w:rFonts w:ascii="ITC Avant Garde" w:hAnsi="ITC Avant Garde"/>
          <w:color w:val="000000" w:themeColor="text1"/>
          <w:sz w:val="18"/>
          <w:szCs w:val="18"/>
          <w:lang w:val="es-ES_tradnl"/>
        </w:rPr>
        <w:t>probable la coubicación de más de 3 CS en una misma central</w:t>
      </w:r>
      <w:r w:rsidR="00957D57">
        <w:rPr>
          <w:rFonts w:ascii="ITC Avant Garde" w:hAnsi="ITC Avant Garde"/>
          <w:color w:val="000000" w:themeColor="text1"/>
          <w:sz w:val="18"/>
          <w:szCs w:val="18"/>
          <w:lang w:val="es-ES_tradnl"/>
        </w:rPr>
        <w:t xml:space="preserve"> debido principalmente a los siguiente</w:t>
      </w:r>
      <w:r w:rsidR="00957D57" w:rsidRPr="0059157B">
        <w:rPr>
          <w:rFonts w:ascii="ITC Avant Garde" w:hAnsi="ITC Avant Garde"/>
          <w:color w:val="000000" w:themeColor="text1"/>
          <w:sz w:val="18"/>
          <w:szCs w:val="18"/>
          <w:lang w:val="es-ES_tradnl"/>
        </w:rPr>
        <w:t xml:space="preserve">: a) el número de CS de alcance nacional es limitado, b) el número de CS de alcance regional es importante, pero </w:t>
      </w:r>
      <w:r w:rsidR="00957D57">
        <w:rPr>
          <w:rFonts w:ascii="ITC Avant Garde" w:hAnsi="ITC Avant Garde"/>
          <w:color w:val="000000" w:themeColor="text1"/>
          <w:sz w:val="18"/>
          <w:szCs w:val="18"/>
          <w:lang w:val="es-ES_tradnl"/>
        </w:rPr>
        <w:t>las zonas comunes de cobertura, es decir cubiertas por ambas</w:t>
      </w:r>
      <w:r w:rsidR="00957D57" w:rsidRPr="0059157B">
        <w:rPr>
          <w:rFonts w:ascii="ITC Avant Garde" w:hAnsi="ITC Avant Garde"/>
          <w:color w:val="000000" w:themeColor="text1"/>
          <w:sz w:val="18"/>
          <w:szCs w:val="18"/>
          <w:lang w:val="es-ES_tradnl"/>
        </w:rPr>
        <w:t xml:space="preserve"> sus </w:t>
      </w:r>
      <w:r w:rsidR="00957D57" w:rsidRPr="0059157B">
        <w:rPr>
          <w:rFonts w:ascii="ITC Avant Garde" w:hAnsi="ITC Avant Garde"/>
          <w:color w:val="000000" w:themeColor="text1"/>
          <w:sz w:val="18"/>
          <w:szCs w:val="18"/>
          <w:lang w:val="es-ES_tradnl"/>
        </w:rPr>
        <w:lastRenderedPageBreak/>
        <w:t>redes</w:t>
      </w:r>
      <w:r w:rsidR="00957D57">
        <w:rPr>
          <w:rFonts w:ascii="ITC Avant Garde" w:hAnsi="ITC Avant Garde"/>
          <w:color w:val="000000" w:themeColor="text1"/>
          <w:sz w:val="18"/>
          <w:szCs w:val="18"/>
          <w:lang w:val="es-ES_tradnl"/>
        </w:rPr>
        <w:t>,</w:t>
      </w:r>
      <w:r w:rsidR="00957D57" w:rsidRPr="0059157B">
        <w:rPr>
          <w:rFonts w:ascii="ITC Avant Garde" w:hAnsi="ITC Avant Garde"/>
          <w:color w:val="000000" w:themeColor="text1"/>
          <w:sz w:val="18"/>
          <w:szCs w:val="18"/>
          <w:lang w:val="es-ES_tradnl"/>
        </w:rPr>
        <w:t xml:space="preserve"> s</w:t>
      </w:r>
      <w:r w:rsidR="00957D57">
        <w:rPr>
          <w:rFonts w:ascii="ITC Avant Garde" w:hAnsi="ITC Avant Garde"/>
          <w:color w:val="000000" w:themeColor="text1"/>
          <w:sz w:val="18"/>
          <w:szCs w:val="18"/>
          <w:lang w:val="es-ES_tradnl"/>
        </w:rPr>
        <w:t>on</w:t>
      </w:r>
      <w:r w:rsidR="00957D57" w:rsidRPr="0059157B">
        <w:rPr>
          <w:rFonts w:ascii="ITC Avant Garde" w:hAnsi="ITC Avant Garde"/>
          <w:color w:val="000000" w:themeColor="text1"/>
          <w:sz w:val="18"/>
          <w:szCs w:val="18"/>
          <w:lang w:val="es-ES_tradnl"/>
        </w:rPr>
        <w:t xml:space="preserve"> limitad</w:t>
      </w:r>
      <w:r w:rsidR="00957D57">
        <w:rPr>
          <w:rFonts w:ascii="ITC Avant Garde" w:hAnsi="ITC Avant Garde"/>
          <w:color w:val="000000" w:themeColor="text1"/>
          <w:sz w:val="18"/>
          <w:szCs w:val="18"/>
          <w:lang w:val="es-ES_tradnl"/>
        </w:rPr>
        <w:t>as</w:t>
      </w:r>
      <w:r w:rsidR="00957D57" w:rsidRPr="0059157B">
        <w:rPr>
          <w:rFonts w:ascii="ITC Avant Garde" w:hAnsi="ITC Avant Garde"/>
          <w:color w:val="000000" w:themeColor="text1"/>
          <w:sz w:val="18"/>
          <w:szCs w:val="18"/>
          <w:lang w:val="es-ES_tradnl"/>
        </w:rPr>
        <w:t>, y c) los operadores han desplegado ya su propia red en las regiones más rentables</w:t>
      </w:r>
      <w:r w:rsidR="00957D57">
        <w:rPr>
          <w:rFonts w:ascii="ITC Avant Garde" w:hAnsi="ITC Avant Garde"/>
          <w:color w:val="000000" w:themeColor="text1"/>
          <w:sz w:val="18"/>
          <w:szCs w:val="18"/>
          <w:lang w:val="es-ES_tradnl"/>
        </w:rPr>
        <w:t>.</w:t>
      </w:r>
      <w:r w:rsidR="00957D57" w:rsidRPr="00ED53E5">
        <w:rPr>
          <w:rFonts w:ascii="ITC Avant Garde" w:hAnsi="ITC Avant Garde"/>
          <w:color w:val="000000" w:themeColor="text1"/>
          <w:sz w:val="18"/>
          <w:szCs w:val="18"/>
          <w:lang w:val="es-ES_tradnl"/>
        </w:rPr>
        <w:t xml:space="preserve"> </w:t>
      </w:r>
      <w:r w:rsidR="00957D57">
        <w:rPr>
          <w:rFonts w:ascii="ITC Avant Garde" w:hAnsi="ITC Avant Garde"/>
          <w:color w:val="000000" w:themeColor="text1"/>
          <w:sz w:val="18"/>
          <w:szCs w:val="18"/>
          <w:lang w:val="es-ES_tradnl"/>
        </w:rPr>
        <w:t>Por todo lo anterior, el Instituto cual considera adecuado</w:t>
      </w:r>
      <w:r w:rsidR="00957D57" w:rsidRPr="0059157B">
        <w:rPr>
          <w:rFonts w:ascii="ITC Avant Garde" w:hAnsi="ITC Avant Garde"/>
          <w:color w:val="000000" w:themeColor="text1"/>
          <w:sz w:val="18"/>
          <w:szCs w:val="18"/>
          <w:lang w:val="es-ES_tradnl"/>
        </w:rPr>
        <w:t xml:space="preserve"> fijar el máximo permitido del modelo de 3 CS por central.</w:t>
      </w:r>
    </w:p>
    <w:p w14:paraId="342A7A02" w14:textId="674A9675" w:rsidR="00B26E96" w:rsidRPr="00077776" w:rsidRDefault="00DF109D" w:rsidP="00F35C08">
      <w:pPr>
        <w:pStyle w:val="Listaconvietas"/>
        <w:numPr>
          <w:ilvl w:val="0"/>
          <w:numId w:val="0"/>
        </w:numPr>
        <w:rPr>
          <w:rFonts w:ascii="ITC Avant Garde" w:hAnsi="ITC Avant Garde"/>
          <w:color w:val="000000" w:themeColor="text1"/>
          <w:sz w:val="18"/>
          <w:szCs w:val="18"/>
          <w:lang w:val="es-ES"/>
        </w:rPr>
      </w:pPr>
      <w:r>
        <w:rPr>
          <w:rFonts w:ascii="ITC Avant Garde" w:hAnsi="ITC Avant Garde"/>
          <w:color w:val="000000" w:themeColor="text1"/>
          <w:sz w:val="18"/>
          <w:szCs w:val="18"/>
          <w:lang w:val="es-ES"/>
        </w:rPr>
        <w:t>Finalmente, asociado</w:t>
      </w:r>
      <w:r w:rsidR="00F84866" w:rsidRPr="00077776">
        <w:rPr>
          <w:rFonts w:ascii="ITC Avant Garde" w:hAnsi="ITC Avant Garde"/>
          <w:color w:val="000000" w:themeColor="text1"/>
          <w:sz w:val="18"/>
          <w:szCs w:val="18"/>
          <w:lang w:val="es-ES"/>
        </w:rPr>
        <w:t xml:space="preserve"> al</w:t>
      </w:r>
      <w:r>
        <w:rPr>
          <w:rFonts w:ascii="ITC Avant Garde" w:hAnsi="ITC Avant Garde"/>
          <w:color w:val="000000" w:themeColor="text1"/>
          <w:sz w:val="18"/>
          <w:szCs w:val="18"/>
          <w:lang w:val="es-ES"/>
        </w:rPr>
        <w:t xml:space="preserve"> parámetro</w:t>
      </w:r>
      <w:r w:rsidR="00F84866" w:rsidRPr="00077776">
        <w:rPr>
          <w:rFonts w:ascii="ITC Avant Garde" w:hAnsi="ITC Avant Garde"/>
          <w:color w:val="000000" w:themeColor="text1"/>
          <w:sz w:val="18"/>
          <w:szCs w:val="18"/>
          <w:lang w:val="es-ES"/>
        </w:rPr>
        <w:t xml:space="preserve"> </w:t>
      </w:r>
      <w:r>
        <w:rPr>
          <w:rFonts w:ascii="ITC Avant Garde" w:hAnsi="ITC Avant Garde"/>
          <w:color w:val="000000" w:themeColor="text1"/>
          <w:sz w:val="18"/>
          <w:szCs w:val="18"/>
          <w:lang w:val="es-ES"/>
        </w:rPr>
        <w:t>“</w:t>
      </w:r>
      <w:r w:rsidR="00F84866" w:rsidRPr="00077776">
        <w:rPr>
          <w:rFonts w:ascii="ITC Avant Garde" w:hAnsi="ITC Avant Garde"/>
          <w:i/>
          <w:color w:val="000000" w:themeColor="text1"/>
          <w:sz w:val="18"/>
          <w:szCs w:val="18"/>
          <w:lang w:val="es-ES"/>
        </w:rPr>
        <w:t>mark-up</w:t>
      </w:r>
      <w:r w:rsidR="00F84866" w:rsidRPr="00077776">
        <w:rPr>
          <w:rFonts w:ascii="ITC Avant Garde" w:hAnsi="ITC Avant Garde"/>
          <w:color w:val="000000" w:themeColor="text1"/>
          <w:sz w:val="18"/>
          <w:szCs w:val="18"/>
          <w:lang w:val="es-ES"/>
        </w:rPr>
        <w:t xml:space="preserve"> del predio</w:t>
      </w:r>
      <w:r>
        <w:rPr>
          <w:rFonts w:ascii="ITC Avant Garde" w:hAnsi="ITC Avant Garde"/>
          <w:color w:val="000000" w:themeColor="text1"/>
          <w:sz w:val="18"/>
          <w:szCs w:val="18"/>
          <w:lang w:val="es-ES"/>
        </w:rPr>
        <w:t>”</w:t>
      </w:r>
      <w:r w:rsidR="00F84866" w:rsidRPr="00077776">
        <w:rPr>
          <w:rFonts w:ascii="ITC Avant Garde" w:hAnsi="ITC Avant Garde"/>
          <w:color w:val="000000" w:themeColor="text1"/>
          <w:sz w:val="18"/>
          <w:szCs w:val="18"/>
          <w:lang w:val="es-ES"/>
        </w:rPr>
        <w:t xml:space="preserve">, </w:t>
      </w:r>
      <w:r w:rsidR="00CE2CB8" w:rsidRPr="00077776">
        <w:rPr>
          <w:rFonts w:ascii="ITC Avant Garde" w:hAnsi="ITC Avant Garde"/>
          <w:color w:val="000000" w:themeColor="text1"/>
          <w:sz w:val="18"/>
          <w:szCs w:val="18"/>
          <w:lang w:val="es-ES"/>
        </w:rPr>
        <w:t xml:space="preserve">el Instituto </w:t>
      </w:r>
      <w:r w:rsidR="00F84866" w:rsidRPr="00077776">
        <w:rPr>
          <w:rFonts w:ascii="ITC Avant Garde" w:hAnsi="ITC Avant Garde"/>
          <w:color w:val="000000" w:themeColor="text1"/>
          <w:sz w:val="18"/>
          <w:szCs w:val="18"/>
          <w:lang w:val="es-ES"/>
        </w:rPr>
        <w:t xml:space="preserve">resalta que </w:t>
      </w:r>
      <w:r w:rsidR="00077776">
        <w:rPr>
          <w:rFonts w:ascii="ITC Avant Garde" w:hAnsi="ITC Avant Garde"/>
          <w:color w:val="000000" w:themeColor="text1"/>
          <w:sz w:val="18"/>
          <w:szCs w:val="18"/>
          <w:lang w:val="es-ES"/>
        </w:rPr>
        <w:t xml:space="preserve">en la implementación del modelo </w:t>
      </w:r>
      <w:r w:rsidR="00F84866" w:rsidRPr="00077776">
        <w:rPr>
          <w:rFonts w:ascii="ITC Avant Garde" w:hAnsi="ITC Avant Garde"/>
          <w:color w:val="000000" w:themeColor="text1"/>
          <w:sz w:val="18"/>
          <w:szCs w:val="18"/>
          <w:lang w:val="es-ES"/>
        </w:rPr>
        <w:t xml:space="preserve">se </w:t>
      </w:r>
      <w:r w:rsidR="00F72DA4">
        <w:rPr>
          <w:rFonts w:ascii="ITC Avant Garde" w:hAnsi="ITC Avant Garde"/>
          <w:color w:val="000000" w:themeColor="text1"/>
          <w:sz w:val="18"/>
          <w:szCs w:val="18"/>
          <w:lang w:val="es-ES"/>
        </w:rPr>
        <w:t>emplearán</w:t>
      </w:r>
      <w:r w:rsidR="00F84866" w:rsidRPr="00077776">
        <w:rPr>
          <w:rFonts w:ascii="ITC Avant Garde" w:hAnsi="ITC Avant Garde"/>
          <w:color w:val="000000" w:themeColor="text1"/>
          <w:sz w:val="18"/>
          <w:szCs w:val="18"/>
          <w:lang w:val="es-ES"/>
        </w:rPr>
        <w:t xml:space="preserve"> los datos provistos por el</w:t>
      </w:r>
      <w:r w:rsidR="008D01BF" w:rsidRPr="00077776">
        <w:rPr>
          <w:rFonts w:ascii="ITC Avant Garde" w:hAnsi="ITC Avant Garde"/>
          <w:color w:val="000000" w:themeColor="text1"/>
          <w:sz w:val="18"/>
          <w:szCs w:val="18"/>
          <w:lang w:val="es-ES"/>
        </w:rPr>
        <w:t xml:space="preserve"> </w:t>
      </w:r>
      <w:r w:rsidR="00CE2CB8" w:rsidRPr="00077776">
        <w:rPr>
          <w:rFonts w:ascii="ITC Avant Garde" w:hAnsi="ITC Avant Garde"/>
          <w:color w:val="000000" w:themeColor="text1"/>
          <w:sz w:val="18"/>
          <w:szCs w:val="18"/>
          <w:lang w:val="es-ES"/>
        </w:rPr>
        <w:t xml:space="preserve">AEP para alimentar </w:t>
      </w:r>
      <w:r w:rsidR="00077776">
        <w:rPr>
          <w:rFonts w:ascii="ITC Avant Garde" w:hAnsi="ITC Avant Garde"/>
          <w:color w:val="000000" w:themeColor="text1"/>
          <w:sz w:val="18"/>
          <w:szCs w:val="18"/>
          <w:lang w:val="es-ES"/>
        </w:rPr>
        <w:t>sus</w:t>
      </w:r>
      <w:r w:rsidR="00CE2CB8" w:rsidRPr="00077776">
        <w:rPr>
          <w:rFonts w:ascii="ITC Avant Garde" w:hAnsi="ITC Avant Garde"/>
          <w:color w:val="000000" w:themeColor="text1"/>
          <w:sz w:val="18"/>
          <w:szCs w:val="18"/>
          <w:lang w:val="es-ES"/>
        </w:rPr>
        <w:t xml:space="preserve"> par</w:t>
      </w:r>
      <w:r w:rsidR="00077776">
        <w:rPr>
          <w:rFonts w:ascii="ITC Avant Garde" w:hAnsi="ITC Avant Garde"/>
          <w:color w:val="000000" w:themeColor="text1"/>
          <w:sz w:val="18"/>
          <w:szCs w:val="18"/>
          <w:lang w:val="es-ES"/>
        </w:rPr>
        <w:t>ámetros</w:t>
      </w:r>
      <w:r>
        <w:rPr>
          <w:rFonts w:ascii="ITC Avant Garde" w:hAnsi="ITC Avant Garde"/>
          <w:color w:val="000000" w:themeColor="text1"/>
          <w:sz w:val="18"/>
          <w:szCs w:val="18"/>
          <w:lang w:val="es-ES"/>
        </w:rPr>
        <w:t xml:space="preserve"> de entrada</w:t>
      </w:r>
      <w:r w:rsidR="008D01BF" w:rsidRPr="00077776">
        <w:rPr>
          <w:rFonts w:ascii="ITC Avant Garde" w:hAnsi="ITC Avant Garde"/>
          <w:color w:val="000000" w:themeColor="text1"/>
          <w:sz w:val="18"/>
          <w:szCs w:val="18"/>
          <w:lang w:val="es-ES"/>
        </w:rPr>
        <w:t xml:space="preserve">, </w:t>
      </w:r>
      <w:r w:rsidR="00F72DA4">
        <w:rPr>
          <w:rFonts w:ascii="ITC Avant Garde" w:hAnsi="ITC Avant Garde"/>
          <w:color w:val="000000" w:themeColor="text1"/>
          <w:sz w:val="18"/>
          <w:szCs w:val="18"/>
          <w:lang w:val="es-ES"/>
        </w:rPr>
        <w:t xml:space="preserve">mismos que serán </w:t>
      </w:r>
      <w:r w:rsidR="00F84866" w:rsidRPr="00077776">
        <w:rPr>
          <w:rFonts w:ascii="ITC Avant Garde" w:hAnsi="ITC Avant Garde"/>
          <w:color w:val="000000" w:themeColor="text1"/>
          <w:sz w:val="18"/>
          <w:szCs w:val="18"/>
          <w:lang w:val="es-ES"/>
        </w:rPr>
        <w:t>debidamente analizados y contrastados</w:t>
      </w:r>
      <w:r w:rsidR="008D01BF" w:rsidRPr="00077776">
        <w:rPr>
          <w:rFonts w:ascii="ITC Avant Garde" w:hAnsi="ITC Avant Garde"/>
          <w:color w:val="000000" w:themeColor="text1"/>
          <w:sz w:val="18"/>
          <w:szCs w:val="18"/>
          <w:lang w:val="es-ES"/>
        </w:rPr>
        <w:t>,</w:t>
      </w:r>
      <w:r w:rsidR="00F84866" w:rsidRPr="00077776">
        <w:rPr>
          <w:rFonts w:ascii="ITC Avant Garde" w:hAnsi="ITC Avant Garde"/>
          <w:color w:val="000000" w:themeColor="text1"/>
          <w:sz w:val="18"/>
          <w:szCs w:val="18"/>
          <w:lang w:val="es-ES"/>
        </w:rPr>
        <w:t xml:space="preserve"> siempre que </w:t>
      </w:r>
      <w:r w:rsidR="00F72DA4">
        <w:rPr>
          <w:rFonts w:ascii="ITC Avant Garde" w:hAnsi="ITC Avant Garde"/>
          <w:color w:val="000000" w:themeColor="text1"/>
          <w:sz w:val="18"/>
          <w:szCs w:val="18"/>
          <w:lang w:val="es-ES"/>
        </w:rPr>
        <w:t>sea</w:t>
      </w:r>
      <w:r w:rsidR="00F84866" w:rsidRPr="00077776">
        <w:rPr>
          <w:rFonts w:ascii="ITC Avant Garde" w:hAnsi="ITC Avant Garde"/>
          <w:color w:val="000000" w:themeColor="text1"/>
          <w:sz w:val="18"/>
          <w:szCs w:val="18"/>
          <w:lang w:val="es-ES"/>
        </w:rPr>
        <w:t xml:space="preserve"> posible, y que sólo se </w:t>
      </w:r>
      <w:r w:rsidR="00F72DA4">
        <w:rPr>
          <w:rFonts w:ascii="ITC Avant Garde" w:hAnsi="ITC Avant Garde"/>
          <w:color w:val="000000" w:themeColor="text1"/>
          <w:sz w:val="18"/>
          <w:szCs w:val="18"/>
          <w:lang w:val="es-ES"/>
        </w:rPr>
        <w:t>emplearán</w:t>
      </w:r>
      <w:r w:rsidR="00F84866" w:rsidRPr="00077776">
        <w:rPr>
          <w:rFonts w:ascii="ITC Avant Garde" w:hAnsi="ITC Avant Garde"/>
          <w:color w:val="000000" w:themeColor="text1"/>
          <w:sz w:val="18"/>
          <w:szCs w:val="18"/>
          <w:lang w:val="es-ES"/>
        </w:rPr>
        <w:t xml:space="preserve"> comparativas internacionales o estimaciones donde no ha</w:t>
      </w:r>
      <w:r w:rsidR="00F72DA4">
        <w:rPr>
          <w:rFonts w:ascii="ITC Avant Garde" w:hAnsi="ITC Avant Garde"/>
          <w:color w:val="000000" w:themeColor="text1"/>
          <w:sz w:val="18"/>
          <w:szCs w:val="18"/>
          <w:lang w:val="es-ES"/>
        </w:rPr>
        <w:t>ya</w:t>
      </w:r>
      <w:r w:rsidR="00F84866" w:rsidRPr="00077776">
        <w:rPr>
          <w:rFonts w:ascii="ITC Avant Garde" w:hAnsi="ITC Avant Garde"/>
          <w:color w:val="000000" w:themeColor="text1"/>
          <w:sz w:val="18"/>
          <w:szCs w:val="18"/>
          <w:lang w:val="es-ES"/>
        </w:rPr>
        <w:t xml:space="preserve"> sido posible hacerlo de otra manera.</w:t>
      </w:r>
    </w:p>
    <w:p w14:paraId="342A7A03" w14:textId="77777777" w:rsidR="009803EB" w:rsidRPr="00A918A4" w:rsidRDefault="009803EB" w:rsidP="009803EB">
      <w:pPr>
        <w:pStyle w:val="Ttulo2"/>
        <w:rPr>
          <w:rFonts w:ascii="ITC Avant Garde" w:hAnsi="ITC Avant Garde"/>
          <w:sz w:val="18"/>
          <w:szCs w:val="18"/>
          <w:lang w:val="es-ES_tradnl"/>
        </w:rPr>
      </w:pPr>
      <w:r w:rsidRPr="00A918A4">
        <w:rPr>
          <w:rFonts w:ascii="ITC Avant Garde" w:hAnsi="ITC Avant Garde"/>
          <w:sz w:val="18"/>
          <w:szCs w:val="18"/>
          <w:lang w:val="es-ES_tradnl"/>
        </w:rPr>
        <w:t>Aspectos relacionados con la asignación de costos del modelo</w:t>
      </w:r>
    </w:p>
    <w:p w14:paraId="342A7A04" w14:textId="77777777" w:rsidR="00190BCF" w:rsidRDefault="0011386E" w:rsidP="00190BCF">
      <w:pPr>
        <w:rPr>
          <w:rFonts w:ascii="ITC Avant Garde" w:hAnsi="ITC Avant Garde"/>
          <w:b/>
          <w:sz w:val="18"/>
          <w:szCs w:val="18"/>
          <w:lang w:val="es-ES_tradnl"/>
        </w:rPr>
      </w:pPr>
      <w:r w:rsidRPr="0011386E">
        <w:rPr>
          <w:rFonts w:ascii="ITC Avant Garde" w:hAnsi="ITC Avant Garde"/>
          <w:b/>
          <w:sz w:val="18"/>
          <w:szCs w:val="18"/>
          <w:lang w:val="es-ES_tradnl"/>
        </w:rPr>
        <w:t>Q.</w:t>
      </w:r>
      <w:r w:rsidRPr="0011386E">
        <w:rPr>
          <w:rFonts w:ascii="ITC Avant Garde" w:hAnsi="ITC Avant Garde"/>
          <w:b/>
          <w:sz w:val="18"/>
          <w:szCs w:val="18"/>
          <w:lang w:val="es-ES_tradnl"/>
        </w:rPr>
        <w:fldChar w:fldCharType="begin"/>
      </w:r>
      <w:r w:rsidRPr="0011386E">
        <w:rPr>
          <w:rFonts w:ascii="ITC Avant Garde" w:hAnsi="ITC Avant Garde"/>
          <w:b/>
          <w:sz w:val="18"/>
          <w:szCs w:val="18"/>
          <w:lang w:val="es-ES_tradnl"/>
        </w:rPr>
        <w:instrText xml:space="preserve"> SEQ Recommendation \* ARABIC \s 0 </w:instrText>
      </w:r>
      <w:r w:rsidRPr="0011386E">
        <w:rPr>
          <w:rFonts w:ascii="ITC Avant Garde" w:hAnsi="ITC Avant Garde"/>
          <w:b/>
          <w:sz w:val="18"/>
          <w:szCs w:val="18"/>
          <w:lang w:val="es-ES_tradnl"/>
        </w:rPr>
        <w:fldChar w:fldCharType="separate"/>
      </w:r>
      <w:r w:rsidRPr="0011386E">
        <w:rPr>
          <w:rFonts w:ascii="ITC Avant Garde" w:hAnsi="ITC Avant Garde"/>
          <w:b/>
          <w:sz w:val="18"/>
          <w:szCs w:val="18"/>
          <w:lang w:val="es-ES_tradnl"/>
        </w:rPr>
        <w:t>11</w:t>
      </w:r>
      <w:r w:rsidRPr="0011386E">
        <w:rPr>
          <w:rFonts w:ascii="ITC Avant Garde" w:hAnsi="ITC Avant Garde"/>
          <w:b/>
          <w:sz w:val="18"/>
          <w:szCs w:val="18"/>
          <w:lang w:val="es-ES_tradnl"/>
        </w:rPr>
        <w:fldChar w:fldCharType="end"/>
      </w:r>
      <w:r w:rsidRPr="0011386E">
        <w:rPr>
          <w:rFonts w:ascii="ITC Avant Garde" w:hAnsi="ITC Avant Garde"/>
          <w:b/>
          <w:sz w:val="18"/>
          <w:szCs w:val="18"/>
          <w:lang w:val="es-ES_tradnl"/>
        </w:rPr>
        <w:t xml:space="preserve">: ¿Está de acuerdo con los </w:t>
      </w:r>
      <w:r w:rsidRPr="0011386E">
        <w:rPr>
          <w:rFonts w:ascii="ITC Avant Garde" w:hAnsi="ITC Avant Garde"/>
          <w:b/>
          <w:i/>
          <w:sz w:val="18"/>
          <w:szCs w:val="18"/>
          <w:lang w:val="es-ES_tradnl"/>
        </w:rPr>
        <w:t>drivers</w:t>
      </w:r>
      <w:r w:rsidRPr="0011386E">
        <w:rPr>
          <w:rFonts w:ascii="ITC Avant Garde" w:hAnsi="ITC Avant Garde"/>
          <w:b/>
          <w:sz w:val="18"/>
          <w:szCs w:val="18"/>
          <w:lang w:val="es-ES_tradnl"/>
        </w:rPr>
        <w:t xml:space="preserve"> utilizados en el modelo para la asignación de costos a los distintos servicios?</w:t>
      </w:r>
    </w:p>
    <w:p w14:paraId="5B2A1441" w14:textId="6635EB34" w:rsidR="003D63B0" w:rsidRDefault="003D63B0" w:rsidP="00E5284D">
      <w:pPr>
        <w:rPr>
          <w:rFonts w:ascii="ITC Avant Garde" w:hAnsi="ITC Avant Garde"/>
          <w:sz w:val="18"/>
          <w:szCs w:val="18"/>
          <w:lang w:val="es-ES_tradnl"/>
        </w:rPr>
      </w:pPr>
      <w:r w:rsidRPr="007F6C1D">
        <w:rPr>
          <w:rFonts w:ascii="ITC Avant Garde" w:hAnsi="ITC Avant Garde"/>
          <w:i/>
          <w:sz w:val="18"/>
          <w:szCs w:val="18"/>
          <w:u w:val="single"/>
          <w:lang w:val="es-ES_tradnl"/>
        </w:rPr>
        <w:t>Resumen de comentarios de la Consulta Pública</w:t>
      </w:r>
    </w:p>
    <w:p w14:paraId="342A7A05" w14:textId="1EC5E8EC" w:rsidR="00E5284D" w:rsidRDefault="00151C60" w:rsidP="00E5284D">
      <w:pPr>
        <w:rPr>
          <w:rFonts w:ascii="ITC Avant Garde" w:hAnsi="ITC Avant Garde"/>
          <w:sz w:val="18"/>
          <w:szCs w:val="18"/>
          <w:lang w:val="es-ES_tradnl"/>
        </w:rPr>
      </w:pPr>
      <w:r>
        <w:rPr>
          <w:rFonts w:ascii="ITC Avant Garde" w:hAnsi="ITC Avant Garde"/>
          <w:sz w:val="18"/>
          <w:szCs w:val="18"/>
          <w:lang w:val="es-ES_tradnl"/>
        </w:rPr>
        <w:t>Los</w:t>
      </w:r>
      <w:r w:rsidR="00E5284D" w:rsidRPr="00A82D26">
        <w:rPr>
          <w:rFonts w:ascii="ITC Avant Garde" w:hAnsi="ITC Avant Garde"/>
          <w:sz w:val="18"/>
          <w:szCs w:val="18"/>
          <w:lang w:val="es-ES_tradnl"/>
        </w:rPr>
        <w:t xml:space="preserve"> </w:t>
      </w:r>
      <w:r w:rsidR="001B4B8B">
        <w:rPr>
          <w:rFonts w:ascii="ITC Avant Garde" w:hAnsi="ITC Avant Garde"/>
          <w:sz w:val="18"/>
          <w:szCs w:val="18"/>
          <w:lang w:val="es-ES_tradnl"/>
        </w:rPr>
        <w:t>participantes</w:t>
      </w:r>
      <w:r>
        <w:rPr>
          <w:rFonts w:ascii="ITC Avant Garde" w:hAnsi="ITC Avant Garde"/>
          <w:sz w:val="18"/>
          <w:szCs w:val="18"/>
          <w:lang w:val="es-ES_tradnl"/>
        </w:rPr>
        <w:t xml:space="preserve"> que han contestado a esta pregunta</w:t>
      </w:r>
      <w:r w:rsidR="00E5284D" w:rsidRPr="00A82D26">
        <w:rPr>
          <w:rFonts w:ascii="ITC Avant Garde" w:hAnsi="ITC Avant Garde"/>
          <w:sz w:val="18"/>
          <w:szCs w:val="18"/>
          <w:lang w:val="es-ES_tradnl"/>
        </w:rPr>
        <w:t xml:space="preserve"> [Telefónica</w:t>
      </w:r>
      <w:r>
        <w:rPr>
          <w:rFonts w:ascii="ITC Avant Garde" w:hAnsi="ITC Avant Garde"/>
          <w:sz w:val="18"/>
          <w:szCs w:val="18"/>
          <w:lang w:val="es-ES_tradnl"/>
        </w:rPr>
        <w:t>, Axtel, Lester Garcia y TotalPlay</w:t>
      </w:r>
      <w:r w:rsidR="00E5284D" w:rsidRPr="00A82D26">
        <w:rPr>
          <w:rFonts w:ascii="ITC Avant Garde" w:hAnsi="ITC Avant Garde"/>
          <w:sz w:val="18"/>
          <w:szCs w:val="18"/>
          <w:lang w:val="es-ES_tradnl"/>
        </w:rPr>
        <w:t xml:space="preserve">] </w:t>
      </w:r>
      <w:r w:rsidR="00E5284D">
        <w:rPr>
          <w:rFonts w:ascii="ITC Avant Garde" w:hAnsi="ITC Avant Garde"/>
          <w:sz w:val="18"/>
          <w:szCs w:val="18"/>
          <w:lang w:val="es-ES_tradnl"/>
        </w:rPr>
        <w:t>está</w:t>
      </w:r>
      <w:r>
        <w:rPr>
          <w:rFonts w:ascii="ITC Avant Garde" w:hAnsi="ITC Avant Garde"/>
          <w:sz w:val="18"/>
          <w:szCs w:val="18"/>
          <w:lang w:val="es-ES_tradnl"/>
        </w:rPr>
        <w:t>n</w:t>
      </w:r>
      <w:r w:rsidR="00E5284D">
        <w:rPr>
          <w:rFonts w:ascii="ITC Avant Garde" w:hAnsi="ITC Avant Garde"/>
          <w:sz w:val="18"/>
          <w:szCs w:val="18"/>
          <w:lang w:val="es-ES_tradnl"/>
        </w:rPr>
        <w:t xml:space="preserve"> de acuerdo con los drivers utilizados</w:t>
      </w:r>
      <w:r w:rsidR="00E5284D" w:rsidRPr="00A82D26">
        <w:rPr>
          <w:rFonts w:ascii="ITC Avant Garde" w:hAnsi="ITC Avant Garde"/>
          <w:sz w:val="18"/>
          <w:szCs w:val="18"/>
          <w:lang w:val="es-ES_tradnl"/>
        </w:rPr>
        <w:t>.</w:t>
      </w:r>
    </w:p>
    <w:p w14:paraId="3BDC8377" w14:textId="2FAE0EEA" w:rsidR="00141720" w:rsidRDefault="00141720" w:rsidP="00E5284D">
      <w:pPr>
        <w:rPr>
          <w:rFonts w:ascii="ITC Avant Garde" w:hAnsi="ITC Avant Garde"/>
          <w:i/>
          <w:sz w:val="18"/>
          <w:szCs w:val="18"/>
          <w:u w:val="single"/>
          <w:lang w:val="es-ES_tradnl"/>
        </w:rPr>
      </w:pPr>
      <w:r w:rsidRPr="00E45AEA">
        <w:rPr>
          <w:rFonts w:ascii="ITC Avant Garde" w:hAnsi="ITC Avant Garde"/>
          <w:i/>
          <w:sz w:val="18"/>
          <w:szCs w:val="18"/>
          <w:u w:val="single"/>
          <w:lang w:val="es-ES_tradnl"/>
        </w:rPr>
        <w:t>Respuesta del Instituto</w:t>
      </w:r>
    </w:p>
    <w:p w14:paraId="79F7BA2B" w14:textId="0E55A3B2" w:rsidR="00141720" w:rsidRPr="00A82D26" w:rsidRDefault="00141720" w:rsidP="00141720">
      <w:pPr>
        <w:pStyle w:val="Listaconvietas"/>
        <w:numPr>
          <w:ilvl w:val="0"/>
          <w:numId w:val="0"/>
        </w:numPr>
        <w:rPr>
          <w:rFonts w:ascii="ITC Avant Garde" w:hAnsi="ITC Avant Garde"/>
          <w:sz w:val="18"/>
          <w:szCs w:val="18"/>
          <w:lang w:val="es-ES_tradnl"/>
        </w:rPr>
      </w:pPr>
      <w:r>
        <w:rPr>
          <w:rFonts w:ascii="ITC Avant Garde" w:hAnsi="ITC Avant Garde"/>
          <w:sz w:val="18"/>
          <w:szCs w:val="18"/>
          <w:lang w:val="es-ES_tradnl"/>
        </w:rPr>
        <w:t>El Instituto no tiene manifestaciones particulares en torno a los comentarios recibidos sobre la pregunta en comento.</w:t>
      </w:r>
    </w:p>
    <w:p w14:paraId="342A7A06" w14:textId="77777777" w:rsidR="009803EB" w:rsidRPr="00A918A4" w:rsidRDefault="009803EB" w:rsidP="009803EB">
      <w:pPr>
        <w:pStyle w:val="Ttulo2"/>
        <w:rPr>
          <w:rFonts w:ascii="ITC Avant Garde" w:hAnsi="ITC Avant Garde"/>
          <w:sz w:val="18"/>
          <w:szCs w:val="18"/>
          <w:lang w:val="es-ES_tradnl"/>
        </w:rPr>
      </w:pPr>
      <w:r w:rsidRPr="00A918A4">
        <w:rPr>
          <w:rFonts w:ascii="ITC Avant Garde" w:hAnsi="ITC Avant Garde"/>
          <w:sz w:val="18"/>
          <w:szCs w:val="18"/>
          <w:lang w:val="es-ES_tradnl"/>
        </w:rPr>
        <w:t>Estructura y resultados del modelo</w:t>
      </w:r>
    </w:p>
    <w:p w14:paraId="342A7A07" w14:textId="77777777" w:rsidR="009803EB" w:rsidRPr="00A918A4" w:rsidRDefault="009803EB" w:rsidP="009803EB">
      <w:pPr>
        <w:pStyle w:val="Ttulo3"/>
        <w:rPr>
          <w:rFonts w:ascii="ITC Avant Garde" w:hAnsi="ITC Avant Garde"/>
          <w:sz w:val="18"/>
          <w:szCs w:val="18"/>
          <w:lang w:val="es-ES_tradnl"/>
        </w:rPr>
      </w:pPr>
      <w:r w:rsidRPr="00A918A4">
        <w:rPr>
          <w:rFonts w:ascii="ITC Avant Garde" w:hAnsi="ITC Avant Garde"/>
          <w:sz w:val="18"/>
          <w:szCs w:val="18"/>
          <w:lang w:val="es-ES_tradnl"/>
        </w:rPr>
        <w:t>Estructura del modelo</w:t>
      </w:r>
    </w:p>
    <w:p w14:paraId="342A7A08" w14:textId="77777777" w:rsidR="00190BCF" w:rsidRDefault="0011386E" w:rsidP="00190BCF">
      <w:pPr>
        <w:rPr>
          <w:rFonts w:ascii="ITC Avant Garde" w:hAnsi="ITC Avant Garde"/>
          <w:b/>
          <w:sz w:val="18"/>
          <w:szCs w:val="18"/>
          <w:lang w:val="es-ES_tradnl"/>
        </w:rPr>
      </w:pPr>
      <w:r w:rsidRPr="0011386E">
        <w:rPr>
          <w:rFonts w:ascii="ITC Avant Garde" w:hAnsi="ITC Avant Garde"/>
          <w:b/>
          <w:sz w:val="18"/>
          <w:szCs w:val="18"/>
          <w:lang w:val="es-ES_tradnl"/>
        </w:rPr>
        <w:t>Q.</w:t>
      </w:r>
      <w:r w:rsidRPr="0011386E">
        <w:rPr>
          <w:rFonts w:ascii="ITC Avant Garde" w:hAnsi="ITC Avant Garde"/>
          <w:b/>
          <w:sz w:val="18"/>
          <w:szCs w:val="18"/>
          <w:lang w:val="es-ES_tradnl"/>
        </w:rPr>
        <w:fldChar w:fldCharType="begin"/>
      </w:r>
      <w:r w:rsidRPr="0011386E">
        <w:rPr>
          <w:rFonts w:ascii="ITC Avant Garde" w:hAnsi="ITC Avant Garde"/>
          <w:b/>
          <w:sz w:val="18"/>
          <w:szCs w:val="18"/>
          <w:lang w:val="es-ES_tradnl"/>
        </w:rPr>
        <w:instrText xml:space="preserve"> SEQ Recommendation \* ARABIC \s 0 </w:instrText>
      </w:r>
      <w:r w:rsidRPr="0011386E">
        <w:rPr>
          <w:rFonts w:ascii="ITC Avant Garde" w:hAnsi="ITC Avant Garde"/>
          <w:b/>
          <w:sz w:val="18"/>
          <w:szCs w:val="18"/>
          <w:lang w:val="es-ES_tradnl"/>
        </w:rPr>
        <w:fldChar w:fldCharType="separate"/>
      </w:r>
      <w:r w:rsidRPr="0011386E">
        <w:rPr>
          <w:rFonts w:ascii="ITC Avant Garde" w:hAnsi="ITC Avant Garde"/>
          <w:b/>
          <w:sz w:val="18"/>
          <w:szCs w:val="18"/>
          <w:lang w:val="es-ES_tradnl"/>
        </w:rPr>
        <w:t>12</w:t>
      </w:r>
      <w:r w:rsidRPr="0011386E">
        <w:rPr>
          <w:rFonts w:ascii="ITC Avant Garde" w:hAnsi="ITC Avant Garde"/>
          <w:b/>
          <w:sz w:val="18"/>
          <w:szCs w:val="18"/>
          <w:lang w:val="es-ES_tradnl"/>
        </w:rPr>
        <w:fldChar w:fldCharType="end"/>
      </w:r>
      <w:r w:rsidRPr="0011386E">
        <w:rPr>
          <w:rFonts w:ascii="ITC Avant Garde" w:hAnsi="ITC Avant Garde"/>
          <w:b/>
          <w:sz w:val="18"/>
          <w:szCs w:val="18"/>
          <w:lang w:val="es-ES_tradnl"/>
        </w:rPr>
        <w:t>: ¿Tiene algún comentario relacionado con los valores de entrada y/o los cálculos efectuados en las diferentes hojas que componen modelo?</w:t>
      </w:r>
    </w:p>
    <w:p w14:paraId="592B842F" w14:textId="77777777" w:rsidR="00C23B67" w:rsidRDefault="003D63B0" w:rsidP="00E5284D">
      <w:pPr>
        <w:rPr>
          <w:rFonts w:ascii="ITC Avant Garde" w:hAnsi="ITC Avant Garde"/>
          <w:i/>
          <w:sz w:val="18"/>
          <w:szCs w:val="18"/>
          <w:u w:val="single"/>
          <w:lang w:val="es-ES_tradnl"/>
        </w:rPr>
      </w:pPr>
      <w:r w:rsidRPr="007F6C1D">
        <w:rPr>
          <w:rFonts w:ascii="ITC Avant Garde" w:hAnsi="ITC Avant Garde"/>
          <w:i/>
          <w:sz w:val="18"/>
          <w:szCs w:val="18"/>
          <w:u w:val="single"/>
          <w:lang w:val="es-ES_tradnl"/>
        </w:rPr>
        <w:t>Resumen de comentarios de la Consulta Pública</w:t>
      </w:r>
    </w:p>
    <w:p w14:paraId="342A7A09" w14:textId="757ADF21" w:rsidR="00E5284D" w:rsidRPr="00C23B67" w:rsidRDefault="007C7664" w:rsidP="00E5284D">
      <w:pPr>
        <w:rPr>
          <w:rFonts w:ascii="ITC Avant Garde" w:hAnsi="ITC Avant Garde"/>
          <w:i/>
          <w:sz w:val="18"/>
          <w:szCs w:val="18"/>
          <w:u w:val="single"/>
          <w:lang w:val="es-ES_tradnl"/>
        </w:rPr>
      </w:pPr>
      <w:r>
        <w:rPr>
          <w:rFonts w:ascii="ITC Avant Garde" w:hAnsi="ITC Avant Garde"/>
          <w:sz w:val="18"/>
          <w:szCs w:val="18"/>
          <w:lang w:val="es-ES_tradnl"/>
        </w:rPr>
        <w:t>Al respecto, uno de los participantes (</w:t>
      </w:r>
      <w:r>
        <w:rPr>
          <w:rFonts w:ascii="ITC Avant Garde" w:hAnsi="ITC Avant Garde"/>
          <w:bCs/>
          <w:sz w:val="18"/>
          <w:szCs w:val="18"/>
          <w:lang w:val="es-ES_tradnl"/>
        </w:rPr>
        <w:t>CANIETI]</w:t>
      </w:r>
      <w:r w:rsidR="00E5284D" w:rsidRPr="00A82D26">
        <w:rPr>
          <w:rFonts w:ascii="ITC Avant Garde" w:hAnsi="ITC Avant Garde"/>
          <w:sz w:val="18"/>
          <w:szCs w:val="18"/>
          <w:lang w:val="es-ES_tradnl"/>
        </w:rPr>
        <w:t xml:space="preserve"> </w:t>
      </w:r>
      <w:r w:rsidR="00D92ED7">
        <w:rPr>
          <w:rFonts w:ascii="ITC Avant Garde" w:hAnsi="ITC Avant Garde"/>
          <w:sz w:val="18"/>
          <w:szCs w:val="18"/>
          <w:lang w:val="es-ES_tradnl"/>
        </w:rPr>
        <w:t xml:space="preserve">afirma que </w:t>
      </w:r>
      <w:r>
        <w:rPr>
          <w:rFonts w:ascii="ITC Avant Garde" w:hAnsi="ITC Avant Garde"/>
          <w:sz w:val="18"/>
          <w:szCs w:val="18"/>
          <w:lang w:val="es-ES_tradnl"/>
        </w:rPr>
        <w:t xml:space="preserve">aunque </w:t>
      </w:r>
      <w:r w:rsidR="00D92ED7">
        <w:rPr>
          <w:rFonts w:ascii="ITC Avant Garde" w:hAnsi="ITC Avant Garde"/>
          <w:sz w:val="18"/>
          <w:szCs w:val="18"/>
          <w:lang w:val="es-ES_tradnl"/>
        </w:rPr>
        <w:t xml:space="preserve">la mecánica del modelo </w:t>
      </w:r>
      <w:r>
        <w:rPr>
          <w:rFonts w:ascii="ITC Avant Garde" w:hAnsi="ITC Avant Garde"/>
          <w:sz w:val="18"/>
          <w:szCs w:val="18"/>
          <w:lang w:val="es-ES_tradnl"/>
        </w:rPr>
        <w:t xml:space="preserve">parece funcionar correctamente, </w:t>
      </w:r>
      <w:r w:rsidR="00D92ED7">
        <w:rPr>
          <w:rFonts w:ascii="ITC Avant Garde" w:hAnsi="ITC Avant Garde"/>
          <w:sz w:val="18"/>
          <w:szCs w:val="18"/>
          <w:lang w:val="es-ES_tradnl"/>
        </w:rPr>
        <w:t xml:space="preserve">dado que una gran cantidad de insumos de costos son anónimos y que este servicio no existía previamente, es difícil saber si las tarifas que arroja el modelo son razonables. </w:t>
      </w:r>
      <w:r w:rsidR="00151C60">
        <w:rPr>
          <w:rFonts w:ascii="ITC Avant Garde" w:hAnsi="ITC Avant Garde"/>
          <w:sz w:val="18"/>
          <w:szCs w:val="18"/>
          <w:lang w:val="es-ES_tradnl"/>
        </w:rPr>
        <w:t xml:space="preserve">A esto también se une </w:t>
      </w:r>
      <w:r w:rsidR="000A4875">
        <w:rPr>
          <w:rFonts w:ascii="ITC Avant Garde" w:hAnsi="ITC Avant Garde"/>
          <w:sz w:val="18"/>
          <w:szCs w:val="18"/>
          <w:lang w:val="es-ES_tradnl"/>
        </w:rPr>
        <w:t>otro de los participantes</w:t>
      </w:r>
      <w:r w:rsidR="00151C60">
        <w:rPr>
          <w:rFonts w:ascii="ITC Avant Garde" w:hAnsi="ITC Avant Garde"/>
          <w:sz w:val="18"/>
          <w:szCs w:val="18"/>
          <w:lang w:val="es-ES_tradnl"/>
        </w:rPr>
        <w:t xml:space="preserve"> [</w:t>
      </w:r>
      <w:r w:rsidR="00151C60" w:rsidRPr="00151C60">
        <w:rPr>
          <w:rFonts w:ascii="ITC Avant Garde" w:hAnsi="ITC Avant Garde"/>
          <w:sz w:val="18"/>
          <w:szCs w:val="18"/>
          <w:lang w:val="es-ES_tradnl"/>
        </w:rPr>
        <w:t>Total Play</w:t>
      </w:r>
      <w:r w:rsidR="00151C60">
        <w:rPr>
          <w:rFonts w:ascii="ITC Avant Garde" w:hAnsi="ITC Avant Garde"/>
          <w:sz w:val="18"/>
          <w:szCs w:val="18"/>
          <w:lang w:val="es-ES_tradnl"/>
        </w:rPr>
        <w:t>], que sostiene que se deben presentar las fuentes de las comparaciones internacionales usadas para determinar algunos valores de entrada y cálculos, para así poder proceder a su comprobación.</w:t>
      </w:r>
    </w:p>
    <w:p w14:paraId="342A7A0B" w14:textId="4734BB1F" w:rsidR="001C3BD5" w:rsidRDefault="001C3BD5" w:rsidP="00151C60">
      <w:pPr>
        <w:rPr>
          <w:rFonts w:ascii="ITC Avant Garde" w:hAnsi="ITC Avant Garde"/>
          <w:sz w:val="18"/>
          <w:szCs w:val="18"/>
          <w:lang w:val="es-ES_tradnl"/>
        </w:rPr>
      </w:pPr>
      <w:r>
        <w:rPr>
          <w:rFonts w:ascii="ITC Avant Garde" w:hAnsi="ITC Avant Garde"/>
          <w:sz w:val="18"/>
          <w:szCs w:val="18"/>
          <w:lang w:val="es-ES_tradnl"/>
        </w:rPr>
        <w:t xml:space="preserve">Finalmente, </w:t>
      </w:r>
      <w:r w:rsidR="00E20D00">
        <w:rPr>
          <w:rFonts w:ascii="ITC Avant Garde" w:hAnsi="ITC Avant Garde"/>
          <w:sz w:val="18"/>
          <w:szCs w:val="18"/>
          <w:lang w:val="es-ES_tradnl"/>
        </w:rPr>
        <w:t xml:space="preserve">uno de los participantes [Televisa] </w:t>
      </w:r>
      <w:r>
        <w:rPr>
          <w:rFonts w:ascii="ITC Avant Garde" w:hAnsi="ITC Avant Garde"/>
          <w:sz w:val="18"/>
          <w:szCs w:val="18"/>
          <w:lang w:val="es-ES_tradnl"/>
        </w:rPr>
        <w:t>indica  que los costos operativos de mantenimiento y alquiler anual de las centrales deben ser mejor sustentados debido a su impacto en el precio final, y al no considerar las diferencias en geotipo y tamaño existentes entre centrales.</w:t>
      </w:r>
    </w:p>
    <w:p w14:paraId="3655466A" w14:textId="77777777" w:rsidR="001165F9" w:rsidRDefault="001165F9" w:rsidP="008E2F10">
      <w:pPr>
        <w:pStyle w:val="Listaconvietas"/>
        <w:numPr>
          <w:ilvl w:val="0"/>
          <w:numId w:val="0"/>
        </w:numPr>
        <w:rPr>
          <w:rFonts w:ascii="ITC Avant Garde" w:hAnsi="ITC Avant Garde"/>
          <w:color w:val="548DD4" w:themeColor="text2" w:themeTint="99"/>
          <w:sz w:val="18"/>
          <w:szCs w:val="18"/>
          <w:lang w:val="es-ES_tradnl"/>
        </w:rPr>
      </w:pPr>
      <w:r w:rsidRPr="00E45AEA">
        <w:rPr>
          <w:rFonts w:ascii="ITC Avant Garde" w:hAnsi="ITC Avant Garde"/>
          <w:i/>
          <w:sz w:val="18"/>
          <w:szCs w:val="18"/>
          <w:u w:val="single"/>
          <w:lang w:val="es-ES_tradnl"/>
        </w:rPr>
        <w:t>Respuesta del Instituto</w:t>
      </w:r>
      <w:r w:rsidRPr="00BA70D0">
        <w:rPr>
          <w:rFonts w:ascii="ITC Avant Garde" w:hAnsi="ITC Avant Garde"/>
          <w:color w:val="548DD4" w:themeColor="text2" w:themeTint="99"/>
          <w:sz w:val="18"/>
          <w:szCs w:val="18"/>
          <w:lang w:val="es-ES_tradnl"/>
        </w:rPr>
        <w:t xml:space="preserve"> </w:t>
      </w:r>
    </w:p>
    <w:p w14:paraId="342A7A0D" w14:textId="0D3F5329" w:rsidR="008E2F10" w:rsidRPr="008B62E5" w:rsidRDefault="002E2B3F" w:rsidP="002E2B3F">
      <w:pPr>
        <w:pStyle w:val="Listaconvietas"/>
        <w:numPr>
          <w:ilvl w:val="0"/>
          <w:numId w:val="0"/>
        </w:numPr>
        <w:rPr>
          <w:rFonts w:ascii="ITC Avant Garde" w:hAnsi="ITC Avant Garde"/>
          <w:color w:val="000000" w:themeColor="text1"/>
          <w:sz w:val="18"/>
          <w:szCs w:val="18"/>
          <w:lang w:val="es-ES_tradnl"/>
        </w:rPr>
      </w:pPr>
      <w:r w:rsidRPr="008B62E5">
        <w:rPr>
          <w:rFonts w:ascii="ITC Avant Garde" w:hAnsi="ITC Avant Garde"/>
          <w:color w:val="000000" w:themeColor="text1"/>
          <w:sz w:val="18"/>
          <w:szCs w:val="18"/>
          <w:lang w:val="es-ES_tradnl"/>
        </w:rPr>
        <w:t xml:space="preserve">El Instituto reitera que </w:t>
      </w:r>
      <w:r w:rsidR="008E2F10" w:rsidRPr="008B62E5">
        <w:rPr>
          <w:rFonts w:ascii="ITC Avant Garde" w:hAnsi="ITC Avant Garde"/>
          <w:color w:val="000000" w:themeColor="text1"/>
          <w:sz w:val="18"/>
          <w:szCs w:val="18"/>
          <w:lang w:val="es-ES_tradnl"/>
        </w:rPr>
        <w:t>la información empleada para definir los parámetros del modelo se basa en su gran mayoría en información confidencial provista por el AEP o basada en datos confidenciales de operadores internacionales</w:t>
      </w:r>
      <w:r w:rsidR="006E0556">
        <w:rPr>
          <w:rFonts w:ascii="ITC Avant Garde" w:hAnsi="ITC Avant Garde"/>
          <w:color w:val="000000" w:themeColor="text1"/>
          <w:sz w:val="18"/>
          <w:szCs w:val="18"/>
          <w:lang w:val="es-ES_tradnl"/>
        </w:rPr>
        <w:t xml:space="preserve">, los cuales se anonimizan para proteger su </w:t>
      </w:r>
      <w:r w:rsidR="006E0556">
        <w:rPr>
          <w:rFonts w:ascii="ITC Avant Garde" w:hAnsi="ITC Avant Garde"/>
          <w:color w:val="000000" w:themeColor="text1"/>
          <w:sz w:val="18"/>
          <w:szCs w:val="18"/>
          <w:lang w:val="es-ES_tradnl"/>
        </w:rPr>
        <w:lastRenderedPageBreak/>
        <w:t>carácter</w:t>
      </w:r>
      <w:r w:rsidR="003D1B2A">
        <w:rPr>
          <w:rFonts w:ascii="ITC Avant Garde" w:hAnsi="ITC Avant Garde"/>
          <w:color w:val="000000" w:themeColor="text1"/>
          <w:sz w:val="18"/>
          <w:szCs w:val="18"/>
          <w:lang w:val="es-ES_tradnl"/>
        </w:rPr>
        <w:t>,</w:t>
      </w:r>
      <w:r w:rsidR="006E0556">
        <w:rPr>
          <w:rFonts w:ascii="ITC Avant Garde" w:hAnsi="ITC Avant Garde"/>
          <w:color w:val="000000" w:themeColor="text1"/>
          <w:sz w:val="18"/>
          <w:szCs w:val="18"/>
          <w:lang w:val="es-ES_tradnl"/>
        </w:rPr>
        <w:t xml:space="preserve"> de manera que el modelo sometido a consulta pública permita a los participantes </w:t>
      </w:r>
      <w:r w:rsidR="006E0556" w:rsidRPr="006E0556">
        <w:rPr>
          <w:rFonts w:ascii="ITC Avant Garde" w:hAnsi="ITC Avant Garde"/>
          <w:color w:val="000000" w:themeColor="text1"/>
          <w:sz w:val="18"/>
          <w:szCs w:val="18"/>
          <w:lang w:val="es-ES_tradnl"/>
        </w:rPr>
        <w:t xml:space="preserve">conocer el funcionamiento general del modelo de costos y </w:t>
      </w:r>
      <w:r w:rsidR="00BD11F8">
        <w:rPr>
          <w:rFonts w:ascii="ITC Avant Garde" w:hAnsi="ITC Avant Garde"/>
          <w:color w:val="000000" w:themeColor="text1"/>
          <w:sz w:val="18"/>
          <w:szCs w:val="18"/>
          <w:lang w:val="es-ES_tradnl"/>
        </w:rPr>
        <w:t>aspectos</w:t>
      </w:r>
      <w:r w:rsidR="00BD11F8" w:rsidRPr="006E0556">
        <w:rPr>
          <w:rFonts w:ascii="ITC Avant Garde" w:hAnsi="ITC Avant Garde"/>
          <w:color w:val="000000" w:themeColor="text1"/>
          <w:sz w:val="18"/>
          <w:szCs w:val="18"/>
          <w:lang w:val="es-ES_tradnl"/>
        </w:rPr>
        <w:t xml:space="preserve"> </w:t>
      </w:r>
      <w:r w:rsidR="006E0556" w:rsidRPr="006E0556">
        <w:rPr>
          <w:rFonts w:ascii="ITC Avant Garde" w:hAnsi="ITC Avant Garde"/>
          <w:color w:val="000000" w:themeColor="text1"/>
          <w:sz w:val="18"/>
          <w:szCs w:val="18"/>
          <w:lang w:val="es-ES_tradnl"/>
        </w:rPr>
        <w:t>en su configuración</w:t>
      </w:r>
      <w:r w:rsidR="008E2F10" w:rsidRPr="008B62E5">
        <w:rPr>
          <w:rFonts w:ascii="ITC Avant Garde" w:hAnsi="ITC Avant Garde"/>
          <w:color w:val="000000" w:themeColor="text1"/>
          <w:sz w:val="18"/>
          <w:szCs w:val="18"/>
          <w:lang w:val="es-ES_tradnl"/>
        </w:rPr>
        <w:t xml:space="preserve">. </w:t>
      </w:r>
      <w:r w:rsidR="006E0556">
        <w:rPr>
          <w:rFonts w:ascii="ITC Avant Garde" w:hAnsi="ITC Avant Garde"/>
          <w:color w:val="000000" w:themeColor="text1"/>
          <w:sz w:val="18"/>
          <w:szCs w:val="18"/>
          <w:lang w:val="es-ES_tradnl"/>
        </w:rPr>
        <w:t>En este sentido</w:t>
      </w:r>
      <w:r w:rsidR="008E2F10" w:rsidRPr="008B62E5">
        <w:rPr>
          <w:rFonts w:ascii="ITC Avant Garde" w:hAnsi="ITC Avant Garde"/>
          <w:color w:val="000000" w:themeColor="text1"/>
          <w:sz w:val="18"/>
          <w:szCs w:val="18"/>
          <w:lang w:val="es-ES_tradnl"/>
        </w:rPr>
        <w:t xml:space="preserve">, la consulta pública </w:t>
      </w:r>
      <w:r w:rsidRPr="008B62E5">
        <w:rPr>
          <w:rFonts w:ascii="ITC Avant Garde" w:hAnsi="ITC Avant Garde"/>
          <w:color w:val="000000" w:themeColor="text1"/>
          <w:sz w:val="18"/>
          <w:szCs w:val="18"/>
          <w:lang w:val="es-ES_tradnl"/>
        </w:rPr>
        <w:t>permite al Instituto recabar comentarios, opiniones y aportaciones que permiten robustecer la construcción del modelo en cuestión y en su caso realizar modificaciones correspondientes</w:t>
      </w:r>
      <w:r w:rsidR="008E2F10" w:rsidRPr="008B62E5">
        <w:rPr>
          <w:rFonts w:ascii="ITC Avant Garde" w:hAnsi="ITC Avant Garde"/>
          <w:color w:val="000000" w:themeColor="text1"/>
          <w:sz w:val="18"/>
          <w:szCs w:val="18"/>
          <w:lang w:val="es-ES_tradnl"/>
        </w:rPr>
        <w:t>.</w:t>
      </w:r>
    </w:p>
    <w:p w14:paraId="6ABB18F6" w14:textId="436B8BFF" w:rsidR="00C765BC" w:rsidRPr="00C765BC" w:rsidRDefault="00C765BC" w:rsidP="00FF16B6">
      <w:pPr>
        <w:pStyle w:val="Listaconvietas"/>
        <w:numPr>
          <w:ilvl w:val="0"/>
          <w:numId w:val="0"/>
        </w:numPr>
        <w:rPr>
          <w:rFonts w:ascii="ITC Avant Garde" w:hAnsi="ITC Avant Garde"/>
          <w:sz w:val="18"/>
          <w:szCs w:val="18"/>
          <w:lang w:val="es-ES_tradnl"/>
        </w:rPr>
      </w:pPr>
      <w:r w:rsidRPr="00C765BC">
        <w:rPr>
          <w:rFonts w:ascii="ITC Avant Garde" w:hAnsi="ITC Avant Garde"/>
          <w:sz w:val="18"/>
          <w:szCs w:val="18"/>
          <w:lang w:val="es-ES_tradnl"/>
        </w:rPr>
        <w:t xml:space="preserve">En lo tocante a </w:t>
      </w:r>
      <w:r w:rsidR="00314AD3" w:rsidRPr="00C765BC">
        <w:rPr>
          <w:rFonts w:ascii="ITC Avant Garde" w:hAnsi="ITC Avant Garde"/>
          <w:sz w:val="18"/>
          <w:szCs w:val="18"/>
          <w:lang w:val="es-ES_tradnl"/>
        </w:rPr>
        <w:t>los costos operativos de mantenimiento y alquiler anual de las centrales</w:t>
      </w:r>
      <w:r w:rsidRPr="00C765BC">
        <w:rPr>
          <w:rFonts w:ascii="ITC Avant Garde" w:hAnsi="ITC Avant Garde"/>
          <w:sz w:val="18"/>
          <w:szCs w:val="18"/>
          <w:lang w:val="es-ES_tradnl"/>
        </w:rPr>
        <w:t>, el Instituto señala los datos incluidos en el modelo se basa</w:t>
      </w:r>
      <w:r w:rsidR="00F31BE5">
        <w:rPr>
          <w:rFonts w:ascii="ITC Avant Garde" w:hAnsi="ITC Avant Garde"/>
          <w:sz w:val="18"/>
          <w:szCs w:val="18"/>
          <w:lang w:val="es-ES_tradnl"/>
        </w:rPr>
        <w:t>rá</w:t>
      </w:r>
      <w:r w:rsidRPr="00C765BC">
        <w:rPr>
          <w:rFonts w:ascii="ITC Avant Garde" w:hAnsi="ITC Avant Garde"/>
          <w:sz w:val="18"/>
          <w:szCs w:val="18"/>
          <w:lang w:val="es-ES_tradnl"/>
        </w:rPr>
        <w:t xml:space="preserve">n </w:t>
      </w:r>
      <w:r w:rsidRPr="0029036C">
        <w:rPr>
          <w:rFonts w:ascii="ITC Avant Garde" w:hAnsi="ITC Avant Garde"/>
          <w:sz w:val="18"/>
          <w:szCs w:val="18"/>
          <w:lang w:val="es-ES_tradnl"/>
        </w:rPr>
        <w:t>en información provista por el AEP o en datos confidenciales de operadores internacionales</w:t>
      </w:r>
      <w:r w:rsidRPr="00C765BC">
        <w:rPr>
          <w:rFonts w:ascii="ITC Avant Garde" w:hAnsi="ITC Avant Garde"/>
          <w:sz w:val="18"/>
          <w:szCs w:val="18"/>
          <w:lang w:val="es-ES_tradnl"/>
        </w:rPr>
        <w:t xml:space="preserve"> en caso de no estar disponible.</w:t>
      </w:r>
      <w:r w:rsidRPr="00E82937">
        <w:rPr>
          <w:rFonts w:ascii="ITC Avant Garde" w:hAnsi="ITC Avant Garde"/>
          <w:sz w:val="18"/>
          <w:szCs w:val="18"/>
          <w:lang w:val="es-ES_tradnl"/>
        </w:rPr>
        <w:t xml:space="preserve"> A este respecto, en la versión final del modelo </w:t>
      </w:r>
      <w:r w:rsidR="009277CC">
        <w:rPr>
          <w:rFonts w:ascii="ITC Avant Garde" w:hAnsi="ITC Avant Garde"/>
          <w:sz w:val="18"/>
          <w:szCs w:val="18"/>
          <w:lang w:val="es-ES_tradnl"/>
        </w:rPr>
        <w:t>se considerarán</w:t>
      </w:r>
      <w:r w:rsidRPr="00E82937">
        <w:rPr>
          <w:rFonts w:ascii="ITC Avant Garde" w:hAnsi="ITC Avant Garde"/>
          <w:sz w:val="18"/>
          <w:szCs w:val="18"/>
          <w:lang w:val="es-ES_tradnl"/>
        </w:rPr>
        <w:t xml:space="preserve"> diferencias en el precio del alquiler de las centrales </w:t>
      </w:r>
      <w:r w:rsidR="009277CC">
        <w:rPr>
          <w:rFonts w:ascii="ITC Avant Garde" w:hAnsi="ITC Avant Garde"/>
          <w:sz w:val="18"/>
          <w:szCs w:val="18"/>
          <w:lang w:val="es-ES_tradnl"/>
        </w:rPr>
        <w:t>asociados a</w:t>
      </w:r>
      <w:r w:rsidRPr="00E82937">
        <w:rPr>
          <w:rFonts w:ascii="ITC Avant Garde" w:hAnsi="ITC Avant Garde"/>
          <w:sz w:val="18"/>
          <w:szCs w:val="18"/>
          <w:lang w:val="es-ES_tradnl"/>
        </w:rPr>
        <w:t xml:space="preserve"> los diferentes geotipos de México, dependiendo de la zona en que se ubican.</w:t>
      </w:r>
    </w:p>
    <w:p w14:paraId="342A7A12" w14:textId="0FE6824B" w:rsidR="00FF16B6" w:rsidRPr="00E82937" w:rsidRDefault="00E82937" w:rsidP="00FF16B6">
      <w:pPr>
        <w:pStyle w:val="Listaconvietas"/>
        <w:numPr>
          <w:ilvl w:val="0"/>
          <w:numId w:val="0"/>
        </w:numPr>
        <w:rPr>
          <w:rFonts w:ascii="ITC Avant Garde" w:hAnsi="ITC Avant Garde"/>
          <w:sz w:val="18"/>
          <w:szCs w:val="18"/>
          <w:lang w:val="es-ES_tradnl"/>
        </w:rPr>
      </w:pPr>
      <w:r w:rsidRPr="00E82937">
        <w:rPr>
          <w:rFonts w:ascii="ITC Avant Garde" w:hAnsi="ITC Avant Garde"/>
          <w:sz w:val="18"/>
          <w:szCs w:val="18"/>
          <w:lang w:val="es-ES_tradnl"/>
        </w:rPr>
        <w:t xml:space="preserve">En mérito de lo anterior, el Instituto destaca que el modelo </w:t>
      </w:r>
      <w:r w:rsidR="008E2F10" w:rsidRPr="00E82937">
        <w:rPr>
          <w:rFonts w:ascii="ITC Avant Garde" w:hAnsi="ITC Avant Garde"/>
          <w:sz w:val="18"/>
          <w:szCs w:val="18"/>
          <w:lang w:val="es-ES_tradnl"/>
        </w:rPr>
        <w:t xml:space="preserve">tiene en cuenta las diferencias en geotipos y tamaño de centrales, ya que éstas se pueden reflejar a través de las variables del modelo, al calcularse los precios </w:t>
      </w:r>
      <w:r w:rsidR="00431624">
        <w:rPr>
          <w:rFonts w:ascii="ITC Avant Garde" w:hAnsi="ITC Avant Garde"/>
          <w:sz w:val="18"/>
          <w:szCs w:val="18"/>
          <w:lang w:val="es-ES_tradnl"/>
        </w:rPr>
        <w:t>con</w:t>
      </w:r>
      <w:r w:rsidR="00431624" w:rsidRPr="00E82937">
        <w:rPr>
          <w:rFonts w:ascii="ITC Avant Garde" w:hAnsi="ITC Avant Garde"/>
          <w:sz w:val="18"/>
          <w:szCs w:val="18"/>
          <w:lang w:val="es-ES_tradnl"/>
        </w:rPr>
        <w:t xml:space="preserve"> </w:t>
      </w:r>
      <w:r w:rsidR="008E2F10" w:rsidRPr="00E82937">
        <w:rPr>
          <w:rFonts w:ascii="ITC Avant Garde" w:hAnsi="ITC Avant Garde"/>
          <w:sz w:val="18"/>
          <w:szCs w:val="18"/>
          <w:lang w:val="es-ES_tradnl"/>
        </w:rPr>
        <w:t>base a las características específicas de cada central.</w:t>
      </w:r>
    </w:p>
    <w:p w14:paraId="342A7A13" w14:textId="77777777" w:rsidR="009803EB" w:rsidRPr="00A918A4" w:rsidRDefault="009803EB" w:rsidP="009803EB">
      <w:pPr>
        <w:pStyle w:val="Ttulo3"/>
        <w:rPr>
          <w:rFonts w:ascii="ITC Avant Garde" w:hAnsi="ITC Avant Garde"/>
          <w:sz w:val="18"/>
          <w:szCs w:val="18"/>
          <w:lang w:val="es-ES_tradnl"/>
        </w:rPr>
      </w:pPr>
      <w:r w:rsidRPr="00A918A4">
        <w:rPr>
          <w:rFonts w:ascii="ITC Avant Garde" w:hAnsi="ITC Avant Garde"/>
          <w:sz w:val="18"/>
          <w:szCs w:val="18"/>
          <w:lang w:val="es-ES_tradnl"/>
        </w:rPr>
        <w:t>Resultados del modelo</w:t>
      </w:r>
    </w:p>
    <w:p w14:paraId="342A7A14" w14:textId="77777777" w:rsidR="0011386E" w:rsidRDefault="0011386E" w:rsidP="0011386E">
      <w:pPr>
        <w:rPr>
          <w:rFonts w:ascii="ITC Avant Garde" w:hAnsi="ITC Avant Garde"/>
          <w:b/>
          <w:bCs/>
          <w:sz w:val="18"/>
          <w:szCs w:val="18"/>
          <w:lang w:val="es-ES_tradnl"/>
        </w:rPr>
      </w:pPr>
      <w:r w:rsidRPr="0011386E">
        <w:rPr>
          <w:rFonts w:ascii="ITC Avant Garde" w:hAnsi="ITC Avant Garde"/>
          <w:b/>
          <w:bCs/>
          <w:sz w:val="18"/>
          <w:szCs w:val="18"/>
          <w:lang w:val="es-ES_tradnl"/>
        </w:rPr>
        <w:t>Q.</w:t>
      </w:r>
      <w:r w:rsidRPr="0011386E">
        <w:rPr>
          <w:rFonts w:ascii="ITC Avant Garde" w:hAnsi="ITC Avant Garde"/>
          <w:b/>
          <w:bCs/>
          <w:sz w:val="18"/>
          <w:szCs w:val="18"/>
          <w:lang w:val="es-ES_tradnl"/>
        </w:rPr>
        <w:fldChar w:fldCharType="begin"/>
      </w:r>
      <w:r w:rsidRPr="0011386E">
        <w:rPr>
          <w:rFonts w:ascii="ITC Avant Garde" w:hAnsi="ITC Avant Garde"/>
          <w:b/>
          <w:bCs/>
          <w:sz w:val="18"/>
          <w:szCs w:val="18"/>
          <w:lang w:val="es-ES_tradnl"/>
        </w:rPr>
        <w:instrText xml:space="preserve"> SEQ Recommendation \* ARABIC \s 0 </w:instrText>
      </w:r>
      <w:r w:rsidRPr="0011386E">
        <w:rPr>
          <w:rFonts w:ascii="ITC Avant Garde" w:hAnsi="ITC Avant Garde"/>
          <w:b/>
          <w:bCs/>
          <w:sz w:val="18"/>
          <w:szCs w:val="18"/>
          <w:lang w:val="es-ES_tradnl"/>
        </w:rPr>
        <w:fldChar w:fldCharType="separate"/>
      </w:r>
      <w:r w:rsidRPr="0011386E">
        <w:rPr>
          <w:rFonts w:ascii="ITC Avant Garde" w:hAnsi="ITC Avant Garde"/>
          <w:b/>
          <w:bCs/>
          <w:sz w:val="18"/>
          <w:szCs w:val="18"/>
          <w:lang w:val="es-ES_tradnl"/>
        </w:rPr>
        <w:t>13</w:t>
      </w:r>
      <w:r w:rsidRPr="0011386E">
        <w:rPr>
          <w:rFonts w:ascii="ITC Avant Garde" w:hAnsi="ITC Avant Garde"/>
          <w:b/>
          <w:bCs/>
          <w:sz w:val="18"/>
          <w:szCs w:val="18"/>
          <w:lang w:val="es-ES_tradnl"/>
        </w:rPr>
        <w:fldChar w:fldCharType="end"/>
      </w:r>
      <w:r w:rsidRPr="0011386E">
        <w:rPr>
          <w:rFonts w:ascii="ITC Avant Garde" w:hAnsi="ITC Avant Garde"/>
          <w:b/>
          <w:bCs/>
          <w:sz w:val="18"/>
          <w:szCs w:val="18"/>
          <w:lang w:val="es-ES_tradnl"/>
        </w:rPr>
        <w:t>: ¿Está de acuerdo con la estructura de precios de los servicios modelados, así como con las unidades en las que se costean los servicios?</w:t>
      </w:r>
    </w:p>
    <w:p w14:paraId="373F574B" w14:textId="64E9FB36" w:rsidR="003D63B0" w:rsidRDefault="003D63B0" w:rsidP="00151C60">
      <w:pPr>
        <w:rPr>
          <w:rFonts w:ascii="ITC Avant Garde" w:hAnsi="ITC Avant Garde"/>
          <w:bCs/>
          <w:sz w:val="18"/>
          <w:szCs w:val="18"/>
          <w:lang w:val="es-ES_tradnl"/>
        </w:rPr>
      </w:pPr>
      <w:r w:rsidRPr="007F6C1D">
        <w:rPr>
          <w:rFonts w:ascii="ITC Avant Garde" w:hAnsi="ITC Avant Garde"/>
          <w:i/>
          <w:sz w:val="18"/>
          <w:szCs w:val="18"/>
          <w:u w:val="single"/>
          <w:lang w:val="es-ES_tradnl"/>
        </w:rPr>
        <w:t>Resumen de comentarios de la Consulta Pública</w:t>
      </w:r>
    </w:p>
    <w:p w14:paraId="342A7A15" w14:textId="68A2FFB5" w:rsidR="001C3BD5" w:rsidRDefault="00F86258" w:rsidP="00151C60">
      <w:pPr>
        <w:rPr>
          <w:rFonts w:ascii="ITC Avant Garde" w:hAnsi="ITC Avant Garde"/>
          <w:bCs/>
          <w:sz w:val="18"/>
          <w:szCs w:val="18"/>
          <w:lang w:val="es-ES_tradnl"/>
        </w:rPr>
      </w:pPr>
      <w:r>
        <w:rPr>
          <w:rFonts w:ascii="ITC Avant Garde" w:hAnsi="ITC Avant Garde"/>
          <w:bCs/>
          <w:sz w:val="18"/>
          <w:szCs w:val="18"/>
          <w:lang w:val="es-ES_tradnl"/>
        </w:rPr>
        <w:t xml:space="preserve">Al respecto, ciertos participantes de la consulta </w:t>
      </w:r>
      <w:r w:rsidR="00D92ED7">
        <w:rPr>
          <w:rFonts w:ascii="ITC Avant Garde" w:hAnsi="ITC Avant Garde"/>
          <w:bCs/>
          <w:sz w:val="18"/>
          <w:szCs w:val="18"/>
          <w:lang w:val="es-ES_tradnl"/>
        </w:rPr>
        <w:t>[</w:t>
      </w:r>
      <w:r>
        <w:rPr>
          <w:rFonts w:ascii="ITC Avant Garde" w:hAnsi="ITC Avant Garde"/>
          <w:bCs/>
          <w:sz w:val="18"/>
          <w:szCs w:val="18"/>
          <w:lang w:val="es-ES_tradnl"/>
        </w:rPr>
        <w:t>CANIETI y Televisa</w:t>
      </w:r>
      <w:r w:rsidR="00D92ED7">
        <w:rPr>
          <w:rFonts w:ascii="ITC Avant Garde" w:hAnsi="ITC Avant Garde"/>
          <w:bCs/>
          <w:sz w:val="18"/>
          <w:szCs w:val="18"/>
          <w:lang w:val="es-ES_tradnl"/>
        </w:rPr>
        <w:t xml:space="preserve">] </w:t>
      </w:r>
      <w:r w:rsidR="008458F1">
        <w:rPr>
          <w:rFonts w:ascii="ITC Avant Garde" w:hAnsi="ITC Avant Garde"/>
          <w:bCs/>
          <w:sz w:val="18"/>
          <w:szCs w:val="18"/>
          <w:lang w:val="es-ES_tradnl"/>
        </w:rPr>
        <w:t xml:space="preserve">indican </w:t>
      </w:r>
      <w:r w:rsidR="00D92ED7">
        <w:rPr>
          <w:rFonts w:ascii="ITC Avant Garde" w:hAnsi="ITC Avant Garde"/>
          <w:bCs/>
          <w:sz w:val="18"/>
          <w:szCs w:val="18"/>
          <w:lang w:val="es-ES_tradnl"/>
        </w:rPr>
        <w:t>que no se calculan las tarifas para los servicios complementarios</w:t>
      </w:r>
      <w:r w:rsidR="001C3BD5">
        <w:rPr>
          <w:rFonts w:ascii="ITC Avant Garde" w:hAnsi="ITC Avant Garde"/>
          <w:bCs/>
          <w:sz w:val="18"/>
          <w:szCs w:val="18"/>
          <w:lang w:val="es-ES_tradnl"/>
        </w:rPr>
        <w:t xml:space="preserve">, a pesar de estar mencionados en la documentación como calculados </w:t>
      </w:r>
      <w:r w:rsidR="00431624">
        <w:rPr>
          <w:rFonts w:ascii="ITC Avant Garde" w:hAnsi="ITC Avant Garde"/>
          <w:bCs/>
          <w:sz w:val="18"/>
          <w:szCs w:val="18"/>
          <w:lang w:val="es-ES_tradnl"/>
        </w:rPr>
        <w:t xml:space="preserve">con </w:t>
      </w:r>
      <w:r w:rsidR="001C3BD5">
        <w:rPr>
          <w:rFonts w:ascii="ITC Avant Garde" w:hAnsi="ITC Avant Garde"/>
          <w:bCs/>
          <w:sz w:val="18"/>
          <w:szCs w:val="18"/>
          <w:lang w:val="es-ES_tradnl"/>
        </w:rPr>
        <w:t>base a un costo horario</w:t>
      </w:r>
      <w:r w:rsidR="00D92ED7">
        <w:rPr>
          <w:rFonts w:ascii="ITC Avant Garde" w:hAnsi="ITC Avant Garde"/>
          <w:bCs/>
          <w:sz w:val="18"/>
          <w:szCs w:val="18"/>
          <w:lang w:val="es-ES_tradnl"/>
        </w:rPr>
        <w:t>.</w:t>
      </w:r>
    </w:p>
    <w:p w14:paraId="342A7A16" w14:textId="6B566660" w:rsidR="00151C60" w:rsidRDefault="00151C60" w:rsidP="00151C60">
      <w:pPr>
        <w:rPr>
          <w:rFonts w:ascii="ITC Avant Garde" w:hAnsi="ITC Avant Garde"/>
          <w:bCs/>
          <w:sz w:val="18"/>
          <w:szCs w:val="18"/>
          <w:lang w:val="es-ES_tradnl"/>
        </w:rPr>
      </w:pPr>
      <w:r>
        <w:rPr>
          <w:rFonts w:ascii="ITC Avant Garde" w:hAnsi="ITC Avant Garde"/>
          <w:bCs/>
          <w:sz w:val="18"/>
          <w:szCs w:val="18"/>
          <w:lang w:val="es-ES_tradnl"/>
        </w:rPr>
        <w:t xml:space="preserve">Por otro lado, </w:t>
      </w:r>
      <w:r w:rsidR="00457A51">
        <w:rPr>
          <w:rFonts w:ascii="ITC Avant Garde" w:hAnsi="ITC Avant Garde"/>
          <w:bCs/>
          <w:sz w:val="18"/>
          <w:szCs w:val="18"/>
          <w:lang w:val="es-ES_tradnl"/>
        </w:rPr>
        <w:t>otro de los participantes [</w:t>
      </w:r>
      <w:r w:rsidR="00457A51" w:rsidRPr="00151C60">
        <w:rPr>
          <w:rFonts w:ascii="ITC Avant Garde" w:hAnsi="ITC Avant Garde"/>
          <w:bCs/>
          <w:sz w:val="18"/>
          <w:szCs w:val="18"/>
          <w:lang w:val="es-ES_tradnl"/>
        </w:rPr>
        <w:t>Total Play</w:t>
      </w:r>
      <w:r w:rsidR="00457A51">
        <w:rPr>
          <w:rFonts w:ascii="ITC Avant Garde" w:hAnsi="ITC Avant Garde"/>
          <w:bCs/>
          <w:sz w:val="18"/>
          <w:szCs w:val="18"/>
          <w:lang w:val="es-ES_tradnl"/>
        </w:rPr>
        <w:t>]</w:t>
      </w:r>
      <w:r>
        <w:rPr>
          <w:rFonts w:ascii="ITC Avant Garde" w:hAnsi="ITC Avant Garde"/>
          <w:bCs/>
          <w:sz w:val="18"/>
          <w:szCs w:val="18"/>
          <w:lang w:val="es-ES_tradnl"/>
        </w:rPr>
        <w:t xml:space="preserve"> solicita  que se especifique si los costos de las subestaciones fueron convertidos de dólares a pesos y de ser así el tipo de cambio usado.</w:t>
      </w:r>
    </w:p>
    <w:p w14:paraId="342A7A17" w14:textId="0E563369" w:rsidR="006054BB" w:rsidRDefault="00457A51" w:rsidP="00151C60">
      <w:pPr>
        <w:rPr>
          <w:rFonts w:ascii="ITC Avant Garde" w:hAnsi="ITC Avant Garde"/>
          <w:bCs/>
          <w:sz w:val="18"/>
          <w:szCs w:val="18"/>
          <w:lang w:val="es-ES_tradnl"/>
        </w:rPr>
      </w:pPr>
      <w:r>
        <w:rPr>
          <w:rFonts w:ascii="ITC Avant Garde" w:hAnsi="ITC Avant Garde"/>
          <w:bCs/>
          <w:sz w:val="18"/>
          <w:szCs w:val="18"/>
          <w:lang w:val="es-ES_tradnl"/>
        </w:rPr>
        <w:t>En complemento, uno de los participantes</w:t>
      </w:r>
      <w:r w:rsidR="006054BB">
        <w:rPr>
          <w:rFonts w:ascii="ITC Avant Garde" w:hAnsi="ITC Avant Garde"/>
          <w:bCs/>
          <w:sz w:val="18"/>
          <w:szCs w:val="18"/>
          <w:lang w:val="es-ES_tradnl"/>
        </w:rPr>
        <w:t xml:space="preserve"> [Telefónica] considera que se debería revisar la variable de depreciación del predio en el caso de coubicaciones ya construidas, ya que las mejores prácticas indican que el </w:t>
      </w:r>
      <w:r w:rsidR="00594E92">
        <w:rPr>
          <w:rFonts w:ascii="ITC Avant Garde" w:hAnsi="ITC Avant Garde"/>
          <w:bCs/>
          <w:sz w:val="18"/>
          <w:szCs w:val="18"/>
          <w:lang w:val="es-ES_tradnl"/>
        </w:rPr>
        <w:t>CAPEX</w:t>
      </w:r>
      <w:r w:rsidR="006054BB">
        <w:rPr>
          <w:rFonts w:ascii="ITC Avant Garde" w:hAnsi="ITC Avant Garde"/>
          <w:bCs/>
          <w:sz w:val="18"/>
          <w:szCs w:val="18"/>
          <w:lang w:val="es-ES_tradnl"/>
        </w:rPr>
        <w:t xml:space="preserve"> no debe ser calcu</w:t>
      </w:r>
      <w:r w:rsidR="00F9351A">
        <w:rPr>
          <w:rFonts w:ascii="ITC Avant Garde" w:hAnsi="ITC Avant Garde"/>
          <w:bCs/>
          <w:sz w:val="18"/>
          <w:szCs w:val="18"/>
          <w:lang w:val="es-ES_tradnl"/>
        </w:rPr>
        <w:t>lado a valor bruto actual de re</w:t>
      </w:r>
      <w:r w:rsidR="006054BB">
        <w:rPr>
          <w:rFonts w:ascii="ITC Avant Garde" w:hAnsi="ITC Avant Garde"/>
          <w:bCs/>
          <w:sz w:val="18"/>
          <w:szCs w:val="18"/>
          <w:lang w:val="es-ES_tradnl"/>
        </w:rPr>
        <w:t>posición.</w:t>
      </w:r>
    </w:p>
    <w:p w14:paraId="342A7A18" w14:textId="75CCCDFA" w:rsidR="001C3BD5" w:rsidRPr="00CC5BCB" w:rsidRDefault="001C3BD5" w:rsidP="00151C60">
      <w:pPr>
        <w:rPr>
          <w:rFonts w:ascii="ITC Avant Garde" w:hAnsi="ITC Avant Garde"/>
          <w:bCs/>
          <w:sz w:val="18"/>
          <w:szCs w:val="18"/>
          <w:lang w:val="es-ES_tradnl"/>
        </w:rPr>
      </w:pPr>
      <w:r>
        <w:rPr>
          <w:rFonts w:ascii="ITC Avant Garde" w:hAnsi="ITC Avant Garde"/>
          <w:bCs/>
          <w:sz w:val="18"/>
          <w:szCs w:val="18"/>
          <w:lang w:val="es-ES_tradnl"/>
        </w:rPr>
        <w:t xml:space="preserve">Finalmente, </w:t>
      </w:r>
      <w:r w:rsidR="00457A51">
        <w:rPr>
          <w:rFonts w:ascii="ITC Avant Garde" w:hAnsi="ITC Avant Garde"/>
          <w:bCs/>
          <w:sz w:val="18"/>
          <w:szCs w:val="18"/>
          <w:lang w:val="es-ES_tradnl"/>
        </w:rPr>
        <w:t>un participante</w:t>
      </w:r>
      <w:r>
        <w:rPr>
          <w:rFonts w:ascii="ITC Avant Garde" w:hAnsi="ITC Avant Garde"/>
          <w:bCs/>
          <w:sz w:val="18"/>
          <w:szCs w:val="18"/>
          <w:lang w:val="es-ES_tradnl"/>
        </w:rPr>
        <w:t xml:space="preserve"> [Televisa] considera que el servicio de coubicación debería considerar la coubicación en los gabinetes del AEP, además de la coubicación en el predio, la central y la sala de coubicación externa.</w:t>
      </w:r>
    </w:p>
    <w:p w14:paraId="15189516" w14:textId="77777777" w:rsidR="001165F9" w:rsidRDefault="001165F9" w:rsidP="00072F4B">
      <w:pPr>
        <w:rPr>
          <w:rFonts w:ascii="ITC Avant Garde" w:hAnsi="ITC Avant Garde"/>
          <w:bCs/>
          <w:color w:val="548DD4" w:themeColor="text2" w:themeTint="99"/>
          <w:sz w:val="18"/>
          <w:szCs w:val="18"/>
          <w:lang w:val="es-ES_tradnl"/>
        </w:rPr>
      </w:pPr>
      <w:r w:rsidRPr="00E45AEA">
        <w:rPr>
          <w:rFonts w:ascii="ITC Avant Garde" w:hAnsi="ITC Avant Garde"/>
          <w:i/>
          <w:sz w:val="18"/>
          <w:szCs w:val="18"/>
          <w:u w:val="single"/>
          <w:lang w:val="es-ES_tradnl"/>
        </w:rPr>
        <w:t>Respuesta del Instituto</w:t>
      </w:r>
      <w:r w:rsidRPr="00BA70D0">
        <w:rPr>
          <w:rFonts w:ascii="ITC Avant Garde" w:hAnsi="ITC Avant Garde"/>
          <w:bCs/>
          <w:color w:val="548DD4" w:themeColor="text2" w:themeTint="99"/>
          <w:sz w:val="18"/>
          <w:szCs w:val="18"/>
          <w:lang w:val="es-ES_tradnl"/>
        </w:rPr>
        <w:t xml:space="preserve"> </w:t>
      </w:r>
    </w:p>
    <w:p w14:paraId="5A1038A4" w14:textId="019BAA57" w:rsidR="00BE06EA" w:rsidRPr="004B1FD7" w:rsidRDefault="00BE06EA" w:rsidP="00BE06EA">
      <w:pPr>
        <w:rPr>
          <w:rFonts w:ascii="ITC Avant Garde" w:eastAsiaTheme="majorEastAsia" w:hAnsi="ITC Avant Garde" w:cstheme="majorBidi"/>
          <w:bCs/>
          <w:color w:val="000000" w:themeColor="text1"/>
          <w:sz w:val="18"/>
          <w:szCs w:val="18"/>
          <w:lang w:val="es-ES_tradnl"/>
        </w:rPr>
      </w:pPr>
      <w:r w:rsidRPr="004B1FD7">
        <w:rPr>
          <w:rFonts w:ascii="ITC Avant Garde" w:eastAsiaTheme="majorEastAsia" w:hAnsi="ITC Avant Garde" w:cstheme="majorBidi"/>
          <w:bCs/>
          <w:color w:val="000000" w:themeColor="text1"/>
          <w:sz w:val="18"/>
          <w:szCs w:val="18"/>
          <w:lang w:val="es-ES_tradnl"/>
        </w:rPr>
        <w:t xml:space="preserve">En torno a los comentarios sobre los servicios complementarios, el Instituto señala </w:t>
      </w:r>
      <w:r w:rsidR="003E1DB8">
        <w:rPr>
          <w:rFonts w:ascii="ITC Avant Garde" w:eastAsiaTheme="majorEastAsia" w:hAnsi="ITC Avant Garde" w:cstheme="majorBidi"/>
          <w:bCs/>
          <w:color w:val="000000" w:themeColor="text1"/>
          <w:sz w:val="18"/>
          <w:szCs w:val="18"/>
          <w:lang w:val="es-ES_tradnl"/>
        </w:rPr>
        <w:t>dichos servicios</w:t>
      </w:r>
      <w:r w:rsidRPr="004B1FD7">
        <w:rPr>
          <w:rFonts w:ascii="ITC Avant Garde" w:eastAsiaTheme="majorEastAsia" w:hAnsi="ITC Avant Garde" w:cstheme="majorBidi"/>
          <w:bCs/>
          <w:color w:val="000000" w:themeColor="text1"/>
          <w:sz w:val="18"/>
          <w:szCs w:val="18"/>
          <w:lang w:val="es-ES_tradnl"/>
        </w:rPr>
        <w:t xml:space="preserve"> se considera</w:t>
      </w:r>
      <w:r>
        <w:rPr>
          <w:rFonts w:ascii="ITC Avant Garde" w:eastAsiaTheme="majorEastAsia" w:hAnsi="ITC Avant Garde" w:cstheme="majorBidi"/>
          <w:bCs/>
          <w:color w:val="000000" w:themeColor="text1"/>
          <w:sz w:val="18"/>
          <w:szCs w:val="18"/>
          <w:lang w:val="es-ES_tradnl"/>
        </w:rPr>
        <w:t>n</w:t>
      </w:r>
      <w:r w:rsidRPr="004B1FD7">
        <w:rPr>
          <w:rFonts w:ascii="ITC Avant Garde" w:eastAsiaTheme="majorEastAsia" w:hAnsi="ITC Avant Garde" w:cstheme="majorBidi"/>
          <w:bCs/>
          <w:color w:val="000000" w:themeColor="text1"/>
          <w:sz w:val="18"/>
          <w:szCs w:val="18"/>
          <w:lang w:val="es-ES_tradnl"/>
        </w:rPr>
        <w:t xml:space="preserve"> a través </w:t>
      </w:r>
      <w:r w:rsidR="00004E8E">
        <w:rPr>
          <w:rFonts w:ascii="ITC Avant Garde" w:eastAsiaTheme="majorEastAsia" w:hAnsi="ITC Avant Garde" w:cstheme="majorBidi"/>
          <w:bCs/>
          <w:color w:val="000000" w:themeColor="text1"/>
          <w:sz w:val="18"/>
          <w:szCs w:val="18"/>
          <w:lang w:val="es-ES_tradnl"/>
        </w:rPr>
        <w:t xml:space="preserve"> de </w:t>
      </w:r>
      <w:r w:rsidR="003E1DB8">
        <w:rPr>
          <w:rFonts w:ascii="ITC Avant Garde" w:eastAsiaTheme="majorEastAsia" w:hAnsi="ITC Avant Garde" w:cstheme="majorBidi"/>
          <w:bCs/>
          <w:color w:val="000000" w:themeColor="text1"/>
          <w:sz w:val="18"/>
          <w:szCs w:val="18"/>
          <w:lang w:val="es-ES_tradnl"/>
        </w:rPr>
        <w:t>otros</w:t>
      </w:r>
      <w:r w:rsidRPr="004B1FD7">
        <w:rPr>
          <w:rFonts w:ascii="ITC Avant Garde" w:eastAsiaTheme="majorEastAsia" w:hAnsi="ITC Avant Garde" w:cstheme="majorBidi"/>
          <w:bCs/>
          <w:color w:val="000000" w:themeColor="text1"/>
          <w:sz w:val="18"/>
          <w:szCs w:val="18"/>
          <w:lang w:val="es-ES_tradnl"/>
        </w:rPr>
        <w:t xml:space="preserve"> modelos </w:t>
      </w:r>
      <w:r>
        <w:rPr>
          <w:rFonts w:ascii="ITC Avant Garde" w:eastAsiaTheme="majorEastAsia" w:hAnsi="ITC Avant Garde" w:cstheme="majorBidi"/>
          <w:bCs/>
          <w:color w:val="000000" w:themeColor="text1"/>
          <w:sz w:val="18"/>
          <w:szCs w:val="18"/>
          <w:lang w:val="es-ES_tradnl"/>
        </w:rPr>
        <w:t xml:space="preserve">de costos </w:t>
      </w:r>
      <w:r w:rsidRPr="004B1FD7">
        <w:rPr>
          <w:rFonts w:ascii="ITC Avant Garde" w:eastAsiaTheme="majorEastAsia" w:hAnsi="ITC Avant Garde" w:cstheme="majorBidi"/>
          <w:bCs/>
          <w:color w:val="000000" w:themeColor="text1"/>
          <w:sz w:val="18"/>
          <w:szCs w:val="18"/>
          <w:lang w:val="es-ES_tradnl"/>
        </w:rPr>
        <w:t>que resulta</w:t>
      </w:r>
      <w:r>
        <w:rPr>
          <w:rFonts w:ascii="ITC Avant Garde" w:eastAsiaTheme="majorEastAsia" w:hAnsi="ITC Avant Garde" w:cstheme="majorBidi"/>
          <w:bCs/>
          <w:color w:val="000000" w:themeColor="text1"/>
          <w:sz w:val="18"/>
          <w:szCs w:val="18"/>
          <w:lang w:val="es-ES_tradnl"/>
        </w:rPr>
        <w:t>n</w:t>
      </w:r>
      <w:r w:rsidRPr="004B1FD7">
        <w:rPr>
          <w:rFonts w:ascii="ITC Avant Garde" w:eastAsiaTheme="majorEastAsia" w:hAnsi="ITC Avant Garde" w:cstheme="majorBidi"/>
          <w:bCs/>
          <w:color w:val="000000" w:themeColor="text1"/>
          <w:sz w:val="18"/>
          <w:szCs w:val="18"/>
          <w:lang w:val="es-ES_tradnl"/>
        </w:rPr>
        <w:t xml:space="preserve"> aplicable</w:t>
      </w:r>
      <w:r>
        <w:rPr>
          <w:rFonts w:ascii="ITC Avant Garde" w:eastAsiaTheme="majorEastAsia" w:hAnsi="ITC Avant Garde" w:cstheme="majorBidi"/>
          <w:bCs/>
          <w:color w:val="000000" w:themeColor="text1"/>
          <w:sz w:val="18"/>
          <w:szCs w:val="18"/>
          <w:lang w:val="es-ES_tradnl"/>
        </w:rPr>
        <w:t>s</w:t>
      </w:r>
      <w:r w:rsidRPr="004B1FD7">
        <w:rPr>
          <w:rFonts w:ascii="ITC Avant Garde" w:eastAsiaTheme="majorEastAsia" w:hAnsi="ITC Avant Garde" w:cstheme="majorBidi"/>
          <w:bCs/>
          <w:color w:val="000000" w:themeColor="text1"/>
          <w:sz w:val="18"/>
          <w:szCs w:val="18"/>
          <w:lang w:val="es-ES_tradnl"/>
        </w:rPr>
        <w:t xml:space="preserve"> a</w:t>
      </w:r>
      <w:r w:rsidR="003E1DB8">
        <w:rPr>
          <w:rFonts w:ascii="ITC Avant Garde" w:eastAsiaTheme="majorEastAsia" w:hAnsi="ITC Avant Garde" w:cstheme="majorBidi"/>
          <w:bCs/>
          <w:color w:val="000000" w:themeColor="text1"/>
          <w:sz w:val="18"/>
          <w:szCs w:val="18"/>
          <w:lang w:val="es-ES_tradnl"/>
        </w:rPr>
        <w:t xml:space="preserve"> la oferta de referencia correspondiente</w:t>
      </w:r>
      <w:r w:rsidRPr="004B1FD7">
        <w:rPr>
          <w:rFonts w:ascii="ITC Avant Garde" w:eastAsiaTheme="majorEastAsia" w:hAnsi="ITC Avant Garde" w:cstheme="majorBidi"/>
          <w:bCs/>
          <w:color w:val="000000" w:themeColor="text1"/>
          <w:sz w:val="18"/>
          <w:szCs w:val="18"/>
          <w:lang w:val="es-ES_tradnl"/>
        </w:rPr>
        <w:t>.</w:t>
      </w:r>
    </w:p>
    <w:p w14:paraId="342A7A1B" w14:textId="744B5DFF" w:rsidR="00785577" w:rsidRPr="008248DF" w:rsidRDefault="00BE06EA" w:rsidP="00BA70D0">
      <w:pPr>
        <w:rPr>
          <w:rFonts w:ascii="ITC Avant Garde" w:hAnsi="ITC Avant Garde"/>
          <w:bCs/>
          <w:color w:val="000000" w:themeColor="text1"/>
          <w:sz w:val="18"/>
          <w:szCs w:val="18"/>
          <w:lang w:val="es-ES_tradnl"/>
        </w:rPr>
      </w:pPr>
      <w:r>
        <w:rPr>
          <w:rFonts w:ascii="ITC Avant Garde" w:hAnsi="ITC Avant Garde"/>
          <w:bCs/>
          <w:color w:val="000000" w:themeColor="text1"/>
          <w:sz w:val="18"/>
          <w:szCs w:val="18"/>
          <w:lang w:val="es-ES_tradnl"/>
        </w:rPr>
        <w:t>Por otra parte, respecto a</w:t>
      </w:r>
      <w:r w:rsidR="00785577" w:rsidRPr="008248DF">
        <w:rPr>
          <w:rFonts w:ascii="ITC Avant Garde" w:hAnsi="ITC Avant Garde"/>
          <w:bCs/>
          <w:color w:val="000000" w:themeColor="text1"/>
          <w:sz w:val="18"/>
          <w:szCs w:val="18"/>
          <w:lang w:val="es-ES_tradnl"/>
        </w:rPr>
        <w:t xml:space="preserve"> las subestaciones eléctricas, </w:t>
      </w:r>
      <w:r w:rsidR="008248DF" w:rsidRPr="008248DF">
        <w:rPr>
          <w:rFonts w:ascii="ITC Avant Garde" w:hAnsi="ITC Avant Garde"/>
          <w:bCs/>
          <w:color w:val="000000" w:themeColor="text1"/>
          <w:sz w:val="18"/>
          <w:szCs w:val="18"/>
          <w:lang w:val="es-ES_tradnl"/>
        </w:rPr>
        <w:t>el Instituto señala que los datos en los que se basan sus costos</w:t>
      </w:r>
      <w:r w:rsidR="00785577" w:rsidRPr="008248DF">
        <w:rPr>
          <w:rFonts w:ascii="ITC Avant Garde" w:hAnsi="ITC Avant Garde"/>
          <w:bCs/>
          <w:color w:val="000000" w:themeColor="text1"/>
          <w:sz w:val="18"/>
          <w:szCs w:val="18"/>
          <w:lang w:val="es-ES_tradnl"/>
        </w:rPr>
        <w:t xml:space="preserve"> fueron proporcionados en pesos.</w:t>
      </w:r>
    </w:p>
    <w:p w14:paraId="342A7A1C" w14:textId="08229601" w:rsidR="00140E31" w:rsidRPr="003D0F8D" w:rsidRDefault="003D0F8D" w:rsidP="00BA70D0">
      <w:pPr>
        <w:rPr>
          <w:rFonts w:ascii="ITC Avant Garde" w:hAnsi="ITC Avant Garde"/>
          <w:bCs/>
          <w:sz w:val="18"/>
          <w:szCs w:val="18"/>
          <w:lang w:val="es-ES_tradnl"/>
        </w:rPr>
      </w:pPr>
      <w:r w:rsidRPr="003D0F8D">
        <w:rPr>
          <w:rFonts w:ascii="ITC Avant Garde" w:hAnsi="ITC Avant Garde"/>
          <w:bCs/>
          <w:sz w:val="18"/>
          <w:szCs w:val="18"/>
          <w:lang w:val="es-ES_tradnl"/>
        </w:rPr>
        <w:t xml:space="preserve">Respecto a los comentarios donde se sugiere que </w:t>
      </w:r>
      <w:r>
        <w:rPr>
          <w:rFonts w:ascii="ITC Avant Garde" w:hAnsi="ITC Avant Garde"/>
          <w:bCs/>
          <w:sz w:val="18"/>
          <w:szCs w:val="18"/>
          <w:lang w:val="es-ES_tradnl"/>
        </w:rPr>
        <w:t xml:space="preserve">el </w:t>
      </w:r>
      <w:r w:rsidR="00594E92">
        <w:rPr>
          <w:rFonts w:ascii="ITC Avant Garde" w:hAnsi="ITC Avant Garde"/>
          <w:bCs/>
          <w:sz w:val="18"/>
          <w:szCs w:val="18"/>
          <w:lang w:val="es-ES_tradnl"/>
        </w:rPr>
        <w:t>CAPEX</w:t>
      </w:r>
      <w:r>
        <w:rPr>
          <w:rFonts w:ascii="ITC Avant Garde" w:hAnsi="ITC Avant Garde"/>
          <w:bCs/>
          <w:sz w:val="18"/>
          <w:szCs w:val="18"/>
          <w:lang w:val="es-ES_tradnl"/>
        </w:rPr>
        <w:t xml:space="preserve"> no debe ser calculado a valor bruto actual de reposición, el Instituto considera que tal comentario no resulta aplicable dado que l</w:t>
      </w:r>
      <w:r w:rsidR="00785577" w:rsidRPr="003D0F8D">
        <w:rPr>
          <w:rFonts w:ascii="ITC Avant Garde" w:hAnsi="ITC Avant Garde"/>
          <w:bCs/>
          <w:sz w:val="18"/>
          <w:szCs w:val="18"/>
          <w:lang w:val="es-ES_tradnl"/>
        </w:rPr>
        <w:t xml:space="preserve">os resultados reflejan el modelado de una red moderna equivalente a la del AEP </w:t>
      </w:r>
      <w:r w:rsidR="00785577" w:rsidRPr="003D0F8D">
        <w:rPr>
          <w:rFonts w:ascii="ITC Avant Garde" w:hAnsi="ITC Avant Garde"/>
          <w:bCs/>
          <w:sz w:val="18"/>
          <w:szCs w:val="18"/>
          <w:lang w:val="es-ES_tradnl"/>
        </w:rPr>
        <w:lastRenderedPageBreak/>
        <w:t>utilizando un enfoque teórico ascendente (</w:t>
      </w:r>
      <w:r w:rsidR="00785577" w:rsidRPr="003D0F8D">
        <w:rPr>
          <w:rFonts w:ascii="ITC Avant Garde" w:hAnsi="ITC Avant Garde"/>
          <w:bCs/>
          <w:i/>
          <w:sz w:val="18"/>
          <w:szCs w:val="18"/>
          <w:lang w:val="es-ES_tradnl"/>
        </w:rPr>
        <w:t>bottom-up</w:t>
      </w:r>
      <w:r w:rsidR="00785577" w:rsidRPr="003D0F8D">
        <w:rPr>
          <w:rFonts w:ascii="ITC Avant Garde" w:hAnsi="ITC Avant Garde"/>
          <w:bCs/>
          <w:sz w:val="18"/>
          <w:szCs w:val="18"/>
          <w:lang w:val="es-ES_tradnl"/>
        </w:rPr>
        <w:t xml:space="preserve">), basándose en un dimensionamiento </w:t>
      </w:r>
      <w:r w:rsidRPr="003D0F8D">
        <w:rPr>
          <w:rFonts w:ascii="ITC Avant Garde" w:hAnsi="ITC Avant Garde"/>
          <w:bCs/>
          <w:sz w:val="18"/>
          <w:szCs w:val="18"/>
          <w:lang w:val="es-ES_tradnl"/>
        </w:rPr>
        <w:t>descendente (</w:t>
      </w:r>
      <w:r w:rsidR="00785577" w:rsidRPr="003D0F8D">
        <w:rPr>
          <w:rFonts w:ascii="ITC Avant Garde" w:hAnsi="ITC Avant Garde"/>
          <w:bCs/>
          <w:sz w:val="18"/>
          <w:szCs w:val="18"/>
          <w:lang w:val="es-ES_tradnl"/>
        </w:rPr>
        <w:t>top-down</w:t>
      </w:r>
      <w:r w:rsidRPr="003D0F8D">
        <w:rPr>
          <w:rFonts w:ascii="ITC Avant Garde" w:hAnsi="ITC Avant Garde"/>
          <w:bCs/>
          <w:sz w:val="18"/>
          <w:szCs w:val="18"/>
          <w:lang w:val="es-ES_tradnl"/>
        </w:rPr>
        <w:t>)</w:t>
      </w:r>
      <w:r w:rsidR="00785577" w:rsidRPr="003D0F8D">
        <w:rPr>
          <w:rFonts w:ascii="ITC Avant Garde" w:hAnsi="ITC Avant Garde"/>
          <w:bCs/>
          <w:sz w:val="18"/>
          <w:szCs w:val="18"/>
          <w:lang w:val="es-ES_tradnl"/>
        </w:rPr>
        <w:t xml:space="preserve"> ahí donde no hay información disponible. Por ello, al no tratarse de un operador real, el </w:t>
      </w:r>
      <w:r w:rsidR="00594E92" w:rsidRPr="003D0F8D">
        <w:rPr>
          <w:rFonts w:ascii="ITC Avant Garde" w:hAnsi="ITC Avant Garde"/>
          <w:bCs/>
          <w:sz w:val="18"/>
          <w:szCs w:val="18"/>
          <w:lang w:val="es-ES_tradnl"/>
        </w:rPr>
        <w:t>CAPEX</w:t>
      </w:r>
      <w:r w:rsidR="00785577" w:rsidRPr="003D0F8D">
        <w:rPr>
          <w:rFonts w:ascii="ITC Avant Garde" w:hAnsi="ITC Avant Garde"/>
          <w:bCs/>
          <w:sz w:val="18"/>
          <w:szCs w:val="18"/>
          <w:lang w:val="es-ES_tradnl"/>
        </w:rPr>
        <w:t xml:space="preserve"> debe ser calculado a valor bruto actual de reposición. </w:t>
      </w:r>
    </w:p>
    <w:p w14:paraId="342A7A1D" w14:textId="2BB7ECE4" w:rsidR="00140E31" w:rsidRPr="00943C68" w:rsidRDefault="00FD20BE" w:rsidP="00FD20BE">
      <w:pPr>
        <w:pStyle w:val="Listaconvietas"/>
        <w:numPr>
          <w:ilvl w:val="0"/>
          <w:numId w:val="0"/>
        </w:numPr>
        <w:rPr>
          <w:rFonts w:ascii="ITC Avant Garde" w:eastAsiaTheme="majorEastAsia" w:hAnsi="ITC Avant Garde" w:cstheme="majorBidi"/>
          <w:bCs/>
          <w:color w:val="000000" w:themeColor="text1"/>
          <w:sz w:val="18"/>
          <w:szCs w:val="18"/>
          <w:lang w:val="es-ES_tradnl"/>
        </w:rPr>
      </w:pPr>
      <w:r w:rsidRPr="00943C68">
        <w:rPr>
          <w:rFonts w:ascii="ITC Avant Garde" w:eastAsiaTheme="majorEastAsia" w:hAnsi="ITC Avant Garde" w:cstheme="majorBidi"/>
          <w:bCs/>
          <w:color w:val="000000" w:themeColor="text1"/>
          <w:sz w:val="18"/>
          <w:szCs w:val="18"/>
          <w:lang w:val="es-ES_tradnl"/>
        </w:rPr>
        <w:t>En cuanto a la</w:t>
      </w:r>
      <w:r w:rsidR="008458F1">
        <w:rPr>
          <w:rFonts w:ascii="ITC Avant Garde" w:eastAsiaTheme="majorEastAsia" w:hAnsi="ITC Avant Garde" w:cstheme="majorBidi"/>
          <w:bCs/>
          <w:color w:val="000000" w:themeColor="text1"/>
          <w:sz w:val="18"/>
          <w:szCs w:val="18"/>
          <w:lang w:val="es-ES_tradnl"/>
        </w:rPr>
        <w:t>s modalidades de</w:t>
      </w:r>
      <w:r w:rsidRPr="00943C68">
        <w:rPr>
          <w:rFonts w:ascii="ITC Avant Garde" w:eastAsiaTheme="majorEastAsia" w:hAnsi="ITC Avant Garde" w:cstheme="majorBidi"/>
          <w:bCs/>
          <w:color w:val="000000" w:themeColor="text1"/>
          <w:sz w:val="18"/>
          <w:szCs w:val="18"/>
          <w:lang w:val="es-ES_tradnl"/>
        </w:rPr>
        <w:t xml:space="preserve"> coubicación</w:t>
      </w:r>
      <w:r w:rsidR="008458F1">
        <w:rPr>
          <w:rFonts w:ascii="ITC Avant Garde" w:eastAsiaTheme="majorEastAsia" w:hAnsi="ITC Avant Garde" w:cstheme="majorBidi"/>
          <w:bCs/>
          <w:color w:val="000000" w:themeColor="text1"/>
          <w:sz w:val="18"/>
          <w:szCs w:val="18"/>
          <w:lang w:val="es-ES_tradnl"/>
        </w:rPr>
        <w:t xml:space="preserve"> consideradas en</w:t>
      </w:r>
      <w:r w:rsidRPr="00943C68">
        <w:rPr>
          <w:rFonts w:ascii="ITC Avant Garde" w:eastAsiaTheme="majorEastAsia" w:hAnsi="ITC Avant Garde" w:cstheme="majorBidi"/>
          <w:bCs/>
          <w:color w:val="000000" w:themeColor="text1"/>
          <w:sz w:val="18"/>
          <w:szCs w:val="18"/>
          <w:lang w:val="es-ES_tradnl"/>
        </w:rPr>
        <w:t xml:space="preserve"> el modelo</w:t>
      </w:r>
      <w:r w:rsidR="008458F1">
        <w:rPr>
          <w:rFonts w:ascii="ITC Avant Garde" w:eastAsiaTheme="majorEastAsia" w:hAnsi="ITC Avant Garde" w:cstheme="majorBidi"/>
          <w:bCs/>
          <w:color w:val="000000" w:themeColor="text1"/>
          <w:sz w:val="18"/>
          <w:szCs w:val="18"/>
          <w:lang w:val="es-ES_tradnl"/>
        </w:rPr>
        <w:t>, el Instituto señala que la versión final de éste se limitará a cubrir</w:t>
      </w:r>
      <w:r w:rsidRPr="00943C68">
        <w:rPr>
          <w:rFonts w:ascii="ITC Avant Garde" w:eastAsiaTheme="majorEastAsia" w:hAnsi="ITC Avant Garde" w:cstheme="majorBidi"/>
          <w:bCs/>
          <w:color w:val="000000" w:themeColor="text1"/>
          <w:sz w:val="18"/>
          <w:szCs w:val="18"/>
          <w:lang w:val="es-ES_tradnl"/>
        </w:rPr>
        <w:t xml:space="preserve"> los servicios</w:t>
      </w:r>
      <w:r w:rsidR="00943C68" w:rsidRPr="00943C68">
        <w:rPr>
          <w:rFonts w:ascii="ITC Avant Garde" w:eastAsiaTheme="majorEastAsia" w:hAnsi="ITC Avant Garde" w:cstheme="majorBidi"/>
          <w:bCs/>
          <w:color w:val="000000" w:themeColor="text1"/>
          <w:sz w:val="18"/>
          <w:szCs w:val="18"/>
          <w:lang w:val="es-ES_tradnl"/>
        </w:rPr>
        <w:t xml:space="preserve"> en términos de las definiciones y alcances de </w:t>
      </w:r>
      <w:r w:rsidR="008458F1">
        <w:rPr>
          <w:rFonts w:ascii="ITC Avant Garde" w:eastAsiaTheme="majorEastAsia" w:hAnsi="ITC Avant Garde" w:cstheme="majorBidi"/>
          <w:bCs/>
          <w:color w:val="000000" w:themeColor="text1"/>
          <w:sz w:val="18"/>
          <w:szCs w:val="18"/>
          <w:lang w:val="es-ES_tradnl"/>
        </w:rPr>
        <w:t>la oferta de referencia correspondiente</w:t>
      </w:r>
      <w:r w:rsidR="00132974">
        <w:rPr>
          <w:rFonts w:ascii="ITC Avant Garde" w:eastAsiaTheme="majorEastAsia" w:hAnsi="ITC Avant Garde" w:cstheme="majorBidi"/>
          <w:bCs/>
          <w:color w:val="000000" w:themeColor="text1"/>
          <w:sz w:val="18"/>
          <w:szCs w:val="18"/>
          <w:lang w:val="es-ES_tradnl"/>
        </w:rPr>
        <w:t xml:space="preserve">, por lo que de ser el caso éste se adaptará para incluir </w:t>
      </w:r>
      <w:r w:rsidR="00132974">
        <w:rPr>
          <w:rFonts w:ascii="ITC Avant Garde" w:hAnsi="ITC Avant Garde"/>
          <w:bCs/>
          <w:sz w:val="18"/>
          <w:szCs w:val="18"/>
          <w:lang w:val="es-ES_tradnl"/>
        </w:rPr>
        <w:t>la coubicación en los gabinetes del AEP, además de la coubicación en el predio, la central y la sala de coubicación externa</w:t>
      </w:r>
      <w:r w:rsidRPr="00943C68">
        <w:rPr>
          <w:rFonts w:ascii="ITC Avant Garde" w:eastAsiaTheme="majorEastAsia" w:hAnsi="ITC Avant Garde" w:cstheme="majorBidi"/>
          <w:bCs/>
          <w:color w:val="000000" w:themeColor="text1"/>
          <w:sz w:val="18"/>
          <w:szCs w:val="18"/>
          <w:lang w:val="es-ES_tradnl"/>
        </w:rPr>
        <w:t>.</w:t>
      </w:r>
    </w:p>
    <w:p w14:paraId="342A7A1E" w14:textId="77777777" w:rsidR="006054BB" w:rsidRDefault="0011386E" w:rsidP="0012797F">
      <w:pPr>
        <w:rPr>
          <w:rFonts w:ascii="ITC Avant Garde" w:hAnsi="ITC Avant Garde"/>
          <w:b/>
          <w:bCs/>
          <w:sz w:val="18"/>
          <w:szCs w:val="18"/>
          <w:lang w:val="es-ES_tradnl"/>
        </w:rPr>
      </w:pPr>
      <w:r w:rsidRPr="0011386E">
        <w:rPr>
          <w:rFonts w:ascii="ITC Avant Garde" w:hAnsi="ITC Avant Garde"/>
          <w:b/>
          <w:bCs/>
          <w:sz w:val="18"/>
          <w:szCs w:val="18"/>
          <w:lang w:val="es-ES_tradnl"/>
        </w:rPr>
        <w:t>Q.</w:t>
      </w:r>
      <w:r w:rsidRPr="0011386E">
        <w:rPr>
          <w:rFonts w:ascii="ITC Avant Garde" w:hAnsi="ITC Avant Garde"/>
          <w:b/>
          <w:bCs/>
          <w:sz w:val="18"/>
          <w:szCs w:val="18"/>
          <w:lang w:val="es-ES_tradnl"/>
        </w:rPr>
        <w:fldChar w:fldCharType="begin"/>
      </w:r>
      <w:r w:rsidRPr="0011386E">
        <w:rPr>
          <w:rFonts w:ascii="ITC Avant Garde" w:hAnsi="ITC Avant Garde"/>
          <w:b/>
          <w:bCs/>
          <w:sz w:val="18"/>
          <w:szCs w:val="18"/>
          <w:lang w:val="es-ES_tradnl"/>
        </w:rPr>
        <w:instrText xml:space="preserve"> SEQ Recommendation \* ARABIC \s 0 </w:instrText>
      </w:r>
      <w:r w:rsidRPr="0011386E">
        <w:rPr>
          <w:rFonts w:ascii="ITC Avant Garde" w:hAnsi="ITC Avant Garde"/>
          <w:b/>
          <w:bCs/>
          <w:sz w:val="18"/>
          <w:szCs w:val="18"/>
          <w:lang w:val="es-ES_tradnl"/>
        </w:rPr>
        <w:fldChar w:fldCharType="separate"/>
      </w:r>
      <w:r w:rsidRPr="0011386E">
        <w:rPr>
          <w:rFonts w:ascii="ITC Avant Garde" w:hAnsi="ITC Avant Garde"/>
          <w:b/>
          <w:bCs/>
          <w:sz w:val="18"/>
          <w:szCs w:val="18"/>
          <w:lang w:val="es-ES_tradnl"/>
        </w:rPr>
        <w:t>14</w:t>
      </w:r>
      <w:r w:rsidRPr="0011386E">
        <w:rPr>
          <w:rFonts w:ascii="ITC Avant Garde" w:hAnsi="ITC Avant Garde"/>
          <w:b/>
          <w:bCs/>
          <w:sz w:val="18"/>
          <w:szCs w:val="18"/>
          <w:lang w:val="es-ES_tradnl"/>
        </w:rPr>
        <w:fldChar w:fldCharType="end"/>
      </w:r>
      <w:r w:rsidRPr="0011386E">
        <w:rPr>
          <w:rFonts w:ascii="ITC Avant Garde" w:hAnsi="ITC Avant Garde"/>
          <w:b/>
          <w:bCs/>
          <w:sz w:val="18"/>
          <w:szCs w:val="18"/>
          <w:lang w:val="es-ES_tradnl"/>
        </w:rPr>
        <w:t>: ¿Tiene algún comentario adicional relativo al modelo de costos y/o documentación presentada?</w:t>
      </w:r>
    </w:p>
    <w:p w14:paraId="7F573A4E" w14:textId="12863BB7" w:rsidR="003D63B0" w:rsidRDefault="003D63B0" w:rsidP="0012797F">
      <w:pPr>
        <w:rPr>
          <w:rFonts w:ascii="ITC Avant Garde" w:hAnsi="ITC Avant Garde"/>
          <w:sz w:val="18"/>
          <w:szCs w:val="18"/>
          <w:lang w:val="es-ES_tradnl"/>
        </w:rPr>
      </w:pPr>
      <w:r w:rsidRPr="007F6C1D">
        <w:rPr>
          <w:rFonts w:ascii="ITC Avant Garde" w:hAnsi="ITC Avant Garde"/>
          <w:i/>
          <w:sz w:val="18"/>
          <w:szCs w:val="18"/>
          <w:u w:val="single"/>
          <w:lang w:val="es-ES_tradnl"/>
        </w:rPr>
        <w:t>Resumen de comentarios de la Consulta Pública</w:t>
      </w:r>
    </w:p>
    <w:p w14:paraId="342A7A1F" w14:textId="676C64AA" w:rsidR="00F85C68" w:rsidRDefault="00741FEA" w:rsidP="0012797F">
      <w:pPr>
        <w:rPr>
          <w:rFonts w:ascii="ITC Avant Garde" w:hAnsi="ITC Avant Garde"/>
          <w:sz w:val="18"/>
          <w:szCs w:val="18"/>
          <w:lang w:val="es-ES_tradnl"/>
        </w:rPr>
      </w:pPr>
      <w:r>
        <w:rPr>
          <w:rFonts w:ascii="ITC Avant Garde" w:hAnsi="ITC Avant Garde"/>
          <w:sz w:val="18"/>
          <w:szCs w:val="18"/>
          <w:lang w:val="es-ES_tradnl"/>
        </w:rPr>
        <w:t>Al respecto, ciertos participantes de la consulta pública</w:t>
      </w:r>
      <w:r w:rsidR="00E5284D">
        <w:rPr>
          <w:rFonts w:ascii="ITC Avant Garde" w:hAnsi="ITC Avant Garde"/>
          <w:sz w:val="18"/>
          <w:szCs w:val="18"/>
          <w:lang w:val="es-ES_tradnl"/>
        </w:rPr>
        <w:t xml:space="preserve"> [</w:t>
      </w:r>
      <w:r w:rsidRPr="00903E83">
        <w:rPr>
          <w:rFonts w:ascii="ITC Avant Garde" w:hAnsi="ITC Avant Garde"/>
          <w:sz w:val="18"/>
          <w:szCs w:val="18"/>
          <w:lang w:val="es-ES_tradnl"/>
        </w:rPr>
        <w:t>Axtel</w:t>
      </w:r>
      <w:r>
        <w:rPr>
          <w:rFonts w:ascii="ITC Avant Garde" w:hAnsi="ITC Avant Garde"/>
          <w:sz w:val="18"/>
          <w:szCs w:val="18"/>
          <w:lang w:val="es-ES_tradnl"/>
        </w:rPr>
        <w:t xml:space="preserve">, </w:t>
      </w:r>
      <w:r w:rsidR="00E5284D">
        <w:rPr>
          <w:rFonts w:ascii="ITC Avant Garde" w:hAnsi="ITC Avant Garde"/>
          <w:sz w:val="18"/>
          <w:szCs w:val="18"/>
          <w:lang w:val="es-ES_tradnl"/>
        </w:rPr>
        <w:t>Telefónica</w:t>
      </w:r>
      <w:r w:rsidR="00903E83">
        <w:rPr>
          <w:rFonts w:ascii="ITC Avant Garde" w:hAnsi="ITC Avant Garde"/>
          <w:sz w:val="18"/>
          <w:szCs w:val="18"/>
          <w:lang w:val="es-ES_tradnl"/>
        </w:rPr>
        <w:t xml:space="preserve"> </w:t>
      </w:r>
      <w:r w:rsidR="00903E83" w:rsidRPr="00903E83">
        <w:rPr>
          <w:rFonts w:ascii="ITC Avant Garde" w:hAnsi="ITC Avant Garde"/>
          <w:sz w:val="18"/>
          <w:szCs w:val="18"/>
          <w:lang w:val="es-ES_tradnl"/>
        </w:rPr>
        <w:t>y Total Play</w:t>
      </w:r>
      <w:r w:rsidR="00E5284D">
        <w:rPr>
          <w:rFonts w:ascii="ITC Avant Garde" w:hAnsi="ITC Avant Garde"/>
          <w:sz w:val="18"/>
          <w:szCs w:val="18"/>
          <w:lang w:val="es-ES_tradnl"/>
        </w:rPr>
        <w:t xml:space="preserve">] </w:t>
      </w:r>
      <w:r>
        <w:rPr>
          <w:rFonts w:ascii="ITC Avant Garde" w:hAnsi="ITC Avant Garde"/>
          <w:sz w:val="18"/>
          <w:szCs w:val="18"/>
          <w:lang w:val="es-ES_tradnl"/>
        </w:rPr>
        <w:t>consideran</w:t>
      </w:r>
      <w:r w:rsidR="00E5284D">
        <w:rPr>
          <w:rFonts w:ascii="ITC Avant Garde" w:hAnsi="ITC Avant Garde"/>
          <w:sz w:val="18"/>
          <w:szCs w:val="18"/>
          <w:lang w:val="es-ES_tradnl"/>
        </w:rPr>
        <w:t xml:space="preserve"> que se deben </w:t>
      </w:r>
      <w:r w:rsidR="00F9351A">
        <w:rPr>
          <w:rFonts w:ascii="ITC Avant Garde" w:hAnsi="ITC Avant Garde"/>
          <w:sz w:val="18"/>
          <w:szCs w:val="18"/>
          <w:lang w:val="es-ES_tradnl"/>
        </w:rPr>
        <w:t xml:space="preserve">revisar </w:t>
      </w:r>
      <w:r w:rsidR="00E5284D">
        <w:rPr>
          <w:rFonts w:ascii="ITC Avant Garde" w:hAnsi="ITC Avant Garde"/>
          <w:sz w:val="18"/>
          <w:szCs w:val="18"/>
          <w:lang w:val="es-ES_tradnl"/>
        </w:rPr>
        <w:t xml:space="preserve">los </w:t>
      </w:r>
      <w:r w:rsidR="00F9351A">
        <w:rPr>
          <w:rFonts w:ascii="ITC Avant Garde" w:hAnsi="ITC Avant Garde"/>
          <w:sz w:val="18"/>
          <w:szCs w:val="18"/>
          <w:lang w:val="es-ES_tradnl"/>
        </w:rPr>
        <w:t xml:space="preserve">resultados actuales del modelo </w:t>
      </w:r>
      <w:r w:rsidR="00E5284D">
        <w:rPr>
          <w:rFonts w:ascii="ITC Avant Garde" w:hAnsi="ITC Avant Garde"/>
          <w:sz w:val="18"/>
          <w:szCs w:val="18"/>
          <w:lang w:val="es-ES_tradnl"/>
        </w:rPr>
        <w:t>para que se ajusten</w:t>
      </w:r>
      <w:r>
        <w:rPr>
          <w:rFonts w:ascii="ITC Avant Garde" w:hAnsi="ITC Avant Garde"/>
          <w:sz w:val="18"/>
          <w:szCs w:val="18"/>
          <w:lang w:val="es-ES_tradnl"/>
        </w:rPr>
        <w:t xml:space="preserve"> a los ofrecidos por el mercado, y que en este sentido</w:t>
      </w:r>
      <w:r w:rsidR="00E5284D">
        <w:rPr>
          <w:rFonts w:ascii="ITC Avant Garde" w:hAnsi="ITC Avant Garde"/>
          <w:sz w:val="18"/>
          <w:szCs w:val="18"/>
          <w:lang w:val="es-ES_tradnl"/>
        </w:rPr>
        <w:t xml:space="preserve"> </w:t>
      </w:r>
      <w:r>
        <w:rPr>
          <w:rFonts w:ascii="ITC Avant Garde" w:hAnsi="ITC Avant Garde"/>
          <w:sz w:val="18"/>
          <w:szCs w:val="18"/>
          <w:lang w:val="es-ES_tradnl"/>
        </w:rPr>
        <w:t>e</w:t>
      </w:r>
      <w:r w:rsidR="00F9351A">
        <w:rPr>
          <w:rFonts w:ascii="ITC Avant Garde" w:hAnsi="ITC Avant Garde"/>
          <w:sz w:val="18"/>
          <w:szCs w:val="18"/>
          <w:lang w:val="es-ES_tradnl"/>
        </w:rPr>
        <w:t>l modelo no debería arrojar resultados superiores a los ofrecidos actualmente por el AEP en sus actos o convenios con otros CS.</w:t>
      </w:r>
    </w:p>
    <w:p w14:paraId="342A7A20" w14:textId="01A6AA66" w:rsidR="00337C21" w:rsidRDefault="009C27AC" w:rsidP="0012797F">
      <w:pPr>
        <w:rPr>
          <w:rFonts w:ascii="ITC Avant Garde" w:hAnsi="ITC Avant Garde"/>
          <w:sz w:val="18"/>
          <w:szCs w:val="18"/>
          <w:lang w:val="es-ES_tradnl"/>
        </w:rPr>
      </w:pPr>
      <w:r>
        <w:rPr>
          <w:rFonts w:ascii="ITC Avant Garde" w:hAnsi="ITC Avant Garde"/>
          <w:sz w:val="18"/>
          <w:szCs w:val="18"/>
          <w:lang w:val="es-ES_tradnl"/>
        </w:rPr>
        <w:t>Por otra parte, uno de los participantes</w:t>
      </w:r>
      <w:r w:rsidR="00337C21">
        <w:rPr>
          <w:rFonts w:ascii="ITC Avant Garde" w:hAnsi="ITC Avant Garde"/>
          <w:sz w:val="18"/>
          <w:szCs w:val="18"/>
          <w:lang w:val="es-ES_tradnl"/>
        </w:rPr>
        <w:t xml:space="preserve"> [AT&amp;T] </w:t>
      </w:r>
      <w:r>
        <w:rPr>
          <w:rFonts w:ascii="ITC Avant Garde" w:hAnsi="ITC Avant Garde"/>
          <w:sz w:val="18"/>
          <w:szCs w:val="18"/>
          <w:lang w:val="es-ES_tradnl"/>
        </w:rPr>
        <w:t>expresa que no existe</w:t>
      </w:r>
      <w:r w:rsidR="00337C21">
        <w:rPr>
          <w:rFonts w:ascii="ITC Avant Garde" w:hAnsi="ITC Avant Garde"/>
          <w:sz w:val="18"/>
          <w:szCs w:val="18"/>
          <w:lang w:val="es-ES_tradnl"/>
        </w:rPr>
        <w:t xml:space="preserve"> consistencia entre los distintos Modelos de Costos presentados por el Instituto. </w:t>
      </w:r>
      <w:r>
        <w:rPr>
          <w:rFonts w:ascii="ITC Avant Garde" w:hAnsi="ITC Avant Garde"/>
          <w:sz w:val="18"/>
          <w:szCs w:val="18"/>
          <w:lang w:val="es-ES_tradnl"/>
        </w:rPr>
        <w:t>Además, señala que</w:t>
      </w:r>
      <w:r w:rsidR="00337C21">
        <w:rPr>
          <w:rFonts w:ascii="ITC Avant Garde" w:hAnsi="ITC Avant Garde"/>
          <w:sz w:val="18"/>
          <w:szCs w:val="18"/>
          <w:lang w:val="es-ES_tradnl"/>
        </w:rPr>
        <w:t xml:space="preserve"> el servicio de coubicación fija es muy similar al mercado de interconexión y por eso debería aplicarse el mismo modelo. Por otro lado, </w:t>
      </w:r>
      <w:r w:rsidR="00292491">
        <w:rPr>
          <w:rFonts w:ascii="ITC Avant Garde" w:hAnsi="ITC Avant Garde"/>
          <w:sz w:val="18"/>
          <w:szCs w:val="18"/>
          <w:lang w:val="es-ES_tradnl"/>
        </w:rPr>
        <w:t xml:space="preserve">considera que existe una </w:t>
      </w:r>
      <w:r w:rsidR="00337C21">
        <w:rPr>
          <w:rFonts w:ascii="ITC Avant Garde" w:hAnsi="ITC Avant Garde"/>
          <w:sz w:val="18"/>
          <w:szCs w:val="18"/>
          <w:lang w:val="es-ES_tradnl"/>
        </w:rPr>
        <w:t xml:space="preserve">falta </w:t>
      </w:r>
      <w:r w:rsidR="00350A18">
        <w:rPr>
          <w:rFonts w:ascii="ITC Avant Garde" w:hAnsi="ITC Avant Garde"/>
          <w:sz w:val="18"/>
          <w:szCs w:val="18"/>
          <w:lang w:val="es-ES_tradnl"/>
        </w:rPr>
        <w:t xml:space="preserve">de </w:t>
      </w:r>
      <w:r w:rsidR="00337C21">
        <w:rPr>
          <w:rFonts w:ascii="ITC Avant Garde" w:hAnsi="ITC Avant Garde"/>
          <w:sz w:val="18"/>
          <w:szCs w:val="18"/>
          <w:lang w:val="es-ES_tradnl"/>
        </w:rPr>
        <w:t>consistencia también entre el modelo empleado para calcular la tarifa que cobra el AEP (TLRIC, en el cual se consideran los costos totales) y la tarifa que debe pagar el AEP a los AENP (LRIC Puro, en el que sólo se incluyen los costos marginales)</w:t>
      </w:r>
      <w:r w:rsidR="00FF0DBA">
        <w:rPr>
          <w:rFonts w:ascii="ITC Avant Garde" w:hAnsi="ITC Avant Garde"/>
          <w:sz w:val="18"/>
          <w:szCs w:val="18"/>
          <w:lang w:val="es-ES_tradnl"/>
        </w:rPr>
        <w:t>.</w:t>
      </w:r>
    </w:p>
    <w:p w14:paraId="342A7A21" w14:textId="4A07AADD" w:rsidR="00903E83" w:rsidRDefault="00350A18" w:rsidP="00903E83">
      <w:pPr>
        <w:rPr>
          <w:rFonts w:ascii="ITC Avant Garde" w:hAnsi="ITC Avant Garde"/>
          <w:sz w:val="18"/>
          <w:szCs w:val="18"/>
          <w:lang w:val="es-ES_tradnl"/>
        </w:rPr>
      </w:pPr>
      <w:r>
        <w:rPr>
          <w:rFonts w:ascii="ITC Avant Garde" w:hAnsi="ITC Avant Garde"/>
          <w:sz w:val="18"/>
          <w:szCs w:val="18"/>
          <w:lang w:val="es-ES_tradnl"/>
        </w:rPr>
        <w:t xml:space="preserve">Con </w:t>
      </w:r>
      <w:r w:rsidR="00903E83">
        <w:rPr>
          <w:rFonts w:ascii="ITC Avant Garde" w:hAnsi="ITC Avant Garde"/>
          <w:sz w:val="18"/>
          <w:szCs w:val="18"/>
          <w:lang w:val="es-ES_tradnl"/>
        </w:rPr>
        <w:t>relación a la documentación entregada, un</w:t>
      </w:r>
      <w:r w:rsidR="00292491">
        <w:rPr>
          <w:rFonts w:ascii="ITC Avant Garde" w:hAnsi="ITC Avant Garde"/>
          <w:sz w:val="18"/>
          <w:szCs w:val="18"/>
          <w:lang w:val="es-ES_tradnl"/>
        </w:rPr>
        <w:t>o de los participantes</w:t>
      </w:r>
      <w:r w:rsidR="00903E83">
        <w:rPr>
          <w:rFonts w:ascii="ITC Avant Garde" w:hAnsi="ITC Avant Garde"/>
          <w:sz w:val="18"/>
          <w:szCs w:val="18"/>
          <w:lang w:val="es-ES_tradnl"/>
        </w:rPr>
        <w:t xml:space="preserve"> [</w:t>
      </w:r>
      <w:r w:rsidR="00903E83" w:rsidRPr="00903E83">
        <w:rPr>
          <w:rFonts w:ascii="ITC Avant Garde" w:hAnsi="ITC Avant Garde"/>
          <w:sz w:val="18"/>
          <w:szCs w:val="18"/>
          <w:lang w:val="es-ES_tradnl"/>
        </w:rPr>
        <w:t>Total Play</w:t>
      </w:r>
      <w:r w:rsidR="00903E83">
        <w:rPr>
          <w:rFonts w:ascii="ITC Avant Garde" w:hAnsi="ITC Avant Garde"/>
          <w:sz w:val="18"/>
          <w:szCs w:val="18"/>
          <w:lang w:val="es-ES_tradnl"/>
        </w:rPr>
        <w:t>] comenta que es insuficiente</w:t>
      </w:r>
      <w:r w:rsidR="001C735B">
        <w:rPr>
          <w:rFonts w:ascii="ITC Avant Garde" w:hAnsi="ITC Avant Garde"/>
          <w:sz w:val="18"/>
          <w:szCs w:val="18"/>
          <w:lang w:val="es-ES_tradnl"/>
        </w:rPr>
        <w:t xml:space="preserve"> para permitir un análisis eficaz del modelo</w:t>
      </w:r>
      <w:r w:rsidR="00903E83">
        <w:rPr>
          <w:rFonts w:ascii="ITC Avant Garde" w:hAnsi="ITC Avant Garde"/>
          <w:sz w:val="18"/>
          <w:szCs w:val="18"/>
          <w:lang w:val="es-ES_tradnl"/>
        </w:rPr>
        <w:t>.</w:t>
      </w:r>
    </w:p>
    <w:p w14:paraId="342A7A22" w14:textId="2C9125FA" w:rsidR="00903E83" w:rsidRPr="00B73668" w:rsidRDefault="00903E83" w:rsidP="00903E83">
      <w:pPr>
        <w:rPr>
          <w:rFonts w:ascii="ITC Avant Garde" w:hAnsi="ITC Avant Garde"/>
          <w:sz w:val="18"/>
          <w:szCs w:val="18"/>
          <w:lang w:val="es-ES_tradnl"/>
        </w:rPr>
      </w:pPr>
      <w:r>
        <w:rPr>
          <w:rFonts w:ascii="ITC Avant Garde" w:hAnsi="ITC Avant Garde"/>
          <w:sz w:val="18"/>
          <w:szCs w:val="18"/>
          <w:lang w:val="es-ES_tradnl"/>
        </w:rPr>
        <w:t xml:space="preserve">Por otro lado, </w:t>
      </w:r>
      <w:r w:rsidR="00292491">
        <w:rPr>
          <w:rFonts w:ascii="ITC Avant Garde" w:hAnsi="ITC Avant Garde"/>
          <w:sz w:val="18"/>
          <w:szCs w:val="18"/>
          <w:lang w:val="es-ES_tradnl"/>
        </w:rPr>
        <w:t xml:space="preserve">uno de los participantes [Axtel] solicita que el Instituto </w:t>
      </w:r>
      <w:r>
        <w:rPr>
          <w:rFonts w:ascii="ITC Avant Garde" w:hAnsi="ITC Avant Garde"/>
          <w:sz w:val="18"/>
          <w:szCs w:val="18"/>
          <w:lang w:val="es-ES_tradnl"/>
        </w:rPr>
        <w:t>disponga de un mecanismo ágil para reflejar y actualizar los indicadores del modelo de costos, con el objetivo de p</w:t>
      </w:r>
      <w:r w:rsidR="000849A4">
        <w:rPr>
          <w:rFonts w:ascii="ITC Avant Garde" w:hAnsi="ITC Avant Garde"/>
          <w:sz w:val="18"/>
          <w:szCs w:val="18"/>
          <w:lang w:val="es-ES_tradnl"/>
        </w:rPr>
        <w:t>ermitir la competencia entre CS</w:t>
      </w:r>
      <w:r>
        <w:rPr>
          <w:rFonts w:ascii="ITC Avant Garde" w:hAnsi="ITC Avant Garde"/>
          <w:sz w:val="18"/>
          <w:szCs w:val="18"/>
          <w:lang w:val="es-ES_tradnl"/>
        </w:rPr>
        <w:t>, obteniendo así un margen razonable. En la misma línea, solicita que se tengan en cuenta todos los costos que corren a cargo del CS, sabiendo que aumentarán el costo final del servicio principal. Por último, también con el fin de promover la competencia, solicita</w:t>
      </w:r>
      <w:r w:rsidR="00485350">
        <w:rPr>
          <w:rFonts w:ascii="ITC Avant Garde" w:hAnsi="ITC Avant Garde"/>
          <w:sz w:val="18"/>
          <w:szCs w:val="18"/>
          <w:lang w:val="es-ES_tradnl"/>
        </w:rPr>
        <w:t xml:space="preserve"> </w:t>
      </w:r>
      <w:r>
        <w:rPr>
          <w:rFonts w:ascii="ITC Avant Garde" w:hAnsi="ITC Avant Garde"/>
          <w:sz w:val="18"/>
          <w:szCs w:val="18"/>
          <w:lang w:val="es-ES_tradnl"/>
        </w:rPr>
        <w:t>que se especifique en el modelo que el AEP no podrá realizar cargos a los CS que no cobre a sus clientes actualmente.</w:t>
      </w:r>
    </w:p>
    <w:p w14:paraId="27AA6DDB" w14:textId="77777777" w:rsidR="001165F9" w:rsidRDefault="001165F9" w:rsidP="00B26E96">
      <w:pPr>
        <w:pStyle w:val="Listaconvietas"/>
        <w:numPr>
          <w:ilvl w:val="0"/>
          <w:numId w:val="0"/>
        </w:numPr>
        <w:rPr>
          <w:rFonts w:ascii="ITC Avant Garde" w:hAnsi="ITC Avant Garde"/>
          <w:color w:val="548DD4" w:themeColor="text2" w:themeTint="99"/>
          <w:sz w:val="18"/>
          <w:szCs w:val="18"/>
          <w:lang w:val="es-ES_tradnl"/>
        </w:rPr>
      </w:pPr>
      <w:r w:rsidRPr="00E45AEA">
        <w:rPr>
          <w:rFonts w:ascii="ITC Avant Garde" w:hAnsi="ITC Avant Garde"/>
          <w:i/>
          <w:sz w:val="18"/>
          <w:szCs w:val="18"/>
          <w:u w:val="single"/>
          <w:lang w:val="es-ES_tradnl"/>
        </w:rPr>
        <w:t>Respuesta del Instituto</w:t>
      </w:r>
      <w:r w:rsidRPr="00BA70D0">
        <w:rPr>
          <w:rFonts w:ascii="ITC Avant Garde" w:hAnsi="ITC Avant Garde"/>
          <w:color w:val="548DD4" w:themeColor="text2" w:themeTint="99"/>
          <w:sz w:val="18"/>
          <w:szCs w:val="18"/>
          <w:lang w:val="es-ES_tradnl"/>
        </w:rPr>
        <w:t xml:space="preserve"> </w:t>
      </w:r>
    </w:p>
    <w:p w14:paraId="31A6A41C" w14:textId="6172905A" w:rsidR="00C77918" w:rsidRPr="00C77918" w:rsidRDefault="001812E2" w:rsidP="00B26E96">
      <w:pPr>
        <w:pStyle w:val="Listaconvietas"/>
        <w:numPr>
          <w:ilvl w:val="0"/>
          <w:numId w:val="0"/>
        </w:numPr>
        <w:rPr>
          <w:rFonts w:ascii="ITC Avant Garde" w:hAnsi="ITC Avant Garde"/>
          <w:color w:val="000000" w:themeColor="text1"/>
          <w:sz w:val="18"/>
          <w:szCs w:val="18"/>
          <w:lang w:val="es-ES_tradnl"/>
        </w:rPr>
      </w:pPr>
      <w:r>
        <w:rPr>
          <w:rFonts w:ascii="ITC Avant Garde" w:hAnsi="ITC Avant Garde"/>
          <w:color w:val="000000" w:themeColor="text1"/>
          <w:sz w:val="18"/>
          <w:szCs w:val="18"/>
          <w:lang w:val="es-ES_tradnl"/>
        </w:rPr>
        <w:t>Al respecto, e</w:t>
      </w:r>
      <w:r w:rsidR="00C77918" w:rsidRPr="00C77918">
        <w:rPr>
          <w:rFonts w:ascii="ITC Avant Garde" w:hAnsi="ITC Avant Garde"/>
          <w:color w:val="000000" w:themeColor="text1"/>
          <w:sz w:val="18"/>
          <w:szCs w:val="18"/>
          <w:lang w:val="es-ES_tradnl"/>
        </w:rPr>
        <w:t>l Instituto señala que la</w:t>
      </w:r>
      <w:r>
        <w:rPr>
          <w:rFonts w:ascii="ITC Avant Garde" w:hAnsi="ITC Avant Garde"/>
          <w:color w:val="000000" w:themeColor="text1"/>
          <w:sz w:val="18"/>
          <w:szCs w:val="18"/>
          <w:lang w:val="es-ES_tradnl"/>
        </w:rPr>
        <w:t>s</w:t>
      </w:r>
      <w:r w:rsidR="00C77918" w:rsidRPr="00C77918">
        <w:rPr>
          <w:rFonts w:ascii="ITC Avant Garde" w:hAnsi="ITC Avant Garde"/>
          <w:color w:val="000000" w:themeColor="text1"/>
          <w:sz w:val="18"/>
          <w:szCs w:val="18"/>
          <w:lang w:val="es-ES_tradnl"/>
        </w:rPr>
        <w:t xml:space="preserve"> metodología</w:t>
      </w:r>
      <w:r>
        <w:rPr>
          <w:rFonts w:ascii="ITC Avant Garde" w:hAnsi="ITC Avant Garde"/>
          <w:color w:val="000000" w:themeColor="text1"/>
          <w:sz w:val="18"/>
          <w:szCs w:val="18"/>
          <w:lang w:val="es-ES_tradnl"/>
        </w:rPr>
        <w:t>s</w:t>
      </w:r>
      <w:r w:rsidR="00C77918" w:rsidRPr="00C77918">
        <w:rPr>
          <w:rFonts w:ascii="ITC Avant Garde" w:hAnsi="ITC Avant Garde"/>
          <w:color w:val="000000" w:themeColor="text1"/>
          <w:sz w:val="18"/>
          <w:szCs w:val="18"/>
          <w:lang w:val="es-ES_tradnl"/>
        </w:rPr>
        <w:t xml:space="preserve"> a través de la cual se determinan los niveles tarifarios correspondientes a los servicios, tiene su origen en las diversas medidas asimétricas impuestas al AEP </w:t>
      </w:r>
      <w:r>
        <w:rPr>
          <w:rFonts w:ascii="ITC Avant Garde" w:hAnsi="ITC Avant Garde"/>
          <w:color w:val="000000" w:themeColor="text1"/>
          <w:sz w:val="18"/>
          <w:szCs w:val="18"/>
          <w:lang w:val="es-ES_tradnl"/>
        </w:rPr>
        <w:t>por el Instituto y que reflejar las definiciones y alcances los mismos</w:t>
      </w:r>
      <w:r w:rsidR="004C110E">
        <w:rPr>
          <w:rFonts w:ascii="ITC Avant Garde" w:hAnsi="ITC Avant Garde"/>
          <w:color w:val="000000" w:themeColor="text1"/>
          <w:sz w:val="18"/>
          <w:szCs w:val="18"/>
          <w:lang w:val="es-ES_tradnl"/>
        </w:rPr>
        <w:t xml:space="preserve">. En este sentido, los resultados que arroje el modelo serán aquellos derivados de la implementación de la metodología de costos incrementales promedio de largo plazo con la mejor información disponible </w:t>
      </w:r>
      <w:r w:rsidR="00C77918" w:rsidRPr="00C77918">
        <w:rPr>
          <w:rFonts w:ascii="ITC Avant Garde" w:hAnsi="ITC Avant Garde"/>
          <w:color w:val="000000" w:themeColor="text1"/>
          <w:sz w:val="18"/>
          <w:szCs w:val="18"/>
          <w:lang w:val="es-ES_tradnl"/>
        </w:rPr>
        <w:t xml:space="preserve">Lo anterior también en el entendido de que </w:t>
      </w:r>
      <w:r w:rsidR="004C110E">
        <w:rPr>
          <w:rFonts w:ascii="ITC Avant Garde" w:hAnsi="ITC Avant Garde"/>
          <w:color w:val="000000" w:themeColor="text1"/>
          <w:sz w:val="18"/>
          <w:szCs w:val="18"/>
          <w:lang w:val="es-ES_tradnl"/>
        </w:rPr>
        <w:t>los</w:t>
      </w:r>
      <w:r w:rsidR="004C110E" w:rsidRPr="00C77918">
        <w:rPr>
          <w:rFonts w:ascii="ITC Avant Garde" w:hAnsi="ITC Avant Garde"/>
          <w:color w:val="000000" w:themeColor="text1"/>
          <w:sz w:val="18"/>
          <w:szCs w:val="18"/>
          <w:lang w:val="es-ES_tradnl"/>
        </w:rPr>
        <w:t xml:space="preserve"> </w:t>
      </w:r>
      <w:r w:rsidR="00C77918" w:rsidRPr="00C77918">
        <w:rPr>
          <w:rFonts w:ascii="ITC Avant Garde" w:hAnsi="ITC Avant Garde"/>
          <w:color w:val="000000" w:themeColor="text1"/>
          <w:sz w:val="18"/>
          <w:szCs w:val="18"/>
          <w:lang w:val="es-ES_tradnl"/>
        </w:rPr>
        <w:t xml:space="preserve">acuerdos </w:t>
      </w:r>
      <w:r w:rsidR="004C110E">
        <w:rPr>
          <w:rFonts w:ascii="ITC Avant Garde" w:hAnsi="ITC Avant Garde"/>
          <w:color w:val="000000" w:themeColor="text1"/>
          <w:sz w:val="18"/>
          <w:szCs w:val="18"/>
          <w:lang w:val="es-ES_tradnl"/>
        </w:rPr>
        <w:t xml:space="preserve">entre concesionaros </w:t>
      </w:r>
      <w:r w:rsidR="00C77918" w:rsidRPr="00C77918">
        <w:rPr>
          <w:rFonts w:ascii="ITC Avant Garde" w:hAnsi="ITC Avant Garde"/>
          <w:color w:val="000000" w:themeColor="text1"/>
          <w:sz w:val="18"/>
          <w:szCs w:val="18"/>
          <w:lang w:val="es-ES_tradnl"/>
        </w:rPr>
        <w:t xml:space="preserve">no son </w:t>
      </w:r>
      <w:r w:rsidR="004C110E">
        <w:rPr>
          <w:rFonts w:ascii="ITC Avant Garde" w:hAnsi="ITC Avant Garde"/>
          <w:color w:val="000000" w:themeColor="text1"/>
          <w:sz w:val="18"/>
          <w:szCs w:val="18"/>
          <w:lang w:val="es-ES_tradnl"/>
        </w:rPr>
        <w:t>necesariamente</w:t>
      </w:r>
      <w:r w:rsidR="004C110E" w:rsidRPr="00C77918">
        <w:rPr>
          <w:rFonts w:ascii="ITC Avant Garde" w:hAnsi="ITC Avant Garde"/>
          <w:color w:val="000000" w:themeColor="text1"/>
          <w:sz w:val="18"/>
          <w:szCs w:val="18"/>
          <w:lang w:val="es-ES_tradnl"/>
        </w:rPr>
        <w:t xml:space="preserve"> </w:t>
      </w:r>
      <w:r w:rsidR="00C77918" w:rsidRPr="00C77918">
        <w:rPr>
          <w:rFonts w:ascii="ITC Avant Garde" w:hAnsi="ITC Avant Garde"/>
          <w:color w:val="000000" w:themeColor="text1"/>
          <w:sz w:val="18"/>
          <w:szCs w:val="18"/>
          <w:lang w:val="es-ES_tradnl"/>
        </w:rPr>
        <w:t>representativos, al poder formar parte de acuerdos globales que reflejan los intereses y prioridades puntuales de los operadores involucrados, pudiendo estar artificialmente altos o bajos para determinados servicios</w:t>
      </w:r>
    </w:p>
    <w:p w14:paraId="342A7A27" w14:textId="3895135C" w:rsidR="002216F5" w:rsidRPr="001812E2" w:rsidRDefault="007C5C26" w:rsidP="007C5C26">
      <w:pPr>
        <w:pStyle w:val="Listaconvietas"/>
        <w:numPr>
          <w:ilvl w:val="0"/>
          <w:numId w:val="0"/>
        </w:numPr>
        <w:rPr>
          <w:rFonts w:ascii="ITC Avant Garde" w:hAnsi="ITC Avant Garde"/>
          <w:color w:val="000000" w:themeColor="text1"/>
          <w:sz w:val="18"/>
          <w:szCs w:val="18"/>
          <w:lang w:val="es-ES_tradnl"/>
        </w:rPr>
      </w:pPr>
      <w:r w:rsidRPr="001812E2">
        <w:rPr>
          <w:rFonts w:ascii="ITC Avant Garde" w:hAnsi="ITC Avant Garde"/>
          <w:color w:val="000000" w:themeColor="text1"/>
          <w:sz w:val="18"/>
          <w:szCs w:val="18"/>
          <w:lang w:val="es-ES_tradnl"/>
        </w:rPr>
        <w:t xml:space="preserve">Finalmente, </w:t>
      </w:r>
      <w:r w:rsidR="001812E2">
        <w:rPr>
          <w:rFonts w:ascii="ITC Avant Garde" w:hAnsi="ITC Avant Garde"/>
          <w:color w:val="000000" w:themeColor="text1"/>
          <w:sz w:val="18"/>
          <w:szCs w:val="18"/>
          <w:lang w:val="es-ES_tradnl"/>
        </w:rPr>
        <w:t>el Instituto destaca q</w:t>
      </w:r>
      <w:r w:rsidRPr="001812E2">
        <w:rPr>
          <w:rFonts w:ascii="ITC Avant Garde" w:hAnsi="ITC Avant Garde"/>
          <w:color w:val="000000" w:themeColor="text1"/>
          <w:sz w:val="18"/>
          <w:szCs w:val="18"/>
          <w:lang w:val="es-ES_tradnl"/>
        </w:rPr>
        <w:t>ue el proceso de actualización y procesos asociados a la aplicación de los servicios considerados en el modelo se encuentran fuera del contexto de esta consulta, centrada exclusivamente en el modelo de costos.</w:t>
      </w:r>
    </w:p>
    <w:sectPr w:rsidR="002216F5" w:rsidRPr="001812E2" w:rsidSect="00BC7CF9">
      <w:headerReference w:type="default" r:id="rId11"/>
      <w:footerReference w:type="default" r:id="rId12"/>
      <w:footerReference w:type="first" r:id="rId13"/>
      <w:type w:val="continuous"/>
      <w:pgSz w:w="11906" w:h="16838" w:code="9"/>
      <w:pgMar w:top="1418" w:right="1588" w:bottom="1418" w:left="1588" w:header="567" w:footer="567"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2A7A2A" w14:textId="77777777" w:rsidR="00C07F53" w:rsidRDefault="00C07F53" w:rsidP="003C6172">
      <w:pPr>
        <w:spacing w:after="0" w:line="240" w:lineRule="auto"/>
      </w:pPr>
      <w:r>
        <w:separator/>
      </w:r>
    </w:p>
  </w:endnote>
  <w:endnote w:type="continuationSeparator" w:id="0">
    <w:p w14:paraId="342A7A2B" w14:textId="77777777" w:rsidR="00C07F53" w:rsidRDefault="00C07F53" w:rsidP="003C61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charset w:val="00"/>
    <w:family w:val="auto"/>
    <w:pitch w:val="variable"/>
    <w:sig w:usb0="00000003" w:usb1="00000000" w:usb2="00000000" w:usb3="00000000" w:csb0="00000001" w:csb1="00000000"/>
  </w:font>
  <w:font w:name="ITC Avant Garde">
    <w:altName w:val="Avant Garde"/>
    <w:panose1 w:val="020B0402020203020304"/>
    <w:charset w:val="00"/>
    <w:family w:val="swiss"/>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ITC Avant Garde" w:hAnsi="ITC Avant Garde"/>
      </w:rPr>
      <w:id w:val="-1839079346"/>
      <w:docPartObj>
        <w:docPartGallery w:val="Page Numbers (Bottom of Page)"/>
        <w:docPartUnique/>
      </w:docPartObj>
    </w:sdtPr>
    <w:sdtEndPr/>
    <w:sdtContent>
      <w:sdt>
        <w:sdtPr>
          <w:rPr>
            <w:rFonts w:ascii="ITC Avant Garde" w:hAnsi="ITC Avant Garde"/>
          </w:rPr>
          <w:id w:val="1728636285"/>
          <w:docPartObj>
            <w:docPartGallery w:val="Page Numbers (Top of Page)"/>
            <w:docPartUnique/>
          </w:docPartObj>
        </w:sdtPr>
        <w:sdtEndPr/>
        <w:sdtContent>
          <w:p w14:paraId="759963AC" w14:textId="1E96FAD9" w:rsidR="005F401B" w:rsidRPr="005F401B" w:rsidRDefault="00BC7CF9" w:rsidP="00BC7CF9">
            <w:pPr>
              <w:pStyle w:val="Piedepgina"/>
              <w:tabs>
                <w:tab w:val="clear" w:pos="9214"/>
                <w:tab w:val="left" w:pos="7575"/>
                <w:tab w:val="right" w:pos="9229"/>
              </w:tabs>
              <w:rPr>
                <w:rFonts w:ascii="ITC Avant Garde" w:hAnsi="ITC Avant Garde"/>
              </w:rPr>
            </w:pPr>
            <w:r>
              <w:rPr>
                <w:rFonts w:ascii="ITC Avant Garde" w:hAnsi="ITC Avant Garde"/>
              </w:rPr>
              <w:tab/>
            </w:r>
            <w:r>
              <w:rPr>
                <w:rFonts w:ascii="ITC Avant Garde" w:hAnsi="ITC Avant Garde"/>
              </w:rPr>
              <w:tab/>
            </w:r>
            <w:r>
              <w:rPr>
                <w:rFonts w:ascii="ITC Avant Garde" w:hAnsi="ITC Avant Garde"/>
              </w:rPr>
              <w:tab/>
            </w:r>
            <w:r w:rsidR="005F401B" w:rsidRPr="005F401B">
              <w:rPr>
                <w:rFonts w:ascii="ITC Avant Garde" w:hAnsi="ITC Avant Garde"/>
                <w:lang w:val="es-ES"/>
              </w:rPr>
              <w:t xml:space="preserve">Página </w:t>
            </w:r>
            <w:r w:rsidR="005F401B" w:rsidRPr="005F401B">
              <w:rPr>
                <w:rFonts w:ascii="ITC Avant Garde" w:hAnsi="ITC Avant Garde"/>
                <w:b/>
                <w:bCs/>
                <w:sz w:val="24"/>
                <w:szCs w:val="24"/>
              </w:rPr>
              <w:fldChar w:fldCharType="begin"/>
            </w:r>
            <w:r w:rsidR="005F401B" w:rsidRPr="005F401B">
              <w:rPr>
                <w:rFonts w:ascii="ITC Avant Garde" w:hAnsi="ITC Avant Garde"/>
                <w:b/>
                <w:bCs/>
              </w:rPr>
              <w:instrText>PAGE</w:instrText>
            </w:r>
            <w:r w:rsidR="005F401B" w:rsidRPr="005F401B">
              <w:rPr>
                <w:rFonts w:ascii="ITC Avant Garde" w:hAnsi="ITC Avant Garde"/>
                <w:b/>
                <w:bCs/>
                <w:sz w:val="24"/>
                <w:szCs w:val="24"/>
              </w:rPr>
              <w:fldChar w:fldCharType="separate"/>
            </w:r>
            <w:r w:rsidR="005D1DDC">
              <w:rPr>
                <w:rFonts w:ascii="ITC Avant Garde" w:hAnsi="ITC Avant Garde"/>
                <w:b/>
                <w:bCs/>
                <w:noProof/>
              </w:rPr>
              <w:t>2</w:t>
            </w:r>
            <w:r w:rsidR="005F401B" w:rsidRPr="005F401B">
              <w:rPr>
                <w:rFonts w:ascii="ITC Avant Garde" w:hAnsi="ITC Avant Garde"/>
                <w:b/>
                <w:bCs/>
                <w:sz w:val="24"/>
                <w:szCs w:val="24"/>
              </w:rPr>
              <w:fldChar w:fldCharType="end"/>
            </w:r>
            <w:r w:rsidR="005F401B" w:rsidRPr="005F401B">
              <w:rPr>
                <w:rFonts w:ascii="ITC Avant Garde" w:hAnsi="ITC Avant Garde"/>
                <w:lang w:val="es-ES"/>
              </w:rPr>
              <w:t xml:space="preserve"> de </w:t>
            </w:r>
            <w:r w:rsidR="005F401B" w:rsidRPr="005F401B">
              <w:rPr>
                <w:rFonts w:ascii="ITC Avant Garde" w:hAnsi="ITC Avant Garde"/>
                <w:b/>
                <w:bCs/>
                <w:sz w:val="24"/>
                <w:szCs w:val="24"/>
              </w:rPr>
              <w:fldChar w:fldCharType="begin"/>
            </w:r>
            <w:r w:rsidR="005F401B" w:rsidRPr="005F401B">
              <w:rPr>
                <w:rFonts w:ascii="ITC Avant Garde" w:hAnsi="ITC Avant Garde"/>
                <w:b/>
                <w:bCs/>
              </w:rPr>
              <w:instrText>NUMPAGES</w:instrText>
            </w:r>
            <w:r w:rsidR="005F401B" w:rsidRPr="005F401B">
              <w:rPr>
                <w:rFonts w:ascii="ITC Avant Garde" w:hAnsi="ITC Avant Garde"/>
                <w:b/>
                <w:bCs/>
                <w:sz w:val="24"/>
                <w:szCs w:val="24"/>
              </w:rPr>
              <w:fldChar w:fldCharType="separate"/>
            </w:r>
            <w:r w:rsidR="005D1DDC">
              <w:rPr>
                <w:rFonts w:ascii="ITC Avant Garde" w:hAnsi="ITC Avant Garde"/>
                <w:b/>
                <w:bCs/>
                <w:noProof/>
              </w:rPr>
              <w:t>12</w:t>
            </w:r>
            <w:r w:rsidR="005F401B" w:rsidRPr="005F401B">
              <w:rPr>
                <w:rFonts w:ascii="ITC Avant Garde" w:hAnsi="ITC Avant Garde"/>
                <w:b/>
                <w:bCs/>
                <w:sz w:val="24"/>
                <w:szCs w:val="24"/>
              </w:rPr>
              <w:fldChar w:fldCharType="end"/>
            </w:r>
          </w:p>
        </w:sdtContent>
      </w:sdt>
    </w:sdtContent>
  </w:sdt>
  <w:p w14:paraId="342A7A2D" w14:textId="151AE5AB" w:rsidR="00FD20BE" w:rsidRDefault="00FD20BE" w:rsidP="00335694">
    <w:pPr>
      <w:pStyle w:val="Piedepgina"/>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4092483"/>
      <w:docPartObj>
        <w:docPartGallery w:val="Page Numbers (Bottom of Page)"/>
        <w:docPartUnique/>
      </w:docPartObj>
    </w:sdtPr>
    <w:sdtEndPr/>
    <w:sdtContent>
      <w:p w14:paraId="342A7A2E" w14:textId="77777777" w:rsidR="00FD20BE" w:rsidRPr="00F83084" w:rsidRDefault="00FD20BE" w:rsidP="00D75BA7">
        <w:pPr>
          <w:pStyle w:val="Piedepgina"/>
          <w:jc w:val="right"/>
        </w:pPr>
        <w:r>
          <w:fldChar w:fldCharType="begin"/>
        </w:r>
        <w:r>
          <w:instrText>PAGE   \* MERGEFORMAT</w:instrText>
        </w:r>
        <w:r>
          <w:fldChar w:fldCharType="separate"/>
        </w:r>
        <w:r w:rsidR="00BC7CF9" w:rsidRPr="00BC7CF9">
          <w:rPr>
            <w:noProof/>
            <w:lang w:val="es-ES"/>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2A7A28" w14:textId="77777777" w:rsidR="00C07F53" w:rsidRDefault="00C07F53" w:rsidP="003C6172">
      <w:pPr>
        <w:spacing w:after="0" w:line="240" w:lineRule="auto"/>
      </w:pPr>
      <w:r>
        <w:separator/>
      </w:r>
    </w:p>
  </w:footnote>
  <w:footnote w:type="continuationSeparator" w:id="0">
    <w:p w14:paraId="342A7A29" w14:textId="77777777" w:rsidR="00C07F53" w:rsidRDefault="00C07F53" w:rsidP="003C61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2A7A2C" w14:textId="77777777" w:rsidR="00FD20BE" w:rsidRDefault="00FD20BE">
    <w:pPr>
      <w:pStyle w:val="Encabezado"/>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28EB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6CA74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E7EE97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406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19E6A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841C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B0CB8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1A0F4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F00BBA8"/>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C144C7DC"/>
    <w:lvl w:ilvl="0">
      <w:start w:val="1"/>
      <w:numFmt w:val="bullet"/>
      <w:pStyle w:val="Listaconvietas"/>
      <w:lvlText w:val=""/>
      <w:lvlJc w:val="left"/>
      <w:pPr>
        <w:ind w:left="360" w:hanging="360"/>
      </w:pPr>
      <w:rPr>
        <w:rFonts w:ascii="Symbol" w:hAnsi="Symbol" w:hint="default"/>
        <w:b w:val="0"/>
        <w:i w:val="0"/>
        <w:sz w:val="20"/>
      </w:rPr>
    </w:lvl>
  </w:abstractNum>
  <w:abstractNum w:abstractNumId="10" w15:restartNumberingAfterBreak="0">
    <w:nsid w:val="025B091A"/>
    <w:multiLevelType w:val="hybridMultilevel"/>
    <w:tmpl w:val="6324DDC4"/>
    <w:lvl w:ilvl="0" w:tplc="79C4E8B8">
      <w:start w:val="1"/>
      <w:numFmt w:val="upperRoman"/>
      <w:lvlText w:val="%1."/>
      <w:lvlJc w:val="left"/>
      <w:pPr>
        <w:ind w:left="1800" w:hanging="720"/>
      </w:pPr>
      <w:rPr>
        <w:rFonts w:hint="default"/>
        <w:color w:val="auto"/>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15:restartNumberingAfterBreak="0">
    <w:nsid w:val="0DB6421E"/>
    <w:multiLevelType w:val="hybridMultilevel"/>
    <w:tmpl w:val="3ECC6E2E"/>
    <w:lvl w:ilvl="0" w:tplc="5C802E30">
      <w:start w:val="1"/>
      <w:numFmt w:val="bullet"/>
      <w:pStyle w:val="Listaconvietas2"/>
      <w:lvlText w:val="–"/>
      <w:lvlJc w:val="left"/>
      <w:pPr>
        <w:ind w:left="717" w:hanging="360"/>
      </w:pPr>
      <w:rPr>
        <w:rFonts w:ascii="Times New Roman" w:hAnsi="Times New Roman" w:cs="Times New Roman" w:hint="default"/>
        <w:b w:val="0"/>
        <w:i w:val="0"/>
        <w:sz w:val="22"/>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2" w15:restartNumberingAfterBreak="0">
    <w:nsid w:val="1A362D84"/>
    <w:multiLevelType w:val="hybridMultilevel"/>
    <w:tmpl w:val="8AC4234A"/>
    <w:lvl w:ilvl="0" w:tplc="3CA842C0">
      <w:start w:val="1"/>
      <w:numFmt w:val="bullet"/>
      <w:pStyle w:val="Table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29695B"/>
    <w:multiLevelType w:val="multilevel"/>
    <w:tmpl w:val="8C9A8758"/>
    <w:lvl w:ilvl="0">
      <w:start w:val="1"/>
      <w:numFmt w:val="upperLetter"/>
      <w:pStyle w:val="Annex1"/>
      <w:lvlText w:val="Annex %1"/>
      <w:lvlJc w:val="left"/>
      <w:pPr>
        <w:tabs>
          <w:tab w:val="num" w:pos="1134"/>
        </w:tabs>
        <w:ind w:left="0" w:hanging="499"/>
      </w:pPr>
      <w:rPr>
        <w:rFonts w:ascii="Times New Roman" w:hAnsi="Times New Roman" w:hint="default"/>
        <w:b w:val="0"/>
        <w:i w:val="0"/>
        <w:sz w:val="36"/>
      </w:rPr>
    </w:lvl>
    <w:lvl w:ilvl="1">
      <w:start w:val="1"/>
      <w:numFmt w:val="upperLetter"/>
      <w:lvlRestart w:val="0"/>
      <w:pStyle w:val="Annex2"/>
      <w:lvlText w:val="Annex %2"/>
      <w:lvlJc w:val="left"/>
      <w:pPr>
        <w:tabs>
          <w:tab w:val="num" w:pos="709"/>
        </w:tabs>
        <w:ind w:left="0" w:hanging="499"/>
      </w:pPr>
      <w:rPr>
        <w:rFonts w:ascii="Times New Roman Bold" w:hAnsi="Times New Roman Bold" w:hint="default"/>
        <w:b/>
        <w:i w:val="0"/>
        <w:sz w:val="24"/>
      </w:rPr>
    </w:lvl>
    <w:lvl w:ilvl="2">
      <w:start w:val="1"/>
      <w:numFmt w:val="decimal"/>
      <w:pStyle w:val="Annex3"/>
      <w:suff w:val="space"/>
      <w:lvlText w:val="%2.%3"/>
      <w:lvlJc w:val="left"/>
      <w:pPr>
        <w:ind w:left="0" w:hanging="499"/>
      </w:pPr>
      <w:rPr>
        <w:rFonts w:hint="default"/>
      </w:rPr>
    </w:lvl>
    <w:lvl w:ilvl="3">
      <w:start w:val="1"/>
      <w:numFmt w:val="none"/>
      <w:pStyle w:val="Annex4"/>
      <w:suff w:val="nothing"/>
      <w:lvlText w:val=""/>
      <w:lvlJc w:val="left"/>
      <w:pPr>
        <w:ind w:left="0" w:firstLine="0"/>
      </w:pPr>
      <w:rPr>
        <w:rFonts w:hint="default"/>
      </w:rPr>
    </w:lvl>
    <w:lvl w:ilvl="4">
      <w:start w:val="1"/>
      <w:numFmt w:val="lowerLetter"/>
      <w:lvlText w:val="(%5)"/>
      <w:lvlJc w:val="left"/>
      <w:pPr>
        <w:tabs>
          <w:tab w:val="num" w:pos="1134"/>
        </w:tabs>
        <w:ind w:left="0" w:hanging="499"/>
      </w:pPr>
      <w:rPr>
        <w:rFonts w:hint="default"/>
      </w:rPr>
    </w:lvl>
    <w:lvl w:ilvl="5">
      <w:start w:val="1"/>
      <w:numFmt w:val="lowerRoman"/>
      <w:lvlText w:val="(%6)"/>
      <w:lvlJc w:val="left"/>
      <w:pPr>
        <w:tabs>
          <w:tab w:val="num" w:pos="1134"/>
        </w:tabs>
        <w:ind w:left="0" w:hanging="499"/>
      </w:pPr>
      <w:rPr>
        <w:rFonts w:hint="default"/>
      </w:rPr>
    </w:lvl>
    <w:lvl w:ilvl="6">
      <w:start w:val="1"/>
      <w:numFmt w:val="decimal"/>
      <w:lvlText w:val="%7."/>
      <w:lvlJc w:val="left"/>
      <w:pPr>
        <w:tabs>
          <w:tab w:val="num" w:pos="1134"/>
        </w:tabs>
        <w:ind w:left="0" w:hanging="499"/>
      </w:pPr>
      <w:rPr>
        <w:rFonts w:hint="default"/>
      </w:rPr>
    </w:lvl>
    <w:lvl w:ilvl="7">
      <w:start w:val="1"/>
      <w:numFmt w:val="lowerLetter"/>
      <w:lvlText w:val="%8."/>
      <w:lvlJc w:val="left"/>
      <w:pPr>
        <w:tabs>
          <w:tab w:val="num" w:pos="1134"/>
        </w:tabs>
        <w:ind w:left="0" w:hanging="499"/>
      </w:pPr>
      <w:rPr>
        <w:rFonts w:hint="default"/>
      </w:rPr>
    </w:lvl>
    <w:lvl w:ilvl="8">
      <w:start w:val="1"/>
      <w:numFmt w:val="lowerRoman"/>
      <w:lvlText w:val="%9."/>
      <w:lvlJc w:val="left"/>
      <w:pPr>
        <w:tabs>
          <w:tab w:val="num" w:pos="1134"/>
        </w:tabs>
        <w:ind w:left="0" w:hanging="499"/>
      </w:pPr>
      <w:rPr>
        <w:rFonts w:hint="default"/>
      </w:rPr>
    </w:lvl>
  </w:abstractNum>
  <w:abstractNum w:abstractNumId="14" w15:restartNumberingAfterBreak="0">
    <w:nsid w:val="2E3735F4"/>
    <w:multiLevelType w:val="multilevel"/>
    <w:tmpl w:val="5E3ED32E"/>
    <w:lvl w:ilvl="0">
      <w:start w:val="1"/>
      <w:numFmt w:val="decimal"/>
      <w:pStyle w:val="Ttulo1"/>
      <w:lvlText w:val="%1"/>
      <w:lvlJc w:val="left"/>
      <w:pPr>
        <w:ind w:left="0" w:hanging="499"/>
      </w:pPr>
      <w:rPr>
        <w:rFonts w:ascii="Times New Roman" w:hAnsi="Times New Roman" w:hint="default"/>
        <w:b w:val="0"/>
        <w:i w:val="0"/>
        <w:sz w:val="36"/>
      </w:rPr>
    </w:lvl>
    <w:lvl w:ilvl="1">
      <w:start w:val="1"/>
      <w:numFmt w:val="decimal"/>
      <w:lvlRestart w:val="0"/>
      <w:pStyle w:val="Ttulo2"/>
      <w:lvlText w:val="%2"/>
      <w:lvlJc w:val="left"/>
      <w:pPr>
        <w:ind w:left="0" w:hanging="499"/>
      </w:pPr>
      <w:rPr>
        <w:rFonts w:ascii="ITC Avant Garde" w:hAnsi="ITC Avant Garde" w:hint="default"/>
        <w:b/>
        <w:i w:val="0"/>
        <w:sz w:val="18"/>
        <w:szCs w:val="18"/>
      </w:rPr>
    </w:lvl>
    <w:lvl w:ilvl="2">
      <w:start w:val="1"/>
      <w:numFmt w:val="decimal"/>
      <w:pStyle w:val="Ttulo3"/>
      <w:lvlText w:val="%2.%3"/>
      <w:lvlJc w:val="left"/>
      <w:pPr>
        <w:ind w:left="0" w:hanging="499"/>
      </w:pPr>
      <w:rPr>
        <w:rFonts w:ascii="ITC Avant Garde" w:hAnsi="ITC Avant Garde" w:hint="default"/>
        <w:b/>
        <w:i w:val="0"/>
        <w:sz w:val="18"/>
        <w:szCs w:val="18"/>
      </w:rPr>
    </w:lvl>
    <w:lvl w:ilvl="3">
      <w:start w:val="1"/>
      <w:numFmt w:val="none"/>
      <w:lvlRestart w:val="0"/>
      <w:pStyle w:val="Ttulo4"/>
      <w:suff w:val="nothing"/>
      <w:lvlText w:val=""/>
      <w:lvlJc w:val="left"/>
      <w:pPr>
        <w:ind w:left="0" w:firstLine="0"/>
      </w:pPr>
      <w:rPr>
        <w:rFonts w:ascii="Times New Roman" w:hAnsi="Times New Roman" w:hint="default"/>
        <w:b w:val="0"/>
        <w:i/>
        <w:sz w:val="22"/>
      </w:rPr>
    </w:lvl>
    <w:lvl w:ilvl="4">
      <w:start w:val="1"/>
      <w:numFmt w:val="none"/>
      <w:lvlText w:val=""/>
      <w:lvlJc w:val="left"/>
      <w:pPr>
        <w:ind w:left="0" w:hanging="499"/>
      </w:pPr>
      <w:rPr>
        <w:rFonts w:hint="default"/>
      </w:rPr>
    </w:lvl>
    <w:lvl w:ilvl="5">
      <w:start w:val="1"/>
      <w:numFmt w:val="none"/>
      <w:lvlText w:val=""/>
      <w:lvlJc w:val="left"/>
      <w:pPr>
        <w:ind w:left="0" w:hanging="499"/>
      </w:pPr>
      <w:rPr>
        <w:rFonts w:hint="default"/>
      </w:rPr>
    </w:lvl>
    <w:lvl w:ilvl="6">
      <w:start w:val="1"/>
      <w:numFmt w:val="none"/>
      <w:lvlText w:val=""/>
      <w:lvlJc w:val="left"/>
      <w:pPr>
        <w:ind w:left="0" w:hanging="499"/>
      </w:pPr>
      <w:rPr>
        <w:rFonts w:hint="default"/>
      </w:rPr>
    </w:lvl>
    <w:lvl w:ilvl="7">
      <w:start w:val="1"/>
      <w:numFmt w:val="none"/>
      <w:lvlText w:val=""/>
      <w:lvlJc w:val="left"/>
      <w:pPr>
        <w:ind w:left="0" w:hanging="499"/>
      </w:pPr>
      <w:rPr>
        <w:rFonts w:hint="default"/>
      </w:rPr>
    </w:lvl>
    <w:lvl w:ilvl="8">
      <w:start w:val="1"/>
      <w:numFmt w:val="none"/>
      <w:lvlText w:val=""/>
      <w:lvlJc w:val="left"/>
      <w:pPr>
        <w:ind w:left="0" w:hanging="499"/>
      </w:pPr>
      <w:rPr>
        <w:rFonts w:hint="default"/>
      </w:rPr>
    </w:lvl>
  </w:abstractNum>
  <w:abstractNum w:abstractNumId="15" w15:restartNumberingAfterBreak="0">
    <w:nsid w:val="395E0351"/>
    <w:multiLevelType w:val="multilevel"/>
    <w:tmpl w:val="8484493A"/>
    <w:lvl w:ilvl="0">
      <w:start w:val="1"/>
      <w:numFmt w:val="upperLetter"/>
      <w:lvlText w:val="Annex %1"/>
      <w:lvlJc w:val="left"/>
      <w:pPr>
        <w:tabs>
          <w:tab w:val="num" w:pos="1134"/>
        </w:tabs>
        <w:ind w:left="0" w:hanging="499"/>
      </w:pPr>
      <w:rPr>
        <w:rFonts w:ascii="Times New Roman" w:hAnsi="Times New Roman" w:hint="default"/>
        <w:b w:val="0"/>
        <w:i w:val="0"/>
        <w:sz w:val="36"/>
      </w:rPr>
    </w:lvl>
    <w:lvl w:ilvl="1">
      <w:start w:val="1"/>
      <w:numFmt w:val="decimal"/>
      <w:lvlText w:val="%1.%2"/>
      <w:lvlJc w:val="left"/>
      <w:pPr>
        <w:tabs>
          <w:tab w:val="num" w:pos="1134"/>
        </w:tabs>
        <w:ind w:left="0" w:hanging="499"/>
      </w:pPr>
      <w:rPr>
        <w:rFonts w:ascii="Times New Roman Bold" w:hAnsi="Times New Roman Bold" w:hint="default"/>
        <w:b/>
        <w:i w:val="0"/>
        <w:sz w:val="24"/>
      </w:rPr>
    </w:lvl>
    <w:lvl w:ilvl="2">
      <w:start w:val="1"/>
      <w:numFmt w:val="decimal"/>
      <w:suff w:val="space"/>
      <w:lvlText w:val="%1.%2.%3"/>
      <w:lvlJc w:val="left"/>
      <w:pPr>
        <w:ind w:left="0" w:hanging="499"/>
      </w:pPr>
      <w:rPr>
        <w:rFonts w:hint="default"/>
      </w:rPr>
    </w:lvl>
    <w:lvl w:ilvl="3">
      <w:start w:val="1"/>
      <w:numFmt w:val="none"/>
      <w:suff w:val="nothing"/>
      <w:lvlText w:val=""/>
      <w:lvlJc w:val="left"/>
      <w:pPr>
        <w:ind w:left="0" w:firstLine="0"/>
      </w:pPr>
      <w:rPr>
        <w:rFonts w:hint="default"/>
      </w:rPr>
    </w:lvl>
    <w:lvl w:ilvl="4">
      <w:start w:val="1"/>
      <w:numFmt w:val="lowerLetter"/>
      <w:lvlText w:val="(%5)"/>
      <w:lvlJc w:val="left"/>
      <w:pPr>
        <w:tabs>
          <w:tab w:val="num" w:pos="1134"/>
        </w:tabs>
        <w:ind w:left="0" w:hanging="499"/>
      </w:pPr>
      <w:rPr>
        <w:rFonts w:hint="default"/>
      </w:rPr>
    </w:lvl>
    <w:lvl w:ilvl="5">
      <w:start w:val="1"/>
      <w:numFmt w:val="lowerRoman"/>
      <w:lvlText w:val="(%6)"/>
      <w:lvlJc w:val="left"/>
      <w:pPr>
        <w:tabs>
          <w:tab w:val="num" w:pos="1134"/>
        </w:tabs>
        <w:ind w:left="0" w:hanging="499"/>
      </w:pPr>
      <w:rPr>
        <w:rFonts w:hint="default"/>
      </w:rPr>
    </w:lvl>
    <w:lvl w:ilvl="6">
      <w:start w:val="1"/>
      <w:numFmt w:val="decimal"/>
      <w:lvlText w:val="%7."/>
      <w:lvlJc w:val="left"/>
      <w:pPr>
        <w:tabs>
          <w:tab w:val="num" w:pos="1134"/>
        </w:tabs>
        <w:ind w:left="0" w:hanging="499"/>
      </w:pPr>
      <w:rPr>
        <w:rFonts w:hint="default"/>
      </w:rPr>
    </w:lvl>
    <w:lvl w:ilvl="7">
      <w:start w:val="1"/>
      <w:numFmt w:val="lowerLetter"/>
      <w:lvlText w:val="%8."/>
      <w:lvlJc w:val="left"/>
      <w:pPr>
        <w:tabs>
          <w:tab w:val="num" w:pos="1134"/>
        </w:tabs>
        <w:ind w:left="0" w:hanging="499"/>
      </w:pPr>
      <w:rPr>
        <w:rFonts w:hint="default"/>
      </w:rPr>
    </w:lvl>
    <w:lvl w:ilvl="8">
      <w:start w:val="1"/>
      <w:numFmt w:val="lowerRoman"/>
      <w:lvlText w:val="%9."/>
      <w:lvlJc w:val="left"/>
      <w:pPr>
        <w:tabs>
          <w:tab w:val="num" w:pos="1134"/>
        </w:tabs>
        <w:ind w:left="0" w:hanging="499"/>
      </w:pPr>
      <w:rPr>
        <w:rFonts w:hint="default"/>
      </w:rPr>
    </w:lvl>
  </w:abstractNum>
  <w:abstractNum w:abstractNumId="16" w15:restartNumberingAfterBreak="0">
    <w:nsid w:val="3FC07CDE"/>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44D0715"/>
    <w:multiLevelType w:val="hybridMultilevel"/>
    <w:tmpl w:val="D936AC78"/>
    <w:lvl w:ilvl="0" w:tplc="F7DA2562">
      <w:start w:val="1"/>
      <w:numFmt w:val="bullet"/>
      <w:pStyle w:val="ListBullet2Compact"/>
      <w:lvlText w:val="–"/>
      <w:lvlJc w:val="left"/>
      <w:pPr>
        <w:ind w:left="1077" w:hanging="360"/>
      </w:pPr>
      <w:rPr>
        <w:rFonts w:ascii="Times New Roman" w:hAnsi="Times New Roman" w:cs="Times New Roman" w:hint="default"/>
        <w:b w:val="0"/>
        <w:i w:val="0"/>
        <w:sz w:val="22"/>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8" w15:restartNumberingAfterBreak="0">
    <w:nsid w:val="4B8864EF"/>
    <w:multiLevelType w:val="hybridMultilevel"/>
    <w:tmpl w:val="8BC0E718"/>
    <w:lvl w:ilvl="0" w:tplc="251265EC">
      <w:start w:val="1"/>
      <w:numFmt w:val="bullet"/>
      <w:lvlText w:val=""/>
      <w:lvlJc w:val="left"/>
      <w:pPr>
        <w:ind w:left="1080" w:hanging="720"/>
      </w:pPr>
      <w:rPr>
        <w:rFonts w:ascii="Symbol" w:hAnsi="Symbol" w:hint="default"/>
        <w:lang w:val="es-ES_tradn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0F759CB"/>
    <w:multiLevelType w:val="hybridMultilevel"/>
    <w:tmpl w:val="8108A394"/>
    <w:lvl w:ilvl="0" w:tplc="FA64576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2D20BA3"/>
    <w:multiLevelType w:val="hybridMultilevel"/>
    <w:tmpl w:val="79FE8300"/>
    <w:lvl w:ilvl="0" w:tplc="55D648D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7662160"/>
    <w:multiLevelType w:val="multilevel"/>
    <w:tmpl w:val="21C276C2"/>
    <w:lvl w:ilvl="0">
      <w:start w:val="1"/>
      <w:numFmt w:val="upperLetter"/>
      <w:lvlText w:val="Annex %1"/>
      <w:lvlJc w:val="left"/>
      <w:pPr>
        <w:tabs>
          <w:tab w:val="num" w:pos="1134"/>
        </w:tabs>
        <w:ind w:left="0" w:hanging="499"/>
      </w:pPr>
      <w:rPr>
        <w:rFonts w:ascii="Times New Roman" w:hAnsi="Times New Roman" w:hint="default"/>
        <w:b w:val="0"/>
        <w:i w:val="0"/>
        <w:sz w:val="36"/>
      </w:rPr>
    </w:lvl>
    <w:lvl w:ilvl="1">
      <w:start w:val="1"/>
      <w:numFmt w:val="upperLetter"/>
      <w:lvlRestart w:val="0"/>
      <w:lvlText w:val="Annex %2"/>
      <w:lvlJc w:val="left"/>
      <w:pPr>
        <w:tabs>
          <w:tab w:val="num" w:pos="1134"/>
        </w:tabs>
        <w:ind w:left="0" w:hanging="499"/>
      </w:pPr>
      <w:rPr>
        <w:rFonts w:ascii="Times New Roman Bold" w:hAnsi="Times New Roman Bold" w:hint="default"/>
        <w:b/>
        <w:i w:val="0"/>
        <w:sz w:val="24"/>
      </w:rPr>
    </w:lvl>
    <w:lvl w:ilvl="2">
      <w:start w:val="1"/>
      <w:numFmt w:val="decimal"/>
      <w:suff w:val="space"/>
      <w:lvlText w:val="%2.%3"/>
      <w:lvlJc w:val="left"/>
      <w:pPr>
        <w:ind w:left="0" w:hanging="499"/>
      </w:pPr>
      <w:rPr>
        <w:rFonts w:hint="default"/>
      </w:rPr>
    </w:lvl>
    <w:lvl w:ilvl="3">
      <w:start w:val="1"/>
      <w:numFmt w:val="none"/>
      <w:suff w:val="nothing"/>
      <w:lvlText w:val=""/>
      <w:lvlJc w:val="left"/>
      <w:pPr>
        <w:ind w:left="0" w:firstLine="0"/>
      </w:pPr>
      <w:rPr>
        <w:rFonts w:hint="default"/>
      </w:rPr>
    </w:lvl>
    <w:lvl w:ilvl="4">
      <w:start w:val="1"/>
      <w:numFmt w:val="lowerLetter"/>
      <w:lvlText w:val="(%5)"/>
      <w:lvlJc w:val="left"/>
      <w:pPr>
        <w:tabs>
          <w:tab w:val="num" w:pos="1134"/>
        </w:tabs>
        <w:ind w:left="0" w:hanging="499"/>
      </w:pPr>
      <w:rPr>
        <w:rFonts w:hint="default"/>
      </w:rPr>
    </w:lvl>
    <w:lvl w:ilvl="5">
      <w:start w:val="1"/>
      <w:numFmt w:val="lowerRoman"/>
      <w:lvlText w:val="(%6)"/>
      <w:lvlJc w:val="left"/>
      <w:pPr>
        <w:tabs>
          <w:tab w:val="num" w:pos="1134"/>
        </w:tabs>
        <w:ind w:left="0" w:hanging="499"/>
      </w:pPr>
      <w:rPr>
        <w:rFonts w:hint="default"/>
      </w:rPr>
    </w:lvl>
    <w:lvl w:ilvl="6">
      <w:start w:val="1"/>
      <w:numFmt w:val="decimal"/>
      <w:lvlText w:val="%7."/>
      <w:lvlJc w:val="left"/>
      <w:pPr>
        <w:tabs>
          <w:tab w:val="num" w:pos="1134"/>
        </w:tabs>
        <w:ind w:left="0" w:hanging="499"/>
      </w:pPr>
      <w:rPr>
        <w:rFonts w:hint="default"/>
      </w:rPr>
    </w:lvl>
    <w:lvl w:ilvl="7">
      <w:start w:val="1"/>
      <w:numFmt w:val="lowerLetter"/>
      <w:lvlText w:val="%8."/>
      <w:lvlJc w:val="left"/>
      <w:pPr>
        <w:tabs>
          <w:tab w:val="num" w:pos="1134"/>
        </w:tabs>
        <w:ind w:left="0" w:hanging="499"/>
      </w:pPr>
      <w:rPr>
        <w:rFonts w:hint="default"/>
      </w:rPr>
    </w:lvl>
    <w:lvl w:ilvl="8">
      <w:start w:val="1"/>
      <w:numFmt w:val="lowerRoman"/>
      <w:lvlText w:val="%9."/>
      <w:lvlJc w:val="left"/>
      <w:pPr>
        <w:tabs>
          <w:tab w:val="num" w:pos="1134"/>
        </w:tabs>
        <w:ind w:left="0" w:hanging="499"/>
      </w:pPr>
      <w:rPr>
        <w:rFonts w:hint="default"/>
      </w:rPr>
    </w:lvl>
  </w:abstractNum>
  <w:abstractNum w:abstractNumId="22" w15:restartNumberingAfterBreak="0">
    <w:nsid w:val="5CF74542"/>
    <w:multiLevelType w:val="hybridMultilevel"/>
    <w:tmpl w:val="5BD2D9A8"/>
    <w:lvl w:ilvl="0" w:tplc="95DCC1AE">
      <w:start w:val="1"/>
      <w:numFmt w:val="bullet"/>
      <w:pStyle w:val="H5"/>
      <w:lvlText w:val="►"/>
      <w:lvlJc w:val="left"/>
      <w:pPr>
        <w:ind w:left="720" w:hanging="360"/>
      </w:pPr>
      <w:rPr>
        <w:rFonts w:ascii="Times New Roman" w:hAnsi="Times New Roman" w:cs="Times New Roman" w:hint="default"/>
        <w:b w:val="0"/>
        <w:i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D22F4D"/>
    <w:multiLevelType w:val="multilevel"/>
    <w:tmpl w:val="72CEA188"/>
    <w:lvl w:ilvl="0">
      <w:start w:val="1"/>
      <w:numFmt w:val="decimal"/>
      <w:lvlText w:val="%1"/>
      <w:lvlJc w:val="left"/>
      <w:pPr>
        <w:ind w:left="0" w:hanging="499"/>
      </w:pPr>
      <w:rPr>
        <w:rFonts w:ascii="Times New Roman" w:hAnsi="Times New Roman" w:hint="default"/>
        <w:b w:val="0"/>
        <w:i w:val="0"/>
        <w:sz w:val="36"/>
      </w:rPr>
    </w:lvl>
    <w:lvl w:ilvl="1">
      <w:start w:val="1"/>
      <w:numFmt w:val="decimal"/>
      <w:lvlText w:val="%1.%2"/>
      <w:lvlJc w:val="left"/>
      <w:pPr>
        <w:ind w:left="0" w:hanging="499"/>
      </w:pPr>
      <w:rPr>
        <w:rFonts w:ascii="Times New Roman Bold" w:hAnsi="Times New Roman Bold" w:hint="default"/>
        <w:b/>
        <w:i w:val="0"/>
        <w:sz w:val="24"/>
      </w:rPr>
    </w:lvl>
    <w:lvl w:ilvl="2">
      <w:start w:val="1"/>
      <w:numFmt w:val="decimal"/>
      <w:lvlText w:val="%1.%2.%3"/>
      <w:lvlJc w:val="left"/>
      <w:pPr>
        <w:ind w:left="0" w:hanging="499"/>
      </w:pPr>
      <w:rPr>
        <w:rFonts w:ascii="Times New Roman Bold" w:hAnsi="Times New Roman Bold" w:hint="default"/>
        <w:b/>
        <w:i w:val="0"/>
        <w:sz w:val="22"/>
      </w:rPr>
    </w:lvl>
    <w:lvl w:ilvl="3">
      <w:start w:val="1"/>
      <w:numFmt w:val="none"/>
      <w:suff w:val="nothing"/>
      <w:lvlText w:val=""/>
      <w:lvlJc w:val="left"/>
      <w:pPr>
        <w:ind w:left="0" w:firstLine="0"/>
      </w:pPr>
      <w:rPr>
        <w:rFonts w:ascii="Times New Roman" w:hAnsi="Times New Roman" w:hint="default"/>
        <w:b w:val="0"/>
        <w:i/>
        <w:sz w:val="22"/>
      </w:rPr>
    </w:lvl>
    <w:lvl w:ilvl="4">
      <w:start w:val="1"/>
      <w:numFmt w:val="none"/>
      <w:lvlText w:val=""/>
      <w:lvlJc w:val="left"/>
      <w:pPr>
        <w:ind w:left="0" w:hanging="499"/>
      </w:pPr>
      <w:rPr>
        <w:rFonts w:hint="default"/>
      </w:rPr>
    </w:lvl>
    <w:lvl w:ilvl="5">
      <w:start w:val="1"/>
      <w:numFmt w:val="none"/>
      <w:lvlText w:val=""/>
      <w:lvlJc w:val="left"/>
      <w:pPr>
        <w:ind w:left="0" w:hanging="499"/>
      </w:pPr>
      <w:rPr>
        <w:rFonts w:hint="default"/>
      </w:rPr>
    </w:lvl>
    <w:lvl w:ilvl="6">
      <w:start w:val="1"/>
      <w:numFmt w:val="none"/>
      <w:lvlText w:val=""/>
      <w:lvlJc w:val="left"/>
      <w:pPr>
        <w:ind w:left="0" w:hanging="499"/>
      </w:pPr>
      <w:rPr>
        <w:rFonts w:hint="default"/>
      </w:rPr>
    </w:lvl>
    <w:lvl w:ilvl="7">
      <w:start w:val="1"/>
      <w:numFmt w:val="none"/>
      <w:lvlText w:val=""/>
      <w:lvlJc w:val="left"/>
      <w:pPr>
        <w:ind w:left="0" w:hanging="499"/>
      </w:pPr>
      <w:rPr>
        <w:rFonts w:hint="default"/>
      </w:rPr>
    </w:lvl>
    <w:lvl w:ilvl="8">
      <w:start w:val="1"/>
      <w:numFmt w:val="none"/>
      <w:lvlText w:val=""/>
      <w:lvlJc w:val="left"/>
      <w:pPr>
        <w:ind w:left="0" w:hanging="499"/>
      </w:pPr>
      <w:rPr>
        <w:rFonts w:hint="default"/>
      </w:rPr>
    </w:lvl>
  </w:abstractNum>
  <w:abstractNum w:abstractNumId="24" w15:restartNumberingAfterBreak="0">
    <w:nsid w:val="661504CC"/>
    <w:multiLevelType w:val="multilevel"/>
    <w:tmpl w:val="72CEA188"/>
    <w:lvl w:ilvl="0">
      <w:start w:val="1"/>
      <w:numFmt w:val="decimal"/>
      <w:lvlText w:val="%1"/>
      <w:lvlJc w:val="left"/>
      <w:pPr>
        <w:ind w:left="0" w:hanging="499"/>
      </w:pPr>
      <w:rPr>
        <w:rFonts w:ascii="Times New Roman" w:hAnsi="Times New Roman" w:hint="default"/>
        <w:b w:val="0"/>
        <w:i w:val="0"/>
        <w:sz w:val="36"/>
      </w:rPr>
    </w:lvl>
    <w:lvl w:ilvl="1">
      <w:start w:val="1"/>
      <w:numFmt w:val="decimal"/>
      <w:lvlText w:val="%1.%2"/>
      <w:lvlJc w:val="left"/>
      <w:pPr>
        <w:ind w:left="0" w:hanging="499"/>
      </w:pPr>
      <w:rPr>
        <w:rFonts w:ascii="Times New Roman Bold" w:hAnsi="Times New Roman Bold" w:hint="default"/>
        <w:b/>
        <w:i w:val="0"/>
        <w:sz w:val="24"/>
      </w:rPr>
    </w:lvl>
    <w:lvl w:ilvl="2">
      <w:start w:val="1"/>
      <w:numFmt w:val="decimal"/>
      <w:lvlText w:val="%1.%2.%3"/>
      <w:lvlJc w:val="left"/>
      <w:pPr>
        <w:ind w:left="0" w:hanging="499"/>
      </w:pPr>
      <w:rPr>
        <w:rFonts w:ascii="Times New Roman Bold" w:hAnsi="Times New Roman Bold" w:hint="default"/>
        <w:b/>
        <w:i w:val="0"/>
        <w:sz w:val="22"/>
      </w:rPr>
    </w:lvl>
    <w:lvl w:ilvl="3">
      <w:start w:val="1"/>
      <w:numFmt w:val="none"/>
      <w:suff w:val="nothing"/>
      <w:lvlText w:val=""/>
      <w:lvlJc w:val="left"/>
      <w:pPr>
        <w:ind w:left="0" w:firstLine="0"/>
      </w:pPr>
      <w:rPr>
        <w:rFonts w:ascii="Times New Roman" w:hAnsi="Times New Roman" w:hint="default"/>
        <w:b w:val="0"/>
        <w:i/>
        <w:sz w:val="22"/>
      </w:rPr>
    </w:lvl>
    <w:lvl w:ilvl="4">
      <w:start w:val="1"/>
      <w:numFmt w:val="none"/>
      <w:lvlText w:val=""/>
      <w:lvlJc w:val="left"/>
      <w:pPr>
        <w:ind w:left="0" w:hanging="499"/>
      </w:pPr>
      <w:rPr>
        <w:rFonts w:hint="default"/>
      </w:rPr>
    </w:lvl>
    <w:lvl w:ilvl="5">
      <w:start w:val="1"/>
      <w:numFmt w:val="none"/>
      <w:lvlText w:val=""/>
      <w:lvlJc w:val="left"/>
      <w:pPr>
        <w:ind w:left="0" w:hanging="499"/>
      </w:pPr>
      <w:rPr>
        <w:rFonts w:hint="default"/>
      </w:rPr>
    </w:lvl>
    <w:lvl w:ilvl="6">
      <w:start w:val="1"/>
      <w:numFmt w:val="none"/>
      <w:lvlText w:val=""/>
      <w:lvlJc w:val="left"/>
      <w:pPr>
        <w:ind w:left="0" w:hanging="499"/>
      </w:pPr>
      <w:rPr>
        <w:rFonts w:hint="default"/>
      </w:rPr>
    </w:lvl>
    <w:lvl w:ilvl="7">
      <w:start w:val="1"/>
      <w:numFmt w:val="none"/>
      <w:lvlText w:val=""/>
      <w:lvlJc w:val="left"/>
      <w:pPr>
        <w:ind w:left="0" w:hanging="499"/>
      </w:pPr>
      <w:rPr>
        <w:rFonts w:hint="default"/>
      </w:rPr>
    </w:lvl>
    <w:lvl w:ilvl="8">
      <w:start w:val="1"/>
      <w:numFmt w:val="none"/>
      <w:lvlText w:val=""/>
      <w:lvlJc w:val="left"/>
      <w:pPr>
        <w:ind w:left="0" w:hanging="499"/>
      </w:pPr>
      <w:rPr>
        <w:rFonts w:hint="default"/>
      </w:rPr>
    </w:lvl>
  </w:abstractNum>
  <w:abstractNum w:abstractNumId="25" w15:restartNumberingAfterBreak="0">
    <w:nsid w:val="69DD0DB9"/>
    <w:multiLevelType w:val="multilevel"/>
    <w:tmpl w:val="72CEA188"/>
    <w:lvl w:ilvl="0">
      <w:start w:val="1"/>
      <w:numFmt w:val="decimal"/>
      <w:lvlText w:val="%1"/>
      <w:lvlJc w:val="left"/>
      <w:pPr>
        <w:ind w:left="0" w:hanging="499"/>
      </w:pPr>
      <w:rPr>
        <w:rFonts w:ascii="Times New Roman" w:hAnsi="Times New Roman" w:hint="default"/>
        <w:b w:val="0"/>
        <w:i w:val="0"/>
        <w:sz w:val="36"/>
      </w:rPr>
    </w:lvl>
    <w:lvl w:ilvl="1">
      <w:start w:val="1"/>
      <w:numFmt w:val="decimal"/>
      <w:lvlText w:val="%1.%2"/>
      <w:lvlJc w:val="left"/>
      <w:pPr>
        <w:ind w:left="0" w:hanging="499"/>
      </w:pPr>
      <w:rPr>
        <w:rFonts w:ascii="Times New Roman Bold" w:hAnsi="Times New Roman Bold" w:hint="default"/>
        <w:b/>
        <w:i w:val="0"/>
        <w:sz w:val="24"/>
      </w:rPr>
    </w:lvl>
    <w:lvl w:ilvl="2">
      <w:start w:val="1"/>
      <w:numFmt w:val="decimal"/>
      <w:lvlText w:val="%1.%2.%3"/>
      <w:lvlJc w:val="left"/>
      <w:pPr>
        <w:ind w:left="0" w:hanging="499"/>
      </w:pPr>
      <w:rPr>
        <w:rFonts w:ascii="Times New Roman Bold" w:hAnsi="Times New Roman Bold" w:hint="default"/>
        <w:b/>
        <w:i w:val="0"/>
        <w:sz w:val="22"/>
      </w:rPr>
    </w:lvl>
    <w:lvl w:ilvl="3">
      <w:start w:val="1"/>
      <w:numFmt w:val="none"/>
      <w:suff w:val="nothing"/>
      <w:lvlText w:val=""/>
      <w:lvlJc w:val="left"/>
      <w:pPr>
        <w:ind w:left="0" w:firstLine="0"/>
      </w:pPr>
      <w:rPr>
        <w:rFonts w:ascii="Times New Roman" w:hAnsi="Times New Roman" w:hint="default"/>
        <w:b w:val="0"/>
        <w:i/>
        <w:sz w:val="22"/>
      </w:rPr>
    </w:lvl>
    <w:lvl w:ilvl="4">
      <w:start w:val="1"/>
      <w:numFmt w:val="none"/>
      <w:lvlText w:val=""/>
      <w:lvlJc w:val="left"/>
      <w:pPr>
        <w:ind w:left="0" w:hanging="499"/>
      </w:pPr>
      <w:rPr>
        <w:rFonts w:hint="default"/>
      </w:rPr>
    </w:lvl>
    <w:lvl w:ilvl="5">
      <w:start w:val="1"/>
      <w:numFmt w:val="none"/>
      <w:lvlText w:val=""/>
      <w:lvlJc w:val="left"/>
      <w:pPr>
        <w:ind w:left="0" w:hanging="499"/>
      </w:pPr>
      <w:rPr>
        <w:rFonts w:hint="default"/>
      </w:rPr>
    </w:lvl>
    <w:lvl w:ilvl="6">
      <w:start w:val="1"/>
      <w:numFmt w:val="none"/>
      <w:lvlText w:val=""/>
      <w:lvlJc w:val="left"/>
      <w:pPr>
        <w:ind w:left="0" w:hanging="499"/>
      </w:pPr>
      <w:rPr>
        <w:rFonts w:hint="default"/>
      </w:rPr>
    </w:lvl>
    <w:lvl w:ilvl="7">
      <w:start w:val="1"/>
      <w:numFmt w:val="none"/>
      <w:lvlText w:val=""/>
      <w:lvlJc w:val="left"/>
      <w:pPr>
        <w:ind w:left="0" w:hanging="499"/>
      </w:pPr>
      <w:rPr>
        <w:rFonts w:hint="default"/>
      </w:rPr>
    </w:lvl>
    <w:lvl w:ilvl="8">
      <w:start w:val="1"/>
      <w:numFmt w:val="none"/>
      <w:lvlText w:val=""/>
      <w:lvlJc w:val="left"/>
      <w:pPr>
        <w:ind w:left="0" w:hanging="499"/>
      </w:pPr>
      <w:rPr>
        <w:rFonts w:hint="default"/>
      </w:rPr>
    </w:lvl>
  </w:abstractNum>
  <w:num w:numId="1">
    <w:abstractNumId w:val="9"/>
  </w:num>
  <w:num w:numId="2">
    <w:abstractNumId w:val="7"/>
  </w:num>
  <w:num w:numId="3">
    <w:abstractNumId w:val="11"/>
  </w:num>
  <w:num w:numId="4">
    <w:abstractNumId w:val="8"/>
  </w:num>
  <w:num w:numId="5">
    <w:abstractNumId w:val="13"/>
  </w:num>
  <w:num w:numId="6">
    <w:abstractNumId w:val="16"/>
  </w:num>
  <w:num w:numId="7">
    <w:abstractNumId w:val="12"/>
  </w:num>
  <w:num w:numId="8">
    <w:abstractNumId w:val="14"/>
  </w:num>
  <w:num w:numId="9">
    <w:abstractNumId w:val="22"/>
  </w:num>
  <w:num w:numId="10">
    <w:abstractNumId w:val="17"/>
  </w:num>
  <w:num w:numId="11">
    <w:abstractNumId w:val="25"/>
  </w:num>
  <w:num w:numId="12">
    <w:abstractNumId w:val="23"/>
  </w:num>
  <w:num w:numId="13">
    <w:abstractNumId w:val="24"/>
  </w:num>
  <w:num w:numId="14">
    <w:abstractNumId w:val="15"/>
  </w:num>
  <w:num w:numId="15">
    <w:abstractNumId w:val="21"/>
  </w:num>
  <w:num w:numId="16">
    <w:abstractNumId w:val="6"/>
  </w:num>
  <w:num w:numId="17">
    <w:abstractNumId w:val="5"/>
  </w:num>
  <w:num w:numId="18">
    <w:abstractNumId w:val="4"/>
  </w:num>
  <w:num w:numId="19">
    <w:abstractNumId w:val="3"/>
  </w:num>
  <w:num w:numId="20">
    <w:abstractNumId w:val="2"/>
  </w:num>
  <w:num w:numId="21">
    <w:abstractNumId w:val="1"/>
  </w:num>
  <w:num w:numId="22">
    <w:abstractNumId w:val="0"/>
  </w:num>
  <w:num w:numId="23">
    <w:abstractNumId w:val="10"/>
  </w:num>
  <w:num w:numId="24">
    <w:abstractNumId w:val="20"/>
  </w:num>
  <w:num w:numId="25">
    <w:abstractNumId w:val="19"/>
  </w:num>
  <w:num w:numId="26">
    <w:abstractNumId w:val="18"/>
  </w:num>
  <w:num w:numId="27">
    <w:abstractNumId w:val="9"/>
  </w:num>
  <w:num w:numId="28">
    <w:abstractNumId w:val="9"/>
  </w:num>
  <w:num w:numId="29">
    <w:abstractNumId w:val="9"/>
  </w:num>
  <w:num w:numId="30">
    <w:abstractNumId w:val="9"/>
  </w:num>
  <w:num w:numId="31">
    <w:abstractNumId w:val="9"/>
  </w:num>
  <w:num w:numId="32">
    <w:abstractNumId w:val="9"/>
  </w:num>
  <w:num w:numId="33">
    <w:abstractNumId w:val="9"/>
  </w:num>
  <w:num w:numId="34">
    <w:abstractNumId w:val="9"/>
  </w:num>
  <w:num w:numId="35">
    <w:abstractNumId w:val="9"/>
  </w:num>
  <w:num w:numId="36">
    <w:abstractNumId w:val="9"/>
  </w:num>
  <w:num w:numId="37">
    <w:abstractNumId w:val="9"/>
  </w:num>
  <w:num w:numId="38">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drawingGridHorizontalSpacing w:val="110"/>
  <w:drawingGridVerticalSpacing w:val="299"/>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3EB"/>
    <w:rsid w:val="00004E8E"/>
    <w:rsid w:val="00015196"/>
    <w:rsid w:val="00015295"/>
    <w:rsid w:val="00016B8F"/>
    <w:rsid w:val="000265E8"/>
    <w:rsid w:val="00031FB9"/>
    <w:rsid w:val="00044B87"/>
    <w:rsid w:val="000466BB"/>
    <w:rsid w:val="0005687C"/>
    <w:rsid w:val="00066589"/>
    <w:rsid w:val="000720C5"/>
    <w:rsid w:val="000721ED"/>
    <w:rsid w:val="00072F4B"/>
    <w:rsid w:val="0007384D"/>
    <w:rsid w:val="00077776"/>
    <w:rsid w:val="00080499"/>
    <w:rsid w:val="000849A4"/>
    <w:rsid w:val="000956E1"/>
    <w:rsid w:val="000A4875"/>
    <w:rsid w:val="000A6608"/>
    <w:rsid w:val="000A7C0A"/>
    <w:rsid w:val="000B3C38"/>
    <w:rsid w:val="000B457C"/>
    <w:rsid w:val="000C21E9"/>
    <w:rsid w:val="000C49E3"/>
    <w:rsid w:val="000C6C0D"/>
    <w:rsid w:val="000E258F"/>
    <w:rsid w:val="000E470B"/>
    <w:rsid w:val="0011386E"/>
    <w:rsid w:val="00116148"/>
    <w:rsid w:val="001165F9"/>
    <w:rsid w:val="0012041F"/>
    <w:rsid w:val="001225DD"/>
    <w:rsid w:val="00124D33"/>
    <w:rsid w:val="0012797F"/>
    <w:rsid w:val="00132974"/>
    <w:rsid w:val="001350EE"/>
    <w:rsid w:val="0013763A"/>
    <w:rsid w:val="00140E31"/>
    <w:rsid w:val="00141720"/>
    <w:rsid w:val="00151C60"/>
    <w:rsid w:val="00153EA3"/>
    <w:rsid w:val="00157D64"/>
    <w:rsid w:val="00163563"/>
    <w:rsid w:val="00163840"/>
    <w:rsid w:val="001646C8"/>
    <w:rsid w:val="00171BC2"/>
    <w:rsid w:val="001812E2"/>
    <w:rsid w:val="001820C8"/>
    <w:rsid w:val="00190BCF"/>
    <w:rsid w:val="00193324"/>
    <w:rsid w:val="00195C27"/>
    <w:rsid w:val="001A2C53"/>
    <w:rsid w:val="001A5353"/>
    <w:rsid w:val="001B4B8B"/>
    <w:rsid w:val="001C3BD5"/>
    <w:rsid w:val="001C411A"/>
    <w:rsid w:val="001C54DD"/>
    <w:rsid w:val="001C735B"/>
    <w:rsid w:val="001D45E7"/>
    <w:rsid w:val="001E4098"/>
    <w:rsid w:val="002061B5"/>
    <w:rsid w:val="002216F5"/>
    <w:rsid w:val="002222A7"/>
    <w:rsid w:val="00241591"/>
    <w:rsid w:val="00242A64"/>
    <w:rsid w:val="00245939"/>
    <w:rsid w:val="0026118E"/>
    <w:rsid w:val="00263060"/>
    <w:rsid w:val="0026545D"/>
    <w:rsid w:val="00271112"/>
    <w:rsid w:val="002750D4"/>
    <w:rsid w:val="00282B1C"/>
    <w:rsid w:val="00282F78"/>
    <w:rsid w:val="0029036C"/>
    <w:rsid w:val="00292491"/>
    <w:rsid w:val="0029355D"/>
    <w:rsid w:val="002A3622"/>
    <w:rsid w:val="002C2016"/>
    <w:rsid w:val="002D4080"/>
    <w:rsid w:val="002D5AAC"/>
    <w:rsid w:val="002E2B3F"/>
    <w:rsid w:val="002E769B"/>
    <w:rsid w:val="002F1F37"/>
    <w:rsid w:val="002F5E06"/>
    <w:rsid w:val="003110D4"/>
    <w:rsid w:val="00311272"/>
    <w:rsid w:val="00311803"/>
    <w:rsid w:val="00314AD3"/>
    <w:rsid w:val="00320F3B"/>
    <w:rsid w:val="00321F7D"/>
    <w:rsid w:val="003226EB"/>
    <w:rsid w:val="0032624F"/>
    <w:rsid w:val="00326633"/>
    <w:rsid w:val="00331A5E"/>
    <w:rsid w:val="0033356B"/>
    <w:rsid w:val="003352F4"/>
    <w:rsid w:val="00335694"/>
    <w:rsid w:val="00337756"/>
    <w:rsid w:val="00337C21"/>
    <w:rsid w:val="00341AEB"/>
    <w:rsid w:val="00350A18"/>
    <w:rsid w:val="00350C22"/>
    <w:rsid w:val="003565C1"/>
    <w:rsid w:val="003611B0"/>
    <w:rsid w:val="00372500"/>
    <w:rsid w:val="00372E2A"/>
    <w:rsid w:val="003903F0"/>
    <w:rsid w:val="003934A0"/>
    <w:rsid w:val="003C1F76"/>
    <w:rsid w:val="003C3D6D"/>
    <w:rsid w:val="003C507F"/>
    <w:rsid w:val="003C6172"/>
    <w:rsid w:val="003D05E2"/>
    <w:rsid w:val="003D0F8D"/>
    <w:rsid w:val="003D1B2A"/>
    <w:rsid w:val="003D63B0"/>
    <w:rsid w:val="003D7298"/>
    <w:rsid w:val="003E1DB8"/>
    <w:rsid w:val="003E2074"/>
    <w:rsid w:val="003E2C55"/>
    <w:rsid w:val="003E4520"/>
    <w:rsid w:val="003F58F4"/>
    <w:rsid w:val="00414199"/>
    <w:rsid w:val="00417CB6"/>
    <w:rsid w:val="00431624"/>
    <w:rsid w:val="00440BCA"/>
    <w:rsid w:val="00441210"/>
    <w:rsid w:val="004444AE"/>
    <w:rsid w:val="00444DA5"/>
    <w:rsid w:val="00457A51"/>
    <w:rsid w:val="004711D7"/>
    <w:rsid w:val="004727D7"/>
    <w:rsid w:val="004751F3"/>
    <w:rsid w:val="00480565"/>
    <w:rsid w:val="004819EE"/>
    <w:rsid w:val="00483FD1"/>
    <w:rsid w:val="00485350"/>
    <w:rsid w:val="00486181"/>
    <w:rsid w:val="00491F91"/>
    <w:rsid w:val="00495BBE"/>
    <w:rsid w:val="004A7AB7"/>
    <w:rsid w:val="004B1FD7"/>
    <w:rsid w:val="004B3D26"/>
    <w:rsid w:val="004C110E"/>
    <w:rsid w:val="004C5989"/>
    <w:rsid w:val="004E2969"/>
    <w:rsid w:val="004E3222"/>
    <w:rsid w:val="004E3F91"/>
    <w:rsid w:val="00513488"/>
    <w:rsid w:val="00517391"/>
    <w:rsid w:val="005229D2"/>
    <w:rsid w:val="00522BF7"/>
    <w:rsid w:val="0053181C"/>
    <w:rsid w:val="005365E1"/>
    <w:rsid w:val="00543566"/>
    <w:rsid w:val="005476C5"/>
    <w:rsid w:val="0055086C"/>
    <w:rsid w:val="00573118"/>
    <w:rsid w:val="0058057E"/>
    <w:rsid w:val="0058572F"/>
    <w:rsid w:val="00585A60"/>
    <w:rsid w:val="0059157B"/>
    <w:rsid w:val="00594E92"/>
    <w:rsid w:val="005C4F3F"/>
    <w:rsid w:val="005C513E"/>
    <w:rsid w:val="005C6E17"/>
    <w:rsid w:val="005D1DDC"/>
    <w:rsid w:val="005E7FC8"/>
    <w:rsid w:val="005F401B"/>
    <w:rsid w:val="006054BB"/>
    <w:rsid w:val="00607E5F"/>
    <w:rsid w:val="00616A09"/>
    <w:rsid w:val="00625D84"/>
    <w:rsid w:val="00634925"/>
    <w:rsid w:val="00637A9C"/>
    <w:rsid w:val="00637B9E"/>
    <w:rsid w:val="00641CB9"/>
    <w:rsid w:val="0064471B"/>
    <w:rsid w:val="00647B4E"/>
    <w:rsid w:val="0065056D"/>
    <w:rsid w:val="0067149E"/>
    <w:rsid w:val="00672190"/>
    <w:rsid w:val="00675DBB"/>
    <w:rsid w:val="006768BC"/>
    <w:rsid w:val="00682B77"/>
    <w:rsid w:val="00685F22"/>
    <w:rsid w:val="0069500B"/>
    <w:rsid w:val="00696966"/>
    <w:rsid w:val="006A1C1E"/>
    <w:rsid w:val="006A21BE"/>
    <w:rsid w:val="006B50E4"/>
    <w:rsid w:val="006B6523"/>
    <w:rsid w:val="006E0556"/>
    <w:rsid w:val="006E3A81"/>
    <w:rsid w:val="006F2B19"/>
    <w:rsid w:val="006F33E0"/>
    <w:rsid w:val="00703750"/>
    <w:rsid w:val="007158F8"/>
    <w:rsid w:val="0072197B"/>
    <w:rsid w:val="007230AE"/>
    <w:rsid w:val="007236F8"/>
    <w:rsid w:val="00725C37"/>
    <w:rsid w:val="00741FEA"/>
    <w:rsid w:val="00743DCD"/>
    <w:rsid w:val="007450F2"/>
    <w:rsid w:val="00752327"/>
    <w:rsid w:val="0076581D"/>
    <w:rsid w:val="00767642"/>
    <w:rsid w:val="0077536D"/>
    <w:rsid w:val="00780CD0"/>
    <w:rsid w:val="00784AB6"/>
    <w:rsid w:val="00785577"/>
    <w:rsid w:val="007A2BB9"/>
    <w:rsid w:val="007B2044"/>
    <w:rsid w:val="007B38C2"/>
    <w:rsid w:val="007C5C26"/>
    <w:rsid w:val="007C7664"/>
    <w:rsid w:val="007D382C"/>
    <w:rsid w:val="007D5A41"/>
    <w:rsid w:val="007D60B6"/>
    <w:rsid w:val="007E1879"/>
    <w:rsid w:val="007F2A33"/>
    <w:rsid w:val="0080069A"/>
    <w:rsid w:val="00812348"/>
    <w:rsid w:val="00812D3B"/>
    <w:rsid w:val="0081716A"/>
    <w:rsid w:val="00821981"/>
    <w:rsid w:val="008248DF"/>
    <w:rsid w:val="008273AC"/>
    <w:rsid w:val="00830B7D"/>
    <w:rsid w:val="008458F1"/>
    <w:rsid w:val="00851767"/>
    <w:rsid w:val="00852A7B"/>
    <w:rsid w:val="00855505"/>
    <w:rsid w:val="00865955"/>
    <w:rsid w:val="00890E1D"/>
    <w:rsid w:val="008A35BE"/>
    <w:rsid w:val="008A515A"/>
    <w:rsid w:val="008B3F33"/>
    <w:rsid w:val="008B62E5"/>
    <w:rsid w:val="008C7581"/>
    <w:rsid w:val="008D01BF"/>
    <w:rsid w:val="008D3F8A"/>
    <w:rsid w:val="008E2F10"/>
    <w:rsid w:val="008F5728"/>
    <w:rsid w:val="00903E83"/>
    <w:rsid w:val="00906B59"/>
    <w:rsid w:val="00915351"/>
    <w:rsid w:val="009175F2"/>
    <w:rsid w:val="00917DA8"/>
    <w:rsid w:val="009221EF"/>
    <w:rsid w:val="009277CC"/>
    <w:rsid w:val="0093118C"/>
    <w:rsid w:val="00935982"/>
    <w:rsid w:val="00943C68"/>
    <w:rsid w:val="00946DD7"/>
    <w:rsid w:val="00957063"/>
    <w:rsid w:val="00957D57"/>
    <w:rsid w:val="009630B7"/>
    <w:rsid w:val="009776DD"/>
    <w:rsid w:val="009803EB"/>
    <w:rsid w:val="00985537"/>
    <w:rsid w:val="00986E13"/>
    <w:rsid w:val="00994555"/>
    <w:rsid w:val="009962D7"/>
    <w:rsid w:val="009A5778"/>
    <w:rsid w:val="009B6E56"/>
    <w:rsid w:val="009C27AC"/>
    <w:rsid w:val="00A15173"/>
    <w:rsid w:val="00A17932"/>
    <w:rsid w:val="00A20F80"/>
    <w:rsid w:val="00A238D4"/>
    <w:rsid w:val="00A34EA8"/>
    <w:rsid w:val="00A46A18"/>
    <w:rsid w:val="00A547DB"/>
    <w:rsid w:val="00A554AB"/>
    <w:rsid w:val="00A6032A"/>
    <w:rsid w:val="00A66CCE"/>
    <w:rsid w:val="00A705E9"/>
    <w:rsid w:val="00A736EB"/>
    <w:rsid w:val="00A73836"/>
    <w:rsid w:val="00A82D26"/>
    <w:rsid w:val="00A8706B"/>
    <w:rsid w:val="00A918A4"/>
    <w:rsid w:val="00AA02E1"/>
    <w:rsid w:val="00AB5BDA"/>
    <w:rsid w:val="00AC1549"/>
    <w:rsid w:val="00AC7A65"/>
    <w:rsid w:val="00AD06B7"/>
    <w:rsid w:val="00AD7E0E"/>
    <w:rsid w:val="00AE0F00"/>
    <w:rsid w:val="00AF1EA6"/>
    <w:rsid w:val="00B001F8"/>
    <w:rsid w:val="00B029F2"/>
    <w:rsid w:val="00B07286"/>
    <w:rsid w:val="00B13207"/>
    <w:rsid w:val="00B14598"/>
    <w:rsid w:val="00B26E96"/>
    <w:rsid w:val="00B44DEB"/>
    <w:rsid w:val="00B55F7A"/>
    <w:rsid w:val="00B63FF4"/>
    <w:rsid w:val="00B76551"/>
    <w:rsid w:val="00B76750"/>
    <w:rsid w:val="00B80F2B"/>
    <w:rsid w:val="00B84D32"/>
    <w:rsid w:val="00B92C75"/>
    <w:rsid w:val="00B93BD1"/>
    <w:rsid w:val="00BA4A04"/>
    <w:rsid w:val="00BA70D0"/>
    <w:rsid w:val="00BA7587"/>
    <w:rsid w:val="00BA7D90"/>
    <w:rsid w:val="00BB3B88"/>
    <w:rsid w:val="00BC7CF9"/>
    <w:rsid w:val="00BD11F8"/>
    <w:rsid w:val="00BD259E"/>
    <w:rsid w:val="00BE06EA"/>
    <w:rsid w:val="00BE4026"/>
    <w:rsid w:val="00BE690D"/>
    <w:rsid w:val="00C036A6"/>
    <w:rsid w:val="00C06713"/>
    <w:rsid w:val="00C07F53"/>
    <w:rsid w:val="00C07FD3"/>
    <w:rsid w:val="00C14ABC"/>
    <w:rsid w:val="00C164D3"/>
    <w:rsid w:val="00C21F9B"/>
    <w:rsid w:val="00C23B67"/>
    <w:rsid w:val="00C34F16"/>
    <w:rsid w:val="00C45082"/>
    <w:rsid w:val="00C45312"/>
    <w:rsid w:val="00C46618"/>
    <w:rsid w:val="00C506CD"/>
    <w:rsid w:val="00C554DA"/>
    <w:rsid w:val="00C556AB"/>
    <w:rsid w:val="00C67D96"/>
    <w:rsid w:val="00C765BC"/>
    <w:rsid w:val="00C77918"/>
    <w:rsid w:val="00C80269"/>
    <w:rsid w:val="00C83981"/>
    <w:rsid w:val="00C86653"/>
    <w:rsid w:val="00C911BF"/>
    <w:rsid w:val="00CC195C"/>
    <w:rsid w:val="00CC2310"/>
    <w:rsid w:val="00CD09B7"/>
    <w:rsid w:val="00CD1E34"/>
    <w:rsid w:val="00CD4759"/>
    <w:rsid w:val="00CD6A6C"/>
    <w:rsid w:val="00CE2CB8"/>
    <w:rsid w:val="00D05BE2"/>
    <w:rsid w:val="00D05F54"/>
    <w:rsid w:val="00D22E6F"/>
    <w:rsid w:val="00D300AE"/>
    <w:rsid w:val="00D307C0"/>
    <w:rsid w:val="00D31D82"/>
    <w:rsid w:val="00D33B6F"/>
    <w:rsid w:val="00D34F31"/>
    <w:rsid w:val="00D37B16"/>
    <w:rsid w:val="00D45166"/>
    <w:rsid w:val="00D55E15"/>
    <w:rsid w:val="00D56A60"/>
    <w:rsid w:val="00D74D08"/>
    <w:rsid w:val="00D75BA7"/>
    <w:rsid w:val="00D76C81"/>
    <w:rsid w:val="00D77C8F"/>
    <w:rsid w:val="00D92ED7"/>
    <w:rsid w:val="00D93938"/>
    <w:rsid w:val="00DA4EA0"/>
    <w:rsid w:val="00DA790E"/>
    <w:rsid w:val="00DB2804"/>
    <w:rsid w:val="00DB4001"/>
    <w:rsid w:val="00DB4D36"/>
    <w:rsid w:val="00DC784E"/>
    <w:rsid w:val="00DE301F"/>
    <w:rsid w:val="00DF109D"/>
    <w:rsid w:val="00DF68E7"/>
    <w:rsid w:val="00E01CC2"/>
    <w:rsid w:val="00E10BD7"/>
    <w:rsid w:val="00E12B63"/>
    <w:rsid w:val="00E200BE"/>
    <w:rsid w:val="00E20D00"/>
    <w:rsid w:val="00E211F1"/>
    <w:rsid w:val="00E24B33"/>
    <w:rsid w:val="00E32E23"/>
    <w:rsid w:val="00E334AE"/>
    <w:rsid w:val="00E40C19"/>
    <w:rsid w:val="00E43A41"/>
    <w:rsid w:val="00E43DB9"/>
    <w:rsid w:val="00E5284D"/>
    <w:rsid w:val="00E549D2"/>
    <w:rsid w:val="00E6015D"/>
    <w:rsid w:val="00E71FF5"/>
    <w:rsid w:val="00E81B4B"/>
    <w:rsid w:val="00E82937"/>
    <w:rsid w:val="00E90E70"/>
    <w:rsid w:val="00E92DAB"/>
    <w:rsid w:val="00E96093"/>
    <w:rsid w:val="00EA1369"/>
    <w:rsid w:val="00EA7B6F"/>
    <w:rsid w:val="00EC1830"/>
    <w:rsid w:val="00EC36CC"/>
    <w:rsid w:val="00EC392B"/>
    <w:rsid w:val="00ED53E5"/>
    <w:rsid w:val="00ED6EAE"/>
    <w:rsid w:val="00EE74BA"/>
    <w:rsid w:val="00F02258"/>
    <w:rsid w:val="00F04F57"/>
    <w:rsid w:val="00F0613B"/>
    <w:rsid w:val="00F1570E"/>
    <w:rsid w:val="00F26C99"/>
    <w:rsid w:val="00F31BE5"/>
    <w:rsid w:val="00F35C08"/>
    <w:rsid w:val="00F366FF"/>
    <w:rsid w:val="00F37C68"/>
    <w:rsid w:val="00F53961"/>
    <w:rsid w:val="00F56F6A"/>
    <w:rsid w:val="00F65517"/>
    <w:rsid w:val="00F72DA4"/>
    <w:rsid w:val="00F73865"/>
    <w:rsid w:val="00F83084"/>
    <w:rsid w:val="00F84866"/>
    <w:rsid w:val="00F8526C"/>
    <w:rsid w:val="00F85C68"/>
    <w:rsid w:val="00F86258"/>
    <w:rsid w:val="00F86B41"/>
    <w:rsid w:val="00F91A02"/>
    <w:rsid w:val="00F9278A"/>
    <w:rsid w:val="00F9351A"/>
    <w:rsid w:val="00FB15EA"/>
    <w:rsid w:val="00FB321F"/>
    <w:rsid w:val="00FB49E1"/>
    <w:rsid w:val="00FC226E"/>
    <w:rsid w:val="00FC60FA"/>
    <w:rsid w:val="00FD20BE"/>
    <w:rsid w:val="00FE03DD"/>
    <w:rsid w:val="00FE5BAC"/>
    <w:rsid w:val="00FF0DBA"/>
    <w:rsid w:val="00FF16B6"/>
    <w:rsid w:val="00FF5185"/>
    <w:rsid w:val="00FF5F78"/>
    <w:rsid w:val="00FF65C7"/>
    <w:rsid w:val="00FF742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342A79A7"/>
  <w15:docId w15:val="{A19B51EA-A24F-4B34-A0BC-833B3518D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0"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5AAC"/>
    <w:pPr>
      <w:spacing w:after="240" w:line="320" w:lineRule="atLeast"/>
      <w:jc w:val="both"/>
    </w:pPr>
    <w:rPr>
      <w:rFonts w:ascii="Times New Roman" w:hAnsi="Times New Roman"/>
    </w:rPr>
  </w:style>
  <w:style w:type="paragraph" w:styleId="Ttulo1">
    <w:name w:val="heading 1"/>
    <w:next w:val="Normal"/>
    <w:link w:val="Ttulo1Car"/>
    <w:uiPriority w:val="99"/>
    <w:qFormat/>
    <w:rsid w:val="00DE301F"/>
    <w:pPr>
      <w:keepNext/>
      <w:keepLines/>
      <w:pageBreakBefore/>
      <w:numPr>
        <w:numId w:val="8"/>
      </w:numPr>
      <w:spacing w:after="600" w:line="560" w:lineRule="exact"/>
      <w:outlineLvl w:val="0"/>
    </w:pPr>
    <w:rPr>
      <w:rFonts w:ascii="Times New Roman" w:eastAsiaTheme="majorEastAsia" w:hAnsi="Times New Roman" w:cstheme="majorBidi"/>
      <w:bCs/>
      <w:sz w:val="36"/>
      <w:szCs w:val="28"/>
    </w:rPr>
  </w:style>
  <w:style w:type="paragraph" w:styleId="Ttulo2">
    <w:name w:val="heading 2"/>
    <w:basedOn w:val="Normal"/>
    <w:next w:val="Normal"/>
    <w:link w:val="Ttulo2Car"/>
    <w:uiPriority w:val="99"/>
    <w:unhideWhenUsed/>
    <w:qFormat/>
    <w:rsid w:val="00BE4026"/>
    <w:pPr>
      <w:keepNext/>
      <w:keepLines/>
      <w:numPr>
        <w:ilvl w:val="1"/>
        <w:numId w:val="8"/>
      </w:numPr>
      <w:spacing w:before="360"/>
      <w:outlineLvl w:val="1"/>
    </w:pPr>
    <w:rPr>
      <w:rFonts w:eastAsiaTheme="majorEastAsia" w:cstheme="majorBidi"/>
      <w:b/>
      <w:bCs/>
      <w:sz w:val="24"/>
      <w:szCs w:val="26"/>
    </w:rPr>
  </w:style>
  <w:style w:type="paragraph" w:styleId="Ttulo3">
    <w:name w:val="heading 3"/>
    <w:basedOn w:val="Normal"/>
    <w:next w:val="Normal"/>
    <w:link w:val="Ttulo3Car"/>
    <w:uiPriority w:val="99"/>
    <w:unhideWhenUsed/>
    <w:qFormat/>
    <w:rsid w:val="0013763A"/>
    <w:pPr>
      <w:keepNext/>
      <w:keepLines/>
      <w:numPr>
        <w:ilvl w:val="2"/>
        <w:numId w:val="8"/>
      </w:numPr>
      <w:spacing w:before="360"/>
      <w:outlineLvl w:val="2"/>
    </w:pPr>
    <w:rPr>
      <w:rFonts w:eastAsiaTheme="majorEastAsia" w:cstheme="majorBidi"/>
      <w:b/>
      <w:bCs/>
    </w:rPr>
  </w:style>
  <w:style w:type="paragraph" w:styleId="Ttulo4">
    <w:name w:val="heading 4"/>
    <w:basedOn w:val="Normal"/>
    <w:next w:val="Normal"/>
    <w:link w:val="Ttulo4Car"/>
    <w:uiPriority w:val="9"/>
    <w:unhideWhenUsed/>
    <w:qFormat/>
    <w:rsid w:val="0013763A"/>
    <w:pPr>
      <w:keepNext/>
      <w:keepLines/>
      <w:numPr>
        <w:ilvl w:val="3"/>
        <w:numId w:val="8"/>
      </w:numPr>
      <w:spacing w:before="360"/>
      <w:outlineLvl w:val="3"/>
    </w:pPr>
    <w:rPr>
      <w:rFonts w:eastAsiaTheme="majorEastAsia" w:cstheme="majorBidi"/>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convietas2">
    <w:name w:val="List Bullet 2"/>
    <w:basedOn w:val="Listaconvietas"/>
    <w:next w:val="Listaconvietas"/>
    <w:link w:val="Listaconvietas2Car"/>
    <w:uiPriority w:val="99"/>
    <w:unhideWhenUsed/>
    <w:qFormat/>
    <w:rsid w:val="00634925"/>
    <w:pPr>
      <w:keepLines/>
      <w:numPr>
        <w:numId w:val="3"/>
      </w:numPr>
    </w:pPr>
  </w:style>
  <w:style w:type="paragraph" w:styleId="Encabezado">
    <w:name w:val="header"/>
    <w:link w:val="EncabezadoCar"/>
    <w:unhideWhenUsed/>
    <w:rsid w:val="003C6172"/>
    <w:pPr>
      <w:tabs>
        <w:tab w:val="right" w:pos="9214"/>
      </w:tabs>
      <w:spacing w:after="0" w:line="260" w:lineRule="atLeast"/>
      <w:ind w:left="-499" w:right="-499"/>
      <w:jc w:val="right"/>
    </w:pPr>
    <w:rPr>
      <w:rFonts w:ascii="Arial" w:hAnsi="Arial"/>
      <w:sz w:val="16"/>
    </w:rPr>
  </w:style>
  <w:style w:type="character" w:customStyle="1" w:styleId="EncabezadoCar">
    <w:name w:val="Encabezado Car"/>
    <w:basedOn w:val="Fuentedeprrafopredeter"/>
    <w:link w:val="Encabezado"/>
    <w:uiPriority w:val="99"/>
    <w:rsid w:val="003C6172"/>
    <w:rPr>
      <w:rFonts w:ascii="Arial" w:hAnsi="Arial"/>
      <w:sz w:val="16"/>
    </w:rPr>
  </w:style>
  <w:style w:type="paragraph" w:customStyle="1" w:styleId="Border">
    <w:name w:val="Border"/>
    <w:next w:val="Descripcin"/>
    <w:qFormat/>
    <w:rsid w:val="00D74D08"/>
    <w:pPr>
      <w:keepNext/>
      <w:pBdr>
        <w:bottom w:val="single" w:sz="6" w:space="1" w:color="auto"/>
      </w:pBdr>
      <w:spacing w:after="0" w:line="320" w:lineRule="atLeast"/>
      <w:jc w:val="center"/>
    </w:pPr>
    <w:rPr>
      <w:rFonts w:ascii="Times New Roman" w:hAnsi="Times New Roman"/>
    </w:rPr>
  </w:style>
  <w:style w:type="paragraph" w:styleId="Descripcin">
    <w:name w:val="caption"/>
    <w:next w:val="Normal"/>
    <w:uiPriority w:val="35"/>
    <w:qFormat/>
    <w:rsid w:val="00FC226E"/>
    <w:pPr>
      <w:tabs>
        <w:tab w:val="left" w:pos="2041"/>
      </w:tabs>
      <w:spacing w:before="120" w:after="600" w:line="200" w:lineRule="atLeast"/>
      <w:ind w:left="1531" w:hanging="1531"/>
    </w:pPr>
    <w:rPr>
      <w:rFonts w:ascii="Arial" w:hAnsi="Arial"/>
      <w:bCs/>
      <w:i/>
      <w:sz w:val="18"/>
      <w:szCs w:val="18"/>
    </w:rPr>
  </w:style>
  <w:style w:type="paragraph" w:customStyle="1" w:styleId="Captionsmall">
    <w:name w:val="Caption: small"/>
    <w:basedOn w:val="Descripcin"/>
    <w:next w:val="Normal"/>
    <w:qFormat/>
    <w:rsid w:val="00517391"/>
    <w:pPr>
      <w:spacing w:before="0" w:after="0"/>
      <w:ind w:left="113" w:firstLine="0"/>
    </w:pPr>
  </w:style>
  <w:style w:type="paragraph" w:customStyle="1" w:styleId="Bordersmall">
    <w:name w:val="Border: small"/>
    <w:basedOn w:val="Border"/>
    <w:qFormat/>
    <w:rsid w:val="00517391"/>
    <w:pPr>
      <w:pBdr>
        <w:bottom w:val="none" w:sz="0" w:space="0" w:color="auto"/>
      </w:pBdr>
      <w:spacing w:before="120" w:after="120"/>
    </w:pPr>
  </w:style>
  <w:style w:type="paragraph" w:customStyle="1" w:styleId="Emphasised">
    <w:name w:val="Emphasised"/>
    <w:basedOn w:val="Normal"/>
    <w:qFormat/>
    <w:rsid w:val="001E4098"/>
    <w:pPr>
      <w:keepLines/>
      <w:pBdr>
        <w:top w:val="single" w:sz="2" w:space="2" w:color="auto"/>
        <w:bottom w:val="single" w:sz="2" w:space="5" w:color="auto"/>
      </w:pBdr>
      <w:ind w:left="284" w:right="284"/>
    </w:pPr>
  </w:style>
  <w:style w:type="character" w:customStyle="1" w:styleId="HeaderChar">
    <w:name w:val="Header Char"/>
    <w:basedOn w:val="Fuentedeprrafopredeter"/>
    <w:uiPriority w:val="99"/>
    <w:semiHidden/>
    <w:rsid w:val="00DB2804"/>
    <w:rPr>
      <w:rFonts w:ascii="Arial" w:hAnsi="Arial"/>
      <w:sz w:val="16"/>
    </w:rPr>
  </w:style>
  <w:style w:type="character" w:customStyle="1" w:styleId="Listaconvietas2Car">
    <w:name w:val="Lista con viñetas 2 Car"/>
    <w:basedOn w:val="Fuentedeprrafopredeter"/>
    <w:link w:val="Listaconvietas2"/>
    <w:uiPriority w:val="99"/>
    <w:rsid w:val="00634925"/>
    <w:rPr>
      <w:rFonts w:ascii="Times New Roman" w:hAnsi="Times New Roman"/>
    </w:rPr>
  </w:style>
  <w:style w:type="paragraph" w:styleId="Textonotapie">
    <w:name w:val="footnote text"/>
    <w:link w:val="TextonotapieCar"/>
    <w:uiPriority w:val="99"/>
    <w:unhideWhenUsed/>
    <w:rsid w:val="00A705E9"/>
    <w:pPr>
      <w:spacing w:after="100" w:line="240" w:lineRule="auto"/>
      <w:ind w:left="499" w:hanging="499"/>
      <w:jc w:val="both"/>
    </w:pPr>
    <w:rPr>
      <w:rFonts w:ascii="Arial" w:hAnsi="Arial"/>
      <w:sz w:val="16"/>
      <w:szCs w:val="20"/>
    </w:rPr>
  </w:style>
  <w:style w:type="character" w:customStyle="1" w:styleId="FooterChar">
    <w:name w:val="Footer Char"/>
    <w:basedOn w:val="Fuentedeprrafopredeter"/>
    <w:uiPriority w:val="99"/>
    <w:rsid w:val="004E3222"/>
    <w:rPr>
      <w:rFonts w:ascii="Arial" w:hAnsi="Arial"/>
      <w:sz w:val="16"/>
    </w:rPr>
  </w:style>
  <w:style w:type="character" w:styleId="Hipervnculo">
    <w:name w:val="Hyperlink"/>
    <w:basedOn w:val="Fuentedeprrafopredeter"/>
    <w:uiPriority w:val="99"/>
    <w:unhideWhenUsed/>
    <w:rsid w:val="000C6C0D"/>
    <w:rPr>
      <w:color w:val="auto"/>
      <w:u w:val="none"/>
    </w:rPr>
  </w:style>
  <w:style w:type="character" w:styleId="Hipervnculovisitado">
    <w:name w:val="FollowedHyperlink"/>
    <w:basedOn w:val="Fuentedeprrafopredeter"/>
    <w:uiPriority w:val="99"/>
    <w:semiHidden/>
    <w:unhideWhenUsed/>
    <w:rsid w:val="000C6C0D"/>
    <w:rPr>
      <w:color w:val="800080" w:themeColor="followedHyperlink"/>
      <w:u w:val="single"/>
    </w:rPr>
  </w:style>
  <w:style w:type="paragraph" w:styleId="Listaconvietas">
    <w:name w:val="List Bullet"/>
    <w:basedOn w:val="Normal"/>
    <w:uiPriority w:val="99"/>
    <w:unhideWhenUsed/>
    <w:qFormat/>
    <w:rsid w:val="00607E5F"/>
    <w:pPr>
      <w:numPr>
        <w:numId w:val="1"/>
      </w:numPr>
    </w:pPr>
  </w:style>
  <w:style w:type="paragraph" w:customStyle="1" w:styleId="ListBulletCompact">
    <w:name w:val="List Bullet Compact"/>
    <w:basedOn w:val="Listaconvietas"/>
    <w:qFormat/>
    <w:rsid w:val="00685F22"/>
    <w:pPr>
      <w:spacing w:after="0"/>
    </w:pPr>
  </w:style>
  <w:style w:type="paragraph" w:customStyle="1" w:styleId="ListBullet2Compact">
    <w:name w:val="List Bullet 2 Compact"/>
    <w:basedOn w:val="Listaconvietas2"/>
    <w:qFormat/>
    <w:rsid w:val="00634925"/>
    <w:pPr>
      <w:numPr>
        <w:numId w:val="10"/>
      </w:numPr>
      <w:spacing w:after="0"/>
      <w:ind w:left="714" w:hanging="357"/>
    </w:pPr>
  </w:style>
  <w:style w:type="paragraph" w:styleId="Listaconnmeros">
    <w:name w:val="List Number"/>
    <w:basedOn w:val="Normal"/>
    <w:uiPriority w:val="99"/>
    <w:unhideWhenUsed/>
    <w:rsid w:val="003934A0"/>
    <w:pPr>
      <w:numPr>
        <w:numId w:val="4"/>
      </w:numPr>
      <w:contextualSpacing/>
    </w:pPr>
  </w:style>
  <w:style w:type="paragraph" w:customStyle="1" w:styleId="Annex1">
    <w:name w:val="Annex 1"/>
    <w:next w:val="Normal"/>
    <w:qFormat/>
    <w:rsid w:val="00444DA5"/>
    <w:pPr>
      <w:keepNext/>
      <w:pageBreakBefore/>
      <w:numPr>
        <w:numId w:val="5"/>
      </w:numPr>
      <w:spacing w:after="600" w:line="560" w:lineRule="exact"/>
      <w:outlineLvl w:val="0"/>
    </w:pPr>
    <w:rPr>
      <w:rFonts w:ascii="Times New Roman" w:hAnsi="Times New Roman"/>
      <w:sz w:val="36"/>
    </w:rPr>
  </w:style>
  <w:style w:type="paragraph" w:styleId="Sangradetextonormal">
    <w:name w:val="Body Text Indent"/>
    <w:basedOn w:val="Normal"/>
    <w:link w:val="SangradetextonormalCar"/>
    <w:uiPriority w:val="99"/>
    <w:semiHidden/>
    <w:unhideWhenUsed/>
    <w:rsid w:val="00C164D3"/>
    <w:pPr>
      <w:spacing w:after="120"/>
      <w:ind w:left="283"/>
    </w:pPr>
  </w:style>
  <w:style w:type="character" w:customStyle="1" w:styleId="SangradetextonormalCar">
    <w:name w:val="Sangría de texto normal Car"/>
    <w:basedOn w:val="Fuentedeprrafopredeter"/>
    <w:link w:val="Sangradetextonormal"/>
    <w:uiPriority w:val="99"/>
    <w:semiHidden/>
    <w:rsid w:val="00C164D3"/>
    <w:rPr>
      <w:rFonts w:ascii="Times New Roman" w:hAnsi="Times New Roman"/>
    </w:rPr>
  </w:style>
  <w:style w:type="character" w:customStyle="1" w:styleId="Ttulo1Car">
    <w:name w:val="Título 1 Car"/>
    <w:basedOn w:val="Fuentedeprrafopredeter"/>
    <w:link w:val="Ttulo1"/>
    <w:uiPriority w:val="99"/>
    <w:rsid w:val="00DE301F"/>
    <w:rPr>
      <w:rFonts w:ascii="Times New Roman" w:eastAsiaTheme="majorEastAsia" w:hAnsi="Times New Roman" w:cstheme="majorBidi"/>
      <w:bCs/>
      <w:sz w:val="36"/>
      <w:szCs w:val="28"/>
    </w:rPr>
  </w:style>
  <w:style w:type="character" w:customStyle="1" w:styleId="Ttulo2Car">
    <w:name w:val="Título 2 Car"/>
    <w:basedOn w:val="Fuentedeprrafopredeter"/>
    <w:link w:val="Ttulo2"/>
    <w:uiPriority w:val="99"/>
    <w:rsid w:val="00BE4026"/>
    <w:rPr>
      <w:rFonts w:ascii="Times New Roman" w:eastAsiaTheme="majorEastAsia" w:hAnsi="Times New Roman" w:cstheme="majorBidi"/>
      <w:b/>
      <w:bCs/>
      <w:sz w:val="24"/>
      <w:szCs w:val="26"/>
    </w:rPr>
  </w:style>
  <w:style w:type="character" w:customStyle="1" w:styleId="Ttulo3Car">
    <w:name w:val="Título 3 Car"/>
    <w:basedOn w:val="Fuentedeprrafopredeter"/>
    <w:link w:val="Ttulo3"/>
    <w:uiPriority w:val="99"/>
    <w:rsid w:val="0013763A"/>
    <w:rPr>
      <w:rFonts w:ascii="Times New Roman" w:eastAsiaTheme="majorEastAsia" w:hAnsi="Times New Roman" w:cstheme="majorBidi"/>
      <w:b/>
      <w:bCs/>
    </w:rPr>
  </w:style>
  <w:style w:type="numbering" w:styleId="1ai">
    <w:name w:val="Outline List 1"/>
    <w:basedOn w:val="Sinlista"/>
    <w:uiPriority w:val="99"/>
    <w:semiHidden/>
    <w:unhideWhenUsed/>
    <w:rsid w:val="003C6172"/>
    <w:pPr>
      <w:numPr>
        <w:numId w:val="6"/>
      </w:numPr>
    </w:pPr>
  </w:style>
  <w:style w:type="character" w:customStyle="1" w:styleId="TextonotapieCar">
    <w:name w:val="Texto nota pie Car"/>
    <w:basedOn w:val="Fuentedeprrafopredeter"/>
    <w:link w:val="Textonotapie"/>
    <w:uiPriority w:val="99"/>
    <w:rsid w:val="00A705E9"/>
    <w:rPr>
      <w:rFonts w:ascii="Arial" w:hAnsi="Arial"/>
      <w:sz w:val="16"/>
      <w:szCs w:val="20"/>
    </w:rPr>
  </w:style>
  <w:style w:type="character" w:styleId="Refdenotaalpie">
    <w:name w:val="footnote reference"/>
    <w:basedOn w:val="Fuentedeprrafopredeter"/>
    <w:uiPriority w:val="99"/>
    <w:unhideWhenUsed/>
    <w:rsid w:val="00486181"/>
    <w:rPr>
      <w:rFonts w:ascii="Arial" w:hAnsi="Arial"/>
      <w:b w:val="0"/>
      <w:i w:val="0"/>
      <w:sz w:val="20"/>
      <w:vertAlign w:val="superscript"/>
    </w:rPr>
  </w:style>
  <w:style w:type="paragraph" w:styleId="Piedepgina">
    <w:name w:val="footer"/>
    <w:link w:val="PiedepginaCar"/>
    <w:uiPriority w:val="99"/>
    <w:unhideWhenUsed/>
    <w:rsid w:val="00647B4E"/>
    <w:pPr>
      <w:tabs>
        <w:tab w:val="center" w:pos="4394"/>
        <w:tab w:val="right" w:pos="9214"/>
      </w:tabs>
      <w:spacing w:after="0" w:line="260" w:lineRule="atLeast"/>
      <w:ind w:left="-499" w:right="-499"/>
    </w:pPr>
    <w:rPr>
      <w:rFonts w:ascii="Arial" w:hAnsi="Arial"/>
      <w:sz w:val="16"/>
    </w:rPr>
  </w:style>
  <w:style w:type="character" w:customStyle="1" w:styleId="PiedepginaCar">
    <w:name w:val="Pie de página Car"/>
    <w:basedOn w:val="Fuentedeprrafopredeter"/>
    <w:link w:val="Piedepgina"/>
    <w:uiPriority w:val="99"/>
    <w:rsid w:val="00647B4E"/>
    <w:rPr>
      <w:rFonts w:ascii="Arial" w:hAnsi="Arial"/>
      <w:sz w:val="16"/>
    </w:rPr>
  </w:style>
  <w:style w:type="character" w:styleId="Nmerodepgina">
    <w:name w:val="page number"/>
    <w:basedOn w:val="Fuentedeprrafopredeter"/>
    <w:unhideWhenUsed/>
    <w:rsid w:val="000A7C0A"/>
  </w:style>
  <w:style w:type="paragraph" w:customStyle="1" w:styleId="I1">
    <w:name w:val="I1"/>
    <w:basedOn w:val="Listaconvietas"/>
    <w:rsid w:val="00C21F9B"/>
  </w:style>
  <w:style w:type="paragraph" w:customStyle="1" w:styleId="II">
    <w:name w:val="II"/>
    <w:basedOn w:val="Listaconvietas2"/>
    <w:link w:val="IIChar"/>
    <w:qFormat/>
    <w:rsid w:val="007A2BB9"/>
  </w:style>
  <w:style w:type="character" w:customStyle="1" w:styleId="IIChar">
    <w:name w:val="II Char"/>
    <w:basedOn w:val="Listaconvietas2Car"/>
    <w:link w:val="II"/>
    <w:rsid w:val="007A2BB9"/>
    <w:rPr>
      <w:rFonts w:ascii="Times New Roman" w:hAnsi="Times New Roman"/>
    </w:rPr>
  </w:style>
  <w:style w:type="paragraph" w:customStyle="1" w:styleId="LL">
    <w:name w:val="LL"/>
    <w:basedOn w:val="ListBullet2Compact"/>
    <w:rsid w:val="002750D4"/>
  </w:style>
  <w:style w:type="paragraph" w:customStyle="1" w:styleId="SBSheader">
    <w:name w:val="SBS: header"/>
    <w:basedOn w:val="Normal"/>
    <w:qFormat/>
    <w:rsid w:val="007D382C"/>
    <w:pPr>
      <w:jc w:val="left"/>
    </w:pPr>
    <w:rPr>
      <w:i/>
    </w:rPr>
  </w:style>
  <w:style w:type="paragraph" w:customStyle="1" w:styleId="Tablecells">
    <w:name w:val="Table: cells"/>
    <w:qFormat/>
    <w:rsid w:val="00A73836"/>
    <w:pPr>
      <w:spacing w:before="40" w:after="40" w:line="240" w:lineRule="exact"/>
      <w:ind w:right="113"/>
    </w:pPr>
    <w:rPr>
      <w:rFonts w:ascii="Arial" w:hAnsi="Arial"/>
      <w:sz w:val="18"/>
    </w:rPr>
  </w:style>
  <w:style w:type="paragraph" w:customStyle="1" w:styleId="Tableheading">
    <w:name w:val="Table: heading"/>
    <w:basedOn w:val="Tablecells"/>
    <w:next w:val="Tablecells"/>
    <w:qFormat/>
    <w:rsid w:val="00A73836"/>
    <w:pPr>
      <w:keepNext/>
    </w:pPr>
    <w:rPr>
      <w:i/>
    </w:rPr>
  </w:style>
  <w:style w:type="paragraph" w:customStyle="1" w:styleId="Tablenote">
    <w:name w:val="Table: note"/>
    <w:basedOn w:val="Tablecells"/>
    <w:qFormat/>
    <w:rsid w:val="007236F8"/>
    <w:pPr>
      <w:pBdr>
        <w:bottom w:val="single" w:sz="4" w:space="9" w:color="auto"/>
      </w:pBdr>
      <w:spacing w:before="100" w:after="0"/>
      <w:ind w:left="357" w:right="0" w:hanging="357"/>
    </w:pPr>
  </w:style>
  <w:style w:type="paragraph" w:customStyle="1" w:styleId="Tablebullet">
    <w:name w:val="Table: bullet"/>
    <w:basedOn w:val="Tablecells"/>
    <w:qFormat/>
    <w:rsid w:val="0053181C"/>
    <w:pPr>
      <w:numPr>
        <w:numId w:val="7"/>
      </w:numPr>
      <w:ind w:left="227" w:hanging="227"/>
    </w:pPr>
  </w:style>
  <w:style w:type="paragraph" w:styleId="TDC2">
    <w:name w:val="toc 2"/>
    <w:basedOn w:val="TDC1"/>
    <w:next w:val="Normal"/>
    <w:autoRedefine/>
    <w:uiPriority w:val="39"/>
    <w:unhideWhenUsed/>
    <w:rsid w:val="00EA7B6F"/>
    <w:pPr>
      <w:keepNext w:val="0"/>
      <w:spacing w:before="0"/>
    </w:pPr>
    <w:rPr>
      <w:b w:val="0"/>
      <w:noProof/>
    </w:rPr>
  </w:style>
  <w:style w:type="paragraph" w:styleId="Textocomentario">
    <w:name w:val="annotation text"/>
    <w:basedOn w:val="Normal"/>
    <w:link w:val="TextocomentarioCar"/>
    <w:uiPriority w:val="99"/>
    <w:semiHidden/>
    <w:unhideWhenUsed/>
    <w:rsid w:val="00AD06B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D06B7"/>
    <w:rPr>
      <w:rFonts w:ascii="Times New Roman" w:hAnsi="Times New Roman"/>
      <w:sz w:val="20"/>
      <w:szCs w:val="20"/>
    </w:rPr>
  </w:style>
  <w:style w:type="character" w:customStyle="1" w:styleId="ConfidentialFooter">
    <w:name w:val="ConfidentialFooter"/>
    <w:basedOn w:val="Fuentedeprrafopredeter"/>
    <w:uiPriority w:val="1"/>
    <w:rsid w:val="00AD06B7"/>
    <w:rPr>
      <w:color w:val="FFFFFF"/>
      <w:sz w:val="2"/>
    </w:rPr>
  </w:style>
  <w:style w:type="paragraph" w:customStyle="1" w:styleId="ConfidentialFront">
    <w:name w:val="ConfidentialFront"/>
    <w:basedOn w:val="Normal"/>
    <w:qFormat/>
    <w:rsid w:val="00B13207"/>
    <w:pPr>
      <w:spacing w:before="960"/>
      <w:ind w:left="-227"/>
    </w:pPr>
    <w:rPr>
      <w:rFonts w:ascii="Arial" w:hAnsi="Arial"/>
      <w:color w:val="FFFFFF"/>
      <w:sz w:val="2"/>
    </w:rPr>
  </w:style>
  <w:style w:type="paragraph" w:customStyle="1" w:styleId="H5">
    <w:name w:val="H5"/>
    <w:basedOn w:val="Normal"/>
    <w:next w:val="Normal"/>
    <w:link w:val="H5Char"/>
    <w:qFormat/>
    <w:rsid w:val="00696966"/>
    <w:pPr>
      <w:keepNext/>
      <w:numPr>
        <w:numId w:val="9"/>
      </w:numPr>
      <w:spacing w:after="200"/>
      <w:ind w:left="357" w:hanging="357"/>
    </w:pPr>
    <w:rPr>
      <w:i/>
    </w:rPr>
  </w:style>
  <w:style w:type="character" w:customStyle="1" w:styleId="H5Char">
    <w:name w:val="H5 Char"/>
    <w:basedOn w:val="Fuentedeprrafopredeter"/>
    <w:link w:val="H5"/>
    <w:rsid w:val="00696966"/>
    <w:rPr>
      <w:rFonts w:ascii="Times New Roman" w:hAnsi="Times New Roman"/>
      <w:i/>
    </w:rPr>
  </w:style>
  <w:style w:type="paragraph" w:styleId="TDC1">
    <w:name w:val="toc 1"/>
    <w:basedOn w:val="Normal"/>
    <w:next w:val="Normal"/>
    <w:autoRedefine/>
    <w:uiPriority w:val="39"/>
    <w:semiHidden/>
    <w:unhideWhenUsed/>
    <w:rsid w:val="00830B7D"/>
    <w:pPr>
      <w:keepNext/>
      <w:tabs>
        <w:tab w:val="left" w:pos="635"/>
        <w:tab w:val="right" w:pos="8789"/>
      </w:tabs>
      <w:spacing w:before="240" w:after="0"/>
    </w:pPr>
    <w:rPr>
      <w:b/>
    </w:rPr>
  </w:style>
  <w:style w:type="paragraph" w:styleId="TDC3">
    <w:name w:val="toc 3"/>
    <w:basedOn w:val="TDC2"/>
    <w:next w:val="Normal"/>
    <w:autoRedefine/>
    <w:uiPriority w:val="39"/>
    <w:unhideWhenUsed/>
    <w:rsid w:val="00EA7B6F"/>
    <w:rPr>
      <w:sz w:val="20"/>
    </w:rPr>
  </w:style>
  <w:style w:type="paragraph" w:styleId="TDC4">
    <w:name w:val="toc 4"/>
    <w:basedOn w:val="TDC3"/>
    <w:next w:val="Normal"/>
    <w:autoRedefine/>
    <w:uiPriority w:val="39"/>
    <w:unhideWhenUsed/>
    <w:rsid w:val="00EA7B6F"/>
  </w:style>
  <w:style w:type="character" w:customStyle="1" w:styleId="Ttulo4Car">
    <w:name w:val="Título 4 Car"/>
    <w:basedOn w:val="Fuentedeprrafopredeter"/>
    <w:link w:val="Ttulo4"/>
    <w:uiPriority w:val="9"/>
    <w:rsid w:val="0013763A"/>
    <w:rPr>
      <w:rFonts w:ascii="Times New Roman" w:eastAsiaTheme="majorEastAsia" w:hAnsi="Times New Roman" w:cstheme="majorBidi"/>
      <w:bCs/>
      <w:i/>
      <w:iCs/>
    </w:rPr>
  </w:style>
  <w:style w:type="paragraph" w:customStyle="1" w:styleId="Annex2">
    <w:name w:val="Annex 2"/>
    <w:next w:val="Normal"/>
    <w:qFormat/>
    <w:rsid w:val="000C49E3"/>
    <w:pPr>
      <w:keepNext/>
      <w:numPr>
        <w:ilvl w:val="1"/>
        <w:numId w:val="5"/>
      </w:numPr>
      <w:spacing w:before="360" w:line="320" w:lineRule="atLeast"/>
    </w:pPr>
    <w:rPr>
      <w:rFonts w:ascii="Times New Roman" w:hAnsi="Times New Roman"/>
      <w:b/>
      <w:sz w:val="24"/>
    </w:rPr>
  </w:style>
  <w:style w:type="paragraph" w:customStyle="1" w:styleId="Annex3">
    <w:name w:val="Annex 3"/>
    <w:next w:val="Normal"/>
    <w:qFormat/>
    <w:rsid w:val="000C49E3"/>
    <w:pPr>
      <w:keepNext/>
      <w:numPr>
        <w:ilvl w:val="2"/>
        <w:numId w:val="5"/>
      </w:numPr>
      <w:spacing w:before="360" w:after="240" w:line="320" w:lineRule="atLeast"/>
    </w:pPr>
    <w:rPr>
      <w:rFonts w:ascii="Times New Roman" w:hAnsi="Times New Roman"/>
      <w:b/>
    </w:rPr>
  </w:style>
  <w:style w:type="paragraph" w:customStyle="1" w:styleId="Annex4">
    <w:name w:val="Annex 4"/>
    <w:next w:val="Normal"/>
    <w:qFormat/>
    <w:rsid w:val="00B001F8"/>
    <w:pPr>
      <w:keepNext/>
      <w:numPr>
        <w:ilvl w:val="3"/>
        <w:numId w:val="5"/>
      </w:numPr>
      <w:spacing w:before="360" w:after="240" w:line="320" w:lineRule="atLeast"/>
    </w:pPr>
    <w:rPr>
      <w:rFonts w:ascii="Times New Roman" w:hAnsi="Times New Roman"/>
      <w:i/>
    </w:rPr>
  </w:style>
  <w:style w:type="paragraph" w:customStyle="1" w:styleId="cvcont">
    <w:name w:val="cvcont"/>
    <w:basedOn w:val="Normal"/>
    <w:next w:val="Normal"/>
    <w:qFormat/>
    <w:rsid w:val="00D34F31"/>
    <w:pPr>
      <w:spacing w:before="300" w:line="240" w:lineRule="exact"/>
      <w:ind w:left="-499" w:right="-499"/>
      <w:jc w:val="left"/>
    </w:pPr>
    <w:rPr>
      <w:b/>
      <w:sz w:val="18"/>
    </w:rPr>
  </w:style>
  <w:style w:type="paragraph" w:customStyle="1" w:styleId="Titletype">
    <w:name w:val="Title: type"/>
    <w:next w:val="Titlemain"/>
    <w:qFormat/>
    <w:rsid w:val="00752327"/>
    <w:pPr>
      <w:spacing w:before="1160" w:after="240" w:line="510" w:lineRule="exact"/>
      <w:ind w:left="-227" w:right="2268"/>
    </w:pPr>
    <w:rPr>
      <w:rFonts w:ascii="Arial" w:eastAsiaTheme="majorEastAsia" w:hAnsi="Arial" w:cstheme="majorBidi"/>
      <w:bCs/>
      <w:color w:val="A71930"/>
      <w:spacing w:val="8"/>
      <w:sz w:val="30"/>
      <w:szCs w:val="28"/>
    </w:rPr>
  </w:style>
  <w:style w:type="paragraph" w:customStyle="1" w:styleId="Titlemain">
    <w:name w:val="Title: main"/>
    <w:next w:val="Titleauthor"/>
    <w:qFormat/>
    <w:rsid w:val="00320F3B"/>
    <w:pPr>
      <w:spacing w:after="240" w:line="510" w:lineRule="exact"/>
      <w:ind w:left="-227" w:right="2268"/>
    </w:pPr>
    <w:rPr>
      <w:rFonts w:ascii="Arial" w:eastAsiaTheme="majorEastAsia" w:hAnsi="Arial" w:cstheme="majorBidi"/>
      <w:bCs/>
      <w:color w:val="003478"/>
      <w:spacing w:val="8"/>
      <w:sz w:val="38"/>
      <w:szCs w:val="28"/>
    </w:rPr>
  </w:style>
  <w:style w:type="paragraph" w:customStyle="1" w:styleId="Titleauthor">
    <w:name w:val="Title: author"/>
    <w:basedOn w:val="Titletype"/>
    <w:next w:val="Titledate"/>
    <w:qFormat/>
    <w:rsid w:val="002061B5"/>
    <w:pPr>
      <w:spacing w:before="0"/>
    </w:pPr>
  </w:style>
  <w:style w:type="paragraph" w:customStyle="1" w:styleId="Titledate">
    <w:name w:val="Title: date"/>
    <w:basedOn w:val="Titlemain"/>
    <w:next w:val="TitleRefNo"/>
    <w:qFormat/>
    <w:rsid w:val="00AA02E1"/>
    <w:pPr>
      <w:spacing w:after="0"/>
    </w:pPr>
    <w:rPr>
      <w:i/>
      <w:sz w:val="30"/>
    </w:rPr>
  </w:style>
  <w:style w:type="paragraph" w:customStyle="1" w:styleId="TitleRefNo">
    <w:name w:val="Title: RefNo"/>
    <w:basedOn w:val="Titledate"/>
    <w:next w:val="Normal"/>
    <w:qFormat/>
    <w:rsid w:val="00FE5BAC"/>
    <w:rPr>
      <w:i w:val="0"/>
      <w:sz w:val="22"/>
    </w:rPr>
  </w:style>
  <w:style w:type="paragraph" w:customStyle="1" w:styleId="B1">
    <w:name w:val="B1"/>
    <w:basedOn w:val="Emphasised"/>
    <w:qFormat/>
    <w:rsid w:val="00C556AB"/>
  </w:style>
  <w:style w:type="paragraph" w:customStyle="1" w:styleId="Contentsheading">
    <w:name w:val="Contents: heading"/>
    <w:basedOn w:val="Normal"/>
    <w:next w:val="TDC1"/>
    <w:qFormat/>
    <w:rsid w:val="00E81B4B"/>
    <w:pPr>
      <w:spacing w:after="560" w:line="720" w:lineRule="exact"/>
    </w:pPr>
    <w:rPr>
      <w:sz w:val="40"/>
    </w:rPr>
  </w:style>
  <w:style w:type="paragraph" w:customStyle="1" w:styleId="Contentssubsection">
    <w:name w:val="Contents: subsection"/>
    <w:basedOn w:val="Normal"/>
    <w:next w:val="TDC1"/>
    <w:qFormat/>
    <w:rsid w:val="0069500B"/>
    <w:pPr>
      <w:spacing w:before="360" w:after="0"/>
    </w:pPr>
    <w:rPr>
      <w:b/>
      <w:sz w:val="26"/>
    </w:rPr>
  </w:style>
  <w:style w:type="paragraph" w:customStyle="1" w:styleId="cvhead">
    <w:name w:val="cvhead"/>
    <w:basedOn w:val="Normal"/>
    <w:next w:val="Normal"/>
    <w:qFormat/>
    <w:rsid w:val="00780CD0"/>
    <w:pPr>
      <w:keepNext/>
      <w:spacing w:after="400" w:line="400" w:lineRule="exact"/>
      <w:ind w:left="-499"/>
    </w:pPr>
    <w:rPr>
      <w:b/>
      <w:sz w:val="30"/>
    </w:rPr>
  </w:style>
  <w:style w:type="paragraph" w:customStyle="1" w:styleId="cvsec">
    <w:name w:val="cvsec"/>
    <w:basedOn w:val="Normal"/>
    <w:next w:val="Normal"/>
    <w:qFormat/>
    <w:rsid w:val="00D34F31"/>
    <w:pPr>
      <w:keepNext/>
      <w:spacing w:before="240"/>
      <w:ind w:left="-499"/>
    </w:pPr>
    <w:rPr>
      <w:b/>
    </w:rPr>
  </w:style>
  <w:style w:type="paragraph" w:customStyle="1" w:styleId="01">
    <w:name w:val="01"/>
    <w:basedOn w:val="Normal"/>
    <w:qFormat/>
    <w:rsid w:val="00C911BF"/>
    <w:pPr>
      <w:spacing w:after="0"/>
    </w:pPr>
  </w:style>
  <w:style w:type="paragraph" w:customStyle="1" w:styleId="Titleaddress">
    <w:name w:val="Title: address"/>
    <w:basedOn w:val="01"/>
    <w:qFormat/>
    <w:rsid w:val="005C4F3F"/>
    <w:pPr>
      <w:ind w:left="567"/>
    </w:pPr>
  </w:style>
  <w:style w:type="paragraph" w:customStyle="1" w:styleId="L1">
    <w:name w:val="L1"/>
    <w:basedOn w:val="ListBulletCompact"/>
    <w:qFormat/>
    <w:rsid w:val="00BB3B88"/>
  </w:style>
  <w:style w:type="paragraph" w:customStyle="1" w:styleId="Contentstitle">
    <w:name w:val="Contents: title"/>
    <w:basedOn w:val="Normal"/>
    <w:rsid w:val="001C54DD"/>
    <w:pPr>
      <w:spacing w:before="120" w:line="480" w:lineRule="exact"/>
      <w:ind w:left="567" w:right="567"/>
      <w:jc w:val="center"/>
    </w:pPr>
    <w:rPr>
      <w:rFonts w:eastAsia="Times New Roman" w:cs="Times New Roman"/>
      <w:sz w:val="38"/>
      <w:szCs w:val="20"/>
    </w:rPr>
  </w:style>
  <w:style w:type="paragraph" w:customStyle="1" w:styleId="Contentsrefno">
    <w:name w:val="Contents: refno"/>
    <w:basedOn w:val="Normal"/>
    <w:next w:val="Ttulo2"/>
    <w:rsid w:val="002D5AAC"/>
    <w:pPr>
      <w:spacing w:before="80" w:after="160" w:line="280" w:lineRule="exact"/>
      <w:jc w:val="left"/>
    </w:pPr>
    <w:rPr>
      <w:rFonts w:eastAsia="Times New Roman" w:cs="Times New Roman"/>
      <w:sz w:val="26"/>
      <w:szCs w:val="20"/>
    </w:rPr>
  </w:style>
  <w:style w:type="paragraph" w:customStyle="1" w:styleId="Contentsdate">
    <w:name w:val="Contents: date"/>
    <w:basedOn w:val="Contentsrefno"/>
    <w:rsid w:val="002D5AAC"/>
    <w:pPr>
      <w:jc w:val="right"/>
    </w:pPr>
  </w:style>
  <w:style w:type="paragraph" w:styleId="Prrafodelista">
    <w:name w:val="List Paragraph"/>
    <w:basedOn w:val="Normal"/>
    <w:uiPriority w:val="34"/>
    <w:qFormat/>
    <w:rsid w:val="009803EB"/>
    <w:pPr>
      <w:ind w:left="720"/>
      <w:contextualSpacing/>
    </w:pPr>
    <w:rPr>
      <w:rFonts w:eastAsia="Calibri" w:cs="Times New Roman"/>
      <w:lang w:val="es-ES"/>
    </w:rPr>
  </w:style>
  <w:style w:type="character" w:styleId="Textodelmarcadordeposicin">
    <w:name w:val="Placeholder Text"/>
    <w:basedOn w:val="Fuentedeprrafopredeter"/>
    <w:uiPriority w:val="99"/>
    <w:semiHidden/>
    <w:rsid w:val="009803EB"/>
    <w:rPr>
      <w:color w:val="808080"/>
    </w:rPr>
  </w:style>
  <w:style w:type="table" w:styleId="Tablaconcuadrcula">
    <w:name w:val="Table Grid"/>
    <w:basedOn w:val="Tablanormal"/>
    <w:uiPriority w:val="59"/>
    <w:rsid w:val="009803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medio2-nfasis1">
    <w:name w:val="Medium Shading 2 Accent 1"/>
    <w:basedOn w:val="Tablanormal"/>
    <w:uiPriority w:val="64"/>
    <w:rsid w:val="009803E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extodeglobo">
    <w:name w:val="Balloon Text"/>
    <w:basedOn w:val="Normal"/>
    <w:link w:val="TextodegloboCar"/>
    <w:uiPriority w:val="99"/>
    <w:semiHidden/>
    <w:unhideWhenUsed/>
    <w:rsid w:val="009803E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803EB"/>
    <w:rPr>
      <w:rFonts w:ascii="Tahoma" w:hAnsi="Tahoma" w:cs="Tahoma"/>
      <w:sz w:val="16"/>
      <w:szCs w:val="16"/>
    </w:rPr>
  </w:style>
  <w:style w:type="character" w:styleId="Refdecomentario">
    <w:name w:val="annotation reference"/>
    <w:basedOn w:val="Fuentedeprrafopredeter"/>
    <w:uiPriority w:val="99"/>
    <w:semiHidden/>
    <w:unhideWhenUsed/>
    <w:rsid w:val="00350C22"/>
    <w:rPr>
      <w:sz w:val="16"/>
      <w:szCs w:val="16"/>
    </w:rPr>
  </w:style>
  <w:style w:type="paragraph" w:styleId="Asuntodelcomentario">
    <w:name w:val="annotation subject"/>
    <w:basedOn w:val="Textocomentario"/>
    <w:next w:val="Textocomentario"/>
    <w:link w:val="AsuntodelcomentarioCar"/>
    <w:uiPriority w:val="99"/>
    <w:semiHidden/>
    <w:unhideWhenUsed/>
    <w:rsid w:val="00350C22"/>
    <w:rPr>
      <w:b/>
      <w:bCs/>
    </w:rPr>
  </w:style>
  <w:style w:type="character" w:customStyle="1" w:styleId="AsuntodelcomentarioCar">
    <w:name w:val="Asunto del comentario Car"/>
    <w:basedOn w:val="TextocomentarioCar"/>
    <w:link w:val="Asuntodelcomentario"/>
    <w:uiPriority w:val="99"/>
    <w:semiHidden/>
    <w:rsid w:val="00350C22"/>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7875223">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AnalysysMason\Templates\Simple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ECEEB889474DA94B9F68B747786921B0" ma:contentTypeVersion="0" ma:contentTypeDescription="Crear nuevo documento." ma:contentTypeScope="" ma:versionID="6ec2e770e8c827b4c671df3dc9465bfd">
  <xsd:schema xmlns:xsd="http://www.w3.org/2001/XMLSchema" xmlns:xs="http://www.w3.org/2001/XMLSchema" xmlns:p="http://schemas.microsoft.com/office/2006/metadata/properties" targetNamespace="http://schemas.microsoft.com/office/2006/metadata/properties" ma:root="true" ma:fieldsID="dad187ede1053dd323176c0832b9836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C023D-ED67-4B47-AF09-C4BEDA30D77B}">
  <ds:schemaRefs>
    <ds:schemaRef ds:uri="http://purl.org/dc/dcmitype/"/>
    <ds:schemaRef ds:uri="http://purl.org/dc/elements/1.1/"/>
    <ds:schemaRef ds:uri="http://schemas.microsoft.com/office/2006/documentManagement/types"/>
    <ds:schemaRef ds:uri="http://www.w3.org/XML/1998/namespace"/>
    <ds:schemaRef ds:uri="http://schemas.openxmlformats.org/package/2006/metadata/core-properties"/>
    <ds:schemaRef ds:uri="http://schemas.microsoft.com/office/infopath/2007/PartnerControl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00058C5A-081E-4218-B25E-5B9D101095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328EEBD-3309-4008-8D25-8C3B077BD680}">
  <ds:schemaRefs>
    <ds:schemaRef ds:uri="http://schemas.microsoft.com/sharepoint/v3/contenttype/forms"/>
  </ds:schemaRefs>
</ds:datastoreItem>
</file>

<file path=customXml/itemProps4.xml><?xml version="1.0" encoding="utf-8"?>
<ds:datastoreItem xmlns:ds="http://schemas.openxmlformats.org/officeDocument/2006/customXml" ds:itemID="{711246E0-5A3F-4A4F-AEB1-DE1819302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SimpleA4</Template>
  <TotalTime>0</TotalTime>
  <Pages>12</Pages>
  <Words>4724</Words>
  <Characters>25983</Characters>
  <Application>Microsoft Office Word</Application>
  <DocSecurity>0</DocSecurity>
  <Lines>216</Lines>
  <Paragraphs>61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Manager>
  <Company>IFT</Company>
  <LinksUpToDate>false</LinksUpToDate>
  <CharactersWithSpaces>30646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c:subject>
  <dc:creator>-</dc:creator>
  <cp:lastModifiedBy>Cesar Zamora Martinez</cp:lastModifiedBy>
  <cp:revision>2</cp:revision>
  <cp:lastPrinted>2011-01-06T16:36:00Z</cp:lastPrinted>
  <dcterms:created xsi:type="dcterms:W3CDTF">2017-09-08T17:34:00Z</dcterms:created>
  <dcterms:modified xsi:type="dcterms:W3CDTF">2017-09-08T17:34:00Z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0x010100ECEEB889474DA94B9F68B747786921B0</vt:lpwstr>
  </property>
</Properties>
</file>