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AB" w:rsidRDefault="00D32FAB" w:rsidP="00D32FAB">
      <w:pPr>
        <w:jc w:val="center"/>
        <w:rPr>
          <w:rFonts w:ascii="ITC Avant Garde" w:eastAsia="Calibri" w:hAnsi="ITC Avant Garde" w:cs="Times New Roman"/>
          <w:b/>
          <w:sz w:val="18"/>
          <w:szCs w:val="18"/>
          <w:lang w:val="es-ES"/>
        </w:rPr>
      </w:pPr>
      <w:bookmarkStart w:id="0" w:name="_Toc323285056"/>
      <w:r w:rsidRPr="00D32FAB">
        <w:rPr>
          <w:rFonts w:ascii="ITC Avant Garde" w:eastAsia="Calibri" w:hAnsi="ITC Avant Garde" w:cs="Times New Roman"/>
          <w:b/>
          <w:sz w:val="18"/>
          <w:szCs w:val="18"/>
          <w:lang w:val="es-ES"/>
        </w:rPr>
        <w:t>FORMATO PARA PARTICIPAR EN LA CONSULTA PÚBLICA</w:t>
      </w:r>
    </w:p>
    <w:p w:rsidR="000B2F3C" w:rsidRPr="00D32FAB" w:rsidRDefault="000B2F3C" w:rsidP="00D32FAB">
      <w:pPr>
        <w:jc w:val="center"/>
        <w:rPr>
          <w:rFonts w:ascii="ITC Avant Garde" w:eastAsia="Calibri" w:hAnsi="ITC Avant Garde" w:cs="Times New Roman"/>
          <w:b/>
          <w:sz w:val="18"/>
          <w:szCs w:val="18"/>
          <w:lang w:val="es-ES"/>
        </w:rPr>
      </w:pPr>
      <w:r>
        <w:rPr>
          <w:rFonts w:ascii="ITC Avant Garde" w:eastAsia="Calibri" w:hAnsi="ITC Avant Garde" w:cs="Times New Roman"/>
          <w:b/>
          <w:sz w:val="18"/>
          <w:szCs w:val="18"/>
          <w:lang w:val="es-ES"/>
        </w:rPr>
        <w:t>M</w:t>
      </w:r>
      <w:r w:rsidRPr="000B2F3C">
        <w:rPr>
          <w:rFonts w:ascii="ITC Avant Garde" w:eastAsia="Calibri" w:hAnsi="ITC Avant Garde" w:cs="Times New Roman"/>
          <w:b/>
          <w:sz w:val="18"/>
          <w:szCs w:val="18"/>
          <w:lang w:val="es-ES"/>
        </w:rPr>
        <w:t>odelo de costos incrementales de largo plazo –</w:t>
      </w:r>
      <w:r>
        <w:rPr>
          <w:rFonts w:ascii="ITC Avant Garde" w:eastAsia="Calibri" w:hAnsi="ITC Avant Garde" w:cs="Times New Roman"/>
          <w:b/>
          <w:sz w:val="18"/>
          <w:szCs w:val="18"/>
          <w:lang w:val="es-ES"/>
        </w:rPr>
        <w:t xml:space="preserve"> </w:t>
      </w:r>
      <w:r w:rsidRPr="000B2F3C">
        <w:rPr>
          <w:rFonts w:ascii="ITC Avant Garde" w:eastAsia="Calibri" w:hAnsi="ITC Avant Garde" w:cs="Times New Roman"/>
          <w:b/>
          <w:sz w:val="18"/>
          <w:szCs w:val="18"/>
          <w:lang w:val="es-ES"/>
        </w:rPr>
        <w:t>red de acceso fija</w:t>
      </w:r>
    </w:p>
    <w:p w:rsidR="00D32FAB" w:rsidRPr="00D32FAB" w:rsidRDefault="00D32FAB" w:rsidP="00D32FAB">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 xml:space="preserve">Las opiniones, comentarios y propuestas deberán ser remitidas a la siguiente dirección de correo electrónico: </w:t>
      </w:r>
      <w:hyperlink r:id="rId8" w:history="1">
        <w:r w:rsidRPr="00D32FAB">
          <w:rPr>
            <w:rStyle w:val="Hipervnculo"/>
            <w:rFonts w:ascii="ITC Avant Garde" w:eastAsia="Calibri" w:hAnsi="ITC Avant Garde" w:cs="Times New Roman"/>
            <w:sz w:val="18"/>
            <w:szCs w:val="18"/>
            <w:lang w:val="es-ES"/>
          </w:rPr>
          <w:t>modelodecostos@ift.org.mx</w:t>
        </w:r>
      </w:hyperlink>
      <w:r w:rsidRPr="00D32FAB">
        <w:rPr>
          <w:rFonts w:ascii="ITC Avant Garde" w:eastAsia="Calibri" w:hAnsi="ITC Avant Garde" w:cs="Times New Roman"/>
          <w:sz w:val="18"/>
          <w:szCs w:val="18"/>
          <w:lang w:val="es-ES"/>
        </w:rPr>
        <w:t>, en donde habrá que considerarse que la capacidad límite para la remisión de archivos es de 20 MB.</w:t>
      </w:r>
    </w:p>
    <w:p w:rsidR="00D32FAB" w:rsidRPr="00D32FAB" w:rsidRDefault="00D32FAB" w:rsidP="00D32FAB">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D32FAB" w:rsidRPr="00D32FAB" w:rsidRDefault="00D32FAB" w:rsidP="00D32FAB">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Elija la opción acorde con su consentimiento para que el IFT divulgue sus datos personales contenidos en el presente formato, así como lo relacionado con las opiniones, comentarios y propuestas que le sean remitidas.</w:t>
      </w:r>
    </w:p>
    <w:p w:rsidR="00D32FAB" w:rsidRPr="00D32FAB" w:rsidRDefault="00D32FAB" w:rsidP="00D32FAB">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Lea minuciosamente el Aviso.</w:t>
      </w:r>
    </w:p>
    <w:p w:rsidR="00D32FAB" w:rsidRPr="00D32FAB" w:rsidRDefault="00D32FAB" w:rsidP="00D32FAB">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Vierta sus comentarios al Modelo de Costos.</w:t>
      </w:r>
    </w:p>
    <w:p w:rsidR="00D32FAB" w:rsidRPr="00D32FAB" w:rsidRDefault="00D32FAB" w:rsidP="00D32FAB">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Recuerde adjuntar -a su correo electrónico- la documentación que considere conveniente.</w:t>
      </w:r>
    </w:p>
    <w:p w:rsidR="00D32FAB" w:rsidRPr="00D32FAB" w:rsidRDefault="00D32FAB" w:rsidP="00D32FAB">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 xml:space="preserve">  El período de consulta pública será del 1 de octubre al 11 de noviembre de 2015. Una vez   concluido se podrá continuar visualizando los comentarios vertidos, así como los documentos adjuntos en la siguiente dirección electrónica: </w:t>
      </w:r>
      <w:hyperlink r:id="rId9" w:history="1">
        <w:r w:rsidRPr="00D32FAB">
          <w:rPr>
            <w:rStyle w:val="Hipervnculo"/>
            <w:rFonts w:ascii="ITC Avant Garde" w:eastAsia="Calibri" w:hAnsi="ITC Avant Garde" w:cs="Times New Roman"/>
            <w:sz w:val="18"/>
            <w:szCs w:val="18"/>
            <w:lang w:val="es-ES"/>
          </w:rPr>
          <w:t>www.ift.org.mx</w:t>
        </w:r>
      </w:hyperlink>
      <w:r w:rsidRPr="00D32FAB">
        <w:rPr>
          <w:rFonts w:ascii="ITC Avant Garde" w:eastAsia="Calibri" w:hAnsi="ITC Avant Garde" w:cs="Times New Roman"/>
          <w:sz w:val="18"/>
          <w:szCs w:val="18"/>
          <w:lang w:val="es-ES"/>
        </w:rPr>
        <w:t xml:space="preserve"> ingresando a la sección “industria” subsección “consultas públicas”.</w:t>
      </w:r>
    </w:p>
    <w:p w:rsidR="00D32FAB" w:rsidRPr="00D32FAB" w:rsidRDefault="00D32FAB" w:rsidP="00D32FAB">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lastRenderedPageBreak/>
        <w:t>Para cualquier duda o comentario sobre la presente consulta pública, favor de contactar a: César Zamora Martínez, Jefe de Departamento de Resolución de Desacuerdos 2 del Instituto Federal de Telecomunicaciones, a través de los siguientes datos: cesarzamora@ift.org.mx, teléfono 50154000, extensión: 2795.</w:t>
      </w:r>
    </w:p>
    <w:p w:rsidR="00D32FAB" w:rsidRPr="00D32FAB" w:rsidRDefault="00D32FAB" w:rsidP="00D32FAB">
      <w:pPr>
        <w:keepNext/>
        <w:keepLines/>
        <w:spacing w:before="360"/>
        <w:ind w:left="-499"/>
        <w:jc w:val="center"/>
        <w:outlineLvl w:val="1"/>
        <w:rPr>
          <w:rFonts w:ascii="ITC Avant Garde" w:eastAsiaTheme="majorEastAsia" w:hAnsi="ITC Avant Garde" w:cstheme="majorBidi"/>
          <w:b/>
          <w:bCs/>
          <w:sz w:val="18"/>
          <w:szCs w:val="18"/>
          <w:lang w:val="es-ES"/>
        </w:rPr>
      </w:pPr>
      <w:r w:rsidRPr="00D32FAB">
        <w:rPr>
          <w:rFonts w:ascii="ITC Avant Garde" w:eastAsiaTheme="majorEastAsia" w:hAnsi="ITC Avant Garde" w:cstheme="majorBidi"/>
          <w:b/>
          <w:bCs/>
          <w:sz w:val="18"/>
          <w:szCs w:val="18"/>
          <w:lang w:val="es-ES"/>
        </w:rPr>
        <w:t>Datos del participante en la consulta pública</w:t>
      </w:r>
    </w:p>
    <w:tbl>
      <w:tblPr>
        <w:tblW w:w="8774" w:type="dxa"/>
        <w:jc w:val="center"/>
        <w:tblCellMar>
          <w:left w:w="70" w:type="dxa"/>
          <w:right w:w="70" w:type="dxa"/>
        </w:tblCellMar>
        <w:tblLook w:val="04A0" w:firstRow="1" w:lastRow="0" w:firstColumn="1" w:lastColumn="0" w:noHBand="0" w:noVBand="1"/>
        <w:tblCaption w:val="Datos del participante en la consulta pública"/>
        <w:tblDescription w:val="Se describen particularidades de participantes "/>
      </w:tblPr>
      <w:tblGrid>
        <w:gridCol w:w="4399"/>
        <w:gridCol w:w="4375"/>
      </w:tblGrid>
      <w:tr w:rsidR="00D32FAB" w:rsidRPr="00D32FAB" w:rsidTr="000774F6">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FAB" w:rsidRPr="00D32FAB" w:rsidRDefault="00D32FAB" w:rsidP="000774F6">
            <w:pPr>
              <w:spacing w:after="0" w:line="240" w:lineRule="auto"/>
              <w:rPr>
                <w:rFonts w:ascii="ITC Avant Garde" w:eastAsia="Times New Roman" w:hAnsi="ITC Avant Garde" w:cs="Times New Roman"/>
                <w:b/>
                <w:bCs/>
                <w:color w:val="000000"/>
                <w:sz w:val="18"/>
                <w:szCs w:val="18"/>
                <w:lang w:val="es-ES" w:eastAsia="es-MX"/>
              </w:rPr>
            </w:pPr>
            <w:r w:rsidRPr="00D32FAB">
              <w:rPr>
                <w:rFonts w:ascii="ITC Avant Garde" w:eastAsia="Times New Roman" w:hAnsi="ITC Avant Garde" w:cs="Times New Roman"/>
                <w:b/>
                <w:bCs/>
                <w:color w:val="000000"/>
                <w:sz w:val="18"/>
                <w:szCs w:val="18"/>
                <w:lang w:val="es-ES" w:eastAsia="es-MX"/>
              </w:rPr>
              <w:t>Nombre, razón social o denominación social:</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FAB" w:rsidRPr="00D32FAB" w:rsidRDefault="00D32FAB" w:rsidP="000774F6">
            <w:pPr>
              <w:spacing w:after="0" w:line="240" w:lineRule="auto"/>
              <w:jc w:val="center"/>
              <w:rPr>
                <w:rFonts w:ascii="ITC Avant Garde" w:eastAsia="Times New Roman" w:hAnsi="ITC Avant Garde" w:cs="Times New Roman"/>
                <w:color w:val="000000"/>
                <w:sz w:val="18"/>
                <w:szCs w:val="18"/>
                <w:lang w:val="es-ES" w:eastAsia="es-MX"/>
              </w:rPr>
            </w:pPr>
            <w:r w:rsidRPr="00D32FAB">
              <w:rPr>
                <w:rFonts w:ascii="ITC Avant Garde" w:eastAsia="Times New Roman" w:hAnsi="ITC Avant Garde" w:cs="Times New Roman"/>
                <w:color w:val="000000"/>
                <w:sz w:val="18"/>
                <w:szCs w:val="18"/>
                <w:lang w:val="es-ES" w:eastAsia="es-MX"/>
              </w:rPr>
              <w:t> </w:t>
            </w:r>
          </w:p>
        </w:tc>
      </w:tr>
      <w:tr w:rsidR="00D32FAB" w:rsidRPr="00D32FAB" w:rsidTr="000774F6">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FAB" w:rsidRPr="00D32FAB" w:rsidRDefault="00D32FAB" w:rsidP="000774F6">
            <w:pPr>
              <w:spacing w:after="0" w:line="240" w:lineRule="auto"/>
              <w:rPr>
                <w:rFonts w:ascii="ITC Avant Garde" w:eastAsia="Times New Roman" w:hAnsi="ITC Avant Garde" w:cs="Times New Roman"/>
                <w:b/>
                <w:bCs/>
                <w:color w:val="000000"/>
                <w:sz w:val="18"/>
                <w:szCs w:val="18"/>
                <w:lang w:val="es-ES" w:eastAsia="es-MX"/>
              </w:rPr>
            </w:pPr>
            <w:r w:rsidRPr="00D32FAB">
              <w:rPr>
                <w:rFonts w:ascii="ITC Avant Garde" w:eastAsia="Times New Roman" w:hAnsi="ITC Avant Garde" w:cs="Times New Roman"/>
                <w:b/>
                <w:bCs/>
                <w:color w:val="000000"/>
                <w:sz w:val="18"/>
                <w:szCs w:val="18"/>
                <w:lang w:val="es-ES" w:eastAsia="es-MX"/>
              </w:rPr>
              <w:t>En su caso, nombre del representante legal</w:t>
            </w:r>
            <w:r w:rsidRPr="00D32FAB">
              <w:rPr>
                <w:rFonts w:ascii="ITC Avant Garde" w:eastAsia="Times New Roman" w:hAnsi="ITC Avant Garde" w:cs="Times New Roman"/>
                <w:bCs/>
                <w:color w:val="000000"/>
                <w:sz w:val="18"/>
                <w:szCs w:val="18"/>
                <w:lang w:val="es-ES"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FAB" w:rsidRPr="00D32FAB" w:rsidRDefault="00D32FAB" w:rsidP="000774F6">
            <w:pPr>
              <w:spacing w:after="0" w:line="240" w:lineRule="auto"/>
              <w:jc w:val="center"/>
              <w:rPr>
                <w:rFonts w:ascii="ITC Avant Garde" w:eastAsia="Times New Roman" w:hAnsi="ITC Avant Garde" w:cs="Times New Roman"/>
                <w:color w:val="808080"/>
                <w:sz w:val="18"/>
                <w:szCs w:val="18"/>
                <w:lang w:val="es-ES" w:eastAsia="es-MX"/>
              </w:rPr>
            </w:pPr>
            <w:r w:rsidRPr="00D32FAB">
              <w:rPr>
                <w:rFonts w:ascii="ITC Avant Garde" w:eastAsia="Times New Roman" w:hAnsi="ITC Avant Garde" w:cs="Times New Roman"/>
                <w:color w:val="808080"/>
                <w:sz w:val="18"/>
                <w:szCs w:val="18"/>
                <w:lang w:val="es-ES" w:eastAsia="es-MX"/>
              </w:rPr>
              <w:t> </w:t>
            </w:r>
          </w:p>
        </w:tc>
      </w:tr>
      <w:tr w:rsidR="00D32FAB" w:rsidRPr="00D32FAB" w:rsidTr="000774F6">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FAB" w:rsidRPr="00D32FAB" w:rsidRDefault="00D32FAB" w:rsidP="000774F6">
            <w:pPr>
              <w:spacing w:after="0" w:line="240" w:lineRule="auto"/>
              <w:rPr>
                <w:rFonts w:ascii="ITC Avant Garde" w:eastAsia="Times New Roman" w:hAnsi="ITC Avant Garde" w:cs="Times New Roman"/>
                <w:b/>
                <w:bCs/>
                <w:color w:val="000000"/>
                <w:sz w:val="18"/>
                <w:szCs w:val="18"/>
                <w:lang w:val="es-ES" w:eastAsia="es-MX"/>
              </w:rPr>
            </w:pPr>
            <w:r w:rsidRPr="00D32FAB">
              <w:rPr>
                <w:rFonts w:ascii="ITC Avant Garde" w:eastAsia="Times New Roman" w:hAnsi="ITC Avant Garde" w:cs="Times New Roman"/>
                <w:b/>
                <w:bCs/>
                <w:color w:val="000000"/>
                <w:sz w:val="18"/>
                <w:szCs w:val="18"/>
                <w:lang w:val="es-ES" w:eastAsia="es-MX"/>
              </w:rPr>
              <w:t xml:space="preserve">Documento para la acreditación de la representación: </w:t>
            </w:r>
            <w:r w:rsidRPr="00D32FAB">
              <w:rPr>
                <w:rFonts w:ascii="ITC Avant Garde" w:eastAsia="Times New Roman" w:hAnsi="ITC Avant Garde" w:cs="Times New Roman"/>
                <w:bCs/>
                <w:color w:val="000000"/>
                <w:sz w:val="18"/>
                <w:szCs w:val="18"/>
                <w:lang w:val="es-ES" w:eastAsia="es-MX"/>
              </w:rPr>
              <w:t>(En caso de contar con representante legal, adjuntar copia digitalizada del documento que acredite dicha representación, vía correo electrónico).</w:t>
            </w:r>
          </w:p>
        </w:tc>
        <w:sdt>
          <w:sdtPr>
            <w:rPr>
              <w:rFonts w:ascii="ITC Avant Garde" w:eastAsia="Times New Roman" w:hAnsi="ITC Avant Garde" w:cs="Times New Roman"/>
              <w:color w:val="000000"/>
              <w:sz w:val="18"/>
              <w:szCs w:val="18"/>
              <w:lang w:val="es-ES" w:eastAsia="es-MX"/>
            </w:rPr>
            <w:tag w:val="(Seleccione opción)"/>
            <w:id w:val="1931310767"/>
            <w:placeholder>
              <w:docPart w:val="49489875D13F4C2BB04CF869C4F79741"/>
            </w:placeholder>
            <w:showingPlcHdr/>
            <w:comboBox>
              <w:listItem w:value="Seleccione un elemento"/>
              <w:listItem w:displayText="Acta Constitutiva" w:value="Acta Constitutiva"/>
              <w:listItem w:displayText="Poder Notarial" w:value="Poder Notarial"/>
              <w:listItem w:displayText="Carta Poder" w:value="Carta Poder"/>
            </w:comboBox>
          </w:sdt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FAB" w:rsidRPr="00D32FAB" w:rsidRDefault="00D32FAB" w:rsidP="000774F6">
                <w:pPr>
                  <w:spacing w:after="0" w:line="240" w:lineRule="auto"/>
                  <w:jc w:val="center"/>
                  <w:rPr>
                    <w:rFonts w:ascii="ITC Avant Garde" w:eastAsia="Times New Roman" w:hAnsi="ITC Avant Garde" w:cs="Times New Roman"/>
                    <w:color w:val="000000"/>
                    <w:sz w:val="18"/>
                    <w:szCs w:val="18"/>
                    <w:lang w:val="es-ES" w:eastAsia="es-MX"/>
                  </w:rPr>
                </w:pPr>
                <w:r w:rsidRPr="00D32FAB">
                  <w:rPr>
                    <w:rFonts w:ascii="ITC Avant Garde" w:eastAsia="Calibri" w:hAnsi="ITC Avant Garde" w:cs="Times New Roman"/>
                    <w:color w:val="808080"/>
                    <w:sz w:val="18"/>
                    <w:szCs w:val="18"/>
                    <w:lang w:val="es-ES"/>
                  </w:rPr>
                  <w:t>Elija un elemento.</w:t>
                </w:r>
              </w:p>
            </w:tc>
          </w:sdtContent>
        </w:sdt>
      </w:tr>
      <w:tr w:rsidR="00D32FAB" w:rsidRPr="00D32FAB" w:rsidTr="000774F6">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FAB" w:rsidRPr="00D32FAB" w:rsidRDefault="00D32FAB" w:rsidP="000774F6">
            <w:pPr>
              <w:spacing w:after="0" w:line="240" w:lineRule="auto"/>
              <w:rPr>
                <w:rFonts w:ascii="ITC Avant Garde" w:eastAsia="Times New Roman" w:hAnsi="ITC Avant Garde" w:cs="Times New Roman"/>
                <w:color w:val="000000"/>
                <w:sz w:val="18"/>
                <w:szCs w:val="18"/>
                <w:lang w:val="es-ES" w:eastAsia="es-MX"/>
              </w:rPr>
            </w:pPr>
            <w:r w:rsidRPr="00D32FAB">
              <w:rPr>
                <w:rFonts w:ascii="ITC Avant Garde" w:eastAsia="Times New Roman" w:hAnsi="ITC Avant Garde" w:cs="Times New Roman"/>
                <w:color w:val="000000"/>
                <w:sz w:val="18"/>
                <w:szCs w:val="18"/>
                <w:lang w:val="es-ES"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s="Times New Roman"/>
              <w:color w:val="000000"/>
              <w:sz w:val="18"/>
              <w:szCs w:val="18"/>
              <w:lang w:val="es-ES" w:eastAsia="es-MX"/>
            </w:rPr>
            <w:tag w:val="(Seleccione opción)"/>
            <w:id w:val="168676819"/>
            <w:placeholder>
              <w:docPart w:val="F119039775A44C988F093962CE16C56E"/>
            </w:placeholder>
            <w:showingPlcHdr/>
            <w:comboBox>
              <w:listItem w:value="Seleccione un elemento"/>
              <w:listItem w:displayText="Estoy de acuerdo" w:value="Estoy de acuerdo"/>
              <w:listItem w:displayText="No estoy de acuerdo" w:value="No estoy de acuerdo"/>
            </w:comboBox>
          </w:sdt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FAB" w:rsidRPr="00D32FAB" w:rsidRDefault="00D32FAB" w:rsidP="000774F6">
                <w:pPr>
                  <w:spacing w:after="0" w:line="240" w:lineRule="auto"/>
                  <w:jc w:val="center"/>
                  <w:rPr>
                    <w:rFonts w:ascii="ITC Avant Garde" w:eastAsia="Times New Roman" w:hAnsi="ITC Avant Garde" w:cs="Times New Roman"/>
                    <w:color w:val="000000"/>
                    <w:sz w:val="18"/>
                    <w:szCs w:val="18"/>
                    <w:lang w:val="es-ES" w:eastAsia="es-MX"/>
                  </w:rPr>
                </w:pPr>
                <w:r w:rsidRPr="00D32FAB">
                  <w:rPr>
                    <w:rFonts w:ascii="ITC Avant Garde" w:eastAsia="Calibri" w:hAnsi="ITC Avant Garde" w:cs="Times New Roman"/>
                    <w:color w:val="808080"/>
                    <w:sz w:val="18"/>
                    <w:szCs w:val="18"/>
                    <w:lang w:val="es-ES"/>
                  </w:rPr>
                  <w:t>Elija un elemento.</w:t>
                </w:r>
              </w:p>
            </w:tc>
          </w:sdtContent>
        </w:sdt>
      </w:tr>
      <w:tr w:rsidR="00D32FAB" w:rsidRPr="00D32FAB" w:rsidTr="000774F6">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32FAB" w:rsidRPr="00D32FAB" w:rsidRDefault="00D32FAB" w:rsidP="000774F6">
            <w:pPr>
              <w:spacing w:after="0" w:line="240" w:lineRule="auto"/>
              <w:jc w:val="center"/>
              <w:rPr>
                <w:rFonts w:ascii="ITC Avant Garde" w:eastAsia="Times New Roman" w:hAnsi="ITC Avant Garde" w:cs="Times New Roman"/>
                <w:b/>
                <w:bCs/>
                <w:color w:val="000000"/>
                <w:sz w:val="18"/>
                <w:szCs w:val="18"/>
                <w:lang w:val="es-ES" w:eastAsia="es-MX"/>
              </w:rPr>
            </w:pPr>
            <w:r w:rsidRPr="00D32FAB">
              <w:rPr>
                <w:rFonts w:ascii="ITC Avant Garde" w:eastAsia="Times New Roman" w:hAnsi="ITC Avant Garde" w:cs="Times New Roman"/>
                <w:b/>
                <w:bCs/>
                <w:color w:val="000000"/>
                <w:sz w:val="18"/>
                <w:szCs w:val="18"/>
                <w:lang w:val="es-ES" w:eastAsia="es-MX"/>
              </w:rPr>
              <w:t>AVISO IMPORTANTE</w:t>
            </w:r>
          </w:p>
        </w:tc>
      </w:tr>
      <w:tr w:rsidR="00D32FAB" w:rsidRPr="00D32FAB" w:rsidTr="000774F6">
        <w:trPr>
          <w:trHeight w:val="274"/>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2FAB" w:rsidRPr="00D32FAB" w:rsidRDefault="00D32FAB" w:rsidP="000774F6">
            <w:pPr>
              <w:spacing w:after="0" w:line="240" w:lineRule="auto"/>
              <w:rPr>
                <w:rFonts w:ascii="ITC Avant Garde" w:eastAsia="Times New Roman" w:hAnsi="ITC Avant Garde" w:cs="Times New Roman"/>
                <w:color w:val="000000"/>
                <w:sz w:val="18"/>
                <w:szCs w:val="18"/>
                <w:lang w:val="es-ES" w:eastAsia="es-MX"/>
              </w:rPr>
            </w:pPr>
            <w:r w:rsidRPr="00D32FAB">
              <w:rPr>
                <w:rFonts w:ascii="ITC Avant Garde" w:eastAsia="Times New Roman" w:hAnsi="ITC Avant Garde" w:cs="Times New Roman"/>
                <w:color w:val="000000"/>
                <w:sz w:val="18"/>
                <w:szCs w:val="18"/>
                <w:lang w:val="es-ES" w:eastAsia="es-MX"/>
              </w:rPr>
              <w:t xml:space="preserve">Los </w:t>
            </w:r>
            <w:r w:rsidRPr="00D32FAB">
              <w:rPr>
                <w:rFonts w:ascii="ITC Avant Garde" w:eastAsia="Calibri" w:hAnsi="ITC Avant Garde" w:cs="Times New Roman"/>
                <w:sz w:val="18"/>
                <w:szCs w:val="18"/>
                <w:lang w:val="es-ES"/>
              </w:rPr>
              <w:t xml:space="preserve"> </w:t>
            </w:r>
            <w:r w:rsidRPr="00D32FAB">
              <w:rPr>
                <w:rFonts w:ascii="ITC Avant Garde" w:eastAsia="Times New Roman" w:hAnsi="ITC Avant Garde" w:cs="Times New Roman"/>
                <w:color w:val="000000"/>
                <w:sz w:val="18"/>
                <w:szCs w:val="18"/>
                <w:lang w:val="es-ES"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rsidR="00D32FAB" w:rsidRPr="00D32FAB" w:rsidRDefault="00D32FAB" w:rsidP="00D32FAB">
      <w:pPr>
        <w:rPr>
          <w:rFonts w:ascii="ITC Avant Garde" w:eastAsia="Calibri" w:hAnsi="ITC Avant Garde" w:cs="Times New Roman"/>
          <w:b/>
          <w:sz w:val="18"/>
          <w:szCs w:val="18"/>
          <w:lang w:val="es-ES"/>
        </w:rPr>
      </w:pPr>
    </w:p>
    <w:p w:rsidR="00D32FAB" w:rsidRPr="00D32FAB" w:rsidRDefault="00D32FAB" w:rsidP="00D32FAB">
      <w:pPr>
        <w:rPr>
          <w:rFonts w:ascii="ITC Avant Garde" w:eastAsia="Calibri" w:hAnsi="ITC Avant Garde" w:cs="Times New Roman"/>
          <w:sz w:val="18"/>
          <w:szCs w:val="18"/>
          <w:lang w:val="es-ES"/>
        </w:rPr>
      </w:pPr>
      <w:r w:rsidRPr="00D32FAB">
        <w:rPr>
          <w:rFonts w:ascii="ITC Avant Garde" w:eastAsia="Calibri" w:hAnsi="ITC Avant Garde" w:cs="Times New Roman"/>
          <w:b/>
          <w:sz w:val="18"/>
          <w:szCs w:val="18"/>
          <w:lang w:val="es-ES"/>
        </w:rPr>
        <w:t>1.-</w:t>
      </w:r>
      <w:r w:rsidRPr="00D32FAB">
        <w:rPr>
          <w:rFonts w:ascii="ITC Avant Garde" w:eastAsia="Calibri" w:hAnsi="ITC Avant Garde" w:cs="Times New Roman"/>
          <w:sz w:val="18"/>
          <w:szCs w:val="18"/>
          <w:lang w:val="es-ES"/>
        </w:rPr>
        <w:t xml:space="preserve">  </w:t>
      </w:r>
      <w:r w:rsidRPr="00D32FAB">
        <w:rPr>
          <w:rFonts w:ascii="ITC Avant Garde" w:eastAsia="Calibri" w:hAnsi="ITC Avant Garde" w:cs="Times New Roman"/>
          <w:b/>
          <w:sz w:val="18"/>
          <w:szCs w:val="18"/>
          <w:lang w:val="es-ES"/>
        </w:rPr>
        <w:t>Cuestiones sometidas a consulta</w:t>
      </w:r>
      <w:bookmarkEnd w:id="0"/>
    </w:p>
    <w:p w:rsidR="00D32FAB" w:rsidRPr="00D32FAB" w:rsidRDefault="00D32FAB" w:rsidP="00D32FAB">
      <w:pPr>
        <w:keepNext/>
        <w:keepLines/>
        <w:numPr>
          <w:ilvl w:val="1"/>
          <w:numId w:val="8"/>
        </w:numPr>
        <w:spacing w:before="360"/>
        <w:outlineLvl w:val="1"/>
        <w:rPr>
          <w:rFonts w:ascii="ITC Avant Garde" w:eastAsiaTheme="majorEastAsia" w:hAnsi="ITC Avant Garde" w:cstheme="majorBidi"/>
          <w:b/>
          <w:bCs/>
          <w:sz w:val="18"/>
          <w:szCs w:val="18"/>
          <w:lang w:val="es-ES"/>
        </w:rPr>
      </w:pPr>
      <w:r w:rsidRPr="00D32FAB">
        <w:rPr>
          <w:rFonts w:ascii="ITC Avant Garde" w:eastAsiaTheme="majorEastAsia" w:hAnsi="ITC Avant Garde" w:cstheme="majorBidi"/>
          <w:b/>
          <w:bCs/>
          <w:sz w:val="18"/>
          <w:szCs w:val="18"/>
          <w:lang w:val="es-ES"/>
        </w:rPr>
        <w:lastRenderedPageBreak/>
        <w:t xml:space="preserve">Instructivo  </w:t>
      </w:r>
    </w:p>
    <w:p w:rsidR="00D32FAB" w:rsidRPr="00D32FAB" w:rsidRDefault="00D32FAB" w:rsidP="00D32FAB">
      <w:pPr>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 xml:space="preserve">Todos los concesionarios, permisionarios, autorizados y público en general, que deseen participar en la presente consulta pública sobre el </w:t>
      </w:r>
      <w:r w:rsidRPr="00D32FAB">
        <w:rPr>
          <w:rFonts w:ascii="ITC Avant Garde" w:eastAsia="Calibri" w:hAnsi="ITC Avant Garde" w:cs="Times New Roman"/>
          <w:sz w:val="18"/>
          <w:szCs w:val="18"/>
          <w:lang w:val="es-ES_tradnl"/>
        </w:rPr>
        <w:t>sobre el modelo de costos de la red de acceso fija</w:t>
      </w:r>
      <w:r w:rsidRPr="00D32FAB">
        <w:rPr>
          <w:rFonts w:ascii="ITC Avant Garde" w:eastAsia="Calibri" w:hAnsi="ITC Avant Garde" w:cs="Times New Roman"/>
          <w:sz w:val="18"/>
          <w:szCs w:val="18"/>
          <w:lang w:val="es-ES"/>
        </w:rPr>
        <w:t xml:space="preserve"> podrán utilizar el presente formato, el cual contiene preguntas específicas sobre los principales conceptos utilizados en el modelo de costos propuesto y sobre el respectivo documento de apoyo “</w:t>
      </w:r>
      <w:r w:rsidRPr="00D32FAB">
        <w:rPr>
          <w:rFonts w:ascii="ITC Avant Garde" w:eastAsia="Calibri" w:hAnsi="ITC Avant Garde" w:cs="Times New Roman"/>
          <w:sz w:val="18"/>
          <w:szCs w:val="18"/>
          <w:lang w:val="es-ES_tradnl"/>
        </w:rPr>
        <w:t>Modelo de costos de la red de acceso fija.p</w:t>
      </w:r>
      <w:r w:rsidR="00C664CC">
        <w:rPr>
          <w:rFonts w:ascii="ITC Avant Garde" w:eastAsia="Calibri" w:hAnsi="ITC Avant Garde" w:cs="Times New Roman"/>
          <w:sz w:val="18"/>
          <w:szCs w:val="18"/>
          <w:lang w:val="es-ES_tradnl"/>
        </w:rPr>
        <w:t>df</w:t>
      </w:r>
      <w:r w:rsidRPr="00D32FAB">
        <w:rPr>
          <w:rFonts w:ascii="ITC Avant Garde" w:eastAsia="Calibri" w:hAnsi="ITC Avant Garde" w:cs="Times New Roman"/>
          <w:sz w:val="18"/>
          <w:szCs w:val="18"/>
          <w:lang w:val="es-ES_tradnl"/>
        </w:rPr>
        <w:t>”</w:t>
      </w:r>
      <w:r w:rsidRPr="00D32FAB">
        <w:rPr>
          <w:rFonts w:ascii="ITC Avant Garde" w:eastAsia="Calibri" w:hAnsi="ITC Avant Garde" w:cs="Times New Roman"/>
          <w:sz w:val="18"/>
          <w:szCs w:val="18"/>
          <w:lang w:val="es-ES"/>
        </w:rPr>
        <w:t xml:space="preserve"> No obstante, se podrán realizar comentarios acerca de cualquier otro aspecto relacionado con el modelo y la documentación asociada que forma parte de la consulta. </w:t>
      </w:r>
    </w:p>
    <w:p w:rsidR="00D32FAB" w:rsidRPr="00D32FAB" w:rsidRDefault="00D32FAB" w:rsidP="00D32FAB">
      <w:pPr>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 xml:space="preserve">Se invita a los participantes a la consulta a aportar información y comentarios sobre la estructura y el diseño de cada uno de los módulos que componen el modelo de costos. Las aportaciones permitirán a este Instituto fortalecer el modelo y sus resultados, y en su caso valorar la posibilidad de realizar una </w:t>
      </w:r>
      <w:proofErr w:type="spellStart"/>
      <w:r w:rsidRPr="00D32FAB">
        <w:rPr>
          <w:rFonts w:ascii="ITC Avant Garde" w:eastAsia="Calibri" w:hAnsi="ITC Avant Garde" w:cs="Times New Roman"/>
          <w:sz w:val="18"/>
          <w:szCs w:val="18"/>
          <w:lang w:val="es-ES"/>
        </w:rPr>
        <w:t>recalibración</w:t>
      </w:r>
      <w:proofErr w:type="spellEnd"/>
      <w:r w:rsidRPr="00D32FAB">
        <w:rPr>
          <w:rFonts w:ascii="ITC Avant Garde" w:eastAsia="Calibri" w:hAnsi="ITC Avant Garde" w:cs="Times New Roman"/>
          <w:sz w:val="18"/>
          <w:szCs w:val="18"/>
          <w:lang w:val="es-ES"/>
        </w:rPr>
        <w:t xml:space="preserve"> del mismo.</w:t>
      </w:r>
      <w:r w:rsidRPr="00D32FAB">
        <w:rPr>
          <w:rFonts w:ascii="ITC Avant Garde" w:eastAsia="Calibri" w:hAnsi="ITC Avant Garde" w:cs="Times New Roman"/>
          <w:color w:val="0000FF"/>
          <w:sz w:val="18"/>
          <w:szCs w:val="18"/>
          <w:lang w:val="es-ES"/>
        </w:rPr>
        <w:t xml:space="preserve"> </w:t>
      </w:r>
    </w:p>
    <w:p w:rsidR="00D32FAB" w:rsidRPr="00D32FAB" w:rsidRDefault="00D32FAB" w:rsidP="00D32FAB">
      <w:pPr>
        <w:rPr>
          <w:rFonts w:ascii="ITC Avant Garde" w:eastAsia="Calibri" w:hAnsi="ITC Avant Garde" w:cs="Times New Roman"/>
          <w:sz w:val="18"/>
          <w:szCs w:val="18"/>
          <w:lang w:val="es-ES"/>
        </w:rPr>
      </w:pPr>
      <w:r w:rsidRPr="00D32FAB">
        <w:rPr>
          <w:rFonts w:ascii="ITC Avant Garde" w:eastAsia="Calibri" w:hAnsi="ITC Avant Garde" w:cs="Times New Roman"/>
          <w:sz w:val="18"/>
          <w:szCs w:val="18"/>
          <w:lang w:val="es-ES"/>
        </w:rPr>
        <w:t>El modelo de costos está disponible en formato Microsoft Excel, con el objetivo de dotar de transparencia al proceso y facilitar la compresión por parte de los participantes sobre los parámetros específicos utilizados en su construcción.</w:t>
      </w:r>
    </w:p>
    <w:p w:rsidR="00D32FAB" w:rsidRPr="00D32FAB" w:rsidRDefault="00D32FAB" w:rsidP="00D32FAB">
      <w:pPr>
        <w:rPr>
          <w:rFonts w:ascii="ITC Avant Garde" w:eastAsia="Calibri" w:hAnsi="ITC Avant Garde" w:cs="Times New Roman"/>
          <w:bCs/>
          <w:sz w:val="18"/>
          <w:szCs w:val="18"/>
          <w:lang w:val="es-MX"/>
        </w:rPr>
      </w:pPr>
      <w:r w:rsidRPr="00D32FAB">
        <w:rPr>
          <w:rFonts w:ascii="ITC Avant Garde" w:eastAsia="Calibri" w:hAnsi="ITC Avant Garde" w:cs="Times New Roman"/>
          <w:sz w:val="18"/>
          <w:szCs w:val="18"/>
          <w:lang w:val="es-ES"/>
        </w:rPr>
        <w:t xml:space="preserve">El </w:t>
      </w:r>
      <w:r w:rsidRPr="00D32FAB">
        <w:rPr>
          <w:rFonts w:ascii="ITC Avant Garde" w:eastAsia="Calibri" w:hAnsi="ITC Avant Garde" w:cs="Times New Roman"/>
          <w:sz w:val="18"/>
          <w:szCs w:val="18"/>
          <w:lang w:val="es-ES_tradnl"/>
        </w:rPr>
        <w:t>modelo de costos de la red de acceso fija</w:t>
      </w:r>
      <w:r w:rsidRPr="00D32FAB">
        <w:rPr>
          <w:rFonts w:ascii="ITC Avant Garde" w:eastAsia="Calibri" w:hAnsi="ITC Avant Garde" w:cs="Times New Roman"/>
          <w:sz w:val="18"/>
          <w:szCs w:val="18"/>
          <w:lang w:val="es-ES"/>
        </w:rPr>
        <w:t xml:space="preserve"> no muestra los resultados finales de las tarifas de los diferentes servicios, toda vez que </w:t>
      </w:r>
      <w:r w:rsidRPr="00D32FAB">
        <w:rPr>
          <w:rFonts w:ascii="ITC Avant Garde" w:eastAsia="Calibri" w:hAnsi="ITC Avant Garde" w:cs="Times New Roman"/>
          <w:bCs/>
          <w:sz w:val="18"/>
          <w:szCs w:val="18"/>
          <w:lang w:val="es-MX"/>
        </w:rPr>
        <w:t xml:space="preserve">el objetivo de la consulta pública es el análisis del modelo, por lo que los resultados podrían modificarse derivado de circunstancias particulares de cada caso y eventualmente si el Instituto considera procedente realizar algún ajuste a partir de comentarios vertidos a través de la consulta pública. </w:t>
      </w:r>
      <w:r w:rsidRPr="00D32FAB">
        <w:rPr>
          <w:rFonts w:ascii="ITC Avant Garde" w:eastAsia="Calibri" w:hAnsi="ITC Avant Garde" w:cs="Times New Roman"/>
          <w:sz w:val="18"/>
          <w:szCs w:val="18"/>
          <w:lang w:val="es-ES"/>
        </w:rPr>
        <w:t xml:space="preserve">No obstante, </w:t>
      </w:r>
      <w:r w:rsidRPr="00D32FAB">
        <w:rPr>
          <w:rFonts w:ascii="ITC Avant Garde" w:eastAsia="Calibri" w:hAnsi="ITC Avant Garde" w:cs="Times New Roman"/>
          <w:bCs/>
          <w:sz w:val="18"/>
          <w:szCs w:val="18"/>
          <w:lang w:val="es-ES"/>
        </w:rPr>
        <w:t xml:space="preserve">a manera ilustrativa, </w:t>
      </w:r>
      <w:r w:rsidRPr="00D32FAB">
        <w:rPr>
          <w:rFonts w:ascii="ITC Avant Garde" w:eastAsia="Calibri" w:hAnsi="ITC Avant Garde" w:cs="Times New Roman"/>
          <w:sz w:val="18"/>
          <w:szCs w:val="18"/>
          <w:lang w:val="es-ES"/>
        </w:rPr>
        <w:t>los resultados mostrados por el mo</w:t>
      </w:r>
      <w:r w:rsidRPr="00D32FAB">
        <w:rPr>
          <w:rFonts w:ascii="ITC Avant Garde" w:eastAsia="Calibri" w:hAnsi="ITC Avant Garde" w:cs="Times New Roman"/>
          <w:sz w:val="18"/>
          <w:szCs w:val="18"/>
          <w:lang w:val="es-ES"/>
        </w:rPr>
        <w:lastRenderedPageBreak/>
        <w:t xml:space="preserve">delo se basan en una selección de variables específicas que permiten a </w:t>
      </w:r>
      <w:r w:rsidRPr="00D32FAB">
        <w:rPr>
          <w:rFonts w:ascii="ITC Avant Garde" w:eastAsia="Calibri" w:hAnsi="ITC Avant Garde" w:cs="Times New Roman"/>
          <w:bCs/>
          <w:sz w:val="18"/>
          <w:szCs w:val="18"/>
          <w:lang w:val="es-MX"/>
        </w:rPr>
        <w:t>concesionarios, permisionarios, autorizados</w:t>
      </w:r>
      <w:r w:rsidRPr="00D32FAB">
        <w:rPr>
          <w:rFonts w:ascii="ITC Avant Garde" w:eastAsia="Calibri" w:hAnsi="ITC Avant Garde" w:cs="Times New Roman"/>
          <w:sz w:val="18"/>
          <w:szCs w:val="18"/>
          <w:lang w:val="es-ES"/>
        </w:rPr>
        <w:t xml:space="preserve"> e interesados, conocer el funcionamiento general del modelo de costos y diferencias en su configuración. Asimismo, con el objetivo de </w:t>
      </w:r>
      <w:r w:rsidRPr="00D32FAB">
        <w:rPr>
          <w:rFonts w:ascii="ITC Avant Garde" w:eastAsia="Calibri" w:hAnsi="ITC Avant Garde" w:cs="Times New Roman"/>
          <w:sz w:val="18"/>
          <w:szCs w:val="18"/>
          <w:lang w:val="es-ES_tradnl"/>
        </w:rPr>
        <w:t>preservar la confidencialidad de la información aportada por los operadores durante la fase de construcción del modelo se han modificado los datos de entrada aplicando un factor aleatorio entre -30% y 30%, si bien se ha mantenido la estructura, los cálculos y las variables del modelo</w:t>
      </w:r>
      <w:r w:rsidRPr="00D32FAB">
        <w:rPr>
          <w:rFonts w:ascii="ITC Avant Garde" w:eastAsia="Calibri" w:hAnsi="ITC Avant Garde" w:cs="Times New Roman"/>
          <w:sz w:val="18"/>
          <w:szCs w:val="18"/>
          <w:lang w:val="es-ES"/>
        </w:rPr>
        <w:t xml:space="preserve">. </w:t>
      </w:r>
    </w:p>
    <w:p w:rsidR="00F07078" w:rsidRPr="00D32FAB" w:rsidRDefault="00F07078" w:rsidP="00BC5411">
      <w:pPr>
        <w:pStyle w:val="Ttulo2"/>
        <w:spacing w:after="120"/>
        <w:rPr>
          <w:rFonts w:ascii="ITC Avant Garde" w:hAnsi="ITC Avant Garde"/>
          <w:sz w:val="18"/>
          <w:szCs w:val="18"/>
          <w:lang w:val="es-ES_tradnl"/>
        </w:rPr>
      </w:pPr>
      <w:r w:rsidRPr="00D32FAB">
        <w:rPr>
          <w:rFonts w:ascii="ITC Avant Garde" w:eastAsia="Times New Roman" w:hAnsi="ITC Avant Garde" w:cs="Times New Roman"/>
          <w:sz w:val="18"/>
          <w:szCs w:val="18"/>
          <w:lang w:val="es-ES_tradnl"/>
        </w:rPr>
        <w:t>Aspectos relacionados con los servicios modelados</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El modelo de costos de la red de acceso fija calcula los precios mayoristas de una serie de servicios que pueden agruparse en tres grandes grupos: </w:t>
      </w:r>
      <w:r w:rsidRPr="00D32FAB">
        <w:rPr>
          <w:rFonts w:ascii="ITC Avant Garde" w:hAnsi="ITC Avant Garde"/>
          <w:b/>
          <w:sz w:val="18"/>
          <w:szCs w:val="18"/>
          <w:lang w:val="es-ES_tradnl"/>
        </w:rPr>
        <w:t>servicios de infraestructura, servicios de enlaces dedicados de interconexión y servicios de desagregación</w:t>
      </w:r>
      <w:r w:rsidRPr="00D32FAB">
        <w:rPr>
          <w:rFonts w:ascii="ITC Avant Garde" w:hAnsi="ITC Avant Garde"/>
          <w:sz w:val="18"/>
          <w:szCs w:val="18"/>
          <w:lang w:val="es-ES_tradnl"/>
        </w:rPr>
        <w:t>. A continuación se ofrece un resumen de los distintos servicios incluidos dentro de cada grupo.</w:t>
      </w:r>
    </w:p>
    <w:p w:rsidR="00F07078" w:rsidRPr="00D32FAB" w:rsidRDefault="00F07078" w:rsidP="00BC5411">
      <w:pPr>
        <w:pStyle w:val="Ttulo4"/>
        <w:spacing w:after="120"/>
        <w:rPr>
          <w:rFonts w:ascii="ITC Avant Garde" w:hAnsi="ITC Avant Garde"/>
          <w:sz w:val="18"/>
          <w:szCs w:val="18"/>
          <w:lang w:val="es-ES_tradnl"/>
        </w:rPr>
      </w:pPr>
      <w:r w:rsidRPr="00D32FAB">
        <w:rPr>
          <w:rFonts w:ascii="ITC Avant Garde" w:hAnsi="ITC Avant Garde"/>
          <w:sz w:val="18"/>
          <w:szCs w:val="18"/>
          <w:lang w:val="es-ES_tradnl"/>
        </w:rPr>
        <w:t>Servicios de infraestructura</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722"/>
      </w:tblGrid>
      <w:tr w:rsidR="00F07078" w:rsidRPr="00D32FAB" w:rsidTr="00D32FAB">
        <w:tc>
          <w:tcPr>
            <w:tcW w:w="2235" w:type="dxa"/>
            <w:shd w:val="clear" w:color="auto" w:fill="auto"/>
          </w:tcPr>
          <w:p w:rsidR="00F07078" w:rsidRPr="00D32FAB" w:rsidRDefault="00F07078" w:rsidP="000774F6">
            <w:pPr>
              <w:pStyle w:val="SBSheader"/>
              <w:rPr>
                <w:rFonts w:ascii="ITC Avant Garde" w:hAnsi="ITC Avant Garde"/>
                <w:sz w:val="18"/>
                <w:szCs w:val="18"/>
                <w:lang w:val="es-ES_tradnl"/>
              </w:rPr>
            </w:pPr>
            <w:r w:rsidRPr="00D32FAB">
              <w:rPr>
                <w:rFonts w:ascii="ITC Avant Garde" w:hAnsi="ITC Avant Garde"/>
                <w:sz w:val="18"/>
                <w:szCs w:val="18"/>
                <w:lang w:val="es-ES_tradnl"/>
              </w:rPr>
              <w:t>Acceso a los ductos</w:t>
            </w:r>
          </w:p>
        </w:tc>
        <w:tc>
          <w:tcPr>
            <w:tcW w:w="6722" w:type="dxa"/>
            <w:shd w:val="clear" w:color="auto" w:fill="auto"/>
          </w:tcPr>
          <w:p w:rsidR="00F07078" w:rsidRPr="00D32FAB" w:rsidRDefault="00F07078" w:rsidP="000774F6">
            <w:pPr>
              <w:rPr>
                <w:rFonts w:ascii="ITC Avant Garde" w:hAnsi="ITC Avant Garde"/>
                <w:spacing w:val="-4"/>
                <w:sz w:val="18"/>
                <w:szCs w:val="18"/>
                <w:lang w:val="es-ES_tradnl"/>
              </w:rPr>
            </w:pPr>
            <w:r w:rsidRPr="00D32FAB">
              <w:rPr>
                <w:rFonts w:ascii="ITC Avant Garde" w:hAnsi="ITC Avant Garde"/>
                <w:spacing w:val="-4"/>
                <w:sz w:val="18"/>
                <w:szCs w:val="18"/>
                <w:lang w:val="es-ES_tradnl"/>
              </w:rPr>
              <w:t>Acceso a los ductos vacantes en una ruta específica para la instalación de cables destinados a la provisión de servicios de telecomunicaciones. El modelo calcula los costos de cinco tipos de ductos distintos en función de su diámetro tomando como base el costo de un ducto de 100mm de diámetro.</w:t>
            </w:r>
          </w:p>
        </w:tc>
      </w:tr>
      <w:tr w:rsidR="00F07078" w:rsidRPr="00D32FAB" w:rsidTr="00D32FAB">
        <w:tc>
          <w:tcPr>
            <w:tcW w:w="2235" w:type="dxa"/>
            <w:shd w:val="clear" w:color="auto" w:fill="auto"/>
          </w:tcPr>
          <w:p w:rsidR="00F07078" w:rsidRPr="00D32FAB" w:rsidRDefault="00F07078" w:rsidP="000774F6">
            <w:pPr>
              <w:pStyle w:val="SBSheader"/>
              <w:rPr>
                <w:rFonts w:ascii="ITC Avant Garde" w:hAnsi="ITC Avant Garde"/>
                <w:sz w:val="18"/>
                <w:szCs w:val="18"/>
                <w:lang w:val="es-ES_tradnl"/>
              </w:rPr>
            </w:pPr>
            <w:r w:rsidRPr="00D32FAB">
              <w:rPr>
                <w:rFonts w:ascii="ITC Avant Garde" w:hAnsi="ITC Avant Garde"/>
                <w:sz w:val="18"/>
                <w:szCs w:val="18"/>
                <w:lang w:val="es-ES_tradnl"/>
              </w:rPr>
              <w:t>Acceso a los pozos</w:t>
            </w:r>
          </w:p>
        </w:tc>
        <w:tc>
          <w:tcPr>
            <w:tcW w:w="6722" w:type="dxa"/>
            <w:shd w:val="clear" w:color="auto" w:fill="auto"/>
          </w:tcPr>
          <w:p w:rsidR="00F07078" w:rsidRPr="00D32FAB" w:rsidRDefault="00F07078" w:rsidP="000774F6">
            <w:pPr>
              <w:rPr>
                <w:rFonts w:ascii="ITC Avant Garde" w:hAnsi="ITC Avant Garde"/>
                <w:sz w:val="18"/>
                <w:szCs w:val="18"/>
                <w:lang w:val="es-ES_tradnl"/>
              </w:rPr>
            </w:pPr>
            <w:r w:rsidRPr="00D32FAB">
              <w:rPr>
                <w:rFonts w:ascii="ITC Avant Garde" w:hAnsi="ITC Avant Garde"/>
                <w:sz w:val="18"/>
                <w:szCs w:val="18"/>
                <w:lang w:val="es-ES_tradnl"/>
              </w:rPr>
              <w:t>Acceso a los pozos para el paso del cable, terminación, alojamiento o empalme para el cableado. El servicio modelado incluye solamente los costos de provisión e instalación de pozos. El modelo calcula los costos de 20 tipologías de pozos diferentes.</w:t>
            </w:r>
          </w:p>
        </w:tc>
      </w:tr>
      <w:tr w:rsidR="00F07078" w:rsidRPr="00D32FAB" w:rsidTr="00D32FAB">
        <w:tc>
          <w:tcPr>
            <w:tcW w:w="2235" w:type="dxa"/>
            <w:shd w:val="clear" w:color="auto" w:fill="auto"/>
          </w:tcPr>
          <w:p w:rsidR="00F07078" w:rsidRPr="00D32FAB" w:rsidRDefault="00F07078" w:rsidP="000774F6">
            <w:pPr>
              <w:pStyle w:val="SBSheader"/>
              <w:rPr>
                <w:rFonts w:ascii="ITC Avant Garde" w:hAnsi="ITC Avant Garde"/>
                <w:sz w:val="18"/>
                <w:szCs w:val="18"/>
                <w:lang w:val="es-ES_tradnl"/>
              </w:rPr>
            </w:pPr>
            <w:r w:rsidRPr="00D32FAB">
              <w:rPr>
                <w:rFonts w:ascii="ITC Avant Garde" w:hAnsi="ITC Avant Garde"/>
                <w:sz w:val="18"/>
                <w:szCs w:val="18"/>
                <w:lang w:val="es-ES_tradnl"/>
              </w:rPr>
              <w:t>Uso del poste por cable</w:t>
            </w:r>
          </w:p>
        </w:tc>
        <w:tc>
          <w:tcPr>
            <w:tcW w:w="6722" w:type="dxa"/>
            <w:shd w:val="clear" w:color="auto" w:fill="auto"/>
          </w:tcPr>
          <w:p w:rsidR="00F07078" w:rsidRPr="00D32FAB" w:rsidRDefault="00F07078" w:rsidP="000774F6">
            <w:pPr>
              <w:rPr>
                <w:rFonts w:ascii="ITC Avant Garde" w:hAnsi="ITC Avant Garde"/>
                <w:sz w:val="18"/>
                <w:szCs w:val="18"/>
                <w:lang w:val="es-ES_tradnl"/>
              </w:rPr>
            </w:pPr>
            <w:r w:rsidRPr="00D32FAB">
              <w:rPr>
                <w:rFonts w:ascii="ITC Avant Garde" w:hAnsi="ITC Avant Garde"/>
                <w:sz w:val="18"/>
                <w:szCs w:val="18"/>
                <w:lang w:val="es-ES_tradnl"/>
              </w:rPr>
              <w:t xml:space="preserve">Acceso al poste para desplegar un cable (de cobre o fibra óptica) en la infraestructura aérea desagregada del AEP. El modelo asume que una parte importante de la infraestructura de red del AEP es aérea y supone una sola tipología de cableado en toda la red. El servicio de acceso al poste incluye los costos de provisión e instalación de los postes y de los cables aéreos. El </w:t>
            </w:r>
            <w:r w:rsidRPr="00D32FAB">
              <w:rPr>
                <w:rFonts w:ascii="ITC Avant Garde" w:hAnsi="ITC Avant Garde"/>
                <w:sz w:val="18"/>
                <w:szCs w:val="18"/>
                <w:lang w:val="es-ES_tradnl"/>
              </w:rPr>
              <w:lastRenderedPageBreak/>
              <w:t>precio del servicio se calcula en MXN anuales por cable desplegado entre dos postes.</w:t>
            </w:r>
          </w:p>
        </w:tc>
      </w:tr>
      <w:tr w:rsidR="00F07078" w:rsidRPr="00D32FAB" w:rsidTr="00D32FAB">
        <w:tc>
          <w:tcPr>
            <w:tcW w:w="2235" w:type="dxa"/>
            <w:shd w:val="clear" w:color="auto" w:fill="auto"/>
          </w:tcPr>
          <w:p w:rsidR="00F07078" w:rsidRPr="00D32FAB" w:rsidRDefault="00F07078" w:rsidP="000774F6">
            <w:pPr>
              <w:pStyle w:val="SBSheader"/>
              <w:rPr>
                <w:rFonts w:ascii="ITC Avant Garde" w:hAnsi="ITC Avant Garde"/>
                <w:sz w:val="18"/>
                <w:szCs w:val="18"/>
                <w:lang w:val="es-ES_tradnl"/>
              </w:rPr>
            </w:pPr>
            <w:r w:rsidRPr="00D32FAB">
              <w:rPr>
                <w:rFonts w:ascii="ITC Avant Garde" w:hAnsi="ITC Avant Garde"/>
                <w:sz w:val="18"/>
                <w:szCs w:val="18"/>
                <w:lang w:val="es-ES_tradnl"/>
              </w:rPr>
              <w:lastRenderedPageBreak/>
              <w:t>Instalación del tendido de cable</w:t>
            </w:r>
          </w:p>
        </w:tc>
        <w:tc>
          <w:tcPr>
            <w:tcW w:w="6722" w:type="dxa"/>
            <w:shd w:val="clear" w:color="auto" w:fill="auto"/>
          </w:tcPr>
          <w:p w:rsidR="00F07078" w:rsidRPr="00D32FAB" w:rsidRDefault="00F07078" w:rsidP="000774F6">
            <w:pPr>
              <w:rPr>
                <w:rFonts w:ascii="ITC Avant Garde" w:hAnsi="ITC Avant Garde"/>
                <w:sz w:val="18"/>
                <w:szCs w:val="18"/>
                <w:lang w:val="es-ES_tradnl"/>
              </w:rPr>
            </w:pPr>
            <w:r w:rsidRPr="00D32FAB">
              <w:rPr>
                <w:rFonts w:ascii="ITC Avant Garde" w:hAnsi="ITC Avant Garde"/>
                <w:sz w:val="18"/>
                <w:szCs w:val="18"/>
                <w:lang w:val="es-ES_tradnl"/>
              </w:rPr>
              <w:t xml:space="preserve">Conexión de cable desde el emplazamiento en el que los operadores se </w:t>
            </w:r>
            <w:proofErr w:type="spellStart"/>
            <w:r w:rsidRPr="00D32FAB">
              <w:rPr>
                <w:rFonts w:ascii="ITC Avant Garde" w:hAnsi="ITC Avant Garde"/>
                <w:sz w:val="18"/>
                <w:szCs w:val="18"/>
                <w:lang w:val="es-ES_tradnl"/>
              </w:rPr>
              <w:t>coubican</w:t>
            </w:r>
            <w:proofErr w:type="spellEnd"/>
            <w:r w:rsidRPr="00D32FAB">
              <w:rPr>
                <w:rFonts w:ascii="ITC Avant Garde" w:hAnsi="ITC Avant Garde"/>
                <w:sz w:val="18"/>
                <w:szCs w:val="18"/>
                <w:lang w:val="es-ES_tradnl"/>
              </w:rPr>
              <w:t xml:space="preserve"> para efectuar la desagregación hasta el pozo más cercano. Incluye los costos de provisión del cable, de terminación del cable al distribuidor, de excavación, de ductos y pozos, del repartidor de pares, del acondicionamiento para trayectorias de cable dentro de la central, y de adecuaciones necesarias a la infraestructura para la prestación del servicio. Los gastos de instalación son calculados como un porcentaje de los costos de capital total.</w:t>
            </w:r>
          </w:p>
        </w:tc>
      </w:tr>
    </w:tbl>
    <w:p w:rsidR="00F07078" w:rsidRPr="00D32FAB" w:rsidRDefault="00F07078" w:rsidP="00F07078">
      <w:pPr>
        <w:pStyle w:val="Ttulo4"/>
        <w:rPr>
          <w:rFonts w:ascii="ITC Avant Garde" w:hAnsi="ITC Avant Garde"/>
          <w:sz w:val="18"/>
          <w:szCs w:val="18"/>
          <w:lang w:val="es-ES_tradnl"/>
        </w:rPr>
      </w:pPr>
      <w:r w:rsidRPr="00D32FAB">
        <w:rPr>
          <w:rFonts w:ascii="ITC Avant Garde" w:hAnsi="ITC Avant Garde"/>
          <w:sz w:val="18"/>
          <w:szCs w:val="18"/>
          <w:lang w:val="es-ES_tradnl"/>
        </w:rPr>
        <w:t xml:space="preserve">Servicios de enlaces dedicados de interconexión </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722"/>
      </w:tblGrid>
      <w:tr w:rsidR="00F07078" w:rsidRPr="00D32FAB" w:rsidTr="00D32FAB">
        <w:tc>
          <w:tcPr>
            <w:tcW w:w="2235" w:type="dxa"/>
            <w:shd w:val="clear" w:color="auto" w:fill="auto"/>
          </w:tcPr>
          <w:p w:rsidR="00F07078" w:rsidRPr="00D32FAB" w:rsidRDefault="00F07078" w:rsidP="000774F6">
            <w:pPr>
              <w:pStyle w:val="SBSheader"/>
              <w:rPr>
                <w:rFonts w:ascii="ITC Avant Garde" w:hAnsi="ITC Avant Garde"/>
                <w:spacing w:val="-4"/>
                <w:sz w:val="18"/>
                <w:szCs w:val="18"/>
                <w:lang w:val="es-ES_tradnl"/>
              </w:rPr>
            </w:pPr>
            <w:r w:rsidRPr="00D32FAB">
              <w:rPr>
                <w:rFonts w:ascii="ITC Avant Garde" w:hAnsi="ITC Avant Garde"/>
                <w:spacing w:val="-4"/>
                <w:sz w:val="18"/>
                <w:szCs w:val="18"/>
                <w:lang w:val="es-ES_tradnl"/>
              </w:rPr>
              <w:t>Enlaces E1 (2Mbit/s y múltiplos), STM-1 (155Mbit/s y múltiplos) y Ethernet (10Mbit/s a 10Gbit/s)</w:t>
            </w:r>
          </w:p>
        </w:tc>
        <w:tc>
          <w:tcPr>
            <w:tcW w:w="6722" w:type="dxa"/>
            <w:shd w:val="clear" w:color="auto" w:fill="auto"/>
          </w:tcPr>
          <w:p w:rsidR="00F07078" w:rsidRPr="00D32FAB" w:rsidRDefault="00F07078" w:rsidP="000774F6">
            <w:pPr>
              <w:rPr>
                <w:rFonts w:ascii="ITC Avant Garde" w:hAnsi="ITC Avant Garde"/>
                <w:sz w:val="18"/>
                <w:szCs w:val="18"/>
                <w:lang w:val="es-ES_tradnl"/>
              </w:rPr>
            </w:pPr>
            <w:r w:rsidRPr="00D32FAB">
              <w:rPr>
                <w:rFonts w:ascii="ITC Avant Garde" w:hAnsi="ITC Avant Garde"/>
                <w:sz w:val="18"/>
                <w:szCs w:val="18"/>
                <w:lang w:val="es-ES_tradnl"/>
              </w:rPr>
              <w:t>Arrendamiento de líneas o circuitos de transmisión dedicados, para el transporte de señales digitales asociadas a la interconexión entre la red del AEP y de otro concesionario que garantice el intercambio de tráfico público conmutado.</w:t>
            </w:r>
          </w:p>
        </w:tc>
      </w:tr>
    </w:tbl>
    <w:p w:rsidR="00F07078" w:rsidRPr="00D32FAB" w:rsidRDefault="00F07078" w:rsidP="00F07078">
      <w:pPr>
        <w:pStyle w:val="Ttulo4"/>
        <w:rPr>
          <w:rFonts w:ascii="ITC Avant Garde" w:hAnsi="ITC Avant Garde"/>
          <w:sz w:val="18"/>
          <w:szCs w:val="18"/>
          <w:lang w:val="es-ES_tradnl"/>
        </w:rPr>
      </w:pPr>
      <w:r w:rsidRPr="00D32FAB">
        <w:rPr>
          <w:rFonts w:ascii="ITC Avant Garde" w:hAnsi="ITC Avant Garde"/>
          <w:sz w:val="18"/>
          <w:szCs w:val="18"/>
          <w:lang w:val="es-ES_tradnl"/>
        </w:rPr>
        <w:t>Servicios de desagregación</w:t>
      </w:r>
    </w:p>
    <w:tbl>
      <w:tblPr>
        <w:tblW w:w="8957" w:type="dxa"/>
        <w:tblLayout w:type="fixed"/>
        <w:tblLook w:val="0000" w:firstRow="0" w:lastRow="0" w:firstColumn="0" w:lastColumn="0" w:noHBand="0" w:noVBand="0"/>
      </w:tblPr>
      <w:tblGrid>
        <w:gridCol w:w="1984"/>
        <w:gridCol w:w="6973"/>
      </w:tblGrid>
      <w:tr w:rsidR="00F07078" w:rsidRPr="00D32FAB" w:rsidTr="000774F6">
        <w:tc>
          <w:tcPr>
            <w:tcW w:w="1984" w:type="dxa"/>
            <w:shd w:val="clear" w:color="auto" w:fill="auto"/>
          </w:tcPr>
          <w:p w:rsidR="00F07078" w:rsidRPr="00D32FAB" w:rsidRDefault="00F07078" w:rsidP="000774F6">
            <w:pPr>
              <w:pStyle w:val="SBSheader"/>
              <w:rPr>
                <w:rFonts w:ascii="ITC Avant Garde" w:hAnsi="ITC Avant Garde"/>
                <w:sz w:val="18"/>
                <w:szCs w:val="18"/>
                <w:lang w:val="es-ES_tradnl"/>
              </w:rPr>
            </w:pPr>
            <w:r w:rsidRPr="00D32FAB">
              <w:rPr>
                <w:rFonts w:ascii="ITC Avant Garde" w:hAnsi="ITC Avant Garde"/>
                <w:sz w:val="18"/>
                <w:szCs w:val="18"/>
                <w:lang w:val="es-ES_tradnl"/>
              </w:rPr>
              <w:t>LLU – Full</w:t>
            </w:r>
          </w:p>
        </w:tc>
        <w:tc>
          <w:tcPr>
            <w:tcW w:w="6973" w:type="dxa"/>
            <w:shd w:val="clear" w:color="auto" w:fill="auto"/>
          </w:tcPr>
          <w:p w:rsidR="00F07078" w:rsidRPr="00D32FAB" w:rsidRDefault="00F07078" w:rsidP="000774F6">
            <w:pPr>
              <w:rPr>
                <w:rFonts w:ascii="ITC Avant Garde" w:hAnsi="ITC Avant Garde"/>
                <w:sz w:val="18"/>
                <w:szCs w:val="18"/>
                <w:lang w:val="es-ES_tradnl"/>
              </w:rPr>
            </w:pPr>
            <w:r w:rsidRPr="00D32FAB">
              <w:rPr>
                <w:rFonts w:ascii="ITC Avant Garde" w:hAnsi="ITC Avant Garde"/>
                <w:sz w:val="18"/>
                <w:szCs w:val="18"/>
                <w:lang w:val="es-ES_tradnl"/>
              </w:rPr>
              <w:t xml:space="preserve">Arrendamiento del bucle de abonado en toda su trayectoria, permitiendo al concesionario solicitante (CS) disponer de todas las frecuencias del bucle para proporcionar servicios a los usuarios finales. El servicio de </w:t>
            </w:r>
            <w:r w:rsidRPr="00D32FAB">
              <w:rPr>
                <w:rFonts w:ascii="ITC Avant Garde" w:hAnsi="ITC Avant Garde"/>
                <w:i/>
                <w:sz w:val="18"/>
                <w:szCs w:val="18"/>
                <w:lang w:val="es-ES_tradnl"/>
              </w:rPr>
              <w:t>LLU – Full</w:t>
            </w:r>
            <w:r w:rsidRPr="00D32FAB">
              <w:rPr>
                <w:rFonts w:ascii="ITC Avant Garde" w:hAnsi="ITC Avant Garde"/>
                <w:sz w:val="18"/>
                <w:szCs w:val="18"/>
                <w:lang w:val="es-ES_tradnl"/>
              </w:rPr>
              <w:t xml:space="preserve"> incluye los costos de provisión e instalación considerados en el dimensionamiento de la red, tales como cables, zanjas, ductos, pozos, empalmes en la red secundaria y caja de distribución, así como los costos de excavación de las zanjas, costos de mantenimiento y otros costos asociados con la seguridad del personal trabajador, etc. El LLU – Full considera todos los costos de mantenimiento ordinario relativos a los servicios compartidos.</w:t>
            </w:r>
          </w:p>
        </w:tc>
      </w:tr>
      <w:tr w:rsidR="00F07078" w:rsidRPr="00D32FAB" w:rsidTr="000774F6">
        <w:tc>
          <w:tcPr>
            <w:tcW w:w="1984" w:type="dxa"/>
            <w:shd w:val="clear" w:color="auto" w:fill="auto"/>
          </w:tcPr>
          <w:p w:rsidR="00F07078" w:rsidRPr="00D32FAB" w:rsidRDefault="00F07078" w:rsidP="000774F6">
            <w:pPr>
              <w:pStyle w:val="SBSheader"/>
              <w:rPr>
                <w:rFonts w:ascii="ITC Avant Garde" w:hAnsi="ITC Avant Garde"/>
                <w:sz w:val="18"/>
                <w:szCs w:val="18"/>
                <w:lang w:val="es-ES_tradnl"/>
              </w:rPr>
            </w:pPr>
            <w:r w:rsidRPr="00D32FAB">
              <w:rPr>
                <w:rFonts w:ascii="ITC Avant Garde" w:hAnsi="ITC Avant Garde"/>
                <w:sz w:val="18"/>
                <w:szCs w:val="18"/>
                <w:lang w:val="es-ES_tradnl"/>
              </w:rPr>
              <w:t xml:space="preserve">LLU – </w:t>
            </w:r>
            <w:proofErr w:type="spellStart"/>
            <w:r w:rsidRPr="00D32FAB">
              <w:rPr>
                <w:rFonts w:ascii="ITC Avant Garde" w:hAnsi="ITC Avant Garde"/>
                <w:sz w:val="18"/>
                <w:szCs w:val="18"/>
                <w:lang w:val="es-ES_tradnl"/>
              </w:rPr>
              <w:t>Shared</w:t>
            </w:r>
            <w:proofErr w:type="spellEnd"/>
          </w:p>
        </w:tc>
        <w:tc>
          <w:tcPr>
            <w:tcW w:w="6973" w:type="dxa"/>
            <w:shd w:val="clear" w:color="auto" w:fill="auto"/>
          </w:tcPr>
          <w:p w:rsidR="00F07078" w:rsidRPr="00D32FAB" w:rsidRDefault="00F07078" w:rsidP="000774F6">
            <w:pPr>
              <w:rPr>
                <w:rFonts w:ascii="ITC Avant Garde" w:hAnsi="ITC Avant Garde"/>
                <w:spacing w:val="-4"/>
                <w:sz w:val="18"/>
                <w:szCs w:val="18"/>
                <w:lang w:val="es-ES_tradnl"/>
              </w:rPr>
            </w:pPr>
            <w:r w:rsidRPr="00D32FAB">
              <w:rPr>
                <w:rFonts w:ascii="ITC Avant Garde" w:hAnsi="ITC Avant Garde"/>
                <w:spacing w:val="-4"/>
                <w:sz w:val="18"/>
                <w:szCs w:val="18"/>
                <w:lang w:val="es-ES_tradnl"/>
              </w:rPr>
              <w:t xml:space="preserve">Arrendamiento de la frecuencia alta del bucle de abonado en toda su trayectoria, permitiendo al CS proporcionar el servicio de datos en aquellos casos en que el AEP proporcione el servicio de voz. No hay diferencia física con servicio de </w:t>
            </w:r>
            <w:r w:rsidRPr="00D32FAB">
              <w:rPr>
                <w:rFonts w:ascii="ITC Avant Garde" w:hAnsi="ITC Avant Garde"/>
                <w:i/>
                <w:iCs/>
                <w:spacing w:val="-4"/>
                <w:sz w:val="18"/>
                <w:szCs w:val="18"/>
                <w:lang w:val="es-ES_tradnl"/>
              </w:rPr>
              <w:t>Full:</w:t>
            </w:r>
            <w:r w:rsidRPr="00D32FAB">
              <w:rPr>
                <w:rFonts w:ascii="ITC Avant Garde" w:hAnsi="ITC Avant Garde"/>
                <w:spacing w:val="-4"/>
                <w:sz w:val="18"/>
                <w:szCs w:val="18"/>
                <w:lang w:val="es-ES_tradnl"/>
              </w:rPr>
              <w:t xml:space="preserve"> es un acuerdo que dedica las frecuencias más altas al servicio de banda ancha pero el LLU – </w:t>
            </w:r>
            <w:proofErr w:type="spellStart"/>
            <w:r w:rsidRPr="00D32FAB">
              <w:rPr>
                <w:rFonts w:ascii="ITC Avant Garde" w:hAnsi="ITC Avant Garde"/>
                <w:i/>
                <w:iCs/>
                <w:spacing w:val="-4"/>
                <w:sz w:val="18"/>
                <w:szCs w:val="18"/>
                <w:lang w:val="es-ES_tradnl"/>
              </w:rPr>
              <w:t>Shared</w:t>
            </w:r>
            <w:proofErr w:type="spellEnd"/>
            <w:r w:rsidRPr="00D32FAB">
              <w:rPr>
                <w:rFonts w:ascii="ITC Avant Garde" w:hAnsi="ITC Avant Garde"/>
                <w:spacing w:val="-4"/>
                <w:sz w:val="18"/>
                <w:szCs w:val="18"/>
                <w:lang w:val="es-ES_tradnl"/>
              </w:rPr>
              <w:t xml:space="preserve"> considera una cuota de 70% de los costos de mantenimiento ordinario relativos a los servicios compartidos</w:t>
            </w:r>
            <w:r w:rsidR="00BC5411" w:rsidRPr="00D32FAB">
              <w:rPr>
                <w:rFonts w:ascii="ITC Avant Garde" w:hAnsi="ITC Avant Garde"/>
                <w:spacing w:val="-4"/>
                <w:sz w:val="18"/>
                <w:szCs w:val="18"/>
                <w:lang w:val="es-ES_tradnl"/>
              </w:rPr>
              <w:t>.</w:t>
            </w:r>
          </w:p>
        </w:tc>
      </w:tr>
      <w:tr w:rsidR="00F07078" w:rsidRPr="00D32FAB" w:rsidTr="000774F6">
        <w:tc>
          <w:tcPr>
            <w:tcW w:w="1984" w:type="dxa"/>
            <w:shd w:val="clear" w:color="auto" w:fill="auto"/>
          </w:tcPr>
          <w:p w:rsidR="00F07078" w:rsidRPr="00D32FAB" w:rsidRDefault="00F07078" w:rsidP="000774F6">
            <w:pPr>
              <w:pStyle w:val="SBSheader"/>
              <w:rPr>
                <w:rFonts w:ascii="ITC Avant Garde" w:hAnsi="ITC Avant Garde"/>
                <w:sz w:val="18"/>
                <w:szCs w:val="18"/>
                <w:lang w:val="es-ES_tradnl"/>
              </w:rPr>
            </w:pPr>
            <w:r w:rsidRPr="00D32FAB">
              <w:rPr>
                <w:rFonts w:ascii="ITC Avant Garde" w:hAnsi="ITC Avant Garde"/>
                <w:sz w:val="18"/>
                <w:szCs w:val="18"/>
                <w:lang w:val="es-ES_tradnl"/>
              </w:rPr>
              <w:lastRenderedPageBreak/>
              <w:t>SLU – Full</w:t>
            </w:r>
          </w:p>
        </w:tc>
        <w:tc>
          <w:tcPr>
            <w:tcW w:w="6973" w:type="dxa"/>
            <w:shd w:val="clear" w:color="auto" w:fill="auto"/>
          </w:tcPr>
          <w:p w:rsidR="00F07078" w:rsidRPr="00D32FAB" w:rsidRDefault="00F07078" w:rsidP="000774F6">
            <w:pPr>
              <w:rPr>
                <w:rFonts w:ascii="ITC Avant Garde" w:hAnsi="ITC Avant Garde"/>
                <w:sz w:val="18"/>
                <w:szCs w:val="18"/>
                <w:lang w:val="es-ES_tradnl"/>
              </w:rPr>
            </w:pPr>
            <w:r w:rsidRPr="00D32FAB">
              <w:rPr>
                <w:rFonts w:ascii="ITC Avant Garde" w:hAnsi="ITC Avant Garde"/>
                <w:sz w:val="18"/>
                <w:szCs w:val="18"/>
                <w:lang w:val="es-ES_tradnl"/>
              </w:rPr>
              <w:t xml:space="preserve">Arrendamiento del sub-bucle de abonado que comprende la trayectoria desde el punto terminal hasta la caja de distribución. Se le aplican las mismas consideraciones que en el caso del servicio </w:t>
            </w:r>
            <w:r w:rsidRPr="00D32FAB">
              <w:rPr>
                <w:rFonts w:ascii="ITC Avant Garde" w:hAnsi="ITC Avant Garde"/>
                <w:i/>
                <w:sz w:val="18"/>
                <w:szCs w:val="18"/>
                <w:lang w:val="es-ES_tradnl"/>
              </w:rPr>
              <w:t xml:space="preserve">LLU – </w:t>
            </w:r>
            <w:r w:rsidRPr="00D32FAB">
              <w:rPr>
                <w:rFonts w:ascii="ITC Avant Garde" w:hAnsi="ITC Avant Garde"/>
                <w:i/>
                <w:iCs/>
                <w:sz w:val="18"/>
                <w:szCs w:val="18"/>
                <w:lang w:val="es-ES_tradnl"/>
              </w:rPr>
              <w:t>Full</w:t>
            </w:r>
            <w:r w:rsidRPr="00D32FAB">
              <w:rPr>
                <w:rFonts w:ascii="ITC Avant Garde" w:hAnsi="ITC Avant Garde"/>
                <w:iCs/>
                <w:sz w:val="18"/>
                <w:szCs w:val="18"/>
                <w:lang w:val="es-ES_tradnl"/>
              </w:rPr>
              <w:t>.</w:t>
            </w:r>
          </w:p>
        </w:tc>
      </w:tr>
      <w:tr w:rsidR="00F07078" w:rsidRPr="00D32FAB" w:rsidTr="000774F6">
        <w:tc>
          <w:tcPr>
            <w:tcW w:w="1984" w:type="dxa"/>
            <w:shd w:val="clear" w:color="auto" w:fill="auto"/>
          </w:tcPr>
          <w:p w:rsidR="00F07078" w:rsidRPr="00D32FAB" w:rsidRDefault="00F07078" w:rsidP="000774F6">
            <w:pPr>
              <w:pStyle w:val="SBSheader"/>
              <w:rPr>
                <w:rFonts w:ascii="ITC Avant Garde" w:hAnsi="ITC Avant Garde"/>
                <w:sz w:val="18"/>
                <w:szCs w:val="18"/>
                <w:lang w:val="es-ES_tradnl"/>
              </w:rPr>
            </w:pPr>
            <w:r w:rsidRPr="00D32FAB">
              <w:rPr>
                <w:rFonts w:ascii="ITC Avant Garde" w:hAnsi="ITC Avant Garde"/>
                <w:sz w:val="18"/>
                <w:szCs w:val="18"/>
                <w:lang w:val="es-ES_tradnl"/>
              </w:rPr>
              <w:t xml:space="preserve">SLU – </w:t>
            </w:r>
            <w:proofErr w:type="spellStart"/>
            <w:r w:rsidRPr="00D32FAB">
              <w:rPr>
                <w:rFonts w:ascii="ITC Avant Garde" w:hAnsi="ITC Avant Garde"/>
                <w:sz w:val="18"/>
                <w:szCs w:val="18"/>
                <w:lang w:val="es-ES_tradnl"/>
              </w:rPr>
              <w:t>Shared</w:t>
            </w:r>
            <w:proofErr w:type="spellEnd"/>
          </w:p>
        </w:tc>
        <w:tc>
          <w:tcPr>
            <w:tcW w:w="6973" w:type="dxa"/>
            <w:shd w:val="clear" w:color="auto" w:fill="auto"/>
          </w:tcPr>
          <w:p w:rsidR="00F07078" w:rsidRPr="00D32FAB" w:rsidRDefault="00F07078" w:rsidP="000774F6">
            <w:pPr>
              <w:rPr>
                <w:rFonts w:ascii="ITC Avant Garde" w:hAnsi="ITC Avant Garde"/>
                <w:sz w:val="18"/>
                <w:szCs w:val="18"/>
                <w:lang w:val="es-ES_tradnl"/>
              </w:rPr>
            </w:pPr>
            <w:r w:rsidRPr="00D32FAB">
              <w:rPr>
                <w:rFonts w:ascii="ITC Avant Garde" w:hAnsi="ITC Avant Garde"/>
                <w:sz w:val="18"/>
                <w:szCs w:val="18"/>
                <w:lang w:val="es-ES_tradnl"/>
              </w:rPr>
              <w:t xml:space="preserve">Arrendamiento de la frecuencia alta del sub-bucle de abonado en toda su trayectoria. Se le aplican las mismas consideraciones que en el caso del servicio </w:t>
            </w:r>
            <w:r w:rsidRPr="00D32FAB">
              <w:rPr>
                <w:rFonts w:ascii="ITC Avant Garde" w:hAnsi="ITC Avant Garde"/>
                <w:i/>
                <w:sz w:val="18"/>
                <w:szCs w:val="18"/>
                <w:lang w:val="es-ES_tradnl"/>
              </w:rPr>
              <w:t xml:space="preserve">LLU – </w:t>
            </w:r>
            <w:proofErr w:type="spellStart"/>
            <w:r w:rsidRPr="00D32FAB">
              <w:rPr>
                <w:rFonts w:ascii="ITC Avant Garde" w:hAnsi="ITC Avant Garde"/>
                <w:i/>
                <w:iCs/>
                <w:sz w:val="18"/>
                <w:szCs w:val="18"/>
                <w:lang w:val="es-ES_tradnl"/>
              </w:rPr>
              <w:t>Shared</w:t>
            </w:r>
            <w:proofErr w:type="spellEnd"/>
            <w:r w:rsidRPr="00D32FAB">
              <w:rPr>
                <w:rFonts w:ascii="ITC Avant Garde" w:hAnsi="ITC Avant Garde"/>
                <w:i/>
                <w:iCs/>
                <w:sz w:val="18"/>
                <w:szCs w:val="18"/>
                <w:lang w:val="es-ES_tradnl"/>
              </w:rPr>
              <w:t>.</w:t>
            </w:r>
          </w:p>
        </w:tc>
      </w:tr>
    </w:tbl>
    <w:p w:rsidR="00931AF2" w:rsidRDefault="00931AF2" w:rsidP="00BC5411">
      <w:pPr>
        <w:spacing w:after="120"/>
        <w:rPr>
          <w:rFonts w:ascii="ITC Avant Garde" w:hAnsi="ITC Avant Garde"/>
          <w:b/>
          <w:sz w:val="18"/>
          <w:szCs w:val="18"/>
          <w:lang w:val="es-ES_tradnl"/>
        </w:rPr>
      </w:pPr>
    </w:p>
    <w:p w:rsidR="00F07078" w:rsidRPr="00D32FAB" w:rsidRDefault="00931AF2" w:rsidP="00BC5411">
      <w:pPr>
        <w:spacing w:after="120"/>
        <w:rPr>
          <w:rFonts w:ascii="ITC Avant Garde" w:hAnsi="ITC Avant Garde"/>
          <w:sz w:val="18"/>
          <w:szCs w:val="18"/>
          <w:lang w:val="es-ES_tradnl"/>
        </w:rPr>
      </w:pPr>
      <w:r w:rsidRPr="00931AF2">
        <w:rPr>
          <w:rFonts w:ascii="ITC Avant Garde" w:hAnsi="ITC Avant Garde"/>
          <w:b/>
          <w:sz w:val="18"/>
          <w:szCs w:val="18"/>
          <w:lang w:val="es-ES_tradnl"/>
        </w:rPr>
        <w:t>Q.</w:t>
      </w:r>
      <w:r w:rsidRPr="00931AF2">
        <w:rPr>
          <w:rFonts w:ascii="ITC Avant Garde" w:hAnsi="ITC Avant Garde"/>
          <w:b/>
          <w:sz w:val="18"/>
          <w:szCs w:val="18"/>
          <w:lang w:val="es-ES_tradnl"/>
        </w:rPr>
        <w:fldChar w:fldCharType="begin"/>
      </w:r>
      <w:r w:rsidRPr="00931AF2">
        <w:rPr>
          <w:rFonts w:ascii="ITC Avant Garde" w:hAnsi="ITC Avant Garde"/>
          <w:b/>
          <w:sz w:val="18"/>
          <w:szCs w:val="18"/>
          <w:lang w:val="es-ES_tradnl"/>
        </w:rPr>
        <w:instrText xml:space="preserve"> SEQ Recommendation \* ARABIC \s 0 </w:instrText>
      </w:r>
      <w:r w:rsidRPr="00931AF2">
        <w:rPr>
          <w:rFonts w:ascii="ITC Avant Garde" w:hAnsi="ITC Avant Garde"/>
          <w:b/>
          <w:sz w:val="18"/>
          <w:szCs w:val="18"/>
          <w:lang w:val="es-ES_tradnl"/>
        </w:rPr>
        <w:fldChar w:fldCharType="separate"/>
      </w:r>
      <w:r w:rsidRPr="00931AF2">
        <w:rPr>
          <w:rFonts w:ascii="ITC Avant Garde" w:hAnsi="ITC Avant Garde"/>
          <w:b/>
          <w:sz w:val="18"/>
          <w:szCs w:val="18"/>
          <w:lang w:val="es-ES_tradnl"/>
        </w:rPr>
        <w:t>1</w:t>
      </w:r>
      <w:r w:rsidRPr="00931AF2">
        <w:rPr>
          <w:rFonts w:ascii="ITC Avant Garde" w:hAnsi="ITC Avant Garde"/>
          <w:sz w:val="18"/>
          <w:szCs w:val="18"/>
          <w:lang w:val="es-ES_tradnl"/>
        </w:rPr>
        <w:fldChar w:fldCharType="end"/>
      </w:r>
      <w:r w:rsidRPr="00931AF2">
        <w:rPr>
          <w:rFonts w:ascii="ITC Avant Garde" w:hAnsi="ITC Avant Garde"/>
          <w:sz w:val="18"/>
          <w:szCs w:val="18"/>
          <w:lang w:val="es-ES_tradnl"/>
        </w:rPr>
        <w:t>: ¿Considera adecuados los servicios modelados en el modelo de acceso fijo?</w:t>
      </w:r>
    </w:p>
    <w:p w:rsidR="00F07078" w:rsidRPr="00D32FAB" w:rsidRDefault="00F07078" w:rsidP="00BC5411">
      <w:pPr>
        <w:pStyle w:val="Ttulo2"/>
        <w:spacing w:after="120"/>
        <w:rPr>
          <w:rFonts w:ascii="ITC Avant Garde" w:hAnsi="ITC Avant Garde"/>
          <w:sz w:val="18"/>
          <w:szCs w:val="18"/>
          <w:lang w:val="es-ES_tradnl"/>
        </w:rPr>
      </w:pPr>
      <w:r w:rsidRPr="00D32FAB">
        <w:rPr>
          <w:rFonts w:ascii="ITC Avant Garde" w:hAnsi="ITC Avant Garde"/>
          <w:sz w:val="18"/>
          <w:szCs w:val="18"/>
          <w:lang w:val="es-ES_tradnl"/>
        </w:rPr>
        <w:t>Aspectos relacionados con la metodología utilizada en el modelo</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Los principios metodológicos que rigen el modelo de acceso fijo pueden clasificarse en cuatro grandes grupos: aspectos relacionados con la metodología de costos incrementales; especificaciones concernientes a la red de acceso; desarrollo y metodología del análisis geográfico realizado; y aspectos relacionados con los algoritmos de diseño de la red. </w:t>
      </w:r>
    </w:p>
    <w:p w:rsidR="00F07078" w:rsidRPr="00D32FAB" w:rsidRDefault="00F07078" w:rsidP="00BC5411">
      <w:pPr>
        <w:pStyle w:val="Ttulo3"/>
        <w:spacing w:after="120"/>
        <w:rPr>
          <w:rFonts w:ascii="ITC Avant Garde" w:hAnsi="ITC Avant Garde"/>
          <w:sz w:val="18"/>
          <w:szCs w:val="18"/>
          <w:lang w:val="es-ES_tradnl"/>
        </w:rPr>
      </w:pPr>
      <w:r w:rsidRPr="00D32FAB">
        <w:rPr>
          <w:rFonts w:ascii="ITC Avant Garde" w:hAnsi="ITC Avant Garde"/>
          <w:sz w:val="18"/>
          <w:szCs w:val="18"/>
          <w:lang w:val="es-ES_tradnl"/>
        </w:rPr>
        <w:t>Aspectos relacionados con la metodología de costos incrementales</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El modelo de costos sigue una metodología ascendente (</w:t>
      </w:r>
      <w:proofErr w:type="spellStart"/>
      <w:r w:rsidRPr="00D32FAB">
        <w:rPr>
          <w:rFonts w:ascii="ITC Avant Garde" w:hAnsi="ITC Avant Garde"/>
          <w:i/>
          <w:sz w:val="18"/>
          <w:szCs w:val="18"/>
          <w:lang w:val="es-ES_tradnl"/>
        </w:rPr>
        <w:t>bottom</w:t>
      </w:r>
      <w:proofErr w:type="spellEnd"/>
      <w:r w:rsidRPr="00D32FAB">
        <w:rPr>
          <w:rFonts w:ascii="ITC Avant Garde" w:hAnsi="ITC Avant Garde"/>
          <w:i/>
          <w:sz w:val="18"/>
          <w:szCs w:val="18"/>
          <w:lang w:val="es-ES_tradnl"/>
        </w:rPr>
        <w:t>-up</w:t>
      </w:r>
      <w:r w:rsidRPr="00D32FAB">
        <w:rPr>
          <w:rFonts w:ascii="ITC Avant Garde" w:hAnsi="ITC Avant Garde"/>
          <w:sz w:val="18"/>
          <w:szCs w:val="18"/>
          <w:lang w:val="es-ES_tradnl"/>
        </w:rPr>
        <w:t xml:space="preserve">) – prefijada por el IFT – de costos incrementales promedio de largo plazo (CILP o LRIC/LRAIC, del inglés </w:t>
      </w:r>
      <w:proofErr w:type="spellStart"/>
      <w:r w:rsidRPr="00D32FAB">
        <w:rPr>
          <w:rFonts w:ascii="ITC Avant Garde" w:hAnsi="ITC Avant Garde"/>
          <w:sz w:val="18"/>
          <w:szCs w:val="18"/>
          <w:lang w:val="es-ES_tradnl"/>
        </w:rPr>
        <w:t>long</w:t>
      </w:r>
      <w:proofErr w:type="spellEnd"/>
      <w:r w:rsidRPr="00D32FAB">
        <w:rPr>
          <w:rFonts w:ascii="ITC Avant Garde" w:hAnsi="ITC Avant Garde"/>
          <w:sz w:val="18"/>
          <w:szCs w:val="18"/>
          <w:lang w:val="es-ES_tradnl"/>
        </w:rPr>
        <w:t>-</w:t>
      </w:r>
      <w:r w:rsidRPr="00D32FAB">
        <w:rPr>
          <w:rFonts w:ascii="ITC Avant Garde" w:hAnsi="ITC Avant Garde"/>
          <w:i/>
          <w:sz w:val="18"/>
          <w:szCs w:val="18"/>
          <w:lang w:val="es-ES_tradnl"/>
        </w:rPr>
        <w:t xml:space="preserve">run </w:t>
      </w:r>
      <w:proofErr w:type="spellStart"/>
      <w:r w:rsidRPr="00D32FAB">
        <w:rPr>
          <w:rFonts w:ascii="ITC Avant Garde" w:hAnsi="ITC Avant Garde"/>
          <w:i/>
          <w:sz w:val="18"/>
          <w:szCs w:val="18"/>
          <w:lang w:val="es-ES_tradnl"/>
        </w:rPr>
        <w:t>average</w:t>
      </w:r>
      <w:proofErr w:type="spellEnd"/>
      <w:r w:rsidRPr="00D32FAB">
        <w:rPr>
          <w:rFonts w:ascii="ITC Avant Garde" w:hAnsi="ITC Avant Garde"/>
          <w:i/>
          <w:sz w:val="18"/>
          <w:szCs w:val="18"/>
          <w:lang w:val="es-ES_tradnl"/>
        </w:rPr>
        <w:t xml:space="preserve"> incremental </w:t>
      </w:r>
      <w:proofErr w:type="spellStart"/>
      <w:r w:rsidRPr="00D32FAB">
        <w:rPr>
          <w:rFonts w:ascii="ITC Avant Garde" w:hAnsi="ITC Avant Garde"/>
          <w:i/>
          <w:sz w:val="18"/>
          <w:szCs w:val="18"/>
          <w:lang w:val="es-ES_tradnl"/>
        </w:rPr>
        <w:t>cost</w:t>
      </w:r>
      <w:proofErr w:type="spellEnd"/>
      <w:r w:rsidRPr="00D32FAB">
        <w:rPr>
          <w:rFonts w:ascii="ITC Avant Garde" w:hAnsi="ITC Avant Garde"/>
          <w:sz w:val="18"/>
          <w:szCs w:val="18"/>
          <w:lang w:val="es-ES_tradnl"/>
        </w:rPr>
        <w:t xml:space="preserve">). La utilización de una metodología </w:t>
      </w:r>
      <w:proofErr w:type="spellStart"/>
      <w:r w:rsidRPr="00D32FAB">
        <w:rPr>
          <w:rFonts w:ascii="ITC Avant Garde" w:hAnsi="ITC Avant Garde"/>
          <w:i/>
          <w:sz w:val="18"/>
          <w:szCs w:val="18"/>
          <w:lang w:val="es-ES_tradnl"/>
        </w:rPr>
        <w:t>bottom</w:t>
      </w:r>
      <w:proofErr w:type="spellEnd"/>
      <w:r w:rsidRPr="00D32FAB">
        <w:rPr>
          <w:rFonts w:ascii="ITC Avant Garde" w:hAnsi="ITC Avant Garde"/>
          <w:i/>
          <w:sz w:val="18"/>
          <w:szCs w:val="18"/>
          <w:lang w:val="es-ES_tradnl"/>
        </w:rPr>
        <w:t>-up</w:t>
      </w:r>
      <w:r w:rsidRPr="00D32FAB">
        <w:rPr>
          <w:rFonts w:ascii="ITC Avant Garde" w:hAnsi="ITC Avant Garde"/>
          <w:sz w:val="18"/>
          <w:szCs w:val="18"/>
          <w:lang w:val="es-ES_tradnl"/>
        </w:rPr>
        <w:t xml:space="preserve"> permite determinar si sería más eficiente para un nuevo operador alternativo alquilar el servicio mayorista al AEP o construir su propia red para prestar el servicio completo al cliente final.</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La revalorización de los activos de la red del operador modelado se realiza en función del valor actual de un activo moderno equivalente (MEA, del inglés </w:t>
      </w:r>
      <w:proofErr w:type="spellStart"/>
      <w:r w:rsidRPr="00D32FAB">
        <w:rPr>
          <w:rFonts w:ascii="ITC Avant Garde" w:hAnsi="ITC Avant Garde"/>
          <w:i/>
          <w:sz w:val="18"/>
          <w:szCs w:val="18"/>
          <w:lang w:val="es-ES_tradnl"/>
        </w:rPr>
        <w:t>modern</w:t>
      </w:r>
      <w:proofErr w:type="spellEnd"/>
      <w:r w:rsidRPr="00D32FAB">
        <w:rPr>
          <w:rFonts w:ascii="ITC Avant Garde" w:hAnsi="ITC Avant Garde"/>
          <w:i/>
          <w:sz w:val="18"/>
          <w:szCs w:val="18"/>
          <w:lang w:val="es-ES_tradnl"/>
        </w:rPr>
        <w:t xml:space="preserve"> </w:t>
      </w:r>
      <w:proofErr w:type="spellStart"/>
      <w:r w:rsidRPr="00D32FAB">
        <w:rPr>
          <w:rFonts w:ascii="ITC Avant Garde" w:hAnsi="ITC Avant Garde"/>
          <w:i/>
          <w:sz w:val="18"/>
          <w:szCs w:val="18"/>
          <w:lang w:val="es-ES_tradnl"/>
        </w:rPr>
        <w:t>equivalent</w:t>
      </w:r>
      <w:proofErr w:type="spellEnd"/>
      <w:r w:rsidRPr="00D32FAB">
        <w:rPr>
          <w:rFonts w:ascii="ITC Avant Garde" w:hAnsi="ITC Avant Garde"/>
          <w:i/>
          <w:sz w:val="18"/>
          <w:szCs w:val="18"/>
          <w:lang w:val="es-ES_tradnl"/>
        </w:rPr>
        <w:t xml:space="preserve"> </w:t>
      </w:r>
      <w:proofErr w:type="spellStart"/>
      <w:r w:rsidRPr="00D32FAB">
        <w:rPr>
          <w:rFonts w:ascii="ITC Avant Garde" w:hAnsi="ITC Avant Garde"/>
          <w:i/>
          <w:sz w:val="18"/>
          <w:szCs w:val="18"/>
          <w:lang w:val="es-ES_tradnl"/>
        </w:rPr>
        <w:t>asset</w:t>
      </w:r>
      <w:proofErr w:type="spellEnd"/>
      <w:r w:rsidRPr="00D32FAB">
        <w:rPr>
          <w:rFonts w:ascii="ITC Avant Garde" w:hAnsi="ITC Avant Garde"/>
          <w:sz w:val="18"/>
          <w:szCs w:val="18"/>
          <w:lang w:val="es-ES_tradnl"/>
        </w:rPr>
        <w:t xml:space="preserve">). Este método consiste </w:t>
      </w:r>
      <w:r w:rsidRPr="00D32FAB">
        <w:rPr>
          <w:rFonts w:ascii="ITC Avant Garde" w:hAnsi="ITC Avant Garde"/>
          <w:sz w:val="18"/>
          <w:szCs w:val="18"/>
          <w:lang w:val="es-ES_tradnl"/>
        </w:rPr>
        <w:lastRenderedPageBreak/>
        <w:t>en valorar los activos de red que desplegaría un operador a día de hoy con base en sus costos unitarios corrientes, por lo que no se tienen en cuenta los activos reales de la red del AEP.</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En lo que respecta al periodo modelado, el modelo calcula el costo de los distintos servicios para un año de referencia determinado (2014 en el caso base). Se asume que la demanda y la cobertura de la red </w:t>
      </w:r>
      <w:proofErr w:type="spellStart"/>
      <w:r w:rsidRPr="00D32FAB">
        <w:rPr>
          <w:rFonts w:ascii="ITC Avant Garde" w:hAnsi="ITC Avant Garde"/>
          <w:i/>
          <w:sz w:val="18"/>
          <w:szCs w:val="18"/>
          <w:lang w:val="es-ES_tradnl"/>
        </w:rPr>
        <w:t>legacy</w:t>
      </w:r>
      <w:proofErr w:type="spellEnd"/>
      <w:r w:rsidRPr="00D32FAB">
        <w:rPr>
          <w:rFonts w:ascii="ITC Avant Garde" w:hAnsi="ITC Avant Garde"/>
          <w:i/>
          <w:sz w:val="18"/>
          <w:szCs w:val="18"/>
          <w:lang w:val="es-ES_tradnl"/>
        </w:rPr>
        <w:t xml:space="preserve"> </w:t>
      </w:r>
      <w:r w:rsidRPr="00D32FAB">
        <w:rPr>
          <w:rFonts w:ascii="ITC Avant Garde" w:hAnsi="ITC Avant Garde"/>
          <w:sz w:val="18"/>
          <w:szCs w:val="18"/>
          <w:lang w:val="es-ES_tradnl"/>
        </w:rPr>
        <w:t>– y actual – han permanecido relativamente constantes en los últimos años.</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Otro de los principales aspectos metodológicos contemplados en el modelo es el tipo de demanda estimada. En este caso se considera exclusivamente la demanda minorista, dado que en la actualidad los servicios modelados no están todavía regulados. Asimismo, la demanda de servicios mayoristas depende en gran medida de la demanda minorista. </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Los costos compartidos se asignan utilizando un </w:t>
      </w:r>
      <w:proofErr w:type="spellStart"/>
      <w:r w:rsidRPr="00D32FAB">
        <w:rPr>
          <w:rFonts w:ascii="ITC Avant Garde" w:hAnsi="ITC Avant Garde"/>
          <w:i/>
          <w:sz w:val="18"/>
          <w:szCs w:val="18"/>
          <w:lang w:val="es-ES_tradnl"/>
        </w:rPr>
        <w:t>routing</w:t>
      </w:r>
      <w:proofErr w:type="spellEnd"/>
      <w:r w:rsidRPr="00D32FAB">
        <w:rPr>
          <w:rFonts w:ascii="ITC Avant Garde" w:hAnsi="ITC Avant Garde"/>
          <w:i/>
          <w:sz w:val="18"/>
          <w:szCs w:val="18"/>
          <w:lang w:val="es-ES_tradnl"/>
        </w:rPr>
        <w:t xml:space="preserve"> </w:t>
      </w:r>
      <w:proofErr w:type="spellStart"/>
      <w:r w:rsidRPr="00D32FAB">
        <w:rPr>
          <w:rFonts w:ascii="ITC Avant Garde" w:hAnsi="ITC Avant Garde"/>
          <w:i/>
          <w:sz w:val="18"/>
          <w:szCs w:val="18"/>
          <w:lang w:val="es-ES_tradnl"/>
        </w:rPr>
        <w:t>matrix</w:t>
      </w:r>
      <w:proofErr w:type="spellEnd"/>
      <w:r w:rsidRPr="00D32FAB">
        <w:rPr>
          <w:rFonts w:ascii="ITC Avant Garde" w:hAnsi="ITC Avant Garde"/>
          <w:sz w:val="18"/>
          <w:szCs w:val="18"/>
          <w:lang w:val="es-ES_tradnl"/>
        </w:rPr>
        <w:t xml:space="preserve"> tradicional con </w:t>
      </w:r>
      <w:r w:rsidRPr="00D32FAB">
        <w:rPr>
          <w:rFonts w:ascii="ITC Avant Garde" w:hAnsi="ITC Avant Garde"/>
          <w:i/>
          <w:sz w:val="18"/>
          <w:szCs w:val="18"/>
          <w:lang w:val="es-ES_tradnl"/>
        </w:rPr>
        <w:t xml:space="preserve">transfer </w:t>
      </w:r>
      <w:proofErr w:type="spellStart"/>
      <w:r w:rsidRPr="00D32FAB">
        <w:rPr>
          <w:rFonts w:ascii="ITC Avant Garde" w:hAnsi="ITC Avant Garde"/>
          <w:i/>
          <w:sz w:val="18"/>
          <w:szCs w:val="18"/>
          <w:lang w:val="es-ES_tradnl"/>
        </w:rPr>
        <w:t>charge</w:t>
      </w:r>
      <w:proofErr w:type="spellEnd"/>
      <w:r w:rsidRPr="00D32FAB">
        <w:rPr>
          <w:rFonts w:ascii="ITC Avant Garde" w:hAnsi="ITC Avant Garde"/>
          <w:i/>
          <w:sz w:val="18"/>
          <w:szCs w:val="18"/>
          <w:lang w:val="es-ES_tradnl"/>
        </w:rPr>
        <w:t xml:space="preserve"> </w:t>
      </w:r>
      <w:r w:rsidRPr="00D32FAB">
        <w:rPr>
          <w:rFonts w:ascii="ITC Avant Garde" w:hAnsi="ITC Avant Garde"/>
          <w:sz w:val="18"/>
          <w:szCs w:val="18"/>
          <w:lang w:val="es-ES_tradnl"/>
        </w:rPr>
        <w:t>al costo. Este método establece una relación entre la demanda de los distintos servicios modelados (p.ej. bucles y ductos) para determinar qué porcentaje de los costos de un servicio deberían ser asignados a otro servicio en función de la relación existente entre ambos servicios y la demanda relevante (p.ej. un bucle de X metros de longitud necesitará ductos de Y metros de longitud).</w:t>
      </w:r>
    </w:p>
    <w:p w:rsidR="00F07078"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Con respecto al tratamiento y asignación de los costos comunes, la metodología LRIC (escogida por el IFT) atribuye los costos compartidos y comunes a los distintos servicios en función de la demanda de dichos servicios. Para ello, el modelo emplea una metodología de reparto proporcional o </w:t>
      </w:r>
      <w:r w:rsidRPr="00D32FAB">
        <w:rPr>
          <w:rFonts w:ascii="ITC Avant Garde" w:hAnsi="ITC Avant Garde"/>
          <w:i/>
          <w:sz w:val="18"/>
          <w:szCs w:val="18"/>
          <w:lang w:val="es-ES_tradnl"/>
        </w:rPr>
        <w:t xml:space="preserve">EPMU </w:t>
      </w:r>
      <w:r w:rsidRPr="00D32FAB">
        <w:rPr>
          <w:rFonts w:ascii="ITC Avant Garde" w:hAnsi="ITC Avant Garde"/>
          <w:sz w:val="18"/>
          <w:szCs w:val="18"/>
          <w:lang w:val="es-ES_tradnl"/>
        </w:rPr>
        <w:t xml:space="preserve">(por sus siglas en inglés), por la cual los costos comunes son recuperados a través de un </w:t>
      </w:r>
      <w:proofErr w:type="spellStart"/>
      <w:r w:rsidRPr="00D32FAB">
        <w:rPr>
          <w:rFonts w:ascii="ITC Avant Garde" w:hAnsi="ITC Avant Garde"/>
          <w:i/>
          <w:sz w:val="18"/>
          <w:szCs w:val="18"/>
          <w:lang w:val="es-ES_tradnl"/>
        </w:rPr>
        <w:t>mark</w:t>
      </w:r>
      <w:proofErr w:type="spellEnd"/>
      <w:r w:rsidRPr="00D32FAB">
        <w:rPr>
          <w:rFonts w:ascii="ITC Avant Garde" w:hAnsi="ITC Avant Garde"/>
          <w:i/>
          <w:sz w:val="18"/>
          <w:szCs w:val="18"/>
          <w:lang w:val="es-ES_tradnl"/>
        </w:rPr>
        <w:t>-up</w:t>
      </w:r>
      <w:r w:rsidRPr="00D32FAB">
        <w:rPr>
          <w:rFonts w:ascii="ITC Avant Garde" w:hAnsi="ITC Avant Garde"/>
          <w:sz w:val="18"/>
          <w:szCs w:val="18"/>
          <w:lang w:val="es-ES_tradnl"/>
        </w:rPr>
        <w:t xml:space="preserve">, siguiendo la proporción de los costos sin </w:t>
      </w:r>
      <w:proofErr w:type="spellStart"/>
      <w:r w:rsidRPr="00D32FAB">
        <w:rPr>
          <w:rFonts w:ascii="ITC Avant Garde" w:hAnsi="ITC Avant Garde"/>
          <w:i/>
          <w:sz w:val="18"/>
          <w:szCs w:val="18"/>
          <w:lang w:val="es-ES_tradnl"/>
        </w:rPr>
        <w:t>mark</w:t>
      </w:r>
      <w:proofErr w:type="spellEnd"/>
      <w:r w:rsidRPr="00D32FAB">
        <w:rPr>
          <w:rFonts w:ascii="ITC Avant Garde" w:hAnsi="ITC Avant Garde"/>
          <w:i/>
          <w:sz w:val="18"/>
          <w:szCs w:val="18"/>
          <w:lang w:val="es-ES_tradnl"/>
        </w:rPr>
        <w:t>-up.</w:t>
      </w:r>
      <w:r w:rsidRPr="00D32FAB">
        <w:rPr>
          <w:rFonts w:ascii="ITC Avant Garde" w:hAnsi="ITC Avant Garde"/>
          <w:sz w:val="18"/>
          <w:szCs w:val="18"/>
          <w:lang w:val="es-ES_tradnl"/>
        </w:rPr>
        <w:t xml:space="preserve"> </w:t>
      </w:r>
    </w:p>
    <w:p w:rsidR="001E0D16" w:rsidRPr="00D32FAB" w:rsidRDefault="001E0D16" w:rsidP="00F07078">
      <w:pPr>
        <w:rPr>
          <w:rFonts w:ascii="ITC Avant Garde" w:hAnsi="ITC Avant Garde"/>
          <w:sz w:val="18"/>
          <w:szCs w:val="18"/>
          <w:lang w:val="es-ES_tradnl"/>
        </w:rPr>
      </w:pPr>
      <w:r w:rsidRPr="001E0D16">
        <w:rPr>
          <w:rFonts w:ascii="ITC Avant Garde" w:hAnsi="ITC Avant Garde"/>
          <w:b/>
          <w:sz w:val="18"/>
          <w:szCs w:val="18"/>
          <w:lang w:val="es-ES_tradnl"/>
        </w:rPr>
        <w:t>Q.</w:t>
      </w:r>
      <w:r w:rsidRPr="001E0D16">
        <w:rPr>
          <w:rFonts w:ascii="ITC Avant Garde" w:hAnsi="ITC Avant Garde"/>
          <w:b/>
          <w:sz w:val="18"/>
          <w:szCs w:val="18"/>
          <w:lang w:val="es-ES_tradnl"/>
        </w:rPr>
        <w:fldChar w:fldCharType="begin"/>
      </w:r>
      <w:r w:rsidRPr="001E0D16">
        <w:rPr>
          <w:rFonts w:ascii="ITC Avant Garde" w:hAnsi="ITC Avant Garde"/>
          <w:b/>
          <w:sz w:val="18"/>
          <w:szCs w:val="18"/>
          <w:lang w:val="es-ES_tradnl"/>
        </w:rPr>
        <w:instrText xml:space="preserve"> SEQ Recommendation \* ARABIC \s 0 </w:instrText>
      </w:r>
      <w:r w:rsidRPr="001E0D16">
        <w:rPr>
          <w:rFonts w:ascii="ITC Avant Garde" w:hAnsi="ITC Avant Garde"/>
          <w:b/>
          <w:sz w:val="18"/>
          <w:szCs w:val="18"/>
          <w:lang w:val="es-ES_tradnl"/>
        </w:rPr>
        <w:fldChar w:fldCharType="separate"/>
      </w:r>
      <w:r w:rsidRPr="001E0D16">
        <w:rPr>
          <w:rFonts w:ascii="ITC Avant Garde" w:hAnsi="ITC Avant Garde"/>
          <w:b/>
          <w:sz w:val="18"/>
          <w:szCs w:val="18"/>
          <w:lang w:val="es-ES_tradnl"/>
        </w:rPr>
        <w:t>2</w:t>
      </w:r>
      <w:r w:rsidRPr="001E0D16">
        <w:rPr>
          <w:rFonts w:ascii="ITC Avant Garde" w:hAnsi="ITC Avant Garde"/>
          <w:sz w:val="18"/>
          <w:szCs w:val="18"/>
          <w:lang w:val="es-ES_tradnl"/>
        </w:rPr>
        <w:fldChar w:fldCharType="end"/>
      </w:r>
      <w:r w:rsidRPr="001E0D16">
        <w:rPr>
          <w:rFonts w:ascii="ITC Avant Garde" w:hAnsi="ITC Avant Garde"/>
          <w:sz w:val="18"/>
          <w:szCs w:val="18"/>
          <w:lang w:val="es-ES_tradnl"/>
        </w:rPr>
        <w:t>: ¿Considera adecuadas las consideraciones que se han tenido en cuenta en lo que respecta a la metodología de costos incrementales implementada en el modelo de costos?</w:t>
      </w:r>
    </w:p>
    <w:p w:rsidR="00F07078" w:rsidRPr="00D32FAB" w:rsidRDefault="00F07078" w:rsidP="00F07078">
      <w:pPr>
        <w:pStyle w:val="Ttulo3"/>
        <w:rPr>
          <w:rFonts w:ascii="ITC Avant Garde" w:hAnsi="ITC Avant Garde"/>
          <w:sz w:val="18"/>
          <w:szCs w:val="18"/>
          <w:lang w:val="es-ES_tradnl"/>
        </w:rPr>
      </w:pPr>
      <w:r w:rsidRPr="00D32FAB">
        <w:rPr>
          <w:rFonts w:ascii="ITC Avant Garde" w:hAnsi="ITC Avant Garde"/>
          <w:sz w:val="18"/>
          <w:szCs w:val="18"/>
          <w:lang w:val="es-ES_tradnl"/>
        </w:rPr>
        <w:lastRenderedPageBreak/>
        <w:t>Especificaciones de la red de acceso</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La red de acceso modelada es la red legado (de cobre) del AEP. Por tanto, el modelo no calcula los costos unitarios de los servicios ofrecidos a través de la red de acceso de nueva generación (NGA). Sin embargo, el modelo sí estima la demanda de servicios NGA, ya que esto permite imputar adecuadamente los costos comunes a los servicios de manera proporcional.</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Con el objetivo de representar de la manera más realista posible el dilema </w:t>
      </w:r>
      <w:proofErr w:type="spellStart"/>
      <w:r w:rsidRPr="00D32FAB">
        <w:rPr>
          <w:rFonts w:ascii="ITC Avant Garde" w:hAnsi="ITC Avant Garde"/>
          <w:i/>
          <w:sz w:val="18"/>
          <w:szCs w:val="18"/>
          <w:lang w:val="es-ES_tradnl"/>
        </w:rPr>
        <w:t>make</w:t>
      </w:r>
      <w:proofErr w:type="spellEnd"/>
      <w:r w:rsidRPr="00D32FAB">
        <w:rPr>
          <w:rFonts w:ascii="ITC Avant Garde" w:hAnsi="ITC Avant Garde"/>
          <w:i/>
          <w:sz w:val="18"/>
          <w:szCs w:val="18"/>
          <w:lang w:val="es-ES_tradnl"/>
        </w:rPr>
        <w:t xml:space="preserve"> </w:t>
      </w:r>
      <w:proofErr w:type="spellStart"/>
      <w:r w:rsidRPr="00D32FAB">
        <w:rPr>
          <w:rFonts w:ascii="ITC Avant Garde" w:hAnsi="ITC Avant Garde"/>
          <w:i/>
          <w:sz w:val="18"/>
          <w:szCs w:val="18"/>
          <w:lang w:val="es-ES_tradnl"/>
        </w:rPr>
        <w:t>or</w:t>
      </w:r>
      <w:proofErr w:type="spellEnd"/>
      <w:r w:rsidRPr="00D32FAB">
        <w:rPr>
          <w:rFonts w:ascii="ITC Avant Garde" w:hAnsi="ITC Avant Garde"/>
          <w:i/>
          <w:sz w:val="18"/>
          <w:szCs w:val="18"/>
          <w:lang w:val="es-ES_tradnl"/>
        </w:rPr>
        <w:t xml:space="preserve"> </w:t>
      </w:r>
      <w:proofErr w:type="spellStart"/>
      <w:r w:rsidRPr="00D32FAB">
        <w:rPr>
          <w:rFonts w:ascii="ITC Avant Garde" w:hAnsi="ITC Avant Garde"/>
          <w:i/>
          <w:sz w:val="18"/>
          <w:szCs w:val="18"/>
          <w:lang w:val="es-ES_tradnl"/>
        </w:rPr>
        <w:t>buy</w:t>
      </w:r>
      <w:proofErr w:type="spellEnd"/>
      <w:r w:rsidRPr="00D32FAB">
        <w:rPr>
          <w:rFonts w:ascii="ITC Avant Garde" w:hAnsi="ITC Avant Garde"/>
          <w:sz w:val="18"/>
          <w:szCs w:val="18"/>
          <w:lang w:val="es-ES_tradnl"/>
        </w:rPr>
        <w:t xml:space="preserve"> al que se enfrentan los operadores alternativos – es decir, alquilar los servicios mayoristas del AEP o construir su propia red – la red de acceso modelada es una red teórica eficiente, que corresponde en teoría a la opción que escogería un operador que decidiese desplegar su propia red hoy en día. Por lo tanto, el modelo no calcula los costos de la red existente del AEP.</w:t>
      </w:r>
    </w:p>
    <w:p w:rsidR="00BC5411" w:rsidRPr="00D32FAB" w:rsidRDefault="00BC5411" w:rsidP="00F07078">
      <w:pPr>
        <w:rPr>
          <w:rFonts w:ascii="ITC Avant Garde" w:hAnsi="ITC Avant Garde"/>
          <w:sz w:val="18"/>
          <w:szCs w:val="18"/>
          <w:lang w:val="es-ES_tradnl"/>
        </w:rPr>
      </w:pP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Siguiendo el mismo criterio, la cobertura del operador modelado es una cobertura efectiva de la red de acceso fija del operador. Se considera que ésta es la opción que permite reflejar de la manera más realista posible el tamaño real de la red del AEP. Por lo tanto, la red modelada no considera una cobertura completa (100%) del territorio mexicano, ni se limita a cubrir exclusivamente aquellas zonas que son viables económicamente, desde una perspectiva actual.</w:t>
      </w:r>
    </w:p>
    <w:p w:rsidR="00F07078"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lastRenderedPageBreak/>
        <w:t xml:space="preserve">En cuanto al enfoque </w:t>
      </w:r>
      <w:proofErr w:type="spellStart"/>
      <w:r w:rsidRPr="00D32FAB">
        <w:rPr>
          <w:rFonts w:ascii="ITC Avant Garde" w:hAnsi="ITC Avant Garde"/>
          <w:i/>
          <w:sz w:val="18"/>
          <w:szCs w:val="18"/>
          <w:lang w:val="es-ES_tradnl"/>
        </w:rPr>
        <w:t>scorching</w:t>
      </w:r>
      <w:proofErr w:type="spellEnd"/>
      <w:r w:rsidRPr="00D32FAB">
        <w:rPr>
          <w:rFonts w:ascii="ITC Avant Garde" w:hAnsi="ITC Avant Garde"/>
          <w:i/>
          <w:sz w:val="18"/>
          <w:szCs w:val="18"/>
          <w:lang w:val="es-ES_tradnl"/>
        </w:rPr>
        <w:t xml:space="preserve">, </w:t>
      </w:r>
      <w:r w:rsidRPr="00D32FAB">
        <w:rPr>
          <w:rFonts w:ascii="ITC Avant Garde" w:hAnsi="ITC Avant Garde"/>
          <w:sz w:val="18"/>
          <w:szCs w:val="18"/>
          <w:lang w:val="es-ES_tradnl"/>
        </w:rPr>
        <w:t xml:space="preserve">el modelo adopta el enfoque </w:t>
      </w:r>
      <w:proofErr w:type="spellStart"/>
      <w:r w:rsidRPr="00D32FAB">
        <w:rPr>
          <w:rFonts w:ascii="ITC Avant Garde" w:hAnsi="ITC Avant Garde"/>
          <w:i/>
          <w:sz w:val="18"/>
          <w:szCs w:val="18"/>
          <w:lang w:val="es-ES_tradnl"/>
        </w:rPr>
        <w:t>scorched</w:t>
      </w:r>
      <w:proofErr w:type="spellEnd"/>
      <w:r w:rsidRPr="00D32FAB">
        <w:rPr>
          <w:rFonts w:ascii="ITC Avant Garde" w:hAnsi="ITC Avant Garde"/>
          <w:i/>
          <w:sz w:val="18"/>
          <w:szCs w:val="18"/>
          <w:lang w:val="es-ES_tradnl"/>
        </w:rPr>
        <w:t xml:space="preserve"> </w:t>
      </w:r>
      <w:proofErr w:type="spellStart"/>
      <w:r w:rsidRPr="00D32FAB">
        <w:rPr>
          <w:rFonts w:ascii="ITC Avant Garde" w:hAnsi="ITC Avant Garde"/>
          <w:i/>
          <w:sz w:val="18"/>
          <w:szCs w:val="18"/>
          <w:lang w:val="es-ES_tradnl"/>
        </w:rPr>
        <w:t>node</w:t>
      </w:r>
      <w:proofErr w:type="spellEnd"/>
      <w:r w:rsidRPr="00D32FAB">
        <w:rPr>
          <w:rFonts w:ascii="ITC Avant Garde" w:hAnsi="ITC Avant Garde"/>
          <w:sz w:val="18"/>
          <w:szCs w:val="18"/>
          <w:lang w:val="es-ES_tradnl"/>
        </w:rPr>
        <w:t xml:space="preserve"> modificado</w:t>
      </w:r>
      <w:r w:rsidRPr="00D32FAB">
        <w:rPr>
          <w:rFonts w:ascii="ITC Avant Garde" w:hAnsi="ITC Avant Garde"/>
          <w:i/>
          <w:sz w:val="18"/>
          <w:szCs w:val="18"/>
          <w:lang w:val="es-ES_tradnl"/>
        </w:rPr>
        <w:t xml:space="preserve">. </w:t>
      </w:r>
      <w:r w:rsidRPr="00D32FAB">
        <w:rPr>
          <w:rFonts w:ascii="ITC Avant Garde" w:hAnsi="ITC Avant Garde"/>
          <w:sz w:val="18"/>
          <w:szCs w:val="18"/>
          <w:lang w:val="es-ES_tradnl"/>
        </w:rPr>
        <w:t>De este modo, se eliminan ineficiencias en la ubicación de nodos de la red existente. Las fronteras de las áreas de central se definen en base a un análisis geográfico previo, tal y como se detalla en la siguiente sección.</w:t>
      </w:r>
    </w:p>
    <w:p w:rsidR="003B1AD2" w:rsidRPr="00D32FAB" w:rsidRDefault="003B1AD2" w:rsidP="00F07078">
      <w:pPr>
        <w:rPr>
          <w:rFonts w:ascii="ITC Avant Garde" w:hAnsi="ITC Avant Garde"/>
          <w:sz w:val="18"/>
          <w:szCs w:val="18"/>
          <w:lang w:val="es-ES_tradnl"/>
        </w:rPr>
      </w:pPr>
      <w:r w:rsidRPr="003B1AD2">
        <w:rPr>
          <w:rFonts w:ascii="ITC Avant Garde" w:hAnsi="ITC Avant Garde"/>
          <w:b/>
          <w:sz w:val="18"/>
          <w:szCs w:val="18"/>
          <w:lang w:val="es-ES_tradnl"/>
        </w:rPr>
        <w:t>Q.</w:t>
      </w:r>
      <w:r w:rsidRPr="003B1AD2">
        <w:rPr>
          <w:rFonts w:ascii="ITC Avant Garde" w:hAnsi="ITC Avant Garde"/>
          <w:b/>
          <w:sz w:val="18"/>
          <w:szCs w:val="18"/>
          <w:lang w:val="es-ES_tradnl"/>
        </w:rPr>
        <w:fldChar w:fldCharType="begin"/>
      </w:r>
      <w:r w:rsidRPr="003B1AD2">
        <w:rPr>
          <w:rFonts w:ascii="ITC Avant Garde" w:hAnsi="ITC Avant Garde"/>
          <w:b/>
          <w:sz w:val="18"/>
          <w:szCs w:val="18"/>
          <w:lang w:val="es-ES_tradnl"/>
        </w:rPr>
        <w:instrText xml:space="preserve"> SEQ Recommendation \* ARABIC \s 0 </w:instrText>
      </w:r>
      <w:r w:rsidRPr="003B1AD2">
        <w:rPr>
          <w:rFonts w:ascii="ITC Avant Garde" w:hAnsi="ITC Avant Garde"/>
          <w:b/>
          <w:sz w:val="18"/>
          <w:szCs w:val="18"/>
          <w:lang w:val="es-ES_tradnl"/>
        </w:rPr>
        <w:fldChar w:fldCharType="separate"/>
      </w:r>
      <w:r w:rsidRPr="003B1AD2">
        <w:rPr>
          <w:rFonts w:ascii="ITC Avant Garde" w:hAnsi="ITC Avant Garde"/>
          <w:b/>
          <w:sz w:val="18"/>
          <w:szCs w:val="18"/>
          <w:lang w:val="es-ES_tradnl"/>
        </w:rPr>
        <w:t>3</w:t>
      </w:r>
      <w:r w:rsidRPr="003B1AD2">
        <w:rPr>
          <w:rFonts w:ascii="ITC Avant Garde" w:hAnsi="ITC Avant Garde"/>
          <w:sz w:val="18"/>
          <w:szCs w:val="18"/>
          <w:lang w:val="es-ES_tradnl"/>
        </w:rPr>
        <w:fldChar w:fldCharType="end"/>
      </w:r>
      <w:r w:rsidRPr="003B1AD2">
        <w:rPr>
          <w:rFonts w:ascii="ITC Avant Garde" w:hAnsi="ITC Avant Garde"/>
          <w:sz w:val="18"/>
          <w:szCs w:val="18"/>
          <w:lang w:val="es-ES_tradnl"/>
        </w:rPr>
        <w:t>: ¿Está de acuerdo con las especificaciones de la red de acceso implementadas en el modelo?</w:t>
      </w:r>
    </w:p>
    <w:p w:rsidR="00F07078" w:rsidRPr="00D32FAB" w:rsidRDefault="00F07078" w:rsidP="00BC5411">
      <w:pPr>
        <w:pStyle w:val="Ttulo3"/>
        <w:spacing w:after="120"/>
        <w:rPr>
          <w:rFonts w:ascii="ITC Avant Garde" w:hAnsi="ITC Avant Garde"/>
          <w:sz w:val="18"/>
          <w:szCs w:val="18"/>
          <w:lang w:val="es-ES_tradnl"/>
        </w:rPr>
      </w:pPr>
      <w:r w:rsidRPr="00D32FAB">
        <w:rPr>
          <w:rFonts w:ascii="ITC Avant Garde" w:hAnsi="ITC Avant Garde"/>
          <w:sz w:val="18"/>
          <w:szCs w:val="18"/>
          <w:lang w:val="es-ES_tradnl"/>
        </w:rPr>
        <w:t>Metodología del análisis geográfico</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El análisis geográfico realizado se basa en la identificación de las particiones del territorio mexicano relevantes para el estudio de la red de acceso. Para ello, se selecciona la unidad de partición del territorio mexicano más adecuada, en este caso las localidades en las que</w:t>
      </w:r>
      <w:r w:rsidR="00C15B53">
        <w:rPr>
          <w:rFonts w:ascii="ITC Avant Garde" w:hAnsi="ITC Avant Garde"/>
          <w:sz w:val="18"/>
          <w:szCs w:val="18"/>
          <w:lang w:val="es-ES_tradnl"/>
        </w:rPr>
        <w:t xml:space="preserve"> el</w:t>
      </w:r>
      <w:r w:rsidRPr="00D32FAB">
        <w:rPr>
          <w:rFonts w:ascii="ITC Avant Garde" w:hAnsi="ITC Avant Garde"/>
          <w:sz w:val="18"/>
          <w:szCs w:val="18"/>
          <w:lang w:val="es-ES_tradnl"/>
        </w:rPr>
        <w:t xml:space="preserve"> </w:t>
      </w:r>
      <w:r w:rsidR="00C15B53">
        <w:rPr>
          <w:rFonts w:ascii="ITC Avant Garde" w:hAnsi="ITC Avant Garde"/>
          <w:sz w:val="18"/>
          <w:szCs w:val="18"/>
          <w:lang w:val="es-ES_tradnl"/>
        </w:rPr>
        <w:t>AEP</w:t>
      </w:r>
      <w:r w:rsidRPr="00D32FAB">
        <w:rPr>
          <w:rFonts w:ascii="ITC Avant Garde" w:hAnsi="ITC Avant Garde"/>
          <w:sz w:val="18"/>
          <w:szCs w:val="18"/>
          <w:lang w:val="es-ES_tradnl"/>
        </w:rPr>
        <w:t xml:space="preserve"> cuenta con centrales de estructura fija cubriendo un radio de al menos 3 kilómetros.</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Con base en esta selección, se agrupan para su estudio individual las localidades en </w:t>
      </w:r>
      <w:proofErr w:type="spellStart"/>
      <w:r w:rsidRPr="00D32FAB">
        <w:rPr>
          <w:rFonts w:ascii="ITC Avant Garde" w:hAnsi="ITC Avant Garde"/>
          <w:sz w:val="18"/>
          <w:szCs w:val="18"/>
          <w:lang w:val="es-ES_tradnl"/>
        </w:rPr>
        <w:t>geotipos</w:t>
      </w:r>
      <w:proofErr w:type="spellEnd"/>
      <w:r w:rsidRPr="00D32FAB">
        <w:rPr>
          <w:rFonts w:ascii="ITC Avant Garde" w:hAnsi="ITC Avant Garde"/>
          <w:sz w:val="18"/>
          <w:szCs w:val="18"/>
          <w:lang w:val="es-ES_tradnl"/>
        </w:rPr>
        <w:t xml:space="preserve">. Para ello, se utiliza como </w:t>
      </w:r>
      <w:r w:rsidRPr="00D32FAB">
        <w:rPr>
          <w:rFonts w:ascii="ITC Avant Garde" w:hAnsi="ITC Avant Garde"/>
          <w:i/>
          <w:sz w:val="18"/>
          <w:szCs w:val="18"/>
          <w:lang w:val="es-ES_tradnl"/>
        </w:rPr>
        <w:t>proxy</w:t>
      </w:r>
      <w:r w:rsidRPr="00D32FAB">
        <w:rPr>
          <w:rFonts w:ascii="ITC Avant Garde" w:hAnsi="ITC Avant Garde"/>
          <w:sz w:val="18"/>
          <w:szCs w:val="18"/>
          <w:lang w:val="es-ES_tradnl"/>
        </w:rPr>
        <w:t xml:space="preserve"> la proporción de edificios por kilómetro de vialidad</w:t>
      </w:r>
      <w:r w:rsidR="00BC5411" w:rsidRPr="00D32FAB">
        <w:rPr>
          <w:rFonts w:ascii="ITC Avant Garde" w:hAnsi="ITC Avant Garde"/>
          <w:sz w:val="18"/>
          <w:szCs w:val="18"/>
          <w:lang w:val="es-ES_tradnl"/>
        </w:rPr>
        <w:t xml:space="preserve"> </w:t>
      </w:r>
      <w:r w:rsidRPr="00D32FAB">
        <w:rPr>
          <w:rFonts w:ascii="ITC Avant Garde" w:hAnsi="ITC Avant Garde"/>
          <w:sz w:val="18"/>
          <w:szCs w:val="18"/>
          <w:lang w:val="es-ES_tradnl"/>
        </w:rPr>
        <w:t xml:space="preserve">en cada localidad en la que </w:t>
      </w:r>
      <w:r w:rsidR="00C15B53">
        <w:rPr>
          <w:rFonts w:ascii="ITC Avant Garde" w:hAnsi="ITC Avant Garde"/>
          <w:sz w:val="18"/>
          <w:szCs w:val="18"/>
          <w:lang w:val="es-ES_tradnl"/>
        </w:rPr>
        <w:t>el AEP</w:t>
      </w:r>
      <w:r w:rsidRPr="00D32FAB">
        <w:rPr>
          <w:rFonts w:ascii="ITC Avant Garde" w:hAnsi="ITC Avant Garde"/>
          <w:sz w:val="18"/>
          <w:szCs w:val="18"/>
          <w:lang w:val="es-ES_tradnl"/>
        </w:rPr>
        <w:t xml:space="preserve"> cuenta con infraestructura fija, asignando cada una de estas localidades a un </w:t>
      </w:r>
      <w:proofErr w:type="spellStart"/>
      <w:r w:rsidRPr="00D32FAB">
        <w:rPr>
          <w:rFonts w:ascii="ITC Avant Garde" w:hAnsi="ITC Avant Garde"/>
          <w:sz w:val="18"/>
          <w:szCs w:val="18"/>
          <w:lang w:val="es-ES_tradnl"/>
        </w:rPr>
        <w:t>geotipo</w:t>
      </w:r>
      <w:proofErr w:type="spellEnd"/>
      <w:r w:rsidRPr="00D32FAB">
        <w:rPr>
          <w:rFonts w:ascii="ITC Avant Garde" w:hAnsi="ITC Avant Garde"/>
          <w:sz w:val="18"/>
          <w:szCs w:val="18"/>
          <w:lang w:val="es-ES_tradnl"/>
        </w:rPr>
        <w:t xml:space="preserve">. Se considera que ésta es la </w:t>
      </w:r>
      <w:r w:rsidRPr="00D32FAB">
        <w:rPr>
          <w:rFonts w:ascii="ITC Avant Garde" w:hAnsi="ITC Avant Garde"/>
          <w:i/>
          <w:sz w:val="18"/>
          <w:szCs w:val="18"/>
          <w:lang w:val="es-ES_tradnl"/>
        </w:rPr>
        <w:t>proxy</w:t>
      </w:r>
      <w:r w:rsidRPr="00D32FAB">
        <w:rPr>
          <w:rFonts w:ascii="ITC Avant Garde" w:hAnsi="ITC Avant Garde"/>
          <w:sz w:val="18"/>
          <w:szCs w:val="18"/>
          <w:lang w:val="es-ES_tradnl"/>
        </w:rPr>
        <w:t xml:space="preserve"> más adecuada para calcular la densidad de la infraestructura de la red del AEP.</w:t>
      </w:r>
    </w:p>
    <w:p w:rsidR="00F07078"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Finalmente, se lleva a cabo un proceso de muestreo de todas las localidades agrupadas por </w:t>
      </w:r>
      <w:proofErr w:type="spellStart"/>
      <w:r w:rsidRPr="00D32FAB">
        <w:rPr>
          <w:rFonts w:ascii="ITC Avant Garde" w:hAnsi="ITC Avant Garde"/>
          <w:sz w:val="18"/>
          <w:szCs w:val="18"/>
          <w:lang w:val="es-ES_tradnl"/>
        </w:rPr>
        <w:t>geotipo</w:t>
      </w:r>
      <w:proofErr w:type="spellEnd"/>
      <w:r w:rsidRPr="00D32FAB">
        <w:rPr>
          <w:rFonts w:ascii="ITC Avant Garde" w:hAnsi="ITC Avant Garde"/>
          <w:sz w:val="18"/>
          <w:szCs w:val="18"/>
          <w:lang w:val="es-ES_tradnl"/>
        </w:rPr>
        <w:t xml:space="preserve"> en base a una muestra estratificada. El muestreo estratificado (por estrato o </w:t>
      </w:r>
      <w:proofErr w:type="spellStart"/>
      <w:r w:rsidRPr="00D32FAB">
        <w:rPr>
          <w:rFonts w:ascii="ITC Avant Garde" w:hAnsi="ITC Avant Garde"/>
          <w:sz w:val="18"/>
          <w:szCs w:val="18"/>
          <w:lang w:val="es-ES_tradnl"/>
        </w:rPr>
        <w:t>geotipo</w:t>
      </w:r>
      <w:proofErr w:type="spellEnd"/>
      <w:r w:rsidRPr="00D32FAB">
        <w:rPr>
          <w:rFonts w:ascii="ITC Avant Garde" w:hAnsi="ITC Avant Garde"/>
          <w:sz w:val="18"/>
          <w:szCs w:val="18"/>
          <w:lang w:val="es-ES_tradnl"/>
        </w:rPr>
        <w:t>) consigue obtener una mejor representación de todos los casos existentes y consiste en calcular cuántos elementos de cada muestreo ha de haber en cada estrato, en base a las diferencias entre los elementos dentro de cada estrato.</w:t>
      </w:r>
    </w:p>
    <w:p w:rsidR="00620036" w:rsidRPr="00D32FAB" w:rsidRDefault="00620036" w:rsidP="00F07078">
      <w:pPr>
        <w:rPr>
          <w:rFonts w:ascii="ITC Avant Garde" w:hAnsi="ITC Avant Garde"/>
          <w:sz w:val="18"/>
          <w:szCs w:val="18"/>
          <w:lang w:val="es-ES_tradnl"/>
        </w:rPr>
      </w:pPr>
      <w:r w:rsidRPr="00620036">
        <w:rPr>
          <w:rFonts w:ascii="ITC Avant Garde" w:hAnsi="ITC Avant Garde"/>
          <w:b/>
          <w:sz w:val="18"/>
          <w:szCs w:val="18"/>
          <w:lang w:val="es-ES_tradnl"/>
        </w:rPr>
        <w:t>Q.</w:t>
      </w:r>
      <w:r w:rsidRPr="00620036">
        <w:rPr>
          <w:rFonts w:ascii="ITC Avant Garde" w:hAnsi="ITC Avant Garde"/>
          <w:b/>
          <w:sz w:val="18"/>
          <w:szCs w:val="18"/>
          <w:lang w:val="es-ES_tradnl"/>
        </w:rPr>
        <w:fldChar w:fldCharType="begin"/>
      </w:r>
      <w:r w:rsidRPr="00620036">
        <w:rPr>
          <w:rFonts w:ascii="ITC Avant Garde" w:hAnsi="ITC Avant Garde"/>
          <w:b/>
          <w:sz w:val="18"/>
          <w:szCs w:val="18"/>
          <w:lang w:val="es-ES_tradnl"/>
        </w:rPr>
        <w:instrText xml:space="preserve"> SEQ Recommendation \* ARABIC \s 0 </w:instrText>
      </w:r>
      <w:r w:rsidRPr="00620036">
        <w:rPr>
          <w:rFonts w:ascii="ITC Avant Garde" w:hAnsi="ITC Avant Garde"/>
          <w:b/>
          <w:sz w:val="18"/>
          <w:szCs w:val="18"/>
          <w:lang w:val="es-ES_tradnl"/>
        </w:rPr>
        <w:fldChar w:fldCharType="separate"/>
      </w:r>
      <w:r w:rsidRPr="00620036">
        <w:rPr>
          <w:rFonts w:ascii="ITC Avant Garde" w:hAnsi="ITC Avant Garde"/>
          <w:b/>
          <w:sz w:val="18"/>
          <w:szCs w:val="18"/>
          <w:lang w:val="es-ES_tradnl"/>
        </w:rPr>
        <w:t>4</w:t>
      </w:r>
      <w:r w:rsidRPr="00620036">
        <w:rPr>
          <w:rFonts w:ascii="ITC Avant Garde" w:hAnsi="ITC Avant Garde"/>
          <w:sz w:val="18"/>
          <w:szCs w:val="18"/>
          <w:lang w:val="es-ES_tradnl"/>
        </w:rPr>
        <w:fldChar w:fldCharType="end"/>
      </w:r>
      <w:r w:rsidRPr="00620036">
        <w:rPr>
          <w:rFonts w:ascii="ITC Avant Garde" w:hAnsi="ITC Avant Garde"/>
          <w:sz w:val="18"/>
          <w:szCs w:val="18"/>
          <w:lang w:val="es-ES_tradnl"/>
        </w:rPr>
        <w:t>: ¿Tiene comentarios respecto a la metodología de análisis geográfico implementada en el modelo?</w:t>
      </w:r>
    </w:p>
    <w:p w:rsidR="00F07078" w:rsidRPr="00D32FAB" w:rsidRDefault="00F07078" w:rsidP="00BC5411">
      <w:pPr>
        <w:pStyle w:val="Ttulo3"/>
        <w:spacing w:after="120"/>
        <w:rPr>
          <w:rFonts w:ascii="ITC Avant Garde" w:hAnsi="ITC Avant Garde"/>
          <w:sz w:val="18"/>
          <w:szCs w:val="18"/>
          <w:lang w:val="es-ES_tradnl"/>
        </w:rPr>
      </w:pPr>
      <w:r w:rsidRPr="00D32FAB">
        <w:rPr>
          <w:rFonts w:ascii="ITC Avant Garde" w:hAnsi="ITC Avant Garde"/>
          <w:sz w:val="18"/>
          <w:szCs w:val="18"/>
          <w:lang w:val="es-ES_tradnl"/>
        </w:rPr>
        <w:lastRenderedPageBreak/>
        <w:t>Algoritmos de diseño de red</w:t>
      </w:r>
    </w:p>
    <w:p w:rsidR="00F07078" w:rsidRPr="00D32FAB" w:rsidRDefault="00F07078" w:rsidP="00BC5411">
      <w:pPr>
        <w:spacing w:after="120"/>
        <w:rPr>
          <w:rFonts w:ascii="ITC Avant Garde" w:hAnsi="ITC Avant Garde"/>
          <w:sz w:val="18"/>
          <w:szCs w:val="18"/>
          <w:lang w:val="es-ES_tradnl"/>
        </w:rPr>
      </w:pPr>
      <w:r w:rsidRPr="00D32FAB">
        <w:rPr>
          <w:rFonts w:ascii="ITC Avant Garde" w:hAnsi="ITC Avant Garde"/>
          <w:sz w:val="18"/>
          <w:szCs w:val="18"/>
          <w:lang w:val="es-ES_tradnl"/>
        </w:rPr>
        <w:t>El dimensionamiento de red consiste en una serie de algoritmos que permiten realizar el dimensionamiento de la red de acceso a partir de los resultados del análisis geográfico (la selección de localidades dentro del territorio mexicano a estudiar en mayor detalle). Entre ellos, los principales algoritmos utilizados son los siguientes:</w:t>
      </w:r>
    </w:p>
    <w:p w:rsidR="00F07078" w:rsidRPr="00D32FAB" w:rsidRDefault="00F07078" w:rsidP="00F07078">
      <w:pPr>
        <w:pStyle w:val="Listaconvietas"/>
        <w:rPr>
          <w:rFonts w:ascii="ITC Avant Garde" w:hAnsi="ITC Avant Garde"/>
          <w:sz w:val="18"/>
          <w:szCs w:val="18"/>
          <w:lang w:val="es-ES_tradnl"/>
        </w:rPr>
      </w:pPr>
      <w:r w:rsidRPr="00D32FAB">
        <w:rPr>
          <w:rFonts w:ascii="ITC Avant Garde" w:hAnsi="ITC Avant Garde"/>
          <w:b/>
          <w:sz w:val="18"/>
          <w:szCs w:val="18"/>
          <w:lang w:val="es-ES_tradnl"/>
        </w:rPr>
        <w:t>Agrupación de las localizaciones o edificios</w:t>
      </w:r>
      <w:r w:rsidRPr="00D32FAB">
        <w:rPr>
          <w:rFonts w:ascii="ITC Avant Garde" w:hAnsi="ITC Avant Garde"/>
          <w:sz w:val="18"/>
          <w:szCs w:val="18"/>
          <w:lang w:val="es-ES_tradnl"/>
        </w:rPr>
        <w:t xml:space="preserve"> – En la práctica, este proceso consiste en agrupar los edificios de cada localidad. El algoritmo escogido es el </w:t>
      </w:r>
      <w:proofErr w:type="spellStart"/>
      <w:r w:rsidRPr="00D32FAB">
        <w:rPr>
          <w:rFonts w:ascii="ITC Avant Garde" w:hAnsi="ITC Avant Garde"/>
          <w:i/>
          <w:sz w:val="18"/>
          <w:szCs w:val="18"/>
          <w:lang w:val="es-ES_tradnl"/>
        </w:rPr>
        <w:t>clustering</w:t>
      </w:r>
      <w:proofErr w:type="spellEnd"/>
      <w:r w:rsidRPr="00D32FAB">
        <w:rPr>
          <w:rFonts w:ascii="ITC Avant Garde" w:hAnsi="ITC Avant Garde"/>
          <w:i/>
          <w:sz w:val="18"/>
          <w:szCs w:val="18"/>
          <w:lang w:val="es-ES_tradnl"/>
        </w:rPr>
        <w:t xml:space="preserve"> top-</w:t>
      </w:r>
      <w:proofErr w:type="spellStart"/>
      <w:r w:rsidRPr="00D32FAB">
        <w:rPr>
          <w:rFonts w:ascii="ITC Avant Garde" w:hAnsi="ITC Avant Garde"/>
          <w:i/>
          <w:sz w:val="18"/>
          <w:szCs w:val="18"/>
          <w:lang w:val="es-ES_tradnl"/>
        </w:rPr>
        <w:t>down</w:t>
      </w:r>
      <w:proofErr w:type="spellEnd"/>
      <w:r w:rsidRPr="00D32FAB">
        <w:rPr>
          <w:rFonts w:ascii="ITC Avant Garde" w:hAnsi="ITC Avant Garde"/>
          <w:i/>
          <w:sz w:val="18"/>
          <w:szCs w:val="18"/>
          <w:lang w:val="es-ES_tradnl"/>
        </w:rPr>
        <w:t xml:space="preserve">, </w:t>
      </w:r>
      <w:r w:rsidRPr="00D32FAB">
        <w:rPr>
          <w:rFonts w:ascii="ITC Avant Garde" w:hAnsi="ITC Avant Garde"/>
          <w:sz w:val="18"/>
          <w:szCs w:val="18"/>
          <w:lang w:val="es-ES_tradnl"/>
        </w:rPr>
        <w:t>que obtiene resultados más ajustados a la realidad frente a otros algoritmos como aquellos basados en cuadrículas o rejillas.</w:t>
      </w:r>
    </w:p>
    <w:p w:rsidR="00F07078" w:rsidRPr="00D32FAB" w:rsidRDefault="00F07078" w:rsidP="00F07078">
      <w:pPr>
        <w:pStyle w:val="Listaconvietas"/>
        <w:rPr>
          <w:rFonts w:ascii="ITC Avant Garde" w:hAnsi="ITC Avant Garde"/>
          <w:sz w:val="18"/>
          <w:szCs w:val="18"/>
          <w:lang w:val="es-ES_tradnl"/>
        </w:rPr>
      </w:pPr>
      <w:r w:rsidRPr="00D32FAB">
        <w:rPr>
          <w:rFonts w:ascii="ITC Avant Garde" w:hAnsi="ITC Avant Garde"/>
          <w:b/>
          <w:sz w:val="18"/>
          <w:szCs w:val="18"/>
          <w:lang w:val="es-ES_tradnl"/>
        </w:rPr>
        <w:t>Obras civiles y cables</w:t>
      </w:r>
      <w:r w:rsidRPr="00D32FAB">
        <w:rPr>
          <w:rFonts w:ascii="ITC Avant Garde" w:hAnsi="ITC Avant Garde"/>
          <w:sz w:val="18"/>
          <w:szCs w:val="18"/>
          <w:lang w:val="es-ES_tradnl"/>
        </w:rPr>
        <w:t xml:space="preserve"> – Permite estimar los despliegues de zanjas y cableado en las distintas localidades. El algoritmo utilizado es el de </w:t>
      </w:r>
      <w:r w:rsidRPr="00D32FAB">
        <w:rPr>
          <w:rFonts w:ascii="ITC Avant Garde" w:hAnsi="ITC Avant Garde"/>
          <w:i/>
          <w:sz w:val="18"/>
          <w:szCs w:val="18"/>
          <w:lang w:val="es-ES_tradnl"/>
        </w:rPr>
        <w:t xml:space="preserve">árbol expandido mínimo, </w:t>
      </w:r>
      <w:r w:rsidRPr="00D32FAB">
        <w:rPr>
          <w:rFonts w:ascii="ITC Avant Garde" w:hAnsi="ITC Avant Garde"/>
          <w:sz w:val="18"/>
          <w:szCs w:val="18"/>
          <w:lang w:val="es-ES_tradnl"/>
        </w:rPr>
        <w:t>el cual es menos costoso computacionalmente que otras alternativas pero que permite obtener datos lo suficientemente preciso para el modelo.</w:t>
      </w:r>
    </w:p>
    <w:p w:rsidR="00F07078" w:rsidRPr="00D32FAB" w:rsidRDefault="00F07078" w:rsidP="00F07078">
      <w:pPr>
        <w:pStyle w:val="Listaconvietas"/>
        <w:rPr>
          <w:rFonts w:ascii="ITC Avant Garde" w:hAnsi="ITC Avant Garde"/>
          <w:sz w:val="18"/>
          <w:szCs w:val="18"/>
          <w:lang w:val="es-ES_tradnl"/>
        </w:rPr>
      </w:pPr>
      <w:r w:rsidRPr="00D32FAB">
        <w:rPr>
          <w:rFonts w:ascii="ITC Avant Garde" w:hAnsi="ITC Avant Garde"/>
          <w:b/>
          <w:sz w:val="18"/>
          <w:szCs w:val="18"/>
          <w:lang w:val="es-ES_tradnl"/>
        </w:rPr>
        <w:t xml:space="preserve">Medición de distancias </w:t>
      </w:r>
      <w:r w:rsidRPr="00D32FAB">
        <w:rPr>
          <w:rFonts w:ascii="ITC Avant Garde" w:hAnsi="ITC Avant Garde"/>
          <w:sz w:val="18"/>
          <w:szCs w:val="18"/>
          <w:lang w:val="es-ES_tradnl"/>
        </w:rPr>
        <w:t xml:space="preserve">– Se utiliza una función ‘p’ con un </w:t>
      </w:r>
      <w:proofErr w:type="spellStart"/>
      <w:r w:rsidRPr="00D32FAB">
        <w:rPr>
          <w:rFonts w:ascii="ITC Avant Garde" w:hAnsi="ITC Avant Garde"/>
          <w:i/>
          <w:sz w:val="18"/>
          <w:szCs w:val="18"/>
          <w:lang w:val="es-ES_tradnl"/>
        </w:rPr>
        <w:t>mark</w:t>
      </w:r>
      <w:proofErr w:type="spellEnd"/>
      <w:r w:rsidRPr="00D32FAB">
        <w:rPr>
          <w:rFonts w:ascii="ITC Avant Garde" w:hAnsi="ITC Avant Garde"/>
          <w:i/>
          <w:sz w:val="18"/>
          <w:szCs w:val="18"/>
          <w:lang w:val="es-ES_tradnl"/>
        </w:rPr>
        <w:t>-up</w:t>
      </w:r>
      <w:r w:rsidRPr="00D32FAB">
        <w:rPr>
          <w:rFonts w:ascii="ITC Avant Garde" w:hAnsi="ITC Avant Garde"/>
          <w:sz w:val="18"/>
          <w:szCs w:val="18"/>
          <w:lang w:val="es-ES_tradnl"/>
        </w:rPr>
        <w:t xml:space="preserve"> que tiene en cuenta la altitud y tipología del terreno. La función ‘p’ es un algoritmo flexible y preciso que calcula entre otros el porcentaje de zanjas que es compartido por más de una localización o edificio.</w:t>
      </w:r>
    </w:p>
    <w:p w:rsidR="00F07078" w:rsidRPr="00D32FAB" w:rsidRDefault="00F07078" w:rsidP="00F07078">
      <w:pPr>
        <w:pStyle w:val="Listaconvietas"/>
        <w:rPr>
          <w:rFonts w:ascii="ITC Avant Garde" w:hAnsi="ITC Avant Garde"/>
          <w:sz w:val="18"/>
          <w:szCs w:val="18"/>
          <w:lang w:val="es-ES_tradnl"/>
        </w:rPr>
      </w:pPr>
      <w:r w:rsidRPr="00D32FAB">
        <w:rPr>
          <w:rFonts w:ascii="ITC Avant Garde" w:hAnsi="ITC Avant Garde"/>
          <w:b/>
          <w:sz w:val="18"/>
          <w:szCs w:val="18"/>
          <w:lang w:val="es-ES_tradnl"/>
        </w:rPr>
        <w:t>Localización del edificio por acometida</w:t>
      </w:r>
      <w:r w:rsidRPr="00D32FAB">
        <w:rPr>
          <w:rFonts w:ascii="ITC Avant Garde" w:hAnsi="ITC Avant Garde"/>
          <w:b/>
          <w:i/>
          <w:sz w:val="18"/>
          <w:szCs w:val="18"/>
          <w:lang w:val="es-ES_tradnl"/>
        </w:rPr>
        <w:t xml:space="preserve"> – </w:t>
      </w:r>
      <w:r w:rsidRPr="00D32FAB">
        <w:rPr>
          <w:rFonts w:ascii="ITC Avant Garde" w:hAnsi="ITC Avant Garde"/>
          <w:sz w:val="18"/>
          <w:szCs w:val="18"/>
          <w:lang w:val="es-ES_tradnl"/>
        </w:rPr>
        <w:t>El modelo asume que la localización exacta del edificio se encuentra en el punto limítrofe con la vialidad.</w:t>
      </w:r>
    </w:p>
    <w:p w:rsidR="00F07078" w:rsidRPr="00D32FAB" w:rsidRDefault="00F07078" w:rsidP="00F07078">
      <w:pPr>
        <w:pStyle w:val="Listaconvietas"/>
        <w:rPr>
          <w:rFonts w:ascii="ITC Avant Garde" w:hAnsi="ITC Avant Garde"/>
          <w:b/>
          <w:i/>
          <w:sz w:val="18"/>
          <w:szCs w:val="18"/>
          <w:lang w:val="es-ES_tradnl"/>
        </w:rPr>
      </w:pPr>
      <w:r w:rsidRPr="00D32FAB">
        <w:rPr>
          <w:rFonts w:ascii="ITC Avant Garde" w:hAnsi="ITC Avant Garde"/>
          <w:b/>
          <w:sz w:val="18"/>
          <w:szCs w:val="18"/>
          <w:lang w:val="es-ES_tradnl"/>
        </w:rPr>
        <w:lastRenderedPageBreak/>
        <w:t>Despliegues aéreos –</w:t>
      </w:r>
      <w:r w:rsidRPr="00D32FAB">
        <w:rPr>
          <w:rFonts w:ascii="ITC Avant Garde" w:hAnsi="ITC Avant Garde"/>
          <w:b/>
          <w:i/>
          <w:sz w:val="18"/>
          <w:szCs w:val="18"/>
          <w:lang w:val="es-ES_tradnl"/>
        </w:rPr>
        <w:t xml:space="preserve"> </w:t>
      </w:r>
      <w:r w:rsidRPr="00D32FAB">
        <w:rPr>
          <w:rFonts w:ascii="ITC Avant Garde" w:hAnsi="ITC Avant Garde"/>
          <w:sz w:val="18"/>
          <w:szCs w:val="18"/>
          <w:lang w:val="es-ES_tradnl"/>
        </w:rPr>
        <w:t>Los despliegues aéreos se dimensionan en el modelo.</w:t>
      </w:r>
    </w:p>
    <w:p w:rsidR="00F07078" w:rsidRPr="00D32FAB" w:rsidRDefault="00F07078" w:rsidP="00F07078">
      <w:pPr>
        <w:pStyle w:val="Listaconvietas"/>
        <w:rPr>
          <w:rFonts w:ascii="ITC Avant Garde" w:hAnsi="ITC Avant Garde"/>
          <w:b/>
          <w:i/>
          <w:sz w:val="18"/>
          <w:szCs w:val="18"/>
          <w:lang w:val="es-ES_tradnl"/>
        </w:rPr>
      </w:pPr>
      <w:r w:rsidRPr="00D32FAB">
        <w:rPr>
          <w:rFonts w:ascii="ITC Avant Garde" w:hAnsi="ITC Avant Garde"/>
          <w:b/>
          <w:sz w:val="18"/>
          <w:szCs w:val="18"/>
          <w:lang w:val="es-ES_tradnl"/>
        </w:rPr>
        <w:t>Costos de excavación –</w:t>
      </w:r>
      <w:r w:rsidRPr="00D32FAB">
        <w:rPr>
          <w:rFonts w:ascii="ITC Avant Garde" w:hAnsi="ITC Avant Garde"/>
          <w:b/>
          <w:i/>
          <w:sz w:val="18"/>
          <w:szCs w:val="18"/>
          <w:lang w:val="es-ES_tradnl"/>
        </w:rPr>
        <w:t xml:space="preserve"> </w:t>
      </w:r>
      <w:r w:rsidRPr="00D32FAB">
        <w:rPr>
          <w:rFonts w:ascii="ITC Avant Garde" w:hAnsi="ITC Avant Garde"/>
          <w:sz w:val="18"/>
          <w:szCs w:val="18"/>
          <w:lang w:val="es-ES_tradnl"/>
        </w:rPr>
        <w:t>Se calculan explícitamente los costos de excavación para garantizar una mayor precisión en los resultados del modelo.</w:t>
      </w:r>
    </w:p>
    <w:p w:rsidR="00F07078" w:rsidRDefault="00F07078" w:rsidP="00F07078">
      <w:pPr>
        <w:pStyle w:val="Listaconvietas"/>
        <w:rPr>
          <w:rFonts w:ascii="ITC Avant Garde" w:hAnsi="ITC Avant Garde"/>
          <w:sz w:val="18"/>
          <w:szCs w:val="18"/>
          <w:lang w:val="es-ES_tradnl"/>
        </w:rPr>
      </w:pPr>
      <w:r w:rsidRPr="00D32FAB">
        <w:rPr>
          <w:rFonts w:ascii="ITC Avant Garde" w:hAnsi="ITC Avant Garde"/>
          <w:b/>
          <w:sz w:val="18"/>
          <w:szCs w:val="18"/>
          <w:lang w:val="es-ES_tradnl"/>
        </w:rPr>
        <w:t xml:space="preserve">Despliegues de ductos (tamaño del ducto) </w:t>
      </w:r>
      <w:r w:rsidRPr="00D32FAB">
        <w:rPr>
          <w:rFonts w:ascii="ITC Avant Garde" w:hAnsi="ITC Avant Garde"/>
          <w:sz w:val="18"/>
          <w:szCs w:val="18"/>
          <w:lang w:val="es-ES_tradnl"/>
        </w:rPr>
        <w:t>– Se considera que el tamaño del ducto es siempre el mismo, ya que no reduce la precisión del análisis geográfico. Sin embargo, el modelo calcula los costos de varios tipos de ductos en función de su diámetro.</w:t>
      </w:r>
    </w:p>
    <w:p w:rsidR="00C50C93" w:rsidRPr="00D32FAB" w:rsidRDefault="00C50C93" w:rsidP="00C50C93">
      <w:pPr>
        <w:pStyle w:val="Listaconvietas"/>
        <w:numPr>
          <w:ilvl w:val="0"/>
          <w:numId w:val="0"/>
        </w:numPr>
        <w:ind w:left="360"/>
        <w:rPr>
          <w:rFonts w:ascii="ITC Avant Garde" w:hAnsi="ITC Avant Garde"/>
          <w:sz w:val="18"/>
          <w:szCs w:val="18"/>
          <w:lang w:val="es-ES_tradnl"/>
        </w:rPr>
      </w:pPr>
      <w:r w:rsidRPr="00C50C93">
        <w:rPr>
          <w:rFonts w:ascii="ITC Avant Garde" w:hAnsi="ITC Avant Garde"/>
          <w:b/>
          <w:sz w:val="18"/>
          <w:szCs w:val="18"/>
          <w:lang w:val="es-ES_tradnl"/>
        </w:rPr>
        <w:t>Q.</w:t>
      </w:r>
      <w:r w:rsidRPr="00C50C93">
        <w:rPr>
          <w:rFonts w:ascii="ITC Avant Garde" w:hAnsi="ITC Avant Garde"/>
          <w:b/>
          <w:sz w:val="18"/>
          <w:szCs w:val="18"/>
          <w:lang w:val="es-ES_tradnl"/>
        </w:rPr>
        <w:fldChar w:fldCharType="begin"/>
      </w:r>
      <w:r w:rsidRPr="00C50C93">
        <w:rPr>
          <w:rFonts w:ascii="ITC Avant Garde" w:hAnsi="ITC Avant Garde"/>
          <w:b/>
          <w:sz w:val="18"/>
          <w:szCs w:val="18"/>
          <w:lang w:val="es-ES_tradnl"/>
        </w:rPr>
        <w:instrText xml:space="preserve"> SEQ Recommendation \* ARABIC \s 0 </w:instrText>
      </w:r>
      <w:r w:rsidRPr="00C50C93">
        <w:rPr>
          <w:rFonts w:ascii="ITC Avant Garde" w:hAnsi="ITC Avant Garde"/>
          <w:b/>
          <w:sz w:val="18"/>
          <w:szCs w:val="18"/>
          <w:lang w:val="es-ES_tradnl"/>
        </w:rPr>
        <w:fldChar w:fldCharType="separate"/>
      </w:r>
      <w:r w:rsidRPr="00C50C93">
        <w:rPr>
          <w:rFonts w:ascii="ITC Avant Garde" w:hAnsi="ITC Avant Garde"/>
          <w:b/>
          <w:sz w:val="18"/>
          <w:szCs w:val="18"/>
          <w:lang w:val="es-ES_tradnl"/>
        </w:rPr>
        <w:t>5</w:t>
      </w:r>
      <w:r w:rsidRPr="00C50C93">
        <w:rPr>
          <w:rFonts w:ascii="ITC Avant Garde" w:hAnsi="ITC Avant Garde"/>
          <w:b/>
          <w:sz w:val="18"/>
          <w:szCs w:val="18"/>
          <w:lang w:val="es-ES_tradnl"/>
        </w:rPr>
        <w:fldChar w:fldCharType="end"/>
      </w:r>
      <w:r w:rsidRPr="00C50C93">
        <w:rPr>
          <w:rFonts w:ascii="ITC Avant Garde" w:hAnsi="ITC Avant Garde"/>
          <w:b/>
          <w:sz w:val="18"/>
          <w:szCs w:val="18"/>
          <w:lang w:val="es-ES_tradnl"/>
        </w:rPr>
        <w:t>: ¿Está de acuerdo con los algoritmos de red utilizados en el modelo?</w:t>
      </w:r>
    </w:p>
    <w:p w:rsidR="00F07078" w:rsidRPr="00D32FAB" w:rsidRDefault="00F07078" w:rsidP="00F07078">
      <w:pPr>
        <w:pStyle w:val="Ttulo2"/>
        <w:rPr>
          <w:rFonts w:ascii="ITC Avant Garde" w:hAnsi="ITC Avant Garde"/>
          <w:sz w:val="18"/>
          <w:szCs w:val="18"/>
          <w:lang w:val="es-ES_tradnl"/>
        </w:rPr>
      </w:pPr>
      <w:r w:rsidRPr="00D32FAB">
        <w:rPr>
          <w:rFonts w:ascii="ITC Avant Garde" w:hAnsi="ITC Avant Garde"/>
          <w:sz w:val="18"/>
          <w:szCs w:val="18"/>
          <w:lang w:val="es-ES_tradnl"/>
        </w:rPr>
        <w:t xml:space="preserve">Aspectos relacionados con las principales variables del modelo </w:t>
      </w:r>
    </w:p>
    <w:p w:rsidR="00F07078" w:rsidRPr="00D32FAB" w:rsidRDefault="00F07078" w:rsidP="00F07078">
      <w:pPr>
        <w:pStyle w:val="Ttulo3"/>
        <w:rPr>
          <w:rFonts w:ascii="ITC Avant Garde" w:hAnsi="ITC Avant Garde"/>
          <w:sz w:val="18"/>
          <w:szCs w:val="18"/>
          <w:lang w:val="es-ES_tradnl"/>
        </w:rPr>
      </w:pPr>
      <w:r w:rsidRPr="00D32FAB">
        <w:rPr>
          <w:rFonts w:ascii="ITC Avant Garde" w:hAnsi="ITC Avant Garde"/>
          <w:sz w:val="18"/>
          <w:szCs w:val="18"/>
          <w:lang w:val="es-ES_tradnl"/>
        </w:rPr>
        <w:t>Parámetros de costos</w:t>
      </w:r>
    </w:p>
    <w:p w:rsidR="00F07078" w:rsidRPr="00D32FAB" w:rsidRDefault="00F07078" w:rsidP="00F07078">
      <w:pPr>
        <w:rPr>
          <w:rFonts w:ascii="ITC Avant Garde" w:hAnsi="ITC Avant Garde"/>
          <w:bCs/>
          <w:sz w:val="18"/>
          <w:szCs w:val="18"/>
          <w:lang w:val="es-ES_tradnl"/>
        </w:rPr>
      </w:pPr>
      <w:r w:rsidRPr="00D32FAB">
        <w:rPr>
          <w:rFonts w:ascii="ITC Avant Garde" w:hAnsi="ITC Avant Garde"/>
          <w:bCs/>
          <w:sz w:val="18"/>
          <w:szCs w:val="18"/>
          <w:lang w:val="es-ES_tradnl"/>
        </w:rPr>
        <w:t>Los parámetros de costos definidos en el modelo son los siguientes:</w:t>
      </w:r>
    </w:p>
    <w:p w:rsidR="00F07078" w:rsidRPr="00D32FAB" w:rsidRDefault="00F07078" w:rsidP="00F07078">
      <w:pPr>
        <w:pStyle w:val="ListBulletCompact"/>
        <w:rPr>
          <w:rFonts w:ascii="ITC Avant Garde" w:hAnsi="ITC Avant Garde"/>
          <w:sz w:val="18"/>
          <w:szCs w:val="18"/>
          <w:lang w:val="es-ES_tradnl"/>
        </w:rPr>
      </w:pPr>
      <w:r w:rsidRPr="00D32FAB">
        <w:rPr>
          <w:rFonts w:ascii="ITC Avant Garde" w:hAnsi="ITC Avant Garde"/>
          <w:b/>
          <w:sz w:val="18"/>
          <w:szCs w:val="18"/>
          <w:lang w:val="es-ES_tradnl"/>
        </w:rPr>
        <w:t>año de referencia</w:t>
      </w:r>
      <w:r w:rsidRPr="00D32FAB">
        <w:rPr>
          <w:rFonts w:ascii="ITC Avant Garde" w:hAnsi="ITC Avant Garde"/>
          <w:sz w:val="18"/>
          <w:szCs w:val="18"/>
          <w:lang w:val="es-ES_tradnl"/>
        </w:rPr>
        <w:t xml:space="preserve"> – de 2014 a 2023</w:t>
      </w:r>
    </w:p>
    <w:p w:rsidR="00F07078" w:rsidRPr="00D32FAB" w:rsidRDefault="00F07078" w:rsidP="00F07078">
      <w:pPr>
        <w:pStyle w:val="ListBulletCompact"/>
        <w:rPr>
          <w:rFonts w:ascii="ITC Avant Garde" w:hAnsi="ITC Avant Garde"/>
          <w:b/>
          <w:sz w:val="18"/>
          <w:szCs w:val="18"/>
          <w:lang w:val="es-ES_tradnl"/>
        </w:rPr>
      </w:pPr>
      <w:r w:rsidRPr="00D32FAB">
        <w:rPr>
          <w:rFonts w:ascii="ITC Avant Garde" w:hAnsi="ITC Avant Garde"/>
          <w:b/>
          <w:sz w:val="18"/>
          <w:szCs w:val="18"/>
          <w:lang w:val="es-ES_tradnl"/>
        </w:rPr>
        <w:t xml:space="preserve">método de </w:t>
      </w:r>
      <w:proofErr w:type="spellStart"/>
      <w:r w:rsidRPr="00D32FAB">
        <w:rPr>
          <w:rFonts w:ascii="ITC Avant Garde" w:hAnsi="ITC Avant Garde"/>
          <w:b/>
          <w:sz w:val="18"/>
          <w:szCs w:val="18"/>
          <w:lang w:val="es-ES_tradnl"/>
        </w:rPr>
        <w:t>anualización</w:t>
      </w:r>
      <w:proofErr w:type="spellEnd"/>
      <w:r w:rsidRPr="00D32FAB">
        <w:rPr>
          <w:rFonts w:ascii="ITC Avant Garde" w:hAnsi="ITC Avant Garde"/>
          <w:b/>
          <w:sz w:val="18"/>
          <w:szCs w:val="18"/>
          <w:lang w:val="es-ES_tradnl"/>
        </w:rPr>
        <w:t xml:space="preserve"> del </w:t>
      </w:r>
      <w:proofErr w:type="spellStart"/>
      <w:r w:rsidRPr="00D32FAB">
        <w:rPr>
          <w:rFonts w:ascii="ITC Avant Garde" w:hAnsi="ITC Avant Garde"/>
          <w:b/>
          <w:sz w:val="18"/>
          <w:szCs w:val="18"/>
          <w:lang w:val="es-ES_tradnl"/>
        </w:rPr>
        <w:t>capex</w:t>
      </w:r>
      <w:proofErr w:type="spellEnd"/>
      <w:r w:rsidRPr="00D32FAB">
        <w:rPr>
          <w:rFonts w:ascii="ITC Avant Garde" w:hAnsi="ITC Avant Garde"/>
          <w:b/>
          <w:sz w:val="18"/>
          <w:szCs w:val="18"/>
          <w:lang w:val="es-ES_tradnl"/>
        </w:rPr>
        <w:t xml:space="preserve"> </w:t>
      </w:r>
      <w:r w:rsidRPr="00D32FAB">
        <w:rPr>
          <w:rFonts w:ascii="ITC Avant Garde" w:hAnsi="ITC Avant Garde"/>
          <w:sz w:val="18"/>
          <w:szCs w:val="18"/>
          <w:lang w:val="es-ES_tradnl"/>
        </w:rPr>
        <w:t>– depreciación lineal, anualidad, anualidad inclinada (opción por defecto), anualidad inclinada ajustada</w:t>
      </w:r>
    </w:p>
    <w:p w:rsidR="00F07078" w:rsidRPr="00D32FAB" w:rsidRDefault="00F07078" w:rsidP="00F07078">
      <w:pPr>
        <w:pStyle w:val="ListBulletCompact"/>
        <w:rPr>
          <w:rFonts w:ascii="ITC Avant Garde" w:hAnsi="ITC Avant Garde"/>
          <w:sz w:val="18"/>
          <w:szCs w:val="18"/>
          <w:lang w:val="es-ES_tradnl"/>
        </w:rPr>
      </w:pPr>
      <w:r w:rsidRPr="00D32FAB">
        <w:rPr>
          <w:rFonts w:ascii="ITC Avant Garde" w:hAnsi="ITC Avant Garde"/>
          <w:b/>
          <w:sz w:val="18"/>
          <w:szCs w:val="18"/>
          <w:lang w:val="es-ES_tradnl"/>
        </w:rPr>
        <w:t>vida útil</w:t>
      </w:r>
      <w:r w:rsidRPr="00D32FAB">
        <w:rPr>
          <w:rFonts w:ascii="ITC Avant Garde" w:hAnsi="ITC Avant Garde"/>
          <w:sz w:val="18"/>
          <w:szCs w:val="18"/>
          <w:lang w:val="es-ES_tradnl"/>
        </w:rPr>
        <w:t xml:space="preserve"> – se implementan vidas útiles basadas en </w:t>
      </w:r>
      <w:proofErr w:type="spellStart"/>
      <w:r w:rsidRPr="00D32FAB">
        <w:rPr>
          <w:rFonts w:ascii="ITC Avant Garde" w:hAnsi="ITC Avant Garde"/>
          <w:i/>
          <w:sz w:val="18"/>
          <w:szCs w:val="18"/>
          <w:lang w:val="es-ES_tradnl"/>
        </w:rPr>
        <w:t>benchmarks</w:t>
      </w:r>
      <w:proofErr w:type="spellEnd"/>
      <w:r w:rsidR="00C15B53">
        <w:rPr>
          <w:rFonts w:ascii="ITC Avant Garde" w:hAnsi="ITC Avant Garde"/>
          <w:sz w:val="18"/>
          <w:szCs w:val="18"/>
          <w:lang w:val="es-ES_tradnl"/>
        </w:rPr>
        <w:t xml:space="preserve"> o proporcionadas por el AEP</w:t>
      </w:r>
    </w:p>
    <w:p w:rsidR="00F07078" w:rsidRPr="00D32FAB" w:rsidRDefault="00F07078" w:rsidP="00F07078">
      <w:pPr>
        <w:pStyle w:val="ListBulletCompact"/>
        <w:rPr>
          <w:rFonts w:ascii="ITC Avant Garde" w:hAnsi="ITC Avant Garde"/>
          <w:sz w:val="18"/>
          <w:szCs w:val="18"/>
          <w:lang w:val="es-ES_tradnl"/>
        </w:rPr>
      </w:pPr>
      <w:r w:rsidRPr="00D32FAB">
        <w:rPr>
          <w:rFonts w:ascii="ITC Avant Garde" w:hAnsi="ITC Avant Garde"/>
          <w:b/>
          <w:sz w:val="18"/>
          <w:szCs w:val="18"/>
          <w:lang w:val="es-ES_tradnl"/>
        </w:rPr>
        <w:t>costos unitarios</w:t>
      </w:r>
      <w:r w:rsidRPr="00D32FAB">
        <w:rPr>
          <w:rFonts w:ascii="ITC Avant Garde" w:hAnsi="ITC Avant Garde"/>
          <w:sz w:val="18"/>
          <w:szCs w:val="18"/>
          <w:lang w:val="es-ES_tradnl"/>
        </w:rPr>
        <w:t xml:space="preserve"> – costos unitarios basados en </w:t>
      </w:r>
      <w:proofErr w:type="spellStart"/>
      <w:r w:rsidRPr="00D32FAB">
        <w:rPr>
          <w:rFonts w:ascii="ITC Avant Garde" w:hAnsi="ITC Avant Garde"/>
          <w:i/>
          <w:sz w:val="18"/>
          <w:szCs w:val="18"/>
          <w:lang w:val="es-ES_tradnl"/>
        </w:rPr>
        <w:t>benchmarks</w:t>
      </w:r>
      <w:proofErr w:type="spellEnd"/>
      <w:r w:rsidR="00C15B53">
        <w:rPr>
          <w:rFonts w:ascii="ITC Avant Garde" w:hAnsi="ITC Avant Garde"/>
          <w:sz w:val="18"/>
          <w:szCs w:val="18"/>
          <w:lang w:val="es-ES_tradnl"/>
        </w:rPr>
        <w:t xml:space="preserve"> o proporcionados por el AEP</w:t>
      </w:r>
    </w:p>
    <w:p w:rsidR="00F07078" w:rsidRPr="00D32FAB" w:rsidRDefault="00F07078" w:rsidP="00F07078">
      <w:pPr>
        <w:pStyle w:val="ListBulletCompact"/>
        <w:rPr>
          <w:rFonts w:ascii="ITC Avant Garde" w:hAnsi="ITC Avant Garde"/>
          <w:sz w:val="18"/>
          <w:szCs w:val="18"/>
          <w:lang w:val="es-ES_tradnl"/>
        </w:rPr>
      </w:pPr>
      <w:r w:rsidRPr="00D32FAB">
        <w:rPr>
          <w:rFonts w:ascii="ITC Avant Garde" w:hAnsi="ITC Avant Garde"/>
          <w:b/>
          <w:sz w:val="18"/>
          <w:szCs w:val="18"/>
          <w:lang w:val="es-ES_tradnl"/>
        </w:rPr>
        <w:t>costo de capital promedio ponderado</w:t>
      </w:r>
      <w:r w:rsidRPr="00D32FAB">
        <w:rPr>
          <w:rFonts w:ascii="ITC Avant Garde" w:hAnsi="ITC Avant Garde"/>
          <w:sz w:val="18"/>
          <w:szCs w:val="18"/>
          <w:lang w:val="es-ES_tradnl"/>
        </w:rPr>
        <w:t xml:space="preserve"> (CCPP, o WACC por sus siglas en inglés) </w:t>
      </w:r>
      <w:r w:rsidRPr="00D32FAB">
        <w:rPr>
          <w:rFonts w:ascii="ITC Avant Garde" w:hAnsi="ITC Avant Garde"/>
          <w:b/>
          <w:sz w:val="18"/>
          <w:szCs w:val="18"/>
          <w:lang w:val="es-ES_tradnl"/>
        </w:rPr>
        <w:t>nominal antes de impuestos</w:t>
      </w:r>
      <w:r w:rsidRPr="00D32FAB">
        <w:rPr>
          <w:rFonts w:ascii="ITC Avant Garde" w:hAnsi="ITC Avant Garde"/>
          <w:sz w:val="18"/>
          <w:szCs w:val="18"/>
          <w:lang w:val="es-ES_tradnl"/>
        </w:rPr>
        <w:t xml:space="preserve"> – WACC proporcionado por el IFT</w:t>
      </w:r>
    </w:p>
    <w:p w:rsidR="00F07078" w:rsidRPr="00D32FAB" w:rsidRDefault="00F07078" w:rsidP="00F07078">
      <w:pPr>
        <w:pStyle w:val="Listaconvietas"/>
        <w:rPr>
          <w:rFonts w:ascii="ITC Avant Garde" w:hAnsi="ITC Avant Garde"/>
          <w:sz w:val="18"/>
          <w:szCs w:val="18"/>
          <w:lang w:val="es-ES_tradnl"/>
        </w:rPr>
      </w:pPr>
      <w:proofErr w:type="spellStart"/>
      <w:r w:rsidRPr="00D32FAB">
        <w:rPr>
          <w:rFonts w:ascii="ITC Avant Garde" w:hAnsi="ITC Avant Garde"/>
          <w:b/>
          <w:i/>
          <w:sz w:val="18"/>
          <w:szCs w:val="18"/>
          <w:lang w:val="es-ES_tradnl"/>
        </w:rPr>
        <w:lastRenderedPageBreak/>
        <w:t>mark</w:t>
      </w:r>
      <w:proofErr w:type="spellEnd"/>
      <w:r w:rsidRPr="00D32FAB">
        <w:rPr>
          <w:rFonts w:ascii="ITC Avant Garde" w:hAnsi="ITC Avant Garde"/>
          <w:b/>
          <w:i/>
          <w:sz w:val="18"/>
          <w:szCs w:val="18"/>
          <w:lang w:val="es-ES_tradnl"/>
        </w:rPr>
        <w:t>-up</w:t>
      </w:r>
      <w:r w:rsidRPr="00D32FAB">
        <w:rPr>
          <w:rFonts w:ascii="ITC Avant Garde" w:hAnsi="ITC Avant Garde"/>
          <w:b/>
          <w:sz w:val="18"/>
          <w:szCs w:val="18"/>
          <w:lang w:val="es-ES_tradnl"/>
        </w:rPr>
        <w:t xml:space="preserve"> de gastos comunes</w:t>
      </w:r>
      <w:r w:rsidRPr="00D32FAB">
        <w:rPr>
          <w:rFonts w:ascii="ITC Avant Garde" w:hAnsi="ITC Avant Garde"/>
          <w:sz w:val="18"/>
          <w:szCs w:val="18"/>
          <w:lang w:val="es-ES_tradnl"/>
        </w:rPr>
        <w:t xml:space="preserve"> – se aplican </w:t>
      </w:r>
      <w:proofErr w:type="spellStart"/>
      <w:r w:rsidRPr="00D32FAB">
        <w:rPr>
          <w:rFonts w:ascii="ITC Avant Garde" w:hAnsi="ITC Avant Garde"/>
          <w:i/>
          <w:sz w:val="18"/>
          <w:szCs w:val="18"/>
          <w:lang w:val="es-ES_tradnl"/>
        </w:rPr>
        <w:t>overheads</w:t>
      </w:r>
      <w:proofErr w:type="spellEnd"/>
      <w:r w:rsidRPr="00D32FAB">
        <w:rPr>
          <w:rFonts w:ascii="ITC Avant Garde" w:hAnsi="ITC Avant Garde"/>
          <w:sz w:val="18"/>
          <w:szCs w:val="18"/>
          <w:lang w:val="es-ES_tradnl"/>
        </w:rPr>
        <w:t xml:space="preserve"> a los gastos de red y </w:t>
      </w:r>
      <w:proofErr w:type="spellStart"/>
      <w:r w:rsidRPr="00D32FAB">
        <w:rPr>
          <w:rFonts w:ascii="ITC Avant Garde" w:hAnsi="ITC Avant Garde"/>
          <w:i/>
          <w:sz w:val="18"/>
          <w:szCs w:val="18"/>
          <w:lang w:val="es-ES_tradnl"/>
        </w:rPr>
        <w:t>business</w:t>
      </w:r>
      <w:proofErr w:type="spellEnd"/>
      <w:r w:rsidRPr="00D32FAB">
        <w:rPr>
          <w:rFonts w:ascii="ITC Avant Garde" w:hAnsi="ITC Avant Garde"/>
          <w:i/>
          <w:sz w:val="18"/>
          <w:szCs w:val="18"/>
          <w:lang w:val="es-ES_tradnl"/>
        </w:rPr>
        <w:t>.</w:t>
      </w:r>
    </w:p>
    <w:p w:rsidR="005A5979" w:rsidRPr="005A5979" w:rsidRDefault="005A5979" w:rsidP="005A5979">
      <w:pPr>
        <w:spacing w:after="120"/>
        <w:rPr>
          <w:rFonts w:ascii="ITC Avant Garde" w:hAnsi="ITC Avant Garde"/>
          <w:sz w:val="18"/>
          <w:szCs w:val="18"/>
          <w:lang w:val="es-ES_tradnl"/>
        </w:rPr>
      </w:pPr>
      <w:r w:rsidRPr="005A5979">
        <w:rPr>
          <w:rFonts w:ascii="ITC Avant Garde" w:hAnsi="ITC Avant Garde"/>
          <w:sz w:val="18"/>
          <w:szCs w:val="18"/>
          <w:lang w:val="es-ES_tradnl"/>
        </w:rPr>
        <w:t xml:space="preserve">Q.6: ¿Está de acuerdo con la selección de parámetros de costos definidos en el modelo? </w:t>
      </w:r>
    </w:p>
    <w:p w:rsidR="00F07078" w:rsidRPr="00D32FAB" w:rsidRDefault="005A5979" w:rsidP="005A5979">
      <w:pPr>
        <w:spacing w:after="120"/>
        <w:rPr>
          <w:rFonts w:ascii="ITC Avant Garde" w:hAnsi="ITC Avant Garde"/>
          <w:sz w:val="18"/>
          <w:szCs w:val="18"/>
          <w:lang w:val="es-ES_tradnl"/>
        </w:rPr>
      </w:pPr>
      <w:r w:rsidRPr="005A5979">
        <w:rPr>
          <w:rFonts w:ascii="ITC Avant Garde" w:hAnsi="ITC Avant Garde"/>
          <w:sz w:val="18"/>
          <w:szCs w:val="18"/>
          <w:lang w:val="es-ES_tradnl"/>
        </w:rPr>
        <w:t>Q.7: ¿Cree que existe algún parámetro adicional que debería haberse tenido en cuenta?</w:t>
      </w:r>
    </w:p>
    <w:p w:rsidR="00F07078" w:rsidRPr="00D32FAB" w:rsidRDefault="00F07078" w:rsidP="00F07078">
      <w:pPr>
        <w:pStyle w:val="Ttulo3"/>
        <w:rPr>
          <w:rFonts w:ascii="ITC Avant Garde" w:hAnsi="ITC Avant Garde"/>
          <w:sz w:val="18"/>
          <w:szCs w:val="18"/>
          <w:lang w:val="es-ES_tradnl"/>
        </w:rPr>
      </w:pPr>
      <w:r w:rsidRPr="00D32FAB">
        <w:rPr>
          <w:rFonts w:ascii="ITC Avant Garde" w:hAnsi="ITC Avant Garde"/>
          <w:sz w:val="18"/>
          <w:szCs w:val="18"/>
          <w:lang w:val="es-ES_tradnl"/>
        </w:rPr>
        <w:t>Otros parámetros</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Adicionalmente, el modelo incluye otros parámetros que deben ser definidos por el usuario:</w:t>
      </w:r>
    </w:p>
    <w:p w:rsidR="00F07078" w:rsidRPr="00D32FAB" w:rsidRDefault="00F07078" w:rsidP="00F07078">
      <w:pPr>
        <w:pStyle w:val="ListBulletCompact"/>
        <w:rPr>
          <w:rFonts w:ascii="ITC Avant Garde" w:hAnsi="ITC Avant Garde"/>
          <w:spacing w:val="-4"/>
          <w:sz w:val="18"/>
          <w:szCs w:val="18"/>
          <w:lang w:val="es-ES_tradnl"/>
        </w:rPr>
      </w:pPr>
      <w:r w:rsidRPr="00D32FAB">
        <w:rPr>
          <w:rFonts w:ascii="ITC Avant Garde" w:hAnsi="ITC Avant Garde"/>
          <w:b/>
          <w:spacing w:val="-4"/>
          <w:sz w:val="18"/>
          <w:szCs w:val="18"/>
          <w:lang w:val="es-ES_tradnl"/>
        </w:rPr>
        <w:t>tendencia de la demanda</w:t>
      </w:r>
      <w:r w:rsidRPr="00D32FAB">
        <w:rPr>
          <w:rFonts w:ascii="ITC Avant Garde" w:hAnsi="ITC Avant Garde"/>
          <w:spacing w:val="-4"/>
          <w:sz w:val="18"/>
          <w:szCs w:val="18"/>
          <w:lang w:val="es-ES_tradnl"/>
        </w:rPr>
        <w:t xml:space="preserve"> – el escenario base considera un ligero descenso de la demanda (–1%) debido, entre otros factores, a la disminución de accesos fijos resultante de la sustitución fijo–móvil </w:t>
      </w:r>
    </w:p>
    <w:p w:rsidR="00F07078" w:rsidRPr="00D32FAB" w:rsidRDefault="00F07078" w:rsidP="00F07078">
      <w:pPr>
        <w:pStyle w:val="ListBulletCompact"/>
        <w:rPr>
          <w:rFonts w:ascii="ITC Avant Garde" w:hAnsi="ITC Avant Garde"/>
          <w:sz w:val="18"/>
          <w:szCs w:val="18"/>
          <w:lang w:val="es-ES_tradnl"/>
        </w:rPr>
      </w:pPr>
      <w:r w:rsidRPr="00D32FAB">
        <w:rPr>
          <w:rFonts w:ascii="ITC Avant Garde" w:hAnsi="ITC Avant Garde"/>
          <w:b/>
          <w:sz w:val="18"/>
          <w:szCs w:val="18"/>
          <w:lang w:val="es-ES_tradnl"/>
        </w:rPr>
        <w:t>longitud promedio de una ruta aérea</w:t>
      </w:r>
      <w:r w:rsidRPr="00D32FAB">
        <w:rPr>
          <w:rFonts w:ascii="ITC Avant Garde" w:hAnsi="ITC Avant Garde"/>
          <w:sz w:val="18"/>
          <w:szCs w:val="18"/>
          <w:lang w:val="es-ES_tradnl"/>
        </w:rPr>
        <w:t xml:space="preserve"> – se consideran 2km por defecto, al tratarse de una medida estándar</w:t>
      </w:r>
    </w:p>
    <w:p w:rsidR="00F07078" w:rsidRPr="00D32FAB" w:rsidRDefault="00F07078" w:rsidP="00F07078">
      <w:pPr>
        <w:pStyle w:val="ListBulletCompact"/>
        <w:rPr>
          <w:rFonts w:ascii="ITC Avant Garde" w:hAnsi="ITC Avant Garde"/>
          <w:sz w:val="18"/>
          <w:szCs w:val="18"/>
          <w:lang w:val="es-ES_tradnl"/>
        </w:rPr>
      </w:pPr>
      <w:r w:rsidRPr="00D32FAB">
        <w:rPr>
          <w:rFonts w:ascii="ITC Avant Garde" w:hAnsi="ITC Avant Garde"/>
          <w:b/>
          <w:sz w:val="18"/>
          <w:szCs w:val="18"/>
          <w:lang w:val="es-ES_tradnl"/>
        </w:rPr>
        <w:t>longitud promedio de una subida /aterrizaje de poste</w:t>
      </w:r>
      <w:r w:rsidRPr="00D32FAB">
        <w:rPr>
          <w:rFonts w:ascii="ITC Avant Garde" w:hAnsi="ITC Avant Garde"/>
          <w:sz w:val="18"/>
          <w:szCs w:val="18"/>
          <w:lang w:val="es-ES_tradnl"/>
        </w:rPr>
        <w:t xml:space="preserve"> – se consideran 5 metros por defecto, al tratarse de una medida estándar</w:t>
      </w:r>
    </w:p>
    <w:p w:rsidR="00F07078" w:rsidRPr="00D32FAB" w:rsidRDefault="00F07078" w:rsidP="00F07078">
      <w:pPr>
        <w:pStyle w:val="ListBulletCompact"/>
        <w:rPr>
          <w:rFonts w:ascii="ITC Avant Garde" w:hAnsi="ITC Avant Garde"/>
          <w:sz w:val="18"/>
          <w:szCs w:val="18"/>
          <w:lang w:val="es-ES_tradnl"/>
        </w:rPr>
      </w:pPr>
      <w:r w:rsidRPr="00D32FAB">
        <w:rPr>
          <w:rFonts w:ascii="ITC Avant Garde" w:hAnsi="ITC Avant Garde"/>
          <w:b/>
          <w:sz w:val="18"/>
          <w:szCs w:val="18"/>
          <w:lang w:val="es-ES_tradnl"/>
        </w:rPr>
        <w:t>infraestructura compartida con servicios NGA</w:t>
      </w:r>
      <w:r w:rsidRPr="00D32FAB">
        <w:rPr>
          <w:rFonts w:ascii="ITC Avant Garde" w:hAnsi="ITC Avant Garde"/>
          <w:sz w:val="18"/>
          <w:szCs w:val="18"/>
          <w:lang w:val="es-ES_tradnl"/>
        </w:rPr>
        <w:t xml:space="preserve"> – este parámetro considera la proporción de infraestructura pasiva (obras civiles) que es compartida con servicios NGA (20% en el escenario base)</w:t>
      </w:r>
    </w:p>
    <w:p w:rsidR="00F07078" w:rsidRDefault="00F07078" w:rsidP="00F07078">
      <w:pPr>
        <w:pStyle w:val="ListBulletCompact"/>
        <w:rPr>
          <w:rFonts w:ascii="ITC Avant Garde" w:hAnsi="ITC Avant Garde"/>
          <w:sz w:val="18"/>
          <w:szCs w:val="18"/>
          <w:lang w:val="es-ES_tradnl"/>
        </w:rPr>
      </w:pPr>
      <w:r w:rsidRPr="00D32FAB">
        <w:rPr>
          <w:rFonts w:ascii="ITC Avant Garde" w:hAnsi="ITC Avant Garde"/>
          <w:b/>
          <w:sz w:val="18"/>
          <w:szCs w:val="18"/>
          <w:lang w:val="es-ES_tradnl"/>
        </w:rPr>
        <w:t>inclusión del operador alternativo</w:t>
      </w:r>
      <w:r w:rsidRPr="00D32FAB">
        <w:rPr>
          <w:rFonts w:ascii="ITC Avant Garde" w:hAnsi="ITC Avant Garde"/>
          <w:sz w:val="18"/>
          <w:szCs w:val="18"/>
          <w:lang w:val="es-ES_tradnl"/>
        </w:rPr>
        <w:t xml:space="preserve"> – el modelo permite otorgar una cuota de mercado a los OLO </w:t>
      </w:r>
      <w:r w:rsidRPr="00D32FAB" w:rsidDel="00EF2834">
        <w:rPr>
          <w:rFonts w:ascii="ITC Avant Garde" w:hAnsi="ITC Avant Garde"/>
          <w:sz w:val="18"/>
          <w:szCs w:val="18"/>
          <w:lang w:val="es-ES_tradnl"/>
        </w:rPr>
        <w:t xml:space="preserve"> </w:t>
      </w:r>
      <w:r w:rsidRPr="00D32FAB">
        <w:rPr>
          <w:rFonts w:ascii="ITC Avant Garde" w:hAnsi="ITC Avant Garde"/>
          <w:sz w:val="18"/>
          <w:szCs w:val="18"/>
          <w:lang w:val="es-ES_tradnl"/>
        </w:rPr>
        <w:t xml:space="preserve">(0% en el escenario base) </w:t>
      </w:r>
    </w:p>
    <w:p w:rsidR="008472FF" w:rsidRPr="00D32FAB" w:rsidRDefault="008472FF" w:rsidP="008472FF">
      <w:pPr>
        <w:pStyle w:val="ListBulletCompact"/>
        <w:numPr>
          <w:ilvl w:val="0"/>
          <w:numId w:val="0"/>
        </w:numPr>
        <w:ind w:left="360"/>
        <w:rPr>
          <w:rFonts w:ascii="ITC Avant Garde" w:hAnsi="ITC Avant Garde"/>
          <w:sz w:val="18"/>
          <w:szCs w:val="18"/>
          <w:lang w:val="es-ES_tradnl"/>
        </w:rPr>
      </w:pPr>
    </w:p>
    <w:p w:rsidR="008472FF" w:rsidRPr="008472FF" w:rsidRDefault="008472FF" w:rsidP="008472FF">
      <w:pPr>
        <w:spacing w:after="120"/>
        <w:rPr>
          <w:rFonts w:ascii="ITC Avant Garde" w:hAnsi="ITC Avant Garde"/>
          <w:spacing w:val="-4"/>
          <w:sz w:val="18"/>
          <w:szCs w:val="18"/>
          <w:lang w:val="es-ES_tradnl"/>
        </w:rPr>
      </w:pPr>
      <w:r w:rsidRPr="008472FF">
        <w:rPr>
          <w:rFonts w:ascii="ITC Avant Garde" w:hAnsi="ITC Avant Garde"/>
          <w:spacing w:val="-4"/>
          <w:sz w:val="18"/>
          <w:szCs w:val="18"/>
          <w:lang w:val="es-ES_tradnl"/>
        </w:rPr>
        <w:t xml:space="preserve">Q.8: ¿Está de acuerdo con la elección de variables implementadas en el modelo? </w:t>
      </w:r>
    </w:p>
    <w:p w:rsidR="00F07078" w:rsidRPr="00D32FAB" w:rsidRDefault="008472FF" w:rsidP="008472FF">
      <w:pPr>
        <w:spacing w:after="120"/>
        <w:rPr>
          <w:rFonts w:ascii="ITC Avant Garde" w:hAnsi="ITC Avant Garde"/>
          <w:spacing w:val="-4"/>
          <w:sz w:val="18"/>
          <w:szCs w:val="18"/>
          <w:lang w:val="es-ES_tradnl"/>
        </w:rPr>
      </w:pPr>
      <w:r w:rsidRPr="008472FF">
        <w:rPr>
          <w:rFonts w:ascii="ITC Avant Garde" w:hAnsi="ITC Avant Garde"/>
          <w:spacing w:val="-4"/>
          <w:sz w:val="18"/>
          <w:szCs w:val="18"/>
          <w:lang w:val="es-ES_tradnl"/>
        </w:rPr>
        <w:t>Q.9: ¿Tiene algún comentario relativo a los parámetros que el usuario puede definir en el modelo?</w:t>
      </w:r>
    </w:p>
    <w:p w:rsidR="00F07078" w:rsidRPr="00D32FAB" w:rsidRDefault="00F07078" w:rsidP="00F07078">
      <w:pPr>
        <w:pStyle w:val="Ttulo2"/>
        <w:rPr>
          <w:rFonts w:ascii="ITC Avant Garde" w:hAnsi="ITC Avant Garde"/>
          <w:sz w:val="18"/>
          <w:szCs w:val="18"/>
          <w:lang w:val="es-ES_tradnl"/>
        </w:rPr>
      </w:pPr>
      <w:r w:rsidRPr="00D32FAB">
        <w:rPr>
          <w:rFonts w:ascii="ITC Avant Garde" w:hAnsi="ITC Avant Garde"/>
          <w:sz w:val="18"/>
          <w:szCs w:val="18"/>
          <w:lang w:val="es-ES_tradnl"/>
        </w:rPr>
        <w:t xml:space="preserve">Aspectos relacionados con el dimensionamiento del modelo </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El proceso de dimensionamiento de la red de acceso consta de una serie de pasos lineales. Estos se muestran a continuación en la siguiente gráfica de manera esquemática.</w:t>
      </w:r>
    </w:p>
    <w:p w:rsidR="00F07078" w:rsidRPr="00D32FAB" w:rsidRDefault="00F07078" w:rsidP="00BC5411">
      <w:pPr>
        <w:pStyle w:val="Descripcin"/>
        <w:keepNext/>
        <w:spacing w:before="360" w:after="120" w:line="280" w:lineRule="atLeast"/>
        <w:rPr>
          <w:rFonts w:ascii="ITC Avant Garde" w:hAnsi="ITC Avant Garde"/>
          <w:lang w:val="es-ES_tradnl"/>
        </w:rPr>
      </w:pPr>
      <w:r w:rsidRPr="00D32FAB">
        <w:rPr>
          <w:rFonts w:ascii="ITC Avant Garde" w:hAnsi="ITC Avant Garde"/>
          <w:lang w:val="es-ES_tradnl"/>
        </w:rPr>
        <w:t xml:space="preserve">Figura </w:t>
      </w:r>
      <w:r w:rsidRPr="00D32FAB">
        <w:rPr>
          <w:rFonts w:ascii="ITC Avant Garde" w:hAnsi="ITC Avant Garde"/>
          <w:lang w:val="es-ES_tradnl"/>
        </w:rPr>
        <w:fldChar w:fldCharType="begin"/>
      </w:r>
      <w:r w:rsidRPr="00D32FAB">
        <w:rPr>
          <w:rFonts w:ascii="ITC Avant Garde" w:hAnsi="ITC Avant Garde"/>
          <w:lang w:val="es-ES_tradnl"/>
        </w:rPr>
        <w:instrText xml:space="preserve"> SEQ Figure \* ARABIC \n \* MERGEFORMAT </w:instrText>
      </w:r>
      <w:r w:rsidRPr="00D32FAB">
        <w:rPr>
          <w:rFonts w:ascii="ITC Avant Garde" w:hAnsi="ITC Avant Garde"/>
          <w:lang w:val="es-ES_tradnl"/>
        </w:rPr>
        <w:fldChar w:fldCharType="separate"/>
      </w:r>
      <w:r w:rsidRPr="00D32FAB">
        <w:rPr>
          <w:rFonts w:ascii="ITC Avant Garde" w:hAnsi="ITC Avant Garde"/>
          <w:noProof/>
          <w:lang w:val="es-ES_tradnl"/>
        </w:rPr>
        <w:t>1</w:t>
      </w:r>
      <w:r w:rsidRPr="00D32FAB">
        <w:rPr>
          <w:rFonts w:ascii="ITC Avant Garde" w:hAnsi="ITC Avant Garde"/>
          <w:lang w:val="es-ES_tradnl"/>
        </w:rPr>
        <w:fldChar w:fldCharType="end"/>
      </w:r>
      <w:r w:rsidRPr="00D32FAB">
        <w:rPr>
          <w:rFonts w:ascii="ITC Avant Garde" w:hAnsi="ITC Avant Garde"/>
          <w:lang w:val="es-ES_tradnl"/>
        </w:rPr>
        <w:t xml:space="preserve">: Diagrama de flujo del proceso de dimensionamiento del modelo [Fuente: </w:t>
      </w:r>
      <w:r w:rsidR="00BC5411" w:rsidRPr="00D32FAB">
        <w:rPr>
          <w:rFonts w:ascii="ITC Avant Garde" w:hAnsi="ITC Avant Garde"/>
          <w:lang w:val="es-ES_tradnl"/>
        </w:rPr>
        <w:t>IFT</w:t>
      </w:r>
      <w:r w:rsidRPr="00D32FAB">
        <w:rPr>
          <w:rFonts w:ascii="ITC Avant Garde" w:hAnsi="ITC Avant Garde"/>
          <w:lang w:val="es-ES_tradnl"/>
        </w:rPr>
        <w:t>, 2015]</w:t>
      </w:r>
    </w:p>
    <w:p w:rsidR="00F07078" w:rsidRPr="00D32FAB" w:rsidRDefault="00F07078" w:rsidP="00BC5411">
      <w:pPr>
        <w:pStyle w:val="Border"/>
        <w:pBdr>
          <w:bottom w:val="none" w:sz="0" w:space="0" w:color="auto"/>
        </w:pBdr>
        <w:rPr>
          <w:rFonts w:ascii="ITC Avant Garde" w:hAnsi="ITC Avant Garde"/>
          <w:sz w:val="18"/>
          <w:szCs w:val="18"/>
          <w:lang w:val="es-ES_tradnl"/>
        </w:rPr>
      </w:pPr>
      <w:r w:rsidRPr="00D32FAB">
        <w:rPr>
          <w:rFonts w:ascii="ITC Avant Garde" w:hAnsi="ITC Avant Garde"/>
          <w:noProof/>
          <w:sz w:val="18"/>
          <w:szCs w:val="18"/>
          <w:lang w:val="es-MX" w:eastAsia="es-MX"/>
        </w:rPr>
        <w:drawing>
          <wp:inline distT="0" distB="0" distL="0" distR="0" wp14:anchorId="0662BCEA" wp14:editId="14F60253">
            <wp:extent cx="5543550" cy="2301370"/>
            <wp:effectExtent l="0" t="0" r="0" b="3810"/>
            <wp:docPr id="2" name="Picture 2" descr="Diagrama de flujo del proceso de dimensionamiento del modelo a partir de la ubicación de centrales se determina geotipo y siguen los algoritmos para dimensionar la red" title="Diagrama de flujo del proceso de dimensionamiento del mode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2301370"/>
                    </a:xfrm>
                    <a:prstGeom prst="rect">
                      <a:avLst/>
                    </a:prstGeom>
                    <a:noFill/>
                    <a:ln>
                      <a:noFill/>
                    </a:ln>
                  </pic:spPr>
                </pic:pic>
              </a:graphicData>
            </a:graphic>
          </wp:inline>
        </w:drawing>
      </w:r>
    </w:p>
    <w:p w:rsidR="008472FF" w:rsidRDefault="008472FF" w:rsidP="00F07078">
      <w:pPr>
        <w:rPr>
          <w:rFonts w:ascii="ITC Avant Garde" w:hAnsi="ITC Avant Garde"/>
          <w:b/>
          <w:sz w:val="18"/>
          <w:szCs w:val="18"/>
          <w:lang w:val="es-ES_tradnl"/>
        </w:rPr>
      </w:pPr>
    </w:p>
    <w:p w:rsidR="00F07078" w:rsidRPr="00D32FAB" w:rsidRDefault="008472FF" w:rsidP="00F07078">
      <w:pPr>
        <w:rPr>
          <w:rFonts w:ascii="ITC Avant Garde" w:hAnsi="ITC Avant Garde"/>
          <w:sz w:val="18"/>
          <w:szCs w:val="18"/>
          <w:lang w:val="es-ES_tradnl"/>
        </w:rPr>
      </w:pPr>
      <w:r w:rsidRPr="008472FF">
        <w:rPr>
          <w:rFonts w:ascii="ITC Avant Garde" w:hAnsi="ITC Avant Garde"/>
          <w:b/>
          <w:sz w:val="18"/>
          <w:szCs w:val="18"/>
          <w:lang w:val="es-ES_tradnl"/>
        </w:rPr>
        <w:t>Q.</w:t>
      </w:r>
      <w:r w:rsidRPr="008472FF">
        <w:rPr>
          <w:rFonts w:ascii="ITC Avant Garde" w:hAnsi="ITC Avant Garde"/>
          <w:b/>
          <w:sz w:val="18"/>
          <w:szCs w:val="18"/>
          <w:lang w:val="es-ES_tradnl"/>
        </w:rPr>
        <w:fldChar w:fldCharType="begin"/>
      </w:r>
      <w:r w:rsidRPr="008472FF">
        <w:rPr>
          <w:rFonts w:ascii="ITC Avant Garde" w:hAnsi="ITC Avant Garde"/>
          <w:b/>
          <w:sz w:val="18"/>
          <w:szCs w:val="18"/>
          <w:lang w:val="es-ES_tradnl"/>
        </w:rPr>
        <w:instrText xml:space="preserve"> SEQ Recommendation \* ARABIC \s 0 </w:instrText>
      </w:r>
      <w:r w:rsidRPr="008472FF">
        <w:rPr>
          <w:rFonts w:ascii="ITC Avant Garde" w:hAnsi="ITC Avant Garde"/>
          <w:b/>
          <w:sz w:val="18"/>
          <w:szCs w:val="18"/>
          <w:lang w:val="es-ES_tradnl"/>
        </w:rPr>
        <w:fldChar w:fldCharType="separate"/>
      </w:r>
      <w:r w:rsidRPr="008472FF">
        <w:rPr>
          <w:rFonts w:ascii="ITC Avant Garde" w:hAnsi="ITC Avant Garde"/>
          <w:b/>
          <w:sz w:val="18"/>
          <w:szCs w:val="18"/>
          <w:lang w:val="es-ES_tradnl"/>
        </w:rPr>
        <w:t>10</w:t>
      </w:r>
      <w:r w:rsidRPr="008472FF">
        <w:rPr>
          <w:rFonts w:ascii="ITC Avant Garde" w:hAnsi="ITC Avant Garde"/>
          <w:sz w:val="18"/>
          <w:szCs w:val="18"/>
          <w:lang w:val="es-ES_tradnl"/>
        </w:rPr>
        <w:fldChar w:fldCharType="end"/>
      </w:r>
      <w:r w:rsidRPr="008472FF">
        <w:rPr>
          <w:rFonts w:ascii="ITC Avant Garde" w:hAnsi="ITC Avant Garde"/>
          <w:sz w:val="18"/>
          <w:szCs w:val="18"/>
          <w:lang w:val="es-ES_tradnl"/>
        </w:rPr>
        <w:t>: ¿Tiene comentarios relativos a los parámetros de dimensionamiento definidos en el modelo?</w:t>
      </w:r>
    </w:p>
    <w:p w:rsidR="00F07078" w:rsidRPr="00D32FAB" w:rsidRDefault="00F07078" w:rsidP="00F07078">
      <w:pPr>
        <w:pStyle w:val="Ttulo2"/>
        <w:rPr>
          <w:rFonts w:ascii="ITC Avant Garde" w:hAnsi="ITC Avant Garde"/>
          <w:sz w:val="18"/>
          <w:szCs w:val="18"/>
          <w:lang w:val="es-ES_tradnl"/>
        </w:rPr>
      </w:pPr>
      <w:r w:rsidRPr="00D32FAB">
        <w:rPr>
          <w:rFonts w:ascii="ITC Avant Garde" w:hAnsi="ITC Avant Garde"/>
          <w:sz w:val="18"/>
          <w:szCs w:val="18"/>
          <w:lang w:val="es-ES_tradnl"/>
        </w:rPr>
        <w:t>Estructura y resultados del modelo</w:t>
      </w:r>
    </w:p>
    <w:p w:rsidR="00F07078" w:rsidRPr="00D32FAB" w:rsidRDefault="00F07078" w:rsidP="00F07078">
      <w:pPr>
        <w:pStyle w:val="Ttulo3"/>
        <w:rPr>
          <w:rFonts w:ascii="ITC Avant Garde" w:hAnsi="ITC Avant Garde"/>
          <w:sz w:val="18"/>
          <w:szCs w:val="18"/>
          <w:lang w:val="es-ES_tradnl"/>
        </w:rPr>
      </w:pPr>
      <w:r w:rsidRPr="00D32FAB">
        <w:rPr>
          <w:rFonts w:ascii="ITC Avant Garde" w:hAnsi="ITC Avant Garde"/>
          <w:sz w:val="18"/>
          <w:szCs w:val="18"/>
          <w:lang w:val="es-ES_tradnl"/>
        </w:rPr>
        <w:t>Estructura del modelo</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El modelo de acceso fijo consta de dos módulos claramente diferenciados: una parte </w:t>
      </w:r>
      <w:r w:rsidRPr="00D32FAB">
        <w:rPr>
          <w:rFonts w:ascii="ITC Avant Garde" w:hAnsi="ITC Avant Garde"/>
          <w:i/>
          <w:sz w:val="18"/>
          <w:szCs w:val="18"/>
          <w:lang w:val="es-ES_tradnl"/>
        </w:rPr>
        <w:t>online</w:t>
      </w:r>
      <w:r w:rsidRPr="00D32FAB">
        <w:rPr>
          <w:rFonts w:ascii="ITC Avant Garde" w:hAnsi="ITC Avant Garde"/>
          <w:sz w:val="18"/>
          <w:szCs w:val="18"/>
          <w:lang w:val="es-ES_tradnl"/>
        </w:rPr>
        <w:t xml:space="preserve"> o activa y una parte </w:t>
      </w:r>
      <w:r w:rsidRPr="00D32FAB">
        <w:rPr>
          <w:rFonts w:ascii="ITC Avant Garde" w:hAnsi="ITC Avant Garde"/>
          <w:i/>
          <w:sz w:val="18"/>
          <w:szCs w:val="18"/>
          <w:lang w:val="es-ES_tradnl"/>
        </w:rPr>
        <w:t>offline</w:t>
      </w:r>
      <w:r w:rsidRPr="00D32FAB">
        <w:rPr>
          <w:rFonts w:ascii="ITC Avant Garde" w:hAnsi="ITC Avant Garde"/>
          <w:sz w:val="18"/>
          <w:szCs w:val="18"/>
          <w:lang w:val="es-ES_tradnl"/>
        </w:rPr>
        <w:t xml:space="preserve"> que alimenta la parte </w:t>
      </w:r>
      <w:r w:rsidRPr="00D32FAB">
        <w:rPr>
          <w:rFonts w:ascii="ITC Avant Garde" w:hAnsi="ITC Avant Garde"/>
          <w:i/>
          <w:sz w:val="18"/>
          <w:szCs w:val="18"/>
          <w:lang w:val="es-ES_tradnl"/>
        </w:rPr>
        <w:t>online</w:t>
      </w:r>
      <w:r w:rsidRPr="00D32FAB">
        <w:rPr>
          <w:rFonts w:ascii="ITC Avant Garde" w:hAnsi="ITC Avant Garde"/>
          <w:sz w:val="18"/>
          <w:szCs w:val="18"/>
          <w:lang w:val="es-ES_tradnl"/>
        </w:rPr>
        <w:t xml:space="preserve">. La parte </w:t>
      </w:r>
      <w:r w:rsidRPr="00D32FAB">
        <w:rPr>
          <w:rFonts w:ascii="ITC Avant Garde" w:hAnsi="ITC Avant Garde"/>
          <w:i/>
          <w:sz w:val="18"/>
          <w:szCs w:val="18"/>
          <w:lang w:val="es-ES_tradnl"/>
        </w:rPr>
        <w:t>offline</w:t>
      </w:r>
      <w:r w:rsidRPr="00D32FAB">
        <w:rPr>
          <w:rFonts w:ascii="ITC Avant Garde" w:hAnsi="ITC Avant Garde"/>
          <w:sz w:val="18"/>
          <w:szCs w:val="18"/>
          <w:lang w:val="es-ES_tradnl"/>
        </w:rPr>
        <w:t xml:space="preserve"> del modelo de acceso se divide en dos partes principales – análisis geográfico y algoritmos de red – mientras que la parte </w:t>
      </w:r>
      <w:r w:rsidRPr="00D32FAB">
        <w:rPr>
          <w:rFonts w:ascii="ITC Avant Garde" w:hAnsi="ITC Avant Garde"/>
          <w:i/>
          <w:sz w:val="18"/>
          <w:szCs w:val="18"/>
          <w:lang w:val="es-ES_tradnl"/>
        </w:rPr>
        <w:t>online</w:t>
      </w:r>
      <w:r w:rsidRPr="00D32FAB">
        <w:rPr>
          <w:rFonts w:ascii="ITC Avant Garde" w:hAnsi="ITC Avant Garde"/>
          <w:sz w:val="18"/>
          <w:szCs w:val="18"/>
          <w:lang w:val="es-ES_tradnl"/>
        </w:rPr>
        <w:t xml:space="preserve"> define las especificaciones de la red, calcula el costo de sus activos y fija el precio de los servicios mayoristas.</w:t>
      </w:r>
    </w:p>
    <w:p w:rsidR="00F07078" w:rsidRPr="00D32FAB" w:rsidRDefault="00F07078" w:rsidP="00BC5411">
      <w:pPr>
        <w:pStyle w:val="Descripcin"/>
        <w:keepNext/>
        <w:spacing w:before="360" w:after="120" w:line="280" w:lineRule="atLeast"/>
        <w:rPr>
          <w:rFonts w:ascii="ITC Avant Garde" w:hAnsi="ITC Avant Garde"/>
          <w:lang w:val="es-ES_tradnl"/>
        </w:rPr>
      </w:pPr>
      <w:r w:rsidRPr="00D32FAB">
        <w:rPr>
          <w:rFonts w:ascii="ITC Avant Garde" w:hAnsi="ITC Avant Garde"/>
          <w:lang w:val="es-ES_tradnl"/>
        </w:rPr>
        <w:lastRenderedPageBreak/>
        <w:t xml:space="preserve">Figura </w:t>
      </w:r>
      <w:r w:rsidRPr="00D32FAB">
        <w:rPr>
          <w:rFonts w:ascii="ITC Avant Garde" w:hAnsi="ITC Avant Garde"/>
          <w:lang w:val="es-ES_tradnl"/>
        </w:rPr>
        <w:fldChar w:fldCharType="begin"/>
      </w:r>
      <w:r w:rsidRPr="00D32FAB">
        <w:rPr>
          <w:rFonts w:ascii="ITC Avant Garde" w:hAnsi="ITC Avant Garde"/>
          <w:lang w:val="es-ES_tradnl"/>
        </w:rPr>
        <w:instrText xml:space="preserve"> SEQ Figure \* ARABIC \n \* MERGEFORMAT </w:instrText>
      </w:r>
      <w:r w:rsidRPr="00D32FAB">
        <w:rPr>
          <w:rFonts w:ascii="ITC Avant Garde" w:hAnsi="ITC Avant Garde"/>
          <w:lang w:val="es-ES_tradnl"/>
        </w:rPr>
        <w:fldChar w:fldCharType="separate"/>
      </w:r>
      <w:r w:rsidRPr="00D32FAB">
        <w:rPr>
          <w:rFonts w:ascii="ITC Avant Garde" w:hAnsi="ITC Avant Garde"/>
          <w:noProof/>
          <w:lang w:val="es-ES_tradnl"/>
        </w:rPr>
        <w:t>2</w:t>
      </w:r>
      <w:r w:rsidRPr="00D32FAB">
        <w:rPr>
          <w:rFonts w:ascii="ITC Avant Garde" w:hAnsi="ITC Avant Garde"/>
          <w:lang w:val="es-ES_tradnl"/>
        </w:rPr>
        <w:fldChar w:fldCharType="end"/>
      </w:r>
      <w:r w:rsidRPr="00D32FAB">
        <w:rPr>
          <w:rFonts w:ascii="ITC Avant Garde" w:hAnsi="ITC Avant Garde"/>
          <w:lang w:val="es-ES_tradnl"/>
        </w:rPr>
        <w:t xml:space="preserve">: Diagrama de flujo del modelo [Fuente: </w:t>
      </w:r>
      <w:r w:rsidR="00BC5411" w:rsidRPr="00D32FAB">
        <w:rPr>
          <w:rFonts w:ascii="ITC Avant Garde" w:hAnsi="ITC Avant Garde"/>
          <w:lang w:val="es-ES_tradnl"/>
        </w:rPr>
        <w:t>IFT</w:t>
      </w:r>
      <w:r w:rsidRPr="00D32FAB">
        <w:rPr>
          <w:rFonts w:ascii="ITC Avant Garde" w:hAnsi="ITC Avant Garde"/>
          <w:lang w:val="es-ES_tradnl"/>
        </w:rPr>
        <w:t>, 2015]</w:t>
      </w:r>
    </w:p>
    <w:p w:rsidR="00F07078" w:rsidRPr="00D32FAB" w:rsidRDefault="00F07078" w:rsidP="00BC5411">
      <w:pPr>
        <w:pStyle w:val="Border"/>
        <w:pBdr>
          <w:bottom w:val="none" w:sz="0" w:space="0" w:color="auto"/>
        </w:pBdr>
        <w:rPr>
          <w:rFonts w:ascii="ITC Avant Garde" w:hAnsi="ITC Avant Garde"/>
          <w:sz w:val="18"/>
          <w:szCs w:val="18"/>
          <w:lang w:val="es-ES_tradnl"/>
        </w:rPr>
      </w:pPr>
      <w:r w:rsidRPr="00D32FAB">
        <w:rPr>
          <w:rFonts w:ascii="ITC Avant Garde" w:hAnsi="ITC Avant Garde"/>
          <w:noProof/>
          <w:sz w:val="18"/>
          <w:szCs w:val="18"/>
          <w:lang w:val="es-MX" w:eastAsia="es-MX"/>
        </w:rPr>
        <w:drawing>
          <wp:inline distT="0" distB="0" distL="0" distR="0" wp14:anchorId="3CC3EF29" wp14:editId="43BADCE6">
            <wp:extent cx="5543550" cy="3043384"/>
            <wp:effectExtent l="0" t="0" r="0" b="0"/>
            <wp:docPr id="3" name="Picture 3" descr="Diagrama de flujo inicia a partir de ubicación de centrales y describe análisis geográfico y el modelo de acceso fijo core. Las fechas en color rojo representan la relación que existe entre el análisis geográfico y el modelo de acceso fijo core." title="Diagrama de flujo del modelo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50" cy="3043384"/>
                    </a:xfrm>
                    <a:prstGeom prst="rect">
                      <a:avLst/>
                    </a:prstGeom>
                    <a:noFill/>
                    <a:ln>
                      <a:noFill/>
                    </a:ln>
                  </pic:spPr>
                </pic:pic>
              </a:graphicData>
            </a:graphic>
          </wp:inline>
        </w:drawing>
      </w:r>
    </w:p>
    <w:p w:rsidR="00781C49" w:rsidRDefault="00781C49" w:rsidP="00F07078">
      <w:pPr>
        <w:rPr>
          <w:rFonts w:ascii="ITC Avant Garde" w:hAnsi="ITC Avant Garde"/>
          <w:b/>
          <w:sz w:val="18"/>
          <w:szCs w:val="18"/>
          <w:lang w:val="es-ES_tradnl"/>
        </w:rPr>
      </w:pPr>
    </w:p>
    <w:p w:rsidR="00F07078" w:rsidRPr="00D32FAB" w:rsidRDefault="00781C49" w:rsidP="00F07078">
      <w:pPr>
        <w:rPr>
          <w:rFonts w:ascii="ITC Avant Garde" w:hAnsi="ITC Avant Garde"/>
          <w:sz w:val="18"/>
          <w:szCs w:val="18"/>
          <w:lang w:val="es-ES_tradnl"/>
        </w:rPr>
      </w:pPr>
      <w:bookmarkStart w:id="1" w:name="_GoBack"/>
      <w:bookmarkEnd w:id="1"/>
      <w:r w:rsidRPr="00781C49">
        <w:rPr>
          <w:rFonts w:ascii="ITC Avant Garde" w:hAnsi="ITC Avant Garde"/>
          <w:b/>
          <w:sz w:val="18"/>
          <w:szCs w:val="18"/>
          <w:lang w:val="es-ES_tradnl"/>
        </w:rPr>
        <w:t>Q.</w:t>
      </w:r>
      <w:r w:rsidRPr="00781C49">
        <w:rPr>
          <w:rFonts w:ascii="ITC Avant Garde" w:hAnsi="ITC Avant Garde"/>
          <w:b/>
          <w:sz w:val="18"/>
          <w:szCs w:val="18"/>
          <w:lang w:val="es-ES_tradnl"/>
        </w:rPr>
        <w:fldChar w:fldCharType="begin"/>
      </w:r>
      <w:r w:rsidRPr="00781C49">
        <w:rPr>
          <w:rFonts w:ascii="ITC Avant Garde" w:hAnsi="ITC Avant Garde"/>
          <w:b/>
          <w:sz w:val="18"/>
          <w:szCs w:val="18"/>
          <w:lang w:val="es-ES_tradnl"/>
        </w:rPr>
        <w:instrText xml:space="preserve"> SEQ Recommendation \* ARABIC \s 0 </w:instrText>
      </w:r>
      <w:r w:rsidRPr="00781C49">
        <w:rPr>
          <w:rFonts w:ascii="ITC Avant Garde" w:hAnsi="ITC Avant Garde"/>
          <w:b/>
          <w:sz w:val="18"/>
          <w:szCs w:val="18"/>
          <w:lang w:val="es-ES_tradnl"/>
        </w:rPr>
        <w:fldChar w:fldCharType="separate"/>
      </w:r>
      <w:r w:rsidRPr="00781C49">
        <w:rPr>
          <w:rFonts w:ascii="ITC Avant Garde" w:hAnsi="ITC Avant Garde"/>
          <w:b/>
          <w:sz w:val="18"/>
          <w:szCs w:val="18"/>
          <w:lang w:val="es-ES_tradnl"/>
        </w:rPr>
        <w:t>11</w:t>
      </w:r>
      <w:r w:rsidRPr="00781C49">
        <w:rPr>
          <w:rFonts w:ascii="ITC Avant Garde" w:hAnsi="ITC Avant Garde"/>
          <w:sz w:val="18"/>
          <w:szCs w:val="18"/>
          <w:lang w:val="es-ES_tradnl"/>
        </w:rPr>
        <w:fldChar w:fldCharType="end"/>
      </w:r>
      <w:r w:rsidRPr="00781C49">
        <w:rPr>
          <w:rFonts w:ascii="ITC Avant Garde" w:hAnsi="ITC Avant Garde"/>
          <w:sz w:val="18"/>
          <w:szCs w:val="18"/>
          <w:lang w:val="es-ES_tradnl"/>
        </w:rPr>
        <w:t>: ¿Tiene algún comentario relacionado con los valores de entrada y/o los cálculos efectuados en las diferentes hojas que componen el modelo?</w:t>
      </w:r>
    </w:p>
    <w:p w:rsidR="00F07078" w:rsidRPr="00D32FAB" w:rsidRDefault="00F07078" w:rsidP="00F07078">
      <w:pPr>
        <w:pStyle w:val="Ttulo3"/>
        <w:rPr>
          <w:rFonts w:ascii="ITC Avant Garde" w:hAnsi="ITC Avant Garde"/>
          <w:sz w:val="18"/>
          <w:szCs w:val="18"/>
          <w:lang w:val="es-ES_tradnl"/>
        </w:rPr>
      </w:pPr>
      <w:r w:rsidRPr="00D32FAB">
        <w:rPr>
          <w:rFonts w:ascii="ITC Avant Garde" w:hAnsi="ITC Avant Garde"/>
          <w:sz w:val="18"/>
          <w:szCs w:val="18"/>
          <w:lang w:val="es-ES_tradnl"/>
        </w:rPr>
        <w:t>Resultados del modelo</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El modelo arroja como resultado final los precios de los distintos servicios provistos a través del módulo </w:t>
      </w:r>
      <w:proofErr w:type="spellStart"/>
      <w:r w:rsidRPr="00D32FAB">
        <w:rPr>
          <w:rFonts w:ascii="ITC Avant Garde" w:hAnsi="ITC Avant Garde"/>
          <w:i/>
          <w:sz w:val="18"/>
          <w:szCs w:val="18"/>
          <w:lang w:val="es-ES_tradnl"/>
        </w:rPr>
        <w:t>core</w:t>
      </w:r>
      <w:proofErr w:type="spellEnd"/>
      <w:r w:rsidRPr="00D32FAB">
        <w:rPr>
          <w:rFonts w:ascii="ITC Avant Garde" w:hAnsi="ITC Avant Garde"/>
          <w:sz w:val="18"/>
          <w:szCs w:val="18"/>
          <w:lang w:val="es-ES_tradnl"/>
        </w:rPr>
        <w:t xml:space="preserve"> del modelo, tal y como se muestra en la figura siguiente.</w:t>
      </w:r>
    </w:p>
    <w:p w:rsidR="00F07078" w:rsidRPr="00D32FAB" w:rsidRDefault="00F07078" w:rsidP="00BC5411">
      <w:pPr>
        <w:pStyle w:val="Descripcin"/>
        <w:keepNext/>
        <w:spacing w:before="360" w:after="120" w:line="280" w:lineRule="atLeast"/>
        <w:rPr>
          <w:rFonts w:ascii="ITC Avant Garde" w:hAnsi="ITC Avant Garde"/>
          <w:lang w:val="es-ES_tradnl"/>
        </w:rPr>
      </w:pPr>
      <w:r w:rsidRPr="00D32FAB">
        <w:rPr>
          <w:rFonts w:ascii="ITC Avant Garde" w:hAnsi="ITC Avant Garde"/>
          <w:lang w:val="es-ES_tradnl"/>
        </w:rPr>
        <w:lastRenderedPageBreak/>
        <w:t xml:space="preserve">Figura </w:t>
      </w:r>
      <w:r w:rsidRPr="00D32FAB">
        <w:rPr>
          <w:rFonts w:ascii="ITC Avant Garde" w:hAnsi="ITC Avant Garde"/>
          <w:lang w:val="es-ES_tradnl"/>
        </w:rPr>
        <w:fldChar w:fldCharType="begin"/>
      </w:r>
      <w:r w:rsidRPr="00D32FAB">
        <w:rPr>
          <w:rFonts w:ascii="ITC Avant Garde" w:hAnsi="ITC Avant Garde"/>
          <w:lang w:val="es-ES_tradnl"/>
        </w:rPr>
        <w:instrText xml:space="preserve"> SEQ Figure \* ARABIC \n \* MERGEFORMAT </w:instrText>
      </w:r>
      <w:r w:rsidRPr="00D32FAB">
        <w:rPr>
          <w:rFonts w:ascii="ITC Avant Garde" w:hAnsi="ITC Avant Garde"/>
          <w:lang w:val="es-ES_tradnl"/>
        </w:rPr>
        <w:fldChar w:fldCharType="separate"/>
      </w:r>
      <w:r w:rsidRPr="00D32FAB">
        <w:rPr>
          <w:rFonts w:ascii="ITC Avant Garde" w:hAnsi="ITC Avant Garde"/>
          <w:noProof/>
          <w:lang w:val="es-ES_tradnl"/>
        </w:rPr>
        <w:t>3</w:t>
      </w:r>
      <w:r w:rsidRPr="00D32FAB">
        <w:rPr>
          <w:rFonts w:ascii="ITC Avant Garde" w:hAnsi="ITC Avant Garde"/>
          <w:lang w:val="es-ES_tradnl"/>
        </w:rPr>
        <w:fldChar w:fldCharType="end"/>
      </w:r>
      <w:r w:rsidRPr="00D32FAB">
        <w:rPr>
          <w:rFonts w:ascii="ITC Avant Garde" w:hAnsi="ITC Avant Garde"/>
          <w:lang w:val="es-ES_tradnl"/>
        </w:rPr>
        <w:t xml:space="preserve">: Diagrama de flujo para los resultados del modelo [Fuente: </w:t>
      </w:r>
      <w:r w:rsidR="00BC5411" w:rsidRPr="00D32FAB">
        <w:rPr>
          <w:rFonts w:ascii="ITC Avant Garde" w:hAnsi="ITC Avant Garde"/>
          <w:lang w:val="es-ES_tradnl"/>
        </w:rPr>
        <w:t>IFT</w:t>
      </w:r>
      <w:r w:rsidRPr="00D32FAB">
        <w:rPr>
          <w:rFonts w:ascii="ITC Avant Garde" w:hAnsi="ITC Avant Garde"/>
          <w:lang w:val="es-ES_tradnl"/>
        </w:rPr>
        <w:t>, 2015]</w:t>
      </w:r>
    </w:p>
    <w:p w:rsidR="00F07078" w:rsidRPr="00D32FAB" w:rsidRDefault="00F07078" w:rsidP="00BC5411">
      <w:pPr>
        <w:pStyle w:val="Border"/>
        <w:pBdr>
          <w:bottom w:val="none" w:sz="0" w:space="0" w:color="auto"/>
        </w:pBdr>
        <w:rPr>
          <w:rFonts w:ascii="ITC Avant Garde" w:hAnsi="ITC Avant Garde"/>
          <w:sz w:val="18"/>
          <w:szCs w:val="18"/>
          <w:lang w:val="es-ES_tradnl"/>
        </w:rPr>
      </w:pPr>
      <w:r w:rsidRPr="00D32FAB">
        <w:rPr>
          <w:rFonts w:ascii="ITC Avant Garde" w:hAnsi="ITC Avant Garde"/>
          <w:noProof/>
          <w:sz w:val="18"/>
          <w:szCs w:val="18"/>
          <w:lang w:val="es-MX" w:eastAsia="es-MX"/>
        </w:rPr>
        <w:drawing>
          <wp:inline distT="0" distB="0" distL="0" distR="0" wp14:anchorId="72B937B2" wp14:editId="469AA731">
            <wp:extent cx="5543550" cy="2753897"/>
            <wp:effectExtent l="0" t="0" r="0" b="8890"/>
            <wp:docPr id="4" name="Picture 4" descr="Side model (online)" title="Diagrama de flujo para los resultados del modelo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2753897"/>
                    </a:xfrm>
                    <a:prstGeom prst="rect">
                      <a:avLst/>
                    </a:prstGeom>
                    <a:noFill/>
                    <a:ln>
                      <a:noFill/>
                    </a:ln>
                  </pic:spPr>
                </pic:pic>
              </a:graphicData>
            </a:graphic>
          </wp:inline>
        </w:drawing>
      </w:r>
    </w:p>
    <w:p w:rsidR="00F07078" w:rsidRPr="00D32FAB" w:rsidRDefault="00BC5411" w:rsidP="00F07078">
      <w:pPr>
        <w:rPr>
          <w:rFonts w:ascii="ITC Avant Garde" w:hAnsi="ITC Avant Garde"/>
          <w:sz w:val="18"/>
          <w:szCs w:val="18"/>
          <w:lang w:val="es-ES_tradnl"/>
        </w:rPr>
      </w:pPr>
      <w:r w:rsidRPr="00D32FAB">
        <w:rPr>
          <w:rFonts w:ascii="ITC Avant Garde" w:hAnsi="ITC Avant Garde"/>
          <w:sz w:val="18"/>
          <w:szCs w:val="18"/>
          <w:lang w:val="es-ES_tradnl"/>
        </w:rPr>
        <w:br/>
      </w:r>
      <w:r w:rsidR="00F07078" w:rsidRPr="00D32FAB">
        <w:rPr>
          <w:rFonts w:ascii="ITC Avant Garde" w:hAnsi="ITC Avant Garde"/>
          <w:sz w:val="18"/>
          <w:szCs w:val="18"/>
          <w:lang w:val="es-ES_tradnl"/>
        </w:rPr>
        <w:t>El modelo presenta los resultados de varios servicios de la siguiente manera:</w:t>
      </w:r>
    </w:p>
    <w:p w:rsidR="00F07078" w:rsidRPr="00D32FAB" w:rsidRDefault="00BC5411" w:rsidP="00BC5411">
      <w:pPr>
        <w:pStyle w:val="Descripcin"/>
        <w:keepNext/>
        <w:spacing w:before="360" w:after="120" w:line="280" w:lineRule="atLeast"/>
        <w:rPr>
          <w:rFonts w:ascii="ITC Avant Garde" w:hAnsi="ITC Avant Garde"/>
          <w:lang w:val="es-ES_tradnl"/>
        </w:rPr>
      </w:pPr>
      <w:r w:rsidRPr="00D32FAB">
        <w:rPr>
          <w:rFonts w:ascii="ITC Avant Garde" w:hAnsi="ITC Avant Garde"/>
          <w:lang w:val="es-ES_tradnl"/>
        </w:rPr>
        <w:t>Figura</w:t>
      </w:r>
      <w:r w:rsidR="00F07078" w:rsidRPr="00D32FAB">
        <w:rPr>
          <w:rFonts w:ascii="ITC Avant Garde" w:hAnsi="ITC Avant Garde"/>
          <w:lang w:val="es-ES_tradnl"/>
        </w:rPr>
        <w:t xml:space="preserve"> </w:t>
      </w:r>
      <w:r w:rsidR="00F07078" w:rsidRPr="00D32FAB">
        <w:rPr>
          <w:rFonts w:ascii="ITC Avant Garde" w:hAnsi="ITC Avant Garde"/>
          <w:lang w:val="es-ES_tradnl"/>
        </w:rPr>
        <w:fldChar w:fldCharType="begin"/>
      </w:r>
      <w:r w:rsidR="00F07078" w:rsidRPr="00D32FAB">
        <w:rPr>
          <w:rFonts w:ascii="ITC Avant Garde" w:hAnsi="ITC Avant Garde"/>
          <w:lang w:val="es-ES_tradnl"/>
        </w:rPr>
        <w:instrText xml:space="preserve"> SEQ Figure \* ARABIC \n \* MERGEFORMAT </w:instrText>
      </w:r>
      <w:r w:rsidR="00F07078" w:rsidRPr="00D32FAB">
        <w:rPr>
          <w:rFonts w:ascii="ITC Avant Garde" w:hAnsi="ITC Avant Garde"/>
          <w:lang w:val="es-ES_tradnl"/>
        </w:rPr>
        <w:fldChar w:fldCharType="separate"/>
      </w:r>
      <w:r w:rsidR="00F07078" w:rsidRPr="00D32FAB">
        <w:rPr>
          <w:rFonts w:ascii="ITC Avant Garde" w:hAnsi="ITC Avant Garde"/>
          <w:noProof/>
          <w:lang w:val="es-ES_tradnl"/>
        </w:rPr>
        <w:t>4</w:t>
      </w:r>
      <w:r w:rsidR="00F07078" w:rsidRPr="00D32FAB">
        <w:rPr>
          <w:rFonts w:ascii="ITC Avant Garde" w:hAnsi="ITC Avant Garde"/>
          <w:lang w:val="es-ES_tradnl"/>
        </w:rPr>
        <w:fldChar w:fldCharType="end"/>
      </w:r>
      <w:r w:rsidR="00F07078" w:rsidRPr="00D32FAB">
        <w:rPr>
          <w:rFonts w:ascii="ITC Avant Garde" w:hAnsi="ITC Avant Garde"/>
          <w:lang w:val="es-ES_tradnl"/>
        </w:rPr>
        <w:t xml:space="preserve">: Resultados del modelo [Fuente: </w:t>
      </w:r>
      <w:r w:rsidRPr="00D32FAB">
        <w:rPr>
          <w:rFonts w:ascii="ITC Avant Garde" w:hAnsi="ITC Avant Garde"/>
          <w:lang w:val="es-ES_tradnl"/>
        </w:rPr>
        <w:t>IFT</w:t>
      </w:r>
      <w:r w:rsidR="00F07078" w:rsidRPr="00D32FAB">
        <w:rPr>
          <w:rFonts w:ascii="ITC Avant Garde" w:hAnsi="ITC Avant Garde"/>
          <w:lang w:val="es-ES_tradnl"/>
        </w:rPr>
        <w:t>, 2015]</w:t>
      </w:r>
    </w:p>
    <w:tbl>
      <w:tblPr>
        <w:tblStyle w:val="Sombreadomedio2-nfasis1"/>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Resultados del modelo"/>
        <w:tblDescription w:val="La Tabla se divine en: Servicio, Tarifa y Descripción "/>
      </w:tblPr>
      <w:tblGrid>
        <w:gridCol w:w="2181"/>
        <w:gridCol w:w="2190"/>
        <w:gridCol w:w="4418"/>
      </w:tblGrid>
      <w:tr w:rsidR="00F07078" w:rsidRPr="00D32FAB" w:rsidTr="00D32FAB">
        <w:trPr>
          <w:cnfStyle w:val="100000000000" w:firstRow="1" w:lastRow="0" w:firstColumn="0" w:lastColumn="0" w:oddVBand="0" w:evenVBand="0" w:oddHBand="0" w:evenHBand="0" w:firstRowFirstColumn="0" w:firstRowLastColumn="0" w:lastRowFirstColumn="0" w:lastRowLastColumn="0"/>
          <w:tblHeader/>
        </w:trPr>
        <w:tc>
          <w:tcPr>
            <w:tcW w:w="2181" w:type="dxa"/>
            <w:tcBorders>
              <w:top w:val="none" w:sz="0" w:space="0" w:color="auto"/>
              <w:left w:val="none" w:sz="0" w:space="0" w:color="auto"/>
              <w:bottom w:val="none" w:sz="0" w:space="0" w:color="auto"/>
              <w:right w:val="none" w:sz="0" w:space="0" w:color="auto"/>
            </w:tcBorders>
            <w:shd w:val="solid" w:color="221F72" w:fill="221F72"/>
          </w:tcPr>
          <w:p w:rsidR="00F07078" w:rsidRPr="00D32FAB" w:rsidRDefault="00F07078" w:rsidP="000774F6">
            <w:pPr>
              <w:pStyle w:val="Tableheading"/>
              <w:rPr>
                <w:rFonts w:ascii="ITC Avant Garde" w:hAnsi="ITC Avant Garde"/>
                <w:b w:val="0"/>
                <w:i w:val="0"/>
                <w:szCs w:val="18"/>
                <w:lang w:val="es-ES_tradnl"/>
              </w:rPr>
            </w:pPr>
            <w:r w:rsidRPr="00D32FAB">
              <w:rPr>
                <w:rFonts w:ascii="ITC Avant Garde" w:hAnsi="ITC Avant Garde"/>
                <w:i w:val="0"/>
                <w:szCs w:val="18"/>
                <w:lang w:val="es-ES_tradnl"/>
              </w:rPr>
              <w:t>Servicio</w:t>
            </w:r>
          </w:p>
        </w:tc>
        <w:tc>
          <w:tcPr>
            <w:tcW w:w="2190" w:type="dxa"/>
            <w:tcBorders>
              <w:top w:val="none" w:sz="0" w:space="0" w:color="auto"/>
              <w:left w:val="none" w:sz="0" w:space="0" w:color="auto"/>
              <w:bottom w:val="none" w:sz="0" w:space="0" w:color="auto"/>
              <w:right w:val="none" w:sz="0" w:space="0" w:color="auto"/>
            </w:tcBorders>
            <w:shd w:val="solid" w:color="221F72" w:fill="221F72"/>
          </w:tcPr>
          <w:p w:rsidR="00F07078" w:rsidRPr="00D32FAB" w:rsidRDefault="00F07078" w:rsidP="000774F6">
            <w:pPr>
              <w:pStyle w:val="Tableheading"/>
              <w:rPr>
                <w:rFonts w:ascii="ITC Avant Garde" w:hAnsi="ITC Avant Garde"/>
                <w:b w:val="0"/>
                <w:i w:val="0"/>
                <w:szCs w:val="18"/>
                <w:lang w:val="es-ES_tradnl"/>
              </w:rPr>
            </w:pPr>
            <w:r w:rsidRPr="00D32FAB">
              <w:rPr>
                <w:rFonts w:ascii="ITC Avant Garde" w:hAnsi="ITC Avant Garde"/>
                <w:i w:val="0"/>
                <w:szCs w:val="18"/>
                <w:lang w:val="es-ES_tradnl"/>
              </w:rPr>
              <w:t>Tarifa</w:t>
            </w:r>
          </w:p>
        </w:tc>
        <w:tc>
          <w:tcPr>
            <w:tcW w:w="4418" w:type="dxa"/>
            <w:tcBorders>
              <w:top w:val="none" w:sz="0" w:space="0" w:color="auto"/>
              <w:left w:val="none" w:sz="0" w:space="0" w:color="auto"/>
              <w:bottom w:val="none" w:sz="0" w:space="0" w:color="auto"/>
              <w:right w:val="none" w:sz="0" w:space="0" w:color="auto"/>
            </w:tcBorders>
            <w:shd w:val="solid" w:color="221F72" w:fill="221F72"/>
          </w:tcPr>
          <w:p w:rsidR="00F07078" w:rsidRPr="00D32FAB" w:rsidRDefault="00F07078" w:rsidP="000774F6">
            <w:pPr>
              <w:pStyle w:val="Tableheading"/>
              <w:rPr>
                <w:rFonts w:ascii="ITC Avant Garde" w:hAnsi="ITC Avant Garde"/>
                <w:b w:val="0"/>
                <w:i w:val="0"/>
                <w:szCs w:val="18"/>
                <w:lang w:val="es-ES_tradnl"/>
              </w:rPr>
            </w:pPr>
            <w:r w:rsidRPr="00D32FAB">
              <w:rPr>
                <w:rFonts w:ascii="ITC Avant Garde" w:hAnsi="ITC Avant Garde"/>
                <w:i w:val="0"/>
                <w:szCs w:val="18"/>
                <w:lang w:val="es-ES_tradnl"/>
              </w:rPr>
              <w:t>Descripción</w:t>
            </w:r>
          </w:p>
        </w:tc>
      </w:tr>
      <w:tr w:rsidR="00F07078" w:rsidRPr="00D32FAB" w:rsidTr="00D32FAB">
        <w:trPr>
          <w:cnfStyle w:val="000000100000" w:firstRow="0" w:lastRow="0" w:firstColumn="0" w:lastColumn="0" w:oddVBand="0" w:evenVBand="0" w:oddHBand="1" w:evenHBand="0" w:firstRowFirstColumn="0" w:firstRowLastColumn="0" w:lastRowFirstColumn="0" w:lastRowLastColumn="0"/>
        </w:trPr>
        <w:tc>
          <w:tcPr>
            <w:tcW w:w="2181"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b/>
                <w:szCs w:val="18"/>
                <w:lang w:val="es-ES_tradnl"/>
              </w:rPr>
              <w:t>Infraestructura</w:t>
            </w:r>
            <w:r w:rsidRPr="00D32FAB">
              <w:rPr>
                <w:rFonts w:ascii="ITC Avant Garde" w:hAnsi="ITC Avant Garde"/>
                <w:szCs w:val="18"/>
                <w:lang w:val="es-ES_tradnl"/>
              </w:rPr>
              <w:br/>
              <w:t>Acceso a los ductos</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Contraprestación anual por metro lineal </w:t>
            </w:r>
            <w:r w:rsidRPr="00D32FAB">
              <w:rPr>
                <w:rFonts w:ascii="ITC Avant Garde" w:hAnsi="ITC Avant Garde"/>
                <w:szCs w:val="18"/>
                <w:lang w:val="es-ES_tradnl"/>
              </w:rPr>
              <w:br/>
            </w:r>
            <w:r w:rsidRPr="00D32FAB">
              <w:rPr>
                <w:rFonts w:ascii="ITC Avant Garde" w:hAnsi="ITC Avant Garde"/>
                <w:i/>
                <w:szCs w:val="18"/>
                <w:lang w:val="es-ES_tradnl"/>
              </w:rPr>
              <w:t>MXN / año / metro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Acceso a los ductos vacantes en una ruta específica para desplegar cableado para la provisión de servicios de telecomunicaciones</w:t>
            </w:r>
          </w:p>
          <w:p w:rsidR="00F07078" w:rsidRPr="00D32FAB" w:rsidRDefault="00F07078" w:rsidP="00F07078">
            <w:pPr>
              <w:pStyle w:val="Tablecells"/>
              <w:numPr>
                <w:ilvl w:val="0"/>
                <w:numId w:val="26"/>
              </w:numPr>
              <w:rPr>
                <w:rFonts w:ascii="ITC Avant Garde" w:hAnsi="ITC Avant Garde"/>
                <w:szCs w:val="18"/>
                <w:lang w:val="es-ES_tradnl"/>
              </w:rPr>
            </w:pPr>
            <w:r w:rsidRPr="00D32FAB">
              <w:rPr>
                <w:rFonts w:ascii="ITC Avant Garde" w:hAnsi="ITC Avant Garde"/>
                <w:szCs w:val="18"/>
                <w:lang w:val="es-ES_tradnl"/>
              </w:rPr>
              <w:t>ductos con un tamaño de 35.5mm, 40mm, 60mm, 80mm y 100 mm</w:t>
            </w:r>
          </w:p>
        </w:tc>
      </w:tr>
      <w:tr w:rsidR="00F07078" w:rsidRPr="00D32FAB" w:rsidTr="00D32FAB">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Infraestructura</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Acceso a los pozos</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anual</w:t>
            </w:r>
            <w:r w:rsidRPr="00D32FAB">
              <w:rPr>
                <w:rFonts w:ascii="ITC Avant Garde" w:hAnsi="ITC Avant Garde"/>
                <w:szCs w:val="18"/>
                <w:lang w:val="es-ES_tradnl"/>
              </w:rPr>
              <w:br/>
            </w:r>
            <w:r w:rsidRPr="00D32FAB">
              <w:rPr>
                <w:rFonts w:ascii="ITC Avant Garde" w:hAnsi="ITC Avant Garde"/>
                <w:i/>
                <w:szCs w:val="18"/>
                <w:lang w:val="es-ES_tradnl"/>
              </w:rPr>
              <w:t>MXN / año / pozo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Acceso a los pozos para el paso de cables, terminación, alojamiento o empalme para el cableado; este servicio puede ser utilizado en combinación con el servicio de accesos a los ductos y postes</w:t>
            </w:r>
          </w:p>
          <w:p w:rsidR="00F07078" w:rsidRPr="00D32FAB" w:rsidRDefault="00F07078" w:rsidP="00F07078">
            <w:pPr>
              <w:pStyle w:val="Tablecells"/>
              <w:numPr>
                <w:ilvl w:val="0"/>
                <w:numId w:val="26"/>
              </w:numPr>
              <w:rPr>
                <w:rFonts w:ascii="ITC Avant Garde" w:hAnsi="ITC Avant Garde"/>
                <w:szCs w:val="18"/>
                <w:lang w:val="es-ES_tradnl"/>
              </w:rPr>
            </w:pPr>
            <w:r w:rsidRPr="00D32FAB">
              <w:rPr>
                <w:rFonts w:ascii="ITC Avant Garde" w:hAnsi="ITC Avant Garde"/>
                <w:szCs w:val="18"/>
                <w:lang w:val="es-ES_tradnl"/>
              </w:rPr>
              <w:t>pozos con 20 diferentes tipologías y tamaños</w:t>
            </w:r>
          </w:p>
        </w:tc>
      </w:tr>
      <w:tr w:rsidR="00F07078" w:rsidRPr="00D32FAB" w:rsidTr="00D32FAB">
        <w:trPr>
          <w:cnfStyle w:val="000000100000" w:firstRow="0" w:lastRow="0" w:firstColumn="0" w:lastColumn="0" w:oddVBand="0" w:evenVBand="0" w:oddHBand="1" w:evenHBand="0" w:firstRowFirstColumn="0" w:firstRowLastColumn="0" w:lastRowFirstColumn="0" w:lastRowLastColumn="0"/>
        </w:trPr>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Infraestructura</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Alojamiento de gaza de fibra óptica en el pozo</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i/>
                <w:iCs/>
                <w:szCs w:val="18"/>
                <w:lang w:val="es-ES_tradnl"/>
              </w:rPr>
              <w:t>MXN / año / servicio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Servicio de alojamiento de la fibra óptica en el pozo</w:t>
            </w:r>
          </w:p>
        </w:tc>
      </w:tr>
      <w:tr w:rsidR="00F07078" w:rsidRPr="00D32FAB" w:rsidTr="00D32FAB">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Infraestructura</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Alojamiento de cierre de empalme</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i/>
                <w:iCs/>
                <w:szCs w:val="18"/>
                <w:lang w:val="es-ES_tradnl"/>
              </w:rPr>
              <w:t>MXN / año / servicio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Servicio de cierre de empalme</w:t>
            </w:r>
          </w:p>
        </w:tc>
      </w:tr>
      <w:tr w:rsidR="00F07078" w:rsidRPr="00D32FAB" w:rsidTr="00D32FAB">
        <w:trPr>
          <w:cnfStyle w:val="000000100000" w:firstRow="0" w:lastRow="0" w:firstColumn="0" w:lastColumn="0" w:oddVBand="0" w:evenVBand="0" w:oddHBand="1" w:evenHBand="0" w:firstRowFirstColumn="0" w:firstRowLastColumn="0" w:lastRowFirstColumn="0" w:lastRowLastColumn="0"/>
        </w:trPr>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lastRenderedPageBreak/>
              <w:t>Infraestructura</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Uso del poste: </w:t>
            </w:r>
            <w:r w:rsidRPr="00D32FAB">
              <w:rPr>
                <w:rFonts w:ascii="ITC Avant Garde" w:hAnsi="ITC Avant Garde"/>
                <w:szCs w:val="18"/>
                <w:lang w:val="es-ES_tradnl"/>
              </w:rPr>
              <w:br/>
              <w:t>por cable</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anual</w:t>
            </w:r>
            <w:r w:rsidRPr="00D32FAB">
              <w:rPr>
                <w:rFonts w:ascii="ITC Avant Garde" w:hAnsi="ITC Avant Garde"/>
                <w:szCs w:val="18"/>
                <w:lang w:val="es-ES_tradnl"/>
              </w:rPr>
              <w:br/>
            </w:r>
            <w:r w:rsidRPr="00D32FAB">
              <w:rPr>
                <w:rFonts w:ascii="ITC Avant Garde" w:hAnsi="ITC Avant Garde"/>
                <w:i/>
                <w:szCs w:val="18"/>
                <w:lang w:val="es-ES_tradnl"/>
              </w:rPr>
              <w:t>MXN / año / cable entre dos postes</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Acceso al poste para desplegar un cable (de cobre o fibra óptica) en la infraestructura aérea desagregada del AEP </w:t>
            </w:r>
          </w:p>
          <w:p w:rsidR="00F07078" w:rsidRPr="00D32FAB" w:rsidRDefault="00F07078" w:rsidP="00F07078">
            <w:pPr>
              <w:pStyle w:val="Tablecells"/>
              <w:numPr>
                <w:ilvl w:val="0"/>
                <w:numId w:val="26"/>
              </w:numPr>
              <w:rPr>
                <w:rFonts w:ascii="ITC Avant Garde" w:hAnsi="ITC Avant Garde"/>
                <w:szCs w:val="18"/>
                <w:lang w:val="es-ES_tradnl"/>
              </w:rPr>
            </w:pPr>
            <w:r w:rsidRPr="00D32FAB">
              <w:rPr>
                <w:rFonts w:ascii="ITC Avant Garde" w:hAnsi="ITC Avant Garde"/>
                <w:szCs w:val="18"/>
                <w:lang w:val="es-ES_tradnl"/>
              </w:rPr>
              <w:t>diferentes tamaños de cable desplegados</w:t>
            </w:r>
          </w:p>
        </w:tc>
      </w:tr>
      <w:tr w:rsidR="00F07078" w:rsidRPr="00D32FAB" w:rsidTr="00D32FAB">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Infraestructura</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Uso del poste: </w:t>
            </w:r>
            <w:r w:rsidRPr="00D32FAB">
              <w:rPr>
                <w:rFonts w:ascii="ITC Avant Garde" w:hAnsi="ITC Avant Garde"/>
                <w:szCs w:val="18"/>
                <w:lang w:val="es-ES_tradnl"/>
              </w:rPr>
              <w:br/>
              <w:t>peso adicional (por kg)</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anual</w:t>
            </w:r>
            <w:r w:rsidRPr="00D32FAB">
              <w:rPr>
                <w:rFonts w:ascii="ITC Avant Garde" w:hAnsi="ITC Avant Garde"/>
                <w:szCs w:val="18"/>
                <w:lang w:val="es-ES_tradnl"/>
              </w:rPr>
              <w:br/>
            </w:r>
            <w:r w:rsidRPr="00D32FAB">
              <w:rPr>
                <w:rFonts w:ascii="ITC Avant Garde" w:hAnsi="ITC Avant Garde"/>
                <w:i/>
                <w:szCs w:val="18"/>
                <w:lang w:val="es-ES_tradnl"/>
              </w:rPr>
              <w:t>MXN / año / kg de cable entre dos postes</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Peso adicional por cable relativo al uso del poste </w:t>
            </w:r>
          </w:p>
        </w:tc>
      </w:tr>
      <w:tr w:rsidR="00F07078" w:rsidRPr="00D32FAB" w:rsidTr="00D32FAB">
        <w:trPr>
          <w:cnfStyle w:val="000000100000" w:firstRow="0" w:lastRow="0" w:firstColumn="0" w:lastColumn="0" w:oddVBand="0" w:evenVBand="0" w:oddHBand="1" w:evenHBand="0" w:firstRowFirstColumn="0" w:firstRowLastColumn="0" w:lastRowFirstColumn="0" w:lastRowLastColumn="0"/>
        </w:trPr>
        <w:tc>
          <w:tcPr>
            <w:tcW w:w="2181" w:type="dxa"/>
          </w:tcPr>
          <w:p w:rsidR="00F07078" w:rsidRPr="00D32FAB" w:rsidRDefault="00F07078" w:rsidP="000774F6">
            <w:pPr>
              <w:pStyle w:val="Tablecells"/>
              <w:rPr>
                <w:rFonts w:ascii="ITC Avant Garde" w:hAnsi="ITC Avant Garde"/>
                <w:b/>
                <w:spacing w:val="-4"/>
                <w:szCs w:val="18"/>
                <w:lang w:val="es-ES_tradnl"/>
              </w:rPr>
            </w:pPr>
            <w:r w:rsidRPr="00D32FAB">
              <w:rPr>
                <w:rFonts w:ascii="ITC Avant Garde" w:hAnsi="ITC Avant Garde"/>
                <w:b/>
                <w:spacing w:val="-4"/>
                <w:szCs w:val="18"/>
                <w:lang w:val="es-ES_tradnl"/>
              </w:rPr>
              <w:t>Infraestructura</w:t>
            </w:r>
          </w:p>
          <w:p w:rsidR="00F07078" w:rsidRPr="00D32FAB" w:rsidRDefault="00F07078" w:rsidP="000774F6">
            <w:pPr>
              <w:pStyle w:val="Tablecells"/>
              <w:rPr>
                <w:rFonts w:ascii="ITC Avant Garde" w:hAnsi="ITC Avant Garde"/>
                <w:spacing w:val="-4"/>
                <w:szCs w:val="18"/>
                <w:lang w:val="es-ES_tradnl"/>
              </w:rPr>
            </w:pPr>
            <w:r w:rsidRPr="00D32FAB">
              <w:rPr>
                <w:rFonts w:ascii="ITC Avant Garde" w:hAnsi="ITC Avant Garde"/>
                <w:spacing w:val="-4"/>
                <w:szCs w:val="18"/>
                <w:lang w:val="es-ES_tradnl"/>
              </w:rPr>
              <w:t xml:space="preserve">Uso del poste: </w:t>
            </w:r>
            <w:r w:rsidRPr="00D32FAB">
              <w:rPr>
                <w:rFonts w:ascii="ITC Avant Garde" w:hAnsi="ITC Avant Garde"/>
                <w:spacing w:val="-4"/>
                <w:szCs w:val="18"/>
                <w:lang w:val="es-ES_tradnl"/>
              </w:rPr>
              <w:br/>
              <w:t>apoyos de protecciones para subidas o aterramientos</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anual</w:t>
            </w:r>
            <w:r w:rsidRPr="00D32FAB">
              <w:rPr>
                <w:rFonts w:ascii="ITC Avant Garde" w:hAnsi="ITC Avant Garde"/>
                <w:szCs w:val="18"/>
                <w:lang w:val="es-ES_tradnl"/>
              </w:rPr>
              <w:br/>
            </w:r>
            <w:r w:rsidRPr="00D32FAB">
              <w:rPr>
                <w:rFonts w:ascii="ITC Avant Garde" w:hAnsi="ITC Avant Garde"/>
                <w:i/>
                <w:szCs w:val="18"/>
                <w:lang w:val="es-ES_tradnl"/>
              </w:rPr>
              <w:t>MXN / año / aterrizada o subida al poste</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Acceso a las infraestructuras de subida y aterrizaje de un poste en proximidad del primer/</w:t>
            </w:r>
            <w:r w:rsidR="00BC5411" w:rsidRPr="00D32FAB">
              <w:rPr>
                <w:rFonts w:ascii="ITC Avant Garde" w:hAnsi="ITC Avant Garde"/>
                <w:szCs w:val="18"/>
                <w:lang w:val="es-ES_tradnl"/>
              </w:rPr>
              <w:t>último</w:t>
            </w:r>
            <w:r w:rsidRPr="00D32FAB">
              <w:rPr>
                <w:rFonts w:ascii="ITC Avant Garde" w:hAnsi="ITC Avant Garde"/>
                <w:szCs w:val="18"/>
                <w:lang w:val="es-ES_tradnl"/>
              </w:rPr>
              <w:t xml:space="preserve"> poste de cada trazado aéreo</w:t>
            </w:r>
          </w:p>
        </w:tc>
      </w:tr>
      <w:tr w:rsidR="00F07078" w:rsidRPr="00D32FAB" w:rsidTr="00D32FAB">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Infraestructura</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Instalación del tendido de cable</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Uso y mantenimiento de la trayectoria para [tendido de] cable</w:t>
            </w:r>
          </w:p>
        </w:tc>
        <w:tc>
          <w:tcPr>
            <w:tcW w:w="2190" w:type="dxa"/>
          </w:tcPr>
          <w:p w:rsidR="00F07078" w:rsidRPr="00D32FAB" w:rsidRDefault="00F07078" w:rsidP="000774F6">
            <w:pPr>
              <w:pStyle w:val="Tablecells"/>
              <w:rPr>
                <w:rFonts w:ascii="ITC Avant Garde" w:hAnsi="ITC Avant Garde"/>
                <w:i/>
                <w:szCs w:val="18"/>
                <w:lang w:val="es-ES_tradnl"/>
              </w:rPr>
            </w:pPr>
            <w:r w:rsidRPr="00D32FAB">
              <w:rPr>
                <w:rFonts w:ascii="ITC Avant Garde" w:hAnsi="ITC Avant Garde"/>
                <w:szCs w:val="18"/>
                <w:lang w:val="es-ES_tradnl"/>
              </w:rPr>
              <w:t xml:space="preserve">Gastos de instalación </w:t>
            </w:r>
            <w:r w:rsidRPr="00D32FAB">
              <w:rPr>
                <w:rFonts w:ascii="ITC Avant Garde" w:hAnsi="ITC Avant Garde"/>
                <w:szCs w:val="18"/>
                <w:lang w:val="es-ES_tradnl"/>
              </w:rPr>
              <w:br/>
            </w:r>
            <w:r w:rsidRPr="00D32FAB">
              <w:rPr>
                <w:rFonts w:ascii="ITC Avant Garde" w:hAnsi="ITC Avant Garde"/>
                <w:i/>
                <w:szCs w:val="18"/>
                <w:lang w:val="es-ES_tradnl"/>
              </w:rPr>
              <w:t>MXN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anual</w:t>
            </w:r>
            <w:r w:rsidRPr="00D32FAB">
              <w:rPr>
                <w:rFonts w:ascii="ITC Avant Garde" w:hAnsi="ITC Avant Garde"/>
                <w:szCs w:val="18"/>
                <w:lang w:val="es-ES_tradnl"/>
              </w:rPr>
              <w:br/>
            </w:r>
            <w:r w:rsidRPr="00D32FAB">
              <w:rPr>
                <w:rFonts w:ascii="ITC Avant Garde" w:hAnsi="ITC Avant Garde"/>
                <w:i/>
                <w:szCs w:val="18"/>
                <w:lang w:val="es-ES_tradnl"/>
              </w:rPr>
              <w:t>MXN / año / cable</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Realización de la conexión de cable desde la coubicación, donde el CS tenga contratados los servicios de desagregación, hasta el pozo más cercano al pozo de acometida de las centrales del AEP</w:t>
            </w:r>
          </w:p>
        </w:tc>
      </w:tr>
      <w:tr w:rsidR="00F07078" w:rsidRPr="00D32FAB" w:rsidTr="00D32FAB">
        <w:trPr>
          <w:cnfStyle w:val="000000100000" w:firstRow="0" w:lastRow="0" w:firstColumn="0" w:lastColumn="0" w:oddVBand="0" w:evenVBand="0" w:oddHBand="1" w:evenHBand="0" w:firstRowFirstColumn="0" w:firstRowLastColumn="0" w:lastRowFirstColumn="0" w:lastRowLastColumn="0"/>
        </w:trPr>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Enlaces dedicados de interconexión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E1</w:t>
            </w:r>
            <w:r w:rsidRPr="00D32FAB">
              <w:rPr>
                <w:rFonts w:ascii="ITC Avant Garde" w:hAnsi="ITC Avant Garde"/>
                <w:szCs w:val="18"/>
                <w:lang w:val="es-ES_tradnl"/>
              </w:rPr>
              <w:br/>
              <w:t>(2Mbit/s y múltiplos)</w:t>
            </w:r>
          </w:p>
          <w:p w:rsidR="00F07078" w:rsidRPr="00D32FAB" w:rsidRDefault="00F07078" w:rsidP="000774F6">
            <w:pPr>
              <w:pStyle w:val="Tablecells"/>
              <w:jc w:val="both"/>
              <w:rPr>
                <w:rFonts w:ascii="ITC Avant Garde" w:hAnsi="ITC Avant Garde"/>
                <w:szCs w:val="18"/>
                <w:lang w:val="es-ES_tradnl"/>
              </w:rPr>
            </w:pPr>
            <w:r w:rsidRPr="00D32FAB">
              <w:rPr>
                <w:rFonts w:ascii="ITC Avant Garde" w:hAnsi="ITC Avant Garde"/>
                <w:szCs w:val="18"/>
                <w:lang w:val="es-ES_tradnl"/>
              </w:rPr>
              <w:t>STM-1</w:t>
            </w:r>
            <w:r w:rsidRPr="00D32FAB">
              <w:rPr>
                <w:rFonts w:ascii="ITC Avant Garde" w:hAnsi="ITC Avant Garde"/>
                <w:szCs w:val="18"/>
                <w:lang w:val="es-ES_tradnl"/>
              </w:rPr>
              <w:br/>
              <w:t>(155Mbit/s y múltiplos)</w:t>
            </w:r>
          </w:p>
          <w:p w:rsidR="00F07078" w:rsidRPr="00D32FAB" w:rsidRDefault="00F07078" w:rsidP="000774F6">
            <w:pPr>
              <w:pStyle w:val="Tablecells"/>
              <w:jc w:val="both"/>
              <w:rPr>
                <w:rFonts w:ascii="ITC Avant Garde" w:hAnsi="ITC Avant Garde"/>
                <w:szCs w:val="18"/>
                <w:lang w:val="es-ES_tradnl"/>
              </w:rPr>
            </w:pPr>
            <w:r w:rsidRPr="00D32FAB">
              <w:rPr>
                <w:rFonts w:ascii="ITC Avant Garde" w:hAnsi="ITC Avant Garde"/>
                <w:szCs w:val="18"/>
                <w:lang w:val="es-ES_tradnl"/>
              </w:rPr>
              <w:t>Ethernet</w:t>
            </w:r>
            <w:r w:rsidRPr="00D32FAB">
              <w:rPr>
                <w:rFonts w:ascii="ITC Avant Garde" w:hAnsi="ITC Avant Garde"/>
                <w:szCs w:val="18"/>
                <w:lang w:val="es-ES_tradnl"/>
              </w:rPr>
              <w:br/>
              <w:t>(10Mbit/s a 10Gbit/s)</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Gastos de instalación </w:t>
            </w:r>
            <w:r w:rsidRPr="00D32FAB">
              <w:rPr>
                <w:rFonts w:ascii="ITC Avant Garde" w:hAnsi="ITC Avant Garde"/>
                <w:i/>
                <w:szCs w:val="18"/>
                <w:lang w:val="es-ES_tradnl"/>
              </w:rPr>
              <w:t>MXN / puerta</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Renta mensual</w:t>
            </w:r>
            <w:r w:rsidRPr="00D32FAB">
              <w:rPr>
                <w:rFonts w:ascii="ITC Avant Garde" w:hAnsi="ITC Avant Garde"/>
                <w:szCs w:val="18"/>
                <w:lang w:val="es-ES_tradnl"/>
              </w:rPr>
              <w:br/>
            </w:r>
            <w:r w:rsidRPr="00D32FAB">
              <w:rPr>
                <w:rFonts w:ascii="ITC Avant Garde" w:hAnsi="ITC Avant Garde"/>
                <w:i/>
                <w:szCs w:val="18"/>
                <w:lang w:val="es-ES_tradnl"/>
              </w:rPr>
              <w:t>MXN / mes / puerta</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Servicio de arrendamiento de líneas o circuitos de transmisión dedicados, para el transporte de señales digitales asociadas a la interconexión entre la red del AEP y de otro CS que asegure el intercambio de trafico público conmutado</w:t>
            </w:r>
          </w:p>
        </w:tc>
      </w:tr>
      <w:tr w:rsidR="00F07078" w:rsidRPr="00D32FAB" w:rsidTr="00D32FAB">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Desagregación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SLU – </w:t>
            </w:r>
            <w:r w:rsidRPr="00D32FAB">
              <w:rPr>
                <w:rFonts w:ascii="ITC Avant Garde" w:hAnsi="ITC Avant Garde"/>
                <w:i/>
                <w:szCs w:val="18"/>
                <w:lang w:val="es-ES_tradnl"/>
              </w:rPr>
              <w:t>Full</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mensual</w:t>
            </w:r>
            <w:r w:rsidRPr="00D32FAB">
              <w:rPr>
                <w:rFonts w:ascii="ITC Avant Garde" w:hAnsi="ITC Avant Garde"/>
                <w:szCs w:val="18"/>
                <w:lang w:val="es-ES_tradnl"/>
              </w:rPr>
              <w:br/>
            </w:r>
            <w:r w:rsidRPr="00D32FAB">
              <w:rPr>
                <w:rFonts w:ascii="ITC Avant Garde" w:hAnsi="ITC Avant Garde"/>
                <w:i/>
                <w:szCs w:val="18"/>
                <w:lang w:val="es-ES_tradnl"/>
              </w:rPr>
              <w:t>MXN / mes / usuario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Arrendamiento del sub-bucle de usuario que comprende la trayectoria desde el punto terminal hasta la caja de distribución</w:t>
            </w:r>
          </w:p>
        </w:tc>
      </w:tr>
      <w:tr w:rsidR="00F07078" w:rsidRPr="00D32FAB" w:rsidTr="00D32FAB">
        <w:trPr>
          <w:cnfStyle w:val="000000100000" w:firstRow="0" w:lastRow="0" w:firstColumn="0" w:lastColumn="0" w:oddVBand="0" w:evenVBand="0" w:oddHBand="1" w:evenHBand="0" w:firstRowFirstColumn="0" w:firstRowLastColumn="0" w:lastRowFirstColumn="0" w:lastRowLastColumn="0"/>
        </w:trPr>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Desagregación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SLU – </w:t>
            </w:r>
            <w:proofErr w:type="spellStart"/>
            <w:r w:rsidRPr="00D32FAB">
              <w:rPr>
                <w:rFonts w:ascii="ITC Avant Garde" w:hAnsi="ITC Avant Garde"/>
                <w:i/>
                <w:szCs w:val="18"/>
                <w:lang w:val="es-ES_tradnl"/>
              </w:rPr>
              <w:t>Shared</w:t>
            </w:r>
            <w:proofErr w:type="spellEnd"/>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mensual</w:t>
            </w:r>
            <w:r w:rsidRPr="00D32FAB">
              <w:rPr>
                <w:rFonts w:ascii="ITC Avant Garde" w:hAnsi="ITC Avant Garde"/>
                <w:szCs w:val="18"/>
                <w:lang w:val="es-ES_tradnl"/>
              </w:rPr>
              <w:br/>
            </w:r>
            <w:r w:rsidRPr="00D32FAB">
              <w:rPr>
                <w:rFonts w:ascii="ITC Avant Garde" w:hAnsi="ITC Avant Garde"/>
                <w:i/>
                <w:szCs w:val="18"/>
                <w:lang w:val="es-ES_tradnl"/>
              </w:rPr>
              <w:t>MXN / mes / usuario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Arrendamiento del sub-bucle de usuario para las frecuencias altas del bucle desde el punto terminal hasta la caja de distribución</w:t>
            </w:r>
          </w:p>
        </w:tc>
      </w:tr>
      <w:tr w:rsidR="00F07078" w:rsidRPr="00D32FAB" w:rsidTr="00D32FAB">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Desagregación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LLU – </w:t>
            </w:r>
            <w:r w:rsidRPr="00D32FAB">
              <w:rPr>
                <w:rFonts w:ascii="ITC Avant Garde" w:hAnsi="ITC Avant Garde"/>
                <w:i/>
                <w:szCs w:val="18"/>
                <w:lang w:val="es-ES_tradnl"/>
              </w:rPr>
              <w:t>Full</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mensual</w:t>
            </w:r>
            <w:r w:rsidRPr="00D32FAB">
              <w:rPr>
                <w:rFonts w:ascii="ITC Avant Garde" w:hAnsi="ITC Avant Garde"/>
                <w:szCs w:val="18"/>
                <w:lang w:val="es-ES_tradnl"/>
              </w:rPr>
              <w:br/>
            </w:r>
            <w:r w:rsidRPr="00D32FAB">
              <w:rPr>
                <w:rFonts w:ascii="ITC Avant Garde" w:hAnsi="ITC Avant Garde"/>
                <w:i/>
                <w:szCs w:val="18"/>
                <w:lang w:val="es-ES_tradnl"/>
              </w:rPr>
              <w:t>MXN / mes / usuario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Arrendamiento del bucle de usuario en toda su trayectoria para que el CS disponga de todas las frecuencias del bucle para proporcionar servicios al usuario</w:t>
            </w:r>
          </w:p>
        </w:tc>
      </w:tr>
      <w:tr w:rsidR="00F07078" w:rsidRPr="00D32FAB" w:rsidTr="00D32FAB">
        <w:trPr>
          <w:cnfStyle w:val="000000100000" w:firstRow="0" w:lastRow="0" w:firstColumn="0" w:lastColumn="0" w:oddVBand="0" w:evenVBand="0" w:oddHBand="1" w:evenHBand="0" w:firstRowFirstColumn="0" w:firstRowLastColumn="0" w:lastRowFirstColumn="0" w:lastRowLastColumn="0"/>
        </w:trPr>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Desagregación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LLU – </w:t>
            </w:r>
            <w:proofErr w:type="spellStart"/>
            <w:r w:rsidRPr="00D32FAB">
              <w:rPr>
                <w:rFonts w:ascii="ITC Avant Garde" w:hAnsi="ITC Avant Garde"/>
                <w:i/>
                <w:szCs w:val="18"/>
                <w:lang w:val="es-ES_tradnl"/>
              </w:rPr>
              <w:t>Shared</w:t>
            </w:r>
            <w:proofErr w:type="spellEnd"/>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mensual</w:t>
            </w:r>
            <w:r w:rsidRPr="00D32FAB">
              <w:rPr>
                <w:rFonts w:ascii="ITC Avant Garde" w:hAnsi="ITC Avant Garde"/>
                <w:szCs w:val="18"/>
                <w:lang w:val="es-ES_tradnl"/>
              </w:rPr>
              <w:br/>
            </w:r>
            <w:r w:rsidRPr="00D32FAB">
              <w:rPr>
                <w:rFonts w:ascii="ITC Avant Garde" w:hAnsi="ITC Avant Garde"/>
                <w:i/>
                <w:szCs w:val="18"/>
                <w:lang w:val="es-ES_tradnl"/>
              </w:rPr>
              <w:t>MXN / mes / usuario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Arrendamiento de la frecuencia alta del bucle en toda su trayectoria</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El CS podrá proporcionar el servicio de datos cuando el AEP proporcione el servicio de voz</w:t>
            </w:r>
          </w:p>
        </w:tc>
      </w:tr>
      <w:tr w:rsidR="00F07078" w:rsidRPr="00D32FAB" w:rsidTr="00D32FAB">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Desagregación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Cableado multipar interno o externo</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única</w:t>
            </w:r>
            <w:r w:rsidRPr="00D32FAB">
              <w:rPr>
                <w:rFonts w:ascii="ITC Avant Garde" w:hAnsi="ITC Avant Garde"/>
                <w:szCs w:val="18"/>
                <w:lang w:val="es-ES_tradnl"/>
              </w:rPr>
              <w:br/>
            </w:r>
            <w:r w:rsidRPr="00D32FAB">
              <w:rPr>
                <w:rFonts w:ascii="ITC Avant Garde" w:hAnsi="ITC Avant Garde"/>
                <w:i/>
                <w:szCs w:val="18"/>
                <w:lang w:val="es-ES_tradnl"/>
              </w:rPr>
              <w:t>MXN / cableado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Instalación de cable multipar, tendido sobre escalerillas nuevas o existentes desde el </w:t>
            </w:r>
            <w:r w:rsidRPr="00D32FAB">
              <w:rPr>
                <w:rFonts w:ascii="ITC Avant Garde" w:hAnsi="ITC Avant Garde"/>
                <w:szCs w:val="18"/>
                <w:lang w:val="es-ES_tradnl"/>
              </w:rPr>
              <w:lastRenderedPageBreak/>
              <w:t>distribuidor general hasta la sala de coubicación del CS</w:t>
            </w:r>
          </w:p>
        </w:tc>
      </w:tr>
      <w:tr w:rsidR="00F07078" w:rsidRPr="00D32FAB" w:rsidTr="00D32FAB">
        <w:trPr>
          <w:cnfStyle w:val="000000100000" w:firstRow="0" w:lastRow="0" w:firstColumn="0" w:lastColumn="0" w:oddVBand="0" w:evenVBand="0" w:oddHBand="1" w:evenHBand="0" w:firstRowFirstColumn="0" w:firstRowLastColumn="0" w:lastRowFirstColumn="0" w:lastRowLastColumn="0"/>
        </w:trPr>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lastRenderedPageBreak/>
              <w:t>Desagregación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Anexo de caja de distribución</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única</w:t>
            </w:r>
            <w:r w:rsidRPr="00D32FAB">
              <w:rPr>
                <w:rFonts w:ascii="ITC Avant Garde" w:hAnsi="ITC Avant Garde"/>
                <w:szCs w:val="18"/>
                <w:lang w:val="es-ES_tradnl"/>
              </w:rPr>
              <w:br/>
            </w:r>
            <w:r w:rsidRPr="00D32FAB">
              <w:rPr>
                <w:rFonts w:ascii="ITC Avant Garde" w:hAnsi="ITC Avant Garde"/>
                <w:i/>
                <w:szCs w:val="18"/>
                <w:lang w:val="es-ES_tradnl"/>
              </w:rPr>
              <w:t>MXN / anexo</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Conexión de los elementos de red secundaria del CS a la caja de distribución del AEP </w:t>
            </w:r>
          </w:p>
        </w:tc>
      </w:tr>
      <w:tr w:rsidR="00F07078" w:rsidRPr="00D32FAB" w:rsidTr="00D32FAB">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Desagregación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Tendido de cable DFO TMX/TNR a DFO CS</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única</w:t>
            </w:r>
            <w:r w:rsidRPr="00D32FAB">
              <w:rPr>
                <w:rFonts w:ascii="ITC Avant Garde" w:hAnsi="ITC Avant Garde"/>
                <w:szCs w:val="18"/>
                <w:lang w:val="es-ES_tradnl"/>
              </w:rPr>
              <w:br/>
            </w:r>
            <w:r w:rsidRPr="00D32FAB">
              <w:rPr>
                <w:rFonts w:ascii="ITC Avant Garde" w:hAnsi="ITC Avant Garde"/>
                <w:i/>
                <w:szCs w:val="18"/>
                <w:lang w:val="es-ES_tradnl"/>
              </w:rPr>
              <w:t>MXN / cable</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Conexión del distribuidor de fibra óptica del AEP al distribuidor del CS ubicado en la coubicación para desagregación del CS</w:t>
            </w:r>
          </w:p>
        </w:tc>
      </w:tr>
      <w:tr w:rsidR="00F07078" w:rsidRPr="00D32FAB" w:rsidTr="00D32FAB">
        <w:trPr>
          <w:cnfStyle w:val="000000100000" w:firstRow="0" w:lastRow="0" w:firstColumn="0" w:lastColumn="0" w:oddVBand="0" w:evenVBand="0" w:oddHBand="1" w:evenHBand="0" w:firstRowFirstColumn="0" w:firstRowLastColumn="0" w:lastRowFirstColumn="0" w:lastRowLastColumn="0"/>
        </w:trPr>
        <w:tc>
          <w:tcPr>
            <w:tcW w:w="2181" w:type="dxa"/>
          </w:tcPr>
          <w:p w:rsidR="00F07078" w:rsidRPr="00D32FAB" w:rsidRDefault="00F07078" w:rsidP="000774F6">
            <w:pPr>
              <w:pStyle w:val="Tablecells"/>
              <w:rPr>
                <w:rFonts w:ascii="ITC Avant Garde" w:hAnsi="ITC Avant Garde"/>
                <w:b/>
                <w:szCs w:val="18"/>
                <w:lang w:val="es-ES_tradnl"/>
              </w:rPr>
            </w:pPr>
            <w:r w:rsidRPr="00D32FAB">
              <w:rPr>
                <w:rFonts w:ascii="ITC Avant Garde" w:hAnsi="ITC Avant Garde"/>
                <w:b/>
                <w:szCs w:val="18"/>
                <w:lang w:val="es-ES_tradnl"/>
              </w:rPr>
              <w:t>Desagregación</w:t>
            </w:r>
          </w:p>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Servicio de concentración y distribución</w:t>
            </w:r>
          </w:p>
        </w:tc>
        <w:tc>
          <w:tcPr>
            <w:tcW w:w="2190"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Contraprestación mensual</w:t>
            </w:r>
            <w:r w:rsidRPr="00D32FAB">
              <w:rPr>
                <w:rFonts w:ascii="ITC Avant Garde" w:hAnsi="ITC Avant Garde"/>
                <w:szCs w:val="18"/>
                <w:lang w:val="es-ES_tradnl"/>
              </w:rPr>
              <w:br/>
            </w:r>
            <w:r w:rsidRPr="00D32FAB">
              <w:rPr>
                <w:rFonts w:ascii="ITC Avant Garde" w:hAnsi="ITC Avant Garde"/>
                <w:i/>
                <w:szCs w:val="18"/>
                <w:lang w:val="es-ES_tradnl"/>
              </w:rPr>
              <w:t>MXN / mes /  n*10Mbit/s o n*100Mbit/s</w:t>
            </w:r>
          </w:p>
        </w:tc>
        <w:tc>
          <w:tcPr>
            <w:tcW w:w="4418" w:type="dxa"/>
          </w:tcPr>
          <w:p w:rsidR="00F07078" w:rsidRPr="00D32FAB" w:rsidRDefault="00F07078" w:rsidP="000774F6">
            <w:pPr>
              <w:pStyle w:val="Tablecells"/>
              <w:rPr>
                <w:rFonts w:ascii="ITC Avant Garde" w:hAnsi="ITC Avant Garde"/>
                <w:szCs w:val="18"/>
                <w:lang w:val="es-ES_tradnl"/>
              </w:rPr>
            </w:pPr>
            <w:r w:rsidRPr="00D32FAB">
              <w:rPr>
                <w:rFonts w:ascii="ITC Avant Garde" w:hAnsi="ITC Avant Garde"/>
                <w:szCs w:val="18"/>
                <w:lang w:val="es-ES_tradnl"/>
              </w:rPr>
              <w:t xml:space="preserve">Agregación de los flujos del tráfico de datos DSL y GPON entregados a través de una VLAN desde el equipo de acceso hasta el </w:t>
            </w:r>
            <w:proofErr w:type="spellStart"/>
            <w:r w:rsidRPr="00D32FAB">
              <w:rPr>
                <w:rFonts w:ascii="ITC Avant Garde" w:hAnsi="ITC Avant Garde"/>
                <w:szCs w:val="18"/>
                <w:lang w:val="es-ES_tradnl"/>
              </w:rPr>
              <w:t>pCAI</w:t>
            </w:r>
            <w:proofErr w:type="spellEnd"/>
            <w:r w:rsidRPr="00D32FAB">
              <w:rPr>
                <w:rFonts w:ascii="ITC Avant Garde" w:hAnsi="ITC Avant Garde"/>
                <w:szCs w:val="18"/>
                <w:lang w:val="es-ES_tradnl"/>
              </w:rPr>
              <w:t>/NCAI concentrando el tráfico en una zona de cobertura dada</w:t>
            </w:r>
          </w:p>
        </w:tc>
      </w:tr>
    </w:tbl>
    <w:p w:rsidR="00F07078" w:rsidRPr="00D32FAB" w:rsidRDefault="00F07078" w:rsidP="00F07078">
      <w:pPr>
        <w:rPr>
          <w:rFonts w:ascii="ITC Avant Garde" w:hAnsi="ITC Avant Garde"/>
          <w:sz w:val="18"/>
          <w:szCs w:val="18"/>
          <w:lang w:val="es-ES_tradnl"/>
        </w:rPr>
      </w:pP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Finalmente, los servicios auxiliares se calculan en función del número de horas efectivamente facturadas por el AEP a partir de un costo fijo por hora para cumplir dicha actividad. Estos resultados se basan en </w:t>
      </w:r>
      <w:proofErr w:type="spellStart"/>
      <w:r w:rsidRPr="00D32FAB">
        <w:rPr>
          <w:rFonts w:ascii="ITC Avant Garde" w:hAnsi="ITC Avant Garde"/>
          <w:i/>
          <w:sz w:val="18"/>
          <w:szCs w:val="18"/>
          <w:lang w:val="es-ES_tradnl"/>
        </w:rPr>
        <w:t>benchmarks</w:t>
      </w:r>
      <w:proofErr w:type="spellEnd"/>
      <w:r w:rsidRPr="00D32FAB">
        <w:rPr>
          <w:rFonts w:ascii="ITC Avant Garde" w:hAnsi="ITC Avant Garde"/>
          <w:i/>
          <w:sz w:val="18"/>
          <w:szCs w:val="18"/>
          <w:lang w:val="es-ES_tradnl"/>
        </w:rPr>
        <w:t xml:space="preserve"> </w:t>
      </w:r>
      <w:r w:rsidRPr="00D32FAB">
        <w:rPr>
          <w:rFonts w:ascii="ITC Avant Garde" w:hAnsi="ITC Avant Garde"/>
          <w:sz w:val="18"/>
          <w:szCs w:val="18"/>
          <w:lang w:val="es-ES_tradnl"/>
        </w:rPr>
        <w:t>internacionales y datos proporcionados por el AEP.</w:t>
      </w:r>
    </w:p>
    <w:p w:rsidR="00F07078" w:rsidRPr="00D32FAB" w:rsidRDefault="00F07078" w:rsidP="00F07078">
      <w:pPr>
        <w:rPr>
          <w:rFonts w:ascii="ITC Avant Garde" w:hAnsi="ITC Avant Garde"/>
          <w:sz w:val="18"/>
          <w:szCs w:val="18"/>
          <w:lang w:val="es-ES_tradnl"/>
        </w:rPr>
      </w:pPr>
      <w:r w:rsidRPr="00D32FAB">
        <w:rPr>
          <w:rFonts w:ascii="ITC Avant Garde" w:hAnsi="ITC Avant Garde"/>
          <w:sz w:val="18"/>
          <w:szCs w:val="18"/>
          <w:lang w:val="es-ES_tradnl"/>
        </w:rPr>
        <w:t xml:space="preserve">El modelo de costos sometido a consulta pública no muestra los costos unitarios anuales de los distintos servicios con el objetivo de preservar la confidencialidad de la información aportada por los operadores durante la fase de construcción del modelo. En su lugar, se han introducido variables </w:t>
      </w:r>
      <w:proofErr w:type="spellStart"/>
      <w:r w:rsidRPr="00D32FAB">
        <w:rPr>
          <w:rFonts w:ascii="ITC Avant Garde" w:hAnsi="ITC Avant Garde"/>
          <w:i/>
          <w:sz w:val="18"/>
          <w:szCs w:val="18"/>
          <w:lang w:val="es-ES_tradnl"/>
        </w:rPr>
        <w:t>dummy</w:t>
      </w:r>
      <w:proofErr w:type="spellEnd"/>
      <w:r w:rsidRPr="00D32FAB">
        <w:rPr>
          <w:rFonts w:ascii="ITC Avant Garde" w:hAnsi="ITC Avant Garde"/>
          <w:sz w:val="18"/>
          <w:szCs w:val="18"/>
          <w:lang w:val="es-ES_tradnl"/>
        </w:rPr>
        <w:t xml:space="preserve"> no necesariamente ajustadas a la realidad</w:t>
      </w:r>
    </w:p>
    <w:p w:rsidR="00931AF2" w:rsidRPr="00931AF2" w:rsidRDefault="00931AF2" w:rsidP="00931AF2">
      <w:pPr>
        <w:rPr>
          <w:rFonts w:ascii="ITC Avant Garde" w:hAnsi="ITC Avant Garde"/>
          <w:sz w:val="18"/>
          <w:szCs w:val="18"/>
          <w:lang w:val="es-ES_tradnl"/>
        </w:rPr>
      </w:pPr>
      <w:r w:rsidRPr="00931AF2">
        <w:rPr>
          <w:rFonts w:ascii="ITC Avant Garde" w:hAnsi="ITC Avant Garde"/>
          <w:b/>
          <w:sz w:val="18"/>
          <w:szCs w:val="18"/>
          <w:lang w:val="es-ES_tradnl"/>
        </w:rPr>
        <w:t>Q.</w:t>
      </w:r>
      <w:r w:rsidRPr="00931AF2">
        <w:rPr>
          <w:rFonts w:ascii="ITC Avant Garde" w:hAnsi="ITC Avant Garde"/>
          <w:b/>
          <w:sz w:val="18"/>
          <w:szCs w:val="18"/>
          <w:lang w:val="es-ES_tradnl"/>
        </w:rPr>
        <w:fldChar w:fldCharType="begin"/>
      </w:r>
      <w:r w:rsidRPr="00931AF2">
        <w:rPr>
          <w:rFonts w:ascii="ITC Avant Garde" w:hAnsi="ITC Avant Garde"/>
          <w:b/>
          <w:sz w:val="18"/>
          <w:szCs w:val="18"/>
          <w:lang w:val="es-ES_tradnl"/>
        </w:rPr>
        <w:instrText xml:space="preserve"> SEQ Recommendation \* ARABIC \s 0 </w:instrText>
      </w:r>
      <w:r w:rsidRPr="00931AF2">
        <w:rPr>
          <w:rFonts w:ascii="ITC Avant Garde" w:hAnsi="ITC Avant Garde"/>
          <w:b/>
          <w:sz w:val="18"/>
          <w:szCs w:val="18"/>
          <w:lang w:val="es-ES_tradnl"/>
        </w:rPr>
        <w:fldChar w:fldCharType="separate"/>
      </w:r>
      <w:r w:rsidRPr="00931AF2">
        <w:rPr>
          <w:rFonts w:ascii="ITC Avant Garde" w:hAnsi="ITC Avant Garde"/>
          <w:b/>
          <w:sz w:val="18"/>
          <w:szCs w:val="18"/>
          <w:lang w:val="es-ES_tradnl"/>
        </w:rPr>
        <w:t>12</w:t>
      </w:r>
      <w:r w:rsidRPr="00931AF2">
        <w:rPr>
          <w:rFonts w:ascii="ITC Avant Garde" w:hAnsi="ITC Avant Garde"/>
          <w:sz w:val="18"/>
          <w:szCs w:val="18"/>
          <w:lang w:val="es-ES_tradnl"/>
        </w:rPr>
        <w:fldChar w:fldCharType="end"/>
      </w:r>
      <w:r w:rsidRPr="00931AF2">
        <w:rPr>
          <w:rFonts w:ascii="ITC Avant Garde" w:hAnsi="ITC Avant Garde"/>
          <w:sz w:val="18"/>
          <w:szCs w:val="18"/>
          <w:lang w:val="es-ES_tradnl"/>
        </w:rPr>
        <w:t>: ¿Está de acuerdo con la estructura de precios de los servicios modelados, así como con las unidades en las que se costean los servicios?</w:t>
      </w:r>
    </w:p>
    <w:p w:rsidR="001B0607" w:rsidRPr="00D32FAB" w:rsidRDefault="00931AF2" w:rsidP="00931AF2">
      <w:pPr>
        <w:rPr>
          <w:rFonts w:ascii="ITC Avant Garde" w:hAnsi="ITC Avant Garde"/>
          <w:sz w:val="18"/>
          <w:szCs w:val="18"/>
          <w:lang w:val="es-ES_tradnl"/>
        </w:rPr>
      </w:pPr>
      <w:r w:rsidRPr="00931AF2">
        <w:rPr>
          <w:rFonts w:ascii="ITC Avant Garde" w:hAnsi="ITC Avant Garde"/>
          <w:b/>
          <w:sz w:val="18"/>
          <w:szCs w:val="18"/>
          <w:lang w:val="es-ES_tradnl"/>
        </w:rPr>
        <w:t>Q.</w:t>
      </w:r>
      <w:r w:rsidRPr="00931AF2">
        <w:rPr>
          <w:rFonts w:ascii="ITC Avant Garde" w:hAnsi="ITC Avant Garde"/>
          <w:b/>
          <w:sz w:val="18"/>
          <w:szCs w:val="18"/>
          <w:lang w:val="es-ES_tradnl"/>
        </w:rPr>
        <w:fldChar w:fldCharType="begin"/>
      </w:r>
      <w:r w:rsidRPr="00931AF2">
        <w:rPr>
          <w:rFonts w:ascii="ITC Avant Garde" w:hAnsi="ITC Avant Garde"/>
          <w:b/>
          <w:sz w:val="18"/>
          <w:szCs w:val="18"/>
          <w:lang w:val="es-ES_tradnl"/>
        </w:rPr>
        <w:instrText xml:space="preserve"> SEQ Recommendation \* ARABIC \s 0 </w:instrText>
      </w:r>
      <w:r w:rsidRPr="00931AF2">
        <w:rPr>
          <w:rFonts w:ascii="ITC Avant Garde" w:hAnsi="ITC Avant Garde"/>
          <w:b/>
          <w:sz w:val="18"/>
          <w:szCs w:val="18"/>
          <w:lang w:val="es-ES_tradnl"/>
        </w:rPr>
        <w:fldChar w:fldCharType="separate"/>
      </w:r>
      <w:r w:rsidRPr="00931AF2">
        <w:rPr>
          <w:rFonts w:ascii="ITC Avant Garde" w:hAnsi="ITC Avant Garde"/>
          <w:b/>
          <w:sz w:val="18"/>
          <w:szCs w:val="18"/>
          <w:lang w:val="es-ES_tradnl"/>
        </w:rPr>
        <w:t>13</w:t>
      </w:r>
      <w:r w:rsidRPr="00931AF2">
        <w:rPr>
          <w:rFonts w:ascii="ITC Avant Garde" w:hAnsi="ITC Avant Garde"/>
          <w:sz w:val="18"/>
          <w:szCs w:val="18"/>
          <w:lang w:val="es-ES_tradnl"/>
        </w:rPr>
        <w:fldChar w:fldCharType="end"/>
      </w:r>
      <w:r w:rsidRPr="00931AF2">
        <w:rPr>
          <w:rFonts w:ascii="ITC Avant Garde" w:hAnsi="ITC Avant Garde"/>
          <w:sz w:val="18"/>
          <w:szCs w:val="18"/>
          <w:lang w:val="es-ES_tradnl"/>
        </w:rPr>
        <w:t>: ¿Tiene algún comentario adicional relativo al modelo de costos y/o documentación presentada?</w:t>
      </w:r>
    </w:p>
    <w:sectPr w:rsidR="001B0607" w:rsidRPr="00D32FAB" w:rsidSect="001438D2">
      <w:headerReference w:type="default" r:id="rId13"/>
      <w:footerReference w:type="default" r:id="rId14"/>
      <w:footerReference w:type="first" r:id="rId15"/>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93" w:rsidRDefault="00C50C93" w:rsidP="003C6172">
      <w:pPr>
        <w:spacing w:after="0" w:line="240" w:lineRule="auto"/>
      </w:pPr>
      <w:r>
        <w:separator/>
      </w:r>
    </w:p>
  </w:endnote>
  <w:endnote w:type="continuationSeparator" w:id="0">
    <w:p w:rsidR="00C50C93" w:rsidRDefault="00C50C93"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93" w:rsidRDefault="00C50C93" w:rsidP="00FD6F5F">
    <w:pPr>
      <w:pStyle w:val="Piedepgina"/>
      <w:spacing w:befor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93" w:rsidRDefault="00C50C93" w:rsidP="00FD6F5F">
    <w:pPr>
      <w:pStyle w:val="Piedepgina"/>
      <w:spacing w:before="720"/>
    </w:pPr>
    <w:r>
      <w:fldChar w:fldCharType="begin"/>
    </w:r>
    <w:r>
      <w:instrText xml:space="preserve"> Styleref "Contents: RefNo" \* MERGEFORMAT </w:instrText>
    </w:r>
    <w:r>
      <w:fldChar w:fldCharType="separate"/>
    </w:r>
    <w:r w:rsidR="00781C49">
      <w:rPr>
        <w:b/>
        <w:bCs/>
        <w:noProof/>
        <w:lang w:val="es-ES"/>
      </w:rPr>
      <w:t>¡Error! No hay texto con el estilo especificado en el documento.</w:t>
    </w:r>
    <w:r>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93" w:rsidRDefault="00C50C93" w:rsidP="003C6172">
      <w:pPr>
        <w:spacing w:after="0" w:line="240" w:lineRule="auto"/>
      </w:pPr>
      <w:r>
        <w:separator/>
      </w:r>
    </w:p>
  </w:footnote>
  <w:footnote w:type="continuationSeparator" w:id="0">
    <w:p w:rsidR="00C50C93" w:rsidRDefault="00C50C93" w:rsidP="003C6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93" w:rsidRPr="00FD6F5F" w:rsidRDefault="00C50C93" w:rsidP="00FD6F5F">
    <w:pPr>
      <w:pStyle w:val="Encabezado"/>
      <w:rPr>
        <w:lang w:val="es-E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5"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6"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4"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5"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num w:numId="1">
    <w:abstractNumId w:val="9"/>
  </w:num>
  <w:num w:numId="2">
    <w:abstractNumId w:val="7"/>
  </w:num>
  <w:num w:numId="3">
    <w:abstractNumId w:val="12"/>
  </w:num>
  <w:num w:numId="4">
    <w:abstractNumId w:val="8"/>
  </w:num>
  <w:num w:numId="5">
    <w:abstractNumId w:val="14"/>
  </w:num>
  <w:num w:numId="6">
    <w:abstractNumId w:val="18"/>
  </w:num>
  <w:num w:numId="7">
    <w:abstractNumId w:val="13"/>
  </w:num>
  <w:num w:numId="8">
    <w:abstractNumId w:val="15"/>
  </w:num>
  <w:num w:numId="9">
    <w:abstractNumId w:val="22"/>
  </w:num>
  <w:num w:numId="10">
    <w:abstractNumId w:val="19"/>
  </w:num>
  <w:num w:numId="11">
    <w:abstractNumId w:val="25"/>
  </w:num>
  <w:num w:numId="12">
    <w:abstractNumId w:val="23"/>
  </w:num>
  <w:num w:numId="13">
    <w:abstractNumId w:val="24"/>
  </w:num>
  <w:num w:numId="14">
    <w:abstractNumId w:val="17"/>
  </w:num>
  <w:num w:numId="15">
    <w:abstractNumId w:val="21"/>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20"/>
  </w:num>
  <w:num w:numId="25">
    <w:abstractNumId w:val="16"/>
  </w:num>
  <w:num w:numId="2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25921"/>
    <w:rsid w:val="000466BB"/>
    <w:rsid w:val="00066589"/>
    <w:rsid w:val="000721ED"/>
    <w:rsid w:val="000774F6"/>
    <w:rsid w:val="000A7C0A"/>
    <w:rsid w:val="000B2F3C"/>
    <w:rsid w:val="000C21E9"/>
    <w:rsid w:val="000C49E3"/>
    <w:rsid w:val="000C6C0D"/>
    <w:rsid w:val="000F1744"/>
    <w:rsid w:val="0012797F"/>
    <w:rsid w:val="0013763A"/>
    <w:rsid w:val="001438D2"/>
    <w:rsid w:val="00157D64"/>
    <w:rsid w:val="001820C8"/>
    <w:rsid w:val="00193324"/>
    <w:rsid w:val="001A5353"/>
    <w:rsid w:val="001B0607"/>
    <w:rsid w:val="001C54DD"/>
    <w:rsid w:val="001E0D16"/>
    <w:rsid w:val="001E4098"/>
    <w:rsid w:val="002061B5"/>
    <w:rsid w:val="002222A7"/>
    <w:rsid w:val="00237A2C"/>
    <w:rsid w:val="00245939"/>
    <w:rsid w:val="00263060"/>
    <w:rsid w:val="0026545D"/>
    <w:rsid w:val="002750D4"/>
    <w:rsid w:val="00282B1C"/>
    <w:rsid w:val="0029355D"/>
    <w:rsid w:val="002B258A"/>
    <w:rsid w:val="002C2016"/>
    <w:rsid w:val="002D4F88"/>
    <w:rsid w:val="002D5AAC"/>
    <w:rsid w:val="002F1F37"/>
    <w:rsid w:val="003110D4"/>
    <w:rsid w:val="00311803"/>
    <w:rsid w:val="00320F3B"/>
    <w:rsid w:val="003226EB"/>
    <w:rsid w:val="00337756"/>
    <w:rsid w:val="00356CC9"/>
    <w:rsid w:val="00372E2A"/>
    <w:rsid w:val="003934A0"/>
    <w:rsid w:val="003A5D6B"/>
    <w:rsid w:val="003B1AD2"/>
    <w:rsid w:val="003C1F76"/>
    <w:rsid w:val="003C6172"/>
    <w:rsid w:val="003D05E2"/>
    <w:rsid w:val="00414199"/>
    <w:rsid w:val="00417CB6"/>
    <w:rsid w:val="00444DA5"/>
    <w:rsid w:val="004727D7"/>
    <w:rsid w:val="00480565"/>
    <w:rsid w:val="00486181"/>
    <w:rsid w:val="00486AAD"/>
    <w:rsid w:val="00491F91"/>
    <w:rsid w:val="004955CB"/>
    <w:rsid w:val="00495BBE"/>
    <w:rsid w:val="004E3222"/>
    <w:rsid w:val="00517391"/>
    <w:rsid w:val="0053181C"/>
    <w:rsid w:val="0058057E"/>
    <w:rsid w:val="005A5979"/>
    <w:rsid w:val="005C4F3F"/>
    <w:rsid w:val="005C513E"/>
    <w:rsid w:val="00607E5F"/>
    <w:rsid w:val="00620036"/>
    <w:rsid w:val="00622D11"/>
    <w:rsid w:val="00625D84"/>
    <w:rsid w:val="00634925"/>
    <w:rsid w:val="00637B9E"/>
    <w:rsid w:val="00641CB9"/>
    <w:rsid w:val="00647B4E"/>
    <w:rsid w:val="0067149E"/>
    <w:rsid w:val="00682B77"/>
    <w:rsid w:val="00685F22"/>
    <w:rsid w:val="0069500B"/>
    <w:rsid w:val="00696966"/>
    <w:rsid w:val="006A1C1E"/>
    <w:rsid w:val="006F33E0"/>
    <w:rsid w:val="00703750"/>
    <w:rsid w:val="007236F8"/>
    <w:rsid w:val="00743DCD"/>
    <w:rsid w:val="00752327"/>
    <w:rsid w:val="00761EAE"/>
    <w:rsid w:val="0076581D"/>
    <w:rsid w:val="00780CD0"/>
    <w:rsid w:val="00781C49"/>
    <w:rsid w:val="007A2BB9"/>
    <w:rsid w:val="007D382C"/>
    <w:rsid w:val="007E5B50"/>
    <w:rsid w:val="007F2A33"/>
    <w:rsid w:val="00830B7D"/>
    <w:rsid w:val="008472FF"/>
    <w:rsid w:val="00851767"/>
    <w:rsid w:val="008A14A4"/>
    <w:rsid w:val="008A515A"/>
    <w:rsid w:val="008B3F33"/>
    <w:rsid w:val="008D3F8A"/>
    <w:rsid w:val="008E7A89"/>
    <w:rsid w:val="00931AF2"/>
    <w:rsid w:val="00946DD7"/>
    <w:rsid w:val="009803EB"/>
    <w:rsid w:val="00985537"/>
    <w:rsid w:val="00994555"/>
    <w:rsid w:val="009962D7"/>
    <w:rsid w:val="009964B3"/>
    <w:rsid w:val="009B6E56"/>
    <w:rsid w:val="009E7860"/>
    <w:rsid w:val="00A15173"/>
    <w:rsid w:val="00A46A18"/>
    <w:rsid w:val="00A705E9"/>
    <w:rsid w:val="00A73836"/>
    <w:rsid w:val="00AA02E1"/>
    <w:rsid w:val="00AA045A"/>
    <w:rsid w:val="00AD06B7"/>
    <w:rsid w:val="00AD7E0E"/>
    <w:rsid w:val="00AE0F00"/>
    <w:rsid w:val="00AF1EA6"/>
    <w:rsid w:val="00B001F8"/>
    <w:rsid w:val="00B029F2"/>
    <w:rsid w:val="00B07286"/>
    <w:rsid w:val="00B13207"/>
    <w:rsid w:val="00B93BD1"/>
    <w:rsid w:val="00BB3B88"/>
    <w:rsid w:val="00BC5411"/>
    <w:rsid w:val="00BE4026"/>
    <w:rsid w:val="00C036A6"/>
    <w:rsid w:val="00C14ABC"/>
    <w:rsid w:val="00C15B53"/>
    <w:rsid w:val="00C164D3"/>
    <w:rsid w:val="00C21F9B"/>
    <w:rsid w:val="00C45082"/>
    <w:rsid w:val="00C46257"/>
    <w:rsid w:val="00C50C93"/>
    <w:rsid w:val="00C556AB"/>
    <w:rsid w:val="00C664CC"/>
    <w:rsid w:val="00C80269"/>
    <w:rsid w:val="00C86653"/>
    <w:rsid w:val="00C911BF"/>
    <w:rsid w:val="00CC2310"/>
    <w:rsid w:val="00CD09B7"/>
    <w:rsid w:val="00D05F54"/>
    <w:rsid w:val="00D32FAB"/>
    <w:rsid w:val="00D34F31"/>
    <w:rsid w:val="00D440B1"/>
    <w:rsid w:val="00D74D08"/>
    <w:rsid w:val="00D77C8F"/>
    <w:rsid w:val="00DA790E"/>
    <w:rsid w:val="00DB2804"/>
    <w:rsid w:val="00DB4001"/>
    <w:rsid w:val="00DE301F"/>
    <w:rsid w:val="00E43A41"/>
    <w:rsid w:val="00E43DB9"/>
    <w:rsid w:val="00E81B4B"/>
    <w:rsid w:val="00E92DAB"/>
    <w:rsid w:val="00E96093"/>
    <w:rsid w:val="00EA1157"/>
    <w:rsid w:val="00EA7B6F"/>
    <w:rsid w:val="00EE74BA"/>
    <w:rsid w:val="00F0613B"/>
    <w:rsid w:val="00F07078"/>
    <w:rsid w:val="00F1570E"/>
    <w:rsid w:val="00F366FF"/>
    <w:rsid w:val="00F85C68"/>
    <w:rsid w:val="00F86B41"/>
    <w:rsid w:val="00F91A02"/>
    <w:rsid w:val="00F9278A"/>
    <w:rsid w:val="00FB321F"/>
    <w:rsid w:val="00FC226E"/>
    <w:rsid w:val="00FD6F5F"/>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821C5B-550E-48AF-B846-673AAF0C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keepNext/>
      <w:pBdr>
        <w:bottom w:val="single" w:sz="6" w:space="1" w:color="auto"/>
      </w:pBdr>
      <w:spacing w:after="0" w:line="320" w:lineRule="atLeast"/>
      <w:jc w:val="center"/>
    </w:pPr>
    <w:rPr>
      <w:rFonts w:ascii="Times New Roman" w:hAnsi="Times New Roman"/>
    </w:rPr>
  </w:style>
  <w:style w:type="paragraph" w:styleId="Descripcin">
    <w:name w:val="caption"/>
    <w:next w:val="Normal"/>
    <w:uiPriority w:val="35"/>
    <w:qFormat/>
    <w:rsid w:val="00FC226E"/>
    <w:pPr>
      <w:tabs>
        <w:tab w:val="left" w:pos="2041"/>
      </w:tabs>
      <w:spacing w:before="120" w:after="600" w:line="200" w:lineRule="atLeast"/>
      <w:ind w:left="1531" w:hanging="1531"/>
    </w:pPr>
    <w:rPr>
      <w:rFonts w:ascii="Arial" w:hAnsi="Arial"/>
      <w:bCs/>
      <w:i/>
      <w:sz w:val="18"/>
      <w:szCs w:val="18"/>
    </w:rPr>
  </w:style>
  <w:style w:type="paragraph" w:customStyle="1" w:styleId="Captionsmall">
    <w:name w:val="Caption: small"/>
    <w:basedOn w:val="Descripcin"/>
    <w:next w:val="Normal"/>
    <w:qFormat/>
    <w:rsid w:val="00517391"/>
    <w:pPr>
      <w:spacing w:before="0" w:after="0"/>
      <w:ind w:left="113" w:firstLine="0"/>
    </w:pPr>
  </w:style>
  <w:style w:type="paragraph" w:customStyle="1" w:styleId="Bordersmall">
    <w:name w:val="Border: small"/>
    <w:basedOn w:val="Border"/>
    <w:qFormat/>
    <w:rsid w:val="00517391"/>
    <w:pPr>
      <w:pBdr>
        <w:bottom w:val="none" w:sz="0" w:space="0" w:color="auto"/>
      </w:pBdr>
      <w:spacing w:before="120" w:after="12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semiHidden/>
    <w:unhideWhenUsed/>
    <w:rsid w:val="003C6172"/>
    <w:pPr>
      <w:numPr>
        <w:numId w:val="6"/>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i/>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odelodecostos@ift.org.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ift.org.m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489875D13F4C2BB04CF869C4F79741"/>
        <w:category>
          <w:name w:val="General"/>
          <w:gallery w:val="placeholder"/>
        </w:category>
        <w:types>
          <w:type w:val="bbPlcHdr"/>
        </w:types>
        <w:behaviors>
          <w:behavior w:val="content"/>
        </w:behaviors>
        <w:guid w:val="{34AA11AE-5B10-47A6-9A59-C2178746F88A}"/>
      </w:docPartPr>
      <w:docPartBody>
        <w:p w:rsidR="00C71FC8" w:rsidRDefault="001D6640" w:rsidP="001D6640">
          <w:pPr>
            <w:pStyle w:val="49489875D13F4C2BB04CF869C4F79741"/>
          </w:pPr>
          <w:r w:rsidRPr="00DD396E">
            <w:rPr>
              <w:rStyle w:val="Textodelmarcadordeposicin"/>
            </w:rPr>
            <w:t>Elija un elemento.</w:t>
          </w:r>
        </w:p>
      </w:docPartBody>
    </w:docPart>
    <w:docPart>
      <w:docPartPr>
        <w:name w:val="F119039775A44C988F093962CE16C56E"/>
        <w:category>
          <w:name w:val="General"/>
          <w:gallery w:val="placeholder"/>
        </w:category>
        <w:types>
          <w:type w:val="bbPlcHdr"/>
        </w:types>
        <w:behaviors>
          <w:behavior w:val="content"/>
        </w:behaviors>
        <w:guid w:val="{00503D63-345B-463C-B4C1-7786D77A96C6}"/>
      </w:docPartPr>
      <w:docPartBody>
        <w:p w:rsidR="00C71FC8" w:rsidRDefault="001D6640" w:rsidP="001D6640">
          <w:pPr>
            <w:pStyle w:val="F119039775A44C988F093962CE16C56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08"/>
    <w:rsid w:val="0008115A"/>
    <w:rsid w:val="001D6640"/>
    <w:rsid w:val="00415A08"/>
    <w:rsid w:val="0052295C"/>
    <w:rsid w:val="005F1B98"/>
    <w:rsid w:val="00720A26"/>
    <w:rsid w:val="00947956"/>
    <w:rsid w:val="00A8594F"/>
    <w:rsid w:val="00AE0A22"/>
    <w:rsid w:val="00B24026"/>
    <w:rsid w:val="00C51CF5"/>
    <w:rsid w:val="00C71FC8"/>
    <w:rsid w:val="00C9009F"/>
    <w:rsid w:val="00D52CCD"/>
    <w:rsid w:val="00F57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6640"/>
    <w:rPr>
      <w:color w:val="808080"/>
    </w:rPr>
  </w:style>
  <w:style w:type="paragraph" w:customStyle="1" w:styleId="B72E90C4D34C44E580A211C6B55DD5FD">
    <w:name w:val="B72E90C4D34C44E580A211C6B55DD5FD"/>
    <w:rsid w:val="00415A08"/>
  </w:style>
  <w:style w:type="paragraph" w:customStyle="1" w:styleId="808962325F9140D19C9506502DD3E799">
    <w:name w:val="808962325F9140D19C9506502DD3E799"/>
    <w:rsid w:val="00415A08"/>
  </w:style>
  <w:style w:type="paragraph" w:customStyle="1" w:styleId="49489875D13F4C2BB04CF869C4F79741">
    <w:name w:val="49489875D13F4C2BB04CF869C4F79741"/>
    <w:rsid w:val="001D6640"/>
    <w:pPr>
      <w:spacing w:after="160" w:line="259" w:lineRule="auto"/>
    </w:pPr>
    <w:rPr>
      <w:lang w:val="es-MX" w:eastAsia="es-MX"/>
    </w:rPr>
  </w:style>
  <w:style w:type="paragraph" w:customStyle="1" w:styleId="F119039775A44C988F093962CE16C56E">
    <w:name w:val="F119039775A44C988F093962CE16C56E"/>
    <w:rsid w:val="001D6640"/>
    <w:pPr>
      <w:spacing w:after="160" w:line="259" w:lineRule="auto"/>
    </w:pPr>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40E2-A2FD-4BA8-9ACF-0BB6ED0C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16</TotalTime>
  <Pages>11</Pages>
  <Words>4142</Words>
  <Characters>22785</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Analysys Mason document</vt:lpstr>
    </vt:vector>
  </TitlesOfParts>
  <Manager>-</Manager>
  <Company>Analysys Mason</Company>
  <LinksUpToDate>false</LinksUpToDate>
  <CharactersWithSpaces>26874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c:creator>
  <cp:lastModifiedBy>Rocio Lopez Orta</cp:lastModifiedBy>
  <cp:revision>9</cp:revision>
  <cp:lastPrinted>2011-01-06T16:36:00Z</cp:lastPrinted>
  <dcterms:created xsi:type="dcterms:W3CDTF">2015-10-15T18:45:00Z</dcterms:created>
  <dcterms:modified xsi:type="dcterms:W3CDTF">2015-10-15T18:58:00Z</dcterms:modified>
</cp:coreProperties>
</file>