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D7AA9" w14:textId="77777777" w:rsidR="006272E5" w:rsidRPr="00EE2698" w:rsidRDefault="006272E5" w:rsidP="00DA31B2">
      <w:bookmarkStart w:id="0" w:name="xxTitle"/>
    </w:p>
    <w:tbl>
      <w:tblPr>
        <w:tblpPr w:leftFromText="180" w:rightFromText="180" w:vertAnchor="text" w:horzAnchor="page" w:tblpX="1441" w:tblpY="38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34"/>
      </w:tblGrid>
      <w:tr w:rsidR="006272E5" w:rsidRPr="00E76FAE" w14:paraId="31D714A0" w14:textId="77777777">
        <w:trPr>
          <w:trHeight w:val="1701"/>
        </w:trPr>
        <w:tc>
          <w:tcPr>
            <w:tcW w:w="9134" w:type="dxa"/>
            <w:tcBorders>
              <w:top w:val="nil"/>
              <w:left w:val="nil"/>
              <w:bottom w:val="nil"/>
              <w:right w:val="nil"/>
            </w:tcBorders>
          </w:tcPr>
          <w:p w14:paraId="131515FF" w14:textId="1F732C13" w:rsidR="004E2DC5" w:rsidRPr="00D52957" w:rsidRDefault="007F432C" w:rsidP="00DA31B2">
            <w:pPr>
              <w:pStyle w:val="ReportTitle"/>
              <w:rPr>
                <w:lang w:val="es-ES"/>
              </w:rPr>
            </w:pPr>
            <w:bookmarkStart w:id="1" w:name="ReportTitle"/>
            <w:r>
              <w:rPr>
                <w:lang w:val="es-ES"/>
              </w:rPr>
              <w:t>Propuesta</w:t>
            </w:r>
            <w:r w:rsidRPr="00D52957">
              <w:rPr>
                <w:lang w:val="es-ES"/>
              </w:rPr>
              <w:t xml:space="preserve"> </w:t>
            </w:r>
            <w:r w:rsidR="004E2DC5" w:rsidRPr="00D52957">
              <w:rPr>
                <w:lang w:val="es-ES"/>
              </w:rPr>
              <w:t>de</w:t>
            </w:r>
            <w:r w:rsidR="00376320" w:rsidRPr="00D52957">
              <w:rPr>
                <w:lang w:val="es-ES"/>
              </w:rPr>
              <w:t xml:space="preserve"> las</w:t>
            </w:r>
            <w:r w:rsidR="004E2DC5" w:rsidRPr="00D52957">
              <w:rPr>
                <w:lang w:val="es-ES"/>
              </w:rPr>
              <w:t xml:space="preserve"> reglas para la </w:t>
            </w:r>
            <w:r>
              <w:rPr>
                <w:lang w:val="es-ES"/>
              </w:rPr>
              <w:t>licitación</w:t>
            </w:r>
            <w:r w:rsidRPr="00D52957">
              <w:rPr>
                <w:lang w:val="es-ES"/>
              </w:rPr>
              <w:t xml:space="preserve"> </w:t>
            </w:r>
            <w:r w:rsidR="004E2DC5" w:rsidRPr="00D52957">
              <w:rPr>
                <w:lang w:val="es-ES"/>
              </w:rPr>
              <w:t xml:space="preserve">de espectro AWS </w:t>
            </w:r>
            <w:r w:rsidR="002258AB" w:rsidRPr="00D52957">
              <w:rPr>
                <w:lang w:val="es-ES"/>
              </w:rPr>
              <w:t xml:space="preserve">de </w:t>
            </w:r>
            <w:r>
              <w:rPr>
                <w:lang w:val="es-ES"/>
              </w:rPr>
              <w:t>2015-</w:t>
            </w:r>
            <w:r w:rsidR="00376320" w:rsidRPr="00D52957">
              <w:rPr>
                <w:lang w:val="es-ES"/>
              </w:rPr>
              <w:t xml:space="preserve">2016 </w:t>
            </w:r>
            <w:r w:rsidR="004E2DC5" w:rsidRPr="00D52957">
              <w:rPr>
                <w:lang w:val="es-ES"/>
              </w:rPr>
              <w:t>en México</w:t>
            </w:r>
          </w:p>
          <w:bookmarkEnd w:id="1"/>
          <w:p w14:paraId="2CBA19D1" w14:textId="172FA9A0" w:rsidR="006272E5" w:rsidRPr="00D52957" w:rsidRDefault="00C728F7" w:rsidP="00DA31B2">
            <w:pPr>
              <w:pStyle w:val="LetterDate"/>
              <w:rPr>
                <w:lang w:val="es-ES"/>
              </w:rPr>
            </w:pPr>
            <w:r>
              <w:rPr>
                <w:lang w:val="es-ES"/>
              </w:rPr>
              <w:t>17</w:t>
            </w:r>
            <w:r w:rsidR="00541E9F" w:rsidRPr="00D52957">
              <w:rPr>
                <w:lang w:val="es-ES"/>
              </w:rPr>
              <w:t xml:space="preserve"> de</w:t>
            </w:r>
            <w:r w:rsidR="00DE38AE" w:rsidRPr="00D52957">
              <w:rPr>
                <w:lang w:val="es-ES"/>
              </w:rPr>
              <w:t xml:space="preserve"> </w:t>
            </w:r>
            <w:r w:rsidR="00541E9F" w:rsidRPr="00D52957">
              <w:rPr>
                <w:lang w:val="es-ES"/>
              </w:rPr>
              <w:t>septiembre de</w:t>
            </w:r>
            <w:r w:rsidR="00DE38AE" w:rsidRPr="00D52957">
              <w:rPr>
                <w:lang w:val="es-ES"/>
              </w:rPr>
              <w:t xml:space="preserve"> 2015</w:t>
            </w:r>
          </w:p>
          <w:p w14:paraId="7A7D3E97" w14:textId="77777777" w:rsidR="006272E5" w:rsidRPr="00D52957" w:rsidRDefault="006272E5" w:rsidP="00DA31B2">
            <w:pPr>
              <w:rPr>
                <w:lang w:val="es-ES"/>
              </w:rPr>
            </w:pPr>
            <w:bookmarkStart w:id="2" w:name="FrontSubCompany"/>
            <w:bookmarkEnd w:id="2"/>
          </w:p>
        </w:tc>
      </w:tr>
    </w:tbl>
    <w:p w14:paraId="32DEEB02" w14:textId="77777777" w:rsidR="00F13A99" w:rsidRDefault="00F13A99" w:rsidP="000771A2">
      <w:pPr>
        <w:tabs>
          <w:tab w:val="left" w:pos="2415"/>
        </w:tabs>
        <w:jc w:val="center"/>
        <w:rPr>
          <w:b/>
          <w:sz w:val="72"/>
          <w:szCs w:val="72"/>
          <w:lang w:val="es-ES"/>
        </w:rPr>
      </w:pPr>
      <w:bookmarkStart w:id="3" w:name="Prism"/>
      <w:bookmarkEnd w:id="3"/>
    </w:p>
    <w:p w14:paraId="233F1C03" w14:textId="6A7C0529" w:rsidR="000771A2" w:rsidRPr="000771A2" w:rsidRDefault="00F13A99" w:rsidP="000771A2">
      <w:pPr>
        <w:tabs>
          <w:tab w:val="left" w:pos="2415"/>
        </w:tabs>
        <w:jc w:val="center"/>
        <w:rPr>
          <w:b/>
          <w:sz w:val="72"/>
          <w:szCs w:val="72"/>
          <w:lang w:val="es-ES"/>
        </w:rPr>
      </w:pPr>
      <w:r>
        <w:rPr>
          <w:b/>
          <w:sz w:val="72"/>
          <w:szCs w:val="72"/>
          <w:lang w:val="es-ES"/>
        </w:rPr>
        <w:t>Instituto Federal de Telecomunicaciones</w:t>
      </w:r>
    </w:p>
    <w:p w14:paraId="42751C0F" w14:textId="21C2443E" w:rsidR="006272E5" w:rsidRDefault="000771A2" w:rsidP="000771A2">
      <w:pPr>
        <w:tabs>
          <w:tab w:val="left" w:pos="2415"/>
        </w:tabs>
        <w:rPr>
          <w:lang w:val="es-ES"/>
        </w:rPr>
      </w:pPr>
      <w:r>
        <w:rPr>
          <w:lang w:val="es-ES"/>
        </w:rPr>
        <w:tab/>
      </w:r>
    </w:p>
    <w:p w14:paraId="3B8603AF" w14:textId="77777777" w:rsidR="00F13A99" w:rsidRDefault="00F13A99" w:rsidP="000771A2">
      <w:pPr>
        <w:tabs>
          <w:tab w:val="left" w:pos="2415"/>
        </w:tabs>
        <w:rPr>
          <w:lang w:val="es-ES"/>
        </w:rPr>
      </w:pPr>
    </w:p>
    <w:p w14:paraId="09D7AC15" w14:textId="77777777" w:rsidR="00F13A99" w:rsidRDefault="00F13A99" w:rsidP="000771A2">
      <w:pPr>
        <w:tabs>
          <w:tab w:val="left" w:pos="2415"/>
        </w:tabs>
        <w:rPr>
          <w:lang w:val="es-ES"/>
        </w:rPr>
      </w:pPr>
    </w:p>
    <w:p w14:paraId="0975BBE9" w14:textId="77777777" w:rsidR="00F13A99" w:rsidRPr="000771A2" w:rsidRDefault="00F13A99" w:rsidP="000771A2">
      <w:pPr>
        <w:tabs>
          <w:tab w:val="left" w:pos="2415"/>
        </w:tabs>
        <w:rPr>
          <w:lang w:val="es-ES"/>
        </w:rPr>
        <w:sectPr w:rsidR="00F13A99" w:rsidRPr="000771A2" w:rsidSect="00CF391D">
          <w:headerReference w:type="default" r:id="rId11"/>
          <w:footerReference w:type="even" r:id="rId12"/>
          <w:headerReference w:type="first" r:id="rId13"/>
          <w:footerReference w:type="first" r:id="rId14"/>
          <w:type w:val="oddPage"/>
          <w:pgSz w:w="12240" w:h="15840" w:code="1"/>
          <w:pgMar w:top="2891" w:right="1276" w:bottom="2880" w:left="1440" w:header="986" w:footer="130" w:gutter="0"/>
          <w:cols w:space="720"/>
          <w:titlePg/>
          <w:docGrid w:linePitch="326"/>
        </w:sectPr>
      </w:pPr>
    </w:p>
    <w:p w14:paraId="5FBED5A3" w14:textId="77777777" w:rsidR="0045050D" w:rsidRPr="00D52957" w:rsidRDefault="0045050D" w:rsidP="0045050D">
      <w:pPr>
        <w:pStyle w:val="TtulodeTDC"/>
        <w:spacing w:after="240"/>
        <w:rPr>
          <w:lang w:val="es-ES"/>
        </w:rPr>
      </w:pPr>
      <w:bookmarkStart w:id="6" w:name="xxTOC"/>
      <w:bookmarkStart w:id="7" w:name="xxBackPage"/>
      <w:bookmarkEnd w:id="0"/>
      <w:r w:rsidRPr="00D52957">
        <w:rPr>
          <w:lang w:val="es-ES"/>
        </w:rPr>
        <w:lastRenderedPageBreak/>
        <w:t>Contenidos</w:t>
      </w:r>
    </w:p>
    <w:p w14:paraId="3716C488" w14:textId="77777777" w:rsidR="0045050D" w:rsidRPr="00D52957" w:rsidRDefault="0045050D" w:rsidP="0045050D">
      <w:pPr>
        <w:pStyle w:val="Textoindependiente"/>
        <w:rPr>
          <w:lang w:val="es-ES"/>
        </w:rPr>
      </w:pPr>
    </w:p>
    <w:p w14:paraId="7F7E589D" w14:textId="77777777" w:rsidR="0045050D" w:rsidRPr="00D23B9F" w:rsidRDefault="0045050D" w:rsidP="0045050D">
      <w:pPr>
        <w:pStyle w:val="TDC1"/>
        <w:rPr>
          <w:rFonts w:asciiTheme="minorHAnsi" w:eastAsiaTheme="minorEastAsia" w:hAnsiTheme="minorHAnsi" w:cstheme="minorBidi"/>
          <w:b w:val="0"/>
          <w:bCs w:val="0"/>
          <w:noProof/>
          <w:sz w:val="22"/>
          <w:szCs w:val="22"/>
          <w:lang w:val="es-ES" w:eastAsia="en-US"/>
        </w:rPr>
      </w:pPr>
      <w:r>
        <w:fldChar w:fldCharType="begin"/>
      </w:r>
      <w:r w:rsidRPr="00D52957">
        <w:rPr>
          <w:lang w:val="es-ES"/>
        </w:rPr>
        <w:instrText xml:space="preserve"> TOC \o "2-3" \t "Heading 1,1,APPENDIX 1,6,Heading U,1,Heading U2,2,Heading U3,3" </w:instrText>
      </w:r>
      <w:r>
        <w:fldChar w:fldCharType="separate"/>
      </w:r>
      <w:r w:rsidRPr="00D23B9F">
        <w:rPr>
          <w:noProof/>
          <w:lang w:val="es-ES"/>
        </w:rPr>
        <w:t>1.</w:t>
      </w:r>
      <w:r w:rsidRPr="00D23B9F">
        <w:rPr>
          <w:rFonts w:asciiTheme="minorHAnsi" w:eastAsiaTheme="minorEastAsia" w:hAnsiTheme="minorHAnsi" w:cstheme="minorBidi"/>
          <w:b w:val="0"/>
          <w:bCs w:val="0"/>
          <w:noProof/>
          <w:sz w:val="22"/>
          <w:szCs w:val="22"/>
          <w:lang w:val="es-ES" w:eastAsia="en-US"/>
        </w:rPr>
        <w:tab/>
      </w:r>
      <w:r w:rsidRPr="000B1E6A">
        <w:rPr>
          <w:noProof/>
          <w:lang w:val="es-MX"/>
        </w:rPr>
        <w:t>Introducción</w:t>
      </w:r>
      <w:r w:rsidRPr="00D23B9F">
        <w:rPr>
          <w:noProof/>
          <w:lang w:val="es-ES"/>
        </w:rPr>
        <w:tab/>
      </w:r>
      <w:r>
        <w:rPr>
          <w:noProof/>
        </w:rPr>
        <w:fldChar w:fldCharType="begin"/>
      </w:r>
      <w:r w:rsidRPr="00D23B9F">
        <w:rPr>
          <w:noProof/>
          <w:lang w:val="es-ES"/>
        </w:rPr>
        <w:instrText xml:space="preserve"> PAGEREF _Toc430281518 \h </w:instrText>
      </w:r>
      <w:r>
        <w:rPr>
          <w:noProof/>
        </w:rPr>
      </w:r>
      <w:r>
        <w:rPr>
          <w:noProof/>
        </w:rPr>
        <w:fldChar w:fldCharType="separate"/>
      </w:r>
      <w:r>
        <w:rPr>
          <w:noProof/>
          <w:lang w:val="es-ES"/>
        </w:rPr>
        <w:t>1</w:t>
      </w:r>
      <w:r>
        <w:rPr>
          <w:noProof/>
        </w:rPr>
        <w:fldChar w:fldCharType="end"/>
      </w:r>
    </w:p>
    <w:p w14:paraId="2D1A7C9E" w14:textId="77777777" w:rsidR="0045050D" w:rsidRPr="00D23B9F" w:rsidRDefault="0045050D" w:rsidP="0045050D">
      <w:pPr>
        <w:pStyle w:val="TDC1"/>
        <w:rPr>
          <w:rFonts w:asciiTheme="minorHAnsi" w:eastAsiaTheme="minorEastAsia" w:hAnsiTheme="minorHAnsi" w:cstheme="minorBidi"/>
          <w:b w:val="0"/>
          <w:bCs w:val="0"/>
          <w:noProof/>
          <w:sz w:val="22"/>
          <w:szCs w:val="22"/>
          <w:lang w:val="es-ES" w:eastAsia="en-US"/>
        </w:rPr>
      </w:pPr>
      <w:r w:rsidRPr="000B1E6A">
        <w:rPr>
          <w:noProof/>
          <w:lang w:val="es-ES"/>
        </w:rPr>
        <w:t>2.</w:t>
      </w:r>
      <w:r w:rsidRPr="00D23B9F">
        <w:rPr>
          <w:rFonts w:asciiTheme="minorHAnsi" w:eastAsiaTheme="minorEastAsia" w:hAnsiTheme="minorHAnsi" w:cstheme="minorBidi"/>
          <w:b w:val="0"/>
          <w:bCs w:val="0"/>
          <w:noProof/>
          <w:sz w:val="22"/>
          <w:szCs w:val="22"/>
          <w:lang w:val="es-ES" w:eastAsia="en-US"/>
        </w:rPr>
        <w:tab/>
      </w:r>
      <w:r w:rsidRPr="000B1E6A">
        <w:rPr>
          <w:noProof/>
          <w:lang w:val="es-ES"/>
        </w:rPr>
        <w:t>Espectro Disponible</w:t>
      </w:r>
      <w:r w:rsidRPr="00D23B9F">
        <w:rPr>
          <w:noProof/>
          <w:lang w:val="es-ES"/>
        </w:rPr>
        <w:tab/>
      </w:r>
      <w:r>
        <w:rPr>
          <w:noProof/>
        </w:rPr>
        <w:fldChar w:fldCharType="begin"/>
      </w:r>
      <w:r w:rsidRPr="00D23B9F">
        <w:rPr>
          <w:noProof/>
          <w:lang w:val="es-ES"/>
        </w:rPr>
        <w:instrText xml:space="preserve"> PAGEREF _Toc430281519 \h </w:instrText>
      </w:r>
      <w:r>
        <w:rPr>
          <w:noProof/>
        </w:rPr>
      </w:r>
      <w:r>
        <w:rPr>
          <w:noProof/>
        </w:rPr>
        <w:fldChar w:fldCharType="separate"/>
      </w:r>
      <w:r>
        <w:rPr>
          <w:noProof/>
          <w:lang w:val="es-ES"/>
        </w:rPr>
        <w:t>5</w:t>
      </w:r>
      <w:r>
        <w:rPr>
          <w:noProof/>
        </w:rPr>
        <w:fldChar w:fldCharType="end"/>
      </w:r>
    </w:p>
    <w:p w14:paraId="6C2B7D5B"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ES"/>
        </w:rPr>
        <w:t>2.1.</w:t>
      </w:r>
      <w:r w:rsidRPr="00D23B9F">
        <w:rPr>
          <w:rFonts w:asciiTheme="minorHAnsi" w:eastAsiaTheme="minorEastAsia" w:hAnsiTheme="minorHAnsi" w:cstheme="minorBidi"/>
          <w:bCs w:val="0"/>
          <w:noProof/>
          <w:sz w:val="22"/>
          <w:szCs w:val="22"/>
          <w:lang w:val="es-ES" w:eastAsia="en-US"/>
        </w:rPr>
        <w:tab/>
      </w:r>
      <w:r w:rsidRPr="000B1E6A">
        <w:rPr>
          <w:noProof/>
          <w:lang w:val="es-ES"/>
        </w:rPr>
        <w:t>Promoviendo la contigüidad del espectro y lotes nacionales</w:t>
      </w:r>
      <w:r w:rsidRPr="00D23B9F">
        <w:rPr>
          <w:noProof/>
          <w:lang w:val="es-ES"/>
        </w:rPr>
        <w:tab/>
      </w:r>
      <w:r>
        <w:rPr>
          <w:noProof/>
        </w:rPr>
        <w:fldChar w:fldCharType="begin"/>
      </w:r>
      <w:r w:rsidRPr="00D23B9F">
        <w:rPr>
          <w:noProof/>
          <w:lang w:val="es-ES"/>
        </w:rPr>
        <w:instrText xml:space="preserve"> PAGEREF _Toc430281520 \h </w:instrText>
      </w:r>
      <w:r>
        <w:rPr>
          <w:noProof/>
        </w:rPr>
      </w:r>
      <w:r>
        <w:rPr>
          <w:noProof/>
        </w:rPr>
        <w:fldChar w:fldCharType="separate"/>
      </w:r>
      <w:r>
        <w:rPr>
          <w:noProof/>
          <w:lang w:val="es-ES"/>
        </w:rPr>
        <w:t>5</w:t>
      </w:r>
      <w:r>
        <w:rPr>
          <w:noProof/>
        </w:rPr>
        <w:fldChar w:fldCharType="end"/>
      </w:r>
    </w:p>
    <w:p w14:paraId="5B750298"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MX"/>
        </w:rPr>
        <w:t>2.2.</w:t>
      </w:r>
      <w:r w:rsidRPr="00D23B9F">
        <w:rPr>
          <w:rFonts w:asciiTheme="minorHAnsi" w:eastAsiaTheme="minorEastAsia" w:hAnsiTheme="minorHAnsi" w:cstheme="minorBidi"/>
          <w:bCs w:val="0"/>
          <w:noProof/>
          <w:sz w:val="22"/>
          <w:szCs w:val="22"/>
          <w:lang w:val="es-ES" w:eastAsia="en-US"/>
        </w:rPr>
        <w:tab/>
      </w:r>
      <w:r w:rsidRPr="000B1E6A">
        <w:rPr>
          <w:noProof/>
          <w:lang w:val="es-MX"/>
        </w:rPr>
        <w:t>Lotes Disponibles</w:t>
      </w:r>
      <w:r w:rsidRPr="00D23B9F">
        <w:rPr>
          <w:noProof/>
          <w:lang w:val="es-ES"/>
        </w:rPr>
        <w:tab/>
      </w:r>
      <w:r>
        <w:rPr>
          <w:noProof/>
        </w:rPr>
        <w:fldChar w:fldCharType="begin"/>
      </w:r>
      <w:r w:rsidRPr="00D23B9F">
        <w:rPr>
          <w:noProof/>
          <w:lang w:val="es-ES"/>
        </w:rPr>
        <w:instrText xml:space="preserve"> PAGEREF _Toc430281521 \h </w:instrText>
      </w:r>
      <w:r>
        <w:rPr>
          <w:noProof/>
        </w:rPr>
      </w:r>
      <w:r>
        <w:rPr>
          <w:noProof/>
        </w:rPr>
        <w:fldChar w:fldCharType="separate"/>
      </w:r>
      <w:r>
        <w:rPr>
          <w:noProof/>
          <w:lang w:val="es-ES"/>
        </w:rPr>
        <w:t>7</w:t>
      </w:r>
      <w:r>
        <w:rPr>
          <w:noProof/>
        </w:rPr>
        <w:fldChar w:fldCharType="end"/>
      </w:r>
    </w:p>
    <w:p w14:paraId="32F168D8"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ES"/>
        </w:rPr>
        <w:t>2.3.</w:t>
      </w:r>
      <w:r w:rsidRPr="00D23B9F">
        <w:rPr>
          <w:rFonts w:asciiTheme="minorHAnsi" w:eastAsiaTheme="minorEastAsia" w:hAnsiTheme="minorHAnsi" w:cstheme="minorBidi"/>
          <w:bCs w:val="0"/>
          <w:noProof/>
          <w:sz w:val="22"/>
          <w:szCs w:val="22"/>
          <w:lang w:val="es-ES" w:eastAsia="en-US"/>
        </w:rPr>
        <w:tab/>
      </w:r>
      <w:r w:rsidRPr="000B1E6A">
        <w:rPr>
          <w:noProof/>
          <w:lang w:val="es-ES"/>
        </w:rPr>
        <w:t>Límites máximos de espectro (“caps”) y otras restricciones en la realización de oferta económicas</w:t>
      </w:r>
      <w:r w:rsidRPr="00D23B9F">
        <w:rPr>
          <w:noProof/>
          <w:lang w:val="es-ES"/>
        </w:rPr>
        <w:tab/>
      </w:r>
      <w:r>
        <w:rPr>
          <w:noProof/>
        </w:rPr>
        <w:fldChar w:fldCharType="begin"/>
      </w:r>
      <w:r w:rsidRPr="00D23B9F">
        <w:rPr>
          <w:noProof/>
          <w:lang w:val="es-ES"/>
        </w:rPr>
        <w:instrText xml:space="preserve"> PAGEREF _Toc430281522 \h </w:instrText>
      </w:r>
      <w:r>
        <w:rPr>
          <w:noProof/>
        </w:rPr>
      </w:r>
      <w:r>
        <w:rPr>
          <w:noProof/>
        </w:rPr>
        <w:fldChar w:fldCharType="separate"/>
      </w:r>
      <w:r>
        <w:rPr>
          <w:noProof/>
          <w:lang w:val="es-ES"/>
        </w:rPr>
        <w:t>8</w:t>
      </w:r>
      <w:r>
        <w:rPr>
          <w:noProof/>
        </w:rPr>
        <w:fldChar w:fldCharType="end"/>
      </w:r>
    </w:p>
    <w:p w14:paraId="72500853"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MX"/>
        </w:rPr>
        <w:t>2.4.</w:t>
      </w:r>
      <w:r w:rsidRPr="00D23B9F">
        <w:rPr>
          <w:rFonts w:asciiTheme="minorHAnsi" w:eastAsiaTheme="minorEastAsia" w:hAnsiTheme="minorHAnsi" w:cstheme="minorBidi"/>
          <w:bCs w:val="0"/>
          <w:noProof/>
          <w:sz w:val="22"/>
          <w:szCs w:val="22"/>
          <w:lang w:val="es-ES" w:eastAsia="en-US"/>
        </w:rPr>
        <w:tab/>
      </w:r>
      <w:r w:rsidRPr="000B1E6A">
        <w:rPr>
          <w:noProof/>
          <w:lang w:val="es-MX"/>
        </w:rPr>
        <w:t xml:space="preserve">Valor Mínimo de Referencia </w:t>
      </w:r>
      <w:r w:rsidRPr="00D23B9F">
        <w:rPr>
          <w:noProof/>
          <w:lang w:val="es-ES"/>
        </w:rPr>
        <w:tab/>
      </w:r>
      <w:r>
        <w:rPr>
          <w:noProof/>
        </w:rPr>
        <w:fldChar w:fldCharType="begin"/>
      </w:r>
      <w:r w:rsidRPr="00D23B9F">
        <w:rPr>
          <w:noProof/>
          <w:lang w:val="es-ES"/>
        </w:rPr>
        <w:instrText xml:space="preserve"> PAGEREF _Toc430281523 \h </w:instrText>
      </w:r>
      <w:r>
        <w:rPr>
          <w:noProof/>
        </w:rPr>
      </w:r>
      <w:r>
        <w:rPr>
          <w:noProof/>
        </w:rPr>
        <w:fldChar w:fldCharType="separate"/>
      </w:r>
      <w:r>
        <w:rPr>
          <w:noProof/>
          <w:lang w:val="es-ES"/>
        </w:rPr>
        <w:t>9</w:t>
      </w:r>
      <w:r>
        <w:rPr>
          <w:noProof/>
        </w:rPr>
        <w:fldChar w:fldCharType="end"/>
      </w:r>
    </w:p>
    <w:p w14:paraId="035C3A8A" w14:textId="77777777" w:rsidR="0045050D" w:rsidRPr="00D23B9F" w:rsidRDefault="0045050D" w:rsidP="0045050D">
      <w:pPr>
        <w:pStyle w:val="TDC1"/>
        <w:rPr>
          <w:rFonts w:asciiTheme="minorHAnsi" w:eastAsiaTheme="minorEastAsia" w:hAnsiTheme="minorHAnsi" w:cstheme="minorBidi"/>
          <w:b w:val="0"/>
          <w:bCs w:val="0"/>
          <w:noProof/>
          <w:sz w:val="22"/>
          <w:szCs w:val="22"/>
          <w:lang w:val="es-ES" w:eastAsia="en-US"/>
        </w:rPr>
      </w:pPr>
      <w:r w:rsidRPr="000B1E6A">
        <w:rPr>
          <w:noProof/>
          <w:lang w:val="es-ES"/>
        </w:rPr>
        <w:t>3.</w:t>
      </w:r>
      <w:r w:rsidRPr="00D23B9F">
        <w:rPr>
          <w:rFonts w:asciiTheme="minorHAnsi" w:eastAsiaTheme="minorEastAsia" w:hAnsiTheme="minorHAnsi" w:cstheme="minorBidi"/>
          <w:b w:val="0"/>
          <w:bCs w:val="0"/>
          <w:noProof/>
          <w:sz w:val="22"/>
          <w:szCs w:val="22"/>
          <w:lang w:val="es-ES" w:eastAsia="en-US"/>
        </w:rPr>
        <w:tab/>
      </w:r>
      <w:r w:rsidRPr="000B1E6A">
        <w:rPr>
          <w:noProof/>
          <w:lang w:val="es-ES"/>
        </w:rPr>
        <w:t>Visión general del proceso de subasta</w:t>
      </w:r>
      <w:r w:rsidRPr="00D23B9F">
        <w:rPr>
          <w:noProof/>
          <w:lang w:val="es-ES"/>
        </w:rPr>
        <w:tab/>
      </w:r>
      <w:r>
        <w:rPr>
          <w:noProof/>
        </w:rPr>
        <w:fldChar w:fldCharType="begin"/>
      </w:r>
      <w:r w:rsidRPr="00D23B9F">
        <w:rPr>
          <w:noProof/>
          <w:lang w:val="es-ES"/>
        </w:rPr>
        <w:instrText xml:space="preserve"> PAGEREF _Toc430281524 \h </w:instrText>
      </w:r>
      <w:r>
        <w:rPr>
          <w:noProof/>
        </w:rPr>
      </w:r>
      <w:r>
        <w:rPr>
          <w:noProof/>
        </w:rPr>
        <w:fldChar w:fldCharType="separate"/>
      </w:r>
      <w:r>
        <w:rPr>
          <w:noProof/>
          <w:lang w:val="es-ES"/>
        </w:rPr>
        <w:t>11</w:t>
      </w:r>
      <w:r>
        <w:rPr>
          <w:noProof/>
        </w:rPr>
        <w:fldChar w:fldCharType="end"/>
      </w:r>
    </w:p>
    <w:p w14:paraId="043E6048"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ES"/>
        </w:rPr>
        <w:t>3.1.</w:t>
      </w:r>
      <w:r w:rsidRPr="00D23B9F">
        <w:rPr>
          <w:rFonts w:asciiTheme="minorHAnsi" w:eastAsiaTheme="minorEastAsia" w:hAnsiTheme="minorHAnsi" w:cstheme="minorBidi"/>
          <w:bCs w:val="0"/>
          <w:noProof/>
          <w:sz w:val="22"/>
          <w:szCs w:val="22"/>
          <w:lang w:val="es-ES" w:eastAsia="en-US"/>
        </w:rPr>
        <w:tab/>
      </w:r>
      <w:r w:rsidRPr="000B1E6A">
        <w:rPr>
          <w:noProof/>
          <w:lang w:val="es-ES"/>
        </w:rPr>
        <w:t>Etapas de la subasta</w:t>
      </w:r>
      <w:r w:rsidRPr="00D23B9F">
        <w:rPr>
          <w:noProof/>
          <w:lang w:val="es-ES"/>
        </w:rPr>
        <w:tab/>
      </w:r>
      <w:r>
        <w:rPr>
          <w:noProof/>
        </w:rPr>
        <w:fldChar w:fldCharType="begin"/>
      </w:r>
      <w:r w:rsidRPr="00D23B9F">
        <w:rPr>
          <w:noProof/>
          <w:lang w:val="es-ES"/>
        </w:rPr>
        <w:instrText xml:space="preserve"> PAGEREF _Toc430281525 \h </w:instrText>
      </w:r>
      <w:r>
        <w:rPr>
          <w:noProof/>
        </w:rPr>
      </w:r>
      <w:r>
        <w:rPr>
          <w:noProof/>
        </w:rPr>
        <w:fldChar w:fldCharType="separate"/>
      </w:r>
      <w:r>
        <w:rPr>
          <w:noProof/>
          <w:lang w:val="es-ES"/>
        </w:rPr>
        <w:t>11</w:t>
      </w:r>
      <w:r>
        <w:rPr>
          <w:noProof/>
        </w:rPr>
        <w:fldChar w:fldCharType="end"/>
      </w:r>
    </w:p>
    <w:p w14:paraId="68005AB5"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ES"/>
        </w:rPr>
        <w:t>3.2.</w:t>
      </w:r>
      <w:r w:rsidRPr="00D23B9F">
        <w:rPr>
          <w:rFonts w:asciiTheme="minorHAnsi" w:eastAsiaTheme="minorEastAsia" w:hAnsiTheme="minorHAnsi" w:cstheme="minorBidi"/>
          <w:bCs w:val="0"/>
          <w:noProof/>
          <w:sz w:val="22"/>
          <w:szCs w:val="22"/>
          <w:lang w:val="es-ES" w:eastAsia="en-US"/>
        </w:rPr>
        <w:tab/>
      </w:r>
      <w:r w:rsidRPr="000B1E6A">
        <w:rPr>
          <w:noProof/>
          <w:lang w:val="es-ES"/>
        </w:rPr>
        <w:t>Garantía de Seriedad</w:t>
      </w:r>
      <w:r w:rsidRPr="00D23B9F">
        <w:rPr>
          <w:noProof/>
          <w:lang w:val="es-ES"/>
        </w:rPr>
        <w:tab/>
      </w:r>
      <w:r>
        <w:rPr>
          <w:noProof/>
        </w:rPr>
        <w:fldChar w:fldCharType="begin"/>
      </w:r>
      <w:r w:rsidRPr="00D23B9F">
        <w:rPr>
          <w:noProof/>
          <w:lang w:val="es-ES"/>
        </w:rPr>
        <w:instrText xml:space="preserve"> PAGEREF _Toc430281526 \h </w:instrText>
      </w:r>
      <w:r>
        <w:rPr>
          <w:noProof/>
        </w:rPr>
      </w:r>
      <w:r>
        <w:rPr>
          <w:noProof/>
        </w:rPr>
        <w:fldChar w:fldCharType="separate"/>
      </w:r>
      <w:r>
        <w:rPr>
          <w:noProof/>
          <w:lang w:val="es-ES"/>
        </w:rPr>
        <w:t>13</w:t>
      </w:r>
      <w:r>
        <w:rPr>
          <w:noProof/>
        </w:rPr>
        <w:fldChar w:fldCharType="end"/>
      </w:r>
    </w:p>
    <w:p w14:paraId="70A4C691"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ES"/>
        </w:rPr>
        <w:t>3.3.</w:t>
      </w:r>
      <w:r w:rsidRPr="00D23B9F">
        <w:rPr>
          <w:rFonts w:asciiTheme="minorHAnsi" w:eastAsiaTheme="minorEastAsia" w:hAnsiTheme="minorHAnsi" w:cstheme="minorBidi"/>
          <w:bCs w:val="0"/>
          <w:noProof/>
          <w:sz w:val="22"/>
          <w:szCs w:val="22"/>
          <w:lang w:val="es-ES" w:eastAsia="en-US"/>
        </w:rPr>
        <w:tab/>
      </w:r>
      <w:r w:rsidRPr="000B1E6A">
        <w:rPr>
          <w:noProof/>
          <w:lang w:val="es-MX"/>
        </w:rPr>
        <w:t>Conducta de los Participantes antes y durante la subasta</w:t>
      </w:r>
      <w:r w:rsidRPr="00D23B9F">
        <w:rPr>
          <w:noProof/>
          <w:lang w:val="es-ES"/>
        </w:rPr>
        <w:tab/>
      </w:r>
      <w:r>
        <w:rPr>
          <w:noProof/>
        </w:rPr>
        <w:fldChar w:fldCharType="begin"/>
      </w:r>
      <w:r w:rsidRPr="00D23B9F">
        <w:rPr>
          <w:noProof/>
          <w:lang w:val="es-ES"/>
        </w:rPr>
        <w:instrText xml:space="preserve"> PAGEREF _Toc430281527 \h </w:instrText>
      </w:r>
      <w:r>
        <w:rPr>
          <w:noProof/>
        </w:rPr>
      </w:r>
      <w:r>
        <w:rPr>
          <w:noProof/>
        </w:rPr>
        <w:fldChar w:fldCharType="separate"/>
      </w:r>
      <w:r>
        <w:rPr>
          <w:noProof/>
          <w:lang w:val="es-ES"/>
        </w:rPr>
        <w:t>14</w:t>
      </w:r>
      <w:r>
        <w:rPr>
          <w:noProof/>
        </w:rPr>
        <w:fldChar w:fldCharType="end"/>
      </w:r>
    </w:p>
    <w:p w14:paraId="7C628954" w14:textId="77777777" w:rsidR="0045050D" w:rsidRPr="00A330D9" w:rsidRDefault="0045050D" w:rsidP="0045050D">
      <w:pPr>
        <w:pStyle w:val="TDC2"/>
        <w:rPr>
          <w:rFonts w:asciiTheme="minorHAnsi" w:eastAsiaTheme="minorEastAsia" w:hAnsiTheme="minorHAnsi" w:cstheme="minorBidi"/>
          <w:bCs w:val="0"/>
          <w:noProof/>
          <w:sz w:val="22"/>
          <w:szCs w:val="22"/>
          <w:lang w:val="es-ES" w:eastAsia="en-US"/>
        </w:rPr>
      </w:pPr>
      <w:r w:rsidRPr="00A330D9">
        <w:rPr>
          <w:noProof/>
          <w:lang w:val="es-ES"/>
        </w:rPr>
        <w:t>3.4.</w:t>
      </w:r>
      <w:r w:rsidRPr="00A330D9">
        <w:rPr>
          <w:rFonts w:asciiTheme="minorHAnsi" w:eastAsiaTheme="minorEastAsia" w:hAnsiTheme="minorHAnsi" w:cstheme="minorBidi"/>
          <w:bCs w:val="0"/>
          <w:noProof/>
          <w:sz w:val="22"/>
          <w:szCs w:val="22"/>
          <w:lang w:val="es-ES" w:eastAsia="en-US"/>
        </w:rPr>
        <w:tab/>
      </w:r>
      <w:r w:rsidRPr="000B1E6A">
        <w:rPr>
          <w:noProof/>
          <w:lang w:val="es-MX"/>
        </w:rPr>
        <w:t>Circunstancias excepcionales</w:t>
      </w:r>
      <w:r w:rsidRPr="00A330D9">
        <w:rPr>
          <w:noProof/>
          <w:lang w:val="es-ES"/>
        </w:rPr>
        <w:tab/>
      </w:r>
      <w:r>
        <w:rPr>
          <w:noProof/>
        </w:rPr>
        <w:fldChar w:fldCharType="begin"/>
      </w:r>
      <w:r w:rsidRPr="00A330D9">
        <w:rPr>
          <w:noProof/>
          <w:lang w:val="es-ES"/>
        </w:rPr>
        <w:instrText xml:space="preserve"> PAGEREF _Toc430281528 \h </w:instrText>
      </w:r>
      <w:r>
        <w:rPr>
          <w:noProof/>
        </w:rPr>
      </w:r>
      <w:r>
        <w:rPr>
          <w:noProof/>
        </w:rPr>
        <w:fldChar w:fldCharType="separate"/>
      </w:r>
      <w:r>
        <w:rPr>
          <w:noProof/>
          <w:lang w:val="es-ES"/>
        </w:rPr>
        <w:t>14</w:t>
      </w:r>
      <w:r>
        <w:rPr>
          <w:noProof/>
        </w:rPr>
        <w:fldChar w:fldCharType="end"/>
      </w:r>
    </w:p>
    <w:p w14:paraId="6B3B6801" w14:textId="77777777" w:rsidR="0045050D" w:rsidRPr="00A330D9" w:rsidRDefault="0045050D" w:rsidP="0045050D">
      <w:pPr>
        <w:pStyle w:val="TDC1"/>
        <w:rPr>
          <w:rFonts w:asciiTheme="minorHAnsi" w:eastAsiaTheme="minorEastAsia" w:hAnsiTheme="minorHAnsi" w:cstheme="minorBidi"/>
          <w:b w:val="0"/>
          <w:bCs w:val="0"/>
          <w:noProof/>
          <w:sz w:val="22"/>
          <w:szCs w:val="22"/>
          <w:lang w:val="es-ES" w:eastAsia="en-US"/>
        </w:rPr>
      </w:pPr>
      <w:r w:rsidRPr="00A330D9">
        <w:rPr>
          <w:noProof/>
          <w:lang w:val="es-ES"/>
        </w:rPr>
        <w:t>4.</w:t>
      </w:r>
      <w:r w:rsidRPr="00A330D9">
        <w:rPr>
          <w:rFonts w:asciiTheme="minorHAnsi" w:eastAsiaTheme="minorEastAsia" w:hAnsiTheme="minorHAnsi" w:cstheme="minorBidi"/>
          <w:b w:val="0"/>
          <w:bCs w:val="0"/>
          <w:noProof/>
          <w:sz w:val="22"/>
          <w:szCs w:val="22"/>
          <w:lang w:val="es-ES" w:eastAsia="en-US"/>
        </w:rPr>
        <w:tab/>
      </w:r>
      <w:r w:rsidRPr="000B1E6A">
        <w:rPr>
          <w:noProof/>
          <w:lang w:val="es-ES"/>
        </w:rPr>
        <w:t>Fase Primaria</w:t>
      </w:r>
      <w:r w:rsidRPr="00A330D9">
        <w:rPr>
          <w:noProof/>
          <w:lang w:val="es-ES"/>
        </w:rPr>
        <w:tab/>
      </w:r>
      <w:r>
        <w:rPr>
          <w:noProof/>
        </w:rPr>
        <w:fldChar w:fldCharType="begin"/>
      </w:r>
      <w:r w:rsidRPr="00A330D9">
        <w:rPr>
          <w:noProof/>
          <w:lang w:val="es-ES"/>
        </w:rPr>
        <w:instrText xml:space="preserve"> PAGEREF _Toc430281529 \h </w:instrText>
      </w:r>
      <w:r>
        <w:rPr>
          <w:noProof/>
        </w:rPr>
      </w:r>
      <w:r>
        <w:rPr>
          <w:noProof/>
        </w:rPr>
        <w:fldChar w:fldCharType="separate"/>
      </w:r>
      <w:r>
        <w:rPr>
          <w:noProof/>
          <w:lang w:val="es-ES"/>
        </w:rPr>
        <w:t>16</w:t>
      </w:r>
      <w:r>
        <w:rPr>
          <w:noProof/>
        </w:rPr>
        <w:fldChar w:fldCharType="end"/>
      </w:r>
    </w:p>
    <w:p w14:paraId="6111DE61" w14:textId="77777777" w:rsidR="0045050D" w:rsidRPr="00A330D9" w:rsidRDefault="0045050D" w:rsidP="0045050D">
      <w:pPr>
        <w:pStyle w:val="TDC2"/>
        <w:rPr>
          <w:rFonts w:asciiTheme="minorHAnsi" w:eastAsiaTheme="minorEastAsia" w:hAnsiTheme="minorHAnsi" w:cstheme="minorBidi"/>
          <w:bCs w:val="0"/>
          <w:noProof/>
          <w:sz w:val="22"/>
          <w:szCs w:val="22"/>
          <w:lang w:val="es-ES" w:eastAsia="en-US"/>
        </w:rPr>
      </w:pPr>
      <w:r w:rsidRPr="00A330D9">
        <w:rPr>
          <w:noProof/>
          <w:lang w:val="es-ES"/>
        </w:rPr>
        <w:t>4.1.</w:t>
      </w:r>
      <w:r w:rsidRPr="00A330D9">
        <w:rPr>
          <w:rFonts w:asciiTheme="minorHAnsi" w:eastAsiaTheme="minorEastAsia" w:hAnsiTheme="minorHAnsi" w:cstheme="minorBidi"/>
          <w:bCs w:val="0"/>
          <w:noProof/>
          <w:sz w:val="22"/>
          <w:szCs w:val="22"/>
          <w:lang w:val="es-ES" w:eastAsia="en-US"/>
        </w:rPr>
        <w:tab/>
      </w:r>
      <w:r w:rsidRPr="000B1E6A">
        <w:rPr>
          <w:noProof/>
          <w:lang w:val="es-MX"/>
        </w:rPr>
        <w:t>Rondas de reloj</w:t>
      </w:r>
      <w:r w:rsidRPr="00A330D9">
        <w:rPr>
          <w:noProof/>
          <w:lang w:val="es-ES"/>
        </w:rPr>
        <w:tab/>
      </w:r>
      <w:r>
        <w:rPr>
          <w:noProof/>
        </w:rPr>
        <w:fldChar w:fldCharType="begin"/>
      </w:r>
      <w:r w:rsidRPr="00A330D9">
        <w:rPr>
          <w:noProof/>
          <w:lang w:val="es-ES"/>
        </w:rPr>
        <w:instrText xml:space="preserve"> PAGEREF _Toc430281530 \h </w:instrText>
      </w:r>
      <w:r>
        <w:rPr>
          <w:noProof/>
        </w:rPr>
      </w:r>
      <w:r>
        <w:rPr>
          <w:noProof/>
        </w:rPr>
        <w:fldChar w:fldCharType="separate"/>
      </w:r>
      <w:r>
        <w:rPr>
          <w:noProof/>
          <w:lang w:val="es-ES"/>
        </w:rPr>
        <w:t>16</w:t>
      </w:r>
      <w:r>
        <w:rPr>
          <w:noProof/>
        </w:rPr>
        <w:fldChar w:fldCharType="end"/>
      </w:r>
    </w:p>
    <w:p w14:paraId="058D1E5C" w14:textId="77777777" w:rsidR="0045050D" w:rsidRPr="00A330D9"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ES"/>
        </w:rPr>
        <w:t>4.1.1.</w:t>
      </w:r>
      <w:r w:rsidRPr="00A330D9">
        <w:rPr>
          <w:rFonts w:asciiTheme="minorHAnsi" w:eastAsiaTheme="minorEastAsia" w:hAnsiTheme="minorHAnsi" w:cstheme="minorBidi"/>
          <w:bCs w:val="0"/>
          <w:noProof/>
          <w:sz w:val="22"/>
          <w:szCs w:val="22"/>
          <w:lang w:val="es-ES" w:eastAsia="en-US"/>
        </w:rPr>
        <w:tab/>
      </w:r>
      <w:r w:rsidRPr="000B1E6A">
        <w:rPr>
          <w:noProof/>
          <w:lang w:val="es-MX"/>
        </w:rPr>
        <w:t>Programación de las rondas de reloj</w:t>
      </w:r>
      <w:r w:rsidRPr="00A330D9">
        <w:rPr>
          <w:noProof/>
          <w:lang w:val="es-ES"/>
        </w:rPr>
        <w:tab/>
      </w:r>
      <w:r>
        <w:rPr>
          <w:noProof/>
        </w:rPr>
        <w:fldChar w:fldCharType="begin"/>
      </w:r>
      <w:r w:rsidRPr="00A330D9">
        <w:rPr>
          <w:noProof/>
          <w:lang w:val="es-ES"/>
        </w:rPr>
        <w:instrText xml:space="preserve"> PAGEREF _Toc430281531 \h </w:instrText>
      </w:r>
      <w:r>
        <w:rPr>
          <w:noProof/>
        </w:rPr>
      </w:r>
      <w:r>
        <w:rPr>
          <w:noProof/>
        </w:rPr>
        <w:fldChar w:fldCharType="separate"/>
      </w:r>
      <w:r>
        <w:rPr>
          <w:noProof/>
          <w:lang w:val="es-ES"/>
        </w:rPr>
        <w:t>16</w:t>
      </w:r>
      <w:r>
        <w:rPr>
          <w:noProof/>
        </w:rPr>
        <w:fldChar w:fldCharType="end"/>
      </w:r>
    </w:p>
    <w:p w14:paraId="11D27136"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ES"/>
        </w:rPr>
        <w:t>4.1.2.</w:t>
      </w:r>
      <w:r w:rsidRPr="00D23B9F">
        <w:rPr>
          <w:rFonts w:asciiTheme="minorHAnsi" w:eastAsiaTheme="minorEastAsia" w:hAnsiTheme="minorHAnsi" w:cstheme="minorBidi"/>
          <w:bCs w:val="0"/>
          <w:noProof/>
          <w:sz w:val="22"/>
          <w:szCs w:val="22"/>
          <w:lang w:val="es-ES" w:eastAsia="en-US"/>
        </w:rPr>
        <w:tab/>
      </w:r>
      <w:r w:rsidRPr="000B1E6A">
        <w:rPr>
          <w:noProof/>
          <w:lang w:val="es-ES"/>
        </w:rPr>
        <w:t>Presentación de las ofertas económicas en una ronda de reloj</w:t>
      </w:r>
      <w:r w:rsidRPr="00D23B9F">
        <w:rPr>
          <w:noProof/>
          <w:lang w:val="es-ES"/>
        </w:rPr>
        <w:tab/>
      </w:r>
      <w:r>
        <w:rPr>
          <w:noProof/>
        </w:rPr>
        <w:fldChar w:fldCharType="begin"/>
      </w:r>
      <w:r w:rsidRPr="00D23B9F">
        <w:rPr>
          <w:noProof/>
          <w:lang w:val="es-ES"/>
        </w:rPr>
        <w:instrText xml:space="preserve"> PAGEREF _Toc430281532 \h </w:instrText>
      </w:r>
      <w:r>
        <w:rPr>
          <w:noProof/>
        </w:rPr>
      </w:r>
      <w:r>
        <w:rPr>
          <w:noProof/>
        </w:rPr>
        <w:fldChar w:fldCharType="separate"/>
      </w:r>
      <w:r>
        <w:rPr>
          <w:noProof/>
          <w:lang w:val="es-ES"/>
        </w:rPr>
        <w:t>17</w:t>
      </w:r>
      <w:r>
        <w:rPr>
          <w:noProof/>
        </w:rPr>
        <w:fldChar w:fldCharType="end"/>
      </w:r>
    </w:p>
    <w:p w14:paraId="514DEA86"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ES"/>
        </w:rPr>
        <w:t>4.1.3.</w:t>
      </w:r>
      <w:r w:rsidRPr="00D23B9F">
        <w:rPr>
          <w:rFonts w:asciiTheme="minorHAnsi" w:eastAsiaTheme="minorEastAsia" w:hAnsiTheme="minorHAnsi" w:cstheme="minorBidi"/>
          <w:bCs w:val="0"/>
          <w:noProof/>
          <w:sz w:val="22"/>
          <w:szCs w:val="22"/>
          <w:lang w:val="es-ES" w:eastAsia="en-US"/>
        </w:rPr>
        <w:tab/>
      </w:r>
      <w:r w:rsidRPr="000B1E6A">
        <w:rPr>
          <w:noProof/>
          <w:lang w:val="es-ES"/>
        </w:rPr>
        <w:t>Derechos de extensión</w:t>
      </w:r>
      <w:r w:rsidRPr="00D23B9F">
        <w:rPr>
          <w:noProof/>
          <w:lang w:val="es-ES"/>
        </w:rPr>
        <w:tab/>
      </w:r>
      <w:r>
        <w:rPr>
          <w:noProof/>
        </w:rPr>
        <w:fldChar w:fldCharType="begin"/>
      </w:r>
      <w:r w:rsidRPr="00D23B9F">
        <w:rPr>
          <w:noProof/>
          <w:lang w:val="es-ES"/>
        </w:rPr>
        <w:instrText xml:space="preserve"> PAGEREF _Toc430281533 \h </w:instrText>
      </w:r>
      <w:r>
        <w:rPr>
          <w:noProof/>
        </w:rPr>
      </w:r>
      <w:r>
        <w:rPr>
          <w:noProof/>
        </w:rPr>
        <w:fldChar w:fldCharType="separate"/>
      </w:r>
      <w:r>
        <w:rPr>
          <w:noProof/>
          <w:lang w:val="es-ES"/>
        </w:rPr>
        <w:t>18</w:t>
      </w:r>
      <w:r>
        <w:rPr>
          <w:noProof/>
        </w:rPr>
        <w:fldChar w:fldCharType="end"/>
      </w:r>
    </w:p>
    <w:p w14:paraId="352B0294"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ES"/>
        </w:rPr>
        <w:t>4.1.4.</w:t>
      </w:r>
      <w:r w:rsidRPr="00D23B9F">
        <w:rPr>
          <w:rFonts w:asciiTheme="minorHAnsi" w:eastAsiaTheme="minorEastAsia" w:hAnsiTheme="minorHAnsi" w:cstheme="minorBidi"/>
          <w:bCs w:val="0"/>
          <w:noProof/>
          <w:sz w:val="22"/>
          <w:szCs w:val="22"/>
          <w:lang w:val="es-ES" w:eastAsia="en-US"/>
        </w:rPr>
        <w:tab/>
      </w:r>
      <w:r w:rsidRPr="000B1E6A">
        <w:rPr>
          <w:noProof/>
          <w:lang w:val="es-ES"/>
        </w:rPr>
        <w:t>Precios de reloj</w:t>
      </w:r>
      <w:r w:rsidRPr="00D23B9F">
        <w:rPr>
          <w:noProof/>
          <w:lang w:val="es-ES"/>
        </w:rPr>
        <w:tab/>
      </w:r>
      <w:r>
        <w:rPr>
          <w:noProof/>
        </w:rPr>
        <w:fldChar w:fldCharType="begin"/>
      </w:r>
      <w:r w:rsidRPr="00D23B9F">
        <w:rPr>
          <w:noProof/>
          <w:lang w:val="es-ES"/>
        </w:rPr>
        <w:instrText xml:space="preserve"> PAGEREF _Toc430281534 \h </w:instrText>
      </w:r>
      <w:r>
        <w:rPr>
          <w:noProof/>
        </w:rPr>
      </w:r>
      <w:r>
        <w:rPr>
          <w:noProof/>
        </w:rPr>
        <w:fldChar w:fldCharType="separate"/>
      </w:r>
      <w:r>
        <w:rPr>
          <w:noProof/>
          <w:lang w:val="es-ES"/>
        </w:rPr>
        <w:t>19</w:t>
      </w:r>
      <w:r>
        <w:rPr>
          <w:noProof/>
        </w:rPr>
        <w:fldChar w:fldCharType="end"/>
      </w:r>
    </w:p>
    <w:p w14:paraId="4E0EB0D2"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D23B9F">
        <w:rPr>
          <w:noProof/>
          <w:lang w:val="es-ES"/>
        </w:rPr>
        <w:t>4.1.5.</w:t>
      </w:r>
      <w:r w:rsidRPr="00D23B9F">
        <w:rPr>
          <w:rFonts w:asciiTheme="minorHAnsi" w:eastAsiaTheme="minorEastAsia" w:hAnsiTheme="minorHAnsi" w:cstheme="minorBidi"/>
          <w:bCs w:val="0"/>
          <w:noProof/>
          <w:sz w:val="22"/>
          <w:szCs w:val="22"/>
          <w:lang w:val="es-ES" w:eastAsia="en-US"/>
        </w:rPr>
        <w:tab/>
      </w:r>
      <w:r w:rsidRPr="000B1E6A">
        <w:rPr>
          <w:noProof/>
          <w:lang w:val="es-MX"/>
        </w:rPr>
        <w:t>Reglas de actividad</w:t>
      </w:r>
      <w:r w:rsidRPr="00D23B9F">
        <w:rPr>
          <w:noProof/>
          <w:lang w:val="es-ES"/>
        </w:rPr>
        <w:tab/>
      </w:r>
      <w:r>
        <w:rPr>
          <w:noProof/>
        </w:rPr>
        <w:fldChar w:fldCharType="begin"/>
      </w:r>
      <w:r w:rsidRPr="00D23B9F">
        <w:rPr>
          <w:noProof/>
          <w:lang w:val="es-ES"/>
        </w:rPr>
        <w:instrText xml:space="preserve"> PAGEREF _Toc430281535 \h </w:instrText>
      </w:r>
      <w:r>
        <w:rPr>
          <w:noProof/>
        </w:rPr>
      </w:r>
      <w:r>
        <w:rPr>
          <w:noProof/>
        </w:rPr>
        <w:fldChar w:fldCharType="separate"/>
      </w:r>
      <w:r>
        <w:rPr>
          <w:noProof/>
          <w:lang w:val="es-ES"/>
        </w:rPr>
        <w:t>19</w:t>
      </w:r>
      <w:r>
        <w:rPr>
          <w:noProof/>
        </w:rPr>
        <w:fldChar w:fldCharType="end"/>
      </w:r>
    </w:p>
    <w:p w14:paraId="24A245F4"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MX"/>
        </w:rPr>
        <w:t>4.1.6.</w:t>
      </w:r>
      <w:r w:rsidRPr="00D23B9F">
        <w:rPr>
          <w:rFonts w:asciiTheme="minorHAnsi" w:eastAsiaTheme="minorEastAsia" w:hAnsiTheme="minorHAnsi" w:cstheme="minorBidi"/>
          <w:bCs w:val="0"/>
          <w:noProof/>
          <w:sz w:val="22"/>
          <w:szCs w:val="22"/>
          <w:lang w:val="es-ES" w:eastAsia="en-US"/>
        </w:rPr>
        <w:tab/>
      </w:r>
      <w:r w:rsidRPr="000B1E6A">
        <w:rPr>
          <w:noProof/>
          <w:lang w:val="es-ES"/>
        </w:rPr>
        <w:t>Validez de las ofertas de reloj</w:t>
      </w:r>
      <w:r w:rsidRPr="00D23B9F">
        <w:rPr>
          <w:noProof/>
          <w:lang w:val="es-ES"/>
        </w:rPr>
        <w:tab/>
      </w:r>
      <w:r>
        <w:rPr>
          <w:noProof/>
        </w:rPr>
        <w:fldChar w:fldCharType="begin"/>
      </w:r>
      <w:r w:rsidRPr="00D23B9F">
        <w:rPr>
          <w:noProof/>
          <w:lang w:val="es-ES"/>
        </w:rPr>
        <w:instrText xml:space="preserve"> PAGEREF _Toc430281536 \h </w:instrText>
      </w:r>
      <w:r>
        <w:rPr>
          <w:noProof/>
        </w:rPr>
      </w:r>
      <w:r>
        <w:rPr>
          <w:noProof/>
        </w:rPr>
        <w:fldChar w:fldCharType="separate"/>
      </w:r>
      <w:r>
        <w:rPr>
          <w:noProof/>
          <w:lang w:val="es-ES"/>
        </w:rPr>
        <w:t>20</w:t>
      </w:r>
      <w:r>
        <w:rPr>
          <w:noProof/>
        </w:rPr>
        <w:fldChar w:fldCharType="end"/>
      </w:r>
    </w:p>
    <w:p w14:paraId="00625712"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ES"/>
        </w:rPr>
        <w:t>4.1.7.</w:t>
      </w:r>
      <w:r w:rsidRPr="00D23B9F">
        <w:rPr>
          <w:rFonts w:asciiTheme="minorHAnsi" w:eastAsiaTheme="minorEastAsia" w:hAnsiTheme="minorHAnsi" w:cstheme="minorBidi"/>
          <w:bCs w:val="0"/>
          <w:noProof/>
          <w:sz w:val="22"/>
          <w:szCs w:val="22"/>
          <w:lang w:val="es-ES" w:eastAsia="en-US"/>
        </w:rPr>
        <w:tab/>
      </w:r>
      <w:r w:rsidRPr="000B1E6A">
        <w:rPr>
          <w:noProof/>
          <w:lang w:val="es-MX"/>
        </w:rPr>
        <w:t>Información disponible durante las rondas de reloj</w:t>
      </w:r>
      <w:r w:rsidRPr="00D23B9F">
        <w:rPr>
          <w:noProof/>
          <w:lang w:val="es-ES"/>
        </w:rPr>
        <w:tab/>
      </w:r>
      <w:r>
        <w:rPr>
          <w:noProof/>
        </w:rPr>
        <w:fldChar w:fldCharType="begin"/>
      </w:r>
      <w:r w:rsidRPr="00D23B9F">
        <w:rPr>
          <w:noProof/>
          <w:lang w:val="es-ES"/>
        </w:rPr>
        <w:instrText xml:space="preserve"> PAGEREF _Toc430281537 \h </w:instrText>
      </w:r>
      <w:r>
        <w:rPr>
          <w:noProof/>
        </w:rPr>
      </w:r>
      <w:r>
        <w:rPr>
          <w:noProof/>
        </w:rPr>
        <w:fldChar w:fldCharType="separate"/>
      </w:r>
      <w:r>
        <w:rPr>
          <w:noProof/>
          <w:lang w:val="es-ES"/>
        </w:rPr>
        <w:t>21</w:t>
      </w:r>
      <w:r>
        <w:rPr>
          <w:noProof/>
        </w:rPr>
        <w:fldChar w:fldCharType="end"/>
      </w:r>
    </w:p>
    <w:p w14:paraId="57B2EE35"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ES"/>
        </w:rPr>
        <w:t>4.1.8.</w:t>
      </w:r>
      <w:r w:rsidRPr="00D23B9F">
        <w:rPr>
          <w:rFonts w:asciiTheme="minorHAnsi" w:eastAsiaTheme="minorEastAsia" w:hAnsiTheme="minorHAnsi" w:cstheme="minorBidi"/>
          <w:bCs w:val="0"/>
          <w:noProof/>
          <w:sz w:val="22"/>
          <w:szCs w:val="22"/>
          <w:lang w:val="es-ES" w:eastAsia="en-US"/>
        </w:rPr>
        <w:tab/>
      </w:r>
      <w:r w:rsidRPr="000B1E6A">
        <w:rPr>
          <w:noProof/>
          <w:lang w:val="es-MX"/>
        </w:rPr>
        <w:t>Finalización de las rondas de reloj</w:t>
      </w:r>
      <w:r w:rsidRPr="00D23B9F">
        <w:rPr>
          <w:noProof/>
          <w:lang w:val="es-ES"/>
        </w:rPr>
        <w:tab/>
      </w:r>
      <w:r>
        <w:rPr>
          <w:noProof/>
        </w:rPr>
        <w:fldChar w:fldCharType="begin"/>
      </w:r>
      <w:r w:rsidRPr="00D23B9F">
        <w:rPr>
          <w:noProof/>
          <w:lang w:val="es-ES"/>
        </w:rPr>
        <w:instrText xml:space="preserve"> PAGEREF _Toc430281538 \h </w:instrText>
      </w:r>
      <w:r>
        <w:rPr>
          <w:noProof/>
        </w:rPr>
      </w:r>
      <w:r>
        <w:rPr>
          <w:noProof/>
        </w:rPr>
        <w:fldChar w:fldCharType="separate"/>
      </w:r>
      <w:r>
        <w:rPr>
          <w:noProof/>
          <w:lang w:val="es-ES"/>
        </w:rPr>
        <w:t>21</w:t>
      </w:r>
      <w:r>
        <w:rPr>
          <w:noProof/>
        </w:rPr>
        <w:fldChar w:fldCharType="end"/>
      </w:r>
    </w:p>
    <w:p w14:paraId="06694897"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MX"/>
        </w:rPr>
        <w:t>4.2.</w:t>
      </w:r>
      <w:r w:rsidRPr="00D23B9F">
        <w:rPr>
          <w:rFonts w:asciiTheme="minorHAnsi" w:eastAsiaTheme="minorEastAsia" w:hAnsiTheme="minorHAnsi" w:cstheme="minorBidi"/>
          <w:bCs w:val="0"/>
          <w:noProof/>
          <w:sz w:val="22"/>
          <w:szCs w:val="22"/>
          <w:lang w:val="es-ES" w:eastAsia="en-US"/>
        </w:rPr>
        <w:tab/>
      </w:r>
      <w:r w:rsidRPr="000B1E6A">
        <w:rPr>
          <w:noProof/>
          <w:lang w:val="es-MX"/>
        </w:rPr>
        <w:t>La ronda suplementaria</w:t>
      </w:r>
      <w:r w:rsidRPr="00D23B9F">
        <w:rPr>
          <w:noProof/>
          <w:lang w:val="es-ES"/>
        </w:rPr>
        <w:tab/>
      </w:r>
      <w:r>
        <w:rPr>
          <w:noProof/>
        </w:rPr>
        <w:fldChar w:fldCharType="begin"/>
      </w:r>
      <w:r w:rsidRPr="00D23B9F">
        <w:rPr>
          <w:noProof/>
          <w:lang w:val="es-ES"/>
        </w:rPr>
        <w:instrText xml:space="preserve"> PAGEREF _Toc430281539 \h </w:instrText>
      </w:r>
      <w:r>
        <w:rPr>
          <w:noProof/>
        </w:rPr>
      </w:r>
      <w:r>
        <w:rPr>
          <w:noProof/>
        </w:rPr>
        <w:fldChar w:fldCharType="separate"/>
      </w:r>
      <w:r>
        <w:rPr>
          <w:noProof/>
          <w:lang w:val="es-ES"/>
        </w:rPr>
        <w:t>22</w:t>
      </w:r>
      <w:r>
        <w:rPr>
          <w:noProof/>
        </w:rPr>
        <w:fldChar w:fldCharType="end"/>
      </w:r>
    </w:p>
    <w:p w14:paraId="101288D9"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MX"/>
        </w:rPr>
        <w:t>4.2.1.</w:t>
      </w:r>
      <w:r w:rsidRPr="00D23B9F">
        <w:rPr>
          <w:rFonts w:asciiTheme="minorHAnsi" w:eastAsiaTheme="minorEastAsia" w:hAnsiTheme="minorHAnsi" w:cstheme="minorBidi"/>
          <w:bCs w:val="0"/>
          <w:noProof/>
          <w:sz w:val="22"/>
          <w:szCs w:val="22"/>
          <w:lang w:val="es-ES" w:eastAsia="en-US"/>
        </w:rPr>
        <w:tab/>
      </w:r>
      <w:r w:rsidRPr="000B1E6A">
        <w:rPr>
          <w:noProof/>
          <w:lang w:val="es-MX"/>
        </w:rPr>
        <w:t>Programación para la ronda suplementaria</w:t>
      </w:r>
      <w:r w:rsidRPr="00D23B9F">
        <w:rPr>
          <w:noProof/>
          <w:lang w:val="es-ES"/>
        </w:rPr>
        <w:tab/>
      </w:r>
      <w:r>
        <w:rPr>
          <w:noProof/>
        </w:rPr>
        <w:fldChar w:fldCharType="begin"/>
      </w:r>
      <w:r w:rsidRPr="00D23B9F">
        <w:rPr>
          <w:noProof/>
          <w:lang w:val="es-ES"/>
        </w:rPr>
        <w:instrText xml:space="preserve"> PAGEREF _Toc430281540 \h </w:instrText>
      </w:r>
      <w:r>
        <w:rPr>
          <w:noProof/>
        </w:rPr>
      </w:r>
      <w:r>
        <w:rPr>
          <w:noProof/>
        </w:rPr>
        <w:fldChar w:fldCharType="separate"/>
      </w:r>
      <w:r>
        <w:rPr>
          <w:noProof/>
          <w:lang w:val="es-ES"/>
        </w:rPr>
        <w:t>22</w:t>
      </w:r>
      <w:r>
        <w:rPr>
          <w:noProof/>
        </w:rPr>
        <w:fldChar w:fldCharType="end"/>
      </w:r>
    </w:p>
    <w:p w14:paraId="3218A4F4"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ES"/>
        </w:rPr>
        <w:t>4.2.2.</w:t>
      </w:r>
      <w:r w:rsidRPr="00D23B9F">
        <w:rPr>
          <w:rFonts w:asciiTheme="minorHAnsi" w:eastAsiaTheme="minorEastAsia" w:hAnsiTheme="minorHAnsi" w:cstheme="minorBidi"/>
          <w:bCs w:val="0"/>
          <w:noProof/>
          <w:sz w:val="22"/>
          <w:szCs w:val="22"/>
          <w:lang w:val="es-ES" w:eastAsia="en-US"/>
        </w:rPr>
        <w:tab/>
      </w:r>
      <w:r w:rsidRPr="000B1E6A">
        <w:rPr>
          <w:noProof/>
          <w:lang w:val="es-ES"/>
        </w:rPr>
        <w:t>Restricciones en los montos de las ofertas económicas para la ronda suplementaria</w:t>
      </w:r>
      <w:r w:rsidRPr="00D23B9F">
        <w:rPr>
          <w:noProof/>
          <w:lang w:val="es-ES"/>
        </w:rPr>
        <w:tab/>
      </w:r>
      <w:r>
        <w:rPr>
          <w:noProof/>
        </w:rPr>
        <w:fldChar w:fldCharType="begin"/>
      </w:r>
      <w:r w:rsidRPr="00D23B9F">
        <w:rPr>
          <w:noProof/>
          <w:lang w:val="es-ES"/>
        </w:rPr>
        <w:instrText xml:space="preserve"> PAGEREF _Toc430281541 \h </w:instrText>
      </w:r>
      <w:r>
        <w:rPr>
          <w:noProof/>
        </w:rPr>
      </w:r>
      <w:r>
        <w:rPr>
          <w:noProof/>
        </w:rPr>
        <w:fldChar w:fldCharType="separate"/>
      </w:r>
      <w:r>
        <w:rPr>
          <w:noProof/>
          <w:lang w:val="es-ES"/>
        </w:rPr>
        <w:t>23</w:t>
      </w:r>
      <w:r>
        <w:rPr>
          <w:noProof/>
        </w:rPr>
        <w:fldChar w:fldCharType="end"/>
      </w:r>
    </w:p>
    <w:p w14:paraId="767D005A"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MX"/>
        </w:rPr>
        <w:t>4.2.3.</w:t>
      </w:r>
      <w:r w:rsidRPr="00D23B9F">
        <w:rPr>
          <w:rFonts w:asciiTheme="minorHAnsi" w:eastAsiaTheme="minorEastAsia" w:hAnsiTheme="minorHAnsi" w:cstheme="minorBidi"/>
          <w:bCs w:val="0"/>
          <w:noProof/>
          <w:sz w:val="22"/>
          <w:szCs w:val="22"/>
          <w:lang w:val="es-ES" w:eastAsia="en-US"/>
        </w:rPr>
        <w:tab/>
      </w:r>
      <w:r w:rsidRPr="000B1E6A">
        <w:rPr>
          <w:noProof/>
          <w:lang w:val="es-MX"/>
        </w:rPr>
        <w:t>Presentación de la oferta en la ronda suplementaria</w:t>
      </w:r>
      <w:r w:rsidRPr="00D23B9F">
        <w:rPr>
          <w:noProof/>
          <w:lang w:val="es-ES"/>
        </w:rPr>
        <w:tab/>
      </w:r>
      <w:r>
        <w:rPr>
          <w:noProof/>
        </w:rPr>
        <w:fldChar w:fldCharType="begin"/>
      </w:r>
      <w:r w:rsidRPr="00D23B9F">
        <w:rPr>
          <w:noProof/>
          <w:lang w:val="es-ES"/>
        </w:rPr>
        <w:instrText xml:space="preserve"> PAGEREF _Toc430281542 \h </w:instrText>
      </w:r>
      <w:r>
        <w:rPr>
          <w:noProof/>
        </w:rPr>
      </w:r>
      <w:r>
        <w:rPr>
          <w:noProof/>
        </w:rPr>
        <w:fldChar w:fldCharType="separate"/>
      </w:r>
      <w:r>
        <w:rPr>
          <w:noProof/>
          <w:lang w:val="es-ES"/>
        </w:rPr>
        <w:t>25</w:t>
      </w:r>
      <w:r>
        <w:rPr>
          <w:noProof/>
        </w:rPr>
        <w:fldChar w:fldCharType="end"/>
      </w:r>
    </w:p>
    <w:p w14:paraId="34836320"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ES"/>
        </w:rPr>
        <w:t>4.2.4.</w:t>
      </w:r>
      <w:r w:rsidRPr="00D23B9F">
        <w:rPr>
          <w:rFonts w:asciiTheme="minorHAnsi" w:eastAsiaTheme="minorEastAsia" w:hAnsiTheme="minorHAnsi" w:cstheme="minorBidi"/>
          <w:bCs w:val="0"/>
          <w:noProof/>
          <w:sz w:val="22"/>
          <w:szCs w:val="22"/>
          <w:lang w:val="es-ES" w:eastAsia="en-US"/>
        </w:rPr>
        <w:tab/>
      </w:r>
      <w:r w:rsidRPr="000B1E6A">
        <w:rPr>
          <w:noProof/>
          <w:lang w:val="es-ES"/>
        </w:rPr>
        <w:t>Validez de las ofertas suplementarias</w:t>
      </w:r>
      <w:r w:rsidRPr="00D23B9F">
        <w:rPr>
          <w:noProof/>
          <w:lang w:val="es-ES"/>
        </w:rPr>
        <w:tab/>
      </w:r>
      <w:r>
        <w:rPr>
          <w:noProof/>
        </w:rPr>
        <w:fldChar w:fldCharType="begin"/>
      </w:r>
      <w:r w:rsidRPr="00D23B9F">
        <w:rPr>
          <w:noProof/>
          <w:lang w:val="es-ES"/>
        </w:rPr>
        <w:instrText xml:space="preserve"> PAGEREF _Toc430281543 \h </w:instrText>
      </w:r>
      <w:r>
        <w:rPr>
          <w:noProof/>
        </w:rPr>
      </w:r>
      <w:r>
        <w:rPr>
          <w:noProof/>
        </w:rPr>
        <w:fldChar w:fldCharType="separate"/>
      </w:r>
      <w:r>
        <w:rPr>
          <w:noProof/>
          <w:lang w:val="es-ES"/>
        </w:rPr>
        <w:t>26</w:t>
      </w:r>
      <w:r>
        <w:rPr>
          <w:noProof/>
        </w:rPr>
        <w:fldChar w:fldCharType="end"/>
      </w:r>
    </w:p>
    <w:p w14:paraId="2F7E81CA"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ES"/>
        </w:rPr>
        <w:t>4.2.5.</w:t>
      </w:r>
      <w:r w:rsidRPr="00D23B9F">
        <w:rPr>
          <w:rFonts w:asciiTheme="minorHAnsi" w:eastAsiaTheme="minorEastAsia" w:hAnsiTheme="minorHAnsi" w:cstheme="minorBidi"/>
          <w:bCs w:val="0"/>
          <w:noProof/>
          <w:sz w:val="22"/>
          <w:szCs w:val="22"/>
          <w:lang w:val="es-ES" w:eastAsia="en-US"/>
        </w:rPr>
        <w:tab/>
      </w:r>
      <w:r w:rsidRPr="000B1E6A">
        <w:rPr>
          <w:noProof/>
          <w:lang w:val="es-ES"/>
        </w:rPr>
        <w:t>Determinación del ganador</w:t>
      </w:r>
      <w:r w:rsidRPr="00D23B9F">
        <w:rPr>
          <w:noProof/>
          <w:lang w:val="es-ES"/>
        </w:rPr>
        <w:tab/>
      </w:r>
      <w:r>
        <w:rPr>
          <w:noProof/>
        </w:rPr>
        <w:fldChar w:fldCharType="begin"/>
      </w:r>
      <w:r w:rsidRPr="00D23B9F">
        <w:rPr>
          <w:noProof/>
          <w:lang w:val="es-ES"/>
        </w:rPr>
        <w:instrText xml:space="preserve"> PAGEREF _Toc430281544 \h </w:instrText>
      </w:r>
      <w:r>
        <w:rPr>
          <w:noProof/>
        </w:rPr>
      </w:r>
      <w:r>
        <w:rPr>
          <w:noProof/>
        </w:rPr>
        <w:fldChar w:fldCharType="separate"/>
      </w:r>
      <w:r>
        <w:rPr>
          <w:noProof/>
          <w:lang w:val="es-ES"/>
        </w:rPr>
        <w:t>27</w:t>
      </w:r>
      <w:r>
        <w:rPr>
          <w:noProof/>
        </w:rPr>
        <w:fldChar w:fldCharType="end"/>
      </w:r>
    </w:p>
    <w:p w14:paraId="234600F2" w14:textId="77777777" w:rsidR="0045050D" w:rsidRPr="00D23B9F" w:rsidRDefault="0045050D" w:rsidP="0045050D">
      <w:pPr>
        <w:pStyle w:val="TDC3"/>
        <w:rPr>
          <w:rFonts w:asciiTheme="minorHAnsi" w:eastAsiaTheme="minorEastAsia" w:hAnsiTheme="minorHAnsi" w:cstheme="minorBidi"/>
          <w:bCs w:val="0"/>
          <w:noProof/>
          <w:sz w:val="22"/>
          <w:szCs w:val="22"/>
          <w:lang w:val="es-ES" w:eastAsia="en-US"/>
        </w:rPr>
      </w:pPr>
      <w:r w:rsidRPr="000B1E6A">
        <w:rPr>
          <w:noProof/>
          <w:lang w:val="es-ES"/>
        </w:rPr>
        <w:t>4.2.6.</w:t>
      </w:r>
      <w:r w:rsidRPr="00D23B9F">
        <w:rPr>
          <w:rFonts w:asciiTheme="minorHAnsi" w:eastAsiaTheme="minorEastAsia" w:hAnsiTheme="minorHAnsi" w:cstheme="minorBidi"/>
          <w:bCs w:val="0"/>
          <w:noProof/>
          <w:sz w:val="22"/>
          <w:szCs w:val="22"/>
          <w:lang w:val="es-ES" w:eastAsia="en-US"/>
        </w:rPr>
        <w:tab/>
      </w:r>
      <w:r w:rsidRPr="000B1E6A">
        <w:rPr>
          <w:noProof/>
          <w:lang w:val="es-ES"/>
        </w:rPr>
        <w:t>Determinando los precios de la subasta</w:t>
      </w:r>
      <w:r w:rsidRPr="00D23B9F">
        <w:rPr>
          <w:noProof/>
          <w:lang w:val="es-ES"/>
        </w:rPr>
        <w:tab/>
      </w:r>
      <w:r>
        <w:rPr>
          <w:noProof/>
        </w:rPr>
        <w:fldChar w:fldCharType="begin"/>
      </w:r>
      <w:r w:rsidRPr="00D23B9F">
        <w:rPr>
          <w:noProof/>
          <w:lang w:val="es-ES"/>
        </w:rPr>
        <w:instrText xml:space="preserve"> PAGEREF _Toc430281545 \h </w:instrText>
      </w:r>
      <w:r>
        <w:rPr>
          <w:noProof/>
        </w:rPr>
      </w:r>
      <w:r>
        <w:rPr>
          <w:noProof/>
        </w:rPr>
        <w:fldChar w:fldCharType="separate"/>
      </w:r>
      <w:r>
        <w:rPr>
          <w:noProof/>
          <w:lang w:val="es-ES"/>
        </w:rPr>
        <w:t>28</w:t>
      </w:r>
      <w:r>
        <w:rPr>
          <w:noProof/>
        </w:rPr>
        <w:fldChar w:fldCharType="end"/>
      </w:r>
    </w:p>
    <w:p w14:paraId="4F9F003B"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ES"/>
        </w:rPr>
        <w:t>4.3.</w:t>
      </w:r>
      <w:r w:rsidRPr="00D23B9F">
        <w:rPr>
          <w:rFonts w:asciiTheme="minorHAnsi" w:eastAsiaTheme="minorEastAsia" w:hAnsiTheme="minorHAnsi" w:cstheme="minorBidi"/>
          <w:bCs w:val="0"/>
          <w:noProof/>
          <w:sz w:val="22"/>
          <w:szCs w:val="22"/>
          <w:lang w:val="es-ES" w:eastAsia="en-US"/>
        </w:rPr>
        <w:tab/>
      </w:r>
      <w:r w:rsidRPr="000B1E6A">
        <w:rPr>
          <w:noProof/>
          <w:lang w:val="es-ES"/>
        </w:rPr>
        <w:t>Final de la Fase Primaria</w:t>
      </w:r>
      <w:r w:rsidRPr="00D23B9F">
        <w:rPr>
          <w:noProof/>
          <w:lang w:val="es-ES"/>
        </w:rPr>
        <w:tab/>
      </w:r>
      <w:r>
        <w:rPr>
          <w:noProof/>
        </w:rPr>
        <w:fldChar w:fldCharType="begin"/>
      </w:r>
      <w:r w:rsidRPr="00D23B9F">
        <w:rPr>
          <w:noProof/>
          <w:lang w:val="es-ES"/>
        </w:rPr>
        <w:instrText xml:space="preserve"> PAGEREF _Toc430281546 \h </w:instrText>
      </w:r>
      <w:r>
        <w:rPr>
          <w:noProof/>
        </w:rPr>
      </w:r>
      <w:r>
        <w:rPr>
          <w:noProof/>
        </w:rPr>
        <w:fldChar w:fldCharType="separate"/>
      </w:r>
      <w:r>
        <w:rPr>
          <w:noProof/>
          <w:lang w:val="es-ES"/>
        </w:rPr>
        <w:t>29</w:t>
      </w:r>
      <w:r>
        <w:rPr>
          <w:noProof/>
        </w:rPr>
        <w:fldChar w:fldCharType="end"/>
      </w:r>
    </w:p>
    <w:p w14:paraId="21D8B9BE" w14:textId="77777777" w:rsidR="0045050D" w:rsidRPr="00D23B9F" w:rsidRDefault="0045050D" w:rsidP="0045050D">
      <w:pPr>
        <w:pStyle w:val="TDC1"/>
        <w:rPr>
          <w:rFonts w:asciiTheme="minorHAnsi" w:eastAsiaTheme="minorEastAsia" w:hAnsiTheme="minorHAnsi" w:cstheme="minorBidi"/>
          <w:b w:val="0"/>
          <w:bCs w:val="0"/>
          <w:noProof/>
          <w:sz w:val="22"/>
          <w:szCs w:val="22"/>
          <w:lang w:val="es-ES" w:eastAsia="en-US"/>
        </w:rPr>
      </w:pPr>
      <w:r w:rsidRPr="000B1E6A">
        <w:rPr>
          <w:noProof/>
          <w:lang w:val="es-MX"/>
        </w:rPr>
        <w:t>5.</w:t>
      </w:r>
      <w:r w:rsidRPr="00D23B9F">
        <w:rPr>
          <w:rFonts w:asciiTheme="minorHAnsi" w:eastAsiaTheme="minorEastAsia" w:hAnsiTheme="minorHAnsi" w:cstheme="minorBidi"/>
          <w:b w:val="0"/>
          <w:bCs w:val="0"/>
          <w:noProof/>
          <w:sz w:val="22"/>
          <w:szCs w:val="22"/>
          <w:lang w:val="es-ES" w:eastAsia="en-US"/>
        </w:rPr>
        <w:tab/>
      </w:r>
      <w:r w:rsidRPr="000B1E6A">
        <w:rPr>
          <w:noProof/>
          <w:lang w:val="es-MX"/>
        </w:rPr>
        <w:t>Fase de Asignación</w:t>
      </w:r>
      <w:r w:rsidRPr="00D23B9F">
        <w:rPr>
          <w:noProof/>
          <w:lang w:val="es-ES"/>
        </w:rPr>
        <w:tab/>
      </w:r>
      <w:r>
        <w:rPr>
          <w:noProof/>
        </w:rPr>
        <w:fldChar w:fldCharType="begin"/>
      </w:r>
      <w:r w:rsidRPr="00D23B9F">
        <w:rPr>
          <w:noProof/>
          <w:lang w:val="es-ES"/>
        </w:rPr>
        <w:instrText xml:space="preserve"> PAGEREF _Toc430281547 \h </w:instrText>
      </w:r>
      <w:r>
        <w:rPr>
          <w:noProof/>
        </w:rPr>
      </w:r>
      <w:r>
        <w:rPr>
          <w:noProof/>
        </w:rPr>
        <w:fldChar w:fldCharType="separate"/>
      </w:r>
      <w:r>
        <w:rPr>
          <w:noProof/>
          <w:lang w:val="es-ES"/>
        </w:rPr>
        <w:t>29</w:t>
      </w:r>
      <w:r>
        <w:rPr>
          <w:noProof/>
        </w:rPr>
        <w:fldChar w:fldCharType="end"/>
      </w:r>
    </w:p>
    <w:p w14:paraId="125A6D7E"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MX"/>
        </w:rPr>
        <w:t>5.1.</w:t>
      </w:r>
      <w:r w:rsidRPr="00D23B9F">
        <w:rPr>
          <w:rFonts w:asciiTheme="minorHAnsi" w:eastAsiaTheme="minorEastAsia" w:hAnsiTheme="minorHAnsi" w:cstheme="minorBidi"/>
          <w:bCs w:val="0"/>
          <w:noProof/>
          <w:sz w:val="22"/>
          <w:szCs w:val="22"/>
          <w:lang w:val="es-ES" w:eastAsia="en-US"/>
        </w:rPr>
        <w:tab/>
      </w:r>
      <w:r w:rsidRPr="000B1E6A">
        <w:rPr>
          <w:noProof/>
          <w:lang w:val="es-MX"/>
        </w:rPr>
        <w:t>Reglas de Asignación para el Escenario I</w:t>
      </w:r>
      <w:r w:rsidRPr="00D23B9F">
        <w:rPr>
          <w:noProof/>
          <w:lang w:val="es-ES"/>
        </w:rPr>
        <w:tab/>
      </w:r>
      <w:r>
        <w:rPr>
          <w:noProof/>
        </w:rPr>
        <w:fldChar w:fldCharType="begin"/>
      </w:r>
      <w:r w:rsidRPr="00D23B9F">
        <w:rPr>
          <w:noProof/>
          <w:lang w:val="es-ES"/>
        </w:rPr>
        <w:instrText xml:space="preserve"> PAGEREF _Toc430281548 \h </w:instrText>
      </w:r>
      <w:r>
        <w:rPr>
          <w:noProof/>
        </w:rPr>
      </w:r>
      <w:r>
        <w:rPr>
          <w:noProof/>
        </w:rPr>
        <w:fldChar w:fldCharType="separate"/>
      </w:r>
      <w:r>
        <w:rPr>
          <w:noProof/>
          <w:lang w:val="es-ES"/>
        </w:rPr>
        <w:t>30</w:t>
      </w:r>
      <w:r>
        <w:rPr>
          <w:noProof/>
        </w:rPr>
        <w:fldChar w:fldCharType="end"/>
      </w:r>
    </w:p>
    <w:p w14:paraId="3227287B"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MX"/>
        </w:rPr>
        <w:t>5.2.</w:t>
      </w:r>
      <w:r w:rsidRPr="00D23B9F">
        <w:rPr>
          <w:rFonts w:asciiTheme="minorHAnsi" w:eastAsiaTheme="minorEastAsia" w:hAnsiTheme="minorHAnsi" w:cstheme="minorBidi"/>
          <w:bCs w:val="0"/>
          <w:noProof/>
          <w:sz w:val="22"/>
          <w:szCs w:val="22"/>
          <w:lang w:val="es-ES" w:eastAsia="en-US"/>
        </w:rPr>
        <w:tab/>
      </w:r>
      <w:r w:rsidRPr="000B1E6A">
        <w:rPr>
          <w:noProof/>
          <w:lang w:val="es-MX"/>
        </w:rPr>
        <w:t>Reglas de Asignación para el Escenario II</w:t>
      </w:r>
      <w:r w:rsidRPr="00D23B9F">
        <w:rPr>
          <w:noProof/>
          <w:lang w:val="es-ES"/>
        </w:rPr>
        <w:tab/>
      </w:r>
      <w:r>
        <w:rPr>
          <w:noProof/>
        </w:rPr>
        <w:fldChar w:fldCharType="begin"/>
      </w:r>
      <w:r w:rsidRPr="00D23B9F">
        <w:rPr>
          <w:noProof/>
          <w:lang w:val="es-ES"/>
        </w:rPr>
        <w:instrText xml:space="preserve"> PAGEREF _Toc430281549 \h </w:instrText>
      </w:r>
      <w:r>
        <w:rPr>
          <w:noProof/>
        </w:rPr>
      </w:r>
      <w:r>
        <w:rPr>
          <w:noProof/>
        </w:rPr>
        <w:fldChar w:fldCharType="separate"/>
      </w:r>
      <w:r>
        <w:rPr>
          <w:noProof/>
          <w:lang w:val="es-ES"/>
        </w:rPr>
        <w:t>31</w:t>
      </w:r>
      <w:r>
        <w:rPr>
          <w:noProof/>
        </w:rPr>
        <w:fldChar w:fldCharType="end"/>
      </w:r>
    </w:p>
    <w:p w14:paraId="2348C8E2"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MX"/>
        </w:rPr>
        <w:lastRenderedPageBreak/>
        <w:t>5.3.</w:t>
      </w:r>
      <w:r w:rsidRPr="00D23B9F">
        <w:rPr>
          <w:rFonts w:asciiTheme="minorHAnsi" w:eastAsiaTheme="minorEastAsia" w:hAnsiTheme="minorHAnsi" w:cstheme="minorBidi"/>
          <w:bCs w:val="0"/>
          <w:noProof/>
          <w:sz w:val="22"/>
          <w:szCs w:val="22"/>
          <w:lang w:val="es-ES" w:eastAsia="en-US"/>
        </w:rPr>
        <w:tab/>
      </w:r>
      <w:r w:rsidRPr="000B1E6A">
        <w:rPr>
          <w:noProof/>
          <w:lang w:val="es-ES"/>
        </w:rPr>
        <w:t>Contraprestación a pagar por los Participantes Ganadores</w:t>
      </w:r>
      <w:r w:rsidRPr="00D23B9F">
        <w:rPr>
          <w:noProof/>
          <w:lang w:val="es-ES"/>
        </w:rPr>
        <w:tab/>
      </w:r>
      <w:r>
        <w:rPr>
          <w:noProof/>
        </w:rPr>
        <w:fldChar w:fldCharType="begin"/>
      </w:r>
      <w:r w:rsidRPr="00D23B9F">
        <w:rPr>
          <w:noProof/>
          <w:lang w:val="es-ES"/>
        </w:rPr>
        <w:instrText xml:space="preserve"> PAGEREF _Toc430281550 \h </w:instrText>
      </w:r>
      <w:r>
        <w:rPr>
          <w:noProof/>
        </w:rPr>
      </w:r>
      <w:r>
        <w:rPr>
          <w:noProof/>
        </w:rPr>
        <w:fldChar w:fldCharType="separate"/>
      </w:r>
      <w:r>
        <w:rPr>
          <w:noProof/>
          <w:lang w:val="es-ES"/>
        </w:rPr>
        <w:t>32</w:t>
      </w:r>
      <w:r>
        <w:rPr>
          <w:noProof/>
        </w:rPr>
        <w:fldChar w:fldCharType="end"/>
      </w:r>
    </w:p>
    <w:p w14:paraId="3A4F438B"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D23B9F">
        <w:rPr>
          <w:noProof/>
          <w:lang w:val="es-ES"/>
        </w:rPr>
        <w:t>5.4.</w:t>
      </w:r>
      <w:r w:rsidRPr="00D23B9F">
        <w:rPr>
          <w:rFonts w:asciiTheme="minorHAnsi" w:eastAsiaTheme="minorEastAsia" w:hAnsiTheme="minorHAnsi" w:cstheme="minorBidi"/>
          <w:bCs w:val="0"/>
          <w:noProof/>
          <w:sz w:val="22"/>
          <w:szCs w:val="22"/>
          <w:lang w:val="es-ES" w:eastAsia="en-US"/>
        </w:rPr>
        <w:tab/>
      </w:r>
      <w:r w:rsidRPr="000B1E6A">
        <w:rPr>
          <w:noProof/>
          <w:lang w:val="es-MX"/>
        </w:rPr>
        <w:t>Final de la subasta</w:t>
      </w:r>
      <w:r w:rsidRPr="00D23B9F">
        <w:rPr>
          <w:noProof/>
          <w:lang w:val="es-ES"/>
        </w:rPr>
        <w:tab/>
      </w:r>
      <w:r>
        <w:rPr>
          <w:noProof/>
        </w:rPr>
        <w:fldChar w:fldCharType="begin"/>
      </w:r>
      <w:r w:rsidRPr="00D23B9F">
        <w:rPr>
          <w:noProof/>
          <w:lang w:val="es-ES"/>
        </w:rPr>
        <w:instrText xml:space="preserve"> PAGEREF _Toc430281551 \h </w:instrText>
      </w:r>
      <w:r>
        <w:rPr>
          <w:noProof/>
        </w:rPr>
      </w:r>
      <w:r>
        <w:rPr>
          <w:noProof/>
        </w:rPr>
        <w:fldChar w:fldCharType="separate"/>
      </w:r>
      <w:r>
        <w:rPr>
          <w:noProof/>
          <w:lang w:val="es-ES"/>
        </w:rPr>
        <w:t>33</w:t>
      </w:r>
      <w:r>
        <w:rPr>
          <w:noProof/>
        </w:rPr>
        <w:fldChar w:fldCharType="end"/>
      </w:r>
    </w:p>
    <w:p w14:paraId="0DDF033E" w14:textId="77777777" w:rsidR="0045050D" w:rsidRPr="00D23B9F" w:rsidRDefault="0045050D" w:rsidP="0045050D">
      <w:pPr>
        <w:pStyle w:val="TDC1"/>
        <w:rPr>
          <w:rFonts w:asciiTheme="minorHAnsi" w:eastAsiaTheme="minorEastAsia" w:hAnsiTheme="minorHAnsi" w:cstheme="minorBidi"/>
          <w:b w:val="0"/>
          <w:bCs w:val="0"/>
          <w:noProof/>
          <w:sz w:val="22"/>
          <w:szCs w:val="22"/>
          <w:lang w:val="es-ES" w:eastAsia="en-US"/>
        </w:rPr>
      </w:pPr>
      <w:r w:rsidRPr="00D23B9F">
        <w:rPr>
          <w:noProof/>
          <w:lang w:val="es-ES"/>
        </w:rPr>
        <w:t>Anexo 1: Listas completas de paquetes permitidos</w:t>
      </w:r>
      <w:r w:rsidRPr="00D23B9F">
        <w:rPr>
          <w:noProof/>
          <w:lang w:val="es-ES"/>
        </w:rPr>
        <w:tab/>
      </w:r>
      <w:r>
        <w:rPr>
          <w:noProof/>
        </w:rPr>
        <w:fldChar w:fldCharType="begin"/>
      </w:r>
      <w:r w:rsidRPr="00D23B9F">
        <w:rPr>
          <w:noProof/>
          <w:lang w:val="es-ES"/>
        </w:rPr>
        <w:instrText xml:space="preserve"> PAGEREF _Toc430281552 \h </w:instrText>
      </w:r>
      <w:r>
        <w:rPr>
          <w:noProof/>
        </w:rPr>
      </w:r>
      <w:r>
        <w:rPr>
          <w:noProof/>
        </w:rPr>
        <w:fldChar w:fldCharType="separate"/>
      </w:r>
      <w:r>
        <w:rPr>
          <w:noProof/>
          <w:lang w:val="es-ES"/>
        </w:rPr>
        <w:t>34</w:t>
      </w:r>
      <w:r>
        <w:rPr>
          <w:noProof/>
        </w:rPr>
        <w:fldChar w:fldCharType="end"/>
      </w:r>
    </w:p>
    <w:p w14:paraId="3F8C0989"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MX"/>
        </w:rPr>
        <w:t>A.1.</w:t>
      </w:r>
      <w:r w:rsidRPr="00D23B9F">
        <w:rPr>
          <w:rFonts w:asciiTheme="minorHAnsi" w:eastAsiaTheme="minorEastAsia" w:hAnsiTheme="minorHAnsi" w:cstheme="minorBidi"/>
          <w:bCs w:val="0"/>
          <w:noProof/>
          <w:sz w:val="22"/>
          <w:szCs w:val="22"/>
          <w:lang w:val="es-ES" w:eastAsia="en-US"/>
        </w:rPr>
        <w:tab/>
      </w:r>
      <w:r w:rsidRPr="000B1E6A">
        <w:rPr>
          <w:noProof/>
          <w:lang w:val="es-MX"/>
        </w:rPr>
        <w:t>Paquetes permitidos para el Escenario I</w:t>
      </w:r>
      <w:r w:rsidRPr="00D23B9F">
        <w:rPr>
          <w:noProof/>
          <w:lang w:val="es-ES"/>
        </w:rPr>
        <w:tab/>
      </w:r>
      <w:r>
        <w:rPr>
          <w:noProof/>
        </w:rPr>
        <w:fldChar w:fldCharType="begin"/>
      </w:r>
      <w:r w:rsidRPr="00D23B9F">
        <w:rPr>
          <w:noProof/>
          <w:lang w:val="es-ES"/>
        </w:rPr>
        <w:instrText xml:space="preserve"> PAGEREF _Toc430281553 \h </w:instrText>
      </w:r>
      <w:r>
        <w:rPr>
          <w:noProof/>
        </w:rPr>
      </w:r>
      <w:r>
        <w:rPr>
          <w:noProof/>
        </w:rPr>
        <w:fldChar w:fldCharType="separate"/>
      </w:r>
      <w:r>
        <w:rPr>
          <w:noProof/>
          <w:lang w:val="es-ES"/>
        </w:rPr>
        <w:t>34</w:t>
      </w:r>
      <w:r>
        <w:rPr>
          <w:noProof/>
        </w:rPr>
        <w:fldChar w:fldCharType="end"/>
      </w:r>
    </w:p>
    <w:p w14:paraId="7A56A675" w14:textId="77777777" w:rsidR="0045050D" w:rsidRPr="00D23B9F" w:rsidRDefault="0045050D" w:rsidP="0045050D">
      <w:pPr>
        <w:pStyle w:val="TDC2"/>
        <w:rPr>
          <w:rFonts w:asciiTheme="minorHAnsi" w:eastAsiaTheme="minorEastAsia" w:hAnsiTheme="minorHAnsi" w:cstheme="minorBidi"/>
          <w:bCs w:val="0"/>
          <w:noProof/>
          <w:sz w:val="22"/>
          <w:szCs w:val="22"/>
          <w:lang w:val="es-ES" w:eastAsia="en-US"/>
        </w:rPr>
      </w:pPr>
      <w:r w:rsidRPr="000B1E6A">
        <w:rPr>
          <w:noProof/>
          <w:lang w:val="es-MX"/>
        </w:rPr>
        <w:t>A.2.</w:t>
      </w:r>
      <w:r w:rsidRPr="00D23B9F">
        <w:rPr>
          <w:rFonts w:asciiTheme="minorHAnsi" w:eastAsiaTheme="minorEastAsia" w:hAnsiTheme="minorHAnsi" w:cstheme="minorBidi"/>
          <w:bCs w:val="0"/>
          <w:noProof/>
          <w:sz w:val="22"/>
          <w:szCs w:val="22"/>
          <w:lang w:val="es-ES" w:eastAsia="en-US"/>
        </w:rPr>
        <w:tab/>
      </w:r>
      <w:r w:rsidRPr="000B1E6A">
        <w:rPr>
          <w:noProof/>
          <w:lang w:val="es-MX"/>
        </w:rPr>
        <w:t>Paquetes permitidos para el Escenario II</w:t>
      </w:r>
      <w:r w:rsidRPr="00D23B9F">
        <w:rPr>
          <w:noProof/>
          <w:lang w:val="es-ES"/>
        </w:rPr>
        <w:tab/>
      </w:r>
      <w:r>
        <w:rPr>
          <w:noProof/>
        </w:rPr>
        <w:fldChar w:fldCharType="begin"/>
      </w:r>
      <w:r w:rsidRPr="00D23B9F">
        <w:rPr>
          <w:noProof/>
          <w:lang w:val="es-ES"/>
        </w:rPr>
        <w:instrText xml:space="preserve"> PAGEREF _Toc430281554 \h </w:instrText>
      </w:r>
      <w:r>
        <w:rPr>
          <w:noProof/>
        </w:rPr>
      </w:r>
      <w:r>
        <w:rPr>
          <w:noProof/>
        </w:rPr>
        <w:fldChar w:fldCharType="separate"/>
      </w:r>
      <w:r>
        <w:rPr>
          <w:noProof/>
          <w:lang w:val="es-ES"/>
        </w:rPr>
        <w:t>37</w:t>
      </w:r>
      <w:r>
        <w:rPr>
          <w:noProof/>
        </w:rPr>
        <w:fldChar w:fldCharType="end"/>
      </w:r>
    </w:p>
    <w:p w14:paraId="693CC09A" w14:textId="77777777" w:rsidR="0045050D" w:rsidRPr="00D52957" w:rsidRDefault="0045050D" w:rsidP="0045050D">
      <w:pPr>
        <w:rPr>
          <w:lang w:val="es-ES"/>
        </w:rPr>
      </w:pPr>
      <w:r>
        <w:fldChar w:fldCharType="end"/>
      </w:r>
    </w:p>
    <w:p w14:paraId="5AB5B593" w14:textId="77777777" w:rsidR="0045050D" w:rsidRPr="00D52957" w:rsidRDefault="0045050D" w:rsidP="0045050D">
      <w:pPr>
        <w:rPr>
          <w:lang w:val="es-ES"/>
        </w:rPr>
        <w:sectPr w:rsidR="0045050D" w:rsidRPr="00D52957" w:rsidSect="00CF391D">
          <w:headerReference w:type="even" r:id="rId15"/>
          <w:headerReference w:type="default" r:id="rId16"/>
          <w:pgSz w:w="12240" w:h="15840" w:code="1"/>
          <w:pgMar w:top="1915" w:right="1440" w:bottom="1440" w:left="1440" w:header="835" w:footer="432" w:gutter="0"/>
          <w:pgNumType w:fmt="lowerRoman" w:start="1"/>
          <w:cols w:space="708"/>
          <w:docGrid w:linePitch="360"/>
        </w:sectPr>
      </w:pPr>
      <w:bookmarkStart w:id="8" w:name="xxTOsBreak"/>
      <w:bookmarkEnd w:id="6"/>
    </w:p>
    <w:p w14:paraId="0803BC3F" w14:textId="77777777" w:rsidR="0045050D" w:rsidRPr="0075696D" w:rsidRDefault="0045050D" w:rsidP="0045050D">
      <w:pPr>
        <w:pStyle w:val="Ttulo1"/>
        <w:jc w:val="both"/>
        <w:rPr>
          <w:lang w:val="en-US"/>
        </w:rPr>
      </w:pPr>
      <w:bookmarkStart w:id="9" w:name="xxChapter"/>
      <w:bookmarkStart w:id="10" w:name="_Toc429500309"/>
      <w:bookmarkStart w:id="11" w:name="_Toc430281518"/>
      <w:bookmarkStart w:id="12" w:name="_Toc429397847"/>
      <w:bookmarkEnd w:id="8"/>
      <w:bookmarkEnd w:id="9"/>
      <w:r w:rsidRPr="0075696D">
        <w:rPr>
          <w:lang w:val="es-MX"/>
        </w:rPr>
        <w:lastRenderedPageBreak/>
        <w:t>Introducción</w:t>
      </w:r>
      <w:bookmarkEnd w:id="10"/>
      <w:bookmarkEnd w:id="11"/>
    </w:p>
    <w:p w14:paraId="12596953" w14:textId="77777777" w:rsidR="0045050D" w:rsidRPr="00C96DA7" w:rsidRDefault="0045050D" w:rsidP="0045050D">
      <w:pPr>
        <w:pStyle w:val="Textoindependiente"/>
        <w:jc w:val="both"/>
        <w:rPr>
          <w:lang w:val="es-MX"/>
        </w:rPr>
      </w:pPr>
      <w:r w:rsidRPr="007E0177">
        <w:rPr>
          <w:lang w:val="es-MX"/>
        </w:rPr>
        <w:t>Este documento describe el espectro disponible y la</w:t>
      </w:r>
      <w:r>
        <w:rPr>
          <w:lang w:val="es-MX"/>
        </w:rPr>
        <w:t xml:space="preserve"> propuesta de </w:t>
      </w:r>
      <w:r w:rsidRPr="007E0177">
        <w:rPr>
          <w:lang w:val="es-MX"/>
        </w:rPr>
        <w:t xml:space="preserve">reglas y procedimientos de subasta para la concesión de espectro AWS en México en el </w:t>
      </w:r>
      <w:r>
        <w:rPr>
          <w:lang w:val="es-MX"/>
        </w:rPr>
        <w:t>período 2015-</w:t>
      </w:r>
      <w:r w:rsidRPr="007E0177">
        <w:rPr>
          <w:lang w:val="es-MX"/>
        </w:rPr>
        <w:t>2016. Cualquier persona o grupo interesado está invitado a presentar comentarios sobre cualquier aspecto de la propuesta.</w:t>
      </w:r>
    </w:p>
    <w:p w14:paraId="0B2A3D9E" w14:textId="77777777" w:rsidR="0045050D" w:rsidRPr="00E54E48" w:rsidRDefault="0045050D" w:rsidP="0045050D">
      <w:pPr>
        <w:pStyle w:val="Textoindependiente"/>
        <w:jc w:val="both"/>
        <w:rPr>
          <w:b/>
          <w:lang w:val="es-MX"/>
        </w:rPr>
      </w:pPr>
      <w:r w:rsidRPr="00E54E48">
        <w:rPr>
          <w:b/>
          <w:lang w:val="es-MX"/>
        </w:rPr>
        <w:t>Elección del formato de la subasta</w:t>
      </w:r>
    </w:p>
    <w:p w14:paraId="6E8A8D2B" w14:textId="77777777" w:rsidR="0045050D" w:rsidRPr="00C00C5F" w:rsidRDefault="0045050D" w:rsidP="0045050D">
      <w:pPr>
        <w:pStyle w:val="Textoindependiente"/>
        <w:jc w:val="both"/>
        <w:rPr>
          <w:lang w:val="es-MX"/>
        </w:rPr>
      </w:pPr>
      <w:r w:rsidRPr="00E54E48">
        <w:rPr>
          <w:lang w:val="es-MX"/>
        </w:rPr>
        <w:t xml:space="preserve">El </w:t>
      </w:r>
      <w:r>
        <w:rPr>
          <w:lang w:val="es-MX"/>
        </w:rPr>
        <w:t>Instituto</w:t>
      </w:r>
      <w:r w:rsidRPr="00E54E48">
        <w:rPr>
          <w:lang w:val="es-MX"/>
        </w:rPr>
        <w:t xml:space="preserve"> propone usar un formato de subasta de reloj combinatoria (en adelante se usarán sus siglas en inglés, CCA</w:t>
      </w:r>
      <w:r>
        <w:rPr>
          <w:rStyle w:val="Refdenotaalpie"/>
        </w:rPr>
        <w:footnoteReference w:id="2"/>
      </w:r>
      <w:r w:rsidRPr="00E54E48">
        <w:rPr>
          <w:lang w:val="es-MX"/>
        </w:rPr>
        <w:t>) para la concesión de espectro disponible</w:t>
      </w:r>
      <w:r>
        <w:rPr>
          <w:lang w:val="es-MX"/>
        </w:rPr>
        <w:t xml:space="preserve"> en la banda AWS</w:t>
      </w:r>
      <w:r w:rsidRPr="00E54E48">
        <w:rPr>
          <w:lang w:val="es-MX"/>
        </w:rPr>
        <w:t xml:space="preserve">. Este formato ha sido ampliamente usado </w:t>
      </w:r>
      <w:r w:rsidRPr="00C00C5F">
        <w:rPr>
          <w:lang w:val="es-MX"/>
        </w:rPr>
        <w:t xml:space="preserve">para las </w:t>
      </w:r>
      <w:r>
        <w:rPr>
          <w:lang w:val="es-MX"/>
        </w:rPr>
        <w:t>licitaciones</w:t>
      </w:r>
      <w:r w:rsidRPr="00C00C5F">
        <w:rPr>
          <w:lang w:val="es-MX"/>
        </w:rPr>
        <w:t xml:space="preserve"> de espectro 4G en otros países, incluyendo Australia, Canadá, Dinamarca, Irlanda, Holanda, Eslovaquia, Eslovenia, Suiza y el Reino Unido.</w:t>
      </w:r>
    </w:p>
    <w:p w14:paraId="5456A25B" w14:textId="77777777" w:rsidR="0045050D" w:rsidRPr="00C00C5F" w:rsidRDefault="0045050D" w:rsidP="0045050D">
      <w:pPr>
        <w:pStyle w:val="Textoindependiente"/>
        <w:jc w:val="both"/>
        <w:rPr>
          <w:lang w:val="es-MX"/>
        </w:rPr>
      </w:pPr>
      <w:r w:rsidRPr="00C00C5F">
        <w:rPr>
          <w:lang w:val="es-MX"/>
        </w:rPr>
        <w:t xml:space="preserve">El </w:t>
      </w:r>
      <w:r>
        <w:rPr>
          <w:lang w:val="es-MX"/>
        </w:rPr>
        <w:t>Instituto</w:t>
      </w:r>
      <w:r w:rsidRPr="00C00C5F">
        <w:rPr>
          <w:lang w:val="es-MX"/>
        </w:rPr>
        <w:t xml:space="preserve"> considera que el formato CCA ofrece ventajas en relación a </w:t>
      </w:r>
      <w:r>
        <w:rPr>
          <w:lang w:val="es-MX"/>
        </w:rPr>
        <w:t>otros</w:t>
      </w:r>
      <w:r w:rsidRPr="00C00C5F">
        <w:rPr>
          <w:lang w:val="es-MX"/>
        </w:rPr>
        <w:t xml:space="preserve"> formatos de subasta alternativos:</w:t>
      </w:r>
    </w:p>
    <w:p w14:paraId="1A9F6117" w14:textId="77777777" w:rsidR="0045050D" w:rsidRPr="00C00C5F" w:rsidRDefault="0045050D" w:rsidP="0045050D">
      <w:pPr>
        <w:pStyle w:val="Textoindependiente"/>
        <w:numPr>
          <w:ilvl w:val="0"/>
          <w:numId w:val="47"/>
        </w:numPr>
        <w:jc w:val="both"/>
        <w:rPr>
          <w:lang w:val="es-MX"/>
        </w:rPr>
      </w:pPr>
      <w:r w:rsidRPr="00C00C5F">
        <w:rPr>
          <w:lang w:val="es-MX"/>
        </w:rPr>
        <w:t>El formato CCA es un formato de subasta con múltiples rondas, lo cual fomenta el descubrimiento de precios y reduce la incertidumbre de</w:t>
      </w:r>
      <w:r>
        <w:rPr>
          <w:lang w:val="es-MX"/>
        </w:rPr>
        <w:t>l</w:t>
      </w:r>
      <w:r w:rsidRPr="00C00C5F">
        <w:rPr>
          <w:lang w:val="es-MX"/>
        </w:rPr>
        <w:t xml:space="preserve"> valor </w:t>
      </w:r>
      <w:r>
        <w:rPr>
          <w:lang w:val="es-MX"/>
        </w:rPr>
        <w:t>de mercado del espectro</w:t>
      </w:r>
      <w:r w:rsidRPr="00C00C5F">
        <w:rPr>
          <w:lang w:val="es-MX"/>
        </w:rPr>
        <w:t xml:space="preserve">.  </w:t>
      </w:r>
    </w:p>
    <w:p w14:paraId="6F5C75A3" w14:textId="77777777" w:rsidR="0045050D" w:rsidRPr="00C00C5F" w:rsidRDefault="0045050D" w:rsidP="0045050D">
      <w:pPr>
        <w:pStyle w:val="Textoindependiente"/>
        <w:numPr>
          <w:ilvl w:val="0"/>
          <w:numId w:val="47"/>
        </w:numPr>
        <w:jc w:val="both"/>
        <w:rPr>
          <w:lang w:val="es-MX"/>
        </w:rPr>
      </w:pPr>
      <w:r w:rsidRPr="00C00C5F">
        <w:rPr>
          <w:lang w:val="es-MX"/>
        </w:rPr>
        <w:t xml:space="preserve">El uso de </w:t>
      </w:r>
      <w:r>
        <w:rPr>
          <w:lang w:val="es-MX"/>
        </w:rPr>
        <w:t>ofertas económicas</w:t>
      </w:r>
      <w:r w:rsidRPr="00C00C5F">
        <w:rPr>
          <w:lang w:val="es-MX"/>
        </w:rPr>
        <w:t xml:space="preserve"> por paquetes elimina los riesgos de agregación, lo cual posibilita vender </w:t>
      </w:r>
      <w:r>
        <w:rPr>
          <w:lang w:val="es-MX"/>
        </w:rPr>
        <w:t>bloques</w:t>
      </w:r>
      <w:r w:rsidRPr="00C00C5F">
        <w:rPr>
          <w:lang w:val="es-MX"/>
        </w:rPr>
        <w:t xml:space="preserve"> en unidades 2x5 MHz y otorga a los participantes flexibilidad sustancial con respecto a los paquetes de espectro a los que pueden dirigirse en la subasta.</w:t>
      </w:r>
    </w:p>
    <w:p w14:paraId="4919D697" w14:textId="77777777" w:rsidR="0045050D" w:rsidRPr="00C00C5F" w:rsidRDefault="0045050D" w:rsidP="0045050D">
      <w:pPr>
        <w:pStyle w:val="Textoindependiente"/>
        <w:numPr>
          <w:ilvl w:val="0"/>
          <w:numId w:val="47"/>
        </w:numPr>
        <w:jc w:val="both"/>
        <w:rPr>
          <w:lang w:val="es-MX"/>
        </w:rPr>
      </w:pPr>
      <w:r w:rsidRPr="00C00C5F">
        <w:rPr>
          <w:lang w:val="es-MX"/>
        </w:rPr>
        <w:t xml:space="preserve">El uso de </w:t>
      </w:r>
      <w:r>
        <w:rPr>
          <w:lang w:val="es-MX"/>
        </w:rPr>
        <w:t>bloques</w:t>
      </w:r>
      <w:r w:rsidRPr="00C00C5F">
        <w:rPr>
          <w:lang w:val="es-MX"/>
        </w:rPr>
        <w:t xml:space="preserve"> genéricos facilita la asignación de frecuencias contiguas, incluyendo la posibilidad de reordenamiento de las </w:t>
      </w:r>
      <w:r>
        <w:rPr>
          <w:lang w:val="es-MX"/>
        </w:rPr>
        <w:t>concesiones</w:t>
      </w:r>
      <w:r w:rsidRPr="00C00C5F">
        <w:rPr>
          <w:lang w:val="es-MX"/>
        </w:rPr>
        <w:t xml:space="preserve"> existentes en la banda AWS-1. </w:t>
      </w:r>
    </w:p>
    <w:p w14:paraId="7F4A39BD" w14:textId="77777777" w:rsidR="0045050D" w:rsidRPr="00C00C5F" w:rsidRDefault="0045050D" w:rsidP="0045050D">
      <w:pPr>
        <w:pStyle w:val="Textoindependiente"/>
        <w:numPr>
          <w:ilvl w:val="0"/>
          <w:numId w:val="47"/>
        </w:numPr>
        <w:jc w:val="both"/>
        <w:rPr>
          <w:lang w:val="es-MX"/>
        </w:rPr>
      </w:pPr>
      <w:r w:rsidRPr="00C00C5F">
        <w:rPr>
          <w:lang w:val="es-MX"/>
        </w:rPr>
        <w:t xml:space="preserve">El formato de subasta CCA, incluyendo una regla para la fijación del valor </w:t>
      </w:r>
      <w:r>
        <w:rPr>
          <w:lang w:val="es-MX"/>
        </w:rPr>
        <w:t>con base al</w:t>
      </w:r>
      <w:r w:rsidRPr="00C00C5F">
        <w:rPr>
          <w:lang w:val="es-MX"/>
        </w:rPr>
        <w:t xml:space="preserve"> costo de oportunidad, incentiva a los participantes a expresar su demanda completa de paquetes disponibles de espectro, reduciendo así el riesgo de que el espectro se venda a un precio por debajo del nivel de mercado en caso de participación baja y/o </w:t>
      </w:r>
      <w:r>
        <w:rPr>
          <w:lang w:val="es-MX"/>
        </w:rPr>
        <w:t xml:space="preserve">por un </w:t>
      </w:r>
      <w:r w:rsidRPr="00C00C5F">
        <w:rPr>
          <w:lang w:val="es-MX"/>
        </w:rPr>
        <w:t>comportamiento tácitamente colusivo por parte de los participantes.</w:t>
      </w:r>
    </w:p>
    <w:p w14:paraId="5D961486" w14:textId="77777777" w:rsidR="0045050D" w:rsidRPr="00C00C5F" w:rsidRDefault="0045050D" w:rsidP="0045050D">
      <w:pPr>
        <w:pStyle w:val="Textoindependiente"/>
        <w:numPr>
          <w:ilvl w:val="0"/>
          <w:numId w:val="47"/>
        </w:numPr>
        <w:jc w:val="both"/>
        <w:rPr>
          <w:lang w:val="es-MX"/>
        </w:rPr>
      </w:pPr>
      <w:r w:rsidRPr="00C00C5F">
        <w:rPr>
          <w:lang w:val="es-MX"/>
        </w:rPr>
        <w:t xml:space="preserve">El proceso de determinación del ganador en la CCA aporta flexibilidad para incorporar una solución a la actual fragmentación regional del bloque D </w:t>
      </w:r>
      <w:r>
        <w:rPr>
          <w:lang w:val="es-MX"/>
        </w:rPr>
        <w:t>en la sub-banda</w:t>
      </w:r>
      <w:r w:rsidRPr="00C00C5F">
        <w:rPr>
          <w:lang w:val="es-MX"/>
        </w:rPr>
        <w:t xml:space="preserve"> AWS-1.</w:t>
      </w:r>
    </w:p>
    <w:p w14:paraId="619E4519" w14:textId="77777777" w:rsidR="0045050D" w:rsidRPr="00C00C5F" w:rsidRDefault="0045050D" w:rsidP="0045050D">
      <w:pPr>
        <w:pStyle w:val="Textoindependiente"/>
        <w:numPr>
          <w:ilvl w:val="0"/>
          <w:numId w:val="47"/>
        </w:numPr>
        <w:jc w:val="both"/>
        <w:rPr>
          <w:lang w:val="es-MX"/>
        </w:rPr>
      </w:pPr>
      <w:r w:rsidRPr="00C00C5F">
        <w:rPr>
          <w:lang w:val="es-MX"/>
        </w:rPr>
        <w:t xml:space="preserve">El uso de </w:t>
      </w:r>
      <w:r>
        <w:rPr>
          <w:lang w:val="es-MX"/>
        </w:rPr>
        <w:t>ofertas económicas</w:t>
      </w:r>
      <w:r w:rsidRPr="00C00C5F">
        <w:rPr>
          <w:lang w:val="es-MX"/>
        </w:rPr>
        <w:t xml:space="preserve"> de reloj con categorías de lotes genéricos debería facilitar un proceso de subasta razonablemente rápido y eficiente.</w:t>
      </w:r>
    </w:p>
    <w:p w14:paraId="0FCDC9EB" w14:textId="77777777" w:rsidR="0045050D" w:rsidRPr="000F2866" w:rsidRDefault="0045050D" w:rsidP="0045050D">
      <w:pPr>
        <w:pStyle w:val="Textoindependiente"/>
        <w:jc w:val="both"/>
        <w:rPr>
          <w:lang w:val="es-MX"/>
        </w:rPr>
      </w:pPr>
      <w:r w:rsidRPr="00C00C5F">
        <w:rPr>
          <w:lang w:val="es-MX"/>
        </w:rPr>
        <w:t xml:space="preserve">El </w:t>
      </w:r>
      <w:r>
        <w:rPr>
          <w:lang w:val="es-MX"/>
        </w:rPr>
        <w:t>Instituto</w:t>
      </w:r>
      <w:r w:rsidRPr="00C00C5F">
        <w:rPr>
          <w:lang w:val="es-MX"/>
        </w:rPr>
        <w:t xml:space="preserve"> es consciente de que éste es un formato de subasta nuevo en México y proveerá información y </w:t>
      </w:r>
      <w:r>
        <w:rPr>
          <w:lang w:val="es-MX"/>
        </w:rPr>
        <w:t>capacitación</w:t>
      </w:r>
      <w:r w:rsidRPr="00C00C5F">
        <w:rPr>
          <w:lang w:val="es-MX"/>
        </w:rPr>
        <w:t xml:space="preserve"> para </w:t>
      </w:r>
      <w:r>
        <w:rPr>
          <w:lang w:val="es-MX"/>
        </w:rPr>
        <w:t>la preparación de los</w:t>
      </w:r>
      <w:r w:rsidRPr="00C00C5F">
        <w:rPr>
          <w:lang w:val="es-MX"/>
        </w:rPr>
        <w:t xml:space="preserve"> </w:t>
      </w:r>
      <w:r>
        <w:rPr>
          <w:lang w:val="es-MX"/>
        </w:rPr>
        <w:t>P</w:t>
      </w:r>
      <w:r w:rsidRPr="00C00C5F">
        <w:rPr>
          <w:lang w:val="es-MX"/>
        </w:rPr>
        <w:t xml:space="preserve">articipantes </w:t>
      </w:r>
      <w:r>
        <w:rPr>
          <w:lang w:val="es-MX"/>
        </w:rPr>
        <w:t>en</w:t>
      </w:r>
      <w:r w:rsidRPr="00C00C5F">
        <w:rPr>
          <w:lang w:val="es-MX"/>
        </w:rPr>
        <w:t xml:space="preserve"> la subasta. Dado el número limitado de </w:t>
      </w:r>
      <w:r>
        <w:rPr>
          <w:lang w:val="es-MX"/>
        </w:rPr>
        <w:t>bloques</w:t>
      </w:r>
      <w:r w:rsidRPr="00C00C5F">
        <w:rPr>
          <w:lang w:val="es-MX"/>
        </w:rPr>
        <w:t xml:space="preserve"> disponibles (lo cual a su vez limita el número de paquetes por los que los participantes pueden realizar </w:t>
      </w:r>
      <w:r>
        <w:rPr>
          <w:lang w:val="es-MX"/>
        </w:rPr>
        <w:t>ofertas económicas</w:t>
      </w:r>
      <w:r w:rsidRPr="00C00C5F">
        <w:rPr>
          <w:lang w:val="es-MX"/>
        </w:rPr>
        <w:t xml:space="preserve">), la implementación propuesta de la CCA para </w:t>
      </w:r>
      <w:r w:rsidRPr="00C00C5F">
        <w:rPr>
          <w:lang w:val="es-MX"/>
        </w:rPr>
        <w:lastRenderedPageBreak/>
        <w:t xml:space="preserve">esta </w:t>
      </w:r>
      <w:r>
        <w:rPr>
          <w:lang w:val="es-MX"/>
        </w:rPr>
        <w:t>licitación</w:t>
      </w:r>
      <w:r w:rsidRPr="00C00C5F">
        <w:rPr>
          <w:lang w:val="es-MX"/>
        </w:rPr>
        <w:t xml:space="preserve"> es menos compleja que l</w:t>
      </w:r>
      <w:r>
        <w:rPr>
          <w:lang w:val="es-MX"/>
        </w:rPr>
        <w:t xml:space="preserve">o realizado en otros </w:t>
      </w:r>
      <w:r w:rsidRPr="00C00C5F">
        <w:rPr>
          <w:lang w:val="es-MX"/>
        </w:rPr>
        <w:t>países que han usado con éxito el formato CCA.</w:t>
      </w:r>
    </w:p>
    <w:p w14:paraId="64C7FD2F" w14:textId="77777777" w:rsidR="0045050D" w:rsidRPr="00C00C5F" w:rsidRDefault="0045050D" w:rsidP="0045050D">
      <w:pPr>
        <w:pStyle w:val="Textoindependiente"/>
        <w:pBdr>
          <w:top w:val="single" w:sz="4" w:space="1" w:color="auto"/>
          <w:left w:val="single" w:sz="4" w:space="4" w:color="auto"/>
          <w:bottom w:val="single" w:sz="4" w:space="1" w:color="auto"/>
          <w:right w:val="single" w:sz="4" w:space="4" w:color="auto"/>
        </w:pBdr>
        <w:jc w:val="both"/>
        <w:rPr>
          <w:lang w:val="es-ES"/>
        </w:rPr>
      </w:pPr>
      <w:r w:rsidRPr="00C00C5F">
        <w:rPr>
          <w:lang w:val="es-MX"/>
        </w:rPr>
        <w:t xml:space="preserve">El </w:t>
      </w:r>
      <w:r>
        <w:rPr>
          <w:lang w:val="es-MX"/>
        </w:rPr>
        <w:t>Instituto</w:t>
      </w:r>
      <w:r w:rsidRPr="00C00C5F">
        <w:rPr>
          <w:lang w:val="es-MX"/>
        </w:rPr>
        <w:t xml:space="preserve"> invita a cualquier persona o grupo interesado a comentar sobre su propuesta de usar un formato de subasta de reloj combinatoria (CCA).</w:t>
      </w:r>
    </w:p>
    <w:p w14:paraId="6748D27B" w14:textId="77777777" w:rsidR="0045050D" w:rsidRPr="00C00C5F" w:rsidRDefault="0045050D" w:rsidP="0045050D">
      <w:pPr>
        <w:pStyle w:val="Textoindependiente"/>
        <w:jc w:val="both"/>
        <w:rPr>
          <w:b/>
          <w:lang w:val="es-MX"/>
        </w:rPr>
      </w:pPr>
      <w:r>
        <w:rPr>
          <w:b/>
          <w:lang w:val="es-ES"/>
        </w:rPr>
        <w:t>Límites máximos</w:t>
      </w:r>
      <w:r w:rsidRPr="00C00C5F">
        <w:rPr>
          <w:b/>
          <w:lang w:val="es-MX"/>
        </w:rPr>
        <w:t xml:space="preserve"> de espectro</w:t>
      </w:r>
      <w:r>
        <w:rPr>
          <w:b/>
          <w:lang w:val="es-MX"/>
        </w:rPr>
        <w:t xml:space="preserve"> (“Caps”)</w:t>
      </w:r>
    </w:p>
    <w:p w14:paraId="6FBFB3CA" w14:textId="77777777" w:rsidR="0045050D" w:rsidRPr="00C00C5F" w:rsidRDefault="0045050D" w:rsidP="0045050D">
      <w:pPr>
        <w:pStyle w:val="Textoindependiente"/>
        <w:jc w:val="both"/>
        <w:rPr>
          <w:lang w:val="es-MX"/>
        </w:rPr>
      </w:pPr>
      <w:r w:rsidRPr="00C00C5F">
        <w:rPr>
          <w:lang w:val="es-MX"/>
        </w:rPr>
        <w:t xml:space="preserve">El </w:t>
      </w:r>
      <w:r>
        <w:rPr>
          <w:lang w:val="es-MX"/>
        </w:rPr>
        <w:t>Instituto</w:t>
      </w:r>
      <w:r w:rsidRPr="00C00C5F">
        <w:rPr>
          <w:lang w:val="es-MX"/>
        </w:rPr>
        <w:t xml:space="preserve"> propone aplicar un </w:t>
      </w:r>
      <w:r>
        <w:rPr>
          <w:lang w:val="es-MX"/>
        </w:rPr>
        <w:t>límite máximo</w:t>
      </w:r>
      <w:r w:rsidRPr="00C00C5F">
        <w:rPr>
          <w:lang w:val="es-MX"/>
        </w:rPr>
        <w:t xml:space="preserve"> de espectro</w:t>
      </w:r>
      <w:r>
        <w:rPr>
          <w:lang w:val="es-MX"/>
        </w:rPr>
        <w:t xml:space="preserve"> que estará entre 2x30 MHz y</w:t>
      </w:r>
      <w:r w:rsidRPr="00C00C5F">
        <w:rPr>
          <w:lang w:val="es-MX"/>
        </w:rPr>
        <w:t xml:space="preserve"> 2x40 MHz a las </w:t>
      </w:r>
      <w:r>
        <w:rPr>
          <w:lang w:val="es-MX"/>
        </w:rPr>
        <w:t>concesiones de la Banda</w:t>
      </w:r>
      <w:r w:rsidRPr="00C00C5F">
        <w:rPr>
          <w:lang w:val="es-MX"/>
        </w:rPr>
        <w:t xml:space="preserve"> AWS, incluyendo las </w:t>
      </w:r>
      <w:r>
        <w:rPr>
          <w:lang w:val="es-MX"/>
        </w:rPr>
        <w:t>concesiones</w:t>
      </w:r>
      <w:r w:rsidRPr="00C00C5F">
        <w:rPr>
          <w:lang w:val="es-MX"/>
        </w:rPr>
        <w:t xml:space="preserve"> </w:t>
      </w:r>
      <w:r>
        <w:rPr>
          <w:lang w:val="es-MX"/>
        </w:rPr>
        <w:t xml:space="preserve">(en </w:t>
      </w:r>
      <w:r w:rsidRPr="00C00C5F">
        <w:rPr>
          <w:lang w:val="es-MX"/>
        </w:rPr>
        <w:t>AWS</w:t>
      </w:r>
      <w:r>
        <w:rPr>
          <w:lang w:val="es-MX"/>
        </w:rPr>
        <w:t>)</w:t>
      </w:r>
      <w:r w:rsidRPr="00C00C5F">
        <w:rPr>
          <w:lang w:val="es-MX"/>
        </w:rPr>
        <w:t xml:space="preserve"> ya existentes. El </w:t>
      </w:r>
      <w:r>
        <w:rPr>
          <w:lang w:val="es-MX"/>
        </w:rPr>
        <w:t>rango del límite máximo</w:t>
      </w:r>
      <w:r w:rsidRPr="00C00C5F">
        <w:rPr>
          <w:lang w:val="es-MX"/>
        </w:rPr>
        <w:t xml:space="preserve"> ha sido establecido a un nivel que </w:t>
      </w:r>
      <w:r>
        <w:rPr>
          <w:lang w:val="es-MX"/>
        </w:rPr>
        <w:t>da</w:t>
      </w:r>
      <w:r w:rsidRPr="00C00C5F">
        <w:rPr>
          <w:lang w:val="es-MX"/>
        </w:rPr>
        <w:t xml:space="preserve"> a los participantes flexibilidad para realizar </w:t>
      </w:r>
      <w:r>
        <w:rPr>
          <w:lang w:val="es-MX"/>
        </w:rPr>
        <w:t>ofertas económicas</w:t>
      </w:r>
      <w:r w:rsidRPr="00C00C5F">
        <w:rPr>
          <w:lang w:val="es-MX"/>
        </w:rPr>
        <w:t xml:space="preserve"> de diferentes </w:t>
      </w:r>
      <w:r>
        <w:rPr>
          <w:lang w:val="es-MX"/>
        </w:rPr>
        <w:t>cantidades</w:t>
      </w:r>
      <w:r w:rsidRPr="00C00C5F">
        <w:rPr>
          <w:lang w:val="es-MX"/>
        </w:rPr>
        <w:t xml:space="preserve"> de espectro, asegurando a su vez que </w:t>
      </w:r>
      <w:r>
        <w:rPr>
          <w:lang w:val="es-MX"/>
        </w:rPr>
        <w:t xml:space="preserve">más de un participante </w:t>
      </w:r>
      <w:r w:rsidRPr="00C00C5F">
        <w:rPr>
          <w:lang w:val="es-MX"/>
        </w:rPr>
        <w:t>terminar</w:t>
      </w:r>
      <w:r w:rsidRPr="00C00C5F">
        <w:rPr>
          <w:rFonts w:cstheme="minorHAnsi"/>
          <w:lang w:val="es-MX"/>
        </w:rPr>
        <w:t>á</w:t>
      </w:r>
      <w:r w:rsidRPr="00C00C5F">
        <w:rPr>
          <w:lang w:val="es-MX"/>
        </w:rPr>
        <w:t xml:space="preserve">n la subasta con </w:t>
      </w:r>
      <w:r>
        <w:rPr>
          <w:lang w:val="es-MX"/>
        </w:rPr>
        <w:t>concesiones</w:t>
      </w:r>
      <w:r w:rsidRPr="00C00C5F">
        <w:rPr>
          <w:lang w:val="es-MX"/>
        </w:rPr>
        <w:t xml:space="preserve"> sustanciales de espectro AWS.</w:t>
      </w:r>
      <w:r>
        <w:rPr>
          <w:lang w:val="es-MX"/>
        </w:rPr>
        <w:t xml:space="preserve"> La flexibilidad aumenta conforme mayor es el límite.</w:t>
      </w:r>
    </w:p>
    <w:p w14:paraId="286136EF" w14:textId="77777777" w:rsidR="0045050D" w:rsidRPr="00C00C5F" w:rsidRDefault="0045050D" w:rsidP="0045050D">
      <w:pPr>
        <w:pStyle w:val="Textoindependiente"/>
        <w:pBdr>
          <w:top w:val="single" w:sz="4" w:space="1" w:color="auto"/>
          <w:left w:val="single" w:sz="4" w:space="4" w:color="auto"/>
          <w:bottom w:val="single" w:sz="4" w:space="1" w:color="auto"/>
          <w:right w:val="single" w:sz="4" w:space="4" w:color="auto"/>
        </w:pBdr>
        <w:jc w:val="both"/>
        <w:rPr>
          <w:lang w:val="es-ES"/>
        </w:rPr>
      </w:pPr>
      <w:r w:rsidRPr="00C00C5F">
        <w:rPr>
          <w:lang w:val="es-MX"/>
        </w:rPr>
        <w:t xml:space="preserve">El </w:t>
      </w:r>
      <w:r>
        <w:rPr>
          <w:lang w:val="es-MX"/>
        </w:rPr>
        <w:t>Instituto</w:t>
      </w:r>
      <w:r w:rsidRPr="00C00C5F">
        <w:rPr>
          <w:lang w:val="es-MX"/>
        </w:rPr>
        <w:t xml:space="preserve"> invita a cualquier persona o grupo interesado a comentar sobre su propuesta de aplicar un límite</w:t>
      </w:r>
      <w:r>
        <w:rPr>
          <w:lang w:val="es-MX"/>
        </w:rPr>
        <w:t xml:space="preserve"> máximo</w:t>
      </w:r>
      <w:r w:rsidRPr="00C00C5F">
        <w:rPr>
          <w:lang w:val="es-MX"/>
        </w:rPr>
        <w:t xml:space="preserve"> </w:t>
      </w:r>
      <w:r>
        <w:rPr>
          <w:lang w:val="es-MX"/>
        </w:rPr>
        <w:t xml:space="preserve"> “cap” que estará entre 2x30 MHz y</w:t>
      </w:r>
      <w:r w:rsidRPr="00C00C5F">
        <w:rPr>
          <w:lang w:val="es-MX"/>
        </w:rPr>
        <w:t xml:space="preserve"> 2x40 MHz, incluyendo las </w:t>
      </w:r>
      <w:r>
        <w:rPr>
          <w:lang w:val="es-MX"/>
        </w:rPr>
        <w:t>concesiones</w:t>
      </w:r>
      <w:r w:rsidRPr="00C00C5F">
        <w:rPr>
          <w:lang w:val="es-MX"/>
        </w:rPr>
        <w:t xml:space="preserve"> de espectro AWS ya existentes</w:t>
      </w:r>
      <w:r w:rsidRPr="00C00C5F">
        <w:rPr>
          <w:lang w:val="es-ES"/>
        </w:rPr>
        <w:t>.</w:t>
      </w:r>
    </w:p>
    <w:p w14:paraId="34852DB1" w14:textId="77777777" w:rsidR="0045050D" w:rsidRPr="00C00C5F" w:rsidRDefault="0045050D" w:rsidP="0045050D">
      <w:pPr>
        <w:pStyle w:val="Textoindependiente"/>
        <w:jc w:val="both"/>
        <w:rPr>
          <w:b/>
          <w:lang w:val="es-MX"/>
        </w:rPr>
      </w:pPr>
      <w:r>
        <w:rPr>
          <w:b/>
          <w:lang w:val="es-MX"/>
        </w:rPr>
        <w:t>Valor mínimo de referencia</w:t>
      </w:r>
    </w:p>
    <w:p w14:paraId="7436A1FC" w14:textId="77777777" w:rsidR="0045050D" w:rsidRPr="00C00C5F" w:rsidRDefault="0045050D" w:rsidP="0045050D">
      <w:pPr>
        <w:pStyle w:val="Textoindependiente"/>
        <w:jc w:val="both"/>
        <w:rPr>
          <w:lang w:val="es-MX"/>
        </w:rPr>
      </w:pPr>
      <w:r w:rsidRPr="00C00C5F">
        <w:rPr>
          <w:lang w:val="es-ES"/>
        </w:rPr>
        <w:t xml:space="preserve">El </w:t>
      </w:r>
      <w:r>
        <w:rPr>
          <w:lang w:val="es-ES"/>
        </w:rPr>
        <w:t>valor mínimo de referencia</w:t>
      </w:r>
      <w:r w:rsidRPr="00C00C5F">
        <w:rPr>
          <w:lang w:val="es-ES"/>
        </w:rPr>
        <w:t xml:space="preserve"> para cada </w:t>
      </w:r>
      <w:r>
        <w:rPr>
          <w:lang w:val="es-ES"/>
        </w:rPr>
        <w:t>bloque</w:t>
      </w:r>
      <w:r w:rsidRPr="00C00C5F">
        <w:rPr>
          <w:lang w:val="es-ES"/>
        </w:rPr>
        <w:t xml:space="preserve"> de la subasta consiste </w:t>
      </w:r>
      <w:r>
        <w:rPr>
          <w:lang w:val="es-ES"/>
        </w:rPr>
        <w:t>en</w:t>
      </w:r>
      <w:r w:rsidRPr="00C00C5F">
        <w:rPr>
          <w:lang w:val="es-ES"/>
        </w:rPr>
        <w:t xml:space="preserve"> un cargo anual </w:t>
      </w:r>
      <w:r>
        <w:rPr>
          <w:lang w:val="es-ES"/>
        </w:rPr>
        <w:t xml:space="preserve">(derechos anuales) </w:t>
      </w:r>
      <w:r w:rsidRPr="00C00C5F">
        <w:rPr>
          <w:lang w:val="es-ES"/>
        </w:rPr>
        <w:t>y un p</w:t>
      </w:r>
      <w:r>
        <w:rPr>
          <w:lang w:val="es-ES"/>
        </w:rPr>
        <w:t>ago por la contraprestación (“guante”)</w:t>
      </w:r>
      <w:r w:rsidRPr="00C00C5F">
        <w:rPr>
          <w:lang w:val="es-ES"/>
        </w:rPr>
        <w:t xml:space="preserve">. </w:t>
      </w:r>
      <w:r w:rsidRPr="00C00C5F">
        <w:rPr>
          <w:lang w:val="es-MX"/>
        </w:rPr>
        <w:t xml:space="preserve">El </w:t>
      </w:r>
      <w:r>
        <w:rPr>
          <w:lang w:val="es-MX"/>
        </w:rPr>
        <w:t>derecho</w:t>
      </w:r>
      <w:r w:rsidRPr="00C00C5F">
        <w:rPr>
          <w:lang w:val="es-MX"/>
        </w:rPr>
        <w:t xml:space="preserve"> anual para cada lote disponible, excepto para la </w:t>
      </w:r>
      <w:r>
        <w:rPr>
          <w:lang w:val="es-MX"/>
        </w:rPr>
        <w:t>sub-</w:t>
      </w:r>
      <w:r w:rsidRPr="00C00C5F">
        <w:rPr>
          <w:lang w:val="es-MX"/>
        </w:rPr>
        <w:t xml:space="preserve">banda AWS-3 </w:t>
      </w:r>
      <w:r>
        <w:rPr>
          <w:lang w:val="es-MX"/>
        </w:rPr>
        <w:t>extendida (Bloque</w:t>
      </w:r>
      <w:r w:rsidRPr="00C00C5F">
        <w:rPr>
          <w:lang w:val="es-MX"/>
        </w:rPr>
        <w:t xml:space="preserve"> J</w:t>
      </w:r>
      <w:r>
        <w:rPr>
          <w:lang w:val="es-MX"/>
        </w:rPr>
        <w:t>: 1770-1780 / 2170-2180 MHz)</w:t>
      </w:r>
      <w:r w:rsidRPr="00C00C5F">
        <w:rPr>
          <w:lang w:val="es-MX"/>
        </w:rPr>
        <w:t xml:space="preserve">, </w:t>
      </w:r>
      <w:r>
        <w:rPr>
          <w:lang w:val="es-MX"/>
        </w:rPr>
        <w:t>se encuentra establecida en la Ley Federal de Derechos</w:t>
      </w:r>
      <w:r w:rsidRPr="00C00C5F">
        <w:rPr>
          <w:lang w:val="es-MX"/>
        </w:rPr>
        <w:t xml:space="preserve"> y </w:t>
      </w:r>
      <w:r>
        <w:rPr>
          <w:lang w:val="es-MX"/>
        </w:rPr>
        <w:t>su modificación es poco probable.</w:t>
      </w:r>
      <w:r w:rsidRPr="00C00C5F">
        <w:rPr>
          <w:lang w:val="es-MX"/>
        </w:rPr>
        <w:t xml:space="preserve"> El </w:t>
      </w:r>
      <w:r>
        <w:rPr>
          <w:lang w:val="es-MX"/>
        </w:rPr>
        <w:t xml:space="preserve">pasado </w:t>
      </w:r>
      <w:r w:rsidRPr="00C00C5F">
        <w:rPr>
          <w:lang w:val="es-MX"/>
        </w:rPr>
        <w:t xml:space="preserve">martes, 8 de </w:t>
      </w:r>
      <w:r>
        <w:rPr>
          <w:lang w:val="es-MX"/>
        </w:rPr>
        <w:t>s</w:t>
      </w:r>
      <w:r w:rsidRPr="00C00C5F">
        <w:rPr>
          <w:lang w:val="es-MX"/>
        </w:rPr>
        <w:t xml:space="preserve">eptiembre, </w:t>
      </w:r>
      <w:r>
        <w:rPr>
          <w:lang w:val="es-MX"/>
        </w:rPr>
        <w:t xml:space="preserve">la Secretaria de Hacienda y Crédito Público </w:t>
      </w:r>
      <w:r w:rsidRPr="00C00C5F">
        <w:rPr>
          <w:lang w:val="es-MX"/>
        </w:rPr>
        <w:t xml:space="preserve">(SHCP) envió al Congreso una iniciativa para establecer el cargo anual para el espectro del </w:t>
      </w:r>
      <w:r>
        <w:rPr>
          <w:lang w:val="es-MX"/>
        </w:rPr>
        <w:t>Bloque</w:t>
      </w:r>
      <w:r w:rsidRPr="00C00C5F">
        <w:rPr>
          <w:lang w:val="es-MX"/>
        </w:rPr>
        <w:t xml:space="preserve"> J. </w:t>
      </w:r>
      <w:r>
        <w:rPr>
          <w:lang w:val="es-MX"/>
        </w:rPr>
        <w:t>La</w:t>
      </w:r>
      <w:r w:rsidRPr="00C00C5F">
        <w:rPr>
          <w:lang w:val="es-MX"/>
        </w:rPr>
        <w:t xml:space="preserve"> propuesta</w:t>
      </w:r>
      <w:r>
        <w:rPr>
          <w:lang w:val="es-MX"/>
        </w:rPr>
        <w:t xml:space="preserve"> establece que </w:t>
      </w:r>
      <w:r w:rsidRPr="00C00C5F">
        <w:rPr>
          <w:lang w:val="es-MX"/>
        </w:rPr>
        <w:t xml:space="preserve">el cargo anual </w:t>
      </w:r>
      <w:r>
        <w:rPr>
          <w:lang w:val="es-MX"/>
        </w:rPr>
        <w:t>esté</w:t>
      </w:r>
      <w:r w:rsidRPr="00C00C5F">
        <w:rPr>
          <w:lang w:val="es-MX"/>
        </w:rPr>
        <w:t xml:space="preserve"> al mismo nivel que </w:t>
      </w:r>
      <w:r>
        <w:rPr>
          <w:lang w:val="es-MX"/>
        </w:rPr>
        <w:t xml:space="preserve">el resto de la Banda </w:t>
      </w:r>
      <w:r w:rsidRPr="00C00C5F">
        <w:rPr>
          <w:lang w:val="es-MX"/>
        </w:rPr>
        <w:t>AWS (</w:t>
      </w:r>
      <w:r>
        <w:rPr>
          <w:lang w:val="es-MX"/>
        </w:rPr>
        <w:t xml:space="preserve">propuesta de </w:t>
      </w:r>
      <w:r w:rsidRPr="00C00C5F">
        <w:rPr>
          <w:lang w:val="es-MX"/>
        </w:rPr>
        <w:t xml:space="preserve">Artículo 244-E-1), pero </w:t>
      </w:r>
      <w:r>
        <w:rPr>
          <w:lang w:val="es-MX"/>
        </w:rPr>
        <w:t xml:space="preserve">señalando un </w:t>
      </w:r>
      <w:r w:rsidRPr="008E0CC3">
        <w:rPr>
          <w:i/>
          <w:lang w:val="es-MX"/>
        </w:rPr>
        <w:t>vacatio legis</w:t>
      </w:r>
      <w:r>
        <w:rPr>
          <w:lang w:val="es-MX"/>
        </w:rPr>
        <w:t xml:space="preserve"> para que no se apliquen los cargos anuales por</w:t>
      </w:r>
      <w:r w:rsidRPr="00C00C5F">
        <w:rPr>
          <w:lang w:val="es-MX"/>
        </w:rPr>
        <w:t xml:space="preserve"> la concesión de este espectro hasta el 1 de enero de 2018 (Primer Transitorio)</w:t>
      </w:r>
      <w:r w:rsidRPr="00C00C5F">
        <w:rPr>
          <w:rStyle w:val="Refdenotaalpie"/>
          <w:lang w:val="es-ES"/>
        </w:rPr>
        <w:t xml:space="preserve"> </w:t>
      </w:r>
      <w:r w:rsidRPr="00C00C5F">
        <w:rPr>
          <w:rStyle w:val="Refdenotaalpie"/>
        </w:rPr>
        <w:footnoteReference w:id="3"/>
      </w:r>
      <w:r w:rsidRPr="00C00C5F">
        <w:rPr>
          <w:b/>
          <w:lang w:val="es-MX"/>
        </w:rPr>
        <w:t xml:space="preserve">, </w:t>
      </w:r>
      <w:r w:rsidRPr="00C00C5F">
        <w:rPr>
          <w:lang w:val="es-MX"/>
        </w:rPr>
        <w:t xml:space="preserve">dado el retraso en la disponibilidad del equipo para esta </w:t>
      </w:r>
      <w:r>
        <w:rPr>
          <w:lang w:val="es-MX"/>
        </w:rPr>
        <w:t>sub-</w:t>
      </w:r>
      <w:r w:rsidRPr="00C00C5F">
        <w:rPr>
          <w:lang w:val="es-MX"/>
        </w:rPr>
        <w:t>banda.</w:t>
      </w:r>
    </w:p>
    <w:p w14:paraId="6EF133B6" w14:textId="77777777" w:rsidR="0045050D" w:rsidRPr="00C00C5F" w:rsidRDefault="0045050D" w:rsidP="0045050D">
      <w:pPr>
        <w:pStyle w:val="Textoindependiente"/>
        <w:jc w:val="both"/>
        <w:rPr>
          <w:lang w:val="es-ES"/>
        </w:rPr>
      </w:pPr>
      <w:r w:rsidRPr="00C00C5F">
        <w:rPr>
          <w:lang w:val="es-ES"/>
        </w:rPr>
        <w:t>Dado el nivel de los cargos anuales</w:t>
      </w:r>
      <w:r>
        <w:rPr>
          <w:lang w:val="es-ES"/>
        </w:rPr>
        <w:t xml:space="preserve"> para la Banda AWS</w:t>
      </w:r>
      <w:r w:rsidRPr="00C00C5F">
        <w:rPr>
          <w:lang w:val="es-ES"/>
        </w:rPr>
        <w:t xml:space="preserve">, el </w:t>
      </w:r>
      <w:r>
        <w:rPr>
          <w:lang w:val="es-MX"/>
        </w:rPr>
        <w:t>Instituto</w:t>
      </w:r>
      <w:r w:rsidRPr="00C00C5F">
        <w:rPr>
          <w:lang w:val="es-ES"/>
        </w:rPr>
        <w:t xml:space="preserve"> propone un </w:t>
      </w:r>
      <w:r>
        <w:rPr>
          <w:lang w:val="es-ES"/>
        </w:rPr>
        <w:t>nivel relativamente bajo</w:t>
      </w:r>
      <w:r w:rsidRPr="00C00C5F">
        <w:rPr>
          <w:lang w:val="es-ES"/>
        </w:rPr>
        <w:t xml:space="preserve"> para </w:t>
      </w:r>
      <w:r>
        <w:rPr>
          <w:lang w:val="es-ES"/>
        </w:rPr>
        <w:t>los</w:t>
      </w:r>
      <w:r w:rsidRPr="00C00C5F">
        <w:rPr>
          <w:lang w:val="es-ES"/>
        </w:rPr>
        <w:t xml:space="preserve"> precio</w:t>
      </w:r>
      <w:r>
        <w:rPr>
          <w:lang w:val="es-ES"/>
        </w:rPr>
        <w:t>s</w:t>
      </w:r>
      <w:r w:rsidRPr="00C00C5F">
        <w:rPr>
          <w:lang w:val="es-ES"/>
        </w:rPr>
        <w:t xml:space="preserve"> de reserva </w:t>
      </w:r>
      <w:r>
        <w:rPr>
          <w:lang w:val="es-ES"/>
        </w:rPr>
        <w:t xml:space="preserve">de la contraprestación </w:t>
      </w:r>
      <w:r w:rsidRPr="00C00C5F">
        <w:rPr>
          <w:lang w:val="es-ES"/>
        </w:rPr>
        <w:t>que se paga por anticipado</w:t>
      </w:r>
      <w:r>
        <w:rPr>
          <w:lang w:val="es-ES"/>
        </w:rPr>
        <w:t xml:space="preserve"> </w:t>
      </w:r>
      <w:r w:rsidRPr="00C00C5F">
        <w:rPr>
          <w:lang w:val="es-ES"/>
        </w:rPr>
        <w:t xml:space="preserve">para cada </w:t>
      </w:r>
      <w:r>
        <w:rPr>
          <w:lang w:val="es-ES"/>
        </w:rPr>
        <w:t>bloque</w:t>
      </w:r>
      <w:r w:rsidRPr="00C00C5F">
        <w:rPr>
          <w:lang w:val="es-ES"/>
        </w:rPr>
        <w:t xml:space="preserve"> disponible, </w:t>
      </w:r>
      <w:r>
        <w:rPr>
          <w:lang w:val="es-ES"/>
        </w:rPr>
        <w:t xml:space="preserve">aunque </w:t>
      </w:r>
      <w:r w:rsidRPr="00C00C5F">
        <w:rPr>
          <w:lang w:val="es-ES"/>
        </w:rPr>
        <w:t>lo suficiente</w:t>
      </w:r>
      <w:r>
        <w:rPr>
          <w:lang w:val="es-ES"/>
        </w:rPr>
        <w:t>mente considerable</w:t>
      </w:r>
      <w:r w:rsidRPr="00C00C5F">
        <w:rPr>
          <w:lang w:val="es-ES"/>
        </w:rPr>
        <w:t xml:space="preserve"> para incentivar solamente a entidades serias a participar en el proceso de </w:t>
      </w:r>
      <w:r>
        <w:rPr>
          <w:lang w:val="es-ES"/>
        </w:rPr>
        <w:t>licitación</w:t>
      </w:r>
      <w:r w:rsidRPr="00C00C5F">
        <w:rPr>
          <w:lang w:val="es-ES"/>
        </w:rPr>
        <w:t xml:space="preserve">. Para los </w:t>
      </w:r>
      <w:r>
        <w:rPr>
          <w:lang w:val="es-ES"/>
        </w:rPr>
        <w:t>bloques</w:t>
      </w:r>
      <w:r w:rsidRPr="00C00C5F">
        <w:rPr>
          <w:lang w:val="es-ES"/>
        </w:rPr>
        <w:t xml:space="preserve"> de AWS-3, el </w:t>
      </w:r>
      <w:r>
        <w:rPr>
          <w:lang w:val="es-MX"/>
        </w:rPr>
        <w:t>Instituto</w:t>
      </w:r>
      <w:r w:rsidRPr="00C00C5F">
        <w:rPr>
          <w:lang w:val="es-ES"/>
        </w:rPr>
        <w:t xml:space="preserve"> propone seguir la práctica pasada y establecer cargos iniciales </w:t>
      </w:r>
      <w:r>
        <w:rPr>
          <w:lang w:val="es-ES"/>
        </w:rPr>
        <w:t xml:space="preserve">que estarán entre el </w:t>
      </w:r>
      <w:r w:rsidRPr="00C00C5F">
        <w:rPr>
          <w:lang w:val="es-ES"/>
        </w:rPr>
        <w:t>mismo nivel por MHz que la Subasta 21 del COFETEL</w:t>
      </w:r>
      <w:r w:rsidRPr="00C00C5F">
        <w:rPr>
          <w:rStyle w:val="Refdenotaalpie"/>
        </w:rPr>
        <w:footnoteReference w:id="4"/>
      </w:r>
      <w:r>
        <w:rPr>
          <w:lang w:val="es-ES"/>
        </w:rPr>
        <w:t xml:space="preserve"> y el promedio de las Posturas Válidas Más Altas (PVMA) de dicha licitación, </w:t>
      </w:r>
      <w:r w:rsidRPr="00C00C5F">
        <w:rPr>
          <w:lang w:val="es-ES"/>
        </w:rPr>
        <w:t>después de ajustar por la inflación</w:t>
      </w:r>
      <w:r>
        <w:rPr>
          <w:lang w:val="es-ES"/>
        </w:rPr>
        <w:t xml:space="preserve"> y la vigencia</w:t>
      </w:r>
      <w:r w:rsidRPr="00C00C5F">
        <w:rPr>
          <w:lang w:val="es-ES"/>
        </w:rPr>
        <w:t xml:space="preserve">. Para los lotes de AWS-1, </w:t>
      </w:r>
      <w:r>
        <w:rPr>
          <w:lang w:val="es-ES"/>
        </w:rPr>
        <w:t xml:space="preserve">se aplicará </w:t>
      </w:r>
      <w:r w:rsidRPr="00C00C5F">
        <w:rPr>
          <w:lang w:val="es-ES"/>
        </w:rPr>
        <w:lastRenderedPageBreak/>
        <w:t xml:space="preserve">un cargo más </w:t>
      </w:r>
      <w:r>
        <w:rPr>
          <w:lang w:val="es-ES"/>
        </w:rPr>
        <w:t>elevado</w:t>
      </w:r>
      <w:r w:rsidRPr="00C00C5F">
        <w:rPr>
          <w:lang w:val="es-ES"/>
        </w:rPr>
        <w:t xml:space="preserve">, con el fin de diferenciar este espectro de los </w:t>
      </w:r>
      <w:r>
        <w:rPr>
          <w:lang w:val="es-ES"/>
        </w:rPr>
        <w:t>bloques</w:t>
      </w:r>
      <w:r w:rsidRPr="00C00C5F">
        <w:rPr>
          <w:lang w:val="es-ES"/>
        </w:rPr>
        <w:t xml:space="preserve"> AWS-3, los cuales se espera que sean menos valiosos </w:t>
      </w:r>
      <w:r>
        <w:rPr>
          <w:lang w:val="es-ES"/>
        </w:rPr>
        <w:t>por</w:t>
      </w:r>
      <w:r w:rsidRPr="00C00C5F">
        <w:rPr>
          <w:lang w:val="es-ES"/>
        </w:rPr>
        <w:t xml:space="preserve"> al retraso en la disponibilidad del equipo</w:t>
      </w:r>
      <w:r>
        <w:rPr>
          <w:lang w:val="es-ES"/>
        </w:rPr>
        <w:t xml:space="preserve"> (de 18 a 24 meses)</w:t>
      </w:r>
      <w:r w:rsidRPr="00C00C5F">
        <w:rPr>
          <w:lang w:val="es-ES"/>
        </w:rPr>
        <w:t>.</w:t>
      </w:r>
    </w:p>
    <w:p w14:paraId="29750A99" w14:textId="01DD8A04" w:rsidR="0045050D" w:rsidRPr="0045050D" w:rsidRDefault="0045050D" w:rsidP="0045050D">
      <w:pPr>
        <w:pStyle w:val="Textoindependiente"/>
        <w:pBdr>
          <w:top w:val="single" w:sz="4" w:space="1" w:color="auto"/>
          <w:left w:val="single" w:sz="4" w:space="4" w:color="auto"/>
          <w:bottom w:val="single" w:sz="4" w:space="1" w:color="auto"/>
          <w:right w:val="single" w:sz="4" w:space="4" w:color="auto"/>
        </w:pBdr>
        <w:jc w:val="both"/>
        <w:rPr>
          <w:lang w:val="es-ES"/>
        </w:rPr>
      </w:pPr>
      <w:r w:rsidRPr="00C00C5F">
        <w:rPr>
          <w:lang w:val="es-MX"/>
        </w:rPr>
        <w:t xml:space="preserve">El </w:t>
      </w:r>
      <w:r>
        <w:rPr>
          <w:lang w:val="es-MX"/>
        </w:rPr>
        <w:t>Instituto</w:t>
      </w:r>
      <w:r w:rsidRPr="00C00C5F">
        <w:rPr>
          <w:lang w:val="es-MX"/>
        </w:rPr>
        <w:t xml:space="preserve"> invita a cualquier persona o grupo interesado a</w:t>
      </w:r>
      <w:r w:rsidRPr="00C00C5F">
        <w:rPr>
          <w:lang w:val="es-ES"/>
        </w:rPr>
        <w:t xml:space="preserve"> comentar </w:t>
      </w:r>
      <w:r>
        <w:rPr>
          <w:lang w:val="es-ES"/>
        </w:rPr>
        <w:t>la</w:t>
      </w:r>
      <w:r w:rsidRPr="00C00C5F">
        <w:rPr>
          <w:lang w:val="es-ES"/>
        </w:rPr>
        <w:t xml:space="preserve"> propuesta para establecer </w:t>
      </w:r>
      <w:r>
        <w:rPr>
          <w:lang w:val="es-ES"/>
        </w:rPr>
        <w:t xml:space="preserve">los </w:t>
      </w:r>
      <w:r w:rsidRPr="00C00C5F">
        <w:rPr>
          <w:lang w:val="es-ES"/>
        </w:rPr>
        <w:t>precios de reserva a ser pagados.</w:t>
      </w:r>
    </w:p>
    <w:p w14:paraId="0A2445D5" w14:textId="77777777" w:rsidR="0045050D" w:rsidRPr="00C00C5F" w:rsidRDefault="0045050D" w:rsidP="0045050D">
      <w:pPr>
        <w:pStyle w:val="Textoindependiente"/>
        <w:jc w:val="both"/>
        <w:rPr>
          <w:b/>
          <w:lang w:val="es-ES"/>
        </w:rPr>
      </w:pPr>
      <w:r w:rsidRPr="00C00C5F">
        <w:rPr>
          <w:b/>
          <w:lang w:val="es-ES"/>
        </w:rPr>
        <w:t xml:space="preserve">Contigüidad de la frecuencia y </w:t>
      </w:r>
      <w:r>
        <w:rPr>
          <w:b/>
          <w:lang w:val="es-ES"/>
        </w:rPr>
        <w:t>bloques</w:t>
      </w:r>
      <w:r w:rsidRPr="00C00C5F">
        <w:rPr>
          <w:b/>
          <w:lang w:val="es-ES"/>
        </w:rPr>
        <w:t xml:space="preserve"> nacionales </w:t>
      </w:r>
    </w:p>
    <w:p w14:paraId="2C97C356" w14:textId="77777777" w:rsidR="0045050D" w:rsidRPr="00E76FAE" w:rsidRDefault="0045050D" w:rsidP="0045050D">
      <w:pPr>
        <w:pStyle w:val="Textoindependiente"/>
        <w:jc w:val="both"/>
        <w:rPr>
          <w:lang w:val="es-ES"/>
        </w:rPr>
      </w:pPr>
      <w:r w:rsidRPr="00C00C5F">
        <w:rPr>
          <w:lang w:val="es-ES"/>
        </w:rPr>
        <w:t xml:space="preserve">El </w:t>
      </w:r>
      <w:r>
        <w:rPr>
          <w:lang w:val="es-MX"/>
        </w:rPr>
        <w:t>Instituto</w:t>
      </w:r>
      <w:r w:rsidRPr="00C00C5F">
        <w:rPr>
          <w:lang w:val="es-ES"/>
        </w:rPr>
        <w:t xml:space="preserve"> </w:t>
      </w:r>
      <w:r>
        <w:rPr>
          <w:lang w:val="es-ES"/>
        </w:rPr>
        <w:t>propone</w:t>
      </w:r>
      <w:r w:rsidRPr="00C00C5F">
        <w:rPr>
          <w:lang w:val="es-ES"/>
        </w:rPr>
        <w:t xml:space="preserve"> reglas para promover la asignación de frecuencias contiguas y resolver la situación actual del </w:t>
      </w:r>
      <w:r>
        <w:rPr>
          <w:lang w:val="es-ES"/>
        </w:rPr>
        <w:t>bloque</w:t>
      </w:r>
      <w:r w:rsidRPr="00C00C5F">
        <w:rPr>
          <w:lang w:val="es-ES"/>
        </w:rPr>
        <w:t xml:space="preserve"> D</w:t>
      </w:r>
      <w:r>
        <w:rPr>
          <w:lang w:val="es-ES"/>
        </w:rPr>
        <w:t xml:space="preserve"> en el que el espectro</w:t>
      </w:r>
      <w:r w:rsidRPr="00C00C5F">
        <w:rPr>
          <w:lang w:val="es-ES"/>
        </w:rPr>
        <w:t xml:space="preserve"> está fragmentado regionalmente entre dos operadores. Estas reglas </w:t>
      </w:r>
      <w:r w:rsidRPr="00E76FAE">
        <w:rPr>
          <w:lang w:val="es-ES"/>
        </w:rPr>
        <w:t xml:space="preserve">requieren que </w:t>
      </w:r>
      <w:r>
        <w:rPr>
          <w:lang w:val="es-ES"/>
        </w:rPr>
        <w:t>los concesionarios</w:t>
      </w:r>
      <w:r w:rsidRPr="00E76FAE">
        <w:rPr>
          <w:lang w:val="es-ES"/>
        </w:rPr>
        <w:t xml:space="preserve"> </w:t>
      </w:r>
      <w:r>
        <w:rPr>
          <w:lang w:val="es-ES"/>
        </w:rPr>
        <w:t>actuales</w:t>
      </w:r>
      <w:r w:rsidRPr="00E76FAE">
        <w:rPr>
          <w:lang w:val="es-ES"/>
        </w:rPr>
        <w:t xml:space="preserve"> de espectro AWS-1 acepten que su </w:t>
      </w:r>
      <w:r>
        <w:rPr>
          <w:lang w:val="es-ES"/>
        </w:rPr>
        <w:t>concesión</w:t>
      </w:r>
      <w:r w:rsidRPr="00E76FAE">
        <w:rPr>
          <w:lang w:val="es-ES"/>
        </w:rPr>
        <w:t xml:space="preserve"> existente de espectro pueda ser </w:t>
      </w:r>
      <w:r>
        <w:rPr>
          <w:lang w:val="es-ES"/>
        </w:rPr>
        <w:t>trasladada a otra frecuencia dentro de la banda</w:t>
      </w:r>
      <w:r w:rsidRPr="00E76FAE">
        <w:rPr>
          <w:lang w:val="es-ES"/>
        </w:rPr>
        <w:t xml:space="preserve"> </w:t>
      </w:r>
      <w:r w:rsidRPr="00FB2317">
        <w:rPr>
          <w:lang w:val="es-ES"/>
        </w:rPr>
        <w:t>y que los</w:t>
      </w:r>
      <w:r>
        <w:rPr>
          <w:lang w:val="es-ES"/>
        </w:rPr>
        <w:t xml:space="preserve"> </w:t>
      </w:r>
      <w:r w:rsidRPr="00E76FAE">
        <w:rPr>
          <w:lang w:val="es-ES"/>
        </w:rPr>
        <w:t>dos operadores</w:t>
      </w:r>
      <w:r>
        <w:rPr>
          <w:lang w:val="es-ES"/>
        </w:rPr>
        <w:t xml:space="preserve"> que tienen concesiones en el bloque D</w:t>
      </w:r>
      <w:r w:rsidRPr="00E76FAE">
        <w:rPr>
          <w:lang w:val="es-ES"/>
        </w:rPr>
        <w:t xml:space="preserve">, </w:t>
      </w:r>
      <w:r>
        <w:rPr>
          <w:lang w:val="es-ES"/>
        </w:rPr>
        <w:t>a permitir</w:t>
      </w:r>
      <w:r w:rsidRPr="00E76FAE">
        <w:rPr>
          <w:lang w:val="es-ES"/>
        </w:rPr>
        <w:t xml:space="preserve"> </w:t>
      </w:r>
      <w:r>
        <w:rPr>
          <w:lang w:val="es-ES"/>
        </w:rPr>
        <w:t xml:space="preserve">que </w:t>
      </w:r>
      <w:r w:rsidRPr="00E76FAE">
        <w:rPr>
          <w:lang w:val="es-ES"/>
        </w:rPr>
        <w:t xml:space="preserve">su </w:t>
      </w:r>
      <w:r>
        <w:rPr>
          <w:lang w:val="es-ES"/>
        </w:rPr>
        <w:t>concesión actual del Bloque D (</w:t>
      </w:r>
      <w:r w:rsidRPr="00E76FAE">
        <w:rPr>
          <w:lang w:val="es-ES"/>
        </w:rPr>
        <w:t>regional</w:t>
      </w:r>
      <w:r>
        <w:rPr>
          <w:lang w:val="es-ES"/>
        </w:rPr>
        <w:t>) se incorpore como parte de</w:t>
      </w:r>
      <w:r w:rsidRPr="00E76FAE">
        <w:rPr>
          <w:lang w:val="es-ES"/>
        </w:rPr>
        <w:t xml:space="preserve"> la subasta</w:t>
      </w:r>
      <w:r>
        <w:rPr>
          <w:lang w:val="es-ES"/>
        </w:rPr>
        <w:t xml:space="preserve"> (a fin de que puedan obtener bloques nacionales)</w:t>
      </w:r>
      <w:r w:rsidRPr="00E76FAE">
        <w:rPr>
          <w:lang w:val="es-ES"/>
        </w:rPr>
        <w:t xml:space="preserve">. Las reglas </w:t>
      </w:r>
      <w:r>
        <w:rPr>
          <w:lang w:val="es-ES"/>
        </w:rPr>
        <w:t xml:space="preserve">descritas </w:t>
      </w:r>
      <w:r w:rsidRPr="00E76FAE">
        <w:rPr>
          <w:lang w:val="es-ES"/>
        </w:rPr>
        <w:t>prom</w:t>
      </w:r>
      <w:r>
        <w:rPr>
          <w:lang w:val="es-ES"/>
        </w:rPr>
        <w:t xml:space="preserve">ueven </w:t>
      </w:r>
      <w:r w:rsidRPr="00E76FAE">
        <w:rPr>
          <w:lang w:val="es-ES"/>
        </w:rPr>
        <w:t>el uso eficiente del espectro AWS en el largo plazo.</w:t>
      </w:r>
    </w:p>
    <w:p w14:paraId="552D949B" w14:textId="77777777" w:rsidR="0045050D" w:rsidRPr="00E76FAE" w:rsidRDefault="0045050D" w:rsidP="0045050D">
      <w:pPr>
        <w:pStyle w:val="Textoindependiente"/>
        <w:pBdr>
          <w:top w:val="single" w:sz="4" w:space="1" w:color="auto"/>
          <w:left w:val="single" w:sz="4" w:space="4" w:color="auto"/>
          <w:bottom w:val="single" w:sz="4" w:space="1" w:color="auto"/>
          <w:right w:val="single" w:sz="4" w:space="4" w:color="auto"/>
        </w:pBdr>
        <w:jc w:val="both"/>
        <w:rPr>
          <w:lang w:val="es-ES"/>
        </w:rPr>
      </w:pPr>
      <w:r w:rsidRPr="00E76FAE">
        <w:rPr>
          <w:lang w:val="es-MX"/>
        </w:rPr>
        <w:t xml:space="preserve">El </w:t>
      </w:r>
      <w:r>
        <w:rPr>
          <w:lang w:val="es-MX"/>
        </w:rPr>
        <w:t>Instituto</w:t>
      </w:r>
      <w:r w:rsidRPr="00E76FAE">
        <w:rPr>
          <w:lang w:val="es-MX"/>
        </w:rPr>
        <w:t xml:space="preserve"> invita a cualquier persona o grupo interesado a</w:t>
      </w:r>
      <w:r w:rsidRPr="00E76FAE">
        <w:rPr>
          <w:lang w:val="es-ES"/>
        </w:rPr>
        <w:t xml:space="preserve"> comentar </w:t>
      </w:r>
      <w:r>
        <w:rPr>
          <w:lang w:val="es-ES"/>
        </w:rPr>
        <w:t>sobre</w:t>
      </w:r>
      <w:r w:rsidRPr="00E76FAE">
        <w:rPr>
          <w:lang w:val="es-ES"/>
        </w:rPr>
        <w:t xml:space="preserve"> las propuestas de reglas de subasta para promover la contigüidad de frecuencia</w:t>
      </w:r>
      <w:r>
        <w:rPr>
          <w:lang w:val="es-ES"/>
        </w:rPr>
        <w:t>s</w:t>
      </w:r>
      <w:r w:rsidRPr="00E76FAE">
        <w:rPr>
          <w:lang w:val="es-ES"/>
        </w:rPr>
        <w:t xml:space="preserve"> y eliminar asignaciones de </w:t>
      </w:r>
      <w:r>
        <w:rPr>
          <w:lang w:val="es-ES"/>
        </w:rPr>
        <w:t>bloques</w:t>
      </w:r>
      <w:r w:rsidRPr="00E76FAE">
        <w:rPr>
          <w:lang w:val="es-ES"/>
        </w:rPr>
        <w:t xml:space="preserve"> regionales.</w:t>
      </w:r>
    </w:p>
    <w:p w14:paraId="50AADA65" w14:textId="77777777" w:rsidR="0045050D" w:rsidRPr="00E76FAE" w:rsidRDefault="0045050D" w:rsidP="0045050D">
      <w:pPr>
        <w:pStyle w:val="Textoindependiente"/>
        <w:jc w:val="both"/>
        <w:rPr>
          <w:b/>
          <w:lang w:val="es-ES"/>
        </w:rPr>
      </w:pPr>
      <w:r w:rsidRPr="00E76FAE">
        <w:rPr>
          <w:b/>
          <w:lang w:val="es-ES"/>
        </w:rPr>
        <w:t>Espectro disponible, reglas de la subasta detalladas y procedimientos</w:t>
      </w:r>
    </w:p>
    <w:p w14:paraId="45893799" w14:textId="77777777" w:rsidR="0045050D" w:rsidRPr="00E76FAE" w:rsidRDefault="0045050D" w:rsidP="0045050D">
      <w:pPr>
        <w:pStyle w:val="Textoindependiente"/>
        <w:jc w:val="both"/>
        <w:rPr>
          <w:lang w:val="es-ES"/>
        </w:rPr>
      </w:pPr>
      <w:r w:rsidRPr="00E76FAE">
        <w:rPr>
          <w:lang w:val="es-ES"/>
        </w:rPr>
        <w:t xml:space="preserve">En las siguientes secciones, el </w:t>
      </w:r>
      <w:r>
        <w:rPr>
          <w:lang w:val="es-MX"/>
        </w:rPr>
        <w:t>Instituto</w:t>
      </w:r>
      <w:r w:rsidRPr="00E76FAE">
        <w:rPr>
          <w:lang w:val="es-ES"/>
        </w:rPr>
        <w:t xml:space="preserve"> describe el espectro disponible y establece propuestas para las reglas detalladas y procedimientos para la </w:t>
      </w:r>
      <w:r>
        <w:rPr>
          <w:lang w:val="es-ES"/>
        </w:rPr>
        <w:t>licitación</w:t>
      </w:r>
      <w:r w:rsidRPr="00E76FAE">
        <w:rPr>
          <w:lang w:val="es-ES"/>
        </w:rPr>
        <w:t xml:space="preserve"> AWS.</w:t>
      </w:r>
    </w:p>
    <w:p w14:paraId="3C26B96E" w14:textId="77777777" w:rsidR="0045050D" w:rsidRPr="00E76FAE" w:rsidRDefault="0045050D" w:rsidP="0045050D">
      <w:pPr>
        <w:pStyle w:val="Textoindependiente"/>
        <w:jc w:val="both"/>
        <w:rPr>
          <w:lang w:val="es-ES"/>
        </w:rPr>
      </w:pPr>
      <w:r w:rsidRPr="00E76FAE">
        <w:rPr>
          <w:lang w:val="es-ES"/>
        </w:rPr>
        <w:t xml:space="preserve">El borrador de las reglas cubre todos los elementos importantes de la </w:t>
      </w:r>
      <w:r>
        <w:rPr>
          <w:lang w:val="es-ES"/>
        </w:rPr>
        <w:t>licitación</w:t>
      </w:r>
      <w:r w:rsidRPr="00E76FAE">
        <w:rPr>
          <w:lang w:val="es-ES"/>
        </w:rPr>
        <w:t>, incluyendo pero no limitado a:</w:t>
      </w:r>
    </w:p>
    <w:p w14:paraId="34A48A6D" w14:textId="77777777" w:rsidR="0045050D" w:rsidRPr="008A63F7" w:rsidRDefault="0045050D" w:rsidP="0045050D">
      <w:pPr>
        <w:pStyle w:val="Textoindependiente"/>
        <w:numPr>
          <w:ilvl w:val="0"/>
          <w:numId w:val="63"/>
        </w:numPr>
        <w:jc w:val="both"/>
        <w:rPr>
          <w:lang w:val="es-ES"/>
        </w:rPr>
      </w:pPr>
      <w:r w:rsidRPr="00E76FAE">
        <w:rPr>
          <w:lang w:val="es-ES"/>
        </w:rPr>
        <w:t xml:space="preserve">Una descripción de los </w:t>
      </w:r>
      <w:r>
        <w:rPr>
          <w:lang w:val="es-ES"/>
        </w:rPr>
        <w:t>bloques</w:t>
      </w:r>
      <w:r w:rsidRPr="00E76FAE">
        <w:rPr>
          <w:lang w:val="es-ES"/>
        </w:rPr>
        <w:t xml:space="preserve"> que estarán disponibles durante la subasta;</w:t>
      </w:r>
    </w:p>
    <w:p w14:paraId="275F4CCB" w14:textId="77777777" w:rsidR="0045050D" w:rsidRPr="00E76FAE" w:rsidRDefault="0045050D" w:rsidP="0045050D">
      <w:pPr>
        <w:pStyle w:val="Textoindependiente"/>
        <w:numPr>
          <w:ilvl w:val="0"/>
          <w:numId w:val="63"/>
        </w:numPr>
        <w:jc w:val="both"/>
        <w:rPr>
          <w:lang w:val="es-ES"/>
        </w:rPr>
      </w:pPr>
      <w:r w:rsidRPr="00E76FAE">
        <w:rPr>
          <w:lang w:val="es-ES"/>
        </w:rPr>
        <w:t xml:space="preserve">Reglas </w:t>
      </w:r>
      <w:r>
        <w:rPr>
          <w:lang w:val="es-ES"/>
        </w:rPr>
        <w:t>respecto</w:t>
      </w:r>
      <w:r w:rsidRPr="00E76FAE">
        <w:rPr>
          <w:lang w:val="es-ES"/>
        </w:rPr>
        <w:t xml:space="preserve"> la conducta de</w:t>
      </w:r>
      <w:r>
        <w:rPr>
          <w:lang w:val="es-ES"/>
        </w:rPr>
        <w:t xml:space="preserve"> </w:t>
      </w:r>
      <w:r w:rsidRPr="00E76FAE">
        <w:rPr>
          <w:lang w:val="es-ES"/>
        </w:rPr>
        <w:t>l</w:t>
      </w:r>
      <w:r>
        <w:rPr>
          <w:lang w:val="es-ES"/>
        </w:rPr>
        <w:t>os</w:t>
      </w:r>
      <w:r w:rsidRPr="00E76FAE">
        <w:rPr>
          <w:lang w:val="es-ES"/>
        </w:rPr>
        <w:t xml:space="preserve"> </w:t>
      </w:r>
      <w:r>
        <w:rPr>
          <w:lang w:val="es-ES"/>
        </w:rPr>
        <w:t>P</w:t>
      </w:r>
      <w:r w:rsidRPr="00E76FAE">
        <w:rPr>
          <w:lang w:val="es-ES"/>
        </w:rPr>
        <w:t>articipante</w:t>
      </w:r>
      <w:r>
        <w:rPr>
          <w:lang w:val="es-ES"/>
        </w:rPr>
        <w:t>s</w:t>
      </w:r>
      <w:r w:rsidRPr="00E76FAE">
        <w:rPr>
          <w:lang w:val="es-ES"/>
        </w:rPr>
        <w:t xml:space="preserve"> antes y durante la subasta;</w:t>
      </w:r>
    </w:p>
    <w:p w14:paraId="0E11CF62" w14:textId="77777777" w:rsidR="0045050D" w:rsidRPr="00E76FAE" w:rsidRDefault="0045050D" w:rsidP="0045050D">
      <w:pPr>
        <w:pStyle w:val="Textoindependiente"/>
        <w:numPr>
          <w:ilvl w:val="0"/>
          <w:numId w:val="63"/>
        </w:numPr>
        <w:jc w:val="both"/>
        <w:rPr>
          <w:lang w:val="es-ES"/>
        </w:rPr>
      </w:pPr>
      <w:r>
        <w:rPr>
          <w:lang w:val="es-ES"/>
        </w:rPr>
        <w:t>Garantía de Seriedad</w:t>
      </w:r>
      <w:r w:rsidRPr="00E76FAE">
        <w:rPr>
          <w:lang w:val="es-ES"/>
        </w:rPr>
        <w:t>;</w:t>
      </w:r>
    </w:p>
    <w:p w14:paraId="5C4D8897" w14:textId="77777777" w:rsidR="0045050D" w:rsidRPr="00E76FAE" w:rsidRDefault="0045050D" w:rsidP="0045050D">
      <w:pPr>
        <w:pStyle w:val="Textoindependiente"/>
        <w:numPr>
          <w:ilvl w:val="0"/>
          <w:numId w:val="63"/>
        </w:numPr>
        <w:jc w:val="both"/>
        <w:rPr>
          <w:lang w:val="es-ES"/>
        </w:rPr>
      </w:pPr>
      <w:r w:rsidRPr="00E76FAE">
        <w:rPr>
          <w:lang w:val="es-ES"/>
        </w:rPr>
        <w:t xml:space="preserve">Programación de rondas y procedimientos para la presentación de </w:t>
      </w:r>
      <w:r>
        <w:rPr>
          <w:lang w:val="es-ES"/>
        </w:rPr>
        <w:t>ofertas económicas</w:t>
      </w:r>
      <w:r w:rsidRPr="00E76FAE">
        <w:rPr>
          <w:lang w:val="es-ES"/>
        </w:rPr>
        <w:t>;</w:t>
      </w:r>
    </w:p>
    <w:p w14:paraId="257DE638" w14:textId="77777777" w:rsidR="0045050D" w:rsidRPr="00E76FAE" w:rsidRDefault="0045050D" w:rsidP="0045050D">
      <w:pPr>
        <w:pStyle w:val="Textoindependiente"/>
        <w:numPr>
          <w:ilvl w:val="0"/>
          <w:numId w:val="63"/>
        </w:numPr>
        <w:jc w:val="both"/>
        <w:rPr>
          <w:lang w:val="es-ES"/>
        </w:rPr>
      </w:pPr>
      <w:r w:rsidRPr="00E76FAE">
        <w:rPr>
          <w:lang w:val="es-ES"/>
        </w:rPr>
        <w:t xml:space="preserve">Establecimiento de precios por </w:t>
      </w:r>
      <w:r>
        <w:rPr>
          <w:lang w:val="es-ES"/>
        </w:rPr>
        <w:t>bloques</w:t>
      </w:r>
      <w:r w:rsidRPr="00E76FAE">
        <w:rPr>
          <w:lang w:val="es-ES"/>
        </w:rPr>
        <w:t xml:space="preserve"> y paquetes de </w:t>
      </w:r>
      <w:r>
        <w:rPr>
          <w:lang w:val="es-ES"/>
        </w:rPr>
        <w:t>bloque</w:t>
      </w:r>
      <w:r w:rsidRPr="00E76FAE">
        <w:rPr>
          <w:lang w:val="es-ES"/>
        </w:rPr>
        <w:t>s durante la subasta;</w:t>
      </w:r>
    </w:p>
    <w:p w14:paraId="69F5B241" w14:textId="77777777" w:rsidR="0045050D" w:rsidRPr="00E76FAE" w:rsidRDefault="0045050D" w:rsidP="0045050D">
      <w:pPr>
        <w:pStyle w:val="Textoindependiente"/>
        <w:numPr>
          <w:ilvl w:val="0"/>
          <w:numId w:val="63"/>
        </w:numPr>
        <w:jc w:val="both"/>
        <w:rPr>
          <w:lang w:val="es-ES"/>
        </w:rPr>
      </w:pPr>
      <w:r w:rsidRPr="00E76FAE">
        <w:rPr>
          <w:lang w:val="es-ES"/>
        </w:rPr>
        <w:t>Reglas de actividad;</w:t>
      </w:r>
    </w:p>
    <w:p w14:paraId="11C4657F" w14:textId="77777777" w:rsidR="0045050D" w:rsidRPr="00E76FAE" w:rsidRDefault="0045050D" w:rsidP="0045050D">
      <w:pPr>
        <w:pStyle w:val="Textoindependiente"/>
        <w:numPr>
          <w:ilvl w:val="0"/>
          <w:numId w:val="63"/>
        </w:numPr>
        <w:jc w:val="both"/>
        <w:rPr>
          <w:lang w:val="es-ES"/>
        </w:rPr>
      </w:pPr>
      <w:r w:rsidRPr="00E76FAE">
        <w:rPr>
          <w:lang w:val="es-ES"/>
        </w:rPr>
        <w:t>Divulgación de información;</w:t>
      </w:r>
    </w:p>
    <w:p w14:paraId="3676729C" w14:textId="77777777" w:rsidR="0045050D" w:rsidRPr="00E76FAE" w:rsidRDefault="0045050D" w:rsidP="0045050D">
      <w:pPr>
        <w:pStyle w:val="Textoindependiente"/>
        <w:numPr>
          <w:ilvl w:val="0"/>
          <w:numId w:val="63"/>
        </w:numPr>
        <w:jc w:val="both"/>
        <w:rPr>
          <w:lang w:val="es-ES"/>
        </w:rPr>
      </w:pPr>
      <w:r w:rsidRPr="00E76FAE">
        <w:rPr>
          <w:lang w:val="es-ES"/>
        </w:rPr>
        <w:t>Determinación de</w:t>
      </w:r>
      <w:r>
        <w:rPr>
          <w:lang w:val="es-ES"/>
        </w:rPr>
        <w:t xml:space="preserve"> </w:t>
      </w:r>
      <w:r w:rsidRPr="00E76FAE">
        <w:rPr>
          <w:lang w:val="es-ES"/>
        </w:rPr>
        <w:t>l</w:t>
      </w:r>
      <w:r>
        <w:rPr>
          <w:lang w:val="es-ES"/>
        </w:rPr>
        <w:t>os</w:t>
      </w:r>
      <w:r w:rsidRPr="00E76FAE">
        <w:rPr>
          <w:lang w:val="es-ES"/>
        </w:rPr>
        <w:t xml:space="preserve"> </w:t>
      </w:r>
      <w:r>
        <w:rPr>
          <w:lang w:val="es-ES"/>
        </w:rPr>
        <w:t>Participantes G</w:t>
      </w:r>
      <w:r w:rsidRPr="00E76FAE">
        <w:rPr>
          <w:lang w:val="es-ES"/>
        </w:rPr>
        <w:t>anador</w:t>
      </w:r>
      <w:r>
        <w:rPr>
          <w:lang w:val="es-ES"/>
        </w:rPr>
        <w:t>es</w:t>
      </w:r>
      <w:r w:rsidRPr="00E76FAE">
        <w:rPr>
          <w:lang w:val="es-ES"/>
        </w:rPr>
        <w:t xml:space="preserve"> y de</w:t>
      </w:r>
      <w:r>
        <w:rPr>
          <w:lang w:val="es-ES"/>
        </w:rPr>
        <w:t xml:space="preserve"> </w:t>
      </w:r>
      <w:r w:rsidRPr="00E76FAE">
        <w:rPr>
          <w:lang w:val="es-ES"/>
        </w:rPr>
        <w:t>l</w:t>
      </w:r>
      <w:r>
        <w:rPr>
          <w:lang w:val="es-ES"/>
        </w:rPr>
        <w:t>a</w:t>
      </w:r>
      <w:r w:rsidRPr="00E76FAE">
        <w:rPr>
          <w:lang w:val="es-ES"/>
        </w:rPr>
        <w:t xml:space="preserve"> </w:t>
      </w:r>
      <w:r>
        <w:rPr>
          <w:lang w:val="es-ES"/>
        </w:rPr>
        <w:t>contraprestación</w:t>
      </w:r>
      <w:r w:rsidRPr="00E76FAE">
        <w:rPr>
          <w:lang w:val="es-ES"/>
        </w:rPr>
        <w:t>; y</w:t>
      </w:r>
    </w:p>
    <w:p w14:paraId="79178A5C" w14:textId="77777777" w:rsidR="0045050D" w:rsidRPr="003537AC" w:rsidRDefault="0045050D" w:rsidP="0045050D">
      <w:pPr>
        <w:pStyle w:val="Textoindependiente"/>
        <w:numPr>
          <w:ilvl w:val="0"/>
          <w:numId w:val="63"/>
        </w:numPr>
        <w:jc w:val="both"/>
        <w:rPr>
          <w:lang w:val="es-ES"/>
        </w:rPr>
      </w:pPr>
      <w:r w:rsidRPr="00E76FAE">
        <w:rPr>
          <w:lang w:val="es-ES"/>
        </w:rPr>
        <w:t xml:space="preserve">Reglas para la asignación de frecuencias a los </w:t>
      </w:r>
      <w:r>
        <w:rPr>
          <w:lang w:val="es-ES"/>
        </w:rPr>
        <w:t>P</w:t>
      </w:r>
      <w:r w:rsidRPr="00E76FAE">
        <w:rPr>
          <w:lang w:val="es-ES"/>
        </w:rPr>
        <w:t xml:space="preserve">articipantes </w:t>
      </w:r>
      <w:r>
        <w:rPr>
          <w:lang w:val="es-ES"/>
        </w:rPr>
        <w:t>G</w:t>
      </w:r>
      <w:r w:rsidRPr="00E76FAE">
        <w:rPr>
          <w:lang w:val="es-ES"/>
        </w:rPr>
        <w:t>anadores.</w:t>
      </w:r>
    </w:p>
    <w:p w14:paraId="1723D466" w14:textId="77777777" w:rsidR="0045050D" w:rsidRPr="00E76FAE" w:rsidRDefault="0045050D" w:rsidP="0045050D">
      <w:pPr>
        <w:pStyle w:val="Textoindependiente"/>
        <w:jc w:val="both"/>
        <w:rPr>
          <w:lang w:val="es-ES"/>
        </w:rPr>
      </w:pPr>
      <w:r w:rsidRPr="00E76FAE">
        <w:rPr>
          <w:lang w:val="es-ES"/>
        </w:rPr>
        <w:lastRenderedPageBreak/>
        <w:t>Las reglas han sido diseñadas para:</w:t>
      </w:r>
    </w:p>
    <w:p w14:paraId="549812F6" w14:textId="77777777" w:rsidR="0045050D" w:rsidRPr="00E76FAE" w:rsidRDefault="0045050D" w:rsidP="0045050D">
      <w:pPr>
        <w:pStyle w:val="Textoindependiente"/>
        <w:numPr>
          <w:ilvl w:val="0"/>
          <w:numId w:val="64"/>
        </w:numPr>
        <w:jc w:val="both"/>
        <w:rPr>
          <w:lang w:val="es-ES"/>
        </w:rPr>
      </w:pPr>
      <w:r w:rsidRPr="00E76FAE">
        <w:rPr>
          <w:lang w:val="es-ES"/>
        </w:rPr>
        <w:t>Promover resultados que apoyen el uso eficiente del espectro y promueva</w:t>
      </w:r>
      <w:r>
        <w:rPr>
          <w:lang w:val="es-ES"/>
        </w:rPr>
        <w:t>n</w:t>
      </w:r>
      <w:r w:rsidRPr="00E76FAE">
        <w:rPr>
          <w:lang w:val="es-ES"/>
        </w:rPr>
        <w:t xml:space="preserve"> la competencia a largo plazo en el mercado para la provisión de servicios móviles;</w:t>
      </w:r>
    </w:p>
    <w:p w14:paraId="691C5343" w14:textId="77777777" w:rsidR="0045050D" w:rsidRPr="00E76FAE" w:rsidRDefault="0045050D" w:rsidP="0045050D">
      <w:pPr>
        <w:pStyle w:val="Textoindependiente"/>
        <w:numPr>
          <w:ilvl w:val="0"/>
          <w:numId w:val="64"/>
        </w:numPr>
        <w:jc w:val="both"/>
        <w:rPr>
          <w:lang w:val="es-ES"/>
        </w:rPr>
      </w:pPr>
      <w:r w:rsidRPr="00E76FAE">
        <w:rPr>
          <w:lang w:val="es-ES"/>
        </w:rPr>
        <w:t xml:space="preserve">Incentive la realización de </w:t>
      </w:r>
      <w:r>
        <w:rPr>
          <w:lang w:val="es-ES"/>
        </w:rPr>
        <w:t>ofertas económicas</w:t>
      </w:r>
      <w:r w:rsidRPr="00E76FAE">
        <w:rPr>
          <w:lang w:val="es-ES"/>
        </w:rPr>
        <w:t xml:space="preserve"> consistentes, en base a valuaciones, y (en la medida de lo posible), desincentive comportamiento</w:t>
      </w:r>
      <w:r>
        <w:rPr>
          <w:lang w:val="es-ES"/>
        </w:rPr>
        <w:t>s</w:t>
      </w:r>
      <w:r w:rsidRPr="00E76FAE">
        <w:rPr>
          <w:lang w:val="es-ES"/>
        </w:rPr>
        <w:t xml:space="preserve"> indeseable</w:t>
      </w:r>
      <w:r>
        <w:rPr>
          <w:lang w:val="es-ES"/>
        </w:rPr>
        <w:t>s</w:t>
      </w:r>
      <w:r w:rsidRPr="00E76FAE">
        <w:rPr>
          <w:lang w:val="es-ES"/>
        </w:rPr>
        <w:t xml:space="preserve">, tales como </w:t>
      </w:r>
      <w:r>
        <w:rPr>
          <w:i/>
          <w:lang w:val="es-ES"/>
        </w:rPr>
        <w:t>ofertas económicas estratégicas</w:t>
      </w:r>
      <w:r w:rsidRPr="00E76FAE">
        <w:rPr>
          <w:lang w:val="es-ES"/>
        </w:rPr>
        <w:t xml:space="preserve"> o </w:t>
      </w:r>
      <w:r>
        <w:rPr>
          <w:lang w:val="es-ES"/>
        </w:rPr>
        <w:t xml:space="preserve">la </w:t>
      </w:r>
      <w:r w:rsidRPr="00E76FAE">
        <w:rPr>
          <w:lang w:val="es-ES"/>
        </w:rPr>
        <w:t xml:space="preserve">realización de </w:t>
      </w:r>
      <w:r>
        <w:rPr>
          <w:lang w:val="es-ES"/>
        </w:rPr>
        <w:t>ofertas económicas</w:t>
      </w:r>
      <w:r w:rsidRPr="00E76FAE">
        <w:rPr>
          <w:lang w:val="es-ES"/>
        </w:rPr>
        <w:t xml:space="preserve"> en colusión tácita.</w:t>
      </w:r>
    </w:p>
    <w:p w14:paraId="7EB320C1" w14:textId="77777777" w:rsidR="0045050D" w:rsidRPr="00E76FAE" w:rsidRDefault="0045050D" w:rsidP="0045050D">
      <w:pPr>
        <w:pStyle w:val="Textoindependiente"/>
        <w:numPr>
          <w:ilvl w:val="0"/>
          <w:numId w:val="64"/>
        </w:numPr>
        <w:jc w:val="both"/>
        <w:rPr>
          <w:lang w:val="es-ES"/>
        </w:rPr>
      </w:pPr>
      <w:r w:rsidRPr="00E76FAE">
        <w:rPr>
          <w:lang w:val="es-ES"/>
        </w:rPr>
        <w:t xml:space="preserve">Alcanzar un balance apropiado entre la revelación de información para promover el descubrimiento de precios y la restricción de información con el fin de desincentivar comportamiento de </w:t>
      </w:r>
      <w:r>
        <w:rPr>
          <w:i/>
          <w:lang w:val="es-ES"/>
        </w:rPr>
        <w:t>ofertas económicas estratégicas</w:t>
      </w:r>
      <w:r w:rsidRPr="00E76FAE">
        <w:rPr>
          <w:lang w:val="es-ES"/>
        </w:rPr>
        <w:t>; y</w:t>
      </w:r>
    </w:p>
    <w:p w14:paraId="38FC9023" w14:textId="77777777" w:rsidR="0045050D" w:rsidRPr="00E76FAE" w:rsidRDefault="0045050D" w:rsidP="0045050D">
      <w:pPr>
        <w:pStyle w:val="Textoindependiente"/>
        <w:numPr>
          <w:ilvl w:val="0"/>
          <w:numId w:val="64"/>
        </w:numPr>
        <w:jc w:val="both"/>
        <w:rPr>
          <w:lang w:val="es-ES"/>
        </w:rPr>
      </w:pPr>
      <w:r w:rsidRPr="00E76FAE">
        <w:rPr>
          <w:lang w:val="es-ES"/>
        </w:rPr>
        <w:t>Asegurar un proceso de subasta razonablemente rápido y eficiente.</w:t>
      </w:r>
    </w:p>
    <w:p w14:paraId="4C326AA7" w14:textId="77777777" w:rsidR="0045050D" w:rsidRPr="00EF20C3" w:rsidRDefault="0045050D" w:rsidP="0045050D">
      <w:pPr>
        <w:pStyle w:val="Textoindependiente"/>
        <w:pBdr>
          <w:top w:val="single" w:sz="4" w:space="1" w:color="auto"/>
          <w:left w:val="single" w:sz="4" w:space="4" w:color="auto"/>
          <w:bottom w:val="single" w:sz="4" w:space="1" w:color="auto"/>
          <w:right w:val="single" w:sz="4" w:space="4" w:color="auto"/>
        </w:pBdr>
        <w:jc w:val="both"/>
        <w:rPr>
          <w:lang w:val="es-ES"/>
        </w:rPr>
      </w:pPr>
      <w:r w:rsidRPr="00E76FAE">
        <w:rPr>
          <w:lang w:val="es-MX"/>
        </w:rPr>
        <w:t xml:space="preserve">El </w:t>
      </w:r>
      <w:r>
        <w:rPr>
          <w:lang w:val="es-MX"/>
        </w:rPr>
        <w:t>Instituto</w:t>
      </w:r>
      <w:r w:rsidRPr="00E76FAE">
        <w:rPr>
          <w:lang w:val="es-MX"/>
        </w:rPr>
        <w:t xml:space="preserve"> invita a cualquier persona o grupo interesado a</w:t>
      </w:r>
      <w:r w:rsidRPr="00E76FAE">
        <w:rPr>
          <w:lang w:val="es-ES"/>
        </w:rPr>
        <w:t xml:space="preserve"> comentar </w:t>
      </w:r>
      <w:r>
        <w:rPr>
          <w:lang w:val="es-ES"/>
        </w:rPr>
        <w:t>respecto a</w:t>
      </w:r>
      <w:r w:rsidRPr="00E76FAE">
        <w:rPr>
          <w:lang w:val="es-ES"/>
        </w:rPr>
        <w:t xml:space="preserve"> cualquier aspecto de las reglas de subasta propuestas y </w:t>
      </w:r>
      <w:r>
        <w:rPr>
          <w:lang w:val="es-ES"/>
        </w:rPr>
        <w:t>sus</w:t>
      </w:r>
      <w:r w:rsidRPr="00E76FAE">
        <w:rPr>
          <w:lang w:val="es-ES"/>
        </w:rPr>
        <w:t xml:space="preserve"> procedimientos, </w:t>
      </w:r>
      <w:r>
        <w:rPr>
          <w:lang w:val="es-ES"/>
        </w:rPr>
        <w:t xml:space="preserve">en relación a lo </w:t>
      </w:r>
      <w:r w:rsidRPr="00E76FAE">
        <w:rPr>
          <w:lang w:val="es-ES"/>
        </w:rPr>
        <w:t>establec</w:t>
      </w:r>
      <w:r>
        <w:rPr>
          <w:lang w:val="es-ES"/>
        </w:rPr>
        <w:t>ido</w:t>
      </w:r>
      <w:r w:rsidRPr="00E76FAE">
        <w:rPr>
          <w:lang w:val="es-ES"/>
        </w:rPr>
        <w:t xml:space="preserve"> en este documento, con referencia a los objetivos del </w:t>
      </w:r>
      <w:r>
        <w:rPr>
          <w:lang w:val="es-MX"/>
        </w:rPr>
        <w:t>Instituto</w:t>
      </w:r>
      <w:r w:rsidRPr="00E76FAE">
        <w:rPr>
          <w:lang w:val="es-ES"/>
        </w:rPr>
        <w:t xml:space="preserve"> para la </w:t>
      </w:r>
      <w:r>
        <w:rPr>
          <w:lang w:val="es-ES"/>
        </w:rPr>
        <w:t>asignación de espectro AWS</w:t>
      </w:r>
      <w:r w:rsidRPr="00E76FAE">
        <w:rPr>
          <w:lang w:val="es-ES"/>
        </w:rPr>
        <w:t>.</w:t>
      </w:r>
    </w:p>
    <w:p w14:paraId="45325DA3" w14:textId="77777777" w:rsidR="0045050D" w:rsidRPr="00EF20C3" w:rsidRDefault="0045050D" w:rsidP="0045050D">
      <w:pPr>
        <w:pStyle w:val="Textoindependiente"/>
        <w:rPr>
          <w:lang w:val="es-ES"/>
        </w:rPr>
      </w:pPr>
    </w:p>
    <w:p w14:paraId="383F0F4E" w14:textId="77777777" w:rsidR="0045050D" w:rsidRPr="00EF20C3" w:rsidRDefault="0045050D" w:rsidP="0045050D">
      <w:pPr>
        <w:pStyle w:val="Ttulo1"/>
        <w:numPr>
          <w:ilvl w:val="0"/>
          <w:numId w:val="0"/>
        </w:numPr>
        <w:ind w:left="936" w:hanging="936"/>
        <w:rPr>
          <w:lang w:val="es-ES"/>
        </w:rPr>
      </w:pPr>
    </w:p>
    <w:p w14:paraId="663AFC0D" w14:textId="77777777" w:rsidR="0045050D" w:rsidRPr="00EF20C3" w:rsidRDefault="0045050D" w:rsidP="0045050D">
      <w:pPr>
        <w:pStyle w:val="Ttulo1"/>
        <w:numPr>
          <w:ilvl w:val="0"/>
          <w:numId w:val="0"/>
        </w:numPr>
        <w:ind w:left="936"/>
        <w:rPr>
          <w:lang w:val="es-ES"/>
        </w:rPr>
      </w:pPr>
      <w:r w:rsidRPr="00EF20C3">
        <w:rPr>
          <w:lang w:val="es-ES"/>
        </w:rPr>
        <w:t xml:space="preserve"> </w:t>
      </w:r>
    </w:p>
    <w:p w14:paraId="7FE45AF5" w14:textId="77777777" w:rsidR="0045050D" w:rsidRPr="00E76FAE" w:rsidRDefault="0045050D" w:rsidP="0045050D">
      <w:pPr>
        <w:pStyle w:val="Ttulo1"/>
        <w:pageBreakBefore/>
        <w:jc w:val="both"/>
        <w:rPr>
          <w:lang w:val="es-ES"/>
        </w:rPr>
      </w:pPr>
      <w:bookmarkStart w:id="13" w:name="_Toc430281519"/>
      <w:r w:rsidRPr="00E76FAE">
        <w:rPr>
          <w:lang w:val="es-ES"/>
        </w:rPr>
        <w:lastRenderedPageBreak/>
        <w:t>Espectro Disponible</w:t>
      </w:r>
      <w:bookmarkEnd w:id="12"/>
      <w:bookmarkEnd w:id="13"/>
    </w:p>
    <w:p w14:paraId="768259D8" w14:textId="77777777" w:rsidR="0045050D" w:rsidRPr="00E76FAE" w:rsidRDefault="0045050D" w:rsidP="0045050D">
      <w:pPr>
        <w:pStyle w:val="Textoindependiente"/>
        <w:jc w:val="both"/>
        <w:rPr>
          <w:lang w:val="es-ES"/>
        </w:rPr>
      </w:pPr>
      <w:r w:rsidRPr="00E76FAE">
        <w:rPr>
          <w:lang w:val="es-ES"/>
        </w:rPr>
        <w:t>Las frecuencias disponibles de espectro en esta subasta se localizan en las tres sub-bandas dentro de la banda de espectro conocida en América del Norte como la banda “</w:t>
      </w:r>
      <w:r w:rsidRPr="00E76FAE">
        <w:rPr>
          <w:i/>
          <w:lang w:val="es-ES"/>
        </w:rPr>
        <w:t xml:space="preserve">Advanced Wireless Service” </w:t>
      </w:r>
      <w:r w:rsidRPr="00E76FAE">
        <w:rPr>
          <w:lang w:val="es-ES"/>
        </w:rPr>
        <w:t>(AWS</w:t>
      </w:r>
      <w:r w:rsidRPr="00E76FAE">
        <w:rPr>
          <w:i/>
          <w:lang w:val="es-ES"/>
        </w:rPr>
        <w:t xml:space="preserve">, </w:t>
      </w:r>
      <w:r w:rsidRPr="00E76FAE">
        <w:rPr>
          <w:lang w:val="es-ES"/>
        </w:rPr>
        <w:t>traducción al español es “Servicio Inalámbrico Avanzado”):</w:t>
      </w:r>
    </w:p>
    <w:p w14:paraId="01BDA297" w14:textId="77777777" w:rsidR="0045050D" w:rsidRPr="00E76FAE" w:rsidRDefault="0045050D" w:rsidP="0045050D">
      <w:pPr>
        <w:pStyle w:val="Textoindependiente"/>
        <w:numPr>
          <w:ilvl w:val="0"/>
          <w:numId w:val="14"/>
        </w:numPr>
        <w:jc w:val="both"/>
        <w:rPr>
          <w:lang w:val="es-ES"/>
        </w:rPr>
      </w:pPr>
      <w:r w:rsidRPr="00E76FAE">
        <w:rPr>
          <w:lang w:val="es-ES"/>
        </w:rPr>
        <w:t>AWS-1: Espectro pareado que no fue otorgado en la Subasta 21 (2x15 MHz pareado).</w:t>
      </w:r>
    </w:p>
    <w:p w14:paraId="63133CB7" w14:textId="77777777" w:rsidR="0045050D" w:rsidRPr="00E76FAE" w:rsidRDefault="0045050D" w:rsidP="0045050D">
      <w:pPr>
        <w:pStyle w:val="Textoindependiente"/>
        <w:numPr>
          <w:ilvl w:val="0"/>
          <w:numId w:val="14"/>
        </w:numPr>
        <w:jc w:val="both"/>
        <w:rPr>
          <w:lang w:val="es-ES"/>
        </w:rPr>
      </w:pPr>
      <w:r w:rsidRPr="00E76FAE">
        <w:rPr>
          <w:lang w:val="es-ES"/>
        </w:rPr>
        <w:t xml:space="preserve">AWS-3 Banda </w:t>
      </w:r>
      <w:r>
        <w:rPr>
          <w:lang w:val="es-ES"/>
        </w:rPr>
        <w:t>Base</w:t>
      </w:r>
      <w:r w:rsidRPr="00E76FAE">
        <w:rPr>
          <w:lang w:val="es-ES"/>
        </w:rPr>
        <w:t>: frecuencias pareadas 1755-1770 MHz</w:t>
      </w:r>
      <w:r>
        <w:rPr>
          <w:lang w:val="es-ES"/>
        </w:rPr>
        <w:t xml:space="preserve"> </w:t>
      </w:r>
      <w:r w:rsidRPr="00E76FAE">
        <w:rPr>
          <w:lang w:val="es-ES"/>
        </w:rPr>
        <w:t>/</w:t>
      </w:r>
      <w:r>
        <w:rPr>
          <w:lang w:val="es-ES"/>
        </w:rPr>
        <w:t xml:space="preserve"> </w:t>
      </w:r>
      <w:r w:rsidRPr="00E76FAE">
        <w:rPr>
          <w:lang w:val="es-ES"/>
        </w:rPr>
        <w:t>2155 – 2170 MHz (2x15 MHz pareados).</w:t>
      </w:r>
    </w:p>
    <w:p w14:paraId="740D2BB8" w14:textId="77777777" w:rsidR="0045050D" w:rsidRPr="00E76FAE" w:rsidRDefault="0045050D" w:rsidP="0045050D">
      <w:pPr>
        <w:pStyle w:val="Textoindependiente"/>
        <w:numPr>
          <w:ilvl w:val="0"/>
          <w:numId w:val="14"/>
        </w:numPr>
        <w:jc w:val="both"/>
        <w:rPr>
          <w:lang w:val="es-ES"/>
        </w:rPr>
      </w:pPr>
      <w:r w:rsidRPr="00E76FAE">
        <w:rPr>
          <w:lang w:val="es-ES"/>
        </w:rPr>
        <w:t xml:space="preserve">AWS-3 </w:t>
      </w:r>
      <w:r>
        <w:rPr>
          <w:lang w:val="es-ES"/>
        </w:rPr>
        <w:t>B</w:t>
      </w:r>
      <w:r w:rsidRPr="00E76FAE">
        <w:rPr>
          <w:lang w:val="es-ES"/>
        </w:rPr>
        <w:t xml:space="preserve">anda </w:t>
      </w:r>
      <w:r>
        <w:rPr>
          <w:lang w:val="es-ES"/>
        </w:rPr>
        <w:t>Extendida</w:t>
      </w:r>
      <w:r w:rsidRPr="00E76FAE">
        <w:rPr>
          <w:lang w:val="es-ES"/>
        </w:rPr>
        <w:t>: frecuencias pareadas 1770 – 1780 MHz</w:t>
      </w:r>
      <w:r>
        <w:rPr>
          <w:lang w:val="es-ES"/>
        </w:rPr>
        <w:t xml:space="preserve"> </w:t>
      </w:r>
      <w:r w:rsidRPr="00E76FAE">
        <w:rPr>
          <w:lang w:val="es-ES"/>
        </w:rPr>
        <w:t>/ 2170 – 2180 MHz (2x10 MHz pareada).</w:t>
      </w:r>
    </w:p>
    <w:p w14:paraId="385330A0" w14:textId="77777777" w:rsidR="0045050D" w:rsidRPr="00E76FAE" w:rsidRDefault="0045050D" w:rsidP="0045050D">
      <w:pPr>
        <w:pStyle w:val="Textoindependiente"/>
        <w:jc w:val="both"/>
        <w:rPr>
          <w:lang w:val="es-ES"/>
        </w:rPr>
      </w:pPr>
      <w:r w:rsidRPr="00E76FAE">
        <w:rPr>
          <w:lang w:val="es-ES"/>
        </w:rPr>
        <w:t xml:space="preserve">El plan de banda AWS para México (solamente </w:t>
      </w:r>
      <w:r>
        <w:rPr>
          <w:lang w:val="es-ES"/>
        </w:rPr>
        <w:t xml:space="preserve">se muestran </w:t>
      </w:r>
      <w:r w:rsidRPr="00E76FAE">
        <w:rPr>
          <w:lang w:val="es-ES"/>
        </w:rPr>
        <w:t xml:space="preserve">las frecuencias </w:t>
      </w:r>
      <w:r>
        <w:rPr>
          <w:lang w:val="es-ES"/>
        </w:rPr>
        <w:t>de subida “</w:t>
      </w:r>
      <w:r w:rsidRPr="00E76FAE">
        <w:rPr>
          <w:i/>
          <w:lang w:val="es-ES"/>
        </w:rPr>
        <w:t>uplink</w:t>
      </w:r>
      <w:r>
        <w:rPr>
          <w:i/>
          <w:lang w:val="es-ES"/>
        </w:rPr>
        <w:t>”</w:t>
      </w:r>
      <w:r w:rsidRPr="00E76FAE">
        <w:rPr>
          <w:lang w:val="es-ES"/>
        </w:rPr>
        <w:t>)</w:t>
      </w:r>
      <w:r>
        <w:rPr>
          <w:lang w:val="es-ES"/>
        </w:rPr>
        <w:t xml:space="preserve"> así como las concesiones </w:t>
      </w:r>
      <w:r w:rsidRPr="00E76FAE">
        <w:rPr>
          <w:lang w:val="es-ES"/>
        </w:rPr>
        <w:t xml:space="preserve">existentes en la sub-banda AWS-1, se ilustran en la </w:t>
      </w:r>
      <w:r w:rsidRPr="00E76FAE">
        <w:rPr>
          <w:lang w:val="en-US"/>
        </w:rPr>
        <w:fldChar w:fldCharType="begin"/>
      </w:r>
      <w:r w:rsidRPr="00E76FAE">
        <w:rPr>
          <w:lang w:val="es-ES"/>
        </w:rPr>
        <w:instrText xml:space="preserve"> REF _Ref429488140 \h  \* MERGEFORMAT </w:instrText>
      </w:r>
      <w:r w:rsidRPr="00E76FAE">
        <w:rPr>
          <w:lang w:val="en-US"/>
        </w:rPr>
      </w:r>
      <w:r w:rsidRPr="00E76FAE">
        <w:rPr>
          <w:lang w:val="en-US"/>
        </w:rPr>
        <w:fldChar w:fldCharType="separate"/>
      </w:r>
      <w:r w:rsidRPr="00A330D9">
        <w:rPr>
          <w:lang w:val="es-ES"/>
        </w:rPr>
        <w:t>Figura</w:t>
      </w:r>
      <w:r w:rsidRPr="00E76FAE">
        <w:rPr>
          <w:lang w:val="es-ES"/>
        </w:rPr>
        <w:t xml:space="preserve"> </w:t>
      </w:r>
      <w:r>
        <w:rPr>
          <w:lang w:val="es-ES"/>
        </w:rPr>
        <w:t>1</w:t>
      </w:r>
      <w:r w:rsidRPr="00E76FAE">
        <w:rPr>
          <w:lang w:val="en-US"/>
        </w:rPr>
        <w:fldChar w:fldCharType="end"/>
      </w:r>
      <w:r w:rsidRPr="00E76FAE">
        <w:rPr>
          <w:lang w:val="es-ES"/>
        </w:rPr>
        <w:t>.</w:t>
      </w:r>
    </w:p>
    <w:p w14:paraId="6A7D2A7C" w14:textId="77777777" w:rsidR="0045050D" w:rsidRPr="002F6E33" w:rsidRDefault="0045050D" w:rsidP="0045050D">
      <w:pPr>
        <w:pStyle w:val="Descripcin"/>
        <w:spacing w:after="240"/>
        <w:rPr>
          <w:lang w:val="es-ES"/>
        </w:rPr>
      </w:pPr>
      <w:bookmarkStart w:id="14" w:name="_Ref427830631"/>
      <w:bookmarkStart w:id="15" w:name="_Ref429488140"/>
      <w:bookmarkStart w:id="16" w:name="_Ref427830620"/>
      <w:r w:rsidRPr="00E76FAE">
        <w:rPr>
          <w:lang w:val="es-MX"/>
        </w:rPr>
        <w:t>Figura</w:t>
      </w:r>
      <w:r w:rsidRPr="00E76FAE">
        <w:rPr>
          <w:lang w:val="es-ES"/>
        </w:rPr>
        <w:t xml:space="preserve"> </w:t>
      </w:r>
      <w:r w:rsidRPr="00E76FAE">
        <w:fldChar w:fldCharType="begin"/>
      </w:r>
      <w:r w:rsidRPr="00E76FAE">
        <w:rPr>
          <w:lang w:val="es-ES"/>
        </w:rPr>
        <w:instrText xml:space="preserve"> SEQ Figure \* ARABIC </w:instrText>
      </w:r>
      <w:r w:rsidRPr="00E76FAE">
        <w:fldChar w:fldCharType="separate"/>
      </w:r>
      <w:r>
        <w:rPr>
          <w:noProof/>
          <w:lang w:val="es-ES"/>
        </w:rPr>
        <w:t>1</w:t>
      </w:r>
      <w:r w:rsidRPr="00E76FAE">
        <w:fldChar w:fldCharType="end"/>
      </w:r>
      <w:bookmarkEnd w:id="14"/>
      <w:bookmarkEnd w:id="15"/>
      <w:r w:rsidRPr="00E76FAE">
        <w:rPr>
          <w:lang w:val="es-ES"/>
        </w:rPr>
        <w:t xml:space="preserve">: </w:t>
      </w:r>
      <w:bookmarkEnd w:id="16"/>
      <w:r w:rsidRPr="00E76FAE">
        <w:rPr>
          <w:lang w:val="es-ES"/>
        </w:rPr>
        <w:t>Plan de Banda AWS in México</w:t>
      </w:r>
    </w:p>
    <w:p w14:paraId="5ED3D85F" w14:textId="5241342A" w:rsidR="0045050D" w:rsidRPr="00E76FAE" w:rsidRDefault="0045050D" w:rsidP="0045050D">
      <w:pPr>
        <w:pStyle w:val="Textoindependiente"/>
        <w:jc w:val="center"/>
      </w:pPr>
      <w:r w:rsidRPr="00FF59DC">
        <w:rPr>
          <w:noProof/>
          <w:lang w:val="es-MX" w:eastAsia="es-MX"/>
        </w:rPr>
        <w:drawing>
          <wp:inline distT="0" distB="0" distL="0" distR="0" wp14:anchorId="585A63F8" wp14:editId="48CF42C4">
            <wp:extent cx="5943600" cy="235620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356204"/>
                    </a:xfrm>
                    <a:prstGeom prst="rect">
                      <a:avLst/>
                    </a:prstGeom>
                    <a:noFill/>
                    <a:ln>
                      <a:noFill/>
                    </a:ln>
                  </pic:spPr>
                </pic:pic>
              </a:graphicData>
            </a:graphic>
          </wp:inline>
        </w:drawing>
      </w:r>
    </w:p>
    <w:p w14:paraId="0020A1FC" w14:textId="77777777" w:rsidR="0045050D" w:rsidRPr="00E76FAE" w:rsidRDefault="0045050D" w:rsidP="0045050D">
      <w:pPr>
        <w:pStyle w:val="Ttulo2"/>
        <w:jc w:val="both"/>
        <w:rPr>
          <w:lang w:val="es-ES"/>
        </w:rPr>
      </w:pPr>
      <w:bookmarkStart w:id="17" w:name="_Toc429397848"/>
      <w:bookmarkStart w:id="18" w:name="_Toc430281520"/>
      <w:r w:rsidRPr="00E76FAE">
        <w:rPr>
          <w:lang w:val="es-ES"/>
        </w:rPr>
        <w:t xml:space="preserve">Promoviendo la contigüidad del espectro y </w:t>
      </w:r>
      <w:r>
        <w:rPr>
          <w:lang w:val="es-ES"/>
        </w:rPr>
        <w:t>bloques</w:t>
      </w:r>
      <w:r w:rsidRPr="00E76FAE">
        <w:rPr>
          <w:lang w:val="es-ES"/>
        </w:rPr>
        <w:t xml:space="preserve"> nacionales</w:t>
      </w:r>
      <w:bookmarkEnd w:id="17"/>
      <w:bookmarkEnd w:id="18"/>
    </w:p>
    <w:p w14:paraId="7EF3027B" w14:textId="77777777" w:rsidR="0045050D" w:rsidRPr="00E76FAE" w:rsidRDefault="0045050D" w:rsidP="0045050D">
      <w:pPr>
        <w:pStyle w:val="Textoindependiente"/>
        <w:jc w:val="both"/>
        <w:rPr>
          <w:lang w:val="es-ES"/>
        </w:rPr>
      </w:pPr>
      <w:r w:rsidRPr="00E76FAE">
        <w:rPr>
          <w:lang w:val="es-ES"/>
        </w:rPr>
        <w:t xml:space="preserve">La subasta está diseñada para facilitar el reordenamiento de las </w:t>
      </w:r>
      <w:r>
        <w:rPr>
          <w:lang w:val="es-ES"/>
        </w:rPr>
        <w:t>concesiones</w:t>
      </w:r>
      <w:r w:rsidRPr="00E76FAE">
        <w:rPr>
          <w:lang w:val="es-ES"/>
        </w:rPr>
        <w:t xml:space="preserve"> de espectro existentes en la sub-banda AWS-1, con los objetivos </w:t>
      </w:r>
      <w:r>
        <w:rPr>
          <w:lang w:val="es-ES"/>
        </w:rPr>
        <w:t xml:space="preserve">de </w:t>
      </w:r>
      <w:r w:rsidRPr="00E76FAE">
        <w:rPr>
          <w:lang w:val="es-ES"/>
        </w:rPr>
        <w:t>que al final del proceso:</w:t>
      </w:r>
    </w:p>
    <w:p w14:paraId="4BB322E5" w14:textId="77777777" w:rsidR="0045050D" w:rsidRPr="00E76FAE" w:rsidRDefault="0045050D" w:rsidP="0045050D">
      <w:pPr>
        <w:pStyle w:val="Textoindependiente"/>
        <w:numPr>
          <w:ilvl w:val="0"/>
          <w:numId w:val="15"/>
        </w:numPr>
        <w:jc w:val="both"/>
        <w:rPr>
          <w:lang w:val="es-ES"/>
        </w:rPr>
      </w:pPr>
      <w:r w:rsidRPr="00E76FAE">
        <w:rPr>
          <w:lang w:val="es-ES"/>
        </w:rPr>
        <w:t xml:space="preserve">Todos los participantes a quienes se les otorgue espectro en esta </w:t>
      </w:r>
      <w:r>
        <w:rPr>
          <w:lang w:val="es-ES"/>
        </w:rPr>
        <w:t>licitación</w:t>
      </w:r>
      <w:r w:rsidRPr="00E76FAE">
        <w:rPr>
          <w:lang w:val="es-ES"/>
        </w:rPr>
        <w:t xml:space="preserve"> y/o </w:t>
      </w:r>
      <w:r>
        <w:rPr>
          <w:lang w:val="es-ES"/>
        </w:rPr>
        <w:t xml:space="preserve">que </w:t>
      </w:r>
      <w:r w:rsidRPr="00E76FAE">
        <w:rPr>
          <w:lang w:val="es-ES"/>
        </w:rPr>
        <w:t xml:space="preserve">previamente </w:t>
      </w:r>
      <w:r>
        <w:rPr>
          <w:lang w:val="es-ES"/>
        </w:rPr>
        <w:t xml:space="preserve">tengan </w:t>
      </w:r>
      <w:r w:rsidRPr="00E76FAE">
        <w:rPr>
          <w:lang w:val="es-ES"/>
        </w:rPr>
        <w:t xml:space="preserve">espectro </w:t>
      </w:r>
      <w:r>
        <w:rPr>
          <w:lang w:val="es-ES"/>
        </w:rPr>
        <w:t>en la sub-banda AWS-1</w:t>
      </w:r>
      <w:r w:rsidRPr="00E76FAE">
        <w:rPr>
          <w:lang w:val="es-ES"/>
        </w:rPr>
        <w:t>, recibirán espectro contiguo dentro de cada sub-banda; y</w:t>
      </w:r>
    </w:p>
    <w:p w14:paraId="324E76F2" w14:textId="77777777" w:rsidR="0045050D" w:rsidRPr="00E76FAE" w:rsidRDefault="0045050D" w:rsidP="0045050D">
      <w:pPr>
        <w:pStyle w:val="Textoindependiente"/>
        <w:numPr>
          <w:ilvl w:val="0"/>
          <w:numId w:val="15"/>
        </w:numPr>
        <w:jc w:val="both"/>
        <w:rPr>
          <w:lang w:val="es-ES"/>
        </w:rPr>
      </w:pPr>
      <w:r w:rsidRPr="00E76FAE">
        <w:rPr>
          <w:lang w:val="es-ES"/>
        </w:rPr>
        <w:t>Todo el espectro AWS pareado se</w:t>
      </w:r>
      <w:r>
        <w:rPr>
          <w:lang w:val="es-ES"/>
        </w:rPr>
        <w:t>a</w:t>
      </w:r>
      <w:r w:rsidRPr="00E76FAE">
        <w:rPr>
          <w:lang w:val="es-ES"/>
        </w:rPr>
        <w:t xml:space="preserve"> asignado a nivel nacional.</w:t>
      </w:r>
    </w:p>
    <w:p w14:paraId="0735EDE5" w14:textId="77777777" w:rsidR="0045050D" w:rsidRPr="00E76FAE" w:rsidRDefault="0045050D" w:rsidP="0045050D">
      <w:pPr>
        <w:pStyle w:val="Textoindependiente"/>
        <w:ind w:left="720"/>
        <w:rPr>
          <w:lang w:val="es-ES"/>
        </w:rPr>
      </w:pPr>
    </w:p>
    <w:p w14:paraId="3AF424B6" w14:textId="77777777" w:rsidR="0045050D" w:rsidRPr="00FB2317" w:rsidRDefault="0045050D" w:rsidP="0045050D">
      <w:pPr>
        <w:pStyle w:val="Textoindependiente"/>
        <w:jc w:val="both"/>
        <w:rPr>
          <w:lang w:val="es-ES"/>
        </w:rPr>
      </w:pPr>
      <w:r w:rsidRPr="00E76FAE">
        <w:rPr>
          <w:lang w:val="es-ES"/>
        </w:rPr>
        <w:t xml:space="preserve">Estos objetivos son considerados importantes para promover el uso eficiente del espectro y el desarrollo del mercado móvil de </w:t>
      </w:r>
      <w:r>
        <w:rPr>
          <w:lang w:val="es-ES"/>
        </w:rPr>
        <w:t>B</w:t>
      </w:r>
      <w:r w:rsidRPr="00E76FAE">
        <w:rPr>
          <w:lang w:val="es-ES"/>
        </w:rPr>
        <w:t xml:space="preserve">anda </w:t>
      </w:r>
      <w:r>
        <w:rPr>
          <w:lang w:val="es-ES"/>
        </w:rPr>
        <w:t>A</w:t>
      </w:r>
      <w:r w:rsidRPr="00E76FAE">
        <w:rPr>
          <w:lang w:val="es-ES"/>
        </w:rPr>
        <w:t xml:space="preserve">ncha </w:t>
      </w:r>
      <w:r>
        <w:rPr>
          <w:lang w:val="es-ES"/>
        </w:rPr>
        <w:t>en México</w:t>
      </w:r>
      <w:r w:rsidRPr="00E76FAE">
        <w:rPr>
          <w:lang w:val="es-ES"/>
        </w:rPr>
        <w:t xml:space="preserve">. En ese sentido, como una condición de participación en la subasta, se les requerirá a los operadores ya establecidos en la sub-banda AWS-1 </w:t>
      </w:r>
      <w:r w:rsidRPr="00FB2317">
        <w:rPr>
          <w:lang w:val="es-ES"/>
        </w:rPr>
        <w:t>que se comprometan a lo siguiente con respecto a sus concesiones actuales en AWS:</w:t>
      </w:r>
    </w:p>
    <w:p w14:paraId="43312EA3" w14:textId="77777777" w:rsidR="0045050D" w:rsidRPr="00F2265A" w:rsidRDefault="0045050D" w:rsidP="0045050D">
      <w:pPr>
        <w:pStyle w:val="Textoindependiente"/>
        <w:numPr>
          <w:ilvl w:val="0"/>
          <w:numId w:val="16"/>
        </w:numPr>
        <w:jc w:val="both"/>
        <w:rPr>
          <w:lang w:val="es-ES"/>
        </w:rPr>
      </w:pPr>
      <w:r w:rsidRPr="00F2265A">
        <w:rPr>
          <w:lang w:val="es-ES"/>
        </w:rPr>
        <w:t>Cada operador debe autorizar que se muevan las frecuencias concesionadas dentro de la sub-banda AWS-1. Las reglas detalladas para el reordenamiento de las concesiones existentes se describen en la Sección 4 y están diseñadas para minimizar los movimientos de los concesionarios de espectro AWS-1 existentes, sujeto al cumplimiento del objetivo de asignaciones contiguas dentro y, en casos limitados, a lo largo de las sub-bandas.</w:t>
      </w:r>
    </w:p>
    <w:p w14:paraId="50D6F8DB" w14:textId="77777777" w:rsidR="0045050D" w:rsidRPr="00FB2317" w:rsidRDefault="0045050D" w:rsidP="0045050D">
      <w:pPr>
        <w:pStyle w:val="Textoindependiente"/>
        <w:numPr>
          <w:ilvl w:val="0"/>
          <w:numId w:val="16"/>
        </w:numPr>
        <w:jc w:val="both"/>
        <w:rPr>
          <w:lang w:val="es-ES"/>
        </w:rPr>
      </w:pPr>
      <w:r w:rsidRPr="00F2265A">
        <w:rPr>
          <w:lang w:val="es-ES"/>
        </w:rPr>
        <w:t xml:space="preserve">Dos operadores poseen espectro en el bloque D en la sub-banda AWS-1, el cual está fragmentado a nivel regional. </w:t>
      </w:r>
      <w:r w:rsidRPr="00FB2317">
        <w:rPr>
          <w:lang w:val="es-ES"/>
        </w:rPr>
        <w:t xml:space="preserve"> Si participan ambos en la subasta, el bloque D del espectro será incluido en la subasta. A cambio, se les garantizará a estos participantes ganar un paquete de espectro más grande en la subasta compuesto de bloques nacionales de AWS, y solamente pagarán por el espectro incremental que ellos adquieran en la subasta. Específicamente, se les garantizará a cada uno de estos participantes ganar ya sea uno de sus paquetes mínimos o un paquete más grande que sea un super-conjunto de uno de sus paquetes mínimos. Como parte de sus solicitudes para participar en esta subasta, cada uno de estos operadores debe seleccionar un conjunto de paquetes mínimos de la siguiente lista:</w:t>
      </w:r>
    </w:p>
    <w:p w14:paraId="6215DB00" w14:textId="77777777" w:rsidR="0045050D" w:rsidRPr="00FB2317" w:rsidRDefault="0045050D" w:rsidP="0045050D">
      <w:pPr>
        <w:pStyle w:val="Textoindependiente"/>
        <w:numPr>
          <w:ilvl w:val="1"/>
          <w:numId w:val="16"/>
        </w:numPr>
        <w:spacing w:after="0"/>
        <w:jc w:val="both"/>
        <w:rPr>
          <w:lang w:val="es-ES"/>
        </w:rPr>
      </w:pPr>
      <w:r w:rsidRPr="00FB2317">
        <w:rPr>
          <w:lang w:val="es-ES"/>
        </w:rPr>
        <w:t>CONJUNTO 1: paquete con un bloque A.</w:t>
      </w:r>
    </w:p>
    <w:p w14:paraId="7B7F68FC" w14:textId="77777777" w:rsidR="0045050D" w:rsidRPr="00FB2317" w:rsidRDefault="0045050D" w:rsidP="0045050D">
      <w:pPr>
        <w:pStyle w:val="Textoindependiente"/>
        <w:numPr>
          <w:ilvl w:val="1"/>
          <w:numId w:val="16"/>
        </w:numPr>
        <w:spacing w:after="0"/>
        <w:jc w:val="both"/>
        <w:rPr>
          <w:lang w:val="es-ES"/>
        </w:rPr>
      </w:pPr>
      <w:r w:rsidRPr="00FB2317">
        <w:rPr>
          <w:lang w:val="es-ES"/>
        </w:rPr>
        <w:t>CONJUNTO 2: paquete con un bloque A; o paquete con un bloque G.</w:t>
      </w:r>
    </w:p>
    <w:p w14:paraId="61EB9184" w14:textId="77777777" w:rsidR="0045050D" w:rsidRPr="00FB2317" w:rsidRDefault="0045050D" w:rsidP="0045050D">
      <w:pPr>
        <w:pStyle w:val="Textoindependiente"/>
        <w:numPr>
          <w:ilvl w:val="1"/>
          <w:numId w:val="16"/>
        </w:numPr>
        <w:spacing w:after="0"/>
        <w:jc w:val="both"/>
        <w:rPr>
          <w:lang w:val="es-ES"/>
        </w:rPr>
      </w:pPr>
      <w:r w:rsidRPr="00FB2317">
        <w:rPr>
          <w:lang w:val="es-ES"/>
        </w:rPr>
        <w:t>CONJUNTO 3: paquete con un bloque A; o paquete con un bloque G; o paquete con exactamente 2 bloques J.</w:t>
      </w:r>
    </w:p>
    <w:p w14:paraId="253A6C77" w14:textId="77777777" w:rsidR="0045050D" w:rsidRPr="00FB2317" w:rsidRDefault="0045050D" w:rsidP="0045050D">
      <w:pPr>
        <w:pStyle w:val="Textoindependiente"/>
        <w:spacing w:after="0"/>
        <w:jc w:val="both"/>
        <w:rPr>
          <w:lang w:val="es-ES"/>
        </w:rPr>
      </w:pPr>
    </w:p>
    <w:p w14:paraId="4D5FE034" w14:textId="77777777" w:rsidR="0045050D" w:rsidRPr="00FB2317" w:rsidRDefault="0045050D" w:rsidP="0045050D">
      <w:pPr>
        <w:pStyle w:val="Textoindependiente"/>
        <w:spacing w:after="0"/>
        <w:jc w:val="both"/>
        <w:rPr>
          <w:lang w:val="es-ES"/>
        </w:rPr>
      </w:pPr>
      <w:r w:rsidRPr="00FB2317">
        <w:rPr>
          <w:lang w:val="es-ES"/>
        </w:rPr>
        <w:t>No se divulgará información a otro participante concerniente al conjunto de paquetes mínimo seleccionado por estos operadores.</w:t>
      </w:r>
    </w:p>
    <w:p w14:paraId="722915F6" w14:textId="77777777" w:rsidR="0045050D" w:rsidRPr="00F2265A" w:rsidRDefault="0045050D" w:rsidP="0045050D">
      <w:pPr>
        <w:pStyle w:val="Textoindependiente"/>
        <w:spacing w:after="0"/>
        <w:jc w:val="both"/>
        <w:rPr>
          <w:lang w:val="es-ES"/>
        </w:rPr>
      </w:pPr>
    </w:p>
    <w:p w14:paraId="2D3C6DDD" w14:textId="77777777" w:rsidR="0045050D" w:rsidRPr="00E76FAE" w:rsidRDefault="0045050D" w:rsidP="0045050D">
      <w:pPr>
        <w:pStyle w:val="Textoindependiente"/>
        <w:jc w:val="both"/>
        <w:rPr>
          <w:lang w:val="es-MX"/>
        </w:rPr>
      </w:pPr>
      <w:r w:rsidRPr="00F2265A">
        <w:rPr>
          <w:lang w:val="es-ES"/>
        </w:rPr>
        <w:t xml:space="preserve">Si un operador ya </w:t>
      </w:r>
      <w:r w:rsidRPr="00F2265A">
        <w:rPr>
          <w:lang w:val="es-MX"/>
        </w:rPr>
        <w:t>establecido no califica para participar en</w:t>
      </w:r>
      <w:r w:rsidRPr="00E76FAE">
        <w:rPr>
          <w:lang w:val="es-MX"/>
        </w:rPr>
        <w:t xml:space="preserve"> la subasta, sus </w:t>
      </w:r>
      <w:r>
        <w:rPr>
          <w:lang w:val="es-MX"/>
        </w:rPr>
        <w:t>concesiones</w:t>
      </w:r>
      <w:r w:rsidRPr="00E76FAE">
        <w:rPr>
          <w:lang w:val="es-MX"/>
        </w:rPr>
        <w:t xml:space="preserve"> de frecuencia existentes no p</w:t>
      </w:r>
      <w:r>
        <w:rPr>
          <w:lang w:val="es-MX"/>
        </w:rPr>
        <w:t>odrán</w:t>
      </w:r>
      <w:r w:rsidRPr="00E76FAE">
        <w:rPr>
          <w:lang w:val="es-MX"/>
        </w:rPr>
        <w:t xml:space="preserve"> ser reordenadas como parte de esta subasta. </w:t>
      </w:r>
      <w:r>
        <w:rPr>
          <w:lang w:val="es-MX"/>
        </w:rPr>
        <w:t>Sin embargo, l</w:t>
      </w:r>
      <w:r w:rsidRPr="00E76FAE">
        <w:rPr>
          <w:lang w:val="es-MX"/>
        </w:rPr>
        <w:t xml:space="preserve">as </w:t>
      </w:r>
      <w:r>
        <w:rPr>
          <w:lang w:val="es-MX"/>
        </w:rPr>
        <w:t>concesiones</w:t>
      </w:r>
      <w:r w:rsidRPr="00E76FAE">
        <w:rPr>
          <w:lang w:val="es-MX"/>
        </w:rPr>
        <w:t xml:space="preserve"> de cualquier otro </w:t>
      </w:r>
      <w:r>
        <w:rPr>
          <w:lang w:val="es-MX"/>
        </w:rPr>
        <w:t>operador</w:t>
      </w:r>
      <w:r w:rsidRPr="00E76FAE">
        <w:rPr>
          <w:lang w:val="es-MX"/>
        </w:rPr>
        <w:t xml:space="preserve"> ya establecido que participe </w:t>
      </w:r>
      <w:r>
        <w:rPr>
          <w:lang w:val="es-MX"/>
        </w:rPr>
        <w:t xml:space="preserve">en la licitación </w:t>
      </w:r>
      <w:r w:rsidRPr="00E76FAE">
        <w:rPr>
          <w:lang w:val="es-MX"/>
        </w:rPr>
        <w:t>podrían ser reordenadas</w:t>
      </w:r>
      <w:r>
        <w:rPr>
          <w:lang w:val="es-MX"/>
        </w:rPr>
        <w:t xml:space="preserve"> (para más información, </w:t>
      </w:r>
      <w:r w:rsidRPr="00E76FAE">
        <w:rPr>
          <w:lang w:val="es-MX"/>
        </w:rPr>
        <w:t>referirse a las reglas detalladas en la Sección 4</w:t>
      </w:r>
      <w:r>
        <w:rPr>
          <w:lang w:val="es-MX"/>
        </w:rPr>
        <w:t xml:space="preserve"> de este documento)</w:t>
      </w:r>
      <w:r w:rsidRPr="00E76FAE">
        <w:rPr>
          <w:lang w:val="es-MX"/>
        </w:rPr>
        <w:t xml:space="preserve">. </w:t>
      </w:r>
    </w:p>
    <w:p w14:paraId="024F758E" w14:textId="77777777" w:rsidR="0045050D" w:rsidRPr="00E76FAE" w:rsidRDefault="0045050D" w:rsidP="0045050D">
      <w:pPr>
        <w:pStyle w:val="Textoindependiente"/>
        <w:jc w:val="both"/>
        <w:rPr>
          <w:lang w:val="es-MX"/>
        </w:rPr>
      </w:pPr>
      <w:r w:rsidRPr="00E76FAE">
        <w:rPr>
          <w:lang w:val="es-MX"/>
        </w:rPr>
        <w:t xml:space="preserve">Si uno o ambos operadores que actualmente </w:t>
      </w:r>
      <w:r>
        <w:rPr>
          <w:lang w:val="es-MX"/>
        </w:rPr>
        <w:t>son concesionarios</w:t>
      </w:r>
      <w:r w:rsidRPr="00E76FAE">
        <w:rPr>
          <w:lang w:val="es-MX"/>
        </w:rPr>
        <w:t xml:space="preserve"> </w:t>
      </w:r>
      <w:r>
        <w:rPr>
          <w:lang w:val="es-MX"/>
        </w:rPr>
        <w:t xml:space="preserve">del </w:t>
      </w:r>
      <w:r w:rsidRPr="00E76FAE">
        <w:rPr>
          <w:lang w:val="es-MX"/>
        </w:rPr>
        <w:t xml:space="preserve">espectro en el </w:t>
      </w:r>
      <w:r>
        <w:rPr>
          <w:lang w:val="es-MX"/>
        </w:rPr>
        <w:t>bloque</w:t>
      </w:r>
      <w:r w:rsidRPr="00E76FAE">
        <w:rPr>
          <w:lang w:val="es-MX"/>
        </w:rPr>
        <w:t xml:space="preserve"> D no califican para participar en la subasta, entonces la asignación regional existente del bloque D permanecerá inalterada y no habrá oportunidad </w:t>
      </w:r>
      <w:r w:rsidRPr="00FB2317">
        <w:rPr>
          <w:lang w:val="es-MX"/>
        </w:rPr>
        <w:t>para esos operadores de adquirir espectro regional adicional para crear bloques nacionales. Es decir,  ya no es posible seleccionar paquetes mínimos en la subasta puesto que el bloque D ya no se incluye en ésta.</w:t>
      </w:r>
      <w:r>
        <w:rPr>
          <w:lang w:val="es-MX"/>
        </w:rPr>
        <w:t xml:space="preserve"> </w:t>
      </w:r>
    </w:p>
    <w:p w14:paraId="3D5D79E4" w14:textId="77777777" w:rsidR="0045050D" w:rsidRPr="00E76FAE" w:rsidRDefault="0045050D" w:rsidP="0045050D">
      <w:pPr>
        <w:pStyle w:val="Ttulo2"/>
        <w:jc w:val="both"/>
        <w:rPr>
          <w:lang w:val="es-MX"/>
        </w:rPr>
      </w:pPr>
      <w:bookmarkStart w:id="19" w:name="_Toc429397849"/>
      <w:bookmarkStart w:id="20" w:name="_Toc430281521"/>
      <w:r w:rsidRPr="00E76FAE">
        <w:rPr>
          <w:lang w:val="es-MX"/>
        </w:rPr>
        <w:t>Lotes Disponibles</w:t>
      </w:r>
      <w:bookmarkEnd w:id="19"/>
      <w:bookmarkEnd w:id="20"/>
    </w:p>
    <w:p w14:paraId="4619E73D" w14:textId="77777777" w:rsidR="0045050D" w:rsidRPr="00E76FAE" w:rsidRDefault="0045050D" w:rsidP="0045050D">
      <w:pPr>
        <w:pStyle w:val="Textoindependiente"/>
        <w:jc w:val="both"/>
        <w:rPr>
          <w:lang w:val="es-MX"/>
        </w:rPr>
      </w:pPr>
      <w:r w:rsidRPr="00E76FAE">
        <w:rPr>
          <w:lang w:val="es-MX"/>
        </w:rPr>
        <w:t xml:space="preserve">Todos los </w:t>
      </w:r>
      <w:r>
        <w:rPr>
          <w:lang w:val="es-MX"/>
        </w:rPr>
        <w:t xml:space="preserve">bloques </w:t>
      </w:r>
      <w:r w:rsidRPr="00E76FAE">
        <w:rPr>
          <w:lang w:val="es-MX"/>
        </w:rPr>
        <w:t xml:space="preserve">en la subasta serán vendidos en unidades de 2x5 MHz. El número de </w:t>
      </w:r>
      <w:r>
        <w:rPr>
          <w:lang w:val="es-MX"/>
        </w:rPr>
        <w:t>bloques</w:t>
      </w:r>
      <w:r w:rsidRPr="00E76FAE">
        <w:rPr>
          <w:lang w:val="es-MX"/>
        </w:rPr>
        <w:t xml:space="preserve"> de 2x5 MHz disponibles para subasta en la </w:t>
      </w:r>
      <w:r>
        <w:rPr>
          <w:lang w:val="es-MX"/>
        </w:rPr>
        <w:t>Fase Primaria</w:t>
      </w:r>
      <w:r w:rsidRPr="00E76FAE">
        <w:rPr>
          <w:lang w:val="es-MX"/>
        </w:rPr>
        <w:t xml:space="preserve"> de la subasta será de 9 o de 8, dependiendo de la participación</w:t>
      </w:r>
      <w:r>
        <w:rPr>
          <w:lang w:val="es-MX"/>
        </w:rPr>
        <w:t xml:space="preserve"> o no</w:t>
      </w:r>
      <w:r w:rsidRPr="00E76FAE">
        <w:rPr>
          <w:lang w:val="es-MX"/>
        </w:rPr>
        <w:t xml:space="preserve"> de los operadores ya establecidos</w:t>
      </w:r>
      <w:r>
        <w:rPr>
          <w:lang w:val="es-MX"/>
        </w:rPr>
        <w:t xml:space="preserve"> y que tienen concesiones en el bloque D</w:t>
      </w:r>
      <w:r w:rsidRPr="00E76FAE">
        <w:rPr>
          <w:lang w:val="es-MX"/>
        </w:rPr>
        <w:t>:</w:t>
      </w:r>
    </w:p>
    <w:p w14:paraId="6AC8DD9C" w14:textId="77777777" w:rsidR="0045050D" w:rsidRPr="00E76FAE" w:rsidRDefault="0045050D" w:rsidP="0045050D">
      <w:pPr>
        <w:pStyle w:val="Textoindependiente"/>
        <w:numPr>
          <w:ilvl w:val="0"/>
          <w:numId w:val="17"/>
        </w:numPr>
        <w:jc w:val="both"/>
        <w:rPr>
          <w:lang w:val="es-ES"/>
        </w:rPr>
      </w:pPr>
      <w:r w:rsidRPr="00E76FAE">
        <w:rPr>
          <w:b/>
          <w:lang w:val="es-MX"/>
        </w:rPr>
        <w:t>Escenario I</w:t>
      </w:r>
      <w:r w:rsidRPr="00E76FAE">
        <w:rPr>
          <w:lang w:val="es-MX"/>
        </w:rPr>
        <w:t>: Si ambos operadores</w:t>
      </w:r>
      <w:r w:rsidRPr="00E76FAE">
        <w:rPr>
          <w:lang w:val="es-ES"/>
        </w:rPr>
        <w:t xml:space="preserve"> que actualmente </w:t>
      </w:r>
      <w:r>
        <w:rPr>
          <w:lang w:val="es-ES"/>
        </w:rPr>
        <w:t>son concesionarios de</w:t>
      </w:r>
      <w:r w:rsidRPr="00E76FAE">
        <w:rPr>
          <w:lang w:val="es-ES"/>
        </w:rPr>
        <w:t xml:space="preserve"> espectro en el </w:t>
      </w:r>
      <w:r>
        <w:rPr>
          <w:lang w:val="es-ES"/>
        </w:rPr>
        <w:t>bloque</w:t>
      </w:r>
      <w:r w:rsidRPr="00E76FAE">
        <w:rPr>
          <w:lang w:val="es-ES"/>
        </w:rPr>
        <w:t xml:space="preserve"> D califica</w:t>
      </w:r>
      <w:r>
        <w:rPr>
          <w:lang w:val="es-ES"/>
        </w:rPr>
        <w:t>n</w:t>
      </w:r>
      <w:r w:rsidRPr="00E76FAE">
        <w:rPr>
          <w:lang w:val="es-ES"/>
        </w:rPr>
        <w:t xml:space="preserve"> para participar, habrá 9 lotes en la subasta. En este caso, las frecuencias del </w:t>
      </w:r>
      <w:r>
        <w:rPr>
          <w:lang w:val="es-ES"/>
        </w:rPr>
        <w:t>bloque</w:t>
      </w:r>
      <w:r w:rsidRPr="00E76FAE">
        <w:rPr>
          <w:lang w:val="es-ES"/>
        </w:rPr>
        <w:t xml:space="preserve"> D se incluyen en la subasta</w:t>
      </w:r>
      <w:r>
        <w:rPr>
          <w:lang w:val="es-ES"/>
        </w:rPr>
        <w:t>.</w:t>
      </w:r>
      <w:r w:rsidRPr="00E76FAE">
        <w:rPr>
          <w:lang w:val="es-ES"/>
        </w:rPr>
        <w:t xml:space="preserve"> </w:t>
      </w:r>
      <w:r>
        <w:rPr>
          <w:lang w:val="es-ES"/>
        </w:rPr>
        <w:t>L</w:t>
      </w:r>
      <w:r w:rsidRPr="00E76FAE">
        <w:rPr>
          <w:lang w:val="es-ES"/>
        </w:rPr>
        <w:t>as reglas de la subasta asegura</w:t>
      </w:r>
      <w:r>
        <w:rPr>
          <w:lang w:val="es-ES"/>
        </w:rPr>
        <w:t>rá</w:t>
      </w:r>
      <w:r w:rsidRPr="00E76FAE">
        <w:rPr>
          <w:lang w:val="es-ES"/>
        </w:rPr>
        <w:t xml:space="preserve">n que </w:t>
      </w:r>
      <w:r>
        <w:rPr>
          <w:lang w:val="es-ES"/>
        </w:rPr>
        <w:t>esos operadores</w:t>
      </w:r>
      <w:r w:rsidRPr="00E76FAE">
        <w:rPr>
          <w:lang w:val="es-ES"/>
        </w:rPr>
        <w:t xml:space="preserve"> ganarán al menos un lote nacional y no se les cobrará </w:t>
      </w:r>
      <w:r>
        <w:rPr>
          <w:lang w:val="es-ES"/>
        </w:rPr>
        <w:t xml:space="preserve">la contraprestación </w:t>
      </w:r>
      <w:r w:rsidRPr="00E76FAE">
        <w:rPr>
          <w:lang w:val="es-ES"/>
        </w:rPr>
        <w:t xml:space="preserve">por el espectro </w:t>
      </w:r>
      <w:r>
        <w:rPr>
          <w:lang w:val="es-ES"/>
        </w:rPr>
        <w:t xml:space="preserve">regional </w:t>
      </w:r>
      <w:r w:rsidRPr="00E76FAE">
        <w:rPr>
          <w:lang w:val="es-ES"/>
        </w:rPr>
        <w:t xml:space="preserve">que </w:t>
      </w:r>
      <w:r>
        <w:rPr>
          <w:lang w:val="es-ES"/>
        </w:rPr>
        <w:t>actualmente</w:t>
      </w:r>
      <w:r w:rsidRPr="00E76FAE">
        <w:rPr>
          <w:lang w:val="es-ES"/>
        </w:rPr>
        <w:t xml:space="preserve"> poseen. </w:t>
      </w:r>
    </w:p>
    <w:p w14:paraId="36EA8A55" w14:textId="77777777" w:rsidR="0045050D" w:rsidRPr="00E76FAE" w:rsidRDefault="0045050D" w:rsidP="0045050D">
      <w:pPr>
        <w:pStyle w:val="Textoindependiente"/>
        <w:numPr>
          <w:ilvl w:val="0"/>
          <w:numId w:val="17"/>
        </w:numPr>
        <w:jc w:val="both"/>
        <w:rPr>
          <w:lang w:val="es-ES"/>
        </w:rPr>
      </w:pPr>
      <w:r w:rsidRPr="00E76FAE">
        <w:rPr>
          <w:b/>
          <w:lang w:val="es-ES"/>
        </w:rPr>
        <w:t>Escenario II</w:t>
      </w:r>
      <w:r w:rsidRPr="00E76FAE">
        <w:rPr>
          <w:lang w:val="es-ES"/>
        </w:rPr>
        <w:t xml:space="preserve">: De lo contrario, habrá 8 </w:t>
      </w:r>
      <w:r>
        <w:rPr>
          <w:lang w:val="es-ES"/>
        </w:rPr>
        <w:t>bloques</w:t>
      </w:r>
      <w:r w:rsidRPr="00E76FAE">
        <w:rPr>
          <w:lang w:val="es-ES"/>
        </w:rPr>
        <w:t xml:space="preserve"> en la subasta.</w:t>
      </w:r>
    </w:p>
    <w:p w14:paraId="5EC99EA4" w14:textId="77777777" w:rsidR="0045050D" w:rsidRPr="00E76FAE" w:rsidRDefault="0045050D" w:rsidP="0045050D">
      <w:pPr>
        <w:pStyle w:val="Textoindependiente"/>
        <w:jc w:val="both"/>
        <w:rPr>
          <w:lang w:val="es-ES"/>
        </w:rPr>
      </w:pPr>
      <w:r w:rsidRPr="00E76FAE">
        <w:rPr>
          <w:lang w:val="es-ES"/>
        </w:rPr>
        <w:t xml:space="preserve">Los dos escenarios de </w:t>
      </w:r>
      <w:r>
        <w:rPr>
          <w:lang w:val="es-ES"/>
        </w:rPr>
        <w:t>bloques</w:t>
      </w:r>
      <w:r w:rsidRPr="00E76FAE">
        <w:rPr>
          <w:lang w:val="es-ES"/>
        </w:rPr>
        <w:t xml:space="preserve"> disponibles se ilustran en la </w:t>
      </w:r>
      <w:r w:rsidRPr="00E76FAE">
        <w:rPr>
          <w:lang w:val="en-US"/>
        </w:rPr>
        <w:fldChar w:fldCharType="begin"/>
      </w:r>
      <w:r w:rsidRPr="00E76FAE">
        <w:rPr>
          <w:lang w:val="es-ES"/>
        </w:rPr>
        <w:instrText xml:space="preserve"> REF _Ref429488964 \h  \* MERGEFORMAT </w:instrText>
      </w:r>
      <w:r w:rsidRPr="00E76FAE">
        <w:rPr>
          <w:lang w:val="en-US"/>
        </w:rPr>
      </w:r>
      <w:r w:rsidRPr="00E76FAE">
        <w:rPr>
          <w:lang w:val="en-US"/>
        </w:rPr>
        <w:fldChar w:fldCharType="separate"/>
      </w:r>
      <w:r w:rsidRPr="00A330D9">
        <w:rPr>
          <w:lang w:val="es-ES"/>
        </w:rPr>
        <w:t>Figura 2</w:t>
      </w:r>
      <w:r w:rsidRPr="00E76FAE">
        <w:rPr>
          <w:lang w:val="en-US"/>
        </w:rPr>
        <w:fldChar w:fldCharType="end"/>
      </w:r>
      <w:r w:rsidRPr="00E76FAE">
        <w:rPr>
          <w:lang w:val="es-ES"/>
        </w:rPr>
        <w:t>.</w:t>
      </w:r>
    </w:p>
    <w:p w14:paraId="77D7E985" w14:textId="77777777" w:rsidR="0045050D" w:rsidRPr="00E76FAE" w:rsidRDefault="0045050D" w:rsidP="0045050D">
      <w:pPr>
        <w:pStyle w:val="Descripcin"/>
        <w:spacing w:after="240"/>
        <w:rPr>
          <w:lang w:val="es-MX"/>
        </w:rPr>
      </w:pPr>
      <w:bookmarkStart w:id="21" w:name="_Ref429488964"/>
      <w:r w:rsidRPr="00E76FAE">
        <w:rPr>
          <w:lang w:val="es-MX"/>
        </w:rPr>
        <w:t xml:space="preserve">Figura </w:t>
      </w:r>
      <w:r w:rsidRPr="00E76FAE">
        <w:rPr>
          <w:lang w:val="es-MX"/>
        </w:rPr>
        <w:fldChar w:fldCharType="begin"/>
      </w:r>
      <w:r w:rsidRPr="00E76FAE">
        <w:rPr>
          <w:lang w:val="es-MX"/>
        </w:rPr>
        <w:instrText xml:space="preserve"> SEQ Figure \* ARABIC </w:instrText>
      </w:r>
      <w:r w:rsidRPr="00E76FAE">
        <w:rPr>
          <w:lang w:val="es-MX"/>
        </w:rPr>
        <w:fldChar w:fldCharType="separate"/>
      </w:r>
      <w:r>
        <w:rPr>
          <w:noProof/>
          <w:lang w:val="es-MX"/>
        </w:rPr>
        <w:t>2</w:t>
      </w:r>
      <w:r w:rsidRPr="00E76FAE">
        <w:rPr>
          <w:lang w:val="es-MX"/>
        </w:rPr>
        <w:fldChar w:fldCharType="end"/>
      </w:r>
      <w:bookmarkEnd w:id="21"/>
      <w:r w:rsidRPr="00E76FAE">
        <w:rPr>
          <w:lang w:val="es-MX"/>
        </w:rPr>
        <w:t xml:space="preserve">: </w:t>
      </w:r>
      <w:r>
        <w:rPr>
          <w:lang w:val="es-MX"/>
        </w:rPr>
        <w:t>Bloques</w:t>
      </w:r>
      <w:r w:rsidRPr="00E76FAE">
        <w:rPr>
          <w:lang w:val="es-MX"/>
        </w:rPr>
        <w:t xml:space="preserve"> de espectro disponibles en la subasta (frecuencias uplink)</w:t>
      </w:r>
    </w:p>
    <w:p w14:paraId="31267B65" w14:textId="77777777" w:rsidR="0045050D" w:rsidRPr="00E76FAE" w:rsidRDefault="0045050D" w:rsidP="0045050D">
      <w:pPr>
        <w:pStyle w:val="Textoindependiente"/>
      </w:pPr>
      <w:r>
        <w:rPr>
          <w:noProof/>
          <w:lang w:val="es-MX" w:eastAsia="es-MX"/>
        </w:rPr>
        <mc:AlternateContent>
          <mc:Choice Requires="wps">
            <w:drawing>
              <wp:anchor distT="0" distB="0" distL="114300" distR="114300" simplePos="0" relativeHeight="251665408" behindDoc="0" locked="0" layoutInCell="1" allowOverlap="1" wp14:anchorId="16532DFE" wp14:editId="1018164F">
                <wp:simplePos x="0" y="0"/>
                <wp:positionH relativeFrom="margin">
                  <wp:align>left</wp:align>
                </wp:positionH>
                <wp:positionV relativeFrom="paragraph">
                  <wp:posOffset>1056640</wp:posOffset>
                </wp:positionV>
                <wp:extent cx="1143000" cy="372745"/>
                <wp:effectExtent l="0" t="0" r="19050" b="27305"/>
                <wp:wrapNone/>
                <wp:docPr id="11" name="Cuadro de texto 11"/>
                <wp:cNvGraphicFramePr/>
                <a:graphic xmlns:a="http://schemas.openxmlformats.org/drawingml/2006/main">
                  <a:graphicData uri="http://schemas.microsoft.com/office/word/2010/wordprocessingShape">
                    <wps:wsp>
                      <wps:cNvSpPr txBox="1"/>
                      <wps:spPr>
                        <a:xfrm>
                          <a:off x="0" y="0"/>
                          <a:ext cx="1143000" cy="372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E3A1613" w14:textId="77777777" w:rsidR="0045050D" w:rsidRPr="00D23B9F" w:rsidRDefault="0045050D" w:rsidP="0045050D">
                            <w:pPr>
                              <w:ind w:left="-142"/>
                              <w:jc w:val="both"/>
                              <w:rPr>
                                <w:b/>
                                <w:sz w:val="28"/>
                                <w:szCs w:val="16"/>
                                <w:lang w:val="es-MX"/>
                              </w:rPr>
                            </w:pPr>
                            <w:r w:rsidRPr="00D23B9F">
                              <w:rPr>
                                <w:b/>
                                <w:sz w:val="28"/>
                                <w:szCs w:val="16"/>
                                <w:lang w:val="es-MX"/>
                              </w:rPr>
                              <w:t xml:space="preserve">Escenario </w:t>
                            </w:r>
                            <w:r>
                              <w:rPr>
                                <w:b/>
                                <w:sz w:val="28"/>
                                <w:szCs w:val="16"/>
                                <w:lang w:val="es-MX"/>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32DFE" id="_x0000_t202" coordsize="21600,21600" o:spt="202" path="m,l,21600r21600,l21600,xe">
                <v:stroke joinstyle="miter"/>
                <v:path gradientshapeok="t" o:connecttype="rect"/>
              </v:shapetype>
              <v:shape id="Cuadro de texto 11" o:spid="_x0000_s1026" type="#_x0000_t202" style="position:absolute;margin-left:0;margin-top:83.2pt;width:90pt;height:29.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" fillcolor="white [3201]" strokecolor="white [3212]" strokeweight=".5pt">
                <v:textbox>
                  <w:txbxContent>
                    <w:p w14:paraId="1E3A1613" w14:textId="77777777" w:rsidR="0045050D" w:rsidRPr="00D23B9F" w:rsidRDefault="0045050D" w:rsidP="0045050D">
                      <w:pPr>
                        <w:ind w:left="-142"/>
                        <w:jc w:val="both"/>
                        <w:rPr>
                          <w:b/>
                          <w:sz w:val="28"/>
                          <w:szCs w:val="16"/>
                          <w:lang w:val="es-MX"/>
                        </w:rPr>
                      </w:pPr>
                      <w:r w:rsidRPr="00D23B9F">
                        <w:rPr>
                          <w:b/>
                          <w:sz w:val="28"/>
                          <w:szCs w:val="16"/>
                          <w:lang w:val="es-MX"/>
                        </w:rPr>
                        <w:t xml:space="preserve">Escenario </w:t>
                      </w:r>
                      <w:r>
                        <w:rPr>
                          <w:b/>
                          <w:sz w:val="28"/>
                          <w:szCs w:val="16"/>
                          <w:lang w:val="es-MX"/>
                        </w:rPr>
                        <w:t>II</w:t>
                      </w:r>
                    </w:p>
                  </w:txbxContent>
                </v:textbox>
                <w10:wrap anchorx="margin"/>
              </v:shape>
            </w:pict>
          </mc:Fallback>
        </mc:AlternateContent>
      </w:r>
      <w:r>
        <w:rPr>
          <w:noProof/>
          <w:lang w:val="es-MX" w:eastAsia="es-MX"/>
        </w:rPr>
        <mc:AlternateContent>
          <mc:Choice Requires="wps">
            <w:drawing>
              <wp:anchor distT="0" distB="0" distL="114300" distR="114300" simplePos="0" relativeHeight="251664384" behindDoc="0" locked="0" layoutInCell="1" allowOverlap="1" wp14:anchorId="071C8E8C" wp14:editId="6D954D06">
                <wp:simplePos x="0" y="0"/>
                <wp:positionH relativeFrom="margin">
                  <wp:align>left</wp:align>
                </wp:positionH>
                <wp:positionV relativeFrom="paragraph">
                  <wp:posOffset>208915</wp:posOffset>
                </wp:positionV>
                <wp:extent cx="1143000" cy="372745"/>
                <wp:effectExtent l="0" t="0" r="19050" b="27305"/>
                <wp:wrapNone/>
                <wp:docPr id="10" name="Cuadro de texto 10"/>
                <wp:cNvGraphicFramePr/>
                <a:graphic xmlns:a="http://schemas.openxmlformats.org/drawingml/2006/main">
                  <a:graphicData uri="http://schemas.microsoft.com/office/word/2010/wordprocessingShape">
                    <wps:wsp>
                      <wps:cNvSpPr txBox="1"/>
                      <wps:spPr>
                        <a:xfrm>
                          <a:off x="0" y="0"/>
                          <a:ext cx="1143000" cy="372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6DA67A" w14:textId="77777777" w:rsidR="0045050D" w:rsidRPr="00D23B9F" w:rsidRDefault="0045050D" w:rsidP="0045050D">
                            <w:pPr>
                              <w:ind w:left="-142"/>
                              <w:jc w:val="both"/>
                              <w:rPr>
                                <w:b/>
                                <w:sz w:val="28"/>
                                <w:szCs w:val="16"/>
                                <w:lang w:val="es-MX"/>
                              </w:rPr>
                            </w:pPr>
                            <w:r w:rsidRPr="00D23B9F">
                              <w:rPr>
                                <w:b/>
                                <w:sz w:val="28"/>
                                <w:szCs w:val="16"/>
                                <w:lang w:val="es-MX"/>
                              </w:rPr>
                              <w:t xml:space="preserve">Escenario </w:t>
                            </w:r>
                            <w:r>
                              <w:rPr>
                                <w:b/>
                                <w:sz w:val="28"/>
                                <w:szCs w:val="16"/>
                                <w:lang w:val="es-MX"/>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C8E8C" id="Cuadro de texto 10" o:spid="_x0000_s1027" type="#_x0000_t202" style="position:absolute;margin-left:0;margin-top:16.45pt;width:90pt;height:29.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" fillcolor="white [3201]" strokecolor="white [3212]" strokeweight=".5pt">
                <v:textbox>
                  <w:txbxContent>
                    <w:p w14:paraId="356DA67A" w14:textId="77777777" w:rsidR="0045050D" w:rsidRPr="00D23B9F" w:rsidRDefault="0045050D" w:rsidP="0045050D">
                      <w:pPr>
                        <w:ind w:left="-142"/>
                        <w:jc w:val="both"/>
                        <w:rPr>
                          <w:b/>
                          <w:sz w:val="28"/>
                          <w:szCs w:val="16"/>
                          <w:lang w:val="es-MX"/>
                        </w:rPr>
                      </w:pPr>
                      <w:r w:rsidRPr="00D23B9F">
                        <w:rPr>
                          <w:b/>
                          <w:sz w:val="28"/>
                          <w:szCs w:val="16"/>
                          <w:lang w:val="es-MX"/>
                        </w:rPr>
                        <w:t xml:space="preserve">Escenario </w:t>
                      </w:r>
                      <w:r>
                        <w:rPr>
                          <w:b/>
                          <w:sz w:val="28"/>
                          <w:szCs w:val="16"/>
                          <w:lang w:val="es-MX"/>
                        </w:rPr>
                        <w:t>I</w:t>
                      </w:r>
                    </w:p>
                  </w:txbxContent>
                </v:textbox>
                <w10:wrap anchorx="margin"/>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13B8D9EA" wp14:editId="358CADDD">
                <wp:simplePos x="0" y="0"/>
                <wp:positionH relativeFrom="column">
                  <wp:posOffset>4476750</wp:posOffset>
                </wp:positionH>
                <wp:positionV relativeFrom="paragraph">
                  <wp:posOffset>1875790</wp:posOffset>
                </wp:positionV>
                <wp:extent cx="1143000" cy="372745"/>
                <wp:effectExtent l="0" t="0" r="19050" b="27305"/>
                <wp:wrapNone/>
                <wp:docPr id="8" name="Cuadro de texto 8"/>
                <wp:cNvGraphicFramePr/>
                <a:graphic xmlns:a="http://schemas.openxmlformats.org/drawingml/2006/main">
                  <a:graphicData uri="http://schemas.microsoft.com/office/word/2010/wordprocessingShape">
                    <wps:wsp>
                      <wps:cNvSpPr txBox="1"/>
                      <wps:spPr>
                        <a:xfrm>
                          <a:off x="0" y="0"/>
                          <a:ext cx="1143000" cy="372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986C6A" w14:textId="77777777" w:rsidR="0045050D" w:rsidRPr="00D23B9F" w:rsidRDefault="0045050D" w:rsidP="0045050D">
                            <w:pPr>
                              <w:ind w:left="-142"/>
                              <w:jc w:val="both"/>
                              <w:rPr>
                                <w:sz w:val="16"/>
                                <w:szCs w:val="16"/>
                                <w:lang w:val="es-MX"/>
                              </w:rPr>
                            </w:pPr>
                            <w:r w:rsidRPr="00D23B9F">
                              <w:rPr>
                                <w:sz w:val="16"/>
                                <w:szCs w:val="16"/>
                                <w:lang w:val="es-MX"/>
                              </w:rPr>
                              <w:t xml:space="preserve">Espectro </w:t>
                            </w:r>
                            <w:r>
                              <w:rPr>
                                <w:sz w:val="16"/>
                                <w:szCs w:val="16"/>
                                <w:lang w:val="es-MX"/>
                              </w:rPr>
                              <w:t>concesionado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8D9EA" id="Cuadro de texto 8" o:spid="_x0000_s1028" type="#_x0000_t202" style="position:absolute;margin-left:352.5pt;margin-top:147.7pt;width:90pt;height: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" fillcolor="white [3201]" strokecolor="white [3212]" strokeweight=".5pt">
                <v:textbox>
                  <w:txbxContent>
                    <w:p w14:paraId="4A986C6A" w14:textId="77777777" w:rsidR="0045050D" w:rsidRPr="00D23B9F" w:rsidRDefault="0045050D" w:rsidP="0045050D">
                      <w:pPr>
                        <w:ind w:left="-142"/>
                        <w:jc w:val="both"/>
                        <w:rPr>
                          <w:sz w:val="16"/>
                          <w:szCs w:val="16"/>
                          <w:lang w:val="es-MX"/>
                        </w:rPr>
                      </w:pPr>
                      <w:r w:rsidRPr="00D23B9F">
                        <w:rPr>
                          <w:sz w:val="16"/>
                          <w:szCs w:val="16"/>
                          <w:lang w:val="es-MX"/>
                        </w:rPr>
                        <w:t xml:space="preserve">Espectro </w:t>
                      </w:r>
                      <w:r>
                        <w:rPr>
                          <w:sz w:val="16"/>
                          <w:szCs w:val="16"/>
                          <w:lang w:val="es-MX"/>
                        </w:rPr>
                        <w:t>concesionado</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0F6D88A" wp14:editId="48DE1D7E">
                <wp:simplePos x="0" y="0"/>
                <wp:positionH relativeFrom="column">
                  <wp:posOffset>3381375</wp:posOffset>
                </wp:positionH>
                <wp:positionV relativeFrom="paragraph">
                  <wp:posOffset>1885315</wp:posOffset>
                </wp:positionV>
                <wp:extent cx="581025" cy="372745"/>
                <wp:effectExtent l="0" t="0" r="28575" b="27305"/>
                <wp:wrapNone/>
                <wp:docPr id="5" name="Cuadro de texto 5"/>
                <wp:cNvGraphicFramePr/>
                <a:graphic xmlns:a="http://schemas.openxmlformats.org/drawingml/2006/main">
                  <a:graphicData uri="http://schemas.microsoft.com/office/word/2010/wordprocessingShape">
                    <wps:wsp>
                      <wps:cNvSpPr txBox="1"/>
                      <wps:spPr>
                        <a:xfrm>
                          <a:off x="0" y="0"/>
                          <a:ext cx="581025" cy="372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483ED08" w14:textId="77777777" w:rsidR="0045050D" w:rsidRPr="00D23B9F" w:rsidRDefault="0045050D" w:rsidP="0045050D">
                            <w:pPr>
                              <w:ind w:left="-142"/>
                              <w:jc w:val="both"/>
                              <w:rPr>
                                <w:sz w:val="16"/>
                                <w:szCs w:val="16"/>
                                <w:lang w:val="es-MX"/>
                              </w:rPr>
                            </w:pPr>
                            <w:r w:rsidRPr="00D23B9F">
                              <w:rPr>
                                <w:sz w:val="16"/>
                                <w:szCs w:val="16"/>
                                <w:lang w:val="es-MX"/>
                              </w:rPr>
                              <w:t>Espectro disponible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6D88A" id="Cuadro de texto 5" o:spid="_x0000_s1029" type="#_x0000_t202" style="position:absolute;margin-left:266.25pt;margin-top:148.45pt;width:45.75pt;height:2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" fillcolor="white [3201]" strokecolor="white [3212]" strokeweight=".5pt">
                <v:textbox>
                  <w:txbxContent>
                    <w:p w14:paraId="5483ED08" w14:textId="77777777" w:rsidR="0045050D" w:rsidRPr="00D23B9F" w:rsidRDefault="0045050D" w:rsidP="0045050D">
                      <w:pPr>
                        <w:ind w:left="-142"/>
                        <w:jc w:val="both"/>
                        <w:rPr>
                          <w:sz w:val="16"/>
                          <w:szCs w:val="16"/>
                          <w:lang w:val="es-MX"/>
                        </w:rPr>
                      </w:pPr>
                      <w:r w:rsidRPr="00D23B9F">
                        <w:rPr>
                          <w:sz w:val="16"/>
                          <w:szCs w:val="16"/>
                          <w:lang w:val="es-MX"/>
                        </w:rPr>
                        <w:t>Espectro disponible</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C1E5241" wp14:editId="0246352C">
                <wp:simplePos x="0" y="0"/>
                <wp:positionH relativeFrom="column">
                  <wp:posOffset>2152650</wp:posOffset>
                </wp:positionH>
                <wp:positionV relativeFrom="paragraph">
                  <wp:posOffset>1885315</wp:posOffset>
                </wp:positionV>
                <wp:extent cx="581025" cy="372745"/>
                <wp:effectExtent l="0" t="0" r="28575" b="27305"/>
                <wp:wrapNone/>
                <wp:docPr id="4" name="Cuadro de texto 4"/>
                <wp:cNvGraphicFramePr/>
                <a:graphic xmlns:a="http://schemas.openxmlformats.org/drawingml/2006/main">
                  <a:graphicData uri="http://schemas.microsoft.com/office/word/2010/wordprocessingShape">
                    <wps:wsp>
                      <wps:cNvSpPr txBox="1"/>
                      <wps:spPr>
                        <a:xfrm>
                          <a:off x="0" y="0"/>
                          <a:ext cx="581025" cy="3727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4293388" w14:textId="77777777" w:rsidR="0045050D" w:rsidRPr="00D23B9F" w:rsidRDefault="0045050D" w:rsidP="0045050D">
                            <w:pPr>
                              <w:ind w:left="-142"/>
                              <w:jc w:val="both"/>
                              <w:rPr>
                                <w:sz w:val="16"/>
                                <w:szCs w:val="16"/>
                                <w:lang w:val="es-MX"/>
                              </w:rPr>
                            </w:pPr>
                            <w:r w:rsidRPr="00D23B9F">
                              <w:rPr>
                                <w:sz w:val="16"/>
                                <w:szCs w:val="16"/>
                                <w:lang w:val="es-MX"/>
                              </w:rPr>
                              <w:t>Espectro disponible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E5241" id="Cuadro de texto 4" o:spid="_x0000_s1030" type="#_x0000_t202" style="position:absolute;margin-left:169.5pt;margin-top:148.45pt;width:45.75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" fillcolor="white [3201]" strokecolor="white [3212]" strokeweight=".5pt">
                <v:textbox>
                  <w:txbxContent>
                    <w:p w14:paraId="64293388" w14:textId="77777777" w:rsidR="0045050D" w:rsidRPr="00D23B9F" w:rsidRDefault="0045050D" w:rsidP="0045050D">
                      <w:pPr>
                        <w:ind w:left="-142"/>
                        <w:jc w:val="both"/>
                        <w:rPr>
                          <w:sz w:val="16"/>
                          <w:szCs w:val="16"/>
                          <w:lang w:val="es-MX"/>
                        </w:rPr>
                      </w:pPr>
                      <w:r w:rsidRPr="00D23B9F">
                        <w:rPr>
                          <w:sz w:val="16"/>
                          <w:szCs w:val="16"/>
                          <w:lang w:val="es-MX"/>
                        </w:rPr>
                        <w:t>Espectro disponible</w:t>
                      </w:r>
                    </w:p>
                  </w:txbxContent>
                </v:textbox>
              </v:shape>
            </w:pict>
          </mc:Fallback>
        </mc:AlternateContent>
      </w:r>
      <w:r w:rsidRPr="00E76FAE">
        <w:rPr>
          <w:noProof/>
          <w:lang w:val="es-MX" w:eastAsia="es-MX"/>
        </w:rPr>
        <w:drawing>
          <wp:inline distT="0" distB="0" distL="0" distR="0" wp14:anchorId="5A729D3E" wp14:editId="7A073F92">
            <wp:extent cx="5943600" cy="22389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238917"/>
                    </a:xfrm>
                    <a:prstGeom prst="rect">
                      <a:avLst/>
                    </a:prstGeom>
                    <a:noFill/>
                    <a:ln>
                      <a:noFill/>
                    </a:ln>
                  </pic:spPr>
                </pic:pic>
              </a:graphicData>
            </a:graphic>
          </wp:inline>
        </w:drawing>
      </w:r>
    </w:p>
    <w:p w14:paraId="2C5890B5" w14:textId="77777777" w:rsidR="0045050D" w:rsidRPr="00E76FAE" w:rsidRDefault="0045050D" w:rsidP="0045050D">
      <w:pPr>
        <w:pStyle w:val="Textoindependiente"/>
        <w:jc w:val="both"/>
        <w:rPr>
          <w:lang w:val="es-ES"/>
        </w:rPr>
      </w:pPr>
      <w:r w:rsidRPr="00E76FAE">
        <w:rPr>
          <w:lang w:val="es-ES"/>
        </w:rPr>
        <w:t xml:space="preserve">Bajo el Escenario I, los 9 </w:t>
      </w:r>
      <w:r>
        <w:rPr>
          <w:lang w:val="es-ES"/>
        </w:rPr>
        <w:t>bloques</w:t>
      </w:r>
      <w:r w:rsidRPr="00E76FAE">
        <w:rPr>
          <w:lang w:val="es-ES"/>
        </w:rPr>
        <w:t xml:space="preserve"> serán agrupados en tres categorías, una para cada sub-banda. Dentro de cada categoría, los </w:t>
      </w:r>
      <w:r>
        <w:rPr>
          <w:lang w:val="es-ES"/>
        </w:rPr>
        <w:t>bloques</w:t>
      </w:r>
      <w:r w:rsidRPr="00E76FAE">
        <w:rPr>
          <w:lang w:val="es-ES"/>
        </w:rPr>
        <w:t xml:space="preserve"> son vendidos en una base genérica, lo que significa que los participantes </w:t>
      </w:r>
      <w:r>
        <w:rPr>
          <w:lang w:val="es-ES"/>
        </w:rPr>
        <w:t>realizan ofertas económicas</w:t>
      </w:r>
      <w:r w:rsidRPr="00E76FAE">
        <w:rPr>
          <w:lang w:val="es-ES"/>
        </w:rPr>
        <w:t xml:space="preserve"> p</w:t>
      </w:r>
      <w:r>
        <w:rPr>
          <w:lang w:val="es-ES"/>
        </w:rPr>
        <w:t>or</w:t>
      </w:r>
      <w:r w:rsidRPr="00E76FAE">
        <w:rPr>
          <w:lang w:val="es-ES"/>
        </w:rPr>
        <w:t xml:space="preserve"> un monto de espectro dentro de una sub-banda en vez de rangos de frecuencias específicos. La asignación de frecuencias específicas para </w:t>
      </w:r>
      <w:r>
        <w:rPr>
          <w:lang w:val="es-ES"/>
        </w:rPr>
        <w:t>P</w:t>
      </w:r>
      <w:r w:rsidRPr="00E76FAE">
        <w:rPr>
          <w:lang w:val="es-ES"/>
        </w:rPr>
        <w:t xml:space="preserve">articipantes </w:t>
      </w:r>
      <w:r>
        <w:rPr>
          <w:lang w:val="es-ES"/>
        </w:rPr>
        <w:t>G</w:t>
      </w:r>
      <w:r w:rsidRPr="00E76FAE">
        <w:rPr>
          <w:lang w:val="es-ES"/>
        </w:rPr>
        <w:t xml:space="preserve">anadores toma lugar después de que las </w:t>
      </w:r>
      <w:r>
        <w:rPr>
          <w:lang w:val="es-ES"/>
        </w:rPr>
        <w:t>ofertas económicas</w:t>
      </w:r>
      <w:r w:rsidRPr="00E76FAE">
        <w:rPr>
          <w:lang w:val="es-ES"/>
        </w:rPr>
        <w:t xml:space="preserve"> ganadoras han sido determinadas. Este enfoque asegura que es posible </w:t>
      </w:r>
      <w:r>
        <w:rPr>
          <w:lang w:val="es-ES"/>
        </w:rPr>
        <w:t>garantizar</w:t>
      </w:r>
      <w:r w:rsidRPr="00E76FAE">
        <w:rPr>
          <w:lang w:val="es-ES"/>
        </w:rPr>
        <w:t xml:space="preserve"> la asignación de espectro contiguo.</w:t>
      </w:r>
    </w:p>
    <w:p w14:paraId="5CB44060" w14:textId="77777777" w:rsidR="0045050D" w:rsidRPr="00E76FAE" w:rsidRDefault="0045050D" w:rsidP="0045050D">
      <w:pPr>
        <w:pStyle w:val="Textoindependiente"/>
        <w:jc w:val="both"/>
        <w:rPr>
          <w:lang w:val="es-ES"/>
        </w:rPr>
      </w:pPr>
      <w:r w:rsidRPr="00E76FAE">
        <w:rPr>
          <w:lang w:val="es-ES"/>
        </w:rPr>
        <w:t xml:space="preserve">La </w:t>
      </w:r>
      <w:r w:rsidRPr="0052539B">
        <w:rPr>
          <w:lang w:val="es-ES"/>
        </w:rPr>
        <w:t xml:space="preserve">siguiente </w:t>
      </w:r>
      <w:r w:rsidRPr="00E76FAE">
        <w:rPr>
          <w:lang w:val="es-ES"/>
        </w:rPr>
        <w:t xml:space="preserve">información </w:t>
      </w:r>
      <w:r>
        <w:rPr>
          <w:lang w:val="es-ES"/>
        </w:rPr>
        <w:t>(</w:t>
      </w:r>
      <w:r w:rsidRPr="00E76FAE">
        <w:rPr>
          <w:lang w:val="en-US"/>
        </w:rPr>
        <w:fldChar w:fldCharType="begin"/>
      </w:r>
      <w:r w:rsidRPr="00E76FAE">
        <w:rPr>
          <w:lang w:val="es-ES"/>
        </w:rPr>
        <w:instrText xml:space="preserve"> REF _Ref429470306 \h  \* MERGEFORMAT </w:instrText>
      </w:r>
      <w:r w:rsidRPr="00E76FAE">
        <w:rPr>
          <w:lang w:val="en-US"/>
        </w:rPr>
      </w:r>
      <w:r w:rsidRPr="00E76FAE">
        <w:rPr>
          <w:lang w:val="en-US"/>
        </w:rPr>
        <w:fldChar w:fldCharType="separate"/>
      </w:r>
      <w:r w:rsidRPr="00E76FAE">
        <w:rPr>
          <w:lang w:val="es-ES"/>
        </w:rPr>
        <w:t xml:space="preserve">Tabla </w:t>
      </w:r>
      <w:r>
        <w:rPr>
          <w:lang w:val="es-ES"/>
        </w:rPr>
        <w:t>1</w:t>
      </w:r>
      <w:r w:rsidRPr="00E76FAE">
        <w:rPr>
          <w:lang w:val="en-US"/>
        </w:rPr>
        <w:fldChar w:fldCharType="end"/>
      </w:r>
      <w:r w:rsidRPr="00D23B9F">
        <w:rPr>
          <w:lang w:val="es-MX"/>
        </w:rPr>
        <w:t>)</w:t>
      </w:r>
      <w:r w:rsidRPr="00E76FAE">
        <w:rPr>
          <w:lang w:val="es-ES"/>
        </w:rPr>
        <w:t xml:space="preserve"> </w:t>
      </w:r>
      <w:r>
        <w:rPr>
          <w:lang w:val="es-ES"/>
        </w:rPr>
        <w:t>detalla</w:t>
      </w:r>
      <w:r w:rsidRPr="00E76FAE">
        <w:rPr>
          <w:lang w:val="es-ES"/>
        </w:rPr>
        <w:t xml:space="preserve"> los </w:t>
      </w:r>
      <w:r>
        <w:rPr>
          <w:lang w:val="es-ES"/>
        </w:rPr>
        <w:t>bloques</w:t>
      </w:r>
      <w:r w:rsidRPr="00E76FAE">
        <w:rPr>
          <w:lang w:val="es-ES"/>
        </w:rPr>
        <w:t xml:space="preserve"> en cada categoría disponibles bajo el Escenario I. </w:t>
      </w:r>
    </w:p>
    <w:p w14:paraId="0A168DCD" w14:textId="77777777" w:rsidR="0045050D" w:rsidRPr="00E76FAE" w:rsidRDefault="0045050D" w:rsidP="0045050D">
      <w:pPr>
        <w:pStyle w:val="Descripcin"/>
        <w:spacing w:after="240"/>
        <w:rPr>
          <w:lang w:val="es-ES"/>
        </w:rPr>
      </w:pPr>
      <w:bookmarkStart w:id="22" w:name="_Ref429470306"/>
      <w:r w:rsidRPr="00E76FAE">
        <w:rPr>
          <w:lang w:val="es-ES"/>
        </w:rPr>
        <w:t xml:space="preserve">Tabla </w:t>
      </w:r>
      <w:r w:rsidRPr="00E76FAE">
        <w:fldChar w:fldCharType="begin"/>
      </w:r>
      <w:r w:rsidRPr="00E76FAE">
        <w:rPr>
          <w:lang w:val="es-ES"/>
        </w:rPr>
        <w:instrText xml:space="preserve"> SEQ Table \* ARABIC </w:instrText>
      </w:r>
      <w:r w:rsidRPr="00E76FAE">
        <w:fldChar w:fldCharType="separate"/>
      </w:r>
      <w:r>
        <w:rPr>
          <w:noProof/>
          <w:lang w:val="es-ES"/>
        </w:rPr>
        <w:t>1</w:t>
      </w:r>
      <w:r w:rsidRPr="00E76FAE">
        <w:fldChar w:fldCharType="end"/>
      </w:r>
      <w:bookmarkEnd w:id="22"/>
      <w:r w:rsidRPr="00E76FAE">
        <w:rPr>
          <w:lang w:val="es-ES"/>
        </w:rPr>
        <w:t xml:space="preserve">: </w:t>
      </w:r>
      <w:r>
        <w:rPr>
          <w:lang w:val="es-ES"/>
        </w:rPr>
        <w:t>Bloques</w:t>
      </w:r>
      <w:r w:rsidRPr="00E76FAE">
        <w:rPr>
          <w:lang w:val="es-ES"/>
        </w:rPr>
        <w:t xml:space="preserve"> disponibles por categoría bajo el Escenario I </w:t>
      </w:r>
    </w:p>
    <w:tbl>
      <w:tblPr>
        <w:tblStyle w:val="Tablaconcuadrcula"/>
        <w:tblW w:w="9198" w:type="dxa"/>
        <w:tblLook w:val="04A0" w:firstRow="1" w:lastRow="0" w:firstColumn="1" w:lastColumn="0" w:noHBand="0" w:noVBand="1"/>
      </w:tblPr>
      <w:tblGrid>
        <w:gridCol w:w="1188"/>
        <w:gridCol w:w="2140"/>
        <w:gridCol w:w="1773"/>
        <w:gridCol w:w="4097"/>
      </w:tblGrid>
      <w:tr w:rsidR="0045050D" w:rsidRPr="00E76FAE" w14:paraId="6E396517" w14:textId="77777777" w:rsidTr="00FF7E00">
        <w:tc>
          <w:tcPr>
            <w:tcW w:w="1188" w:type="dxa"/>
            <w:vAlign w:val="center"/>
          </w:tcPr>
          <w:p w14:paraId="1E4AACAB" w14:textId="77777777" w:rsidR="0045050D" w:rsidRPr="00E76FAE" w:rsidRDefault="0045050D" w:rsidP="00FF7E00">
            <w:pPr>
              <w:pStyle w:val="TableText"/>
              <w:jc w:val="center"/>
              <w:rPr>
                <w:rFonts w:eastAsia="Arial" w:hAnsi="Arial" w:cs="Arial"/>
                <w:b/>
                <w:szCs w:val="21"/>
                <w:lang w:val="es-MX"/>
              </w:rPr>
            </w:pPr>
            <w:r w:rsidRPr="00E76FAE">
              <w:rPr>
                <w:b/>
                <w:lang w:val="es-MX"/>
              </w:rPr>
              <w:t>Categoría</w:t>
            </w:r>
          </w:p>
        </w:tc>
        <w:tc>
          <w:tcPr>
            <w:tcW w:w="2140" w:type="dxa"/>
          </w:tcPr>
          <w:p w14:paraId="31CEE2A1" w14:textId="77777777" w:rsidR="0045050D" w:rsidRPr="00E76FAE" w:rsidRDefault="0045050D" w:rsidP="00FF7E00">
            <w:pPr>
              <w:pStyle w:val="TableText"/>
              <w:jc w:val="center"/>
              <w:rPr>
                <w:b/>
                <w:lang w:val="es-MX"/>
              </w:rPr>
            </w:pPr>
            <w:r w:rsidRPr="00E76FAE">
              <w:rPr>
                <w:b/>
                <w:lang w:val="es-MX"/>
              </w:rPr>
              <w:t>Sub-banda</w:t>
            </w:r>
          </w:p>
        </w:tc>
        <w:tc>
          <w:tcPr>
            <w:tcW w:w="1773" w:type="dxa"/>
            <w:vAlign w:val="center"/>
          </w:tcPr>
          <w:p w14:paraId="68D91167" w14:textId="77777777" w:rsidR="0045050D" w:rsidRPr="00E76FAE" w:rsidRDefault="0045050D" w:rsidP="00FF7E00">
            <w:pPr>
              <w:pStyle w:val="TableText"/>
              <w:jc w:val="center"/>
              <w:rPr>
                <w:rFonts w:eastAsia="Arial" w:hAnsi="Arial" w:cs="Arial"/>
                <w:b/>
                <w:szCs w:val="21"/>
                <w:lang w:val="es-MX"/>
              </w:rPr>
            </w:pPr>
            <w:r w:rsidRPr="00E76FAE">
              <w:rPr>
                <w:b/>
                <w:lang w:val="es-MX"/>
              </w:rPr>
              <w:t xml:space="preserve">Número de </w:t>
            </w:r>
            <w:r>
              <w:rPr>
                <w:b/>
                <w:lang w:val="es-MX"/>
              </w:rPr>
              <w:t>bloque</w:t>
            </w:r>
            <w:r w:rsidRPr="00E76FAE">
              <w:rPr>
                <w:b/>
                <w:lang w:val="es-MX"/>
              </w:rPr>
              <w:t>s</w:t>
            </w:r>
          </w:p>
        </w:tc>
        <w:tc>
          <w:tcPr>
            <w:tcW w:w="4097" w:type="dxa"/>
            <w:vAlign w:val="center"/>
          </w:tcPr>
          <w:p w14:paraId="6A7D913B" w14:textId="77777777" w:rsidR="0045050D" w:rsidRPr="00E76FAE" w:rsidRDefault="0045050D" w:rsidP="00FF7E00">
            <w:pPr>
              <w:pStyle w:val="TableText"/>
              <w:jc w:val="center"/>
              <w:rPr>
                <w:rFonts w:eastAsia="Arial" w:hAnsi="Arial" w:cs="Arial"/>
                <w:b/>
                <w:szCs w:val="21"/>
                <w:lang w:val="es-MX"/>
              </w:rPr>
            </w:pPr>
            <w:r w:rsidRPr="00E76FAE">
              <w:rPr>
                <w:rFonts w:eastAsia="Arial" w:hAnsi="Arial" w:cs="Arial"/>
                <w:b/>
                <w:szCs w:val="21"/>
                <w:lang w:val="es-MX"/>
              </w:rPr>
              <w:t>Rango de frecuencia*</w:t>
            </w:r>
          </w:p>
        </w:tc>
      </w:tr>
      <w:tr w:rsidR="0045050D" w:rsidRPr="00E76FAE" w14:paraId="22EDBC93" w14:textId="77777777" w:rsidTr="00FF7E00">
        <w:tc>
          <w:tcPr>
            <w:tcW w:w="1188" w:type="dxa"/>
            <w:vAlign w:val="center"/>
          </w:tcPr>
          <w:p w14:paraId="2AE80956" w14:textId="77777777" w:rsidR="0045050D" w:rsidRPr="00E76FAE" w:rsidRDefault="0045050D" w:rsidP="00FF7E00">
            <w:pPr>
              <w:pStyle w:val="TableText"/>
              <w:jc w:val="center"/>
              <w:rPr>
                <w:rFonts w:eastAsia="Arial" w:hAnsi="Arial" w:cs="Arial"/>
                <w:szCs w:val="21"/>
                <w:lang w:val="es-MX"/>
              </w:rPr>
            </w:pPr>
            <w:r w:rsidRPr="00E76FAE">
              <w:rPr>
                <w:lang w:val="es-MX"/>
              </w:rPr>
              <w:t>A</w:t>
            </w:r>
          </w:p>
        </w:tc>
        <w:tc>
          <w:tcPr>
            <w:tcW w:w="2140" w:type="dxa"/>
          </w:tcPr>
          <w:p w14:paraId="22BAE3F6" w14:textId="77777777" w:rsidR="0045050D" w:rsidRPr="00E76FAE" w:rsidRDefault="0045050D" w:rsidP="00FF7E00">
            <w:pPr>
              <w:pStyle w:val="TableText"/>
              <w:jc w:val="center"/>
              <w:rPr>
                <w:rFonts w:eastAsia="Arial" w:hAnsi="Arial" w:cs="Arial"/>
                <w:szCs w:val="21"/>
                <w:lang w:val="es-MX"/>
              </w:rPr>
            </w:pPr>
            <w:r w:rsidRPr="00E76FAE">
              <w:rPr>
                <w:rFonts w:eastAsia="Arial" w:hAnsi="Arial" w:cs="Arial"/>
                <w:szCs w:val="21"/>
                <w:lang w:val="es-MX"/>
              </w:rPr>
              <w:t>AWS-1</w:t>
            </w:r>
          </w:p>
        </w:tc>
        <w:tc>
          <w:tcPr>
            <w:tcW w:w="1773" w:type="dxa"/>
            <w:vAlign w:val="center"/>
          </w:tcPr>
          <w:p w14:paraId="76C82549" w14:textId="77777777" w:rsidR="0045050D" w:rsidRPr="00E76FAE" w:rsidRDefault="0045050D" w:rsidP="00FF7E00">
            <w:pPr>
              <w:pStyle w:val="TableText"/>
              <w:jc w:val="center"/>
              <w:rPr>
                <w:rFonts w:eastAsia="Arial" w:hAnsi="Arial" w:cs="Arial"/>
                <w:szCs w:val="21"/>
                <w:lang w:val="es-MX"/>
              </w:rPr>
            </w:pPr>
            <w:r w:rsidRPr="00E76FAE">
              <w:rPr>
                <w:rFonts w:eastAsia="Arial" w:hAnsi="Arial" w:cs="Arial"/>
                <w:szCs w:val="21"/>
                <w:lang w:val="es-MX"/>
              </w:rPr>
              <w:t>4</w:t>
            </w:r>
          </w:p>
        </w:tc>
        <w:tc>
          <w:tcPr>
            <w:tcW w:w="4097" w:type="dxa"/>
            <w:vAlign w:val="center"/>
          </w:tcPr>
          <w:p w14:paraId="774B6850" w14:textId="77777777" w:rsidR="0045050D" w:rsidRPr="00E76FAE" w:rsidRDefault="0045050D" w:rsidP="00FF7E00">
            <w:pPr>
              <w:pStyle w:val="TableText"/>
              <w:jc w:val="center"/>
              <w:rPr>
                <w:sz w:val="18"/>
                <w:szCs w:val="18"/>
                <w:lang w:val="es-MX"/>
              </w:rPr>
            </w:pPr>
            <w:r w:rsidRPr="00E76FAE">
              <w:rPr>
                <w:lang w:val="es-MX"/>
              </w:rPr>
              <w:t>1710 - 1755 MHz / 2110 - 2155 MHz</w:t>
            </w:r>
          </w:p>
        </w:tc>
      </w:tr>
      <w:tr w:rsidR="0045050D" w:rsidRPr="00E76FAE" w14:paraId="60DC0B2E" w14:textId="77777777" w:rsidTr="00FF7E00">
        <w:tc>
          <w:tcPr>
            <w:tcW w:w="1188" w:type="dxa"/>
            <w:vAlign w:val="center"/>
          </w:tcPr>
          <w:p w14:paraId="15682274" w14:textId="77777777" w:rsidR="0045050D" w:rsidRPr="00E76FAE" w:rsidRDefault="0045050D" w:rsidP="00FF7E00">
            <w:pPr>
              <w:pStyle w:val="TableText"/>
              <w:jc w:val="center"/>
              <w:rPr>
                <w:rFonts w:eastAsia="Arial" w:hAnsi="Arial" w:cs="Arial"/>
                <w:szCs w:val="21"/>
                <w:lang w:val="es-MX"/>
              </w:rPr>
            </w:pPr>
            <w:r w:rsidRPr="00E76FAE">
              <w:rPr>
                <w:lang w:val="es-MX"/>
              </w:rPr>
              <w:t>G</w:t>
            </w:r>
          </w:p>
        </w:tc>
        <w:tc>
          <w:tcPr>
            <w:tcW w:w="2140" w:type="dxa"/>
          </w:tcPr>
          <w:p w14:paraId="56FE87D1" w14:textId="77777777" w:rsidR="0045050D" w:rsidRPr="00E76FAE" w:rsidRDefault="0045050D" w:rsidP="00FF7E00">
            <w:pPr>
              <w:pStyle w:val="TableText"/>
              <w:jc w:val="center"/>
              <w:rPr>
                <w:rFonts w:eastAsia="Arial" w:hAnsi="Arial" w:cs="Arial"/>
                <w:szCs w:val="21"/>
                <w:lang w:val="es-MX"/>
              </w:rPr>
            </w:pPr>
            <w:r w:rsidRPr="00E76FAE">
              <w:rPr>
                <w:rFonts w:eastAsia="Arial" w:hAnsi="Arial" w:cs="Arial"/>
                <w:szCs w:val="21"/>
                <w:lang w:val="es-MX"/>
              </w:rPr>
              <w:t xml:space="preserve">AWS-3 </w:t>
            </w:r>
            <w:r>
              <w:rPr>
                <w:rFonts w:eastAsia="Arial" w:hAnsi="Arial" w:cs="Arial"/>
                <w:szCs w:val="21"/>
                <w:lang w:val="es-MX"/>
              </w:rPr>
              <w:t>base</w:t>
            </w:r>
          </w:p>
        </w:tc>
        <w:tc>
          <w:tcPr>
            <w:tcW w:w="1773" w:type="dxa"/>
            <w:vAlign w:val="center"/>
          </w:tcPr>
          <w:p w14:paraId="7DAD484B" w14:textId="77777777" w:rsidR="0045050D" w:rsidRPr="00E76FAE" w:rsidRDefault="0045050D" w:rsidP="00FF7E00">
            <w:pPr>
              <w:pStyle w:val="TableText"/>
              <w:jc w:val="center"/>
              <w:rPr>
                <w:rFonts w:eastAsia="Arial" w:hAnsi="Arial" w:cs="Arial"/>
                <w:szCs w:val="21"/>
                <w:lang w:val="es-MX"/>
              </w:rPr>
            </w:pPr>
            <w:r w:rsidRPr="00E76FAE">
              <w:rPr>
                <w:rFonts w:eastAsia="Arial" w:hAnsi="Arial" w:cs="Arial"/>
                <w:szCs w:val="21"/>
                <w:lang w:val="es-MX"/>
              </w:rPr>
              <w:t>3</w:t>
            </w:r>
          </w:p>
        </w:tc>
        <w:tc>
          <w:tcPr>
            <w:tcW w:w="4097" w:type="dxa"/>
            <w:vAlign w:val="center"/>
          </w:tcPr>
          <w:p w14:paraId="7BBB709C" w14:textId="77777777" w:rsidR="0045050D" w:rsidRPr="00E76FAE" w:rsidRDefault="0045050D" w:rsidP="00FF7E00">
            <w:pPr>
              <w:pStyle w:val="TableText"/>
              <w:jc w:val="center"/>
              <w:rPr>
                <w:sz w:val="18"/>
                <w:szCs w:val="18"/>
                <w:lang w:val="es-MX"/>
              </w:rPr>
            </w:pPr>
            <w:r w:rsidRPr="00E76FAE">
              <w:rPr>
                <w:lang w:val="es-MX"/>
              </w:rPr>
              <w:t>1755 - 1770 MHz / 2155 - 2170 MHz</w:t>
            </w:r>
          </w:p>
        </w:tc>
      </w:tr>
      <w:tr w:rsidR="0045050D" w:rsidRPr="00E76FAE" w14:paraId="628DE2A4" w14:textId="77777777" w:rsidTr="00FF7E00">
        <w:tc>
          <w:tcPr>
            <w:tcW w:w="1188" w:type="dxa"/>
            <w:vAlign w:val="center"/>
          </w:tcPr>
          <w:p w14:paraId="74A5BCF3" w14:textId="77777777" w:rsidR="0045050D" w:rsidRPr="00E76FAE" w:rsidRDefault="0045050D" w:rsidP="00FF7E00">
            <w:pPr>
              <w:pStyle w:val="TableText"/>
              <w:jc w:val="center"/>
              <w:rPr>
                <w:rFonts w:eastAsia="Arial" w:hAnsi="Arial" w:cs="Arial"/>
                <w:szCs w:val="21"/>
                <w:lang w:val="es-MX"/>
              </w:rPr>
            </w:pPr>
            <w:r w:rsidRPr="00E76FAE">
              <w:rPr>
                <w:lang w:val="es-MX"/>
              </w:rPr>
              <w:t>J</w:t>
            </w:r>
          </w:p>
        </w:tc>
        <w:tc>
          <w:tcPr>
            <w:tcW w:w="2140" w:type="dxa"/>
          </w:tcPr>
          <w:p w14:paraId="154E9CEF" w14:textId="77777777" w:rsidR="0045050D" w:rsidRPr="00E76FAE" w:rsidRDefault="0045050D" w:rsidP="00FF7E00">
            <w:pPr>
              <w:pStyle w:val="TableText"/>
              <w:jc w:val="center"/>
              <w:rPr>
                <w:rFonts w:eastAsia="Arial" w:hAnsi="Arial" w:cs="Arial"/>
                <w:szCs w:val="21"/>
                <w:lang w:val="es-MX"/>
              </w:rPr>
            </w:pPr>
            <w:r w:rsidRPr="00E76FAE">
              <w:rPr>
                <w:rFonts w:eastAsia="Arial" w:hAnsi="Arial" w:cs="Arial"/>
                <w:szCs w:val="21"/>
                <w:lang w:val="es-MX"/>
              </w:rPr>
              <w:t>AWS-3 extensi</w:t>
            </w:r>
            <w:r>
              <w:rPr>
                <w:rFonts w:eastAsia="Arial" w:hAnsi="Arial" w:cs="Arial"/>
                <w:szCs w:val="21"/>
                <w:lang w:val="es-MX"/>
              </w:rPr>
              <w:t>ó</w:t>
            </w:r>
            <w:r w:rsidRPr="00E76FAE">
              <w:rPr>
                <w:rFonts w:eastAsia="Arial" w:hAnsi="Arial" w:cs="Arial"/>
                <w:szCs w:val="21"/>
                <w:lang w:val="es-MX"/>
              </w:rPr>
              <w:t>n</w:t>
            </w:r>
          </w:p>
        </w:tc>
        <w:tc>
          <w:tcPr>
            <w:tcW w:w="1773" w:type="dxa"/>
            <w:vAlign w:val="center"/>
          </w:tcPr>
          <w:p w14:paraId="03E72A9C" w14:textId="77777777" w:rsidR="0045050D" w:rsidRPr="00E76FAE" w:rsidRDefault="0045050D" w:rsidP="00FF7E00">
            <w:pPr>
              <w:pStyle w:val="TableText"/>
              <w:jc w:val="center"/>
              <w:rPr>
                <w:rFonts w:eastAsia="Arial" w:hAnsi="Arial" w:cs="Arial"/>
                <w:szCs w:val="21"/>
                <w:lang w:val="es-MX"/>
              </w:rPr>
            </w:pPr>
            <w:r w:rsidRPr="00E76FAE">
              <w:rPr>
                <w:rFonts w:eastAsia="Arial" w:hAnsi="Arial" w:cs="Arial"/>
                <w:szCs w:val="21"/>
                <w:lang w:val="es-MX"/>
              </w:rPr>
              <w:t>2</w:t>
            </w:r>
          </w:p>
        </w:tc>
        <w:tc>
          <w:tcPr>
            <w:tcW w:w="4097" w:type="dxa"/>
            <w:vAlign w:val="center"/>
          </w:tcPr>
          <w:p w14:paraId="565A5579" w14:textId="77777777" w:rsidR="0045050D" w:rsidRPr="00E76FAE" w:rsidRDefault="0045050D" w:rsidP="00FF7E00">
            <w:pPr>
              <w:pStyle w:val="TableText"/>
              <w:jc w:val="center"/>
              <w:rPr>
                <w:sz w:val="18"/>
                <w:szCs w:val="18"/>
                <w:lang w:val="es-MX"/>
              </w:rPr>
            </w:pPr>
            <w:r w:rsidRPr="00E76FAE">
              <w:rPr>
                <w:lang w:val="es-MX"/>
              </w:rPr>
              <w:t>1770 - 1780 MHz / 2170 - 2180 MHz</w:t>
            </w:r>
          </w:p>
        </w:tc>
      </w:tr>
    </w:tbl>
    <w:p w14:paraId="783C85B1" w14:textId="77777777" w:rsidR="0045050D" w:rsidRPr="00A330D9" w:rsidRDefault="0045050D" w:rsidP="0045050D">
      <w:pPr>
        <w:pStyle w:val="Textoindependiente"/>
        <w:jc w:val="both"/>
        <w:rPr>
          <w:sz w:val="20"/>
          <w:lang w:val="es-MX"/>
        </w:rPr>
      </w:pPr>
      <w:r w:rsidRPr="00A330D9">
        <w:rPr>
          <w:sz w:val="20"/>
          <w:lang w:val="es-MX"/>
        </w:rPr>
        <w:t>* Un participante que gane 2 o más bloques dentro de esta sub-banda se le garantiza ser asignado frecuencias contiguas dentro de este rango.</w:t>
      </w:r>
    </w:p>
    <w:p w14:paraId="44E1C884" w14:textId="77777777" w:rsidR="0045050D" w:rsidRPr="00E76FAE" w:rsidRDefault="0045050D" w:rsidP="0045050D">
      <w:pPr>
        <w:pStyle w:val="Textoindependiente"/>
        <w:jc w:val="both"/>
        <w:rPr>
          <w:lang w:val="es-MX"/>
        </w:rPr>
      </w:pPr>
      <w:r w:rsidRPr="00E76FAE">
        <w:rPr>
          <w:lang w:val="es-MX"/>
        </w:rPr>
        <w:t xml:space="preserve">El enfoque bajo el Escenario II con </w:t>
      </w:r>
      <w:r>
        <w:rPr>
          <w:lang w:val="es-MX"/>
        </w:rPr>
        <w:t>8</w:t>
      </w:r>
      <w:r w:rsidRPr="00E76FAE">
        <w:rPr>
          <w:lang w:val="es-MX"/>
        </w:rPr>
        <w:t xml:space="preserve"> </w:t>
      </w:r>
      <w:r>
        <w:rPr>
          <w:lang w:val="es-MX"/>
        </w:rPr>
        <w:t>bloques</w:t>
      </w:r>
      <w:r w:rsidRPr="00E76FAE">
        <w:rPr>
          <w:lang w:val="es-MX"/>
        </w:rPr>
        <w:t xml:space="preserve"> es idéntico con la excepción que habrá solamente </w:t>
      </w:r>
      <w:r>
        <w:rPr>
          <w:lang w:val="es-MX"/>
        </w:rPr>
        <w:t>3</w:t>
      </w:r>
      <w:r w:rsidRPr="00E76FAE">
        <w:rPr>
          <w:lang w:val="es-MX"/>
        </w:rPr>
        <w:t xml:space="preserve"> </w:t>
      </w:r>
      <w:r>
        <w:rPr>
          <w:lang w:val="es-MX"/>
        </w:rPr>
        <w:t>bloques</w:t>
      </w:r>
      <w:r w:rsidRPr="00E76FAE">
        <w:rPr>
          <w:lang w:val="es-MX"/>
        </w:rPr>
        <w:t xml:space="preserve"> disponibles en la Categoría A.</w:t>
      </w:r>
    </w:p>
    <w:p w14:paraId="24D65B7A" w14:textId="77777777" w:rsidR="0045050D" w:rsidRPr="00E76FAE" w:rsidRDefault="0045050D" w:rsidP="0045050D">
      <w:pPr>
        <w:pStyle w:val="Textoindependiente"/>
        <w:jc w:val="both"/>
        <w:rPr>
          <w:lang w:val="es-ES"/>
        </w:rPr>
      </w:pPr>
      <w:r w:rsidRPr="00E76FAE">
        <w:rPr>
          <w:lang w:val="es-MX"/>
        </w:rPr>
        <w:t xml:space="preserve">En la subasta, los participantes presentan </w:t>
      </w:r>
      <w:r>
        <w:rPr>
          <w:lang w:val="es-MX"/>
        </w:rPr>
        <w:t>ofertas económicas</w:t>
      </w:r>
      <w:r w:rsidRPr="00E76FAE">
        <w:rPr>
          <w:lang w:val="es-MX"/>
        </w:rPr>
        <w:t xml:space="preserve"> por paquetes de </w:t>
      </w:r>
      <w:r>
        <w:rPr>
          <w:lang w:val="es-MX"/>
        </w:rPr>
        <w:t>bloques</w:t>
      </w:r>
      <w:r w:rsidRPr="00E76FAE">
        <w:rPr>
          <w:lang w:val="es-MX"/>
        </w:rPr>
        <w:t xml:space="preserve">, no por </w:t>
      </w:r>
      <w:r>
        <w:rPr>
          <w:lang w:val="es-MX"/>
        </w:rPr>
        <w:t>bloques</w:t>
      </w:r>
      <w:r w:rsidRPr="00E76FAE">
        <w:rPr>
          <w:lang w:val="es-MX"/>
        </w:rPr>
        <w:t xml:space="preserve"> individuales. Un paquete puede consistir</w:t>
      </w:r>
      <w:r w:rsidRPr="00E76FAE">
        <w:rPr>
          <w:lang w:val="es-ES"/>
        </w:rPr>
        <w:t xml:space="preserve"> de un número de </w:t>
      </w:r>
      <w:r>
        <w:rPr>
          <w:lang w:val="es-ES"/>
        </w:rPr>
        <w:t>bloques</w:t>
      </w:r>
      <w:r w:rsidRPr="00E76FAE">
        <w:rPr>
          <w:lang w:val="es-ES"/>
        </w:rPr>
        <w:t xml:space="preserve"> en una o más categorías. Cada </w:t>
      </w:r>
      <w:r>
        <w:rPr>
          <w:lang w:val="es-ES"/>
        </w:rPr>
        <w:t>oferta económica</w:t>
      </w:r>
      <w:r w:rsidRPr="00E76FAE">
        <w:rPr>
          <w:lang w:val="es-ES"/>
        </w:rPr>
        <w:t xml:space="preserve"> es por el paquete de </w:t>
      </w:r>
      <w:r>
        <w:rPr>
          <w:lang w:val="es-ES"/>
        </w:rPr>
        <w:t>bloques</w:t>
      </w:r>
      <w:r w:rsidRPr="00E76FAE">
        <w:rPr>
          <w:lang w:val="es-ES"/>
        </w:rPr>
        <w:t xml:space="preserve"> especificado por el </w:t>
      </w:r>
      <w:r>
        <w:rPr>
          <w:lang w:val="es-ES"/>
        </w:rPr>
        <w:t>P</w:t>
      </w:r>
      <w:r w:rsidRPr="00E76FAE">
        <w:rPr>
          <w:lang w:val="es-ES"/>
        </w:rPr>
        <w:t xml:space="preserve">articipante, </w:t>
      </w:r>
      <w:r>
        <w:rPr>
          <w:lang w:val="es-ES"/>
        </w:rPr>
        <w:t xml:space="preserve">dicha oferta </w:t>
      </w:r>
      <w:r w:rsidRPr="00E76FAE">
        <w:rPr>
          <w:lang w:val="es-ES"/>
        </w:rPr>
        <w:t>será considerada en su totalidad y no será subdividida.</w:t>
      </w:r>
    </w:p>
    <w:p w14:paraId="4E8023E5" w14:textId="77777777" w:rsidR="0045050D" w:rsidRPr="00E76FAE" w:rsidRDefault="0045050D" w:rsidP="0045050D">
      <w:pPr>
        <w:pStyle w:val="Textoindependiente"/>
        <w:jc w:val="both"/>
        <w:rPr>
          <w:lang w:val="es-ES"/>
        </w:rPr>
      </w:pPr>
    </w:p>
    <w:p w14:paraId="24EDFA76" w14:textId="77777777" w:rsidR="0045050D" w:rsidRPr="00E76FAE" w:rsidRDefault="0045050D" w:rsidP="0045050D">
      <w:pPr>
        <w:pStyle w:val="Ttulo2"/>
        <w:jc w:val="both"/>
        <w:rPr>
          <w:lang w:val="es-ES"/>
        </w:rPr>
      </w:pPr>
      <w:bookmarkStart w:id="23" w:name="_Toc429397850"/>
      <w:bookmarkStart w:id="24" w:name="_Ref429406858"/>
      <w:bookmarkStart w:id="25" w:name="_Ref429498394"/>
      <w:bookmarkStart w:id="26" w:name="_Toc430281522"/>
      <w:r>
        <w:rPr>
          <w:lang w:val="es-ES"/>
        </w:rPr>
        <w:t>Límites máximos</w:t>
      </w:r>
      <w:r w:rsidRPr="00E76FAE">
        <w:rPr>
          <w:lang w:val="es-ES"/>
        </w:rPr>
        <w:t xml:space="preserve"> de espectro </w:t>
      </w:r>
      <w:r>
        <w:rPr>
          <w:lang w:val="es-ES"/>
        </w:rPr>
        <w:t xml:space="preserve">(“caps”) </w:t>
      </w:r>
      <w:r w:rsidRPr="00E76FAE">
        <w:rPr>
          <w:lang w:val="es-ES"/>
        </w:rPr>
        <w:t xml:space="preserve">y otras restricciones </w:t>
      </w:r>
      <w:bookmarkEnd w:id="23"/>
      <w:bookmarkEnd w:id="24"/>
      <w:bookmarkEnd w:id="25"/>
      <w:r>
        <w:rPr>
          <w:lang w:val="es-ES"/>
        </w:rPr>
        <w:t>en la realización de ofertas económicas</w:t>
      </w:r>
      <w:bookmarkEnd w:id="26"/>
    </w:p>
    <w:p w14:paraId="58AE346B" w14:textId="77777777" w:rsidR="0045050D" w:rsidRPr="00E76FAE" w:rsidRDefault="0045050D" w:rsidP="0045050D">
      <w:pPr>
        <w:pStyle w:val="Textoindependiente"/>
        <w:jc w:val="both"/>
        <w:rPr>
          <w:lang w:val="es-ES"/>
        </w:rPr>
      </w:pPr>
      <w:r w:rsidRPr="00E76FAE">
        <w:rPr>
          <w:lang w:val="es-ES"/>
        </w:rPr>
        <w:t xml:space="preserve">Cada </w:t>
      </w:r>
      <w:r>
        <w:rPr>
          <w:lang w:val="es-ES"/>
        </w:rPr>
        <w:t>P</w:t>
      </w:r>
      <w:r w:rsidRPr="00E76FAE">
        <w:rPr>
          <w:lang w:val="es-ES"/>
        </w:rPr>
        <w:t xml:space="preserve">articipante en la subasta está sujeto a un </w:t>
      </w:r>
      <w:r>
        <w:rPr>
          <w:lang w:val="es-ES"/>
        </w:rPr>
        <w:t>límite máximo</w:t>
      </w:r>
      <w:r w:rsidRPr="00E76FAE">
        <w:rPr>
          <w:lang w:val="es-ES"/>
        </w:rPr>
        <w:t xml:space="preserve"> de </w:t>
      </w:r>
      <w:r>
        <w:rPr>
          <w:lang w:val="es-ES"/>
        </w:rPr>
        <w:t xml:space="preserve">entre [2x30MHz] y </w:t>
      </w:r>
      <w:r w:rsidRPr="00E76FAE">
        <w:rPr>
          <w:lang w:val="es-ES"/>
        </w:rPr>
        <w:t xml:space="preserve">[2x40 MHz] sobre el monto de espectro en la banda AWS </w:t>
      </w:r>
      <w:r>
        <w:rPr>
          <w:lang w:val="es-ES"/>
        </w:rPr>
        <w:t xml:space="preserve">de la </w:t>
      </w:r>
      <w:r w:rsidRPr="00E76FAE">
        <w:rPr>
          <w:lang w:val="es-ES"/>
        </w:rPr>
        <w:t xml:space="preserve">que pueden </w:t>
      </w:r>
      <w:r>
        <w:rPr>
          <w:lang w:val="es-ES"/>
        </w:rPr>
        <w:t>ser concesionarios</w:t>
      </w:r>
      <w:r w:rsidRPr="00E76FAE">
        <w:rPr>
          <w:lang w:val="es-ES"/>
        </w:rPr>
        <w:t xml:space="preserve">. Este </w:t>
      </w:r>
      <w:r>
        <w:rPr>
          <w:lang w:val="es-ES"/>
        </w:rPr>
        <w:t>límite máximo</w:t>
      </w:r>
      <w:r w:rsidRPr="00E76FAE">
        <w:rPr>
          <w:lang w:val="es-ES"/>
        </w:rPr>
        <w:t xml:space="preserve"> incluye </w:t>
      </w:r>
      <w:r>
        <w:rPr>
          <w:lang w:val="es-ES"/>
        </w:rPr>
        <w:t>concesiones</w:t>
      </w:r>
      <w:r w:rsidRPr="00E76FAE">
        <w:rPr>
          <w:lang w:val="es-ES"/>
        </w:rPr>
        <w:t xml:space="preserve"> existentes de cada operador en AWS-</w:t>
      </w:r>
      <w:r w:rsidRPr="007C48F6">
        <w:rPr>
          <w:lang w:val="es-ES"/>
        </w:rPr>
        <w:t xml:space="preserve">1 y todo el espectro disponible en esta subasta. Los participantes no pueden realizar </w:t>
      </w:r>
      <w:r>
        <w:rPr>
          <w:lang w:val="es-ES"/>
        </w:rPr>
        <w:t>ofertas económicas</w:t>
      </w:r>
      <w:r w:rsidRPr="007C48F6">
        <w:rPr>
          <w:lang w:val="es-ES"/>
        </w:rPr>
        <w:t xml:space="preserve"> por paquetes de </w:t>
      </w:r>
      <w:r>
        <w:rPr>
          <w:lang w:val="es-ES"/>
        </w:rPr>
        <w:t>bloques</w:t>
      </w:r>
      <w:r w:rsidRPr="007C48F6">
        <w:rPr>
          <w:lang w:val="es-ES"/>
        </w:rPr>
        <w:t xml:space="preserve"> que no sean compatibles con el </w:t>
      </w:r>
      <w:r>
        <w:rPr>
          <w:lang w:val="es-ES"/>
        </w:rPr>
        <w:t>límite máximo</w:t>
      </w:r>
      <w:r w:rsidRPr="007C48F6">
        <w:rPr>
          <w:lang w:val="es-ES"/>
        </w:rPr>
        <w:t xml:space="preserve"> de espectro, tomando en cuenta sus </w:t>
      </w:r>
      <w:r>
        <w:rPr>
          <w:lang w:val="es-ES"/>
        </w:rPr>
        <w:t>concesiones</w:t>
      </w:r>
      <w:r w:rsidRPr="00E76FAE">
        <w:rPr>
          <w:lang w:val="es-ES"/>
        </w:rPr>
        <w:t xml:space="preserve"> existentes de AWS-1.</w:t>
      </w:r>
    </w:p>
    <w:p w14:paraId="2E1DC583" w14:textId="77777777" w:rsidR="0045050D" w:rsidRPr="00E76FAE" w:rsidRDefault="0045050D" w:rsidP="0045050D">
      <w:pPr>
        <w:pStyle w:val="Textoindependiente"/>
        <w:jc w:val="both"/>
        <w:rPr>
          <w:lang w:val="es-ES"/>
        </w:rPr>
      </w:pPr>
      <w:r w:rsidRPr="00E76FAE">
        <w:rPr>
          <w:lang w:val="es-ES"/>
        </w:rPr>
        <w:t xml:space="preserve">Este </w:t>
      </w:r>
      <w:r>
        <w:rPr>
          <w:lang w:val="es-ES"/>
        </w:rPr>
        <w:t>límite máximo</w:t>
      </w:r>
      <w:r w:rsidRPr="00E76FAE">
        <w:rPr>
          <w:lang w:val="es-ES"/>
        </w:rPr>
        <w:t xml:space="preserve"> tiene el efecto de prevenir que cualquier participante realice </w:t>
      </w:r>
      <w:r>
        <w:rPr>
          <w:lang w:val="es-ES"/>
        </w:rPr>
        <w:t>ofertas económicas</w:t>
      </w:r>
      <w:r w:rsidRPr="00E76FAE">
        <w:rPr>
          <w:lang w:val="es-ES"/>
        </w:rPr>
        <w:t xml:space="preserve"> por un paquete que contenga más de </w:t>
      </w:r>
      <w:r>
        <w:rPr>
          <w:lang w:val="es-ES"/>
        </w:rPr>
        <w:t xml:space="preserve">6 u </w:t>
      </w:r>
      <w:r w:rsidRPr="00E76FAE">
        <w:rPr>
          <w:lang w:val="es-ES"/>
        </w:rPr>
        <w:t xml:space="preserve">8 </w:t>
      </w:r>
      <w:r>
        <w:rPr>
          <w:lang w:val="es-ES"/>
        </w:rPr>
        <w:t>bloques, según el caso</w:t>
      </w:r>
      <w:r w:rsidRPr="00E76FAE">
        <w:rPr>
          <w:lang w:val="es-ES"/>
        </w:rPr>
        <w:t xml:space="preserve">. Se les prohíbe a los operadores ya existentes que realicen </w:t>
      </w:r>
      <w:r>
        <w:rPr>
          <w:lang w:val="es-ES"/>
        </w:rPr>
        <w:t>ofertas económicas</w:t>
      </w:r>
      <w:r w:rsidRPr="00E76FAE">
        <w:rPr>
          <w:lang w:val="es-ES"/>
        </w:rPr>
        <w:t xml:space="preserve"> por paquetes más grandes, dependiendo de sus tenencias existentes y el </w:t>
      </w:r>
      <w:r>
        <w:rPr>
          <w:lang w:val="es-ES"/>
        </w:rPr>
        <w:t xml:space="preserve">posible </w:t>
      </w:r>
      <w:r w:rsidRPr="00E76FAE">
        <w:rPr>
          <w:lang w:val="es-ES"/>
        </w:rPr>
        <w:t xml:space="preserve">espectro que </w:t>
      </w:r>
      <w:r>
        <w:rPr>
          <w:lang w:val="es-ES"/>
        </w:rPr>
        <w:t>pudieran</w:t>
      </w:r>
      <w:r w:rsidRPr="00E76FAE">
        <w:rPr>
          <w:lang w:val="es-ES"/>
        </w:rPr>
        <w:t xml:space="preserve"> </w:t>
      </w:r>
      <w:r>
        <w:rPr>
          <w:lang w:val="es-ES"/>
        </w:rPr>
        <w:t>intercambiar</w:t>
      </w:r>
      <w:r w:rsidRPr="00E76FAE">
        <w:rPr>
          <w:lang w:val="es-ES"/>
        </w:rPr>
        <w:t xml:space="preserve"> </w:t>
      </w:r>
      <w:r>
        <w:rPr>
          <w:lang w:val="es-ES"/>
        </w:rPr>
        <w:t>en</w:t>
      </w:r>
      <w:r w:rsidRPr="00E76FAE">
        <w:rPr>
          <w:lang w:val="es-ES"/>
        </w:rPr>
        <w:t xml:space="preserve"> la subasta bajo los Escenarios I o el II.</w:t>
      </w:r>
    </w:p>
    <w:p w14:paraId="472F07DC" w14:textId="77777777" w:rsidR="0045050D" w:rsidRPr="00E76FAE" w:rsidRDefault="0045050D" w:rsidP="0045050D">
      <w:pPr>
        <w:pStyle w:val="Textoindependiente"/>
        <w:jc w:val="both"/>
        <w:rPr>
          <w:lang w:val="es-ES"/>
        </w:rPr>
      </w:pPr>
      <w:r w:rsidRPr="00E76FAE">
        <w:rPr>
          <w:lang w:val="es-ES"/>
        </w:rPr>
        <w:t xml:space="preserve">Específicamente, </w:t>
      </w:r>
      <w:r>
        <w:rPr>
          <w:lang w:val="es-ES"/>
        </w:rPr>
        <w:t xml:space="preserve">a manera ejemplificativa y suponiendo un límite de espectro de 2x40 MHz </w:t>
      </w:r>
      <w:r w:rsidRPr="00E76FAE">
        <w:rPr>
          <w:lang w:val="es-ES"/>
        </w:rPr>
        <w:t>bajo el Escenario I, se restring</w:t>
      </w:r>
      <w:r>
        <w:rPr>
          <w:lang w:val="es-ES"/>
        </w:rPr>
        <w:t>iría</w:t>
      </w:r>
      <w:r w:rsidRPr="00E76FAE">
        <w:rPr>
          <w:lang w:val="es-ES"/>
        </w:rPr>
        <w:t xml:space="preserve"> a cada participante a realizar </w:t>
      </w:r>
      <w:r>
        <w:rPr>
          <w:lang w:val="es-ES"/>
        </w:rPr>
        <w:t xml:space="preserve">las siguientes </w:t>
      </w:r>
      <w:r w:rsidRPr="00E76FAE">
        <w:rPr>
          <w:lang w:val="es-ES"/>
        </w:rPr>
        <w:t xml:space="preserve">ofertas </w:t>
      </w:r>
      <w:r>
        <w:rPr>
          <w:lang w:val="es-ES"/>
        </w:rPr>
        <w:t>máximas</w:t>
      </w:r>
      <w:r w:rsidRPr="00E76FAE">
        <w:rPr>
          <w:lang w:val="es-ES"/>
        </w:rPr>
        <w:t>:</w:t>
      </w:r>
    </w:p>
    <w:p w14:paraId="724D5185" w14:textId="77777777" w:rsidR="0045050D" w:rsidRPr="00E76FAE" w:rsidRDefault="0045050D" w:rsidP="0045050D">
      <w:pPr>
        <w:pStyle w:val="Textoindependiente"/>
        <w:numPr>
          <w:ilvl w:val="0"/>
          <w:numId w:val="18"/>
        </w:numPr>
        <w:jc w:val="both"/>
        <w:rPr>
          <w:lang w:val="es-ES"/>
        </w:rPr>
      </w:pPr>
      <w:r w:rsidRPr="00E76FAE">
        <w:rPr>
          <w:lang w:val="es-ES"/>
        </w:rPr>
        <w:t>AT&amp;T: paquetes de hasta 5 lotes.</w:t>
      </w:r>
    </w:p>
    <w:p w14:paraId="1B3D49EA" w14:textId="77777777" w:rsidR="0045050D" w:rsidRPr="00E76FAE" w:rsidRDefault="0045050D" w:rsidP="0045050D">
      <w:pPr>
        <w:pStyle w:val="Textoindependiente"/>
        <w:numPr>
          <w:ilvl w:val="0"/>
          <w:numId w:val="18"/>
        </w:numPr>
        <w:jc w:val="both"/>
        <w:rPr>
          <w:lang w:val="es-ES"/>
        </w:rPr>
      </w:pPr>
      <w:r w:rsidRPr="00E76FAE">
        <w:rPr>
          <w:lang w:val="es-ES"/>
        </w:rPr>
        <w:t>Telcel: paquetes de hasta 6 lotes.</w:t>
      </w:r>
    </w:p>
    <w:p w14:paraId="19494D62" w14:textId="77777777" w:rsidR="0045050D" w:rsidRPr="00E76FAE" w:rsidRDefault="0045050D" w:rsidP="0045050D">
      <w:pPr>
        <w:pStyle w:val="Textoindependiente"/>
        <w:numPr>
          <w:ilvl w:val="0"/>
          <w:numId w:val="18"/>
        </w:numPr>
        <w:jc w:val="both"/>
        <w:rPr>
          <w:lang w:val="es-ES"/>
        </w:rPr>
      </w:pPr>
      <w:r w:rsidRPr="00E76FAE">
        <w:rPr>
          <w:lang w:val="es-ES"/>
        </w:rPr>
        <w:t>Telefónica: paquetes de hasta 8 lotes.</w:t>
      </w:r>
    </w:p>
    <w:p w14:paraId="2C2A64FF" w14:textId="77777777" w:rsidR="0045050D" w:rsidRPr="00E76FAE" w:rsidRDefault="0045050D" w:rsidP="0045050D">
      <w:pPr>
        <w:pStyle w:val="Textoindependiente"/>
        <w:numPr>
          <w:ilvl w:val="0"/>
          <w:numId w:val="18"/>
        </w:numPr>
        <w:jc w:val="both"/>
        <w:rPr>
          <w:lang w:val="es-ES"/>
        </w:rPr>
      </w:pPr>
      <w:r w:rsidRPr="00E76FAE">
        <w:rPr>
          <w:lang w:val="es-ES"/>
        </w:rPr>
        <w:t>Cualquier otro participante: paquetes de hasta 8 lotes.</w:t>
      </w:r>
    </w:p>
    <w:p w14:paraId="71714D8C" w14:textId="77777777" w:rsidR="0045050D" w:rsidRPr="00E76FAE" w:rsidRDefault="0045050D" w:rsidP="0045050D">
      <w:pPr>
        <w:pStyle w:val="Textoindependiente"/>
        <w:jc w:val="both"/>
        <w:rPr>
          <w:lang w:val="es-ES"/>
        </w:rPr>
      </w:pPr>
      <w:r w:rsidRPr="00E76FAE">
        <w:rPr>
          <w:lang w:val="es-ES"/>
        </w:rPr>
        <w:t>Bajo el Escenario II, se restringe a cada participante a realizar ofertas por los siguientes paquetes:</w:t>
      </w:r>
    </w:p>
    <w:p w14:paraId="22B8D591" w14:textId="77777777" w:rsidR="0045050D" w:rsidRPr="00E76FAE" w:rsidRDefault="0045050D" w:rsidP="0045050D">
      <w:pPr>
        <w:pStyle w:val="Textoindependiente"/>
        <w:numPr>
          <w:ilvl w:val="0"/>
          <w:numId w:val="19"/>
        </w:numPr>
        <w:jc w:val="both"/>
        <w:rPr>
          <w:lang w:val="es-ES"/>
        </w:rPr>
      </w:pPr>
      <w:r w:rsidRPr="00E76FAE">
        <w:rPr>
          <w:lang w:val="es-ES"/>
        </w:rPr>
        <w:t>AT&amp;T: paquetes de hasta 5 lotes.</w:t>
      </w:r>
    </w:p>
    <w:p w14:paraId="27E5F01F" w14:textId="77777777" w:rsidR="0045050D" w:rsidRPr="00E76FAE" w:rsidRDefault="0045050D" w:rsidP="0045050D">
      <w:pPr>
        <w:pStyle w:val="Textoindependiente"/>
        <w:numPr>
          <w:ilvl w:val="0"/>
          <w:numId w:val="19"/>
        </w:numPr>
        <w:jc w:val="both"/>
        <w:rPr>
          <w:lang w:val="es-ES"/>
        </w:rPr>
      </w:pPr>
      <w:r w:rsidRPr="00E76FAE">
        <w:rPr>
          <w:lang w:val="es-ES"/>
        </w:rPr>
        <w:t>Telcel: paquetes de hasta 5 lotes.</w:t>
      </w:r>
    </w:p>
    <w:p w14:paraId="3B39A3F0" w14:textId="77777777" w:rsidR="0045050D" w:rsidRPr="00E76FAE" w:rsidRDefault="0045050D" w:rsidP="0045050D">
      <w:pPr>
        <w:pStyle w:val="Textoindependiente"/>
        <w:numPr>
          <w:ilvl w:val="0"/>
          <w:numId w:val="19"/>
        </w:numPr>
        <w:jc w:val="both"/>
        <w:rPr>
          <w:lang w:val="es-ES"/>
        </w:rPr>
      </w:pPr>
      <w:r w:rsidRPr="00E76FAE">
        <w:rPr>
          <w:lang w:val="es-ES"/>
        </w:rPr>
        <w:t>Telefónica: paquetes de hasta 7 lotes.</w:t>
      </w:r>
    </w:p>
    <w:p w14:paraId="2D52FD63" w14:textId="77777777" w:rsidR="0045050D" w:rsidRPr="00E76FAE" w:rsidRDefault="0045050D" w:rsidP="0045050D">
      <w:pPr>
        <w:pStyle w:val="Textoindependiente"/>
        <w:numPr>
          <w:ilvl w:val="0"/>
          <w:numId w:val="19"/>
        </w:numPr>
        <w:jc w:val="both"/>
        <w:rPr>
          <w:lang w:val="es-ES"/>
        </w:rPr>
      </w:pPr>
      <w:r w:rsidRPr="00E76FAE">
        <w:rPr>
          <w:lang w:val="es-ES"/>
        </w:rPr>
        <w:t>Cualquier otro participante: paquetes de hasta 8 lotes.</w:t>
      </w:r>
    </w:p>
    <w:p w14:paraId="63CF9894" w14:textId="77777777" w:rsidR="0045050D" w:rsidRPr="00FB2317" w:rsidRDefault="0045050D" w:rsidP="0045050D">
      <w:pPr>
        <w:pStyle w:val="Textoindependiente"/>
        <w:jc w:val="both"/>
        <w:rPr>
          <w:lang w:val="es-ES"/>
        </w:rPr>
      </w:pPr>
      <w:r w:rsidRPr="00E76FAE">
        <w:rPr>
          <w:lang w:val="es-ES"/>
        </w:rPr>
        <w:t xml:space="preserve">Todas las ofertas por paquetes deben incluir ya sea </w:t>
      </w:r>
      <w:r>
        <w:rPr>
          <w:lang w:val="es-ES"/>
        </w:rPr>
        <w:t>0 (</w:t>
      </w:r>
      <w:r w:rsidRPr="00E76FAE">
        <w:rPr>
          <w:lang w:val="es-ES"/>
        </w:rPr>
        <w:t>cero</w:t>
      </w:r>
      <w:r>
        <w:rPr>
          <w:lang w:val="es-ES"/>
        </w:rPr>
        <w:t>)</w:t>
      </w:r>
      <w:r w:rsidRPr="00E76FAE">
        <w:rPr>
          <w:lang w:val="es-ES"/>
        </w:rPr>
        <w:t xml:space="preserve"> o </w:t>
      </w:r>
      <w:r>
        <w:rPr>
          <w:lang w:val="es-ES"/>
        </w:rPr>
        <w:t>2 (</w:t>
      </w:r>
      <w:r w:rsidRPr="00E76FAE">
        <w:rPr>
          <w:lang w:val="es-ES"/>
        </w:rPr>
        <w:t>dos</w:t>
      </w:r>
      <w:r>
        <w:rPr>
          <w:lang w:val="es-ES"/>
        </w:rPr>
        <w:t>)</w:t>
      </w:r>
      <w:r w:rsidRPr="00E76FAE">
        <w:rPr>
          <w:lang w:val="es-ES"/>
        </w:rPr>
        <w:t xml:space="preserve"> </w:t>
      </w:r>
      <w:r>
        <w:rPr>
          <w:lang w:val="es-ES"/>
        </w:rPr>
        <w:t>bloques</w:t>
      </w:r>
      <w:r w:rsidRPr="00E76FAE">
        <w:rPr>
          <w:lang w:val="es-ES"/>
        </w:rPr>
        <w:t xml:space="preserve"> en la categoría J. No se permite realizar ofertas por paquetes conteniendo solamente un </w:t>
      </w:r>
      <w:r>
        <w:rPr>
          <w:lang w:val="es-ES"/>
        </w:rPr>
        <w:t>bloque</w:t>
      </w:r>
      <w:r w:rsidRPr="00E76FAE">
        <w:rPr>
          <w:lang w:val="es-ES"/>
        </w:rPr>
        <w:t xml:space="preserve"> </w:t>
      </w:r>
      <w:r>
        <w:rPr>
          <w:lang w:val="es-ES"/>
        </w:rPr>
        <w:t>de</w:t>
      </w:r>
      <w:r w:rsidRPr="00E76FAE">
        <w:rPr>
          <w:lang w:val="es-ES"/>
        </w:rPr>
        <w:t xml:space="preserve"> la categoría J. Esta regla asegura que siempre se pueda asignar espectro contiguo a los participantes ganadores a lo largo de </w:t>
      </w:r>
      <w:r w:rsidRPr="00FB2317">
        <w:rPr>
          <w:lang w:val="es-ES"/>
        </w:rPr>
        <w:t>la totalidad de la sub-banda AWS-3.</w:t>
      </w:r>
    </w:p>
    <w:p w14:paraId="2E1D48E6" w14:textId="2984DE7A" w:rsidR="0045050D" w:rsidRPr="00FB2317" w:rsidRDefault="0045050D" w:rsidP="0045050D">
      <w:pPr>
        <w:pStyle w:val="Textoindependiente"/>
        <w:jc w:val="both"/>
        <w:rPr>
          <w:lang w:val="es-ES"/>
        </w:rPr>
      </w:pPr>
      <w:r w:rsidRPr="00FB2317">
        <w:rPr>
          <w:lang w:val="es-ES"/>
        </w:rPr>
        <w:t xml:space="preserve">Bajo el Escenario I solamente, </w:t>
      </w:r>
      <w:r>
        <w:rPr>
          <w:lang w:val="es-ES"/>
        </w:rPr>
        <w:t xml:space="preserve">los operadores que tienen concesiones bajo el </w:t>
      </w:r>
      <w:r w:rsidR="00A1029A">
        <w:rPr>
          <w:lang w:val="es-ES"/>
        </w:rPr>
        <w:t>B</w:t>
      </w:r>
      <w:r>
        <w:rPr>
          <w:lang w:val="es-ES"/>
        </w:rPr>
        <w:t>loque D</w:t>
      </w:r>
      <w:r w:rsidRPr="00FB2317">
        <w:rPr>
          <w:lang w:val="es-ES"/>
        </w:rPr>
        <w:t xml:space="preserve"> pueden estar restringidos adicionalmente por su selección del paquete mínimo. Cada uno de estos participantes puede solamente realizar ofertas económicas por paquetes que se encuentren en su conjunto de paquetes mínimos o que sean super-conjuntos de uno o más de sus paquetes mínimos. Específicamente, las siguientes restricciones aplican dependiendo de su conjunto de paquetes mínimos.</w:t>
      </w:r>
    </w:p>
    <w:p w14:paraId="34825EF2" w14:textId="77777777" w:rsidR="0045050D" w:rsidRPr="00FB2317" w:rsidRDefault="0045050D" w:rsidP="0045050D">
      <w:pPr>
        <w:pStyle w:val="Textoindependiente"/>
        <w:numPr>
          <w:ilvl w:val="0"/>
          <w:numId w:val="65"/>
        </w:numPr>
        <w:jc w:val="both"/>
        <w:rPr>
          <w:lang w:val="es-ES"/>
        </w:rPr>
      </w:pPr>
      <w:r w:rsidRPr="00FB2317">
        <w:rPr>
          <w:lang w:val="es-ES"/>
        </w:rPr>
        <w:t>CONJUNTO 1: Todas las ofertas económicas deben contener al menos un bloque A.</w:t>
      </w:r>
    </w:p>
    <w:p w14:paraId="08813705" w14:textId="77777777" w:rsidR="0045050D" w:rsidRPr="00FB2317" w:rsidRDefault="0045050D" w:rsidP="0045050D">
      <w:pPr>
        <w:pStyle w:val="Textoindependiente"/>
        <w:numPr>
          <w:ilvl w:val="0"/>
          <w:numId w:val="65"/>
        </w:numPr>
        <w:jc w:val="both"/>
        <w:rPr>
          <w:lang w:val="es-ES"/>
        </w:rPr>
      </w:pPr>
      <w:r w:rsidRPr="00FB2317">
        <w:rPr>
          <w:lang w:val="es-ES"/>
        </w:rPr>
        <w:t>CONJUNTO 2: Todas las oferta económicas deben contener al menos un bloque A o al menos un bloque G.</w:t>
      </w:r>
    </w:p>
    <w:p w14:paraId="60286AC5" w14:textId="77777777" w:rsidR="0045050D" w:rsidRPr="00FB2317" w:rsidRDefault="0045050D" w:rsidP="0045050D">
      <w:pPr>
        <w:pStyle w:val="Textoindependiente"/>
        <w:numPr>
          <w:ilvl w:val="0"/>
          <w:numId w:val="65"/>
        </w:numPr>
        <w:jc w:val="both"/>
        <w:rPr>
          <w:lang w:val="es-ES"/>
        </w:rPr>
      </w:pPr>
      <w:r w:rsidRPr="00FB2317">
        <w:rPr>
          <w:lang w:val="es-ES"/>
        </w:rPr>
        <w:t>CONJUNTO 3: Sin restricciones (puesto que, por definición, cualquier oferta económica diferente de cero debe contener al menos un bloque A o al menos un bloque G o al menos 2 bloques J).</w:t>
      </w:r>
    </w:p>
    <w:p w14:paraId="0994EB00" w14:textId="77777777" w:rsidR="0045050D" w:rsidRPr="00B1259E" w:rsidRDefault="0045050D" w:rsidP="0045050D">
      <w:pPr>
        <w:pStyle w:val="Textoindependiente"/>
        <w:jc w:val="both"/>
        <w:rPr>
          <w:lang w:val="es-ES"/>
        </w:rPr>
      </w:pPr>
      <w:r w:rsidRPr="00FB2317">
        <w:rPr>
          <w:lang w:val="es-ES"/>
        </w:rPr>
        <w:t>Una lista completa de las ofertas por paquetes permitidas</w:t>
      </w:r>
      <w:r w:rsidRPr="00E76FAE">
        <w:rPr>
          <w:lang w:val="es-ES"/>
        </w:rPr>
        <w:t xml:space="preserve"> se provee en el Anexo A.</w:t>
      </w:r>
    </w:p>
    <w:p w14:paraId="310813E7" w14:textId="77777777" w:rsidR="0045050D" w:rsidRPr="00C00C5F" w:rsidRDefault="0045050D" w:rsidP="0045050D">
      <w:pPr>
        <w:pStyle w:val="Textoindependiente"/>
        <w:jc w:val="both"/>
        <w:rPr>
          <w:lang w:val="es-ES"/>
        </w:rPr>
      </w:pPr>
    </w:p>
    <w:p w14:paraId="1DF0418A" w14:textId="77777777" w:rsidR="0045050D" w:rsidRPr="00E76FAE" w:rsidRDefault="0045050D" w:rsidP="0045050D">
      <w:pPr>
        <w:pStyle w:val="Ttulo2"/>
        <w:jc w:val="both"/>
        <w:rPr>
          <w:lang w:val="es-MX"/>
        </w:rPr>
      </w:pPr>
      <w:bookmarkStart w:id="27" w:name="_Toc429397851"/>
      <w:bookmarkStart w:id="28" w:name="_Toc430281523"/>
      <w:r>
        <w:rPr>
          <w:lang w:val="es-MX"/>
        </w:rPr>
        <w:t>Valor</w:t>
      </w:r>
      <w:r w:rsidRPr="00E76FAE">
        <w:rPr>
          <w:lang w:val="es-MX"/>
        </w:rPr>
        <w:t xml:space="preserve"> </w:t>
      </w:r>
      <w:r w:rsidRPr="00487F02">
        <w:rPr>
          <w:lang w:val="es-MX"/>
        </w:rPr>
        <w:t xml:space="preserve">Mínimo </w:t>
      </w:r>
      <w:r w:rsidRPr="00E76FAE">
        <w:rPr>
          <w:lang w:val="es-MX"/>
        </w:rPr>
        <w:t>de Referencia</w:t>
      </w:r>
      <w:bookmarkEnd w:id="27"/>
      <w:r w:rsidRPr="00E76FAE">
        <w:rPr>
          <w:lang w:val="es-MX"/>
        </w:rPr>
        <w:t xml:space="preserve"> </w:t>
      </w:r>
      <w:bookmarkEnd w:id="28"/>
    </w:p>
    <w:p w14:paraId="250EFC96" w14:textId="77777777" w:rsidR="0045050D" w:rsidRPr="00E76FAE" w:rsidRDefault="0045050D" w:rsidP="0045050D">
      <w:pPr>
        <w:pStyle w:val="Textoindependiente"/>
        <w:jc w:val="both"/>
        <w:rPr>
          <w:lang w:val="es-ES"/>
        </w:rPr>
      </w:pPr>
      <w:r w:rsidRPr="00E76FAE">
        <w:rPr>
          <w:lang w:val="es-ES"/>
        </w:rPr>
        <w:t xml:space="preserve">Cada </w:t>
      </w:r>
      <w:r>
        <w:rPr>
          <w:lang w:val="es-ES"/>
        </w:rPr>
        <w:t>bloque</w:t>
      </w:r>
      <w:r w:rsidRPr="00E76FAE">
        <w:rPr>
          <w:lang w:val="es-ES"/>
        </w:rPr>
        <w:t xml:space="preserve"> otorgado en la subasta estará sujeto al </w:t>
      </w:r>
      <w:r>
        <w:rPr>
          <w:lang w:val="es-ES"/>
        </w:rPr>
        <w:t>valor</w:t>
      </w:r>
      <w:r w:rsidRPr="00E76FAE">
        <w:rPr>
          <w:lang w:val="es-ES"/>
        </w:rPr>
        <w:t xml:space="preserve"> </w:t>
      </w:r>
      <w:r>
        <w:rPr>
          <w:lang w:val="es-ES"/>
        </w:rPr>
        <w:t xml:space="preserve">mínimo </w:t>
      </w:r>
      <w:r w:rsidRPr="00E76FAE">
        <w:rPr>
          <w:lang w:val="es-ES"/>
        </w:rPr>
        <w:t xml:space="preserve">de referencia. El </w:t>
      </w:r>
      <w:r>
        <w:rPr>
          <w:lang w:val="es-ES"/>
        </w:rPr>
        <w:t>cual</w:t>
      </w:r>
      <w:r w:rsidRPr="00E76FAE">
        <w:rPr>
          <w:lang w:val="es-ES"/>
        </w:rPr>
        <w:t xml:space="preserve"> consiste de:</w:t>
      </w:r>
    </w:p>
    <w:p w14:paraId="4AFCDBD6" w14:textId="77777777" w:rsidR="0045050D" w:rsidRPr="00E76FAE" w:rsidRDefault="0045050D" w:rsidP="0045050D">
      <w:pPr>
        <w:pStyle w:val="Textoindependiente"/>
        <w:numPr>
          <w:ilvl w:val="0"/>
          <w:numId w:val="50"/>
        </w:numPr>
        <w:jc w:val="both"/>
        <w:rPr>
          <w:lang w:val="es-ES"/>
        </w:rPr>
      </w:pPr>
      <w:r w:rsidRPr="00E76FAE">
        <w:rPr>
          <w:lang w:val="es-ES"/>
        </w:rPr>
        <w:t>Un cargo anual por kHz</w:t>
      </w:r>
      <w:r>
        <w:rPr>
          <w:lang w:val="es-ES"/>
        </w:rPr>
        <w:t xml:space="preserve"> según lo establecido en la Ley Federal de Derechos</w:t>
      </w:r>
      <w:r w:rsidRPr="00E76FAE">
        <w:rPr>
          <w:lang w:val="es-ES"/>
        </w:rPr>
        <w:t>; y</w:t>
      </w:r>
    </w:p>
    <w:p w14:paraId="618A764F" w14:textId="77777777" w:rsidR="0045050D" w:rsidRPr="00E76FAE" w:rsidRDefault="0045050D" w:rsidP="0045050D">
      <w:pPr>
        <w:pStyle w:val="Textoindependiente"/>
        <w:numPr>
          <w:ilvl w:val="0"/>
          <w:numId w:val="50"/>
        </w:numPr>
        <w:jc w:val="both"/>
        <w:rPr>
          <w:lang w:val="es-ES"/>
        </w:rPr>
      </w:pPr>
      <w:r w:rsidRPr="00E76FAE">
        <w:rPr>
          <w:lang w:val="es-ES"/>
        </w:rPr>
        <w:t xml:space="preserve">Un precio de reserva, el cual también </w:t>
      </w:r>
      <w:r>
        <w:rPr>
          <w:lang w:val="es-ES"/>
        </w:rPr>
        <w:t xml:space="preserve">es </w:t>
      </w:r>
      <w:r w:rsidRPr="00E76FAE">
        <w:rPr>
          <w:lang w:val="es-ES"/>
        </w:rPr>
        <w:t xml:space="preserve">el monto de oferta mínimo y el cargo mínimo </w:t>
      </w:r>
      <w:r>
        <w:rPr>
          <w:lang w:val="es-ES"/>
        </w:rPr>
        <w:t>de la contraprestación “guante” a pagar</w:t>
      </w:r>
      <w:r w:rsidRPr="00E76FAE">
        <w:rPr>
          <w:lang w:val="es-ES"/>
        </w:rPr>
        <w:t xml:space="preserve"> por </w:t>
      </w:r>
      <w:r>
        <w:rPr>
          <w:lang w:val="es-ES"/>
        </w:rPr>
        <w:t>los bloques</w:t>
      </w:r>
      <w:r w:rsidRPr="00E76FAE">
        <w:rPr>
          <w:lang w:val="es-ES"/>
        </w:rPr>
        <w:t xml:space="preserve"> </w:t>
      </w:r>
      <w:r>
        <w:rPr>
          <w:lang w:val="es-ES"/>
        </w:rPr>
        <w:t xml:space="preserve">ganados </w:t>
      </w:r>
      <w:r w:rsidRPr="00E76FAE">
        <w:rPr>
          <w:lang w:val="es-ES"/>
        </w:rPr>
        <w:t>en la subasta.</w:t>
      </w:r>
    </w:p>
    <w:p w14:paraId="17E99F2D" w14:textId="129F1D62" w:rsidR="0045050D" w:rsidRPr="00E76FAE" w:rsidRDefault="0045050D" w:rsidP="0045050D">
      <w:pPr>
        <w:pStyle w:val="Textoindependiente"/>
        <w:jc w:val="both"/>
        <w:rPr>
          <w:lang w:val="es-ES"/>
        </w:rPr>
      </w:pPr>
      <w:r w:rsidRPr="00E76FAE">
        <w:rPr>
          <w:lang w:val="es-ES"/>
        </w:rPr>
        <w:t xml:space="preserve">El cargo anual por los </w:t>
      </w:r>
      <w:r>
        <w:rPr>
          <w:lang w:val="es-ES"/>
        </w:rPr>
        <w:t>bloques</w:t>
      </w:r>
      <w:r w:rsidRPr="00E76FAE">
        <w:rPr>
          <w:lang w:val="es-ES"/>
        </w:rPr>
        <w:t xml:space="preserve"> en la Categoría A y </w:t>
      </w:r>
      <w:r>
        <w:rPr>
          <w:lang w:val="es-ES"/>
        </w:rPr>
        <w:t xml:space="preserve">en </w:t>
      </w:r>
      <w:r w:rsidRPr="00E76FAE">
        <w:rPr>
          <w:lang w:val="es-ES"/>
        </w:rPr>
        <w:t xml:space="preserve">la Categoría G es el mismo </w:t>
      </w:r>
      <w:r>
        <w:rPr>
          <w:lang w:val="es-ES"/>
        </w:rPr>
        <w:t>y están establecidos en la Ley Federal de Derechos (</w:t>
      </w:r>
      <w:r w:rsidRPr="00E76FAE">
        <w:rPr>
          <w:lang w:val="es-ES"/>
        </w:rPr>
        <w:t>Artículo 244-E de la “Ley Federal de Derechos”</w:t>
      </w:r>
      <w:r w:rsidRPr="00E76FAE">
        <w:rPr>
          <w:rStyle w:val="Refdenotaalpie"/>
          <w:lang w:val="es-ES"/>
        </w:rPr>
        <w:t xml:space="preserve"> </w:t>
      </w:r>
      <w:r w:rsidRPr="00E76FAE">
        <w:rPr>
          <w:rStyle w:val="Refdenotaalpie"/>
        </w:rPr>
        <w:footnoteReference w:id="5"/>
      </w:r>
      <w:r>
        <w:rPr>
          <w:lang w:val="es-ES"/>
        </w:rPr>
        <w:t>)</w:t>
      </w:r>
      <w:r>
        <w:rPr>
          <w:rStyle w:val="Refdenotaalpie"/>
          <w:vertAlign w:val="baseline"/>
          <w:lang w:val="es-ES"/>
        </w:rPr>
        <w:t>.</w:t>
      </w:r>
      <w:r w:rsidRPr="00E76FAE">
        <w:rPr>
          <w:rStyle w:val="Refdenotaalpie"/>
          <w:vertAlign w:val="baseline"/>
          <w:lang w:val="es-ES"/>
        </w:rPr>
        <w:t xml:space="preserve"> Este cargo es ajustado cada año para tomar en cuenta la inflación. El cargo por los </w:t>
      </w:r>
      <w:r>
        <w:rPr>
          <w:rStyle w:val="Refdenotaalpie"/>
          <w:vertAlign w:val="baseline"/>
          <w:lang w:val="es-ES"/>
        </w:rPr>
        <w:t>bloques</w:t>
      </w:r>
      <w:r w:rsidRPr="00E76FAE">
        <w:rPr>
          <w:rStyle w:val="Refdenotaalpie"/>
          <w:vertAlign w:val="baseline"/>
          <w:lang w:val="es-ES"/>
        </w:rPr>
        <w:t xml:space="preserve"> de la Categoría J es el mismo que el cargo por los </w:t>
      </w:r>
      <w:r>
        <w:rPr>
          <w:rStyle w:val="Refdenotaalpie"/>
          <w:vertAlign w:val="baseline"/>
          <w:lang w:val="es-ES"/>
        </w:rPr>
        <w:t>b</w:t>
      </w:r>
      <w:r>
        <w:rPr>
          <w:lang w:val="es-ES"/>
        </w:rPr>
        <w:t>loques</w:t>
      </w:r>
      <w:r w:rsidRPr="00E76FAE">
        <w:rPr>
          <w:rStyle w:val="Refdenotaalpie"/>
          <w:vertAlign w:val="baseline"/>
          <w:lang w:val="es-ES"/>
        </w:rPr>
        <w:t xml:space="preserve"> en las Categorías A y G, con la excepción que ningún cargo </w:t>
      </w:r>
      <w:r w:rsidRPr="00E76FAE">
        <w:rPr>
          <w:lang w:val="es-ES"/>
        </w:rPr>
        <w:t xml:space="preserve">se deberá pagar para el período </w:t>
      </w:r>
      <w:r>
        <w:rPr>
          <w:lang w:val="es-ES"/>
        </w:rPr>
        <w:t xml:space="preserve">comprendido </w:t>
      </w:r>
      <w:r w:rsidRPr="00E76FAE">
        <w:rPr>
          <w:lang w:val="es-ES"/>
        </w:rPr>
        <w:t>desde la fecha del otorgamiento de la licencia hasta el 31 de diciembre de 2017, si el Congreso así lo determina.</w:t>
      </w:r>
    </w:p>
    <w:p w14:paraId="788C3917" w14:textId="77777777" w:rsidR="0045050D" w:rsidRPr="00E76FAE" w:rsidRDefault="0045050D" w:rsidP="0045050D">
      <w:pPr>
        <w:pStyle w:val="Textoindependiente"/>
        <w:jc w:val="both"/>
        <w:rPr>
          <w:lang w:val="es-ES"/>
        </w:rPr>
      </w:pPr>
      <w:r w:rsidRPr="00E76FAE">
        <w:rPr>
          <w:lang w:val="es-ES"/>
        </w:rPr>
        <w:t xml:space="preserve">La </w:t>
      </w:r>
      <w:r w:rsidRPr="00E76FAE">
        <w:rPr>
          <w:lang w:val="en-US"/>
        </w:rPr>
        <w:fldChar w:fldCharType="begin"/>
      </w:r>
      <w:r w:rsidRPr="00E76FAE">
        <w:rPr>
          <w:lang w:val="es-ES"/>
        </w:rPr>
        <w:instrText xml:space="preserve"> REF _Ref429471179 \h  \* MERGEFORMAT </w:instrText>
      </w:r>
      <w:r w:rsidRPr="00E76FAE">
        <w:rPr>
          <w:lang w:val="en-US"/>
        </w:rPr>
      </w:r>
      <w:r w:rsidRPr="00E76FAE">
        <w:rPr>
          <w:lang w:val="en-US"/>
        </w:rPr>
        <w:fldChar w:fldCharType="separate"/>
      </w:r>
      <w:r>
        <w:rPr>
          <w:b/>
          <w:bCs/>
          <w:lang w:val="es-ES"/>
        </w:rPr>
        <w:t>Tabla 2</w:t>
      </w:r>
      <w:r w:rsidRPr="00E76FAE">
        <w:rPr>
          <w:lang w:val="en-US"/>
        </w:rPr>
        <w:fldChar w:fldCharType="end"/>
      </w:r>
      <w:r w:rsidRPr="00E76FAE">
        <w:rPr>
          <w:lang w:val="es-ES"/>
        </w:rPr>
        <w:t xml:space="preserve"> reporta el </w:t>
      </w:r>
      <w:r>
        <w:rPr>
          <w:lang w:val="es-ES"/>
        </w:rPr>
        <w:t xml:space="preserve">rango de </w:t>
      </w:r>
      <w:r w:rsidRPr="00E76FAE">
        <w:rPr>
          <w:lang w:val="es-ES"/>
        </w:rPr>
        <w:t xml:space="preserve">precio de reserva para cada </w:t>
      </w:r>
      <w:r>
        <w:rPr>
          <w:lang w:val="es-ES"/>
        </w:rPr>
        <w:t>bloque</w:t>
      </w:r>
      <w:r w:rsidRPr="00E76FAE">
        <w:rPr>
          <w:lang w:val="es-ES"/>
        </w:rPr>
        <w:t xml:space="preserve"> y para cada categoría</w:t>
      </w:r>
      <w:r>
        <w:rPr>
          <w:lang w:val="es-ES"/>
        </w:rPr>
        <w:t xml:space="preserve"> que podrían aplicar</w:t>
      </w:r>
      <w:r w:rsidRPr="00E76FAE">
        <w:rPr>
          <w:lang w:val="es-ES"/>
        </w:rPr>
        <w:t xml:space="preserve">. </w:t>
      </w:r>
    </w:p>
    <w:p w14:paraId="36772CF4" w14:textId="77777777" w:rsidR="0045050D" w:rsidRPr="00E76FAE" w:rsidRDefault="0045050D" w:rsidP="0045050D">
      <w:pPr>
        <w:pStyle w:val="Descripcin"/>
        <w:spacing w:after="240"/>
        <w:rPr>
          <w:lang w:val="es-ES"/>
        </w:rPr>
      </w:pPr>
      <w:r w:rsidRPr="00E76FAE">
        <w:rPr>
          <w:lang w:val="es-ES"/>
        </w:rPr>
        <w:t xml:space="preserve">Tabla </w:t>
      </w:r>
      <w:r w:rsidRPr="00E76FAE">
        <w:rPr>
          <w:lang w:val="es-ES"/>
        </w:rPr>
        <w:fldChar w:fldCharType="begin"/>
      </w:r>
      <w:r w:rsidRPr="00E76FAE">
        <w:rPr>
          <w:lang w:val="es-ES"/>
        </w:rPr>
        <w:instrText xml:space="preserve"> SEQ Table \* ARABIC </w:instrText>
      </w:r>
      <w:r w:rsidRPr="00E76FAE">
        <w:rPr>
          <w:lang w:val="es-ES"/>
        </w:rPr>
        <w:fldChar w:fldCharType="separate"/>
      </w:r>
      <w:r>
        <w:rPr>
          <w:noProof/>
          <w:lang w:val="es-ES"/>
        </w:rPr>
        <w:t>2</w:t>
      </w:r>
      <w:r w:rsidRPr="00E76FAE">
        <w:rPr>
          <w:lang w:val="es-ES"/>
        </w:rPr>
        <w:fldChar w:fldCharType="end"/>
      </w:r>
      <w:r w:rsidRPr="00E76FAE">
        <w:rPr>
          <w:lang w:val="es-ES"/>
        </w:rPr>
        <w:t>: Precio</w:t>
      </w:r>
      <w:r>
        <w:rPr>
          <w:lang w:val="es-ES"/>
        </w:rPr>
        <w:t>s</w:t>
      </w:r>
      <w:r w:rsidRPr="00E76FAE">
        <w:rPr>
          <w:lang w:val="es-ES"/>
        </w:rPr>
        <w:t xml:space="preserve"> de reserva</w:t>
      </w:r>
      <w:r>
        <w:rPr>
          <w:lang w:val="es-ES"/>
        </w:rPr>
        <w:t>s</w:t>
      </w:r>
      <w:r w:rsidRPr="00E76FAE">
        <w:rPr>
          <w:lang w:val="es-ES"/>
        </w:rPr>
        <w:t xml:space="preserve"> por categoría</w:t>
      </w:r>
    </w:p>
    <w:tbl>
      <w:tblPr>
        <w:tblStyle w:val="Tablaconcuadrcula"/>
        <w:tblW w:w="4767" w:type="pct"/>
        <w:tblLook w:val="01E0" w:firstRow="1" w:lastRow="1" w:firstColumn="1" w:lastColumn="1" w:noHBand="0" w:noVBand="0"/>
      </w:tblPr>
      <w:tblGrid>
        <w:gridCol w:w="1212"/>
        <w:gridCol w:w="7702"/>
      </w:tblGrid>
      <w:tr w:rsidR="0045050D" w:rsidRPr="00A1029A" w14:paraId="2802B1E2" w14:textId="77777777" w:rsidTr="00FF7E00">
        <w:trPr>
          <w:trHeight w:hRule="exact" w:val="766"/>
        </w:trPr>
        <w:tc>
          <w:tcPr>
            <w:tcW w:w="680" w:type="pct"/>
          </w:tcPr>
          <w:p w14:paraId="15046163" w14:textId="77777777" w:rsidR="0045050D" w:rsidRPr="00E76FAE" w:rsidRDefault="0045050D" w:rsidP="00FF7E00">
            <w:pPr>
              <w:pStyle w:val="TableText"/>
              <w:rPr>
                <w:b/>
              </w:rPr>
            </w:pPr>
            <w:r w:rsidRPr="00E76FAE">
              <w:rPr>
                <w:b/>
                <w:lang w:val="es-ES"/>
              </w:rPr>
              <w:t>Categoría</w:t>
            </w:r>
          </w:p>
        </w:tc>
        <w:tc>
          <w:tcPr>
            <w:tcW w:w="4320" w:type="pct"/>
          </w:tcPr>
          <w:p w14:paraId="6418D726" w14:textId="77777777" w:rsidR="0045050D" w:rsidRPr="00E76FAE" w:rsidRDefault="0045050D" w:rsidP="00FF7E00">
            <w:pPr>
              <w:pStyle w:val="TableText"/>
              <w:rPr>
                <w:b/>
                <w:lang w:val="es-ES"/>
              </w:rPr>
            </w:pPr>
            <w:r w:rsidRPr="00E76FAE">
              <w:rPr>
                <w:b/>
                <w:lang w:val="es-ES"/>
              </w:rPr>
              <w:t xml:space="preserve">Precio de reserva por </w:t>
            </w:r>
            <w:r>
              <w:rPr>
                <w:b/>
                <w:lang w:val="es-ES"/>
              </w:rPr>
              <w:t>bloque (pesos)</w:t>
            </w:r>
          </w:p>
        </w:tc>
      </w:tr>
      <w:tr w:rsidR="0045050D" w:rsidRPr="00A1029A" w14:paraId="3521633D" w14:textId="77777777" w:rsidTr="00FF7E00">
        <w:trPr>
          <w:trHeight w:hRule="exact" w:val="1282"/>
        </w:trPr>
        <w:tc>
          <w:tcPr>
            <w:tcW w:w="680" w:type="pct"/>
          </w:tcPr>
          <w:p w14:paraId="0A6F0638" w14:textId="77777777" w:rsidR="0045050D" w:rsidRPr="00EF6C66" w:rsidRDefault="0045050D" w:rsidP="00FF7E00">
            <w:pPr>
              <w:pStyle w:val="TableText"/>
              <w:jc w:val="center"/>
            </w:pPr>
            <w:r w:rsidRPr="00EF6C66">
              <w:t>A</w:t>
            </w:r>
          </w:p>
        </w:tc>
        <w:tc>
          <w:tcPr>
            <w:tcW w:w="4320" w:type="pct"/>
          </w:tcPr>
          <w:p w14:paraId="604E4106" w14:textId="77777777" w:rsidR="0045050D" w:rsidRPr="00FB2317" w:rsidRDefault="0045050D" w:rsidP="00FF7E00">
            <w:pPr>
              <w:pStyle w:val="TableText"/>
              <w:jc w:val="both"/>
              <w:rPr>
                <w:b/>
                <w:lang w:val="es-MX"/>
              </w:rPr>
            </w:pPr>
            <w:r w:rsidRPr="00FB2317">
              <w:rPr>
                <w:lang w:val="es-MX"/>
              </w:rPr>
              <w:t>Se estima un valor actualizado</w:t>
            </w:r>
            <w:r>
              <w:rPr>
                <w:lang w:val="es-MX"/>
              </w:rPr>
              <w:t xml:space="preserve"> de la licitación 21 de Cofetel</w:t>
            </w:r>
            <w:r w:rsidRPr="00FB2317">
              <w:rPr>
                <w:lang w:val="es-MX"/>
              </w:rPr>
              <w:t>, considerando bloques nacionales de 10 mhz e incorporando la vigencia propuesta de la concesión de la presente licitación, podrá estar entre el promedio de las posturas validas más altas (pvma) de las frecuencias entre 1725-1755 mhz / 2125-2155 mhz y el promedio de las pvma de las frecuencias entre 1725-1740 MHz / 2125-2140 MHz</w:t>
            </w:r>
          </w:p>
        </w:tc>
      </w:tr>
      <w:tr w:rsidR="0045050D" w:rsidRPr="00A1029A" w14:paraId="695CF586" w14:textId="77777777" w:rsidTr="00FF7E00">
        <w:trPr>
          <w:trHeight w:hRule="exact" w:val="988"/>
        </w:trPr>
        <w:tc>
          <w:tcPr>
            <w:tcW w:w="680" w:type="pct"/>
          </w:tcPr>
          <w:p w14:paraId="5CE8EFC1" w14:textId="77777777" w:rsidR="0045050D" w:rsidRPr="00EF6C66" w:rsidRDefault="0045050D" w:rsidP="00FF7E00">
            <w:pPr>
              <w:pStyle w:val="TableText"/>
              <w:jc w:val="center"/>
            </w:pPr>
            <w:r w:rsidRPr="00EF6C66">
              <w:t>G</w:t>
            </w:r>
          </w:p>
        </w:tc>
        <w:tc>
          <w:tcPr>
            <w:tcW w:w="4320" w:type="pct"/>
          </w:tcPr>
          <w:p w14:paraId="6F429BB9" w14:textId="77777777" w:rsidR="0045050D" w:rsidRPr="00FB2317" w:rsidRDefault="0045050D" w:rsidP="00FF7E00">
            <w:pPr>
              <w:pStyle w:val="TableText"/>
              <w:jc w:val="both"/>
              <w:rPr>
                <w:lang w:val="es-MX"/>
              </w:rPr>
            </w:pPr>
            <w:r>
              <w:rPr>
                <w:lang w:val="es-MX"/>
              </w:rPr>
              <w:t>S</w:t>
            </w:r>
            <w:r w:rsidRPr="00FB2317">
              <w:rPr>
                <w:lang w:val="es-MX"/>
              </w:rPr>
              <w:t xml:space="preserve">e estima un valor actualizado de la licitación 21 de </w:t>
            </w:r>
            <w:r>
              <w:rPr>
                <w:lang w:val="es-MX"/>
              </w:rPr>
              <w:t>C</w:t>
            </w:r>
            <w:r w:rsidRPr="00FB2317">
              <w:rPr>
                <w:lang w:val="es-MX"/>
              </w:rPr>
              <w:t xml:space="preserve">ofetel, considerando bloques nacionales de 10 </w:t>
            </w:r>
            <w:r>
              <w:rPr>
                <w:lang w:val="es-MX"/>
              </w:rPr>
              <w:t>MH</w:t>
            </w:r>
            <w:r w:rsidRPr="00FB2317">
              <w:rPr>
                <w:lang w:val="es-MX"/>
              </w:rPr>
              <w:t>z e incorporando la vigencia propuesta de la concesión de la presente licitación podrá estar referenciada entre el valor mínimo de referencia y el valor de mercado establecidos en dicha licitación.</w:t>
            </w:r>
          </w:p>
        </w:tc>
      </w:tr>
      <w:tr w:rsidR="0045050D" w:rsidRPr="00A1029A" w14:paraId="1D42E472" w14:textId="77777777" w:rsidTr="00FF7E00">
        <w:trPr>
          <w:trHeight w:hRule="exact" w:val="1002"/>
        </w:trPr>
        <w:tc>
          <w:tcPr>
            <w:tcW w:w="680" w:type="pct"/>
          </w:tcPr>
          <w:p w14:paraId="2E44167C" w14:textId="77777777" w:rsidR="0045050D" w:rsidRPr="00FB2317" w:rsidRDefault="0045050D" w:rsidP="00FF7E00">
            <w:pPr>
              <w:pStyle w:val="TableText"/>
              <w:jc w:val="center"/>
            </w:pPr>
            <w:r w:rsidRPr="00FB2317">
              <w:t>J</w:t>
            </w:r>
          </w:p>
        </w:tc>
        <w:tc>
          <w:tcPr>
            <w:tcW w:w="4320" w:type="pct"/>
          </w:tcPr>
          <w:p w14:paraId="051F4FBE" w14:textId="77777777" w:rsidR="0045050D" w:rsidRPr="00FB2317" w:rsidRDefault="0045050D" w:rsidP="00FF7E00">
            <w:pPr>
              <w:pStyle w:val="TableText"/>
              <w:jc w:val="both"/>
              <w:rPr>
                <w:lang w:val="es-MX"/>
              </w:rPr>
            </w:pPr>
            <w:r w:rsidRPr="00FB2317">
              <w:rPr>
                <w:lang w:val="es-MX"/>
              </w:rPr>
              <w:t>Se estima un valor actualizado de la licitación 21 de Cofetel, considerando bloques nacionales de 10 MHz e incorporando la vigencia propuesta de la concesión de la presente licitación podrá estar referenciada entre el valor mínimo de referencia y el valor de mercado establecidos en dicha licitación.</w:t>
            </w:r>
          </w:p>
        </w:tc>
      </w:tr>
    </w:tbl>
    <w:p w14:paraId="2A42BAA3" w14:textId="77777777" w:rsidR="0045050D" w:rsidRPr="00FB2317" w:rsidRDefault="0045050D" w:rsidP="0045050D">
      <w:pPr>
        <w:pStyle w:val="Textoindependiente"/>
        <w:rPr>
          <w:lang w:val="es-MX"/>
        </w:rPr>
      </w:pPr>
    </w:p>
    <w:p w14:paraId="5CFED528" w14:textId="77777777" w:rsidR="0045050D" w:rsidRPr="00FB2317" w:rsidRDefault="0045050D" w:rsidP="0045050D">
      <w:pPr>
        <w:pStyle w:val="Textoindependiente"/>
        <w:spacing w:before="57" w:line="269" w:lineRule="auto"/>
        <w:ind w:left="218" w:right="208" w:firstLine="566"/>
        <w:jc w:val="both"/>
        <w:rPr>
          <w:spacing w:val="-1"/>
          <w:lang w:val="es-MX"/>
        </w:rPr>
      </w:pPr>
    </w:p>
    <w:p w14:paraId="3744467C" w14:textId="77777777" w:rsidR="0045050D" w:rsidRPr="00E76FAE" w:rsidRDefault="0045050D" w:rsidP="0045050D">
      <w:pPr>
        <w:pStyle w:val="Ttulo1"/>
        <w:pageBreakBefore/>
        <w:jc w:val="both"/>
        <w:rPr>
          <w:lang w:val="es-ES"/>
        </w:rPr>
      </w:pPr>
      <w:bookmarkStart w:id="29" w:name="_Toc429397852"/>
      <w:bookmarkStart w:id="30" w:name="_Toc430281524"/>
      <w:r w:rsidRPr="00E76FAE">
        <w:rPr>
          <w:lang w:val="es-ES"/>
        </w:rPr>
        <w:t>Visión general del proceso de subasta</w:t>
      </w:r>
      <w:bookmarkEnd w:id="29"/>
      <w:bookmarkEnd w:id="30"/>
    </w:p>
    <w:p w14:paraId="5150CC8D" w14:textId="77777777" w:rsidR="0045050D" w:rsidRPr="00E76FAE" w:rsidRDefault="0045050D" w:rsidP="0045050D">
      <w:pPr>
        <w:pStyle w:val="Ttulo2"/>
        <w:jc w:val="both"/>
        <w:rPr>
          <w:lang w:val="es-ES"/>
        </w:rPr>
      </w:pPr>
      <w:bookmarkStart w:id="31" w:name="_Toc429397853"/>
      <w:bookmarkStart w:id="32" w:name="_Toc430281525"/>
      <w:r w:rsidRPr="00E76FAE">
        <w:rPr>
          <w:lang w:val="es-ES"/>
        </w:rPr>
        <w:t>Etapas de la subasta</w:t>
      </w:r>
      <w:bookmarkEnd w:id="31"/>
      <w:bookmarkEnd w:id="32"/>
    </w:p>
    <w:p w14:paraId="23C41E55" w14:textId="77777777" w:rsidR="0045050D" w:rsidRPr="00E76FAE" w:rsidRDefault="0045050D" w:rsidP="0045050D">
      <w:pPr>
        <w:pStyle w:val="Textoindependiente"/>
        <w:jc w:val="both"/>
        <w:rPr>
          <w:lang w:val="es-ES"/>
        </w:rPr>
      </w:pPr>
      <w:r w:rsidRPr="00E76FAE">
        <w:rPr>
          <w:lang w:val="es-ES"/>
        </w:rPr>
        <w:t>La subasta consiste de dos etapas:</w:t>
      </w:r>
    </w:p>
    <w:p w14:paraId="35CC65F1" w14:textId="77777777" w:rsidR="0045050D" w:rsidRPr="00E76FAE" w:rsidRDefault="0045050D" w:rsidP="0045050D">
      <w:pPr>
        <w:pStyle w:val="Textoindependiente"/>
        <w:numPr>
          <w:ilvl w:val="0"/>
          <w:numId w:val="21"/>
        </w:numPr>
        <w:jc w:val="both"/>
        <w:rPr>
          <w:lang w:val="es-ES"/>
        </w:rPr>
      </w:pPr>
      <w:r w:rsidRPr="00E76FAE">
        <w:rPr>
          <w:lang w:val="es-ES"/>
        </w:rPr>
        <w:t xml:space="preserve">La </w:t>
      </w:r>
      <w:r>
        <w:rPr>
          <w:b/>
          <w:lang w:val="es-ES"/>
        </w:rPr>
        <w:t>Fase Primaria</w:t>
      </w:r>
      <w:r>
        <w:rPr>
          <w:lang w:val="es-ES"/>
        </w:rPr>
        <w:t xml:space="preserve"> donde se </w:t>
      </w:r>
      <w:r w:rsidRPr="00E76FAE">
        <w:rPr>
          <w:lang w:val="es-ES"/>
        </w:rPr>
        <w:t xml:space="preserve">determina el número de </w:t>
      </w:r>
      <w:r>
        <w:rPr>
          <w:lang w:val="es-ES"/>
        </w:rPr>
        <w:t>bloques</w:t>
      </w:r>
      <w:r w:rsidRPr="00E76FAE">
        <w:rPr>
          <w:lang w:val="es-ES"/>
        </w:rPr>
        <w:t xml:space="preserve"> </w:t>
      </w:r>
      <w:r>
        <w:rPr>
          <w:lang w:val="es-ES"/>
        </w:rPr>
        <w:t xml:space="preserve">de cada categoría </w:t>
      </w:r>
      <w:r w:rsidRPr="00E76FAE">
        <w:rPr>
          <w:lang w:val="es-ES"/>
        </w:rPr>
        <w:t xml:space="preserve">otorgados a cada participante y el precio de subasta por el paquete de </w:t>
      </w:r>
      <w:r>
        <w:rPr>
          <w:lang w:val="es-ES"/>
        </w:rPr>
        <w:t>bloques</w:t>
      </w:r>
      <w:r w:rsidRPr="00E76FAE">
        <w:rPr>
          <w:lang w:val="es-ES"/>
        </w:rPr>
        <w:t xml:space="preserve"> que ganen. La </w:t>
      </w:r>
      <w:r>
        <w:rPr>
          <w:lang w:val="es-ES"/>
        </w:rPr>
        <w:t>fase</w:t>
      </w:r>
      <w:r w:rsidRPr="00E76FAE">
        <w:rPr>
          <w:lang w:val="es-ES"/>
        </w:rPr>
        <w:t xml:space="preserve"> consiste de:</w:t>
      </w:r>
    </w:p>
    <w:p w14:paraId="7D6F97D4" w14:textId="77777777" w:rsidR="0045050D" w:rsidRPr="00E76FAE" w:rsidRDefault="0045050D" w:rsidP="0045050D">
      <w:pPr>
        <w:pStyle w:val="Textoindependiente"/>
        <w:numPr>
          <w:ilvl w:val="1"/>
          <w:numId w:val="21"/>
        </w:numPr>
        <w:jc w:val="both"/>
        <w:rPr>
          <w:lang w:val="es-ES"/>
        </w:rPr>
      </w:pPr>
      <w:r w:rsidRPr="00E76FAE">
        <w:rPr>
          <w:lang w:val="es-ES"/>
        </w:rPr>
        <w:t xml:space="preserve">Una o más </w:t>
      </w:r>
      <w:r w:rsidRPr="00E76FAE">
        <w:rPr>
          <w:b/>
          <w:lang w:val="es-ES"/>
        </w:rPr>
        <w:t>rondas de reloj</w:t>
      </w:r>
      <w:r w:rsidRPr="00E76FAE">
        <w:rPr>
          <w:lang w:val="es-ES"/>
        </w:rPr>
        <w:t>; seguido de</w:t>
      </w:r>
    </w:p>
    <w:p w14:paraId="3D209295" w14:textId="77777777" w:rsidR="0045050D" w:rsidRPr="00E76FAE" w:rsidRDefault="0045050D" w:rsidP="0045050D">
      <w:pPr>
        <w:pStyle w:val="Textoindependiente"/>
        <w:numPr>
          <w:ilvl w:val="1"/>
          <w:numId w:val="21"/>
        </w:numPr>
        <w:jc w:val="both"/>
        <w:rPr>
          <w:lang w:val="es-ES"/>
        </w:rPr>
      </w:pPr>
      <w:r w:rsidRPr="00E76FAE">
        <w:rPr>
          <w:lang w:val="es-ES"/>
        </w:rPr>
        <w:t xml:space="preserve">Una única </w:t>
      </w:r>
      <w:r w:rsidRPr="00E76FAE">
        <w:rPr>
          <w:b/>
          <w:lang w:val="es-ES"/>
        </w:rPr>
        <w:t>ronda suplementaria.</w:t>
      </w:r>
    </w:p>
    <w:p w14:paraId="25A42DA1" w14:textId="77777777" w:rsidR="0045050D" w:rsidRPr="00E76FAE" w:rsidRDefault="0045050D" w:rsidP="0045050D">
      <w:pPr>
        <w:pStyle w:val="Textoindependiente"/>
        <w:numPr>
          <w:ilvl w:val="0"/>
          <w:numId w:val="21"/>
        </w:numPr>
        <w:jc w:val="both"/>
        <w:rPr>
          <w:lang w:val="es-ES"/>
        </w:rPr>
      </w:pPr>
      <w:r w:rsidRPr="00E76FAE">
        <w:rPr>
          <w:lang w:val="es-ES"/>
        </w:rPr>
        <w:t xml:space="preserve">La </w:t>
      </w:r>
      <w:r>
        <w:rPr>
          <w:b/>
          <w:lang w:val="es-ES"/>
        </w:rPr>
        <w:t>Fase</w:t>
      </w:r>
      <w:r w:rsidRPr="00E76FAE">
        <w:rPr>
          <w:b/>
          <w:lang w:val="es-ES"/>
        </w:rPr>
        <w:t xml:space="preserve"> de Asignación</w:t>
      </w:r>
      <w:r w:rsidRPr="00E76FAE">
        <w:rPr>
          <w:lang w:val="es-ES"/>
        </w:rPr>
        <w:t xml:space="preserve"> determina las frecuencias específicas que serán asignadas a los participantes ganadores (incluyendo cualquier reordenamiento de </w:t>
      </w:r>
      <w:r>
        <w:rPr>
          <w:lang w:val="es-ES"/>
        </w:rPr>
        <w:t>concesiones</w:t>
      </w:r>
      <w:r w:rsidRPr="00E76FAE">
        <w:rPr>
          <w:lang w:val="es-ES"/>
        </w:rPr>
        <w:t xml:space="preserve"> </w:t>
      </w:r>
      <w:r>
        <w:rPr>
          <w:lang w:val="es-ES"/>
        </w:rPr>
        <w:t xml:space="preserve">existentes en </w:t>
      </w:r>
      <w:r w:rsidRPr="00E76FAE">
        <w:rPr>
          <w:lang w:val="es-ES"/>
        </w:rPr>
        <w:t>AWS-1, si es requerido).</w:t>
      </w:r>
    </w:p>
    <w:p w14:paraId="2677489D" w14:textId="77777777" w:rsidR="0045050D" w:rsidRPr="00AA75F4" w:rsidRDefault="0045050D" w:rsidP="0045050D">
      <w:pPr>
        <w:pStyle w:val="Textoindependiente"/>
        <w:jc w:val="both"/>
        <w:rPr>
          <w:lang w:val="es-ES"/>
        </w:rPr>
      </w:pPr>
      <w:r w:rsidRPr="00E76FAE">
        <w:rPr>
          <w:lang w:val="es-ES"/>
        </w:rPr>
        <w:t xml:space="preserve">Este proceso se ilustra en la </w:t>
      </w:r>
      <w:r w:rsidRPr="00E76FAE">
        <w:rPr>
          <w:lang w:val="en-US"/>
        </w:rPr>
        <w:fldChar w:fldCharType="begin"/>
      </w:r>
      <w:r w:rsidRPr="00E76FAE">
        <w:rPr>
          <w:lang w:val="es-ES"/>
        </w:rPr>
        <w:instrText xml:space="preserve"> REF _Ref429487145 \h  \* MERGEFORMAT </w:instrText>
      </w:r>
      <w:r w:rsidRPr="00E76FAE">
        <w:rPr>
          <w:lang w:val="en-US"/>
        </w:rPr>
      </w:r>
      <w:r w:rsidRPr="00E76FAE">
        <w:rPr>
          <w:lang w:val="en-US"/>
        </w:rPr>
        <w:fldChar w:fldCharType="separate"/>
      </w:r>
      <w:r w:rsidRPr="0035706E">
        <w:rPr>
          <w:lang w:val="es-ES"/>
        </w:rPr>
        <w:t xml:space="preserve">Figura </w:t>
      </w:r>
      <w:r>
        <w:rPr>
          <w:lang w:val="es-ES"/>
        </w:rPr>
        <w:t>3</w:t>
      </w:r>
      <w:r w:rsidRPr="00E76FAE">
        <w:rPr>
          <w:lang w:val="en-US"/>
        </w:rPr>
        <w:fldChar w:fldCharType="end"/>
      </w:r>
      <w:r w:rsidRPr="00E76FAE">
        <w:rPr>
          <w:lang w:val="es-ES"/>
        </w:rPr>
        <w:t>.</w:t>
      </w:r>
    </w:p>
    <w:p w14:paraId="492981AE" w14:textId="77777777" w:rsidR="0045050D" w:rsidRPr="005442A1" w:rsidRDefault="0045050D" w:rsidP="0045050D">
      <w:pPr>
        <w:pStyle w:val="Descripcin"/>
        <w:spacing w:after="240"/>
        <w:jc w:val="both"/>
        <w:rPr>
          <w:lang w:val="es-ES"/>
        </w:rPr>
      </w:pPr>
      <w:bookmarkStart w:id="33" w:name="_Ref429487145"/>
      <w:r w:rsidRPr="0035706E">
        <w:rPr>
          <w:lang w:val="es-ES"/>
        </w:rPr>
        <w:t xml:space="preserve">Figura </w:t>
      </w:r>
      <w:r w:rsidRPr="0035706E">
        <w:fldChar w:fldCharType="begin"/>
      </w:r>
      <w:r w:rsidRPr="0035706E">
        <w:rPr>
          <w:lang w:val="es-ES"/>
        </w:rPr>
        <w:instrText xml:space="preserve"> SEQ Figure \* ARABIC </w:instrText>
      </w:r>
      <w:r w:rsidRPr="0035706E">
        <w:fldChar w:fldCharType="separate"/>
      </w:r>
      <w:r>
        <w:rPr>
          <w:noProof/>
          <w:lang w:val="es-ES"/>
        </w:rPr>
        <w:t>3</w:t>
      </w:r>
      <w:r w:rsidRPr="0035706E">
        <w:fldChar w:fldCharType="end"/>
      </w:r>
      <w:bookmarkEnd w:id="33"/>
      <w:r w:rsidRPr="0035706E">
        <w:rPr>
          <w:lang w:val="es-ES"/>
        </w:rPr>
        <w:t>: Visión general del proceso de subasta</w:t>
      </w:r>
      <w:r w:rsidRPr="00A8434A">
        <w:rPr>
          <w:lang w:val="es-ES"/>
        </w:rPr>
        <w:t xml:space="preserve"> </w:t>
      </w:r>
    </w:p>
    <w:p w14:paraId="5860D776" w14:textId="59397E9C" w:rsidR="0045050D" w:rsidRPr="0035706E" w:rsidRDefault="0045050D" w:rsidP="0045050D">
      <w:pPr>
        <w:spacing w:line="200" w:lineRule="atLeast"/>
        <w:jc w:val="center"/>
        <w:rPr>
          <w:rFonts w:ascii="Arial" w:eastAsia="Arial" w:hAnsi="Arial" w:cs="Arial"/>
          <w:sz w:val="20"/>
          <w:szCs w:val="20"/>
        </w:rPr>
      </w:pPr>
      <w:r w:rsidRPr="00491B81">
        <w:rPr>
          <w:rFonts w:ascii="ITC Avant Garde" w:hAnsi="ITC Avant Garde" w:cs="Arial"/>
          <w:noProof/>
          <w:color w:val="000000" w:themeColor="text1"/>
          <w:lang w:val="es-MX" w:eastAsia="es-MX"/>
        </w:rPr>
        <w:drawing>
          <wp:inline distT="0" distB="0" distL="0" distR="0" wp14:anchorId="0DBB01F0" wp14:editId="5A4610CE">
            <wp:extent cx="4590686" cy="3334801"/>
            <wp:effectExtent l="0" t="0" r="635" b="0"/>
            <wp:docPr id="12" name="Marcador de contenido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Marcador de contenido 3"/>
                    <pic:cNvPicPr>
                      <a:picLocks noGrp="1" noChangeAspect="1"/>
                    </pic:cNvPicPr>
                  </pic:nvPicPr>
                  <pic:blipFill>
                    <a:blip r:embed="rId19"/>
                    <a:stretch>
                      <a:fillRect/>
                    </a:stretch>
                  </pic:blipFill>
                  <pic:spPr>
                    <a:xfrm>
                      <a:off x="0" y="0"/>
                      <a:ext cx="4590686" cy="3334801"/>
                    </a:xfrm>
                    <a:prstGeom prst="rect">
                      <a:avLst/>
                    </a:prstGeom>
                  </pic:spPr>
                </pic:pic>
              </a:graphicData>
            </a:graphic>
          </wp:inline>
        </w:drawing>
      </w:r>
    </w:p>
    <w:p w14:paraId="55B4AF29" w14:textId="4CFF86A7" w:rsidR="0045050D" w:rsidRPr="00C00C5F" w:rsidRDefault="0045050D" w:rsidP="0045050D">
      <w:pPr>
        <w:pStyle w:val="Textoindependiente"/>
        <w:jc w:val="both"/>
        <w:rPr>
          <w:lang w:val="es-ES"/>
        </w:rPr>
      </w:pPr>
      <w:r w:rsidRPr="0035706E">
        <w:rPr>
          <w:lang w:val="es-ES"/>
        </w:rPr>
        <w:t>Las ofertas e</w:t>
      </w:r>
      <w:r>
        <w:rPr>
          <w:lang w:val="es-ES"/>
        </w:rPr>
        <w:t>conómicas e</w:t>
      </w:r>
      <w:r w:rsidRPr="0035706E">
        <w:rPr>
          <w:lang w:val="es-ES"/>
        </w:rPr>
        <w:t xml:space="preserve">n la ronda de reloj y ronda suplementaria se presentan usando el Sistema </w:t>
      </w:r>
      <w:r>
        <w:rPr>
          <w:lang w:val="es-ES"/>
        </w:rPr>
        <w:t xml:space="preserve">Electrónico </w:t>
      </w:r>
      <w:r w:rsidRPr="0035706E">
        <w:rPr>
          <w:lang w:val="es-ES"/>
        </w:rPr>
        <w:t>de Subasta</w:t>
      </w:r>
      <w:r>
        <w:rPr>
          <w:lang w:val="es-ES"/>
        </w:rPr>
        <w:t>s</w:t>
      </w:r>
      <w:r w:rsidRPr="0035706E">
        <w:rPr>
          <w:lang w:val="es-ES"/>
        </w:rPr>
        <w:t xml:space="preserve"> (</w:t>
      </w:r>
      <w:r>
        <w:rPr>
          <w:lang w:val="es-ES"/>
        </w:rPr>
        <w:t>SES</w:t>
      </w:r>
      <w:r w:rsidRPr="0035706E">
        <w:rPr>
          <w:lang w:val="es-ES"/>
        </w:rPr>
        <w:t xml:space="preserve"> por sus siglas). Se proveerá a cada </w:t>
      </w:r>
      <w:r>
        <w:rPr>
          <w:lang w:val="es-ES"/>
        </w:rPr>
        <w:t>P</w:t>
      </w:r>
      <w:r w:rsidRPr="0035706E">
        <w:rPr>
          <w:lang w:val="es-ES"/>
        </w:rPr>
        <w:t xml:space="preserve">articipante información sobre cómo acceder y usar el </w:t>
      </w:r>
      <w:r>
        <w:rPr>
          <w:lang w:val="es-ES"/>
        </w:rPr>
        <w:t>SES</w:t>
      </w:r>
      <w:r w:rsidRPr="0035706E">
        <w:rPr>
          <w:lang w:val="es-ES"/>
        </w:rPr>
        <w:t xml:space="preserve">, y </w:t>
      </w:r>
      <w:r>
        <w:rPr>
          <w:lang w:val="es-ES"/>
        </w:rPr>
        <w:t xml:space="preserve">se proveerá de la capacitación suficiente incluyendo un </w:t>
      </w:r>
      <w:r w:rsidRPr="0035706E">
        <w:rPr>
          <w:lang w:val="es-ES"/>
        </w:rPr>
        <w:t>simulacro de subasta.</w:t>
      </w:r>
    </w:p>
    <w:p w14:paraId="0FB0ACB6" w14:textId="77777777" w:rsidR="0045050D" w:rsidRPr="0035706E" w:rsidRDefault="0045050D" w:rsidP="0045050D">
      <w:pPr>
        <w:pStyle w:val="Ttulo2"/>
        <w:jc w:val="both"/>
        <w:rPr>
          <w:lang w:val="es-ES"/>
        </w:rPr>
      </w:pPr>
      <w:bookmarkStart w:id="34" w:name="_Toc430281526"/>
      <w:r>
        <w:rPr>
          <w:lang w:val="es-ES"/>
        </w:rPr>
        <w:t>Garantía de Seriedad</w:t>
      </w:r>
      <w:bookmarkEnd w:id="34"/>
    </w:p>
    <w:p w14:paraId="07DE7C6A" w14:textId="77777777" w:rsidR="0045050D" w:rsidRPr="00F2265A" w:rsidRDefault="0045050D" w:rsidP="0045050D">
      <w:pPr>
        <w:pStyle w:val="Textoindependiente"/>
        <w:jc w:val="both"/>
        <w:rPr>
          <w:lang w:val="es-ES"/>
        </w:rPr>
      </w:pPr>
      <w:r w:rsidRPr="0035706E">
        <w:rPr>
          <w:lang w:val="es-ES"/>
        </w:rPr>
        <w:t>El propósito de</w:t>
      </w:r>
      <w:r>
        <w:rPr>
          <w:lang w:val="es-ES"/>
        </w:rPr>
        <w:t xml:space="preserve"> </w:t>
      </w:r>
      <w:r w:rsidRPr="0035706E">
        <w:rPr>
          <w:lang w:val="es-ES"/>
        </w:rPr>
        <w:t>l</w:t>
      </w:r>
      <w:r>
        <w:rPr>
          <w:lang w:val="es-ES"/>
        </w:rPr>
        <w:t>a</w:t>
      </w:r>
      <w:r w:rsidRPr="0035706E">
        <w:rPr>
          <w:lang w:val="es-ES"/>
        </w:rPr>
        <w:t xml:space="preserve"> </w:t>
      </w:r>
      <w:r>
        <w:rPr>
          <w:lang w:val="es-ES"/>
        </w:rPr>
        <w:t xml:space="preserve">Garantía de Seriedad </w:t>
      </w:r>
      <w:r w:rsidRPr="0035706E">
        <w:rPr>
          <w:lang w:val="es-ES"/>
        </w:rPr>
        <w:t xml:space="preserve">es proveer un incentivo adecuado para que los </w:t>
      </w:r>
      <w:r>
        <w:rPr>
          <w:lang w:val="es-ES"/>
        </w:rPr>
        <w:t>P</w:t>
      </w:r>
      <w:r w:rsidRPr="0035706E">
        <w:rPr>
          <w:lang w:val="es-ES"/>
        </w:rPr>
        <w:t xml:space="preserve">articipantes no incumplan </w:t>
      </w:r>
      <w:r>
        <w:rPr>
          <w:lang w:val="es-ES"/>
        </w:rPr>
        <w:t xml:space="preserve">sobre </w:t>
      </w:r>
      <w:r w:rsidRPr="0035706E">
        <w:rPr>
          <w:lang w:val="es-ES"/>
        </w:rPr>
        <w:t xml:space="preserve">las ofertas </w:t>
      </w:r>
      <w:r>
        <w:rPr>
          <w:lang w:val="es-ES"/>
        </w:rPr>
        <w:t xml:space="preserve">económicas </w:t>
      </w:r>
      <w:r w:rsidRPr="0035706E">
        <w:rPr>
          <w:lang w:val="es-ES"/>
        </w:rPr>
        <w:t xml:space="preserve">que realicen. </w:t>
      </w:r>
      <w:r>
        <w:rPr>
          <w:lang w:val="es-ES"/>
        </w:rPr>
        <w:t>P</w:t>
      </w:r>
      <w:r w:rsidRPr="0035706E">
        <w:rPr>
          <w:lang w:val="es-ES"/>
        </w:rPr>
        <w:t xml:space="preserve">ara calificar y participar en la subasta, cada </w:t>
      </w:r>
      <w:r w:rsidRPr="00FB2317">
        <w:rPr>
          <w:lang w:val="es-ES"/>
        </w:rPr>
        <w:t>participante debe presentar una Carta de Crédito como Garantía de Seriedad</w:t>
      </w:r>
      <w:r w:rsidRPr="00F2265A">
        <w:rPr>
          <w:lang w:val="es-ES"/>
        </w:rPr>
        <w:t xml:space="preserve"> pagadera al </w:t>
      </w:r>
      <w:r w:rsidRPr="00F2265A">
        <w:rPr>
          <w:lang w:val="es-MX"/>
        </w:rPr>
        <w:t>Instituto</w:t>
      </w:r>
      <w:r w:rsidRPr="00F2265A">
        <w:rPr>
          <w:lang w:val="es-ES"/>
        </w:rPr>
        <w:t xml:space="preserve"> por al menos MXN $1’800,000,000.00.  No existe una relación directa entre el nivel de la Garantía de Seriedad presentada y el número de bloques por el cual un Participante puede hacer ofertas económicas en la subasta.</w:t>
      </w:r>
    </w:p>
    <w:p w14:paraId="7D57AE1E" w14:textId="77777777" w:rsidR="0045050D" w:rsidRPr="00FB2317" w:rsidRDefault="0045050D" w:rsidP="0045050D">
      <w:pPr>
        <w:pStyle w:val="Textoindependiente"/>
        <w:jc w:val="both"/>
        <w:rPr>
          <w:lang w:val="es-ES"/>
        </w:rPr>
      </w:pPr>
      <w:r w:rsidRPr="00FB2317">
        <w:rPr>
          <w:lang w:val="es-ES"/>
        </w:rPr>
        <w:t>Asimismo, también existirá un monto inicial de garantía de seriedad, el cual ascenderá a $100,000,000.00 (cien millones de pesos)</w:t>
      </w:r>
      <w:r>
        <w:rPr>
          <w:lang w:val="es-ES"/>
        </w:rPr>
        <w:t>, mismo que deberá actualizarse al monto señalado anteriormente</w:t>
      </w:r>
      <w:r w:rsidRPr="00FB2317">
        <w:rPr>
          <w:lang w:val="es-ES"/>
        </w:rPr>
        <w:t>.</w:t>
      </w:r>
    </w:p>
    <w:p w14:paraId="27BFBD45" w14:textId="77777777" w:rsidR="0045050D" w:rsidRPr="0035706E" w:rsidRDefault="0045050D" w:rsidP="0045050D">
      <w:pPr>
        <w:pStyle w:val="Textoindependiente"/>
        <w:jc w:val="both"/>
        <w:rPr>
          <w:lang w:val="es-ES"/>
        </w:rPr>
      </w:pPr>
      <w:r w:rsidRPr="00FB2317">
        <w:rPr>
          <w:lang w:val="es-ES"/>
        </w:rPr>
        <w:t xml:space="preserve">Durante la subasta, el </w:t>
      </w:r>
      <w:r w:rsidRPr="00FB2317">
        <w:rPr>
          <w:lang w:val="es-MX"/>
        </w:rPr>
        <w:t>Instituto</w:t>
      </w:r>
      <w:r w:rsidRPr="00FB2317">
        <w:rPr>
          <w:lang w:val="es-ES"/>
        </w:rPr>
        <w:t xml:space="preserve"> monitoreará el nivel de ofertas económicas hechas por cada </w:t>
      </w:r>
      <w:r w:rsidRPr="00F2265A">
        <w:rPr>
          <w:lang w:val="es-ES"/>
        </w:rPr>
        <w:t>Participante relativo al nivel de su Garantía de Seriedad</w:t>
      </w:r>
      <w:r w:rsidRPr="0035706E">
        <w:rPr>
          <w:lang w:val="es-ES"/>
        </w:rPr>
        <w:t xml:space="preserve">. </w:t>
      </w:r>
      <w:r>
        <w:rPr>
          <w:lang w:val="es-ES"/>
        </w:rPr>
        <w:t>Al respecto, e</w:t>
      </w:r>
      <w:r w:rsidRPr="0035706E">
        <w:rPr>
          <w:lang w:val="es-ES"/>
        </w:rPr>
        <w:t xml:space="preserve">l IFT tiene la opción de </w:t>
      </w:r>
      <w:r>
        <w:rPr>
          <w:lang w:val="es-ES"/>
        </w:rPr>
        <w:t>detener</w:t>
      </w:r>
      <w:r w:rsidRPr="0035706E">
        <w:rPr>
          <w:lang w:val="es-ES"/>
        </w:rPr>
        <w:t xml:space="preserve"> el proceso de realización de ofertas</w:t>
      </w:r>
      <w:r w:rsidRPr="0035706E">
        <w:rPr>
          <w:b/>
          <w:lang w:val="es-ES"/>
        </w:rPr>
        <w:t xml:space="preserve"> </w:t>
      </w:r>
      <w:r w:rsidRPr="0035706E">
        <w:rPr>
          <w:lang w:val="es-ES"/>
        </w:rPr>
        <w:t xml:space="preserve">y requerir a los participantes que incrementen el </w:t>
      </w:r>
      <w:r>
        <w:rPr>
          <w:lang w:val="es-ES"/>
        </w:rPr>
        <w:t>monto</w:t>
      </w:r>
      <w:r w:rsidRPr="0035706E">
        <w:rPr>
          <w:lang w:val="es-ES"/>
        </w:rPr>
        <w:t xml:space="preserve"> de sus </w:t>
      </w:r>
      <w:r>
        <w:rPr>
          <w:lang w:val="es-ES"/>
        </w:rPr>
        <w:t>Garantías de Seriedad</w:t>
      </w:r>
      <w:r w:rsidRPr="0035706E">
        <w:rPr>
          <w:lang w:val="es-ES"/>
        </w:rPr>
        <w:t xml:space="preserve"> bajo las siguientes condiciones:</w:t>
      </w:r>
    </w:p>
    <w:p w14:paraId="01CCCA06" w14:textId="77777777" w:rsidR="0045050D" w:rsidRPr="0035706E" w:rsidRDefault="0045050D" w:rsidP="0045050D">
      <w:pPr>
        <w:pStyle w:val="Textoindependiente"/>
        <w:numPr>
          <w:ilvl w:val="0"/>
          <w:numId w:val="51"/>
        </w:numPr>
        <w:jc w:val="both"/>
        <w:rPr>
          <w:lang w:val="es-ES"/>
        </w:rPr>
      </w:pPr>
      <w:r w:rsidRPr="0035706E">
        <w:rPr>
          <w:lang w:val="es-ES"/>
        </w:rPr>
        <w:t xml:space="preserve">Después de la culminación de cualquier ronda de reloj, si </w:t>
      </w:r>
      <w:r>
        <w:rPr>
          <w:lang w:val="es-ES"/>
        </w:rPr>
        <w:t>la</w:t>
      </w:r>
      <w:r w:rsidRPr="0035706E">
        <w:rPr>
          <w:lang w:val="es-ES"/>
        </w:rPr>
        <w:t xml:space="preserve"> </w:t>
      </w:r>
      <w:r>
        <w:rPr>
          <w:lang w:val="es-ES"/>
        </w:rPr>
        <w:t>Garantía de Seriedad</w:t>
      </w:r>
      <w:r w:rsidRPr="0035706E">
        <w:rPr>
          <w:lang w:val="es-ES"/>
        </w:rPr>
        <w:t xml:space="preserve"> provist</w:t>
      </w:r>
      <w:r>
        <w:rPr>
          <w:lang w:val="es-ES"/>
        </w:rPr>
        <w:t>a</w:t>
      </w:r>
      <w:r w:rsidRPr="0035706E">
        <w:rPr>
          <w:lang w:val="es-ES"/>
        </w:rPr>
        <w:t xml:space="preserve"> por uno o más de los </w:t>
      </w:r>
      <w:r>
        <w:rPr>
          <w:lang w:val="es-ES"/>
        </w:rPr>
        <w:t>P</w:t>
      </w:r>
      <w:r w:rsidRPr="0035706E">
        <w:rPr>
          <w:lang w:val="es-ES"/>
        </w:rPr>
        <w:t xml:space="preserve">articipantes es menor a 50% del monto de su oferta </w:t>
      </w:r>
      <w:r>
        <w:rPr>
          <w:lang w:val="es-ES"/>
        </w:rPr>
        <w:t xml:space="preserve">económica </w:t>
      </w:r>
      <w:r w:rsidRPr="0035706E">
        <w:rPr>
          <w:lang w:val="es-ES"/>
        </w:rPr>
        <w:t>más alt</w:t>
      </w:r>
      <w:r>
        <w:rPr>
          <w:lang w:val="es-ES"/>
        </w:rPr>
        <w:t>a</w:t>
      </w:r>
      <w:r w:rsidRPr="0035706E">
        <w:rPr>
          <w:lang w:val="es-ES"/>
        </w:rPr>
        <w:t xml:space="preserve"> en esa ronda o cualquier ronda previa: en este caso, se les puede requerir a los </w:t>
      </w:r>
      <w:r>
        <w:rPr>
          <w:lang w:val="es-ES"/>
        </w:rPr>
        <w:t>P</w:t>
      </w:r>
      <w:r w:rsidRPr="0035706E">
        <w:rPr>
          <w:lang w:val="es-ES"/>
        </w:rPr>
        <w:t xml:space="preserve">articipantes que </w:t>
      </w:r>
      <w:r>
        <w:rPr>
          <w:lang w:val="es-ES"/>
        </w:rPr>
        <w:t>incrementen</w:t>
      </w:r>
      <w:r w:rsidRPr="0035706E">
        <w:rPr>
          <w:lang w:val="es-ES"/>
        </w:rPr>
        <w:t xml:space="preserve"> </w:t>
      </w:r>
      <w:r>
        <w:rPr>
          <w:lang w:val="es-ES"/>
        </w:rPr>
        <w:t>l</w:t>
      </w:r>
      <w:r w:rsidRPr="0035706E">
        <w:rPr>
          <w:lang w:val="es-ES"/>
        </w:rPr>
        <w:t xml:space="preserve">a </w:t>
      </w:r>
      <w:r>
        <w:rPr>
          <w:lang w:val="es-ES"/>
        </w:rPr>
        <w:t>G</w:t>
      </w:r>
      <w:r w:rsidRPr="0035706E">
        <w:rPr>
          <w:lang w:val="es-ES"/>
        </w:rPr>
        <w:t xml:space="preserve">arantía </w:t>
      </w:r>
      <w:r>
        <w:rPr>
          <w:lang w:val="es-ES"/>
        </w:rPr>
        <w:t>de Seriedad por el equivalente de</w:t>
      </w:r>
      <w:r w:rsidRPr="0035706E">
        <w:rPr>
          <w:lang w:val="es-ES"/>
        </w:rPr>
        <w:t xml:space="preserve"> entre el 50% y el 75% de</w:t>
      </w:r>
      <w:r>
        <w:rPr>
          <w:lang w:val="es-ES"/>
        </w:rPr>
        <w:t>l</w:t>
      </w:r>
      <w:r w:rsidRPr="0035706E">
        <w:rPr>
          <w:lang w:val="es-ES"/>
        </w:rPr>
        <w:t xml:space="preserve"> monto de </w:t>
      </w:r>
      <w:r>
        <w:rPr>
          <w:lang w:val="es-ES"/>
        </w:rPr>
        <w:t xml:space="preserve">su </w:t>
      </w:r>
      <w:r w:rsidRPr="0035706E">
        <w:rPr>
          <w:lang w:val="es-ES"/>
        </w:rPr>
        <w:t xml:space="preserve">oferta </w:t>
      </w:r>
      <w:r>
        <w:rPr>
          <w:lang w:val="es-ES"/>
        </w:rPr>
        <w:t xml:space="preserve">económica </w:t>
      </w:r>
      <w:r w:rsidRPr="0035706E">
        <w:rPr>
          <w:lang w:val="es-ES"/>
        </w:rPr>
        <w:t>más alto.</w:t>
      </w:r>
    </w:p>
    <w:p w14:paraId="286F065F" w14:textId="77777777" w:rsidR="0045050D" w:rsidRPr="0035706E" w:rsidRDefault="0045050D" w:rsidP="0045050D">
      <w:pPr>
        <w:pStyle w:val="Textoindependiente"/>
        <w:numPr>
          <w:ilvl w:val="0"/>
          <w:numId w:val="51"/>
        </w:numPr>
        <w:jc w:val="both"/>
        <w:rPr>
          <w:lang w:val="es-ES"/>
        </w:rPr>
      </w:pPr>
      <w:r>
        <w:rPr>
          <w:lang w:val="es-ES"/>
        </w:rPr>
        <w:t>S</w:t>
      </w:r>
      <w:r w:rsidRPr="0035706E">
        <w:rPr>
          <w:lang w:val="es-ES"/>
        </w:rPr>
        <w:t xml:space="preserve">i </w:t>
      </w:r>
      <w:r>
        <w:rPr>
          <w:lang w:val="es-ES"/>
        </w:rPr>
        <w:t xml:space="preserve">la Garantía de Seriedad </w:t>
      </w:r>
      <w:r w:rsidRPr="0035706E">
        <w:rPr>
          <w:lang w:val="es-ES"/>
        </w:rPr>
        <w:t>provist</w:t>
      </w:r>
      <w:r>
        <w:rPr>
          <w:lang w:val="es-ES"/>
        </w:rPr>
        <w:t>a</w:t>
      </w:r>
      <w:r w:rsidRPr="0035706E">
        <w:rPr>
          <w:lang w:val="es-ES"/>
        </w:rPr>
        <w:t xml:space="preserve"> por uno o más de los participantes cubiertos es menor a</w:t>
      </w:r>
      <w:r>
        <w:rPr>
          <w:lang w:val="es-ES"/>
        </w:rPr>
        <w:t>l</w:t>
      </w:r>
      <w:r w:rsidRPr="0035706E">
        <w:rPr>
          <w:lang w:val="es-ES"/>
        </w:rPr>
        <w:t xml:space="preserve"> 50% del monto de </w:t>
      </w:r>
      <w:r>
        <w:rPr>
          <w:lang w:val="es-ES"/>
        </w:rPr>
        <w:t>la</w:t>
      </w:r>
      <w:r w:rsidRPr="0035706E">
        <w:rPr>
          <w:lang w:val="es-ES"/>
        </w:rPr>
        <w:t xml:space="preserve"> oferta más alta a lo largo de las rondas de reloj </w:t>
      </w:r>
      <w:r>
        <w:rPr>
          <w:lang w:val="es-ES"/>
        </w:rPr>
        <w:t>y</w:t>
      </w:r>
      <w:r w:rsidRPr="0035706E">
        <w:rPr>
          <w:lang w:val="es-ES"/>
        </w:rPr>
        <w:t xml:space="preserve"> </w:t>
      </w:r>
      <w:r>
        <w:rPr>
          <w:lang w:val="es-ES"/>
        </w:rPr>
        <w:t xml:space="preserve">de </w:t>
      </w:r>
      <w:r w:rsidRPr="0035706E">
        <w:rPr>
          <w:lang w:val="es-ES"/>
        </w:rPr>
        <w:t>la ronda suplementaria</w:t>
      </w:r>
      <w:r>
        <w:rPr>
          <w:lang w:val="es-ES"/>
        </w:rPr>
        <w:t xml:space="preserve">, </w:t>
      </w:r>
      <w:r w:rsidRPr="0035706E">
        <w:rPr>
          <w:lang w:val="es-ES"/>
        </w:rPr>
        <w:t>se p</w:t>
      </w:r>
      <w:r>
        <w:rPr>
          <w:lang w:val="es-ES"/>
        </w:rPr>
        <w:t xml:space="preserve">odría </w:t>
      </w:r>
      <w:r w:rsidRPr="0035706E">
        <w:rPr>
          <w:lang w:val="es-ES"/>
        </w:rPr>
        <w:t xml:space="preserve">requerir a los </w:t>
      </w:r>
      <w:r>
        <w:rPr>
          <w:lang w:val="es-ES"/>
        </w:rPr>
        <w:t>P</w:t>
      </w:r>
      <w:r w:rsidRPr="0035706E">
        <w:rPr>
          <w:lang w:val="es-ES"/>
        </w:rPr>
        <w:t xml:space="preserve">articipantes que </w:t>
      </w:r>
      <w:r>
        <w:rPr>
          <w:lang w:val="es-ES"/>
        </w:rPr>
        <w:t>incrementen la Garantía de Seriedad por</w:t>
      </w:r>
      <w:r w:rsidRPr="0035706E">
        <w:rPr>
          <w:lang w:val="es-ES"/>
        </w:rPr>
        <w:t xml:space="preserve"> un monto entre el 50% y el 75% de</w:t>
      </w:r>
      <w:r>
        <w:rPr>
          <w:lang w:val="es-ES"/>
        </w:rPr>
        <w:t>l</w:t>
      </w:r>
      <w:r w:rsidRPr="0035706E">
        <w:rPr>
          <w:lang w:val="es-ES"/>
        </w:rPr>
        <w:t xml:space="preserve"> monto de oferta más alt</w:t>
      </w:r>
      <w:r>
        <w:rPr>
          <w:lang w:val="es-ES"/>
        </w:rPr>
        <w:t>a</w:t>
      </w:r>
      <w:r w:rsidRPr="0035706E">
        <w:rPr>
          <w:lang w:val="es-ES"/>
        </w:rPr>
        <w:t>.</w:t>
      </w:r>
    </w:p>
    <w:p w14:paraId="46543B36" w14:textId="77777777" w:rsidR="0045050D" w:rsidRPr="0035706E" w:rsidRDefault="0045050D" w:rsidP="0045050D">
      <w:pPr>
        <w:pStyle w:val="Textoindependiente"/>
        <w:jc w:val="both"/>
        <w:rPr>
          <w:lang w:val="es-ES"/>
        </w:rPr>
      </w:pPr>
      <w:r w:rsidRPr="0035706E">
        <w:rPr>
          <w:lang w:val="es-ES"/>
        </w:rPr>
        <w:t xml:space="preserve">El </w:t>
      </w:r>
      <w:r>
        <w:rPr>
          <w:lang w:val="es-MX"/>
        </w:rPr>
        <w:t>Instituto</w:t>
      </w:r>
      <w:r w:rsidRPr="0035706E">
        <w:rPr>
          <w:lang w:val="es-ES"/>
        </w:rPr>
        <w:t xml:space="preserve"> notificará a los </w:t>
      </w:r>
      <w:r>
        <w:rPr>
          <w:lang w:val="es-ES"/>
        </w:rPr>
        <w:t>P</w:t>
      </w:r>
      <w:r w:rsidRPr="0035706E">
        <w:rPr>
          <w:lang w:val="es-ES"/>
        </w:rPr>
        <w:t xml:space="preserve">articipantes si se les requiere incrementar su </w:t>
      </w:r>
      <w:r>
        <w:rPr>
          <w:lang w:val="es-ES"/>
        </w:rPr>
        <w:t>Garantía de Seriedad</w:t>
      </w:r>
      <w:r w:rsidRPr="0035706E">
        <w:rPr>
          <w:lang w:val="es-ES"/>
        </w:rPr>
        <w:t xml:space="preserve"> y</w:t>
      </w:r>
      <w:r>
        <w:rPr>
          <w:lang w:val="es-ES"/>
        </w:rPr>
        <w:t>, en su caso, establecerá</w:t>
      </w:r>
      <w:r w:rsidRPr="0035706E">
        <w:rPr>
          <w:lang w:val="es-ES"/>
        </w:rPr>
        <w:t xml:space="preserve"> una fecha límite para la presentación de </w:t>
      </w:r>
      <w:r>
        <w:rPr>
          <w:lang w:val="es-ES"/>
        </w:rPr>
        <w:t>dicha</w:t>
      </w:r>
      <w:r w:rsidRPr="0035706E">
        <w:rPr>
          <w:lang w:val="es-ES"/>
        </w:rPr>
        <w:t xml:space="preserve"> </w:t>
      </w:r>
      <w:r>
        <w:rPr>
          <w:lang w:val="es-ES"/>
        </w:rPr>
        <w:t>G</w:t>
      </w:r>
      <w:r w:rsidRPr="0035706E">
        <w:rPr>
          <w:lang w:val="es-ES"/>
        </w:rPr>
        <w:t xml:space="preserve">arantía </w:t>
      </w:r>
      <w:r>
        <w:rPr>
          <w:lang w:val="es-ES"/>
        </w:rPr>
        <w:t>de Seriedad</w:t>
      </w:r>
      <w:r w:rsidRPr="0035706E">
        <w:rPr>
          <w:lang w:val="es-ES"/>
        </w:rPr>
        <w:t xml:space="preserve">. </w:t>
      </w:r>
      <w:r>
        <w:rPr>
          <w:lang w:val="es-ES"/>
        </w:rPr>
        <w:t>Sin embargo, l</w:t>
      </w:r>
      <w:r w:rsidRPr="0035706E">
        <w:rPr>
          <w:lang w:val="es-ES"/>
        </w:rPr>
        <w:t xml:space="preserve">os </w:t>
      </w:r>
      <w:r>
        <w:rPr>
          <w:lang w:val="es-ES"/>
        </w:rPr>
        <w:t>P</w:t>
      </w:r>
      <w:r w:rsidRPr="0035706E">
        <w:rPr>
          <w:lang w:val="es-ES"/>
        </w:rPr>
        <w:t xml:space="preserve">articipantes son libres de incrementar su </w:t>
      </w:r>
      <w:r>
        <w:rPr>
          <w:lang w:val="es-ES"/>
        </w:rPr>
        <w:t>Garantía de Seriedad</w:t>
      </w:r>
      <w:r w:rsidRPr="0035706E">
        <w:rPr>
          <w:lang w:val="es-ES"/>
        </w:rPr>
        <w:t xml:space="preserve"> por encima del nivel </w:t>
      </w:r>
      <w:r>
        <w:rPr>
          <w:lang w:val="es-ES"/>
        </w:rPr>
        <w:t xml:space="preserve">mínimo </w:t>
      </w:r>
      <w:r w:rsidRPr="0035706E">
        <w:rPr>
          <w:lang w:val="es-ES"/>
        </w:rPr>
        <w:t xml:space="preserve">requerido </w:t>
      </w:r>
      <w:r>
        <w:rPr>
          <w:lang w:val="es-ES"/>
        </w:rPr>
        <w:t xml:space="preserve">a fin de </w:t>
      </w:r>
      <w:r w:rsidRPr="0035706E">
        <w:rPr>
          <w:lang w:val="es-ES"/>
        </w:rPr>
        <w:t>reducir la probabilidad de que se les requiera hacer mayores incrementos a</w:t>
      </w:r>
      <w:r>
        <w:rPr>
          <w:lang w:val="es-ES"/>
        </w:rPr>
        <w:t xml:space="preserve"> dicha garantía</w:t>
      </w:r>
      <w:r w:rsidRPr="0035706E">
        <w:rPr>
          <w:lang w:val="es-ES"/>
        </w:rPr>
        <w:t xml:space="preserve"> </w:t>
      </w:r>
      <w:r>
        <w:rPr>
          <w:lang w:val="es-ES"/>
        </w:rPr>
        <w:t>conforme</w:t>
      </w:r>
      <w:r w:rsidRPr="0035706E">
        <w:rPr>
          <w:lang w:val="es-ES"/>
        </w:rPr>
        <w:t xml:space="preserve"> avanza la subasta</w:t>
      </w:r>
      <w:r w:rsidRPr="0035706E">
        <w:rPr>
          <w:b/>
          <w:lang w:val="es-ES"/>
        </w:rPr>
        <w:t>.</w:t>
      </w:r>
    </w:p>
    <w:p w14:paraId="28706926" w14:textId="77777777" w:rsidR="0045050D" w:rsidRPr="0035706E" w:rsidRDefault="0045050D" w:rsidP="0045050D">
      <w:pPr>
        <w:pStyle w:val="Textoindependiente"/>
        <w:jc w:val="both"/>
        <w:rPr>
          <w:lang w:val="es-ES"/>
        </w:rPr>
      </w:pPr>
      <w:r w:rsidRPr="0035706E">
        <w:rPr>
          <w:lang w:val="es-ES"/>
        </w:rPr>
        <w:t xml:space="preserve">Si, después del cierre de una ronda de reloj, un </w:t>
      </w:r>
      <w:r>
        <w:rPr>
          <w:lang w:val="es-ES"/>
        </w:rPr>
        <w:t>P</w:t>
      </w:r>
      <w:r w:rsidRPr="0035706E">
        <w:rPr>
          <w:lang w:val="es-ES"/>
        </w:rPr>
        <w:t xml:space="preserve">articipante no incrementa su </w:t>
      </w:r>
      <w:r>
        <w:rPr>
          <w:lang w:val="es-ES"/>
        </w:rPr>
        <w:t>Garantía de Seriedad</w:t>
      </w:r>
      <w:r w:rsidRPr="0035706E">
        <w:rPr>
          <w:lang w:val="es-ES"/>
        </w:rPr>
        <w:t xml:space="preserve"> como </w:t>
      </w:r>
      <w:r>
        <w:rPr>
          <w:lang w:val="es-ES"/>
        </w:rPr>
        <w:t>lo</w:t>
      </w:r>
      <w:r w:rsidRPr="0035706E">
        <w:rPr>
          <w:lang w:val="es-ES"/>
        </w:rPr>
        <w:t xml:space="preserve"> indi</w:t>
      </w:r>
      <w:r>
        <w:rPr>
          <w:lang w:val="es-ES"/>
        </w:rPr>
        <w:t>có</w:t>
      </w:r>
      <w:r w:rsidRPr="0035706E">
        <w:rPr>
          <w:lang w:val="es-ES"/>
        </w:rPr>
        <w:t xml:space="preserve"> el </w:t>
      </w:r>
      <w:r>
        <w:rPr>
          <w:lang w:val="es-MX"/>
        </w:rPr>
        <w:t>Instituto</w:t>
      </w:r>
      <w:r w:rsidRPr="0035706E">
        <w:rPr>
          <w:lang w:val="es-ES"/>
        </w:rPr>
        <w:t xml:space="preserve">, se excluirá al </w:t>
      </w:r>
      <w:r>
        <w:rPr>
          <w:lang w:val="es-ES"/>
        </w:rPr>
        <w:t>P</w:t>
      </w:r>
      <w:r w:rsidRPr="0035706E">
        <w:rPr>
          <w:lang w:val="es-ES"/>
        </w:rPr>
        <w:t xml:space="preserve">articipante de poder realizar ofertas </w:t>
      </w:r>
      <w:r>
        <w:rPr>
          <w:lang w:val="es-ES"/>
        </w:rPr>
        <w:t xml:space="preserve">económicas </w:t>
      </w:r>
      <w:r w:rsidRPr="0035706E">
        <w:rPr>
          <w:lang w:val="es-ES"/>
        </w:rPr>
        <w:t>futuras en las rondas de oferta de reloj. Sin embargo, todas las ofertas</w:t>
      </w:r>
      <w:r>
        <w:rPr>
          <w:lang w:val="es-ES"/>
        </w:rPr>
        <w:t xml:space="preserve"> económicas</w:t>
      </w:r>
      <w:r w:rsidRPr="0035706E">
        <w:rPr>
          <w:lang w:val="es-ES"/>
        </w:rPr>
        <w:t xml:space="preserve"> hechas por el </w:t>
      </w:r>
      <w:r>
        <w:rPr>
          <w:lang w:val="es-ES"/>
        </w:rPr>
        <w:t>P</w:t>
      </w:r>
      <w:r w:rsidRPr="0035706E">
        <w:rPr>
          <w:lang w:val="es-ES"/>
        </w:rPr>
        <w:t xml:space="preserve">articipante hasta ese momento permanecerán válidas, y el </w:t>
      </w:r>
      <w:r>
        <w:rPr>
          <w:lang w:val="es-ES"/>
        </w:rPr>
        <w:t>P</w:t>
      </w:r>
      <w:r w:rsidRPr="0035706E">
        <w:rPr>
          <w:lang w:val="es-ES"/>
        </w:rPr>
        <w:t xml:space="preserve">articipante podrá </w:t>
      </w:r>
      <w:r>
        <w:rPr>
          <w:lang w:val="es-ES"/>
        </w:rPr>
        <w:t xml:space="preserve">realizar ofertas económicas en la etapa </w:t>
      </w:r>
      <w:r w:rsidRPr="0035706E">
        <w:rPr>
          <w:lang w:val="es-ES"/>
        </w:rPr>
        <w:t>suplementaria.</w:t>
      </w:r>
    </w:p>
    <w:p w14:paraId="7B7EAB2C" w14:textId="77777777" w:rsidR="0045050D" w:rsidRPr="00A362CC" w:rsidRDefault="0045050D" w:rsidP="0045050D">
      <w:pPr>
        <w:pStyle w:val="Textoindependiente"/>
        <w:jc w:val="both"/>
        <w:rPr>
          <w:lang w:val="es-ES"/>
        </w:rPr>
      </w:pPr>
      <w:r w:rsidRPr="0035706E">
        <w:rPr>
          <w:lang w:val="es-ES"/>
        </w:rPr>
        <w:t xml:space="preserve">Si, después del cierre de la ronda suplementaria, un </w:t>
      </w:r>
      <w:r>
        <w:rPr>
          <w:lang w:val="es-ES"/>
        </w:rPr>
        <w:t>P</w:t>
      </w:r>
      <w:r w:rsidRPr="0035706E">
        <w:rPr>
          <w:lang w:val="es-ES"/>
        </w:rPr>
        <w:t xml:space="preserve">articipante no incrementa su </w:t>
      </w:r>
      <w:r>
        <w:rPr>
          <w:lang w:val="es-ES"/>
        </w:rPr>
        <w:t>Garantía de Seriedad</w:t>
      </w:r>
      <w:r w:rsidRPr="0035706E">
        <w:rPr>
          <w:lang w:val="es-ES"/>
        </w:rPr>
        <w:t xml:space="preserve"> como se</w:t>
      </w:r>
      <w:r>
        <w:rPr>
          <w:lang w:val="es-ES"/>
        </w:rPr>
        <w:t>a</w:t>
      </w:r>
      <w:r w:rsidRPr="0035706E">
        <w:rPr>
          <w:lang w:val="es-ES"/>
        </w:rPr>
        <w:t xml:space="preserve"> indi</w:t>
      </w:r>
      <w:r>
        <w:rPr>
          <w:lang w:val="es-ES"/>
        </w:rPr>
        <w:t>cado</w:t>
      </w:r>
      <w:r w:rsidRPr="0035706E">
        <w:rPr>
          <w:lang w:val="es-ES"/>
        </w:rPr>
        <w:t xml:space="preserve"> por el </w:t>
      </w:r>
      <w:r>
        <w:rPr>
          <w:lang w:val="es-MX"/>
        </w:rPr>
        <w:t>Instituto</w:t>
      </w:r>
      <w:r w:rsidRPr="0035706E">
        <w:rPr>
          <w:lang w:val="es-ES"/>
        </w:rPr>
        <w:t xml:space="preserve">, las ofertas suplementarias de ese </w:t>
      </w:r>
      <w:r>
        <w:rPr>
          <w:lang w:val="es-ES"/>
        </w:rPr>
        <w:t>P</w:t>
      </w:r>
      <w:r w:rsidRPr="0035706E">
        <w:rPr>
          <w:lang w:val="es-ES"/>
        </w:rPr>
        <w:t xml:space="preserve">articipante serán nulas. Sin embargo, todas las ofertas de reloj hechas por el </w:t>
      </w:r>
      <w:r>
        <w:rPr>
          <w:lang w:val="es-ES"/>
        </w:rPr>
        <w:t>P</w:t>
      </w:r>
      <w:r w:rsidRPr="0035706E">
        <w:rPr>
          <w:lang w:val="es-ES"/>
        </w:rPr>
        <w:t xml:space="preserve">articipante permanecerán válidas y serán consideradas en la determinación de los </w:t>
      </w:r>
      <w:r>
        <w:rPr>
          <w:lang w:val="es-ES"/>
        </w:rPr>
        <w:t>Participantes G</w:t>
      </w:r>
      <w:r w:rsidRPr="0035706E">
        <w:rPr>
          <w:lang w:val="es-ES"/>
        </w:rPr>
        <w:t xml:space="preserve">anadores y de </w:t>
      </w:r>
      <w:r>
        <w:rPr>
          <w:lang w:val="es-ES"/>
        </w:rPr>
        <w:t>las contraprestaciones</w:t>
      </w:r>
      <w:r w:rsidRPr="0035706E">
        <w:rPr>
          <w:lang w:val="es-ES"/>
        </w:rPr>
        <w:t>.</w:t>
      </w:r>
    </w:p>
    <w:p w14:paraId="4579A50E" w14:textId="77777777" w:rsidR="0045050D" w:rsidRPr="00C00C5F" w:rsidRDefault="0045050D" w:rsidP="0045050D">
      <w:pPr>
        <w:pStyle w:val="Textoindependiente"/>
        <w:rPr>
          <w:lang w:val="es-ES"/>
        </w:rPr>
      </w:pPr>
    </w:p>
    <w:p w14:paraId="66BDDD7B" w14:textId="77777777" w:rsidR="0045050D" w:rsidRPr="0035706E" w:rsidRDefault="0045050D" w:rsidP="0045050D">
      <w:pPr>
        <w:pStyle w:val="Ttulo2"/>
        <w:jc w:val="both"/>
        <w:rPr>
          <w:lang w:val="es-ES"/>
        </w:rPr>
      </w:pPr>
      <w:bookmarkStart w:id="35" w:name="_Toc430281527"/>
      <w:r w:rsidRPr="0035706E">
        <w:rPr>
          <w:lang w:val="es-MX"/>
        </w:rPr>
        <w:t>Conducta de</w:t>
      </w:r>
      <w:r>
        <w:rPr>
          <w:lang w:val="es-MX"/>
        </w:rPr>
        <w:t xml:space="preserve"> </w:t>
      </w:r>
      <w:r w:rsidRPr="0035706E">
        <w:rPr>
          <w:lang w:val="es-MX"/>
        </w:rPr>
        <w:t>l</w:t>
      </w:r>
      <w:r>
        <w:rPr>
          <w:lang w:val="es-MX"/>
        </w:rPr>
        <w:t>os</w:t>
      </w:r>
      <w:r w:rsidRPr="0035706E">
        <w:rPr>
          <w:lang w:val="es-MX"/>
        </w:rPr>
        <w:t xml:space="preserve"> </w:t>
      </w:r>
      <w:r>
        <w:rPr>
          <w:lang w:val="es-MX"/>
        </w:rPr>
        <w:t>P</w:t>
      </w:r>
      <w:r w:rsidRPr="0035706E">
        <w:rPr>
          <w:lang w:val="es-MX"/>
        </w:rPr>
        <w:t>articipante</w:t>
      </w:r>
      <w:r>
        <w:rPr>
          <w:lang w:val="es-MX"/>
        </w:rPr>
        <w:t>s</w:t>
      </w:r>
      <w:r w:rsidRPr="0035706E">
        <w:rPr>
          <w:lang w:val="es-MX"/>
        </w:rPr>
        <w:t xml:space="preserve"> antes y durante la subasta</w:t>
      </w:r>
      <w:bookmarkEnd w:id="35"/>
    </w:p>
    <w:p w14:paraId="1CE697E5" w14:textId="77777777" w:rsidR="0045050D" w:rsidRPr="0038492E" w:rsidRDefault="0045050D" w:rsidP="0045050D">
      <w:pPr>
        <w:pStyle w:val="Textoindependiente"/>
        <w:jc w:val="both"/>
        <w:rPr>
          <w:lang w:val="es-ES"/>
        </w:rPr>
      </w:pPr>
      <w:r w:rsidRPr="0035706E">
        <w:rPr>
          <w:lang w:val="es-ES"/>
        </w:rPr>
        <w:t xml:space="preserve">El </w:t>
      </w:r>
      <w:r>
        <w:rPr>
          <w:lang w:val="es-MX"/>
        </w:rPr>
        <w:t>Instituto</w:t>
      </w:r>
      <w:r w:rsidRPr="0035706E">
        <w:rPr>
          <w:lang w:val="es-ES"/>
        </w:rPr>
        <w:t xml:space="preserve"> publicará la identidad de todos los </w:t>
      </w:r>
      <w:r>
        <w:rPr>
          <w:lang w:val="es-ES"/>
        </w:rPr>
        <w:t>P</w:t>
      </w:r>
      <w:r w:rsidRPr="0035706E">
        <w:rPr>
          <w:lang w:val="es-ES"/>
        </w:rPr>
        <w:t xml:space="preserve">articipantes en la subasta. </w:t>
      </w:r>
      <w:r>
        <w:rPr>
          <w:lang w:val="es-ES"/>
        </w:rPr>
        <w:t>Al respecto, s</w:t>
      </w:r>
      <w:r w:rsidRPr="0035706E">
        <w:rPr>
          <w:lang w:val="es-ES"/>
        </w:rPr>
        <w:t>e les requer</w:t>
      </w:r>
      <w:r>
        <w:rPr>
          <w:lang w:val="es-ES"/>
        </w:rPr>
        <w:t xml:space="preserve">irá </w:t>
      </w:r>
      <w:r w:rsidRPr="0035706E">
        <w:rPr>
          <w:lang w:val="es-ES"/>
        </w:rPr>
        <w:t xml:space="preserve">a todos los </w:t>
      </w:r>
      <w:r>
        <w:rPr>
          <w:lang w:val="es-ES"/>
        </w:rPr>
        <w:t>P</w:t>
      </w:r>
      <w:r w:rsidRPr="0035706E">
        <w:rPr>
          <w:lang w:val="es-ES"/>
        </w:rPr>
        <w:t xml:space="preserve">articipantes </w:t>
      </w:r>
      <w:r w:rsidRPr="0038492E">
        <w:rPr>
          <w:lang w:val="es-ES"/>
        </w:rPr>
        <w:t xml:space="preserve">de no </w:t>
      </w:r>
      <w:r>
        <w:rPr>
          <w:lang w:val="es-ES"/>
        </w:rPr>
        <w:t>incurrir</w:t>
      </w:r>
      <w:r w:rsidRPr="0038492E">
        <w:rPr>
          <w:lang w:val="es-ES"/>
        </w:rPr>
        <w:t xml:space="preserve"> </w:t>
      </w:r>
      <w:r>
        <w:rPr>
          <w:lang w:val="es-ES"/>
        </w:rPr>
        <w:t xml:space="preserve">en </w:t>
      </w:r>
      <w:r w:rsidRPr="0038492E">
        <w:rPr>
          <w:lang w:val="es-ES"/>
        </w:rPr>
        <w:t xml:space="preserve">conductas que vayan en detrimento </w:t>
      </w:r>
      <w:r>
        <w:rPr>
          <w:lang w:val="es-ES"/>
        </w:rPr>
        <w:t>que</w:t>
      </w:r>
      <w:r w:rsidRPr="0038492E">
        <w:rPr>
          <w:lang w:val="es-ES"/>
        </w:rPr>
        <w:t xml:space="preserve"> el </w:t>
      </w:r>
      <w:r>
        <w:rPr>
          <w:lang w:val="es-MX"/>
        </w:rPr>
        <w:t>Instituto</w:t>
      </w:r>
      <w:r w:rsidRPr="0038492E">
        <w:rPr>
          <w:lang w:val="es-ES"/>
        </w:rPr>
        <w:t xml:space="preserve"> llev</w:t>
      </w:r>
      <w:r>
        <w:rPr>
          <w:lang w:val="es-ES"/>
        </w:rPr>
        <w:t>e</w:t>
      </w:r>
      <w:r w:rsidRPr="0038492E">
        <w:rPr>
          <w:lang w:val="es-ES"/>
        </w:rPr>
        <w:t xml:space="preserve"> a cabo un </w:t>
      </w:r>
      <w:r w:rsidRPr="00516653">
        <w:rPr>
          <w:lang w:val="es-ES"/>
        </w:rPr>
        <w:t xml:space="preserve">efectivo </w:t>
      </w:r>
      <w:r w:rsidRPr="0038492E">
        <w:rPr>
          <w:lang w:val="es-ES"/>
        </w:rPr>
        <w:t>proceso de subasta.</w:t>
      </w:r>
    </w:p>
    <w:p w14:paraId="555DE85C" w14:textId="77777777" w:rsidR="0045050D" w:rsidRPr="0038492E" w:rsidRDefault="0045050D" w:rsidP="0045050D">
      <w:pPr>
        <w:pStyle w:val="Textoindependiente"/>
        <w:jc w:val="both"/>
        <w:rPr>
          <w:lang w:val="es-ES"/>
        </w:rPr>
      </w:pPr>
      <w:r w:rsidRPr="0038492E">
        <w:rPr>
          <w:lang w:val="es-ES"/>
        </w:rPr>
        <w:t xml:space="preserve">En particular, es responsabilidad de los </w:t>
      </w:r>
      <w:r>
        <w:rPr>
          <w:lang w:val="es-ES"/>
        </w:rPr>
        <w:t>propios P</w:t>
      </w:r>
      <w:r w:rsidRPr="0038492E">
        <w:rPr>
          <w:lang w:val="es-ES"/>
        </w:rPr>
        <w:t>articipantes asegurarse que:</w:t>
      </w:r>
    </w:p>
    <w:p w14:paraId="0EA7E5CB" w14:textId="77777777" w:rsidR="0045050D" w:rsidRPr="0038492E" w:rsidRDefault="0045050D" w:rsidP="0045050D">
      <w:pPr>
        <w:pStyle w:val="Textoindependiente"/>
        <w:numPr>
          <w:ilvl w:val="0"/>
          <w:numId w:val="52"/>
        </w:numPr>
        <w:jc w:val="both"/>
        <w:rPr>
          <w:lang w:val="es-ES"/>
        </w:rPr>
      </w:pPr>
      <w:r>
        <w:rPr>
          <w:lang w:val="es-ES"/>
        </w:rPr>
        <w:t>H</w:t>
      </w:r>
      <w:r w:rsidRPr="0038492E">
        <w:rPr>
          <w:lang w:val="es-ES"/>
        </w:rPr>
        <w:t xml:space="preserve">ayan declarado cualquier asociación con un operador ya establecido que </w:t>
      </w:r>
      <w:r>
        <w:rPr>
          <w:lang w:val="es-ES"/>
        </w:rPr>
        <w:t>tenga</w:t>
      </w:r>
      <w:r w:rsidRPr="0038492E">
        <w:rPr>
          <w:lang w:val="es-ES"/>
        </w:rPr>
        <w:t xml:space="preserve"> frecuencias </w:t>
      </w:r>
      <w:r>
        <w:rPr>
          <w:lang w:val="es-ES"/>
        </w:rPr>
        <w:t>concesionadas</w:t>
      </w:r>
      <w:r w:rsidRPr="0038492E">
        <w:rPr>
          <w:lang w:val="es-ES"/>
        </w:rPr>
        <w:t xml:space="preserve"> en la banda AWS-1 (y</w:t>
      </w:r>
      <w:r>
        <w:rPr>
          <w:lang w:val="es-ES"/>
        </w:rPr>
        <w:t>,</w:t>
      </w:r>
      <w:r w:rsidRPr="0038492E">
        <w:rPr>
          <w:lang w:val="es-ES"/>
        </w:rPr>
        <w:t xml:space="preserve"> estará por lo tanto sujeto a un </w:t>
      </w:r>
      <w:r>
        <w:rPr>
          <w:lang w:val="es-ES"/>
        </w:rPr>
        <w:t>límite máximo</w:t>
      </w:r>
      <w:r w:rsidRPr="0038492E">
        <w:rPr>
          <w:lang w:val="es-ES"/>
        </w:rPr>
        <w:t xml:space="preserve"> de espectro considera</w:t>
      </w:r>
      <w:r>
        <w:rPr>
          <w:lang w:val="es-ES"/>
        </w:rPr>
        <w:t>ndo</w:t>
      </w:r>
      <w:r w:rsidRPr="0038492E">
        <w:rPr>
          <w:lang w:val="es-ES"/>
        </w:rPr>
        <w:t xml:space="preserve"> las </w:t>
      </w:r>
      <w:r>
        <w:rPr>
          <w:lang w:val="es-ES"/>
        </w:rPr>
        <w:t>concesiones</w:t>
      </w:r>
      <w:r w:rsidRPr="0038492E">
        <w:rPr>
          <w:lang w:val="es-ES"/>
        </w:rPr>
        <w:t xml:space="preserve"> existentes de ese operador);</w:t>
      </w:r>
    </w:p>
    <w:p w14:paraId="5A276474" w14:textId="77777777" w:rsidR="0045050D" w:rsidRPr="0038492E" w:rsidRDefault="0045050D" w:rsidP="0045050D">
      <w:pPr>
        <w:pStyle w:val="Textoindependiente"/>
        <w:numPr>
          <w:ilvl w:val="0"/>
          <w:numId w:val="52"/>
        </w:numPr>
        <w:jc w:val="both"/>
        <w:rPr>
          <w:lang w:val="es-ES"/>
        </w:rPr>
      </w:pPr>
      <w:r>
        <w:rPr>
          <w:lang w:val="es-ES"/>
        </w:rPr>
        <w:t>Que</w:t>
      </w:r>
      <w:r w:rsidRPr="0038492E">
        <w:rPr>
          <w:lang w:val="es-ES"/>
        </w:rPr>
        <w:t xml:space="preserve"> no est</w:t>
      </w:r>
      <w:r>
        <w:rPr>
          <w:lang w:val="es-ES"/>
        </w:rPr>
        <w:t>á</w:t>
      </w:r>
      <w:r w:rsidRPr="0038492E">
        <w:rPr>
          <w:lang w:val="es-ES"/>
        </w:rPr>
        <w:t xml:space="preserve">n asociados con cualquier otro </w:t>
      </w:r>
      <w:r>
        <w:rPr>
          <w:lang w:val="es-ES"/>
        </w:rPr>
        <w:t>P</w:t>
      </w:r>
      <w:r w:rsidRPr="0038492E">
        <w:rPr>
          <w:lang w:val="es-ES"/>
        </w:rPr>
        <w:t>articipante;</w:t>
      </w:r>
    </w:p>
    <w:p w14:paraId="34458976" w14:textId="77777777" w:rsidR="0045050D" w:rsidRPr="0038492E" w:rsidRDefault="0045050D" w:rsidP="0045050D">
      <w:pPr>
        <w:pStyle w:val="Textoindependiente"/>
        <w:numPr>
          <w:ilvl w:val="0"/>
          <w:numId w:val="52"/>
        </w:numPr>
        <w:jc w:val="both"/>
        <w:rPr>
          <w:lang w:val="es-ES"/>
        </w:rPr>
      </w:pPr>
      <w:r>
        <w:rPr>
          <w:lang w:val="es-ES"/>
        </w:rPr>
        <w:t xml:space="preserve">Que </w:t>
      </w:r>
      <w:r w:rsidRPr="0038492E">
        <w:rPr>
          <w:lang w:val="es-ES"/>
        </w:rPr>
        <w:t xml:space="preserve">no compartan información confidencial en relación a la subasta, incluyendo, pero no necesariamente limitándose a información </w:t>
      </w:r>
      <w:r>
        <w:rPr>
          <w:lang w:val="es-ES"/>
        </w:rPr>
        <w:t xml:space="preserve">relacionada con </w:t>
      </w:r>
      <w:r w:rsidRPr="0038492E">
        <w:rPr>
          <w:lang w:val="es-ES"/>
        </w:rPr>
        <w:t>las valuaciones del</w:t>
      </w:r>
      <w:r>
        <w:rPr>
          <w:lang w:val="es-ES"/>
        </w:rPr>
        <w:t xml:space="preserve"> espectro que hagan internamente los</w:t>
      </w:r>
      <w:r w:rsidRPr="0038492E">
        <w:rPr>
          <w:lang w:val="es-ES"/>
        </w:rPr>
        <w:t xml:space="preserve"> </w:t>
      </w:r>
      <w:r>
        <w:rPr>
          <w:lang w:val="es-ES"/>
        </w:rPr>
        <w:t>P</w:t>
      </w:r>
      <w:r w:rsidRPr="0038492E">
        <w:rPr>
          <w:lang w:val="es-ES"/>
        </w:rPr>
        <w:t>articipante</w:t>
      </w:r>
      <w:r>
        <w:rPr>
          <w:lang w:val="es-ES"/>
        </w:rPr>
        <w:t xml:space="preserve">s así como la </w:t>
      </w:r>
      <w:r w:rsidRPr="0038492E">
        <w:rPr>
          <w:lang w:val="es-ES"/>
        </w:rPr>
        <w:t xml:space="preserve">estrategia de </w:t>
      </w:r>
      <w:r>
        <w:rPr>
          <w:lang w:val="es-ES"/>
        </w:rPr>
        <w:t>ofertas económicas</w:t>
      </w:r>
      <w:r w:rsidRPr="0038492E">
        <w:rPr>
          <w:lang w:val="es-ES"/>
        </w:rPr>
        <w:t xml:space="preserve"> o decisiones de </w:t>
      </w:r>
      <w:r>
        <w:rPr>
          <w:lang w:val="es-ES"/>
        </w:rPr>
        <w:t>oferta económica</w:t>
      </w:r>
      <w:r w:rsidRPr="0038492E">
        <w:rPr>
          <w:lang w:val="es-ES"/>
        </w:rPr>
        <w:t xml:space="preserve">, de cualquier otro </w:t>
      </w:r>
      <w:r>
        <w:rPr>
          <w:lang w:val="es-ES"/>
        </w:rPr>
        <w:t>P</w:t>
      </w:r>
      <w:r w:rsidRPr="0038492E">
        <w:rPr>
          <w:lang w:val="es-ES"/>
        </w:rPr>
        <w:t xml:space="preserve">articipante; </w:t>
      </w:r>
    </w:p>
    <w:p w14:paraId="6AB74D1B" w14:textId="77777777" w:rsidR="0045050D" w:rsidRPr="0038492E" w:rsidRDefault="0045050D" w:rsidP="0045050D">
      <w:pPr>
        <w:pStyle w:val="Textoindependiente"/>
        <w:numPr>
          <w:ilvl w:val="0"/>
          <w:numId w:val="52"/>
        </w:numPr>
        <w:jc w:val="both"/>
        <w:rPr>
          <w:lang w:val="es-ES"/>
        </w:rPr>
      </w:pPr>
      <w:r>
        <w:rPr>
          <w:lang w:val="es-ES"/>
        </w:rPr>
        <w:t>Que n</w:t>
      </w:r>
      <w:r w:rsidRPr="0038492E">
        <w:rPr>
          <w:lang w:val="es-ES"/>
        </w:rPr>
        <w:t xml:space="preserve">inguna persona con acceso a información confidencial del </w:t>
      </w:r>
      <w:r>
        <w:rPr>
          <w:lang w:val="es-ES"/>
        </w:rPr>
        <w:t>P</w:t>
      </w:r>
      <w:r w:rsidRPr="0038492E">
        <w:rPr>
          <w:lang w:val="es-ES"/>
        </w:rPr>
        <w:t xml:space="preserve">articipante tenga acceso a información confidencial de otro </w:t>
      </w:r>
      <w:r>
        <w:rPr>
          <w:lang w:val="es-ES"/>
        </w:rPr>
        <w:t>P</w:t>
      </w:r>
      <w:r w:rsidRPr="0038492E">
        <w:rPr>
          <w:lang w:val="es-ES"/>
        </w:rPr>
        <w:t>articipante;</w:t>
      </w:r>
    </w:p>
    <w:p w14:paraId="1515EB77" w14:textId="77777777" w:rsidR="0045050D" w:rsidRPr="0035706E" w:rsidRDefault="0045050D" w:rsidP="0045050D">
      <w:pPr>
        <w:pStyle w:val="Textoindependiente"/>
        <w:numPr>
          <w:ilvl w:val="0"/>
          <w:numId w:val="52"/>
        </w:numPr>
        <w:jc w:val="both"/>
        <w:rPr>
          <w:lang w:val="es-ES"/>
        </w:rPr>
      </w:pPr>
      <w:r>
        <w:rPr>
          <w:lang w:val="es-ES"/>
        </w:rPr>
        <w:t>Que n</w:t>
      </w:r>
      <w:r w:rsidRPr="0038492E">
        <w:rPr>
          <w:lang w:val="es-ES"/>
        </w:rPr>
        <w:t xml:space="preserve">o </w:t>
      </w:r>
      <w:r>
        <w:rPr>
          <w:lang w:val="es-ES"/>
        </w:rPr>
        <w:t>se involucren</w:t>
      </w:r>
      <w:r w:rsidRPr="0038492E">
        <w:rPr>
          <w:lang w:val="es-ES"/>
        </w:rPr>
        <w:t xml:space="preserve"> en ninguna acción que pudiera considerarse</w:t>
      </w:r>
      <w:r w:rsidRPr="0035706E">
        <w:rPr>
          <w:lang w:val="es-ES"/>
        </w:rPr>
        <w:t xml:space="preserve"> </w:t>
      </w:r>
      <w:r>
        <w:rPr>
          <w:lang w:val="es-ES"/>
        </w:rPr>
        <w:t>como colusión</w:t>
      </w:r>
      <w:r w:rsidRPr="0035706E">
        <w:rPr>
          <w:lang w:val="es-ES"/>
        </w:rPr>
        <w:t xml:space="preserve"> o que vaya en detrimento de </w:t>
      </w:r>
      <w:r>
        <w:rPr>
          <w:lang w:val="es-ES"/>
        </w:rPr>
        <w:t xml:space="preserve">que </w:t>
      </w:r>
      <w:r w:rsidRPr="0035706E">
        <w:rPr>
          <w:lang w:val="es-ES"/>
        </w:rPr>
        <w:t xml:space="preserve">el </w:t>
      </w:r>
      <w:r>
        <w:rPr>
          <w:lang w:val="es-MX"/>
        </w:rPr>
        <w:t xml:space="preserve">Instituto </w:t>
      </w:r>
      <w:r w:rsidRPr="0035706E">
        <w:rPr>
          <w:lang w:val="es-ES"/>
        </w:rPr>
        <w:t xml:space="preserve"> llev</w:t>
      </w:r>
      <w:r>
        <w:rPr>
          <w:lang w:val="es-ES"/>
        </w:rPr>
        <w:t>e</w:t>
      </w:r>
      <w:r w:rsidRPr="0035706E">
        <w:rPr>
          <w:lang w:val="es-ES"/>
        </w:rPr>
        <w:t xml:space="preserve"> a cabo un </w:t>
      </w:r>
      <w:r>
        <w:rPr>
          <w:lang w:val="es-ES"/>
        </w:rPr>
        <w:t xml:space="preserve">efectivo </w:t>
      </w:r>
      <w:r w:rsidRPr="0035706E">
        <w:rPr>
          <w:lang w:val="es-ES"/>
        </w:rPr>
        <w:t xml:space="preserve">proceso de subasta. </w:t>
      </w:r>
    </w:p>
    <w:p w14:paraId="04F6E1DE" w14:textId="77777777" w:rsidR="0045050D" w:rsidRDefault="0045050D" w:rsidP="0045050D">
      <w:pPr>
        <w:pStyle w:val="Textoindependiente"/>
        <w:jc w:val="both"/>
        <w:rPr>
          <w:lang w:val="es-ES"/>
        </w:rPr>
      </w:pPr>
      <w:r>
        <w:rPr>
          <w:lang w:val="es-ES"/>
        </w:rPr>
        <w:t>Más i</w:t>
      </w:r>
      <w:r w:rsidRPr="0035706E">
        <w:rPr>
          <w:lang w:val="es-ES"/>
        </w:rPr>
        <w:t xml:space="preserve">nformación </w:t>
      </w:r>
      <w:r>
        <w:rPr>
          <w:lang w:val="es-ES"/>
        </w:rPr>
        <w:t>relacionada con</w:t>
      </w:r>
      <w:r w:rsidRPr="0035706E">
        <w:rPr>
          <w:lang w:val="es-ES"/>
        </w:rPr>
        <w:t xml:space="preserve"> las reglas para definir </w:t>
      </w:r>
      <w:r>
        <w:rPr>
          <w:lang w:val="es-ES"/>
        </w:rPr>
        <w:t>l</w:t>
      </w:r>
      <w:r w:rsidRPr="0035706E">
        <w:rPr>
          <w:lang w:val="es-ES"/>
        </w:rPr>
        <w:t xml:space="preserve">a </w:t>
      </w:r>
      <w:r>
        <w:rPr>
          <w:lang w:val="es-ES"/>
        </w:rPr>
        <w:t>asociación de P</w:t>
      </w:r>
      <w:r w:rsidRPr="0035706E">
        <w:rPr>
          <w:lang w:val="es-ES"/>
        </w:rPr>
        <w:t>articipantes, información confidencial y co</w:t>
      </w:r>
      <w:r>
        <w:rPr>
          <w:lang w:val="es-ES"/>
        </w:rPr>
        <w:t>nductas</w:t>
      </w:r>
      <w:r w:rsidRPr="0035706E">
        <w:rPr>
          <w:lang w:val="es-ES"/>
        </w:rPr>
        <w:t xml:space="preserve"> </w:t>
      </w:r>
      <w:r>
        <w:rPr>
          <w:lang w:val="es-ES"/>
        </w:rPr>
        <w:t>de colusión</w:t>
      </w:r>
      <w:r w:rsidRPr="0035706E">
        <w:rPr>
          <w:lang w:val="es-ES"/>
        </w:rPr>
        <w:t xml:space="preserve"> será provista en</w:t>
      </w:r>
      <w:r>
        <w:rPr>
          <w:lang w:val="es-ES"/>
        </w:rPr>
        <w:t xml:space="preserve"> las reglas finales de la subasta.</w:t>
      </w:r>
    </w:p>
    <w:p w14:paraId="0E43A684" w14:textId="77777777" w:rsidR="0045050D" w:rsidRPr="0035706E" w:rsidRDefault="0045050D" w:rsidP="0045050D">
      <w:pPr>
        <w:pStyle w:val="Textoindependiente"/>
        <w:jc w:val="both"/>
        <w:rPr>
          <w:lang w:val="es-ES"/>
        </w:rPr>
      </w:pPr>
    </w:p>
    <w:p w14:paraId="5457D784" w14:textId="77777777" w:rsidR="0045050D" w:rsidRPr="0035706E" w:rsidRDefault="0045050D" w:rsidP="0045050D">
      <w:pPr>
        <w:pStyle w:val="Ttulo2"/>
        <w:jc w:val="both"/>
      </w:pPr>
      <w:bookmarkStart w:id="36" w:name="_Toc429397857"/>
      <w:bookmarkStart w:id="37" w:name="_Ref429480376"/>
      <w:bookmarkStart w:id="38" w:name="_Toc430281528"/>
      <w:r w:rsidRPr="0035706E">
        <w:rPr>
          <w:lang w:val="es-MX"/>
        </w:rPr>
        <w:t>Circunstancias excepcionales</w:t>
      </w:r>
      <w:bookmarkEnd w:id="36"/>
      <w:bookmarkEnd w:id="37"/>
      <w:bookmarkEnd w:id="38"/>
    </w:p>
    <w:p w14:paraId="48F3BA52" w14:textId="77777777" w:rsidR="0045050D" w:rsidRPr="0035706E" w:rsidRDefault="0045050D" w:rsidP="0045050D">
      <w:pPr>
        <w:pStyle w:val="Textoindependiente"/>
        <w:jc w:val="both"/>
        <w:rPr>
          <w:lang w:val="es-ES"/>
        </w:rPr>
      </w:pPr>
      <w:r w:rsidRPr="0035706E">
        <w:rPr>
          <w:lang w:val="es-ES"/>
        </w:rPr>
        <w:t xml:space="preserve">En el caso de </w:t>
      </w:r>
      <w:r>
        <w:rPr>
          <w:lang w:val="es-ES"/>
        </w:rPr>
        <w:t xml:space="preserve">la presencia de </w:t>
      </w:r>
      <w:r w:rsidRPr="0035706E">
        <w:rPr>
          <w:lang w:val="es-ES"/>
        </w:rPr>
        <w:t xml:space="preserve">circunstancias excepcionales durante la </w:t>
      </w:r>
      <w:r>
        <w:rPr>
          <w:lang w:val="es-ES"/>
        </w:rPr>
        <w:t>Fase Primaria</w:t>
      </w:r>
      <w:r w:rsidRPr="0035706E">
        <w:rPr>
          <w:lang w:val="es-ES"/>
        </w:rPr>
        <w:t xml:space="preserve"> o la </w:t>
      </w:r>
      <w:r>
        <w:rPr>
          <w:lang w:val="es-ES"/>
        </w:rPr>
        <w:t>Fase</w:t>
      </w:r>
      <w:r w:rsidRPr="0035706E">
        <w:rPr>
          <w:lang w:val="es-ES"/>
        </w:rPr>
        <w:t xml:space="preserve"> de Asignación, el </w:t>
      </w:r>
      <w:r>
        <w:rPr>
          <w:lang w:val="es-MX"/>
        </w:rPr>
        <w:t>Instituto</w:t>
      </w:r>
      <w:r w:rsidRPr="0035706E">
        <w:rPr>
          <w:lang w:val="es-ES"/>
        </w:rPr>
        <w:t xml:space="preserve"> t</w:t>
      </w:r>
      <w:r>
        <w:rPr>
          <w:lang w:val="es-ES"/>
        </w:rPr>
        <w:t>endrá</w:t>
      </w:r>
      <w:r w:rsidRPr="0035706E">
        <w:rPr>
          <w:lang w:val="es-ES"/>
        </w:rPr>
        <w:t xml:space="preserve"> la </w:t>
      </w:r>
      <w:r>
        <w:rPr>
          <w:lang w:val="es-ES"/>
        </w:rPr>
        <w:t xml:space="preserve">posibilidad de que </w:t>
      </w:r>
      <w:r w:rsidRPr="0035706E">
        <w:rPr>
          <w:lang w:val="es-ES"/>
        </w:rPr>
        <w:t>discreci</w:t>
      </w:r>
      <w:r>
        <w:rPr>
          <w:lang w:val="es-ES"/>
        </w:rPr>
        <w:t>onalmente</w:t>
      </w:r>
      <w:r w:rsidRPr="0035706E">
        <w:rPr>
          <w:lang w:val="es-ES"/>
        </w:rPr>
        <w:t xml:space="preserve"> </w:t>
      </w:r>
      <w:r>
        <w:rPr>
          <w:lang w:val="es-ES"/>
        </w:rPr>
        <w:t>pueda</w:t>
      </w:r>
      <w:r w:rsidRPr="0035706E">
        <w:rPr>
          <w:lang w:val="es-ES"/>
        </w:rPr>
        <w:t>:</w:t>
      </w:r>
    </w:p>
    <w:p w14:paraId="493FADAF" w14:textId="77777777" w:rsidR="0045050D" w:rsidRPr="0035706E" w:rsidRDefault="0045050D" w:rsidP="0045050D">
      <w:pPr>
        <w:pStyle w:val="Textoindependiente"/>
        <w:numPr>
          <w:ilvl w:val="0"/>
          <w:numId w:val="53"/>
        </w:numPr>
        <w:jc w:val="both"/>
        <w:rPr>
          <w:lang w:val="es-ES"/>
        </w:rPr>
      </w:pPr>
      <w:r w:rsidRPr="0035706E">
        <w:rPr>
          <w:lang w:val="es-ES"/>
        </w:rPr>
        <w:t xml:space="preserve">Posponer el final de una ronda en </w:t>
      </w:r>
      <w:r>
        <w:rPr>
          <w:lang w:val="es-ES"/>
        </w:rPr>
        <w:t>curso</w:t>
      </w:r>
      <w:r w:rsidRPr="0035706E">
        <w:rPr>
          <w:lang w:val="es-ES"/>
        </w:rPr>
        <w:t xml:space="preserve"> o publica</w:t>
      </w:r>
      <w:r>
        <w:rPr>
          <w:lang w:val="es-ES"/>
        </w:rPr>
        <w:t>r</w:t>
      </w:r>
      <w:r w:rsidRPr="0035706E">
        <w:rPr>
          <w:lang w:val="es-ES"/>
        </w:rPr>
        <w:t xml:space="preserve"> los resultados de una ronda</w:t>
      </w:r>
      <w:r>
        <w:rPr>
          <w:lang w:val="es-ES"/>
        </w:rPr>
        <w:t xml:space="preserve"> particular</w:t>
      </w:r>
      <w:r w:rsidRPr="0035706E">
        <w:rPr>
          <w:lang w:val="es-ES"/>
        </w:rPr>
        <w:t>;</w:t>
      </w:r>
    </w:p>
    <w:p w14:paraId="2AF700DF" w14:textId="77777777" w:rsidR="0045050D" w:rsidRPr="0035706E" w:rsidRDefault="0045050D" w:rsidP="0045050D">
      <w:pPr>
        <w:pStyle w:val="Textoindependiente"/>
        <w:numPr>
          <w:ilvl w:val="0"/>
          <w:numId w:val="53"/>
        </w:numPr>
        <w:jc w:val="both"/>
        <w:rPr>
          <w:lang w:val="es-ES"/>
        </w:rPr>
      </w:pPr>
      <w:r w:rsidRPr="0035706E">
        <w:rPr>
          <w:lang w:val="es-ES"/>
        </w:rPr>
        <w:t>Posponer la programación de rondas posteriores;</w:t>
      </w:r>
    </w:p>
    <w:p w14:paraId="60E92CDF" w14:textId="77777777" w:rsidR="0045050D" w:rsidRPr="0035706E" w:rsidRDefault="0045050D" w:rsidP="0045050D">
      <w:pPr>
        <w:pStyle w:val="Textoindependiente"/>
        <w:numPr>
          <w:ilvl w:val="0"/>
          <w:numId w:val="53"/>
        </w:numPr>
        <w:jc w:val="both"/>
        <w:rPr>
          <w:lang w:val="es-ES"/>
        </w:rPr>
      </w:pPr>
      <w:r w:rsidRPr="0035706E">
        <w:rPr>
          <w:lang w:val="es-ES"/>
        </w:rPr>
        <w:t>Cancelar una ronda que esté en curso o para la cual los resultados de la ronda todavía no se hayan publicado y</w:t>
      </w:r>
      <w:r>
        <w:rPr>
          <w:lang w:val="es-ES"/>
        </w:rPr>
        <w:t>,</w:t>
      </w:r>
      <w:r w:rsidRPr="0035706E">
        <w:rPr>
          <w:lang w:val="es-ES"/>
        </w:rPr>
        <w:t xml:space="preserve"> reprogramar </w:t>
      </w:r>
      <w:r>
        <w:rPr>
          <w:lang w:val="es-ES"/>
        </w:rPr>
        <w:t>dicha</w:t>
      </w:r>
      <w:r w:rsidRPr="0035706E">
        <w:rPr>
          <w:lang w:val="es-ES"/>
        </w:rPr>
        <w:t xml:space="preserve"> ronda;</w:t>
      </w:r>
    </w:p>
    <w:p w14:paraId="6C6B5A40" w14:textId="77777777" w:rsidR="0045050D" w:rsidRPr="0035706E" w:rsidRDefault="0045050D" w:rsidP="0045050D">
      <w:pPr>
        <w:pStyle w:val="Textoindependiente"/>
        <w:numPr>
          <w:ilvl w:val="0"/>
          <w:numId w:val="53"/>
        </w:numPr>
        <w:jc w:val="both"/>
        <w:rPr>
          <w:lang w:val="es-ES"/>
        </w:rPr>
      </w:pPr>
      <w:r w:rsidRPr="0035706E">
        <w:rPr>
          <w:lang w:val="es-ES"/>
        </w:rPr>
        <w:t xml:space="preserve">Anular una o más rondas y las ofertas </w:t>
      </w:r>
      <w:r>
        <w:rPr>
          <w:lang w:val="es-ES"/>
        </w:rPr>
        <w:t xml:space="preserve">económicas realizadas en dichas rondas y </w:t>
      </w:r>
      <w:r w:rsidRPr="0035706E">
        <w:rPr>
          <w:lang w:val="es-ES"/>
        </w:rPr>
        <w:t xml:space="preserve">continuar la subasta </w:t>
      </w:r>
      <w:r>
        <w:rPr>
          <w:lang w:val="es-ES"/>
        </w:rPr>
        <w:t>a partir de</w:t>
      </w:r>
      <w:r w:rsidRPr="0035706E">
        <w:rPr>
          <w:lang w:val="es-ES"/>
        </w:rPr>
        <w:t xml:space="preserve"> una ronda </w:t>
      </w:r>
      <w:r>
        <w:rPr>
          <w:lang w:val="es-ES"/>
        </w:rPr>
        <w:t>previa</w:t>
      </w:r>
      <w:r w:rsidRPr="0035706E">
        <w:rPr>
          <w:lang w:val="es-ES"/>
        </w:rPr>
        <w:t>;</w:t>
      </w:r>
    </w:p>
    <w:p w14:paraId="6D723106" w14:textId="77777777" w:rsidR="0045050D" w:rsidRPr="0035706E" w:rsidRDefault="0045050D" w:rsidP="0045050D">
      <w:pPr>
        <w:pStyle w:val="Textoindependiente"/>
        <w:numPr>
          <w:ilvl w:val="0"/>
          <w:numId w:val="53"/>
        </w:numPr>
        <w:jc w:val="both"/>
        <w:rPr>
          <w:lang w:val="es-ES"/>
        </w:rPr>
      </w:pPr>
      <w:r w:rsidRPr="0035706E">
        <w:rPr>
          <w:lang w:val="es-ES"/>
        </w:rPr>
        <w:t xml:space="preserve">Anular todas las ofertas </w:t>
      </w:r>
      <w:r>
        <w:rPr>
          <w:lang w:val="es-ES"/>
        </w:rPr>
        <w:t xml:space="preserve">económicas </w:t>
      </w:r>
      <w:r w:rsidRPr="0035706E">
        <w:rPr>
          <w:lang w:val="es-ES"/>
        </w:rPr>
        <w:t xml:space="preserve">recibidas en la subasta y suspender la subasta o </w:t>
      </w:r>
      <w:r>
        <w:rPr>
          <w:lang w:val="es-ES"/>
        </w:rPr>
        <w:t xml:space="preserve">bien, </w:t>
      </w:r>
      <w:r w:rsidRPr="0035706E">
        <w:rPr>
          <w:lang w:val="es-ES"/>
        </w:rPr>
        <w:t xml:space="preserve">iniciar </w:t>
      </w:r>
      <w:r>
        <w:rPr>
          <w:lang w:val="es-ES"/>
        </w:rPr>
        <w:t xml:space="preserve">nuevamente </w:t>
      </w:r>
      <w:r w:rsidRPr="0035706E">
        <w:rPr>
          <w:lang w:val="es-ES"/>
        </w:rPr>
        <w:t>la subasta; y/o</w:t>
      </w:r>
    </w:p>
    <w:p w14:paraId="50CFA30C" w14:textId="77777777" w:rsidR="0045050D" w:rsidRPr="00336D39" w:rsidRDefault="0045050D" w:rsidP="0045050D">
      <w:pPr>
        <w:pStyle w:val="Textoindependiente"/>
        <w:numPr>
          <w:ilvl w:val="0"/>
          <w:numId w:val="53"/>
        </w:numPr>
        <w:jc w:val="both"/>
        <w:rPr>
          <w:lang w:val="es-ES"/>
        </w:rPr>
      </w:pPr>
      <w:r w:rsidRPr="0035706E">
        <w:rPr>
          <w:lang w:val="es-ES"/>
        </w:rPr>
        <w:t xml:space="preserve">Terminar </w:t>
      </w:r>
      <w:r>
        <w:rPr>
          <w:lang w:val="es-ES"/>
        </w:rPr>
        <w:t xml:space="preserve">anticipadamente </w:t>
      </w:r>
      <w:r w:rsidRPr="0035706E">
        <w:rPr>
          <w:lang w:val="es-ES"/>
        </w:rPr>
        <w:t>las rondas de reloj (por ejemplo, mientras todavía haya exceso de demanda en al menos una categoría), y proceder directamente a la ronda suplementaria.</w:t>
      </w:r>
    </w:p>
    <w:p w14:paraId="48AEE48B" w14:textId="77777777" w:rsidR="0045050D" w:rsidRPr="00336D39" w:rsidRDefault="0045050D" w:rsidP="0045050D">
      <w:pPr>
        <w:pStyle w:val="Textoindependiente"/>
        <w:jc w:val="both"/>
        <w:rPr>
          <w:lang w:val="es-MX"/>
        </w:rPr>
      </w:pPr>
      <w:r w:rsidRPr="0035706E">
        <w:rPr>
          <w:lang w:val="es-MX"/>
        </w:rPr>
        <w:t xml:space="preserve">El </w:t>
      </w:r>
      <w:r>
        <w:rPr>
          <w:lang w:val="es-MX"/>
        </w:rPr>
        <w:t>Instituto</w:t>
      </w:r>
      <w:r w:rsidRPr="0035706E">
        <w:rPr>
          <w:lang w:val="es-MX"/>
        </w:rPr>
        <w:t xml:space="preserve"> determina</w:t>
      </w:r>
      <w:r>
        <w:rPr>
          <w:lang w:val="es-MX"/>
        </w:rPr>
        <w:t>rá</w:t>
      </w:r>
      <w:r w:rsidRPr="0035706E">
        <w:rPr>
          <w:lang w:val="es-MX"/>
        </w:rPr>
        <w:t xml:space="preserve"> si una situación de circunstancias excepcionales se ha suscitado. Las circunstancias excepcionales podrían incluir, por ejemplo, una falla </w:t>
      </w:r>
      <w:r w:rsidRPr="00336D39">
        <w:rPr>
          <w:lang w:val="es-MX"/>
        </w:rPr>
        <w:t xml:space="preserve">técnica extendida o </w:t>
      </w:r>
      <w:r>
        <w:rPr>
          <w:lang w:val="es-MX"/>
        </w:rPr>
        <w:t xml:space="preserve">bien </w:t>
      </w:r>
      <w:r w:rsidRPr="00336D39">
        <w:rPr>
          <w:lang w:val="es-MX"/>
        </w:rPr>
        <w:t xml:space="preserve">preocupaciones </w:t>
      </w:r>
      <w:r>
        <w:rPr>
          <w:lang w:val="es-MX"/>
        </w:rPr>
        <w:t xml:space="preserve">fundadas </w:t>
      </w:r>
      <w:r w:rsidRPr="00336D39">
        <w:rPr>
          <w:lang w:val="es-MX"/>
        </w:rPr>
        <w:t xml:space="preserve">sobre </w:t>
      </w:r>
      <w:r>
        <w:rPr>
          <w:lang w:val="es-MX"/>
        </w:rPr>
        <w:t xml:space="preserve">una posible </w:t>
      </w:r>
      <w:r w:rsidRPr="00336D39">
        <w:rPr>
          <w:lang w:val="es-MX"/>
        </w:rPr>
        <w:t xml:space="preserve">colusión entre los </w:t>
      </w:r>
      <w:r>
        <w:rPr>
          <w:lang w:val="es-MX"/>
        </w:rPr>
        <w:t>P</w:t>
      </w:r>
      <w:r w:rsidRPr="00336D39">
        <w:rPr>
          <w:lang w:val="es-MX"/>
        </w:rPr>
        <w:t>articipantes.</w:t>
      </w:r>
    </w:p>
    <w:p w14:paraId="78827286" w14:textId="77777777" w:rsidR="0045050D" w:rsidRPr="0035706E" w:rsidRDefault="0045050D" w:rsidP="0045050D">
      <w:pPr>
        <w:pStyle w:val="Ttulo1"/>
        <w:pageBreakBefore/>
        <w:jc w:val="both"/>
        <w:rPr>
          <w:lang w:val="en-US"/>
        </w:rPr>
      </w:pPr>
      <w:bookmarkStart w:id="39" w:name="_Toc429397858"/>
      <w:bookmarkStart w:id="40" w:name="_Toc430281529"/>
      <w:r>
        <w:rPr>
          <w:lang w:val="es-ES"/>
        </w:rPr>
        <w:t>Fase</w:t>
      </w:r>
      <w:r w:rsidRPr="0035706E">
        <w:rPr>
          <w:lang w:val="es-ES"/>
        </w:rPr>
        <w:t xml:space="preserve"> </w:t>
      </w:r>
      <w:bookmarkEnd w:id="39"/>
      <w:r w:rsidRPr="0035706E">
        <w:rPr>
          <w:lang w:val="es-ES"/>
        </w:rPr>
        <w:t>Pri</w:t>
      </w:r>
      <w:r>
        <w:rPr>
          <w:lang w:val="es-ES"/>
        </w:rPr>
        <w:t>maria</w:t>
      </w:r>
      <w:bookmarkEnd w:id="40"/>
    </w:p>
    <w:p w14:paraId="3F706A34" w14:textId="77777777" w:rsidR="0045050D" w:rsidRPr="0035706E" w:rsidRDefault="0045050D" w:rsidP="0045050D">
      <w:pPr>
        <w:pStyle w:val="Textoindependiente"/>
        <w:jc w:val="both"/>
        <w:rPr>
          <w:lang w:val="es-ES"/>
        </w:rPr>
      </w:pPr>
      <w:r w:rsidRPr="0035706E">
        <w:rPr>
          <w:lang w:val="es-ES"/>
        </w:rPr>
        <w:t xml:space="preserve">El propósito de la </w:t>
      </w:r>
      <w:r>
        <w:rPr>
          <w:lang w:val="es-ES"/>
        </w:rPr>
        <w:t>Fase</w:t>
      </w:r>
      <w:r w:rsidRPr="0035706E">
        <w:rPr>
          <w:lang w:val="es-ES"/>
        </w:rPr>
        <w:t xml:space="preserve"> Pri</w:t>
      </w:r>
      <w:r>
        <w:rPr>
          <w:lang w:val="es-ES"/>
        </w:rPr>
        <w:t>maria</w:t>
      </w:r>
      <w:r w:rsidRPr="0035706E">
        <w:rPr>
          <w:lang w:val="es-ES"/>
        </w:rPr>
        <w:t xml:space="preserve"> es determinar el número de </w:t>
      </w:r>
      <w:r>
        <w:rPr>
          <w:lang w:val="es-ES"/>
        </w:rPr>
        <w:t xml:space="preserve">bloques </w:t>
      </w:r>
      <w:r w:rsidRPr="0035706E">
        <w:rPr>
          <w:lang w:val="es-ES"/>
        </w:rPr>
        <w:t>en cada una de las categorías de las sub-bandas que serán otorgad</w:t>
      </w:r>
      <w:r>
        <w:rPr>
          <w:lang w:val="es-ES"/>
        </w:rPr>
        <w:t>o</w:t>
      </w:r>
      <w:r w:rsidRPr="0035706E">
        <w:rPr>
          <w:lang w:val="es-ES"/>
        </w:rPr>
        <w:t xml:space="preserve">s a cada </w:t>
      </w:r>
      <w:r>
        <w:rPr>
          <w:lang w:val="es-ES"/>
        </w:rPr>
        <w:t>P</w:t>
      </w:r>
      <w:r w:rsidRPr="0035706E">
        <w:rPr>
          <w:lang w:val="es-ES"/>
        </w:rPr>
        <w:t xml:space="preserve">articipante y el precio de subasta asociado. La </w:t>
      </w:r>
      <w:r>
        <w:rPr>
          <w:lang w:val="es-ES"/>
        </w:rPr>
        <w:t xml:space="preserve">Fase </w:t>
      </w:r>
      <w:r w:rsidRPr="0035706E">
        <w:rPr>
          <w:lang w:val="es-ES"/>
        </w:rPr>
        <w:t>Pri</w:t>
      </w:r>
      <w:r>
        <w:rPr>
          <w:lang w:val="es-ES"/>
        </w:rPr>
        <w:t>maria</w:t>
      </w:r>
      <w:r w:rsidRPr="0035706E">
        <w:rPr>
          <w:lang w:val="es-ES"/>
        </w:rPr>
        <w:t xml:space="preserve"> consiste de una </w:t>
      </w:r>
      <w:r>
        <w:rPr>
          <w:lang w:val="es-ES"/>
        </w:rPr>
        <w:t xml:space="preserve">etapa con una </w:t>
      </w:r>
      <w:r w:rsidRPr="0035706E">
        <w:rPr>
          <w:lang w:val="es-ES"/>
        </w:rPr>
        <w:t xml:space="preserve">o más rondas de reloj y una </w:t>
      </w:r>
      <w:r>
        <w:rPr>
          <w:lang w:val="es-ES"/>
        </w:rPr>
        <w:t xml:space="preserve">etapa de una </w:t>
      </w:r>
      <w:r w:rsidRPr="0035706E">
        <w:rPr>
          <w:lang w:val="es-ES"/>
        </w:rPr>
        <w:t xml:space="preserve">ronda </w:t>
      </w:r>
      <w:r>
        <w:rPr>
          <w:lang w:val="es-ES"/>
        </w:rPr>
        <w:t xml:space="preserve">final </w:t>
      </w:r>
      <w:r w:rsidRPr="0035706E">
        <w:rPr>
          <w:lang w:val="es-ES"/>
        </w:rPr>
        <w:t>suplementaria.</w:t>
      </w:r>
    </w:p>
    <w:p w14:paraId="56A7198B" w14:textId="77777777" w:rsidR="0045050D" w:rsidRPr="0035706E" w:rsidRDefault="0045050D" w:rsidP="0045050D">
      <w:pPr>
        <w:pStyle w:val="Ttulo2"/>
        <w:jc w:val="both"/>
      </w:pPr>
      <w:bookmarkStart w:id="41" w:name="_Toc429397859"/>
      <w:bookmarkStart w:id="42" w:name="_Toc430281530"/>
      <w:r w:rsidRPr="0035706E">
        <w:rPr>
          <w:lang w:val="es-MX"/>
        </w:rPr>
        <w:t>Rondas de reloj</w:t>
      </w:r>
      <w:bookmarkEnd w:id="41"/>
      <w:bookmarkEnd w:id="42"/>
    </w:p>
    <w:p w14:paraId="638BBC5D" w14:textId="77777777" w:rsidR="0045050D" w:rsidRPr="0035706E" w:rsidRDefault="0045050D" w:rsidP="0045050D">
      <w:pPr>
        <w:pStyle w:val="Textoindependiente"/>
        <w:jc w:val="both"/>
        <w:rPr>
          <w:lang w:val="es-ES"/>
        </w:rPr>
      </w:pPr>
      <w:r w:rsidRPr="0035706E">
        <w:rPr>
          <w:lang w:val="es-ES"/>
        </w:rPr>
        <w:t>Las rondas de reloj s</w:t>
      </w:r>
      <w:r>
        <w:rPr>
          <w:lang w:val="es-ES"/>
        </w:rPr>
        <w:t xml:space="preserve">e apegan a </w:t>
      </w:r>
      <w:r w:rsidRPr="0035706E">
        <w:rPr>
          <w:lang w:val="es-ES"/>
        </w:rPr>
        <w:t xml:space="preserve">un formato de subasta de reloj. La realización de </w:t>
      </w:r>
      <w:r>
        <w:rPr>
          <w:lang w:val="es-ES"/>
        </w:rPr>
        <w:t>ofertas económicas</w:t>
      </w:r>
      <w:r w:rsidRPr="0035706E">
        <w:rPr>
          <w:lang w:val="es-ES"/>
        </w:rPr>
        <w:t xml:space="preserve"> </w:t>
      </w:r>
      <w:r>
        <w:rPr>
          <w:lang w:val="es-ES"/>
        </w:rPr>
        <w:t>se lleva a cabo</w:t>
      </w:r>
      <w:r w:rsidRPr="0035706E">
        <w:rPr>
          <w:lang w:val="es-ES"/>
        </w:rPr>
        <w:t xml:space="preserve"> en rondas </w:t>
      </w:r>
      <w:r>
        <w:rPr>
          <w:lang w:val="es-ES"/>
        </w:rPr>
        <w:t xml:space="preserve">de incrementos </w:t>
      </w:r>
      <w:r w:rsidRPr="0035706E">
        <w:rPr>
          <w:lang w:val="es-ES"/>
        </w:rPr>
        <w:t>discret</w:t>
      </w:r>
      <w:r>
        <w:rPr>
          <w:lang w:val="es-ES"/>
        </w:rPr>
        <w:t>o</w:t>
      </w:r>
      <w:r w:rsidRPr="0035706E">
        <w:rPr>
          <w:lang w:val="es-ES"/>
        </w:rPr>
        <w:t xml:space="preserve">s, </w:t>
      </w:r>
      <w:r>
        <w:rPr>
          <w:lang w:val="es-ES"/>
        </w:rPr>
        <w:t>en las que</w:t>
      </w:r>
      <w:r w:rsidRPr="0035706E">
        <w:rPr>
          <w:lang w:val="es-ES"/>
        </w:rPr>
        <w:t xml:space="preserve"> todos los </w:t>
      </w:r>
      <w:r>
        <w:rPr>
          <w:lang w:val="es-ES"/>
        </w:rPr>
        <w:t>P</w:t>
      </w:r>
      <w:r w:rsidRPr="0035706E">
        <w:rPr>
          <w:lang w:val="es-ES"/>
        </w:rPr>
        <w:t xml:space="preserve">articipantes presentan </w:t>
      </w:r>
      <w:r>
        <w:rPr>
          <w:lang w:val="es-ES"/>
        </w:rPr>
        <w:t xml:space="preserve">sus oferta económicas durante el </w:t>
      </w:r>
      <w:r w:rsidRPr="0035706E">
        <w:rPr>
          <w:lang w:val="es-ES"/>
        </w:rPr>
        <w:t xml:space="preserve">mismo período de tiempo sujeto a </w:t>
      </w:r>
      <w:r>
        <w:rPr>
          <w:lang w:val="es-ES"/>
        </w:rPr>
        <w:t xml:space="preserve">posibles </w:t>
      </w:r>
      <w:r w:rsidRPr="0035706E">
        <w:rPr>
          <w:lang w:val="es-ES"/>
        </w:rPr>
        <w:t>extensiones</w:t>
      </w:r>
      <w:r>
        <w:rPr>
          <w:lang w:val="es-ES"/>
        </w:rPr>
        <w:t xml:space="preserve"> de tiempo permitidas que se </w:t>
      </w:r>
      <w:r w:rsidRPr="0035706E">
        <w:rPr>
          <w:lang w:val="es-ES"/>
        </w:rPr>
        <w:t>descri</w:t>
      </w:r>
      <w:r>
        <w:rPr>
          <w:lang w:val="es-ES"/>
        </w:rPr>
        <w:t>ben</w:t>
      </w:r>
      <w:r w:rsidRPr="0035706E">
        <w:rPr>
          <w:lang w:val="es-ES"/>
        </w:rPr>
        <w:t xml:space="preserve"> más </w:t>
      </w:r>
      <w:r>
        <w:rPr>
          <w:lang w:val="es-ES"/>
        </w:rPr>
        <w:t>adelante</w:t>
      </w:r>
      <w:r w:rsidRPr="0035706E">
        <w:rPr>
          <w:lang w:val="es-ES"/>
        </w:rPr>
        <w:t>).</w:t>
      </w:r>
    </w:p>
    <w:p w14:paraId="02C637F2" w14:textId="77777777" w:rsidR="0045050D" w:rsidRPr="0035706E" w:rsidRDefault="0045050D" w:rsidP="0045050D">
      <w:pPr>
        <w:pStyle w:val="Textoindependiente"/>
        <w:jc w:val="both"/>
        <w:rPr>
          <w:lang w:val="es-ES"/>
        </w:rPr>
      </w:pPr>
      <w:r w:rsidRPr="00373F49">
        <w:rPr>
          <w:lang w:val="es-ES"/>
        </w:rPr>
        <w:t xml:space="preserve">Antes del inicio de cada ronda de reloj, el </w:t>
      </w:r>
      <w:r>
        <w:rPr>
          <w:lang w:val="es-MX"/>
        </w:rPr>
        <w:t>Instituto</w:t>
      </w:r>
      <w:r w:rsidRPr="00373F49">
        <w:rPr>
          <w:lang w:val="es-ES"/>
        </w:rPr>
        <w:t xml:space="preserve"> anunciará un precio de reloj por </w:t>
      </w:r>
      <w:r>
        <w:rPr>
          <w:lang w:val="es-ES"/>
        </w:rPr>
        <w:t>bloque</w:t>
      </w:r>
      <w:r w:rsidRPr="00373F49">
        <w:rPr>
          <w:lang w:val="es-ES"/>
        </w:rPr>
        <w:t xml:space="preserve"> p</w:t>
      </w:r>
      <w:r w:rsidRPr="008E0CC3">
        <w:rPr>
          <w:lang w:val="es-ES"/>
        </w:rPr>
        <w:t xml:space="preserve">ara cada categoría </w:t>
      </w:r>
      <w:r>
        <w:rPr>
          <w:lang w:val="es-ES"/>
        </w:rPr>
        <w:t>durante</w:t>
      </w:r>
      <w:r w:rsidRPr="00373F49">
        <w:rPr>
          <w:lang w:val="es-ES"/>
        </w:rPr>
        <w:t xml:space="preserve"> </w:t>
      </w:r>
      <w:r w:rsidRPr="008E0CC3">
        <w:rPr>
          <w:lang w:val="es-ES"/>
        </w:rPr>
        <w:t>e</w:t>
      </w:r>
      <w:r w:rsidRPr="0035706E">
        <w:rPr>
          <w:lang w:val="es-ES"/>
        </w:rPr>
        <w:t>sa ronda.</w:t>
      </w:r>
    </w:p>
    <w:p w14:paraId="095CF192" w14:textId="77777777" w:rsidR="0045050D" w:rsidRPr="0035706E" w:rsidRDefault="0045050D" w:rsidP="0045050D">
      <w:pPr>
        <w:pStyle w:val="Textoindependiente"/>
        <w:jc w:val="both"/>
        <w:rPr>
          <w:lang w:val="es-ES"/>
        </w:rPr>
      </w:pPr>
      <w:r w:rsidRPr="0035706E">
        <w:rPr>
          <w:lang w:val="es-ES"/>
        </w:rPr>
        <w:t xml:space="preserve">En cada ronda de reloj, </w:t>
      </w:r>
      <w:r>
        <w:rPr>
          <w:lang w:val="es-ES"/>
        </w:rPr>
        <w:t>cada</w:t>
      </w:r>
      <w:r w:rsidRPr="0035706E">
        <w:rPr>
          <w:lang w:val="es-ES"/>
        </w:rPr>
        <w:t xml:space="preserve"> </w:t>
      </w:r>
      <w:r>
        <w:rPr>
          <w:lang w:val="es-ES"/>
        </w:rPr>
        <w:t>P</w:t>
      </w:r>
      <w:r w:rsidRPr="0035706E">
        <w:rPr>
          <w:lang w:val="es-ES"/>
        </w:rPr>
        <w:t xml:space="preserve">articipante presenta como máximo una </w:t>
      </w:r>
      <w:r>
        <w:rPr>
          <w:lang w:val="es-ES"/>
        </w:rPr>
        <w:t>oferta económica</w:t>
      </w:r>
      <w:r w:rsidRPr="0035706E">
        <w:rPr>
          <w:lang w:val="es-ES"/>
        </w:rPr>
        <w:t xml:space="preserve"> por un paquete de </w:t>
      </w:r>
      <w:r>
        <w:rPr>
          <w:lang w:val="es-ES"/>
        </w:rPr>
        <w:t>bloques</w:t>
      </w:r>
      <w:r w:rsidRPr="0035706E">
        <w:rPr>
          <w:lang w:val="es-ES"/>
        </w:rPr>
        <w:t xml:space="preserve"> único. Un paquete consiste de uno o más </w:t>
      </w:r>
      <w:r>
        <w:rPr>
          <w:lang w:val="es-ES"/>
        </w:rPr>
        <w:t>bloques</w:t>
      </w:r>
      <w:r w:rsidRPr="0035706E">
        <w:rPr>
          <w:lang w:val="es-ES"/>
        </w:rPr>
        <w:t xml:space="preserve"> </w:t>
      </w:r>
      <w:r>
        <w:rPr>
          <w:lang w:val="es-ES"/>
        </w:rPr>
        <w:t>en</w:t>
      </w:r>
      <w:r w:rsidRPr="0035706E">
        <w:rPr>
          <w:lang w:val="es-ES"/>
        </w:rPr>
        <w:t xml:space="preserve"> cada una de las tres categorías </w:t>
      </w:r>
      <w:r>
        <w:rPr>
          <w:lang w:val="es-ES"/>
        </w:rPr>
        <w:t>(sub-bandas)</w:t>
      </w:r>
      <w:r w:rsidRPr="0035706E">
        <w:rPr>
          <w:lang w:val="es-ES"/>
        </w:rPr>
        <w:t xml:space="preserve">. El monto de </w:t>
      </w:r>
      <w:r>
        <w:rPr>
          <w:lang w:val="es-ES"/>
        </w:rPr>
        <w:t>oferta económica</w:t>
      </w:r>
      <w:r w:rsidRPr="0035706E">
        <w:rPr>
          <w:lang w:val="es-ES"/>
        </w:rPr>
        <w:t xml:space="preserve"> para el paquete se determina automáticamente y es igual al total de la suma de los precios de la ronda de reloj actual para los </w:t>
      </w:r>
      <w:r>
        <w:rPr>
          <w:lang w:val="es-ES"/>
        </w:rPr>
        <w:t>bloques</w:t>
      </w:r>
      <w:r w:rsidRPr="0035706E">
        <w:rPr>
          <w:lang w:val="es-ES"/>
        </w:rPr>
        <w:t xml:space="preserve"> incluidos en el paquete.</w:t>
      </w:r>
    </w:p>
    <w:p w14:paraId="4DAC196D" w14:textId="77777777" w:rsidR="0045050D" w:rsidRPr="0035706E" w:rsidRDefault="0045050D" w:rsidP="0045050D">
      <w:pPr>
        <w:pStyle w:val="Ttulo3"/>
        <w:jc w:val="both"/>
        <w:rPr>
          <w:lang w:val="es-ES"/>
        </w:rPr>
      </w:pPr>
      <w:bookmarkStart w:id="43" w:name="_Toc430281531"/>
      <w:r w:rsidRPr="0035706E">
        <w:rPr>
          <w:lang w:val="es-MX"/>
        </w:rPr>
        <w:t>Programación de las rondas de reloj</w:t>
      </w:r>
      <w:bookmarkEnd w:id="43"/>
    </w:p>
    <w:p w14:paraId="5E583B96" w14:textId="77777777" w:rsidR="0045050D" w:rsidRPr="0035706E" w:rsidRDefault="0045050D" w:rsidP="0045050D">
      <w:pPr>
        <w:pStyle w:val="Textoindependiente"/>
        <w:jc w:val="both"/>
        <w:rPr>
          <w:lang w:val="es-ES"/>
        </w:rPr>
      </w:pPr>
      <w:r w:rsidRPr="0035706E">
        <w:rPr>
          <w:lang w:val="es-ES"/>
        </w:rPr>
        <w:t>Las rondas de reloj se programa</w:t>
      </w:r>
      <w:r>
        <w:rPr>
          <w:lang w:val="es-ES"/>
        </w:rPr>
        <w:t>rán</w:t>
      </w:r>
      <w:r w:rsidRPr="0035706E">
        <w:rPr>
          <w:lang w:val="es-ES"/>
        </w:rPr>
        <w:t xml:space="preserve"> a discreción del </w:t>
      </w:r>
      <w:r>
        <w:rPr>
          <w:lang w:val="es-MX"/>
        </w:rPr>
        <w:t>Instituto</w:t>
      </w:r>
      <w:r w:rsidRPr="0035706E">
        <w:rPr>
          <w:lang w:val="es-ES"/>
        </w:rPr>
        <w:t xml:space="preserve">. Todas las rondas de reloj serán programadas para empezar entre las 9:30 A.M. y 6:00 P.M. en días hábiles. Una programación indicativa para cada día de realización de </w:t>
      </w:r>
      <w:r>
        <w:rPr>
          <w:lang w:val="es-ES"/>
        </w:rPr>
        <w:t>ofertas económicas</w:t>
      </w:r>
      <w:r w:rsidRPr="0035706E">
        <w:rPr>
          <w:lang w:val="es-ES"/>
        </w:rPr>
        <w:t xml:space="preserve"> será publicada antes de la apertura de la primera ronda de cada día. Ninguna ronda empezará antes del tiempo especificado en la programación indicativa, sin embargo el inicio para una ronda puede ser retrasado.</w:t>
      </w:r>
    </w:p>
    <w:p w14:paraId="79F2C19B" w14:textId="77777777" w:rsidR="0045050D" w:rsidRPr="0035706E" w:rsidRDefault="0045050D" w:rsidP="0045050D">
      <w:pPr>
        <w:pStyle w:val="Textoindependiente"/>
        <w:jc w:val="both"/>
        <w:rPr>
          <w:lang w:val="es-ES"/>
        </w:rPr>
      </w:pPr>
      <w:r w:rsidRPr="0035706E">
        <w:rPr>
          <w:lang w:val="es-ES"/>
        </w:rPr>
        <w:t xml:space="preserve">No hay duración mínima o máxima para una ronda de reloj. Sin embargo, el </w:t>
      </w:r>
      <w:r>
        <w:rPr>
          <w:lang w:val="es-MX"/>
        </w:rPr>
        <w:t>Instituto</w:t>
      </w:r>
      <w:r w:rsidRPr="0035706E">
        <w:rPr>
          <w:lang w:val="es-ES"/>
        </w:rPr>
        <w:t xml:space="preserve"> no anticipa llevar a cabo rondas de reloj menores a 20 minutos o mayores a dos horas. El tiempo entre las rondas de reloj también es discrecional.</w:t>
      </w:r>
    </w:p>
    <w:p w14:paraId="70FA4886" w14:textId="77777777" w:rsidR="0045050D" w:rsidRPr="0035706E" w:rsidRDefault="0045050D" w:rsidP="0045050D">
      <w:pPr>
        <w:pStyle w:val="Textoindependiente"/>
        <w:jc w:val="both"/>
        <w:rPr>
          <w:lang w:val="es-ES"/>
        </w:rPr>
      </w:pPr>
      <w:r w:rsidRPr="0035706E">
        <w:rPr>
          <w:lang w:val="es-ES"/>
        </w:rPr>
        <w:t xml:space="preserve">No hay límite superior sobre el número de rondas de reloj por día, aunque el </w:t>
      </w:r>
      <w:r>
        <w:rPr>
          <w:lang w:val="es-MX"/>
        </w:rPr>
        <w:t>Instituto</w:t>
      </w:r>
      <w:r w:rsidRPr="0035706E">
        <w:rPr>
          <w:lang w:val="es-ES"/>
        </w:rPr>
        <w:t xml:space="preserve"> no anticipa llevar a cabo más de 10 rondas de reloj </w:t>
      </w:r>
      <w:r>
        <w:rPr>
          <w:lang w:val="es-ES"/>
        </w:rPr>
        <w:t>al</w:t>
      </w:r>
      <w:r w:rsidRPr="0035706E">
        <w:rPr>
          <w:lang w:val="es-ES"/>
        </w:rPr>
        <w:t xml:space="preserve"> día.</w:t>
      </w:r>
    </w:p>
    <w:p w14:paraId="4CBD2834" w14:textId="77777777" w:rsidR="0045050D" w:rsidRPr="006D2B38" w:rsidRDefault="0045050D" w:rsidP="0045050D">
      <w:pPr>
        <w:pStyle w:val="Textoindependiente"/>
        <w:jc w:val="both"/>
        <w:rPr>
          <w:lang w:val="es-ES"/>
        </w:rPr>
      </w:pPr>
      <w:r w:rsidRPr="0035706E">
        <w:rPr>
          <w:lang w:val="es-ES"/>
        </w:rPr>
        <w:t>Se les notificará a los participantes el tiempo de inicio para una ronda de reloj al menos 15 minutos antes del inicio programado de la ronda.</w:t>
      </w:r>
    </w:p>
    <w:p w14:paraId="0FBC1F8C" w14:textId="77777777" w:rsidR="0045050D" w:rsidRPr="00C00C5F" w:rsidRDefault="0045050D" w:rsidP="0045050D">
      <w:pPr>
        <w:pStyle w:val="Textoindependiente"/>
        <w:jc w:val="both"/>
        <w:rPr>
          <w:lang w:val="es-ES"/>
        </w:rPr>
      </w:pPr>
    </w:p>
    <w:p w14:paraId="3F12EA5E" w14:textId="77777777" w:rsidR="0045050D" w:rsidRPr="00C00C5F" w:rsidRDefault="0045050D" w:rsidP="0045050D">
      <w:pPr>
        <w:pStyle w:val="Textoindependiente"/>
        <w:jc w:val="both"/>
        <w:rPr>
          <w:lang w:val="es-ES"/>
        </w:rPr>
      </w:pPr>
    </w:p>
    <w:p w14:paraId="53B5EDF1" w14:textId="77777777" w:rsidR="0045050D" w:rsidRPr="0035706E" w:rsidRDefault="0045050D" w:rsidP="0045050D">
      <w:pPr>
        <w:pStyle w:val="Ttulo3"/>
        <w:jc w:val="both"/>
        <w:rPr>
          <w:lang w:val="es-ES"/>
        </w:rPr>
      </w:pPr>
      <w:bookmarkStart w:id="44" w:name="_Toc430281532"/>
      <w:r w:rsidRPr="0035706E">
        <w:rPr>
          <w:lang w:val="es-ES"/>
        </w:rPr>
        <w:t>Presentación de la</w:t>
      </w:r>
      <w:r>
        <w:rPr>
          <w:lang w:val="es-ES"/>
        </w:rPr>
        <w:t>s</w:t>
      </w:r>
      <w:r w:rsidRPr="0035706E">
        <w:rPr>
          <w:lang w:val="es-ES"/>
        </w:rPr>
        <w:t xml:space="preserve"> </w:t>
      </w:r>
      <w:r>
        <w:rPr>
          <w:lang w:val="es-ES"/>
        </w:rPr>
        <w:t>ofertas económicas</w:t>
      </w:r>
      <w:r w:rsidRPr="0035706E">
        <w:rPr>
          <w:lang w:val="es-ES"/>
        </w:rPr>
        <w:t xml:space="preserve"> en una ronda de reloj</w:t>
      </w:r>
      <w:bookmarkEnd w:id="44"/>
    </w:p>
    <w:p w14:paraId="05760F92" w14:textId="77777777" w:rsidR="0045050D" w:rsidRPr="0035706E" w:rsidRDefault="0045050D" w:rsidP="0045050D">
      <w:pPr>
        <w:pStyle w:val="Textoindependiente"/>
        <w:jc w:val="both"/>
        <w:rPr>
          <w:lang w:val="es-ES"/>
        </w:rPr>
      </w:pPr>
      <w:r w:rsidRPr="0035706E">
        <w:rPr>
          <w:lang w:val="es-ES"/>
        </w:rPr>
        <w:t xml:space="preserve">Cuando una ronda de reloj esté abierta, los </w:t>
      </w:r>
      <w:r>
        <w:rPr>
          <w:lang w:val="es-ES"/>
        </w:rPr>
        <w:t>P</w:t>
      </w:r>
      <w:r w:rsidRPr="0035706E">
        <w:rPr>
          <w:lang w:val="es-ES"/>
        </w:rPr>
        <w:t xml:space="preserve">articipantes pueden presentar una única </w:t>
      </w:r>
      <w:r>
        <w:rPr>
          <w:lang w:val="es-ES"/>
        </w:rPr>
        <w:t>oferta económica</w:t>
      </w:r>
      <w:r w:rsidRPr="0035706E">
        <w:rPr>
          <w:lang w:val="es-ES"/>
        </w:rPr>
        <w:t xml:space="preserve"> para un paquete de </w:t>
      </w:r>
      <w:r>
        <w:rPr>
          <w:lang w:val="es-ES"/>
        </w:rPr>
        <w:t>bloques</w:t>
      </w:r>
      <w:r w:rsidRPr="0035706E">
        <w:rPr>
          <w:lang w:val="es-ES"/>
        </w:rPr>
        <w:t xml:space="preserve"> usando el </w:t>
      </w:r>
      <w:r>
        <w:rPr>
          <w:lang w:val="es-ES"/>
        </w:rPr>
        <w:t>SES</w:t>
      </w:r>
      <w:r w:rsidRPr="0035706E">
        <w:rPr>
          <w:lang w:val="es-ES"/>
        </w:rPr>
        <w:t xml:space="preserve">. </w:t>
      </w:r>
      <w:r>
        <w:rPr>
          <w:lang w:val="es-ES"/>
        </w:rPr>
        <w:t>La</w:t>
      </w:r>
      <w:r w:rsidRPr="0035706E">
        <w:rPr>
          <w:lang w:val="es-ES"/>
        </w:rPr>
        <w:t xml:space="preserve"> </w:t>
      </w:r>
      <w:r>
        <w:rPr>
          <w:lang w:val="es-ES"/>
        </w:rPr>
        <w:t>oferta económica</w:t>
      </w:r>
      <w:r w:rsidRPr="0035706E">
        <w:rPr>
          <w:lang w:val="es-ES"/>
        </w:rPr>
        <w:t xml:space="preserve"> espec</w:t>
      </w:r>
      <w:r>
        <w:rPr>
          <w:lang w:val="es-ES"/>
        </w:rPr>
        <w:t>i</w:t>
      </w:r>
      <w:r w:rsidRPr="0035706E">
        <w:rPr>
          <w:lang w:val="es-ES"/>
        </w:rPr>
        <w:t>fica</w:t>
      </w:r>
      <w:r>
        <w:rPr>
          <w:lang w:val="es-ES"/>
        </w:rPr>
        <w:t>rá</w:t>
      </w:r>
      <w:r w:rsidRPr="0035706E">
        <w:rPr>
          <w:lang w:val="es-ES"/>
        </w:rPr>
        <w:t xml:space="preserve"> el número de </w:t>
      </w:r>
      <w:r>
        <w:rPr>
          <w:lang w:val="es-ES"/>
        </w:rPr>
        <w:t>bloques</w:t>
      </w:r>
      <w:r w:rsidRPr="0035706E">
        <w:rPr>
          <w:lang w:val="es-ES"/>
        </w:rPr>
        <w:t xml:space="preserve"> en cada categoría que </w:t>
      </w:r>
      <w:r>
        <w:rPr>
          <w:lang w:val="es-ES"/>
        </w:rPr>
        <w:t>cada</w:t>
      </w:r>
      <w:r w:rsidRPr="0035706E">
        <w:rPr>
          <w:lang w:val="es-ES"/>
        </w:rPr>
        <w:t xml:space="preserve"> </w:t>
      </w:r>
      <w:r>
        <w:rPr>
          <w:lang w:val="es-ES"/>
        </w:rPr>
        <w:t>P</w:t>
      </w:r>
      <w:r w:rsidRPr="0035706E">
        <w:rPr>
          <w:lang w:val="es-ES"/>
        </w:rPr>
        <w:t xml:space="preserve">articipante desea adquirir a los precios </w:t>
      </w:r>
      <w:r>
        <w:rPr>
          <w:lang w:val="es-ES"/>
        </w:rPr>
        <w:t xml:space="preserve">establecidos para esa </w:t>
      </w:r>
      <w:r w:rsidRPr="0035706E">
        <w:rPr>
          <w:lang w:val="es-ES"/>
        </w:rPr>
        <w:t xml:space="preserve">ronda de reloj. Cada </w:t>
      </w:r>
      <w:r>
        <w:rPr>
          <w:lang w:val="es-ES"/>
        </w:rPr>
        <w:t>oferta económica estará limitada y</w:t>
      </w:r>
      <w:r w:rsidRPr="0035706E">
        <w:rPr>
          <w:lang w:val="es-ES"/>
        </w:rPr>
        <w:t xml:space="preserve"> debe</w:t>
      </w:r>
      <w:r>
        <w:rPr>
          <w:lang w:val="es-ES"/>
        </w:rPr>
        <w:t>rá</w:t>
      </w:r>
      <w:r w:rsidRPr="0035706E">
        <w:rPr>
          <w:lang w:val="es-ES"/>
        </w:rPr>
        <w:t xml:space="preserve"> ser consistente con el </w:t>
      </w:r>
      <w:r>
        <w:rPr>
          <w:lang w:val="es-ES"/>
        </w:rPr>
        <w:t>límite máximo</w:t>
      </w:r>
      <w:r w:rsidRPr="0035706E">
        <w:rPr>
          <w:lang w:val="es-ES"/>
        </w:rPr>
        <w:t xml:space="preserve"> de espectro </w:t>
      </w:r>
      <w:r>
        <w:rPr>
          <w:lang w:val="es-ES"/>
        </w:rPr>
        <w:t xml:space="preserve">establecido </w:t>
      </w:r>
      <w:r w:rsidRPr="0035706E">
        <w:rPr>
          <w:lang w:val="es-ES"/>
        </w:rPr>
        <w:t xml:space="preserve">(ver la Sección </w:t>
      </w:r>
      <w:r w:rsidRPr="0035706E">
        <w:rPr>
          <w:lang w:val="en-US"/>
        </w:rPr>
        <w:fldChar w:fldCharType="begin"/>
      </w:r>
      <w:r w:rsidRPr="0035706E">
        <w:rPr>
          <w:lang w:val="es-ES"/>
        </w:rPr>
        <w:instrText xml:space="preserve"> REF _Ref429406858 \r \h  \* MERGEFORMAT </w:instrText>
      </w:r>
      <w:r w:rsidRPr="0035706E">
        <w:rPr>
          <w:lang w:val="en-US"/>
        </w:rPr>
      </w:r>
      <w:r w:rsidRPr="0035706E">
        <w:rPr>
          <w:lang w:val="en-US"/>
        </w:rPr>
        <w:fldChar w:fldCharType="separate"/>
      </w:r>
      <w:r>
        <w:rPr>
          <w:lang w:val="es-ES"/>
        </w:rPr>
        <w:t>2.3</w:t>
      </w:r>
      <w:r w:rsidRPr="0035706E">
        <w:rPr>
          <w:lang w:val="en-US"/>
        </w:rPr>
        <w:fldChar w:fldCharType="end"/>
      </w:r>
      <w:r w:rsidRPr="0035706E">
        <w:rPr>
          <w:lang w:val="es-ES"/>
        </w:rPr>
        <w:t xml:space="preserve">) </w:t>
      </w:r>
      <w:r>
        <w:rPr>
          <w:lang w:val="es-ES"/>
        </w:rPr>
        <w:t>así como por</w:t>
      </w:r>
      <w:r w:rsidRPr="0035706E">
        <w:rPr>
          <w:lang w:val="es-ES"/>
        </w:rPr>
        <w:t xml:space="preserve"> las reglas de actividad (ver la Sección </w:t>
      </w:r>
      <w:r w:rsidRPr="0035706E">
        <w:rPr>
          <w:lang w:val="en-US"/>
        </w:rPr>
        <w:fldChar w:fldCharType="begin"/>
      </w:r>
      <w:r w:rsidRPr="0035706E">
        <w:rPr>
          <w:lang w:val="es-ES"/>
        </w:rPr>
        <w:instrText xml:space="preserve"> REF _Ref429406876 \r \h  \* MERGEFORMAT </w:instrText>
      </w:r>
      <w:r w:rsidRPr="0035706E">
        <w:rPr>
          <w:lang w:val="en-US"/>
        </w:rPr>
      </w:r>
      <w:r w:rsidRPr="0035706E">
        <w:rPr>
          <w:lang w:val="en-US"/>
        </w:rPr>
        <w:fldChar w:fldCharType="separate"/>
      </w:r>
      <w:r>
        <w:rPr>
          <w:lang w:val="es-ES"/>
        </w:rPr>
        <w:t>4.1.5</w:t>
      </w:r>
      <w:r w:rsidRPr="0035706E">
        <w:rPr>
          <w:lang w:val="en-US"/>
        </w:rPr>
        <w:fldChar w:fldCharType="end"/>
      </w:r>
      <w:r w:rsidRPr="0035706E">
        <w:rPr>
          <w:lang w:val="es-ES"/>
        </w:rPr>
        <w:t>).</w:t>
      </w:r>
    </w:p>
    <w:p w14:paraId="1D3FFF6D" w14:textId="77777777" w:rsidR="0045050D" w:rsidRPr="0035706E" w:rsidRDefault="0045050D" w:rsidP="0045050D">
      <w:pPr>
        <w:pStyle w:val="Textoindependiente"/>
        <w:jc w:val="both"/>
        <w:rPr>
          <w:lang w:val="es-ES"/>
        </w:rPr>
      </w:pPr>
      <w:r w:rsidRPr="0035706E">
        <w:rPr>
          <w:lang w:val="es-ES"/>
        </w:rPr>
        <w:t xml:space="preserve">Para preparar una </w:t>
      </w:r>
      <w:r>
        <w:rPr>
          <w:lang w:val="es-ES"/>
        </w:rPr>
        <w:t>oferta económica</w:t>
      </w:r>
      <w:r w:rsidRPr="0035706E">
        <w:rPr>
          <w:lang w:val="es-ES"/>
        </w:rPr>
        <w:t xml:space="preserve">, el </w:t>
      </w:r>
      <w:r>
        <w:rPr>
          <w:lang w:val="es-ES"/>
        </w:rPr>
        <w:t>P</w:t>
      </w:r>
      <w:r w:rsidRPr="0035706E">
        <w:rPr>
          <w:lang w:val="es-ES"/>
        </w:rPr>
        <w:t>articipante debe</w:t>
      </w:r>
      <w:r>
        <w:rPr>
          <w:lang w:val="es-ES"/>
        </w:rPr>
        <w:t>rá</w:t>
      </w:r>
      <w:r w:rsidRPr="0035706E">
        <w:rPr>
          <w:lang w:val="es-ES"/>
        </w:rPr>
        <w:t xml:space="preserve"> especificar el número de </w:t>
      </w:r>
      <w:r>
        <w:rPr>
          <w:lang w:val="es-ES"/>
        </w:rPr>
        <w:t>bloques</w:t>
      </w:r>
      <w:r w:rsidRPr="0035706E">
        <w:rPr>
          <w:lang w:val="es-ES"/>
        </w:rPr>
        <w:t xml:space="preserve"> en cada categoría</w:t>
      </w:r>
      <w:r>
        <w:rPr>
          <w:lang w:val="es-ES"/>
        </w:rPr>
        <w:t xml:space="preserve"> sobre</w:t>
      </w:r>
      <w:r w:rsidRPr="0035706E">
        <w:rPr>
          <w:lang w:val="es-ES"/>
        </w:rPr>
        <w:t xml:space="preserve"> </w:t>
      </w:r>
      <w:r>
        <w:rPr>
          <w:lang w:val="es-ES"/>
        </w:rPr>
        <w:t>el</w:t>
      </w:r>
      <w:r w:rsidRPr="0035706E">
        <w:rPr>
          <w:lang w:val="es-ES"/>
        </w:rPr>
        <w:t xml:space="preserve"> </w:t>
      </w:r>
      <w:r>
        <w:rPr>
          <w:lang w:val="es-ES"/>
        </w:rPr>
        <w:t xml:space="preserve">que </w:t>
      </w:r>
      <w:r w:rsidRPr="0035706E">
        <w:rPr>
          <w:lang w:val="es-ES"/>
        </w:rPr>
        <w:t xml:space="preserve">desea realizar una oferta </w:t>
      </w:r>
      <w:r>
        <w:rPr>
          <w:lang w:val="es-ES"/>
        </w:rPr>
        <w:t xml:space="preserve">económica </w:t>
      </w:r>
      <w:r w:rsidRPr="0035706E">
        <w:rPr>
          <w:lang w:val="es-ES"/>
        </w:rPr>
        <w:t xml:space="preserve">a los precios de reloj </w:t>
      </w:r>
      <w:r>
        <w:rPr>
          <w:lang w:val="es-ES"/>
        </w:rPr>
        <w:t>en vigor para esa ronda</w:t>
      </w:r>
      <w:r w:rsidRPr="0035706E">
        <w:rPr>
          <w:lang w:val="es-ES"/>
        </w:rPr>
        <w:t xml:space="preserve"> usando l</w:t>
      </w:r>
      <w:r>
        <w:rPr>
          <w:lang w:val="es-ES"/>
        </w:rPr>
        <w:t>o</w:t>
      </w:r>
      <w:r w:rsidRPr="0035706E">
        <w:rPr>
          <w:lang w:val="es-ES"/>
        </w:rPr>
        <w:t xml:space="preserve">s </w:t>
      </w:r>
      <w:r>
        <w:rPr>
          <w:lang w:val="es-ES"/>
        </w:rPr>
        <w:t>menús</w:t>
      </w:r>
      <w:r w:rsidRPr="0035706E">
        <w:rPr>
          <w:lang w:val="es-ES"/>
        </w:rPr>
        <w:t xml:space="preserve"> desplegables provist</w:t>
      </w:r>
      <w:r>
        <w:rPr>
          <w:lang w:val="es-ES"/>
        </w:rPr>
        <w:t>o</w:t>
      </w:r>
      <w:r w:rsidRPr="0035706E">
        <w:rPr>
          <w:lang w:val="es-ES"/>
        </w:rPr>
        <w:t xml:space="preserve">s en el formulario de </w:t>
      </w:r>
      <w:r>
        <w:rPr>
          <w:lang w:val="es-ES"/>
        </w:rPr>
        <w:t>ofertas económicas</w:t>
      </w:r>
      <w:r w:rsidRPr="0035706E">
        <w:rPr>
          <w:lang w:val="es-ES"/>
        </w:rPr>
        <w:t xml:space="preserve"> presentada por el </w:t>
      </w:r>
      <w:r>
        <w:rPr>
          <w:lang w:val="es-ES"/>
        </w:rPr>
        <w:t>SES</w:t>
      </w:r>
      <w:r w:rsidRPr="0035706E">
        <w:rPr>
          <w:lang w:val="es-ES"/>
        </w:rPr>
        <w:t>.</w:t>
      </w:r>
    </w:p>
    <w:p w14:paraId="3B36B298" w14:textId="77777777" w:rsidR="0045050D" w:rsidRPr="0035706E" w:rsidRDefault="0045050D" w:rsidP="0045050D">
      <w:pPr>
        <w:pStyle w:val="Textoindependiente"/>
        <w:jc w:val="both"/>
        <w:rPr>
          <w:lang w:val="es-ES"/>
        </w:rPr>
      </w:pPr>
      <w:r>
        <w:rPr>
          <w:lang w:val="es-ES"/>
        </w:rPr>
        <w:t>Al respecto, l</w:t>
      </w:r>
      <w:r w:rsidRPr="0035706E">
        <w:rPr>
          <w:lang w:val="es-ES"/>
        </w:rPr>
        <w:t xml:space="preserve">a presentación de </w:t>
      </w:r>
      <w:r>
        <w:rPr>
          <w:lang w:val="es-ES"/>
        </w:rPr>
        <w:t>ofertas económicas</w:t>
      </w:r>
      <w:r w:rsidRPr="0035706E">
        <w:rPr>
          <w:lang w:val="es-ES"/>
        </w:rPr>
        <w:t xml:space="preserve"> es un proceso de dos pasos.</w:t>
      </w:r>
    </w:p>
    <w:p w14:paraId="3C6E3B53" w14:textId="77777777" w:rsidR="0045050D" w:rsidRPr="0035706E" w:rsidRDefault="0045050D" w:rsidP="0045050D">
      <w:pPr>
        <w:pStyle w:val="Textoindependiente"/>
        <w:numPr>
          <w:ilvl w:val="0"/>
          <w:numId w:val="54"/>
        </w:numPr>
        <w:jc w:val="both"/>
        <w:rPr>
          <w:lang w:val="es-ES"/>
        </w:rPr>
      </w:pPr>
      <w:r w:rsidRPr="0035706E">
        <w:rPr>
          <w:lang w:val="es-ES"/>
        </w:rPr>
        <w:t xml:space="preserve">Primero, el </w:t>
      </w:r>
      <w:r>
        <w:rPr>
          <w:lang w:val="es-ES"/>
        </w:rPr>
        <w:t>P</w:t>
      </w:r>
      <w:r w:rsidRPr="0035706E">
        <w:rPr>
          <w:lang w:val="es-ES"/>
        </w:rPr>
        <w:t xml:space="preserve">articipante envía </w:t>
      </w:r>
      <w:r>
        <w:rPr>
          <w:lang w:val="es-ES"/>
        </w:rPr>
        <w:t>su</w:t>
      </w:r>
      <w:r w:rsidRPr="0035706E">
        <w:rPr>
          <w:lang w:val="es-ES"/>
        </w:rPr>
        <w:t xml:space="preserve"> </w:t>
      </w:r>
      <w:r>
        <w:rPr>
          <w:lang w:val="es-ES"/>
        </w:rPr>
        <w:t>oferta económica</w:t>
      </w:r>
      <w:r w:rsidRPr="0035706E">
        <w:rPr>
          <w:lang w:val="es-ES"/>
        </w:rPr>
        <w:t xml:space="preserve"> </w:t>
      </w:r>
      <w:r>
        <w:rPr>
          <w:lang w:val="es-ES"/>
        </w:rPr>
        <w:t>a</w:t>
      </w:r>
      <w:r w:rsidRPr="0035706E">
        <w:rPr>
          <w:lang w:val="es-ES"/>
        </w:rPr>
        <w:t xml:space="preserve">l </w:t>
      </w:r>
      <w:r>
        <w:rPr>
          <w:lang w:val="es-ES"/>
        </w:rPr>
        <w:t>SES</w:t>
      </w:r>
      <w:r w:rsidRPr="0035706E">
        <w:rPr>
          <w:lang w:val="es-ES"/>
        </w:rPr>
        <w:t>, de tal forma que su validez pueda ser revisada:</w:t>
      </w:r>
    </w:p>
    <w:p w14:paraId="6BE6AB47" w14:textId="77777777" w:rsidR="0045050D" w:rsidRPr="0035706E" w:rsidRDefault="0045050D" w:rsidP="0045050D">
      <w:pPr>
        <w:pStyle w:val="Textoindependiente"/>
        <w:numPr>
          <w:ilvl w:val="1"/>
          <w:numId w:val="54"/>
        </w:numPr>
        <w:jc w:val="both"/>
        <w:rPr>
          <w:lang w:val="es-ES"/>
        </w:rPr>
      </w:pPr>
      <w:r w:rsidRPr="0035706E">
        <w:rPr>
          <w:lang w:val="es-ES"/>
        </w:rPr>
        <w:t xml:space="preserve">Si la </w:t>
      </w:r>
      <w:r>
        <w:rPr>
          <w:lang w:val="es-ES"/>
        </w:rPr>
        <w:t>oferta económica</w:t>
      </w:r>
      <w:r w:rsidRPr="0035706E">
        <w:rPr>
          <w:lang w:val="es-ES"/>
        </w:rPr>
        <w:t xml:space="preserve"> cumple con l</w:t>
      </w:r>
      <w:r>
        <w:rPr>
          <w:lang w:val="es-ES"/>
        </w:rPr>
        <w:t>o</w:t>
      </w:r>
      <w:r w:rsidRPr="0035706E">
        <w:rPr>
          <w:lang w:val="es-ES"/>
        </w:rPr>
        <w:t xml:space="preserve">s </w:t>
      </w:r>
      <w:r>
        <w:rPr>
          <w:lang w:val="es-ES"/>
        </w:rPr>
        <w:t xml:space="preserve">límites y </w:t>
      </w:r>
      <w:r w:rsidRPr="0035706E">
        <w:rPr>
          <w:lang w:val="es-ES"/>
        </w:rPr>
        <w:t xml:space="preserve">reglas de la subasta, el </w:t>
      </w:r>
      <w:r>
        <w:rPr>
          <w:lang w:val="es-ES"/>
        </w:rPr>
        <w:t>P</w:t>
      </w:r>
      <w:r w:rsidRPr="0035706E">
        <w:rPr>
          <w:lang w:val="es-ES"/>
        </w:rPr>
        <w:t xml:space="preserve">articipante procede al segundo paso que se detalla </w:t>
      </w:r>
      <w:r>
        <w:rPr>
          <w:lang w:val="es-ES"/>
        </w:rPr>
        <w:t>a continuación</w:t>
      </w:r>
      <w:r w:rsidRPr="0035706E">
        <w:rPr>
          <w:lang w:val="es-ES"/>
        </w:rPr>
        <w:t>.</w:t>
      </w:r>
    </w:p>
    <w:p w14:paraId="0B45B19E" w14:textId="77777777" w:rsidR="0045050D" w:rsidRPr="00336D39" w:rsidRDefault="0045050D" w:rsidP="0045050D">
      <w:pPr>
        <w:pStyle w:val="Textoindependiente"/>
        <w:numPr>
          <w:ilvl w:val="1"/>
          <w:numId w:val="54"/>
        </w:numPr>
        <w:jc w:val="both"/>
        <w:rPr>
          <w:lang w:val="es-ES"/>
        </w:rPr>
      </w:pPr>
      <w:r w:rsidRPr="0035706E">
        <w:rPr>
          <w:lang w:val="es-ES"/>
        </w:rPr>
        <w:t xml:space="preserve">Si la </w:t>
      </w:r>
      <w:r>
        <w:rPr>
          <w:lang w:val="es-ES"/>
        </w:rPr>
        <w:t>oferta económica</w:t>
      </w:r>
      <w:r w:rsidRPr="0035706E">
        <w:rPr>
          <w:lang w:val="es-ES"/>
        </w:rPr>
        <w:t xml:space="preserve"> </w:t>
      </w:r>
      <w:r w:rsidRPr="00336D39">
        <w:rPr>
          <w:lang w:val="es-ES"/>
        </w:rPr>
        <w:t>no cumple con l</w:t>
      </w:r>
      <w:r>
        <w:rPr>
          <w:lang w:val="es-ES"/>
        </w:rPr>
        <w:t>o</w:t>
      </w:r>
      <w:r w:rsidRPr="00336D39">
        <w:rPr>
          <w:lang w:val="es-ES"/>
        </w:rPr>
        <w:t xml:space="preserve">s </w:t>
      </w:r>
      <w:r>
        <w:rPr>
          <w:lang w:val="es-ES"/>
        </w:rPr>
        <w:t xml:space="preserve">límites y </w:t>
      </w:r>
      <w:r w:rsidRPr="00336D39">
        <w:rPr>
          <w:lang w:val="es-ES"/>
        </w:rPr>
        <w:t xml:space="preserve">reglas de la subasta, </w:t>
      </w:r>
      <w:r>
        <w:rPr>
          <w:lang w:val="es-ES"/>
        </w:rPr>
        <w:t>el sistema desplegará una</w:t>
      </w:r>
      <w:r w:rsidRPr="00336D39">
        <w:rPr>
          <w:lang w:val="es-ES"/>
        </w:rPr>
        <w:t xml:space="preserve"> explicación y el </w:t>
      </w:r>
      <w:r>
        <w:rPr>
          <w:lang w:val="es-ES"/>
        </w:rPr>
        <w:t>P</w:t>
      </w:r>
      <w:r w:rsidRPr="00336D39">
        <w:rPr>
          <w:lang w:val="es-ES"/>
        </w:rPr>
        <w:t>articipante será redirigido al formulario de la oferta para que pueda modificarla.</w:t>
      </w:r>
    </w:p>
    <w:p w14:paraId="0BBBA064" w14:textId="77777777" w:rsidR="0045050D" w:rsidRPr="00336D39" w:rsidRDefault="0045050D" w:rsidP="0045050D">
      <w:pPr>
        <w:pStyle w:val="Textoindependiente"/>
        <w:numPr>
          <w:ilvl w:val="0"/>
          <w:numId w:val="54"/>
        </w:numPr>
        <w:jc w:val="both"/>
        <w:rPr>
          <w:lang w:val="es-ES"/>
        </w:rPr>
      </w:pPr>
      <w:r w:rsidRPr="00336D39">
        <w:rPr>
          <w:lang w:val="es-ES"/>
        </w:rPr>
        <w:t xml:space="preserve">Segundo, un resumen de la </w:t>
      </w:r>
      <w:r>
        <w:rPr>
          <w:lang w:val="es-ES"/>
        </w:rPr>
        <w:t>oferta económica</w:t>
      </w:r>
      <w:r w:rsidRPr="00336D39">
        <w:rPr>
          <w:lang w:val="es-ES"/>
        </w:rPr>
        <w:t xml:space="preserve"> será presentado y se le pedirá al </w:t>
      </w:r>
      <w:r>
        <w:rPr>
          <w:lang w:val="es-ES"/>
        </w:rPr>
        <w:t>P</w:t>
      </w:r>
      <w:r w:rsidRPr="00336D39">
        <w:rPr>
          <w:lang w:val="es-ES"/>
        </w:rPr>
        <w:t xml:space="preserve">articipante que confirme la presentación de </w:t>
      </w:r>
      <w:r>
        <w:rPr>
          <w:lang w:val="es-ES"/>
        </w:rPr>
        <w:t>su</w:t>
      </w:r>
      <w:r w:rsidRPr="00336D39">
        <w:rPr>
          <w:lang w:val="es-ES"/>
        </w:rPr>
        <w:t xml:space="preserve"> </w:t>
      </w:r>
      <w:r>
        <w:rPr>
          <w:lang w:val="es-ES"/>
        </w:rPr>
        <w:t>oferta económica</w:t>
      </w:r>
      <w:r w:rsidRPr="00336D39">
        <w:rPr>
          <w:lang w:val="es-ES"/>
        </w:rPr>
        <w:t xml:space="preserve">. Solamente las </w:t>
      </w:r>
      <w:r>
        <w:rPr>
          <w:lang w:val="es-ES"/>
        </w:rPr>
        <w:t>ofertas económicas</w:t>
      </w:r>
      <w:r w:rsidRPr="00336D39">
        <w:rPr>
          <w:lang w:val="es-ES"/>
        </w:rPr>
        <w:t xml:space="preserve"> confirmadas serán registradas por el </w:t>
      </w:r>
      <w:r>
        <w:rPr>
          <w:lang w:val="es-ES"/>
        </w:rPr>
        <w:t>SES</w:t>
      </w:r>
      <w:r w:rsidRPr="00336D39">
        <w:rPr>
          <w:lang w:val="es-ES"/>
        </w:rPr>
        <w:t xml:space="preserve">. Se </w:t>
      </w:r>
      <w:r>
        <w:rPr>
          <w:lang w:val="es-ES"/>
        </w:rPr>
        <w:t>le dará</w:t>
      </w:r>
      <w:r w:rsidRPr="00336D39">
        <w:rPr>
          <w:lang w:val="es-ES"/>
        </w:rPr>
        <w:t xml:space="preserve"> un aviso </w:t>
      </w:r>
      <w:r>
        <w:rPr>
          <w:lang w:val="es-ES"/>
        </w:rPr>
        <w:t xml:space="preserve">en caso de que </w:t>
      </w:r>
      <w:r w:rsidRPr="00336D39">
        <w:rPr>
          <w:lang w:val="es-ES"/>
        </w:rPr>
        <w:t>est</w:t>
      </w:r>
      <w:r>
        <w:rPr>
          <w:lang w:val="es-ES"/>
        </w:rPr>
        <w:t>e</w:t>
      </w:r>
      <w:r w:rsidRPr="00336D39">
        <w:rPr>
          <w:lang w:val="es-ES"/>
        </w:rPr>
        <w:t xml:space="preserve"> reduciendo </w:t>
      </w:r>
      <w:r>
        <w:rPr>
          <w:lang w:val="es-ES"/>
        </w:rPr>
        <w:t>su</w:t>
      </w:r>
      <w:r w:rsidRPr="00336D39">
        <w:rPr>
          <w:lang w:val="es-ES"/>
        </w:rPr>
        <w:t xml:space="preserve"> demanda.</w:t>
      </w:r>
    </w:p>
    <w:p w14:paraId="3804D354" w14:textId="77777777" w:rsidR="0045050D" w:rsidRPr="0035706E" w:rsidRDefault="0045050D" w:rsidP="0045050D">
      <w:pPr>
        <w:pStyle w:val="Textoindependiente"/>
        <w:jc w:val="both"/>
        <w:rPr>
          <w:lang w:val="es-ES"/>
        </w:rPr>
      </w:pPr>
      <w:r w:rsidRPr="0035706E">
        <w:rPr>
          <w:lang w:val="es-ES"/>
        </w:rPr>
        <w:t xml:space="preserve">Una vez que el </w:t>
      </w:r>
      <w:r>
        <w:rPr>
          <w:lang w:val="es-ES"/>
        </w:rPr>
        <w:t>P</w:t>
      </w:r>
      <w:r w:rsidRPr="0035706E">
        <w:rPr>
          <w:lang w:val="es-ES"/>
        </w:rPr>
        <w:t xml:space="preserve">articipante haya confirmado una oferta </w:t>
      </w:r>
      <w:r>
        <w:rPr>
          <w:lang w:val="es-ES"/>
        </w:rPr>
        <w:t xml:space="preserve">económica </w:t>
      </w:r>
      <w:r w:rsidRPr="0035706E">
        <w:rPr>
          <w:lang w:val="es-ES"/>
        </w:rPr>
        <w:t xml:space="preserve">en una ronda de reloj, no podrá modificar o retirar esta oferta, o presentar ofertas </w:t>
      </w:r>
      <w:r>
        <w:rPr>
          <w:lang w:val="es-ES"/>
        </w:rPr>
        <w:t xml:space="preserve">adicionales </w:t>
      </w:r>
      <w:r w:rsidRPr="0035706E">
        <w:rPr>
          <w:lang w:val="es-ES"/>
        </w:rPr>
        <w:t xml:space="preserve">en </w:t>
      </w:r>
      <w:r>
        <w:rPr>
          <w:lang w:val="es-ES"/>
        </w:rPr>
        <w:t>esa</w:t>
      </w:r>
      <w:r w:rsidRPr="0035706E">
        <w:rPr>
          <w:lang w:val="es-ES"/>
        </w:rPr>
        <w:t xml:space="preserve"> ronda.</w:t>
      </w:r>
    </w:p>
    <w:p w14:paraId="2C2BFD6E" w14:textId="77777777" w:rsidR="0045050D" w:rsidRPr="0035706E" w:rsidRDefault="0045050D" w:rsidP="0045050D">
      <w:pPr>
        <w:pStyle w:val="Textoindependiente"/>
        <w:jc w:val="both"/>
        <w:rPr>
          <w:lang w:val="es-ES"/>
        </w:rPr>
      </w:pPr>
      <w:r w:rsidRPr="0035706E">
        <w:rPr>
          <w:lang w:val="es-ES"/>
        </w:rPr>
        <w:t xml:space="preserve">Se considera que un </w:t>
      </w:r>
      <w:r>
        <w:rPr>
          <w:lang w:val="es-ES"/>
        </w:rPr>
        <w:t>P</w:t>
      </w:r>
      <w:r w:rsidRPr="0035706E">
        <w:rPr>
          <w:lang w:val="es-ES"/>
        </w:rPr>
        <w:t xml:space="preserve">articipante no ha presentado una oferta </w:t>
      </w:r>
      <w:r>
        <w:rPr>
          <w:lang w:val="es-ES"/>
        </w:rPr>
        <w:t xml:space="preserve">económica </w:t>
      </w:r>
      <w:r w:rsidRPr="0035706E">
        <w:rPr>
          <w:lang w:val="es-ES"/>
        </w:rPr>
        <w:t xml:space="preserve">hasta el momento en el que se reciba confirmación de una oferta </w:t>
      </w:r>
      <w:r>
        <w:rPr>
          <w:lang w:val="es-ES"/>
        </w:rPr>
        <w:t xml:space="preserve">económica </w:t>
      </w:r>
      <w:r w:rsidRPr="0035706E">
        <w:rPr>
          <w:lang w:val="es-ES"/>
        </w:rPr>
        <w:t xml:space="preserve">válida en el servidor que alberga el </w:t>
      </w:r>
      <w:r>
        <w:rPr>
          <w:lang w:val="es-ES"/>
        </w:rPr>
        <w:t>SE</w:t>
      </w:r>
      <w:r w:rsidRPr="0035706E">
        <w:rPr>
          <w:lang w:val="es-ES"/>
        </w:rPr>
        <w:t xml:space="preserve">S. </w:t>
      </w:r>
      <w:r>
        <w:rPr>
          <w:lang w:val="es-ES"/>
        </w:rPr>
        <w:t>Un acuse de</w:t>
      </w:r>
      <w:r w:rsidRPr="0035706E">
        <w:rPr>
          <w:lang w:val="es-ES"/>
        </w:rPr>
        <w:t xml:space="preserve"> recibo de </w:t>
      </w:r>
      <w:r>
        <w:rPr>
          <w:lang w:val="es-ES"/>
        </w:rPr>
        <w:t>dicha</w:t>
      </w:r>
      <w:r w:rsidRPr="0035706E">
        <w:rPr>
          <w:lang w:val="es-ES"/>
        </w:rPr>
        <w:t xml:space="preserve"> confirmación será comunicado al </w:t>
      </w:r>
      <w:r>
        <w:rPr>
          <w:lang w:val="es-ES"/>
        </w:rPr>
        <w:t>P</w:t>
      </w:r>
      <w:r w:rsidRPr="0035706E">
        <w:rPr>
          <w:lang w:val="es-ES"/>
        </w:rPr>
        <w:t xml:space="preserve">articipante a través del </w:t>
      </w:r>
      <w:r>
        <w:rPr>
          <w:lang w:val="es-ES"/>
        </w:rPr>
        <w:t>SE</w:t>
      </w:r>
      <w:r w:rsidRPr="0035706E">
        <w:rPr>
          <w:lang w:val="es-ES"/>
        </w:rPr>
        <w:t xml:space="preserve">S. Es responsabilidad del </w:t>
      </w:r>
      <w:r>
        <w:rPr>
          <w:lang w:val="es-ES"/>
        </w:rPr>
        <w:t>P</w:t>
      </w:r>
      <w:r w:rsidRPr="0035706E">
        <w:rPr>
          <w:lang w:val="es-ES"/>
        </w:rPr>
        <w:t xml:space="preserve">articipante presentar su oferta </w:t>
      </w:r>
      <w:r>
        <w:rPr>
          <w:lang w:val="es-ES"/>
        </w:rPr>
        <w:t xml:space="preserve">económica </w:t>
      </w:r>
      <w:r w:rsidRPr="0035706E">
        <w:rPr>
          <w:lang w:val="es-ES"/>
        </w:rPr>
        <w:t xml:space="preserve">antes del final de una ronda y revisar el </w:t>
      </w:r>
      <w:r>
        <w:rPr>
          <w:lang w:val="es-ES"/>
        </w:rPr>
        <w:t xml:space="preserve">acuse de </w:t>
      </w:r>
      <w:r w:rsidRPr="0035706E">
        <w:rPr>
          <w:lang w:val="es-ES"/>
        </w:rPr>
        <w:t xml:space="preserve">recibo de la confirmación de la oferta por </w:t>
      </w:r>
      <w:r>
        <w:rPr>
          <w:lang w:val="es-ES"/>
        </w:rPr>
        <w:t>parte del</w:t>
      </w:r>
      <w:r w:rsidRPr="0035706E">
        <w:rPr>
          <w:lang w:val="es-ES"/>
        </w:rPr>
        <w:t xml:space="preserve"> </w:t>
      </w:r>
      <w:r>
        <w:rPr>
          <w:lang w:val="es-ES"/>
        </w:rPr>
        <w:t>SE</w:t>
      </w:r>
      <w:r w:rsidRPr="0035706E">
        <w:rPr>
          <w:lang w:val="es-ES"/>
        </w:rPr>
        <w:t xml:space="preserve">S. Se aconseja a los </w:t>
      </w:r>
      <w:r>
        <w:rPr>
          <w:lang w:val="es-ES"/>
        </w:rPr>
        <w:t>P</w:t>
      </w:r>
      <w:r w:rsidRPr="0035706E">
        <w:rPr>
          <w:lang w:val="es-ES"/>
        </w:rPr>
        <w:t xml:space="preserve">articipantes que alerten inmediatamente al </w:t>
      </w:r>
      <w:r>
        <w:rPr>
          <w:lang w:val="es-MX"/>
        </w:rPr>
        <w:t>Instituto</w:t>
      </w:r>
      <w:r w:rsidRPr="0035706E">
        <w:rPr>
          <w:lang w:val="es-ES"/>
        </w:rPr>
        <w:t xml:space="preserve"> si experimentan </w:t>
      </w:r>
      <w:r>
        <w:rPr>
          <w:lang w:val="es-ES"/>
        </w:rPr>
        <w:t xml:space="preserve">algún </w:t>
      </w:r>
      <w:r w:rsidRPr="0035706E">
        <w:rPr>
          <w:lang w:val="es-ES"/>
        </w:rPr>
        <w:t>problema con la presentación de ofertas.</w:t>
      </w:r>
    </w:p>
    <w:p w14:paraId="2EA63C7B" w14:textId="77777777" w:rsidR="0045050D" w:rsidRPr="0035706E" w:rsidRDefault="0045050D" w:rsidP="0045050D">
      <w:pPr>
        <w:pStyle w:val="Textoindependiente"/>
        <w:jc w:val="both"/>
        <w:rPr>
          <w:lang w:val="es-ES"/>
        </w:rPr>
      </w:pPr>
      <w:r w:rsidRPr="0035706E">
        <w:rPr>
          <w:lang w:val="es-ES"/>
        </w:rPr>
        <w:t xml:space="preserve">En la primera ronda de reloj, cada participante debe presentar una oferta </w:t>
      </w:r>
      <w:r>
        <w:rPr>
          <w:lang w:val="es-ES"/>
        </w:rPr>
        <w:t xml:space="preserve">económica </w:t>
      </w:r>
      <w:r w:rsidRPr="0035706E">
        <w:rPr>
          <w:lang w:val="es-ES"/>
        </w:rPr>
        <w:t xml:space="preserve">por un paquete conteniendo al menos un </w:t>
      </w:r>
      <w:r>
        <w:rPr>
          <w:lang w:val="es-ES"/>
        </w:rPr>
        <w:t>bloque</w:t>
      </w:r>
      <w:r w:rsidRPr="0035706E">
        <w:rPr>
          <w:lang w:val="es-ES"/>
        </w:rPr>
        <w:t xml:space="preserve"> (esto puede ser en cualquier categoría). Un participante que no presente una oferta </w:t>
      </w:r>
      <w:r>
        <w:rPr>
          <w:lang w:val="es-ES"/>
        </w:rPr>
        <w:t xml:space="preserve">económica </w:t>
      </w:r>
      <w:r w:rsidRPr="0035706E">
        <w:rPr>
          <w:lang w:val="es-ES"/>
        </w:rPr>
        <w:t xml:space="preserve">válida al precio de reserva en la primera ronda será excluido de participar posteriormente en la subasta y perderá su </w:t>
      </w:r>
      <w:r>
        <w:rPr>
          <w:lang w:val="es-ES"/>
        </w:rPr>
        <w:t>Garantía de Seriedad</w:t>
      </w:r>
      <w:r w:rsidRPr="0035706E">
        <w:rPr>
          <w:lang w:val="es-ES"/>
        </w:rPr>
        <w:t>.</w:t>
      </w:r>
    </w:p>
    <w:p w14:paraId="3A6AF427" w14:textId="77777777" w:rsidR="0045050D" w:rsidRPr="00336D39" w:rsidRDefault="0045050D" w:rsidP="0045050D">
      <w:pPr>
        <w:pStyle w:val="Textoindependiente"/>
        <w:jc w:val="both"/>
        <w:rPr>
          <w:lang w:val="es-ES"/>
        </w:rPr>
      </w:pPr>
      <w:r w:rsidRPr="0035706E">
        <w:rPr>
          <w:lang w:val="es-ES"/>
        </w:rPr>
        <w:t xml:space="preserve">De la ronda 2 en adelante, los </w:t>
      </w:r>
      <w:r>
        <w:rPr>
          <w:lang w:val="es-ES"/>
        </w:rPr>
        <w:t>P</w:t>
      </w:r>
      <w:r w:rsidRPr="0035706E">
        <w:rPr>
          <w:lang w:val="es-ES"/>
        </w:rPr>
        <w:t xml:space="preserve">articipantes tienen la opción de presentar una “oferta cero”, </w:t>
      </w:r>
      <w:r>
        <w:rPr>
          <w:lang w:val="es-ES"/>
        </w:rPr>
        <w:t>es</w:t>
      </w:r>
      <w:r w:rsidRPr="0035706E">
        <w:rPr>
          <w:lang w:val="es-ES"/>
        </w:rPr>
        <w:t xml:space="preserve"> </w:t>
      </w:r>
      <w:r>
        <w:rPr>
          <w:lang w:val="es-ES"/>
        </w:rPr>
        <w:t>decir</w:t>
      </w:r>
      <w:r w:rsidRPr="0035706E">
        <w:rPr>
          <w:lang w:val="es-ES"/>
        </w:rPr>
        <w:t>, realizar una oferta</w:t>
      </w:r>
      <w:r>
        <w:rPr>
          <w:lang w:val="es-ES"/>
        </w:rPr>
        <w:t xml:space="preserve"> económica</w:t>
      </w:r>
      <w:r w:rsidRPr="0035706E">
        <w:rPr>
          <w:lang w:val="es-ES"/>
        </w:rPr>
        <w:t xml:space="preserve"> por un paquete vacío conteniendo cero </w:t>
      </w:r>
      <w:r>
        <w:rPr>
          <w:lang w:val="es-ES"/>
        </w:rPr>
        <w:t>bloques</w:t>
      </w:r>
      <w:r w:rsidRPr="0035706E">
        <w:rPr>
          <w:lang w:val="es-ES"/>
        </w:rPr>
        <w:t xml:space="preserve"> en </w:t>
      </w:r>
      <w:r>
        <w:rPr>
          <w:lang w:val="es-ES"/>
        </w:rPr>
        <w:t>cada una de</w:t>
      </w:r>
      <w:r w:rsidRPr="0035706E">
        <w:rPr>
          <w:lang w:val="es-ES"/>
        </w:rPr>
        <w:t xml:space="preserve"> las tres categorías</w:t>
      </w:r>
      <w:r>
        <w:rPr>
          <w:lang w:val="es-ES"/>
        </w:rPr>
        <w:t xml:space="preserve"> (sub-bandas)</w:t>
      </w:r>
      <w:r w:rsidRPr="0035706E">
        <w:rPr>
          <w:lang w:val="es-ES"/>
        </w:rPr>
        <w:t xml:space="preserve">. En el caso que un </w:t>
      </w:r>
      <w:r>
        <w:rPr>
          <w:lang w:val="es-ES"/>
        </w:rPr>
        <w:t>P</w:t>
      </w:r>
      <w:r w:rsidRPr="00336D39">
        <w:rPr>
          <w:lang w:val="es-ES"/>
        </w:rPr>
        <w:t xml:space="preserve">articipante presente una oferta cero, el </w:t>
      </w:r>
      <w:r>
        <w:rPr>
          <w:lang w:val="es-ES"/>
        </w:rPr>
        <w:t>P</w:t>
      </w:r>
      <w:r w:rsidRPr="00336D39">
        <w:rPr>
          <w:lang w:val="es-ES"/>
        </w:rPr>
        <w:t xml:space="preserve">articipante ya no podrá realizar ofertas en rondas de reloj posteriores pero todavía </w:t>
      </w:r>
      <w:r>
        <w:rPr>
          <w:lang w:val="es-ES"/>
        </w:rPr>
        <w:t>podrá</w:t>
      </w:r>
      <w:r w:rsidRPr="00336D39">
        <w:rPr>
          <w:lang w:val="es-ES"/>
        </w:rPr>
        <w:t xml:space="preserve"> participar en la ronda suplementaria. En caso que el </w:t>
      </w:r>
      <w:r>
        <w:rPr>
          <w:lang w:val="es-ES"/>
        </w:rPr>
        <w:t>P</w:t>
      </w:r>
      <w:r w:rsidRPr="00336D39">
        <w:rPr>
          <w:lang w:val="es-ES"/>
        </w:rPr>
        <w:t xml:space="preserve">articipante no presente una oferta </w:t>
      </w:r>
      <w:r>
        <w:rPr>
          <w:lang w:val="es-ES"/>
        </w:rPr>
        <w:t xml:space="preserve">económica </w:t>
      </w:r>
      <w:r w:rsidRPr="00336D39">
        <w:rPr>
          <w:lang w:val="es-ES"/>
        </w:rPr>
        <w:t xml:space="preserve">dentro de una ronda (incluyendo el período de extensión si es relevante), el </w:t>
      </w:r>
      <w:r>
        <w:rPr>
          <w:lang w:val="es-ES"/>
        </w:rPr>
        <w:t>SES</w:t>
      </w:r>
      <w:r w:rsidRPr="00336D39">
        <w:rPr>
          <w:lang w:val="es-ES"/>
        </w:rPr>
        <w:t xml:space="preserve"> registrará automáticamente una oferta </w:t>
      </w:r>
      <w:r>
        <w:rPr>
          <w:lang w:val="es-ES"/>
        </w:rPr>
        <w:t xml:space="preserve">económica </w:t>
      </w:r>
      <w:r w:rsidRPr="00336D39">
        <w:rPr>
          <w:lang w:val="es-ES"/>
        </w:rPr>
        <w:t>de cero de parte del participante.</w:t>
      </w:r>
    </w:p>
    <w:p w14:paraId="34256239" w14:textId="77777777" w:rsidR="0045050D" w:rsidRPr="0035706E" w:rsidRDefault="0045050D" w:rsidP="0045050D">
      <w:pPr>
        <w:pStyle w:val="Textoindependiente"/>
        <w:jc w:val="both"/>
        <w:rPr>
          <w:lang w:val="es-ES"/>
        </w:rPr>
      </w:pPr>
      <w:r w:rsidRPr="00336D39">
        <w:rPr>
          <w:lang w:val="es-ES"/>
        </w:rPr>
        <w:t xml:space="preserve">En el </w:t>
      </w:r>
      <w:r>
        <w:rPr>
          <w:lang w:val="es-ES"/>
        </w:rPr>
        <w:t xml:space="preserve">poco probable </w:t>
      </w:r>
      <w:r w:rsidRPr="00336D39">
        <w:rPr>
          <w:lang w:val="es-ES"/>
        </w:rPr>
        <w:t xml:space="preserve">caso </w:t>
      </w:r>
      <w:r>
        <w:rPr>
          <w:lang w:val="es-ES"/>
        </w:rPr>
        <w:t>de</w:t>
      </w:r>
      <w:r w:rsidRPr="00336D39">
        <w:rPr>
          <w:lang w:val="es-ES"/>
        </w:rPr>
        <w:t xml:space="preserve"> que un </w:t>
      </w:r>
      <w:r>
        <w:rPr>
          <w:lang w:val="es-ES"/>
        </w:rPr>
        <w:t>P</w:t>
      </w:r>
      <w:r w:rsidRPr="00336D39">
        <w:rPr>
          <w:lang w:val="es-ES"/>
        </w:rPr>
        <w:t>articipante experimente</w:t>
      </w:r>
      <w:r w:rsidRPr="0035706E">
        <w:rPr>
          <w:lang w:val="es-ES"/>
        </w:rPr>
        <w:t xml:space="preserve"> problemas presentando una oferta de reloj usando el </w:t>
      </w:r>
      <w:r>
        <w:rPr>
          <w:lang w:val="es-ES"/>
        </w:rPr>
        <w:t>SES</w:t>
      </w:r>
      <w:r w:rsidRPr="0035706E">
        <w:rPr>
          <w:lang w:val="es-ES"/>
        </w:rPr>
        <w:t xml:space="preserve">, </w:t>
      </w:r>
      <w:r>
        <w:rPr>
          <w:lang w:val="es-ES"/>
        </w:rPr>
        <w:t xml:space="preserve">se tiene </w:t>
      </w:r>
      <w:r w:rsidRPr="0035706E">
        <w:rPr>
          <w:lang w:val="es-ES"/>
        </w:rPr>
        <w:t xml:space="preserve">un procedimiento de respaldo (back-up) para la presentación de </w:t>
      </w:r>
      <w:r>
        <w:rPr>
          <w:lang w:val="es-ES"/>
        </w:rPr>
        <w:t>ofertas económicas</w:t>
      </w:r>
      <w:r w:rsidRPr="0035706E">
        <w:rPr>
          <w:lang w:val="es-ES"/>
        </w:rPr>
        <w:t xml:space="preserve"> </w:t>
      </w:r>
      <w:r>
        <w:rPr>
          <w:lang w:val="es-ES"/>
        </w:rPr>
        <w:t>vía</w:t>
      </w:r>
      <w:r w:rsidRPr="0035706E">
        <w:rPr>
          <w:lang w:val="es-ES"/>
        </w:rPr>
        <w:t xml:space="preserve"> </w:t>
      </w:r>
      <w:r>
        <w:rPr>
          <w:lang w:val="es-ES"/>
        </w:rPr>
        <w:t xml:space="preserve">llamada </w:t>
      </w:r>
      <w:r w:rsidRPr="0035706E">
        <w:rPr>
          <w:lang w:val="es-ES"/>
        </w:rPr>
        <w:t>telefón</w:t>
      </w:r>
      <w:r>
        <w:rPr>
          <w:lang w:val="es-ES"/>
        </w:rPr>
        <w:t>ica</w:t>
      </w:r>
      <w:r w:rsidRPr="0035706E">
        <w:rPr>
          <w:lang w:val="es-ES"/>
        </w:rPr>
        <w:t>. Má</w:t>
      </w:r>
      <w:r>
        <w:rPr>
          <w:lang w:val="es-ES"/>
        </w:rPr>
        <w:t>s</w:t>
      </w:r>
      <w:r w:rsidRPr="0035706E">
        <w:rPr>
          <w:lang w:val="es-ES"/>
        </w:rPr>
        <w:t xml:space="preserve"> información </w:t>
      </w:r>
      <w:r>
        <w:rPr>
          <w:lang w:val="es-ES"/>
        </w:rPr>
        <w:t>sobre</w:t>
      </w:r>
      <w:r w:rsidRPr="0035706E">
        <w:rPr>
          <w:lang w:val="es-ES"/>
        </w:rPr>
        <w:t xml:space="preserve"> </w:t>
      </w:r>
      <w:r>
        <w:rPr>
          <w:lang w:val="es-ES"/>
        </w:rPr>
        <w:t>el</w:t>
      </w:r>
      <w:r w:rsidRPr="0035706E">
        <w:rPr>
          <w:lang w:val="es-ES"/>
        </w:rPr>
        <w:t xml:space="preserve"> proce</w:t>
      </w:r>
      <w:r>
        <w:rPr>
          <w:lang w:val="es-ES"/>
        </w:rPr>
        <w:t>dimiento</w:t>
      </w:r>
      <w:r w:rsidRPr="0035706E">
        <w:rPr>
          <w:lang w:val="es-ES"/>
        </w:rPr>
        <w:t xml:space="preserve"> de respaldo (back-up) </w:t>
      </w:r>
      <w:r>
        <w:rPr>
          <w:lang w:val="es-ES"/>
        </w:rPr>
        <w:t>será provisto en el manual del SES.</w:t>
      </w:r>
    </w:p>
    <w:p w14:paraId="1935E752" w14:textId="77777777" w:rsidR="0045050D" w:rsidRPr="0035706E" w:rsidRDefault="0045050D" w:rsidP="0045050D">
      <w:pPr>
        <w:pStyle w:val="Ttulo3"/>
        <w:jc w:val="both"/>
        <w:rPr>
          <w:lang w:val="es-ES"/>
        </w:rPr>
      </w:pPr>
      <w:bookmarkStart w:id="45" w:name="_Toc430281533"/>
      <w:r w:rsidRPr="0035706E">
        <w:rPr>
          <w:lang w:val="es-ES"/>
        </w:rPr>
        <w:t>Derechos de extensión</w:t>
      </w:r>
      <w:bookmarkEnd w:id="45"/>
    </w:p>
    <w:p w14:paraId="43F7FA9F" w14:textId="77777777" w:rsidR="0045050D" w:rsidRPr="0035706E" w:rsidRDefault="0045050D" w:rsidP="0045050D">
      <w:pPr>
        <w:pStyle w:val="Textoindependiente"/>
        <w:jc w:val="both"/>
        <w:rPr>
          <w:lang w:val="es-ES"/>
        </w:rPr>
      </w:pPr>
      <w:r w:rsidRPr="0035706E">
        <w:rPr>
          <w:lang w:val="es-ES"/>
        </w:rPr>
        <w:t xml:space="preserve">Cada </w:t>
      </w:r>
      <w:r>
        <w:rPr>
          <w:lang w:val="es-ES"/>
        </w:rPr>
        <w:t>P</w:t>
      </w:r>
      <w:r w:rsidRPr="0035706E">
        <w:rPr>
          <w:lang w:val="es-ES"/>
        </w:rPr>
        <w:t xml:space="preserve">articipante comienza las rondas de reloj con </w:t>
      </w:r>
      <w:r>
        <w:rPr>
          <w:lang w:val="es-ES"/>
        </w:rPr>
        <w:t>2 (</w:t>
      </w:r>
      <w:r w:rsidRPr="0035706E">
        <w:rPr>
          <w:lang w:val="es-ES"/>
        </w:rPr>
        <w:t>dos</w:t>
      </w:r>
      <w:r>
        <w:rPr>
          <w:lang w:val="es-ES"/>
        </w:rPr>
        <w:t>)</w:t>
      </w:r>
      <w:r w:rsidRPr="0035706E">
        <w:rPr>
          <w:lang w:val="es-ES"/>
        </w:rPr>
        <w:t xml:space="preserve"> derechos de extensión para </w:t>
      </w:r>
      <w:r>
        <w:rPr>
          <w:lang w:val="es-ES"/>
        </w:rPr>
        <w:t xml:space="preserve">toda la etapa de </w:t>
      </w:r>
      <w:r w:rsidRPr="0035706E">
        <w:rPr>
          <w:lang w:val="es-ES"/>
        </w:rPr>
        <w:t>las rondas de reloj.</w:t>
      </w:r>
    </w:p>
    <w:p w14:paraId="1B568AB1" w14:textId="77777777" w:rsidR="0045050D" w:rsidRPr="0035706E" w:rsidRDefault="0045050D" w:rsidP="0045050D">
      <w:pPr>
        <w:pStyle w:val="Textoindependiente"/>
        <w:jc w:val="both"/>
        <w:rPr>
          <w:lang w:val="es-ES"/>
        </w:rPr>
      </w:pPr>
      <w:r w:rsidRPr="0035706E">
        <w:rPr>
          <w:lang w:val="es-ES"/>
        </w:rPr>
        <w:t xml:space="preserve">Un derecho de extensión le brinda a un </w:t>
      </w:r>
      <w:r>
        <w:rPr>
          <w:lang w:val="es-ES"/>
        </w:rPr>
        <w:t>P</w:t>
      </w:r>
      <w:r w:rsidRPr="0035706E">
        <w:rPr>
          <w:lang w:val="es-ES"/>
        </w:rPr>
        <w:t xml:space="preserve">articipante tiempo adicional para presentar una oferta durante una ronda de reloj. En caso que un </w:t>
      </w:r>
      <w:r>
        <w:rPr>
          <w:lang w:val="es-ES"/>
        </w:rPr>
        <w:t>P</w:t>
      </w:r>
      <w:r w:rsidRPr="0035706E">
        <w:rPr>
          <w:lang w:val="es-ES"/>
        </w:rPr>
        <w:t xml:space="preserve">articipante </w:t>
      </w:r>
      <w:r>
        <w:rPr>
          <w:lang w:val="es-ES"/>
        </w:rPr>
        <w:t>tenga</w:t>
      </w:r>
      <w:r w:rsidRPr="0035706E">
        <w:rPr>
          <w:lang w:val="es-ES"/>
        </w:rPr>
        <w:t xml:space="preserve"> todavía uno o más derechos de extensión </w:t>
      </w:r>
      <w:r>
        <w:rPr>
          <w:lang w:val="es-ES"/>
        </w:rPr>
        <w:t xml:space="preserve">y </w:t>
      </w:r>
      <w:r w:rsidRPr="0035706E">
        <w:rPr>
          <w:lang w:val="es-ES"/>
        </w:rPr>
        <w:t xml:space="preserve">no presente una oferta durante </w:t>
      </w:r>
      <w:r>
        <w:rPr>
          <w:lang w:val="es-ES"/>
        </w:rPr>
        <w:t>esa</w:t>
      </w:r>
      <w:r w:rsidRPr="0035706E">
        <w:rPr>
          <w:lang w:val="es-ES"/>
        </w:rPr>
        <w:t xml:space="preserve"> ronda de reloj, la ronda será extendida automáticamente para ese </w:t>
      </w:r>
      <w:r>
        <w:rPr>
          <w:lang w:val="es-ES"/>
        </w:rPr>
        <w:t>P</w:t>
      </w:r>
      <w:r w:rsidRPr="0035706E">
        <w:rPr>
          <w:lang w:val="es-ES"/>
        </w:rPr>
        <w:t xml:space="preserve">articipante, y </w:t>
      </w:r>
      <w:r>
        <w:rPr>
          <w:lang w:val="es-ES"/>
        </w:rPr>
        <w:t xml:space="preserve">se reducirá </w:t>
      </w:r>
      <w:r w:rsidRPr="0035706E">
        <w:rPr>
          <w:lang w:val="es-ES"/>
        </w:rPr>
        <w:t>uno de sus derechos de extensión.</w:t>
      </w:r>
    </w:p>
    <w:p w14:paraId="6213757A" w14:textId="77777777" w:rsidR="0045050D" w:rsidRPr="0035706E" w:rsidRDefault="0045050D" w:rsidP="0045050D">
      <w:pPr>
        <w:pStyle w:val="Textoindependiente"/>
        <w:jc w:val="both"/>
        <w:rPr>
          <w:lang w:val="es-ES"/>
        </w:rPr>
      </w:pPr>
      <w:r w:rsidRPr="0035706E">
        <w:rPr>
          <w:lang w:val="es-ES"/>
        </w:rPr>
        <w:t xml:space="preserve">El período de extensión termina 30 minutos después del final programado de la ronda, o una vez que todos los participantes que estén usando extensiones hayan presentado exitosamente sus ofertas, lo que suceda </w:t>
      </w:r>
      <w:r>
        <w:rPr>
          <w:lang w:val="es-ES"/>
        </w:rPr>
        <w:t>primero</w:t>
      </w:r>
      <w:r w:rsidRPr="0035706E">
        <w:rPr>
          <w:lang w:val="es-ES"/>
        </w:rPr>
        <w:t>.</w:t>
      </w:r>
    </w:p>
    <w:p w14:paraId="1F8EA69C" w14:textId="77777777" w:rsidR="0045050D" w:rsidRPr="0035706E" w:rsidRDefault="0045050D" w:rsidP="0045050D">
      <w:pPr>
        <w:pStyle w:val="Textoindependiente"/>
        <w:jc w:val="both"/>
        <w:rPr>
          <w:lang w:val="es-ES"/>
        </w:rPr>
      </w:pPr>
      <w:r w:rsidRPr="0035706E">
        <w:rPr>
          <w:lang w:val="es-ES"/>
        </w:rPr>
        <w:t xml:space="preserve">Los </w:t>
      </w:r>
      <w:r>
        <w:rPr>
          <w:lang w:val="es-ES"/>
        </w:rPr>
        <w:t>P</w:t>
      </w:r>
      <w:r w:rsidRPr="0035706E">
        <w:rPr>
          <w:lang w:val="es-ES"/>
        </w:rPr>
        <w:t xml:space="preserve">articipantes que ya han presentado una oferta </w:t>
      </w:r>
      <w:r>
        <w:rPr>
          <w:lang w:val="es-ES"/>
        </w:rPr>
        <w:t xml:space="preserve">económica </w:t>
      </w:r>
      <w:r w:rsidRPr="0035706E">
        <w:rPr>
          <w:lang w:val="es-ES"/>
        </w:rPr>
        <w:t xml:space="preserve">durante la ronda no pueden realizar más acciones durante el período de extensión; se les informará que la ronda ha sido extendida y deberán esperar </w:t>
      </w:r>
      <w:r>
        <w:rPr>
          <w:lang w:val="es-ES"/>
        </w:rPr>
        <w:t>a</w:t>
      </w:r>
      <w:r w:rsidRPr="0035706E">
        <w:rPr>
          <w:lang w:val="es-ES"/>
        </w:rPr>
        <w:t xml:space="preserve">l anuncio </w:t>
      </w:r>
      <w:r>
        <w:rPr>
          <w:lang w:val="es-ES"/>
        </w:rPr>
        <w:t xml:space="preserve">de </w:t>
      </w:r>
      <w:r w:rsidRPr="0035706E">
        <w:rPr>
          <w:lang w:val="es-ES"/>
        </w:rPr>
        <w:t>que la ronda ha concluido.</w:t>
      </w:r>
    </w:p>
    <w:p w14:paraId="3E9A679E" w14:textId="77777777" w:rsidR="0045050D" w:rsidRPr="0035706E" w:rsidRDefault="0045050D" w:rsidP="0045050D">
      <w:pPr>
        <w:pStyle w:val="Textoindependiente"/>
        <w:jc w:val="both"/>
        <w:rPr>
          <w:lang w:val="es-ES"/>
        </w:rPr>
      </w:pPr>
      <w:r w:rsidRPr="0035706E">
        <w:rPr>
          <w:lang w:val="es-ES"/>
        </w:rPr>
        <w:t xml:space="preserve">Los </w:t>
      </w:r>
      <w:r>
        <w:rPr>
          <w:lang w:val="es-ES"/>
        </w:rPr>
        <w:t>P</w:t>
      </w:r>
      <w:r w:rsidRPr="0035706E">
        <w:rPr>
          <w:lang w:val="es-ES"/>
        </w:rPr>
        <w:t xml:space="preserve">articipantes que no hayan presentado una oferta </w:t>
      </w:r>
      <w:r>
        <w:rPr>
          <w:lang w:val="es-ES"/>
        </w:rPr>
        <w:t xml:space="preserve">económica </w:t>
      </w:r>
      <w:r w:rsidRPr="0035706E">
        <w:rPr>
          <w:lang w:val="es-ES"/>
        </w:rPr>
        <w:t>durante la ronda de reloj y ya no tengan más derechos de extensión no podrán enviar una oferta durante el período de extensión, por lo que una oferta de cero será registrada automáticamente de su parte.</w:t>
      </w:r>
    </w:p>
    <w:p w14:paraId="4485F409" w14:textId="77777777" w:rsidR="0045050D" w:rsidRPr="0035706E" w:rsidRDefault="0045050D" w:rsidP="0045050D">
      <w:pPr>
        <w:pStyle w:val="Textoindependiente"/>
        <w:jc w:val="both"/>
        <w:rPr>
          <w:lang w:val="es-MX"/>
        </w:rPr>
      </w:pPr>
      <w:r w:rsidRPr="0035706E">
        <w:rPr>
          <w:lang w:val="es-MX"/>
        </w:rPr>
        <w:t xml:space="preserve">Derechos de extensión adicionales para las rondas de reloj pueden ser otorgados ya sea a todos los </w:t>
      </w:r>
      <w:r>
        <w:rPr>
          <w:lang w:val="es-MX"/>
        </w:rPr>
        <w:t>P</w:t>
      </w:r>
      <w:r w:rsidRPr="0035706E">
        <w:rPr>
          <w:lang w:val="es-MX"/>
        </w:rPr>
        <w:t xml:space="preserve">articipantes o a </w:t>
      </w:r>
      <w:r>
        <w:rPr>
          <w:lang w:val="es-MX"/>
        </w:rPr>
        <w:t>P</w:t>
      </w:r>
      <w:r w:rsidRPr="0035706E">
        <w:rPr>
          <w:lang w:val="es-MX"/>
        </w:rPr>
        <w:t xml:space="preserve">articipantes individuales a la discreción del </w:t>
      </w:r>
      <w:r>
        <w:rPr>
          <w:lang w:val="es-MX"/>
        </w:rPr>
        <w:t>Instituto</w:t>
      </w:r>
      <w:r w:rsidRPr="0035706E">
        <w:rPr>
          <w:lang w:val="es-MX"/>
        </w:rPr>
        <w:t xml:space="preserve">. El </w:t>
      </w:r>
      <w:r>
        <w:rPr>
          <w:lang w:val="es-MX"/>
        </w:rPr>
        <w:t>Instituto</w:t>
      </w:r>
      <w:r w:rsidRPr="0035706E">
        <w:rPr>
          <w:lang w:val="es-MX"/>
        </w:rPr>
        <w:t xml:space="preserve"> no otorgar</w:t>
      </w:r>
      <w:r>
        <w:rPr>
          <w:lang w:val="es-MX"/>
        </w:rPr>
        <w:t>á</w:t>
      </w:r>
      <w:r w:rsidRPr="0035706E">
        <w:rPr>
          <w:lang w:val="es-MX"/>
        </w:rPr>
        <w:t xml:space="preserve"> derechos de extensión adicionales a menos que tenga razones para creer que uno o más </w:t>
      </w:r>
      <w:r>
        <w:rPr>
          <w:lang w:val="es-MX"/>
        </w:rPr>
        <w:t>P</w:t>
      </w:r>
      <w:r w:rsidRPr="0035706E">
        <w:rPr>
          <w:lang w:val="es-MX"/>
        </w:rPr>
        <w:t>articipantes experiment</w:t>
      </w:r>
      <w:r>
        <w:rPr>
          <w:lang w:val="es-MX"/>
        </w:rPr>
        <w:t xml:space="preserve">aron </w:t>
      </w:r>
      <w:r w:rsidRPr="0035706E">
        <w:rPr>
          <w:lang w:val="es-MX"/>
        </w:rPr>
        <w:t xml:space="preserve">problemas técnicos </w:t>
      </w:r>
      <w:r>
        <w:rPr>
          <w:lang w:val="es-MX"/>
        </w:rPr>
        <w:t xml:space="preserve">(mismos que no pudieron haber anticipado) </w:t>
      </w:r>
      <w:r w:rsidRPr="0035706E">
        <w:rPr>
          <w:lang w:val="es-MX"/>
        </w:rPr>
        <w:t xml:space="preserve">o de otra índole en la realización de </w:t>
      </w:r>
      <w:r>
        <w:rPr>
          <w:lang w:val="es-MX"/>
        </w:rPr>
        <w:t>sus ofertas económicas</w:t>
      </w:r>
      <w:r w:rsidRPr="0035706E">
        <w:rPr>
          <w:lang w:val="es-MX"/>
        </w:rPr>
        <w:t xml:space="preserve">, y que el otorgar extensiones adicionales va con el interés general de llevar a cabo un proceso de subasta eficiente. </w:t>
      </w:r>
      <w:r>
        <w:rPr>
          <w:lang w:val="es-MX"/>
        </w:rPr>
        <w:t>Los d</w:t>
      </w:r>
      <w:r w:rsidRPr="0035706E">
        <w:rPr>
          <w:lang w:val="es-MX"/>
        </w:rPr>
        <w:t xml:space="preserve">erechos de extensión adicionales pueden solamente ser otorgados en los períodos entre las rondas de reloj. No pueden ser otorgados durante una </w:t>
      </w:r>
      <w:r>
        <w:rPr>
          <w:lang w:val="es-MX"/>
        </w:rPr>
        <w:t xml:space="preserve">determinada </w:t>
      </w:r>
      <w:r w:rsidRPr="0035706E">
        <w:rPr>
          <w:lang w:val="es-MX"/>
        </w:rPr>
        <w:t>ronda de reloj.</w:t>
      </w:r>
    </w:p>
    <w:p w14:paraId="49F3B525" w14:textId="2B046AA9" w:rsidR="0045050D" w:rsidRPr="0035706E" w:rsidRDefault="0045050D" w:rsidP="0045050D">
      <w:pPr>
        <w:pStyle w:val="Textoindependiente"/>
        <w:jc w:val="both"/>
        <w:rPr>
          <w:lang w:val="es-ES"/>
        </w:rPr>
      </w:pPr>
      <w:r w:rsidRPr="0035706E">
        <w:rPr>
          <w:lang w:val="es-ES"/>
        </w:rPr>
        <w:t xml:space="preserve">Un </w:t>
      </w:r>
      <w:r>
        <w:rPr>
          <w:lang w:val="es-ES"/>
        </w:rPr>
        <w:t>P</w:t>
      </w:r>
      <w:r w:rsidRPr="0035706E">
        <w:rPr>
          <w:lang w:val="es-ES"/>
        </w:rPr>
        <w:t xml:space="preserve">articipante puede notificar al </w:t>
      </w:r>
      <w:r>
        <w:rPr>
          <w:lang w:val="es-MX"/>
        </w:rPr>
        <w:t>Instituto</w:t>
      </w:r>
      <w:r w:rsidRPr="0035706E">
        <w:rPr>
          <w:lang w:val="es-ES"/>
        </w:rPr>
        <w:t xml:space="preserve"> que no puede presentar una oferta durante una ronda de reloj y que probablemente vaya a requerir un período de extensión; la notificación no es obligatoria pero ayuda</w:t>
      </w:r>
      <w:r>
        <w:rPr>
          <w:lang w:val="es-ES"/>
        </w:rPr>
        <w:t>ría</w:t>
      </w:r>
      <w:r w:rsidRPr="0035706E">
        <w:rPr>
          <w:lang w:val="es-ES"/>
        </w:rPr>
        <w:t xml:space="preserve"> en la administración del proceso.</w:t>
      </w:r>
    </w:p>
    <w:p w14:paraId="257923A9" w14:textId="77777777" w:rsidR="0045050D" w:rsidRPr="0035706E" w:rsidRDefault="0045050D" w:rsidP="0045050D">
      <w:pPr>
        <w:pStyle w:val="Ttulo3"/>
        <w:jc w:val="both"/>
        <w:rPr>
          <w:lang w:val="es-ES"/>
        </w:rPr>
      </w:pPr>
      <w:bookmarkStart w:id="46" w:name="_Toc430281534"/>
      <w:r w:rsidRPr="0035706E">
        <w:rPr>
          <w:lang w:val="es-ES"/>
        </w:rPr>
        <w:t>Precios de reloj</w:t>
      </w:r>
      <w:bookmarkEnd w:id="46"/>
      <w:r w:rsidRPr="0035706E">
        <w:rPr>
          <w:lang w:val="es-ES"/>
        </w:rPr>
        <w:t xml:space="preserve"> </w:t>
      </w:r>
    </w:p>
    <w:p w14:paraId="3359CE5B" w14:textId="77777777" w:rsidR="0045050D" w:rsidRPr="00AC217B" w:rsidRDefault="0045050D" w:rsidP="0045050D">
      <w:pPr>
        <w:pStyle w:val="Textoindependiente"/>
        <w:jc w:val="both"/>
        <w:rPr>
          <w:lang w:val="es-MX"/>
        </w:rPr>
      </w:pPr>
      <w:r w:rsidRPr="0035706E">
        <w:rPr>
          <w:lang w:val="es-MX"/>
        </w:rPr>
        <w:t xml:space="preserve">En cada ronda de reloj, el </w:t>
      </w:r>
      <w:r>
        <w:rPr>
          <w:lang w:val="es-MX"/>
        </w:rPr>
        <w:t>Instituto</w:t>
      </w:r>
      <w:r w:rsidRPr="0035706E">
        <w:rPr>
          <w:lang w:val="es-MX"/>
        </w:rPr>
        <w:t xml:space="preserve"> </w:t>
      </w:r>
      <w:r w:rsidRPr="00AC217B">
        <w:rPr>
          <w:lang w:val="es-MX"/>
        </w:rPr>
        <w:t xml:space="preserve">especificará un precio de reloj por </w:t>
      </w:r>
      <w:r>
        <w:rPr>
          <w:lang w:val="es-MX"/>
        </w:rPr>
        <w:t>bloque</w:t>
      </w:r>
      <w:r w:rsidRPr="00AC217B">
        <w:rPr>
          <w:lang w:val="es-MX"/>
        </w:rPr>
        <w:t xml:space="preserve"> para cada categoría. Esto será en un monto en unidades de </w:t>
      </w:r>
      <w:r>
        <w:rPr>
          <w:lang w:val="es-MX"/>
        </w:rPr>
        <w:t xml:space="preserve">miles de </w:t>
      </w:r>
      <w:r w:rsidRPr="00AC217B">
        <w:rPr>
          <w:lang w:val="es-MX"/>
        </w:rPr>
        <w:t xml:space="preserve">pesos. </w:t>
      </w:r>
    </w:p>
    <w:p w14:paraId="174E493C" w14:textId="77777777" w:rsidR="0045050D" w:rsidRPr="00AC217B" w:rsidRDefault="0045050D" w:rsidP="0045050D">
      <w:pPr>
        <w:pStyle w:val="Textoindependiente"/>
        <w:jc w:val="both"/>
        <w:rPr>
          <w:lang w:val="es-ES"/>
        </w:rPr>
      </w:pPr>
      <w:r w:rsidRPr="00AC217B">
        <w:rPr>
          <w:lang w:val="es-ES"/>
        </w:rPr>
        <w:t>En la primera ronda de reloj, el precio de reloj para cada categoría será igual al precio de reserva para esa categoría</w:t>
      </w:r>
      <w:r>
        <w:rPr>
          <w:lang w:val="es-ES"/>
        </w:rPr>
        <w:t>.</w:t>
      </w:r>
    </w:p>
    <w:p w14:paraId="315C43E9" w14:textId="77777777" w:rsidR="0045050D" w:rsidRPr="00AC217B" w:rsidRDefault="0045050D" w:rsidP="0045050D">
      <w:pPr>
        <w:pStyle w:val="Textoindependiente"/>
        <w:jc w:val="both"/>
        <w:rPr>
          <w:lang w:val="es-ES"/>
        </w:rPr>
      </w:pPr>
      <w:r w:rsidRPr="00AC217B">
        <w:rPr>
          <w:lang w:val="es-ES"/>
        </w:rPr>
        <w:t xml:space="preserve">En las rondas </w:t>
      </w:r>
      <w:r w:rsidRPr="009D2204">
        <w:rPr>
          <w:lang w:val="es-ES"/>
        </w:rPr>
        <w:t xml:space="preserve">de reloj </w:t>
      </w:r>
      <w:r w:rsidRPr="00AC217B">
        <w:rPr>
          <w:lang w:val="es-ES"/>
        </w:rPr>
        <w:t xml:space="preserve">subsecuentes, el precio de reloj para cada categoría será incrementado si hay un exceso de demanda. Se considera que una categoría tiene demanda </w:t>
      </w:r>
      <w:r>
        <w:rPr>
          <w:lang w:val="es-ES"/>
        </w:rPr>
        <w:t xml:space="preserve">en </w:t>
      </w:r>
      <w:r w:rsidRPr="00AC217B">
        <w:rPr>
          <w:lang w:val="es-ES"/>
        </w:rPr>
        <w:t>exces</w:t>
      </w:r>
      <w:r>
        <w:rPr>
          <w:lang w:val="es-ES"/>
        </w:rPr>
        <w:t>o</w:t>
      </w:r>
      <w:r w:rsidRPr="00AC217B">
        <w:rPr>
          <w:lang w:val="es-ES"/>
        </w:rPr>
        <w:t xml:space="preserve"> si la demanda agregada por </w:t>
      </w:r>
      <w:r>
        <w:rPr>
          <w:lang w:val="es-ES"/>
        </w:rPr>
        <w:t>b</w:t>
      </w:r>
      <w:r w:rsidRPr="00AC217B">
        <w:rPr>
          <w:lang w:val="es-ES"/>
        </w:rPr>
        <w:t>lo</w:t>
      </w:r>
      <w:r>
        <w:rPr>
          <w:lang w:val="es-ES"/>
        </w:rPr>
        <w:t>ques</w:t>
      </w:r>
      <w:r w:rsidRPr="00AC217B">
        <w:rPr>
          <w:lang w:val="es-ES"/>
        </w:rPr>
        <w:t xml:space="preserve"> en esa categoría a lo largo de todas las ofertas por paquete presentadas en la misma ronda por todos los </w:t>
      </w:r>
      <w:r>
        <w:rPr>
          <w:lang w:val="es-ES"/>
        </w:rPr>
        <w:t>P</w:t>
      </w:r>
      <w:r w:rsidRPr="00AC217B">
        <w:rPr>
          <w:lang w:val="es-ES"/>
        </w:rPr>
        <w:t xml:space="preserve">articipantes excede la oferta de </w:t>
      </w:r>
      <w:r>
        <w:rPr>
          <w:lang w:val="es-ES"/>
        </w:rPr>
        <w:t>bloques</w:t>
      </w:r>
      <w:r w:rsidRPr="00AC217B">
        <w:rPr>
          <w:lang w:val="es-ES"/>
        </w:rPr>
        <w:t xml:space="preserve"> en esa categoría. Para las categorías donde no hay demanda en exceso, el precio de reloj permanecerá inalterado. No es posible que el precio de reloj en </w:t>
      </w:r>
      <w:r>
        <w:rPr>
          <w:lang w:val="es-ES"/>
        </w:rPr>
        <w:t>alguna</w:t>
      </w:r>
      <w:r w:rsidRPr="00AC217B">
        <w:rPr>
          <w:lang w:val="es-ES"/>
        </w:rPr>
        <w:t xml:space="preserve"> categoría caiga durante las rondas de reloj.</w:t>
      </w:r>
    </w:p>
    <w:p w14:paraId="3BA61591" w14:textId="77777777" w:rsidR="0045050D" w:rsidRPr="0035706E" w:rsidRDefault="0045050D" w:rsidP="0045050D">
      <w:pPr>
        <w:pStyle w:val="Textoindependiente"/>
        <w:jc w:val="both"/>
        <w:rPr>
          <w:lang w:val="es-ES"/>
        </w:rPr>
      </w:pPr>
      <w:r w:rsidRPr="00AC217B">
        <w:rPr>
          <w:lang w:val="es-ES"/>
        </w:rPr>
        <w:t xml:space="preserve">En cada ronda y para cada categoría, el monto por el cual un precio de reloj se incrementa se determina a la discreción del </w:t>
      </w:r>
      <w:r>
        <w:rPr>
          <w:lang w:val="es-MX"/>
        </w:rPr>
        <w:t>Instituto</w:t>
      </w:r>
      <w:r w:rsidRPr="00AC217B">
        <w:rPr>
          <w:lang w:val="es-ES"/>
        </w:rPr>
        <w:t xml:space="preserve">. No hay incremento mínimo o máximo en términos absolutos o porcentuales, y el nivel de incremento puede variar a lo largo de las categorías en la misma ronda. Sin embargo, para proveer a los participantes de una certeza razonable sobre cómo los precios pueden cambiar durante la subasta, el </w:t>
      </w:r>
      <w:r>
        <w:rPr>
          <w:lang w:val="es-MX"/>
        </w:rPr>
        <w:t>Instituto</w:t>
      </w:r>
      <w:r w:rsidRPr="00AC217B">
        <w:rPr>
          <w:lang w:val="es-ES"/>
        </w:rPr>
        <w:t xml:space="preserve"> proveerá lineamientos sobre su enfoque antes de comenzar la subasta. Estos lineamientos pueden</w:t>
      </w:r>
      <w:r w:rsidRPr="0035706E">
        <w:rPr>
          <w:lang w:val="es-ES"/>
        </w:rPr>
        <w:t xml:space="preserve"> incluir un rango para los incrementos para los precios mínimos y máximos que el </w:t>
      </w:r>
      <w:r>
        <w:rPr>
          <w:lang w:val="es-MX"/>
        </w:rPr>
        <w:t>Instituto</w:t>
      </w:r>
      <w:r w:rsidRPr="0035706E">
        <w:rPr>
          <w:lang w:val="es-ES"/>
        </w:rPr>
        <w:t xml:space="preserve"> probablemente vaya a aplicar en cada categoría, expresados como un porcentaje del precio de reloj actual, y un </w:t>
      </w:r>
      <w:r>
        <w:rPr>
          <w:lang w:val="es-ES"/>
        </w:rPr>
        <w:t>límite máximo</w:t>
      </w:r>
      <w:r w:rsidRPr="0035706E">
        <w:rPr>
          <w:lang w:val="es-ES"/>
        </w:rPr>
        <w:t xml:space="preserve"> provisional en pesos sobre el incremento de precio más grande que pueda ser aplicado por </w:t>
      </w:r>
      <w:r>
        <w:rPr>
          <w:lang w:val="es-ES"/>
        </w:rPr>
        <w:t>bloque</w:t>
      </w:r>
      <w:r w:rsidRPr="0035706E">
        <w:rPr>
          <w:lang w:val="es-ES"/>
        </w:rPr>
        <w:t xml:space="preserve"> por ronda.</w:t>
      </w:r>
    </w:p>
    <w:p w14:paraId="6D961FEF" w14:textId="77777777" w:rsidR="0045050D" w:rsidRPr="0035706E" w:rsidRDefault="0045050D" w:rsidP="0045050D">
      <w:pPr>
        <w:pStyle w:val="Ttulo3"/>
        <w:jc w:val="both"/>
      </w:pPr>
      <w:bookmarkStart w:id="47" w:name="_Ref429406876"/>
      <w:bookmarkStart w:id="48" w:name="_Toc430281535"/>
      <w:r w:rsidRPr="0035706E">
        <w:rPr>
          <w:lang w:val="es-MX"/>
        </w:rPr>
        <w:t>Reglas de actividad</w:t>
      </w:r>
      <w:bookmarkEnd w:id="47"/>
      <w:bookmarkEnd w:id="48"/>
    </w:p>
    <w:p w14:paraId="3353FFDF" w14:textId="77777777" w:rsidR="0045050D" w:rsidRPr="0035706E" w:rsidRDefault="0045050D" w:rsidP="0045050D">
      <w:pPr>
        <w:pStyle w:val="Textoindependiente"/>
        <w:jc w:val="both"/>
        <w:rPr>
          <w:lang w:val="es-ES"/>
        </w:rPr>
      </w:pPr>
      <w:r w:rsidRPr="0035706E">
        <w:rPr>
          <w:lang w:val="es-ES"/>
        </w:rPr>
        <w:t xml:space="preserve">En cada ronda, un </w:t>
      </w:r>
      <w:r>
        <w:rPr>
          <w:lang w:val="es-ES"/>
        </w:rPr>
        <w:t>P</w:t>
      </w:r>
      <w:r w:rsidRPr="0035706E">
        <w:rPr>
          <w:lang w:val="es-ES"/>
        </w:rPr>
        <w:t xml:space="preserve">articipante está sujeto a un número máximo de </w:t>
      </w:r>
      <w:r>
        <w:rPr>
          <w:lang w:val="es-ES"/>
        </w:rPr>
        <w:t>bloques</w:t>
      </w:r>
      <w:r w:rsidRPr="0035706E">
        <w:rPr>
          <w:lang w:val="es-ES"/>
        </w:rPr>
        <w:t xml:space="preserve"> que ellos pueden incluir en su oferta por paquete a lo largo de las tres categorías. En la primera ronda, este límite es determinado por el </w:t>
      </w:r>
      <w:r>
        <w:rPr>
          <w:lang w:val="es-ES"/>
        </w:rPr>
        <w:t>límite máximo</w:t>
      </w:r>
      <w:r w:rsidRPr="0035706E">
        <w:rPr>
          <w:lang w:val="es-ES"/>
        </w:rPr>
        <w:t xml:space="preserve"> de espectro (el cual toma en cuenta </w:t>
      </w:r>
      <w:r>
        <w:rPr>
          <w:lang w:val="es-ES"/>
        </w:rPr>
        <w:t>concesiones</w:t>
      </w:r>
      <w:r w:rsidRPr="0035706E">
        <w:rPr>
          <w:lang w:val="es-ES"/>
        </w:rPr>
        <w:t xml:space="preserve"> de AWS-1 existentes). En rondas subsecuentes, los participantes no pueden realizar ofertas por un número mayor de </w:t>
      </w:r>
      <w:r>
        <w:rPr>
          <w:lang w:val="es-ES"/>
        </w:rPr>
        <w:t>bloques</w:t>
      </w:r>
      <w:r w:rsidRPr="0035706E">
        <w:rPr>
          <w:lang w:val="es-ES"/>
        </w:rPr>
        <w:t xml:space="preserve"> que el número de </w:t>
      </w:r>
      <w:r>
        <w:rPr>
          <w:lang w:val="es-ES"/>
        </w:rPr>
        <w:t>bloques</w:t>
      </w:r>
      <w:r w:rsidRPr="0035706E">
        <w:rPr>
          <w:lang w:val="es-ES"/>
        </w:rPr>
        <w:t xml:space="preserve"> incluido en las ofertas que realizaron en rondas anteriores a lo largo de las tres categorías</w:t>
      </w:r>
      <w:r>
        <w:rPr>
          <w:lang w:val="es-ES"/>
        </w:rPr>
        <w:t xml:space="preserve"> (sub-bandas)</w:t>
      </w:r>
      <w:r w:rsidRPr="0035706E">
        <w:rPr>
          <w:lang w:val="es-ES"/>
        </w:rPr>
        <w:t xml:space="preserve">. </w:t>
      </w:r>
    </w:p>
    <w:p w14:paraId="388BE527" w14:textId="77777777" w:rsidR="0045050D" w:rsidRPr="0035706E" w:rsidRDefault="0045050D" w:rsidP="0045050D">
      <w:pPr>
        <w:pStyle w:val="Textoindependiente"/>
        <w:jc w:val="both"/>
        <w:rPr>
          <w:lang w:val="es-ES"/>
        </w:rPr>
      </w:pPr>
      <w:r w:rsidRPr="0035706E">
        <w:rPr>
          <w:lang w:val="es-ES"/>
        </w:rPr>
        <w:t xml:space="preserve">En la medida que avancen las rondas de reloj, los </w:t>
      </w:r>
      <w:r>
        <w:rPr>
          <w:lang w:val="es-ES"/>
        </w:rPr>
        <w:t>P</w:t>
      </w:r>
      <w:r w:rsidRPr="0035706E">
        <w:rPr>
          <w:lang w:val="es-ES"/>
        </w:rPr>
        <w:t xml:space="preserve">articipantes pueden cambiar su actividad entre categorías. Por lo tanto, es posible que la actividad de un </w:t>
      </w:r>
      <w:r>
        <w:rPr>
          <w:lang w:val="es-ES"/>
        </w:rPr>
        <w:t>P</w:t>
      </w:r>
      <w:r w:rsidRPr="0035706E">
        <w:rPr>
          <w:lang w:val="es-ES"/>
        </w:rPr>
        <w:t xml:space="preserve">articipante en una o más categorías </w:t>
      </w:r>
      <w:r>
        <w:rPr>
          <w:lang w:val="es-ES"/>
        </w:rPr>
        <w:t xml:space="preserve">se </w:t>
      </w:r>
      <w:r w:rsidRPr="0035706E">
        <w:rPr>
          <w:lang w:val="es-ES"/>
        </w:rPr>
        <w:t xml:space="preserve">pueda incrementar, siempre y cuando la actividad del </w:t>
      </w:r>
      <w:r>
        <w:rPr>
          <w:lang w:val="es-ES"/>
        </w:rPr>
        <w:t>P</w:t>
      </w:r>
      <w:r w:rsidRPr="0035706E">
        <w:rPr>
          <w:lang w:val="es-ES"/>
        </w:rPr>
        <w:t>articipante en otras categorías se reduzca suficientemente.</w:t>
      </w:r>
    </w:p>
    <w:p w14:paraId="69E2EC85" w14:textId="77777777" w:rsidR="0045050D" w:rsidRPr="008E0CC3" w:rsidRDefault="0045050D" w:rsidP="0045050D">
      <w:pPr>
        <w:pStyle w:val="Ttulo3"/>
        <w:jc w:val="both"/>
        <w:rPr>
          <w:lang w:val="es-MX"/>
        </w:rPr>
      </w:pPr>
      <w:bookmarkStart w:id="49" w:name="_Toc430281536"/>
      <w:r w:rsidRPr="0035706E">
        <w:rPr>
          <w:lang w:val="es-ES"/>
        </w:rPr>
        <w:t>Validez de las ofertas de reloj</w:t>
      </w:r>
      <w:bookmarkEnd w:id="49"/>
    </w:p>
    <w:p w14:paraId="4198A4F9" w14:textId="77777777" w:rsidR="0045050D" w:rsidRPr="0035706E" w:rsidRDefault="0045050D" w:rsidP="0045050D">
      <w:pPr>
        <w:pStyle w:val="Textoindependiente"/>
        <w:jc w:val="both"/>
        <w:rPr>
          <w:lang w:val="es-ES"/>
        </w:rPr>
      </w:pPr>
      <w:r w:rsidRPr="0035706E">
        <w:rPr>
          <w:lang w:val="es-ES"/>
        </w:rPr>
        <w:t>Una oferta por un paquete en las rondas de reloj es válida si satisfice las siguientes condiciones:</w:t>
      </w:r>
    </w:p>
    <w:p w14:paraId="17FDCB90" w14:textId="77777777" w:rsidR="0045050D" w:rsidRPr="0035706E" w:rsidRDefault="0045050D" w:rsidP="0045050D">
      <w:pPr>
        <w:pStyle w:val="Textoindependiente"/>
        <w:numPr>
          <w:ilvl w:val="0"/>
          <w:numId w:val="55"/>
        </w:numPr>
        <w:jc w:val="both"/>
        <w:rPr>
          <w:lang w:val="es-ES"/>
        </w:rPr>
      </w:pPr>
      <w:r w:rsidRPr="0035706E">
        <w:rPr>
          <w:lang w:val="es-ES"/>
        </w:rPr>
        <w:t xml:space="preserve">El </w:t>
      </w:r>
      <w:r>
        <w:rPr>
          <w:lang w:val="es-ES"/>
        </w:rPr>
        <w:t>P</w:t>
      </w:r>
      <w:r w:rsidRPr="0035706E">
        <w:rPr>
          <w:lang w:val="es-ES"/>
        </w:rPr>
        <w:t>articipante no ha sido excluido de la subasta;</w:t>
      </w:r>
    </w:p>
    <w:p w14:paraId="7E770463" w14:textId="77777777" w:rsidR="0045050D" w:rsidRPr="0035706E" w:rsidRDefault="0045050D" w:rsidP="0045050D">
      <w:pPr>
        <w:pStyle w:val="Textoindependiente"/>
        <w:numPr>
          <w:ilvl w:val="0"/>
          <w:numId w:val="55"/>
        </w:numPr>
        <w:jc w:val="both"/>
        <w:rPr>
          <w:lang w:val="es-ES"/>
        </w:rPr>
      </w:pPr>
      <w:r w:rsidRPr="0035706E">
        <w:rPr>
          <w:lang w:val="es-ES"/>
        </w:rPr>
        <w:t xml:space="preserve">El </w:t>
      </w:r>
      <w:r>
        <w:rPr>
          <w:lang w:val="es-ES"/>
        </w:rPr>
        <w:t>P</w:t>
      </w:r>
      <w:r w:rsidRPr="0035706E">
        <w:rPr>
          <w:lang w:val="es-ES"/>
        </w:rPr>
        <w:t xml:space="preserve">articipante no ha sido excluido de presentar más ofertas </w:t>
      </w:r>
      <w:r>
        <w:rPr>
          <w:lang w:val="es-ES"/>
        </w:rPr>
        <w:t xml:space="preserve">económicas </w:t>
      </w:r>
      <w:r w:rsidRPr="0035706E">
        <w:rPr>
          <w:lang w:val="es-ES"/>
        </w:rPr>
        <w:t>en las rondas de reloj;</w:t>
      </w:r>
    </w:p>
    <w:p w14:paraId="36F04932" w14:textId="77777777" w:rsidR="0045050D" w:rsidRPr="0035706E" w:rsidRDefault="0045050D" w:rsidP="0045050D">
      <w:pPr>
        <w:pStyle w:val="Textoindependiente"/>
        <w:numPr>
          <w:ilvl w:val="0"/>
          <w:numId w:val="55"/>
        </w:numPr>
        <w:jc w:val="both"/>
        <w:rPr>
          <w:lang w:val="es-ES"/>
        </w:rPr>
      </w:pPr>
      <w:r w:rsidRPr="0035706E">
        <w:rPr>
          <w:lang w:val="es-ES"/>
        </w:rPr>
        <w:t xml:space="preserve">La </w:t>
      </w:r>
      <w:r>
        <w:rPr>
          <w:lang w:val="es-ES"/>
        </w:rPr>
        <w:t>oferta económica</w:t>
      </w:r>
      <w:r w:rsidRPr="0035706E">
        <w:rPr>
          <w:lang w:val="es-ES"/>
        </w:rPr>
        <w:t xml:space="preserve"> fue presentada usando el </w:t>
      </w:r>
      <w:r>
        <w:rPr>
          <w:lang w:val="es-ES"/>
        </w:rPr>
        <w:t>SES</w:t>
      </w:r>
      <w:r w:rsidRPr="0035706E">
        <w:rPr>
          <w:lang w:val="es-ES"/>
        </w:rPr>
        <w:t xml:space="preserve"> (</w:t>
      </w:r>
      <w:r>
        <w:rPr>
          <w:lang w:val="es-ES"/>
        </w:rPr>
        <w:t xml:space="preserve">o mediante el </w:t>
      </w:r>
      <w:r w:rsidRPr="0035706E">
        <w:rPr>
          <w:lang w:val="es-ES"/>
        </w:rPr>
        <w:t xml:space="preserve">procedimiento </w:t>
      </w:r>
      <w:r>
        <w:rPr>
          <w:lang w:val="es-ES"/>
        </w:rPr>
        <w:t xml:space="preserve">de respaldo </w:t>
      </w:r>
      <w:r w:rsidRPr="0035706E">
        <w:rPr>
          <w:lang w:val="es-ES"/>
        </w:rPr>
        <w:t xml:space="preserve">especificado por el </w:t>
      </w:r>
      <w:r>
        <w:rPr>
          <w:lang w:val="es-MX"/>
        </w:rPr>
        <w:t>Instituto</w:t>
      </w:r>
      <w:r w:rsidRPr="0035706E">
        <w:rPr>
          <w:lang w:val="es-ES"/>
        </w:rPr>
        <w:t xml:space="preserve">) dentro del tiempo de la ronda incluyendo cualquier período de extensión </w:t>
      </w:r>
      <w:r>
        <w:rPr>
          <w:lang w:val="es-ES"/>
        </w:rPr>
        <w:t>que</w:t>
      </w:r>
      <w:r w:rsidRPr="0035706E">
        <w:rPr>
          <w:lang w:val="es-ES"/>
        </w:rPr>
        <w:t xml:space="preserve"> apli</w:t>
      </w:r>
      <w:r>
        <w:rPr>
          <w:lang w:val="es-ES"/>
        </w:rPr>
        <w:t>que</w:t>
      </w:r>
      <w:r w:rsidRPr="0035706E">
        <w:rPr>
          <w:lang w:val="es-ES"/>
        </w:rPr>
        <w:t>;</w:t>
      </w:r>
    </w:p>
    <w:p w14:paraId="3B34C720" w14:textId="77777777" w:rsidR="0045050D" w:rsidRPr="00F2265A" w:rsidRDefault="0045050D" w:rsidP="0045050D">
      <w:pPr>
        <w:pStyle w:val="Textoindependiente"/>
        <w:numPr>
          <w:ilvl w:val="0"/>
          <w:numId w:val="55"/>
        </w:numPr>
        <w:jc w:val="both"/>
        <w:rPr>
          <w:lang w:val="es-ES"/>
        </w:rPr>
      </w:pPr>
      <w:r w:rsidRPr="00FB2317">
        <w:rPr>
          <w:lang w:val="es-ES"/>
        </w:rPr>
        <w:t xml:space="preserve">El número total de bloques en el paquete no exceda el límite máximo de espectro del </w:t>
      </w:r>
      <w:r w:rsidRPr="00F2265A">
        <w:rPr>
          <w:lang w:val="es-ES"/>
        </w:rPr>
        <w:t>Participante, tomando en cuenta sus concesiones existentes de AWS-1;</w:t>
      </w:r>
    </w:p>
    <w:p w14:paraId="79EE0795" w14:textId="4E4CC681" w:rsidR="0045050D" w:rsidRPr="0045050D" w:rsidRDefault="0045050D" w:rsidP="0045050D">
      <w:pPr>
        <w:pStyle w:val="Textoindependiente"/>
        <w:numPr>
          <w:ilvl w:val="0"/>
          <w:numId w:val="55"/>
        </w:numPr>
        <w:jc w:val="both"/>
        <w:rPr>
          <w:lang w:val="es-ES"/>
        </w:rPr>
      </w:pPr>
      <w:r w:rsidRPr="00FB2317">
        <w:rPr>
          <w:lang w:val="es-ES"/>
        </w:rPr>
        <w:t>Si es relevante, la oferta económica se realiza por un paquete en el conjunto de paquetes mínimos del Participante o se realiza por un paquete que es un super-conjunto de uno de los paquetes mínimos del Participante.</w:t>
      </w:r>
    </w:p>
    <w:p w14:paraId="3BA5D97D" w14:textId="77777777" w:rsidR="0045050D" w:rsidRPr="0035706E" w:rsidRDefault="0045050D" w:rsidP="0045050D">
      <w:pPr>
        <w:pStyle w:val="Textoindependiente"/>
        <w:numPr>
          <w:ilvl w:val="0"/>
          <w:numId w:val="55"/>
        </w:numPr>
        <w:jc w:val="both"/>
        <w:rPr>
          <w:lang w:val="es-ES"/>
        </w:rPr>
      </w:pPr>
      <w:r w:rsidRPr="0035706E">
        <w:rPr>
          <w:lang w:val="es-ES"/>
        </w:rPr>
        <w:t>En cualquier ronda con excepción de la primera:</w:t>
      </w:r>
    </w:p>
    <w:p w14:paraId="64955BB6" w14:textId="77777777" w:rsidR="0045050D" w:rsidRPr="0035706E" w:rsidRDefault="0045050D" w:rsidP="0045050D">
      <w:pPr>
        <w:pStyle w:val="Textoindependiente"/>
        <w:numPr>
          <w:ilvl w:val="1"/>
          <w:numId w:val="55"/>
        </w:numPr>
        <w:jc w:val="both"/>
        <w:rPr>
          <w:lang w:val="es-ES"/>
        </w:rPr>
      </w:pPr>
      <w:r w:rsidRPr="0035706E">
        <w:rPr>
          <w:lang w:val="es-ES"/>
        </w:rPr>
        <w:t xml:space="preserve">El </w:t>
      </w:r>
      <w:r>
        <w:rPr>
          <w:lang w:val="es-ES"/>
        </w:rPr>
        <w:t>P</w:t>
      </w:r>
      <w:r w:rsidRPr="0035706E">
        <w:rPr>
          <w:lang w:val="es-ES"/>
        </w:rPr>
        <w:t xml:space="preserve">articipante estuvo activo en al menos un </w:t>
      </w:r>
      <w:r>
        <w:rPr>
          <w:lang w:val="es-ES"/>
        </w:rPr>
        <w:t>bloque</w:t>
      </w:r>
      <w:r w:rsidRPr="0035706E">
        <w:rPr>
          <w:lang w:val="es-ES"/>
        </w:rPr>
        <w:t xml:space="preserve"> en la ronda de </w:t>
      </w:r>
      <w:r w:rsidRPr="0035706E">
        <w:rPr>
          <w:lang w:val="es-ES"/>
        </w:rPr>
        <w:softHyphen/>
        <w:t>oferta previa; y</w:t>
      </w:r>
    </w:p>
    <w:p w14:paraId="50EC4403" w14:textId="77777777" w:rsidR="0045050D" w:rsidRPr="0035706E" w:rsidRDefault="0045050D" w:rsidP="0045050D">
      <w:pPr>
        <w:pStyle w:val="Textoindependiente"/>
        <w:numPr>
          <w:ilvl w:val="1"/>
          <w:numId w:val="55"/>
        </w:numPr>
        <w:jc w:val="both"/>
        <w:rPr>
          <w:lang w:val="es-ES"/>
        </w:rPr>
      </w:pPr>
      <w:r w:rsidRPr="0035706E">
        <w:rPr>
          <w:lang w:val="es-ES"/>
        </w:rPr>
        <w:t xml:space="preserve">El número total de </w:t>
      </w:r>
      <w:r>
        <w:rPr>
          <w:lang w:val="es-ES"/>
        </w:rPr>
        <w:t>bloques</w:t>
      </w:r>
      <w:r w:rsidRPr="0035706E">
        <w:rPr>
          <w:lang w:val="es-ES"/>
        </w:rPr>
        <w:t xml:space="preserve"> en el paquete no excede el número total de </w:t>
      </w:r>
      <w:r>
        <w:rPr>
          <w:lang w:val="es-ES"/>
        </w:rPr>
        <w:t>bloques</w:t>
      </w:r>
      <w:r w:rsidRPr="0035706E">
        <w:rPr>
          <w:lang w:val="es-ES"/>
        </w:rPr>
        <w:t xml:space="preserve"> en el paquete de la ronda previa del participante.</w:t>
      </w:r>
    </w:p>
    <w:p w14:paraId="12F9FA57" w14:textId="77777777" w:rsidR="0045050D" w:rsidRPr="00AC217B" w:rsidRDefault="0045050D" w:rsidP="0045050D">
      <w:pPr>
        <w:pStyle w:val="Textoindependiente"/>
        <w:numPr>
          <w:ilvl w:val="0"/>
          <w:numId w:val="25"/>
        </w:numPr>
        <w:jc w:val="both"/>
        <w:rPr>
          <w:lang w:val="es-ES"/>
        </w:rPr>
      </w:pPr>
      <w:r w:rsidRPr="0035706E">
        <w:rPr>
          <w:lang w:val="es-ES"/>
        </w:rPr>
        <w:t xml:space="preserve">El número de </w:t>
      </w:r>
      <w:r>
        <w:rPr>
          <w:lang w:val="es-ES"/>
        </w:rPr>
        <w:t>bloques</w:t>
      </w:r>
      <w:r w:rsidRPr="0035706E">
        <w:rPr>
          <w:lang w:val="es-ES"/>
        </w:rPr>
        <w:t xml:space="preserve"> en la Categoría A no exceda el número disponible (4 en el Escenario I o 3 en el Escenario </w:t>
      </w:r>
      <w:r w:rsidRPr="00AC217B">
        <w:rPr>
          <w:lang w:val="es-ES"/>
        </w:rPr>
        <w:t>II);</w:t>
      </w:r>
    </w:p>
    <w:p w14:paraId="1B058784" w14:textId="77777777" w:rsidR="0045050D" w:rsidRPr="00AC217B" w:rsidRDefault="0045050D" w:rsidP="0045050D">
      <w:pPr>
        <w:pStyle w:val="Textoindependiente"/>
        <w:numPr>
          <w:ilvl w:val="0"/>
          <w:numId w:val="25"/>
        </w:numPr>
        <w:jc w:val="both"/>
        <w:rPr>
          <w:lang w:val="es-ES"/>
        </w:rPr>
      </w:pPr>
      <w:r w:rsidRPr="00AC217B">
        <w:rPr>
          <w:lang w:val="es-ES"/>
        </w:rPr>
        <w:t xml:space="preserve">El número de </w:t>
      </w:r>
      <w:r>
        <w:rPr>
          <w:lang w:val="es-ES"/>
        </w:rPr>
        <w:t>bloques</w:t>
      </w:r>
      <w:r w:rsidRPr="00AC217B">
        <w:rPr>
          <w:lang w:val="es-ES"/>
        </w:rPr>
        <w:t xml:space="preserve"> en la Categoría G no exceda 3; y</w:t>
      </w:r>
    </w:p>
    <w:p w14:paraId="3E2C975D" w14:textId="77777777" w:rsidR="0045050D" w:rsidRPr="00373F49" w:rsidRDefault="0045050D" w:rsidP="0045050D">
      <w:pPr>
        <w:pStyle w:val="Textoindependiente"/>
        <w:numPr>
          <w:ilvl w:val="0"/>
          <w:numId w:val="25"/>
        </w:numPr>
        <w:jc w:val="both"/>
        <w:rPr>
          <w:lang w:val="es-ES"/>
        </w:rPr>
      </w:pPr>
      <w:r w:rsidRPr="00AC217B">
        <w:rPr>
          <w:lang w:val="es-ES"/>
        </w:rPr>
        <w:t xml:space="preserve">El número de </w:t>
      </w:r>
      <w:r>
        <w:rPr>
          <w:lang w:val="es-ES"/>
        </w:rPr>
        <w:t>bloques</w:t>
      </w:r>
      <w:r w:rsidRPr="00AC217B">
        <w:rPr>
          <w:lang w:val="es-ES"/>
        </w:rPr>
        <w:t xml:space="preserve"> en la Categoría J sea </w:t>
      </w:r>
      <w:r>
        <w:rPr>
          <w:lang w:val="es-ES"/>
        </w:rPr>
        <w:t>de 0 (</w:t>
      </w:r>
      <w:r w:rsidRPr="00AC217B">
        <w:rPr>
          <w:lang w:val="es-ES"/>
        </w:rPr>
        <w:t>cero</w:t>
      </w:r>
      <w:r>
        <w:rPr>
          <w:lang w:val="es-ES"/>
        </w:rPr>
        <w:t>)</w:t>
      </w:r>
      <w:r w:rsidRPr="00AC217B">
        <w:rPr>
          <w:lang w:val="es-ES"/>
        </w:rPr>
        <w:t xml:space="preserve"> o 2 </w:t>
      </w:r>
      <w:r>
        <w:rPr>
          <w:lang w:val="es-ES"/>
        </w:rPr>
        <w:t>bloques</w:t>
      </w:r>
      <w:r w:rsidRPr="00AC217B">
        <w:rPr>
          <w:lang w:val="es-ES"/>
        </w:rPr>
        <w:t>.</w:t>
      </w:r>
    </w:p>
    <w:p w14:paraId="4FB79E68" w14:textId="77777777" w:rsidR="0045050D" w:rsidRPr="00AC217B" w:rsidRDefault="0045050D" w:rsidP="0045050D">
      <w:pPr>
        <w:pStyle w:val="Textoindependiente"/>
        <w:jc w:val="both"/>
        <w:rPr>
          <w:lang w:val="es-ES"/>
        </w:rPr>
      </w:pPr>
      <w:r w:rsidRPr="00AC217B">
        <w:rPr>
          <w:lang w:val="es-ES"/>
        </w:rPr>
        <w:t xml:space="preserve">El </w:t>
      </w:r>
      <w:r>
        <w:rPr>
          <w:lang w:val="es-ES"/>
        </w:rPr>
        <w:t>SES</w:t>
      </w:r>
      <w:r w:rsidRPr="00AC217B">
        <w:rPr>
          <w:lang w:val="es-ES"/>
        </w:rPr>
        <w:t xml:space="preserve"> está diseñado para </w:t>
      </w:r>
      <w:r>
        <w:rPr>
          <w:lang w:val="es-ES"/>
        </w:rPr>
        <w:t>impedir</w:t>
      </w:r>
      <w:r w:rsidRPr="00AC217B">
        <w:rPr>
          <w:lang w:val="es-ES"/>
        </w:rPr>
        <w:t xml:space="preserve"> la presentación de ofertas inválidas. Por ejemplo: (1) l</w:t>
      </w:r>
      <w:r>
        <w:rPr>
          <w:lang w:val="es-ES"/>
        </w:rPr>
        <w:t>o</w:t>
      </w:r>
      <w:r w:rsidRPr="00AC217B">
        <w:rPr>
          <w:lang w:val="es-ES"/>
        </w:rPr>
        <w:t xml:space="preserve">s </w:t>
      </w:r>
      <w:r>
        <w:rPr>
          <w:lang w:val="es-ES"/>
        </w:rPr>
        <w:t>menús</w:t>
      </w:r>
      <w:r w:rsidRPr="00AC217B">
        <w:rPr>
          <w:lang w:val="es-ES"/>
        </w:rPr>
        <w:t xml:space="preserve"> desplegables para la selección de ofertas no permitirán al usuario el seleccionar más </w:t>
      </w:r>
      <w:r>
        <w:rPr>
          <w:lang w:val="es-ES"/>
        </w:rPr>
        <w:t>bloques</w:t>
      </w:r>
      <w:r w:rsidRPr="00AC217B">
        <w:rPr>
          <w:lang w:val="es-ES"/>
        </w:rPr>
        <w:t xml:space="preserve"> en una categoría que los que hay disponibles; y (2) el </w:t>
      </w:r>
      <w:r>
        <w:rPr>
          <w:lang w:val="es-ES"/>
        </w:rPr>
        <w:t>SES</w:t>
      </w:r>
      <w:r w:rsidRPr="00AC217B">
        <w:rPr>
          <w:lang w:val="es-ES"/>
        </w:rPr>
        <w:t xml:space="preserve"> no permitirá a los </w:t>
      </w:r>
      <w:r>
        <w:rPr>
          <w:lang w:val="es-ES"/>
        </w:rPr>
        <w:t>P</w:t>
      </w:r>
      <w:r w:rsidRPr="00AC217B">
        <w:rPr>
          <w:lang w:val="es-ES"/>
        </w:rPr>
        <w:t xml:space="preserve">articipantes presentar una </w:t>
      </w:r>
      <w:r>
        <w:rPr>
          <w:lang w:val="es-ES"/>
        </w:rPr>
        <w:t>oferta económica</w:t>
      </w:r>
      <w:r w:rsidRPr="00AC217B">
        <w:rPr>
          <w:lang w:val="es-ES"/>
        </w:rPr>
        <w:t xml:space="preserve"> con actividad que exceda el número de </w:t>
      </w:r>
      <w:r>
        <w:rPr>
          <w:lang w:val="es-ES"/>
        </w:rPr>
        <w:t>bloques</w:t>
      </w:r>
      <w:r w:rsidRPr="00AC217B">
        <w:rPr>
          <w:lang w:val="es-ES"/>
        </w:rPr>
        <w:t xml:space="preserve"> máximos actuales del </w:t>
      </w:r>
      <w:r>
        <w:rPr>
          <w:lang w:val="es-ES"/>
        </w:rPr>
        <w:t>P</w:t>
      </w:r>
      <w:r w:rsidRPr="00AC217B">
        <w:rPr>
          <w:lang w:val="es-ES"/>
        </w:rPr>
        <w:t>articipante.</w:t>
      </w:r>
    </w:p>
    <w:p w14:paraId="5244CA88" w14:textId="77777777" w:rsidR="0045050D" w:rsidRPr="0035706E" w:rsidRDefault="0045050D" w:rsidP="0045050D">
      <w:pPr>
        <w:pStyle w:val="Textoindependiente"/>
        <w:jc w:val="both"/>
        <w:rPr>
          <w:lang w:val="es-ES"/>
        </w:rPr>
      </w:pPr>
      <w:r w:rsidRPr="00AC217B">
        <w:rPr>
          <w:lang w:val="es-ES"/>
        </w:rPr>
        <w:t xml:space="preserve">Cada oferta </w:t>
      </w:r>
      <w:r>
        <w:rPr>
          <w:lang w:val="es-ES"/>
        </w:rPr>
        <w:t xml:space="preserve">económica </w:t>
      </w:r>
      <w:r w:rsidRPr="00AC217B">
        <w:rPr>
          <w:lang w:val="es-ES"/>
        </w:rPr>
        <w:t>presentada de acuerdo con las reglas</w:t>
      </w:r>
      <w:r w:rsidRPr="0035706E">
        <w:rPr>
          <w:lang w:val="es-ES"/>
        </w:rPr>
        <w:t xml:space="preserve"> de la subasta es considerada como una oferta válida. Una oferta válida representa un compromiso vinculante de comprar el paquete específico de </w:t>
      </w:r>
      <w:r>
        <w:rPr>
          <w:lang w:val="es-ES"/>
        </w:rPr>
        <w:t>bloques</w:t>
      </w:r>
      <w:r w:rsidRPr="0035706E">
        <w:rPr>
          <w:lang w:val="es-ES"/>
        </w:rPr>
        <w:t xml:space="preserve"> a un precio menor o igual al monto de </w:t>
      </w:r>
      <w:r>
        <w:rPr>
          <w:lang w:val="es-ES"/>
        </w:rPr>
        <w:t>oferta económica</w:t>
      </w:r>
      <w:r w:rsidRPr="0035706E">
        <w:rPr>
          <w:lang w:val="es-ES"/>
        </w:rPr>
        <w:t xml:space="preserve"> especificad</w:t>
      </w:r>
      <w:r>
        <w:rPr>
          <w:lang w:val="es-ES"/>
        </w:rPr>
        <w:t>a</w:t>
      </w:r>
      <w:r w:rsidRPr="0035706E">
        <w:rPr>
          <w:lang w:val="es-ES"/>
        </w:rPr>
        <w:t>.</w:t>
      </w:r>
    </w:p>
    <w:p w14:paraId="341A9993" w14:textId="77777777" w:rsidR="0045050D" w:rsidRPr="0035706E" w:rsidRDefault="0045050D" w:rsidP="0045050D">
      <w:pPr>
        <w:pStyle w:val="Textoindependiente"/>
        <w:jc w:val="both"/>
        <w:rPr>
          <w:lang w:val="es-ES"/>
        </w:rPr>
      </w:pPr>
      <w:r w:rsidRPr="0035706E">
        <w:rPr>
          <w:lang w:val="es-ES"/>
        </w:rPr>
        <w:t xml:space="preserve">Todas las ofertas </w:t>
      </w:r>
      <w:r>
        <w:rPr>
          <w:lang w:val="es-ES"/>
        </w:rPr>
        <w:t xml:space="preserve">económicas </w:t>
      </w:r>
      <w:r w:rsidRPr="0035706E">
        <w:rPr>
          <w:lang w:val="es-ES"/>
        </w:rPr>
        <w:t xml:space="preserve">válidas permanecen válidas por la duración de la subasta a menos que sean reemplazadas por una oferta </w:t>
      </w:r>
      <w:r>
        <w:rPr>
          <w:lang w:val="es-ES"/>
        </w:rPr>
        <w:t xml:space="preserve">económica </w:t>
      </w:r>
      <w:r w:rsidRPr="0035706E">
        <w:rPr>
          <w:lang w:val="es-ES"/>
        </w:rPr>
        <w:t xml:space="preserve">más alta por el mismo paquete por el mismo </w:t>
      </w:r>
      <w:r>
        <w:rPr>
          <w:lang w:val="es-ES"/>
        </w:rPr>
        <w:t>P</w:t>
      </w:r>
      <w:r w:rsidRPr="0035706E">
        <w:rPr>
          <w:lang w:val="es-ES"/>
        </w:rPr>
        <w:t xml:space="preserve">articipante en una ronda de reloj subsecuente o </w:t>
      </w:r>
      <w:r>
        <w:rPr>
          <w:lang w:val="es-ES"/>
        </w:rPr>
        <w:t xml:space="preserve">en </w:t>
      </w:r>
      <w:r w:rsidRPr="0035706E">
        <w:rPr>
          <w:lang w:val="es-ES"/>
        </w:rPr>
        <w:t xml:space="preserve">la ronda suplementaria, o </w:t>
      </w:r>
      <w:r>
        <w:rPr>
          <w:lang w:val="es-ES"/>
        </w:rPr>
        <w:t xml:space="preserve">bien que </w:t>
      </w:r>
      <w:r w:rsidRPr="0035706E">
        <w:rPr>
          <w:lang w:val="es-ES"/>
        </w:rPr>
        <w:t xml:space="preserve">sean anuladas por el </w:t>
      </w:r>
      <w:r>
        <w:rPr>
          <w:lang w:val="es-MX"/>
        </w:rPr>
        <w:t>Instituto</w:t>
      </w:r>
      <w:r w:rsidRPr="0035706E">
        <w:rPr>
          <w:lang w:val="es-ES"/>
        </w:rPr>
        <w:t xml:space="preserve"> (ver Sección </w:t>
      </w:r>
      <w:r w:rsidRPr="0035706E">
        <w:rPr>
          <w:lang w:val="en-US"/>
        </w:rPr>
        <w:fldChar w:fldCharType="begin"/>
      </w:r>
      <w:r w:rsidRPr="0035706E">
        <w:rPr>
          <w:lang w:val="es-ES"/>
        </w:rPr>
        <w:instrText xml:space="preserve"> REF _Ref429480376 \r \h  \* MERGEFORMAT </w:instrText>
      </w:r>
      <w:r w:rsidRPr="0035706E">
        <w:rPr>
          <w:lang w:val="en-US"/>
        </w:rPr>
      </w:r>
      <w:r w:rsidRPr="0035706E">
        <w:rPr>
          <w:lang w:val="en-US"/>
        </w:rPr>
        <w:fldChar w:fldCharType="separate"/>
      </w:r>
      <w:r>
        <w:rPr>
          <w:lang w:val="es-ES"/>
        </w:rPr>
        <w:t>3.4</w:t>
      </w:r>
      <w:r w:rsidRPr="0035706E">
        <w:rPr>
          <w:lang w:val="en-US"/>
        </w:rPr>
        <w:fldChar w:fldCharType="end"/>
      </w:r>
      <w:r w:rsidRPr="0035706E">
        <w:rPr>
          <w:lang w:val="es-ES"/>
        </w:rPr>
        <w:t xml:space="preserve">). Todas las ofertas válidas serán consideradas en la determinación de los ganadores y los precios (ver Secciones </w:t>
      </w:r>
      <w:r w:rsidRPr="0035706E">
        <w:rPr>
          <w:lang w:val="en-US"/>
        </w:rPr>
        <w:fldChar w:fldCharType="begin"/>
      </w:r>
      <w:r w:rsidRPr="0035706E">
        <w:rPr>
          <w:lang w:val="es-ES"/>
        </w:rPr>
        <w:instrText xml:space="preserve"> REF _Ref429410735 \n \h  \* MERGEFORMAT </w:instrText>
      </w:r>
      <w:r w:rsidRPr="0035706E">
        <w:rPr>
          <w:lang w:val="en-US"/>
        </w:rPr>
      </w:r>
      <w:r w:rsidRPr="0035706E">
        <w:rPr>
          <w:lang w:val="en-US"/>
        </w:rPr>
        <w:fldChar w:fldCharType="separate"/>
      </w:r>
      <w:r>
        <w:rPr>
          <w:lang w:val="es-ES"/>
        </w:rPr>
        <w:t>4.2.5</w:t>
      </w:r>
      <w:r w:rsidRPr="0035706E">
        <w:rPr>
          <w:lang w:val="en-US"/>
        </w:rPr>
        <w:fldChar w:fldCharType="end"/>
      </w:r>
      <w:r w:rsidRPr="0035706E">
        <w:rPr>
          <w:lang w:val="es-ES"/>
        </w:rPr>
        <w:t xml:space="preserve"> y </w:t>
      </w:r>
      <w:r w:rsidRPr="0035706E">
        <w:rPr>
          <w:lang w:val="en-US"/>
        </w:rPr>
        <w:fldChar w:fldCharType="begin"/>
      </w:r>
      <w:r w:rsidRPr="0035706E">
        <w:rPr>
          <w:lang w:val="es-ES"/>
        </w:rPr>
        <w:instrText xml:space="preserve"> REF _Ref429410738 \n \h  \* MERGEFORMAT </w:instrText>
      </w:r>
      <w:r w:rsidRPr="0035706E">
        <w:rPr>
          <w:lang w:val="en-US"/>
        </w:rPr>
      </w:r>
      <w:r w:rsidRPr="0035706E">
        <w:rPr>
          <w:lang w:val="en-US"/>
        </w:rPr>
        <w:fldChar w:fldCharType="separate"/>
      </w:r>
      <w:r>
        <w:rPr>
          <w:lang w:val="es-ES"/>
        </w:rPr>
        <w:t>4.2.6</w:t>
      </w:r>
      <w:r w:rsidRPr="0035706E">
        <w:rPr>
          <w:lang w:val="en-US"/>
        </w:rPr>
        <w:fldChar w:fldCharType="end"/>
      </w:r>
      <w:r w:rsidRPr="0035706E">
        <w:rPr>
          <w:lang w:val="es-ES"/>
        </w:rPr>
        <w:t>).</w:t>
      </w:r>
    </w:p>
    <w:p w14:paraId="7B8271E4" w14:textId="77777777" w:rsidR="0045050D" w:rsidRPr="0035706E" w:rsidRDefault="0045050D" w:rsidP="0045050D">
      <w:pPr>
        <w:pStyle w:val="Ttulo3"/>
        <w:jc w:val="both"/>
        <w:rPr>
          <w:lang w:val="es-ES"/>
        </w:rPr>
      </w:pPr>
      <w:bookmarkStart w:id="50" w:name="_Toc430281537"/>
      <w:r w:rsidRPr="0035706E">
        <w:rPr>
          <w:lang w:val="es-MX"/>
        </w:rPr>
        <w:t>Información disponible durante las rondas de reloj</w:t>
      </w:r>
      <w:bookmarkEnd w:id="50"/>
    </w:p>
    <w:p w14:paraId="565841B2" w14:textId="77777777" w:rsidR="0045050D" w:rsidRPr="0035706E" w:rsidRDefault="0045050D" w:rsidP="0045050D">
      <w:pPr>
        <w:pStyle w:val="Textoindependiente"/>
        <w:jc w:val="both"/>
        <w:rPr>
          <w:lang w:val="es-MX"/>
        </w:rPr>
      </w:pPr>
      <w:r w:rsidRPr="0035706E">
        <w:rPr>
          <w:lang w:val="es-MX"/>
        </w:rPr>
        <w:t xml:space="preserve">Al final de cada ronda de reloj, se le </w:t>
      </w:r>
      <w:r w:rsidRPr="0035706E">
        <w:rPr>
          <w:lang w:val="es-ES"/>
        </w:rPr>
        <w:t xml:space="preserve">proveerá a </w:t>
      </w:r>
      <w:r w:rsidRPr="0035706E">
        <w:rPr>
          <w:lang w:val="es-MX"/>
        </w:rPr>
        <w:t xml:space="preserve">cada </w:t>
      </w:r>
      <w:r>
        <w:rPr>
          <w:lang w:val="es-MX"/>
        </w:rPr>
        <w:t>P</w:t>
      </w:r>
      <w:r w:rsidRPr="0035706E">
        <w:rPr>
          <w:lang w:val="es-MX"/>
        </w:rPr>
        <w:t>articipante la siguiente información:</w:t>
      </w:r>
    </w:p>
    <w:p w14:paraId="12DD2BE6" w14:textId="77777777" w:rsidR="0045050D" w:rsidRPr="0035706E" w:rsidRDefault="0045050D" w:rsidP="0045050D">
      <w:pPr>
        <w:pStyle w:val="Textoindependiente"/>
        <w:numPr>
          <w:ilvl w:val="0"/>
          <w:numId w:val="26"/>
        </w:numPr>
        <w:jc w:val="both"/>
        <w:rPr>
          <w:lang w:val="es-ES"/>
        </w:rPr>
      </w:pPr>
      <w:r w:rsidRPr="0035706E">
        <w:rPr>
          <w:lang w:val="es-ES"/>
        </w:rPr>
        <w:t xml:space="preserve">Demanda agregada por </w:t>
      </w:r>
      <w:r>
        <w:rPr>
          <w:lang w:val="es-ES"/>
        </w:rPr>
        <w:t>bloques</w:t>
      </w:r>
      <w:r w:rsidRPr="0035706E">
        <w:rPr>
          <w:lang w:val="es-ES"/>
        </w:rPr>
        <w:t xml:space="preserve"> en cada categoría </w:t>
      </w:r>
      <w:r>
        <w:rPr>
          <w:lang w:val="es-ES"/>
        </w:rPr>
        <w:t xml:space="preserve">(sub-banda) </w:t>
      </w:r>
      <w:r w:rsidRPr="0035706E">
        <w:rPr>
          <w:lang w:val="es-ES"/>
        </w:rPr>
        <w:t>a los precios de reloj aplicables.</w:t>
      </w:r>
    </w:p>
    <w:p w14:paraId="49E9CF0D" w14:textId="77777777" w:rsidR="0045050D" w:rsidRPr="0035706E" w:rsidRDefault="0045050D" w:rsidP="0045050D">
      <w:pPr>
        <w:pStyle w:val="Textoindependiente"/>
        <w:numPr>
          <w:ilvl w:val="0"/>
          <w:numId w:val="26"/>
        </w:numPr>
        <w:jc w:val="both"/>
        <w:rPr>
          <w:lang w:val="es-ES"/>
        </w:rPr>
      </w:pPr>
      <w:r w:rsidRPr="0035706E">
        <w:rPr>
          <w:lang w:val="es-ES"/>
        </w:rPr>
        <w:t xml:space="preserve">Su propia </w:t>
      </w:r>
      <w:r>
        <w:rPr>
          <w:lang w:val="es-ES"/>
        </w:rPr>
        <w:t>oferta económica</w:t>
      </w:r>
      <w:r w:rsidRPr="0035706E">
        <w:rPr>
          <w:lang w:val="es-ES"/>
        </w:rPr>
        <w:t xml:space="preserve">, incluyendo un desglose de </w:t>
      </w:r>
      <w:r>
        <w:rPr>
          <w:lang w:val="es-ES"/>
        </w:rPr>
        <w:t>bloques</w:t>
      </w:r>
      <w:r w:rsidRPr="0035706E">
        <w:rPr>
          <w:lang w:val="es-ES"/>
        </w:rPr>
        <w:t xml:space="preserve"> y precios por categoría;</w:t>
      </w:r>
    </w:p>
    <w:p w14:paraId="29B8FDEA" w14:textId="77777777" w:rsidR="0045050D" w:rsidRPr="0035706E" w:rsidRDefault="0045050D" w:rsidP="0045050D">
      <w:pPr>
        <w:pStyle w:val="Textoindependiente"/>
        <w:numPr>
          <w:ilvl w:val="0"/>
          <w:numId w:val="26"/>
        </w:numPr>
        <w:jc w:val="both"/>
        <w:rPr>
          <w:lang w:val="es-ES"/>
        </w:rPr>
      </w:pPr>
      <w:r w:rsidRPr="0035706E">
        <w:rPr>
          <w:lang w:val="es-ES"/>
        </w:rPr>
        <w:t xml:space="preserve">El máximo número de </w:t>
      </w:r>
      <w:r>
        <w:rPr>
          <w:lang w:val="es-ES"/>
        </w:rPr>
        <w:t>bloques</w:t>
      </w:r>
      <w:r w:rsidRPr="0035706E">
        <w:rPr>
          <w:lang w:val="es-ES"/>
        </w:rPr>
        <w:t xml:space="preserve"> por los cuales pueden realizar ofertas en la próxima ronda de reloj; y</w:t>
      </w:r>
    </w:p>
    <w:p w14:paraId="38F1CBD5" w14:textId="77777777" w:rsidR="0045050D" w:rsidRPr="0035706E" w:rsidRDefault="0045050D" w:rsidP="0045050D">
      <w:pPr>
        <w:pStyle w:val="Textoindependiente"/>
        <w:numPr>
          <w:ilvl w:val="0"/>
          <w:numId w:val="26"/>
        </w:numPr>
        <w:jc w:val="both"/>
        <w:rPr>
          <w:lang w:val="es-ES"/>
        </w:rPr>
      </w:pPr>
      <w:r w:rsidRPr="0035706E">
        <w:rPr>
          <w:lang w:val="es-ES"/>
        </w:rPr>
        <w:t>El número de derechos de extensión que le quedan para las rondas de reloj.</w:t>
      </w:r>
    </w:p>
    <w:p w14:paraId="2F256B58" w14:textId="77777777" w:rsidR="0045050D" w:rsidRPr="0035706E" w:rsidRDefault="0045050D" w:rsidP="0045050D">
      <w:pPr>
        <w:pStyle w:val="Textoindependiente"/>
        <w:jc w:val="both"/>
        <w:rPr>
          <w:lang w:val="es-ES"/>
        </w:rPr>
      </w:pPr>
      <w:r w:rsidRPr="0035706E">
        <w:rPr>
          <w:lang w:val="es-ES"/>
        </w:rPr>
        <w:t xml:space="preserve">Antes de iniciar la siguiente ronda de reloj, se le proveerá a cada </w:t>
      </w:r>
      <w:r>
        <w:rPr>
          <w:lang w:val="es-ES"/>
        </w:rPr>
        <w:t>P</w:t>
      </w:r>
      <w:r w:rsidRPr="0035706E">
        <w:rPr>
          <w:lang w:val="es-ES"/>
        </w:rPr>
        <w:t>articipante de la siguiente información:</w:t>
      </w:r>
    </w:p>
    <w:p w14:paraId="4993D4F4" w14:textId="77777777" w:rsidR="0045050D" w:rsidRPr="0035706E" w:rsidRDefault="0045050D" w:rsidP="0045050D">
      <w:pPr>
        <w:pStyle w:val="Textoindependiente"/>
        <w:numPr>
          <w:ilvl w:val="0"/>
          <w:numId w:val="56"/>
        </w:numPr>
        <w:jc w:val="both"/>
        <w:rPr>
          <w:lang w:val="es-ES"/>
        </w:rPr>
      </w:pPr>
      <w:r w:rsidRPr="0035706E">
        <w:rPr>
          <w:lang w:val="es-ES"/>
        </w:rPr>
        <w:t>El tiempo de inicio y de finalización de la ronda de reloj; y</w:t>
      </w:r>
    </w:p>
    <w:p w14:paraId="475D6124" w14:textId="77777777" w:rsidR="0045050D" w:rsidRPr="00AC217B" w:rsidRDefault="0045050D" w:rsidP="0045050D">
      <w:pPr>
        <w:pStyle w:val="Textoindependiente"/>
        <w:numPr>
          <w:ilvl w:val="0"/>
          <w:numId w:val="56"/>
        </w:numPr>
        <w:jc w:val="both"/>
        <w:rPr>
          <w:lang w:val="es-ES"/>
        </w:rPr>
      </w:pPr>
      <w:r w:rsidRPr="0035706E">
        <w:rPr>
          <w:lang w:val="es-ES"/>
        </w:rPr>
        <w:t xml:space="preserve">El precio de reloj para </w:t>
      </w:r>
      <w:r>
        <w:rPr>
          <w:lang w:val="es-ES"/>
        </w:rPr>
        <w:t>bloques</w:t>
      </w:r>
      <w:r w:rsidRPr="0035706E">
        <w:rPr>
          <w:lang w:val="es-ES"/>
        </w:rPr>
        <w:t xml:space="preserve"> en cada categoría </w:t>
      </w:r>
      <w:r>
        <w:rPr>
          <w:lang w:val="es-ES"/>
        </w:rPr>
        <w:t xml:space="preserve">(sub-banda) </w:t>
      </w:r>
      <w:r w:rsidRPr="0035706E">
        <w:rPr>
          <w:lang w:val="es-ES"/>
        </w:rPr>
        <w:t>en la ronda de reloj.</w:t>
      </w:r>
    </w:p>
    <w:p w14:paraId="64648D60" w14:textId="77777777" w:rsidR="0045050D" w:rsidRPr="0035706E" w:rsidRDefault="0045050D" w:rsidP="0045050D">
      <w:pPr>
        <w:pStyle w:val="Textoindependiente"/>
        <w:jc w:val="both"/>
        <w:rPr>
          <w:lang w:val="es-ES"/>
        </w:rPr>
      </w:pPr>
      <w:r w:rsidRPr="0035706E">
        <w:rPr>
          <w:lang w:val="es-ES"/>
        </w:rPr>
        <w:t xml:space="preserve">No se divulgará información concerniente a las ofertas presentadas por otros </w:t>
      </w:r>
      <w:r>
        <w:rPr>
          <w:lang w:val="es-ES"/>
        </w:rPr>
        <w:t>P</w:t>
      </w:r>
      <w:r w:rsidRPr="0035706E">
        <w:rPr>
          <w:lang w:val="es-ES"/>
        </w:rPr>
        <w:t>articipantes durante las rondas de reloj.</w:t>
      </w:r>
    </w:p>
    <w:p w14:paraId="009079EA" w14:textId="77777777" w:rsidR="0045050D" w:rsidRPr="0035706E" w:rsidRDefault="0045050D" w:rsidP="0045050D">
      <w:pPr>
        <w:pStyle w:val="Textoindependiente"/>
        <w:jc w:val="both"/>
        <w:rPr>
          <w:lang w:val="es-ES"/>
        </w:rPr>
      </w:pPr>
      <w:r w:rsidRPr="0035706E">
        <w:rPr>
          <w:lang w:val="es-ES"/>
        </w:rPr>
        <w:t xml:space="preserve">El </w:t>
      </w:r>
      <w:r>
        <w:rPr>
          <w:lang w:val="es-ES"/>
        </w:rPr>
        <w:t>SES</w:t>
      </w:r>
      <w:r w:rsidRPr="0035706E">
        <w:rPr>
          <w:lang w:val="es-ES"/>
        </w:rPr>
        <w:t xml:space="preserve"> incluye la funcionalidad de ver y bajar información sobre los precios de reloj, demanda agregada y las propias ofertas del </w:t>
      </w:r>
      <w:r>
        <w:rPr>
          <w:lang w:val="es-ES"/>
        </w:rPr>
        <w:t>P</w:t>
      </w:r>
      <w:r w:rsidRPr="0035706E">
        <w:rPr>
          <w:lang w:val="es-ES"/>
        </w:rPr>
        <w:t>articipante en las rondas de reloj p</w:t>
      </w:r>
      <w:r>
        <w:rPr>
          <w:lang w:val="es-ES"/>
        </w:rPr>
        <w:t>revias.</w:t>
      </w:r>
    </w:p>
    <w:p w14:paraId="41A1B7E9" w14:textId="77777777" w:rsidR="0045050D" w:rsidRPr="0035706E" w:rsidRDefault="0045050D" w:rsidP="0045050D">
      <w:pPr>
        <w:pStyle w:val="Ttulo3"/>
        <w:jc w:val="both"/>
        <w:rPr>
          <w:lang w:val="es-ES"/>
        </w:rPr>
      </w:pPr>
      <w:bookmarkStart w:id="51" w:name="_Toc430281538"/>
      <w:r w:rsidRPr="0035706E">
        <w:rPr>
          <w:lang w:val="es-MX"/>
        </w:rPr>
        <w:t>Finalización de las rondas de reloj</w:t>
      </w:r>
      <w:bookmarkEnd w:id="51"/>
    </w:p>
    <w:p w14:paraId="74193E6F" w14:textId="77777777" w:rsidR="0045050D" w:rsidRPr="0035706E" w:rsidRDefault="0045050D" w:rsidP="0045050D">
      <w:pPr>
        <w:pStyle w:val="Textoindependiente"/>
        <w:jc w:val="both"/>
        <w:rPr>
          <w:lang w:val="es-MX"/>
        </w:rPr>
      </w:pPr>
      <w:r w:rsidRPr="0035706E">
        <w:rPr>
          <w:lang w:val="es-MX"/>
        </w:rPr>
        <w:t xml:space="preserve">Las rondas de reloj finalizan después de una ronda en la cual no hay exceso de demanda por </w:t>
      </w:r>
      <w:r>
        <w:rPr>
          <w:lang w:val="es-MX"/>
        </w:rPr>
        <w:t>bloques</w:t>
      </w:r>
      <w:r w:rsidRPr="0035706E">
        <w:rPr>
          <w:lang w:val="es-MX"/>
        </w:rPr>
        <w:t xml:space="preserve"> en ninguna de las tres categorías</w:t>
      </w:r>
      <w:r>
        <w:rPr>
          <w:lang w:val="es-MX"/>
        </w:rPr>
        <w:t xml:space="preserve"> (sub-bandas)</w:t>
      </w:r>
      <w:r w:rsidRPr="0035706E">
        <w:rPr>
          <w:lang w:val="es-MX"/>
        </w:rPr>
        <w:t>. En es</w:t>
      </w:r>
      <w:r>
        <w:rPr>
          <w:lang w:val="es-MX"/>
        </w:rPr>
        <w:t>e</w:t>
      </w:r>
      <w:r w:rsidRPr="0035706E">
        <w:rPr>
          <w:lang w:val="es-MX"/>
        </w:rPr>
        <w:t xml:space="preserve"> momento, el </w:t>
      </w:r>
      <w:r>
        <w:rPr>
          <w:lang w:val="es-MX"/>
        </w:rPr>
        <w:t>Instituto</w:t>
      </w:r>
      <w:r w:rsidRPr="0035706E">
        <w:rPr>
          <w:lang w:val="es-MX"/>
        </w:rPr>
        <w:t xml:space="preserve"> anunciará que las rondas de reloj han terminado y que la subasta avanzará a la ronda suplementaria.</w:t>
      </w:r>
    </w:p>
    <w:p w14:paraId="077D16FF" w14:textId="77777777" w:rsidR="0045050D" w:rsidRPr="0035706E" w:rsidRDefault="0045050D" w:rsidP="0045050D">
      <w:pPr>
        <w:pStyle w:val="Textoindependiente"/>
        <w:jc w:val="both"/>
        <w:rPr>
          <w:lang w:val="es-ES"/>
        </w:rPr>
      </w:pPr>
      <w:r>
        <w:rPr>
          <w:lang w:val="es-ES"/>
        </w:rPr>
        <w:t>T</w:t>
      </w:r>
      <w:r w:rsidRPr="0035706E">
        <w:rPr>
          <w:lang w:val="es-ES"/>
        </w:rPr>
        <w:t xml:space="preserve">ras la </w:t>
      </w:r>
      <w:r>
        <w:rPr>
          <w:lang w:val="es-ES"/>
        </w:rPr>
        <w:t>conclusión</w:t>
      </w:r>
      <w:r w:rsidRPr="0035706E">
        <w:rPr>
          <w:lang w:val="es-ES"/>
        </w:rPr>
        <w:t xml:space="preserve"> de cualquier ronda de reloj, el </w:t>
      </w:r>
      <w:r>
        <w:rPr>
          <w:lang w:val="es-MX"/>
        </w:rPr>
        <w:t>Instituto</w:t>
      </w:r>
      <w:r w:rsidRPr="0035706E">
        <w:rPr>
          <w:lang w:val="es-ES"/>
        </w:rPr>
        <w:t xml:space="preserve"> puede anunciar que va a terminar las rondas de reloj </w:t>
      </w:r>
      <w:r>
        <w:rPr>
          <w:lang w:val="es-ES"/>
        </w:rPr>
        <w:t xml:space="preserve">de manera anticipada </w:t>
      </w:r>
      <w:r w:rsidRPr="0035706E">
        <w:rPr>
          <w:lang w:val="es-ES"/>
        </w:rPr>
        <w:t xml:space="preserve">(por ejemplo, </w:t>
      </w:r>
      <w:r>
        <w:rPr>
          <w:lang w:val="es-ES"/>
        </w:rPr>
        <w:t>cuando</w:t>
      </w:r>
      <w:r w:rsidRPr="0035706E">
        <w:rPr>
          <w:lang w:val="es-ES"/>
        </w:rPr>
        <w:t xml:space="preserve"> la demanda </w:t>
      </w:r>
      <w:r>
        <w:rPr>
          <w:lang w:val="es-ES"/>
        </w:rPr>
        <w:t>agregada aún</w:t>
      </w:r>
      <w:r w:rsidRPr="0035706E">
        <w:rPr>
          <w:lang w:val="es-ES"/>
        </w:rPr>
        <w:t xml:space="preserve"> </w:t>
      </w:r>
      <w:r>
        <w:rPr>
          <w:lang w:val="es-ES"/>
        </w:rPr>
        <w:t>sea superior</w:t>
      </w:r>
      <w:r w:rsidRPr="0035706E">
        <w:rPr>
          <w:lang w:val="es-ES"/>
        </w:rPr>
        <w:t xml:space="preserve"> </w:t>
      </w:r>
      <w:r>
        <w:rPr>
          <w:lang w:val="es-ES"/>
        </w:rPr>
        <w:t>a</w:t>
      </w:r>
      <w:r w:rsidRPr="0035706E">
        <w:rPr>
          <w:lang w:val="es-ES"/>
        </w:rPr>
        <w:t xml:space="preserve"> la oferta en una o más de las categorías</w:t>
      </w:r>
      <w:r>
        <w:rPr>
          <w:lang w:val="es-ES"/>
        </w:rPr>
        <w:t xml:space="preserve"> (sub-bandas)</w:t>
      </w:r>
      <w:r w:rsidRPr="0035706E">
        <w:rPr>
          <w:lang w:val="es-ES"/>
        </w:rPr>
        <w:t>). En ese caso, la subasta p</w:t>
      </w:r>
      <w:r>
        <w:rPr>
          <w:lang w:val="es-ES"/>
        </w:rPr>
        <w:t>asará</w:t>
      </w:r>
      <w:r w:rsidRPr="0035706E">
        <w:rPr>
          <w:lang w:val="es-ES"/>
        </w:rPr>
        <w:t xml:space="preserve"> directamente a la ronda suplementaria, y no habrá más rondas de reloj.</w:t>
      </w:r>
    </w:p>
    <w:p w14:paraId="64E7F30D" w14:textId="77777777" w:rsidR="0045050D" w:rsidRPr="0035706E" w:rsidRDefault="0045050D" w:rsidP="0045050D">
      <w:pPr>
        <w:pStyle w:val="Textoindependiente"/>
        <w:jc w:val="both"/>
        <w:rPr>
          <w:lang w:val="es-ES"/>
        </w:rPr>
      </w:pPr>
      <w:r w:rsidRPr="0035706E">
        <w:rPr>
          <w:lang w:val="es-ES"/>
        </w:rPr>
        <w:t xml:space="preserve">El </w:t>
      </w:r>
      <w:r>
        <w:rPr>
          <w:lang w:val="es-MX"/>
        </w:rPr>
        <w:t>Instituto</w:t>
      </w:r>
      <w:r w:rsidRPr="0035706E">
        <w:rPr>
          <w:lang w:val="es-ES"/>
        </w:rPr>
        <w:t xml:space="preserve"> terminará </w:t>
      </w:r>
      <w:r>
        <w:rPr>
          <w:lang w:val="es-ES"/>
        </w:rPr>
        <w:t xml:space="preserve">anticipadamente </w:t>
      </w:r>
      <w:r w:rsidRPr="0035706E">
        <w:rPr>
          <w:lang w:val="es-ES"/>
        </w:rPr>
        <w:t xml:space="preserve">las rondas de reloj solamente si cree que el </w:t>
      </w:r>
      <w:r>
        <w:rPr>
          <w:lang w:val="es-ES"/>
        </w:rPr>
        <w:t>continuar</w:t>
      </w:r>
      <w:r w:rsidRPr="0035706E">
        <w:rPr>
          <w:lang w:val="es-ES"/>
        </w:rPr>
        <w:t xml:space="preserve"> directamente a la ronda suplementaria en ese momento va con el interés general de llevar a cabo un proceso de subasta eficiente.</w:t>
      </w:r>
    </w:p>
    <w:p w14:paraId="31641F54" w14:textId="77777777" w:rsidR="0045050D" w:rsidRPr="0035706E" w:rsidRDefault="0045050D" w:rsidP="0045050D">
      <w:pPr>
        <w:pStyle w:val="Textoindependiente"/>
        <w:jc w:val="both"/>
        <w:rPr>
          <w:lang w:val="es-ES"/>
        </w:rPr>
      </w:pPr>
    </w:p>
    <w:p w14:paraId="691298AE" w14:textId="77777777" w:rsidR="0045050D" w:rsidRPr="0035706E" w:rsidRDefault="0045050D" w:rsidP="0045050D">
      <w:pPr>
        <w:pStyle w:val="Ttulo2"/>
        <w:jc w:val="both"/>
        <w:rPr>
          <w:lang w:val="es-MX"/>
        </w:rPr>
      </w:pPr>
      <w:bookmarkStart w:id="52" w:name="_Toc429397860"/>
      <w:bookmarkStart w:id="53" w:name="_Toc430281539"/>
      <w:r w:rsidRPr="0035706E">
        <w:rPr>
          <w:lang w:val="es-MX"/>
        </w:rPr>
        <w:t>La ronda suplementaria</w:t>
      </w:r>
      <w:bookmarkEnd w:id="52"/>
      <w:bookmarkEnd w:id="53"/>
    </w:p>
    <w:p w14:paraId="097829C6" w14:textId="77777777" w:rsidR="0045050D" w:rsidRPr="0035706E" w:rsidRDefault="0045050D" w:rsidP="0045050D">
      <w:pPr>
        <w:pStyle w:val="Textoindependiente"/>
        <w:jc w:val="both"/>
        <w:rPr>
          <w:lang w:val="es-ES"/>
        </w:rPr>
      </w:pPr>
      <w:r w:rsidRPr="0035706E">
        <w:rPr>
          <w:lang w:val="es-ES"/>
        </w:rPr>
        <w:t xml:space="preserve">La ronda suplementaria consiste de una única ronda de </w:t>
      </w:r>
      <w:r>
        <w:rPr>
          <w:lang w:val="es-ES"/>
        </w:rPr>
        <w:t>ofertas económicas</w:t>
      </w:r>
      <w:r w:rsidRPr="0035706E">
        <w:rPr>
          <w:lang w:val="es-ES"/>
        </w:rPr>
        <w:t xml:space="preserve"> en la cual los </w:t>
      </w:r>
      <w:r>
        <w:rPr>
          <w:lang w:val="es-ES"/>
        </w:rPr>
        <w:t>P</w:t>
      </w:r>
      <w:r w:rsidRPr="0035706E">
        <w:rPr>
          <w:lang w:val="es-ES"/>
        </w:rPr>
        <w:t xml:space="preserve">articipantes pueden presentar </w:t>
      </w:r>
      <w:r>
        <w:rPr>
          <w:lang w:val="es-ES"/>
        </w:rPr>
        <w:t>una</w:t>
      </w:r>
      <w:r w:rsidRPr="0035706E">
        <w:rPr>
          <w:lang w:val="es-ES"/>
        </w:rPr>
        <w:t xml:space="preserve"> </w:t>
      </w:r>
      <w:r>
        <w:rPr>
          <w:lang w:val="es-ES"/>
        </w:rPr>
        <w:t xml:space="preserve">oferta (en </w:t>
      </w:r>
      <w:r w:rsidRPr="0035706E">
        <w:rPr>
          <w:lang w:val="es-ES"/>
        </w:rPr>
        <w:t>monto</w:t>
      </w:r>
      <w:r>
        <w:rPr>
          <w:lang w:val="es-ES"/>
        </w:rPr>
        <w:t>)</w:t>
      </w:r>
      <w:r w:rsidRPr="0035706E">
        <w:rPr>
          <w:lang w:val="es-ES"/>
        </w:rPr>
        <w:t xml:space="preserve"> más alt</w:t>
      </w:r>
      <w:r>
        <w:rPr>
          <w:lang w:val="es-ES"/>
        </w:rPr>
        <w:t>a</w:t>
      </w:r>
      <w:r w:rsidRPr="0035706E">
        <w:rPr>
          <w:lang w:val="es-ES"/>
        </w:rPr>
        <w:t xml:space="preserve"> para cada uno de los paquetes </w:t>
      </w:r>
      <w:r>
        <w:rPr>
          <w:lang w:val="es-ES"/>
        </w:rPr>
        <w:t xml:space="preserve">en los </w:t>
      </w:r>
      <w:r w:rsidRPr="0035706E">
        <w:rPr>
          <w:lang w:val="es-ES"/>
        </w:rPr>
        <w:t xml:space="preserve">que el </w:t>
      </w:r>
      <w:r>
        <w:rPr>
          <w:lang w:val="es-ES"/>
        </w:rPr>
        <w:t>P</w:t>
      </w:r>
      <w:r w:rsidRPr="0035706E">
        <w:rPr>
          <w:lang w:val="es-ES"/>
        </w:rPr>
        <w:t xml:space="preserve">articipante es elegible para realizar </w:t>
      </w:r>
      <w:r>
        <w:rPr>
          <w:lang w:val="es-ES"/>
        </w:rPr>
        <w:t>ofertas económicas</w:t>
      </w:r>
      <w:r w:rsidRPr="0035706E">
        <w:rPr>
          <w:lang w:val="es-ES"/>
        </w:rPr>
        <w:t xml:space="preserve">. Un </w:t>
      </w:r>
      <w:r>
        <w:rPr>
          <w:lang w:val="es-ES"/>
        </w:rPr>
        <w:t>P</w:t>
      </w:r>
      <w:r w:rsidRPr="0035706E">
        <w:rPr>
          <w:lang w:val="es-ES"/>
        </w:rPr>
        <w:t xml:space="preserve">articipante puede incrementar </w:t>
      </w:r>
      <w:r>
        <w:rPr>
          <w:lang w:val="es-ES"/>
        </w:rPr>
        <w:t>tanto el</w:t>
      </w:r>
      <w:r w:rsidRPr="0035706E">
        <w:rPr>
          <w:lang w:val="es-ES"/>
        </w:rPr>
        <w:t xml:space="preserve"> monto de </w:t>
      </w:r>
      <w:r>
        <w:rPr>
          <w:lang w:val="es-ES"/>
        </w:rPr>
        <w:t xml:space="preserve">la </w:t>
      </w:r>
      <w:r w:rsidRPr="0035706E">
        <w:rPr>
          <w:lang w:val="es-ES"/>
        </w:rPr>
        <w:t>oferta por un paquete por el cual ya realizó una oferta en las rondas de reloj</w:t>
      </w:r>
      <w:r>
        <w:rPr>
          <w:lang w:val="es-ES"/>
        </w:rPr>
        <w:t>,</w:t>
      </w:r>
      <w:r w:rsidRPr="0035706E">
        <w:rPr>
          <w:lang w:val="es-ES"/>
        </w:rPr>
        <w:t xml:space="preserve"> </w:t>
      </w:r>
      <w:r>
        <w:rPr>
          <w:lang w:val="es-ES"/>
        </w:rPr>
        <w:t xml:space="preserve">como </w:t>
      </w:r>
      <w:r w:rsidRPr="0035706E">
        <w:rPr>
          <w:lang w:val="es-ES"/>
        </w:rPr>
        <w:t xml:space="preserve">realizar ofertas por paquetes por los cuales no realizó </w:t>
      </w:r>
      <w:r>
        <w:rPr>
          <w:lang w:val="es-ES"/>
        </w:rPr>
        <w:t>ofertas económicas</w:t>
      </w:r>
      <w:r w:rsidRPr="0035706E">
        <w:rPr>
          <w:lang w:val="es-ES"/>
        </w:rPr>
        <w:t xml:space="preserve"> en las rondas de reloj.</w:t>
      </w:r>
    </w:p>
    <w:p w14:paraId="61E74D3F" w14:textId="77777777" w:rsidR="0045050D" w:rsidRPr="0035706E" w:rsidRDefault="0045050D" w:rsidP="0045050D">
      <w:pPr>
        <w:pStyle w:val="Textoindependiente"/>
        <w:jc w:val="both"/>
        <w:rPr>
          <w:lang w:val="es-ES"/>
        </w:rPr>
      </w:pPr>
      <w:r w:rsidRPr="0035706E">
        <w:rPr>
          <w:lang w:val="es-ES"/>
        </w:rPr>
        <w:t xml:space="preserve">A diferencia de las rondas de reloj, los montos de </w:t>
      </w:r>
      <w:r>
        <w:rPr>
          <w:lang w:val="es-ES"/>
        </w:rPr>
        <w:t>las ofertas económicas</w:t>
      </w:r>
      <w:r w:rsidRPr="0035706E">
        <w:rPr>
          <w:lang w:val="es-ES"/>
        </w:rPr>
        <w:t xml:space="preserve"> son discrecionales, sujetos a ciertas restricciones basadas en la actividad del participante durante las rondas de reloj. En particular, todas las </w:t>
      </w:r>
      <w:r>
        <w:rPr>
          <w:lang w:val="es-ES"/>
        </w:rPr>
        <w:t>ofertas económicas</w:t>
      </w:r>
      <w:r w:rsidRPr="0035706E">
        <w:rPr>
          <w:lang w:val="es-ES"/>
        </w:rPr>
        <w:t xml:space="preserve"> están sujetas a un monto mínimo de </w:t>
      </w:r>
      <w:r>
        <w:rPr>
          <w:lang w:val="es-ES"/>
        </w:rPr>
        <w:t>oferta económica</w:t>
      </w:r>
      <w:r w:rsidRPr="0035706E">
        <w:rPr>
          <w:lang w:val="es-ES"/>
        </w:rPr>
        <w:t xml:space="preserve"> y algunas también están sujetas a un monto </w:t>
      </w:r>
      <w:r>
        <w:rPr>
          <w:lang w:val="es-ES"/>
        </w:rPr>
        <w:t xml:space="preserve">máximo </w:t>
      </w:r>
      <w:r w:rsidRPr="0035706E">
        <w:rPr>
          <w:lang w:val="es-ES"/>
        </w:rPr>
        <w:t xml:space="preserve">de </w:t>
      </w:r>
      <w:r>
        <w:rPr>
          <w:lang w:val="es-ES"/>
        </w:rPr>
        <w:t>oferta económica</w:t>
      </w:r>
      <w:r w:rsidRPr="0035706E">
        <w:rPr>
          <w:lang w:val="es-ES"/>
        </w:rPr>
        <w:t xml:space="preserve"> (ver la Sección </w:t>
      </w:r>
      <w:r w:rsidRPr="0035706E">
        <w:rPr>
          <w:lang w:val="en-US"/>
        </w:rPr>
        <w:fldChar w:fldCharType="begin"/>
      </w:r>
      <w:r w:rsidRPr="0035706E">
        <w:rPr>
          <w:lang w:val="es-ES"/>
        </w:rPr>
        <w:instrText xml:space="preserve"> REF _Ref429412121 \n \h  \* MERGEFORMAT </w:instrText>
      </w:r>
      <w:r w:rsidRPr="0035706E">
        <w:rPr>
          <w:lang w:val="en-US"/>
        </w:rPr>
      </w:r>
      <w:r w:rsidRPr="0035706E">
        <w:rPr>
          <w:lang w:val="en-US"/>
        </w:rPr>
        <w:fldChar w:fldCharType="separate"/>
      </w:r>
      <w:r>
        <w:rPr>
          <w:lang w:val="es-ES"/>
        </w:rPr>
        <w:t>4.2.2</w:t>
      </w:r>
      <w:r w:rsidRPr="0035706E">
        <w:rPr>
          <w:lang w:val="en-US"/>
        </w:rPr>
        <w:fldChar w:fldCharType="end"/>
      </w:r>
      <w:r w:rsidRPr="0035706E">
        <w:rPr>
          <w:lang w:val="es-ES"/>
        </w:rPr>
        <w:t xml:space="preserve">). </w:t>
      </w:r>
    </w:p>
    <w:p w14:paraId="018B4C32" w14:textId="77777777" w:rsidR="0045050D" w:rsidRPr="0035706E" w:rsidRDefault="0045050D" w:rsidP="0045050D">
      <w:pPr>
        <w:pStyle w:val="Textoindependiente"/>
        <w:jc w:val="both"/>
        <w:rPr>
          <w:lang w:val="es-ES"/>
        </w:rPr>
      </w:pPr>
      <w:r w:rsidRPr="0035706E">
        <w:rPr>
          <w:lang w:val="es-ES"/>
        </w:rPr>
        <w:t>Todas las ofertas válidas recibidas en las rondas de reloj y las ofertas válidas de la ronda suplementaria son consideradas en su conjunto para determinar las ofertas ganadoras y los montos a ser pagados por los participantes ganadores.</w:t>
      </w:r>
    </w:p>
    <w:p w14:paraId="57F6D9A1" w14:textId="77777777" w:rsidR="0045050D" w:rsidRPr="0035706E" w:rsidRDefault="0045050D" w:rsidP="0045050D">
      <w:pPr>
        <w:pStyle w:val="Ttulo3"/>
        <w:jc w:val="both"/>
        <w:rPr>
          <w:lang w:val="es-MX"/>
        </w:rPr>
      </w:pPr>
      <w:bookmarkStart w:id="54" w:name="_Toc430281540"/>
      <w:r w:rsidRPr="0035706E">
        <w:rPr>
          <w:lang w:val="es-MX"/>
        </w:rPr>
        <w:t>Programación para la ronda suplementaria</w:t>
      </w:r>
      <w:bookmarkEnd w:id="54"/>
      <w:r w:rsidRPr="0035706E">
        <w:rPr>
          <w:lang w:val="es-MX"/>
        </w:rPr>
        <w:t xml:space="preserve"> </w:t>
      </w:r>
    </w:p>
    <w:p w14:paraId="3407C98F" w14:textId="77777777" w:rsidR="0045050D" w:rsidRPr="00AC217B" w:rsidRDefault="0045050D" w:rsidP="0045050D">
      <w:pPr>
        <w:pStyle w:val="Textoindependiente"/>
        <w:jc w:val="both"/>
        <w:rPr>
          <w:lang w:val="es-ES"/>
        </w:rPr>
      </w:pPr>
      <w:r w:rsidRPr="0035706E">
        <w:rPr>
          <w:lang w:val="es-ES"/>
        </w:rPr>
        <w:t xml:space="preserve">El tiempo de inicio y la duración de la ronda suplementaria serán anunciados por el </w:t>
      </w:r>
      <w:r>
        <w:rPr>
          <w:lang w:val="es-MX"/>
        </w:rPr>
        <w:t>Instituto</w:t>
      </w:r>
      <w:r w:rsidRPr="0035706E">
        <w:rPr>
          <w:lang w:val="es-ES"/>
        </w:rPr>
        <w:t xml:space="preserve"> después de </w:t>
      </w:r>
      <w:r w:rsidRPr="00AC217B">
        <w:rPr>
          <w:lang w:val="es-ES"/>
        </w:rPr>
        <w:t>completar las rondas de reloj.</w:t>
      </w:r>
    </w:p>
    <w:p w14:paraId="29CC509C" w14:textId="77777777" w:rsidR="0045050D" w:rsidRPr="00AC217B" w:rsidRDefault="0045050D" w:rsidP="0045050D">
      <w:pPr>
        <w:pStyle w:val="Textoindependiente"/>
        <w:jc w:val="both"/>
        <w:rPr>
          <w:lang w:val="es-ES"/>
        </w:rPr>
      </w:pPr>
      <w:r w:rsidRPr="00AC217B">
        <w:rPr>
          <w:lang w:val="es-ES"/>
        </w:rPr>
        <w:t xml:space="preserve">Habrá por lo menos </w:t>
      </w:r>
      <w:r>
        <w:rPr>
          <w:lang w:val="es-ES"/>
        </w:rPr>
        <w:t xml:space="preserve">un lapso de </w:t>
      </w:r>
      <w:r w:rsidRPr="00AC217B">
        <w:rPr>
          <w:lang w:val="es-ES"/>
        </w:rPr>
        <w:t>dos días hábiles entre la última ronda de reloj y el comienzo de la ronda suplementaria.</w:t>
      </w:r>
    </w:p>
    <w:p w14:paraId="1E3D4C76" w14:textId="77777777" w:rsidR="0045050D" w:rsidRPr="00AC217B" w:rsidRDefault="0045050D" w:rsidP="0045050D">
      <w:pPr>
        <w:pStyle w:val="Textoindependiente"/>
        <w:jc w:val="both"/>
        <w:rPr>
          <w:lang w:val="es-ES"/>
        </w:rPr>
      </w:pPr>
      <w:r w:rsidRPr="00AC217B">
        <w:rPr>
          <w:lang w:val="es-ES"/>
        </w:rPr>
        <w:t xml:space="preserve">El </w:t>
      </w:r>
      <w:r>
        <w:rPr>
          <w:lang w:val="es-MX"/>
        </w:rPr>
        <w:t>Instituto</w:t>
      </w:r>
      <w:r w:rsidRPr="00AC217B">
        <w:rPr>
          <w:lang w:val="es-ES"/>
        </w:rPr>
        <w:t xml:space="preserve"> tiene la discreci</w:t>
      </w:r>
      <w:r>
        <w:rPr>
          <w:lang w:val="es-ES"/>
        </w:rPr>
        <w:t>onalidad</w:t>
      </w:r>
      <w:r w:rsidRPr="00AC217B">
        <w:rPr>
          <w:lang w:val="es-ES"/>
        </w:rPr>
        <w:t xml:space="preserve"> sobre el tiempo y la duración de la ronda. Sin embargo, el IFT anticipa que la ronda será programada para empezar entre las 9:30 A.M. y las 2:00 P.M de un </w:t>
      </w:r>
      <w:r>
        <w:rPr>
          <w:lang w:val="es-ES"/>
        </w:rPr>
        <w:t>determinado</w:t>
      </w:r>
      <w:r w:rsidRPr="00AC217B">
        <w:rPr>
          <w:lang w:val="es-ES"/>
        </w:rPr>
        <w:t xml:space="preserve"> día hábil, y durará por lo menos cuatro pero no más de seis horas.</w:t>
      </w:r>
    </w:p>
    <w:p w14:paraId="30AB11E7" w14:textId="77777777" w:rsidR="0045050D" w:rsidRPr="00622C3D" w:rsidRDefault="0045050D" w:rsidP="0045050D">
      <w:pPr>
        <w:pStyle w:val="Textoindependiente"/>
        <w:jc w:val="both"/>
        <w:rPr>
          <w:lang w:val="es-ES"/>
        </w:rPr>
      </w:pPr>
      <w:r>
        <w:rPr>
          <w:lang w:val="es-ES"/>
        </w:rPr>
        <w:t>Sólo u</w:t>
      </w:r>
      <w:r w:rsidRPr="00AC217B">
        <w:rPr>
          <w:lang w:val="es-ES"/>
        </w:rPr>
        <w:t>n derecho de extensión estará disponible para todos los participantes en la ronda suplementaria. El período de extensión</w:t>
      </w:r>
      <w:r w:rsidRPr="0035706E">
        <w:rPr>
          <w:lang w:val="es-ES"/>
        </w:rPr>
        <w:t xml:space="preserve">, de ser requerido, será de 30 minutos. </w:t>
      </w:r>
      <w:r>
        <w:rPr>
          <w:lang w:val="es-ES"/>
        </w:rPr>
        <w:t>Aunque un</w:t>
      </w:r>
      <w:r w:rsidRPr="0035706E">
        <w:rPr>
          <w:lang w:val="es-ES"/>
        </w:rPr>
        <w:t xml:space="preserve"> </w:t>
      </w:r>
      <w:r>
        <w:rPr>
          <w:lang w:val="es-ES"/>
        </w:rPr>
        <w:t>P</w:t>
      </w:r>
      <w:r w:rsidRPr="0035706E">
        <w:rPr>
          <w:lang w:val="es-ES"/>
        </w:rPr>
        <w:t xml:space="preserve">articipante </w:t>
      </w:r>
      <w:r>
        <w:rPr>
          <w:lang w:val="es-ES"/>
        </w:rPr>
        <w:t xml:space="preserve">haya </w:t>
      </w:r>
      <w:r w:rsidRPr="0035706E">
        <w:rPr>
          <w:lang w:val="es-ES"/>
        </w:rPr>
        <w:t>u</w:t>
      </w:r>
      <w:r>
        <w:rPr>
          <w:lang w:val="es-ES"/>
        </w:rPr>
        <w:t xml:space="preserve">tilizado </w:t>
      </w:r>
      <w:r w:rsidRPr="0035706E">
        <w:rPr>
          <w:lang w:val="es-ES"/>
        </w:rPr>
        <w:t>todos sus derechos de extensión en las rondas de reloj</w:t>
      </w:r>
      <w:r>
        <w:rPr>
          <w:lang w:val="es-ES"/>
        </w:rPr>
        <w:t>,</w:t>
      </w:r>
      <w:r w:rsidRPr="0035706E">
        <w:rPr>
          <w:lang w:val="es-ES"/>
        </w:rPr>
        <w:t xml:space="preserve"> será elegible para una extensión </w:t>
      </w:r>
      <w:r>
        <w:rPr>
          <w:lang w:val="es-ES"/>
        </w:rPr>
        <w:t xml:space="preserve">adicional </w:t>
      </w:r>
      <w:r w:rsidRPr="0035706E">
        <w:rPr>
          <w:lang w:val="es-ES"/>
        </w:rPr>
        <w:t>en la ronda suplementaria.</w:t>
      </w:r>
    </w:p>
    <w:p w14:paraId="2DDA85E3" w14:textId="77777777" w:rsidR="0045050D" w:rsidRPr="00C00C5F" w:rsidRDefault="0045050D" w:rsidP="0045050D">
      <w:pPr>
        <w:pStyle w:val="Textoindependiente"/>
        <w:jc w:val="both"/>
        <w:rPr>
          <w:lang w:val="es-ES"/>
        </w:rPr>
      </w:pPr>
    </w:p>
    <w:p w14:paraId="334F2D6F" w14:textId="77777777" w:rsidR="0045050D" w:rsidRPr="0035706E" w:rsidRDefault="0045050D" w:rsidP="0045050D">
      <w:pPr>
        <w:pStyle w:val="Ttulo3"/>
        <w:jc w:val="both"/>
        <w:rPr>
          <w:lang w:val="es-ES"/>
        </w:rPr>
      </w:pPr>
      <w:bookmarkStart w:id="55" w:name="_Ref429412121"/>
      <w:bookmarkStart w:id="56" w:name="_Ref429414446"/>
      <w:bookmarkStart w:id="57" w:name="_Ref429414562"/>
      <w:bookmarkStart w:id="58" w:name="_Toc430281541"/>
      <w:r w:rsidRPr="0035706E">
        <w:rPr>
          <w:lang w:val="es-ES"/>
        </w:rPr>
        <w:t xml:space="preserve">Restricciones en los montos de las </w:t>
      </w:r>
      <w:r>
        <w:rPr>
          <w:lang w:val="es-ES"/>
        </w:rPr>
        <w:t>ofertas económicas</w:t>
      </w:r>
      <w:r w:rsidRPr="0035706E">
        <w:rPr>
          <w:lang w:val="es-ES"/>
        </w:rPr>
        <w:t xml:space="preserve"> para la </w:t>
      </w:r>
      <w:r>
        <w:rPr>
          <w:lang w:val="es-ES"/>
        </w:rPr>
        <w:t>ronda</w:t>
      </w:r>
      <w:r w:rsidRPr="0035706E">
        <w:rPr>
          <w:lang w:val="es-ES"/>
        </w:rPr>
        <w:t xml:space="preserve"> suplementaria</w:t>
      </w:r>
      <w:bookmarkEnd w:id="55"/>
      <w:bookmarkEnd w:id="56"/>
      <w:bookmarkEnd w:id="57"/>
      <w:bookmarkEnd w:id="58"/>
    </w:p>
    <w:p w14:paraId="7F8EB83D" w14:textId="77777777" w:rsidR="0045050D" w:rsidRPr="0035706E" w:rsidRDefault="0045050D" w:rsidP="0045050D">
      <w:pPr>
        <w:pStyle w:val="Textoindependiente"/>
        <w:jc w:val="both"/>
        <w:rPr>
          <w:lang w:val="es-ES"/>
        </w:rPr>
      </w:pPr>
      <w:r>
        <w:rPr>
          <w:lang w:val="es-ES"/>
        </w:rPr>
        <w:t xml:space="preserve">A manera ejemplificativa, con un límite de espectro de 2x40 MHz, habría </w:t>
      </w:r>
      <w:r w:rsidRPr="0035706E">
        <w:rPr>
          <w:lang w:val="es-ES"/>
        </w:rPr>
        <w:t xml:space="preserve">un total de 39 paquetes posibles bajo el Escenario I y 32 paquetes posibles bajo el Escenario II </w:t>
      </w:r>
      <w:r>
        <w:rPr>
          <w:lang w:val="es-ES"/>
        </w:rPr>
        <w:t>para los cuales</w:t>
      </w:r>
      <w:r w:rsidRPr="0035706E">
        <w:rPr>
          <w:lang w:val="es-ES"/>
        </w:rPr>
        <w:t xml:space="preserve"> los </w:t>
      </w:r>
      <w:r>
        <w:rPr>
          <w:lang w:val="es-ES"/>
        </w:rPr>
        <w:t>P</w:t>
      </w:r>
      <w:r w:rsidRPr="0035706E">
        <w:rPr>
          <w:lang w:val="es-ES"/>
        </w:rPr>
        <w:t xml:space="preserve">articipantes </w:t>
      </w:r>
      <w:r>
        <w:rPr>
          <w:lang w:val="es-ES"/>
        </w:rPr>
        <w:t>podrían</w:t>
      </w:r>
      <w:r w:rsidRPr="0035706E">
        <w:rPr>
          <w:lang w:val="es-ES"/>
        </w:rPr>
        <w:t xml:space="preserve"> ser elegibles para realizar </w:t>
      </w:r>
      <w:r>
        <w:rPr>
          <w:lang w:val="es-ES"/>
        </w:rPr>
        <w:t>ofertas económicas</w:t>
      </w:r>
      <w:r w:rsidRPr="0035706E">
        <w:rPr>
          <w:lang w:val="es-ES"/>
        </w:rPr>
        <w:t xml:space="preserve"> en la subasta. </w:t>
      </w:r>
      <w:r>
        <w:rPr>
          <w:lang w:val="es-ES"/>
        </w:rPr>
        <w:t xml:space="preserve">Algunos de esos paquetes estarán restringidos a los Participantes </w:t>
      </w:r>
      <w:r w:rsidRPr="0035706E">
        <w:rPr>
          <w:lang w:val="es-ES"/>
        </w:rPr>
        <w:t xml:space="preserve">que </w:t>
      </w:r>
      <w:r>
        <w:rPr>
          <w:lang w:val="es-ES"/>
        </w:rPr>
        <w:t>actualmente s</w:t>
      </w:r>
      <w:r w:rsidRPr="0035706E">
        <w:rPr>
          <w:lang w:val="es-ES"/>
        </w:rPr>
        <w:t xml:space="preserve">on </w:t>
      </w:r>
      <w:r>
        <w:rPr>
          <w:lang w:val="es-ES"/>
        </w:rPr>
        <w:t xml:space="preserve">concesionarios de espectro en la sub-banda </w:t>
      </w:r>
      <w:r w:rsidRPr="0035706E">
        <w:rPr>
          <w:lang w:val="es-ES"/>
        </w:rPr>
        <w:t xml:space="preserve">AWS-1 </w:t>
      </w:r>
      <w:r w:rsidRPr="00FB2317">
        <w:rPr>
          <w:lang w:val="es-ES"/>
        </w:rPr>
        <w:t>o seleccionaron paquetes mínimos en la solicitud debido al límite máximo de espectro y reglas de paquetes mínimos</w:t>
      </w:r>
      <w:r>
        <w:rPr>
          <w:lang w:val="es-ES"/>
        </w:rPr>
        <w:t xml:space="preserve"> </w:t>
      </w:r>
      <w:r w:rsidRPr="0035706E">
        <w:rPr>
          <w:lang w:val="es-ES"/>
        </w:rPr>
        <w:t xml:space="preserve">(ver Sección </w:t>
      </w:r>
      <w:r w:rsidRPr="0035706E">
        <w:rPr>
          <w:lang w:val="en-US"/>
        </w:rPr>
        <w:fldChar w:fldCharType="begin"/>
      </w:r>
      <w:r w:rsidRPr="0035706E">
        <w:rPr>
          <w:lang w:val="es-ES"/>
        </w:rPr>
        <w:instrText xml:space="preserve"> REF _Ref429498394 \r \h  \* MERGEFORMAT </w:instrText>
      </w:r>
      <w:r w:rsidRPr="0035706E">
        <w:rPr>
          <w:lang w:val="en-US"/>
        </w:rPr>
      </w:r>
      <w:r w:rsidRPr="0035706E">
        <w:rPr>
          <w:lang w:val="en-US"/>
        </w:rPr>
        <w:fldChar w:fldCharType="separate"/>
      </w:r>
      <w:r>
        <w:rPr>
          <w:lang w:val="es-ES"/>
        </w:rPr>
        <w:t>2.3</w:t>
      </w:r>
      <w:r w:rsidRPr="0035706E">
        <w:rPr>
          <w:lang w:val="en-US"/>
        </w:rPr>
        <w:fldChar w:fldCharType="end"/>
      </w:r>
      <w:r w:rsidRPr="0035706E">
        <w:rPr>
          <w:lang w:val="es-ES"/>
        </w:rPr>
        <w:t>).</w:t>
      </w:r>
    </w:p>
    <w:p w14:paraId="213EEFDA" w14:textId="633171E8" w:rsidR="0045050D" w:rsidRPr="0035706E" w:rsidRDefault="0045050D" w:rsidP="0045050D">
      <w:pPr>
        <w:pStyle w:val="Textoindependiente"/>
        <w:jc w:val="both"/>
        <w:rPr>
          <w:lang w:val="es-ES"/>
        </w:rPr>
      </w:pPr>
      <w:r w:rsidRPr="0035706E">
        <w:rPr>
          <w:lang w:val="es-ES"/>
        </w:rPr>
        <w:t xml:space="preserve">Los </w:t>
      </w:r>
      <w:r>
        <w:rPr>
          <w:lang w:val="es-ES"/>
        </w:rPr>
        <w:t>P</w:t>
      </w:r>
      <w:r w:rsidRPr="0035706E">
        <w:rPr>
          <w:lang w:val="es-ES"/>
        </w:rPr>
        <w:t xml:space="preserve">articipantes pueden presentar como máximo una </w:t>
      </w:r>
      <w:r>
        <w:rPr>
          <w:lang w:val="es-ES"/>
        </w:rPr>
        <w:t>oferta económica</w:t>
      </w:r>
      <w:r w:rsidRPr="0035706E">
        <w:rPr>
          <w:lang w:val="es-ES"/>
        </w:rPr>
        <w:t xml:space="preserve"> suplementaria por cada paquete. No es obligatorio realizar </w:t>
      </w:r>
      <w:r>
        <w:rPr>
          <w:lang w:val="es-ES"/>
        </w:rPr>
        <w:t>ofertas económicas</w:t>
      </w:r>
      <w:r w:rsidRPr="0035706E">
        <w:rPr>
          <w:lang w:val="es-ES"/>
        </w:rPr>
        <w:t xml:space="preserve"> por </w:t>
      </w:r>
      <w:r>
        <w:rPr>
          <w:lang w:val="es-ES"/>
        </w:rPr>
        <w:t>cualesquiera de los</w:t>
      </w:r>
      <w:r w:rsidRPr="0035706E">
        <w:rPr>
          <w:lang w:val="es-ES"/>
        </w:rPr>
        <w:t xml:space="preserve"> paquete</w:t>
      </w:r>
      <w:r>
        <w:rPr>
          <w:lang w:val="es-ES"/>
        </w:rPr>
        <w:t>s</w:t>
      </w:r>
      <w:r w:rsidRPr="0035706E">
        <w:rPr>
          <w:lang w:val="es-ES"/>
        </w:rPr>
        <w:t xml:space="preserve">. Sin embargo, en el caso del Escenario I, </w:t>
      </w:r>
      <w:r>
        <w:rPr>
          <w:lang w:val="es-ES"/>
        </w:rPr>
        <w:t xml:space="preserve">los operadores que tienen concesiones regionales en el </w:t>
      </w:r>
      <w:r w:rsidR="00A1029A">
        <w:rPr>
          <w:lang w:val="es-ES"/>
        </w:rPr>
        <w:t>B</w:t>
      </w:r>
      <w:r>
        <w:rPr>
          <w:lang w:val="es-ES"/>
        </w:rPr>
        <w:t>loque D</w:t>
      </w:r>
      <w:r w:rsidRPr="0035706E">
        <w:rPr>
          <w:lang w:val="es-ES"/>
        </w:rPr>
        <w:t xml:space="preserve"> – en </w:t>
      </w:r>
      <w:r w:rsidRPr="00FB2317">
        <w:rPr>
          <w:lang w:val="es-ES"/>
        </w:rPr>
        <w:t>base a su solicitud – se considerará que ya se han comprometido a presentar una oferta económica por cada uno de sus paquetes mínimos al precio</w:t>
      </w:r>
      <w:r w:rsidRPr="00D23B9F">
        <w:rPr>
          <w:lang w:val="es-ES"/>
        </w:rPr>
        <w:t xml:space="preserve"> de reserva</w:t>
      </w:r>
      <w:r>
        <w:rPr>
          <w:lang w:val="es-ES"/>
        </w:rPr>
        <w:t xml:space="preserve"> (sujeto a sus restricciones de una oferta económica, podrían realizar oferta económica por más que el precio de reserva </w:t>
      </w:r>
      <w:r w:rsidRPr="00FB2317">
        <w:rPr>
          <w:lang w:val="es-ES"/>
        </w:rPr>
        <w:t>por cualquiera de estos paquetes si así lo desean, pero no estarían obligados a realizarlo)</w:t>
      </w:r>
      <w:r w:rsidRPr="00F2265A">
        <w:rPr>
          <w:lang w:val="es-ES"/>
        </w:rPr>
        <w:t xml:space="preserve">. Por lo tanto, el formulario que verán para su oferta suplementaria en el SES estará pre-llenado con </w:t>
      </w:r>
      <w:r w:rsidRPr="00FB2317">
        <w:rPr>
          <w:lang w:val="es-ES"/>
        </w:rPr>
        <w:t>estas ofertas económicas.</w:t>
      </w:r>
      <w:r w:rsidRPr="0035706E">
        <w:rPr>
          <w:lang w:val="es-ES"/>
        </w:rPr>
        <w:t xml:space="preserve"> </w:t>
      </w:r>
    </w:p>
    <w:p w14:paraId="0684430F" w14:textId="77777777" w:rsidR="0045050D" w:rsidRPr="0035706E" w:rsidRDefault="0045050D" w:rsidP="0045050D">
      <w:pPr>
        <w:pStyle w:val="Textoindependiente"/>
        <w:jc w:val="both"/>
        <w:rPr>
          <w:lang w:val="es-ES"/>
        </w:rPr>
      </w:pPr>
      <w:r w:rsidRPr="0035706E">
        <w:rPr>
          <w:lang w:val="es-ES"/>
        </w:rPr>
        <w:t>Los montos de la</w:t>
      </w:r>
      <w:r>
        <w:rPr>
          <w:lang w:val="es-ES"/>
        </w:rPr>
        <w:t>s</w:t>
      </w:r>
      <w:r w:rsidRPr="0035706E">
        <w:rPr>
          <w:lang w:val="es-ES"/>
        </w:rPr>
        <w:t xml:space="preserve"> </w:t>
      </w:r>
      <w:r>
        <w:rPr>
          <w:lang w:val="es-ES"/>
        </w:rPr>
        <w:t>ofertas económicas</w:t>
      </w:r>
      <w:r w:rsidRPr="0035706E">
        <w:rPr>
          <w:lang w:val="es-ES"/>
        </w:rPr>
        <w:t xml:space="preserve"> son discrecionales sujeto a las siguientes restricciones:</w:t>
      </w:r>
    </w:p>
    <w:p w14:paraId="1B0D4728" w14:textId="77777777" w:rsidR="0045050D" w:rsidRPr="0035706E" w:rsidRDefault="0045050D" w:rsidP="0045050D">
      <w:pPr>
        <w:pStyle w:val="Textoindependiente"/>
        <w:numPr>
          <w:ilvl w:val="0"/>
          <w:numId w:val="57"/>
        </w:numPr>
        <w:jc w:val="both"/>
        <w:rPr>
          <w:lang w:val="es-ES"/>
        </w:rPr>
      </w:pPr>
      <w:r w:rsidRPr="0035706E">
        <w:rPr>
          <w:lang w:val="es-ES"/>
        </w:rPr>
        <w:t>Todos los montos de la</w:t>
      </w:r>
      <w:r>
        <w:rPr>
          <w:lang w:val="es-ES"/>
        </w:rPr>
        <w:t>s</w:t>
      </w:r>
      <w:r w:rsidRPr="0035706E">
        <w:rPr>
          <w:lang w:val="es-ES"/>
        </w:rPr>
        <w:t xml:space="preserve"> </w:t>
      </w:r>
      <w:r>
        <w:rPr>
          <w:lang w:val="es-ES"/>
        </w:rPr>
        <w:t>ofertas económicas</w:t>
      </w:r>
      <w:r w:rsidRPr="0035706E">
        <w:rPr>
          <w:lang w:val="es-ES"/>
        </w:rPr>
        <w:t xml:space="preserve"> se sujetan a un monto mínimo. Este </w:t>
      </w:r>
      <w:r>
        <w:rPr>
          <w:lang w:val="es-ES"/>
        </w:rPr>
        <w:t xml:space="preserve">será </w:t>
      </w:r>
      <w:r w:rsidRPr="0035706E">
        <w:rPr>
          <w:lang w:val="es-ES"/>
        </w:rPr>
        <w:t>el mayor de:</w:t>
      </w:r>
    </w:p>
    <w:p w14:paraId="676F7F8D" w14:textId="77777777" w:rsidR="0045050D" w:rsidRPr="0035706E" w:rsidRDefault="0045050D" w:rsidP="0045050D">
      <w:pPr>
        <w:pStyle w:val="Textoindependiente"/>
        <w:numPr>
          <w:ilvl w:val="1"/>
          <w:numId w:val="57"/>
        </w:numPr>
        <w:jc w:val="both"/>
        <w:rPr>
          <w:lang w:val="es-ES"/>
        </w:rPr>
      </w:pPr>
      <w:r w:rsidRPr="0035706E">
        <w:rPr>
          <w:lang w:val="es-ES"/>
        </w:rPr>
        <w:t xml:space="preserve">La suma de los precios de reserva por los </w:t>
      </w:r>
      <w:r>
        <w:rPr>
          <w:lang w:val="es-ES"/>
        </w:rPr>
        <w:t>bloques</w:t>
      </w:r>
      <w:r w:rsidRPr="0035706E">
        <w:rPr>
          <w:lang w:val="es-ES"/>
        </w:rPr>
        <w:t xml:space="preserve"> incluidos en el paquete; y</w:t>
      </w:r>
    </w:p>
    <w:p w14:paraId="3B7D4300" w14:textId="77777777" w:rsidR="0045050D" w:rsidRPr="0035706E" w:rsidRDefault="0045050D" w:rsidP="0045050D">
      <w:pPr>
        <w:pStyle w:val="Textoindependiente"/>
        <w:numPr>
          <w:ilvl w:val="1"/>
          <w:numId w:val="57"/>
        </w:numPr>
        <w:jc w:val="both"/>
        <w:rPr>
          <w:lang w:val="es-ES"/>
        </w:rPr>
      </w:pPr>
      <w:r w:rsidRPr="0035706E">
        <w:rPr>
          <w:lang w:val="es-ES"/>
        </w:rPr>
        <w:t xml:space="preserve">El monto de la oferta más alta del </w:t>
      </w:r>
      <w:r>
        <w:rPr>
          <w:lang w:val="es-ES"/>
        </w:rPr>
        <w:t>P</w:t>
      </w:r>
      <w:r w:rsidRPr="0035706E">
        <w:rPr>
          <w:lang w:val="es-ES"/>
        </w:rPr>
        <w:t xml:space="preserve">articipante por el paquete en las rondas de reloj, si es que </w:t>
      </w:r>
      <w:r>
        <w:rPr>
          <w:lang w:val="es-ES"/>
        </w:rPr>
        <w:t>existe</w:t>
      </w:r>
      <w:r w:rsidRPr="0035706E">
        <w:rPr>
          <w:lang w:val="es-ES"/>
        </w:rPr>
        <w:t>.</w:t>
      </w:r>
    </w:p>
    <w:p w14:paraId="4F803DBA" w14:textId="77777777" w:rsidR="0045050D" w:rsidRPr="0035706E" w:rsidRDefault="0045050D" w:rsidP="0045050D">
      <w:pPr>
        <w:pStyle w:val="Textoindependiente"/>
        <w:numPr>
          <w:ilvl w:val="0"/>
          <w:numId w:val="57"/>
        </w:numPr>
        <w:jc w:val="both"/>
        <w:rPr>
          <w:lang w:val="es-ES"/>
        </w:rPr>
      </w:pPr>
      <w:r w:rsidRPr="0035706E">
        <w:rPr>
          <w:lang w:val="es-ES"/>
        </w:rPr>
        <w:t xml:space="preserve">Cada </w:t>
      </w:r>
      <w:r>
        <w:rPr>
          <w:lang w:val="es-ES"/>
        </w:rPr>
        <w:t>P</w:t>
      </w:r>
      <w:r w:rsidRPr="0035706E">
        <w:rPr>
          <w:lang w:val="es-ES"/>
        </w:rPr>
        <w:t>articipante ten</w:t>
      </w:r>
      <w:r>
        <w:rPr>
          <w:lang w:val="es-ES"/>
        </w:rPr>
        <w:t>drá</w:t>
      </w:r>
      <w:r w:rsidRPr="0035706E">
        <w:rPr>
          <w:lang w:val="es-ES"/>
        </w:rPr>
        <w:t xml:space="preserve"> un “paquete de reloj final”. Este es el paquete que fue el contenido en la </w:t>
      </w:r>
      <w:r>
        <w:rPr>
          <w:lang w:val="es-ES"/>
        </w:rPr>
        <w:t xml:space="preserve">última </w:t>
      </w:r>
      <w:r w:rsidRPr="0035706E">
        <w:rPr>
          <w:lang w:val="es-ES"/>
        </w:rPr>
        <w:t xml:space="preserve">oferta de reloj </w:t>
      </w:r>
      <w:r>
        <w:rPr>
          <w:lang w:val="es-ES"/>
        </w:rPr>
        <w:t xml:space="preserve">diferente de cero </w:t>
      </w:r>
      <w:r w:rsidRPr="0035706E">
        <w:rPr>
          <w:lang w:val="es-ES"/>
        </w:rPr>
        <w:t>del participante.</w:t>
      </w:r>
    </w:p>
    <w:p w14:paraId="05CCE38A" w14:textId="77777777" w:rsidR="0045050D" w:rsidRPr="0035706E" w:rsidRDefault="0045050D" w:rsidP="0045050D">
      <w:pPr>
        <w:pStyle w:val="Textoindependiente"/>
        <w:numPr>
          <w:ilvl w:val="1"/>
          <w:numId w:val="57"/>
        </w:numPr>
        <w:jc w:val="both"/>
        <w:rPr>
          <w:lang w:val="es-ES"/>
        </w:rPr>
      </w:pPr>
      <w:r w:rsidRPr="0035706E">
        <w:rPr>
          <w:lang w:val="es-ES"/>
        </w:rPr>
        <w:t xml:space="preserve">Si </w:t>
      </w:r>
      <w:r>
        <w:rPr>
          <w:lang w:val="es-ES"/>
        </w:rPr>
        <w:t>dicha</w:t>
      </w:r>
      <w:r w:rsidRPr="0035706E">
        <w:rPr>
          <w:lang w:val="es-ES"/>
        </w:rPr>
        <w:t xml:space="preserve"> oferta fue presentada en la última ronda de reloj, no hay límite máximo en el monto de la oferta suplementaria que el </w:t>
      </w:r>
      <w:r>
        <w:rPr>
          <w:lang w:val="es-ES"/>
        </w:rPr>
        <w:t>P</w:t>
      </w:r>
      <w:r w:rsidRPr="0035706E">
        <w:rPr>
          <w:lang w:val="es-ES"/>
        </w:rPr>
        <w:t>articipante puede presentar por ese paquete.</w:t>
      </w:r>
    </w:p>
    <w:p w14:paraId="2041C5E1" w14:textId="77777777" w:rsidR="0045050D" w:rsidRPr="0035706E" w:rsidRDefault="0045050D" w:rsidP="0045050D">
      <w:pPr>
        <w:pStyle w:val="Textoindependiente"/>
        <w:numPr>
          <w:ilvl w:val="1"/>
          <w:numId w:val="57"/>
        </w:numPr>
        <w:jc w:val="both"/>
        <w:rPr>
          <w:lang w:val="es-ES"/>
        </w:rPr>
      </w:pPr>
      <w:r w:rsidRPr="0035706E">
        <w:rPr>
          <w:lang w:val="es-ES"/>
        </w:rPr>
        <w:t xml:space="preserve">Si </w:t>
      </w:r>
      <w:r>
        <w:rPr>
          <w:lang w:val="es-ES"/>
        </w:rPr>
        <w:t>dicha</w:t>
      </w:r>
      <w:r w:rsidRPr="0035706E">
        <w:rPr>
          <w:lang w:val="es-ES"/>
        </w:rPr>
        <w:t xml:space="preserve"> oferta fue presentada en una ronda de reloj </w:t>
      </w:r>
      <w:r>
        <w:rPr>
          <w:lang w:val="es-ES"/>
        </w:rPr>
        <w:t>previa a la última</w:t>
      </w:r>
      <w:r w:rsidRPr="0035706E">
        <w:rPr>
          <w:lang w:val="es-ES"/>
        </w:rPr>
        <w:t>, entonces el monto de la oferta suplementaria se sujeta</w:t>
      </w:r>
      <w:r>
        <w:rPr>
          <w:lang w:val="es-ES"/>
        </w:rPr>
        <w:t>rá</w:t>
      </w:r>
      <w:r w:rsidRPr="0035706E">
        <w:rPr>
          <w:lang w:val="es-ES"/>
        </w:rPr>
        <w:t xml:space="preserve"> a un </w:t>
      </w:r>
      <w:r>
        <w:rPr>
          <w:lang w:val="es-ES"/>
        </w:rPr>
        <w:t>límite máximo</w:t>
      </w:r>
      <w:r w:rsidRPr="0035706E">
        <w:rPr>
          <w:lang w:val="es-ES"/>
        </w:rPr>
        <w:t xml:space="preserve">, el cual </w:t>
      </w:r>
      <w:r>
        <w:rPr>
          <w:lang w:val="es-ES"/>
        </w:rPr>
        <w:t>será</w:t>
      </w:r>
      <w:r w:rsidRPr="0035706E">
        <w:rPr>
          <w:lang w:val="es-ES"/>
        </w:rPr>
        <w:t xml:space="preserve"> la suma del componente de los precios de lotes en la ronda </w:t>
      </w:r>
      <w:r>
        <w:rPr>
          <w:lang w:val="es-ES"/>
        </w:rPr>
        <w:t>siguiente</w:t>
      </w:r>
      <w:r w:rsidRPr="0035706E">
        <w:rPr>
          <w:lang w:val="es-ES"/>
        </w:rPr>
        <w:t xml:space="preserve"> a la cual el </w:t>
      </w:r>
      <w:r>
        <w:rPr>
          <w:lang w:val="es-ES"/>
        </w:rPr>
        <w:t>P</w:t>
      </w:r>
      <w:r w:rsidRPr="0035706E">
        <w:rPr>
          <w:lang w:val="es-ES"/>
        </w:rPr>
        <w:t xml:space="preserve">articipante </w:t>
      </w:r>
      <w:r>
        <w:rPr>
          <w:lang w:val="es-ES"/>
        </w:rPr>
        <w:t xml:space="preserve">había </w:t>
      </w:r>
      <w:r w:rsidRPr="0035706E">
        <w:rPr>
          <w:lang w:val="es-ES"/>
        </w:rPr>
        <w:t>present</w:t>
      </w:r>
      <w:r>
        <w:rPr>
          <w:lang w:val="es-ES"/>
        </w:rPr>
        <w:t>ado</w:t>
      </w:r>
      <w:r w:rsidRPr="0035706E">
        <w:rPr>
          <w:lang w:val="es-ES"/>
        </w:rPr>
        <w:t xml:space="preserve"> su oferta final de reloj.</w:t>
      </w:r>
    </w:p>
    <w:p w14:paraId="16510AAE" w14:textId="77777777" w:rsidR="0045050D" w:rsidRPr="0035706E" w:rsidRDefault="0045050D" w:rsidP="0045050D">
      <w:pPr>
        <w:pStyle w:val="Textoindependiente"/>
        <w:numPr>
          <w:ilvl w:val="0"/>
          <w:numId w:val="57"/>
        </w:numPr>
        <w:jc w:val="both"/>
        <w:rPr>
          <w:lang w:val="es-ES"/>
        </w:rPr>
      </w:pPr>
      <w:r w:rsidRPr="0035706E">
        <w:rPr>
          <w:lang w:val="es-ES"/>
        </w:rPr>
        <w:t xml:space="preserve">Todos los demás paquetes están sujetos a un monto de oferta suplementario máximo, en base a una “regla de </w:t>
      </w:r>
      <w:r>
        <w:rPr>
          <w:lang w:val="es-ES"/>
        </w:rPr>
        <w:t>límite máximo</w:t>
      </w:r>
      <w:r w:rsidRPr="0035706E">
        <w:rPr>
          <w:lang w:val="es-ES"/>
        </w:rPr>
        <w:t xml:space="preserve"> relativo”. El monto de la </w:t>
      </w:r>
      <w:r>
        <w:rPr>
          <w:lang w:val="es-ES"/>
        </w:rPr>
        <w:t>oferta económica</w:t>
      </w:r>
      <w:r w:rsidRPr="0035706E">
        <w:rPr>
          <w:lang w:val="es-ES"/>
        </w:rPr>
        <w:t xml:space="preserve"> es restringido por los precios de reloj en la ronda de reloj más reciente en la cual el </w:t>
      </w:r>
      <w:r>
        <w:rPr>
          <w:lang w:val="es-ES"/>
        </w:rPr>
        <w:t>P</w:t>
      </w:r>
      <w:r w:rsidRPr="0035706E">
        <w:rPr>
          <w:lang w:val="es-ES"/>
        </w:rPr>
        <w:t xml:space="preserve">articipante pudo haber hecho una </w:t>
      </w:r>
      <w:r>
        <w:rPr>
          <w:lang w:val="es-ES"/>
        </w:rPr>
        <w:t>oferta económica</w:t>
      </w:r>
      <w:r w:rsidRPr="0035706E">
        <w:rPr>
          <w:lang w:val="es-ES"/>
        </w:rPr>
        <w:t xml:space="preserve"> por el paquete, pero eligió en </w:t>
      </w:r>
      <w:r>
        <w:rPr>
          <w:lang w:val="es-ES"/>
        </w:rPr>
        <w:t xml:space="preserve">su </w:t>
      </w:r>
      <w:r w:rsidRPr="0035706E">
        <w:rPr>
          <w:lang w:val="es-ES"/>
        </w:rPr>
        <w:t xml:space="preserve">lugar hacer una </w:t>
      </w:r>
      <w:r>
        <w:rPr>
          <w:lang w:val="es-ES"/>
        </w:rPr>
        <w:t>oferta económica</w:t>
      </w:r>
      <w:r w:rsidRPr="0035706E">
        <w:rPr>
          <w:lang w:val="es-ES"/>
        </w:rPr>
        <w:t xml:space="preserve"> por un paquete con menos </w:t>
      </w:r>
      <w:r>
        <w:rPr>
          <w:lang w:val="es-ES"/>
        </w:rPr>
        <w:t>bloques</w:t>
      </w:r>
      <w:r w:rsidRPr="0035706E">
        <w:rPr>
          <w:lang w:val="es-ES"/>
        </w:rPr>
        <w:t xml:space="preserve">. De manera </w:t>
      </w:r>
      <w:r>
        <w:rPr>
          <w:lang w:val="es-ES"/>
        </w:rPr>
        <w:t>ejemplificativa</w:t>
      </w:r>
      <w:r w:rsidRPr="0035706E">
        <w:rPr>
          <w:lang w:val="es-ES"/>
        </w:rPr>
        <w:t xml:space="preserve">, </w:t>
      </w:r>
      <w:r>
        <w:rPr>
          <w:lang w:val="es-ES"/>
        </w:rPr>
        <w:t xml:space="preserve">si se </w:t>
      </w:r>
      <w:r w:rsidRPr="0035706E">
        <w:rPr>
          <w:lang w:val="es-ES"/>
        </w:rPr>
        <w:t>asum</w:t>
      </w:r>
      <w:r>
        <w:rPr>
          <w:lang w:val="es-ES"/>
        </w:rPr>
        <w:t>e</w:t>
      </w:r>
      <w:r w:rsidRPr="0035706E">
        <w:rPr>
          <w:lang w:val="es-ES"/>
        </w:rPr>
        <w:t xml:space="preserve"> que el </w:t>
      </w:r>
      <w:r>
        <w:rPr>
          <w:lang w:val="es-ES"/>
        </w:rPr>
        <w:t>P</w:t>
      </w:r>
      <w:r w:rsidRPr="0035706E">
        <w:rPr>
          <w:lang w:val="es-ES"/>
        </w:rPr>
        <w:t xml:space="preserve">articipante en la última oportunidad fue elegible para </w:t>
      </w:r>
      <w:r>
        <w:rPr>
          <w:lang w:val="es-ES"/>
        </w:rPr>
        <w:t>realizar oferta económica</w:t>
      </w:r>
      <w:r w:rsidRPr="0035706E">
        <w:rPr>
          <w:lang w:val="es-ES"/>
        </w:rPr>
        <w:t xml:space="preserve"> por el paquete X en la ronda n, pero eligió en su lugar ofertar por el paquete Y con menos </w:t>
      </w:r>
      <w:r>
        <w:rPr>
          <w:lang w:val="es-ES"/>
        </w:rPr>
        <w:t>bloques</w:t>
      </w:r>
      <w:r w:rsidRPr="0035706E">
        <w:rPr>
          <w:lang w:val="es-ES"/>
        </w:rPr>
        <w:t xml:space="preserve">. En este caso, la </w:t>
      </w:r>
      <w:r>
        <w:rPr>
          <w:lang w:val="es-ES"/>
        </w:rPr>
        <w:t>oferta económica</w:t>
      </w:r>
      <w:r w:rsidRPr="0035706E">
        <w:rPr>
          <w:lang w:val="es-ES"/>
        </w:rPr>
        <w:t xml:space="preserve"> suplementaria por el paquete X no puede exceder la </w:t>
      </w:r>
      <w:r>
        <w:rPr>
          <w:lang w:val="es-ES"/>
        </w:rPr>
        <w:t>oferta económica</w:t>
      </w:r>
      <w:r w:rsidRPr="0035706E">
        <w:rPr>
          <w:lang w:val="es-ES"/>
        </w:rPr>
        <w:t xml:space="preserve"> más alta que el participante hizo por el paquete Y (la cual puede ser una oferta suplementaria o una oferta de ronda de reloj si no se realizó oferta suplementaria) más la diferencia entre el precio del paquete X y el paquete Y a los precios de reloj en la ronda n.</w:t>
      </w:r>
    </w:p>
    <w:p w14:paraId="3E1362B1" w14:textId="77777777" w:rsidR="0045050D" w:rsidRPr="0035706E" w:rsidRDefault="0045050D" w:rsidP="0045050D">
      <w:pPr>
        <w:pStyle w:val="Textoindependiente"/>
        <w:numPr>
          <w:ilvl w:val="0"/>
          <w:numId w:val="57"/>
        </w:numPr>
        <w:jc w:val="both"/>
        <w:rPr>
          <w:lang w:val="es-ES"/>
        </w:rPr>
      </w:pPr>
      <w:r w:rsidRPr="0035706E">
        <w:rPr>
          <w:lang w:val="es-ES"/>
        </w:rPr>
        <w:t xml:space="preserve">Todos los montos de la oferta deben ser especificados en </w:t>
      </w:r>
      <w:r>
        <w:rPr>
          <w:lang w:val="es-ES"/>
        </w:rPr>
        <w:t>miles</w:t>
      </w:r>
      <w:r w:rsidRPr="0035706E">
        <w:rPr>
          <w:lang w:val="es-ES"/>
        </w:rPr>
        <w:t xml:space="preserve"> de pesos.</w:t>
      </w:r>
    </w:p>
    <w:p w14:paraId="08BE03F6" w14:textId="77777777" w:rsidR="0045050D" w:rsidRPr="0035706E" w:rsidRDefault="0045050D" w:rsidP="0045050D">
      <w:pPr>
        <w:pStyle w:val="Textoindependiente"/>
        <w:jc w:val="both"/>
        <w:rPr>
          <w:lang w:val="es-ES"/>
        </w:rPr>
      </w:pPr>
      <w:r w:rsidRPr="0035706E">
        <w:rPr>
          <w:lang w:val="es-ES"/>
        </w:rPr>
        <w:t xml:space="preserve">El objetivo de estas reglas es asegurar que las preferencias a lo largo de los diferentes paquetes expresados a través de las </w:t>
      </w:r>
      <w:r>
        <w:rPr>
          <w:lang w:val="es-ES"/>
        </w:rPr>
        <w:t>ofertas económicas</w:t>
      </w:r>
      <w:r w:rsidRPr="0035706E">
        <w:rPr>
          <w:lang w:val="es-ES"/>
        </w:rPr>
        <w:t xml:space="preserve"> suplementarias de los </w:t>
      </w:r>
      <w:r>
        <w:rPr>
          <w:lang w:val="es-ES"/>
        </w:rPr>
        <w:t>P</w:t>
      </w:r>
      <w:r w:rsidRPr="0035706E">
        <w:rPr>
          <w:lang w:val="es-ES"/>
        </w:rPr>
        <w:t xml:space="preserve">articipantes sean consistentes con las ofertas de reloj que </w:t>
      </w:r>
      <w:r>
        <w:rPr>
          <w:lang w:val="es-ES"/>
        </w:rPr>
        <w:t>los</w:t>
      </w:r>
      <w:r w:rsidRPr="0035706E">
        <w:rPr>
          <w:lang w:val="es-ES"/>
        </w:rPr>
        <w:t xml:space="preserve"> </w:t>
      </w:r>
      <w:r>
        <w:rPr>
          <w:lang w:val="es-ES"/>
        </w:rPr>
        <w:t>P</w:t>
      </w:r>
      <w:r w:rsidRPr="0035706E">
        <w:rPr>
          <w:lang w:val="es-ES"/>
        </w:rPr>
        <w:t>articipante</w:t>
      </w:r>
      <w:r>
        <w:rPr>
          <w:lang w:val="es-ES"/>
        </w:rPr>
        <w:t>s</w:t>
      </w:r>
      <w:r w:rsidRPr="0035706E">
        <w:rPr>
          <w:lang w:val="es-ES"/>
        </w:rPr>
        <w:t xml:space="preserve"> </w:t>
      </w:r>
      <w:r>
        <w:rPr>
          <w:lang w:val="es-ES"/>
        </w:rPr>
        <w:t>realizaron</w:t>
      </w:r>
      <w:r w:rsidRPr="0035706E">
        <w:rPr>
          <w:lang w:val="es-ES"/>
        </w:rPr>
        <w:t xml:space="preserve"> previamente. </w:t>
      </w:r>
      <w:r>
        <w:rPr>
          <w:lang w:val="es-ES"/>
        </w:rPr>
        <w:t>Lo anterior</w:t>
      </w:r>
      <w:r w:rsidRPr="0035706E">
        <w:rPr>
          <w:lang w:val="es-ES"/>
        </w:rPr>
        <w:t xml:space="preserve"> </w:t>
      </w:r>
      <w:r>
        <w:rPr>
          <w:lang w:val="es-ES"/>
        </w:rPr>
        <w:t>con</w:t>
      </w:r>
      <w:r w:rsidRPr="0035706E">
        <w:rPr>
          <w:lang w:val="es-ES"/>
        </w:rPr>
        <w:t xml:space="preserve"> el objetivo de proveer incentivos para la realización de ofertas consistentes basadas en </w:t>
      </w:r>
      <w:r>
        <w:rPr>
          <w:lang w:val="es-ES"/>
        </w:rPr>
        <w:t xml:space="preserve">las </w:t>
      </w:r>
      <w:r w:rsidRPr="0035706E">
        <w:rPr>
          <w:lang w:val="es-ES"/>
        </w:rPr>
        <w:t>valuaciones durante las rondas de reloj.</w:t>
      </w:r>
    </w:p>
    <w:p w14:paraId="7CAA97CE" w14:textId="77777777" w:rsidR="0045050D" w:rsidRPr="0035706E" w:rsidRDefault="0045050D" w:rsidP="0045050D">
      <w:pPr>
        <w:pStyle w:val="Textoindependiente"/>
        <w:jc w:val="both"/>
        <w:rPr>
          <w:lang w:val="es-ES"/>
        </w:rPr>
      </w:pPr>
      <w:r w:rsidRPr="0035706E">
        <w:rPr>
          <w:lang w:val="es-ES"/>
        </w:rPr>
        <w:t xml:space="preserve">En particular, la regla del </w:t>
      </w:r>
      <w:r>
        <w:rPr>
          <w:lang w:val="es-ES"/>
        </w:rPr>
        <w:t>límite máximo</w:t>
      </w:r>
      <w:r w:rsidRPr="0035706E">
        <w:rPr>
          <w:lang w:val="es-ES"/>
        </w:rPr>
        <w:t xml:space="preserve"> relativo descrito arriba limita el monto que un </w:t>
      </w:r>
      <w:r>
        <w:rPr>
          <w:lang w:val="es-ES"/>
        </w:rPr>
        <w:t>P</w:t>
      </w:r>
      <w:r w:rsidRPr="0035706E">
        <w:rPr>
          <w:lang w:val="es-ES"/>
        </w:rPr>
        <w:t xml:space="preserve">articipante puede ofertar por algún paquete que no sea el paquete final de reloj del </w:t>
      </w:r>
      <w:r>
        <w:rPr>
          <w:lang w:val="es-ES"/>
        </w:rPr>
        <w:t>P</w:t>
      </w:r>
      <w:r w:rsidRPr="0035706E">
        <w:rPr>
          <w:lang w:val="es-ES"/>
        </w:rPr>
        <w:t xml:space="preserve">articipante: </w:t>
      </w:r>
    </w:p>
    <w:p w14:paraId="378EB6D1" w14:textId="77777777" w:rsidR="0045050D" w:rsidRPr="0035706E" w:rsidRDefault="0045050D" w:rsidP="0045050D">
      <w:pPr>
        <w:pStyle w:val="Textoindependiente"/>
        <w:numPr>
          <w:ilvl w:val="0"/>
          <w:numId w:val="46"/>
        </w:numPr>
        <w:jc w:val="both"/>
        <w:rPr>
          <w:lang w:val="es-ES"/>
        </w:rPr>
      </w:pPr>
      <w:r w:rsidRPr="0035706E">
        <w:rPr>
          <w:lang w:val="es-ES"/>
        </w:rPr>
        <w:t xml:space="preserve">El monto que un </w:t>
      </w:r>
      <w:r>
        <w:rPr>
          <w:lang w:val="es-ES"/>
        </w:rPr>
        <w:t>P</w:t>
      </w:r>
      <w:r w:rsidRPr="0035706E">
        <w:rPr>
          <w:lang w:val="es-ES"/>
        </w:rPr>
        <w:t>articipante puede ofertar por un paquete que ya no es elegible de recibir ofertas en la ronda final de reloj será limitado en relación al monto de la oferta por el “paquete l</w:t>
      </w:r>
      <w:r>
        <w:rPr>
          <w:lang w:val="es-ES"/>
        </w:rPr>
        <w:t>í</w:t>
      </w:r>
      <w:r w:rsidRPr="0035706E">
        <w:rPr>
          <w:lang w:val="es-ES"/>
        </w:rPr>
        <w:t>mit</w:t>
      </w:r>
      <w:r>
        <w:rPr>
          <w:lang w:val="es-ES"/>
        </w:rPr>
        <w:t>e</w:t>
      </w:r>
      <w:r w:rsidRPr="0035706E">
        <w:rPr>
          <w:lang w:val="es-ES"/>
        </w:rPr>
        <w:t xml:space="preserve">” de ese paquete. Para un paquete X, el paquete </w:t>
      </w:r>
      <w:r>
        <w:rPr>
          <w:lang w:val="es-ES"/>
        </w:rPr>
        <w:t>lí</w:t>
      </w:r>
      <w:r w:rsidRPr="0035706E">
        <w:rPr>
          <w:lang w:val="es-ES"/>
        </w:rPr>
        <w:t>mit</w:t>
      </w:r>
      <w:r>
        <w:rPr>
          <w:lang w:val="es-ES"/>
        </w:rPr>
        <w:t>ador</w:t>
      </w:r>
      <w:r w:rsidRPr="0035706E">
        <w:rPr>
          <w:lang w:val="es-ES"/>
        </w:rPr>
        <w:t xml:space="preserve"> es el paquete por el cual el participante realizó ofertas en la “ronda de reloj </w:t>
      </w:r>
      <w:r>
        <w:rPr>
          <w:lang w:val="es-ES"/>
        </w:rPr>
        <w:t>limitadora</w:t>
      </w:r>
      <w:r w:rsidRPr="0035706E">
        <w:rPr>
          <w:lang w:val="es-ES"/>
        </w:rPr>
        <w:t xml:space="preserve">”, la cual es la ronda de reloj más reciente en la cual el </w:t>
      </w:r>
      <w:r>
        <w:rPr>
          <w:lang w:val="es-ES"/>
        </w:rPr>
        <w:t>P</w:t>
      </w:r>
      <w:r w:rsidRPr="0035706E">
        <w:rPr>
          <w:lang w:val="es-ES"/>
        </w:rPr>
        <w:t xml:space="preserve">articipante fue elegible para realizar ofertas por el Paquete X pero no lo hizo así. El monto por el cual el </w:t>
      </w:r>
      <w:r>
        <w:rPr>
          <w:lang w:val="es-ES"/>
        </w:rPr>
        <w:t>P</w:t>
      </w:r>
      <w:r w:rsidRPr="0035706E">
        <w:rPr>
          <w:lang w:val="es-ES"/>
        </w:rPr>
        <w:t xml:space="preserve">articipante puede subsecuentemente realizar ofertas por el paquete X en excedente al monto de la oferta por el paquete </w:t>
      </w:r>
      <w:r>
        <w:rPr>
          <w:lang w:val="es-ES"/>
        </w:rPr>
        <w:t>limitador</w:t>
      </w:r>
      <w:r w:rsidRPr="0035706E">
        <w:rPr>
          <w:lang w:val="es-ES"/>
        </w:rPr>
        <w:t xml:space="preserve"> se </w:t>
      </w:r>
      <w:r>
        <w:rPr>
          <w:lang w:val="es-ES"/>
        </w:rPr>
        <w:t>determina</w:t>
      </w:r>
      <w:r w:rsidRPr="0035706E">
        <w:rPr>
          <w:lang w:val="es-ES"/>
        </w:rPr>
        <w:t xml:space="preserve"> </w:t>
      </w:r>
      <w:r>
        <w:rPr>
          <w:lang w:val="es-ES"/>
        </w:rPr>
        <w:t>con</w:t>
      </w:r>
      <w:r w:rsidRPr="0035706E">
        <w:rPr>
          <w:lang w:val="es-ES"/>
        </w:rPr>
        <w:t xml:space="preserve"> la diferencia de precios entre ese paquete a los precios de reloj en la ronda de reloj </w:t>
      </w:r>
      <w:r>
        <w:rPr>
          <w:lang w:val="es-ES"/>
        </w:rPr>
        <w:t>limitadora</w:t>
      </w:r>
      <w:r w:rsidRPr="0035706E">
        <w:rPr>
          <w:lang w:val="es-ES"/>
        </w:rPr>
        <w:t xml:space="preserve"> (el cual puede ser negativo).</w:t>
      </w:r>
    </w:p>
    <w:p w14:paraId="790848DD" w14:textId="77777777" w:rsidR="0045050D" w:rsidRPr="0035706E" w:rsidRDefault="0045050D" w:rsidP="0045050D">
      <w:pPr>
        <w:pStyle w:val="Textoindependiente"/>
        <w:numPr>
          <w:ilvl w:val="0"/>
          <w:numId w:val="46"/>
        </w:numPr>
        <w:jc w:val="both"/>
        <w:rPr>
          <w:lang w:val="es-ES"/>
        </w:rPr>
      </w:pPr>
      <w:r w:rsidRPr="0035706E">
        <w:rPr>
          <w:lang w:val="es-ES"/>
        </w:rPr>
        <w:t xml:space="preserve">El monto que un </w:t>
      </w:r>
      <w:r>
        <w:rPr>
          <w:lang w:val="es-ES"/>
        </w:rPr>
        <w:t>P</w:t>
      </w:r>
      <w:r w:rsidRPr="0035706E">
        <w:rPr>
          <w:lang w:val="es-ES"/>
        </w:rPr>
        <w:t xml:space="preserve">articipante puede ofertar por cualquier otro paquete también está limitado con relación al monto de la oferta por el paquete de reloj final. Suponga que “Y” es un paquete con el mismo número de lotes o menos lotes que el paquete de reloj final de un </w:t>
      </w:r>
      <w:r>
        <w:rPr>
          <w:lang w:val="es-ES"/>
        </w:rPr>
        <w:t>P</w:t>
      </w:r>
      <w:r w:rsidRPr="0035706E">
        <w:rPr>
          <w:lang w:val="es-ES"/>
        </w:rPr>
        <w:t xml:space="preserve">articipante. La oferta máxima que un participante puede colocar por el paquete Y es la suma de su oferta por el paquete de reloj final y la diferencia de precio entre el paquete Y y el paquete de reloj final a los precios de reloj en la ronda en la cual el </w:t>
      </w:r>
      <w:r>
        <w:rPr>
          <w:lang w:val="es-ES"/>
        </w:rPr>
        <w:t>P</w:t>
      </w:r>
      <w:r w:rsidRPr="0035706E">
        <w:rPr>
          <w:lang w:val="es-ES"/>
        </w:rPr>
        <w:t>articipante presentó su paquete de reloj final (el cual puede ser negativo).</w:t>
      </w:r>
    </w:p>
    <w:p w14:paraId="4DE0376D" w14:textId="77777777" w:rsidR="0045050D" w:rsidRPr="0035706E" w:rsidRDefault="0045050D" w:rsidP="0045050D">
      <w:pPr>
        <w:pStyle w:val="Textoindependiente"/>
        <w:jc w:val="both"/>
        <w:rPr>
          <w:lang w:val="es-ES"/>
        </w:rPr>
      </w:pPr>
      <w:r w:rsidRPr="0035706E">
        <w:rPr>
          <w:lang w:val="es-ES"/>
        </w:rPr>
        <w:t xml:space="preserve">Nótese que los </w:t>
      </w:r>
      <w:r>
        <w:rPr>
          <w:lang w:val="es-ES"/>
        </w:rPr>
        <w:t>límites máximos</w:t>
      </w:r>
      <w:r w:rsidRPr="0035706E">
        <w:rPr>
          <w:lang w:val="es-ES"/>
        </w:rPr>
        <w:t xml:space="preserve"> relativos surgen solamente como un resultado de (a) un </w:t>
      </w:r>
      <w:r>
        <w:rPr>
          <w:lang w:val="es-ES"/>
        </w:rPr>
        <w:t>P</w:t>
      </w:r>
      <w:r w:rsidRPr="0035706E">
        <w:rPr>
          <w:lang w:val="es-ES"/>
        </w:rPr>
        <w:t xml:space="preserve">articipante que reduce su demanda por lotes durante las rondas de reloj; y (b) el </w:t>
      </w:r>
      <w:r>
        <w:rPr>
          <w:lang w:val="es-ES"/>
        </w:rPr>
        <w:t>P</w:t>
      </w:r>
      <w:r w:rsidRPr="0035706E">
        <w:rPr>
          <w:lang w:val="es-ES"/>
        </w:rPr>
        <w:t xml:space="preserve">articipante tiene un paquete de reloj final. Si un participante no reduce su demanda y las rondas de reloj no terminan, entonces no hay </w:t>
      </w:r>
      <w:r>
        <w:rPr>
          <w:lang w:val="es-ES"/>
        </w:rPr>
        <w:t>límites máximos</w:t>
      </w:r>
      <w:r w:rsidRPr="0035706E">
        <w:rPr>
          <w:lang w:val="es-ES"/>
        </w:rPr>
        <w:t xml:space="preserve"> relativos y no se crean paquetes limitadores por su oferta en la ronda de reloj final.</w:t>
      </w:r>
    </w:p>
    <w:p w14:paraId="2DBB353A" w14:textId="77777777" w:rsidR="0045050D" w:rsidRPr="0035706E" w:rsidRDefault="0045050D" w:rsidP="0045050D">
      <w:pPr>
        <w:pStyle w:val="Textoindependiente"/>
        <w:jc w:val="both"/>
        <w:rPr>
          <w:lang w:val="es-ES"/>
        </w:rPr>
      </w:pPr>
      <w:r w:rsidRPr="0035706E">
        <w:rPr>
          <w:lang w:val="es-ES"/>
        </w:rPr>
        <w:t xml:space="preserve">De esta forma, el monto de oferta máximo por cada paquete </w:t>
      </w:r>
      <w:r>
        <w:rPr>
          <w:lang w:val="es-ES"/>
        </w:rPr>
        <w:t>está</w:t>
      </w:r>
      <w:r w:rsidRPr="0035706E">
        <w:rPr>
          <w:lang w:val="es-ES"/>
        </w:rPr>
        <w:t xml:space="preserve"> directa o indirectamente (vía un número de otros paquetes) vinculado al monto de la oferta por el paquete de reloj final.</w:t>
      </w:r>
    </w:p>
    <w:p w14:paraId="01F5C9BE" w14:textId="77777777" w:rsidR="0045050D" w:rsidRPr="0035706E" w:rsidRDefault="0045050D" w:rsidP="0045050D">
      <w:pPr>
        <w:pStyle w:val="Ttulo3"/>
        <w:jc w:val="both"/>
        <w:rPr>
          <w:lang w:val="es-MX"/>
        </w:rPr>
      </w:pPr>
      <w:bookmarkStart w:id="59" w:name="_Toc430281542"/>
      <w:r w:rsidRPr="0035706E">
        <w:rPr>
          <w:lang w:val="es-MX"/>
        </w:rPr>
        <w:t>Presentación de la oferta en la ronda suplementaria</w:t>
      </w:r>
      <w:bookmarkEnd w:id="59"/>
    </w:p>
    <w:p w14:paraId="4D491F11" w14:textId="77777777" w:rsidR="0045050D" w:rsidRPr="0035706E" w:rsidRDefault="0045050D" w:rsidP="0045050D">
      <w:pPr>
        <w:pStyle w:val="Textoindependiente"/>
        <w:jc w:val="both"/>
        <w:rPr>
          <w:lang w:val="es-ES"/>
        </w:rPr>
      </w:pPr>
      <w:r w:rsidRPr="0035706E">
        <w:rPr>
          <w:lang w:val="es-ES"/>
        </w:rPr>
        <w:t xml:space="preserve">La pantalla de llenado de la </w:t>
      </w:r>
      <w:r>
        <w:rPr>
          <w:lang w:val="es-ES"/>
        </w:rPr>
        <w:t>oferta económica</w:t>
      </w:r>
      <w:r w:rsidRPr="0035706E">
        <w:rPr>
          <w:lang w:val="es-ES"/>
        </w:rPr>
        <w:t xml:space="preserve"> le proveerá a cada participante de la siguiente información:</w:t>
      </w:r>
    </w:p>
    <w:p w14:paraId="0939ACFE" w14:textId="77777777" w:rsidR="0045050D" w:rsidRPr="0035706E" w:rsidRDefault="0045050D" w:rsidP="0045050D">
      <w:pPr>
        <w:pStyle w:val="Textoindependiente"/>
        <w:numPr>
          <w:ilvl w:val="0"/>
          <w:numId w:val="29"/>
        </w:numPr>
        <w:jc w:val="both"/>
        <w:rPr>
          <w:lang w:val="es-ES"/>
        </w:rPr>
      </w:pPr>
      <w:r w:rsidRPr="0035706E">
        <w:rPr>
          <w:lang w:val="es-ES"/>
        </w:rPr>
        <w:t xml:space="preserve">Una lista completa de los paquetes para los cuales el participante es elegible de realizar </w:t>
      </w:r>
      <w:r>
        <w:rPr>
          <w:lang w:val="es-ES"/>
        </w:rPr>
        <w:t>ofertas económicas</w:t>
      </w:r>
      <w:r w:rsidRPr="0035706E">
        <w:rPr>
          <w:lang w:val="es-ES"/>
        </w:rPr>
        <w:t xml:space="preserve"> en la subasta</w:t>
      </w:r>
    </w:p>
    <w:p w14:paraId="04AE4047" w14:textId="77777777" w:rsidR="0045050D" w:rsidRPr="0035706E" w:rsidRDefault="0045050D" w:rsidP="0045050D">
      <w:pPr>
        <w:pStyle w:val="Textoindependiente"/>
        <w:numPr>
          <w:ilvl w:val="0"/>
          <w:numId w:val="29"/>
        </w:numPr>
        <w:jc w:val="both"/>
        <w:rPr>
          <w:lang w:val="es-ES"/>
        </w:rPr>
      </w:pPr>
      <w:r w:rsidRPr="0035706E">
        <w:rPr>
          <w:lang w:val="es-ES"/>
        </w:rPr>
        <w:t>Para cada paquete:</w:t>
      </w:r>
    </w:p>
    <w:p w14:paraId="2BE49985" w14:textId="77777777" w:rsidR="0045050D" w:rsidRPr="0035706E" w:rsidRDefault="0045050D" w:rsidP="0045050D">
      <w:pPr>
        <w:pStyle w:val="Textoindependiente"/>
        <w:numPr>
          <w:ilvl w:val="0"/>
          <w:numId w:val="30"/>
        </w:numPr>
        <w:jc w:val="both"/>
        <w:rPr>
          <w:lang w:val="es-ES"/>
        </w:rPr>
      </w:pPr>
      <w:r w:rsidRPr="0035706E">
        <w:rPr>
          <w:lang w:val="es-ES"/>
        </w:rPr>
        <w:t>El número de lotes en cada categoría;</w:t>
      </w:r>
    </w:p>
    <w:p w14:paraId="7BE23FDB" w14:textId="77777777" w:rsidR="0045050D" w:rsidRPr="0035706E" w:rsidRDefault="0045050D" w:rsidP="0045050D">
      <w:pPr>
        <w:pStyle w:val="Textoindependiente"/>
        <w:numPr>
          <w:ilvl w:val="0"/>
          <w:numId w:val="30"/>
        </w:numPr>
        <w:jc w:val="both"/>
        <w:rPr>
          <w:lang w:val="es-ES"/>
        </w:rPr>
      </w:pPr>
      <w:r w:rsidRPr="0035706E">
        <w:rPr>
          <w:lang w:val="es-ES"/>
        </w:rPr>
        <w:t>El precio de reserva</w:t>
      </w:r>
    </w:p>
    <w:p w14:paraId="31B8ABC5" w14:textId="77777777" w:rsidR="0045050D" w:rsidRPr="0035706E" w:rsidRDefault="0045050D" w:rsidP="0045050D">
      <w:pPr>
        <w:pStyle w:val="Textoindependiente"/>
        <w:numPr>
          <w:ilvl w:val="0"/>
          <w:numId w:val="30"/>
        </w:numPr>
        <w:jc w:val="both"/>
        <w:rPr>
          <w:lang w:val="es-ES"/>
        </w:rPr>
      </w:pPr>
      <w:r w:rsidRPr="0035706E">
        <w:rPr>
          <w:lang w:val="es-ES"/>
        </w:rPr>
        <w:t>El monto de la oferta más alta del participante para ese paquete en las rondas de reloj</w:t>
      </w:r>
    </w:p>
    <w:p w14:paraId="14A27E1C" w14:textId="77777777" w:rsidR="0045050D" w:rsidRPr="00AC217B" w:rsidRDefault="0045050D" w:rsidP="0045050D">
      <w:pPr>
        <w:pStyle w:val="Textoindependiente"/>
        <w:numPr>
          <w:ilvl w:val="0"/>
          <w:numId w:val="30"/>
        </w:numPr>
        <w:jc w:val="both"/>
        <w:rPr>
          <w:lang w:val="es-ES"/>
        </w:rPr>
      </w:pPr>
      <w:r w:rsidRPr="0035706E">
        <w:rPr>
          <w:lang w:val="es-ES"/>
        </w:rPr>
        <w:t xml:space="preserve">Un monto de oferta </w:t>
      </w:r>
      <w:r w:rsidRPr="00AC217B">
        <w:rPr>
          <w:lang w:val="es-ES"/>
        </w:rPr>
        <w:t>mínimo</w:t>
      </w:r>
    </w:p>
    <w:p w14:paraId="38CCADF9" w14:textId="77777777" w:rsidR="0045050D" w:rsidRPr="00AC217B" w:rsidRDefault="0045050D" w:rsidP="0045050D">
      <w:pPr>
        <w:pStyle w:val="Textoindependiente"/>
        <w:numPr>
          <w:ilvl w:val="0"/>
          <w:numId w:val="30"/>
        </w:numPr>
        <w:jc w:val="both"/>
        <w:rPr>
          <w:lang w:val="es-ES"/>
        </w:rPr>
      </w:pPr>
      <w:r w:rsidRPr="00AC217B">
        <w:rPr>
          <w:lang w:val="es-ES"/>
        </w:rPr>
        <w:t>Un monto de oferta máximo, si es que aplica; y</w:t>
      </w:r>
    </w:p>
    <w:p w14:paraId="1F3AECF8" w14:textId="77777777" w:rsidR="0045050D" w:rsidRPr="00AC217B" w:rsidRDefault="0045050D" w:rsidP="0045050D">
      <w:pPr>
        <w:pStyle w:val="Textoindependiente"/>
        <w:numPr>
          <w:ilvl w:val="0"/>
          <w:numId w:val="30"/>
        </w:numPr>
        <w:jc w:val="both"/>
        <w:rPr>
          <w:lang w:val="es-ES"/>
        </w:rPr>
      </w:pPr>
      <w:r w:rsidRPr="00AC217B">
        <w:rPr>
          <w:lang w:val="es-ES"/>
        </w:rPr>
        <w:t>Una celda de entrada, en la cual el participante puede insertar un nuevo monto de la oferta.</w:t>
      </w:r>
    </w:p>
    <w:p w14:paraId="32A1B2D2" w14:textId="77777777" w:rsidR="0045050D" w:rsidRPr="00AC217B" w:rsidRDefault="0045050D" w:rsidP="0045050D">
      <w:pPr>
        <w:pStyle w:val="Textoindependiente"/>
        <w:jc w:val="both"/>
        <w:rPr>
          <w:lang w:val="es-ES"/>
        </w:rPr>
      </w:pPr>
      <w:r w:rsidRPr="00AC217B">
        <w:rPr>
          <w:lang w:val="es-ES"/>
        </w:rPr>
        <w:t xml:space="preserve">De acuerdo con las reglas en la Sección 3.2.2, el monto de oferta máximo de un participante para un paquete puede cambiar dependiendo del monto de la oferta en la ronda suplementaria de otros paquetes. Será posible actualizar los montos máximos de oferta usando el </w:t>
      </w:r>
      <w:r>
        <w:rPr>
          <w:lang w:val="es-ES"/>
        </w:rPr>
        <w:t>SES</w:t>
      </w:r>
      <w:r w:rsidRPr="00AC217B">
        <w:rPr>
          <w:lang w:val="es-ES"/>
        </w:rPr>
        <w:t xml:space="preserve">. El proceso para actualizar el monto de oferta máximo será descrito en el manual del </w:t>
      </w:r>
      <w:r>
        <w:rPr>
          <w:lang w:val="es-ES"/>
        </w:rPr>
        <w:t>SES</w:t>
      </w:r>
      <w:r w:rsidRPr="00AC217B">
        <w:rPr>
          <w:lang w:val="es-ES"/>
        </w:rPr>
        <w:t>.</w:t>
      </w:r>
    </w:p>
    <w:p w14:paraId="0055FC22" w14:textId="77777777" w:rsidR="0045050D" w:rsidRPr="00AC217B" w:rsidRDefault="0045050D" w:rsidP="0045050D">
      <w:pPr>
        <w:pStyle w:val="Textoindependiente"/>
        <w:jc w:val="both"/>
        <w:rPr>
          <w:lang w:val="es-ES"/>
        </w:rPr>
      </w:pPr>
      <w:r w:rsidRPr="00AC217B">
        <w:rPr>
          <w:lang w:val="es-ES"/>
        </w:rPr>
        <w:t xml:space="preserve">La presentación de la </w:t>
      </w:r>
      <w:r>
        <w:rPr>
          <w:lang w:val="es-ES"/>
        </w:rPr>
        <w:t>Fase</w:t>
      </w:r>
      <w:r w:rsidRPr="00AC217B">
        <w:rPr>
          <w:lang w:val="es-ES"/>
        </w:rPr>
        <w:t xml:space="preserve"> </w:t>
      </w:r>
      <w:r>
        <w:rPr>
          <w:lang w:val="es-ES"/>
        </w:rPr>
        <w:t>S</w:t>
      </w:r>
      <w:r w:rsidRPr="00AC217B">
        <w:rPr>
          <w:lang w:val="es-ES"/>
        </w:rPr>
        <w:t>uplementaria se lleva a cabo en un proceso de dos pasos:</w:t>
      </w:r>
    </w:p>
    <w:p w14:paraId="7DB64FA8" w14:textId="77777777" w:rsidR="0045050D" w:rsidRPr="00AC217B" w:rsidRDefault="0045050D" w:rsidP="0045050D">
      <w:pPr>
        <w:pStyle w:val="Textoindependiente"/>
        <w:numPr>
          <w:ilvl w:val="0"/>
          <w:numId w:val="31"/>
        </w:numPr>
        <w:jc w:val="both"/>
        <w:rPr>
          <w:lang w:val="es-ES"/>
        </w:rPr>
      </w:pPr>
      <w:r w:rsidRPr="00AC217B">
        <w:rPr>
          <w:lang w:val="es-ES"/>
        </w:rPr>
        <w:t xml:space="preserve">Primero, el participante envía un conjunto de </w:t>
      </w:r>
      <w:r>
        <w:rPr>
          <w:lang w:val="es-ES"/>
        </w:rPr>
        <w:t>ofertas económicas</w:t>
      </w:r>
      <w:r w:rsidRPr="00AC217B">
        <w:rPr>
          <w:lang w:val="es-ES"/>
        </w:rPr>
        <w:t xml:space="preserve"> suplementarias </w:t>
      </w:r>
      <w:r>
        <w:rPr>
          <w:lang w:val="es-ES"/>
        </w:rPr>
        <w:t>a</w:t>
      </w:r>
      <w:r w:rsidRPr="00AC217B">
        <w:rPr>
          <w:lang w:val="es-ES"/>
        </w:rPr>
        <w:t xml:space="preserve">l </w:t>
      </w:r>
      <w:r>
        <w:rPr>
          <w:lang w:val="es-ES"/>
        </w:rPr>
        <w:t>SES</w:t>
      </w:r>
      <w:r w:rsidRPr="00AC217B">
        <w:rPr>
          <w:lang w:val="es-ES"/>
        </w:rPr>
        <w:t>, de tal forma que su validez pueda ser evaluada:</w:t>
      </w:r>
    </w:p>
    <w:p w14:paraId="561ADFC9" w14:textId="77777777" w:rsidR="0045050D" w:rsidRPr="00AC217B" w:rsidRDefault="0045050D" w:rsidP="0045050D">
      <w:pPr>
        <w:pStyle w:val="Textoindependiente"/>
        <w:numPr>
          <w:ilvl w:val="1"/>
          <w:numId w:val="31"/>
        </w:numPr>
        <w:jc w:val="both"/>
        <w:rPr>
          <w:lang w:val="es-ES"/>
        </w:rPr>
      </w:pPr>
      <w:r w:rsidRPr="00AC217B">
        <w:rPr>
          <w:lang w:val="es-ES"/>
        </w:rPr>
        <w:t xml:space="preserve">Si todas las ofertas cumplen con las reglas de la subasta, el </w:t>
      </w:r>
      <w:r>
        <w:rPr>
          <w:lang w:val="es-ES"/>
        </w:rPr>
        <w:t>P</w:t>
      </w:r>
      <w:r w:rsidRPr="00AC217B">
        <w:rPr>
          <w:lang w:val="es-ES"/>
        </w:rPr>
        <w:t>articipante procede al segundo paso que se describe abajo.</w:t>
      </w:r>
    </w:p>
    <w:p w14:paraId="6007FEB4" w14:textId="77777777" w:rsidR="0045050D" w:rsidRPr="00AC217B" w:rsidRDefault="0045050D" w:rsidP="0045050D">
      <w:pPr>
        <w:pStyle w:val="Textoindependiente"/>
        <w:numPr>
          <w:ilvl w:val="1"/>
          <w:numId w:val="31"/>
        </w:numPr>
        <w:jc w:val="both"/>
        <w:rPr>
          <w:lang w:val="es-ES"/>
        </w:rPr>
      </w:pPr>
      <w:r w:rsidRPr="00373F49">
        <w:rPr>
          <w:lang w:val="es-ES"/>
        </w:rPr>
        <w:t>Si alguna de las</w:t>
      </w:r>
      <w:r w:rsidRPr="00AC217B">
        <w:rPr>
          <w:lang w:val="es-ES"/>
        </w:rPr>
        <w:t xml:space="preserve"> ofertas no cumple con las reglas de la subasta, </w:t>
      </w:r>
      <w:r w:rsidRPr="00847545">
        <w:rPr>
          <w:lang w:val="es-ES"/>
        </w:rPr>
        <w:t xml:space="preserve">el </w:t>
      </w:r>
      <w:r>
        <w:rPr>
          <w:lang w:val="es-ES"/>
        </w:rPr>
        <w:t>SES</w:t>
      </w:r>
      <w:r w:rsidRPr="00847545">
        <w:rPr>
          <w:lang w:val="es-ES"/>
        </w:rPr>
        <w:t xml:space="preserve"> desplegará una explicación y el Participante será redirigido al formulario de la </w:t>
      </w:r>
      <w:r>
        <w:rPr>
          <w:lang w:val="es-ES"/>
        </w:rPr>
        <w:t>oferta económica</w:t>
      </w:r>
      <w:r w:rsidRPr="00847545">
        <w:rPr>
          <w:lang w:val="es-ES"/>
        </w:rPr>
        <w:t xml:space="preserve"> para que pueda modificarla</w:t>
      </w:r>
      <w:r w:rsidRPr="00AC217B">
        <w:rPr>
          <w:lang w:val="es-ES"/>
        </w:rPr>
        <w:t>.</w:t>
      </w:r>
    </w:p>
    <w:p w14:paraId="2DC333AE" w14:textId="77777777" w:rsidR="0045050D" w:rsidRPr="00AC217B" w:rsidRDefault="0045050D" w:rsidP="0045050D">
      <w:pPr>
        <w:pStyle w:val="Textoindependiente"/>
        <w:numPr>
          <w:ilvl w:val="0"/>
          <w:numId w:val="31"/>
        </w:numPr>
        <w:jc w:val="both"/>
        <w:rPr>
          <w:lang w:val="es-ES"/>
        </w:rPr>
      </w:pPr>
      <w:r w:rsidRPr="00AC217B">
        <w:rPr>
          <w:lang w:val="es-ES"/>
        </w:rPr>
        <w:t xml:space="preserve">Segundo, un resumen de las ofertas suplementarias será mostrado y se le pedirá al </w:t>
      </w:r>
      <w:r>
        <w:rPr>
          <w:lang w:val="es-ES"/>
        </w:rPr>
        <w:t>P</w:t>
      </w:r>
      <w:r w:rsidRPr="00AC217B">
        <w:rPr>
          <w:lang w:val="es-ES"/>
        </w:rPr>
        <w:t xml:space="preserve">articipante que confirme su presentación. Las ofertas suplementarias solamente serán registradas por el </w:t>
      </w:r>
      <w:r>
        <w:rPr>
          <w:lang w:val="es-ES"/>
        </w:rPr>
        <w:t xml:space="preserve">SES </w:t>
      </w:r>
      <w:r w:rsidRPr="00AC217B">
        <w:rPr>
          <w:lang w:val="es-ES"/>
        </w:rPr>
        <w:t>una vez que el paso de confirmación haya sido completado.</w:t>
      </w:r>
    </w:p>
    <w:p w14:paraId="34A27074" w14:textId="77777777" w:rsidR="0045050D" w:rsidRPr="0035706E" w:rsidRDefault="0045050D" w:rsidP="0045050D">
      <w:pPr>
        <w:pStyle w:val="Textoindependiente"/>
        <w:jc w:val="both"/>
        <w:rPr>
          <w:lang w:val="es-ES"/>
        </w:rPr>
      </w:pPr>
      <w:r w:rsidRPr="00AC217B">
        <w:rPr>
          <w:lang w:val="es-ES"/>
        </w:rPr>
        <w:t xml:space="preserve">Una vez que el </w:t>
      </w:r>
      <w:r>
        <w:rPr>
          <w:lang w:val="es-ES"/>
        </w:rPr>
        <w:t>P</w:t>
      </w:r>
      <w:r w:rsidRPr="00AC217B">
        <w:rPr>
          <w:lang w:val="es-ES"/>
        </w:rPr>
        <w:t xml:space="preserve">articipante haya confirmado un conjunto de ofertas suplementarias, el </w:t>
      </w:r>
      <w:r>
        <w:rPr>
          <w:lang w:val="es-ES"/>
        </w:rPr>
        <w:t>P</w:t>
      </w:r>
      <w:r w:rsidRPr="00AC217B">
        <w:rPr>
          <w:lang w:val="es-ES"/>
        </w:rPr>
        <w:t>articipante no podrá modificar o retirar estas ofertas, o presentar</w:t>
      </w:r>
      <w:r w:rsidRPr="0035706E">
        <w:rPr>
          <w:lang w:val="es-ES"/>
        </w:rPr>
        <w:t xml:space="preserve"> otras ofertas suplementarias en la ronda.</w:t>
      </w:r>
    </w:p>
    <w:p w14:paraId="56C0EE9A" w14:textId="77777777" w:rsidR="0045050D" w:rsidRPr="0035706E" w:rsidRDefault="0045050D" w:rsidP="0045050D">
      <w:pPr>
        <w:pStyle w:val="Textoindependiente"/>
        <w:jc w:val="both"/>
        <w:rPr>
          <w:lang w:val="es-ES"/>
        </w:rPr>
      </w:pPr>
      <w:r w:rsidRPr="0035706E">
        <w:rPr>
          <w:lang w:val="es-ES"/>
        </w:rPr>
        <w:t xml:space="preserve">Se tendrán por no presentadas las ofertas suplementarias de un </w:t>
      </w:r>
      <w:r>
        <w:rPr>
          <w:lang w:val="es-ES"/>
        </w:rPr>
        <w:t>P</w:t>
      </w:r>
      <w:r w:rsidRPr="0035706E">
        <w:rPr>
          <w:lang w:val="es-ES"/>
        </w:rPr>
        <w:t xml:space="preserve">articipante hasta el momento en el cual se reciba confirmación de un conjunto válido de ofertas por el </w:t>
      </w:r>
      <w:r>
        <w:rPr>
          <w:lang w:val="es-ES"/>
        </w:rPr>
        <w:t>SES</w:t>
      </w:r>
      <w:r w:rsidRPr="0035706E">
        <w:rPr>
          <w:lang w:val="es-ES"/>
        </w:rPr>
        <w:t xml:space="preserve">. El acuse de recibo de esta confirmación será comunicado al participante a través del </w:t>
      </w:r>
      <w:r>
        <w:rPr>
          <w:lang w:val="es-ES"/>
        </w:rPr>
        <w:t>SE</w:t>
      </w:r>
      <w:r w:rsidRPr="0035706E">
        <w:rPr>
          <w:lang w:val="es-ES"/>
        </w:rPr>
        <w:t xml:space="preserve">S. Es responsabilidad del </w:t>
      </w:r>
      <w:r>
        <w:rPr>
          <w:lang w:val="es-ES"/>
        </w:rPr>
        <w:t>P</w:t>
      </w:r>
      <w:r w:rsidRPr="0035706E">
        <w:rPr>
          <w:lang w:val="es-ES"/>
        </w:rPr>
        <w:t xml:space="preserve">articipante el presentar su oferta antes del final de la ronda suplementaria y de revisar el recibo de la confirmación de la oferta por el </w:t>
      </w:r>
      <w:r>
        <w:rPr>
          <w:lang w:val="es-ES"/>
        </w:rPr>
        <w:t>SE</w:t>
      </w:r>
      <w:r w:rsidRPr="0035706E">
        <w:rPr>
          <w:lang w:val="es-ES"/>
        </w:rPr>
        <w:t xml:space="preserve">S. Se les aconseja a los participantes alertar al </w:t>
      </w:r>
      <w:r>
        <w:rPr>
          <w:lang w:val="es-MX"/>
        </w:rPr>
        <w:t>Instituto</w:t>
      </w:r>
      <w:r w:rsidRPr="0035706E">
        <w:rPr>
          <w:lang w:val="es-ES"/>
        </w:rPr>
        <w:t xml:space="preserve"> inmediatamente si experimentan problemas con la presentación de ofertas.</w:t>
      </w:r>
    </w:p>
    <w:p w14:paraId="428E6954" w14:textId="77777777" w:rsidR="0045050D" w:rsidRDefault="0045050D" w:rsidP="0045050D">
      <w:pPr>
        <w:pStyle w:val="Textoindependiente"/>
        <w:jc w:val="both"/>
        <w:rPr>
          <w:lang w:val="es-ES"/>
        </w:rPr>
      </w:pPr>
      <w:r w:rsidRPr="0035706E">
        <w:rPr>
          <w:lang w:val="es-ES"/>
        </w:rPr>
        <w:t xml:space="preserve">En el </w:t>
      </w:r>
      <w:r>
        <w:rPr>
          <w:lang w:val="es-ES"/>
        </w:rPr>
        <w:t>poco probable</w:t>
      </w:r>
      <w:r w:rsidRPr="0035706E">
        <w:rPr>
          <w:lang w:val="es-ES"/>
        </w:rPr>
        <w:t xml:space="preserve"> caso que un </w:t>
      </w:r>
      <w:r>
        <w:rPr>
          <w:lang w:val="es-ES"/>
        </w:rPr>
        <w:t>P</w:t>
      </w:r>
      <w:r w:rsidRPr="0035706E">
        <w:rPr>
          <w:lang w:val="es-ES"/>
        </w:rPr>
        <w:t xml:space="preserve">articipante experimente problemas presentando un conjunto de ofertas suplementarias usando el </w:t>
      </w:r>
      <w:r>
        <w:rPr>
          <w:lang w:val="es-ES"/>
        </w:rPr>
        <w:t>SES</w:t>
      </w:r>
      <w:r w:rsidRPr="0035706E">
        <w:rPr>
          <w:lang w:val="es-ES"/>
        </w:rPr>
        <w:t xml:space="preserve">, un procedimiento de respaldo (back-up) para la presentación de ofertas por teléfono estará disponible. Mayor información acerca de este proceso de respaldo (back-up) será provisto en el manual </w:t>
      </w:r>
      <w:r>
        <w:rPr>
          <w:lang w:val="es-ES"/>
        </w:rPr>
        <w:t>SES</w:t>
      </w:r>
      <w:r w:rsidRPr="0035706E">
        <w:rPr>
          <w:lang w:val="es-ES"/>
        </w:rPr>
        <w:t>.</w:t>
      </w:r>
    </w:p>
    <w:p w14:paraId="6C6B9E1E" w14:textId="77777777" w:rsidR="0045050D" w:rsidRPr="0035706E" w:rsidRDefault="0045050D" w:rsidP="0045050D">
      <w:pPr>
        <w:pStyle w:val="Textoindependiente"/>
        <w:jc w:val="both"/>
        <w:rPr>
          <w:lang w:val="es-ES"/>
        </w:rPr>
      </w:pPr>
    </w:p>
    <w:p w14:paraId="779DE699" w14:textId="77777777" w:rsidR="0045050D" w:rsidRPr="0035706E" w:rsidRDefault="0045050D" w:rsidP="0045050D">
      <w:pPr>
        <w:pStyle w:val="Ttulo3"/>
        <w:jc w:val="both"/>
        <w:rPr>
          <w:lang w:val="es-ES"/>
        </w:rPr>
      </w:pPr>
      <w:bookmarkStart w:id="60" w:name="_Toc430281543"/>
      <w:r w:rsidRPr="0035706E">
        <w:rPr>
          <w:lang w:val="es-ES"/>
        </w:rPr>
        <w:t>Validez de las ofertas suplementarias</w:t>
      </w:r>
      <w:bookmarkEnd w:id="60"/>
      <w:r w:rsidRPr="0035706E">
        <w:rPr>
          <w:lang w:val="es-ES"/>
        </w:rPr>
        <w:t xml:space="preserve"> </w:t>
      </w:r>
    </w:p>
    <w:p w14:paraId="7FA4659A" w14:textId="77777777" w:rsidR="0045050D" w:rsidRPr="0035706E" w:rsidRDefault="0045050D" w:rsidP="0045050D">
      <w:pPr>
        <w:pStyle w:val="Textoindependiente"/>
        <w:jc w:val="both"/>
        <w:rPr>
          <w:lang w:val="es-ES"/>
        </w:rPr>
      </w:pPr>
      <w:r w:rsidRPr="0035706E">
        <w:rPr>
          <w:lang w:val="es-ES"/>
        </w:rPr>
        <w:t>Una oferta suplementaria es válida si satisfice las siguientes condiciones:</w:t>
      </w:r>
    </w:p>
    <w:p w14:paraId="60DAC60C" w14:textId="77777777" w:rsidR="0045050D" w:rsidRPr="0035706E" w:rsidRDefault="0045050D" w:rsidP="0045050D">
      <w:pPr>
        <w:pStyle w:val="Textoindependiente"/>
        <w:numPr>
          <w:ilvl w:val="0"/>
          <w:numId w:val="55"/>
        </w:numPr>
        <w:jc w:val="both"/>
        <w:rPr>
          <w:lang w:val="es-ES"/>
        </w:rPr>
      </w:pPr>
      <w:r w:rsidRPr="0035706E">
        <w:rPr>
          <w:lang w:val="es-ES"/>
        </w:rPr>
        <w:t xml:space="preserve">El </w:t>
      </w:r>
      <w:r>
        <w:rPr>
          <w:lang w:val="es-ES"/>
        </w:rPr>
        <w:t>P</w:t>
      </w:r>
      <w:r w:rsidRPr="0035706E">
        <w:rPr>
          <w:lang w:val="es-ES"/>
        </w:rPr>
        <w:t>articipante no ha sido excluido de la subasta;</w:t>
      </w:r>
    </w:p>
    <w:p w14:paraId="43EC9300" w14:textId="77777777" w:rsidR="0045050D" w:rsidRPr="0035706E" w:rsidRDefault="0045050D" w:rsidP="0045050D">
      <w:pPr>
        <w:pStyle w:val="Textoindependiente"/>
        <w:numPr>
          <w:ilvl w:val="0"/>
          <w:numId w:val="55"/>
        </w:numPr>
        <w:jc w:val="both"/>
        <w:rPr>
          <w:lang w:val="es-ES"/>
        </w:rPr>
      </w:pPr>
      <w:r w:rsidRPr="0035706E">
        <w:rPr>
          <w:lang w:val="es-ES"/>
        </w:rPr>
        <w:t xml:space="preserve">De habérsele requerido, el </w:t>
      </w:r>
      <w:r>
        <w:rPr>
          <w:lang w:val="es-ES"/>
        </w:rPr>
        <w:t>P</w:t>
      </w:r>
      <w:r w:rsidRPr="0035706E">
        <w:rPr>
          <w:lang w:val="es-ES"/>
        </w:rPr>
        <w:t xml:space="preserve">articipante incrementó su </w:t>
      </w:r>
      <w:r>
        <w:rPr>
          <w:lang w:val="es-ES"/>
        </w:rPr>
        <w:t>G</w:t>
      </w:r>
      <w:r w:rsidRPr="0035706E">
        <w:rPr>
          <w:lang w:val="es-ES"/>
        </w:rPr>
        <w:t xml:space="preserve">arantía </w:t>
      </w:r>
      <w:r>
        <w:rPr>
          <w:lang w:val="es-ES"/>
        </w:rPr>
        <w:t>de Seriedad</w:t>
      </w:r>
      <w:r w:rsidRPr="0035706E">
        <w:rPr>
          <w:lang w:val="es-ES"/>
        </w:rPr>
        <w:t xml:space="preserve"> al nivel necesario;</w:t>
      </w:r>
    </w:p>
    <w:p w14:paraId="65D03C44" w14:textId="77777777" w:rsidR="0045050D" w:rsidRPr="0035706E" w:rsidRDefault="0045050D" w:rsidP="0045050D">
      <w:pPr>
        <w:pStyle w:val="Textoindependiente"/>
        <w:numPr>
          <w:ilvl w:val="0"/>
          <w:numId w:val="55"/>
        </w:numPr>
        <w:jc w:val="both"/>
        <w:rPr>
          <w:lang w:val="es-ES"/>
        </w:rPr>
      </w:pPr>
      <w:r w:rsidRPr="0035706E">
        <w:rPr>
          <w:lang w:val="es-ES"/>
        </w:rPr>
        <w:t xml:space="preserve">La </w:t>
      </w:r>
      <w:r>
        <w:rPr>
          <w:lang w:val="es-ES"/>
        </w:rPr>
        <w:t>oferta económica</w:t>
      </w:r>
      <w:r w:rsidRPr="0035706E">
        <w:rPr>
          <w:lang w:val="es-ES"/>
        </w:rPr>
        <w:t xml:space="preserve"> suplementaria fue presentada usando </w:t>
      </w:r>
      <w:r w:rsidRPr="00373F49">
        <w:rPr>
          <w:lang w:val="es-ES"/>
        </w:rPr>
        <w:t xml:space="preserve">el </w:t>
      </w:r>
      <w:r w:rsidRPr="00A014E3">
        <w:rPr>
          <w:lang w:val="es-ES"/>
        </w:rPr>
        <w:t>SES</w:t>
      </w:r>
      <w:r w:rsidRPr="008E0CC3">
        <w:rPr>
          <w:lang w:val="es-ES"/>
        </w:rPr>
        <w:t xml:space="preserve"> (o</w:t>
      </w:r>
      <w:r w:rsidRPr="002B1A70">
        <w:rPr>
          <w:lang w:val="es-ES"/>
        </w:rPr>
        <w:t xml:space="preserve"> mediante el procedimiento de respaldo </w:t>
      </w:r>
      <w:r w:rsidRPr="00373F49">
        <w:rPr>
          <w:lang w:val="es-ES"/>
        </w:rPr>
        <w:t xml:space="preserve">especificado por el </w:t>
      </w:r>
      <w:r>
        <w:rPr>
          <w:lang w:val="es-MX"/>
        </w:rPr>
        <w:t>Instituto</w:t>
      </w:r>
      <w:r w:rsidRPr="008E0CC3" w:rsidDel="002B1A70">
        <w:rPr>
          <w:lang w:val="es-ES"/>
        </w:rPr>
        <w:t xml:space="preserve"> </w:t>
      </w:r>
      <w:r w:rsidRPr="00A014E3">
        <w:rPr>
          <w:lang w:val="es-ES"/>
        </w:rPr>
        <w:t>) dentro</w:t>
      </w:r>
      <w:r w:rsidRPr="0035706E">
        <w:rPr>
          <w:lang w:val="es-ES"/>
        </w:rPr>
        <w:t xml:space="preserve"> del tiempo de la ronda especificado incluyendo cualquier período de extensión, de ser aplicable;</w:t>
      </w:r>
    </w:p>
    <w:p w14:paraId="00A4F1AC" w14:textId="77777777" w:rsidR="0045050D" w:rsidRPr="0035706E" w:rsidRDefault="0045050D" w:rsidP="0045050D">
      <w:pPr>
        <w:pStyle w:val="Textoindependiente"/>
        <w:numPr>
          <w:ilvl w:val="0"/>
          <w:numId w:val="55"/>
        </w:numPr>
        <w:jc w:val="both"/>
        <w:rPr>
          <w:lang w:val="es-ES"/>
        </w:rPr>
      </w:pPr>
      <w:r w:rsidRPr="0035706E">
        <w:rPr>
          <w:lang w:val="es-ES"/>
        </w:rPr>
        <w:t xml:space="preserve">El monto de la </w:t>
      </w:r>
      <w:r>
        <w:rPr>
          <w:lang w:val="es-ES"/>
        </w:rPr>
        <w:t>oferta económica</w:t>
      </w:r>
      <w:r w:rsidRPr="0035706E">
        <w:rPr>
          <w:lang w:val="es-ES"/>
        </w:rPr>
        <w:t xml:space="preserve"> es mayor o igual al monto de la </w:t>
      </w:r>
      <w:r>
        <w:rPr>
          <w:lang w:val="es-ES"/>
        </w:rPr>
        <w:t>oferta económica</w:t>
      </w:r>
      <w:r w:rsidRPr="0035706E">
        <w:rPr>
          <w:lang w:val="es-ES"/>
        </w:rPr>
        <w:t xml:space="preserve"> mínim</w:t>
      </w:r>
      <w:r>
        <w:rPr>
          <w:lang w:val="es-ES"/>
        </w:rPr>
        <w:t>a</w:t>
      </w:r>
      <w:r w:rsidRPr="0035706E">
        <w:rPr>
          <w:lang w:val="es-ES"/>
        </w:rPr>
        <w:t xml:space="preserve"> y menor o igual al monto de la </w:t>
      </w:r>
      <w:r>
        <w:rPr>
          <w:lang w:val="es-ES"/>
        </w:rPr>
        <w:t>oferta económica</w:t>
      </w:r>
      <w:r w:rsidRPr="0035706E">
        <w:rPr>
          <w:lang w:val="es-ES"/>
        </w:rPr>
        <w:t xml:space="preserve"> máxim</w:t>
      </w:r>
      <w:r>
        <w:rPr>
          <w:lang w:val="es-ES"/>
        </w:rPr>
        <w:t>a</w:t>
      </w:r>
      <w:r w:rsidRPr="0035706E">
        <w:rPr>
          <w:lang w:val="es-ES"/>
        </w:rPr>
        <w:t xml:space="preserve">, de acuerdo a las reglas descritas en la Sección </w:t>
      </w:r>
      <w:r w:rsidRPr="0035706E">
        <w:rPr>
          <w:lang w:val="en-US"/>
        </w:rPr>
        <w:fldChar w:fldCharType="begin"/>
      </w:r>
      <w:r w:rsidRPr="0035706E">
        <w:rPr>
          <w:lang w:val="es-ES"/>
        </w:rPr>
        <w:instrText xml:space="preserve"> REF _Ref429412121 \r \h  \* MERGEFORMAT </w:instrText>
      </w:r>
      <w:r w:rsidRPr="0035706E">
        <w:rPr>
          <w:lang w:val="en-US"/>
        </w:rPr>
      </w:r>
      <w:r w:rsidRPr="0035706E">
        <w:rPr>
          <w:lang w:val="en-US"/>
        </w:rPr>
        <w:fldChar w:fldCharType="separate"/>
      </w:r>
      <w:r>
        <w:rPr>
          <w:lang w:val="es-ES"/>
        </w:rPr>
        <w:t>4.2.2</w:t>
      </w:r>
      <w:r w:rsidRPr="0035706E">
        <w:rPr>
          <w:lang w:val="en-US"/>
        </w:rPr>
        <w:fldChar w:fldCharType="end"/>
      </w:r>
      <w:r w:rsidRPr="0035706E">
        <w:rPr>
          <w:lang w:val="es-ES"/>
        </w:rPr>
        <w:t>.</w:t>
      </w:r>
    </w:p>
    <w:p w14:paraId="52D7F55A" w14:textId="77777777" w:rsidR="0045050D" w:rsidRPr="00FB2317" w:rsidRDefault="0045050D" w:rsidP="0045050D">
      <w:pPr>
        <w:pStyle w:val="Textoindependiente"/>
        <w:numPr>
          <w:ilvl w:val="0"/>
          <w:numId w:val="55"/>
        </w:numPr>
        <w:jc w:val="both"/>
        <w:rPr>
          <w:lang w:val="es-ES"/>
        </w:rPr>
      </w:pPr>
      <w:r w:rsidRPr="0035706E">
        <w:rPr>
          <w:lang w:val="es-ES"/>
        </w:rPr>
        <w:t xml:space="preserve">El número total de </w:t>
      </w:r>
      <w:r>
        <w:rPr>
          <w:lang w:val="es-ES"/>
        </w:rPr>
        <w:t>bloques</w:t>
      </w:r>
      <w:r w:rsidRPr="0035706E">
        <w:rPr>
          <w:lang w:val="es-ES"/>
        </w:rPr>
        <w:t xml:space="preserve"> en el paquete no excede el </w:t>
      </w:r>
      <w:r>
        <w:rPr>
          <w:lang w:val="es-ES"/>
        </w:rPr>
        <w:t>límite máximo</w:t>
      </w:r>
      <w:r w:rsidRPr="0035706E">
        <w:rPr>
          <w:lang w:val="es-ES"/>
        </w:rPr>
        <w:t xml:space="preserve"> del espectro del participante, </w:t>
      </w:r>
      <w:r w:rsidRPr="00FB2317">
        <w:rPr>
          <w:lang w:val="es-ES"/>
        </w:rPr>
        <w:t>tomando en cuenta sus concesiones actuales de AWS-1;</w:t>
      </w:r>
    </w:p>
    <w:p w14:paraId="41EC5B6F" w14:textId="77777777" w:rsidR="0045050D" w:rsidRPr="00FB2317" w:rsidRDefault="0045050D" w:rsidP="0045050D">
      <w:pPr>
        <w:pStyle w:val="Textoindependiente"/>
        <w:numPr>
          <w:ilvl w:val="0"/>
          <w:numId w:val="55"/>
        </w:numPr>
        <w:jc w:val="both"/>
        <w:rPr>
          <w:lang w:val="es-ES"/>
        </w:rPr>
      </w:pPr>
      <w:r w:rsidRPr="00FB2317">
        <w:rPr>
          <w:lang w:val="es-ES"/>
        </w:rPr>
        <w:t>Si es relevante, la oferta económica se realiza por un paquete en el conjunto de paquetes mínimos del Participante o se realiza por un paquete que es un super-conjunto de uno de los paquetes mínimos del Participante.</w:t>
      </w:r>
    </w:p>
    <w:p w14:paraId="237C792F" w14:textId="77777777" w:rsidR="0045050D" w:rsidRPr="0035706E" w:rsidRDefault="0045050D" w:rsidP="0045050D">
      <w:pPr>
        <w:pStyle w:val="Textoindependiente"/>
        <w:numPr>
          <w:ilvl w:val="0"/>
          <w:numId w:val="55"/>
        </w:numPr>
        <w:jc w:val="both"/>
        <w:rPr>
          <w:lang w:val="es-ES"/>
        </w:rPr>
      </w:pPr>
      <w:r w:rsidRPr="0035706E">
        <w:rPr>
          <w:lang w:val="es-ES"/>
        </w:rPr>
        <w:t xml:space="preserve">El número de </w:t>
      </w:r>
      <w:r>
        <w:rPr>
          <w:lang w:val="es-ES"/>
        </w:rPr>
        <w:t>bloques</w:t>
      </w:r>
      <w:r w:rsidRPr="0035706E">
        <w:rPr>
          <w:lang w:val="es-ES"/>
        </w:rPr>
        <w:t xml:space="preserve"> en la Categoría A </w:t>
      </w:r>
      <w:r>
        <w:rPr>
          <w:lang w:val="es-ES"/>
        </w:rPr>
        <w:t xml:space="preserve">(sub-banda AWS-1) </w:t>
      </w:r>
      <w:r w:rsidRPr="0035706E">
        <w:rPr>
          <w:lang w:val="es-ES"/>
        </w:rPr>
        <w:t>no excede el número disponible (4 en el Escenario I o 3 en el Escenario II);</w:t>
      </w:r>
    </w:p>
    <w:p w14:paraId="7941BAF7" w14:textId="77777777" w:rsidR="0045050D" w:rsidRPr="0035706E" w:rsidRDefault="0045050D" w:rsidP="0045050D">
      <w:pPr>
        <w:pStyle w:val="Textoindependiente"/>
        <w:numPr>
          <w:ilvl w:val="0"/>
          <w:numId w:val="55"/>
        </w:numPr>
        <w:jc w:val="both"/>
        <w:rPr>
          <w:lang w:val="es-ES"/>
        </w:rPr>
      </w:pPr>
      <w:r w:rsidRPr="0035706E">
        <w:rPr>
          <w:lang w:val="es-ES"/>
        </w:rPr>
        <w:t xml:space="preserve">El número de </w:t>
      </w:r>
      <w:r>
        <w:rPr>
          <w:lang w:val="es-ES"/>
        </w:rPr>
        <w:t>bloques</w:t>
      </w:r>
      <w:r w:rsidRPr="0035706E">
        <w:rPr>
          <w:lang w:val="es-ES"/>
        </w:rPr>
        <w:t xml:space="preserve"> en la Categoría G no excede 3; y</w:t>
      </w:r>
    </w:p>
    <w:p w14:paraId="69AE8D17" w14:textId="77777777" w:rsidR="0045050D" w:rsidRPr="0035706E" w:rsidRDefault="0045050D" w:rsidP="0045050D">
      <w:pPr>
        <w:pStyle w:val="Textoindependiente"/>
        <w:numPr>
          <w:ilvl w:val="0"/>
          <w:numId w:val="55"/>
        </w:numPr>
        <w:jc w:val="both"/>
        <w:rPr>
          <w:lang w:val="es-ES"/>
        </w:rPr>
      </w:pPr>
      <w:r w:rsidRPr="0035706E">
        <w:rPr>
          <w:lang w:val="es-ES"/>
        </w:rPr>
        <w:t xml:space="preserve">El número de </w:t>
      </w:r>
      <w:r>
        <w:rPr>
          <w:lang w:val="es-ES"/>
        </w:rPr>
        <w:t>bloques</w:t>
      </w:r>
      <w:r w:rsidRPr="0035706E">
        <w:rPr>
          <w:lang w:val="es-ES"/>
        </w:rPr>
        <w:t xml:space="preserve"> en la Categoría J es ya sea </w:t>
      </w:r>
      <w:r>
        <w:rPr>
          <w:lang w:val="es-ES"/>
        </w:rPr>
        <w:t>0 (</w:t>
      </w:r>
      <w:r w:rsidRPr="0035706E">
        <w:rPr>
          <w:lang w:val="es-ES"/>
        </w:rPr>
        <w:t>cero</w:t>
      </w:r>
      <w:r>
        <w:rPr>
          <w:lang w:val="es-ES"/>
        </w:rPr>
        <w:t>)</w:t>
      </w:r>
      <w:r w:rsidRPr="0035706E">
        <w:rPr>
          <w:lang w:val="es-ES"/>
        </w:rPr>
        <w:t xml:space="preserve"> o </w:t>
      </w:r>
      <w:r>
        <w:rPr>
          <w:lang w:val="es-ES"/>
        </w:rPr>
        <w:t>2 (</w:t>
      </w:r>
      <w:r w:rsidRPr="0035706E">
        <w:rPr>
          <w:lang w:val="es-ES"/>
        </w:rPr>
        <w:t>dos</w:t>
      </w:r>
      <w:r>
        <w:rPr>
          <w:lang w:val="es-ES"/>
        </w:rPr>
        <w:t>)</w:t>
      </w:r>
      <w:r w:rsidRPr="0035706E">
        <w:rPr>
          <w:lang w:val="es-ES"/>
        </w:rPr>
        <w:t xml:space="preserve"> </w:t>
      </w:r>
      <w:r>
        <w:rPr>
          <w:lang w:val="es-ES"/>
        </w:rPr>
        <w:t>bloques</w:t>
      </w:r>
      <w:r w:rsidRPr="0035706E">
        <w:rPr>
          <w:lang w:val="es-ES"/>
        </w:rPr>
        <w:t>.</w:t>
      </w:r>
    </w:p>
    <w:p w14:paraId="686792D4" w14:textId="77777777" w:rsidR="0045050D" w:rsidRPr="0035706E" w:rsidRDefault="0045050D" w:rsidP="0045050D">
      <w:pPr>
        <w:pStyle w:val="Textoindependiente"/>
        <w:jc w:val="both"/>
        <w:rPr>
          <w:lang w:val="es-ES"/>
        </w:rPr>
      </w:pPr>
      <w:r w:rsidRPr="0035706E">
        <w:rPr>
          <w:lang w:val="es-ES"/>
        </w:rPr>
        <w:t xml:space="preserve">El </w:t>
      </w:r>
      <w:r>
        <w:rPr>
          <w:lang w:val="es-ES"/>
        </w:rPr>
        <w:t>SES</w:t>
      </w:r>
      <w:r w:rsidRPr="0035706E">
        <w:rPr>
          <w:lang w:val="es-ES"/>
        </w:rPr>
        <w:t xml:space="preserve"> está diseñado para </w:t>
      </w:r>
      <w:r>
        <w:rPr>
          <w:lang w:val="es-ES"/>
        </w:rPr>
        <w:t>impedir</w:t>
      </w:r>
      <w:r w:rsidRPr="0035706E">
        <w:rPr>
          <w:lang w:val="es-ES"/>
        </w:rPr>
        <w:t xml:space="preserve"> la presentación de </w:t>
      </w:r>
      <w:r>
        <w:rPr>
          <w:lang w:val="es-ES"/>
        </w:rPr>
        <w:t>ofertas económicas</w:t>
      </w:r>
      <w:r w:rsidRPr="0035706E">
        <w:rPr>
          <w:lang w:val="es-ES"/>
        </w:rPr>
        <w:t xml:space="preserve"> inválidas. Por ejemplo, (1) el formulario de </w:t>
      </w:r>
      <w:r>
        <w:rPr>
          <w:lang w:val="es-ES"/>
        </w:rPr>
        <w:t>ofertas económicas</w:t>
      </w:r>
      <w:r w:rsidRPr="0035706E">
        <w:rPr>
          <w:lang w:val="es-ES"/>
        </w:rPr>
        <w:t xml:space="preserve"> solamente incluirá paquetes para los cuales el participante sea elegible de realizar </w:t>
      </w:r>
      <w:r>
        <w:rPr>
          <w:lang w:val="es-ES"/>
        </w:rPr>
        <w:t>ofertas económicas</w:t>
      </w:r>
      <w:r w:rsidRPr="0035706E">
        <w:rPr>
          <w:lang w:val="es-ES"/>
        </w:rPr>
        <w:t xml:space="preserve"> en la subasta; y (2) el </w:t>
      </w:r>
      <w:r>
        <w:rPr>
          <w:lang w:val="es-ES"/>
        </w:rPr>
        <w:t>SES</w:t>
      </w:r>
      <w:r w:rsidRPr="0035706E">
        <w:rPr>
          <w:lang w:val="es-ES"/>
        </w:rPr>
        <w:t xml:space="preserve"> no permitirá a los </w:t>
      </w:r>
      <w:r>
        <w:rPr>
          <w:lang w:val="es-ES"/>
        </w:rPr>
        <w:t>P</w:t>
      </w:r>
      <w:r w:rsidRPr="0035706E">
        <w:rPr>
          <w:lang w:val="es-ES"/>
        </w:rPr>
        <w:t xml:space="preserve">articipantes el presentar una </w:t>
      </w:r>
      <w:r>
        <w:rPr>
          <w:lang w:val="es-ES"/>
        </w:rPr>
        <w:t>oferta económica</w:t>
      </w:r>
      <w:r w:rsidRPr="0035706E">
        <w:rPr>
          <w:lang w:val="es-ES"/>
        </w:rPr>
        <w:t xml:space="preserve"> con un monto por encima o por debajo de los niveles establecidos de acuerdo a las reglas de la subasta.</w:t>
      </w:r>
    </w:p>
    <w:p w14:paraId="6878C94C" w14:textId="77777777" w:rsidR="0045050D" w:rsidRPr="008C70EF" w:rsidRDefault="0045050D" w:rsidP="0045050D">
      <w:pPr>
        <w:pStyle w:val="Textoindependiente"/>
        <w:jc w:val="both"/>
        <w:rPr>
          <w:lang w:val="es-ES"/>
        </w:rPr>
      </w:pPr>
      <w:r w:rsidRPr="0035706E">
        <w:rPr>
          <w:lang w:val="es-ES"/>
        </w:rPr>
        <w:t xml:space="preserve">Cada </w:t>
      </w:r>
      <w:r>
        <w:rPr>
          <w:lang w:val="es-ES"/>
        </w:rPr>
        <w:t>oferta económica</w:t>
      </w:r>
      <w:r w:rsidRPr="0035706E">
        <w:rPr>
          <w:lang w:val="es-ES"/>
        </w:rPr>
        <w:t xml:space="preserve"> suplementaria presentada de acuerdo con las reglas de la subasta es considerada como una </w:t>
      </w:r>
      <w:r>
        <w:rPr>
          <w:lang w:val="es-ES"/>
        </w:rPr>
        <w:t>oferta económica</w:t>
      </w:r>
      <w:r w:rsidRPr="0035706E">
        <w:rPr>
          <w:lang w:val="es-ES"/>
        </w:rPr>
        <w:t xml:space="preserve"> válida. Una </w:t>
      </w:r>
      <w:r>
        <w:rPr>
          <w:lang w:val="es-ES"/>
        </w:rPr>
        <w:t>oferta económica</w:t>
      </w:r>
      <w:r w:rsidRPr="0035706E">
        <w:rPr>
          <w:lang w:val="es-ES"/>
        </w:rPr>
        <w:t xml:space="preserve"> válida representa un compromiso vinculante de comprar el paquete específico de lotes a un precio menor o igual al monto de </w:t>
      </w:r>
      <w:r>
        <w:rPr>
          <w:lang w:val="es-ES"/>
        </w:rPr>
        <w:t>oferta económica</w:t>
      </w:r>
      <w:r w:rsidRPr="0035706E">
        <w:rPr>
          <w:lang w:val="es-ES"/>
        </w:rPr>
        <w:t xml:space="preserve"> especificado.</w:t>
      </w:r>
    </w:p>
    <w:p w14:paraId="7CCF533B" w14:textId="77777777" w:rsidR="0045050D" w:rsidRPr="00C00C5F" w:rsidRDefault="0045050D" w:rsidP="0045050D">
      <w:pPr>
        <w:pStyle w:val="Textoindependiente"/>
        <w:jc w:val="both"/>
        <w:rPr>
          <w:lang w:val="es-ES"/>
        </w:rPr>
      </w:pPr>
    </w:p>
    <w:p w14:paraId="38B8EA7B" w14:textId="77777777" w:rsidR="0045050D" w:rsidRPr="0035706E" w:rsidRDefault="0045050D" w:rsidP="0045050D">
      <w:pPr>
        <w:pStyle w:val="Ttulo3"/>
        <w:jc w:val="both"/>
        <w:rPr>
          <w:lang w:val="es-ES"/>
        </w:rPr>
      </w:pPr>
      <w:bookmarkStart w:id="61" w:name="_Toc430281544"/>
      <w:bookmarkStart w:id="62" w:name="_Ref429410735"/>
      <w:r w:rsidRPr="0035706E">
        <w:rPr>
          <w:lang w:val="es-ES"/>
        </w:rPr>
        <w:t>Determinación del ganador</w:t>
      </w:r>
      <w:bookmarkEnd w:id="61"/>
      <w:r w:rsidRPr="0035706E">
        <w:rPr>
          <w:lang w:val="es-ES"/>
        </w:rPr>
        <w:t xml:space="preserve"> </w:t>
      </w:r>
      <w:bookmarkEnd w:id="62"/>
    </w:p>
    <w:p w14:paraId="290847D4" w14:textId="77777777" w:rsidR="0045050D" w:rsidRPr="0035706E" w:rsidRDefault="0045050D" w:rsidP="0045050D">
      <w:pPr>
        <w:pStyle w:val="Textoindependiente"/>
        <w:jc w:val="both"/>
        <w:rPr>
          <w:lang w:val="es-ES"/>
        </w:rPr>
      </w:pPr>
      <w:r w:rsidRPr="0035706E">
        <w:rPr>
          <w:lang w:val="es-ES"/>
        </w:rPr>
        <w:t xml:space="preserve">Después de </w:t>
      </w:r>
      <w:r>
        <w:rPr>
          <w:lang w:val="es-ES"/>
        </w:rPr>
        <w:t>concluir</w:t>
      </w:r>
      <w:r w:rsidRPr="0035706E">
        <w:rPr>
          <w:lang w:val="es-ES"/>
        </w:rPr>
        <w:t xml:space="preserve"> la ronda suplementaria, el </w:t>
      </w:r>
      <w:r>
        <w:rPr>
          <w:lang w:val="es-MX"/>
        </w:rPr>
        <w:t>Instituto</w:t>
      </w:r>
      <w:r w:rsidRPr="0035706E">
        <w:rPr>
          <w:lang w:val="es-ES"/>
        </w:rPr>
        <w:t xml:space="preserve"> procederá a determinar las </w:t>
      </w:r>
      <w:r>
        <w:rPr>
          <w:lang w:val="es-ES"/>
        </w:rPr>
        <w:t>ofertas económicas</w:t>
      </w:r>
      <w:r w:rsidRPr="0035706E">
        <w:rPr>
          <w:lang w:val="es-ES"/>
        </w:rPr>
        <w:t xml:space="preserve"> ganadoras. Para hacer esto, el </w:t>
      </w:r>
      <w:r>
        <w:rPr>
          <w:lang w:val="es-MX"/>
        </w:rPr>
        <w:t>Instituto</w:t>
      </w:r>
      <w:r w:rsidRPr="0035706E">
        <w:rPr>
          <w:lang w:val="es-ES"/>
        </w:rPr>
        <w:t xml:space="preserve"> considerará todas las </w:t>
      </w:r>
      <w:r>
        <w:rPr>
          <w:lang w:val="es-ES"/>
        </w:rPr>
        <w:t>ofertas económicas</w:t>
      </w:r>
      <w:r w:rsidRPr="0035706E">
        <w:rPr>
          <w:lang w:val="es-ES"/>
        </w:rPr>
        <w:t xml:space="preserve"> válidas presentadas en la subasta junto a las “</w:t>
      </w:r>
      <w:r>
        <w:rPr>
          <w:lang w:val="es-ES"/>
        </w:rPr>
        <w:t>ofertas económicas</w:t>
      </w:r>
      <w:r w:rsidRPr="0035706E">
        <w:rPr>
          <w:lang w:val="es-ES"/>
        </w:rPr>
        <w:t xml:space="preserve"> del precio de reserva” automáticamente presentadas </w:t>
      </w:r>
      <w:r>
        <w:rPr>
          <w:lang w:val="es-ES"/>
        </w:rPr>
        <w:t>por</w:t>
      </w:r>
      <w:r w:rsidRPr="0035706E">
        <w:rPr>
          <w:lang w:val="es-ES"/>
        </w:rPr>
        <w:t xml:space="preserve"> parte del </w:t>
      </w:r>
      <w:r>
        <w:rPr>
          <w:lang w:val="es-MX"/>
        </w:rPr>
        <w:t>Instituto</w:t>
      </w:r>
      <w:r w:rsidRPr="0035706E">
        <w:rPr>
          <w:lang w:val="es-ES"/>
        </w:rPr>
        <w:t>.</w:t>
      </w:r>
    </w:p>
    <w:p w14:paraId="3DB84D02" w14:textId="77777777" w:rsidR="0045050D" w:rsidRPr="0035706E" w:rsidRDefault="0045050D" w:rsidP="0045050D">
      <w:pPr>
        <w:pStyle w:val="Textoindependiente"/>
        <w:jc w:val="both"/>
        <w:rPr>
          <w:lang w:val="es-ES"/>
        </w:rPr>
      </w:pPr>
      <w:r w:rsidRPr="0035706E">
        <w:rPr>
          <w:lang w:val="es-ES"/>
        </w:rPr>
        <w:t xml:space="preserve">Las siguientes </w:t>
      </w:r>
      <w:r>
        <w:rPr>
          <w:lang w:val="es-ES"/>
        </w:rPr>
        <w:t>ofertas económicas</w:t>
      </w:r>
      <w:r w:rsidRPr="0035706E">
        <w:rPr>
          <w:lang w:val="es-ES"/>
        </w:rPr>
        <w:t xml:space="preserve"> serán incluidas en la determinación del ganador:</w:t>
      </w:r>
    </w:p>
    <w:p w14:paraId="626F1A05" w14:textId="77777777" w:rsidR="0045050D" w:rsidRPr="0035706E" w:rsidRDefault="0045050D" w:rsidP="0045050D">
      <w:pPr>
        <w:pStyle w:val="Textoindependiente"/>
        <w:numPr>
          <w:ilvl w:val="0"/>
          <w:numId w:val="33"/>
        </w:numPr>
        <w:jc w:val="both"/>
        <w:rPr>
          <w:lang w:val="es-ES"/>
        </w:rPr>
      </w:pPr>
      <w:r w:rsidRPr="0035706E">
        <w:rPr>
          <w:lang w:val="es-ES"/>
        </w:rPr>
        <w:t xml:space="preserve">Todas las </w:t>
      </w:r>
      <w:r>
        <w:rPr>
          <w:lang w:val="es-ES"/>
        </w:rPr>
        <w:t>ofertas económicas</w:t>
      </w:r>
      <w:r w:rsidRPr="0035706E">
        <w:rPr>
          <w:lang w:val="es-ES"/>
        </w:rPr>
        <w:t xml:space="preserve"> válidas por los paquetes presentados por todos los </w:t>
      </w:r>
      <w:r>
        <w:rPr>
          <w:lang w:val="es-ES"/>
        </w:rPr>
        <w:t>P</w:t>
      </w:r>
      <w:r w:rsidRPr="0035706E">
        <w:rPr>
          <w:lang w:val="es-ES"/>
        </w:rPr>
        <w:t xml:space="preserve">articipantes durante las rondas de reloj (con excepción de aquéllas reemplazadas por </w:t>
      </w:r>
      <w:r>
        <w:rPr>
          <w:lang w:val="es-ES"/>
        </w:rPr>
        <w:t>ofertas económicas</w:t>
      </w:r>
      <w:r w:rsidRPr="0035706E">
        <w:rPr>
          <w:lang w:val="es-ES"/>
        </w:rPr>
        <w:t xml:space="preserve"> más altas por el mismo paquete por el mismo </w:t>
      </w:r>
      <w:r>
        <w:rPr>
          <w:lang w:val="es-ES"/>
        </w:rPr>
        <w:t>P</w:t>
      </w:r>
      <w:r w:rsidRPr="0035706E">
        <w:rPr>
          <w:lang w:val="es-ES"/>
        </w:rPr>
        <w:t>articipante).</w:t>
      </w:r>
    </w:p>
    <w:p w14:paraId="5B4618EB" w14:textId="77777777" w:rsidR="0045050D" w:rsidRPr="0035706E" w:rsidRDefault="0045050D" w:rsidP="0045050D">
      <w:pPr>
        <w:pStyle w:val="Textoindependiente"/>
        <w:numPr>
          <w:ilvl w:val="0"/>
          <w:numId w:val="33"/>
        </w:numPr>
        <w:jc w:val="both"/>
        <w:rPr>
          <w:lang w:val="es-ES"/>
        </w:rPr>
      </w:pPr>
      <w:r w:rsidRPr="0035706E">
        <w:rPr>
          <w:lang w:val="es-ES"/>
        </w:rPr>
        <w:t xml:space="preserve">Todas las </w:t>
      </w:r>
      <w:r>
        <w:rPr>
          <w:lang w:val="es-ES"/>
        </w:rPr>
        <w:t>ofertas económicas</w:t>
      </w:r>
      <w:r w:rsidRPr="0035706E">
        <w:rPr>
          <w:lang w:val="es-ES"/>
        </w:rPr>
        <w:t xml:space="preserve"> suplementarias válidas presentadas por todos los </w:t>
      </w:r>
      <w:r>
        <w:rPr>
          <w:lang w:val="es-ES"/>
        </w:rPr>
        <w:t>P</w:t>
      </w:r>
      <w:r w:rsidRPr="0035706E">
        <w:rPr>
          <w:lang w:val="es-ES"/>
        </w:rPr>
        <w:t>articipantes.</w:t>
      </w:r>
    </w:p>
    <w:p w14:paraId="2B36C6D0" w14:textId="77777777" w:rsidR="0045050D" w:rsidRPr="0035706E" w:rsidRDefault="0045050D" w:rsidP="0045050D">
      <w:pPr>
        <w:pStyle w:val="Textoindependiente"/>
        <w:numPr>
          <w:ilvl w:val="0"/>
          <w:numId w:val="33"/>
        </w:numPr>
        <w:jc w:val="both"/>
        <w:rPr>
          <w:lang w:val="es-ES"/>
        </w:rPr>
      </w:pPr>
      <w:r w:rsidRPr="0035706E">
        <w:rPr>
          <w:lang w:val="es-ES"/>
        </w:rPr>
        <w:t xml:space="preserve">Una </w:t>
      </w:r>
      <w:r>
        <w:rPr>
          <w:lang w:val="es-ES"/>
        </w:rPr>
        <w:t>oferta económica</w:t>
      </w:r>
      <w:r w:rsidRPr="0035706E">
        <w:rPr>
          <w:lang w:val="es-ES"/>
        </w:rPr>
        <w:t xml:space="preserve"> de precio de reserva para cada </w:t>
      </w:r>
      <w:r>
        <w:rPr>
          <w:lang w:val="es-ES"/>
        </w:rPr>
        <w:t>bloque</w:t>
      </w:r>
      <w:r w:rsidRPr="0035706E">
        <w:rPr>
          <w:lang w:val="es-ES"/>
        </w:rPr>
        <w:t xml:space="preserve"> disponible en la subasta. En el Escenario I, habrá 4 </w:t>
      </w:r>
      <w:r>
        <w:rPr>
          <w:lang w:val="es-ES"/>
        </w:rPr>
        <w:t>ofertas económicas</w:t>
      </w:r>
      <w:r w:rsidRPr="0035706E">
        <w:rPr>
          <w:lang w:val="es-ES"/>
        </w:rPr>
        <w:t xml:space="preserve"> separadas en reserva para los </w:t>
      </w:r>
      <w:r>
        <w:rPr>
          <w:lang w:val="es-ES"/>
        </w:rPr>
        <w:t>bloques</w:t>
      </w:r>
      <w:r w:rsidRPr="0035706E">
        <w:rPr>
          <w:lang w:val="es-ES"/>
        </w:rPr>
        <w:t xml:space="preserve"> de la Categoría A, 3 </w:t>
      </w:r>
      <w:r>
        <w:rPr>
          <w:lang w:val="es-ES"/>
        </w:rPr>
        <w:t>bloques</w:t>
      </w:r>
      <w:r w:rsidRPr="0035706E">
        <w:rPr>
          <w:lang w:val="es-ES"/>
        </w:rPr>
        <w:t xml:space="preserve"> en reserva para la Categoría G; y una </w:t>
      </w:r>
      <w:r>
        <w:rPr>
          <w:lang w:val="es-ES"/>
        </w:rPr>
        <w:t>oferta económica</w:t>
      </w:r>
      <w:r w:rsidRPr="0035706E">
        <w:rPr>
          <w:lang w:val="es-ES"/>
        </w:rPr>
        <w:t xml:space="preserve"> para 2 lotes para la Categoría J. En el Escenario II, las </w:t>
      </w:r>
      <w:r>
        <w:rPr>
          <w:lang w:val="es-ES"/>
        </w:rPr>
        <w:t>ofertas económicas</w:t>
      </w:r>
      <w:r w:rsidRPr="0035706E">
        <w:rPr>
          <w:lang w:val="es-ES"/>
        </w:rPr>
        <w:t xml:space="preserve"> del precio de reserva será el mismo que para el Escenario I con la excepción de que habrá solamente 3 </w:t>
      </w:r>
      <w:r>
        <w:rPr>
          <w:lang w:val="es-ES"/>
        </w:rPr>
        <w:t>ofertas económicas</w:t>
      </w:r>
      <w:r w:rsidRPr="0035706E">
        <w:rPr>
          <w:lang w:val="es-ES"/>
        </w:rPr>
        <w:t xml:space="preserve"> separadas en reserva para los </w:t>
      </w:r>
      <w:r>
        <w:rPr>
          <w:lang w:val="es-ES"/>
        </w:rPr>
        <w:t>bloques</w:t>
      </w:r>
      <w:r w:rsidRPr="0035706E">
        <w:rPr>
          <w:lang w:val="es-ES"/>
        </w:rPr>
        <w:t xml:space="preserve"> de la Categoría A.</w:t>
      </w:r>
    </w:p>
    <w:p w14:paraId="6F75F26D" w14:textId="77777777" w:rsidR="0045050D" w:rsidRPr="0035706E" w:rsidRDefault="0045050D" w:rsidP="0045050D">
      <w:pPr>
        <w:pStyle w:val="Textoindependiente"/>
        <w:jc w:val="both"/>
        <w:rPr>
          <w:lang w:val="es-ES"/>
        </w:rPr>
      </w:pPr>
      <w:r w:rsidRPr="0035706E">
        <w:rPr>
          <w:lang w:val="es-ES"/>
        </w:rPr>
        <w:t xml:space="preserve">El conjunto de </w:t>
      </w:r>
      <w:r>
        <w:rPr>
          <w:lang w:val="es-ES"/>
        </w:rPr>
        <w:t>ofertas económicas</w:t>
      </w:r>
      <w:r w:rsidRPr="0035706E">
        <w:rPr>
          <w:lang w:val="es-ES"/>
        </w:rPr>
        <w:t xml:space="preserve"> ganadoras e</w:t>
      </w:r>
      <w:r>
        <w:rPr>
          <w:lang w:val="es-ES"/>
        </w:rPr>
        <w:t>s</w:t>
      </w:r>
      <w:r w:rsidRPr="0035706E">
        <w:rPr>
          <w:lang w:val="es-ES"/>
        </w:rPr>
        <w:t xml:space="preserve"> la combinación de estas </w:t>
      </w:r>
      <w:r>
        <w:rPr>
          <w:lang w:val="es-ES"/>
        </w:rPr>
        <w:t>ofertas económicas</w:t>
      </w:r>
      <w:r w:rsidRPr="0035706E">
        <w:rPr>
          <w:lang w:val="es-ES"/>
        </w:rPr>
        <w:t xml:space="preserve"> que, tomadas en su conjunto, tienen el valor total más grande, sujeto a las condiciones que:</w:t>
      </w:r>
    </w:p>
    <w:p w14:paraId="1AE229C6" w14:textId="77777777" w:rsidR="0045050D" w:rsidRPr="0035706E" w:rsidRDefault="0045050D" w:rsidP="0045050D">
      <w:pPr>
        <w:pStyle w:val="Textoindependiente"/>
        <w:numPr>
          <w:ilvl w:val="0"/>
          <w:numId w:val="58"/>
        </w:numPr>
        <w:jc w:val="both"/>
        <w:rPr>
          <w:lang w:val="es-ES"/>
        </w:rPr>
      </w:pPr>
      <w:r w:rsidRPr="0035706E">
        <w:rPr>
          <w:lang w:val="es-ES"/>
        </w:rPr>
        <w:t xml:space="preserve">En cada categoría, no se otorgan más </w:t>
      </w:r>
      <w:r>
        <w:rPr>
          <w:lang w:val="es-ES"/>
        </w:rPr>
        <w:t>bloques</w:t>
      </w:r>
      <w:r w:rsidRPr="0035706E">
        <w:rPr>
          <w:lang w:val="es-ES"/>
        </w:rPr>
        <w:t xml:space="preserve"> que los que hay disponibles en esa categoría;</w:t>
      </w:r>
    </w:p>
    <w:p w14:paraId="7169533D" w14:textId="77777777" w:rsidR="0045050D" w:rsidRPr="0035706E" w:rsidRDefault="0045050D" w:rsidP="0045050D">
      <w:pPr>
        <w:pStyle w:val="Textoindependiente"/>
        <w:numPr>
          <w:ilvl w:val="0"/>
          <w:numId w:val="58"/>
        </w:numPr>
        <w:jc w:val="both"/>
        <w:rPr>
          <w:lang w:val="es-ES"/>
        </w:rPr>
      </w:pPr>
      <w:r w:rsidRPr="0035706E">
        <w:rPr>
          <w:lang w:val="es-ES"/>
        </w:rPr>
        <w:t xml:space="preserve">Como máximo una </w:t>
      </w:r>
      <w:r>
        <w:rPr>
          <w:lang w:val="es-ES"/>
        </w:rPr>
        <w:t>oferta económica</w:t>
      </w:r>
      <w:r w:rsidRPr="0035706E">
        <w:rPr>
          <w:lang w:val="es-ES"/>
        </w:rPr>
        <w:t xml:space="preserve"> es aceptada de cada </w:t>
      </w:r>
      <w:r>
        <w:rPr>
          <w:lang w:val="es-ES"/>
        </w:rPr>
        <w:t>P</w:t>
      </w:r>
      <w:r w:rsidRPr="0035706E">
        <w:rPr>
          <w:lang w:val="es-ES"/>
        </w:rPr>
        <w:t>articipante; y</w:t>
      </w:r>
    </w:p>
    <w:p w14:paraId="70AB41D8" w14:textId="41B6CBE7" w:rsidR="0045050D" w:rsidRPr="00FB2317" w:rsidRDefault="0045050D" w:rsidP="0045050D">
      <w:pPr>
        <w:pStyle w:val="Textoindependiente"/>
        <w:numPr>
          <w:ilvl w:val="0"/>
          <w:numId w:val="58"/>
        </w:numPr>
        <w:jc w:val="both"/>
        <w:rPr>
          <w:lang w:val="es-ES"/>
        </w:rPr>
      </w:pPr>
      <w:r w:rsidRPr="0035706E">
        <w:rPr>
          <w:lang w:val="es-ES"/>
        </w:rPr>
        <w:t xml:space="preserve">En el Escenario I solamente, </w:t>
      </w:r>
      <w:r>
        <w:rPr>
          <w:lang w:val="es-ES"/>
        </w:rPr>
        <w:t xml:space="preserve">los operadores que tienen actualmente concesiones en el </w:t>
      </w:r>
      <w:r w:rsidR="00A1029A">
        <w:rPr>
          <w:lang w:val="es-ES"/>
        </w:rPr>
        <w:t>B</w:t>
      </w:r>
      <w:r>
        <w:rPr>
          <w:lang w:val="es-ES"/>
        </w:rPr>
        <w:t>loque D</w:t>
      </w:r>
      <w:r w:rsidRPr="00FB2317">
        <w:rPr>
          <w:lang w:val="es-ES"/>
        </w:rPr>
        <w:t xml:space="preserve"> deben   cada uno ganar un paquete diferente de cero.</w:t>
      </w:r>
      <w:r w:rsidRPr="00FB2317">
        <w:rPr>
          <w:rStyle w:val="Refdenotaalpie"/>
          <w:lang w:val="es-ES"/>
        </w:rPr>
        <w:t xml:space="preserve"> </w:t>
      </w:r>
    </w:p>
    <w:p w14:paraId="7509F0E1" w14:textId="77777777" w:rsidR="0045050D" w:rsidRPr="00AC217B" w:rsidRDefault="0045050D" w:rsidP="0045050D">
      <w:pPr>
        <w:pStyle w:val="Textoindependiente"/>
        <w:jc w:val="both"/>
        <w:rPr>
          <w:lang w:val="es-ES"/>
        </w:rPr>
      </w:pPr>
      <w:r w:rsidRPr="0035706E">
        <w:rPr>
          <w:lang w:val="es-ES"/>
        </w:rPr>
        <w:t xml:space="preserve">El proceso de identificar las </w:t>
      </w:r>
      <w:r>
        <w:rPr>
          <w:lang w:val="es-ES"/>
        </w:rPr>
        <w:t>ofertas económicas</w:t>
      </w:r>
      <w:r w:rsidRPr="0035706E">
        <w:rPr>
          <w:lang w:val="es-ES"/>
        </w:rPr>
        <w:t xml:space="preserve"> ganadoras es equivalente a listar todas las combinaciones posibles de </w:t>
      </w:r>
      <w:r>
        <w:rPr>
          <w:lang w:val="es-ES"/>
        </w:rPr>
        <w:t>ofertas económicas</w:t>
      </w:r>
      <w:r w:rsidRPr="0035706E">
        <w:rPr>
          <w:lang w:val="es-ES"/>
        </w:rPr>
        <w:t xml:space="preserve"> que no violan ninguno de los criterios señalados arriba, e identificar la combinación(es) que tiene(n) el valor </w:t>
      </w:r>
      <w:r w:rsidRPr="00AC217B">
        <w:rPr>
          <w:lang w:val="es-ES"/>
        </w:rPr>
        <w:t>total más alto.</w:t>
      </w:r>
    </w:p>
    <w:p w14:paraId="196AD9DB" w14:textId="77777777" w:rsidR="0045050D" w:rsidRPr="00AC217B" w:rsidRDefault="0045050D" w:rsidP="0045050D">
      <w:pPr>
        <w:pStyle w:val="Textoindependiente"/>
        <w:jc w:val="both"/>
        <w:rPr>
          <w:lang w:val="es-ES"/>
        </w:rPr>
      </w:pPr>
      <w:r w:rsidRPr="00AC217B">
        <w:rPr>
          <w:lang w:val="es-ES"/>
        </w:rPr>
        <w:t xml:space="preserve">Si hay más de un conjunto de </w:t>
      </w:r>
      <w:r>
        <w:rPr>
          <w:lang w:val="es-ES"/>
        </w:rPr>
        <w:t>ofertas económicas</w:t>
      </w:r>
      <w:r w:rsidRPr="00AC217B">
        <w:rPr>
          <w:lang w:val="es-ES"/>
        </w:rPr>
        <w:t xml:space="preserve"> que cumplen con las condiciones que se describen arriba que tienen de igual forma el valor más alto, los siguientes pasos serán usados para eliminar progresivamente los conjuntos de </w:t>
      </w:r>
      <w:r>
        <w:rPr>
          <w:lang w:val="es-ES"/>
        </w:rPr>
        <w:t>ofertas económicas</w:t>
      </w:r>
      <w:r w:rsidRPr="00AC217B">
        <w:rPr>
          <w:lang w:val="es-ES"/>
        </w:rPr>
        <w:t xml:space="preserve"> de entre esas combinaciones hasta que se identifique un conjunto único de ofertas ganadoras:</w:t>
      </w:r>
    </w:p>
    <w:p w14:paraId="3334729D" w14:textId="77777777" w:rsidR="0045050D" w:rsidRPr="0035706E" w:rsidRDefault="0045050D" w:rsidP="0045050D">
      <w:pPr>
        <w:pStyle w:val="Textoindependiente"/>
        <w:numPr>
          <w:ilvl w:val="0"/>
          <w:numId w:val="59"/>
        </w:numPr>
        <w:jc w:val="both"/>
        <w:rPr>
          <w:lang w:val="es-ES"/>
        </w:rPr>
      </w:pPr>
      <w:r w:rsidRPr="0035706E">
        <w:rPr>
          <w:lang w:val="es-ES"/>
        </w:rPr>
        <w:t xml:space="preserve">El conjunto de </w:t>
      </w:r>
      <w:r>
        <w:rPr>
          <w:lang w:val="es-ES"/>
        </w:rPr>
        <w:t>ofertas económicas</w:t>
      </w:r>
      <w:r w:rsidRPr="0035706E">
        <w:rPr>
          <w:lang w:val="es-ES"/>
        </w:rPr>
        <w:t xml:space="preserve"> con el menor número de </w:t>
      </w:r>
      <w:r>
        <w:rPr>
          <w:lang w:val="es-ES"/>
        </w:rPr>
        <w:t>bloques</w:t>
      </w:r>
      <w:r w:rsidRPr="0035706E">
        <w:rPr>
          <w:lang w:val="es-ES"/>
        </w:rPr>
        <w:t xml:space="preserve"> sin asignar será seleccionado;</w:t>
      </w:r>
    </w:p>
    <w:p w14:paraId="7E1DB285" w14:textId="77777777" w:rsidR="0045050D" w:rsidRPr="0035706E" w:rsidRDefault="0045050D" w:rsidP="0045050D">
      <w:pPr>
        <w:pStyle w:val="Textoindependiente"/>
        <w:numPr>
          <w:ilvl w:val="0"/>
          <w:numId w:val="59"/>
        </w:numPr>
        <w:jc w:val="both"/>
        <w:rPr>
          <w:lang w:val="es-ES"/>
        </w:rPr>
      </w:pPr>
      <w:r w:rsidRPr="0035706E">
        <w:rPr>
          <w:lang w:val="es-ES"/>
        </w:rPr>
        <w:t xml:space="preserve">Si todavía hay empate, el conjunto de </w:t>
      </w:r>
      <w:r>
        <w:rPr>
          <w:lang w:val="es-ES"/>
        </w:rPr>
        <w:t>ofertas económicas</w:t>
      </w:r>
      <w:r w:rsidRPr="0035706E">
        <w:rPr>
          <w:lang w:val="es-ES"/>
        </w:rPr>
        <w:t xml:space="preserve"> con el mayor número de </w:t>
      </w:r>
      <w:r>
        <w:rPr>
          <w:lang w:val="es-ES"/>
        </w:rPr>
        <w:t>P</w:t>
      </w:r>
      <w:r w:rsidRPr="0035706E">
        <w:rPr>
          <w:lang w:val="es-ES"/>
        </w:rPr>
        <w:t xml:space="preserve">articipantes </w:t>
      </w:r>
      <w:r>
        <w:rPr>
          <w:lang w:val="es-ES"/>
        </w:rPr>
        <w:t>G</w:t>
      </w:r>
      <w:r w:rsidRPr="0035706E">
        <w:rPr>
          <w:lang w:val="es-ES"/>
        </w:rPr>
        <w:t>anadores será seleccionado;</w:t>
      </w:r>
    </w:p>
    <w:p w14:paraId="54568F14" w14:textId="77777777" w:rsidR="0045050D" w:rsidRPr="0035706E" w:rsidRDefault="0045050D" w:rsidP="0045050D">
      <w:pPr>
        <w:pStyle w:val="Textoindependiente"/>
        <w:numPr>
          <w:ilvl w:val="0"/>
          <w:numId w:val="59"/>
        </w:numPr>
        <w:jc w:val="both"/>
        <w:rPr>
          <w:lang w:val="es-ES"/>
        </w:rPr>
      </w:pPr>
      <w:r w:rsidRPr="0035706E">
        <w:rPr>
          <w:lang w:val="es-ES"/>
        </w:rPr>
        <w:t xml:space="preserve">Si todavía hay empate, el conjunto de </w:t>
      </w:r>
      <w:r>
        <w:rPr>
          <w:lang w:val="es-ES"/>
        </w:rPr>
        <w:t>ofertas económicas</w:t>
      </w:r>
      <w:r w:rsidRPr="0035706E">
        <w:rPr>
          <w:lang w:val="es-ES"/>
        </w:rPr>
        <w:t xml:space="preserve"> que maximice el monto de espectro AWS ostentado por el (los) </w:t>
      </w:r>
      <w:r>
        <w:rPr>
          <w:lang w:val="es-ES"/>
        </w:rPr>
        <w:t>P</w:t>
      </w:r>
      <w:r w:rsidRPr="0035706E">
        <w:rPr>
          <w:lang w:val="es-ES"/>
        </w:rPr>
        <w:t>articipante(s) que tendrá(n) la menor asignación será seleccionado;</w:t>
      </w:r>
    </w:p>
    <w:p w14:paraId="17BBC85C" w14:textId="77777777" w:rsidR="0045050D" w:rsidRPr="0035706E" w:rsidRDefault="0045050D" w:rsidP="0045050D">
      <w:pPr>
        <w:pStyle w:val="Textoindependiente"/>
        <w:numPr>
          <w:ilvl w:val="0"/>
          <w:numId w:val="59"/>
        </w:numPr>
        <w:jc w:val="both"/>
        <w:rPr>
          <w:lang w:val="es-ES"/>
        </w:rPr>
      </w:pPr>
      <w:r w:rsidRPr="0035706E">
        <w:rPr>
          <w:lang w:val="es-ES"/>
        </w:rPr>
        <w:t xml:space="preserve">Si todavía hay empate, el conjunto de </w:t>
      </w:r>
      <w:r>
        <w:rPr>
          <w:lang w:val="es-ES"/>
        </w:rPr>
        <w:t>ofertas económicas</w:t>
      </w:r>
      <w:r w:rsidRPr="0035706E">
        <w:rPr>
          <w:lang w:val="es-ES"/>
        </w:rPr>
        <w:t xml:space="preserve"> que minimice el monto de espectro AWS ostentado por el (los) </w:t>
      </w:r>
      <w:r>
        <w:rPr>
          <w:lang w:val="es-ES"/>
        </w:rPr>
        <w:t>P</w:t>
      </w:r>
      <w:r w:rsidRPr="0035706E">
        <w:rPr>
          <w:lang w:val="es-ES"/>
        </w:rPr>
        <w:t>articipante(s) que tendrá(n) la mayor asignación será seleccionado;</w:t>
      </w:r>
    </w:p>
    <w:p w14:paraId="1A023FF3" w14:textId="77777777" w:rsidR="0045050D" w:rsidRPr="00AC217B" w:rsidRDefault="0045050D" w:rsidP="0045050D">
      <w:pPr>
        <w:pStyle w:val="Textoindependiente"/>
        <w:numPr>
          <w:ilvl w:val="0"/>
          <w:numId w:val="59"/>
        </w:numPr>
        <w:jc w:val="both"/>
        <w:rPr>
          <w:lang w:val="es-ES"/>
        </w:rPr>
      </w:pPr>
      <w:r w:rsidRPr="0035706E">
        <w:rPr>
          <w:lang w:val="es-ES"/>
        </w:rPr>
        <w:t xml:space="preserve">Si todavía hay empate, el conjunto de </w:t>
      </w:r>
      <w:r>
        <w:rPr>
          <w:lang w:val="es-ES"/>
        </w:rPr>
        <w:t>ofertas económicas</w:t>
      </w:r>
      <w:r w:rsidRPr="0035706E">
        <w:rPr>
          <w:lang w:val="es-ES"/>
        </w:rPr>
        <w:t xml:space="preserve"> ganadoras será seleccionado usando un proceso de selección aleatorio.</w:t>
      </w:r>
    </w:p>
    <w:p w14:paraId="635C0E8A" w14:textId="77777777" w:rsidR="0045050D" w:rsidRPr="0035706E" w:rsidRDefault="0045050D" w:rsidP="0045050D">
      <w:pPr>
        <w:pStyle w:val="Ttulo3"/>
        <w:jc w:val="both"/>
        <w:rPr>
          <w:lang w:val="es-ES"/>
        </w:rPr>
      </w:pPr>
      <w:bookmarkStart w:id="63" w:name="_Toc430281545"/>
      <w:bookmarkStart w:id="64" w:name="_Ref429410738"/>
      <w:r w:rsidRPr="0035706E">
        <w:rPr>
          <w:lang w:val="es-ES"/>
        </w:rPr>
        <w:t>Determinando los precios de la subasta</w:t>
      </w:r>
      <w:bookmarkEnd w:id="63"/>
      <w:r w:rsidRPr="0035706E">
        <w:rPr>
          <w:lang w:val="es-ES"/>
        </w:rPr>
        <w:t xml:space="preserve"> </w:t>
      </w:r>
      <w:bookmarkEnd w:id="64"/>
    </w:p>
    <w:p w14:paraId="5DA6A5FD" w14:textId="77777777" w:rsidR="0045050D" w:rsidRPr="0035706E" w:rsidRDefault="0045050D" w:rsidP="0045050D">
      <w:pPr>
        <w:pStyle w:val="Textoindependiente"/>
        <w:jc w:val="both"/>
        <w:rPr>
          <w:lang w:val="es-ES"/>
        </w:rPr>
      </w:pPr>
      <w:r w:rsidRPr="0035706E">
        <w:rPr>
          <w:lang w:val="es-ES"/>
        </w:rPr>
        <w:t xml:space="preserve">Para cada </w:t>
      </w:r>
      <w:r>
        <w:rPr>
          <w:lang w:val="es-ES"/>
        </w:rPr>
        <w:t>oferta económica</w:t>
      </w:r>
      <w:r w:rsidRPr="0035706E">
        <w:rPr>
          <w:lang w:val="es-ES"/>
        </w:rPr>
        <w:t xml:space="preserve"> ganadora, el </w:t>
      </w:r>
      <w:r>
        <w:rPr>
          <w:lang w:val="es-ES"/>
        </w:rPr>
        <w:t>SES</w:t>
      </w:r>
      <w:r w:rsidRPr="0035706E">
        <w:rPr>
          <w:lang w:val="es-ES"/>
        </w:rPr>
        <w:t xml:space="preserve"> determinará un precio de subasta para cada </w:t>
      </w:r>
      <w:r>
        <w:rPr>
          <w:lang w:val="es-ES"/>
        </w:rPr>
        <w:t>P</w:t>
      </w:r>
      <w:r w:rsidRPr="0035706E">
        <w:rPr>
          <w:lang w:val="es-ES"/>
        </w:rPr>
        <w:t xml:space="preserve">articipante </w:t>
      </w:r>
      <w:r>
        <w:rPr>
          <w:lang w:val="es-ES"/>
        </w:rPr>
        <w:t>G</w:t>
      </w:r>
      <w:r w:rsidRPr="0035706E">
        <w:rPr>
          <w:lang w:val="es-ES"/>
        </w:rPr>
        <w:t xml:space="preserve">anador. Este es un precio general para el paquete completo de </w:t>
      </w:r>
      <w:r>
        <w:rPr>
          <w:lang w:val="es-ES"/>
        </w:rPr>
        <w:t>bloques</w:t>
      </w:r>
      <w:r w:rsidRPr="0035706E">
        <w:rPr>
          <w:lang w:val="es-ES"/>
        </w:rPr>
        <w:t xml:space="preserve"> ganados por cada </w:t>
      </w:r>
      <w:r>
        <w:rPr>
          <w:lang w:val="es-ES"/>
        </w:rPr>
        <w:t>P</w:t>
      </w:r>
      <w:r w:rsidRPr="0035706E">
        <w:rPr>
          <w:lang w:val="es-ES"/>
        </w:rPr>
        <w:t>articipante.</w:t>
      </w:r>
    </w:p>
    <w:p w14:paraId="5D3ABD4A" w14:textId="77777777" w:rsidR="0045050D" w:rsidRPr="0035706E" w:rsidRDefault="0045050D" w:rsidP="0045050D">
      <w:pPr>
        <w:pStyle w:val="Textoindependiente"/>
        <w:jc w:val="both"/>
        <w:rPr>
          <w:lang w:val="es-MX"/>
        </w:rPr>
      </w:pPr>
      <w:r w:rsidRPr="0035706E">
        <w:rPr>
          <w:lang w:val="es-MX"/>
        </w:rPr>
        <w:t xml:space="preserve">Los precios de la subasta se basan en el concepto de costo de oportunidad: son el monto mínimo que cada </w:t>
      </w:r>
      <w:r>
        <w:rPr>
          <w:lang w:val="es-MX"/>
        </w:rPr>
        <w:t>P</w:t>
      </w:r>
      <w:r w:rsidRPr="0035706E">
        <w:rPr>
          <w:lang w:val="es-MX"/>
        </w:rPr>
        <w:t xml:space="preserve">articipante </w:t>
      </w:r>
      <w:r>
        <w:rPr>
          <w:lang w:val="es-MX"/>
        </w:rPr>
        <w:t>G</w:t>
      </w:r>
      <w:r w:rsidRPr="0035706E">
        <w:rPr>
          <w:lang w:val="es-MX"/>
        </w:rPr>
        <w:t xml:space="preserve">anador, y cada grupo de </w:t>
      </w:r>
      <w:r>
        <w:rPr>
          <w:lang w:val="es-MX"/>
        </w:rPr>
        <w:t>P</w:t>
      </w:r>
      <w:r w:rsidRPr="0035706E">
        <w:rPr>
          <w:lang w:val="es-MX"/>
        </w:rPr>
        <w:t xml:space="preserve">articipantes </w:t>
      </w:r>
      <w:r>
        <w:rPr>
          <w:lang w:val="es-MX"/>
        </w:rPr>
        <w:t>G</w:t>
      </w:r>
      <w:r w:rsidRPr="0035706E">
        <w:rPr>
          <w:lang w:val="es-MX"/>
        </w:rPr>
        <w:t xml:space="preserve">anadores en </w:t>
      </w:r>
      <w:r>
        <w:rPr>
          <w:lang w:val="es-MX"/>
        </w:rPr>
        <w:t xml:space="preserve">su </w:t>
      </w:r>
      <w:r w:rsidRPr="0035706E">
        <w:rPr>
          <w:lang w:val="es-MX"/>
        </w:rPr>
        <w:t>conjunto, pudo haber ofertado sin cambiar el resultado del proceso de determinación del ganador.</w:t>
      </w:r>
    </w:p>
    <w:p w14:paraId="317CACAE" w14:textId="77777777" w:rsidR="0045050D" w:rsidRPr="0035706E" w:rsidRDefault="0045050D" w:rsidP="0045050D">
      <w:pPr>
        <w:pStyle w:val="Textoindependiente"/>
        <w:jc w:val="both"/>
        <w:rPr>
          <w:lang w:val="es-ES"/>
        </w:rPr>
      </w:pPr>
      <w:r w:rsidRPr="0035706E">
        <w:rPr>
          <w:lang w:val="es-ES"/>
        </w:rPr>
        <w:t xml:space="preserve">El costo de oportunidad de un </w:t>
      </w:r>
      <w:r>
        <w:rPr>
          <w:lang w:val="es-ES"/>
        </w:rPr>
        <w:t>P</w:t>
      </w:r>
      <w:r w:rsidRPr="0035706E">
        <w:rPr>
          <w:lang w:val="es-ES"/>
        </w:rPr>
        <w:t xml:space="preserve">articipante, o un grupo de </w:t>
      </w:r>
      <w:r>
        <w:rPr>
          <w:lang w:val="es-ES"/>
        </w:rPr>
        <w:t>P</w:t>
      </w:r>
      <w:r w:rsidRPr="0035706E">
        <w:rPr>
          <w:lang w:val="es-ES"/>
        </w:rPr>
        <w:t>articipantes, es dado por la diferencia entre:</w:t>
      </w:r>
    </w:p>
    <w:p w14:paraId="16F95F2A" w14:textId="77777777" w:rsidR="0045050D" w:rsidRPr="0035706E" w:rsidRDefault="0045050D" w:rsidP="0045050D">
      <w:pPr>
        <w:pStyle w:val="Textoindependiente"/>
        <w:numPr>
          <w:ilvl w:val="0"/>
          <w:numId w:val="35"/>
        </w:numPr>
        <w:jc w:val="both"/>
        <w:rPr>
          <w:lang w:val="es-ES"/>
        </w:rPr>
      </w:pPr>
      <w:r w:rsidRPr="0035706E">
        <w:rPr>
          <w:lang w:val="es-ES"/>
        </w:rPr>
        <w:t xml:space="preserve">El valor de la asignación ganadora en un escenario donde todas las </w:t>
      </w:r>
      <w:r>
        <w:rPr>
          <w:lang w:val="es-ES"/>
        </w:rPr>
        <w:t>ofertas económicas</w:t>
      </w:r>
      <w:r w:rsidRPr="0035706E">
        <w:rPr>
          <w:lang w:val="es-ES"/>
        </w:rPr>
        <w:t xml:space="preserve"> del (los) </w:t>
      </w:r>
      <w:r>
        <w:rPr>
          <w:lang w:val="es-ES"/>
        </w:rPr>
        <w:t>P</w:t>
      </w:r>
      <w:r w:rsidRPr="0035706E">
        <w:rPr>
          <w:lang w:val="es-ES"/>
        </w:rPr>
        <w:t xml:space="preserve">articipante(s) en cuestión son excluidas, con </w:t>
      </w:r>
      <w:r>
        <w:rPr>
          <w:lang w:val="es-ES"/>
        </w:rPr>
        <w:t>bloques</w:t>
      </w:r>
      <w:r w:rsidRPr="0035706E">
        <w:rPr>
          <w:lang w:val="es-ES"/>
        </w:rPr>
        <w:t xml:space="preserve"> sin asignar valorados al precio de reserva; y</w:t>
      </w:r>
    </w:p>
    <w:p w14:paraId="77C47A76" w14:textId="77777777" w:rsidR="0045050D" w:rsidRPr="0035706E" w:rsidRDefault="0045050D" w:rsidP="0045050D">
      <w:pPr>
        <w:pStyle w:val="Textoindependiente"/>
        <w:numPr>
          <w:ilvl w:val="0"/>
          <w:numId w:val="35"/>
        </w:numPr>
        <w:jc w:val="both"/>
        <w:rPr>
          <w:lang w:val="es-ES"/>
        </w:rPr>
      </w:pPr>
      <w:r w:rsidRPr="0035706E">
        <w:rPr>
          <w:lang w:val="es-ES"/>
        </w:rPr>
        <w:t xml:space="preserve">El valor de la asignación ganadora original, excluyendo el valor de las </w:t>
      </w:r>
      <w:r>
        <w:rPr>
          <w:lang w:val="es-ES"/>
        </w:rPr>
        <w:t>ofertas económicas</w:t>
      </w:r>
      <w:r w:rsidRPr="0035706E">
        <w:rPr>
          <w:lang w:val="es-ES"/>
        </w:rPr>
        <w:t xml:space="preserve"> ganadoras del (los) </w:t>
      </w:r>
      <w:r>
        <w:rPr>
          <w:lang w:val="es-ES"/>
        </w:rPr>
        <w:t>P</w:t>
      </w:r>
      <w:r w:rsidRPr="0035706E">
        <w:rPr>
          <w:lang w:val="es-ES"/>
        </w:rPr>
        <w:t xml:space="preserve">articipante(s) en cuestión, con </w:t>
      </w:r>
      <w:r>
        <w:rPr>
          <w:lang w:val="es-ES"/>
        </w:rPr>
        <w:t>bloques</w:t>
      </w:r>
      <w:r w:rsidRPr="0035706E">
        <w:rPr>
          <w:lang w:val="es-ES"/>
        </w:rPr>
        <w:t xml:space="preserve"> sin asignar valorados al precio de reserva.</w:t>
      </w:r>
    </w:p>
    <w:p w14:paraId="479B0783" w14:textId="77777777" w:rsidR="0045050D" w:rsidRPr="0035706E" w:rsidRDefault="0045050D" w:rsidP="0045050D">
      <w:pPr>
        <w:pStyle w:val="Textoindependiente"/>
        <w:jc w:val="both"/>
        <w:rPr>
          <w:lang w:val="es-ES"/>
        </w:rPr>
      </w:pPr>
      <w:r w:rsidRPr="0035706E">
        <w:rPr>
          <w:lang w:val="es-ES"/>
        </w:rPr>
        <w:t xml:space="preserve">Los precios de la subasta se determinan de forma conjunta para todos los ganadores </w:t>
      </w:r>
      <w:r>
        <w:rPr>
          <w:lang w:val="es-ES"/>
        </w:rPr>
        <w:t xml:space="preserve">en </w:t>
      </w:r>
      <w:r w:rsidRPr="0035706E">
        <w:rPr>
          <w:lang w:val="es-ES"/>
        </w:rPr>
        <w:t xml:space="preserve">un solo cálculo. Un conjunto único de precios de subasta se </w:t>
      </w:r>
      <w:r>
        <w:rPr>
          <w:lang w:val="es-ES"/>
        </w:rPr>
        <w:t>determina</w:t>
      </w:r>
      <w:r w:rsidRPr="0035706E">
        <w:rPr>
          <w:lang w:val="es-ES"/>
        </w:rPr>
        <w:t xml:space="preserve"> al aplicar las siguientes condiciones:</w:t>
      </w:r>
    </w:p>
    <w:p w14:paraId="217C162A" w14:textId="77777777" w:rsidR="0045050D" w:rsidRPr="0035706E" w:rsidRDefault="0045050D" w:rsidP="0045050D">
      <w:pPr>
        <w:pStyle w:val="Textoindependiente"/>
        <w:numPr>
          <w:ilvl w:val="0"/>
          <w:numId w:val="36"/>
        </w:numPr>
        <w:jc w:val="both"/>
        <w:rPr>
          <w:b/>
          <w:lang w:val="es-ES"/>
        </w:rPr>
      </w:pPr>
      <w:r w:rsidRPr="0035706E">
        <w:rPr>
          <w:b/>
          <w:lang w:val="es-ES"/>
        </w:rPr>
        <w:t>Primera condición:</w:t>
      </w:r>
      <w:r w:rsidRPr="0035706E">
        <w:rPr>
          <w:lang w:val="es-ES"/>
        </w:rPr>
        <w:t xml:space="preserve"> el precio de la subasta de la </w:t>
      </w:r>
      <w:r>
        <w:rPr>
          <w:lang w:val="es-ES"/>
        </w:rPr>
        <w:t>oferta económica</w:t>
      </w:r>
      <w:r w:rsidRPr="0035706E">
        <w:rPr>
          <w:lang w:val="es-ES"/>
        </w:rPr>
        <w:t xml:space="preserve"> ganadora debe ser mayor o igual al precio de reserva total de los </w:t>
      </w:r>
      <w:r>
        <w:rPr>
          <w:lang w:val="es-ES"/>
        </w:rPr>
        <w:t>bloques</w:t>
      </w:r>
      <w:r w:rsidRPr="0035706E">
        <w:rPr>
          <w:lang w:val="es-ES"/>
        </w:rPr>
        <w:t xml:space="preserve"> en el paquete de </w:t>
      </w:r>
      <w:r>
        <w:rPr>
          <w:lang w:val="es-ES"/>
        </w:rPr>
        <w:t>oferta económica</w:t>
      </w:r>
      <w:r w:rsidRPr="0035706E">
        <w:rPr>
          <w:lang w:val="es-ES"/>
        </w:rPr>
        <w:t xml:space="preserve"> ganador</w:t>
      </w:r>
      <w:r>
        <w:rPr>
          <w:lang w:val="es-ES"/>
        </w:rPr>
        <w:t>a</w:t>
      </w:r>
      <w:r w:rsidRPr="0035706E">
        <w:rPr>
          <w:lang w:val="es-ES"/>
        </w:rPr>
        <w:t xml:space="preserve">, pero menor o igual al monto de la </w:t>
      </w:r>
      <w:r>
        <w:rPr>
          <w:lang w:val="es-ES"/>
        </w:rPr>
        <w:t>oferta económica</w:t>
      </w:r>
      <w:r w:rsidRPr="0035706E">
        <w:rPr>
          <w:lang w:val="es-ES"/>
        </w:rPr>
        <w:t xml:space="preserve"> ganadora.</w:t>
      </w:r>
    </w:p>
    <w:p w14:paraId="306B207A" w14:textId="77777777" w:rsidR="0045050D" w:rsidRPr="0035706E" w:rsidRDefault="0045050D" w:rsidP="0045050D">
      <w:pPr>
        <w:pStyle w:val="Textoindependiente"/>
        <w:numPr>
          <w:ilvl w:val="0"/>
          <w:numId w:val="36"/>
        </w:numPr>
        <w:jc w:val="both"/>
        <w:rPr>
          <w:lang w:val="es-ES"/>
        </w:rPr>
      </w:pPr>
      <w:r w:rsidRPr="0035706E">
        <w:rPr>
          <w:b/>
          <w:lang w:val="es-ES"/>
        </w:rPr>
        <w:t>Segunda condición:</w:t>
      </w:r>
      <w:r w:rsidRPr="0035706E">
        <w:rPr>
          <w:lang w:val="es-ES"/>
        </w:rPr>
        <w:t xml:space="preserve"> el conjunto de precios de subasta debe ser lo suficientemente alto de tal forma que la suma de los precios pagados por cada subconjunto posible de ganadores debe ser al menos su costo de oportunidad conjunto. Si hay solamente un conjunto de precios de subasta que cumple la primera y segundas condiciones, éste determina los precios de la subasta.</w:t>
      </w:r>
    </w:p>
    <w:p w14:paraId="18C9AC48" w14:textId="77777777" w:rsidR="0045050D" w:rsidRPr="0035706E" w:rsidRDefault="0045050D" w:rsidP="0045050D">
      <w:pPr>
        <w:pStyle w:val="Textoindependiente"/>
        <w:numPr>
          <w:ilvl w:val="0"/>
          <w:numId w:val="36"/>
        </w:numPr>
        <w:jc w:val="both"/>
        <w:rPr>
          <w:lang w:val="es-ES"/>
        </w:rPr>
      </w:pPr>
      <w:r w:rsidRPr="0035706E">
        <w:rPr>
          <w:b/>
          <w:lang w:val="es-ES"/>
        </w:rPr>
        <w:t>Tercera condición:</w:t>
      </w:r>
      <w:r w:rsidRPr="0035706E">
        <w:rPr>
          <w:lang w:val="es-ES"/>
        </w:rPr>
        <w:t xml:space="preserve"> Si hay múltiples conjuntos de precios de subasta que cumplen la primera y la segunda condiciones, el</w:t>
      </w:r>
      <w:r>
        <w:rPr>
          <w:lang w:val="es-ES"/>
        </w:rPr>
        <w:t>(los)</w:t>
      </w:r>
      <w:r w:rsidRPr="0035706E">
        <w:rPr>
          <w:lang w:val="es-ES"/>
        </w:rPr>
        <w:t xml:space="preserve"> conjunto(s) de precios de subasta que minimiza(n) la suma de los precios de subasta a lo largo de los </w:t>
      </w:r>
      <w:r>
        <w:rPr>
          <w:lang w:val="es-ES"/>
        </w:rPr>
        <w:t>P</w:t>
      </w:r>
      <w:r w:rsidRPr="0035706E">
        <w:rPr>
          <w:lang w:val="es-ES"/>
        </w:rPr>
        <w:t xml:space="preserve">articipantes </w:t>
      </w:r>
      <w:r>
        <w:rPr>
          <w:lang w:val="es-ES"/>
        </w:rPr>
        <w:t>G</w:t>
      </w:r>
      <w:r w:rsidRPr="0035706E">
        <w:rPr>
          <w:lang w:val="es-ES"/>
        </w:rPr>
        <w:t>anadores se selecciona. Si solamente hay un conjunto de precios de subasta que satisface la primera, segunda y tercera condiciones, éste determina los precios de la subasta.</w:t>
      </w:r>
    </w:p>
    <w:p w14:paraId="0BE31655" w14:textId="77777777" w:rsidR="0045050D" w:rsidRPr="0035706E" w:rsidRDefault="0045050D" w:rsidP="0045050D">
      <w:pPr>
        <w:pStyle w:val="Textoindependiente"/>
        <w:numPr>
          <w:ilvl w:val="0"/>
          <w:numId w:val="36"/>
        </w:numPr>
        <w:jc w:val="both"/>
        <w:rPr>
          <w:lang w:val="es-ES"/>
        </w:rPr>
      </w:pPr>
      <w:r w:rsidRPr="0035706E">
        <w:rPr>
          <w:b/>
          <w:lang w:val="es-ES"/>
        </w:rPr>
        <w:t>Cuarta condición:</w:t>
      </w:r>
      <w:r w:rsidRPr="0035706E">
        <w:rPr>
          <w:lang w:val="es-ES"/>
        </w:rPr>
        <w:t xml:space="preserve"> Si hay múltiples conjuntos de precios de subasta que satisfacen las primeras tres condiciones, el conjunto de precios de subasta que minimizan la suma de cuadrados de las diferencias entre el precio de subasta y el costo de oportunidad individual para cada participante ganador es seleccionado.</w:t>
      </w:r>
    </w:p>
    <w:p w14:paraId="21DC7BFE" w14:textId="77777777" w:rsidR="0045050D" w:rsidRPr="0035706E" w:rsidRDefault="0045050D" w:rsidP="0045050D">
      <w:pPr>
        <w:pStyle w:val="Textoindependiente"/>
        <w:jc w:val="both"/>
        <w:rPr>
          <w:lang w:val="es-ES"/>
        </w:rPr>
      </w:pPr>
      <w:r w:rsidRPr="0035706E">
        <w:rPr>
          <w:lang w:val="es-ES"/>
        </w:rPr>
        <w:t xml:space="preserve">Estas condiciones determinan un precio de subasta único para cada participante ganador que no es mayor que su </w:t>
      </w:r>
      <w:r>
        <w:rPr>
          <w:lang w:val="es-ES"/>
        </w:rPr>
        <w:t>oferta económica</w:t>
      </w:r>
      <w:r w:rsidRPr="0035706E">
        <w:rPr>
          <w:lang w:val="es-ES"/>
        </w:rPr>
        <w:t xml:space="preserve"> ganadora y no es menor al precio de reserva por ese paquete. Finalmente, </w:t>
      </w:r>
      <w:r>
        <w:rPr>
          <w:lang w:val="es-ES"/>
        </w:rPr>
        <w:t>si los</w:t>
      </w:r>
      <w:r w:rsidRPr="0035706E">
        <w:rPr>
          <w:lang w:val="es-ES"/>
        </w:rPr>
        <w:t xml:space="preserve"> precios de subasta no son en </w:t>
      </w:r>
      <w:r>
        <w:rPr>
          <w:lang w:val="es-ES"/>
        </w:rPr>
        <w:t>miles de pesos</w:t>
      </w:r>
      <w:r w:rsidRPr="0035706E">
        <w:rPr>
          <w:lang w:val="es-ES"/>
        </w:rPr>
        <w:t>, se redondea</w:t>
      </w:r>
      <w:r>
        <w:rPr>
          <w:lang w:val="es-ES"/>
        </w:rPr>
        <w:t>rán</w:t>
      </w:r>
      <w:r w:rsidRPr="0035706E">
        <w:rPr>
          <w:lang w:val="es-ES"/>
        </w:rPr>
        <w:t xml:space="preserve"> a </w:t>
      </w:r>
      <w:r>
        <w:rPr>
          <w:lang w:val="es-ES"/>
        </w:rPr>
        <w:t>los miles de</w:t>
      </w:r>
      <w:r w:rsidRPr="0035706E">
        <w:rPr>
          <w:lang w:val="es-ES"/>
        </w:rPr>
        <w:t xml:space="preserve"> pesos más cercanos.</w:t>
      </w:r>
    </w:p>
    <w:p w14:paraId="228D9332" w14:textId="77777777" w:rsidR="0045050D" w:rsidRPr="0035706E" w:rsidRDefault="0045050D" w:rsidP="0045050D">
      <w:pPr>
        <w:pStyle w:val="Ttulo2"/>
        <w:jc w:val="both"/>
        <w:rPr>
          <w:lang w:val="es-ES"/>
        </w:rPr>
      </w:pPr>
      <w:bookmarkStart w:id="65" w:name="_Toc429397861"/>
      <w:bookmarkStart w:id="66" w:name="_Toc430281546"/>
      <w:r w:rsidRPr="0035706E">
        <w:rPr>
          <w:lang w:val="es-ES"/>
        </w:rPr>
        <w:t xml:space="preserve">Final de la </w:t>
      </w:r>
      <w:r>
        <w:rPr>
          <w:lang w:val="es-ES"/>
        </w:rPr>
        <w:t>Fase</w:t>
      </w:r>
      <w:r w:rsidRPr="0035706E">
        <w:rPr>
          <w:lang w:val="es-ES"/>
        </w:rPr>
        <w:t xml:space="preserve"> </w:t>
      </w:r>
      <w:bookmarkEnd w:id="65"/>
      <w:r>
        <w:rPr>
          <w:lang w:val="es-ES"/>
        </w:rPr>
        <w:t>Primaria</w:t>
      </w:r>
      <w:bookmarkEnd w:id="66"/>
    </w:p>
    <w:p w14:paraId="2C54A96D" w14:textId="77777777" w:rsidR="0045050D" w:rsidRPr="0035706E" w:rsidRDefault="0045050D" w:rsidP="0045050D">
      <w:pPr>
        <w:pStyle w:val="Textoindependiente"/>
        <w:jc w:val="both"/>
        <w:rPr>
          <w:lang w:val="es-ES"/>
        </w:rPr>
      </w:pPr>
      <w:r w:rsidRPr="0035706E">
        <w:rPr>
          <w:lang w:val="es-ES"/>
        </w:rPr>
        <w:t xml:space="preserve">Una vez que el </w:t>
      </w:r>
      <w:r>
        <w:rPr>
          <w:lang w:val="es-MX"/>
        </w:rPr>
        <w:t>Instituto</w:t>
      </w:r>
      <w:r w:rsidRPr="0035706E">
        <w:rPr>
          <w:lang w:val="es-ES"/>
        </w:rPr>
        <w:t xml:space="preserve"> haya determinado las </w:t>
      </w:r>
      <w:r>
        <w:rPr>
          <w:lang w:val="es-ES"/>
        </w:rPr>
        <w:t>ofertas económicas</w:t>
      </w:r>
      <w:r w:rsidRPr="0035706E">
        <w:rPr>
          <w:lang w:val="es-ES"/>
        </w:rPr>
        <w:t xml:space="preserve"> ganadoras y los precios de la subasta, cada </w:t>
      </w:r>
      <w:r>
        <w:rPr>
          <w:lang w:val="es-ES"/>
        </w:rPr>
        <w:t>P</w:t>
      </w:r>
      <w:r w:rsidRPr="0035706E">
        <w:rPr>
          <w:lang w:val="es-ES"/>
        </w:rPr>
        <w:t>articipante será informado acerca de su resultado, incluyendo:</w:t>
      </w:r>
    </w:p>
    <w:p w14:paraId="46F48048" w14:textId="77777777" w:rsidR="0045050D" w:rsidRPr="0035706E" w:rsidRDefault="0045050D" w:rsidP="0045050D">
      <w:pPr>
        <w:pStyle w:val="Textoindependiente"/>
        <w:numPr>
          <w:ilvl w:val="0"/>
          <w:numId w:val="37"/>
        </w:numPr>
        <w:jc w:val="both"/>
        <w:rPr>
          <w:lang w:val="es-ES"/>
        </w:rPr>
      </w:pPr>
      <w:r w:rsidRPr="0035706E">
        <w:rPr>
          <w:lang w:val="es-ES"/>
        </w:rPr>
        <w:t xml:space="preserve">El paquete de </w:t>
      </w:r>
      <w:r>
        <w:rPr>
          <w:lang w:val="es-ES"/>
        </w:rPr>
        <w:t>bloques</w:t>
      </w:r>
      <w:r w:rsidRPr="0035706E">
        <w:rPr>
          <w:lang w:val="es-ES"/>
        </w:rPr>
        <w:t xml:space="preserve"> que ha ganado, de existir alguno; y</w:t>
      </w:r>
    </w:p>
    <w:p w14:paraId="2CEA2126" w14:textId="77777777" w:rsidR="0045050D" w:rsidRPr="0035706E" w:rsidRDefault="0045050D" w:rsidP="0045050D">
      <w:pPr>
        <w:pStyle w:val="Textoindependiente"/>
        <w:numPr>
          <w:ilvl w:val="0"/>
          <w:numId w:val="37"/>
        </w:numPr>
        <w:jc w:val="both"/>
        <w:rPr>
          <w:lang w:val="es-ES"/>
        </w:rPr>
      </w:pPr>
      <w:r w:rsidRPr="0035706E">
        <w:rPr>
          <w:lang w:val="es-ES"/>
        </w:rPr>
        <w:t xml:space="preserve">El precio de subasta que aplique a su paquete ganador. </w:t>
      </w:r>
    </w:p>
    <w:p w14:paraId="2D068439" w14:textId="77777777" w:rsidR="0045050D" w:rsidRPr="00C00C5F" w:rsidRDefault="0045050D" w:rsidP="0045050D">
      <w:pPr>
        <w:pStyle w:val="Textoindependiente"/>
        <w:jc w:val="both"/>
        <w:rPr>
          <w:lang w:val="es-ES"/>
        </w:rPr>
      </w:pPr>
      <w:r w:rsidRPr="0035706E">
        <w:rPr>
          <w:lang w:val="es-ES"/>
        </w:rPr>
        <w:t xml:space="preserve">No se proveerá información acerca del resultado de la subasta de otros </w:t>
      </w:r>
      <w:r>
        <w:rPr>
          <w:lang w:val="es-ES"/>
        </w:rPr>
        <w:t>P</w:t>
      </w:r>
      <w:r w:rsidRPr="0035706E">
        <w:rPr>
          <w:lang w:val="es-ES"/>
        </w:rPr>
        <w:t xml:space="preserve">articipantes hasta que se finalice la </w:t>
      </w:r>
      <w:r>
        <w:rPr>
          <w:lang w:val="es-ES"/>
        </w:rPr>
        <w:t>Fase</w:t>
      </w:r>
      <w:r w:rsidRPr="0035706E">
        <w:rPr>
          <w:lang w:val="es-ES"/>
        </w:rPr>
        <w:t xml:space="preserve"> de Asignación.</w:t>
      </w:r>
    </w:p>
    <w:p w14:paraId="6E0B5B3E" w14:textId="77777777" w:rsidR="0045050D" w:rsidRPr="0035706E" w:rsidRDefault="0045050D" w:rsidP="0045050D">
      <w:pPr>
        <w:pStyle w:val="Ttulo1"/>
        <w:jc w:val="both"/>
        <w:rPr>
          <w:lang w:val="es-MX"/>
        </w:rPr>
      </w:pPr>
      <w:bookmarkStart w:id="67" w:name="_Toc429397862"/>
      <w:bookmarkStart w:id="68" w:name="_Ref429413189"/>
      <w:bookmarkStart w:id="69" w:name="_Toc429757211"/>
      <w:bookmarkStart w:id="70" w:name="_Toc430281547"/>
      <w:r>
        <w:rPr>
          <w:lang w:val="es-MX"/>
        </w:rPr>
        <w:t>Fase</w:t>
      </w:r>
      <w:r w:rsidRPr="0035706E">
        <w:rPr>
          <w:lang w:val="es-MX"/>
        </w:rPr>
        <w:t xml:space="preserve"> de Asignación</w:t>
      </w:r>
      <w:bookmarkEnd w:id="67"/>
      <w:bookmarkEnd w:id="68"/>
      <w:bookmarkEnd w:id="69"/>
      <w:bookmarkEnd w:id="70"/>
    </w:p>
    <w:p w14:paraId="44B83FE0" w14:textId="77777777" w:rsidR="0045050D" w:rsidRPr="0035706E" w:rsidRDefault="0045050D" w:rsidP="0045050D">
      <w:pPr>
        <w:pStyle w:val="Textoindependiente"/>
        <w:jc w:val="both"/>
        <w:rPr>
          <w:lang w:val="es-MX"/>
        </w:rPr>
      </w:pPr>
      <w:r w:rsidRPr="0035706E">
        <w:rPr>
          <w:lang w:val="es-MX"/>
        </w:rPr>
        <w:t xml:space="preserve">El objetivo de la </w:t>
      </w:r>
      <w:r>
        <w:rPr>
          <w:lang w:val="es-MX"/>
        </w:rPr>
        <w:t>fase</w:t>
      </w:r>
      <w:r w:rsidRPr="0035706E">
        <w:rPr>
          <w:lang w:val="es-MX"/>
        </w:rPr>
        <w:t xml:space="preserve"> de asignación es determinar las frecuencias específicas en cada una de las sub-bandas que se asignarán a los participantes. Dependiendo del resultado de la </w:t>
      </w:r>
      <w:r>
        <w:rPr>
          <w:lang w:val="es-MX"/>
        </w:rPr>
        <w:t>Fase</w:t>
      </w:r>
      <w:r w:rsidRPr="0035706E">
        <w:rPr>
          <w:lang w:val="es-MX"/>
        </w:rPr>
        <w:t xml:space="preserve"> Pri</w:t>
      </w:r>
      <w:r>
        <w:rPr>
          <w:lang w:val="es-MX"/>
        </w:rPr>
        <w:t>maria</w:t>
      </w:r>
      <w:r w:rsidRPr="0035706E">
        <w:rPr>
          <w:lang w:val="es-MX"/>
        </w:rPr>
        <w:t xml:space="preserve">, puede que sea necesario mover las </w:t>
      </w:r>
      <w:r>
        <w:rPr>
          <w:lang w:val="es-MX"/>
        </w:rPr>
        <w:t>concesiones</w:t>
      </w:r>
      <w:r w:rsidRPr="0035706E">
        <w:rPr>
          <w:lang w:val="es-MX"/>
        </w:rPr>
        <w:t xml:space="preserve"> de frecuencia AWS-1de los operadores ya establecidos que c</w:t>
      </w:r>
      <w:r>
        <w:rPr>
          <w:lang w:val="es-MX"/>
        </w:rPr>
        <w:t>alificaron</w:t>
      </w:r>
      <w:r w:rsidRPr="0035706E">
        <w:rPr>
          <w:lang w:val="es-MX"/>
        </w:rPr>
        <w:t xml:space="preserve"> para participar en la subasta.</w:t>
      </w:r>
    </w:p>
    <w:p w14:paraId="6B775302" w14:textId="77777777" w:rsidR="0045050D" w:rsidRPr="0035706E" w:rsidRDefault="0045050D" w:rsidP="0045050D">
      <w:pPr>
        <w:pStyle w:val="Textoindependiente"/>
        <w:jc w:val="both"/>
        <w:rPr>
          <w:lang w:val="es-ES"/>
        </w:rPr>
      </w:pPr>
      <w:r w:rsidRPr="0035706E">
        <w:rPr>
          <w:lang w:val="es-MX"/>
        </w:rPr>
        <w:t xml:space="preserve">Para asignar el espectro dentro de cada sub-banda se usa un proceso administrativo. </w:t>
      </w:r>
      <w:r w:rsidRPr="0035706E">
        <w:rPr>
          <w:lang w:val="es-ES"/>
        </w:rPr>
        <w:t>Las reglas del proceso se han diseñado para:</w:t>
      </w:r>
    </w:p>
    <w:p w14:paraId="5BB85D60" w14:textId="77777777" w:rsidR="0045050D" w:rsidRPr="0035706E" w:rsidRDefault="0045050D" w:rsidP="0045050D">
      <w:pPr>
        <w:pStyle w:val="Textoindependiente"/>
        <w:numPr>
          <w:ilvl w:val="0"/>
          <w:numId w:val="39"/>
        </w:numPr>
        <w:jc w:val="both"/>
        <w:rPr>
          <w:lang w:val="es-MX"/>
        </w:rPr>
      </w:pPr>
      <w:r w:rsidRPr="0035706E">
        <w:rPr>
          <w:lang w:val="es-MX"/>
        </w:rPr>
        <w:t>promover contigüidad en la asignación de espectro para cada operador dentro de la banda AWS-1, tanto como sea posible basándose en la participación de los operadores ya establecidos</w:t>
      </w:r>
      <w:r w:rsidRPr="00D23B9F">
        <w:rPr>
          <w:lang w:val="es-MX"/>
        </w:rPr>
        <w:t>;</w:t>
      </w:r>
    </w:p>
    <w:p w14:paraId="4AE30A36" w14:textId="77777777" w:rsidR="0045050D" w:rsidRPr="0035706E" w:rsidRDefault="0045050D" w:rsidP="0045050D">
      <w:pPr>
        <w:pStyle w:val="Textoindependiente"/>
        <w:numPr>
          <w:ilvl w:val="0"/>
          <w:numId w:val="39"/>
        </w:numPr>
        <w:jc w:val="both"/>
        <w:rPr>
          <w:lang w:val="es-MX"/>
        </w:rPr>
      </w:pPr>
      <w:r w:rsidRPr="0035706E">
        <w:rPr>
          <w:lang w:val="es-MX"/>
        </w:rPr>
        <w:t>garantizar contigüidad en la asignación de espectro para cada operador dentro de y entre las dos sub-bandas AWS-3;</w:t>
      </w:r>
    </w:p>
    <w:p w14:paraId="030B8766" w14:textId="77777777" w:rsidR="0045050D" w:rsidRPr="0035706E" w:rsidRDefault="0045050D" w:rsidP="0045050D">
      <w:pPr>
        <w:pStyle w:val="Textoindependiente"/>
        <w:numPr>
          <w:ilvl w:val="0"/>
          <w:numId w:val="39"/>
        </w:numPr>
        <w:jc w:val="both"/>
        <w:rPr>
          <w:lang w:val="es-MX"/>
        </w:rPr>
      </w:pPr>
      <w:r w:rsidRPr="0035706E">
        <w:rPr>
          <w:lang w:val="es-MX"/>
        </w:rPr>
        <w:t>promover contigüidad en la asignación de espectro entre las bandas AWS-1 y AWS-3 en un número limitado de casos;</w:t>
      </w:r>
    </w:p>
    <w:p w14:paraId="6C55F5FF" w14:textId="77777777" w:rsidR="0045050D" w:rsidRPr="0035706E" w:rsidRDefault="0045050D" w:rsidP="0045050D">
      <w:pPr>
        <w:pStyle w:val="Textoindependiente"/>
        <w:numPr>
          <w:ilvl w:val="0"/>
          <w:numId w:val="39"/>
        </w:numPr>
        <w:jc w:val="both"/>
        <w:rPr>
          <w:lang w:val="es-MX"/>
        </w:rPr>
      </w:pPr>
      <w:r w:rsidRPr="0035706E">
        <w:rPr>
          <w:lang w:val="es-MX"/>
        </w:rPr>
        <w:t xml:space="preserve">asegurar contigüidad en la asignación de los </w:t>
      </w:r>
      <w:r>
        <w:rPr>
          <w:lang w:val="es-MX"/>
        </w:rPr>
        <w:t>bloques</w:t>
      </w:r>
      <w:r w:rsidRPr="0035706E">
        <w:rPr>
          <w:lang w:val="es-MX"/>
        </w:rPr>
        <w:t xml:space="preserve"> no asignados dentro de las sub-bandas, si así es el caso; y </w:t>
      </w:r>
    </w:p>
    <w:p w14:paraId="38CB1C58" w14:textId="77777777" w:rsidR="0045050D" w:rsidRPr="0035706E" w:rsidRDefault="0045050D" w:rsidP="0045050D">
      <w:pPr>
        <w:pStyle w:val="Textoindependiente"/>
        <w:numPr>
          <w:ilvl w:val="0"/>
          <w:numId w:val="39"/>
        </w:numPr>
        <w:jc w:val="both"/>
        <w:rPr>
          <w:lang w:val="es-MX"/>
        </w:rPr>
      </w:pPr>
      <w:r w:rsidRPr="0035706E">
        <w:rPr>
          <w:lang w:val="es-MX"/>
        </w:rPr>
        <w:t xml:space="preserve">minimizar los </w:t>
      </w:r>
      <w:r>
        <w:rPr>
          <w:lang w:val="es-MX"/>
        </w:rPr>
        <w:t>movimientos</w:t>
      </w:r>
      <w:r w:rsidRPr="0035706E">
        <w:rPr>
          <w:lang w:val="es-MX"/>
        </w:rPr>
        <w:t xml:space="preserve"> para operadores existentes en la banda AWS-1 ostentando más de 2x5 MHz para mover sus tenencias de espectro.</w:t>
      </w:r>
    </w:p>
    <w:p w14:paraId="630B2B51" w14:textId="77777777" w:rsidR="0045050D" w:rsidRPr="0035706E" w:rsidRDefault="0045050D" w:rsidP="0045050D">
      <w:pPr>
        <w:pStyle w:val="Textoindependiente"/>
        <w:ind w:left="720"/>
        <w:jc w:val="both"/>
        <w:rPr>
          <w:lang w:val="es-ES"/>
        </w:rPr>
      </w:pPr>
    </w:p>
    <w:p w14:paraId="3E89A9FA" w14:textId="77777777" w:rsidR="0045050D" w:rsidRPr="0035706E" w:rsidRDefault="0045050D" w:rsidP="0045050D">
      <w:pPr>
        <w:pStyle w:val="Ttulo2"/>
        <w:jc w:val="both"/>
        <w:rPr>
          <w:lang w:val="es-MX"/>
        </w:rPr>
      </w:pPr>
      <w:bookmarkStart w:id="71" w:name="_Toc429397863"/>
      <w:bookmarkStart w:id="72" w:name="_Toc429757212"/>
      <w:bookmarkStart w:id="73" w:name="_Toc430281548"/>
      <w:r w:rsidRPr="0035706E">
        <w:rPr>
          <w:lang w:val="es-MX"/>
        </w:rPr>
        <w:t>Reglas de Asignación para el Escenario I</w:t>
      </w:r>
      <w:bookmarkEnd w:id="71"/>
      <w:bookmarkEnd w:id="72"/>
      <w:bookmarkEnd w:id="73"/>
    </w:p>
    <w:p w14:paraId="424AB6B5" w14:textId="77777777" w:rsidR="0045050D" w:rsidRPr="0035706E" w:rsidRDefault="0045050D" w:rsidP="0045050D">
      <w:pPr>
        <w:pStyle w:val="Textoindependiente"/>
        <w:jc w:val="both"/>
        <w:rPr>
          <w:lang w:val="es-MX"/>
        </w:rPr>
      </w:pPr>
      <w:r w:rsidRPr="0035706E">
        <w:rPr>
          <w:lang w:val="es-MX"/>
        </w:rPr>
        <w:t>Las frecuencias de la sub-banda AWS-1 se asignarán primero. Los siguientes pasos son aplicados para determinar la asignación de frecuencias específicas en la sub-banda AWS-1:</w:t>
      </w:r>
    </w:p>
    <w:p w14:paraId="47502441" w14:textId="77777777" w:rsidR="0045050D" w:rsidRPr="0035706E" w:rsidRDefault="0045050D" w:rsidP="0045050D">
      <w:pPr>
        <w:pStyle w:val="Textoindependiente"/>
        <w:numPr>
          <w:ilvl w:val="0"/>
          <w:numId w:val="40"/>
        </w:numPr>
        <w:jc w:val="both"/>
        <w:rPr>
          <w:lang w:val="es-MX"/>
        </w:rPr>
      </w:pPr>
      <w:r w:rsidRPr="0035706E">
        <w:rPr>
          <w:lang w:val="es-MX"/>
        </w:rPr>
        <w:t xml:space="preserve">Cualquier </w:t>
      </w:r>
      <w:r>
        <w:rPr>
          <w:lang w:val="es-MX"/>
        </w:rPr>
        <w:t>bloque</w:t>
      </w:r>
      <w:r w:rsidRPr="0035706E">
        <w:rPr>
          <w:lang w:val="es-MX"/>
        </w:rPr>
        <w:t xml:space="preserve"> no asignado será asignado a las frecuencias </w:t>
      </w:r>
      <w:r>
        <w:rPr>
          <w:lang w:val="es-MX"/>
        </w:rPr>
        <w:t>al principio</w:t>
      </w:r>
      <w:r w:rsidRPr="0035706E">
        <w:rPr>
          <w:lang w:val="es-MX"/>
        </w:rPr>
        <w:t xml:space="preserve"> de la banda.</w:t>
      </w:r>
    </w:p>
    <w:p w14:paraId="688BBE08" w14:textId="77777777" w:rsidR="0045050D" w:rsidRPr="00373F49" w:rsidRDefault="0045050D" w:rsidP="0045050D">
      <w:pPr>
        <w:pStyle w:val="Textoindependiente"/>
        <w:numPr>
          <w:ilvl w:val="0"/>
          <w:numId w:val="40"/>
        </w:numPr>
        <w:jc w:val="both"/>
        <w:rPr>
          <w:lang w:val="es-MX"/>
        </w:rPr>
      </w:pPr>
      <w:r w:rsidRPr="0035706E">
        <w:rPr>
          <w:lang w:val="es-MX"/>
        </w:rPr>
        <w:t xml:space="preserve">En el caso de que un nuevo participante gane uno o más lotes en la sub-banda AWS-1, todo ese espectro será contiguo y será asignado a las frecuencias más bajas de las restantes disponibles. Si más de un nuevo participante gana espectro, el primero a ser </w:t>
      </w:r>
      <w:r w:rsidRPr="00373F49">
        <w:rPr>
          <w:lang w:val="es-MX"/>
        </w:rPr>
        <w:t>asignado se determinará al azar.</w:t>
      </w:r>
    </w:p>
    <w:p w14:paraId="540632BD" w14:textId="77777777" w:rsidR="0045050D" w:rsidRPr="00373F49" w:rsidRDefault="0045050D" w:rsidP="0045050D">
      <w:pPr>
        <w:pStyle w:val="Textoindependiente"/>
        <w:numPr>
          <w:ilvl w:val="0"/>
          <w:numId w:val="40"/>
        </w:numPr>
        <w:jc w:val="both"/>
        <w:rPr>
          <w:lang w:val="es-MX"/>
        </w:rPr>
      </w:pPr>
      <w:r w:rsidRPr="00373F49">
        <w:rPr>
          <w:lang w:val="es-MX"/>
        </w:rPr>
        <w:t>En el</w:t>
      </w:r>
      <w:r w:rsidRPr="00A014E3">
        <w:rPr>
          <w:lang w:val="es-MX"/>
        </w:rPr>
        <w:t xml:space="preserve"> caso de que Telefónica gane uno o más </w:t>
      </w:r>
      <w:r>
        <w:rPr>
          <w:lang w:val="es-MX"/>
        </w:rPr>
        <w:t>bloques</w:t>
      </w:r>
      <w:r w:rsidRPr="00A014E3">
        <w:rPr>
          <w:lang w:val="es-MX"/>
        </w:rPr>
        <w:t xml:space="preserve"> en la sub-banda AWS-1, todo ese espectro será contiguo y será asignado a frecuencias con la siguiente posición en la banda:</w:t>
      </w:r>
    </w:p>
    <w:p w14:paraId="0CD563D7" w14:textId="77777777" w:rsidR="0045050D" w:rsidRPr="0035706E" w:rsidRDefault="0045050D" w:rsidP="0045050D">
      <w:pPr>
        <w:pStyle w:val="Textoindependiente"/>
        <w:numPr>
          <w:ilvl w:val="1"/>
          <w:numId w:val="40"/>
        </w:numPr>
        <w:jc w:val="both"/>
        <w:rPr>
          <w:lang w:val="es-MX"/>
        </w:rPr>
      </w:pPr>
      <w:r w:rsidRPr="0035706E">
        <w:rPr>
          <w:lang w:val="es-MX"/>
        </w:rPr>
        <w:t>Si gana sólo un lote AWS-1 y ningún lote AWS-3, dicho lote AWS-1 será posicionado adyacente a y entre las tenencias de Telcel y AT&amp;T.</w:t>
      </w:r>
    </w:p>
    <w:p w14:paraId="7163E726" w14:textId="77777777" w:rsidR="0045050D" w:rsidRPr="0035706E" w:rsidRDefault="0045050D" w:rsidP="0045050D">
      <w:pPr>
        <w:pStyle w:val="Textoindependiente"/>
        <w:numPr>
          <w:ilvl w:val="1"/>
          <w:numId w:val="40"/>
        </w:numPr>
        <w:jc w:val="both"/>
        <w:rPr>
          <w:lang w:val="es-MX"/>
        </w:rPr>
      </w:pPr>
      <w:r w:rsidRPr="0035706E">
        <w:rPr>
          <w:lang w:val="es-MX"/>
        </w:rPr>
        <w:t xml:space="preserve">Si gana sólo un lote AWS-1 y uno o más lotes AWS-3, dicho lote AWS-1será posicionado en la parte superior de la sub-banda, adyacente a la frontera con la </w:t>
      </w:r>
      <w:r>
        <w:rPr>
          <w:lang w:val="es-MX"/>
        </w:rPr>
        <w:t>sub-</w:t>
      </w:r>
      <w:r w:rsidRPr="0035706E">
        <w:rPr>
          <w:lang w:val="es-MX"/>
        </w:rPr>
        <w:t>banda AWS-3.</w:t>
      </w:r>
    </w:p>
    <w:p w14:paraId="20A797EA" w14:textId="77777777" w:rsidR="0045050D" w:rsidRPr="0035706E" w:rsidRDefault="0045050D" w:rsidP="0045050D">
      <w:pPr>
        <w:pStyle w:val="Textoindependiente"/>
        <w:numPr>
          <w:ilvl w:val="1"/>
          <w:numId w:val="40"/>
        </w:numPr>
        <w:jc w:val="both"/>
        <w:rPr>
          <w:lang w:val="es-MX"/>
        </w:rPr>
      </w:pPr>
      <w:r w:rsidRPr="0035706E">
        <w:rPr>
          <w:lang w:val="es-MX"/>
        </w:rPr>
        <w:t>Si gana dos o más lotes AWS-1 (independientemente del número de lotes AWS-3 que gane), dichos lotes AWS-1 se asignarán a las frecuencias más bajas de las restantes disponibles.</w:t>
      </w:r>
    </w:p>
    <w:p w14:paraId="587BB044" w14:textId="77777777" w:rsidR="0045050D" w:rsidRPr="0035706E" w:rsidRDefault="0045050D" w:rsidP="0045050D">
      <w:pPr>
        <w:pStyle w:val="Textoindependiente"/>
        <w:numPr>
          <w:ilvl w:val="0"/>
          <w:numId w:val="40"/>
        </w:numPr>
        <w:jc w:val="both"/>
        <w:rPr>
          <w:lang w:val="es-MX"/>
        </w:rPr>
      </w:pPr>
      <w:r w:rsidRPr="0035706E">
        <w:rPr>
          <w:lang w:val="es-MX"/>
        </w:rPr>
        <w:t>A AT&amp;T se le asignarán las frecuencias más altas de las restantes disponibles. Se le otorgarán siempre frecuencias contiguas, incluyendo tanto sus tenencias existentes como cualquier lote AWS-1 adicional ganado en la subasta.</w:t>
      </w:r>
    </w:p>
    <w:p w14:paraId="1C260CC1" w14:textId="77777777" w:rsidR="0045050D" w:rsidRPr="0035706E" w:rsidRDefault="0045050D" w:rsidP="0045050D">
      <w:pPr>
        <w:pStyle w:val="Prrafodelista"/>
        <w:numPr>
          <w:ilvl w:val="0"/>
          <w:numId w:val="40"/>
        </w:numPr>
        <w:jc w:val="both"/>
        <w:rPr>
          <w:lang w:val="es-MX"/>
        </w:rPr>
      </w:pPr>
      <w:r w:rsidRPr="0035706E">
        <w:rPr>
          <w:lang w:val="es-MX"/>
        </w:rPr>
        <w:t xml:space="preserve">A Telcel se le asignarán las frecuencias restantes. Se le otorgarán siempre frecuencias contiguas, incluyendo tanto sus tenencias existentes como cualquier </w:t>
      </w:r>
      <w:r>
        <w:rPr>
          <w:lang w:val="es-MX"/>
        </w:rPr>
        <w:t>bloque</w:t>
      </w:r>
      <w:r w:rsidRPr="0035706E">
        <w:rPr>
          <w:lang w:val="es-MX"/>
        </w:rPr>
        <w:t xml:space="preserve"> AWS-1 adicional ganado en la subasta.</w:t>
      </w:r>
    </w:p>
    <w:p w14:paraId="7AC3F8BD" w14:textId="77777777" w:rsidR="0045050D" w:rsidRPr="0035706E" w:rsidRDefault="0045050D" w:rsidP="0045050D">
      <w:pPr>
        <w:pStyle w:val="Textoindependiente"/>
        <w:jc w:val="both"/>
        <w:rPr>
          <w:lang w:val="es-ES"/>
        </w:rPr>
      </w:pPr>
      <w:r w:rsidRPr="0035706E">
        <w:rPr>
          <w:lang w:val="es-ES"/>
        </w:rPr>
        <w:t>Las frecuencias AWS-3 se asignarán después de haber determinado la asignación de la frecuencia AWS-1. Se aplicarán los siguientes pasos:</w:t>
      </w:r>
    </w:p>
    <w:p w14:paraId="4B2A6671" w14:textId="77777777" w:rsidR="0045050D" w:rsidRPr="0035706E" w:rsidRDefault="0045050D" w:rsidP="0045050D">
      <w:pPr>
        <w:pStyle w:val="Textoindependiente"/>
        <w:numPr>
          <w:ilvl w:val="0"/>
          <w:numId w:val="41"/>
        </w:numPr>
        <w:jc w:val="both"/>
        <w:rPr>
          <w:lang w:val="es-MX"/>
        </w:rPr>
      </w:pPr>
      <w:r w:rsidRPr="0035706E">
        <w:rPr>
          <w:lang w:val="es-MX"/>
        </w:rPr>
        <w:t xml:space="preserve">Si existe un </w:t>
      </w:r>
      <w:r>
        <w:rPr>
          <w:lang w:val="es-MX"/>
        </w:rPr>
        <w:t>Participante G</w:t>
      </w:r>
      <w:r w:rsidRPr="0035706E">
        <w:rPr>
          <w:lang w:val="es-MX"/>
        </w:rPr>
        <w:t xml:space="preserve">anador de los dos </w:t>
      </w:r>
      <w:r>
        <w:rPr>
          <w:lang w:val="es-MX"/>
        </w:rPr>
        <w:t>bloques</w:t>
      </w:r>
      <w:r w:rsidRPr="0035706E">
        <w:rPr>
          <w:lang w:val="es-MX"/>
        </w:rPr>
        <w:t xml:space="preserve"> J, se asignarán las correspondientes frecuencias a dicho </w:t>
      </w:r>
      <w:r>
        <w:rPr>
          <w:lang w:val="es-MX"/>
        </w:rPr>
        <w:t>P</w:t>
      </w:r>
      <w:r w:rsidRPr="0035706E">
        <w:rPr>
          <w:lang w:val="es-MX"/>
        </w:rPr>
        <w:t>articipante.</w:t>
      </w:r>
    </w:p>
    <w:p w14:paraId="34A8D997" w14:textId="77777777" w:rsidR="0045050D" w:rsidRPr="0035706E" w:rsidRDefault="0045050D" w:rsidP="0045050D">
      <w:pPr>
        <w:pStyle w:val="Textoindependiente"/>
        <w:numPr>
          <w:ilvl w:val="0"/>
          <w:numId w:val="41"/>
        </w:numPr>
        <w:jc w:val="both"/>
        <w:rPr>
          <w:lang w:val="es-MX"/>
        </w:rPr>
      </w:pPr>
      <w:r w:rsidRPr="0035706E">
        <w:rPr>
          <w:lang w:val="es-MX"/>
        </w:rPr>
        <w:t>La asignación de las frecuencias en la categoría G será determinada usando los siguientes pasos:</w:t>
      </w:r>
    </w:p>
    <w:p w14:paraId="4CB035D8" w14:textId="77777777" w:rsidR="0045050D" w:rsidRPr="0035706E" w:rsidRDefault="0045050D" w:rsidP="0045050D">
      <w:pPr>
        <w:pStyle w:val="Textoindependiente"/>
        <w:numPr>
          <w:ilvl w:val="1"/>
          <w:numId w:val="41"/>
        </w:numPr>
        <w:jc w:val="both"/>
        <w:rPr>
          <w:lang w:val="es-MX"/>
        </w:rPr>
      </w:pPr>
      <w:r w:rsidRPr="0035706E">
        <w:rPr>
          <w:lang w:val="es-MX"/>
        </w:rPr>
        <w:t xml:space="preserve">Si existe un </w:t>
      </w:r>
      <w:r>
        <w:rPr>
          <w:lang w:val="es-MX"/>
        </w:rPr>
        <w:t>P</w:t>
      </w:r>
      <w:r w:rsidRPr="0035706E">
        <w:rPr>
          <w:lang w:val="es-MX"/>
        </w:rPr>
        <w:t xml:space="preserve">articipante que ganó uno o más </w:t>
      </w:r>
      <w:r>
        <w:rPr>
          <w:lang w:val="es-MX"/>
        </w:rPr>
        <w:t>bloques</w:t>
      </w:r>
      <w:r w:rsidRPr="0035706E">
        <w:rPr>
          <w:lang w:val="es-MX"/>
        </w:rPr>
        <w:t xml:space="preserve"> G y también ganó </w:t>
      </w:r>
      <w:r>
        <w:rPr>
          <w:lang w:val="es-MX"/>
        </w:rPr>
        <w:t>bloques</w:t>
      </w:r>
      <w:r w:rsidRPr="0035706E">
        <w:rPr>
          <w:lang w:val="es-MX"/>
        </w:rPr>
        <w:t xml:space="preserve"> J, se le asignarán frecuencias inmediatamente debajo y adyacentes a los </w:t>
      </w:r>
      <w:r>
        <w:rPr>
          <w:lang w:val="es-MX"/>
        </w:rPr>
        <w:t>bloques</w:t>
      </w:r>
      <w:r w:rsidRPr="0035706E">
        <w:rPr>
          <w:lang w:val="es-MX"/>
        </w:rPr>
        <w:t xml:space="preserve"> J</w:t>
      </w:r>
      <w:r>
        <w:rPr>
          <w:lang w:val="es-MX"/>
        </w:rPr>
        <w:t>.</w:t>
      </w:r>
    </w:p>
    <w:p w14:paraId="1F0E7DF5" w14:textId="77777777" w:rsidR="0045050D" w:rsidRPr="0035706E" w:rsidRDefault="0045050D" w:rsidP="0045050D">
      <w:pPr>
        <w:pStyle w:val="Textoindependiente"/>
        <w:numPr>
          <w:ilvl w:val="1"/>
          <w:numId w:val="41"/>
        </w:numPr>
        <w:jc w:val="both"/>
        <w:rPr>
          <w:lang w:val="es-MX"/>
        </w:rPr>
      </w:pPr>
      <w:r w:rsidRPr="0035706E">
        <w:rPr>
          <w:lang w:val="es-MX"/>
        </w:rPr>
        <w:t xml:space="preserve">Si existe un participante restante que ganó uno o más </w:t>
      </w:r>
      <w:r>
        <w:rPr>
          <w:lang w:val="es-MX"/>
        </w:rPr>
        <w:t>bloques</w:t>
      </w:r>
      <w:r w:rsidRPr="0035706E">
        <w:rPr>
          <w:lang w:val="es-MX"/>
        </w:rPr>
        <w:t xml:space="preserve"> G y además ha sido asignado al extremo de arriba de la sub-banda AWS-1, se le asignarán frecuencias en la parte inferior de la banda inmediatamente encima y adyacente a la sub-banda AWS-1.</w:t>
      </w:r>
    </w:p>
    <w:p w14:paraId="0A02D55B" w14:textId="77777777" w:rsidR="0045050D" w:rsidRPr="00A014E3" w:rsidRDefault="0045050D" w:rsidP="0045050D">
      <w:pPr>
        <w:pStyle w:val="Textoindependiente"/>
        <w:numPr>
          <w:ilvl w:val="1"/>
          <w:numId w:val="41"/>
        </w:numPr>
        <w:jc w:val="both"/>
        <w:rPr>
          <w:lang w:val="es-ES"/>
        </w:rPr>
      </w:pPr>
      <w:r w:rsidRPr="0035706E">
        <w:rPr>
          <w:lang w:val="es-MX"/>
        </w:rPr>
        <w:t xml:space="preserve">Si quedan </w:t>
      </w:r>
      <w:r>
        <w:rPr>
          <w:lang w:val="es-MX"/>
        </w:rPr>
        <w:t>P</w:t>
      </w:r>
      <w:r w:rsidRPr="0035706E">
        <w:rPr>
          <w:lang w:val="es-MX"/>
        </w:rPr>
        <w:t xml:space="preserve">articipantes por distribuir, se les asignarán las frecuencias restantes. Si hay alguna ambigüedad sobre su posición, ya sea porque haya más de un ganador restante o porque haya uno o más </w:t>
      </w:r>
      <w:r>
        <w:rPr>
          <w:lang w:val="es-MX"/>
        </w:rPr>
        <w:t>bloques</w:t>
      </w:r>
      <w:r w:rsidRPr="0035706E">
        <w:rPr>
          <w:lang w:val="es-MX"/>
        </w:rPr>
        <w:t xml:space="preserve"> por distribuir, la asignación se hará de manera aleatoria.</w:t>
      </w:r>
    </w:p>
    <w:p w14:paraId="29BFC420" w14:textId="77777777" w:rsidR="0045050D" w:rsidRPr="0035706E" w:rsidRDefault="0045050D" w:rsidP="0045050D">
      <w:pPr>
        <w:pStyle w:val="Ttulo2"/>
        <w:jc w:val="both"/>
        <w:rPr>
          <w:lang w:val="es-MX"/>
        </w:rPr>
      </w:pPr>
      <w:bookmarkStart w:id="74" w:name="_Toc429397864"/>
      <w:bookmarkStart w:id="75" w:name="_Toc429757213"/>
      <w:bookmarkStart w:id="76" w:name="_Toc430281549"/>
      <w:r w:rsidRPr="0035706E">
        <w:rPr>
          <w:lang w:val="es-MX"/>
        </w:rPr>
        <w:t>Reglas de Asignación para el Escenario II</w:t>
      </w:r>
      <w:bookmarkEnd w:id="74"/>
      <w:bookmarkEnd w:id="75"/>
      <w:bookmarkEnd w:id="76"/>
    </w:p>
    <w:p w14:paraId="3CD3BEB7" w14:textId="77777777" w:rsidR="0045050D" w:rsidRPr="0035706E" w:rsidRDefault="0045050D" w:rsidP="0045050D">
      <w:pPr>
        <w:pStyle w:val="Textoindependiente"/>
        <w:jc w:val="both"/>
        <w:rPr>
          <w:lang w:val="es-MX"/>
        </w:rPr>
      </w:pPr>
      <w:r w:rsidRPr="0035706E">
        <w:rPr>
          <w:lang w:val="es-MX"/>
        </w:rPr>
        <w:t xml:space="preserve">En el evento de que uno o más operadores existentes en AWS-1 no estén </w:t>
      </w:r>
      <w:r>
        <w:rPr>
          <w:lang w:val="es-MX"/>
        </w:rPr>
        <w:t>calificados</w:t>
      </w:r>
      <w:r w:rsidRPr="0035706E">
        <w:rPr>
          <w:lang w:val="es-MX"/>
        </w:rPr>
        <w:t xml:space="preserve"> para participar en la subasta, entonces sus asignaciones de frecuencia existentes no se cambiarán. En este caso, puede que se necesiten algunos cambios a las reglas de asignación por AWS-1, y que no sea posible asignar frecuencias contiguas a todos los participantes ganadores.</w:t>
      </w:r>
    </w:p>
    <w:p w14:paraId="22484A13" w14:textId="77777777" w:rsidR="0045050D" w:rsidRPr="0035706E" w:rsidRDefault="0045050D" w:rsidP="0045050D">
      <w:pPr>
        <w:pStyle w:val="Textoindependiente"/>
        <w:jc w:val="both"/>
        <w:rPr>
          <w:lang w:val="en-US"/>
        </w:rPr>
      </w:pPr>
      <w:r w:rsidRPr="0035706E">
        <w:rPr>
          <w:lang w:val="es-MX"/>
        </w:rPr>
        <w:t>En concreto</w:t>
      </w:r>
      <w:r w:rsidRPr="0035706E">
        <w:rPr>
          <w:lang w:val="en-US"/>
        </w:rPr>
        <w:t>:</w:t>
      </w:r>
    </w:p>
    <w:p w14:paraId="4A4E7B57" w14:textId="77777777" w:rsidR="0045050D" w:rsidRPr="0035706E" w:rsidRDefault="0045050D" w:rsidP="0045050D">
      <w:pPr>
        <w:pStyle w:val="Textoindependiente"/>
        <w:numPr>
          <w:ilvl w:val="0"/>
          <w:numId w:val="42"/>
        </w:numPr>
        <w:jc w:val="both"/>
        <w:rPr>
          <w:lang w:val="es-MX"/>
        </w:rPr>
      </w:pPr>
      <w:r w:rsidRPr="0035706E">
        <w:rPr>
          <w:lang w:val="es-MX"/>
        </w:rPr>
        <w:t xml:space="preserve">Si </w:t>
      </w:r>
      <w:r w:rsidRPr="0035706E">
        <w:rPr>
          <w:i/>
          <w:lang w:val="es-MX"/>
        </w:rPr>
        <w:t xml:space="preserve">AT&amp;T no está </w:t>
      </w:r>
      <w:r>
        <w:rPr>
          <w:i/>
          <w:lang w:val="es-MX"/>
        </w:rPr>
        <w:t>calificado</w:t>
      </w:r>
      <w:r w:rsidRPr="0035706E">
        <w:rPr>
          <w:i/>
          <w:lang w:val="es-MX"/>
        </w:rPr>
        <w:t xml:space="preserve"> para participar</w:t>
      </w:r>
      <w:r w:rsidRPr="0035706E">
        <w:rPr>
          <w:lang w:val="es-MX"/>
        </w:rPr>
        <w:t xml:space="preserve">, la opción de ubicar Telefónica </w:t>
      </w:r>
      <w:r>
        <w:rPr>
          <w:lang w:val="es-MX"/>
        </w:rPr>
        <w:t>arriba</w:t>
      </w:r>
      <w:r w:rsidRPr="0035706E">
        <w:rPr>
          <w:lang w:val="es-MX"/>
        </w:rPr>
        <w:t xml:space="preserve"> de ellos en la parte superior de la sub-banda AWS-1 no estará disponible. Esto es relevante únicamente en el caso de que Telefónica gane un lote AWS-1 y uno o más lotes AWS-3. En este caso particular, el espectro AWS-1 de Telefónica se posicionaría en vez adyacente a y entre las </w:t>
      </w:r>
      <w:r>
        <w:rPr>
          <w:lang w:val="es-MX"/>
        </w:rPr>
        <w:t>concesiones</w:t>
      </w:r>
      <w:r w:rsidRPr="0035706E">
        <w:rPr>
          <w:lang w:val="es-MX"/>
        </w:rPr>
        <w:t xml:space="preserve"> de Telcel y AT&amp;T dentro de la sub-banda AWS-1.</w:t>
      </w:r>
    </w:p>
    <w:p w14:paraId="3FDE9A89" w14:textId="77777777" w:rsidR="0045050D" w:rsidRPr="0035706E" w:rsidRDefault="0045050D" w:rsidP="0045050D">
      <w:pPr>
        <w:pStyle w:val="Textoindependiente"/>
        <w:numPr>
          <w:ilvl w:val="0"/>
          <w:numId w:val="42"/>
        </w:numPr>
        <w:jc w:val="both"/>
        <w:rPr>
          <w:lang w:val="es-MX"/>
        </w:rPr>
      </w:pPr>
      <w:r w:rsidRPr="0035706E">
        <w:rPr>
          <w:lang w:val="es-MX"/>
        </w:rPr>
        <w:t xml:space="preserve">Si </w:t>
      </w:r>
      <w:r w:rsidRPr="0035706E">
        <w:rPr>
          <w:i/>
          <w:lang w:val="es-MX"/>
        </w:rPr>
        <w:t>Telefónica no está calificada para participar</w:t>
      </w:r>
      <w:r w:rsidRPr="0035706E">
        <w:rPr>
          <w:lang w:val="es-MX"/>
        </w:rPr>
        <w:t xml:space="preserve">, no será posible otorgar espectro AWS-1 adicional a AT&amp;T que sea contiguo con sus </w:t>
      </w:r>
      <w:r>
        <w:rPr>
          <w:lang w:val="es-MX"/>
        </w:rPr>
        <w:t>concesiones</w:t>
      </w:r>
      <w:r w:rsidRPr="0035706E">
        <w:rPr>
          <w:lang w:val="es-MX"/>
        </w:rPr>
        <w:t xml:space="preserve"> existentes. En este caso, las </w:t>
      </w:r>
      <w:r>
        <w:rPr>
          <w:lang w:val="es-MX"/>
        </w:rPr>
        <w:t>concesiones</w:t>
      </w:r>
      <w:r w:rsidRPr="0035706E">
        <w:rPr>
          <w:lang w:val="es-MX"/>
        </w:rPr>
        <w:t xml:space="preserve"> existentes de AT&amp;T no se moverán, y cualquier nuevo </w:t>
      </w:r>
      <w:r>
        <w:rPr>
          <w:lang w:val="es-MX"/>
        </w:rPr>
        <w:t>bloque</w:t>
      </w:r>
      <w:r w:rsidRPr="0035706E">
        <w:rPr>
          <w:lang w:val="es-MX"/>
        </w:rPr>
        <w:t xml:space="preserve"> AWS-1 se asignará a las frecuencias restantes más bajas después de haber posicionado cualquier </w:t>
      </w:r>
      <w:r>
        <w:rPr>
          <w:lang w:val="es-MX"/>
        </w:rPr>
        <w:t>bloque</w:t>
      </w:r>
      <w:r w:rsidRPr="0035706E">
        <w:rPr>
          <w:lang w:val="es-MX"/>
        </w:rPr>
        <w:t xml:space="preserve"> no asignado y los nuevos </w:t>
      </w:r>
      <w:r>
        <w:rPr>
          <w:lang w:val="es-MX"/>
        </w:rPr>
        <w:t>P</w:t>
      </w:r>
      <w:r w:rsidRPr="0035706E">
        <w:rPr>
          <w:lang w:val="es-MX"/>
        </w:rPr>
        <w:t xml:space="preserve">articipantes </w:t>
      </w:r>
      <w:r>
        <w:rPr>
          <w:lang w:val="es-MX"/>
        </w:rPr>
        <w:t>G</w:t>
      </w:r>
      <w:r w:rsidRPr="0035706E">
        <w:rPr>
          <w:lang w:val="es-MX"/>
        </w:rPr>
        <w:t>anadores.</w:t>
      </w:r>
    </w:p>
    <w:p w14:paraId="59DB631E" w14:textId="77777777" w:rsidR="0045050D" w:rsidRPr="0035706E" w:rsidRDefault="0045050D" w:rsidP="0045050D">
      <w:pPr>
        <w:pStyle w:val="Textoindependiente"/>
        <w:numPr>
          <w:ilvl w:val="0"/>
          <w:numId w:val="42"/>
        </w:numPr>
        <w:jc w:val="both"/>
        <w:rPr>
          <w:lang w:val="es-MX"/>
        </w:rPr>
      </w:pPr>
      <w:r w:rsidRPr="0035706E">
        <w:rPr>
          <w:lang w:val="es-MX"/>
        </w:rPr>
        <w:t xml:space="preserve">Si </w:t>
      </w:r>
      <w:r w:rsidRPr="0035706E">
        <w:rPr>
          <w:i/>
          <w:lang w:val="es-MX"/>
        </w:rPr>
        <w:t>Telcel no está calificado para participar</w:t>
      </w:r>
      <w:r w:rsidRPr="0035706E">
        <w:rPr>
          <w:lang w:val="es-MX"/>
        </w:rPr>
        <w:t xml:space="preserve">, no será posible mover ninguna tenencia existente. Como se indicó anteriormente, cualquier </w:t>
      </w:r>
      <w:r>
        <w:rPr>
          <w:lang w:val="es-MX"/>
        </w:rPr>
        <w:t>bloque</w:t>
      </w:r>
      <w:r w:rsidRPr="0035706E">
        <w:rPr>
          <w:lang w:val="es-MX"/>
        </w:rPr>
        <w:t xml:space="preserve"> no distribuido sería asignado al fondo de la banda. A los </w:t>
      </w:r>
      <w:r>
        <w:rPr>
          <w:lang w:val="es-MX"/>
        </w:rPr>
        <w:t>P</w:t>
      </w:r>
      <w:r w:rsidRPr="0035706E">
        <w:rPr>
          <w:lang w:val="es-MX"/>
        </w:rPr>
        <w:t xml:space="preserve">articipantes </w:t>
      </w:r>
      <w:r>
        <w:rPr>
          <w:lang w:val="es-MX"/>
        </w:rPr>
        <w:t>G</w:t>
      </w:r>
      <w:r w:rsidRPr="0035706E">
        <w:rPr>
          <w:lang w:val="es-MX"/>
        </w:rPr>
        <w:t xml:space="preserve">anadores restantes se les asignarían los lotes restantes al fondo de la banda. Si hay dos o más </w:t>
      </w:r>
      <w:r>
        <w:rPr>
          <w:lang w:val="es-MX"/>
        </w:rPr>
        <w:t>P</w:t>
      </w:r>
      <w:r w:rsidRPr="0035706E">
        <w:rPr>
          <w:lang w:val="es-MX"/>
        </w:rPr>
        <w:t xml:space="preserve">articipantes </w:t>
      </w:r>
      <w:r>
        <w:rPr>
          <w:lang w:val="es-MX"/>
        </w:rPr>
        <w:t>G</w:t>
      </w:r>
      <w:r w:rsidRPr="0035706E">
        <w:rPr>
          <w:lang w:val="es-MX"/>
        </w:rPr>
        <w:t>anadores, sus asignaciones de frecuencia específicas se determinarían de forma aleatoria.</w:t>
      </w:r>
    </w:p>
    <w:p w14:paraId="50765E93" w14:textId="77777777" w:rsidR="0045050D" w:rsidRPr="0035706E" w:rsidRDefault="0045050D" w:rsidP="0045050D">
      <w:pPr>
        <w:pStyle w:val="Textoindependiente"/>
        <w:jc w:val="both"/>
        <w:rPr>
          <w:lang w:val="es-MX"/>
        </w:rPr>
      </w:pPr>
      <w:r w:rsidRPr="0035706E">
        <w:rPr>
          <w:lang w:val="es-MX"/>
        </w:rPr>
        <w:t>Las reglas de asignación para el espectro AWS-3 son las mismas que en el Escenario I, ya que estas reglas no están afectadas por la no-participación de los participantes ya existentes.</w:t>
      </w:r>
    </w:p>
    <w:p w14:paraId="6816FDB9" w14:textId="77777777" w:rsidR="0045050D" w:rsidRPr="00C00C5F" w:rsidRDefault="0045050D" w:rsidP="0045050D">
      <w:pPr>
        <w:pStyle w:val="Textoindependiente"/>
        <w:jc w:val="both"/>
        <w:rPr>
          <w:lang w:val="es-ES"/>
        </w:rPr>
      </w:pPr>
      <w:r w:rsidRPr="0035706E">
        <w:rPr>
          <w:lang w:val="es-MX"/>
        </w:rPr>
        <w:t xml:space="preserve">Se espera que el proceso de determinación de posiciones de asignación dure un día </w:t>
      </w:r>
      <w:r>
        <w:rPr>
          <w:lang w:val="es-MX"/>
        </w:rPr>
        <w:t>hábil</w:t>
      </w:r>
      <w:r w:rsidRPr="0035706E">
        <w:rPr>
          <w:lang w:val="es-MX"/>
        </w:rPr>
        <w:t xml:space="preserve"> como máximo, aunque el </w:t>
      </w:r>
      <w:r>
        <w:rPr>
          <w:lang w:val="es-MX"/>
        </w:rPr>
        <w:t>Instituto</w:t>
      </w:r>
      <w:r w:rsidRPr="0035706E">
        <w:rPr>
          <w:lang w:val="es-MX"/>
        </w:rPr>
        <w:t xml:space="preserve"> </w:t>
      </w:r>
      <w:r>
        <w:rPr>
          <w:lang w:val="es-MX"/>
        </w:rPr>
        <w:t>podrá</w:t>
      </w:r>
      <w:r w:rsidRPr="0035706E">
        <w:rPr>
          <w:lang w:val="es-MX"/>
        </w:rPr>
        <w:t xml:space="preserve"> decidir tomar más tiempo si </w:t>
      </w:r>
      <w:r>
        <w:rPr>
          <w:lang w:val="es-MX"/>
        </w:rPr>
        <w:t>se considera</w:t>
      </w:r>
      <w:r w:rsidRPr="0035706E">
        <w:rPr>
          <w:lang w:val="es-MX"/>
        </w:rPr>
        <w:t xml:space="preserve"> necesario.</w:t>
      </w:r>
    </w:p>
    <w:p w14:paraId="5510979E" w14:textId="77777777" w:rsidR="0045050D" w:rsidRPr="008E0CC3" w:rsidRDefault="0045050D" w:rsidP="0045050D">
      <w:pPr>
        <w:pStyle w:val="Ttulo2"/>
        <w:jc w:val="both"/>
        <w:rPr>
          <w:lang w:val="es-MX"/>
        </w:rPr>
      </w:pPr>
      <w:bookmarkStart w:id="77" w:name="_Toc429757214"/>
      <w:bookmarkStart w:id="78" w:name="_Toc430281550"/>
      <w:r>
        <w:rPr>
          <w:lang w:val="es-ES"/>
        </w:rPr>
        <w:t>Contraprestación</w:t>
      </w:r>
      <w:r w:rsidRPr="0035706E">
        <w:rPr>
          <w:lang w:val="es-ES"/>
        </w:rPr>
        <w:t xml:space="preserve"> a pagar por los </w:t>
      </w:r>
      <w:r>
        <w:rPr>
          <w:lang w:val="es-ES"/>
        </w:rPr>
        <w:t>P</w:t>
      </w:r>
      <w:r w:rsidRPr="0035706E">
        <w:rPr>
          <w:lang w:val="es-ES"/>
        </w:rPr>
        <w:t xml:space="preserve">articipantes </w:t>
      </w:r>
      <w:bookmarkEnd w:id="77"/>
      <w:r>
        <w:rPr>
          <w:lang w:val="es-ES"/>
        </w:rPr>
        <w:t>G</w:t>
      </w:r>
      <w:r w:rsidRPr="0035706E">
        <w:rPr>
          <w:lang w:val="es-ES"/>
        </w:rPr>
        <w:t>anadores</w:t>
      </w:r>
      <w:bookmarkEnd w:id="78"/>
    </w:p>
    <w:p w14:paraId="78957A70" w14:textId="77777777" w:rsidR="0045050D" w:rsidRPr="0035706E" w:rsidRDefault="0045050D" w:rsidP="0045050D">
      <w:pPr>
        <w:pStyle w:val="Textoindependiente"/>
        <w:jc w:val="both"/>
        <w:rPr>
          <w:lang w:val="es-MX"/>
        </w:rPr>
      </w:pPr>
      <w:r w:rsidRPr="0035706E">
        <w:rPr>
          <w:lang w:val="es-MX"/>
        </w:rPr>
        <w:t xml:space="preserve">Paralelamente con la determinación del resultado de la asignación, el </w:t>
      </w:r>
      <w:r>
        <w:rPr>
          <w:lang w:val="es-MX"/>
        </w:rPr>
        <w:t>Instituto</w:t>
      </w:r>
      <w:r w:rsidRPr="0035706E">
        <w:rPr>
          <w:lang w:val="es-MX"/>
        </w:rPr>
        <w:t xml:space="preserve"> calculará el monto de</w:t>
      </w:r>
      <w:r>
        <w:rPr>
          <w:lang w:val="es-MX"/>
        </w:rPr>
        <w:t xml:space="preserve"> </w:t>
      </w:r>
      <w:r w:rsidRPr="0035706E">
        <w:rPr>
          <w:lang w:val="es-MX"/>
        </w:rPr>
        <w:t>l</w:t>
      </w:r>
      <w:r>
        <w:rPr>
          <w:lang w:val="es-MX"/>
        </w:rPr>
        <w:t>a</w:t>
      </w:r>
      <w:r w:rsidRPr="0035706E">
        <w:rPr>
          <w:lang w:val="es-MX"/>
        </w:rPr>
        <w:t xml:space="preserve"> </w:t>
      </w:r>
      <w:r>
        <w:rPr>
          <w:lang w:val="es-MX"/>
        </w:rPr>
        <w:t xml:space="preserve">contraprestación a </w:t>
      </w:r>
      <w:r w:rsidRPr="0035706E">
        <w:rPr>
          <w:lang w:val="es-MX"/>
        </w:rPr>
        <w:t xml:space="preserve">ser pagado por cada </w:t>
      </w:r>
      <w:r>
        <w:rPr>
          <w:lang w:val="es-MX"/>
        </w:rPr>
        <w:t>P</w:t>
      </w:r>
      <w:r w:rsidRPr="0035706E">
        <w:rPr>
          <w:lang w:val="es-MX"/>
        </w:rPr>
        <w:t xml:space="preserve">articipante </w:t>
      </w:r>
      <w:r>
        <w:rPr>
          <w:lang w:val="es-MX"/>
        </w:rPr>
        <w:t>G</w:t>
      </w:r>
      <w:r w:rsidRPr="0035706E">
        <w:rPr>
          <w:lang w:val="es-MX"/>
        </w:rPr>
        <w:t>anador:</w:t>
      </w:r>
    </w:p>
    <w:p w14:paraId="19870610" w14:textId="77777777" w:rsidR="0045050D" w:rsidRPr="0035706E" w:rsidRDefault="0045050D" w:rsidP="0045050D">
      <w:pPr>
        <w:pStyle w:val="Textoindependiente"/>
        <w:numPr>
          <w:ilvl w:val="0"/>
          <w:numId w:val="43"/>
        </w:numPr>
        <w:jc w:val="both"/>
        <w:rPr>
          <w:lang w:val="es-MX"/>
        </w:rPr>
      </w:pPr>
      <w:r w:rsidRPr="0035706E">
        <w:rPr>
          <w:lang w:val="es-MX"/>
        </w:rPr>
        <w:t xml:space="preserve">En el Escenario I, </w:t>
      </w:r>
      <w:r>
        <w:rPr>
          <w:lang w:val="es-MX"/>
        </w:rPr>
        <w:t xml:space="preserve">la contraprestación </w:t>
      </w:r>
      <w:r w:rsidRPr="0035706E">
        <w:rPr>
          <w:lang w:val="es-MX"/>
        </w:rPr>
        <w:t xml:space="preserve">para todos los </w:t>
      </w:r>
      <w:r>
        <w:rPr>
          <w:lang w:val="es-MX"/>
        </w:rPr>
        <w:t>P</w:t>
      </w:r>
      <w:r w:rsidRPr="0035706E">
        <w:rPr>
          <w:lang w:val="es-MX"/>
        </w:rPr>
        <w:t xml:space="preserve">articipantes </w:t>
      </w:r>
      <w:r>
        <w:rPr>
          <w:lang w:val="es-MX"/>
        </w:rPr>
        <w:t>G</w:t>
      </w:r>
      <w:r w:rsidRPr="0035706E">
        <w:rPr>
          <w:lang w:val="es-MX"/>
        </w:rPr>
        <w:t xml:space="preserve">anadores excepto </w:t>
      </w:r>
      <w:r>
        <w:rPr>
          <w:lang w:val="es-MX"/>
        </w:rPr>
        <w:t>la de los operadores que actualmente son concesionarios del bloque D,</w:t>
      </w:r>
      <w:r w:rsidRPr="0035706E">
        <w:rPr>
          <w:lang w:val="es-MX"/>
        </w:rPr>
        <w:t xml:space="preserve"> es </w:t>
      </w:r>
      <w:r>
        <w:rPr>
          <w:lang w:val="es-MX"/>
        </w:rPr>
        <w:t>el</w:t>
      </w:r>
      <w:r w:rsidRPr="0035706E">
        <w:rPr>
          <w:lang w:val="es-MX"/>
        </w:rPr>
        <w:t xml:space="preserve"> precio </w:t>
      </w:r>
      <w:r>
        <w:rPr>
          <w:lang w:val="es-MX"/>
        </w:rPr>
        <w:t>determinado en la</w:t>
      </w:r>
      <w:r w:rsidRPr="0035706E">
        <w:rPr>
          <w:lang w:val="es-MX"/>
        </w:rPr>
        <w:t xml:space="preserve"> subasta. El monto de</w:t>
      </w:r>
      <w:r>
        <w:rPr>
          <w:lang w:val="es-MX"/>
        </w:rPr>
        <w:t xml:space="preserve"> </w:t>
      </w:r>
      <w:r w:rsidRPr="0035706E">
        <w:rPr>
          <w:lang w:val="es-MX"/>
        </w:rPr>
        <w:t>l</w:t>
      </w:r>
      <w:r>
        <w:rPr>
          <w:lang w:val="es-MX"/>
        </w:rPr>
        <w:t>a</w:t>
      </w:r>
      <w:r w:rsidRPr="0035706E">
        <w:rPr>
          <w:lang w:val="es-MX"/>
        </w:rPr>
        <w:t xml:space="preserve"> </w:t>
      </w:r>
      <w:r>
        <w:rPr>
          <w:lang w:val="es-MX"/>
        </w:rPr>
        <w:t xml:space="preserve">contraprestación </w:t>
      </w:r>
      <w:r w:rsidRPr="0035706E">
        <w:rPr>
          <w:lang w:val="es-MX"/>
        </w:rPr>
        <w:t xml:space="preserve">para </w:t>
      </w:r>
      <w:bookmarkStart w:id="79" w:name="_GoBack"/>
      <w:r w:rsidRPr="0035706E">
        <w:rPr>
          <w:lang w:val="es-MX"/>
        </w:rPr>
        <w:t xml:space="preserve">Telcel y Telefónica </w:t>
      </w:r>
      <w:bookmarkEnd w:id="79"/>
      <w:r w:rsidRPr="0035706E">
        <w:rPr>
          <w:lang w:val="es-MX"/>
        </w:rPr>
        <w:t>será una proporción de</w:t>
      </w:r>
      <w:r>
        <w:rPr>
          <w:lang w:val="es-MX"/>
        </w:rPr>
        <w:t>l</w:t>
      </w:r>
      <w:r w:rsidRPr="0035706E">
        <w:rPr>
          <w:lang w:val="es-MX"/>
        </w:rPr>
        <w:t xml:space="preserve"> precio de subasta, como se explica más adelante.</w:t>
      </w:r>
    </w:p>
    <w:p w14:paraId="6C005286" w14:textId="77777777" w:rsidR="0045050D" w:rsidRPr="0035706E" w:rsidRDefault="0045050D" w:rsidP="0045050D">
      <w:pPr>
        <w:pStyle w:val="Textoindependiente"/>
        <w:numPr>
          <w:ilvl w:val="0"/>
          <w:numId w:val="43"/>
        </w:numPr>
        <w:jc w:val="both"/>
        <w:rPr>
          <w:lang w:val="es-ES"/>
        </w:rPr>
      </w:pPr>
      <w:r w:rsidRPr="0035706E">
        <w:rPr>
          <w:lang w:val="es-MX"/>
        </w:rPr>
        <w:t xml:space="preserve">En el Escenario II, </w:t>
      </w:r>
      <w:r>
        <w:rPr>
          <w:lang w:val="es-MX"/>
        </w:rPr>
        <w:t xml:space="preserve">la contraprestación </w:t>
      </w:r>
      <w:r w:rsidRPr="0035706E">
        <w:rPr>
          <w:lang w:val="es-MX"/>
        </w:rPr>
        <w:t xml:space="preserve">para cada </w:t>
      </w:r>
      <w:r>
        <w:rPr>
          <w:lang w:val="es-MX"/>
        </w:rPr>
        <w:t>P</w:t>
      </w:r>
      <w:r w:rsidRPr="0035706E">
        <w:rPr>
          <w:lang w:val="es-MX"/>
        </w:rPr>
        <w:t xml:space="preserve">articipante </w:t>
      </w:r>
      <w:r>
        <w:rPr>
          <w:lang w:val="es-MX"/>
        </w:rPr>
        <w:t>G</w:t>
      </w:r>
      <w:r w:rsidRPr="0035706E">
        <w:rPr>
          <w:lang w:val="es-MX"/>
        </w:rPr>
        <w:t xml:space="preserve">anador </w:t>
      </w:r>
      <w:r>
        <w:rPr>
          <w:lang w:val="es-MX"/>
        </w:rPr>
        <w:t>será</w:t>
      </w:r>
      <w:r w:rsidRPr="0035706E">
        <w:rPr>
          <w:lang w:val="es-MX"/>
        </w:rPr>
        <w:t xml:space="preserve"> igual </w:t>
      </w:r>
      <w:r>
        <w:rPr>
          <w:lang w:val="es-MX"/>
        </w:rPr>
        <w:t>al</w:t>
      </w:r>
      <w:r w:rsidRPr="0035706E">
        <w:rPr>
          <w:lang w:val="es-MX"/>
        </w:rPr>
        <w:t xml:space="preserve"> precio </w:t>
      </w:r>
      <w:r>
        <w:rPr>
          <w:lang w:val="es-MX"/>
        </w:rPr>
        <w:t xml:space="preserve">determinado por la </w:t>
      </w:r>
      <w:r w:rsidRPr="0035706E">
        <w:rPr>
          <w:lang w:val="es-MX"/>
        </w:rPr>
        <w:t>subasta.</w:t>
      </w:r>
    </w:p>
    <w:p w14:paraId="636AE027" w14:textId="77777777" w:rsidR="0045050D" w:rsidRPr="0035706E" w:rsidRDefault="0045050D" w:rsidP="0045050D">
      <w:pPr>
        <w:pStyle w:val="Textoindependiente"/>
        <w:jc w:val="both"/>
        <w:rPr>
          <w:lang w:val="es-MX"/>
        </w:rPr>
      </w:pPr>
      <w:r w:rsidRPr="0035706E">
        <w:rPr>
          <w:lang w:val="es-MX"/>
        </w:rPr>
        <w:t xml:space="preserve">Bajo el Escenario I, </w:t>
      </w:r>
      <w:r>
        <w:rPr>
          <w:lang w:val="es-MX"/>
        </w:rPr>
        <w:t>los operadores que actualmente son concesionarios del bloque D</w:t>
      </w:r>
      <w:r w:rsidRPr="0035706E" w:rsidDel="00FB2317">
        <w:rPr>
          <w:lang w:val="es-MX"/>
        </w:rPr>
        <w:t xml:space="preserve"> </w:t>
      </w:r>
      <w:r w:rsidRPr="0035706E">
        <w:rPr>
          <w:lang w:val="es-MX"/>
        </w:rPr>
        <w:t xml:space="preserve"> aportan una cierta cantidad de espectro a la subasta y se les garantiza </w:t>
      </w:r>
      <w:r>
        <w:rPr>
          <w:lang w:val="es-MX"/>
        </w:rPr>
        <w:t>obtener un bloque nacional contiguo</w:t>
      </w:r>
      <w:r w:rsidRPr="0035706E">
        <w:rPr>
          <w:lang w:val="es-MX"/>
        </w:rPr>
        <w:t xml:space="preserve">. Por consiguiente, Telcel y Telefónica sólo pagan </w:t>
      </w:r>
      <w:r>
        <w:rPr>
          <w:lang w:val="es-MX"/>
        </w:rPr>
        <w:t>el</w:t>
      </w:r>
      <w:r w:rsidRPr="0035706E">
        <w:rPr>
          <w:lang w:val="es-MX"/>
        </w:rPr>
        <w:t xml:space="preserve"> precio </w:t>
      </w:r>
      <w:r>
        <w:rPr>
          <w:lang w:val="es-MX"/>
        </w:rPr>
        <w:t>determinado por la</w:t>
      </w:r>
      <w:r w:rsidRPr="0035706E">
        <w:rPr>
          <w:lang w:val="es-MX"/>
        </w:rPr>
        <w:t xml:space="preserve"> subasta por el espectro incremental que adquier</w:t>
      </w:r>
      <w:r>
        <w:rPr>
          <w:lang w:val="es-MX"/>
        </w:rPr>
        <w:t>a</w:t>
      </w:r>
      <w:r w:rsidRPr="0035706E">
        <w:rPr>
          <w:lang w:val="es-MX"/>
        </w:rPr>
        <w:t>n.</w:t>
      </w:r>
    </w:p>
    <w:p w14:paraId="16263394" w14:textId="77777777" w:rsidR="0045050D" w:rsidRPr="0035706E" w:rsidRDefault="0045050D" w:rsidP="0045050D">
      <w:pPr>
        <w:pStyle w:val="Textoindependiente"/>
        <w:jc w:val="both"/>
        <w:rPr>
          <w:lang w:val="es-MX"/>
        </w:rPr>
      </w:pPr>
      <w:r w:rsidRPr="0035706E">
        <w:rPr>
          <w:lang w:val="es-MX"/>
        </w:rPr>
        <w:t xml:space="preserve">Para determinar </w:t>
      </w:r>
      <w:r>
        <w:rPr>
          <w:lang w:val="es-MX"/>
        </w:rPr>
        <w:t>la contraprestación</w:t>
      </w:r>
      <w:r w:rsidRPr="0035706E">
        <w:rPr>
          <w:lang w:val="es-MX"/>
        </w:rPr>
        <w:t xml:space="preserve"> para cada uno de estos participantes en el Escenario I, el </w:t>
      </w:r>
      <w:r>
        <w:rPr>
          <w:lang w:val="es-MX"/>
        </w:rPr>
        <w:t>Instituto</w:t>
      </w:r>
      <w:r w:rsidRPr="0035706E">
        <w:rPr>
          <w:lang w:val="es-MX"/>
        </w:rPr>
        <w:t xml:space="preserve"> llevará a cabo los siguientes tres pasos:</w:t>
      </w:r>
    </w:p>
    <w:p w14:paraId="52956E76" w14:textId="77777777" w:rsidR="0045050D" w:rsidRPr="0035706E" w:rsidRDefault="0045050D" w:rsidP="0045050D">
      <w:pPr>
        <w:pStyle w:val="Textoindependiente"/>
        <w:numPr>
          <w:ilvl w:val="0"/>
          <w:numId w:val="44"/>
        </w:numPr>
        <w:jc w:val="both"/>
        <w:rPr>
          <w:lang w:val="es-MX"/>
        </w:rPr>
      </w:pPr>
      <w:r w:rsidRPr="0035706E">
        <w:rPr>
          <w:i/>
          <w:lang w:val="es-MX"/>
        </w:rPr>
        <w:t xml:space="preserve">Calcular un precio promedio por </w:t>
      </w:r>
      <w:r>
        <w:rPr>
          <w:i/>
          <w:lang w:val="es-MX"/>
        </w:rPr>
        <w:t>bloque</w:t>
      </w:r>
      <w:r w:rsidRPr="0035706E">
        <w:rPr>
          <w:lang w:val="es-MX"/>
        </w:rPr>
        <w:t xml:space="preserve">. El </w:t>
      </w:r>
      <w:r>
        <w:rPr>
          <w:lang w:val="es-MX"/>
        </w:rPr>
        <w:t>Instituto</w:t>
      </w:r>
      <w:r w:rsidRPr="0035706E">
        <w:rPr>
          <w:lang w:val="es-MX"/>
        </w:rPr>
        <w:t xml:space="preserve"> dividirá el precio de subasta del participante por el número total de </w:t>
      </w:r>
      <w:r>
        <w:rPr>
          <w:lang w:val="es-MX"/>
        </w:rPr>
        <w:t>bloques</w:t>
      </w:r>
      <w:r w:rsidRPr="0035706E">
        <w:rPr>
          <w:lang w:val="es-MX"/>
        </w:rPr>
        <w:t xml:space="preserve"> en su paquete ganador.</w:t>
      </w:r>
    </w:p>
    <w:p w14:paraId="49BB7976" w14:textId="77777777" w:rsidR="0045050D" w:rsidRPr="0035706E" w:rsidRDefault="0045050D" w:rsidP="0045050D">
      <w:pPr>
        <w:pStyle w:val="Textoindependiente"/>
        <w:numPr>
          <w:ilvl w:val="0"/>
          <w:numId w:val="44"/>
        </w:numPr>
        <w:jc w:val="both"/>
        <w:rPr>
          <w:lang w:val="es-MX"/>
        </w:rPr>
      </w:pPr>
      <w:r w:rsidRPr="0035706E">
        <w:rPr>
          <w:i/>
          <w:lang w:val="es-MX"/>
        </w:rPr>
        <w:t xml:space="preserve">Calcular el valor del espectro que el participante aportó a la subasta. </w:t>
      </w:r>
      <w:r w:rsidRPr="0035706E">
        <w:rPr>
          <w:lang w:val="es-MX"/>
        </w:rPr>
        <w:t xml:space="preserve">El </w:t>
      </w:r>
      <w:r>
        <w:rPr>
          <w:lang w:val="es-MX"/>
        </w:rPr>
        <w:t>Instituto</w:t>
      </w:r>
      <w:r w:rsidRPr="0035706E">
        <w:rPr>
          <w:lang w:val="es-MX"/>
        </w:rPr>
        <w:t xml:space="preserve"> multiplicará el precio medio por </w:t>
      </w:r>
      <w:r>
        <w:rPr>
          <w:lang w:val="es-MX"/>
        </w:rPr>
        <w:t>bloque</w:t>
      </w:r>
      <w:r w:rsidRPr="0035706E">
        <w:rPr>
          <w:lang w:val="es-MX"/>
        </w:rPr>
        <w:t xml:space="preserve"> del Paso 1 por un coeficiente específico para cada participante</w:t>
      </w:r>
      <w:r>
        <w:rPr>
          <w:lang w:val="es-MX"/>
        </w:rPr>
        <w:t xml:space="preserve"> conforme la ponderación que se determina con base en la tabla B del artículo 244-E de la Ley Federal de Derechos</w:t>
      </w:r>
      <w:r w:rsidRPr="0035706E">
        <w:rPr>
          <w:lang w:val="es-MX"/>
        </w:rPr>
        <w:t xml:space="preserve">. </w:t>
      </w:r>
    </w:p>
    <w:p w14:paraId="382F807B" w14:textId="77777777" w:rsidR="0045050D" w:rsidRPr="00B61105" w:rsidRDefault="0045050D" w:rsidP="0045050D">
      <w:pPr>
        <w:pStyle w:val="Textoindependiente"/>
        <w:numPr>
          <w:ilvl w:val="0"/>
          <w:numId w:val="44"/>
        </w:numPr>
        <w:jc w:val="both"/>
        <w:rPr>
          <w:lang w:val="es-ES"/>
        </w:rPr>
      </w:pPr>
      <w:r w:rsidRPr="0035706E">
        <w:rPr>
          <w:i/>
          <w:lang w:val="es-MX"/>
        </w:rPr>
        <w:t xml:space="preserve">Calcular el cargo </w:t>
      </w:r>
      <w:r>
        <w:rPr>
          <w:i/>
          <w:lang w:val="es-MX"/>
        </w:rPr>
        <w:t>de la contraprestación</w:t>
      </w:r>
      <w:r w:rsidRPr="0035706E">
        <w:rPr>
          <w:lang w:val="es-MX"/>
        </w:rPr>
        <w:t xml:space="preserve">. Esto es igual al precio </w:t>
      </w:r>
      <w:r>
        <w:rPr>
          <w:lang w:val="es-MX"/>
        </w:rPr>
        <w:t>determinado en la</w:t>
      </w:r>
      <w:r w:rsidRPr="0035706E">
        <w:rPr>
          <w:lang w:val="es-MX"/>
        </w:rPr>
        <w:t xml:space="preserve"> subasta </w:t>
      </w:r>
      <w:r>
        <w:rPr>
          <w:lang w:val="es-MX"/>
        </w:rPr>
        <w:t>para el</w:t>
      </w:r>
      <w:r w:rsidRPr="0035706E">
        <w:rPr>
          <w:lang w:val="es-MX"/>
        </w:rPr>
        <w:t xml:space="preserve"> </w:t>
      </w:r>
      <w:r>
        <w:rPr>
          <w:lang w:val="es-MX"/>
        </w:rPr>
        <w:t>P</w:t>
      </w:r>
      <w:r w:rsidRPr="0035706E">
        <w:rPr>
          <w:lang w:val="es-MX"/>
        </w:rPr>
        <w:t>articipante menos el valor del espectro que el participante contribuyó a la subasta, determinado en el Paso 2.</w:t>
      </w:r>
    </w:p>
    <w:p w14:paraId="1160B5A5" w14:textId="77777777" w:rsidR="0045050D" w:rsidRPr="0035706E" w:rsidRDefault="0045050D" w:rsidP="0045050D">
      <w:pPr>
        <w:pStyle w:val="Ttulo2"/>
        <w:jc w:val="both"/>
      </w:pPr>
      <w:bookmarkStart w:id="80" w:name="_Toc429757215"/>
      <w:bookmarkStart w:id="81" w:name="_Toc430281551"/>
      <w:r w:rsidRPr="0035706E">
        <w:rPr>
          <w:lang w:val="es-MX"/>
        </w:rPr>
        <w:t>Final de la subasta</w:t>
      </w:r>
      <w:bookmarkEnd w:id="80"/>
      <w:bookmarkEnd w:id="81"/>
    </w:p>
    <w:p w14:paraId="46252EF1" w14:textId="77777777" w:rsidR="0045050D" w:rsidRPr="0035706E" w:rsidRDefault="0045050D" w:rsidP="0045050D">
      <w:pPr>
        <w:pStyle w:val="Textoindependiente"/>
        <w:jc w:val="both"/>
        <w:rPr>
          <w:lang w:val="es-MX"/>
        </w:rPr>
      </w:pPr>
      <w:r w:rsidRPr="0035706E">
        <w:rPr>
          <w:lang w:val="es-MX"/>
        </w:rPr>
        <w:t xml:space="preserve">Una vez que la asignación de frecuencias y los cargos </w:t>
      </w:r>
      <w:r>
        <w:rPr>
          <w:lang w:val="es-MX"/>
        </w:rPr>
        <w:t>de la contraprestación</w:t>
      </w:r>
      <w:r w:rsidRPr="0035706E">
        <w:rPr>
          <w:lang w:val="es-MX"/>
        </w:rPr>
        <w:t xml:space="preserve"> han sido determinados, el </w:t>
      </w:r>
      <w:r>
        <w:rPr>
          <w:lang w:val="es-MX"/>
        </w:rPr>
        <w:t>Instituto</w:t>
      </w:r>
      <w:r w:rsidRPr="0035706E">
        <w:rPr>
          <w:lang w:val="es-MX"/>
        </w:rPr>
        <w:t xml:space="preserve"> proveerá a los participantes con la siguiente información:</w:t>
      </w:r>
    </w:p>
    <w:p w14:paraId="1B86AFA4" w14:textId="77777777" w:rsidR="0045050D" w:rsidRPr="0035706E" w:rsidRDefault="0045050D" w:rsidP="0045050D">
      <w:pPr>
        <w:pStyle w:val="Textoindependiente"/>
        <w:numPr>
          <w:ilvl w:val="0"/>
          <w:numId w:val="45"/>
        </w:numPr>
        <w:jc w:val="both"/>
        <w:rPr>
          <w:lang w:val="es-MX"/>
        </w:rPr>
      </w:pPr>
      <w:r w:rsidRPr="0035706E">
        <w:rPr>
          <w:lang w:val="es-MX"/>
        </w:rPr>
        <w:t xml:space="preserve">la identidad de los </w:t>
      </w:r>
      <w:r>
        <w:rPr>
          <w:lang w:val="es-MX"/>
        </w:rPr>
        <w:t>P</w:t>
      </w:r>
      <w:r w:rsidRPr="0035706E">
        <w:rPr>
          <w:lang w:val="es-MX"/>
        </w:rPr>
        <w:t xml:space="preserve">articipantes </w:t>
      </w:r>
      <w:r>
        <w:rPr>
          <w:lang w:val="es-MX"/>
        </w:rPr>
        <w:t>G</w:t>
      </w:r>
      <w:r w:rsidRPr="0035706E">
        <w:rPr>
          <w:lang w:val="es-MX"/>
        </w:rPr>
        <w:t>anadores;</w:t>
      </w:r>
    </w:p>
    <w:p w14:paraId="190CE31F" w14:textId="77777777" w:rsidR="0045050D" w:rsidRPr="0035706E" w:rsidRDefault="0045050D" w:rsidP="0045050D">
      <w:pPr>
        <w:pStyle w:val="Textoindependiente"/>
        <w:numPr>
          <w:ilvl w:val="0"/>
          <w:numId w:val="45"/>
        </w:numPr>
        <w:jc w:val="both"/>
        <w:rPr>
          <w:lang w:val="es-MX"/>
        </w:rPr>
      </w:pPr>
      <w:r w:rsidRPr="0035706E">
        <w:rPr>
          <w:lang w:val="es-MX"/>
        </w:rPr>
        <w:t xml:space="preserve">los rangos de frecuencia asignados a cada </w:t>
      </w:r>
      <w:r>
        <w:rPr>
          <w:lang w:val="es-MX"/>
        </w:rPr>
        <w:t>P</w:t>
      </w:r>
      <w:r w:rsidRPr="0035706E">
        <w:rPr>
          <w:lang w:val="es-MX"/>
        </w:rPr>
        <w:t xml:space="preserve">articipante </w:t>
      </w:r>
      <w:r>
        <w:rPr>
          <w:lang w:val="es-MX"/>
        </w:rPr>
        <w:t>G</w:t>
      </w:r>
      <w:r w:rsidRPr="0035706E">
        <w:rPr>
          <w:lang w:val="es-MX"/>
        </w:rPr>
        <w:t>anador (incluyendo cualquier cambio en las asignaciones de frecuencia AWS-1 existentes); y</w:t>
      </w:r>
    </w:p>
    <w:p w14:paraId="1E71ED1D" w14:textId="77777777" w:rsidR="0045050D" w:rsidRPr="0035706E" w:rsidRDefault="0045050D" w:rsidP="0045050D">
      <w:pPr>
        <w:pStyle w:val="Textoindependiente"/>
        <w:numPr>
          <w:ilvl w:val="0"/>
          <w:numId w:val="45"/>
        </w:numPr>
        <w:jc w:val="both"/>
        <w:rPr>
          <w:lang w:val="es-MX"/>
        </w:rPr>
      </w:pPr>
      <w:r>
        <w:rPr>
          <w:lang w:val="es-MX"/>
        </w:rPr>
        <w:t xml:space="preserve">la contraprestación </w:t>
      </w:r>
      <w:r w:rsidRPr="0035706E">
        <w:rPr>
          <w:lang w:val="es-MX"/>
        </w:rPr>
        <w:t>a ser pagad</w:t>
      </w:r>
      <w:r>
        <w:rPr>
          <w:lang w:val="es-MX"/>
        </w:rPr>
        <w:t>a</w:t>
      </w:r>
      <w:r w:rsidRPr="0035706E">
        <w:rPr>
          <w:lang w:val="es-MX"/>
        </w:rPr>
        <w:t xml:space="preserve"> por cada </w:t>
      </w:r>
      <w:r>
        <w:rPr>
          <w:lang w:val="es-MX"/>
        </w:rPr>
        <w:t>P</w:t>
      </w:r>
      <w:r w:rsidRPr="0035706E">
        <w:rPr>
          <w:lang w:val="es-MX"/>
        </w:rPr>
        <w:t xml:space="preserve">articipante </w:t>
      </w:r>
      <w:r>
        <w:rPr>
          <w:lang w:val="es-MX"/>
        </w:rPr>
        <w:t>G</w:t>
      </w:r>
      <w:r w:rsidRPr="0035706E">
        <w:rPr>
          <w:lang w:val="es-MX"/>
        </w:rPr>
        <w:t>anador.</w:t>
      </w:r>
    </w:p>
    <w:p w14:paraId="13A224A4" w14:textId="77777777" w:rsidR="0045050D" w:rsidRPr="009E1E20" w:rsidRDefault="0045050D" w:rsidP="0045050D">
      <w:pPr>
        <w:pStyle w:val="Textoindependiente"/>
        <w:jc w:val="both"/>
        <w:rPr>
          <w:lang w:val="es-MX"/>
        </w:rPr>
      </w:pPr>
      <w:r>
        <w:rPr>
          <w:lang w:val="es-MX"/>
        </w:rPr>
        <w:t>Es</w:t>
      </w:r>
      <w:r w:rsidRPr="0035706E">
        <w:rPr>
          <w:lang w:val="es-MX"/>
        </w:rPr>
        <w:t xml:space="preserve"> intención del </w:t>
      </w:r>
      <w:r>
        <w:rPr>
          <w:lang w:val="es-MX"/>
        </w:rPr>
        <w:t>Instituto</w:t>
      </w:r>
      <w:r w:rsidRPr="0035706E">
        <w:rPr>
          <w:lang w:val="es-MX"/>
        </w:rPr>
        <w:t xml:space="preserve"> </w:t>
      </w:r>
      <w:r>
        <w:rPr>
          <w:lang w:val="es-MX"/>
        </w:rPr>
        <w:t>el</w:t>
      </w:r>
      <w:r w:rsidRPr="0035706E">
        <w:rPr>
          <w:lang w:val="es-MX"/>
        </w:rPr>
        <w:t xml:space="preserve"> divulgar información completa sobre todas las </w:t>
      </w:r>
      <w:r>
        <w:rPr>
          <w:lang w:val="es-MX"/>
        </w:rPr>
        <w:t>ofertas económicas</w:t>
      </w:r>
      <w:r w:rsidRPr="0035706E">
        <w:rPr>
          <w:lang w:val="es-MX"/>
        </w:rPr>
        <w:t xml:space="preserve"> realizadas en la subasta. Sin embargo, </w:t>
      </w:r>
      <w:r>
        <w:rPr>
          <w:lang w:val="es-MX"/>
        </w:rPr>
        <w:t xml:space="preserve">dicha divulgación se hará posteriormente </w:t>
      </w:r>
      <w:r w:rsidRPr="0035706E">
        <w:rPr>
          <w:lang w:val="es-MX"/>
        </w:rPr>
        <w:t xml:space="preserve">y no </w:t>
      </w:r>
      <w:r>
        <w:rPr>
          <w:lang w:val="es-MX"/>
        </w:rPr>
        <w:t>será</w:t>
      </w:r>
      <w:r w:rsidRPr="0035706E">
        <w:rPr>
          <w:lang w:val="es-MX"/>
        </w:rPr>
        <w:t xml:space="preserve"> un requerimiento de las reglas de la subasta.</w:t>
      </w:r>
    </w:p>
    <w:p w14:paraId="4E645668" w14:textId="77777777" w:rsidR="0045050D" w:rsidRPr="00C00C5F" w:rsidRDefault="0045050D" w:rsidP="0045050D">
      <w:pPr>
        <w:pStyle w:val="Textoindependiente"/>
        <w:jc w:val="both"/>
        <w:rPr>
          <w:lang w:val="es-ES"/>
        </w:rPr>
      </w:pPr>
    </w:p>
    <w:p w14:paraId="7A53C1C6" w14:textId="77777777" w:rsidR="0045050D" w:rsidRDefault="0045050D" w:rsidP="0045050D">
      <w:pPr>
        <w:pStyle w:val="Ttulo1"/>
        <w:pageBreakBefore/>
        <w:numPr>
          <w:ilvl w:val="0"/>
          <w:numId w:val="0"/>
        </w:numPr>
        <w:ind w:left="936" w:hanging="936"/>
        <w:jc w:val="both"/>
        <w:rPr>
          <w:sz w:val="20"/>
          <w:szCs w:val="20"/>
          <w:lang w:val="pt-BR"/>
        </w:rPr>
      </w:pPr>
      <w:bookmarkStart w:id="82" w:name="_Toc429397867"/>
      <w:bookmarkStart w:id="83" w:name="_Toc429757216"/>
      <w:bookmarkStart w:id="84" w:name="_Toc430281552"/>
      <w:r w:rsidRPr="00D23B9F">
        <w:rPr>
          <w:sz w:val="20"/>
          <w:szCs w:val="20"/>
          <w:lang w:val="pt-BR"/>
        </w:rPr>
        <w:t>Anexo 1: Listas completas de paquetes permitidos</w:t>
      </w:r>
      <w:bookmarkEnd w:id="82"/>
      <w:bookmarkEnd w:id="83"/>
      <w:bookmarkEnd w:id="84"/>
    </w:p>
    <w:p w14:paraId="7A3DBBA4" w14:textId="77777777" w:rsidR="0045050D" w:rsidRPr="00FB2317" w:rsidRDefault="0045050D" w:rsidP="0045050D">
      <w:pPr>
        <w:pStyle w:val="Textoindependiente"/>
        <w:jc w:val="both"/>
        <w:rPr>
          <w:lang w:val="pt-BR"/>
        </w:rPr>
      </w:pPr>
      <w:r w:rsidRPr="00FB2317">
        <w:rPr>
          <w:lang w:val="es-MX"/>
        </w:rPr>
        <w:t>A manera ejemplificativa se presentan las listas de paquetes permitidos para un límite de 2x40 MHz, en caso de un limite menor, se reduce el número de posibles paquetes</w:t>
      </w:r>
      <w:r>
        <w:rPr>
          <w:lang w:val="pt-BR"/>
        </w:rPr>
        <w:t xml:space="preserve">. </w:t>
      </w:r>
    </w:p>
    <w:p w14:paraId="2D548661" w14:textId="77777777" w:rsidR="0045050D" w:rsidRDefault="0045050D" w:rsidP="0045050D">
      <w:pPr>
        <w:pStyle w:val="Ttulo2"/>
        <w:numPr>
          <w:ilvl w:val="1"/>
          <w:numId w:val="1"/>
        </w:numPr>
        <w:jc w:val="both"/>
        <w:rPr>
          <w:sz w:val="20"/>
          <w:szCs w:val="20"/>
          <w:lang w:val="es-MX"/>
        </w:rPr>
      </w:pPr>
      <w:bookmarkStart w:id="85" w:name="xxAppendix1"/>
      <w:bookmarkStart w:id="86" w:name="_Toc430281553"/>
      <w:bookmarkStart w:id="87" w:name="_Toc429397868"/>
      <w:bookmarkStart w:id="88" w:name="_Toc429495697"/>
      <w:bookmarkStart w:id="89" w:name="_Toc429757217"/>
      <w:bookmarkEnd w:id="85"/>
      <w:r w:rsidRPr="00D23B9F">
        <w:rPr>
          <w:sz w:val="20"/>
          <w:szCs w:val="20"/>
          <w:lang w:val="es-MX"/>
        </w:rPr>
        <w:t>Paquetes permitidos para el Escenario I</w:t>
      </w:r>
      <w:bookmarkEnd w:id="86"/>
      <w:r w:rsidRPr="00D23B9F">
        <w:rPr>
          <w:sz w:val="20"/>
          <w:szCs w:val="20"/>
          <w:lang w:val="es-MX"/>
        </w:rPr>
        <w:t xml:space="preserve"> </w:t>
      </w:r>
      <w:bookmarkEnd w:id="87"/>
      <w:bookmarkEnd w:id="88"/>
      <w:bookmarkEnd w:id="89"/>
    </w:p>
    <w:tbl>
      <w:tblPr>
        <w:tblStyle w:val="Tablaconcuadrcula"/>
        <w:tblW w:w="0" w:type="auto"/>
        <w:tblLayout w:type="fixed"/>
        <w:tblLook w:val="04A0" w:firstRow="1" w:lastRow="0" w:firstColumn="1" w:lastColumn="0" w:noHBand="0" w:noVBand="1"/>
      </w:tblPr>
      <w:tblGrid>
        <w:gridCol w:w="534"/>
        <w:gridCol w:w="945"/>
        <w:gridCol w:w="945"/>
        <w:gridCol w:w="945"/>
        <w:gridCol w:w="1468"/>
        <w:gridCol w:w="1469"/>
        <w:gridCol w:w="1468"/>
        <w:gridCol w:w="1469"/>
      </w:tblGrid>
      <w:tr w:rsidR="0045050D" w:rsidRPr="0067434C" w14:paraId="5B3B4739" w14:textId="77777777" w:rsidTr="00FF7E00">
        <w:tc>
          <w:tcPr>
            <w:tcW w:w="534" w:type="dxa"/>
            <w:shd w:val="clear" w:color="auto" w:fill="808080" w:themeFill="background1" w:themeFillShade="80"/>
          </w:tcPr>
          <w:p w14:paraId="1EB3FE33" w14:textId="77777777" w:rsidR="0045050D" w:rsidRPr="000B07C6" w:rsidRDefault="0045050D" w:rsidP="00FF7E00">
            <w:pPr>
              <w:pStyle w:val="TableText"/>
              <w:jc w:val="center"/>
              <w:rPr>
                <w:b/>
                <w:sz w:val="16"/>
                <w:szCs w:val="16"/>
                <w:lang w:val="es-ES"/>
              </w:rPr>
            </w:pPr>
            <w:r w:rsidRPr="000B07C6">
              <w:rPr>
                <w:b/>
                <w:sz w:val="16"/>
                <w:szCs w:val="16"/>
                <w:lang w:val="es-ES"/>
              </w:rPr>
              <w:t>#</w:t>
            </w:r>
          </w:p>
        </w:tc>
        <w:tc>
          <w:tcPr>
            <w:tcW w:w="945" w:type="dxa"/>
            <w:shd w:val="clear" w:color="auto" w:fill="808080" w:themeFill="background1" w:themeFillShade="80"/>
          </w:tcPr>
          <w:p w14:paraId="7A2B9E86" w14:textId="77777777" w:rsidR="0045050D" w:rsidRPr="0067434C" w:rsidRDefault="0045050D" w:rsidP="00FF7E00">
            <w:pPr>
              <w:pStyle w:val="TableText"/>
              <w:jc w:val="center"/>
              <w:rPr>
                <w:b/>
                <w:sz w:val="16"/>
                <w:szCs w:val="16"/>
                <w:lang w:val="es-ES"/>
              </w:rPr>
            </w:pPr>
            <w:r w:rsidRPr="0067434C">
              <w:rPr>
                <w:b/>
                <w:sz w:val="16"/>
                <w:szCs w:val="16"/>
                <w:lang w:val="es-ES"/>
              </w:rPr>
              <w:t>A</w:t>
            </w:r>
          </w:p>
        </w:tc>
        <w:tc>
          <w:tcPr>
            <w:tcW w:w="945" w:type="dxa"/>
            <w:shd w:val="clear" w:color="auto" w:fill="808080" w:themeFill="background1" w:themeFillShade="80"/>
          </w:tcPr>
          <w:p w14:paraId="766D7D20" w14:textId="77777777" w:rsidR="0045050D" w:rsidRPr="0067434C" w:rsidRDefault="0045050D" w:rsidP="00FF7E00">
            <w:pPr>
              <w:pStyle w:val="TableText"/>
              <w:jc w:val="center"/>
              <w:rPr>
                <w:b/>
                <w:sz w:val="16"/>
                <w:szCs w:val="16"/>
                <w:lang w:val="es-ES"/>
              </w:rPr>
            </w:pPr>
            <w:r w:rsidRPr="0067434C">
              <w:rPr>
                <w:b/>
                <w:sz w:val="16"/>
                <w:szCs w:val="16"/>
                <w:lang w:val="es-ES"/>
              </w:rPr>
              <w:t>G</w:t>
            </w:r>
          </w:p>
        </w:tc>
        <w:tc>
          <w:tcPr>
            <w:tcW w:w="945" w:type="dxa"/>
            <w:shd w:val="clear" w:color="auto" w:fill="808080" w:themeFill="background1" w:themeFillShade="80"/>
          </w:tcPr>
          <w:p w14:paraId="61663DF8" w14:textId="77777777" w:rsidR="0045050D" w:rsidRPr="0067434C" w:rsidRDefault="0045050D" w:rsidP="00FF7E00">
            <w:pPr>
              <w:pStyle w:val="TableText"/>
              <w:jc w:val="center"/>
              <w:rPr>
                <w:b/>
                <w:sz w:val="16"/>
                <w:szCs w:val="16"/>
                <w:lang w:val="es-ES"/>
              </w:rPr>
            </w:pPr>
            <w:r w:rsidRPr="0067434C">
              <w:rPr>
                <w:b/>
                <w:sz w:val="16"/>
                <w:szCs w:val="16"/>
                <w:lang w:val="es-ES"/>
              </w:rPr>
              <w:t>J</w:t>
            </w:r>
          </w:p>
        </w:tc>
        <w:tc>
          <w:tcPr>
            <w:tcW w:w="1468" w:type="dxa"/>
            <w:shd w:val="clear" w:color="auto" w:fill="808080" w:themeFill="background1" w:themeFillShade="80"/>
          </w:tcPr>
          <w:p w14:paraId="2A642AFC" w14:textId="77777777" w:rsidR="0045050D" w:rsidRPr="0067434C" w:rsidRDefault="0045050D" w:rsidP="00FF7E00">
            <w:pPr>
              <w:pStyle w:val="TableText"/>
              <w:jc w:val="center"/>
              <w:rPr>
                <w:b/>
                <w:sz w:val="16"/>
                <w:szCs w:val="16"/>
                <w:lang w:val="es-ES"/>
              </w:rPr>
            </w:pPr>
            <w:r w:rsidRPr="0067434C">
              <w:rPr>
                <w:b/>
                <w:sz w:val="16"/>
                <w:szCs w:val="16"/>
                <w:lang w:val="es-ES"/>
              </w:rPr>
              <w:t>Nuevo participante</w:t>
            </w:r>
          </w:p>
        </w:tc>
        <w:tc>
          <w:tcPr>
            <w:tcW w:w="1469" w:type="dxa"/>
            <w:shd w:val="clear" w:color="auto" w:fill="808080" w:themeFill="background1" w:themeFillShade="80"/>
          </w:tcPr>
          <w:p w14:paraId="5FD1E1DB" w14:textId="77777777" w:rsidR="0045050D" w:rsidRPr="0067434C" w:rsidRDefault="0045050D" w:rsidP="00FF7E00">
            <w:pPr>
              <w:pStyle w:val="TableText"/>
              <w:jc w:val="center"/>
              <w:rPr>
                <w:b/>
                <w:sz w:val="16"/>
                <w:szCs w:val="16"/>
                <w:lang w:val="es-ES"/>
              </w:rPr>
            </w:pPr>
            <w:r w:rsidRPr="0067434C">
              <w:rPr>
                <w:b/>
                <w:sz w:val="16"/>
                <w:szCs w:val="16"/>
                <w:lang w:val="es-ES"/>
              </w:rPr>
              <w:t>Telefónica</w:t>
            </w:r>
          </w:p>
        </w:tc>
        <w:tc>
          <w:tcPr>
            <w:tcW w:w="1468" w:type="dxa"/>
            <w:shd w:val="clear" w:color="auto" w:fill="808080" w:themeFill="background1" w:themeFillShade="80"/>
          </w:tcPr>
          <w:p w14:paraId="11D2865F" w14:textId="77777777" w:rsidR="0045050D" w:rsidRPr="0067434C" w:rsidRDefault="0045050D" w:rsidP="00FF7E00">
            <w:pPr>
              <w:pStyle w:val="TableText"/>
              <w:jc w:val="center"/>
              <w:rPr>
                <w:b/>
                <w:sz w:val="16"/>
                <w:szCs w:val="16"/>
                <w:lang w:val="es-ES"/>
              </w:rPr>
            </w:pPr>
            <w:r w:rsidRPr="0067434C">
              <w:rPr>
                <w:b/>
                <w:sz w:val="16"/>
                <w:szCs w:val="16"/>
                <w:lang w:val="es-ES"/>
              </w:rPr>
              <w:t>Telcel</w:t>
            </w:r>
          </w:p>
        </w:tc>
        <w:tc>
          <w:tcPr>
            <w:tcW w:w="1469" w:type="dxa"/>
            <w:shd w:val="clear" w:color="auto" w:fill="808080" w:themeFill="background1" w:themeFillShade="80"/>
          </w:tcPr>
          <w:p w14:paraId="5479AEFF" w14:textId="77777777" w:rsidR="0045050D" w:rsidRPr="0067434C" w:rsidRDefault="0045050D" w:rsidP="00FF7E00">
            <w:pPr>
              <w:pStyle w:val="TableText"/>
              <w:jc w:val="center"/>
              <w:rPr>
                <w:b/>
                <w:sz w:val="16"/>
                <w:szCs w:val="16"/>
                <w:lang w:val="es-ES"/>
              </w:rPr>
            </w:pPr>
            <w:r w:rsidRPr="0067434C">
              <w:rPr>
                <w:b/>
                <w:sz w:val="16"/>
                <w:szCs w:val="16"/>
                <w:lang w:val="es-ES"/>
              </w:rPr>
              <w:t>AT&amp;T</w:t>
            </w:r>
          </w:p>
        </w:tc>
      </w:tr>
      <w:tr w:rsidR="0045050D" w:rsidRPr="0067434C" w14:paraId="57DDB1D9" w14:textId="77777777" w:rsidTr="00FF7E00">
        <w:tc>
          <w:tcPr>
            <w:tcW w:w="534" w:type="dxa"/>
          </w:tcPr>
          <w:p w14:paraId="0C2846B4" w14:textId="77777777" w:rsidR="0045050D" w:rsidRPr="0067434C" w:rsidRDefault="0045050D" w:rsidP="00FF7E00">
            <w:pPr>
              <w:pStyle w:val="TableText"/>
              <w:jc w:val="center"/>
              <w:rPr>
                <w:b/>
                <w:sz w:val="16"/>
                <w:szCs w:val="16"/>
              </w:rPr>
            </w:pPr>
            <w:r w:rsidRPr="0067434C">
              <w:rPr>
                <w:b/>
                <w:sz w:val="16"/>
                <w:szCs w:val="16"/>
              </w:rPr>
              <w:t>1</w:t>
            </w:r>
          </w:p>
        </w:tc>
        <w:tc>
          <w:tcPr>
            <w:tcW w:w="945" w:type="dxa"/>
          </w:tcPr>
          <w:p w14:paraId="002D1793"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4</w:t>
            </w:r>
          </w:p>
        </w:tc>
        <w:tc>
          <w:tcPr>
            <w:tcW w:w="945" w:type="dxa"/>
          </w:tcPr>
          <w:p w14:paraId="5CEE0E02"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339C57FE"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0FE87767" w14:textId="77777777" w:rsidR="0045050D" w:rsidRPr="0067434C" w:rsidRDefault="0045050D" w:rsidP="00FF7E00">
            <w:pPr>
              <w:spacing w:before="80" w:after="80"/>
              <w:jc w:val="center"/>
              <w:rPr>
                <w:rFonts w:asciiTheme="majorHAnsi" w:hAnsiTheme="majorHAnsi" w:cstheme="majorHAnsi"/>
                <w:sz w:val="16"/>
                <w:szCs w:val="16"/>
                <w:lang w:val="es-MX"/>
              </w:rPr>
            </w:pPr>
            <w:r w:rsidRPr="0067434C">
              <w:rPr>
                <w:rFonts w:asciiTheme="majorHAnsi" w:hAnsiTheme="majorHAnsi" w:cstheme="majorHAnsi"/>
                <w:sz w:val="16"/>
                <w:szCs w:val="16"/>
                <w:lang w:val="es-MX"/>
              </w:rPr>
              <w:t>Sí</w:t>
            </w:r>
          </w:p>
        </w:tc>
        <w:tc>
          <w:tcPr>
            <w:tcW w:w="1469" w:type="dxa"/>
          </w:tcPr>
          <w:p w14:paraId="643972D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shd w:val="clear" w:color="auto" w:fill="BFBFBF" w:themeFill="background1" w:themeFillShade="BF"/>
          </w:tcPr>
          <w:p w14:paraId="0AF8C7A8"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c>
          <w:tcPr>
            <w:tcW w:w="1469" w:type="dxa"/>
            <w:shd w:val="clear" w:color="auto" w:fill="BFBFBF" w:themeFill="background1" w:themeFillShade="BF"/>
          </w:tcPr>
          <w:p w14:paraId="05102810"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r>
      <w:tr w:rsidR="0045050D" w:rsidRPr="0067434C" w14:paraId="4A0475A9" w14:textId="77777777" w:rsidTr="00FF7E00">
        <w:tc>
          <w:tcPr>
            <w:tcW w:w="534" w:type="dxa"/>
          </w:tcPr>
          <w:p w14:paraId="6EFCA8F9" w14:textId="77777777" w:rsidR="0045050D" w:rsidRPr="0067434C" w:rsidRDefault="0045050D" w:rsidP="00FF7E00">
            <w:pPr>
              <w:pStyle w:val="TableText"/>
              <w:jc w:val="center"/>
              <w:rPr>
                <w:b/>
                <w:sz w:val="16"/>
                <w:szCs w:val="16"/>
              </w:rPr>
            </w:pPr>
            <w:r w:rsidRPr="0067434C">
              <w:rPr>
                <w:b/>
                <w:sz w:val="16"/>
                <w:szCs w:val="16"/>
              </w:rPr>
              <w:t>2</w:t>
            </w:r>
          </w:p>
        </w:tc>
        <w:tc>
          <w:tcPr>
            <w:tcW w:w="945" w:type="dxa"/>
          </w:tcPr>
          <w:p w14:paraId="6DEB3BC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74626F01"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7F496E79"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3F201490"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4CC1B4D9"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shd w:val="clear" w:color="auto" w:fill="BFBFBF" w:themeFill="background1" w:themeFillShade="BF"/>
          </w:tcPr>
          <w:p w14:paraId="3E43CF2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c>
          <w:tcPr>
            <w:tcW w:w="1469" w:type="dxa"/>
            <w:shd w:val="clear" w:color="auto" w:fill="BFBFBF" w:themeFill="background1" w:themeFillShade="BF"/>
          </w:tcPr>
          <w:p w14:paraId="4A701C8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r>
      <w:tr w:rsidR="0045050D" w:rsidRPr="0067434C" w14:paraId="42AFC632" w14:textId="77777777" w:rsidTr="00FF7E00">
        <w:tc>
          <w:tcPr>
            <w:tcW w:w="534" w:type="dxa"/>
          </w:tcPr>
          <w:p w14:paraId="2822BAD3" w14:textId="77777777" w:rsidR="0045050D" w:rsidRPr="0067434C" w:rsidRDefault="0045050D" w:rsidP="00FF7E00">
            <w:pPr>
              <w:pStyle w:val="TableText"/>
              <w:jc w:val="center"/>
              <w:rPr>
                <w:b/>
                <w:sz w:val="16"/>
                <w:szCs w:val="16"/>
              </w:rPr>
            </w:pPr>
            <w:r w:rsidRPr="0067434C">
              <w:rPr>
                <w:b/>
                <w:sz w:val="16"/>
                <w:szCs w:val="16"/>
              </w:rPr>
              <w:t>3</w:t>
            </w:r>
          </w:p>
        </w:tc>
        <w:tc>
          <w:tcPr>
            <w:tcW w:w="945" w:type="dxa"/>
          </w:tcPr>
          <w:p w14:paraId="5765EFBE"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4</w:t>
            </w:r>
          </w:p>
        </w:tc>
        <w:tc>
          <w:tcPr>
            <w:tcW w:w="945" w:type="dxa"/>
          </w:tcPr>
          <w:p w14:paraId="7CAB239C"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4C8224D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1468" w:type="dxa"/>
          </w:tcPr>
          <w:p w14:paraId="37CC07A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294F3AD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shd w:val="clear" w:color="auto" w:fill="BFBFBF" w:themeFill="background1" w:themeFillShade="BF"/>
          </w:tcPr>
          <w:p w14:paraId="5F90E60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c>
          <w:tcPr>
            <w:tcW w:w="1469" w:type="dxa"/>
            <w:shd w:val="clear" w:color="auto" w:fill="BFBFBF" w:themeFill="background1" w:themeFillShade="BF"/>
          </w:tcPr>
          <w:p w14:paraId="54D67768"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r>
      <w:tr w:rsidR="0045050D" w:rsidRPr="0067434C" w14:paraId="21DF8F34" w14:textId="77777777" w:rsidTr="00FF7E00">
        <w:tc>
          <w:tcPr>
            <w:tcW w:w="534" w:type="dxa"/>
          </w:tcPr>
          <w:p w14:paraId="6C5337D7" w14:textId="77777777" w:rsidR="0045050D" w:rsidRPr="0067434C" w:rsidRDefault="0045050D" w:rsidP="00FF7E00">
            <w:pPr>
              <w:pStyle w:val="TableText"/>
              <w:jc w:val="center"/>
              <w:rPr>
                <w:b/>
                <w:sz w:val="16"/>
                <w:szCs w:val="16"/>
              </w:rPr>
            </w:pPr>
            <w:r w:rsidRPr="0067434C">
              <w:rPr>
                <w:b/>
                <w:sz w:val="16"/>
                <w:szCs w:val="16"/>
              </w:rPr>
              <w:t>4</w:t>
            </w:r>
          </w:p>
        </w:tc>
        <w:tc>
          <w:tcPr>
            <w:tcW w:w="945" w:type="dxa"/>
          </w:tcPr>
          <w:p w14:paraId="4F921E7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4</w:t>
            </w:r>
          </w:p>
        </w:tc>
        <w:tc>
          <w:tcPr>
            <w:tcW w:w="945" w:type="dxa"/>
          </w:tcPr>
          <w:p w14:paraId="33A8136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1</w:t>
            </w:r>
          </w:p>
        </w:tc>
        <w:tc>
          <w:tcPr>
            <w:tcW w:w="945" w:type="dxa"/>
          </w:tcPr>
          <w:p w14:paraId="51FD0B2B"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73A245A9"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33576AD1"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shd w:val="clear" w:color="auto" w:fill="BFBFBF" w:themeFill="background1" w:themeFillShade="BF"/>
          </w:tcPr>
          <w:p w14:paraId="3BA9A8AC"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c>
          <w:tcPr>
            <w:tcW w:w="1469" w:type="dxa"/>
            <w:shd w:val="clear" w:color="auto" w:fill="BFBFBF" w:themeFill="background1" w:themeFillShade="BF"/>
          </w:tcPr>
          <w:p w14:paraId="76B892AB"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r>
      <w:tr w:rsidR="0045050D" w:rsidRPr="0067434C" w14:paraId="73D4890D" w14:textId="77777777" w:rsidTr="00FF7E00">
        <w:tc>
          <w:tcPr>
            <w:tcW w:w="534" w:type="dxa"/>
          </w:tcPr>
          <w:p w14:paraId="188572B8" w14:textId="77777777" w:rsidR="0045050D" w:rsidRPr="0067434C" w:rsidRDefault="0045050D" w:rsidP="00FF7E00">
            <w:pPr>
              <w:pStyle w:val="TableText"/>
              <w:jc w:val="center"/>
              <w:rPr>
                <w:b/>
                <w:sz w:val="16"/>
                <w:szCs w:val="16"/>
              </w:rPr>
            </w:pPr>
            <w:r w:rsidRPr="0067434C">
              <w:rPr>
                <w:b/>
                <w:sz w:val="16"/>
                <w:szCs w:val="16"/>
              </w:rPr>
              <w:t>5</w:t>
            </w:r>
          </w:p>
        </w:tc>
        <w:tc>
          <w:tcPr>
            <w:tcW w:w="945" w:type="dxa"/>
          </w:tcPr>
          <w:p w14:paraId="528EB27E"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476267B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2531861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77F1D314"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133BA559"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shd w:val="clear" w:color="auto" w:fill="BFBFBF" w:themeFill="background1" w:themeFillShade="BF"/>
          </w:tcPr>
          <w:p w14:paraId="7242FD34"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c>
          <w:tcPr>
            <w:tcW w:w="1469" w:type="dxa"/>
            <w:shd w:val="clear" w:color="auto" w:fill="BFBFBF" w:themeFill="background1" w:themeFillShade="BF"/>
          </w:tcPr>
          <w:p w14:paraId="0EF8A4BC"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r>
      <w:tr w:rsidR="0045050D" w:rsidRPr="0067434C" w14:paraId="2A317497" w14:textId="77777777" w:rsidTr="00FF7E00">
        <w:tc>
          <w:tcPr>
            <w:tcW w:w="534" w:type="dxa"/>
          </w:tcPr>
          <w:p w14:paraId="3B9A9FE0" w14:textId="77777777" w:rsidR="0045050D" w:rsidRPr="0067434C" w:rsidRDefault="0045050D" w:rsidP="00FF7E00">
            <w:pPr>
              <w:pStyle w:val="TableText"/>
              <w:jc w:val="center"/>
              <w:rPr>
                <w:b/>
                <w:sz w:val="16"/>
                <w:szCs w:val="16"/>
              </w:rPr>
            </w:pPr>
            <w:r w:rsidRPr="0067434C">
              <w:rPr>
                <w:b/>
                <w:sz w:val="16"/>
                <w:szCs w:val="16"/>
              </w:rPr>
              <w:t>6</w:t>
            </w:r>
          </w:p>
        </w:tc>
        <w:tc>
          <w:tcPr>
            <w:tcW w:w="945" w:type="dxa"/>
          </w:tcPr>
          <w:p w14:paraId="35F41A6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70A6E7CB"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4E173DEC"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6CAF6537"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1FCAF10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shd w:val="clear" w:color="auto" w:fill="BFBFBF" w:themeFill="background1" w:themeFillShade="BF"/>
          </w:tcPr>
          <w:p w14:paraId="478E8C83"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c>
          <w:tcPr>
            <w:tcW w:w="1469" w:type="dxa"/>
            <w:shd w:val="clear" w:color="auto" w:fill="BFBFBF" w:themeFill="background1" w:themeFillShade="BF"/>
          </w:tcPr>
          <w:p w14:paraId="42B1630B"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r>
      <w:tr w:rsidR="0045050D" w:rsidRPr="0067434C" w14:paraId="54C474FB" w14:textId="77777777" w:rsidTr="00FF7E00">
        <w:tc>
          <w:tcPr>
            <w:tcW w:w="534" w:type="dxa"/>
          </w:tcPr>
          <w:p w14:paraId="4652854B" w14:textId="77777777" w:rsidR="0045050D" w:rsidRPr="0067434C" w:rsidRDefault="0045050D" w:rsidP="00FF7E00">
            <w:pPr>
              <w:pStyle w:val="TableText"/>
              <w:jc w:val="center"/>
              <w:rPr>
                <w:b/>
                <w:sz w:val="16"/>
                <w:szCs w:val="16"/>
              </w:rPr>
            </w:pPr>
            <w:r w:rsidRPr="0067434C">
              <w:rPr>
                <w:b/>
                <w:sz w:val="16"/>
                <w:szCs w:val="16"/>
              </w:rPr>
              <w:t>7</w:t>
            </w:r>
          </w:p>
        </w:tc>
        <w:tc>
          <w:tcPr>
            <w:tcW w:w="945" w:type="dxa"/>
          </w:tcPr>
          <w:p w14:paraId="66D0702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4</w:t>
            </w:r>
          </w:p>
        </w:tc>
        <w:tc>
          <w:tcPr>
            <w:tcW w:w="945" w:type="dxa"/>
          </w:tcPr>
          <w:p w14:paraId="656C57B2"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086D3058"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1468" w:type="dxa"/>
          </w:tcPr>
          <w:p w14:paraId="5FE449E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53F4FE82"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78D4B344"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shd w:val="clear" w:color="auto" w:fill="BFBFBF" w:themeFill="background1" w:themeFillShade="BF"/>
          </w:tcPr>
          <w:p w14:paraId="12EE2314"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r>
      <w:tr w:rsidR="0045050D" w:rsidRPr="0067434C" w14:paraId="61E64D00" w14:textId="77777777" w:rsidTr="00FF7E00">
        <w:tc>
          <w:tcPr>
            <w:tcW w:w="534" w:type="dxa"/>
          </w:tcPr>
          <w:p w14:paraId="0FC89C4D" w14:textId="77777777" w:rsidR="0045050D" w:rsidRPr="0067434C" w:rsidRDefault="0045050D" w:rsidP="00FF7E00">
            <w:pPr>
              <w:pStyle w:val="TableText"/>
              <w:jc w:val="center"/>
              <w:rPr>
                <w:b/>
                <w:sz w:val="16"/>
                <w:szCs w:val="16"/>
              </w:rPr>
            </w:pPr>
            <w:r w:rsidRPr="0067434C">
              <w:rPr>
                <w:b/>
                <w:sz w:val="16"/>
                <w:szCs w:val="16"/>
              </w:rPr>
              <w:t>8</w:t>
            </w:r>
          </w:p>
        </w:tc>
        <w:tc>
          <w:tcPr>
            <w:tcW w:w="945" w:type="dxa"/>
          </w:tcPr>
          <w:p w14:paraId="1E20E4A8"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4</w:t>
            </w:r>
          </w:p>
        </w:tc>
        <w:tc>
          <w:tcPr>
            <w:tcW w:w="945" w:type="dxa"/>
          </w:tcPr>
          <w:p w14:paraId="6EF0BAB9"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945" w:type="dxa"/>
          </w:tcPr>
          <w:p w14:paraId="2438462B"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1DE895F2"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7ECD32D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2124385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shd w:val="clear" w:color="auto" w:fill="BFBFBF" w:themeFill="background1" w:themeFillShade="BF"/>
          </w:tcPr>
          <w:p w14:paraId="05928AD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r>
      <w:tr w:rsidR="0045050D" w:rsidRPr="0067434C" w14:paraId="0E576D1C" w14:textId="77777777" w:rsidTr="00FF7E00">
        <w:tc>
          <w:tcPr>
            <w:tcW w:w="534" w:type="dxa"/>
          </w:tcPr>
          <w:p w14:paraId="5B24D77C" w14:textId="77777777" w:rsidR="0045050D" w:rsidRPr="0067434C" w:rsidRDefault="0045050D" w:rsidP="00FF7E00">
            <w:pPr>
              <w:pStyle w:val="TableText"/>
              <w:jc w:val="center"/>
              <w:rPr>
                <w:b/>
                <w:sz w:val="16"/>
                <w:szCs w:val="16"/>
              </w:rPr>
            </w:pPr>
            <w:r w:rsidRPr="0067434C">
              <w:rPr>
                <w:b/>
                <w:sz w:val="16"/>
                <w:szCs w:val="16"/>
              </w:rPr>
              <w:t>9</w:t>
            </w:r>
          </w:p>
        </w:tc>
        <w:tc>
          <w:tcPr>
            <w:tcW w:w="945" w:type="dxa"/>
          </w:tcPr>
          <w:p w14:paraId="2F6B8BC3"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4BDD77E7"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0A4DBE60"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1468" w:type="dxa"/>
          </w:tcPr>
          <w:p w14:paraId="638D1A1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372F3E3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2A73D8D2"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shd w:val="clear" w:color="auto" w:fill="BFBFBF" w:themeFill="background1" w:themeFillShade="BF"/>
          </w:tcPr>
          <w:p w14:paraId="3951B347"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r>
      <w:tr w:rsidR="0045050D" w:rsidRPr="0067434C" w14:paraId="1D46E582" w14:textId="77777777" w:rsidTr="00FF7E00">
        <w:tc>
          <w:tcPr>
            <w:tcW w:w="534" w:type="dxa"/>
          </w:tcPr>
          <w:p w14:paraId="4B017522" w14:textId="77777777" w:rsidR="0045050D" w:rsidRPr="0067434C" w:rsidRDefault="0045050D" w:rsidP="00FF7E00">
            <w:pPr>
              <w:pStyle w:val="TableText"/>
              <w:jc w:val="center"/>
              <w:rPr>
                <w:b/>
                <w:sz w:val="16"/>
                <w:szCs w:val="16"/>
              </w:rPr>
            </w:pPr>
            <w:r w:rsidRPr="0067434C">
              <w:rPr>
                <w:b/>
                <w:sz w:val="16"/>
                <w:szCs w:val="16"/>
              </w:rPr>
              <w:t>10</w:t>
            </w:r>
          </w:p>
        </w:tc>
        <w:tc>
          <w:tcPr>
            <w:tcW w:w="945" w:type="dxa"/>
          </w:tcPr>
          <w:p w14:paraId="11F76867"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5B6D0318"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1</w:t>
            </w:r>
          </w:p>
        </w:tc>
        <w:tc>
          <w:tcPr>
            <w:tcW w:w="945" w:type="dxa"/>
          </w:tcPr>
          <w:p w14:paraId="001C9B18"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6476A65B"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36D8EB92"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3AD2013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shd w:val="clear" w:color="auto" w:fill="BFBFBF" w:themeFill="background1" w:themeFillShade="BF"/>
          </w:tcPr>
          <w:p w14:paraId="2585E8F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r>
      <w:tr w:rsidR="0045050D" w:rsidRPr="0067434C" w14:paraId="0A3EB566" w14:textId="77777777" w:rsidTr="00FF7E00">
        <w:tc>
          <w:tcPr>
            <w:tcW w:w="534" w:type="dxa"/>
          </w:tcPr>
          <w:p w14:paraId="43DF7249" w14:textId="77777777" w:rsidR="0045050D" w:rsidRPr="0067434C" w:rsidRDefault="0045050D" w:rsidP="00FF7E00">
            <w:pPr>
              <w:pStyle w:val="TableText"/>
              <w:jc w:val="center"/>
              <w:rPr>
                <w:b/>
                <w:sz w:val="16"/>
                <w:szCs w:val="16"/>
              </w:rPr>
            </w:pPr>
            <w:r w:rsidRPr="0067434C">
              <w:rPr>
                <w:b/>
                <w:sz w:val="16"/>
                <w:szCs w:val="16"/>
              </w:rPr>
              <w:t>11</w:t>
            </w:r>
          </w:p>
        </w:tc>
        <w:tc>
          <w:tcPr>
            <w:tcW w:w="945" w:type="dxa"/>
          </w:tcPr>
          <w:p w14:paraId="6E302DF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49612A1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2F986C7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05866009"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0F1EF95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32501755"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shd w:val="clear" w:color="auto" w:fill="BFBFBF" w:themeFill="background1" w:themeFillShade="BF"/>
          </w:tcPr>
          <w:p w14:paraId="459BEF78"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r>
      <w:tr w:rsidR="0045050D" w:rsidRPr="0067434C" w14:paraId="1BF355EC" w14:textId="77777777" w:rsidTr="00FF7E00">
        <w:tc>
          <w:tcPr>
            <w:tcW w:w="534" w:type="dxa"/>
          </w:tcPr>
          <w:p w14:paraId="22C1C5A0" w14:textId="77777777" w:rsidR="0045050D" w:rsidRPr="0067434C" w:rsidRDefault="0045050D" w:rsidP="00FF7E00">
            <w:pPr>
              <w:pStyle w:val="TableText"/>
              <w:jc w:val="center"/>
              <w:rPr>
                <w:b/>
                <w:sz w:val="16"/>
                <w:szCs w:val="16"/>
              </w:rPr>
            </w:pPr>
            <w:r w:rsidRPr="0067434C">
              <w:rPr>
                <w:b/>
                <w:sz w:val="16"/>
                <w:szCs w:val="16"/>
              </w:rPr>
              <w:t>12</w:t>
            </w:r>
          </w:p>
        </w:tc>
        <w:tc>
          <w:tcPr>
            <w:tcW w:w="945" w:type="dxa"/>
          </w:tcPr>
          <w:p w14:paraId="7EC74E1B"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1</w:t>
            </w:r>
          </w:p>
        </w:tc>
        <w:tc>
          <w:tcPr>
            <w:tcW w:w="945" w:type="dxa"/>
          </w:tcPr>
          <w:p w14:paraId="3F0C70D9"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5B52053B"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749F7E73"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25C2EFB3"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42726B7C"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shd w:val="clear" w:color="auto" w:fill="BFBFBF" w:themeFill="background1" w:themeFillShade="BF"/>
          </w:tcPr>
          <w:p w14:paraId="3A925C7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No</w:t>
            </w:r>
          </w:p>
        </w:tc>
      </w:tr>
      <w:tr w:rsidR="0045050D" w:rsidRPr="0067434C" w14:paraId="22788224" w14:textId="77777777" w:rsidTr="00FF7E00">
        <w:tc>
          <w:tcPr>
            <w:tcW w:w="534" w:type="dxa"/>
          </w:tcPr>
          <w:p w14:paraId="6133F3C8" w14:textId="77777777" w:rsidR="0045050D" w:rsidRPr="0067434C" w:rsidRDefault="0045050D" w:rsidP="00FF7E00">
            <w:pPr>
              <w:pStyle w:val="TableText"/>
              <w:jc w:val="center"/>
              <w:rPr>
                <w:b/>
                <w:sz w:val="16"/>
                <w:szCs w:val="16"/>
              </w:rPr>
            </w:pPr>
            <w:r w:rsidRPr="0067434C">
              <w:rPr>
                <w:b/>
                <w:sz w:val="16"/>
                <w:szCs w:val="16"/>
              </w:rPr>
              <w:t>13</w:t>
            </w:r>
          </w:p>
        </w:tc>
        <w:tc>
          <w:tcPr>
            <w:tcW w:w="945" w:type="dxa"/>
          </w:tcPr>
          <w:p w14:paraId="211C3093"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4</w:t>
            </w:r>
          </w:p>
        </w:tc>
        <w:tc>
          <w:tcPr>
            <w:tcW w:w="945" w:type="dxa"/>
          </w:tcPr>
          <w:p w14:paraId="518046F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1</w:t>
            </w:r>
          </w:p>
        </w:tc>
        <w:tc>
          <w:tcPr>
            <w:tcW w:w="945" w:type="dxa"/>
          </w:tcPr>
          <w:p w14:paraId="412FBAE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1468" w:type="dxa"/>
          </w:tcPr>
          <w:p w14:paraId="5F227188"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476A5608"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557352C3"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443AE539"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r w:rsidR="0045050D" w:rsidRPr="0067434C" w14:paraId="166E9AE8" w14:textId="77777777" w:rsidTr="00FF7E00">
        <w:tc>
          <w:tcPr>
            <w:tcW w:w="534" w:type="dxa"/>
          </w:tcPr>
          <w:p w14:paraId="04256F08" w14:textId="77777777" w:rsidR="0045050D" w:rsidRPr="0067434C" w:rsidRDefault="0045050D" w:rsidP="00FF7E00">
            <w:pPr>
              <w:pStyle w:val="TableText"/>
              <w:jc w:val="center"/>
              <w:rPr>
                <w:b/>
                <w:sz w:val="16"/>
                <w:szCs w:val="16"/>
              </w:rPr>
            </w:pPr>
            <w:r w:rsidRPr="0067434C">
              <w:rPr>
                <w:b/>
                <w:sz w:val="16"/>
                <w:szCs w:val="16"/>
              </w:rPr>
              <w:t>14</w:t>
            </w:r>
          </w:p>
        </w:tc>
        <w:tc>
          <w:tcPr>
            <w:tcW w:w="945" w:type="dxa"/>
          </w:tcPr>
          <w:p w14:paraId="2B21321E"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338C62D2"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2BB7D56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1468" w:type="dxa"/>
          </w:tcPr>
          <w:p w14:paraId="468386D9"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3ED8FAE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251EB2C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25BE73D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r w:rsidR="0045050D" w:rsidRPr="0067434C" w14:paraId="620A9933" w14:textId="77777777" w:rsidTr="00FF7E00">
        <w:tc>
          <w:tcPr>
            <w:tcW w:w="534" w:type="dxa"/>
          </w:tcPr>
          <w:p w14:paraId="2C3978AB" w14:textId="77777777" w:rsidR="0045050D" w:rsidRPr="0067434C" w:rsidRDefault="0045050D" w:rsidP="00FF7E00">
            <w:pPr>
              <w:pStyle w:val="TableText"/>
              <w:jc w:val="center"/>
              <w:rPr>
                <w:b/>
                <w:sz w:val="16"/>
                <w:szCs w:val="16"/>
              </w:rPr>
            </w:pPr>
            <w:r w:rsidRPr="0067434C">
              <w:rPr>
                <w:b/>
                <w:sz w:val="16"/>
                <w:szCs w:val="16"/>
              </w:rPr>
              <w:t>15</w:t>
            </w:r>
          </w:p>
        </w:tc>
        <w:tc>
          <w:tcPr>
            <w:tcW w:w="945" w:type="dxa"/>
          </w:tcPr>
          <w:p w14:paraId="33D70F6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5C77206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945" w:type="dxa"/>
          </w:tcPr>
          <w:p w14:paraId="612434B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45081E83"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638757FC"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5A475AE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7E782404"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r w:rsidR="0045050D" w:rsidRPr="0067434C" w14:paraId="44BC8401" w14:textId="77777777" w:rsidTr="00FF7E00">
        <w:tc>
          <w:tcPr>
            <w:tcW w:w="534" w:type="dxa"/>
          </w:tcPr>
          <w:p w14:paraId="4BA41B29" w14:textId="77777777" w:rsidR="0045050D" w:rsidRPr="0067434C" w:rsidRDefault="0045050D" w:rsidP="00FF7E00">
            <w:pPr>
              <w:pStyle w:val="TableText"/>
              <w:jc w:val="center"/>
              <w:rPr>
                <w:b/>
                <w:sz w:val="16"/>
                <w:szCs w:val="16"/>
              </w:rPr>
            </w:pPr>
            <w:r w:rsidRPr="0067434C">
              <w:rPr>
                <w:b/>
                <w:sz w:val="16"/>
                <w:szCs w:val="16"/>
              </w:rPr>
              <w:t>16</w:t>
            </w:r>
          </w:p>
        </w:tc>
        <w:tc>
          <w:tcPr>
            <w:tcW w:w="945" w:type="dxa"/>
          </w:tcPr>
          <w:p w14:paraId="71B2C15E"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71B12C4E"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34FDA19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1468" w:type="dxa"/>
          </w:tcPr>
          <w:p w14:paraId="012D4EC4"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4233630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486C1695"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75AB3927"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r w:rsidR="0045050D" w:rsidRPr="0067434C" w14:paraId="6A41FB23" w14:textId="77777777" w:rsidTr="00FF7E00">
        <w:tc>
          <w:tcPr>
            <w:tcW w:w="534" w:type="dxa"/>
          </w:tcPr>
          <w:p w14:paraId="0F20F781" w14:textId="77777777" w:rsidR="0045050D" w:rsidRPr="0067434C" w:rsidRDefault="0045050D" w:rsidP="00FF7E00">
            <w:pPr>
              <w:pStyle w:val="TableText"/>
              <w:jc w:val="center"/>
              <w:rPr>
                <w:b/>
                <w:sz w:val="16"/>
                <w:szCs w:val="16"/>
              </w:rPr>
            </w:pPr>
            <w:r w:rsidRPr="0067434C">
              <w:rPr>
                <w:b/>
                <w:sz w:val="16"/>
                <w:szCs w:val="16"/>
              </w:rPr>
              <w:t>17</w:t>
            </w:r>
          </w:p>
        </w:tc>
        <w:tc>
          <w:tcPr>
            <w:tcW w:w="945" w:type="dxa"/>
          </w:tcPr>
          <w:p w14:paraId="7EC3BADE"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35E4E0E4"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1</w:t>
            </w:r>
          </w:p>
        </w:tc>
        <w:tc>
          <w:tcPr>
            <w:tcW w:w="945" w:type="dxa"/>
          </w:tcPr>
          <w:p w14:paraId="2894699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60A47D41"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216622EC"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66567852"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1E52D1A9"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r w:rsidR="0045050D" w:rsidRPr="0067434C" w14:paraId="1B0FA32C" w14:textId="77777777" w:rsidTr="00FF7E00">
        <w:tc>
          <w:tcPr>
            <w:tcW w:w="534" w:type="dxa"/>
          </w:tcPr>
          <w:p w14:paraId="004C5725" w14:textId="77777777" w:rsidR="0045050D" w:rsidRPr="0067434C" w:rsidRDefault="0045050D" w:rsidP="00FF7E00">
            <w:pPr>
              <w:pStyle w:val="TableText"/>
              <w:jc w:val="center"/>
              <w:rPr>
                <w:b/>
                <w:sz w:val="16"/>
                <w:szCs w:val="16"/>
              </w:rPr>
            </w:pPr>
            <w:r w:rsidRPr="0067434C">
              <w:rPr>
                <w:b/>
                <w:sz w:val="16"/>
                <w:szCs w:val="16"/>
              </w:rPr>
              <w:t>18</w:t>
            </w:r>
          </w:p>
        </w:tc>
        <w:tc>
          <w:tcPr>
            <w:tcW w:w="945" w:type="dxa"/>
          </w:tcPr>
          <w:p w14:paraId="0BB7C95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1</w:t>
            </w:r>
          </w:p>
        </w:tc>
        <w:tc>
          <w:tcPr>
            <w:tcW w:w="945" w:type="dxa"/>
          </w:tcPr>
          <w:p w14:paraId="24B49AA1"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3F9CC9E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7CFB6392"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5327D1B9"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39A57F73"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1D171F11"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r w:rsidR="0045050D" w:rsidRPr="0067434C" w14:paraId="6CC2EAFA" w14:textId="77777777" w:rsidTr="00FF7E00">
        <w:tc>
          <w:tcPr>
            <w:tcW w:w="534" w:type="dxa"/>
          </w:tcPr>
          <w:p w14:paraId="41F39A36" w14:textId="77777777" w:rsidR="0045050D" w:rsidRPr="0067434C" w:rsidRDefault="0045050D" w:rsidP="00FF7E00">
            <w:pPr>
              <w:pStyle w:val="TableText"/>
              <w:jc w:val="center"/>
              <w:rPr>
                <w:b/>
                <w:sz w:val="16"/>
                <w:szCs w:val="16"/>
              </w:rPr>
            </w:pPr>
            <w:r w:rsidRPr="0067434C">
              <w:rPr>
                <w:b/>
                <w:sz w:val="16"/>
                <w:szCs w:val="16"/>
              </w:rPr>
              <w:t>19</w:t>
            </w:r>
          </w:p>
        </w:tc>
        <w:tc>
          <w:tcPr>
            <w:tcW w:w="945" w:type="dxa"/>
          </w:tcPr>
          <w:p w14:paraId="396FF18B"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945" w:type="dxa"/>
          </w:tcPr>
          <w:p w14:paraId="169238DE"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029C4830"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4089FB01"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086F3D98" w14:textId="77777777" w:rsidR="0045050D" w:rsidRPr="00D23B9F" w:rsidRDefault="0045050D" w:rsidP="00FF7E00">
            <w:pPr>
              <w:spacing w:before="80" w:after="80"/>
              <w:jc w:val="center"/>
              <w:rPr>
                <w:rFonts w:asciiTheme="majorHAnsi" w:hAnsiTheme="majorHAnsi" w:cstheme="majorHAnsi"/>
                <w:sz w:val="16"/>
                <w:szCs w:val="16"/>
                <w:lang w:val="es-ES"/>
              </w:rPr>
            </w:pPr>
            <w:r w:rsidRPr="0067434C">
              <w:rPr>
                <w:rFonts w:asciiTheme="majorHAnsi" w:hAnsiTheme="majorHAnsi" w:cstheme="majorHAnsi"/>
                <w:sz w:val="16"/>
                <w:szCs w:val="16"/>
                <w:lang w:val="es-MX"/>
              </w:rPr>
              <w:t>Sí</w:t>
            </w:r>
            <w:r>
              <w:rPr>
                <w:rFonts w:asciiTheme="majorHAnsi" w:hAnsiTheme="majorHAnsi" w:cstheme="majorHAnsi"/>
                <w:sz w:val="16"/>
                <w:szCs w:val="16"/>
                <w:lang w:val="es-MX"/>
              </w:rPr>
              <w:t xml:space="preserve">, si se seleccionaron el Conjunto 2 o el Conjunto 3 </w:t>
            </w:r>
            <w:r w:rsidRPr="00D23B9F">
              <w:rPr>
                <w:rFonts w:asciiTheme="majorHAnsi" w:hAnsiTheme="majorHAnsi" w:cstheme="majorHAnsi"/>
                <w:sz w:val="20"/>
                <w:szCs w:val="20"/>
                <w:lang w:val="es-ES"/>
              </w:rPr>
              <w:t>†</w:t>
            </w:r>
          </w:p>
        </w:tc>
        <w:tc>
          <w:tcPr>
            <w:tcW w:w="1468" w:type="dxa"/>
          </w:tcPr>
          <w:p w14:paraId="2E9AADBC" w14:textId="77777777" w:rsidR="0045050D" w:rsidRPr="00D23B9F" w:rsidRDefault="0045050D" w:rsidP="00FF7E00">
            <w:pPr>
              <w:spacing w:before="80" w:after="80"/>
              <w:jc w:val="center"/>
              <w:rPr>
                <w:rFonts w:asciiTheme="majorHAnsi" w:hAnsiTheme="majorHAnsi" w:cstheme="majorHAnsi"/>
                <w:sz w:val="16"/>
                <w:szCs w:val="16"/>
                <w:lang w:val="es-ES"/>
              </w:rPr>
            </w:pPr>
            <w:r w:rsidRPr="0067434C">
              <w:rPr>
                <w:rFonts w:asciiTheme="majorHAnsi" w:hAnsiTheme="majorHAnsi" w:cstheme="majorHAnsi"/>
                <w:sz w:val="16"/>
                <w:szCs w:val="16"/>
                <w:lang w:val="es-MX"/>
              </w:rPr>
              <w:t>Sí</w:t>
            </w:r>
            <w:r>
              <w:rPr>
                <w:rFonts w:asciiTheme="majorHAnsi" w:hAnsiTheme="majorHAnsi" w:cstheme="majorHAnsi"/>
                <w:sz w:val="16"/>
                <w:szCs w:val="16"/>
                <w:lang w:val="es-MX"/>
              </w:rPr>
              <w:t>, si se seleccionaron el Conjunto 2 o el Conjunto 3</w:t>
            </w:r>
            <w:r w:rsidRPr="00D23B9F">
              <w:rPr>
                <w:rFonts w:asciiTheme="majorHAnsi" w:hAnsiTheme="majorHAnsi" w:cstheme="majorHAnsi"/>
                <w:sz w:val="20"/>
                <w:szCs w:val="20"/>
                <w:lang w:val="es-ES"/>
              </w:rPr>
              <w:t xml:space="preserve"> †</w:t>
            </w:r>
          </w:p>
        </w:tc>
        <w:tc>
          <w:tcPr>
            <w:tcW w:w="1469" w:type="dxa"/>
          </w:tcPr>
          <w:p w14:paraId="7F07E401"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r w:rsidR="0045050D" w:rsidRPr="0067434C" w14:paraId="48EA3550" w14:textId="77777777" w:rsidTr="00FF7E00">
        <w:tc>
          <w:tcPr>
            <w:tcW w:w="534" w:type="dxa"/>
          </w:tcPr>
          <w:p w14:paraId="0CBD7953" w14:textId="77777777" w:rsidR="0045050D" w:rsidRPr="0067434C" w:rsidRDefault="0045050D" w:rsidP="00FF7E00">
            <w:pPr>
              <w:pStyle w:val="TableText"/>
              <w:jc w:val="center"/>
              <w:rPr>
                <w:b/>
                <w:sz w:val="16"/>
                <w:szCs w:val="16"/>
              </w:rPr>
            </w:pPr>
            <w:r w:rsidRPr="0067434C">
              <w:rPr>
                <w:b/>
                <w:sz w:val="16"/>
                <w:szCs w:val="16"/>
              </w:rPr>
              <w:t>20</w:t>
            </w:r>
          </w:p>
        </w:tc>
        <w:tc>
          <w:tcPr>
            <w:tcW w:w="945" w:type="dxa"/>
          </w:tcPr>
          <w:p w14:paraId="5BE42C68"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4</w:t>
            </w:r>
          </w:p>
        </w:tc>
        <w:tc>
          <w:tcPr>
            <w:tcW w:w="945" w:type="dxa"/>
          </w:tcPr>
          <w:p w14:paraId="5B888804"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945" w:type="dxa"/>
          </w:tcPr>
          <w:p w14:paraId="1FD6F36C"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1468" w:type="dxa"/>
          </w:tcPr>
          <w:p w14:paraId="14453447"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3DF34A8E"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397FFD5B"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7E2768BE"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r w:rsidR="0045050D" w:rsidRPr="0067434C" w14:paraId="2E475880" w14:textId="77777777" w:rsidTr="00FF7E00">
        <w:tc>
          <w:tcPr>
            <w:tcW w:w="534" w:type="dxa"/>
          </w:tcPr>
          <w:p w14:paraId="5C0C144E" w14:textId="77777777" w:rsidR="0045050D" w:rsidRPr="0067434C" w:rsidRDefault="0045050D" w:rsidP="00FF7E00">
            <w:pPr>
              <w:pStyle w:val="TableText"/>
              <w:jc w:val="center"/>
              <w:rPr>
                <w:b/>
                <w:sz w:val="16"/>
                <w:szCs w:val="16"/>
              </w:rPr>
            </w:pPr>
            <w:r w:rsidRPr="0067434C">
              <w:rPr>
                <w:b/>
                <w:sz w:val="16"/>
                <w:szCs w:val="16"/>
              </w:rPr>
              <w:t>21</w:t>
            </w:r>
          </w:p>
        </w:tc>
        <w:tc>
          <w:tcPr>
            <w:tcW w:w="945" w:type="dxa"/>
          </w:tcPr>
          <w:p w14:paraId="5673D0CC"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341E017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1</w:t>
            </w:r>
          </w:p>
        </w:tc>
        <w:tc>
          <w:tcPr>
            <w:tcW w:w="945" w:type="dxa"/>
          </w:tcPr>
          <w:p w14:paraId="7E2C2160"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1468" w:type="dxa"/>
          </w:tcPr>
          <w:p w14:paraId="7E096193"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48F12E6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678EE655"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702749CE"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r w:rsidR="0045050D" w:rsidRPr="0067434C" w14:paraId="11143E6C" w14:textId="77777777" w:rsidTr="00FF7E00">
        <w:tc>
          <w:tcPr>
            <w:tcW w:w="534" w:type="dxa"/>
          </w:tcPr>
          <w:p w14:paraId="021AF94D" w14:textId="77777777" w:rsidR="0045050D" w:rsidRPr="0067434C" w:rsidRDefault="0045050D" w:rsidP="00FF7E00">
            <w:pPr>
              <w:pStyle w:val="TableText"/>
              <w:jc w:val="center"/>
              <w:rPr>
                <w:b/>
                <w:sz w:val="16"/>
                <w:szCs w:val="16"/>
              </w:rPr>
            </w:pPr>
            <w:r w:rsidRPr="0067434C">
              <w:rPr>
                <w:b/>
                <w:sz w:val="16"/>
                <w:szCs w:val="16"/>
              </w:rPr>
              <w:t>22</w:t>
            </w:r>
          </w:p>
        </w:tc>
        <w:tc>
          <w:tcPr>
            <w:tcW w:w="945" w:type="dxa"/>
          </w:tcPr>
          <w:p w14:paraId="5FDAA76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62562A7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1EA7D93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1468" w:type="dxa"/>
          </w:tcPr>
          <w:p w14:paraId="2845FA57"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1FA194C7"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14D5607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58E2D50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r w:rsidR="0045050D" w:rsidRPr="0067434C" w14:paraId="38B11B29" w14:textId="77777777" w:rsidTr="00FF7E00">
        <w:tc>
          <w:tcPr>
            <w:tcW w:w="534" w:type="dxa"/>
          </w:tcPr>
          <w:p w14:paraId="50AB81E3" w14:textId="77777777" w:rsidR="0045050D" w:rsidRPr="0067434C" w:rsidRDefault="0045050D" w:rsidP="00FF7E00">
            <w:pPr>
              <w:pStyle w:val="TableText"/>
              <w:jc w:val="center"/>
              <w:rPr>
                <w:b/>
                <w:sz w:val="16"/>
                <w:szCs w:val="16"/>
              </w:rPr>
            </w:pPr>
            <w:r w:rsidRPr="0067434C">
              <w:rPr>
                <w:b/>
                <w:sz w:val="16"/>
                <w:szCs w:val="16"/>
              </w:rPr>
              <w:t>23</w:t>
            </w:r>
          </w:p>
        </w:tc>
        <w:tc>
          <w:tcPr>
            <w:tcW w:w="945" w:type="dxa"/>
          </w:tcPr>
          <w:p w14:paraId="5EA2B45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945" w:type="dxa"/>
          </w:tcPr>
          <w:p w14:paraId="22ED1D0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945" w:type="dxa"/>
          </w:tcPr>
          <w:p w14:paraId="7D7FBB48"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2840B145"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54DD5E23"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4B7135C9"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51294E63"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r w:rsidR="0045050D" w:rsidRPr="0067434C" w14:paraId="5582EE44" w14:textId="77777777" w:rsidTr="00FF7E00">
        <w:tc>
          <w:tcPr>
            <w:tcW w:w="534" w:type="dxa"/>
          </w:tcPr>
          <w:p w14:paraId="7D6BBCA5" w14:textId="77777777" w:rsidR="0045050D" w:rsidRPr="0067434C" w:rsidRDefault="0045050D" w:rsidP="00FF7E00">
            <w:pPr>
              <w:pStyle w:val="TableText"/>
              <w:jc w:val="center"/>
              <w:rPr>
                <w:b/>
                <w:sz w:val="16"/>
                <w:szCs w:val="16"/>
              </w:rPr>
            </w:pPr>
            <w:r w:rsidRPr="0067434C">
              <w:rPr>
                <w:b/>
                <w:sz w:val="16"/>
                <w:szCs w:val="16"/>
              </w:rPr>
              <w:t>24</w:t>
            </w:r>
          </w:p>
        </w:tc>
        <w:tc>
          <w:tcPr>
            <w:tcW w:w="945" w:type="dxa"/>
          </w:tcPr>
          <w:p w14:paraId="29311475"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1</w:t>
            </w:r>
          </w:p>
        </w:tc>
        <w:tc>
          <w:tcPr>
            <w:tcW w:w="945" w:type="dxa"/>
          </w:tcPr>
          <w:p w14:paraId="5AEA928F"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3</w:t>
            </w:r>
          </w:p>
        </w:tc>
        <w:tc>
          <w:tcPr>
            <w:tcW w:w="945" w:type="dxa"/>
          </w:tcPr>
          <w:p w14:paraId="740571C8"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0</w:t>
            </w:r>
          </w:p>
        </w:tc>
        <w:tc>
          <w:tcPr>
            <w:tcW w:w="1468" w:type="dxa"/>
          </w:tcPr>
          <w:p w14:paraId="0FEAECD6"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428C85DD"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23F84B00"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0761FF11"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r w:rsidR="0045050D" w:rsidRPr="0067434C" w14:paraId="36AEB000" w14:textId="77777777" w:rsidTr="00FF7E00">
        <w:tc>
          <w:tcPr>
            <w:tcW w:w="534" w:type="dxa"/>
          </w:tcPr>
          <w:p w14:paraId="1AFB7E4C" w14:textId="77777777" w:rsidR="0045050D" w:rsidRPr="0067434C" w:rsidRDefault="0045050D" w:rsidP="00FF7E00">
            <w:pPr>
              <w:pStyle w:val="TableText"/>
              <w:jc w:val="center"/>
              <w:rPr>
                <w:b/>
                <w:sz w:val="16"/>
                <w:szCs w:val="16"/>
              </w:rPr>
            </w:pPr>
            <w:r w:rsidRPr="0067434C">
              <w:rPr>
                <w:b/>
                <w:sz w:val="16"/>
                <w:szCs w:val="16"/>
              </w:rPr>
              <w:t>25</w:t>
            </w:r>
          </w:p>
        </w:tc>
        <w:tc>
          <w:tcPr>
            <w:tcW w:w="945" w:type="dxa"/>
          </w:tcPr>
          <w:p w14:paraId="3D28EA0C"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1</w:t>
            </w:r>
          </w:p>
        </w:tc>
        <w:tc>
          <w:tcPr>
            <w:tcW w:w="945" w:type="dxa"/>
          </w:tcPr>
          <w:p w14:paraId="65A7B04A"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1</w:t>
            </w:r>
          </w:p>
        </w:tc>
        <w:tc>
          <w:tcPr>
            <w:tcW w:w="945" w:type="dxa"/>
          </w:tcPr>
          <w:p w14:paraId="6D22F03B"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rPr>
              <w:t>2</w:t>
            </w:r>
          </w:p>
        </w:tc>
        <w:tc>
          <w:tcPr>
            <w:tcW w:w="1468" w:type="dxa"/>
          </w:tcPr>
          <w:p w14:paraId="7066F01B"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38163292"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8" w:type="dxa"/>
          </w:tcPr>
          <w:p w14:paraId="469EE122"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c>
          <w:tcPr>
            <w:tcW w:w="1469" w:type="dxa"/>
          </w:tcPr>
          <w:p w14:paraId="582FA3E0" w14:textId="77777777" w:rsidR="0045050D" w:rsidRPr="0067434C" w:rsidRDefault="0045050D" w:rsidP="00FF7E00">
            <w:pPr>
              <w:spacing w:before="80" w:after="80"/>
              <w:jc w:val="center"/>
              <w:rPr>
                <w:rFonts w:asciiTheme="majorHAnsi" w:hAnsiTheme="majorHAnsi" w:cstheme="majorHAnsi"/>
                <w:sz w:val="16"/>
                <w:szCs w:val="16"/>
              </w:rPr>
            </w:pPr>
            <w:r w:rsidRPr="0067434C">
              <w:rPr>
                <w:rFonts w:asciiTheme="majorHAnsi" w:hAnsiTheme="majorHAnsi" w:cstheme="majorHAnsi"/>
                <w:sz w:val="16"/>
                <w:szCs w:val="16"/>
                <w:lang w:val="es-MX"/>
              </w:rPr>
              <w:t>Sí</w:t>
            </w:r>
          </w:p>
        </w:tc>
      </w:tr>
    </w:tbl>
    <w:p w14:paraId="66A2D1DB" w14:textId="77777777" w:rsidR="0045050D" w:rsidRDefault="0045050D" w:rsidP="0045050D">
      <w:r>
        <w:br w:type="page"/>
      </w:r>
    </w:p>
    <w:tbl>
      <w:tblPr>
        <w:tblStyle w:val="Tablaconcuadrcula"/>
        <w:tblW w:w="0" w:type="auto"/>
        <w:tblLayout w:type="fixed"/>
        <w:tblLook w:val="04A0" w:firstRow="1" w:lastRow="0" w:firstColumn="1" w:lastColumn="0" w:noHBand="0" w:noVBand="1"/>
      </w:tblPr>
      <w:tblGrid>
        <w:gridCol w:w="534"/>
        <w:gridCol w:w="945"/>
        <w:gridCol w:w="945"/>
        <w:gridCol w:w="945"/>
        <w:gridCol w:w="1468"/>
        <w:gridCol w:w="1469"/>
        <w:gridCol w:w="1468"/>
        <w:gridCol w:w="1469"/>
      </w:tblGrid>
      <w:tr w:rsidR="0045050D" w:rsidRPr="0067434C" w14:paraId="1A134EBB" w14:textId="77777777" w:rsidTr="00FF7E00">
        <w:tc>
          <w:tcPr>
            <w:tcW w:w="534" w:type="dxa"/>
          </w:tcPr>
          <w:p w14:paraId="0F59A0F1" w14:textId="77777777" w:rsidR="0045050D" w:rsidRPr="00D23B9F" w:rsidRDefault="0045050D" w:rsidP="00FF7E00">
            <w:pPr>
              <w:pStyle w:val="TableText"/>
              <w:jc w:val="center"/>
              <w:rPr>
                <w:b/>
                <w:sz w:val="16"/>
                <w:szCs w:val="16"/>
              </w:rPr>
            </w:pPr>
            <w:r w:rsidRPr="00D23B9F">
              <w:rPr>
                <w:b/>
                <w:sz w:val="16"/>
                <w:szCs w:val="16"/>
              </w:rPr>
              <w:t>26</w:t>
            </w:r>
          </w:p>
        </w:tc>
        <w:tc>
          <w:tcPr>
            <w:tcW w:w="945" w:type="dxa"/>
          </w:tcPr>
          <w:p w14:paraId="7C8003F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5625AA7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tcPr>
          <w:p w14:paraId="7E0A9CC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782D8BE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065D28D0" w14:textId="77777777" w:rsidR="0045050D" w:rsidRPr="00D23B9F" w:rsidRDefault="0045050D" w:rsidP="00FF7E00">
            <w:pPr>
              <w:spacing w:before="80" w:after="80"/>
              <w:jc w:val="center"/>
              <w:rPr>
                <w:rFonts w:asciiTheme="majorHAnsi" w:hAnsiTheme="majorHAnsi" w:cstheme="majorHAnsi"/>
                <w:sz w:val="16"/>
                <w:szCs w:val="16"/>
                <w:lang w:val="es-ES"/>
              </w:rPr>
            </w:pPr>
            <w:r w:rsidRPr="00D23B9F">
              <w:rPr>
                <w:rFonts w:asciiTheme="majorHAnsi" w:hAnsiTheme="majorHAnsi" w:cstheme="majorHAnsi"/>
                <w:sz w:val="16"/>
                <w:szCs w:val="16"/>
                <w:lang w:val="es-MX"/>
              </w:rPr>
              <w:t>Sí</w:t>
            </w:r>
            <w:r>
              <w:rPr>
                <w:rFonts w:asciiTheme="majorHAnsi" w:hAnsiTheme="majorHAnsi" w:cstheme="majorHAnsi"/>
                <w:sz w:val="16"/>
                <w:szCs w:val="16"/>
                <w:lang w:val="es-MX"/>
              </w:rPr>
              <w:t xml:space="preserve">, si se seleccionaron el Conjunto 2 o el Conjunto 3 </w:t>
            </w:r>
            <w:r w:rsidRPr="00962CD0">
              <w:rPr>
                <w:rFonts w:asciiTheme="majorHAnsi" w:hAnsiTheme="majorHAnsi" w:cstheme="majorHAnsi"/>
                <w:sz w:val="20"/>
                <w:szCs w:val="20"/>
                <w:lang w:val="es-ES"/>
              </w:rPr>
              <w:t>†</w:t>
            </w:r>
          </w:p>
        </w:tc>
        <w:tc>
          <w:tcPr>
            <w:tcW w:w="1468" w:type="dxa"/>
          </w:tcPr>
          <w:p w14:paraId="3EF36BD6" w14:textId="77777777" w:rsidR="0045050D" w:rsidRPr="00D23B9F" w:rsidRDefault="0045050D" w:rsidP="00FF7E00">
            <w:pPr>
              <w:spacing w:before="80" w:after="80"/>
              <w:jc w:val="center"/>
              <w:rPr>
                <w:rFonts w:asciiTheme="majorHAnsi" w:hAnsiTheme="majorHAnsi" w:cstheme="majorHAnsi"/>
                <w:sz w:val="16"/>
                <w:szCs w:val="16"/>
                <w:lang w:val="es-ES"/>
              </w:rPr>
            </w:pPr>
            <w:r w:rsidRPr="00D23B9F">
              <w:rPr>
                <w:rFonts w:asciiTheme="majorHAnsi" w:hAnsiTheme="majorHAnsi" w:cstheme="majorHAnsi"/>
                <w:sz w:val="16"/>
                <w:szCs w:val="16"/>
                <w:lang w:val="es-MX"/>
              </w:rPr>
              <w:t>Sí</w:t>
            </w:r>
            <w:r>
              <w:rPr>
                <w:rFonts w:asciiTheme="majorHAnsi" w:hAnsiTheme="majorHAnsi" w:cstheme="majorHAnsi"/>
                <w:sz w:val="16"/>
                <w:szCs w:val="16"/>
                <w:lang w:val="es-MX"/>
              </w:rPr>
              <w:t xml:space="preserve">, si se seleccionaron el Conjunto 2 o el Conjunto 3 </w:t>
            </w:r>
            <w:r w:rsidRPr="00962CD0">
              <w:rPr>
                <w:rFonts w:asciiTheme="majorHAnsi" w:hAnsiTheme="majorHAnsi" w:cstheme="majorHAnsi"/>
                <w:sz w:val="20"/>
                <w:szCs w:val="20"/>
                <w:lang w:val="es-ES"/>
              </w:rPr>
              <w:t>†</w:t>
            </w:r>
          </w:p>
        </w:tc>
        <w:tc>
          <w:tcPr>
            <w:tcW w:w="1469" w:type="dxa"/>
          </w:tcPr>
          <w:p w14:paraId="1B7CB40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7CFA76EC" w14:textId="77777777" w:rsidTr="00FF7E00">
        <w:tc>
          <w:tcPr>
            <w:tcW w:w="534" w:type="dxa"/>
          </w:tcPr>
          <w:p w14:paraId="71C01BC5" w14:textId="77777777" w:rsidR="0045050D" w:rsidRPr="00D23B9F" w:rsidRDefault="0045050D" w:rsidP="00FF7E00">
            <w:pPr>
              <w:pStyle w:val="TableText"/>
              <w:jc w:val="center"/>
              <w:rPr>
                <w:b/>
                <w:sz w:val="16"/>
                <w:szCs w:val="16"/>
              </w:rPr>
            </w:pPr>
            <w:r w:rsidRPr="00D23B9F">
              <w:rPr>
                <w:b/>
                <w:sz w:val="16"/>
                <w:szCs w:val="16"/>
              </w:rPr>
              <w:t>27</w:t>
            </w:r>
          </w:p>
        </w:tc>
        <w:tc>
          <w:tcPr>
            <w:tcW w:w="945" w:type="dxa"/>
          </w:tcPr>
          <w:p w14:paraId="71F64B7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tcPr>
          <w:p w14:paraId="10BA6B5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5AB5220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71E83C1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75552ED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tcPr>
          <w:p w14:paraId="5FF3DAA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2917468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775B926F" w14:textId="77777777" w:rsidTr="00FF7E00">
        <w:tc>
          <w:tcPr>
            <w:tcW w:w="534" w:type="dxa"/>
          </w:tcPr>
          <w:p w14:paraId="2FB1248F" w14:textId="77777777" w:rsidR="0045050D" w:rsidRPr="00D23B9F" w:rsidRDefault="0045050D" w:rsidP="00FF7E00">
            <w:pPr>
              <w:pStyle w:val="TableText"/>
              <w:jc w:val="center"/>
              <w:rPr>
                <w:b/>
                <w:sz w:val="16"/>
                <w:szCs w:val="16"/>
              </w:rPr>
            </w:pPr>
            <w:r w:rsidRPr="00D23B9F">
              <w:rPr>
                <w:b/>
                <w:sz w:val="16"/>
                <w:szCs w:val="16"/>
              </w:rPr>
              <w:t>28</w:t>
            </w:r>
          </w:p>
        </w:tc>
        <w:tc>
          <w:tcPr>
            <w:tcW w:w="945" w:type="dxa"/>
          </w:tcPr>
          <w:p w14:paraId="39D4604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tcPr>
          <w:p w14:paraId="237E9E4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tcPr>
          <w:p w14:paraId="4B8B91E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4469A2B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2393FEC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tcPr>
          <w:p w14:paraId="7FA0F56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5CF3283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4FE55998" w14:textId="77777777" w:rsidTr="00FF7E00">
        <w:tc>
          <w:tcPr>
            <w:tcW w:w="534" w:type="dxa"/>
          </w:tcPr>
          <w:p w14:paraId="0F0DAA35" w14:textId="77777777" w:rsidR="0045050D" w:rsidRPr="00D23B9F" w:rsidRDefault="0045050D" w:rsidP="00FF7E00">
            <w:pPr>
              <w:pStyle w:val="TableText"/>
              <w:jc w:val="center"/>
              <w:rPr>
                <w:b/>
                <w:sz w:val="16"/>
                <w:szCs w:val="16"/>
              </w:rPr>
            </w:pPr>
            <w:r w:rsidRPr="00D23B9F">
              <w:rPr>
                <w:b/>
                <w:sz w:val="16"/>
                <w:szCs w:val="16"/>
              </w:rPr>
              <w:t>29</w:t>
            </w:r>
          </w:p>
        </w:tc>
        <w:tc>
          <w:tcPr>
            <w:tcW w:w="945" w:type="dxa"/>
          </w:tcPr>
          <w:p w14:paraId="1A476CB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tcPr>
          <w:p w14:paraId="4122DB4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tcPr>
          <w:p w14:paraId="71425BF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19CE657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1E17B7E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tcPr>
          <w:p w14:paraId="0EF64CA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19E70CD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6A18B701" w14:textId="77777777" w:rsidTr="00FF7E00">
        <w:tc>
          <w:tcPr>
            <w:tcW w:w="534" w:type="dxa"/>
          </w:tcPr>
          <w:p w14:paraId="2CAAF7DC" w14:textId="77777777" w:rsidR="0045050D" w:rsidRPr="00D23B9F" w:rsidRDefault="0045050D" w:rsidP="00FF7E00">
            <w:pPr>
              <w:pStyle w:val="TableText"/>
              <w:jc w:val="center"/>
              <w:rPr>
                <w:b/>
                <w:sz w:val="16"/>
                <w:szCs w:val="16"/>
              </w:rPr>
            </w:pPr>
            <w:r w:rsidRPr="00D23B9F">
              <w:rPr>
                <w:b/>
                <w:sz w:val="16"/>
                <w:szCs w:val="16"/>
              </w:rPr>
              <w:t>30</w:t>
            </w:r>
          </w:p>
        </w:tc>
        <w:tc>
          <w:tcPr>
            <w:tcW w:w="945" w:type="dxa"/>
          </w:tcPr>
          <w:p w14:paraId="35F36C0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tcPr>
          <w:p w14:paraId="5683BF0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174446C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315B6AC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1B1D0AA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tcPr>
          <w:p w14:paraId="442E436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3DDD33C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6DA5AAE3" w14:textId="77777777" w:rsidTr="00FF7E00">
        <w:tc>
          <w:tcPr>
            <w:tcW w:w="534" w:type="dxa"/>
          </w:tcPr>
          <w:p w14:paraId="51318D69" w14:textId="77777777" w:rsidR="0045050D" w:rsidRPr="00D23B9F" w:rsidRDefault="0045050D" w:rsidP="00FF7E00">
            <w:pPr>
              <w:pStyle w:val="TableText"/>
              <w:jc w:val="center"/>
              <w:rPr>
                <w:b/>
                <w:sz w:val="16"/>
                <w:szCs w:val="16"/>
              </w:rPr>
            </w:pPr>
            <w:r w:rsidRPr="00D23B9F">
              <w:rPr>
                <w:b/>
                <w:sz w:val="16"/>
                <w:szCs w:val="16"/>
              </w:rPr>
              <w:t>31</w:t>
            </w:r>
          </w:p>
        </w:tc>
        <w:tc>
          <w:tcPr>
            <w:tcW w:w="945" w:type="dxa"/>
          </w:tcPr>
          <w:p w14:paraId="750ACC2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3A46302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tcPr>
          <w:p w14:paraId="31B164E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7D783ED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090EB66A" w14:textId="77777777" w:rsidR="0045050D" w:rsidRPr="00D23B9F" w:rsidRDefault="0045050D" w:rsidP="00FF7E00">
            <w:pPr>
              <w:spacing w:before="80" w:after="80"/>
              <w:jc w:val="center"/>
              <w:rPr>
                <w:rFonts w:asciiTheme="majorHAnsi" w:hAnsiTheme="majorHAnsi" w:cstheme="majorHAnsi"/>
                <w:sz w:val="16"/>
                <w:szCs w:val="16"/>
                <w:lang w:val="es-ES"/>
              </w:rPr>
            </w:pPr>
            <w:r w:rsidRPr="00D23B9F">
              <w:rPr>
                <w:rFonts w:asciiTheme="majorHAnsi" w:hAnsiTheme="majorHAnsi" w:cstheme="majorHAnsi"/>
                <w:sz w:val="16"/>
                <w:szCs w:val="16"/>
                <w:lang w:val="es-MX"/>
              </w:rPr>
              <w:t>Sí</w:t>
            </w:r>
            <w:r>
              <w:rPr>
                <w:rFonts w:asciiTheme="majorHAnsi" w:hAnsiTheme="majorHAnsi" w:cstheme="majorHAnsi"/>
                <w:sz w:val="16"/>
                <w:szCs w:val="16"/>
                <w:lang w:val="es-MX"/>
              </w:rPr>
              <w:t xml:space="preserve">, si se seleccionaron el Conjunto 2 o el Conjunto 3 </w:t>
            </w:r>
            <w:r w:rsidRPr="00962CD0">
              <w:rPr>
                <w:rFonts w:asciiTheme="majorHAnsi" w:hAnsiTheme="majorHAnsi" w:cstheme="majorHAnsi"/>
                <w:sz w:val="20"/>
                <w:szCs w:val="20"/>
                <w:lang w:val="es-ES"/>
              </w:rPr>
              <w:t>†</w:t>
            </w:r>
            <w:r>
              <w:rPr>
                <w:rFonts w:asciiTheme="majorHAnsi" w:hAnsiTheme="majorHAnsi" w:cstheme="majorHAnsi"/>
                <w:sz w:val="16"/>
                <w:szCs w:val="16"/>
                <w:lang w:val="es-MX"/>
              </w:rPr>
              <w:t xml:space="preserve">, de lo contrario no </w:t>
            </w:r>
          </w:p>
        </w:tc>
        <w:tc>
          <w:tcPr>
            <w:tcW w:w="1468" w:type="dxa"/>
          </w:tcPr>
          <w:p w14:paraId="1478B5EF" w14:textId="77777777" w:rsidR="0045050D" w:rsidRPr="00D23B9F" w:rsidRDefault="0045050D" w:rsidP="00FF7E00">
            <w:pPr>
              <w:spacing w:before="80" w:after="80"/>
              <w:jc w:val="center"/>
              <w:rPr>
                <w:rFonts w:asciiTheme="majorHAnsi" w:hAnsiTheme="majorHAnsi" w:cstheme="majorHAnsi"/>
                <w:sz w:val="16"/>
                <w:szCs w:val="16"/>
                <w:lang w:val="es-ES"/>
              </w:rPr>
            </w:pPr>
            <w:r w:rsidRPr="00D23B9F">
              <w:rPr>
                <w:rFonts w:asciiTheme="majorHAnsi" w:hAnsiTheme="majorHAnsi" w:cstheme="majorHAnsi"/>
                <w:sz w:val="16"/>
                <w:szCs w:val="16"/>
                <w:lang w:val="es-MX"/>
              </w:rPr>
              <w:t>Sí</w:t>
            </w:r>
            <w:r>
              <w:rPr>
                <w:rFonts w:asciiTheme="majorHAnsi" w:hAnsiTheme="majorHAnsi" w:cstheme="majorHAnsi"/>
                <w:sz w:val="16"/>
                <w:szCs w:val="16"/>
                <w:lang w:val="es-MX"/>
              </w:rPr>
              <w:t xml:space="preserve"> si se seleccionaron el Conjunto 2 o el Conjunto 3 </w:t>
            </w:r>
            <w:r w:rsidRPr="00962CD0">
              <w:rPr>
                <w:rFonts w:asciiTheme="majorHAnsi" w:hAnsiTheme="majorHAnsi" w:cstheme="majorHAnsi"/>
                <w:sz w:val="20"/>
                <w:szCs w:val="20"/>
                <w:lang w:val="es-ES"/>
              </w:rPr>
              <w:t>†</w:t>
            </w:r>
            <w:r>
              <w:rPr>
                <w:rFonts w:asciiTheme="majorHAnsi" w:hAnsiTheme="majorHAnsi" w:cstheme="majorHAnsi"/>
                <w:sz w:val="16"/>
                <w:szCs w:val="16"/>
                <w:lang w:val="es-MX"/>
              </w:rPr>
              <w:t>, de lo contrario no</w:t>
            </w:r>
          </w:p>
        </w:tc>
        <w:tc>
          <w:tcPr>
            <w:tcW w:w="1469" w:type="dxa"/>
          </w:tcPr>
          <w:p w14:paraId="75E858D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26436904" w14:textId="77777777" w:rsidTr="00FF7E00">
        <w:tc>
          <w:tcPr>
            <w:tcW w:w="534" w:type="dxa"/>
          </w:tcPr>
          <w:p w14:paraId="0799C4DF" w14:textId="77777777" w:rsidR="0045050D" w:rsidRPr="00D23B9F" w:rsidRDefault="0045050D" w:rsidP="00FF7E00">
            <w:pPr>
              <w:pStyle w:val="TableText"/>
              <w:jc w:val="center"/>
              <w:rPr>
                <w:b/>
                <w:sz w:val="16"/>
                <w:szCs w:val="16"/>
              </w:rPr>
            </w:pPr>
            <w:r w:rsidRPr="00D23B9F">
              <w:rPr>
                <w:b/>
                <w:sz w:val="16"/>
                <w:szCs w:val="16"/>
              </w:rPr>
              <w:t>32</w:t>
            </w:r>
          </w:p>
        </w:tc>
        <w:tc>
          <w:tcPr>
            <w:tcW w:w="945" w:type="dxa"/>
          </w:tcPr>
          <w:p w14:paraId="312262F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0F3BBAA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tcPr>
          <w:p w14:paraId="017399F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4AE66CA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04E306EF" w14:textId="77777777" w:rsidR="0045050D" w:rsidRPr="00D23B9F" w:rsidRDefault="0045050D" w:rsidP="00FF7E00">
            <w:pPr>
              <w:spacing w:before="80" w:after="80"/>
              <w:jc w:val="center"/>
              <w:rPr>
                <w:rFonts w:asciiTheme="majorHAnsi" w:hAnsiTheme="majorHAnsi" w:cstheme="majorHAnsi"/>
                <w:sz w:val="16"/>
                <w:szCs w:val="16"/>
                <w:lang w:val="es-ES"/>
              </w:rPr>
            </w:pPr>
            <w:r w:rsidRPr="00D23B9F">
              <w:rPr>
                <w:rFonts w:asciiTheme="majorHAnsi" w:hAnsiTheme="majorHAnsi" w:cstheme="majorHAnsi"/>
                <w:sz w:val="16"/>
                <w:szCs w:val="16"/>
                <w:lang w:val="es-MX"/>
              </w:rPr>
              <w:t>Sí</w:t>
            </w:r>
            <w:r>
              <w:rPr>
                <w:rFonts w:asciiTheme="majorHAnsi" w:hAnsiTheme="majorHAnsi" w:cstheme="majorHAnsi"/>
                <w:sz w:val="16"/>
                <w:szCs w:val="16"/>
                <w:lang w:val="es-MX"/>
              </w:rPr>
              <w:t xml:space="preserve"> si se seleccionaron el Conjunto 2 o el Conjunto 3 </w:t>
            </w:r>
            <w:r w:rsidRPr="00962CD0">
              <w:rPr>
                <w:rFonts w:asciiTheme="majorHAnsi" w:hAnsiTheme="majorHAnsi" w:cstheme="majorHAnsi"/>
                <w:sz w:val="20"/>
                <w:szCs w:val="20"/>
                <w:lang w:val="es-ES"/>
              </w:rPr>
              <w:t>†</w:t>
            </w:r>
            <w:r>
              <w:rPr>
                <w:rFonts w:asciiTheme="majorHAnsi" w:hAnsiTheme="majorHAnsi" w:cstheme="majorHAnsi"/>
                <w:sz w:val="16"/>
                <w:szCs w:val="16"/>
                <w:lang w:val="es-MX"/>
              </w:rPr>
              <w:t>, de lo contrario no</w:t>
            </w:r>
          </w:p>
        </w:tc>
        <w:tc>
          <w:tcPr>
            <w:tcW w:w="1468" w:type="dxa"/>
          </w:tcPr>
          <w:p w14:paraId="148DA99C" w14:textId="77777777" w:rsidR="0045050D" w:rsidRPr="00D23B9F" w:rsidRDefault="0045050D" w:rsidP="00FF7E00">
            <w:pPr>
              <w:spacing w:before="80" w:after="80"/>
              <w:jc w:val="center"/>
              <w:rPr>
                <w:rFonts w:asciiTheme="majorHAnsi" w:hAnsiTheme="majorHAnsi" w:cstheme="majorHAnsi"/>
                <w:sz w:val="16"/>
                <w:szCs w:val="16"/>
                <w:lang w:val="es-ES"/>
              </w:rPr>
            </w:pPr>
            <w:r w:rsidRPr="00D23B9F">
              <w:rPr>
                <w:rFonts w:asciiTheme="majorHAnsi" w:hAnsiTheme="majorHAnsi" w:cstheme="majorHAnsi"/>
                <w:sz w:val="16"/>
                <w:szCs w:val="16"/>
                <w:lang w:val="es-MX"/>
              </w:rPr>
              <w:t>Sí</w:t>
            </w:r>
            <w:r>
              <w:rPr>
                <w:rFonts w:asciiTheme="majorHAnsi" w:hAnsiTheme="majorHAnsi" w:cstheme="majorHAnsi"/>
                <w:sz w:val="16"/>
                <w:szCs w:val="16"/>
                <w:lang w:val="es-MX"/>
              </w:rPr>
              <w:t xml:space="preserve"> si se seleccionaron el Conjunto 2 o el Conjunto 3 </w:t>
            </w:r>
            <w:r w:rsidRPr="00962CD0">
              <w:rPr>
                <w:rFonts w:asciiTheme="majorHAnsi" w:hAnsiTheme="majorHAnsi" w:cstheme="majorHAnsi"/>
                <w:sz w:val="20"/>
                <w:szCs w:val="20"/>
                <w:lang w:val="es-ES"/>
              </w:rPr>
              <w:t>†</w:t>
            </w:r>
            <w:r>
              <w:rPr>
                <w:rFonts w:asciiTheme="majorHAnsi" w:hAnsiTheme="majorHAnsi" w:cstheme="majorHAnsi"/>
                <w:sz w:val="16"/>
                <w:szCs w:val="16"/>
                <w:lang w:val="es-MX"/>
              </w:rPr>
              <w:t>, de lo contrario no</w:t>
            </w:r>
          </w:p>
        </w:tc>
        <w:tc>
          <w:tcPr>
            <w:tcW w:w="1469" w:type="dxa"/>
          </w:tcPr>
          <w:p w14:paraId="19B094A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06D5C2D4" w14:textId="77777777" w:rsidTr="00FF7E00">
        <w:tc>
          <w:tcPr>
            <w:tcW w:w="534" w:type="dxa"/>
          </w:tcPr>
          <w:p w14:paraId="03208796" w14:textId="77777777" w:rsidR="0045050D" w:rsidRPr="00D23B9F" w:rsidRDefault="0045050D" w:rsidP="00FF7E00">
            <w:pPr>
              <w:pStyle w:val="TableText"/>
              <w:jc w:val="center"/>
              <w:rPr>
                <w:b/>
                <w:sz w:val="16"/>
                <w:szCs w:val="16"/>
              </w:rPr>
            </w:pPr>
            <w:r w:rsidRPr="00D23B9F">
              <w:rPr>
                <w:b/>
                <w:sz w:val="16"/>
                <w:szCs w:val="16"/>
              </w:rPr>
              <w:t>33</w:t>
            </w:r>
          </w:p>
        </w:tc>
        <w:tc>
          <w:tcPr>
            <w:tcW w:w="945" w:type="dxa"/>
          </w:tcPr>
          <w:p w14:paraId="11FE43C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tcPr>
          <w:p w14:paraId="627A412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072206D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3F6DADF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6DB6BAB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tcPr>
          <w:p w14:paraId="1626A36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6356751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6EF546D4" w14:textId="77777777" w:rsidTr="00FF7E00">
        <w:tc>
          <w:tcPr>
            <w:tcW w:w="534" w:type="dxa"/>
          </w:tcPr>
          <w:p w14:paraId="519FF497" w14:textId="77777777" w:rsidR="0045050D" w:rsidRPr="00D23B9F" w:rsidRDefault="0045050D" w:rsidP="00FF7E00">
            <w:pPr>
              <w:pStyle w:val="TableText"/>
              <w:jc w:val="center"/>
              <w:rPr>
                <w:b/>
                <w:sz w:val="16"/>
                <w:szCs w:val="16"/>
              </w:rPr>
            </w:pPr>
            <w:r w:rsidRPr="00D23B9F">
              <w:rPr>
                <w:b/>
                <w:sz w:val="16"/>
                <w:szCs w:val="16"/>
              </w:rPr>
              <w:t>34</w:t>
            </w:r>
          </w:p>
        </w:tc>
        <w:tc>
          <w:tcPr>
            <w:tcW w:w="945" w:type="dxa"/>
          </w:tcPr>
          <w:p w14:paraId="007719D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tcPr>
          <w:p w14:paraId="74268CB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tcPr>
          <w:p w14:paraId="05F22DB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36D1937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2111F91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tcPr>
          <w:p w14:paraId="498ECE0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06831CD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1C6DCBAE" w14:textId="77777777" w:rsidTr="00FF7E00">
        <w:tc>
          <w:tcPr>
            <w:tcW w:w="534" w:type="dxa"/>
          </w:tcPr>
          <w:p w14:paraId="52AB291A" w14:textId="77777777" w:rsidR="0045050D" w:rsidRPr="00D23B9F" w:rsidRDefault="0045050D" w:rsidP="00FF7E00">
            <w:pPr>
              <w:pStyle w:val="TableText"/>
              <w:jc w:val="center"/>
              <w:rPr>
                <w:b/>
                <w:sz w:val="16"/>
                <w:szCs w:val="16"/>
              </w:rPr>
            </w:pPr>
            <w:r w:rsidRPr="00D23B9F">
              <w:rPr>
                <w:b/>
                <w:sz w:val="16"/>
                <w:szCs w:val="16"/>
              </w:rPr>
              <w:t>35</w:t>
            </w:r>
          </w:p>
        </w:tc>
        <w:tc>
          <w:tcPr>
            <w:tcW w:w="945" w:type="dxa"/>
          </w:tcPr>
          <w:p w14:paraId="0B54AE7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4AB6449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tcPr>
          <w:p w14:paraId="4D72B05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43E3149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799A377A" w14:textId="77777777" w:rsidR="0045050D" w:rsidRPr="00D23B9F" w:rsidRDefault="0045050D" w:rsidP="00FF7E00">
            <w:pPr>
              <w:spacing w:before="80" w:after="80"/>
              <w:jc w:val="center"/>
              <w:rPr>
                <w:rFonts w:asciiTheme="majorHAnsi" w:hAnsiTheme="majorHAnsi" w:cstheme="majorHAnsi"/>
                <w:sz w:val="16"/>
                <w:szCs w:val="16"/>
                <w:lang w:val="es-ES"/>
              </w:rPr>
            </w:pPr>
            <w:r w:rsidRPr="00D23B9F">
              <w:rPr>
                <w:rFonts w:asciiTheme="majorHAnsi" w:hAnsiTheme="majorHAnsi" w:cstheme="majorHAnsi"/>
                <w:sz w:val="16"/>
                <w:szCs w:val="16"/>
                <w:lang w:val="es-MX"/>
              </w:rPr>
              <w:t>Sí</w:t>
            </w:r>
            <w:r>
              <w:rPr>
                <w:rFonts w:asciiTheme="majorHAnsi" w:hAnsiTheme="majorHAnsi" w:cstheme="majorHAnsi"/>
                <w:sz w:val="16"/>
                <w:szCs w:val="16"/>
                <w:lang w:val="es-MX"/>
              </w:rPr>
              <w:t xml:space="preserve"> si se seleccionaron el Conjunto 2 o el Conjunto 3 </w:t>
            </w:r>
            <w:r w:rsidRPr="00962CD0">
              <w:rPr>
                <w:rFonts w:asciiTheme="majorHAnsi" w:hAnsiTheme="majorHAnsi" w:cstheme="majorHAnsi"/>
                <w:sz w:val="20"/>
                <w:szCs w:val="20"/>
                <w:lang w:val="es-ES"/>
              </w:rPr>
              <w:t>†</w:t>
            </w:r>
            <w:r>
              <w:rPr>
                <w:rFonts w:asciiTheme="majorHAnsi" w:hAnsiTheme="majorHAnsi" w:cstheme="majorHAnsi"/>
                <w:sz w:val="16"/>
                <w:szCs w:val="16"/>
                <w:lang w:val="es-MX"/>
              </w:rPr>
              <w:t>, de lo contrario no</w:t>
            </w:r>
          </w:p>
        </w:tc>
        <w:tc>
          <w:tcPr>
            <w:tcW w:w="1468" w:type="dxa"/>
          </w:tcPr>
          <w:p w14:paraId="2C4F33DD" w14:textId="77777777" w:rsidR="0045050D" w:rsidRPr="00D23B9F" w:rsidRDefault="0045050D" w:rsidP="00FF7E00">
            <w:pPr>
              <w:spacing w:before="80" w:after="80"/>
              <w:jc w:val="center"/>
              <w:rPr>
                <w:rFonts w:asciiTheme="majorHAnsi" w:hAnsiTheme="majorHAnsi" w:cstheme="majorHAnsi"/>
                <w:sz w:val="16"/>
                <w:szCs w:val="16"/>
                <w:lang w:val="es-ES"/>
              </w:rPr>
            </w:pPr>
            <w:r w:rsidRPr="00D23B9F">
              <w:rPr>
                <w:rFonts w:asciiTheme="majorHAnsi" w:hAnsiTheme="majorHAnsi" w:cstheme="majorHAnsi"/>
                <w:sz w:val="16"/>
                <w:szCs w:val="16"/>
                <w:lang w:val="es-MX"/>
              </w:rPr>
              <w:t>Sí</w:t>
            </w:r>
            <w:r>
              <w:rPr>
                <w:rFonts w:asciiTheme="majorHAnsi" w:hAnsiTheme="majorHAnsi" w:cstheme="majorHAnsi"/>
                <w:sz w:val="16"/>
                <w:szCs w:val="16"/>
                <w:lang w:val="es-MX"/>
              </w:rPr>
              <w:t xml:space="preserve"> si se seleccionaron el Conjunto 2 o el Conjunto 3 </w:t>
            </w:r>
            <w:r w:rsidRPr="00962CD0">
              <w:rPr>
                <w:rFonts w:asciiTheme="majorHAnsi" w:hAnsiTheme="majorHAnsi" w:cstheme="majorHAnsi"/>
                <w:sz w:val="20"/>
                <w:szCs w:val="20"/>
                <w:lang w:val="es-ES"/>
              </w:rPr>
              <w:t>†</w:t>
            </w:r>
            <w:r>
              <w:rPr>
                <w:rFonts w:asciiTheme="majorHAnsi" w:hAnsiTheme="majorHAnsi" w:cstheme="majorHAnsi"/>
                <w:sz w:val="16"/>
                <w:szCs w:val="16"/>
                <w:lang w:val="es-MX"/>
              </w:rPr>
              <w:t>, de lo contrario no</w:t>
            </w:r>
          </w:p>
        </w:tc>
        <w:tc>
          <w:tcPr>
            <w:tcW w:w="1469" w:type="dxa"/>
          </w:tcPr>
          <w:p w14:paraId="7585788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5A230204" w14:textId="77777777" w:rsidTr="00FF7E00">
        <w:tc>
          <w:tcPr>
            <w:tcW w:w="534" w:type="dxa"/>
          </w:tcPr>
          <w:p w14:paraId="3B2B96C5" w14:textId="77777777" w:rsidR="0045050D" w:rsidRPr="00D23B9F" w:rsidRDefault="0045050D" w:rsidP="00FF7E00">
            <w:pPr>
              <w:pStyle w:val="TableText"/>
              <w:jc w:val="center"/>
              <w:rPr>
                <w:b/>
                <w:sz w:val="16"/>
                <w:szCs w:val="16"/>
              </w:rPr>
            </w:pPr>
            <w:r w:rsidRPr="00D23B9F">
              <w:rPr>
                <w:b/>
                <w:sz w:val="16"/>
                <w:szCs w:val="16"/>
              </w:rPr>
              <w:t>36</w:t>
            </w:r>
          </w:p>
        </w:tc>
        <w:tc>
          <w:tcPr>
            <w:tcW w:w="945" w:type="dxa"/>
          </w:tcPr>
          <w:p w14:paraId="1243E52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51B9C32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5E7FC64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66E6138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23878F9D" w14:textId="77777777" w:rsidR="0045050D" w:rsidRPr="00D23B9F" w:rsidRDefault="0045050D" w:rsidP="00FF7E00">
            <w:pPr>
              <w:spacing w:before="80" w:after="80"/>
              <w:jc w:val="center"/>
              <w:rPr>
                <w:rFonts w:asciiTheme="majorHAnsi" w:hAnsiTheme="majorHAnsi" w:cstheme="majorHAnsi"/>
                <w:sz w:val="16"/>
                <w:szCs w:val="16"/>
                <w:lang w:val="es-ES"/>
              </w:rPr>
            </w:pPr>
            <w:r>
              <w:rPr>
                <w:rFonts w:asciiTheme="majorHAnsi" w:hAnsiTheme="majorHAnsi" w:cstheme="majorHAnsi"/>
                <w:sz w:val="16"/>
                <w:szCs w:val="16"/>
                <w:lang w:val="es-MX"/>
              </w:rPr>
              <w:t xml:space="preserve"> </w:t>
            </w:r>
            <w:r w:rsidRPr="00C15F14">
              <w:rPr>
                <w:rFonts w:asciiTheme="majorHAnsi" w:hAnsiTheme="majorHAnsi" w:cstheme="majorHAnsi"/>
                <w:sz w:val="16"/>
                <w:szCs w:val="16"/>
                <w:lang w:val="es-MX"/>
              </w:rPr>
              <w:t xml:space="preserve">Obligatorio si se seleccionó </w:t>
            </w:r>
            <w:r>
              <w:rPr>
                <w:rFonts w:asciiTheme="majorHAnsi" w:hAnsiTheme="majorHAnsi" w:cstheme="majorHAnsi"/>
                <w:sz w:val="16"/>
                <w:szCs w:val="16"/>
                <w:lang w:val="es-MX"/>
              </w:rPr>
              <w:t xml:space="preserve">el Conjunto </w:t>
            </w:r>
            <w:r w:rsidRPr="00C15F14">
              <w:rPr>
                <w:rFonts w:asciiTheme="majorHAnsi" w:hAnsiTheme="majorHAnsi" w:cstheme="majorHAnsi"/>
                <w:sz w:val="16"/>
                <w:szCs w:val="16"/>
                <w:lang w:val="es-MX"/>
              </w:rPr>
              <w:t>3</w:t>
            </w:r>
            <w:r w:rsidRPr="00D23B9F">
              <w:rPr>
                <w:rFonts w:asciiTheme="majorHAnsi" w:hAnsiTheme="majorHAnsi" w:cstheme="majorHAnsi"/>
                <w:sz w:val="16"/>
                <w:szCs w:val="16"/>
                <w:lang w:val="es-MX"/>
              </w:rPr>
              <w:t>†, de lo contrario</w:t>
            </w:r>
            <w:r w:rsidRPr="00D23B9F">
              <w:rPr>
                <w:rFonts w:asciiTheme="majorHAnsi" w:hAnsiTheme="majorHAnsi" w:cstheme="majorHAnsi"/>
                <w:sz w:val="16"/>
                <w:szCs w:val="16"/>
                <w:lang w:val="es-ES"/>
              </w:rPr>
              <w:t xml:space="preserve"> no</w:t>
            </w:r>
          </w:p>
        </w:tc>
        <w:tc>
          <w:tcPr>
            <w:tcW w:w="1468" w:type="dxa"/>
          </w:tcPr>
          <w:p w14:paraId="229D39A7" w14:textId="77777777" w:rsidR="0045050D" w:rsidRPr="00D23B9F" w:rsidRDefault="0045050D" w:rsidP="00FF7E00">
            <w:pPr>
              <w:spacing w:before="80" w:after="80"/>
              <w:jc w:val="center"/>
              <w:rPr>
                <w:rFonts w:asciiTheme="majorHAnsi" w:hAnsiTheme="majorHAnsi" w:cstheme="majorHAnsi"/>
                <w:sz w:val="16"/>
                <w:szCs w:val="16"/>
                <w:lang w:val="es-ES"/>
              </w:rPr>
            </w:pPr>
            <w:r w:rsidRPr="00C15F14">
              <w:rPr>
                <w:rFonts w:asciiTheme="majorHAnsi" w:hAnsiTheme="majorHAnsi" w:cstheme="majorHAnsi"/>
                <w:sz w:val="16"/>
                <w:szCs w:val="16"/>
                <w:lang w:val="es-MX"/>
              </w:rPr>
              <w:t xml:space="preserve">Obligatorio si se </w:t>
            </w:r>
            <w:r w:rsidRPr="00962CD0">
              <w:rPr>
                <w:rFonts w:asciiTheme="majorHAnsi" w:hAnsiTheme="majorHAnsi" w:cstheme="majorHAnsi"/>
                <w:sz w:val="16"/>
                <w:szCs w:val="16"/>
                <w:lang w:val="es-MX"/>
              </w:rPr>
              <w:t xml:space="preserve">seleccionó </w:t>
            </w:r>
            <w:r>
              <w:rPr>
                <w:rFonts w:asciiTheme="majorHAnsi" w:hAnsiTheme="majorHAnsi" w:cstheme="majorHAnsi"/>
                <w:sz w:val="16"/>
                <w:szCs w:val="16"/>
                <w:lang w:val="es-MX"/>
              </w:rPr>
              <w:t xml:space="preserve">el Conjunto </w:t>
            </w:r>
            <w:r w:rsidRPr="00962CD0">
              <w:rPr>
                <w:rFonts w:asciiTheme="majorHAnsi" w:hAnsiTheme="majorHAnsi" w:cstheme="majorHAnsi"/>
                <w:sz w:val="16"/>
                <w:szCs w:val="16"/>
                <w:lang w:val="es-MX"/>
              </w:rPr>
              <w:t>3</w:t>
            </w:r>
            <w:r>
              <w:rPr>
                <w:rFonts w:asciiTheme="majorHAnsi" w:hAnsiTheme="majorHAnsi" w:cstheme="majorHAnsi"/>
                <w:sz w:val="16"/>
                <w:szCs w:val="16"/>
                <w:lang w:val="es-MX"/>
              </w:rPr>
              <w:t xml:space="preserve"> </w:t>
            </w:r>
            <w:r w:rsidRPr="00962CD0">
              <w:rPr>
                <w:rFonts w:asciiTheme="majorHAnsi" w:hAnsiTheme="majorHAnsi" w:cstheme="majorHAnsi"/>
                <w:sz w:val="16"/>
                <w:szCs w:val="16"/>
                <w:lang w:val="es-MX"/>
              </w:rPr>
              <w:t>†, de lo contrario</w:t>
            </w:r>
            <w:r w:rsidRPr="00962CD0">
              <w:rPr>
                <w:rFonts w:asciiTheme="majorHAnsi" w:hAnsiTheme="majorHAnsi" w:cstheme="majorHAnsi"/>
                <w:sz w:val="16"/>
                <w:szCs w:val="16"/>
                <w:lang w:val="es-ES"/>
              </w:rPr>
              <w:t xml:space="preserve"> no</w:t>
            </w:r>
          </w:p>
        </w:tc>
        <w:tc>
          <w:tcPr>
            <w:tcW w:w="1469" w:type="dxa"/>
          </w:tcPr>
          <w:p w14:paraId="04B9775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61502F71" w14:textId="77777777" w:rsidTr="00FF7E00">
        <w:tc>
          <w:tcPr>
            <w:tcW w:w="534" w:type="dxa"/>
          </w:tcPr>
          <w:p w14:paraId="0C113803" w14:textId="77777777" w:rsidR="0045050D" w:rsidRPr="00D23B9F" w:rsidRDefault="0045050D" w:rsidP="00FF7E00">
            <w:pPr>
              <w:pStyle w:val="TableText"/>
              <w:jc w:val="center"/>
              <w:rPr>
                <w:b/>
                <w:sz w:val="16"/>
                <w:szCs w:val="16"/>
              </w:rPr>
            </w:pPr>
            <w:r w:rsidRPr="00D23B9F">
              <w:rPr>
                <w:b/>
                <w:sz w:val="16"/>
                <w:szCs w:val="16"/>
              </w:rPr>
              <w:t>37</w:t>
            </w:r>
          </w:p>
        </w:tc>
        <w:tc>
          <w:tcPr>
            <w:tcW w:w="945" w:type="dxa"/>
          </w:tcPr>
          <w:p w14:paraId="0B9E756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tcPr>
          <w:p w14:paraId="590BA22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2E57831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6E4BC3B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6B9F570F" w14:textId="77777777" w:rsidR="0045050D" w:rsidRPr="00D23B9F" w:rsidRDefault="0045050D" w:rsidP="00FF7E00">
            <w:pPr>
              <w:spacing w:before="80" w:after="80"/>
              <w:jc w:val="center"/>
              <w:rPr>
                <w:rFonts w:asciiTheme="majorHAnsi" w:hAnsiTheme="majorHAnsi" w:cstheme="majorHAnsi"/>
                <w:sz w:val="16"/>
                <w:szCs w:val="16"/>
              </w:rPr>
            </w:pPr>
            <w:r>
              <w:rPr>
                <w:rFonts w:asciiTheme="majorHAnsi" w:hAnsiTheme="majorHAnsi" w:cstheme="majorHAnsi"/>
                <w:sz w:val="16"/>
                <w:szCs w:val="16"/>
                <w:lang w:val="es-MX"/>
              </w:rPr>
              <w:t>Obligatorio</w:t>
            </w:r>
          </w:p>
        </w:tc>
        <w:tc>
          <w:tcPr>
            <w:tcW w:w="1468" w:type="dxa"/>
          </w:tcPr>
          <w:p w14:paraId="5ADBBABB" w14:textId="77777777" w:rsidR="0045050D" w:rsidRPr="00D23B9F" w:rsidRDefault="0045050D" w:rsidP="00FF7E00">
            <w:pPr>
              <w:spacing w:before="80" w:after="80"/>
              <w:jc w:val="center"/>
              <w:rPr>
                <w:rFonts w:asciiTheme="majorHAnsi" w:hAnsiTheme="majorHAnsi" w:cstheme="majorHAnsi"/>
                <w:sz w:val="16"/>
                <w:szCs w:val="16"/>
              </w:rPr>
            </w:pPr>
            <w:r>
              <w:rPr>
                <w:rFonts w:asciiTheme="majorHAnsi" w:hAnsiTheme="majorHAnsi" w:cstheme="majorHAnsi"/>
                <w:sz w:val="16"/>
                <w:szCs w:val="16"/>
                <w:lang w:val="es-MX"/>
              </w:rPr>
              <w:t>Obligatorio</w:t>
            </w:r>
          </w:p>
        </w:tc>
        <w:tc>
          <w:tcPr>
            <w:tcW w:w="1469" w:type="dxa"/>
          </w:tcPr>
          <w:p w14:paraId="3A97818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5E0AD95C" w14:textId="77777777" w:rsidTr="00FF7E00">
        <w:tc>
          <w:tcPr>
            <w:tcW w:w="534" w:type="dxa"/>
          </w:tcPr>
          <w:p w14:paraId="5C38EC5F" w14:textId="77777777" w:rsidR="0045050D" w:rsidRPr="00D23B9F" w:rsidRDefault="0045050D" w:rsidP="00FF7E00">
            <w:pPr>
              <w:pStyle w:val="TableText"/>
              <w:jc w:val="center"/>
              <w:rPr>
                <w:b/>
                <w:sz w:val="16"/>
                <w:szCs w:val="16"/>
              </w:rPr>
            </w:pPr>
            <w:r w:rsidRPr="00D23B9F">
              <w:rPr>
                <w:b/>
                <w:sz w:val="16"/>
                <w:szCs w:val="16"/>
              </w:rPr>
              <w:t>38</w:t>
            </w:r>
          </w:p>
        </w:tc>
        <w:tc>
          <w:tcPr>
            <w:tcW w:w="945" w:type="dxa"/>
          </w:tcPr>
          <w:p w14:paraId="0ED0EF0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006F86D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tcPr>
          <w:p w14:paraId="519493A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4BF1A50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105481F8" w14:textId="77777777" w:rsidR="0045050D" w:rsidRPr="00D23B9F" w:rsidRDefault="0045050D" w:rsidP="00FF7E00">
            <w:pPr>
              <w:spacing w:before="80" w:after="80"/>
              <w:jc w:val="center"/>
              <w:rPr>
                <w:rFonts w:asciiTheme="majorHAnsi" w:hAnsiTheme="majorHAnsi" w:cstheme="majorHAnsi"/>
                <w:sz w:val="16"/>
                <w:szCs w:val="16"/>
                <w:lang w:val="es-ES"/>
              </w:rPr>
            </w:pPr>
            <w:r>
              <w:rPr>
                <w:rFonts w:asciiTheme="majorHAnsi" w:hAnsiTheme="majorHAnsi" w:cstheme="majorHAnsi"/>
                <w:sz w:val="16"/>
                <w:szCs w:val="16"/>
                <w:lang w:val="es-ES"/>
              </w:rPr>
              <w:t xml:space="preserve"> </w:t>
            </w:r>
            <w:r w:rsidRPr="00D23B9F">
              <w:rPr>
                <w:rFonts w:asciiTheme="majorHAnsi" w:hAnsiTheme="majorHAnsi" w:cstheme="majorHAnsi"/>
                <w:sz w:val="16"/>
                <w:szCs w:val="16"/>
                <w:lang w:val="es-ES"/>
              </w:rPr>
              <w:t xml:space="preserve">Obligatorio si se seleccionaron el Conjunto 2 o el Conjunto 3 </w:t>
            </w:r>
            <w:r w:rsidRPr="00C15F14">
              <w:rPr>
                <w:rFonts w:asciiTheme="majorHAnsi" w:hAnsiTheme="majorHAnsi" w:cstheme="majorHAnsi"/>
                <w:sz w:val="20"/>
                <w:szCs w:val="20"/>
                <w:lang w:val="es-ES"/>
              </w:rPr>
              <w:t>†</w:t>
            </w:r>
            <w:r w:rsidRPr="00D23B9F">
              <w:rPr>
                <w:rFonts w:asciiTheme="majorHAnsi" w:hAnsiTheme="majorHAnsi" w:cstheme="majorHAnsi"/>
                <w:sz w:val="16"/>
                <w:szCs w:val="16"/>
                <w:lang w:val="es-ES"/>
              </w:rPr>
              <w:t>, de lo contrario no</w:t>
            </w:r>
          </w:p>
        </w:tc>
        <w:tc>
          <w:tcPr>
            <w:tcW w:w="1468" w:type="dxa"/>
          </w:tcPr>
          <w:p w14:paraId="150AAFB5" w14:textId="77777777" w:rsidR="0045050D" w:rsidRPr="00D23B9F" w:rsidRDefault="0045050D" w:rsidP="00FF7E00">
            <w:pPr>
              <w:spacing w:before="80" w:after="80"/>
              <w:jc w:val="center"/>
              <w:rPr>
                <w:rFonts w:asciiTheme="majorHAnsi" w:hAnsiTheme="majorHAnsi" w:cstheme="majorHAnsi"/>
                <w:sz w:val="16"/>
                <w:szCs w:val="16"/>
                <w:lang w:val="es-ES"/>
              </w:rPr>
            </w:pPr>
            <w:r w:rsidRPr="00962CD0">
              <w:rPr>
                <w:rFonts w:asciiTheme="majorHAnsi" w:hAnsiTheme="majorHAnsi" w:cstheme="majorHAnsi"/>
                <w:sz w:val="16"/>
                <w:szCs w:val="16"/>
                <w:lang w:val="es-ES"/>
              </w:rPr>
              <w:t xml:space="preserve">Obligatorio si se seleccionaron el Conjunto 2 o el Conjunto 3 </w:t>
            </w:r>
            <w:r w:rsidRPr="00C15F14">
              <w:rPr>
                <w:rFonts w:asciiTheme="majorHAnsi" w:hAnsiTheme="majorHAnsi" w:cstheme="majorHAnsi"/>
                <w:sz w:val="20"/>
                <w:szCs w:val="20"/>
                <w:lang w:val="es-ES"/>
              </w:rPr>
              <w:t>†</w:t>
            </w:r>
            <w:r w:rsidRPr="00962CD0">
              <w:rPr>
                <w:rFonts w:asciiTheme="majorHAnsi" w:hAnsiTheme="majorHAnsi" w:cstheme="majorHAnsi"/>
                <w:sz w:val="16"/>
                <w:szCs w:val="16"/>
                <w:lang w:val="es-ES"/>
              </w:rPr>
              <w:t>, de lo contrario no</w:t>
            </w:r>
          </w:p>
        </w:tc>
        <w:tc>
          <w:tcPr>
            <w:tcW w:w="1469" w:type="dxa"/>
          </w:tcPr>
          <w:p w14:paraId="5603777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67434C" w14:paraId="1578FF8D" w14:textId="77777777" w:rsidTr="00FF7E00">
        <w:tc>
          <w:tcPr>
            <w:tcW w:w="534" w:type="dxa"/>
          </w:tcPr>
          <w:p w14:paraId="6141830D" w14:textId="77777777" w:rsidR="0045050D" w:rsidRPr="00D23B9F" w:rsidRDefault="0045050D" w:rsidP="00FF7E00">
            <w:pPr>
              <w:pStyle w:val="TableText"/>
              <w:jc w:val="center"/>
              <w:rPr>
                <w:b/>
                <w:sz w:val="16"/>
                <w:szCs w:val="16"/>
              </w:rPr>
            </w:pPr>
            <w:r w:rsidRPr="00D23B9F">
              <w:rPr>
                <w:b/>
                <w:sz w:val="16"/>
                <w:szCs w:val="16"/>
              </w:rPr>
              <w:t>39</w:t>
            </w:r>
          </w:p>
        </w:tc>
        <w:tc>
          <w:tcPr>
            <w:tcW w:w="945" w:type="dxa"/>
          </w:tcPr>
          <w:p w14:paraId="294D616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189E00B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tcPr>
          <w:p w14:paraId="008F0A1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0A83978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r w:rsidRPr="00363B07">
              <w:rPr>
                <w:rFonts w:asciiTheme="majorHAnsi" w:hAnsiTheme="majorHAnsi" w:cstheme="majorHAnsi"/>
                <w:sz w:val="20"/>
                <w:szCs w:val="20"/>
                <w:lang w:val="es-ES"/>
              </w:rPr>
              <w:t>ǂ</w:t>
            </w:r>
          </w:p>
        </w:tc>
        <w:tc>
          <w:tcPr>
            <w:tcW w:w="1469" w:type="dxa"/>
          </w:tcPr>
          <w:p w14:paraId="7559218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r w:rsidRPr="00363B07">
              <w:rPr>
                <w:rFonts w:asciiTheme="majorHAnsi" w:hAnsiTheme="majorHAnsi" w:cstheme="majorHAnsi"/>
                <w:sz w:val="16"/>
                <w:szCs w:val="16"/>
                <w:lang w:val="es-MX"/>
              </w:rPr>
              <w:t xml:space="preserve"> </w:t>
            </w:r>
            <w:r w:rsidRPr="00363B07">
              <w:rPr>
                <w:rFonts w:asciiTheme="majorHAnsi" w:hAnsiTheme="majorHAnsi" w:cstheme="majorHAnsi"/>
                <w:sz w:val="20"/>
                <w:szCs w:val="20"/>
                <w:lang w:val="es-ES"/>
              </w:rPr>
              <w:t>ǂ</w:t>
            </w:r>
            <w:r w:rsidRPr="00363B07">
              <w:rPr>
                <w:rFonts w:asciiTheme="majorHAnsi" w:hAnsiTheme="majorHAnsi" w:cstheme="majorHAnsi"/>
                <w:sz w:val="20"/>
                <w:szCs w:val="20"/>
              </w:rPr>
              <w:t>*</w:t>
            </w:r>
          </w:p>
        </w:tc>
        <w:tc>
          <w:tcPr>
            <w:tcW w:w="1468" w:type="dxa"/>
          </w:tcPr>
          <w:p w14:paraId="7769588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r w:rsidRPr="00363B07">
              <w:rPr>
                <w:rFonts w:asciiTheme="majorHAnsi" w:hAnsiTheme="majorHAnsi" w:cstheme="majorHAnsi"/>
                <w:sz w:val="20"/>
                <w:szCs w:val="20"/>
                <w:lang w:val="es-ES"/>
              </w:rPr>
              <w:t>ǂ</w:t>
            </w:r>
            <w:r w:rsidRPr="00363B07">
              <w:rPr>
                <w:rFonts w:asciiTheme="majorHAnsi" w:hAnsiTheme="majorHAnsi" w:cstheme="majorHAnsi"/>
                <w:sz w:val="20"/>
                <w:szCs w:val="20"/>
              </w:rPr>
              <w:t>*</w:t>
            </w:r>
          </w:p>
        </w:tc>
        <w:tc>
          <w:tcPr>
            <w:tcW w:w="1469" w:type="dxa"/>
          </w:tcPr>
          <w:p w14:paraId="1F76391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r w:rsidRPr="00363B07">
              <w:rPr>
                <w:rFonts w:asciiTheme="majorHAnsi" w:hAnsiTheme="majorHAnsi" w:cstheme="majorHAnsi"/>
                <w:sz w:val="20"/>
                <w:szCs w:val="20"/>
                <w:lang w:val="es-ES"/>
              </w:rPr>
              <w:t>ǂ</w:t>
            </w:r>
          </w:p>
        </w:tc>
      </w:tr>
    </w:tbl>
    <w:p w14:paraId="5DF06FAE" w14:textId="77777777" w:rsidR="0045050D" w:rsidRDefault="0045050D" w:rsidP="0045050D">
      <w:pPr>
        <w:pStyle w:val="Textoindependiente"/>
        <w:rPr>
          <w:sz w:val="20"/>
          <w:szCs w:val="20"/>
        </w:rPr>
      </w:pPr>
    </w:p>
    <w:p w14:paraId="6BF94D89" w14:textId="77777777" w:rsidR="0045050D" w:rsidRPr="00FB2317" w:rsidRDefault="0045050D" w:rsidP="0045050D">
      <w:pPr>
        <w:pStyle w:val="Textoindependiente"/>
        <w:jc w:val="both"/>
        <w:rPr>
          <w:rFonts w:cstheme="minorHAnsi"/>
          <w:lang w:val="es-ES"/>
        </w:rPr>
      </w:pPr>
      <w:r w:rsidRPr="00FB2317">
        <w:rPr>
          <w:rFonts w:cstheme="minorHAnsi"/>
          <w:lang w:val="es-ES"/>
        </w:rPr>
        <w:t>Notas:</w:t>
      </w:r>
    </w:p>
    <w:p w14:paraId="56206D1D" w14:textId="77777777" w:rsidR="0045050D" w:rsidRPr="00FB2317" w:rsidRDefault="0045050D" w:rsidP="0045050D">
      <w:pPr>
        <w:pStyle w:val="Textoindependiente"/>
        <w:jc w:val="both"/>
        <w:rPr>
          <w:rFonts w:cstheme="minorHAnsi"/>
          <w:lang w:val="es-ES"/>
        </w:rPr>
      </w:pPr>
      <w:r w:rsidRPr="00FB2317">
        <w:rPr>
          <w:rFonts w:cstheme="minorHAnsi"/>
          <w:lang w:val="es-ES"/>
        </w:rPr>
        <w:t>† Bajo la regla de paquete mínimo para el Escenario 1, Telcel o Telefónica pueden solamente realizar ofertas económicas por estos paquetes si ellos seleccionaron ya sea el Conjunto 2 o Conjunto 3. Asimismo, solamente se les permite realizar ofertas económicas por sus paquetes mínimos y por paquetes que son super-conjuntos de uno o más de sus paquetes mínimos.</w:t>
      </w:r>
    </w:p>
    <w:p w14:paraId="3506E48D" w14:textId="77777777" w:rsidR="0045050D" w:rsidRPr="00FB2317" w:rsidRDefault="0045050D" w:rsidP="0045050D">
      <w:pPr>
        <w:pStyle w:val="Textoindependiente"/>
        <w:jc w:val="both"/>
        <w:rPr>
          <w:rFonts w:cstheme="minorHAnsi"/>
          <w:lang w:val="es-ES"/>
        </w:rPr>
      </w:pPr>
      <w:r w:rsidRPr="00FB2317">
        <w:rPr>
          <w:rFonts w:cstheme="minorHAnsi"/>
          <w:lang w:val="es-ES"/>
        </w:rPr>
        <w:t>ǂ No se le permite a un participante realizar ofertas económicas por un paquete de cero (el paquete 39) en la primera ronda de reloj. Un participante puede realizar oferta económica por un paquete de cero en cualquiera de las subsecuentes rondas de reloj.</w:t>
      </w:r>
    </w:p>
    <w:p w14:paraId="647AC817" w14:textId="77777777" w:rsidR="0045050D" w:rsidRPr="00FB2317" w:rsidRDefault="0045050D" w:rsidP="0045050D">
      <w:pPr>
        <w:pStyle w:val="Textoindependiente"/>
        <w:jc w:val="both"/>
        <w:rPr>
          <w:rFonts w:cstheme="minorHAnsi"/>
          <w:lang w:val="es-ES"/>
        </w:rPr>
      </w:pPr>
      <w:r w:rsidRPr="00FB2317">
        <w:rPr>
          <w:rFonts w:cstheme="minorHAnsi"/>
          <w:lang w:val="es-ES"/>
        </w:rPr>
        <w:t xml:space="preserve">* Bajo el Escenario I, no se le permite a Telefónica o Telcel realizar una oferta económica de cero (paquete 39) en ninguna ronda de reloj con la excepción de la primera ronda de reloj, no obstante ellos no pueden de hecho ganar este paquete, debido al requerimiento de que ganen uno de sus paquetes permitidos. </w:t>
      </w:r>
    </w:p>
    <w:p w14:paraId="555B1683" w14:textId="77777777" w:rsidR="0045050D" w:rsidRPr="00F55399" w:rsidRDefault="0045050D" w:rsidP="0045050D">
      <w:pPr>
        <w:pStyle w:val="Textoindependiente"/>
        <w:jc w:val="both"/>
        <w:rPr>
          <w:sz w:val="20"/>
          <w:szCs w:val="20"/>
          <w:lang w:val="es-ES"/>
        </w:rPr>
      </w:pPr>
    </w:p>
    <w:p w14:paraId="227B789B" w14:textId="77777777" w:rsidR="0045050D" w:rsidRPr="00F55399" w:rsidRDefault="0045050D" w:rsidP="0045050D">
      <w:pPr>
        <w:pStyle w:val="Textoindependiente"/>
        <w:rPr>
          <w:lang w:val="es-ES"/>
        </w:rPr>
      </w:pPr>
    </w:p>
    <w:p w14:paraId="75CEA40D" w14:textId="77777777" w:rsidR="0045050D" w:rsidRPr="0015590A" w:rsidRDefault="0045050D" w:rsidP="0045050D">
      <w:pPr>
        <w:pStyle w:val="Ttulo2"/>
        <w:numPr>
          <w:ilvl w:val="1"/>
          <w:numId w:val="1"/>
        </w:numPr>
        <w:rPr>
          <w:lang w:val="es-MX"/>
        </w:rPr>
      </w:pPr>
      <w:bookmarkStart w:id="90" w:name="_Toc429397869"/>
      <w:bookmarkStart w:id="91" w:name="_Toc429495698"/>
      <w:bookmarkStart w:id="92" w:name="_Toc429757218"/>
      <w:bookmarkStart w:id="93" w:name="_Toc430281554"/>
      <w:r w:rsidRPr="0015590A">
        <w:rPr>
          <w:lang w:val="es-MX"/>
        </w:rPr>
        <w:t>Paquetes permitidos para el Escenario II</w:t>
      </w:r>
      <w:bookmarkEnd w:id="90"/>
      <w:bookmarkEnd w:id="91"/>
      <w:bookmarkEnd w:id="92"/>
      <w:bookmarkEnd w:id="93"/>
    </w:p>
    <w:tbl>
      <w:tblPr>
        <w:tblStyle w:val="Tablaconcuadrcula"/>
        <w:tblW w:w="0" w:type="auto"/>
        <w:tblLayout w:type="fixed"/>
        <w:tblLook w:val="04A0" w:firstRow="1" w:lastRow="0" w:firstColumn="1" w:lastColumn="0" w:noHBand="0" w:noVBand="1"/>
      </w:tblPr>
      <w:tblGrid>
        <w:gridCol w:w="534"/>
        <w:gridCol w:w="945"/>
        <w:gridCol w:w="945"/>
        <w:gridCol w:w="945"/>
        <w:gridCol w:w="1468"/>
        <w:gridCol w:w="1469"/>
        <w:gridCol w:w="1468"/>
        <w:gridCol w:w="1469"/>
      </w:tblGrid>
      <w:tr w:rsidR="0045050D" w:rsidRPr="00B86764" w14:paraId="57CBC979" w14:textId="77777777" w:rsidTr="00FF7E00">
        <w:tc>
          <w:tcPr>
            <w:tcW w:w="534" w:type="dxa"/>
            <w:shd w:val="clear" w:color="auto" w:fill="A6A6A6" w:themeFill="background1" w:themeFillShade="A6"/>
          </w:tcPr>
          <w:p w14:paraId="13788D72" w14:textId="77777777" w:rsidR="0045050D" w:rsidRPr="00D23B9F" w:rsidRDefault="0045050D" w:rsidP="00FF7E00">
            <w:pPr>
              <w:pStyle w:val="TableText"/>
              <w:jc w:val="center"/>
              <w:rPr>
                <w:b/>
                <w:sz w:val="16"/>
                <w:szCs w:val="16"/>
              </w:rPr>
            </w:pPr>
            <w:r w:rsidRPr="00D23B9F">
              <w:rPr>
                <w:b/>
                <w:sz w:val="16"/>
                <w:szCs w:val="16"/>
              </w:rPr>
              <w:t>#</w:t>
            </w:r>
          </w:p>
        </w:tc>
        <w:tc>
          <w:tcPr>
            <w:tcW w:w="945" w:type="dxa"/>
            <w:shd w:val="clear" w:color="auto" w:fill="A6A6A6" w:themeFill="background1" w:themeFillShade="A6"/>
          </w:tcPr>
          <w:p w14:paraId="12D718AC" w14:textId="77777777" w:rsidR="0045050D" w:rsidRPr="00D23B9F" w:rsidRDefault="0045050D" w:rsidP="00FF7E00">
            <w:pPr>
              <w:pStyle w:val="TableText"/>
              <w:jc w:val="center"/>
              <w:rPr>
                <w:b/>
                <w:sz w:val="16"/>
                <w:szCs w:val="16"/>
              </w:rPr>
            </w:pPr>
            <w:r w:rsidRPr="00D23B9F">
              <w:rPr>
                <w:b/>
                <w:sz w:val="16"/>
                <w:szCs w:val="16"/>
              </w:rPr>
              <w:t>A</w:t>
            </w:r>
          </w:p>
        </w:tc>
        <w:tc>
          <w:tcPr>
            <w:tcW w:w="945" w:type="dxa"/>
            <w:shd w:val="clear" w:color="auto" w:fill="A6A6A6" w:themeFill="background1" w:themeFillShade="A6"/>
          </w:tcPr>
          <w:p w14:paraId="60DA322F" w14:textId="77777777" w:rsidR="0045050D" w:rsidRPr="00D23B9F" w:rsidRDefault="0045050D" w:rsidP="00FF7E00">
            <w:pPr>
              <w:pStyle w:val="TableText"/>
              <w:jc w:val="center"/>
              <w:rPr>
                <w:b/>
                <w:sz w:val="16"/>
                <w:szCs w:val="16"/>
                <w:lang w:val="es-ES"/>
              </w:rPr>
            </w:pPr>
            <w:r w:rsidRPr="00D23B9F">
              <w:rPr>
                <w:b/>
                <w:sz w:val="16"/>
                <w:szCs w:val="16"/>
                <w:lang w:val="es-ES"/>
              </w:rPr>
              <w:t>G</w:t>
            </w:r>
          </w:p>
        </w:tc>
        <w:tc>
          <w:tcPr>
            <w:tcW w:w="945" w:type="dxa"/>
            <w:shd w:val="clear" w:color="auto" w:fill="A6A6A6" w:themeFill="background1" w:themeFillShade="A6"/>
          </w:tcPr>
          <w:p w14:paraId="2DC41BA7" w14:textId="77777777" w:rsidR="0045050D" w:rsidRPr="00D23B9F" w:rsidRDefault="0045050D" w:rsidP="00FF7E00">
            <w:pPr>
              <w:pStyle w:val="TableText"/>
              <w:jc w:val="center"/>
              <w:rPr>
                <w:b/>
                <w:sz w:val="16"/>
                <w:szCs w:val="16"/>
                <w:lang w:val="es-ES"/>
              </w:rPr>
            </w:pPr>
            <w:r w:rsidRPr="00D23B9F">
              <w:rPr>
                <w:b/>
                <w:sz w:val="16"/>
                <w:szCs w:val="16"/>
                <w:lang w:val="es-ES"/>
              </w:rPr>
              <w:t>J</w:t>
            </w:r>
          </w:p>
        </w:tc>
        <w:tc>
          <w:tcPr>
            <w:tcW w:w="1468" w:type="dxa"/>
            <w:shd w:val="clear" w:color="auto" w:fill="A6A6A6" w:themeFill="background1" w:themeFillShade="A6"/>
          </w:tcPr>
          <w:p w14:paraId="5765A2B1" w14:textId="77777777" w:rsidR="0045050D" w:rsidRPr="00D23B9F" w:rsidRDefault="0045050D" w:rsidP="00FF7E00">
            <w:pPr>
              <w:pStyle w:val="TableText"/>
              <w:jc w:val="center"/>
              <w:rPr>
                <w:b/>
                <w:sz w:val="16"/>
                <w:szCs w:val="16"/>
                <w:lang w:val="es-ES"/>
              </w:rPr>
            </w:pPr>
            <w:r w:rsidRPr="00D23B9F">
              <w:rPr>
                <w:b/>
                <w:sz w:val="16"/>
                <w:szCs w:val="16"/>
                <w:lang w:val="es-ES"/>
              </w:rPr>
              <w:t>Nuevo participante</w:t>
            </w:r>
          </w:p>
        </w:tc>
        <w:tc>
          <w:tcPr>
            <w:tcW w:w="1469" w:type="dxa"/>
            <w:shd w:val="clear" w:color="auto" w:fill="A6A6A6" w:themeFill="background1" w:themeFillShade="A6"/>
          </w:tcPr>
          <w:p w14:paraId="711F5603" w14:textId="77777777" w:rsidR="0045050D" w:rsidRPr="00D23B9F" w:rsidRDefault="0045050D" w:rsidP="00FF7E00">
            <w:pPr>
              <w:pStyle w:val="TableText"/>
              <w:jc w:val="center"/>
              <w:rPr>
                <w:b/>
                <w:sz w:val="16"/>
                <w:szCs w:val="16"/>
                <w:lang w:val="es-ES"/>
              </w:rPr>
            </w:pPr>
            <w:r w:rsidRPr="00D23B9F">
              <w:rPr>
                <w:b/>
                <w:sz w:val="16"/>
                <w:szCs w:val="16"/>
                <w:lang w:val="es-ES"/>
              </w:rPr>
              <w:t>Telefónica</w:t>
            </w:r>
          </w:p>
        </w:tc>
        <w:tc>
          <w:tcPr>
            <w:tcW w:w="1468" w:type="dxa"/>
            <w:shd w:val="clear" w:color="auto" w:fill="A6A6A6" w:themeFill="background1" w:themeFillShade="A6"/>
          </w:tcPr>
          <w:p w14:paraId="5A3398A4" w14:textId="77777777" w:rsidR="0045050D" w:rsidRPr="00D23B9F" w:rsidRDefault="0045050D" w:rsidP="00FF7E00">
            <w:pPr>
              <w:pStyle w:val="TableText"/>
              <w:jc w:val="center"/>
              <w:rPr>
                <w:b/>
                <w:sz w:val="16"/>
                <w:szCs w:val="16"/>
                <w:lang w:val="es-ES"/>
              </w:rPr>
            </w:pPr>
            <w:r w:rsidRPr="00D23B9F">
              <w:rPr>
                <w:b/>
                <w:sz w:val="16"/>
                <w:szCs w:val="16"/>
                <w:lang w:val="es-ES"/>
              </w:rPr>
              <w:t>Telcel</w:t>
            </w:r>
          </w:p>
        </w:tc>
        <w:tc>
          <w:tcPr>
            <w:tcW w:w="1469" w:type="dxa"/>
            <w:shd w:val="clear" w:color="auto" w:fill="A6A6A6" w:themeFill="background1" w:themeFillShade="A6"/>
          </w:tcPr>
          <w:p w14:paraId="0873A69F" w14:textId="77777777" w:rsidR="0045050D" w:rsidRPr="00D23B9F" w:rsidRDefault="0045050D" w:rsidP="00FF7E00">
            <w:pPr>
              <w:pStyle w:val="TableText"/>
              <w:jc w:val="center"/>
              <w:rPr>
                <w:b/>
                <w:sz w:val="16"/>
                <w:szCs w:val="16"/>
                <w:lang w:val="es-ES"/>
              </w:rPr>
            </w:pPr>
            <w:r w:rsidRPr="00D23B9F">
              <w:rPr>
                <w:b/>
                <w:sz w:val="16"/>
                <w:szCs w:val="16"/>
                <w:lang w:val="es-ES"/>
              </w:rPr>
              <w:t>AT&amp;T</w:t>
            </w:r>
          </w:p>
        </w:tc>
      </w:tr>
      <w:tr w:rsidR="0045050D" w:rsidRPr="00B86764" w14:paraId="41D444D2" w14:textId="77777777" w:rsidTr="00FF7E00">
        <w:tc>
          <w:tcPr>
            <w:tcW w:w="534" w:type="dxa"/>
            <w:vAlign w:val="center"/>
          </w:tcPr>
          <w:p w14:paraId="3FFD0B23" w14:textId="77777777" w:rsidR="0045050D" w:rsidRPr="00D23B9F" w:rsidRDefault="0045050D" w:rsidP="00FF7E00">
            <w:pPr>
              <w:pStyle w:val="TableText"/>
              <w:jc w:val="center"/>
              <w:rPr>
                <w:b/>
                <w:sz w:val="16"/>
                <w:szCs w:val="16"/>
              </w:rPr>
            </w:pPr>
            <w:r w:rsidRPr="00D23B9F">
              <w:rPr>
                <w:b/>
                <w:sz w:val="16"/>
                <w:szCs w:val="16"/>
              </w:rPr>
              <w:t>1</w:t>
            </w:r>
          </w:p>
        </w:tc>
        <w:tc>
          <w:tcPr>
            <w:tcW w:w="945" w:type="dxa"/>
            <w:vAlign w:val="center"/>
          </w:tcPr>
          <w:p w14:paraId="69A111E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6339DDF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3E04DB9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5B68222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D9D9D9" w:themeFill="background1" w:themeFillShade="D9"/>
            <w:vAlign w:val="center"/>
          </w:tcPr>
          <w:p w14:paraId="44F392F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c>
          <w:tcPr>
            <w:tcW w:w="1468" w:type="dxa"/>
            <w:shd w:val="clear" w:color="auto" w:fill="D9D9D9" w:themeFill="background1" w:themeFillShade="D9"/>
            <w:vAlign w:val="center"/>
          </w:tcPr>
          <w:p w14:paraId="4F59717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c>
          <w:tcPr>
            <w:tcW w:w="1469" w:type="dxa"/>
            <w:shd w:val="clear" w:color="auto" w:fill="D9D9D9" w:themeFill="background1" w:themeFillShade="D9"/>
            <w:vAlign w:val="center"/>
          </w:tcPr>
          <w:p w14:paraId="3563698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r>
      <w:tr w:rsidR="0045050D" w:rsidRPr="00B86764" w14:paraId="00AD6571" w14:textId="77777777" w:rsidTr="00FF7E00">
        <w:tc>
          <w:tcPr>
            <w:tcW w:w="534" w:type="dxa"/>
            <w:vAlign w:val="center"/>
          </w:tcPr>
          <w:p w14:paraId="076111E5" w14:textId="77777777" w:rsidR="0045050D" w:rsidRPr="00D23B9F" w:rsidRDefault="0045050D" w:rsidP="00FF7E00">
            <w:pPr>
              <w:pStyle w:val="TableText"/>
              <w:jc w:val="center"/>
              <w:rPr>
                <w:b/>
                <w:sz w:val="16"/>
                <w:szCs w:val="16"/>
              </w:rPr>
            </w:pPr>
            <w:r w:rsidRPr="00D23B9F">
              <w:rPr>
                <w:b/>
                <w:sz w:val="16"/>
                <w:szCs w:val="16"/>
              </w:rPr>
              <w:t>2</w:t>
            </w:r>
          </w:p>
        </w:tc>
        <w:tc>
          <w:tcPr>
            <w:tcW w:w="945" w:type="dxa"/>
            <w:vAlign w:val="center"/>
          </w:tcPr>
          <w:p w14:paraId="31F83D5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1B56AA9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66DC521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2D45AB9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64D3E5D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D9D9D9" w:themeFill="background1" w:themeFillShade="D9"/>
            <w:vAlign w:val="center"/>
          </w:tcPr>
          <w:p w14:paraId="302649B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c>
          <w:tcPr>
            <w:tcW w:w="1469" w:type="dxa"/>
            <w:shd w:val="clear" w:color="auto" w:fill="D9D9D9" w:themeFill="background1" w:themeFillShade="D9"/>
            <w:vAlign w:val="center"/>
          </w:tcPr>
          <w:p w14:paraId="47E6EA0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r>
      <w:tr w:rsidR="0045050D" w:rsidRPr="00B86764" w14:paraId="59EC1ECD" w14:textId="77777777" w:rsidTr="00FF7E00">
        <w:tc>
          <w:tcPr>
            <w:tcW w:w="534" w:type="dxa"/>
            <w:vAlign w:val="center"/>
          </w:tcPr>
          <w:p w14:paraId="1719516E" w14:textId="77777777" w:rsidR="0045050D" w:rsidRPr="00D23B9F" w:rsidRDefault="0045050D" w:rsidP="00FF7E00">
            <w:pPr>
              <w:pStyle w:val="TableText"/>
              <w:jc w:val="center"/>
              <w:rPr>
                <w:b/>
                <w:sz w:val="16"/>
                <w:szCs w:val="16"/>
              </w:rPr>
            </w:pPr>
            <w:r w:rsidRPr="00D23B9F">
              <w:rPr>
                <w:b/>
                <w:sz w:val="16"/>
                <w:szCs w:val="16"/>
              </w:rPr>
              <w:t>3</w:t>
            </w:r>
          </w:p>
        </w:tc>
        <w:tc>
          <w:tcPr>
            <w:tcW w:w="945" w:type="dxa"/>
            <w:vAlign w:val="center"/>
          </w:tcPr>
          <w:p w14:paraId="4155B75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1067437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6492CBB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6E9F30B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6C1D67A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D9D9D9" w:themeFill="background1" w:themeFillShade="D9"/>
            <w:vAlign w:val="center"/>
          </w:tcPr>
          <w:p w14:paraId="3F1F277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c>
          <w:tcPr>
            <w:tcW w:w="1469" w:type="dxa"/>
            <w:shd w:val="clear" w:color="auto" w:fill="D9D9D9" w:themeFill="background1" w:themeFillShade="D9"/>
            <w:vAlign w:val="center"/>
          </w:tcPr>
          <w:p w14:paraId="293B104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r>
      <w:tr w:rsidR="0045050D" w:rsidRPr="00B86764" w14:paraId="7A7037A5" w14:textId="77777777" w:rsidTr="00FF7E00">
        <w:tc>
          <w:tcPr>
            <w:tcW w:w="534" w:type="dxa"/>
            <w:vAlign w:val="center"/>
          </w:tcPr>
          <w:p w14:paraId="5266825A" w14:textId="77777777" w:rsidR="0045050D" w:rsidRPr="00D23B9F" w:rsidRDefault="0045050D" w:rsidP="00FF7E00">
            <w:pPr>
              <w:pStyle w:val="TableText"/>
              <w:jc w:val="center"/>
              <w:rPr>
                <w:b/>
                <w:sz w:val="16"/>
                <w:szCs w:val="16"/>
              </w:rPr>
            </w:pPr>
            <w:r w:rsidRPr="00D23B9F">
              <w:rPr>
                <w:b/>
                <w:sz w:val="16"/>
                <w:szCs w:val="16"/>
              </w:rPr>
              <w:t>4</w:t>
            </w:r>
          </w:p>
        </w:tc>
        <w:tc>
          <w:tcPr>
            <w:tcW w:w="945" w:type="dxa"/>
            <w:vAlign w:val="center"/>
          </w:tcPr>
          <w:p w14:paraId="41A3956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3BA7810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240E105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4A95737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627B1C8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D9D9D9" w:themeFill="background1" w:themeFillShade="D9"/>
            <w:vAlign w:val="center"/>
          </w:tcPr>
          <w:p w14:paraId="28025CC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c>
          <w:tcPr>
            <w:tcW w:w="1469" w:type="dxa"/>
            <w:shd w:val="clear" w:color="auto" w:fill="D9D9D9" w:themeFill="background1" w:themeFillShade="D9"/>
            <w:vAlign w:val="center"/>
          </w:tcPr>
          <w:p w14:paraId="7DAD3FA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r>
      <w:tr w:rsidR="0045050D" w:rsidRPr="00B86764" w14:paraId="0B899332" w14:textId="77777777" w:rsidTr="00FF7E00">
        <w:tc>
          <w:tcPr>
            <w:tcW w:w="534" w:type="dxa"/>
            <w:vAlign w:val="center"/>
          </w:tcPr>
          <w:p w14:paraId="3E139B85" w14:textId="77777777" w:rsidR="0045050D" w:rsidRPr="00D23B9F" w:rsidRDefault="0045050D" w:rsidP="00FF7E00">
            <w:pPr>
              <w:pStyle w:val="TableText"/>
              <w:jc w:val="center"/>
              <w:rPr>
                <w:b/>
                <w:sz w:val="16"/>
                <w:szCs w:val="16"/>
              </w:rPr>
            </w:pPr>
            <w:r w:rsidRPr="00D23B9F">
              <w:rPr>
                <w:b/>
                <w:sz w:val="16"/>
                <w:szCs w:val="16"/>
              </w:rPr>
              <w:t>5</w:t>
            </w:r>
          </w:p>
        </w:tc>
        <w:tc>
          <w:tcPr>
            <w:tcW w:w="945" w:type="dxa"/>
            <w:vAlign w:val="center"/>
          </w:tcPr>
          <w:p w14:paraId="11420A6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2D96813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01E6F1D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13D9ACE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20CB49A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D9D9D9" w:themeFill="background1" w:themeFillShade="D9"/>
            <w:vAlign w:val="center"/>
          </w:tcPr>
          <w:p w14:paraId="31D46DF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c>
          <w:tcPr>
            <w:tcW w:w="1469" w:type="dxa"/>
            <w:shd w:val="clear" w:color="auto" w:fill="D9D9D9" w:themeFill="background1" w:themeFillShade="D9"/>
            <w:vAlign w:val="center"/>
          </w:tcPr>
          <w:p w14:paraId="3D8AA93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r>
      <w:tr w:rsidR="0045050D" w:rsidRPr="00B86764" w14:paraId="085144A1" w14:textId="77777777" w:rsidTr="00FF7E00">
        <w:tc>
          <w:tcPr>
            <w:tcW w:w="534" w:type="dxa"/>
            <w:vAlign w:val="center"/>
          </w:tcPr>
          <w:p w14:paraId="37E0A933" w14:textId="77777777" w:rsidR="0045050D" w:rsidRPr="00D23B9F" w:rsidRDefault="0045050D" w:rsidP="00FF7E00">
            <w:pPr>
              <w:pStyle w:val="TableText"/>
              <w:jc w:val="center"/>
              <w:rPr>
                <w:b/>
                <w:sz w:val="16"/>
                <w:szCs w:val="16"/>
              </w:rPr>
            </w:pPr>
            <w:r w:rsidRPr="00D23B9F">
              <w:rPr>
                <w:b/>
                <w:sz w:val="16"/>
                <w:szCs w:val="16"/>
              </w:rPr>
              <w:t>6</w:t>
            </w:r>
          </w:p>
        </w:tc>
        <w:tc>
          <w:tcPr>
            <w:tcW w:w="945" w:type="dxa"/>
            <w:vAlign w:val="center"/>
          </w:tcPr>
          <w:p w14:paraId="40C7E0A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4F02E37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3CDD939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1B74D52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6C21772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D9D9D9" w:themeFill="background1" w:themeFillShade="D9"/>
            <w:vAlign w:val="center"/>
          </w:tcPr>
          <w:p w14:paraId="5AE5126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c>
          <w:tcPr>
            <w:tcW w:w="1469" w:type="dxa"/>
            <w:shd w:val="clear" w:color="auto" w:fill="D9D9D9" w:themeFill="background1" w:themeFillShade="D9"/>
            <w:vAlign w:val="center"/>
          </w:tcPr>
          <w:p w14:paraId="20FF970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r>
      <w:tr w:rsidR="0045050D" w:rsidRPr="00B86764" w14:paraId="3B07EDEA" w14:textId="77777777" w:rsidTr="00FF7E00">
        <w:tc>
          <w:tcPr>
            <w:tcW w:w="534" w:type="dxa"/>
            <w:vAlign w:val="center"/>
          </w:tcPr>
          <w:p w14:paraId="30C2959A" w14:textId="77777777" w:rsidR="0045050D" w:rsidRPr="00D23B9F" w:rsidRDefault="0045050D" w:rsidP="00FF7E00">
            <w:pPr>
              <w:pStyle w:val="TableText"/>
              <w:jc w:val="center"/>
              <w:rPr>
                <w:b/>
                <w:sz w:val="16"/>
                <w:szCs w:val="16"/>
              </w:rPr>
            </w:pPr>
            <w:r w:rsidRPr="00D23B9F">
              <w:rPr>
                <w:b/>
                <w:sz w:val="16"/>
                <w:szCs w:val="16"/>
              </w:rPr>
              <w:t>7</w:t>
            </w:r>
          </w:p>
        </w:tc>
        <w:tc>
          <w:tcPr>
            <w:tcW w:w="945" w:type="dxa"/>
            <w:vAlign w:val="center"/>
          </w:tcPr>
          <w:p w14:paraId="33F208D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674AF0E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4108E05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0C92CD8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76E2C9A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D9D9D9" w:themeFill="background1" w:themeFillShade="D9"/>
            <w:vAlign w:val="center"/>
          </w:tcPr>
          <w:p w14:paraId="755E9B7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c>
          <w:tcPr>
            <w:tcW w:w="1469" w:type="dxa"/>
            <w:shd w:val="clear" w:color="auto" w:fill="D9D9D9" w:themeFill="background1" w:themeFillShade="D9"/>
            <w:vAlign w:val="center"/>
          </w:tcPr>
          <w:p w14:paraId="497F7DB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No</w:t>
            </w:r>
          </w:p>
        </w:tc>
      </w:tr>
      <w:tr w:rsidR="0045050D" w:rsidRPr="00B86764" w14:paraId="5738D529" w14:textId="77777777" w:rsidTr="00FF7E00">
        <w:tc>
          <w:tcPr>
            <w:tcW w:w="534" w:type="dxa"/>
            <w:vAlign w:val="center"/>
          </w:tcPr>
          <w:p w14:paraId="3A3F0891" w14:textId="77777777" w:rsidR="0045050D" w:rsidRPr="00D23B9F" w:rsidRDefault="0045050D" w:rsidP="00FF7E00">
            <w:pPr>
              <w:pStyle w:val="TableText"/>
              <w:jc w:val="center"/>
              <w:rPr>
                <w:b/>
                <w:sz w:val="16"/>
                <w:szCs w:val="16"/>
              </w:rPr>
            </w:pPr>
            <w:r w:rsidRPr="00D23B9F">
              <w:rPr>
                <w:b/>
                <w:sz w:val="16"/>
                <w:szCs w:val="16"/>
              </w:rPr>
              <w:t>8</w:t>
            </w:r>
          </w:p>
        </w:tc>
        <w:tc>
          <w:tcPr>
            <w:tcW w:w="945" w:type="dxa"/>
            <w:vAlign w:val="center"/>
          </w:tcPr>
          <w:p w14:paraId="1F38855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5660D65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5C0C939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6987C21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182E580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44F3022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39A7035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5AC5CE10" w14:textId="77777777" w:rsidTr="00FF7E00">
        <w:tc>
          <w:tcPr>
            <w:tcW w:w="534" w:type="dxa"/>
            <w:vAlign w:val="center"/>
          </w:tcPr>
          <w:p w14:paraId="3A565F96" w14:textId="77777777" w:rsidR="0045050D" w:rsidRPr="00D23B9F" w:rsidRDefault="0045050D" w:rsidP="00FF7E00">
            <w:pPr>
              <w:pStyle w:val="TableText"/>
              <w:jc w:val="center"/>
              <w:rPr>
                <w:b/>
                <w:sz w:val="16"/>
                <w:szCs w:val="16"/>
              </w:rPr>
            </w:pPr>
            <w:r w:rsidRPr="00D23B9F">
              <w:rPr>
                <w:b/>
                <w:sz w:val="16"/>
                <w:szCs w:val="16"/>
              </w:rPr>
              <w:t>9</w:t>
            </w:r>
          </w:p>
        </w:tc>
        <w:tc>
          <w:tcPr>
            <w:tcW w:w="945" w:type="dxa"/>
            <w:vAlign w:val="center"/>
          </w:tcPr>
          <w:p w14:paraId="1E9DC13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250AAFB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260359D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699B6C7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0A9C203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228DA14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2E71B1F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73F66376" w14:textId="77777777" w:rsidTr="00FF7E00">
        <w:tc>
          <w:tcPr>
            <w:tcW w:w="534" w:type="dxa"/>
            <w:vAlign w:val="center"/>
          </w:tcPr>
          <w:p w14:paraId="717F1A85" w14:textId="77777777" w:rsidR="0045050D" w:rsidRPr="00D23B9F" w:rsidRDefault="0045050D" w:rsidP="00FF7E00">
            <w:pPr>
              <w:pStyle w:val="TableText"/>
              <w:jc w:val="center"/>
              <w:rPr>
                <w:b/>
                <w:sz w:val="16"/>
                <w:szCs w:val="16"/>
              </w:rPr>
            </w:pPr>
            <w:r w:rsidRPr="00D23B9F">
              <w:rPr>
                <w:b/>
                <w:sz w:val="16"/>
                <w:szCs w:val="16"/>
              </w:rPr>
              <w:t>10</w:t>
            </w:r>
          </w:p>
        </w:tc>
        <w:tc>
          <w:tcPr>
            <w:tcW w:w="945" w:type="dxa"/>
            <w:vAlign w:val="center"/>
          </w:tcPr>
          <w:p w14:paraId="342950E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3012BAF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599B5CE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384845E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47AEF1B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1D7C76F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4AECA80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131E111F" w14:textId="77777777" w:rsidTr="00FF7E00">
        <w:tc>
          <w:tcPr>
            <w:tcW w:w="534" w:type="dxa"/>
            <w:vAlign w:val="center"/>
          </w:tcPr>
          <w:p w14:paraId="4E52A70B" w14:textId="77777777" w:rsidR="0045050D" w:rsidRPr="00D23B9F" w:rsidRDefault="0045050D" w:rsidP="00FF7E00">
            <w:pPr>
              <w:pStyle w:val="TableText"/>
              <w:jc w:val="center"/>
              <w:rPr>
                <w:b/>
                <w:sz w:val="16"/>
                <w:szCs w:val="16"/>
              </w:rPr>
            </w:pPr>
            <w:r w:rsidRPr="00D23B9F">
              <w:rPr>
                <w:b/>
                <w:sz w:val="16"/>
                <w:szCs w:val="16"/>
              </w:rPr>
              <w:t>11</w:t>
            </w:r>
          </w:p>
        </w:tc>
        <w:tc>
          <w:tcPr>
            <w:tcW w:w="945" w:type="dxa"/>
            <w:vAlign w:val="center"/>
          </w:tcPr>
          <w:p w14:paraId="53DF308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34559B9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533E9C9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240A113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3142517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583BA20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02C322E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3AE9C584" w14:textId="77777777" w:rsidTr="00FF7E00">
        <w:tc>
          <w:tcPr>
            <w:tcW w:w="534" w:type="dxa"/>
            <w:vAlign w:val="center"/>
          </w:tcPr>
          <w:p w14:paraId="03837DA7" w14:textId="77777777" w:rsidR="0045050D" w:rsidRPr="00D23B9F" w:rsidRDefault="0045050D" w:rsidP="00FF7E00">
            <w:pPr>
              <w:pStyle w:val="TableText"/>
              <w:jc w:val="center"/>
              <w:rPr>
                <w:b/>
                <w:sz w:val="16"/>
                <w:szCs w:val="16"/>
              </w:rPr>
            </w:pPr>
            <w:r w:rsidRPr="00D23B9F">
              <w:rPr>
                <w:b/>
                <w:sz w:val="16"/>
                <w:szCs w:val="16"/>
              </w:rPr>
              <w:t>12</w:t>
            </w:r>
          </w:p>
        </w:tc>
        <w:tc>
          <w:tcPr>
            <w:tcW w:w="945" w:type="dxa"/>
            <w:vAlign w:val="center"/>
          </w:tcPr>
          <w:p w14:paraId="66781A4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2895E36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1940A6D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604CDB6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7F899D5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5D66D34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4CC4F4A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2AD94055" w14:textId="77777777" w:rsidTr="00FF7E00">
        <w:tc>
          <w:tcPr>
            <w:tcW w:w="534" w:type="dxa"/>
            <w:vAlign w:val="center"/>
          </w:tcPr>
          <w:p w14:paraId="354B2A8D" w14:textId="77777777" w:rsidR="0045050D" w:rsidRPr="00D23B9F" w:rsidRDefault="0045050D" w:rsidP="00FF7E00">
            <w:pPr>
              <w:pStyle w:val="TableText"/>
              <w:jc w:val="center"/>
              <w:rPr>
                <w:b/>
                <w:sz w:val="16"/>
                <w:szCs w:val="16"/>
              </w:rPr>
            </w:pPr>
            <w:r w:rsidRPr="00D23B9F">
              <w:rPr>
                <w:b/>
                <w:sz w:val="16"/>
                <w:szCs w:val="16"/>
              </w:rPr>
              <w:t>13</w:t>
            </w:r>
          </w:p>
        </w:tc>
        <w:tc>
          <w:tcPr>
            <w:tcW w:w="945" w:type="dxa"/>
            <w:vAlign w:val="center"/>
          </w:tcPr>
          <w:p w14:paraId="1FAC35A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2C92CD4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16DA5B4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51EBE8D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62504F3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3DFC5D1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158BAF8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2ECC6551" w14:textId="77777777" w:rsidTr="00FF7E00">
        <w:tc>
          <w:tcPr>
            <w:tcW w:w="534" w:type="dxa"/>
            <w:vAlign w:val="center"/>
          </w:tcPr>
          <w:p w14:paraId="6B85CD80" w14:textId="77777777" w:rsidR="0045050D" w:rsidRPr="00D23B9F" w:rsidRDefault="0045050D" w:rsidP="00FF7E00">
            <w:pPr>
              <w:pStyle w:val="TableText"/>
              <w:jc w:val="center"/>
              <w:rPr>
                <w:b/>
                <w:sz w:val="16"/>
                <w:szCs w:val="16"/>
              </w:rPr>
            </w:pPr>
            <w:r w:rsidRPr="00D23B9F">
              <w:rPr>
                <w:b/>
                <w:sz w:val="16"/>
                <w:szCs w:val="16"/>
              </w:rPr>
              <w:t>14</w:t>
            </w:r>
          </w:p>
        </w:tc>
        <w:tc>
          <w:tcPr>
            <w:tcW w:w="945" w:type="dxa"/>
            <w:vAlign w:val="center"/>
          </w:tcPr>
          <w:p w14:paraId="0729926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60E31AD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038A842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73FB926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152D081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7B9B049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050BBFD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483B341C" w14:textId="77777777" w:rsidTr="00FF7E00">
        <w:tc>
          <w:tcPr>
            <w:tcW w:w="534" w:type="dxa"/>
            <w:vAlign w:val="center"/>
          </w:tcPr>
          <w:p w14:paraId="72579AB5" w14:textId="77777777" w:rsidR="0045050D" w:rsidRPr="00D23B9F" w:rsidRDefault="0045050D" w:rsidP="00FF7E00">
            <w:pPr>
              <w:pStyle w:val="TableText"/>
              <w:jc w:val="center"/>
              <w:rPr>
                <w:b/>
                <w:sz w:val="16"/>
                <w:szCs w:val="16"/>
              </w:rPr>
            </w:pPr>
            <w:r w:rsidRPr="00D23B9F">
              <w:rPr>
                <w:b/>
                <w:sz w:val="16"/>
                <w:szCs w:val="16"/>
              </w:rPr>
              <w:t>15</w:t>
            </w:r>
          </w:p>
        </w:tc>
        <w:tc>
          <w:tcPr>
            <w:tcW w:w="945" w:type="dxa"/>
            <w:vAlign w:val="center"/>
          </w:tcPr>
          <w:p w14:paraId="25D6FA2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43469EE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0749DDE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37D1C6C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05C4539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tcBorders>
              <w:bottom w:val="single" w:sz="4" w:space="0" w:color="auto"/>
            </w:tcBorders>
            <w:shd w:val="clear" w:color="auto" w:fill="auto"/>
          </w:tcPr>
          <w:p w14:paraId="57C73BF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Borders>
              <w:bottom w:val="single" w:sz="4" w:space="0" w:color="auto"/>
            </w:tcBorders>
            <w:shd w:val="clear" w:color="auto" w:fill="auto"/>
          </w:tcPr>
          <w:p w14:paraId="11536AF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40A56B3A" w14:textId="77777777" w:rsidTr="00FF7E00">
        <w:tc>
          <w:tcPr>
            <w:tcW w:w="534" w:type="dxa"/>
            <w:vAlign w:val="center"/>
          </w:tcPr>
          <w:p w14:paraId="224B00B9" w14:textId="77777777" w:rsidR="0045050D" w:rsidRPr="00D23B9F" w:rsidRDefault="0045050D" w:rsidP="00FF7E00">
            <w:pPr>
              <w:pStyle w:val="TableText"/>
              <w:jc w:val="center"/>
              <w:rPr>
                <w:b/>
                <w:sz w:val="16"/>
                <w:szCs w:val="16"/>
              </w:rPr>
            </w:pPr>
            <w:r w:rsidRPr="00D23B9F">
              <w:rPr>
                <w:b/>
                <w:sz w:val="16"/>
                <w:szCs w:val="16"/>
              </w:rPr>
              <w:t>16</w:t>
            </w:r>
          </w:p>
        </w:tc>
        <w:tc>
          <w:tcPr>
            <w:tcW w:w="945" w:type="dxa"/>
            <w:vAlign w:val="center"/>
          </w:tcPr>
          <w:p w14:paraId="326777E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467073D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631920E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560F116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1B1CA3E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34C94AF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294E6C8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21FCE60C" w14:textId="77777777" w:rsidTr="00FF7E00">
        <w:tc>
          <w:tcPr>
            <w:tcW w:w="534" w:type="dxa"/>
            <w:vAlign w:val="center"/>
          </w:tcPr>
          <w:p w14:paraId="250F6C29" w14:textId="77777777" w:rsidR="0045050D" w:rsidRPr="00D23B9F" w:rsidRDefault="0045050D" w:rsidP="00FF7E00">
            <w:pPr>
              <w:pStyle w:val="TableText"/>
              <w:jc w:val="center"/>
              <w:rPr>
                <w:b/>
                <w:sz w:val="16"/>
                <w:szCs w:val="16"/>
              </w:rPr>
            </w:pPr>
            <w:r w:rsidRPr="00D23B9F">
              <w:rPr>
                <w:b/>
                <w:sz w:val="16"/>
                <w:szCs w:val="16"/>
              </w:rPr>
              <w:t>17</w:t>
            </w:r>
          </w:p>
        </w:tc>
        <w:tc>
          <w:tcPr>
            <w:tcW w:w="945" w:type="dxa"/>
            <w:vAlign w:val="center"/>
          </w:tcPr>
          <w:p w14:paraId="5BB51D6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4E37228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3434BB3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65FFC1F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1FC1F4E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6EDD34A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3739083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445B9E8E" w14:textId="77777777" w:rsidTr="00FF7E00">
        <w:tc>
          <w:tcPr>
            <w:tcW w:w="534" w:type="dxa"/>
            <w:vAlign w:val="center"/>
          </w:tcPr>
          <w:p w14:paraId="7E121972" w14:textId="77777777" w:rsidR="0045050D" w:rsidRPr="00D23B9F" w:rsidRDefault="0045050D" w:rsidP="00FF7E00">
            <w:pPr>
              <w:pStyle w:val="TableText"/>
              <w:jc w:val="center"/>
              <w:rPr>
                <w:b/>
                <w:sz w:val="16"/>
                <w:szCs w:val="16"/>
              </w:rPr>
            </w:pPr>
            <w:r w:rsidRPr="00D23B9F">
              <w:rPr>
                <w:b/>
                <w:sz w:val="16"/>
                <w:szCs w:val="16"/>
              </w:rPr>
              <w:t>18</w:t>
            </w:r>
          </w:p>
        </w:tc>
        <w:tc>
          <w:tcPr>
            <w:tcW w:w="945" w:type="dxa"/>
            <w:vAlign w:val="center"/>
          </w:tcPr>
          <w:p w14:paraId="1767285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6B84850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55F0201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780B847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6CE6BED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6B33719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2F9A0FC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2635187A" w14:textId="77777777" w:rsidTr="00FF7E00">
        <w:tc>
          <w:tcPr>
            <w:tcW w:w="534" w:type="dxa"/>
            <w:vAlign w:val="center"/>
          </w:tcPr>
          <w:p w14:paraId="09DE8AF3" w14:textId="77777777" w:rsidR="0045050D" w:rsidRPr="00D23B9F" w:rsidRDefault="0045050D" w:rsidP="00FF7E00">
            <w:pPr>
              <w:pStyle w:val="TableText"/>
              <w:jc w:val="center"/>
              <w:rPr>
                <w:b/>
                <w:sz w:val="16"/>
                <w:szCs w:val="16"/>
              </w:rPr>
            </w:pPr>
            <w:r w:rsidRPr="00D23B9F">
              <w:rPr>
                <w:b/>
                <w:sz w:val="16"/>
                <w:szCs w:val="16"/>
              </w:rPr>
              <w:t>19</w:t>
            </w:r>
          </w:p>
        </w:tc>
        <w:tc>
          <w:tcPr>
            <w:tcW w:w="945" w:type="dxa"/>
            <w:vAlign w:val="center"/>
          </w:tcPr>
          <w:p w14:paraId="39854C3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49C8CB5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372CC24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4B25440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6FAFA98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4107192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485CABB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75C5426C" w14:textId="77777777" w:rsidTr="00FF7E00">
        <w:tc>
          <w:tcPr>
            <w:tcW w:w="534" w:type="dxa"/>
            <w:vAlign w:val="center"/>
          </w:tcPr>
          <w:p w14:paraId="5DF8B73E" w14:textId="77777777" w:rsidR="0045050D" w:rsidRPr="00D23B9F" w:rsidRDefault="0045050D" w:rsidP="00FF7E00">
            <w:pPr>
              <w:pStyle w:val="TableText"/>
              <w:jc w:val="center"/>
              <w:rPr>
                <w:b/>
                <w:sz w:val="16"/>
                <w:szCs w:val="16"/>
              </w:rPr>
            </w:pPr>
            <w:r w:rsidRPr="00D23B9F">
              <w:rPr>
                <w:b/>
                <w:sz w:val="16"/>
                <w:szCs w:val="16"/>
              </w:rPr>
              <w:t>20</w:t>
            </w:r>
          </w:p>
        </w:tc>
        <w:tc>
          <w:tcPr>
            <w:tcW w:w="945" w:type="dxa"/>
            <w:vAlign w:val="center"/>
          </w:tcPr>
          <w:p w14:paraId="299AA4D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2CB25B0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515A87E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191CDF3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03AC3E9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01E8DE4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5DA3F39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63DE1233" w14:textId="77777777" w:rsidTr="00FF7E00">
        <w:tc>
          <w:tcPr>
            <w:tcW w:w="534" w:type="dxa"/>
            <w:vAlign w:val="center"/>
          </w:tcPr>
          <w:p w14:paraId="2B921429" w14:textId="77777777" w:rsidR="0045050D" w:rsidRPr="00D23B9F" w:rsidRDefault="0045050D" w:rsidP="00FF7E00">
            <w:pPr>
              <w:pStyle w:val="TableText"/>
              <w:jc w:val="center"/>
              <w:rPr>
                <w:b/>
                <w:sz w:val="16"/>
                <w:szCs w:val="16"/>
              </w:rPr>
            </w:pPr>
            <w:r w:rsidRPr="00D23B9F">
              <w:rPr>
                <w:b/>
                <w:sz w:val="16"/>
                <w:szCs w:val="16"/>
              </w:rPr>
              <w:t>21</w:t>
            </w:r>
          </w:p>
        </w:tc>
        <w:tc>
          <w:tcPr>
            <w:tcW w:w="945" w:type="dxa"/>
            <w:vAlign w:val="center"/>
          </w:tcPr>
          <w:p w14:paraId="1E1C242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38A42CB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0D54FB1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1031968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59692FA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33552B3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65680D9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66F78A48" w14:textId="77777777" w:rsidTr="00FF7E00">
        <w:tc>
          <w:tcPr>
            <w:tcW w:w="534" w:type="dxa"/>
            <w:vAlign w:val="center"/>
          </w:tcPr>
          <w:p w14:paraId="596D1F25" w14:textId="77777777" w:rsidR="0045050D" w:rsidRPr="00D23B9F" w:rsidRDefault="0045050D" w:rsidP="00FF7E00">
            <w:pPr>
              <w:pStyle w:val="TableText"/>
              <w:jc w:val="center"/>
              <w:rPr>
                <w:b/>
                <w:sz w:val="16"/>
                <w:szCs w:val="16"/>
              </w:rPr>
            </w:pPr>
            <w:r w:rsidRPr="00D23B9F">
              <w:rPr>
                <w:b/>
                <w:sz w:val="16"/>
                <w:szCs w:val="16"/>
              </w:rPr>
              <w:t>22</w:t>
            </w:r>
          </w:p>
        </w:tc>
        <w:tc>
          <w:tcPr>
            <w:tcW w:w="945" w:type="dxa"/>
            <w:vAlign w:val="center"/>
          </w:tcPr>
          <w:p w14:paraId="4A50A88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135D437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7BF1131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6A75B59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40C52FA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67C2484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235AA1A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27A28CF9" w14:textId="77777777" w:rsidTr="00FF7E00">
        <w:tc>
          <w:tcPr>
            <w:tcW w:w="534" w:type="dxa"/>
            <w:vAlign w:val="center"/>
          </w:tcPr>
          <w:p w14:paraId="4180E278" w14:textId="77777777" w:rsidR="0045050D" w:rsidRPr="00D23B9F" w:rsidRDefault="0045050D" w:rsidP="00FF7E00">
            <w:pPr>
              <w:pStyle w:val="TableText"/>
              <w:jc w:val="center"/>
              <w:rPr>
                <w:b/>
                <w:sz w:val="16"/>
                <w:szCs w:val="16"/>
              </w:rPr>
            </w:pPr>
            <w:r w:rsidRPr="00D23B9F">
              <w:rPr>
                <w:b/>
                <w:sz w:val="16"/>
                <w:szCs w:val="16"/>
              </w:rPr>
              <w:t>23</w:t>
            </w:r>
          </w:p>
        </w:tc>
        <w:tc>
          <w:tcPr>
            <w:tcW w:w="945" w:type="dxa"/>
            <w:vAlign w:val="center"/>
          </w:tcPr>
          <w:p w14:paraId="087CE82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3AE3738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42D45EA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683F3D1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5D17D68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tcBorders>
              <w:bottom w:val="single" w:sz="4" w:space="0" w:color="auto"/>
            </w:tcBorders>
            <w:shd w:val="clear" w:color="auto" w:fill="auto"/>
          </w:tcPr>
          <w:p w14:paraId="768DC8D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Borders>
              <w:bottom w:val="single" w:sz="4" w:space="0" w:color="auto"/>
            </w:tcBorders>
            <w:shd w:val="clear" w:color="auto" w:fill="auto"/>
          </w:tcPr>
          <w:p w14:paraId="385ECB1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5C9CE380" w14:textId="77777777" w:rsidTr="00FF7E00">
        <w:tc>
          <w:tcPr>
            <w:tcW w:w="534" w:type="dxa"/>
            <w:vAlign w:val="center"/>
          </w:tcPr>
          <w:p w14:paraId="2206EED8" w14:textId="77777777" w:rsidR="0045050D" w:rsidRPr="00D23B9F" w:rsidRDefault="0045050D" w:rsidP="00FF7E00">
            <w:pPr>
              <w:pStyle w:val="TableText"/>
              <w:jc w:val="center"/>
              <w:rPr>
                <w:b/>
                <w:sz w:val="16"/>
                <w:szCs w:val="16"/>
              </w:rPr>
            </w:pPr>
            <w:r w:rsidRPr="00D23B9F">
              <w:rPr>
                <w:b/>
                <w:sz w:val="16"/>
                <w:szCs w:val="16"/>
              </w:rPr>
              <w:t>24</w:t>
            </w:r>
          </w:p>
        </w:tc>
        <w:tc>
          <w:tcPr>
            <w:tcW w:w="945" w:type="dxa"/>
            <w:vAlign w:val="center"/>
          </w:tcPr>
          <w:p w14:paraId="7F05ABC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179B22C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3</w:t>
            </w:r>
          </w:p>
        </w:tc>
        <w:tc>
          <w:tcPr>
            <w:tcW w:w="945" w:type="dxa"/>
            <w:vAlign w:val="center"/>
          </w:tcPr>
          <w:p w14:paraId="3591AB9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3071B44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151CCBA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0CBD755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5B4AB8B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08DED185" w14:textId="77777777" w:rsidTr="00FF7E00">
        <w:tc>
          <w:tcPr>
            <w:tcW w:w="534" w:type="dxa"/>
            <w:vAlign w:val="center"/>
          </w:tcPr>
          <w:p w14:paraId="09D086FC" w14:textId="77777777" w:rsidR="0045050D" w:rsidRPr="00D23B9F" w:rsidRDefault="0045050D" w:rsidP="00FF7E00">
            <w:pPr>
              <w:pStyle w:val="TableText"/>
              <w:jc w:val="center"/>
              <w:rPr>
                <w:b/>
                <w:sz w:val="16"/>
                <w:szCs w:val="16"/>
              </w:rPr>
            </w:pPr>
            <w:r w:rsidRPr="00D23B9F">
              <w:rPr>
                <w:b/>
                <w:sz w:val="16"/>
                <w:szCs w:val="16"/>
              </w:rPr>
              <w:t>25</w:t>
            </w:r>
          </w:p>
        </w:tc>
        <w:tc>
          <w:tcPr>
            <w:tcW w:w="945" w:type="dxa"/>
            <w:vAlign w:val="center"/>
          </w:tcPr>
          <w:p w14:paraId="1FD7311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1D82F40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43D8A4F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693E155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0DC6650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0F1DB78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02155EB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0AF75C3D" w14:textId="77777777" w:rsidTr="00FF7E00">
        <w:tc>
          <w:tcPr>
            <w:tcW w:w="534" w:type="dxa"/>
            <w:vAlign w:val="center"/>
          </w:tcPr>
          <w:p w14:paraId="6718A2A6" w14:textId="77777777" w:rsidR="0045050D" w:rsidRPr="00D23B9F" w:rsidRDefault="0045050D" w:rsidP="00FF7E00">
            <w:pPr>
              <w:pStyle w:val="TableText"/>
              <w:jc w:val="center"/>
              <w:rPr>
                <w:b/>
                <w:sz w:val="16"/>
                <w:szCs w:val="16"/>
              </w:rPr>
            </w:pPr>
            <w:r w:rsidRPr="00D23B9F">
              <w:rPr>
                <w:b/>
                <w:sz w:val="16"/>
                <w:szCs w:val="16"/>
              </w:rPr>
              <w:t>26</w:t>
            </w:r>
          </w:p>
        </w:tc>
        <w:tc>
          <w:tcPr>
            <w:tcW w:w="945" w:type="dxa"/>
            <w:vAlign w:val="center"/>
          </w:tcPr>
          <w:p w14:paraId="3724A824"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1453429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592DBE8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4AF3BCBA"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039C0A6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tcBorders>
              <w:bottom w:val="single" w:sz="4" w:space="0" w:color="auto"/>
            </w:tcBorders>
            <w:shd w:val="clear" w:color="auto" w:fill="auto"/>
          </w:tcPr>
          <w:p w14:paraId="1448F62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Borders>
              <w:bottom w:val="single" w:sz="4" w:space="0" w:color="auto"/>
            </w:tcBorders>
            <w:shd w:val="clear" w:color="auto" w:fill="auto"/>
          </w:tcPr>
          <w:p w14:paraId="4E1807F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525AB592" w14:textId="77777777" w:rsidTr="00FF7E00">
        <w:tc>
          <w:tcPr>
            <w:tcW w:w="534" w:type="dxa"/>
            <w:vAlign w:val="center"/>
          </w:tcPr>
          <w:p w14:paraId="4E9A5625" w14:textId="77777777" w:rsidR="0045050D" w:rsidRPr="00D23B9F" w:rsidRDefault="0045050D" w:rsidP="00FF7E00">
            <w:pPr>
              <w:pStyle w:val="TableText"/>
              <w:jc w:val="center"/>
              <w:rPr>
                <w:b/>
                <w:sz w:val="16"/>
                <w:szCs w:val="16"/>
              </w:rPr>
            </w:pPr>
            <w:r w:rsidRPr="00D23B9F">
              <w:rPr>
                <w:b/>
                <w:sz w:val="16"/>
                <w:szCs w:val="16"/>
              </w:rPr>
              <w:t>27</w:t>
            </w:r>
          </w:p>
        </w:tc>
        <w:tc>
          <w:tcPr>
            <w:tcW w:w="945" w:type="dxa"/>
            <w:vAlign w:val="center"/>
          </w:tcPr>
          <w:p w14:paraId="11E795F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7C7029D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760247D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508BE7F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224FB4B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66D5C31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31A998E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2869DF51" w14:textId="77777777" w:rsidTr="00FF7E00">
        <w:tc>
          <w:tcPr>
            <w:tcW w:w="534" w:type="dxa"/>
            <w:vAlign w:val="center"/>
          </w:tcPr>
          <w:p w14:paraId="7CF486F7" w14:textId="77777777" w:rsidR="0045050D" w:rsidRPr="00D23B9F" w:rsidRDefault="0045050D" w:rsidP="00FF7E00">
            <w:pPr>
              <w:pStyle w:val="TableText"/>
              <w:jc w:val="center"/>
              <w:rPr>
                <w:b/>
                <w:sz w:val="16"/>
                <w:szCs w:val="16"/>
              </w:rPr>
            </w:pPr>
            <w:r w:rsidRPr="00D23B9F">
              <w:rPr>
                <w:b/>
                <w:sz w:val="16"/>
                <w:szCs w:val="16"/>
              </w:rPr>
              <w:t>28</w:t>
            </w:r>
          </w:p>
        </w:tc>
        <w:tc>
          <w:tcPr>
            <w:tcW w:w="945" w:type="dxa"/>
            <w:vAlign w:val="center"/>
          </w:tcPr>
          <w:p w14:paraId="4BEAA54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03D32582"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945" w:type="dxa"/>
            <w:vAlign w:val="center"/>
          </w:tcPr>
          <w:p w14:paraId="56528CB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37EE4EC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4C512EDD"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shd w:val="clear" w:color="auto" w:fill="auto"/>
          </w:tcPr>
          <w:p w14:paraId="617FB6D0"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7B95444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592FE8D6" w14:textId="77777777" w:rsidTr="00FF7E00">
        <w:tc>
          <w:tcPr>
            <w:tcW w:w="534" w:type="dxa"/>
            <w:vAlign w:val="center"/>
          </w:tcPr>
          <w:p w14:paraId="00A8F9D3" w14:textId="77777777" w:rsidR="0045050D" w:rsidRPr="00D23B9F" w:rsidRDefault="0045050D" w:rsidP="00FF7E00">
            <w:pPr>
              <w:pStyle w:val="TableText"/>
              <w:jc w:val="center"/>
              <w:rPr>
                <w:b/>
                <w:sz w:val="16"/>
                <w:szCs w:val="16"/>
              </w:rPr>
            </w:pPr>
            <w:r w:rsidRPr="00D23B9F">
              <w:rPr>
                <w:b/>
                <w:sz w:val="16"/>
                <w:szCs w:val="16"/>
              </w:rPr>
              <w:t>29</w:t>
            </w:r>
          </w:p>
        </w:tc>
        <w:tc>
          <w:tcPr>
            <w:tcW w:w="945" w:type="dxa"/>
            <w:vAlign w:val="center"/>
          </w:tcPr>
          <w:p w14:paraId="6D84CD7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1ACC63A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2E18771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2</w:t>
            </w:r>
          </w:p>
        </w:tc>
        <w:tc>
          <w:tcPr>
            <w:tcW w:w="1468" w:type="dxa"/>
          </w:tcPr>
          <w:p w14:paraId="7B9E146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Pr>
          <w:p w14:paraId="7A82C70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tcBorders>
              <w:bottom w:val="single" w:sz="4" w:space="0" w:color="auto"/>
            </w:tcBorders>
            <w:shd w:val="clear" w:color="auto" w:fill="auto"/>
          </w:tcPr>
          <w:p w14:paraId="061B511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Borders>
              <w:bottom w:val="single" w:sz="4" w:space="0" w:color="auto"/>
            </w:tcBorders>
            <w:shd w:val="clear" w:color="auto" w:fill="auto"/>
          </w:tcPr>
          <w:p w14:paraId="61035DBC"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34B337D5" w14:textId="77777777" w:rsidTr="00FF7E00">
        <w:tc>
          <w:tcPr>
            <w:tcW w:w="534" w:type="dxa"/>
            <w:vAlign w:val="center"/>
          </w:tcPr>
          <w:p w14:paraId="1E043708" w14:textId="77777777" w:rsidR="0045050D" w:rsidRPr="00D23B9F" w:rsidRDefault="0045050D" w:rsidP="00FF7E00">
            <w:pPr>
              <w:pStyle w:val="TableText"/>
              <w:jc w:val="center"/>
              <w:rPr>
                <w:b/>
                <w:sz w:val="16"/>
                <w:szCs w:val="16"/>
              </w:rPr>
            </w:pPr>
            <w:r w:rsidRPr="00D23B9F">
              <w:rPr>
                <w:b/>
                <w:sz w:val="16"/>
                <w:szCs w:val="16"/>
              </w:rPr>
              <w:t>30</w:t>
            </w:r>
          </w:p>
        </w:tc>
        <w:tc>
          <w:tcPr>
            <w:tcW w:w="945" w:type="dxa"/>
            <w:vAlign w:val="center"/>
          </w:tcPr>
          <w:p w14:paraId="22BFE6D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370814D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4C140ED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388A1151"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shd w:val="clear" w:color="auto" w:fill="auto"/>
          </w:tcPr>
          <w:p w14:paraId="23C727A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tcBorders>
              <w:bottom w:val="single" w:sz="4" w:space="0" w:color="auto"/>
            </w:tcBorders>
            <w:shd w:val="clear" w:color="auto" w:fill="auto"/>
          </w:tcPr>
          <w:p w14:paraId="2A48A8E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Borders>
              <w:bottom w:val="single" w:sz="4" w:space="0" w:color="auto"/>
            </w:tcBorders>
            <w:shd w:val="clear" w:color="auto" w:fill="auto"/>
          </w:tcPr>
          <w:p w14:paraId="40847617"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1F01FA0D" w14:textId="77777777" w:rsidTr="00FF7E00">
        <w:tc>
          <w:tcPr>
            <w:tcW w:w="534" w:type="dxa"/>
            <w:vAlign w:val="center"/>
          </w:tcPr>
          <w:p w14:paraId="5A71BA4C" w14:textId="77777777" w:rsidR="0045050D" w:rsidRPr="00D23B9F" w:rsidRDefault="0045050D" w:rsidP="00FF7E00">
            <w:pPr>
              <w:pStyle w:val="TableText"/>
              <w:jc w:val="center"/>
              <w:rPr>
                <w:b/>
                <w:sz w:val="16"/>
                <w:szCs w:val="16"/>
              </w:rPr>
            </w:pPr>
            <w:r w:rsidRPr="00D23B9F">
              <w:rPr>
                <w:b/>
                <w:sz w:val="16"/>
                <w:szCs w:val="16"/>
              </w:rPr>
              <w:t>31</w:t>
            </w:r>
          </w:p>
        </w:tc>
        <w:tc>
          <w:tcPr>
            <w:tcW w:w="945" w:type="dxa"/>
            <w:vAlign w:val="center"/>
          </w:tcPr>
          <w:p w14:paraId="5804E03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4E1B237B"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1</w:t>
            </w:r>
          </w:p>
        </w:tc>
        <w:tc>
          <w:tcPr>
            <w:tcW w:w="945" w:type="dxa"/>
            <w:vAlign w:val="center"/>
          </w:tcPr>
          <w:p w14:paraId="022CFCA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12E64E4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Borders>
              <w:bottom w:val="single" w:sz="4" w:space="0" w:color="auto"/>
            </w:tcBorders>
            <w:shd w:val="clear" w:color="auto" w:fill="auto"/>
          </w:tcPr>
          <w:p w14:paraId="2855633E"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8" w:type="dxa"/>
            <w:tcBorders>
              <w:bottom w:val="single" w:sz="4" w:space="0" w:color="auto"/>
            </w:tcBorders>
            <w:shd w:val="clear" w:color="auto" w:fill="auto"/>
          </w:tcPr>
          <w:p w14:paraId="6ECD1883"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c>
          <w:tcPr>
            <w:tcW w:w="1469" w:type="dxa"/>
            <w:tcBorders>
              <w:bottom w:val="single" w:sz="4" w:space="0" w:color="auto"/>
            </w:tcBorders>
            <w:shd w:val="clear" w:color="auto" w:fill="auto"/>
          </w:tcPr>
          <w:p w14:paraId="4D32555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p>
        </w:tc>
      </w:tr>
      <w:tr w:rsidR="0045050D" w:rsidRPr="00B86764" w14:paraId="36384CBD" w14:textId="77777777" w:rsidTr="00FF7E00">
        <w:tc>
          <w:tcPr>
            <w:tcW w:w="534" w:type="dxa"/>
            <w:vAlign w:val="center"/>
          </w:tcPr>
          <w:p w14:paraId="29E284B7" w14:textId="77777777" w:rsidR="0045050D" w:rsidRPr="00D23B9F" w:rsidRDefault="0045050D" w:rsidP="00FF7E00">
            <w:pPr>
              <w:pStyle w:val="TableText"/>
              <w:jc w:val="center"/>
              <w:rPr>
                <w:b/>
                <w:sz w:val="16"/>
                <w:szCs w:val="16"/>
              </w:rPr>
            </w:pPr>
            <w:r w:rsidRPr="00D23B9F">
              <w:rPr>
                <w:b/>
                <w:sz w:val="16"/>
                <w:szCs w:val="16"/>
              </w:rPr>
              <w:t>32</w:t>
            </w:r>
            <w:r w:rsidRPr="00363B07">
              <w:rPr>
                <w:rFonts w:cstheme="majorHAnsi"/>
                <w:lang w:val="es-ES"/>
              </w:rPr>
              <w:t>ǂ</w:t>
            </w:r>
          </w:p>
        </w:tc>
        <w:tc>
          <w:tcPr>
            <w:tcW w:w="945" w:type="dxa"/>
            <w:vAlign w:val="center"/>
          </w:tcPr>
          <w:p w14:paraId="720A189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085EA7A9"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945" w:type="dxa"/>
            <w:vAlign w:val="center"/>
          </w:tcPr>
          <w:p w14:paraId="3252BE7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rPr>
              <w:t>0</w:t>
            </w:r>
          </w:p>
        </w:tc>
        <w:tc>
          <w:tcPr>
            <w:tcW w:w="1468" w:type="dxa"/>
          </w:tcPr>
          <w:p w14:paraId="2B6173F5"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r w:rsidRPr="00363B07">
              <w:rPr>
                <w:rFonts w:asciiTheme="majorHAnsi" w:hAnsiTheme="majorHAnsi" w:cstheme="majorHAnsi"/>
                <w:sz w:val="20"/>
                <w:szCs w:val="20"/>
                <w:lang w:val="es-ES"/>
              </w:rPr>
              <w:t>ǂ</w:t>
            </w:r>
          </w:p>
        </w:tc>
        <w:tc>
          <w:tcPr>
            <w:tcW w:w="1469" w:type="dxa"/>
            <w:shd w:val="clear" w:color="auto" w:fill="auto"/>
          </w:tcPr>
          <w:p w14:paraId="54AA5598"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r w:rsidRPr="00363B07">
              <w:rPr>
                <w:rFonts w:asciiTheme="majorHAnsi" w:hAnsiTheme="majorHAnsi" w:cstheme="majorHAnsi"/>
                <w:sz w:val="20"/>
                <w:szCs w:val="20"/>
                <w:lang w:val="es-ES"/>
              </w:rPr>
              <w:t>ǂ</w:t>
            </w:r>
          </w:p>
        </w:tc>
        <w:tc>
          <w:tcPr>
            <w:tcW w:w="1468" w:type="dxa"/>
            <w:shd w:val="clear" w:color="auto" w:fill="auto"/>
          </w:tcPr>
          <w:p w14:paraId="25A28F06"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r w:rsidRPr="00363B07">
              <w:rPr>
                <w:rFonts w:asciiTheme="majorHAnsi" w:hAnsiTheme="majorHAnsi" w:cstheme="majorHAnsi"/>
                <w:sz w:val="20"/>
                <w:szCs w:val="20"/>
                <w:lang w:val="es-ES"/>
              </w:rPr>
              <w:t>ǂ</w:t>
            </w:r>
          </w:p>
        </w:tc>
        <w:tc>
          <w:tcPr>
            <w:tcW w:w="1469" w:type="dxa"/>
            <w:shd w:val="clear" w:color="auto" w:fill="auto"/>
          </w:tcPr>
          <w:p w14:paraId="685594BF" w14:textId="77777777" w:rsidR="0045050D" w:rsidRPr="00D23B9F" w:rsidRDefault="0045050D" w:rsidP="00FF7E00">
            <w:pPr>
              <w:spacing w:before="80" w:after="80"/>
              <w:jc w:val="center"/>
              <w:rPr>
                <w:rFonts w:asciiTheme="majorHAnsi" w:hAnsiTheme="majorHAnsi" w:cstheme="majorHAnsi"/>
                <w:sz w:val="16"/>
                <w:szCs w:val="16"/>
              </w:rPr>
            </w:pPr>
            <w:r w:rsidRPr="00D23B9F">
              <w:rPr>
                <w:rFonts w:asciiTheme="majorHAnsi" w:hAnsiTheme="majorHAnsi" w:cstheme="majorHAnsi"/>
                <w:sz w:val="16"/>
                <w:szCs w:val="16"/>
                <w:lang w:val="es-MX"/>
              </w:rPr>
              <w:t>Sí</w:t>
            </w:r>
            <w:r w:rsidRPr="00363B07">
              <w:rPr>
                <w:rFonts w:asciiTheme="majorHAnsi" w:hAnsiTheme="majorHAnsi" w:cstheme="majorHAnsi"/>
                <w:sz w:val="20"/>
                <w:szCs w:val="20"/>
                <w:lang w:val="es-ES"/>
              </w:rPr>
              <w:t>ǂ</w:t>
            </w:r>
          </w:p>
        </w:tc>
      </w:tr>
    </w:tbl>
    <w:p w14:paraId="28E4B0F9" w14:textId="77777777" w:rsidR="0045050D" w:rsidRPr="00FB2317" w:rsidRDefault="0045050D" w:rsidP="0045050D">
      <w:pPr>
        <w:pStyle w:val="Textoindependiente"/>
        <w:jc w:val="both"/>
        <w:rPr>
          <w:lang w:val="es-ES"/>
        </w:rPr>
      </w:pPr>
      <w:r w:rsidRPr="00FB2317">
        <w:rPr>
          <w:lang w:val="es-ES"/>
        </w:rPr>
        <w:t>Notas:</w:t>
      </w:r>
    </w:p>
    <w:p w14:paraId="686610C7" w14:textId="77777777" w:rsidR="0045050D" w:rsidRPr="00046628" w:rsidRDefault="0045050D" w:rsidP="0045050D">
      <w:pPr>
        <w:pStyle w:val="Textoindependiente"/>
        <w:jc w:val="both"/>
        <w:rPr>
          <w:lang w:val="es-ES"/>
        </w:rPr>
      </w:pPr>
      <w:r w:rsidRPr="00FB2317">
        <w:rPr>
          <w:lang w:val="es-ES"/>
        </w:rPr>
        <w:t>No se le permite a un participante realizar ofertas económicas por un paquete de cero (paquete 32) en la primera ronda de reloj. Un participante puede realizar oferta económica por un paquete de cero en cualquier ronda de reloj subsecuente.</w:t>
      </w:r>
    </w:p>
    <w:p w14:paraId="3E7F5555" w14:textId="77777777" w:rsidR="0045050D" w:rsidRPr="00046628" w:rsidRDefault="0045050D" w:rsidP="0045050D">
      <w:pPr>
        <w:pStyle w:val="Textoindependiente"/>
        <w:rPr>
          <w:lang w:val="es-ES"/>
        </w:rPr>
        <w:sectPr w:rsidR="0045050D" w:rsidRPr="00046628" w:rsidSect="000904A5">
          <w:headerReference w:type="even" r:id="rId20"/>
          <w:headerReference w:type="default" r:id="rId21"/>
          <w:footerReference w:type="even" r:id="rId22"/>
          <w:footerReference w:type="default" r:id="rId23"/>
          <w:pgSz w:w="12240" w:h="15840" w:code="1"/>
          <w:pgMar w:top="1915" w:right="1440" w:bottom="1440" w:left="1440" w:header="835" w:footer="202" w:gutter="0"/>
          <w:pgNumType w:start="1"/>
          <w:cols w:space="708"/>
          <w:docGrid w:linePitch="360"/>
        </w:sectPr>
      </w:pPr>
    </w:p>
    <w:bookmarkEnd w:id="7"/>
    <w:p w14:paraId="14C582A1" w14:textId="10A623BA" w:rsidR="009702E0" w:rsidRPr="00A1029A" w:rsidRDefault="009702E0" w:rsidP="000771A2">
      <w:pPr>
        <w:tabs>
          <w:tab w:val="left" w:pos="5445"/>
        </w:tabs>
        <w:rPr>
          <w:lang w:val="es-MX"/>
        </w:rPr>
      </w:pPr>
    </w:p>
    <w:sectPr w:rsidR="009702E0" w:rsidRPr="00A1029A" w:rsidSect="00CF391D">
      <w:headerReference w:type="even" r:id="rId24"/>
      <w:headerReference w:type="default" r:id="rId25"/>
      <w:footerReference w:type="even" r:id="rId26"/>
      <w:footerReference w:type="default" r:id="rId27"/>
      <w:headerReference w:type="first" r:id="rId28"/>
      <w:footerReference w:type="first" r:id="rId29"/>
      <w:pgSz w:w="12240" w:h="15840" w:code="1"/>
      <w:pgMar w:top="1915" w:right="1440" w:bottom="1440" w:left="1440" w:header="835"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E9880" w14:textId="77777777" w:rsidR="00FA37B2" w:rsidRDefault="00FA37B2">
      <w:pPr>
        <w:spacing w:after="0"/>
      </w:pPr>
      <w:r>
        <w:separator/>
      </w:r>
    </w:p>
  </w:endnote>
  <w:endnote w:type="continuationSeparator" w:id="0">
    <w:p w14:paraId="0F15E58E" w14:textId="77777777" w:rsidR="00FA37B2" w:rsidRDefault="00FA37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09BD" w14:textId="77777777" w:rsidR="001E0831" w:rsidRPr="00D92972" w:rsidRDefault="001E0831">
    <w:pPr>
      <w:framePr w:wrap="around" w:vAnchor="text" w:hAnchor="margin" w:xAlign="right" w:y="1"/>
      <w:rPr>
        <w:rStyle w:val="Nmerodepgina"/>
      </w:rPr>
    </w:pPr>
    <w:r w:rsidRPr="00D92972">
      <w:rPr>
        <w:rStyle w:val="Nmerodepgina"/>
      </w:rPr>
      <w:fldChar w:fldCharType="begin"/>
    </w:r>
    <w:r w:rsidRPr="00D92972">
      <w:rPr>
        <w:rStyle w:val="Nmerodepgina"/>
      </w:rPr>
      <w:instrText xml:space="preserve">PAGE  </w:instrText>
    </w:r>
    <w:r w:rsidRPr="00D92972">
      <w:rPr>
        <w:rStyle w:val="Nmerodepgina"/>
      </w:rPr>
      <w:fldChar w:fldCharType="separate"/>
    </w:r>
    <w:r>
      <w:rPr>
        <w:rStyle w:val="Nmerodepgina"/>
        <w:noProof/>
      </w:rPr>
      <w:t>1</w:t>
    </w:r>
    <w:r w:rsidRPr="00D92972">
      <w:rPr>
        <w:rStyle w:val="Nmerodepgina"/>
      </w:rPr>
      <w:fldChar w:fldCharType="end"/>
    </w:r>
  </w:p>
  <w:p w14:paraId="41B94571" w14:textId="77777777" w:rsidR="001E0831" w:rsidRPr="00D92972" w:rsidRDefault="001E083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Look w:val="01E0" w:firstRow="1" w:lastRow="1" w:firstColumn="1" w:lastColumn="1" w:noHBand="0" w:noVBand="0"/>
    </w:tblPr>
    <w:tblGrid>
      <w:gridCol w:w="9214"/>
    </w:tblGrid>
    <w:tr w:rsidR="001E0831" w:rsidRPr="00721026" w14:paraId="15346DBE" w14:textId="77777777">
      <w:trPr>
        <w:trHeight w:hRule="exact" w:val="583"/>
      </w:trPr>
      <w:tc>
        <w:tcPr>
          <w:tcW w:w="9214" w:type="dxa"/>
        </w:tcPr>
        <w:p w14:paraId="620FDA3E" w14:textId="77777777" w:rsidR="001E0831" w:rsidRPr="00D92972" w:rsidRDefault="001E0831" w:rsidP="00DA31B2">
          <w:pPr>
            <w:pStyle w:val="Logo"/>
            <w:jc w:val="right"/>
          </w:pPr>
        </w:p>
      </w:tc>
    </w:tr>
  </w:tbl>
  <w:p w14:paraId="1762D71C" w14:textId="77777777" w:rsidR="001E0831" w:rsidRPr="00D92972" w:rsidRDefault="001E0831" w:rsidP="00DA31B2">
    <w:pP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9AF1" w14:textId="77777777" w:rsidR="0045050D" w:rsidRPr="00BF1F16" w:rsidRDefault="0045050D" w:rsidP="00302AF5">
    <w:pPr>
      <w:pStyle w:val="ClientNameCrossRef"/>
      <w:ind w:left="-1080"/>
    </w:pPr>
    <w:r w:rsidRPr="00BF1F16">
      <w:ptab w:relativeTo="margin" w:alignment="center" w:leader="none"/>
    </w:r>
    <w:r w:rsidRPr="00BF1F16">
      <w:ptab w:relativeTo="margin" w:alignment="right" w:leader="none"/>
    </w:r>
    <w:r>
      <w:t>NERA Economic Consulting</w:t>
    </w:r>
  </w:p>
  <w:p w14:paraId="52C1BEFB" w14:textId="77777777" w:rsidR="0045050D" w:rsidRPr="00BF1F16" w:rsidRDefault="0045050D" w:rsidP="00DA31B2">
    <w:pPr>
      <w:pStyle w:val="DocNum"/>
      <w:jc w:val="right"/>
      <w:rPr>
        <w:rFonts w:ascii="Times New Roman" w:hAnsi="Times New Roman"/>
        <w:sz w:val="20"/>
      </w:rPr>
    </w:pPr>
    <w:r w:rsidRPr="00BF1F16">
      <w:fldChar w:fldCharType="begin"/>
    </w:r>
    <w:r w:rsidRPr="00BF1F16">
      <w:instrText xml:space="preserve"> DOCVARIABLE "DocNum" </w:instrText>
    </w:r>
    <w:r w:rsidRPr="00BF1F16">
      <w:fldChar w:fldCharType="separate"/>
    </w:r>
    <w:r>
      <w:t xml:space="preserve"> </w:t>
    </w:r>
    <w:r w:rsidRPr="00BF1F16">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3C11A" w14:textId="2A76F395" w:rsidR="0045050D" w:rsidRDefault="0045050D" w:rsidP="006B0710">
    <w:pPr>
      <w:pStyle w:val="ClientNameCrossRef"/>
      <w:rPr>
        <w:rStyle w:val="Nmerodepgina"/>
        <w:lang w:val="en-US"/>
      </w:rPr>
    </w:pPr>
    <w:r w:rsidRPr="00DE54AB">
      <w:rPr>
        <w:lang w:val="en-US"/>
      </w:rPr>
      <w:ptab w:relativeTo="margin" w:alignment="center" w:leader="none"/>
    </w:r>
    <w:r w:rsidRPr="00DE54AB">
      <w:rPr>
        <w:lang w:val="en-US"/>
      </w:rPr>
      <w:ptab w:relativeTo="margin" w:alignment="right" w:leader="none"/>
    </w:r>
    <w:r w:rsidRPr="00DE54AB">
      <w:rPr>
        <w:rStyle w:val="Nmerodepgina"/>
        <w:lang w:val="en-US"/>
      </w:rPr>
      <w:fldChar w:fldCharType="begin"/>
    </w:r>
    <w:r w:rsidRPr="00DE54AB">
      <w:rPr>
        <w:rStyle w:val="Nmerodepgina"/>
        <w:lang w:val="en-US"/>
      </w:rPr>
      <w:instrText xml:space="preserve"> PAGE   \* MERGEFORMAT </w:instrText>
    </w:r>
    <w:r w:rsidRPr="00DE54AB">
      <w:rPr>
        <w:rStyle w:val="Nmerodepgina"/>
        <w:lang w:val="en-US"/>
      </w:rPr>
      <w:fldChar w:fldCharType="separate"/>
    </w:r>
    <w:r w:rsidR="00A1029A">
      <w:rPr>
        <w:rStyle w:val="Nmerodepgina"/>
        <w:noProof/>
        <w:lang w:val="en-US"/>
      </w:rPr>
      <w:t>11</w:t>
    </w:r>
    <w:r w:rsidRPr="00DE54AB">
      <w:rPr>
        <w:rStyle w:val="Nmerodepgina"/>
        <w:lang w:val="en-US"/>
      </w:rPr>
      <w:fldChar w:fldCharType="end"/>
    </w:r>
  </w:p>
  <w:p w14:paraId="6AD3D77D" w14:textId="77777777" w:rsidR="0045050D" w:rsidRPr="00171357" w:rsidRDefault="0045050D" w:rsidP="00D70380">
    <w:pPr>
      <w:pStyle w:val="DocNum"/>
    </w:pPr>
    <w:r>
      <w:fldChar w:fldCharType="begin"/>
    </w:r>
    <w:r>
      <w:instrText xml:space="preserve"> DOCVARIABLE "DocNum" </w:instrText>
    </w:r>
    <w:r>
      <w:fldChar w:fldCharType="separate"/>
    </w:r>
    <w:r>
      <w:t xml:space="preserve">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5DD34" w14:textId="77777777" w:rsidR="001E0831" w:rsidRPr="00BF1F16" w:rsidRDefault="001E0831" w:rsidP="00302AF5">
    <w:pPr>
      <w:pStyle w:val="ClientNameCrossRef"/>
      <w:ind w:left="-1080"/>
    </w:pPr>
    <w:r w:rsidRPr="00BF1F16">
      <w:ptab w:relativeTo="margin" w:alignment="center" w:leader="none"/>
    </w:r>
    <w:r w:rsidRPr="00BF1F16">
      <w:ptab w:relativeTo="margin" w:alignment="right" w:leader="none"/>
    </w:r>
    <w:r>
      <w:t>NERA Economic Consulting</w:t>
    </w:r>
  </w:p>
  <w:p w14:paraId="5523FBF7" w14:textId="77777777" w:rsidR="001E0831" w:rsidRPr="00BF1F16" w:rsidRDefault="001E0831" w:rsidP="00DA31B2">
    <w:pPr>
      <w:pStyle w:val="DocNum"/>
      <w:jc w:val="right"/>
      <w:rPr>
        <w:rFonts w:ascii="Times New Roman" w:hAnsi="Times New Roman"/>
        <w:sz w:val="20"/>
      </w:rPr>
    </w:pPr>
    <w:r w:rsidRPr="00BF1F16">
      <w:fldChar w:fldCharType="begin"/>
    </w:r>
    <w:r w:rsidRPr="00BF1F16">
      <w:instrText xml:space="preserve"> DOCVARIABLE "DocNum" </w:instrText>
    </w:r>
    <w:r w:rsidRPr="00BF1F16">
      <w:fldChar w:fldCharType="separate"/>
    </w:r>
    <w:r>
      <w:t xml:space="preserve"> </w:t>
    </w:r>
    <w:r w:rsidRPr="00BF1F16">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49"/>
      <w:gridCol w:w="2565"/>
    </w:tblGrid>
    <w:tr w:rsidR="001E0831" w:rsidRPr="00AC305B" w14:paraId="22DBC9AE" w14:textId="77777777" w:rsidTr="00825F43">
      <w:trPr>
        <w:cantSplit/>
        <w:trHeight w:val="590"/>
      </w:trPr>
      <w:tc>
        <w:tcPr>
          <w:tcW w:w="6649" w:type="dxa"/>
          <w:tcBorders>
            <w:top w:val="nil"/>
            <w:left w:val="nil"/>
            <w:bottom w:val="nil"/>
            <w:right w:val="nil"/>
          </w:tcBorders>
          <w:tcMar>
            <w:right w:w="144" w:type="dxa"/>
          </w:tcMar>
          <w:vAlign w:val="bottom"/>
        </w:tcPr>
        <w:p w14:paraId="1357BACC" w14:textId="204EAE79" w:rsidR="001E0831" w:rsidRPr="00AC305B" w:rsidRDefault="001E0831" w:rsidP="00DA31B2">
          <w:pPr>
            <w:pStyle w:val="Legalcopy"/>
            <w:framePr w:hSpace="0" w:vSpace="0" w:wrap="auto" w:yAlign="inline"/>
            <w:rPr>
              <w:sz w:val="16"/>
              <w:szCs w:val="16"/>
            </w:rPr>
          </w:pPr>
        </w:p>
      </w:tc>
      <w:tc>
        <w:tcPr>
          <w:tcW w:w="2565" w:type="dxa"/>
          <w:tcBorders>
            <w:top w:val="nil"/>
            <w:left w:val="nil"/>
            <w:bottom w:val="nil"/>
            <w:right w:val="nil"/>
          </w:tcBorders>
          <w:vAlign w:val="bottom"/>
        </w:tcPr>
        <w:p w14:paraId="27A5E8AC" w14:textId="77777777" w:rsidR="001E0831" w:rsidRPr="00AC305B" w:rsidRDefault="001E0831" w:rsidP="00DA31B2">
          <w:pPr>
            <w:pStyle w:val="Legalcopy"/>
            <w:framePr w:hSpace="0" w:vSpace="0" w:wrap="auto" w:yAlign="inline"/>
            <w:rPr>
              <w:sz w:val="16"/>
              <w:szCs w:val="16"/>
            </w:rPr>
          </w:pPr>
        </w:p>
      </w:tc>
    </w:tr>
  </w:tbl>
  <w:p w14:paraId="64D4DEB7" w14:textId="77777777" w:rsidR="001E0831" w:rsidRDefault="001E083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81942" w14:textId="77777777" w:rsidR="001E0831" w:rsidRPr="00DE54AB" w:rsidRDefault="001E0831" w:rsidP="00DA31B2">
    <w:pPr>
      <w:spacing w:before="360" w:after="64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E0A7D" w14:textId="77777777" w:rsidR="00FA37B2" w:rsidRDefault="00FA37B2" w:rsidP="00FC014B">
      <w:r>
        <w:separator/>
      </w:r>
    </w:p>
  </w:footnote>
  <w:footnote w:type="continuationSeparator" w:id="0">
    <w:p w14:paraId="00D4BC0A" w14:textId="77777777" w:rsidR="00FA37B2" w:rsidRDefault="00FA37B2" w:rsidP="00FC014B">
      <w:r>
        <w:continuationSeparator/>
      </w:r>
    </w:p>
  </w:footnote>
  <w:footnote w:type="continuationNotice" w:id="1">
    <w:p w14:paraId="01606C39" w14:textId="77777777" w:rsidR="00FA37B2" w:rsidRDefault="00FA37B2">
      <w:pPr>
        <w:spacing w:after="0"/>
      </w:pPr>
    </w:p>
  </w:footnote>
  <w:footnote w:id="2">
    <w:p w14:paraId="4B4CAAD7" w14:textId="77777777" w:rsidR="0045050D" w:rsidRPr="00D23B9F" w:rsidRDefault="0045050D" w:rsidP="0045050D">
      <w:pPr>
        <w:pStyle w:val="Textonotapie"/>
        <w:rPr>
          <w:lang w:val="es-MX"/>
        </w:rPr>
      </w:pPr>
      <w:r>
        <w:rPr>
          <w:rStyle w:val="Refdenotaalpie"/>
        </w:rPr>
        <w:footnoteRef/>
      </w:r>
      <w:r w:rsidRPr="00D23B9F">
        <w:rPr>
          <w:lang w:val="es-MX"/>
        </w:rPr>
        <w:t xml:space="preserve"> </w:t>
      </w:r>
      <w:r>
        <w:rPr>
          <w:lang w:val="es-MX"/>
        </w:rPr>
        <w:t xml:space="preserve">Siglas por su acrónimo en inglés: </w:t>
      </w:r>
      <w:r w:rsidRPr="00D23B9F">
        <w:rPr>
          <w:i/>
          <w:lang w:val="es-MX"/>
        </w:rPr>
        <w:t>Combinatorial Clock Auction</w:t>
      </w:r>
    </w:p>
  </w:footnote>
  <w:footnote w:id="3">
    <w:p w14:paraId="5742D9DD" w14:textId="77777777" w:rsidR="0045050D" w:rsidRPr="00D23B9F" w:rsidRDefault="0045050D" w:rsidP="0045050D">
      <w:pPr>
        <w:pStyle w:val="Textonotapie"/>
        <w:rPr>
          <w:lang w:val="es-MX"/>
        </w:rPr>
      </w:pPr>
      <w:r>
        <w:rPr>
          <w:rStyle w:val="Refdenotaalpie"/>
        </w:rPr>
        <w:footnoteRef/>
      </w:r>
      <w:r w:rsidRPr="00D23B9F">
        <w:rPr>
          <w:lang w:val="es-MX"/>
        </w:rPr>
        <w:t xml:space="preserve"> </w:t>
      </w:r>
      <w:r w:rsidRPr="00D23B9F">
        <w:rPr>
          <w:lang w:val="es-MX"/>
        </w:rPr>
        <w:tab/>
        <w:t>http://www.ppef.hacienda.gob.mx/work/models/PPEF/2016/docs/paquete/LFD_2016.pdf</w:t>
      </w:r>
    </w:p>
  </w:footnote>
  <w:footnote w:id="4">
    <w:p w14:paraId="3AACD25F" w14:textId="77777777" w:rsidR="0045050D" w:rsidRPr="008E0CC3" w:rsidRDefault="0045050D" w:rsidP="0045050D">
      <w:pPr>
        <w:pStyle w:val="Textonotapie"/>
        <w:rPr>
          <w:lang w:val="es-MX"/>
        </w:rPr>
      </w:pPr>
      <w:r>
        <w:rPr>
          <w:rStyle w:val="Refdenotaalpie"/>
        </w:rPr>
        <w:footnoteRef/>
      </w:r>
      <w:r w:rsidRPr="00C00C5F">
        <w:rPr>
          <w:lang w:val="es-ES"/>
        </w:rPr>
        <w:t xml:space="preserve">  </w:t>
      </w:r>
      <w:r w:rsidRPr="00C00C5F">
        <w:rPr>
          <w:lang w:val="es-ES"/>
        </w:rPr>
        <w:tab/>
        <w:t xml:space="preserve">La Subasta 21 fue administrada por la </w:t>
      </w:r>
      <w:r>
        <w:rPr>
          <w:lang w:val="es-ES"/>
        </w:rPr>
        <w:t xml:space="preserve">Comisión Federal de Telecomunicaciones </w:t>
      </w:r>
      <w:r w:rsidRPr="00C00C5F">
        <w:rPr>
          <w:lang w:val="es-ES"/>
        </w:rPr>
        <w:t xml:space="preserve">(COFETEL), </w:t>
      </w:r>
      <w:r>
        <w:rPr>
          <w:lang w:val="es-ES"/>
        </w:rPr>
        <w:t>el ente regulador anterior de las telecomunicaciones de Mé</w:t>
      </w:r>
      <w:r w:rsidRPr="00C00C5F">
        <w:rPr>
          <w:lang w:val="es-ES"/>
        </w:rPr>
        <w:t>xico</w:t>
      </w:r>
      <w:r>
        <w:rPr>
          <w:lang w:val="es-ES"/>
        </w:rPr>
        <w:t>.</w:t>
      </w:r>
      <w:r w:rsidRPr="00C00C5F">
        <w:rPr>
          <w:lang w:val="es-ES"/>
        </w:rPr>
        <w:t xml:space="preserve"> </w:t>
      </w:r>
      <w:r>
        <w:rPr>
          <w:lang w:val="es-ES"/>
        </w:rPr>
        <w:t xml:space="preserve">La subasta concluyó </w:t>
      </w:r>
      <w:r w:rsidRPr="008E0CC3">
        <w:rPr>
          <w:lang w:val="es-MX"/>
        </w:rPr>
        <w:t>en agosto de 2010.</w:t>
      </w:r>
    </w:p>
  </w:footnote>
  <w:footnote w:id="5">
    <w:p w14:paraId="130F4D3F" w14:textId="77777777" w:rsidR="0045050D" w:rsidRPr="00C86C6D" w:rsidRDefault="0045050D" w:rsidP="0045050D">
      <w:pPr>
        <w:pStyle w:val="Textonotapie"/>
        <w:rPr>
          <w:lang w:val="es-ES"/>
        </w:rPr>
      </w:pPr>
      <w:r w:rsidRPr="00C86C6D">
        <w:rPr>
          <w:rStyle w:val="Refdenotaalpie"/>
          <w:lang w:val="es-ES"/>
        </w:rPr>
        <w:footnoteRef/>
      </w:r>
      <w:r w:rsidRPr="00C86C6D">
        <w:rPr>
          <w:lang w:val="es-ES"/>
        </w:rPr>
        <w:t xml:space="preserve"> Por favor ver http://www.diputados.gob.mx/LeyesBiblio/pdf/107_301214.pdf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E8B57" w14:textId="77777777" w:rsidR="001E0831" w:rsidRPr="00D92972" w:rsidRDefault="001E0831" w:rsidP="00DA31B2">
    <w:pPr>
      <w:pStyle w:val="ClientNameCrossRef"/>
      <w:spacing w:after="300"/>
      <w:jc w:val="right"/>
    </w:pPr>
  </w:p>
  <w:p w14:paraId="27C47B79" w14:textId="77777777" w:rsidR="001E0831" w:rsidRPr="00D92972" w:rsidRDefault="001E0831" w:rsidP="00DA31B2">
    <w:pPr>
      <w:pStyle w:val="DraftMarkings"/>
    </w:pPr>
    <w:r w:rsidRPr="00D92972">
      <w:fldChar w:fldCharType="begin"/>
    </w:r>
    <w:r w:rsidRPr="00D92972">
      <w:instrText xml:space="preserve"> DOCVARIABLE Draft</w:instrText>
    </w:r>
    <w:r w:rsidRPr="00D92972">
      <w:fldChar w:fldCharType="separate"/>
    </w:r>
    <w:r>
      <w:t xml:space="preserve"> </w:t>
    </w:r>
    <w:r w:rsidRPr="00D9297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3" w:type="dxa"/>
      <w:tblInd w:w="-317" w:type="dxa"/>
      <w:tblCellMar>
        <w:left w:w="0" w:type="dxa"/>
        <w:right w:w="550" w:type="dxa"/>
      </w:tblCellMar>
      <w:tblLook w:val="01E0" w:firstRow="1" w:lastRow="1" w:firstColumn="1" w:lastColumn="1" w:noHBand="0" w:noVBand="0"/>
    </w:tblPr>
    <w:tblGrid>
      <w:gridCol w:w="570"/>
      <w:gridCol w:w="570"/>
      <w:gridCol w:w="570"/>
      <w:gridCol w:w="7823"/>
      <w:gridCol w:w="570"/>
    </w:tblGrid>
    <w:tr w:rsidR="001E0831" w:rsidRPr="00721026" w14:paraId="03F597B6" w14:textId="77777777">
      <w:trPr>
        <w:trHeight w:val="720"/>
      </w:trPr>
      <w:tc>
        <w:tcPr>
          <w:tcW w:w="570" w:type="dxa"/>
          <w:shd w:val="clear" w:color="auto" w:fill="auto"/>
        </w:tcPr>
        <w:p w14:paraId="3DFEF2AA" w14:textId="61098AB0" w:rsidR="001E0831" w:rsidRPr="00721026" w:rsidRDefault="001E0831" w:rsidP="00DA31B2">
          <w:pPr>
            <w:pStyle w:val="Encabezado"/>
            <w:ind w:left="-133" w:firstLine="133"/>
            <w:rPr>
              <w:rFonts w:eastAsia="Times New Roman"/>
              <w:sz w:val="20"/>
              <w:szCs w:val="20"/>
            </w:rPr>
          </w:pPr>
        </w:p>
        <w:p w14:paraId="78B03BF2" w14:textId="77777777" w:rsidR="001E0831" w:rsidRPr="00721026" w:rsidRDefault="001E0831" w:rsidP="00DA31B2">
          <w:pPr>
            <w:rPr>
              <w:rFonts w:eastAsia="Times New Roman"/>
              <w:sz w:val="20"/>
              <w:szCs w:val="20"/>
            </w:rPr>
          </w:pPr>
        </w:p>
      </w:tc>
      <w:tc>
        <w:tcPr>
          <w:tcW w:w="570" w:type="dxa"/>
          <w:shd w:val="clear" w:color="auto" w:fill="auto"/>
        </w:tcPr>
        <w:p w14:paraId="1BF8AB1A" w14:textId="77777777" w:rsidR="001E0831" w:rsidRPr="00721026" w:rsidRDefault="001E0831" w:rsidP="00DA31B2">
          <w:pPr>
            <w:pStyle w:val="Encabezado"/>
            <w:ind w:left="-253" w:hanging="253"/>
            <w:rPr>
              <w:rFonts w:eastAsia="Times New Roman"/>
              <w:sz w:val="20"/>
              <w:szCs w:val="20"/>
            </w:rPr>
          </w:pPr>
          <w:bookmarkStart w:id="4" w:name="LogoBICNo2Front"/>
          <w:r w:rsidRPr="00721026">
            <w:rPr>
              <w:rFonts w:eastAsia="Times New Roman"/>
              <w:sz w:val="20"/>
              <w:szCs w:val="20"/>
            </w:rPr>
            <w:t xml:space="preserve">   </w:t>
          </w:r>
          <w:bookmarkEnd w:id="4"/>
        </w:p>
      </w:tc>
      <w:tc>
        <w:tcPr>
          <w:tcW w:w="570" w:type="dxa"/>
          <w:shd w:val="clear" w:color="auto" w:fill="auto"/>
        </w:tcPr>
        <w:p w14:paraId="2DC8C569" w14:textId="77777777" w:rsidR="001E0831" w:rsidRPr="00721026" w:rsidRDefault="001E0831">
          <w:pPr>
            <w:pStyle w:val="Encabezado"/>
            <w:rPr>
              <w:rFonts w:eastAsia="Times New Roman"/>
              <w:sz w:val="20"/>
              <w:szCs w:val="20"/>
            </w:rPr>
          </w:pPr>
          <w:bookmarkStart w:id="5" w:name="LogoBICNo3Front"/>
          <w:r w:rsidRPr="00721026">
            <w:rPr>
              <w:rFonts w:eastAsia="Times New Roman"/>
              <w:sz w:val="20"/>
              <w:szCs w:val="20"/>
            </w:rPr>
            <w:t xml:space="preserve">   </w:t>
          </w:r>
          <w:bookmarkEnd w:id="5"/>
        </w:p>
      </w:tc>
      <w:tc>
        <w:tcPr>
          <w:tcW w:w="7823" w:type="dxa"/>
          <w:shd w:val="clear" w:color="auto" w:fill="auto"/>
          <w:vAlign w:val="bottom"/>
        </w:tcPr>
        <w:p w14:paraId="0A4A1322" w14:textId="0364A64C" w:rsidR="001E0831" w:rsidRPr="00721026" w:rsidRDefault="001E0831" w:rsidP="00DA31B2">
          <w:pPr>
            <w:pStyle w:val="DraftMarkings"/>
          </w:pPr>
          <w:r w:rsidRPr="00721026">
            <w:fldChar w:fldCharType="begin"/>
          </w:r>
          <w:r w:rsidRPr="00721026">
            <w:instrText xml:space="preserve"> DOCVARIABLE Draft</w:instrText>
          </w:r>
          <w:r w:rsidRPr="00721026">
            <w:fldChar w:fldCharType="separate"/>
          </w:r>
          <w:r>
            <w:t xml:space="preserve"> </w:t>
          </w:r>
          <w:r w:rsidRPr="00721026">
            <w:fldChar w:fldCharType="end"/>
          </w:r>
        </w:p>
      </w:tc>
      <w:tc>
        <w:tcPr>
          <w:tcW w:w="570" w:type="dxa"/>
          <w:shd w:val="clear" w:color="auto" w:fill="auto"/>
        </w:tcPr>
        <w:p w14:paraId="56CCA57D" w14:textId="77777777" w:rsidR="001E0831" w:rsidRPr="00721026" w:rsidRDefault="001E0831" w:rsidP="00DA31B2">
          <w:pPr>
            <w:pStyle w:val="Encabezado"/>
            <w:ind w:right="-578"/>
            <w:rPr>
              <w:rFonts w:eastAsia="Times New Roman"/>
              <w:sz w:val="20"/>
              <w:szCs w:val="20"/>
            </w:rPr>
          </w:pPr>
        </w:p>
      </w:tc>
    </w:tr>
  </w:tbl>
  <w:p w14:paraId="2AB1A298" w14:textId="7BB770B7" w:rsidR="001E0831" w:rsidRPr="00D92972" w:rsidRDefault="00A1029A">
    <w:pPr>
      <w:pStyle w:val="Encabezado"/>
    </w:pPr>
    <w:r>
      <w:rPr>
        <w:noProof/>
        <w:lang w:val="es-MX" w:eastAsia="es-MX"/>
      </w:rPr>
      <w:pict w14:anchorId="3CC87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4" o:spid="_x0000_s2050" type="#_x0000_t75" style="position:absolute;margin-left:-75.3pt;margin-top:-151.9pt;width:612pt;height:11in;z-index:-251658752;mso-position-horizontal-relative:margin;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2F58" w14:textId="77777777" w:rsidR="0045050D" w:rsidRPr="00A330D9" w:rsidRDefault="0045050D" w:rsidP="00DA31B2">
    <w:pPr>
      <w:pStyle w:val="ClientNameCrossRef"/>
      <w:spacing w:after="300"/>
      <w:rPr>
        <w:lang w:val="es-MX"/>
      </w:rPr>
    </w:pPr>
    <w:r w:rsidRPr="00BF1F16">
      <w:fldChar w:fldCharType="begin"/>
    </w:r>
    <w:r w:rsidRPr="00A1029A">
      <w:rPr>
        <w:lang w:val="es-MX"/>
      </w:rPr>
      <w:instrText xml:space="preserve"> styleref "TOC Heading" </w:instrText>
    </w:r>
    <w:r w:rsidRPr="00BF1F16">
      <w:fldChar w:fldCharType="separate"/>
    </w:r>
    <w:r>
      <w:rPr>
        <w:b/>
        <w:bCs/>
        <w:noProof/>
        <w:lang w:val="es-ES"/>
      </w:rPr>
      <w:t>¡Error! Utilice la pestaña Inicio para aplicar TOC Heading al texto que desea que aparezca aquí.</w:t>
    </w:r>
    <w:r w:rsidRPr="00BF1F16">
      <w:fldChar w:fldCharType="end"/>
    </w:r>
    <w:r w:rsidRPr="00BF1F16">
      <w:ptab w:relativeTo="margin" w:alignment="right" w:leader="none"/>
    </w:r>
    <w:r w:rsidRPr="00BF1F16">
      <w:fldChar w:fldCharType="begin"/>
    </w:r>
    <w:r w:rsidRPr="00A330D9">
      <w:rPr>
        <w:lang w:val="es-MX"/>
      </w:rPr>
      <w:instrText xml:space="preserve"> DOCVARIABLE ReportTitle </w:instrText>
    </w:r>
    <w:r w:rsidRPr="00BF1F16">
      <w:fldChar w:fldCharType="separate"/>
    </w:r>
    <w:r>
      <w:rPr>
        <w:lang w:val="es-MX"/>
      </w:rPr>
      <w:t xml:space="preserve"> </w:t>
    </w:r>
    <w:r w:rsidRPr="00BF1F16">
      <w:fldChar w:fldCharType="end"/>
    </w:r>
  </w:p>
  <w:p w14:paraId="740C2B6A" w14:textId="77777777" w:rsidR="0045050D" w:rsidRPr="00BF1F16" w:rsidRDefault="0045050D" w:rsidP="00DA31B2">
    <w:pPr>
      <w:pStyle w:val="DraftMarkings"/>
      <w:jc w:val="left"/>
    </w:pPr>
    <w:r>
      <w:fldChar w:fldCharType="begin"/>
    </w:r>
    <w:r w:rsidRPr="00A330D9">
      <w:rPr>
        <w:lang w:val="es-MX"/>
      </w:rPr>
      <w:instrText xml:space="preserve"> DOCVARIABLE Draft </w:instrText>
    </w:r>
    <w:r>
      <w:fldChar w:fldCharType="separate"/>
    </w:r>
    <w:r>
      <w:rPr>
        <w:lang w:val="es-MX"/>
      </w:rPr>
      <w:t xml:space="preserve"> </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A727" w14:textId="77777777" w:rsidR="0045050D" w:rsidRPr="00BF1F16" w:rsidRDefault="0045050D" w:rsidP="00DA31B2">
    <w:pPr>
      <w:pStyle w:val="ClientNameCrossRef"/>
      <w:spacing w:after="300"/>
    </w:pPr>
    <w:r w:rsidRPr="00BF1F16">
      <w:fldChar w:fldCharType="begin"/>
    </w:r>
    <w:r w:rsidRPr="00137A56">
      <w:rPr>
        <w:lang w:val="es-ES"/>
      </w:rPr>
      <w:instrText xml:space="preserve"> DOCVARIABLE ReportTitle </w:instrText>
    </w:r>
    <w:r w:rsidRPr="00BF1F16">
      <w:fldChar w:fldCharType="separate"/>
    </w:r>
    <w:r>
      <w:rPr>
        <w:lang w:val="es-ES"/>
      </w:rPr>
      <w:t xml:space="preserve"> </w:t>
    </w:r>
    <w:r w:rsidRPr="00BF1F16">
      <w:fldChar w:fldCharType="end"/>
    </w:r>
    <w:r w:rsidRPr="00BF1F16">
      <w:ptab w:relativeTo="margin" w:alignment="right" w:leader="none"/>
    </w:r>
  </w:p>
  <w:p w14:paraId="06AC7B0F" w14:textId="77777777" w:rsidR="0045050D" w:rsidRPr="00BF1F16" w:rsidRDefault="0045050D" w:rsidP="00DA31B2">
    <w:pPr>
      <w:pStyle w:val="DraftMarkings"/>
    </w:pPr>
    <w:r w:rsidRPr="00BF1F16">
      <w:ptab w:relativeTo="margin" w:alignment="right" w:leader="none"/>
    </w:r>
    <w:r w:rsidRPr="00BF1F16">
      <w:fldChar w:fldCharType="begin"/>
    </w:r>
    <w:r w:rsidRPr="00BF1F16">
      <w:instrText xml:space="preserve"> DOCVARIABLE Draft</w:instrText>
    </w:r>
    <w:r w:rsidRPr="00BF1F16">
      <w:fldChar w:fldCharType="separate"/>
    </w:r>
    <w:r>
      <w:t xml:space="preserve"> </w:t>
    </w:r>
    <w:r w:rsidRPr="00BF1F16">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DEB99" w14:textId="77777777" w:rsidR="0045050D" w:rsidRPr="00DE54AB" w:rsidRDefault="0045050D" w:rsidP="00DA31B2">
    <w:pPr>
      <w:pStyle w:val="ClientNameCrossRef"/>
      <w:spacing w:after="300"/>
      <w:rPr>
        <w:lang w:val="en-US"/>
      </w:rPr>
    </w:pPr>
    <w:r w:rsidRPr="00DE54AB">
      <w:rPr>
        <w:lang w:val="en-US"/>
      </w:rPr>
      <w:fldChar w:fldCharType="begin"/>
    </w:r>
    <w:r w:rsidRPr="00DE54AB">
      <w:rPr>
        <w:lang w:val="en-US"/>
      </w:rPr>
      <w:instrText xml:space="preserve"> STYLEREF </w:instrText>
    </w:r>
    <w:r>
      <w:rPr>
        <w:lang w:val="en-US"/>
      </w:rPr>
      <w:instrText>1 \n</w:instrText>
    </w:r>
    <w:r w:rsidRPr="00DE54AB">
      <w:rPr>
        <w:lang w:val="en-US"/>
      </w:rPr>
      <w:instrText xml:space="preserve"> </w:instrText>
    </w:r>
    <w:r w:rsidRPr="00DE54AB">
      <w:rPr>
        <w:lang w:val="en-US"/>
      </w:rPr>
      <w:fldChar w:fldCharType="separate"/>
    </w:r>
    <w:r>
      <w:rPr>
        <w:noProof/>
        <w:lang w:val="en-US"/>
      </w:rPr>
      <w:t>1</w:t>
    </w:r>
    <w:r w:rsidRPr="00DE54AB">
      <w:rPr>
        <w:noProof/>
        <w:lang w:val="en-US"/>
      </w:rPr>
      <w:fldChar w:fldCharType="end"/>
    </w:r>
    <w:r w:rsidRPr="00DE54AB">
      <w:rPr>
        <w:lang w:val="en-US"/>
      </w:rPr>
      <w:ptab w:relativeTo="margin" w:alignment="right" w:leader="none"/>
    </w:r>
    <w:r w:rsidRPr="00DE54AB">
      <w:rPr>
        <w:lang w:val="en-US"/>
      </w:rPr>
      <w:fldChar w:fldCharType="begin"/>
    </w:r>
    <w:r w:rsidRPr="00DE54AB">
      <w:rPr>
        <w:lang w:val="en-US"/>
      </w:rPr>
      <w:instrText xml:space="preserve"> DOCVARIABLE ReportTitle </w:instrText>
    </w:r>
    <w:r w:rsidRPr="00DE54AB">
      <w:rPr>
        <w:lang w:val="en-US"/>
      </w:rPr>
      <w:fldChar w:fldCharType="separate"/>
    </w:r>
    <w:r>
      <w:rPr>
        <w:lang w:val="en-US"/>
      </w:rPr>
      <w:t xml:space="preserve"> </w:t>
    </w:r>
    <w:r w:rsidRPr="00DE54AB">
      <w:rPr>
        <w:lang w:val="en-US"/>
      </w:rPr>
      <w:fldChar w:fldCharType="end"/>
    </w:r>
  </w:p>
  <w:p w14:paraId="0B643DF4" w14:textId="77777777" w:rsidR="0045050D" w:rsidRPr="00DE54AB" w:rsidRDefault="0045050D" w:rsidP="00DA31B2">
    <w:pPr>
      <w:pStyle w:val="DraftMarkings"/>
      <w:jc w:val="left"/>
      <w:rPr>
        <w:lang w:val="en-US"/>
      </w:rPr>
    </w:pPr>
    <w:r w:rsidRPr="00DE54AB">
      <w:rPr>
        <w:lang w:val="en-US"/>
      </w:rPr>
      <w:fldChar w:fldCharType="begin"/>
    </w:r>
    <w:r w:rsidRPr="00DE54AB">
      <w:rPr>
        <w:lang w:val="en-US"/>
      </w:rPr>
      <w:instrText xml:space="preserve"> DOCVARIABLE Draft </w:instrText>
    </w:r>
    <w:r w:rsidRPr="00DE54AB">
      <w:rPr>
        <w:lang w:val="en-US"/>
      </w:rPr>
      <w:fldChar w:fldCharType="separate"/>
    </w:r>
    <w:r>
      <w:rPr>
        <w:lang w:val="en-US"/>
      </w:rPr>
      <w:t xml:space="preserve"> </w:t>
    </w:r>
    <w:r w:rsidRPr="00DE54AB">
      <w:rPr>
        <w:lang w:val="en-U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93536" w14:textId="77777777" w:rsidR="0045050D" w:rsidRPr="002E5C91" w:rsidRDefault="0045050D" w:rsidP="003607E2">
    <w:pPr>
      <w:pStyle w:val="ClientNameCrossRef"/>
      <w:spacing w:after="300"/>
      <w:rPr>
        <w:lang w:val="pt-BR"/>
      </w:rPr>
    </w:pPr>
    <w:r w:rsidRPr="00DE54AB">
      <w:rPr>
        <w:lang w:val="en-US"/>
      </w:rPr>
      <w:fldChar w:fldCharType="begin"/>
    </w:r>
    <w:r w:rsidRPr="002E5C91">
      <w:rPr>
        <w:lang w:val="pt-BR"/>
      </w:rPr>
      <w:instrText xml:space="preserve"> DOCVARIABLE ReportTitle </w:instrText>
    </w:r>
    <w:r w:rsidRPr="00DE54AB">
      <w:rPr>
        <w:lang w:val="en-US"/>
      </w:rPr>
      <w:fldChar w:fldCharType="separate"/>
    </w:r>
    <w:r>
      <w:rPr>
        <w:lang w:val="pt-BR"/>
      </w:rPr>
      <w:t xml:space="preserve"> </w:t>
    </w:r>
    <w:r w:rsidRPr="00DE54AB">
      <w:rPr>
        <w:lang w:val="en-US"/>
      </w:rPr>
      <w:fldChar w:fldCharType="end"/>
    </w:r>
    <w:r w:rsidRPr="00DE54AB">
      <w:rPr>
        <w:lang w:val="en-US"/>
      </w:rPr>
      <w:ptab w:relativeTo="margin" w:alignment="right" w:leader="none"/>
    </w:r>
    <w:r w:rsidRPr="00DE54AB">
      <w:rPr>
        <w:lang w:val="en-US"/>
      </w:rPr>
      <w:fldChar w:fldCharType="begin"/>
    </w:r>
    <w:r w:rsidRPr="002E5C91">
      <w:rPr>
        <w:lang w:val="pt-BR"/>
      </w:rPr>
      <w:instrText xml:space="preserve"> STYLEREF 1 </w:instrText>
    </w:r>
    <w:r w:rsidR="00A1029A">
      <w:rPr>
        <w:lang w:val="en-US"/>
      </w:rPr>
      <w:fldChar w:fldCharType="separate"/>
    </w:r>
    <w:r w:rsidR="00A1029A">
      <w:rPr>
        <w:noProof/>
        <w:lang w:val="pt-BR"/>
      </w:rPr>
      <w:t>Visión general del proceso de subasta</w:t>
    </w:r>
    <w:r w:rsidRPr="00DE54AB">
      <w:rPr>
        <w:noProof/>
        <w:lang w:val="en-U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BA5CB" w14:textId="77777777" w:rsidR="001E0831" w:rsidRPr="00DE54AB" w:rsidRDefault="001E0831" w:rsidP="00DA31B2">
    <w:pPr>
      <w:pStyle w:val="ClientNameCrossRef"/>
      <w:spacing w:after="300"/>
      <w:rPr>
        <w:lang w:val="en-US"/>
      </w:rPr>
    </w:pPr>
    <w:r w:rsidRPr="00DE54AB">
      <w:rPr>
        <w:lang w:val="en-US"/>
      </w:rPr>
      <w:fldChar w:fldCharType="begin"/>
    </w:r>
    <w:r w:rsidRPr="00DE54AB">
      <w:rPr>
        <w:lang w:val="en-US"/>
      </w:rPr>
      <w:instrText xml:space="preserve"> STYLEREF </w:instrText>
    </w:r>
    <w:r>
      <w:rPr>
        <w:lang w:val="en-US"/>
      </w:rPr>
      <w:instrText>1 \n</w:instrText>
    </w:r>
    <w:r w:rsidRPr="00DE54AB">
      <w:rPr>
        <w:lang w:val="en-US"/>
      </w:rPr>
      <w:instrText xml:space="preserve"> </w:instrText>
    </w:r>
    <w:r w:rsidRPr="00DE54AB">
      <w:rPr>
        <w:lang w:val="en-US"/>
      </w:rPr>
      <w:fldChar w:fldCharType="separate"/>
    </w:r>
    <w:r>
      <w:rPr>
        <w:noProof/>
        <w:lang w:val="en-US"/>
      </w:rPr>
      <w:t>0</w:t>
    </w:r>
    <w:r w:rsidRPr="00DE54AB">
      <w:rPr>
        <w:noProof/>
        <w:lang w:val="en-US"/>
      </w:rPr>
      <w:fldChar w:fldCharType="end"/>
    </w:r>
    <w:r w:rsidRPr="00DE54AB">
      <w:rPr>
        <w:lang w:val="en-US"/>
      </w:rPr>
      <w:ptab w:relativeTo="margin" w:alignment="right" w:leader="none"/>
    </w:r>
    <w:r w:rsidRPr="00DE54AB">
      <w:rPr>
        <w:lang w:val="en-US"/>
      </w:rPr>
      <w:fldChar w:fldCharType="begin"/>
    </w:r>
    <w:r w:rsidRPr="00DE54AB">
      <w:rPr>
        <w:lang w:val="en-US"/>
      </w:rPr>
      <w:instrText xml:space="preserve"> DOCVARIABLE ReportTitle </w:instrText>
    </w:r>
    <w:r w:rsidRPr="00DE54AB">
      <w:rPr>
        <w:lang w:val="en-US"/>
      </w:rPr>
      <w:fldChar w:fldCharType="separate"/>
    </w:r>
    <w:r>
      <w:rPr>
        <w:lang w:val="en-US"/>
      </w:rPr>
      <w:t xml:space="preserve"> </w:t>
    </w:r>
    <w:r w:rsidRPr="00DE54AB">
      <w:rPr>
        <w:lang w:val="en-US"/>
      </w:rPr>
      <w:fldChar w:fldCharType="end"/>
    </w:r>
  </w:p>
  <w:p w14:paraId="557405A8" w14:textId="77777777" w:rsidR="001E0831" w:rsidRPr="00DE54AB" w:rsidRDefault="001E0831" w:rsidP="00DA31B2">
    <w:pPr>
      <w:pStyle w:val="DraftMarkings"/>
      <w:jc w:val="left"/>
      <w:rPr>
        <w:lang w:val="en-US"/>
      </w:rPr>
    </w:pPr>
    <w:r w:rsidRPr="00DE54AB">
      <w:rPr>
        <w:lang w:val="en-US"/>
      </w:rPr>
      <w:fldChar w:fldCharType="begin"/>
    </w:r>
    <w:r w:rsidRPr="00DE54AB">
      <w:rPr>
        <w:lang w:val="en-US"/>
      </w:rPr>
      <w:instrText xml:space="preserve"> DOCVARIABLE Draft </w:instrText>
    </w:r>
    <w:r w:rsidRPr="00DE54AB">
      <w:rPr>
        <w:lang w:val="en-US"/>
      </w:rPr>
      <w:fldChar w:fldCharType="separate"/>
    </w:r>
    <w:r>
      <w:rPr>
        <w:lang w:val="en-US"/>
      </w:rPr>
      <w:t xml:space="preserve"> </w:t>
    </w:r>
    <w:r w:rsidRPr="00DE54AB">
      <w:rPr>
        <w:lang w:val="en-US"/>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E0C0C" w14:textId="77777777" w:rsidR="001E0831" w:rsidRPr="00DE54AB" w:rsidRDefault="001E0831" w:rsidP="00DA31B2">
    <w:pPr>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67A4A" w14:textId="77777777" w:rsidR="001E0831" w:rsidRPr="00DE54AB" w:rsidRDefault="001E0831" w:rsidP="00DA31B2">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ADACE"/>
    <w:lvl w:ilvl="0">
      <w:start w:val="1"/>
      <w:numFmt w:val="decimal"/>
      <w:pStyle w:val="Listaconnmeros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2" w15:restartNumberingAfterBreak="0">
    <w:nsid w:val="0622751D"/>
    <w:multiLevelType w:val="hybridMultilevel"/>
    <w:tmpl w:val="4E34B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566ED"/>
    <w:multiLevelType w:val="hybridMultilevel"/>
    <w:tmpl w:val="AD4A62F8"/>
    <w:lvl w:ilvl="0" w:tplc="6488233A">
      <w:start w:val="1"/>
      <w:numFmt w:val="bullet"/>
      <w:lvlText w:val=""/>
      <w:lvlJc w:val="left"/>
      <w:pPr>
        <w:ind w:left="720" w:hanging="360"/>
      </w:pPr>
      <w:rPr>
        <w:rFonts w:ascii="Symbol" w:hAnsi="Symbol" w:hint="default"/>
        <w:lang w:val="es-MX"/>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2A3"/>
    <w:multiLevelType w:val="hybridMultilevel"/>
    <w:tmpl w:val="16A2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80498"/>
    <w:multiLevelType w:val="hybridMultilevel"/>
    <w:tmpl w:val="C6C8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aconnmeros"/>
      <w:lvlText w:val="%6."/>
      <w:lvlJc w:val="left"/>
      <w:pPr>
        <w:tabs>
          <w:tab w:val="num" w:pos="360"/>
        </w:tabs>
        <w:ind w:left="360" w:hanging="360"/>
      </w:pPr>
    </w:lvl>
    <w:lvl w:ilvl="6">
      <w:start w:val="1"/>
      <w:numFmt w:val="upperLetter"/>
      <w:pStyle w:val="Listaconnmeros2"/>
      <w:lvlText w:val="%7."/>
      <w:lvlJc w:val="left"/>
      <w:pPr>
        <w:tabs>
          <w:tab w:val="num" w:pos="720"/>
        </w:tabs>
        <w:ind w:left="720" w:hanging="360"/>
      </w:pPr>
    </w:lvl>
    <w:lvl w:ilvl="7">
      <w:start w:val="1"/>
      <w:numFmt w:val="lowerRoman"/>
      <w:pStyle w:val="Listaconnmeros3"/>
      <w:lvlText w:val="%8."/>
      <w:lvlJc w:val="left"/>
      <w:pPr>
        <w:tabs>
          <w:tab w:val="num" w:pos="1080"/>
        </w:tabs>
        <w:ind w:left="1080" w:hanging="360"/>
      </w:pPr>
    </w:lvl>
    <w:lvl w:ilvl="8">
      <w:start w:val="1"/>
      <w:numFmt w:val="lowerLetter"/>
      <w:pStyle w:val="Listaconnmeros4"/>
      <w:lvlText w:val="%9."/>
      <w:lvlJc w:val="left"/>
      <w:pPr>
        <w:tabs>
          <w:tab w:val="num" w:pos="1440"/>
        </w:tabs>
        <w:ind w:left="1440" w:hanging="360"/>
      </w:pPr>
    </w:lvl>
  </w:abstractNum>
  <w:abstractNum w:abstractNumId="7" w15:restartNumberingAfterBreak="0">
    <w:nsid w:val="0E2D03A4"/>
    <w:multiLevelType w:val="hybridMultilevel"/>
    <w:tmpl w:val="A7E69AB0"/>
    <w:lvl w:ilvl="0" w:tplc="21C29A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aconvietas"/>
      <w:lvlText w:val="§"/>
      <w:lvlJc w:val="left"/>
      <w:pPr>
        <w:tabs>
          <w:tab w:val="num" w:pos="360"/>
        </w:tabs>
        <w:ind w:left="360" w:hanging="360"/>
      </w:pPr>
      <w:rPr>
        <w:rFonts w:ascii="Wingdings" w:hAnsi="Wingdings" w:cs="Arial" w:hint="default"/>
      </w:rPr>
    </w:lvl>
    <w:lvl w:ilvl="5">
      <w:start w:val="1"/>
      <w:numFmt w:val="lowerRoman"/>
      <w:pStyle w:val="Listaconvietas2"/>
      <w:lvlText w:val="−"/>
      <w:lvlJc w:val="left"/>
      <w:pPr>
        <w:tabs>
          <w:tab w:val="num" w:pos="720"/>
        </w:tabs>
        <w:ind w:left="720" w:hanging="360"/>
      </w:pPr>
      <w:rPr>
        <w:rFonts w:ascii="Arial" w:hAnsi="Arial" w:cs="Arial"/>
      </w:rPr>
    </w:lvl>
    <w:lvl w:ilvl="6">
      <w:start w:val="1"/>
      <w:numFmt w:val="decimal"/>
      <w:pStyle w:val="Listaconvietas3"/>
      <w:lvlText w:val="−"/>
      <w:lvlJc w:val="left"/>
      <w:pPr>
        <w:tabs>
          <w:tab w:val="num" w:pos="1080"/>
        </w:tabs>
        <w:ind w:left="1080" w:hanging="360"/>
      </w:pPr>
      <w:rPr>
        <w:rFonts w:ascii="Arial" w:hAnsi="Arial" w:cs="Arial"/>
      </w:rPr>
    </w:lvl>
    <w:lvl w:ilvl="7">
      <w:start w:val="1"/>
      <w:numFmt w:val="lowerLetter"/>
      <w:pStyle w:val="Listaconvietas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9" w15:restartNumberingAfterBreak="0">
    <w:nsid w:val="11F92774"/>
    <w:multiLevelType w:val="multilevel"/>
    <w:tmpl w:val="6FEE6C3E"/>
    <w:name w:val="AppendicesList"/>
    <w:numStyleLink w:val="AppendicesList"/>
  </w:abstractNum>
  <w:abstractNum w:abstractNumId="10" w15:restartNumberingAfterBreak="0">
    <w:nsid w:val="17E140BB"/>
    <w:multiLevelType w:val="hybridMultilevel"/>
    <w:tmpl w:val="DE924C32"/>
    <w:lvl w:ilvl="0" w:tplc="50483628">
      <w:start w:val="1"/>
      <w:numFmt w:val="bullet"/>
      <w:lvlText w:val=""/>
      <w:lvlJc w:val="left"/>
      <w:pPr>
        <w:ind w:left="720" w:hanging="360"/>
      </w:pPr>
      <w:rPr>
        <w:rFonts w:ascii="Symbol" w:hAnsi="Symbol" w:hint="default"/>
        <w:lang w:val="es-ES"/>
      </w:rPr>
    </w:lvl>
    <w:lvl w:ilvl="1" w:tplc="92BE2F6E">
      <w:start w:val="1"/>
      <w:numFmt w:val="bullet"/>
      <w:lvlText w:val="o"/>
      <w:lvlJc w:val="left"/>
      <w:pPr>
        <w:ind w:left="1440" w:hanging="360"/>
      </w:pPr>
      <w:rPr>
        <w:rFonts w:ascii="Courier New" w:hAnsi="Courier New" w:cs="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17C18"/>
    <w:multiLevelType w:val="multilevel"/>
    <w:tmpl w:val="387A0020"/>
    <w:name w:val="ParagraphNumbering2"/>
    <w:numStyleLink w:val="ParagraphNumbering"/>
  </w:abstractNum>
  <w:abstractNum w:abstractNumId="12" w15:restartNumberingAfterBreak="0">
    <w:nsid w:val="1DE216A0"/>
    <w:multiLevelType w:val="hybridMultilevel"/>
    <w:tmpl w:val="D4F20606"/>
    <w:lvl w:ilvl="0" w:tplc="663CABE0">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45D0E"/>
    <w:multiLevelType w:val="hybridMultilevel"/>
    <w:tmpl w:val="6A3CE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A259C0"/>
    <w:multiLevelType w:val="hybridMultilevel"/>
    <w:tmpl w:val="C936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B5549"/>
    <w:multiLevelType w:val="hybridMultilevel"/>
    <w:tmpl w:val="2968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18" w15:restartNumberingAfterBreak="0">
    <w:nsid w:val="267C1F4D"/>
    <w:multiLevelType w:val="hybridMultilevel"/>
    <w:tmpl w:val="1EBECC62"/>
    <w:lvl w:ilvl="0" w:tplc="724E92CA">
      <w:start w:val="1"/>
      <w:numFmt w:val="decimal"/>
      <w:lvlText w:val="%1."/>
      <w:lvlJc w:val="left"/>
      <w:pPr>
        <w:ind w:left="720" w:hanging="360"/>
      </w:pPr>
      <w:rPr>
        <w:rFonts w:hint="default"/>
        <w:lang w:val="es-MX"/>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B47989"/>
    <w:multiLevelType w:val="hybridMultilevel"/>
    <w:tmpl w:val="958E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EF0718"/>
    <w:multiLevelType w:val="hybridMultilevel"/>
    <w:tmpl w:val="CC5A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4A1CA8"/>
    <w:multiLevelType w:val="hybridMultilevel"/>
    <w:tmpl w:val="441A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6353A"/>
    <w:multiLevelType w:val="hybridMultilevel"/>
    <w:tmpl w:val="537C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E02CF"/>
    <w:multiLevelType w:val="hybridMultilevel"/>
    <w:tmpl w:val="ECB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7814DA"/>
    <w:multiLevelType w:val="multilevel"/>
    <w:tmpl w:val="A712FE7C"/>
    <w:lvl w:ilvl="0">
      <w:start w:val="1"/>
      <w:numFmt w:val="decimal"/>
      <w:pStyle w:val="Exhibit"/>
      <w:lvlText w:val="Exhibit %1."/>
      <w:lvlJc w:val="left"/>
      <w:pPr>
        <w:tabs>
          <w:tab w:val="num" w:pos="0"/>
        </w:tabs>
        <w:ind w:left="1440" w:firstLine="0"/>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2BE666F"/>
    <w:multiLevelType w:val="hybridMultilevel"/>
    <w:tmpl w:val="0262A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A07BBB"/>
    <w:multiLevelType w:val="hybridMultilevel"/>
    <w:tmpl w:val="175211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41097F"/>
    <w:multiLevelType w:val="hybridMultilevel"/>
    <w:tmpl w:val="2106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765276"/>
    <w:multiLevelType w:val="hybridMultilevel"/>
    <w:tmpl w:val="83EE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31567E"/>
    <w:multiLevelType w:val="hybridMultilevel"/>
    <w:tmpl w:val="E9366F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9E2B4C"/>
    <w:multiLevelType w:val="hybridMultilevel"/>
    <w:tmpl w:val="9F029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351C5D"/>
    <w:multiLevelType w:val="hybridMultilevel"/>
    <w:tmpl w:val="B3346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F2455"/>
    <w:multiLevelType w:val="hybridMultilevel"/>
    <w:tmpl w:val="251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0275D1"/>
    <w:multiLevelType w:val="hybridMultilevel"/>
    <w:tmpl w:val="6D720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D81CF8"/>
    <w:multiLevelType w:val="hybridMultilevel"/>
    <w:tmpl w:val="F998C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4828B0"/>
    <w:multiLevelType w:val="hybridMultilevel"/>
    <w:tmpl w:val="1FBCD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970D49"/>
    <w:multiLevelType w:val="hybridMultilevel"/>
    <w:tmpl w:val="AFF0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C129F8"/>
    <w:multiLevelType w:val="multilevel"/>
    <w:tmpl w:val="CAE2F45E"/>
    <w:name w:val="HeadingsList"/>
    <w:styleLink w:val="HeadingsList"/>
    <w:lvl w:ilvl="0">
      <w:start w:val="1"/>
      <w:numFmt w:val="decimal"/>
      <w:lvlRestart w:val="0"/>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38" w15:restartNumberingAfterBreak="0">
    <w:nsid w:val="4C68043D"/>
    <w:multiLevelType w:val="multilevel"/>
    <w:tmpl w:val="6FEE6C3E"/>
    <w:name w:val="AppendicesList"/>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bCs/>
        <w:i w:val="0"/>
        <w:iCs w:val="0"/>
        <w:sz w:val="28"/>
        <w:szCs w:val="28"/>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6"/>
        <w:szCs w:val="26"/>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val="0"/>
        <w:iCs w:val="0"/>
        <w:sz w:val="24"/>
        <w:szCs w:val="24"/>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val="0"/>
        <w:iCs w:val="0"/>
        <w:sz w:val="24"/>
        <w:szCs w:val="24"/>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39" w15:restartNumberingAfterBreak="0">
    <w:nsid w:val="4CB90DB5"/>
    <w:multiLevelType w:val="hybridMultilevel"/>
    <w:tmpl w:val="0970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F303BC"/>
    <w:multiLevelType w:val="hybridMultilevel"/>
    <w:tmpl w:val="F162E4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255056"/>
    <w:multiLevelType w:val="hybridMultilevel"/>
    <w:tmpl w:val="724A1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163F44"/>
    <w:multiLevelType w:val="hybridMultilevel"/>
    <w:tmpl w:val="AD60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6757D8"/>
    <w:multiLevelType w:val="hybridMultilevel"/>
    <w:tmpl w:val="C7828330"/>
    <w:lvl w:ilvl="0" w:tplc="5A9218A6">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BF0D4C"/>
    <w:multiLevelType w:val="hybridMultilevel"/>
    <w:tmpl w:val="A3FEF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DE279B"/>
    <w:multiLevelType w:val="hybridMultilevel"/>
    <w:tmpl w:val="2DFEF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5913E96"/>
    <w:multiLevelType w:val="hybridMultilevel"/>
    <w:tmpl w:val="656C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B76299"/>
    <w:multiLevelType w:val="multilevel"/>
    <w:tmpl w:val="08090023"/>
    <w:styleLink w:val="ArtculoSecci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669A0115"/>
    <w:multiLevelType w:val="hybridMultilevel"/>
    <w:tmpl w:val="7600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B425A6"/>
    <w:multiLevelType w:val="hybridMultilevel"/>
    <w:tmpl w:val="0472E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DD4DE6"/>
    <w:multiLevelType w:val="multilevel"/>
    <w:tmpl w:val="CAE2F45E"/>
    <w:name w:val="HeadingsList2"/>
    <w:numStyleLink w:val="HeadingsList"/>
  </w:abstractNum>
  <w:abstractNum w:abstractNumId="52" w15:restartNumberingAfterBreak="0">
    <w:nsid w:val="695409FB"/>
    <w:multiLevelType w:val="hybridMultilevel"/>
    <w:tmpl w:val="4760A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F62DAB"/>
    <w:multiLevelType w:val="hybridMultilevel"/>
    <w:tmpl w:val="E3667A9A"/>
    <w:lvl w:ilvl="0" w:tplc="CC06BD66">
      <w:start w:val="1"/>
      <w:numFmt w:val="bullet"/>
      <w:lvlText w:val=""/>
      <w:lvlJc w:val="left"/>
      <w:pPr>
        <w:ind w:left="720" w:hanging="360"/>
      </w:pPr>
      <w:rPr>
        <w:rFonts w:ascii="Symbol" w:hAnsi="Symbol"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40524E"/>
    <w:multiLevelType w:val="hybridMultilevel"/>
    <w:tmpl w:val="A854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2D4301"/>
    <w:multiLevelType w:val="hybridMultilevel"/>
    <w:tmpl w:val="76CA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57" w15:restartNumberingAfterBreak="0">
    <w:nsid w:val="732F194A"/>
    <w:multiLevelType w:val="hybridMultilevel"/>
    <w:tmpl w:val="C01EE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Theme="minorHAnsi" w:eastAsiaTheme="minorEastAsia" w:hAnsiTheme="minorHAnsi" w:cstheme="minorBidi"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59" w15:restartNumberingAfterBreak="0">
    <w:nsid w:val="75FD3174"/>
    <w:multiLevelType w:val="hybridMultilevel"/>
    <w:tmpl w:val="CB8A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40343C"/>
    <w:multiLevelType w:val="hybridMultilevel"/>
    <w:tmpl w:val="43C2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920BCE"/>
    <w:multiLevelType w:val="hybridMultilevel"/>
    <w:tmpl w:val="F3EC5A72"/>
    <w:lvl w:ilvl="0" w:tplc="219228CC">
      <w:start w:val="1"/>
      <w:numFmt w:val="decimal"/>
      <w:lvlText w:val="%1."/>
      <w:lvlJc w:val="left"/>
      <w:pPr>
        <w:ind w:left="720" w:hanging="36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A03795"/>
    <w:multiLevelType w:val="hybridMultilevel"/>
    <w:tmpl w:val="1134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7B0979"/>
    <w:multiLevelType w:val="hybridMultilevel"/>
    <w:tmpl w:val="18A8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7F3333"/>
    <w:multiLevelType w:val="hybridMultilevel"/>
    <w:tmpl w:val="ECD0AD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367BB0"/>
    <w:multiLevelType w:val="hybridMultilevel"/>
    <w:tmpl w:val="D378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1D04E7"/>
    <w:multiLevelType w:val="multilevel"/>
    <w:tmpl w:val="CAE2F45E"/>
    <w:lvl w:ilvl="0">
      <w:start w:val="1"/>
      <w:numFmt w:val="decimal"/>
      <w:lvlRestart w:val="0"/>
      <w:pStyle w:val="Ttulo1"/>
      <w:lvlText w:val="%1."/>
      <w:lvlJc w:val="left"/>
      <w:pPr>
        <w:ind w:left="936" w:hanging="936"/>
      </w:pPr>
      <w:rPr>
        <w:rFonts w:asciiTheme="majorHAnsi" w:eastAsiaTheme="majorEastAsia" w:hAnsiTheme="majorHAnsi" w:cstheme="majorBidi" w:hint="default"/>
        <w:b/>
        <w:bCs/>
        <w:i w:val="0"/>
        <w:iCs w:val="0"/>
        <w:sz w:val="28"/>
        <w:szCs w:val="28"/>
      </w:rPr>
    </w:lvl>
    <w:lvl w:ilvl="1">
      <w:start w:val="1"/>
      <w:numFmt w:val="decimal"/>
      <w:pStyle w:val="Ttulo2"/>
      <w:lvlText w:val="%1.%2."/>
      <w:lvlJc w:val="left"/>
      <w:pPr>
        <w:ind w:left="936" w:hanging="936"/>
      </w:pPr>
      <w:rPr>
        <w:rFonts w:asciiTheme="majorHAnsi" w:eastAsiaTheme="majorEastAsia" w:hAnsiTheme="majorHAnsi" w:cstheme="majorBidi" w:hint="default"/>
        <w:b/>
        <w:bCs/>
        <w:i w:val="0"/>
        <w:iCs w:val="0"/>
        <w:sz w:val="26"/>
        <w:szCs w:val="26"/>
      </w:rPr>
    </w:lvl>
    <w:lvl w:ilvl="2">
      <w:start w:val="1"/>
      <w:numFmt w:val="decimal"/>
      <w:pStyle w:val="Ttulo3"/>
      <w:lvlText w:val="%1.%2.%3."/>
      <w:lvlJc w:val="left"/>
      <w:pPr>
        <w:ind w:left="936" w:hanging="936"/>
      </w:pPr>
      <w:rPr>
        <w:rFonts w:asciiTheme="majorHAnsi" w:eastAsiaTheme="majorEastAsia" w:hAnsiTheme="majorHAnsi" w:cstheme="majorBidi" w:hint="default"/>
        <w:b/>
        <w:bCs/>
        <w:i w:val="0"/>
        <w:iCs w:val="0"/>
        <w:sz w:val="24"/>
        <w:szCs w:val="24"/>
      </w:rPr>
    </w:lvl>
    <w:lvl w:ilvl="3">
      <w:start w:val="1"/>
      <w:numFmt w:val="decimal"/>
      <w:pStyle w:val="Ttulo4"/>
      <w:lvlText w:val="%1.%2.%3.%4."/>
      <w:lvlJc w:val="left"/>
      <w:pPr>
        <w:ind w:left="1296" w:hanging="1296"/>
      </w:pPr>
      <w:rPr>
        <w:rFonts w:asciiTheme="majorHAnsi" w:eastAsiaTheme="majorEastAsia" w:hAnsiTheme="majorHAnsi" w:cstheme="majorBidi" w:hint="default"/>
        <w:b w:val="0"/>
        <w:bCs w:val="0"/>
        <w:i w:val="0"/>
        <w:iCs w:val="0"/>
        <w:sz w:val="24"/>
        <w:szCs w:val="24"/>
      </w:rPr>
    </w:lvl>
    <w:lvl w:ilvl="4">
      <w:start w:val="1"/>
      <w:numFmt w:val="decimal"/>
      <w:pStyle w:val="Ttulo5"/>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pStyle w:val="Ttulo6"/>
      <w:lvlText w:val="%1.%2.%3.%4.%5.%6."/>
      <w:lvlJc w:val="left"/>
      <w:pPr>
        <w:ind w:left="1296" w:hanging="1296"/>
      </w:pPr>
      <w:rPr>
        <w:rFonts w:hint="default"/>
        <w:b w:val="0"/>
        <w:bCs w:val="0"/>
        <w:i w:val="0"/>
        <w:iCs/>
        <w:sz w:val="24"/>
        <w:szCs w:val="24"/>
      </w:rPr>
    </w:lvl>
    <w:lvl w:ilvl="6">
      <w:start w:val="1"/>
      <w:numFmt w:val="decimal"/>
      <w:pStyle w:val="Ttulo7"/>
      <w:lvlText w:val="%1.%2.%3.%4.%5.%6.%7."/>
      <w:lvlJc w:val="left"/>
      <w:pPr>
        <w:ind w:left="1296" w:hanging="1296"/>
      </w:pPr>
      <w:rPr>
        <w:rFonts w:hint="default"/>
        <w:b w:val="0"/>
        <w:bCs w:val="0"/>
        <w:i w:val="0"/>
        <w:iCs/>
        <w:sz w:val="24"/>
        <w:szCs w:val="24"/>
      </w:rPr>
    </w:lvl>
    <w:lvl w:ilvl="7">
      <w:start w:val="1"/>
      <w:numFmt w:val="decimal"/>
      <w:pStyle w:val="Ttulo8"/>
      <w:lvlText w:val="%1.%2.%3.%4.%5.%6.%7.%8."/>
      <w:lvlJc w:val="left"/>
      <w:pPr>
        <w:ind w:left="1296" w:hanging="1296"/>
      </w:pPr>
      <w:rPr>
        <w:rFonts w:hint="default"/>
        <w:b w:val="0"/>
        <w:bCs w:val="0"/>
        <w:i w:val="0"/>
        <w:iCs w:val="0"/>
        <w:sz w:val="20"/>
        <w:szCs w:val="24"/>
      </w:rPr>
    </w:lvl>
    <w:lvl w:ilvl="8">
      <w:start w:val="1"/>
      <w:numFmt w:val="decimal"/>
      <w:pStyle w:val="Ttulo9"/>
      <w:lvlText w:val="%1.%2.%3.%4.%5.%6.%7.%8.%9."/>
      <w:lvlJc w:val="left"/>
      <w:pPr>
        <w:ind w:left="1296" w:hanging="1296"/>
      </w:pPr>
      <w:rPr>
        <w:rFonts w:hint="default"/>
        <w:b w:val="0"/>
        <w:bCs w:val="0"/>
        <w:i w:val="0"/>
        <w:iCs/>
        <w:sz w:val="20"/>
        <w:szCs w:val="24"/>
      </w:rPr>
    </w:lvl>
  </w:abstractNum>
  <w:abstractNum w:abstractNumId="67" w15:restartNumberingAfterBreak="0">
    <w:nsid w:val="7D6D0753"/>
    <w:multiLevelType w:val="hybridMultilevel"/>
    <w:tmpl w:val="386A8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58"/>
  </w:num>
  <w:num w:numId="4">
    <w:abstractNumId w:val="46"/>
  </w:num>
  <w:num w:numId="5">
    <w:abstractNumId w:val="14"/>
  </w:num>
  <w:num w:numId="6">
    <w:abstractNumId w:val="48"/>
  </w:num>
  <w:num w:numId="7">
    <w:abstractNumId w:val="17"/>
  </w:num>
  <w:num w:numId="8">
    <w:abstractNumId w:val="1"/>
  </w:num>
  <w:num w:numId="9">
    <w:abstractNumId w:val="0"/>
  </w:num>
  <w:num w:numId="10">
    <w:abstractNumId w:val="8"/>
  </w:num>
  <w:num w:numId="11">
    <w:abstractNumId w:val="6"/>
  </w:num>
  <w:num w:numId="12">
    <w:abstractNumId w:val="24"/>
  </w:num>
  <w:num w:numId="13">
    <w:abstractNumId w:val="56"/>
  </w:num>
  <w:num w:numId="14">
    <w:abstractNumId w:val="54"/>
  </w:num>
  <w:num w:numId="15">
    <w:abstractNumId w:val="43"/>
  </w:num>
  <w:num w:numId="16">
    <w:abstractNumId w:val="25"/>
  </w:num>
  <w:num w:numId="17">
    <w:abstractNumId w:val="23"/>
  </w:num>
  <w:num w:numId="18">
    <w:abstractNumId w:val="36"/>
  </w:num>
  <w:num w:numId="19">
    <w:abstractNumId w:val="19"/>
  </w:num>
  <w:num w:numId="20">
    <w:abstractNumId w:val="27"/>
  </w:num>
  <w:num w:numId="21">
    <w:abstractNumId w:val="67"/>
  </w:num>
  <w:num w:numId="22">
    <w:abstractNumId w:val="52"/>
  </w:num>
  <w:num w:numId="23">
    <w:abstractNumId w:val="5"/>
  </w:num>
  <w:num w:numId="24">
    <w:abstractNumId w:val="31"/>
  </w:num>
  <w:num w:numId="25">
    <w:abstractNumId w:val="41"/>
  </w:num>
  <w:num w:numId="26">
    <w:abstractNumId w:val="55"/>
  </w:num>
  <w:num w:numId="27">
    <w:abstractNumId w:val="28"/>
  </w:num>
  <w:num w:numId="28">
    <w:abstractNumId w:val="33"/>
  </w:num>
  <w:num w:numId="29">
    <w:abstractNumId w:val="12"/>
  </w:num>
  <w:num w:numId="30">
    <w:abstractNumId w:val="29"/>
  </w:num>
  <w:num w:numId="31">
    <w:abstractNumId w:val="10"/>
  </w:num>
  <w:num w:numId="32">
    <w:abstractNumId w:val="15"/>
  </w:num>
  <w:num w:numId="33">
    <w:abstractNumId w:val="53"/>
  </w:num>
  <w:num w:numId="34">
    <w:abstractNumId w:val="64"/>
  </w:num>
  <w:num w:numId="35">
    <w:abstractNumId w:val="59"/>
  </w:num>
  <w:num w:numId="36">
    <w:abstractNumId w:val="44"/>
  </w:num>
  <w:num w:numId="37">
    <w:abstractNumId w:val="42"/>
  </w:num>
  <w:num w:numId="38">
    <w:abstractNumId w:val="66"/>
  </w:num>
  <w:num w:numId="39">
    <w:abstractNumId w:val="7"/>
  </w:num>
  <w:num w:numId="40">
    <w:abstractNumId w:val="18"/>
  </w:num>
  <w:num w:numId="41">
    <w:abstractNumId w:val="35"/>
  </w:num>
  <w:num w:numId="42">
    <w:abstractNumId w:val="4"/>
  </w:num>
  <w:num w:numId="43">
    <w:abstractNumId w:val="60"/>
  </w:num>
  <w:num w:numId="44">
    <w:abstractNumId w:val="26"/>
  </w:num>
  <w:num w:numId="45">
    <w:abstractNumId w:val="3"/>
  </w:num>
  <w:num w:numId="46">
    <w:abstractNumId w:val="20"/>
  </w:num>
  <w:num w:numId="47">
    <w:abstractNumId w:val="49"/>
  </w:num>
  <w:num w:numId="48">
    <w:abstractNumId w:val="50"/>
  </w:num>
  <w:num w:numId="49">
    <w:abstractNumId w:val="32"/>
  </w:num>
  <w:num w:numId="50">
    <w:abstractNumId w:val="63"/>
  </w:num>
  <w:num w:numId="51">
    <w:abstractNumId w:val="34"/>
  </w:num>
  <w:num w:numId="52">
    <w:abstractNumId w:val="39"/>
  </w:num>
  <w:num w:numId="53">
    <w:abstractNumId w:val="21"/>
  </w:num>
  <w:num w:numId="54">
    <w:abstractNumId w:val="47"/>
  </w:num>
  <w:num w:numId="55">
    <w:abstractNumId w:val="30"/>
  </w:num>
  <w:num w:numId="56">
    <w:abstractNumId w:val="22"/>
  </w:num>
  <w:num w:numId="57">
    <w:abstractNumId w:val="45"/>
  </w:num>
  <w:num w:numId="58">
    <w:abstractNumId w:val="65"/>
  </w:num>
  <w:num w:numId="59">
    <w:abstractNumId w:val="57"/>
  </w:num>
  <w:num w:numId="60">
    <w:abstractNumId w:val="13"/>
  </w:num>
  <w:num w:numId="61">
    <w:abstractNumId w:val="61"/>
  </w:num>
  <w:num w:numId="62">
    <w:abstractNumId w:val="40"/>
  </w:num>
  <w:num w:numId="63">
    <w:abstractNumId w:val="16"/>
  </w:num>
  <w:num w:numId="64">
    <w:abstractNumId w:val="2"/>
  </w:num>
  <w:num w:numId="65">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n-US" w:vendorID="64" w:dllVersion="131078" w:nlCheck="1" w:checkStyle="1"/>
  <w:attachedTemplate r:id="rId1"/>
  <w:defaultTabStop w:val="720"/>
  <w:hyphenationZone w:val="425"/>
  <w:defaultTableStyle w:val="NERATable"/>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um" w:val=" "/>
    <w:docVar w:name="Draft" w:val=" "/>
    <w:docVar w:name="Draft1" w:val=" "/>
    <w:docVar w:name="Draft2" w:val=" "/>
    <w:docVar w:name="Draft3" w:val=" "/>
    <w:docVar w:name="Draft4" w:val=" "/>
    <w:docVar w:name="Draft5" w:val=" "/>
    <w:docVar w:name="HeadingLevels" w:val="3"/>
    <w:docVar w:name="Language" w:val="English (UK)"/>
    <w:docVar w:name="ReportTitle" w:val=" "/>
    <w:docVar w:name="xVersion" w:val="1.0.0.0012"/>
  </w:docVars>
  <w:rsids>
    <w:rsidRoot w:val="006272E5"/>
    <w:rsid w:val="000008A9"/>
    <w:rsid w:val="00002B7A"/>
    <w:rsid w:val="00006169"/>
    <w:rsid w:val="0001041F"/>
    <w:rsid w:val="000129AE"/>
    <w:rsid w:val="00015EB2"/>
    <w:rsid w:val="000168F7"/>
    <w:rsid w:val="0002285C"/>
    <w:rsid w:val="00026900"/>
    <w:rsid w:val="0002692E"/>
    <w:rsid w:val="00027E53"/>
    <w:rsid w:val="00030253"/>
    <w:rsid w:val="000319B3"/>
    <w:rsid w:val="000320B9"/>
    <w:rsid w:val="00033A3E"/>
    <w:rsid w:val="00037FB0"/>
    <w:rsid w:val="0004078F"/>
    <w:rsid w:val="0004414A"/>
    <w:rsid w:val="000443F5"/>
    <w:rsid w:val="00045E5F"/>
    <w:rsid w:val="000468F2"/>
    <w:rsid w:val="0004775A"/>
    <w:rsid w:val="00047846"/>
    <w:rsid w:val="0005432A"/>
    <w:rsid w:val="000563C9"/>
    <w:rsid w:val="00057493"/>
    <w:rsid w:val="00060FF0"/>
    <w:rsid w:val="00061421"/>
    <w:rsid w:val="000627E7"/>
    <w:rsid w:val="00065B92"/>
    <w:rsid w:val="00067132"/>
    <w:rsid w:val="00067B67"/>
    <w:rsid w:val="000706E1"/>
    <w:rsid w:val="00070A71"/>
    <w:rsid w:val="00072E51"/>
    <w:rsid w:val="0007539B"/>
    <w:rsid w:val="00075617"/>
    <w:rsid w:val="000771A2"/>
    <w:rsid w:val="00080F2E"/>
    <w:rsid w:val="00081056"/>
    <w:rsid w:val="0008256C"/>
    <w:rsid w:val="000825C8"/>
    <w:rsid w:val="00084053"/>
    <w:rsid w:val="00085887"/>
    <w:rsid w:val="00085C97"/>
    <w:rsid w:val="000904A5"/>
    <w:rsid w:val="00090938"/>
    <w:rsid w:val="00090FAC"/>
    <w:rsid w:val="000910CC"/>
    <w:rsid w:val="00091239"/>
    <w:rsid w:val="00094445"/>
    <w:rsid w:val="00094C34"/>
    <w:rsid w:val="0009507B"/>
    <w:rsid w:val="000A2C29"/>
    <w:rsid w:val="000A31FD"/>
    <w:rsid w:val="000B07C6"/>
    <w:rsid w:val="000B0C55"/>
    <w:rsid w:val="000B105A"/>
    <w:rsid w:val="000B3DA5"/>
    <w:rsid w:val="000B468D"/>
    <w:rsid w:val="000B5953"/>
    <w:rsid w:val="000B722D"/>
    <w:rsid w:val="000C39B2"/>
    <w:rsid w:val="000C4EB0"/>
    <w:rsid w:val="000C5A37"/>
    <w:rsid w:val="000C6F39"/>
    <w:rsid w:val="000D298D"/>
    <w:rsid w:val="000D2C4F"/>
    <w:rsid w:val="000D2E9F"/>
    <w:rsid w:val="000D3339"/>
    <w:rsid w:val="000D7388"/>
    <w:rsid w:val="000E4D71"/>
    <w:rsid w:val="000E4FA7"/>
    <w:rsid w:val="000E693B"/>
    <w:rsid w:val="000E73BD"/>
    <w:rsid w:val="000F0457"/>
    <w:rsid w:val="000F3486"/>
    <w:rsid w:val="000F53F2"/>
    <w:rsid w:val="000F6496"/>
    <w:rsid w:val="000F6D5D"/>
    <w:rsid w:val="000F6E65"/>
    <w:rsid w:val="00103B9A"/>
    <w:rsid w:val="00106BD6"/>
    <w:rsid w:val="00106E89"/>
    <w:rsid w:val="00110FBB"/>
    <w:rsid w:val="00111DC6"/>
    <w:rsid w:val="00114038"/>
    <w:rsid w:val="00115DEB"/>
    <w:rsid w:val="00116E48"/>
    <w:rsid w:val="00117029"/>
    <w:rsid w:val="00117375"/>
    <w:rsid w:val="00117559"/>
    <w:rsid w:val="00120BB0"/>
    <w:rsid w:val="00123316"/>
    <w:rsid w:val="001253E1"/>
    <w:rsid w:val="00131CDA"/>
    <w:rsid w:val="00131DD2"/>
    <w:rsid w:val="0013235E"/>
    <w:rsid w:val="00134019"/>
    <w:rsid w:val="00135926"/>
    <w:rsid w:val="00135BE3"/>
    <w:rsid w:val="00136D7F"/>
    <w:rsid w:val="00137A56"/>
    <w:rsid w:val="00144587"/>
    <w:rsid w:val="001502C1"/>
    <w:rsid w:val="0015056E"/>
    <w:rsid w:val="001527AD"/>
    <w:rsid w:val="00154FD8"/>
    <w:rsid w:val="0015590A"/>
    <w:rsid w:val="00156179"/>
    <w:rsid w:val="001565E6"/>
    <w:rsid w:val="00160C97"/>
    <w:rsid w:val="001616EE"/>
    <w:rsid w:val="001619FC"/>
    <w:rsid w:val="00163B02"/>
    <w:rsid w:val="001676F0"/>
    <w:rsid w:val="0016799A"/>
    <w:rsid w:val="00167E62"/>
    <w:rsid w:val="00171357"/>
    <w:rsid w:val="00171EAC"/>
    <w:rsid w:val="00174271"/>
    <w:rsid w:val="0018185A"/>
    <w:rsid w:val="00181D75"/>
    <w:rsid w:val="001844C0"/>
    <w:rsid w:val="00184D3F"/>
    <w:rsid w:val="00184F69"/>
    <w:rsid w:val="001867C0"/>
    <w:rsid w:val="0018698E"/>
    <w:rsid w:val="00196291"/>
    <w:rsid w:val="00196AFC"/>
    <w:rsid w:val="00196B3A"/>
    <w:rsid w:val="00197DA1"/>
    <w:rsid w:val="001A397B"/>
    <w:rsid w:val="001A5F44"/>
    <w:rsid w:val="001A7B4E"/>
    <w:rsid w:val="001A7F28"/>
    <w:rsid w:val="001B1920"/>
    <w:rsid w:val="001B5F7B"/>
    <w:rsid w:val="001B7614"/>
    <w:rsid w:val="001B7CC0"/>
    <w:rsid w:val="001C277E"/>
    <w:rsid w:val="001C3AD5"/>
    <w:rsid w:val="001C41CC"/>
    <w:rsid w:val="001C677F"/>
    <w:rsid w:val="001D1F1A"/>
    <w:rsid w:val="001D3E1A"/>
    <w:rsid w:val="001D406E"/>
    <w:rsid w:val="001D5AE3"/>
    <w:rsid w:val="001E0831"/>
    <w:rsid w:val="001E20E5"/>
    <w:rsid w:val="001E3554"/>
    <w:rsid w:val="001E361D"/>
    <w:rsid w:val="001E468F"/>
    <w:rsid w:val="001E5800"/>
    <w:rsid w:val="001E6243"/>
    <w:rsid w:val="001E6942"/>
    <w:rsid w:val="001E6DD7"/>
    <w:rsid w:val="001E7782"/>
    <w:rsid w:val="001E7A13"/>
    <w:rsid w:val="001F1A40"/>
    <w:rsid w:val="001F2F4D"/>
    <w:rsid w:val="001F5357"/>
    <w:rsid w:val="001F658A"/>
    <w:rsid w:val="001F6B31"/>
    <w:rsid w:val="0020026A"/>
    <w:rsid w:val="00206D1D"/>
    <w:rsid w:val="00210A57"/>
    <w:rsid w:val="00210B36"/>
    <w:rsid w:val="00211A4F"/>
    <w:rsid w:val="00213E1B"/>
    <w:rsid w:val="00213F02"/>
    <w:rsid w:val="00217CDA"/>
    <w:rsid w:val="00221366"/>
    <w:rsid w:val="00224DF0"/>
    <w:rsid w:val="002258AB"/>
    <w:rsid w:val="002258C0"/>
    <w:rsid w:val="00225CE4"/>
    <w:rsid w:val="00226CF5"/>
    <w:rsid w:val="0022716C"/>
    <w:rsid w:val="00230441"/>
    <w:rsid w:val="002335E4"/>
    <w:rsid w:val="00233BAE"/>
    <w:rsid w:val="00236161"/>
    <w:rsid w:val="00237BBC"/>
    <w:rsid w:val="002404E9"/>
    <w:rsid w:val="002409B2"/>
    <w:rsid w:val="0024359E"/>
    <w:rsid w:val="00243AF6"/>
    <w:rsid w:val="0024515F"/>
    <w:rsid w:val="002477A7"/>
    <w:rsid w:val="00251F86"/>
    <w:rsid w:val="00251FC3"/>
    <w:rsid w:val="002525D4"/>
    <w:rsid w:val="00255FB9"/>
    <w:rsid w:val="00256054"/>
    <w:rsid w:val="00257209"/>
    <w:rsid w:val="00262736"/>
    <w:rsid w:val="00262A20"/>
    <w:rsid w:val="00264A21"/>
    <w:rsid w:val="00264A4A"/>
    <w:rsid w:val="002708FB"/>
    <w:rsid w:val="00271756"/>
    <w:rsid w:val="00273878"/>
    <w:rsid w:val="00275104"/>
    <w:rsid w:val="00275686"/>
    <w:rsid w:val="0027652F"/>
    <w:rsid w:val="00276BBF"/>
    <w:rsid w:val="0027745A"/>
    <w:rsid w:val="00277C94"/>
    <w:rsid w:val="002811CD"/>
    <w:rsid w:val="0028605E"/>
    <w:rsid w:val="002866FC"/>
    <w:rsid w:val="00286797"/>
    <w:rsid w:val="00290A8B"/>
    <w:rsid w:val="002912D1"/>
    <w:rsid w:val="00291AC7"/>
    <w:rsid w:val="0029234F"/>
    <w:rsid w:val="00295318"/>
    <w:rsid w:val="00295F22"/>
    <w:rsid w:val="00296582"/>
    <w:rsid w:val="002A0508"/>
    <w:rsid w:val="002A1D0D"/>
    <w:rsid w:val="002A23A0"/>
    <w:rsid w:val="002A3DF6"/>
    <w:rsid w:val="002B06AD"/>
    <w:rsid w:val="002B1A70"/>
    <w:rsid w:val="002B23F9"/>
    <w:rsid w:val="002B2AD2"/>
    <w:rsid w:val="002B3376"/>
    <w:rsid w:val="002C19CA"/>
    <w:rsid w:val="002C21E5"/>
    <w:rsid w:val="002C3CD6"/>
    <w:rsid w:val="002C6B86"/>
    <w:rsid w:val="002D0F02"/>
    <w:rsid w:val="002D3F8A"/>
    <w:rsid w:val="002D4437"/>
    <w:rsid w:val="002D6169"/>
    <w:rsid w:val="002D7DF5"/>
    <w:rsid w:val="002E162F"/>
    <w:rsid w:val="002E1876"/>
    <w:rsid w:val="002E1C13"/>
    <w:rsid w:val="002E1E95"/>
    <w:rsid w:val="002E4748"/>
    <w:rsid w:val="002E4D49"/>
    <w:rsid w:val="002E556F"/>
    <w:rsid w:val="002E5C91"/>
    <w:rsid w:val="002E715B"/>
    <w:rsid w:val="002E7CAD"/>
    <w:rsid w:val="002F06A1"/>
    <w:rsid w:val="002F1076"/>
    <w:rsid w:val="002F4DCB"/>
    <w:rsid w:val="002F57F0"/>
    <w:rsid w:val="002F6D0E"/>
    <w:rsid w:val="002F6E33"/>
    <w:rsid w:val="002F7EAA"/>
    <w:rsid w:val="00300B4F"/>
    <w:rsid w:val="00301C99"/>
    <w:rsid w:val="00301DBC"/>
    <w:rsid w:val="00302AF5"/>
    <w:rsid w:val="0031183E"/>
    <w:rsid w:val="00312A7C"/>
    <w:rsid w:val="00313660"/>
    <w:rsid w:val="003141FD"/>
    <w:rsid w:val="00315392"/>
    <w:rsid w:val="0031571D"/>
    <w:rsid w:val="003161F0"/>
    <w:rsid w:val="003164AC"/>
    <w:rsid w:val="00316F83"/>
    <w:rsid w:val="00320766"/>
    <w:rsid w:val="003207DB"/>
    <w:rsid w:val="0032091A"/>
    <w:rsid w:val="00323F93"/>
    <w:rsid w:val="00324C25"/>
    <w:rsid w:val="00326781"/>
    <w:rsid w:val="00326E8B"/>
    <w:rsid w:val="00336D39"/>
    <w:rsid w:val="003406D6"/>
    <w:rsid w:val="00340767"/>
    <w:rsid w:val="00342642"/>
    <w:rsid w:val="003453A1"/>
    <w:rsid w:val="00351043"/>
    <w:rsid w:val="00352443"/>
    <w:rsid w:val="003537AC"/>
    <w:rsid w:val="003545FF"/>
    <w:rsid w:val="00354760"/>
    <w:rsid w:val="003567C5"/>
    <w:rsid w:val="0035706E"/>
    <w:rsid w:val="003607E2"/>
    <w:rsid w:val="003609E3"/>
    <w:rsid w:val="0036134B"/>
    <w:rsid w:val="00364398"/>
    <w:rsid w:val="00367128"/>
    <w:rsid w:val="003700B7"/>
    <w:rsid w:val="00372DFB"/>
    <w:rsid w:val="00373F49"/>
    <w:rsid w:val="003743EE"/>
    <w:rsid w:val="0037601E"/>
    <w:rsid w:val="00376320"/>
    <w:rsid w:val="00376F72"/>
    <w:rsid w:val="00380C0D"/>
    <w:rsid w:val="00382172"/>
    <w:rsid w:val="003842F8"/>
    <w:rsid w:val="0038492E"/>
    <w:rsid w:val="00395FFD"/>
    <w:rsid w:val="00396093"/>
    <w:rsid w:val="003A1948"/>
    <w:rsid w:val="003A4838"/>
    <w:rsid w:val="003A517A"/>
    <w:rsid w:val="003A567D"/>
    <w:rsid w:val="003A60E9"/>
    <w:rsid w:val="003B00C5"/>
    <w:rsid w:val="003B0BE6"/>
    <w:rsid w:val="003B1C0D"/>
    <w:rsid w:val="003B5532"/>
    <w:rsid w:val="003B6713"/>
    <w:rsid w:val="003C102B"/>
    <w:rsid w:val="003C476C"/>
    <w:rsid w:val="003C624C"/>
    <w:rsid w:val="003C6293"/>
    <w:rsid w:val="003C74BA"/>
    <w:rsid w:val="003D006C"/>
    <w:rsid w:val="003D02C4"/>
    <w:rsid w:val="003D22C0"/>
    <w:rsid w:val="003D25E5"/>
    <w:rsid w:val="003D33EE"/>
    <w:rsid w:val="003D3B90"/>
    <w:rsid w:val="003D5F1E"/>
    <w:rsid w:val="003D67CF"/>
    <w:rsid w:val="003D6F8B"/>
    <w:rsid w:val="003D72C6"/>
    <w:rsid w:val="003E102E"/>
    <w:rsid w:val="003E4A0C"/>
    <w:rsid w:val="003E76AF"/>
    <w:rsid w:val="003F0A5D"/>
    <w:rsid w:val="003F15CA"/>
    <w:rsid w:val="003F4B7D"/>
    <w:rsid w:val="003F63B8"/>
    <w:rsid w:val="003F77FC"/>
    <w:rsid w:val="003F7CBD"/>
    <w:rsid w:val="00402635"/>
    <w:rsid w:val="00402FBD"/>
    <w:rsid w:val="004038F0"/>
    <w:rsid w:val="00404403"/>
    <w:rsid w:val="00404617"/>
    <w:rsid w:val="00406345"/>
    <w:rsid w:val="004066D6"/>
    <w:rsid w:val="00406BFC"/>
    <w:rsid w:val="00407BED"/>
    <w:rsid w:val="004101CB"/>
    <w:rsid w:val="00411AA1"/>
    <w:rsid w:val="0041227E"/>
    <w:rsid w:val="00413D78"/>
    <w:rsid w:val="00414EBB"/>
    <w:rsid w:val="00415853"/>
    <w:rsid w:val="004161B5"/>
    <w:rsid w:val="00416E6B"/>
    <w:rsid w:val="00420271"/>
    <w:rsid w:val="00423DCF"/>
    <w:rsid w:val="00427B4B"/>
    <w:rsid w:val="00430CE8"/>
    <w:rsid w:val="00430DA2"/>
    <w:rsid w:val="00431230"/>
    <w:rsid w:val="00432B7C"/>
    <w:rsid w:val="00433EF0"/>
    <w:rsid w:val="00440B1F"/>
    <w:rsid w:val="00442449"/>
    <w:rsid w:val="00446C85"/>
    <w:rsid w:val="0045050D"/>
    <w:rsid w:val="00451DBE"/>
    <w:rsid w:val="0045219A"/>
    <w:rsid w:val="004532CD"/>
    <w:rsid w:val="0045550B"/>
    <w:rsid w:val="00457855"/>
    <w:rsid w:val="00460F33"/>
    <w:rsid w:val="004610D6"/>
    <w:rsid w:val="004615EC"/>
    <w:rsid w:val="00462DFC"/>
    <w:rsid w:val="00463276"/>
    <w:rsid w:val="004720E9"/>
    <w:rsid w:val="00473DEF"/>
    <w:rsid w:val="00474261"/>
    <w:rsid w:val="004805D5"/>
    <w:rsid w:val="00480A3B"/>
    <w:rsid w:val="00482982"/>
    <w:rsid w:val="00482B78"/>
    <w:rsid w:val="00485BA3"/>
    <w:rsid w:val="004872EF"/>
    <w:rsid w:val="00487F02"/>
    <w:rsid w:val="004901DF"/>
    <w:rsid w:val="00490F04"/>
    <w:rsid w:val="0049148D"/>
    <w:rsid w:val="00491ECA"/>
    <w:rsid w:val="00492B3B"/>
    <w:rsid w:val="00493E59"/>
    <w:rsid w:val="004A2884"/>
    <w:rsid w:val="004A309B"/>
    <w:rsid w:val="004A4416"/>
    <w:rsid w:val="004A7901"/>
    <w:rsid w:val="004A7CB9"/>
    <w:rsid w:val="004B05A4"/>
    <w:rsid w:val="004B19C4"/>
    <w:rsid w:val="004B5CDB"/>
    <w:rsid w:val="004C0FF4"/>
    <w:rsid w:val="004C243F"/>
    <w:rsid w:val="004C2BA1"/>
    <w:rsid w:val="004C5AEB"/>
    <w:rsid w:val="004C6EDE"/>
    <w:rsid w:val="004C740B"/>
    <w:rsid w:val="004D37E6"/>
    <w:rsid w:val="004D4A78"/>
    <w:rsid w:val="004D5D73"/>
    <w:rsid w:val="004D6242"/>
    <w:rsid w:val="004E0C43"/>
    <w:rsid w:val="004E2BD1"/>
    <w:rsid w:val="004E2DC5"/>
    <w:rsid w:val="004E468E"/>
    <w:rsid w:val="004E72A8"/>
    <w:rsid w:val="004F3C85"/>
    <w:rsid w:val="004F4A0D"/>
    <w:rsid w:val="004F77F8"/>
    <w:rsid w:val="005031D7"/>
    <w:rsid w:val="0050438F"/>
    <w:rsid w:val="00506762"/>
    <w:rsid w:val="00510237"/>
    <w:rsid w:val="005105FC"/>
    <w:rsid w:val="00510E82"/>
    <w:rsid w:val="00513934"/>
    <w:rsid w:val="00514B69"/>
    <w:rsid w:val="00516653"/>
    <w:rsid w:val="00517EA9"/>
    <w:rsid w:val="00520463"/>
    <w:rsid w:val="00520948"/>
    <w:rsid w:val="00521EB9"/>
    <w:rsid w:val="00521F0A"/>
    <w:rsid w:val="00522135"/>
    <w:rsid w:val="0052539B"/>
    <w:rsid w:val="00526D6A"/>
    <w:rsid w:val="00526E3D"/>
    <w:rsid w:val="00527738"/>
    <w:rsid w:val="00531F97"/>
    <w:rsid w:val="005324C4"/>
    <w:rsid w:val="005333C9"/>
    <w:rsid w:val="00537D21"/>
    <w:rsid w:val="00541E9F"/>
    <w:rsid w:val="005442A1"/>
    <w:rsid w:val="005458D1"/>
    <w:rsid w:val="00546933"/>
    <w:rsid w:val="00546BC8"/>
    <w:rsid w:val="005543A7"/>
    <w:rsid w:val="00561C1C"/>
    <w:rsid w:val="00563BD1"/>
    <w:rsid w:val="00564A51"/>
    <w:rsid w:val="00564DC4"/>
    <w:rsid w:val="00565901"/>
    <w:rsid w:val="00566792"/>
    <w:rsid w:val="00570028"/>
    <w:rsid w:val="00570234"/>
    <w:rsid w:val="00573F33"/>
    <w:rsid w:val="00574DD9"/>
    <w:rsid w:val="00574EC2"/>
    <w:rsid w:val="0057695C"/>
    <w:rsid w:val="00582D9A"/>
    <w:rsid w:val="0058454E"/>
    <w:rsid w:val="00584C4A"/>
    <w:rsid w:val="005853FA"/>
    <w:rsid w:val="00592606"/>
    <w:rsid w:val="00595831"/>
    <w:rsid w:val="005958C2"/>
    <w:rsid w:val="00596966"/>
    <w:rsid w:val="00597A58"/>
    <w:rsid w:val="005A0922"/>
    <w:rsid w:val="005A13EB"/>
    <w:rsid w:val="005A4414"/>
    <w:rsid w:val="005A5644"/>
    <w:rsid w:val="005A59C3"/>
    <w:rsid w:val="005A5ED9"/>
    <w:rsid w:val="005B0B0D"/>
    <w:rsid w:val="005B15C3"/>
    <w:rsid w:val="005B436E"/>
    <w:rsid w:val="005B79DF"/>
    <w:rsid w:val="005B7FDF"/>
    <w:rsid w:val="005C362A"/>
    <w:rsid w:val="005C3D27"/>
    <w:rsid w:val="005C4835"/>
    <w:rsid w:val="005C4D3C"/>
    <w:rsid w:val="005C5E5B"/>
    <w:rsid w:val="005C7ED3"/>
    <w:rsid w:val="005D003D"/>
    <w:rsid w:val="005D1F94"/>
    <w:rsid w:val="005D294D"/>
    <w:rsid w:val="005D29B7"/>
    <w:rsid w:val="005D407A"/>
    <w:rsid w:val="005D4D2E"/>
    <w:rsid w:val="005E0ED5"/>
    <w:rsid w:val="005E162C"/>
    <w:rsid w:val="005E2BED"/>
    <w:rsid w:val="005E60C7"/>
    <w:rsid w:val="005E6B91"/>
    <w:rsid w:val="005F2449"/>
    <w:rsid w:val="005F2578"/>
    <w:rsid w:val="005F287B"/>
    <w:rsid w:val="005F45E2"/>
    <w:rsid w:val="005F72F1"/>
    <w:rsid w:val="0060067D"/>
    <w:rsid w:val="00601701"/>
    <w:rsid w:val="006024AA"/>
    <w:rsid w:val="00602F41"/>
    <w:rsid w:val="00603CA8"/>
    <w:rsid w:val="00606B93"/>
    <w:rsid w:val="00610E70"/>
    <w:rsid w:val="00613D74"/>
    <w:rsid w:val="00613E1A"/>
    <w:rsid w:val="00614643"/>
    <w:rsid w:val="006215A6"/>
    <w:rsid w:val="006217F4"/>
    <w:rsid w:val="006226ED"/>
    <w:rsid w:val="00622C3D"/>
    <w:rsid w:val="00622D13"/>
    <w:rsid w:val="00622E02"/>
    <w:rsid w:val="006253FD"/>
    <w:rsid w:val="006272E5"/>
    <w:rsid w:val="00630FBB"/>
    <w:rsid w:val="00631210"/>
    <w:rsid w:val="00632441"/>
    <w:rsid w:val="00634C7B"/>
    <w:rsid w:val="00635EC7"/>
    <w:rsid w:val="00637C6F"/>
    <w:rsid w:val="0064187E"/>
    <w:rsid w:val="00643CE7"/>
    <w:rsid w:val="0064635E"/>
    <w:rsid w:val="006549CC"/>
    <w:rsid w:val="00654CA6"/>
    <w:rsid w:val="0065758E"/>
    <w:rsid w:val="00661251"/>
    <w:rsid w:val="006643FE"/>
    <w:rsid w:val="00665D3A"/>
    <w:rsid w:val="006660B0"/>
    <w:rsid w:val="00667533"/>
    <w:rsid w:val="0067434C"/>
    <w:rsid w:val="006752AA"/>
    <w:rsid w:val="00675747"/>
    <w:rsid w:val="00676378"/>
    <w:rsid w:val="00676CF4"/>
    <w:rsid w:val="006805C0"/>
    <w:rsid w:val="006814FE"/>
    <w:rsid w:val="006828D4"/>
    <w:rsid w:val="006837E3"/>
    <w:rsid w:val="0068648C"/>
    <w:rsid w:val="0068677E"/>
    <w:rsid w:val="00686CF3"/>
    <w:rsid w:val="00691012"/>
    <w:rsid w:val="00691D0D"/>
    <w:rsid w:val="00691E93"/>
    <w:rsid w:val="00691FAB"/>
    <w:rsid w:val="00693BAA"/>
    <w:rsid w:val="006948C7"/>
    <w:rsid w:val="006A0751"/>
    <w:rsid w:val="006A0CC6"/>
    <w:rsid w:val="006A0CE6"/>
    <w:rsid w:val="006A0F12"/>
    <w:rsid w:val="006A2EE3"/>
    <w:rsid w:val="006A3808"/>
    <w:rsid w:val="006A39EC"/>
    <w:rsid w:val="006B054B"/>
    <w:rsid w:val="006B0710"/>
    <w:rsid w:val="006B1BBD"/>
    <w:rsid w:val="006B2067"/>
    <w:rsid w:val="006B3397"/>
    <w:rsid w:val="006B553B"/>
    <w:rsid w:val="006B6F6E"/>
    <w:rsid w:val="006B73BF"/>
    <w:rsid w:val="006C21ED"/>
    <w:rsid w:val="006C2E2B"/>
    <w:rsid w:val="006C3A70"/>
    <w:rsid w:val="006C3AE1"/>
    <w:rsid w:val="006C44B0"/>
    <w:rsid w:val="006C5ADA"/>
    <w:rsid w:val="006C7202"/>
    <w:rsid w:val="006C74BA"/>
    <w:rsid w:val="006D28D2"/>
    <w:rsid w:val="006D2B38"/>
    <w:rsid w:val="006D67BA"/>
    <w:rsid w:val="006E103A"/>
    <w:rsid w:val="006E1889"/>
    <w:rsid w:val="006E4254"/>
    <w:rsid w:val="006E5334"/>
    <w:rsid w:val="006E5C91"/>
    <w:rsid w:val="006E6A84"/>
    <w:rsid w:val="006E7AD7"/>
    <w:rsid w:val="006F2C38"/>
    <w:rsid w:val="006F32FA"/>
    <w:rsid w:val="006F3DBF"/>
    <w:rsid w:val="006F5219"/>
    <w:rsid w:val="006F6040"/>
    <w:rsid w:val="006F7F9E"/>
    <w:rsid w:val="00701454"/>
    <w:rsid w:val="00704887"/>
    <w:rsid w:val="00705F78"/>
    <w:rsid w:val="00707733"/>
    <w:rsid w:val="00710DE8"/>
    <w:rsid w:val="00712B61"/>
    <w:rsid w:val="0071347C"/>
    <w:rsid w:val="00715FE3"/>
    <w:rsid w:val="00717FD8"/>
    <w:rsid w:val="00720138"/>
    <w:rsid w:val="007307DF"/>
    <w:rsid w:val="0073277C"/>
    <w:rsid w:val="00732E13"/>
    <w:rsid w:val="0073380A"/>
    <w:rsid w:val="007339D8"/>
    <w:rsid w:val="0073468F"/>
    <w:rsid w:val="00735C57"/>
    <w:rsid w:val="007508A0"/>
    <w:rsid w:val="00750B07"/>
    <w:rsid w:val="00751347"/>
    <w:rsid w:val="007516BD"/>
    <w:rsid w:val="00755734"/>
    <w:rsid w:val="0075696D"/>
    <w:rsid w:val="00756CBF"/>
    <w:rsid w:val="00757C1C"/>
    <w:rsid w:val="00760555"/>
    <w:rsid w:val="007652C0"/>
    <w:rsid w:val="00765F75"/>
    <w:rsid w:val="00767D5A"/>
    <w:rsid w:val="007716E8"/>
    <w:rsid w:val="00771BD7"/>
    <w:rsid w:val="00772E8F"/>
    <w:rsid w:val="00773AD4"/>
    <w:rsid w:val="00773D6B"/>
    <w:rsid w:val="0077651D"/>
    <w:rsid w:val="00780AE4"/>
    <w:rsid w:val="007845E0"/>
    <w:rsid w:val="007860E0"/>
    <w:rsid w:val="007861A5"/>
    <w:rsid w:val="0078624A"/>
    <w:rsid w:val="00787625"/>
    <w:rsid w:val="00787F92"/>
    <w:rsid w:val="00795AD8"/>
    <w:rsid w:val="00796B53"/>
    <w:rsid w:val="00796F49"/>
    <w:rsid w:val="007976F5"/>
    <w:rsid w:val="00797879"/>
    <w:rsid w:val="007A2FD2"/>
    <w:rsid w:val="007A3337"/>
    <w:rsid w:val="007A4E28"/>
    <w:rsid w:val="007A5042"/>
    <w:rsid w:val="007A672F"/>
    <w:rsid w:val="007B2B7C"/>
    <w:rsid w:val="007B5E38"/>
    <w:rsid w:val="007B6C9C"/>
    <w:rsid w:val="007B6E85"/>
    <w:rsid w:val="007C0692"/>
    <w:rsid w:val="007C089A"/>
    <w:rsid w:val="007C1DD2"/>
    <w:rsid w:val="007C3151"/>
    <w:rsid w:val="007C48F6"/>
    <w:rsid w:val="007C4928"/>
    <w:rsid w:val="007C6075"/>
    <w:rsid w:val="007D207A"/>
    <w:rsid w:val="007D57FA"/>
    <w:rsid w:val="007D67DA"/>
    <w:rsid w:val="007E0177"/>
    <w:rsid w:val="007E1A62"/>
    <w:rsid w:val="007E2ACE"/>
    <w:rsid w:val="007E307A"/>
    <w:rsid w:val="007E47F4"/>
    <w:rsid w:val="007E48B1"/>
    <w:rsid w:val="007E6BE8"/>
    <w:rsid w:val="007F0B26"/>
    <w:rsid w:val="007F1421"/>
    <w:rsid w:val="007F2D36"/>
    <w:rsid w:val="007F432C"/>
    <w:rsid w:val="007F5350"/>
    <w:rsid w:val="007F555D"/>
    <w:rsid w:val="00801120"/>
    <w:rsid w:val="00801DED"/>
    <w:rsid w:val="00803047"/>
    <w:rsid w:val="00805E72"/>
    <w:rsid w:val="0080782F"/>
    <w:rsid w:val="008106BF"/>
    <w:rsid w:val="0081235E"/>
    <w:rsid w:val="008124EF"/>
    <w:rsid w:val="00816B14"/>
    <w:rsid w:val="00817A5B"/>
    <w:rsid w:val="00817B1A"/>
    <w:rsid w:val="00817F8E"/>
    <w:rsid w:val="008210AF"/>
    <w:rsid w:val="00825F43"/>
    <w:rsid w:val="008270D0"/>
    <w:rsid w:val="00830BE2"/>
    <w:rsid w:val="00832A3E"/>
    <w:rsid w:val="00834B14"/>
    <w:rsid w:val="008350C0"/>
    <w:rsid w:val="00835645"/>
    <w:rsid w:val="00836AD4"/>
    <w:rsid w:val="008424BC"/>
    <w:rsid w:val="008430FC"/>
    <w:rsid w:val="00845EAF"/>
    <w:rsid w:val="00846141"/>
    <w:rsid w:val="008466E8"/>
    <w:rsid w:val="00846885"/>
    <w:rsid w:val="00847282"/>
    <w:rsid w:val="00847545"/>
    <w:rsid w:val="00850BA4"/>
    <w:rsid w:val="00850BFC"/>
    <w:rsid w:val="008539CF"/>
    <w:rsid w:val="00854CD6"/>
    <w:rsid w:val="00857B87"/>
    <w:rsid w:val="00860585"/>
    <w:rsid w:val="00861FFE"/>
    <w:rsid w:val="008644DB"/>
    <w:rsid w:val="00865952"/>
    <w:rsid w:val="00870C08"/>
    <w:rsid w:val="00871E1A"/>
    <w:rsid w:val="00874494"/>
    <w:rsid w:val="008746AC"/>
    <w:rsid w:val="008754AA"/>
    <w:rsid w:val="00877EA3"/>
    <w:rsid w:val="00881394"/>
    <w:rsid w:val="00881DFD"/>
    <w:rsid w:val="008820EA"/>
    <w:rsid w:val="00882641"/>
    <w:rsid w:val="008848DF"/>
    <w:rsid w:val="00885D14"/>
    <w:rsid w:val="00885EB5"/>
    <w:rsid w:val="00886F44"/>
    <w:rsid w:val="00892A33"/>
    <w:rsid w:val="00892DA1"/>
    <w:rsid w:val="008936FE"/>
    <w:rsid w:val="00895DF6"/>
    <w:rsid w:val="00897FBB"/>
    <w:rsid w:val="008A1CC4"/>
    <w:rsid w:val="008A5B28"/>
    <w:rsid w:val="008A63F7"/>
    <w:rsid w:val="008A66AB"/>
    <w:rsid w:val="008A6B95"/>
    <w:rsid w:val="008A7000"/>
    <w:rsid w:val="008A75BF"/>
    <w:rsid w:val="008A7828"/>
    <w:rsid w:val="008B0235"/>
    <w:rsid w:val="008B0494"/>
    <w:rsid w:val="008B2E17"/>
    <w:rsid w:val="008B38AC"/>
    <w:rsid w:val="008B3AF5"/>
    <w:rsid w:val="008B4E04"/>
    <w:rsid w:val="008B60E5"/>
    <w:rsid w:val="008B625A"/>
    <w:rsid w:val="008B7D27"/>
    <w:rsid w:val="008C095A"/>
    <w:rsid w:val="008C24CD"/>
    <w:rsid w:val="008C50A9"/>
    <w:rsid w:val="008C663C"/>
    <w:rsid w:val="008C6D90"/>
    <w:rsid w:val="008C70EF"/>
    <w:rsid w:val="008C7928"/>
    <w:rsid w:val="008C7A09"/>
    <w:rsid w:val="008D16AC"/>
    <w:rsid w:val="008D1A09"/>
    <w:rsid w:val="008D3E7B"/>
    <w:rsid w:val="008D613B"/>
    <w:rsid w:val="008E0CC3"/>
    <w:rsid w:val="008E1DF3"/>
    <w:rsid w:val="008F1EBD"/>
    <w:rsid w:val="00904670"/>
    <w:rsid w:val="00907FC7"/>
    <w:rsid w:val="009119AC"/>
    <w:rsid w:val="00911FF3"/>
    <w:rsid w:val="009128B7"/>
    <w:rsid w:val="0091602B"/>
    <w:rsid w:val="00917D41"/>
    <w:rsid w:val="0092026C"/>
    <w:rsid w:val="00920C1B"/>
    <w:rsid w:val="00921289"/>
    <w:rsid w:val="00927AFF"/>
    <w:rsid w:val="009315F0"/>
    <w:rsid w:val="009332FF"/>
    <w:rsid w:val="009375F9"/>
    <w:rsid w:val="00937D00"/>
    <w:rsid w:val="00937D61"/>
    <w:rsid w:val="00937DC1"/>
    <w:rsid w:val="00941639"/>
    <w:rsid w:val="00941CDB"/>
    <w:rsid w:val="00941D2F"/>
    <w:rsid w:val="00945D5D"/>
    <w:rsid w:val="00946D36"/>
    <w:rsid w:val="00946F9C"/>
    <w:rsid w:val="00950AC7"/>
    <w:rsid w:val="00952EAE"/>
    <w:rsid w:val="00953FF7"/>
    <w:rsid w:val="00954394"/>
    <w:rsid w:val="00956723"/>
    <w:rsid w:val="00956921"/>
    <w:rsid w:val="00957DDE"/>
    <w:rsid w:val="0096102F"/>
    <w:rsid w:val="00962DEC"/>
    <w:rsid w:val="009634C9"/>
    <w:rsid w:val="009702E0"/>
    <w:rsid w:val="00972FFA"/>
    <w:rsid w:val="00981D39"/>
    <w:rsid w:val="00983681"/>
    <w:rsid w:val="00992037"/>
    <w:rsid w:val="00992FE2"/>
    <w:rsid w:val="00993959"/>
    <w:rsid w:val="009977C3"/>
    <w:rsid w:val="009A1091"/>
    <w:rsid w:val="009A41CE"/>
    <w:rsid w:val="009A62AF"/>
    <w:rsid w:val="009A65CA"/>
    <w:rsid w:val="009A6602"/>
    <w:rsid w:val="009B3AE7"/>
    <w:rsid w:val="009B4A2B"/>
    <w:rsid w:val="009B5E2E"/>
    <w:rsid w:val="009B636B"/>
    <w:rsid w:val="009B6B8A"/>
    <w:rsid w:val="009B7D69"/>
    <w:rsid w:val="009C10E2"/>
    <w:rsid w:val="009C158C"/>
    <w:rsid w:val="009C4E35"/>
    <w:rsid w:val="009C4E49"/>
    <w:rsid w:val="009C52F2"/>
    <w:rsid w:val="009D02BB"/>
    <w:rsid w:val="009D2204"/>
    <w:rsid w:val="009D36BA"/>
    <w:rsid w:val="009D5AA0"/>
    <w:rsid w:val="009D5DED"/>
    <w:rsid w:val="009E1BDB"/>
    <w:rsid w:val="009E338F"/>
    <w:rsid w:val="009E3910"/>
    <w:rsid w:val="009E3F4B"/>
    <w:rsid w:val="009E4032"/>
    <w:rsid w:val="009E60D0"/>
    <w:rsid w:val="009E627A"/>
    <w:rsid w:val="009F3072"/>
    <w:rsid w:val="009F36A8"/>
    <w:rsid w:val="00A014E3"/>
    <w:rsid w:val="00A029CB"/>
    <w:rsid w:val="00A038AF"/>
    <w:rsid w:val="00A039E1"/>
    <w:rsid w:val="00A050D0"/>
    <w:rsid w:val="00A0589D"/>
    <w:rsid w:val="00A05DF6"/>
    <w:rsid w:val="00A06670"/>
    <w:rsid w:val="00A07D21"/>
    <w:rsid w:val="00A100E5"/>
    <w:rsid w:val="00A1029A"/>
    <w:rsid w:val="00A146C2"/>
    <w:rsid w:val="00A1629D"/>
    <w:rsid w:val="00A21911"/>
    <w:rsid w:val="00A21F8A"/>
    <w:rsid w:val="00A22164"/>
    <w:rsid w:val="00A2492E"/>
    <w:rsid w:val="00A259F2"/>
    <w:rsid w:val="00A26006"/>
    <w:rsid w:val="00A26AA6"/>
    <w:rsid w:val="00A26CEF"/>
    <w:rsid w:val="00A307CD"/>
    <w:rsid w:val="00A319EA"/>
    <w:rsid w:val="00A3619C"/>
    <w:rsid w:val="00A362CC"/>
    <w:rsid w:val="00A41FF9"/>
    <w:rsid w:val="00A422F4"/>
    <w:rsid w:val="00A433E2"/>
    <w:rsid w:val="00A43D56"/>
    <w:rsid w:val="00A46194"/>
    <w:rsid w:val="00A47803"/>
    <w:rsid w:val="00A51127"/>
    <w:rsid w:val="00A5116B"/>
    <w:rsid w:val="00A52E9F"/>
    <w:rsid w:val="00A544CB"/>
    <w:rsid w:val="00A566E3"/>
    <w:rsid w:val="00A56E6A"/>
    <w:rsid w:val="00A5704B"/>
    <w:rsid w:val="00A5707F"/>
    <w:rsid w:val="00A5729C"/>
    <w:rsid w:val="00A5784C"/>
    <w:rsid w:val="00A603DF"/>
    <w:rsid w:val="00A6107E"/>
    <w:rsid w:val="00A61DD3"/>
    <w:rsid w:val="00A6349F"/>
    <w:rsid w:val="00A6565B"/>
    <w:rsid w:val="00A660FB"/>
    <w:rsid w:val="00A72723"/>
    <w:rsid w:val="00A740BB"/>
    <w:rsid w:val="00A745D6"/>
    <w:rsid w:val="00A801BF"/>
    <w:rsid w:val="00A80AF1"/>
    <w:rsid w:val="00A81B8E"/>
    <w:rsid w:val="00A82C39"/>
    <w:rsid w:val="00A8434A"/>
    <w:rsid w:val="00A90947"/>
    <w:rsid w:val="00A93D32"/>
    <w:rsid w:val="00A950AB"/>
    <w:rsid w:val="00A9550B"/>
    <w:rsid w:val="00A95E57"/>
    <w:rsid w:val="00A96B82"/>
    <w:rsid w:val="00AA1EAD"/>
    <w:rsid w:val="00AA23F3"/>
    <w:rsid w:val="00AA3461"/>
    <w:rsid w:val="00AA502B"/>
    <w:rsid w:val="00AA51EE"/>
    <w:rsid w:val="00AA6188"/>
    <w:rsid w:val="00AA66EA"/>
    <w:rsid w:val="00AA70A0"/>
    <w:rsid w:val="00AA75F4"/>
    <w:rsid w:val="00AB121F"/>
    <w:rsid w:val="00AB2AF8"/>
    <w:rsid w:val="00AB41CB"/>
    <w:rsid w:val="00AB494D"/>
    <w:rsid w:val="00AB4C22"/>
    <w:rsid w:val="00AB790A"/>
    <w:rsid w:val="00AB7912"/>
    <w:rsid w:val="00AC217B"/>
    <w:rsid w:val="00AC305B"/>
    <w:rsid w:val="00AC754C"/>
    <w:rsid w:val="00AC75A3"/>
    <w:rsid w:val="00AC7689"/>
    <w:rsid w:val="00AD1E69"/>
    <w:rsid w:val="00AD25AC"/>
    <w:rsid w:val="00AD336C"/>
    <w:rsid w:val="00AD4D33"/>
    <w:rsid w:val="00AD5268"/>
    <w:rsid w:val="00AD5B05"/>
    <w:rsid w:val="00AD5C77"/>
    <w:rsid w:val="00AD5E6E"/>
    <w:rsid w:val="00AD6037"/>
    <w:rsid w:val="00AD6171"/>
    <w:rsid w:val="00AD76B6"/>
    <w:rsid w:val="00AE1A77"/>
    <w:rsid w:val="00AE1BB2"/>
    <w:rsid w:val="00AE2C4B"/>
    <w:rsid w:val="00AE3850"/>
    <w:rsid w:val="00AE3A07"/>
    <w:rsid w:val="00AE3EAD"/>
    <w:rsid w:val="00AE47F8"/>
    <w:rsid w:val="00AE52D3"/>
    <w:rsid w:val="00AE6D87"/>
    <w:rsid w:val="00AF2F79"/>
    <w:rsid w:val="00AF53BE"/>
    <w:rsid w:val="00AF7B1A"/>
    <w:rsid w:val="00B00DDF"/>
    <w:rsid w:val="00B01851"/>
    <w:rsid w:val="00B04231"/>
    <w:rsid w:val="00B04D89"/>
    <w:rsid w:val="00B0763B"/>
    <w:rsid w:val="00B1131D"/>
    <w:rsid w:val="00B1259E"/>
    <w:rsid w:val="00B12F6D"/>
    <w:rsid w:val="00B133DD"/>
    <w:rsid w:val="00B14C02"/>
    <w:rsid w:val="00B15674"/>
    <w:rsid w:val="00B166F7"/>
    <w:rsid w:val="00B1701B"/>
    <w:rsid w:val="00B2008F"/>
    <w:rsid w:val="00B2079D"/>
    <w:rsid w:val="00B2283F"/>
    <w:rsid w:val="00B2726C"/>
    <w:rsid w:val="00B33DC7"/>
    <w:rsid w:val="00B34A70"/>
    <w:rsid w:val="00B35E4A"/>
    <w:rsid w:val="00B368A0"/>
    <w:rsid w:val="00B36FBA"/>
    <w:rsid w:val="00B406E6"/>
    <w:rsid w:val="00B45749"/>
    <w:rsid w:val="00B457CA"/>
    <w:rsid w:val="00B45869"/>
    <w:rsid w:val="00B45CAD"/>
    <w:rsid w:val="00B4604E"/>
    <w:rsid w:val="00B47B52"/>
    <w:rsid w:val="00B523CC"/>
    <w:rsid w:val="00B60B6E"/>
    <w:rsid w:val="00B61105"/>
    <w:rsid w:val="00B6378E"/>
    <w:rsid w:val="00B66B36"/>
    <w:rsid w:val="00B66C20"/>
    <w:rsid w:val="00B67B81"/>
    <w:rsid w:val="00B701DB"/>
    <w:rsid w:val="00B705C0"/>
    <w:rsid w:val="00B70BC4"/>
    <w:rsid w:val="00B712F5"/>
    <w:rsid w:val="00B72AA6"/>
    <w:rsid w:val="00B73A4B"/>
    <w:rsid w:val="00B758AF"/>
    <w:rsid w:val="00B81C7B"/>
    <w:rsid w:val="00B86764"/>
    <w:rsid w:val="00B872FE"/>
    <w:rsid w:val="00B87FB0"/>
    <w:rsid w:val="00B90C85"/>
    <w:rsid w:val="00B920C6"/>
    <w:rsid w:val="00BA155E"/>
    <w:rsid w:val="00BA19EF"/>
    <w:rsid w:val="00BA1B6C"/>
    <w:rsid w:val="00BA1C76"/>
    <w:rsid w:val="00BA1D4E"/>
    <w:rsid w:val="00BA26ED"/>
    <w:rsid w:val="00BA2DB9"/>
    <w:rsid w:val="00BA5062"/>
    <w:rsid w:val="00BA6ADE"/>
    <w:rsid w:val="00BA7A50"/>
    <w:rsid w:val="00BB3039"/>
    <w:rsid w:val="00BB3175"/>
    <w:rsid w:val="00BB3821"/>
    <w:rsid w:val="00BB60F7"/>
    <w:rsid w:val="00BB66C2"/>
    <w:rsid w:val="00BB7D45"/>
    <w:rsid w:val="00BC3952"/>
    <w:rsid w:val="00BD3C47"/>
    <w:rsid w:val="00BD4EAF"/>
    <w:rsid w:val="00BD5B15"/>
    <w:rsid w:val="00BD73C1"/>
    <w:rsid w:val="00BE1D9D"/>
    <w:rsid w:val="00BE3BE3"/>
    <w:rsid w:val="00BE76AE"/>
    <w:rsid w:val="00BE7F99"/>
    <w:rsid w:val="00BF0DAC"/>
    <w:rsid w:val="00BF192D"/>
    <w:rsid w:val="00BF338D"/>
    <w:rsid w:val="00C00C5F"/>
    <w:rsid w:val="00C05DA9"/>
    <w:rsid w:val="00C06BE4"/>
    <w:rsid w:val="00C1150B"/>
    <w:rsid w:val="00C11C61"/>
    <w:rsid w:val="00C12EDD"/>
    <w:rsid w:val="00C13ED7"/>
    <w:rsid w:val="00C1427B"/>
    <w:rsid w:val="00C156DD"/>
    <w:rsid w:val="00C157B5"/>
    <w:rsid w:val="00C203B1"/>
    <w:rsid w:val="00C22337"/>
    <w:rsid w:val="00C23968"/>
    <w:rsid w:val="00C243F4"/>
    <w:rsid w:val="00C24835"/>
    <w:rsid w:val="00C248E3"/>
    <w:rsid w:val="00C24B57"/>
    <w:rsid w:val="00C30519"/>
    <w:rsid w:val="00C3261B"/>
    <w:rsid w:val="00C32E6B"/>
    <w:rsid w:val="00C33BE0"/>
    <w:rsid w:val="00C36700"/>
    <w:rsid w:val="00C37C80"/>
    <w:rsid w:val="00C41942"/>
    <w:rsid w:val="00C42722"/>
    <w:rsid w:val="00C44E52"/>
    <w:rsid w:val="00C472EB"/>
    <w:rsid w:val="00C51FB7"/>
    <w:rsid w:val="00C53B35"/>
    <w:rsid w:val="00C53D3F"/>
    <w:rsid w:val="00C54318"/>
    <w:rsid w:val="00C544C9"/>
    <w:rsid w:val="00C612CA"/>
    <w:rsid w:val="00C6698F"/>
    <w:rsid w:val="00C7031A"/>
    <w:rsid w:val="00C728F7"/>
    <w:rsid w:val="00C72FB8"/>
    <w:rsid w:val="00C73DC6"/>
    <w:rsid w:val="00C747B4"/>
    <w:rsid w:val="00C7632E"/>
    <w:rsid w:val="00C80E04"/>
    <w:rsid w:val="00C81562"/>
    <w:rsid w:val="00C8508D"/>
    <w:rsid w:val="00C86C6D"/>
    <w:rsid w:val="00C86EE9"/>
    <w:rsid w:val="00C92ED2"/>
    <w:rsid w:val="00C95D0D"/>
    <w:rsid w:val="00C96596"/>
    <w:rsid w:val="00C96877"/>
    <w:rsid w:val="00CA08A0"/>
    <w:rsid w:val="00CA2E3C"/>
    <w:rsid w:val="00CA5A17"/>
    <w:rsid w:val="00CA5EE3"/>
    <w:rsid w:val="00CA62BD"/>
    <w:rsid w:val="00CB0082"/>
    <w:rsid w:val="00CB0C2C"/>
    <w:rsid w:val="00CB15EC"/>
    <w:rsid w:val="00CB30C0"/>
    <w:rsid w:val="00CB35E3"/>
    <w:rsid w:val="00CB3AE6"/>
    <w:rsid w:val="00CB42E1"/>
    <w:rsid w:val="00CB5407"/>
    <w:rsid w:val="00CC0538"/>
    <w:rsid w:val="00CC1BF5"/>
    <w:rsid w:val="00CC6D2E"/>
    <w:rsid w:val="00CC7211"/>
    <w:rsid w:val="00CD2E8A"/>
    <w:rsid w:val="00CD39F0"/>
    <w:rsid w:val="00CD4809"/>
    <w:rsid w:val="00CD5492"/>
    <w:rsid w:val="00CD5B8D"/>
    <w:rsid w:val="00CD607D"/>
    <w:rsid w:val="00CD7D1A"/>
    <w:rsid w:val="00CE140B"/>
    <w:rsid w:val="00CE28EE"/>
    <w:rsid w:val="00CE5855"/>
    <w:rsid w:val="00CE624E"/>
    <w:rsid w:val="00CE653E"/>
    <w:rsid w:val="00CF08DB"/>
    <w:rsid w:val="00CF19E0"/>
    <w:rsid w:val="00CF391D"/>
    <w:rsid w:val="00CF5C49"/>
    <w:rsid w:val="00CF6021"/>
    <w:rsid w:val="00D012F5"/>
    <w:rsid w:val="00D01C3E"/>
    <w:rsid w:val="00D043B1"/>
    <w:rsid w:val="00D04990"/>
    <w:rsid w:val="00D11DEF"/>
    <w:rsid w:val="00D1521B"/>
    <w:rsid w:val="00D22551"/>
    <w:rsid w:val="00D22738"/>
    <w:rsid w:val="00D2557F"/>
    <w:rsid w:val="00D27800"/>
    <w:rsid w:val="00D27E66"/>
    <w:rsid w:val="00D30742"/>
    <w:rsid w:val="00D312EC"/>
    <w:rsid w:val="00D32195"/>
    <w:rsid w:val="00D32764"/>
    <w:rsid w:val="00D32B01"/>
    <w:rsid w:val="00D33485"/>
    <w:rsid w:val="00D40133"/>
    <w:rsid w:val="00D40CAB"/>
    <w:rsid w:val="00D438F1"/>
    <w:rsid w:val="00D4622E"/>
    <w:rsid w:val="00D4760C"/>
    <w:rsid w:val="00D47E05"/>
    <w:rsid w:val="00D514BA"/>
    <w:rsid w:val="00D52333"/>
    <w:rsid w:val="00D5256A"/>
    <w:rsid w:val="00D52957"/>
    <w:rsid w:val="00D52A86"/>
    <w:rsid w:val="00D52D46"/>
    <w:rsid w:val="00D56672"/>
    <w:rsid w:val="00D607CA"/>
    <w:rsid w:val="00D62AB0"/>
    <w:rsid w:val="00D70380"/>
    <w:rsid w:val="00D76409"/>
    <w:rsid w:val="00D76994"/>
    <w:rsid w:val="00D77D6D"/>
    <w:rsid w:val="00D80D8D"/>
    <w:rsid w:val="00D81911"/>
    <w:rsid w:val="00D8414F"/>
    <w:rsid w:val="00D874C3"/>
    <w:rsid w:val="00D9089E"/>
    <w:rsid w:val="00D91884"/>
    <w:rsid w:val="00D93075"/>
    <w:rsid w:val="00D93CEE"/>
    <w:rsid w:val="00D975FA"/>
    <w:rsid w:val="00DA0907"/>
    <w:rsid w:val="00DA0D53"/>
    <w:rsid w:val="00DA196A"/>
    <w:rsid w:val="00DA23EC"/>
    <w:rsid w:val="00DA31B2"/>
    <w:rsid w:val="00DA4A5E"/>
    <w:rsid w:val="00DA507C"/>
    <w:rsid w:val="00DA63C5"/>
    <w:rsid w:val="00DA728B"/>
    <w:rsid w:val="00DB0B81"/>
    <w:rsid w:val="00DB151E"/>
    <w:rsid w:val="00DB4BCC"/>
    <w:rsid w:val="00DB5E1A"/>
    <w:rsid w:val="00DB6FB2"/>
    <w:rsid w:val="00DB72B7"/>
    <w:rsid w:val="00DC04D2"/>
    <w:rsid w:val="00DC095E"/>
    <w:rsid w:val="00DC464F"/>
    <w:rsid w:val="00DC684B"/>
    <w:rsid w:val="00DD0984"/>
    <w:rsid w:val="00DD14CD"/>
    <w:rsid w:val="00DD1769"/>
    <w:rsid w:val="00DD3D6F"/>
    <w:rsid w:val="00DD50BD"/>
    <w:rsid w:val="00DD50D8"/>
    <w:rsid w:val="00DD52F8"/>
    <w:rsid w:val="00DD5A96"/>
    <w:rsid w:val="00DE048B"/>
    <w:rsid w:val="00DE15B5"/>
    <w:rsid w:val="00DE209C"/>
    <w:rsid w:val="00DE38AE"/>
    <w:rsid w:val="00DE3CE8"/>
    <w:rsid w:val="00DE5538"/>
    <w:rsid w:val="00DE5695"/>
    <w:rsid w:val="00DE5ED9"/>
    <w:rsid w:val="00DF06D9"/>
    <w:rsid w:val="00DF15DD"/>
    <w:rsid w:val="00DF1E81"/>
    <w:rsid w:val="00DF320A"/>
    <w:rsid w:val="00DF40F5"/>
    <w:rsid w:val="00E0141F"/>
    <w:rsid w:val="00E026E4"/>
    <w:rsid w:val="00E02B1F"/>
    <w:rsid w:val="00E04C23"/>
    <w:rsid w:val="00E06151"/>
    <w:rsid w:val="00E077AE"/>
    <w:rsid w:val="00E10AF5"/>
    <w:rsid w:val="00E112C9"/>
    <w:rsid w:val="00E11E1E"/>
    <w:rsid w:val="00E124DE"/>
    <w:rsid w:val="00E12517"/>
    <w:rsid w:val="00E153A1"/>
    <w:rsid w:val="00E15DE7"/>
    <w:rsid w:val="00E201BA"/>
    <w:rsid w:val="00E20F8E"/>
    <w:rsid w:val="00E316D3"/>
    <w:rsid w:val="00E3189E"/>
    <w:rsid w:val="00E33AF7"/>
    <w:rsid w:val="00E34CDE"/>
    <w:rsid w:val="00E35C66"/>
    <w:rsid w:val="00E3672D"/>
    <w:rsid w:val="00E420DC"/>
    <w:rsid w:val="00E43005"/>
    <w:rsid w:val="00E4372B"/>
    <w:rsid w:val="00E43BDD"/>
    <w:rsid w:val="00E45483"/>
    <w:rsid w:val="00E46D86"/>
    <w:rsid w:val="00E5022E"/>
    <w:rsid w:val="00E51310"/>
    <w:rsid w:val="00E519B2"/>
    <w:rsid w:val="00E51CFF"/>
    <w:rsid w:val="00E5485F"/>
    <w:rsid w:val="00E54E48"/>
    <w:rsid w:val="00E573D6"/>
    <w:rsid w:val="00E609D0"/>
    <w:rsid w:val="00E60E61"/>
    <w:rsid w:val="00E66A4A"/>
    <w:rsid w:val="00E70991"/>
    <w:rsid w:val="00E71835"/>
    <w:rsid w:val="00E76FAE"/>
    <w:rsid w:val="00E77149"/>
    <w:rsid w:val="00E77CE3"/>
    <w:rsid w:val="00E82B97"/>
    <w:rsid w:val="00E84FBB"/>
    <w:rsid w:val="00E85A30"/>
    <w:rsid w:val="00E87C3B"/>
    <w:rsid w:val="00E90177"/>
    <w:rsid w:val="00E91FD7"/>
    <w:rsid w:val="00E95602"/>
    <w:rsid w:val="00E95C2A"/>
    <w:rsid w:val="00E97C45"/>
    <w:rsid w:val="00EA0365"/>
    <w:rsid w:val="00EA1907"/>
    <w:rsid w:val="00EA322E"/>
    <w:rsid w:val="00EA469F"/>
    <w:rsid w:val="00EA660A"/>
    <w:rsid w:val="00EB0F43"/>
    <w:rsid w:val="00EB34F9"/>
    <w:rsid w:val="00EB4EED"/>
    <w:rsid w:val="00EB6229"/>
    <w:rsid w:val="00EB6391"/>
    <w:rsid w:val="00EB6B59"/>
    <w:rsid w:val="00EC00D1"/>
    <w:rsid w:val="00EC1A1A"/>
    <w:rsid w:val="00EC3717"/>
    <w:rsid w:val="00EC3737"/>
    <w:rsid w:val="00EC6F1F"/>
    <w:rsid w:val="00ED01AF"/>
    <w:rsid w:val="00ED0EB7"/>
    <w:rsid w:val="00ED5BAE"/>
    <w:rsid w:val="00ED5DF9"/>
    <w:rsid w:val="00ED6B50"/>
    <w:rsid w:val="00ED6F8B"/>
    <w:rsid w:val="00ED7145"/>
    <w:rsid w:val="00ED719E"/>
    <w:rsid w:val="00EE01BD"/>
    <w:rsid w:val="00EE1C7E"/>
    <w:rsid w:val="00EE234C"/>
    <w:rsid w:val="00EE23BC"/>
    <w:rsid w:val="00EE2454"/>
    <w:rsid w:val="00EE3BDB"/>
    <w:rsid w:val="00EE601D"/>
    <w:rsid w:val="00EE66D8"/>
    <w:rsid w:val="00EE6852"/>
    <w:rsid w:val="00EE726A"/>
    <w:rsid w:val="00EF20C3"/>
    <w:rsid w:val="00EF4483"/>
    <w:rsid w:val="00EF4B82"/>
    <w:rsid w:val="00EF504E"/>
    <w:rsid w:val="00EF5257"/>
    <w:rsid w:val="00EF6C66"/>
    <w:rsid w:val="00F005EC"/>
    <w:rsid w:val="00F02159"/>
    <w:rsid w:val="00F02405"/>
    <w:rsid w:val="00F02E71"/>
    <w:rsid w:val="00F037B5"/>
    <w:rsid w:val="00F03C22"/>
    <w:rsid w:val="00F03DEB"/>
    <w:rsid w:val="00F04BF1"/>
    <w:rsid w:val="00F05999"/>
    <w:rsid w:val="00F07F63"/>
    <w:rsid w:val="00F13A99"/>
    <w:rsid w:val="00F15C83"/>
    <w:rsid w:val="00F15E55"/>
    <w:rsid w:val="00F20E14"/>
    <w:rsid w:val="00F239DC"/>
    <w:rsid w:val="00F25BF5"/>
    <w:rsid w:val="00F260A3"/>
    <w:rsid w:val="00F3081B"/>
    <w:rsid w:val="00F31699"/>
    <w:rsid w:val="00F35143"/>
    <w:rsid w:val="00F4058D"/>
    <w:rsid w:val="00F40D56"/>
    <w:rsid w:val="00F41421"/>
    <w:rsid w:val="00F4150B"/>
    <w:rsid w:val="00F419FD"/>
    <w:rsid w:val="00F42FFD"/>
    <w:rsid w:val="00F439B7"/>
    <w:rsid w:val="00F43D79"/>
    <w:rsid w:val="00F46F8F"/>
    <w:rsid w:val="00F47955"/>
    <w:rsid w:val="00F56360"/>
    <w:rsid w:val="00F5702F"/>
    <w:rsid w:val="00F57CCC"/>
    <w:rsid w:val="00F6324A"/>
    <w:rsid w:val="00F636E5"/>
    <w:rsid w:val="00F652ED"/>
    <w:rsid w:val="00F6614A"/>
    <w:rsid w:val="00F66B0E"/>
    <w:rsid w:val="00F701F1"/>
    <w:rsid w:val="00F7098F"/>
    <w:rsid w:val="00F70B3C"/>
    <w:rsid w:val="00F72205"/>
    <w:rsid w:val="00F730D3"/>
    <w:rsid w:val="00F74E5E"/>
    <w:rsid w:val="00F756CC"/>
    <w:rsid w:val="00F758B5"/>
    <w:rsid w:val="00F77B45"/>
    <w:rsid w:val="00F77E7F"/>
    <w:rsid w:val="00F831D8"/>
    <w:rsid w:val="00F864F0"/>
    <w:rsid w:val="00F86820"/>
    <w:rsid w:val="00F86DE0"/>
    <w:rsid w:val="00F9012A"/>
    <w:rsid w:val="00F91D8A"/>
    <w:rsid w:val="00F94AEB"/>
    <w:rsid w:val="00F94B41"/>
    <w:rsid w:val="00FA37B2"/>
    <w:rsid w:val="00FA524D"/>
    <w:rsid w:val="00FA73BB"/>
    <w:rsid w:val="00FA7DC3"/>
    <w:rsid w:val="00FB0772"/>
    <w:rsid w:val="00FB1CF5"/>
    <w:rsid w:val="00FB594C"/>
    <w:rsid w:val="00FC014B"/>
    <w:rsid w:val="00FC0204"/>
    <w:rsid w:val="00FC1FAB"/>
    <w:rsid w:val="00FC1FD2"/>
    <w:rsid w:val="00FC2189"/>
    <w:rsid w:val="00FC3620"/>
    <w:rsid w:val="00FC3C73"/>
    <w:rsid w:val="00FC5408"/>
    <w:rsid w:val="00FD3A73"/>
    <w:rsid w:val="00FD4159"/>
    <w:rsid w:val="00FD7E23"/>
    <w:rsid w:val="00FE02D3"/>
    <w:rsid w:val="00FE0ACD"/>
    <w:rsid w:val="00FE1AA5"/>
    <w:rsid w:val="00FE2AE8"/>
    <w:rsid w:val="00FE2BB3"/>
    <w:rsid w:val="00FE3532"/>
    <w:rsid w:val="00FF1896"/>
    <w:rsid w:val="00FF5007"/>
    <w:rsid w:val="00FF5249"/>
    <w:rsid w:val="00FF68E5"/>
    <w:rsid w:val="00FF72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DB6B65"/>
  <w15:docId w15:val="{9AE0DEDD-CC18-4AF8-992C-0EB4AD0F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nhideWhenUsed="1"/>
    <w:lsdException w:name="annotation text" w:semiHidden="1" w:uiPriority="4" w:unhideWhenUsed="1"/>
    <w:lsdException w:name="header" w:semiHidden="1" w:uiPriority="99" w:unhideWhenUsed="1"/>
    <w:lsdException w:name="footer" w:semiHidden="1" w:uiPriority="99" w:unhideWhenUsed="1"/>
    <w:lsdException w:name="index heading" w:semiHidden="1" w:uiPriority="4" w:unhideWhenUsed="1"/>
    <w:lsdException w:name="caption" w:semiHidden="1"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nhideWhenUsed="1"/>
    <w:lsdException w:name="annotation reference" w:semiHidden="1" w:uiPriority="4"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4" w:unhideWhenUsed="1"/>
    <w:lsdException w:name="FollowedHyperlink" w:semiHidden="1" w:uiPriority="4" w:unhideWhenUsed="1"/>
    <w:lsdException w:name="Strong" w:uiPriority="4"/>
    <w:lsdException w:name="Emphasis" w:uiPriority="4"/>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2E5"/>
    <w:pPr>
      <w:spacing w:after="240" w:line="240" w:lineRule="auto"/>
    </w:pPr>
    <w:rPr>
      <w:sz w:val="24"/>
      <w:szCs w:val="24"/>
      <w:lang w:val="en-GB" w:eastAsia="ja-JP"/>
    </w:rPr>
  </w:style>
  <w:style w:type="paragraph" w:styleId="Ttulo1">
    <w:name w:val="heading 1"/>
    <w:basedOn w:val="Normal"/>
    <w:next w:val="Textoindependiente"/>
    <w:link w:val="Ttulo1Car"/>
    <w:uiPriority w:val="1"/>
    <w:qFormat/>
    <w:rsid w:val="006272E5"/>
    <w:pPr>
      <w:keepNext/>
      <w:keepLines/>
      <w:numPr>
        <w:numId w:val="38"/>
      </w:numPr>
      <w:outlineLvl w:val="0"/>
    </w:pPr>
    <w:rPr>
      <w:rFonts w:asciiTheme="majorHAnsi" w:eastAsiaTheme="majorEastAsia" w:hAnsiTheme="majorHAnsi" w:cstheme="majorBidi"/>
      <w:b/>
      <w:bCs/>
      <w:sz w:val="28"/>
      <w:szCs w:val="28"/>
    </w:rPr>
  </w:style>
  <w:style w:type="paragraph" w:styleId="Ttulo2">
    <w:name w:val="heading 2"/>
    <w:basedOn w:val="Ttulo1"/>
    <w:next w:val="Textoindependiente"/>
    <w:link w:val="Ttulo2Car"/>
    <w:uiPriority w:val="9"/>
    <w:qFormat/>
    <w:rsid w:val="006272E5"/>
    <w:pPr>
      <w:numPr>
        <w:ilvl w:val="1"/>
      </w:numPr>
      <w:outlineLvl w:val="1"/>
    </w:pPr>
    <w:rPr>
      <w:sz w:val="26"/>
      <w:szCs w:val="26"/>
    </w:rPr>
  </w:style>
  <w:style w:type="paragraph" w:styleId="Ttulo3">
    <w:name w:val="heading 3"/>
    <w:basedOn w:val="Ttulo2"/>
    <w:next w:val="Textoindependiente"/>
    <w:link w:val="Ttulo3Car"/>
    <w:qFormat/>
    <w:rsid w:val="006272E5"/>
    <w:pPr>
      <w:numPr>
        <w:ilvl w:val="2"/>
      </w:numPr>
      <w:outlineLvl w:val="2"/>
    </w:pPr>
    <w:rPr>
      <w:sz w:val="24"/>
      <w:szCs w:val="24"/>
    </w:rPr>
  </w:style>
  <w:style w:type="paragraph" w:styleId="Ttulo4">
    <w:name w:val="heading 4"/>
    <w:basedOn w:val="Ttulo3"/>
    <w:next w:val="Textoindependiente"/>
    <w:link w:val="Ttulo4Car"/>
    <w:qFormat/>
    <w:rsid w:val="006272E5"/>
    <w:pPr>
      <w:numPr>
        <w:ilvl w:val="3"/>
      </w:numPr>
      <w:outlineLvl w:val="3"/>
    </w:pPr>
    <w:rPr>
      <w:b w:val="0"/>
      <w:bCs w:val="0"/>
    </w:rPr>
  </w:style>
  <w:style w:type="paragraph" w:styleId="Ttulo5">
    <w:name w:val="heading 5"/>
    <w:basedOn w:val="Ttulo4"/>
    <w:next w:val="Textoindependiente"/>
    <w:link w:val="Ttulo5Car"/>
    <w:qFormat/>
    <w:rsid w:val="006272E5"/>
    <w:pPr>
      <w:numPr>
        <w:ilvl w:val="4"/>
      </w:numPr>
      <w:outlineLvl w:val="4"/>
    </w:pPr>
    <w:rPr>
      <w:i/>
      <w:iCs/>
    </w:rPr>
  </w:style>
  <w:style w:type="paragraph" w:styleId="Ttulo6">
    <w:name w:val="heading 6"/>
    <w:basedOn w:val="Normal"/>
    <w:next w:val="Textoindependiente"/>
    <w:link w:val="Ttulo6Car"/>
    <w:unhideWhenUsed/>
    <w:rsid w:val="00A07D21"/>
    <w:pPr>
      <w:keepNext/>
      <w:keepLines/>
      <w:numPr>
        <w:ilvl w:val="5"/>
        <w:numId w:val="38"/>
      </w:numPr>
      <w:spacing w:before="200" w:after="0"/>
      <w:outlineLvl w:val="5"/>
    </w:pPr>
    <w:rPr>
      <w:rFonts w:asciiTheme="majorHAnsi" w:eastAsiaTheme="majorEastAsia" w:hAnsiTheme="majorHAnsi" w:cstheme="majorBidi"/>
      <w:iCs/>
    </w:rPr>
  </w:style>
  <w:style w:type="paragraph" w:styleId="Ttulo7">
    <w:name w:val="heading 7"/>
    <w:basedOn w:val="Normal"/>
    <w:next w:val="Textoindependiente"/>
    <w:link w:val="Ttulo7Car"/>
    <w:unhideWhenUsed/>
    <w:rsid w:val="00A07D21"/>
    <w:pPr>
      <w:keepNext/>
      <w:keepLines/>
      <w:numPr>
        <w:ilvl w:val="6"/>
        <w:numId w:val="38"/>
      </w:numPr>
      <w:spacing w:before="200" w:after="0"/>
      <w:outlineLvl w:val="6"/>
    </w:pPr>
    <w:rPr>
      <w:rFonts w:asciiTheme="majorHAnsi" w:eastAsiaTheme="majorEastAsia" w:hAnsiTheme="majorHAnsi" w:cstheme="majorBidi"/>
      <w:iCs/>
    </w:rPr>
  </w:style>
  <w:style w:type="paragraph" w:styleId="Ttulo8">
    <w:name w:val="heading 8"/>
    <w:basedOn w:val="Normal"/>
    <w:next w:val="Textoindependiente"/>
    <w:link w:val="Ttulo8Car"/>
    <w:unhideWhenUsed/>
    <w:rsid w:val="00A07D21"/>
    <w:pPr>
      <w:keepNext/>
      <w:keepLines/>
      <w:numPr>
        <w:ilvl w:val="7"/>
        <w:numId w:val="38"/>
      </w:numPr>
      <w:spacing w:before="200" w:after="0"/>
      <w:outlineLvl w:val="7"/>
    </w:pPr>
    <w:rPr>
      <w:rFonts w:asciiTheme="majorHAnsi" w:eastAsiaTheme="majorEastAsia" w:hAnsiTheme="majorHAnsi" w:cstheme="majorBidi"/>
      <w:sz w:val="20"/>
    </w:rPr>
  </w:style>
  <w:style w:type="paragraph" w:styleId="Ttulo9">
    <w:name w:val="heading 9"/>
    <w:basedOn w:val="Normal"/>
    <w:next w:val="Textoindependiente"/>
    <w:link w:val="Ttulo9Car"/>
    <w:unhideWhenUsed/>
    <w:rsid w:val="00A07D21"/>
    <w:pPr>
      <w:keepNext/>
      <w:keepLines/>
      <w:numPr>
        <w:ilvl w:val="8"/>
        <w:numId w:val="38"/>
      </w:numPr>
      <w:spacing w:before="200" w:after="0"/>
      <w:outlineLvl w:val="8"/>
    </w:pPr>
    <w:rPr>
      <w:rFonts w:asciiTheme="majorHAnsi" w:eastAsiaTheme="majorEastAsia" w:hAnsiTheme="majorHAnsi" w:cstheme="majorBid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272E5"/>
    <w:rPr>
      <w:rFonts w:asciiTheme="majorHAnsi" w:eastAsiaTheme="majorEastAsia" w:hAnsiTheme="majorHAnsi" w:cstheme="majorBidi"/>
      <w:b/>
      <w:bCs/>
      <w:sz w:val="28"/>
      <w:szCs w:val="28"/>
      <w:lang w:val="en-GB" w:eastAsia="ja-JP"/>
    </w:rPr>
  </w:style>
  <w:style w:type="character" w:customStyle="1" w:styleId="Ttulo2Car">
    <w:name w:val="Título 2 Car"/>
    <w:basedOn w:val="Fuentedeprrafopredeter"/>
    <w:link w:val="Ttulo2"/>
    <w:uiPriority w:val="9"/>
    <w:rsid w:val="006272E5"/>
    <w:rPr>
      <w:rFonts w:asciiTheme="majorHAnsi" w:eastAsiaTheme="majorEastAsia" w:hAnsiTheme="majorHAnsi" w:cstheme="majorBidi"/>
      <w:b/>
      <w:bCs/>
      <w:sz w:val="26"/>
      <w:szCs w:val="26"/>
      <w:lang w:val="en-GB" w:eastAsia="ja-JP"/>
    </w:rPr>
  </w:style>
  <w:style w:type="character" w:customStyle="1" w:styleId="Ttulo3Car">
    <w:name w:val="Título 3 Car"/>
    <w:basedOn w:val="Fuentedeprrafopredeter"/>
    <w:link w:val="Ttulo3"/>
    <w:rsid w:val="006272E5"/>
    <w:rPr>
      <w:rFonts w:asciiTheme="majorHAnsi" w:eastAsiaTheme="majorEastAsia" w:hAnsiTheme="majorHAnsi" w:cstheme="majorBidi"/>
      <w:b/>
      <w:bCs/>
      <w:sz w:val="24"/>
      <w:szCs w:val="24"/>
      <w:lang w:val="en-GB" w:eastAsia="ja-JP"/>
    </w:rPr>
  </w:style>
  <w:style w:type="character" w:customStyle="1" w:styleId="Ttulo4Car">
    <w:name w:val="Título 4 Car"/>
    <w:basedOn w:val="Fuentedeprrafopredeter"/>
    <w:link w:val="Ttulo4"/>
    <w:rsid w:val="006272E5"/>
    <w:rPr>
      <w:rFonts w:asciiTheme="majorHAnsi" w:eastAsiaTheme="majorEastAsia" w:hAnsiTheme="majorHAnsi" w:cstheme="majorBidi"/>
      <w:sz w:val="24"/>
      <w:szCs w:val="24"/>
      <w:lang w:val="en-GB" w:eastAsia="ja-JP"/>
    </w:rPr>
  </w:style>
  <w:style w:type="character" w:customStyle="1" w:styleId="Ttulo5Car">
    <w:name w:val="Título 5 Car"/>
    <w:basedOn w:val="Fuentedeprrafopredeter"/>
    <w:link w:val="Ttulo5"/>
    <w:rsid w:val="006272E5"/>
    <w:rPr>
      <w:rFonts w:asciiTheme="majorHAnsi" w:eastAsiaTheme="majorEastAsia" w:hAnsiTheme="majorHAnsi" w:cstheme="majorBidi"/>
      <w:i/>
      <w:iCs/>
      <w:sz w:val="24"/>
      <w:szCs w:val="24"/>
      <w:lang w:val="en-GB" w:eastAsia="ja-JP"/>
    </w:rPr>
  </w:style>
  <w:style w:type="character" w:customStyle="1" w:styleId="Ttulo6Car">
    <w:name w:val="Título 6 Car"/>
    <w:basedOn w:val="Fuentedeprrafopredeter"/>
    <w:link w:val="Ttulo6"/>
    <w:rsid w:val="007A4E28"/>
    <w:rPr>
      <w:rFonts w:asciiTheme="majorHAnsi" w:eastAsiaTheme="majorEastAsia" w:hAnsiTheme="majorHAnsi" w:cstheme="majorBidi"/>
      <w:iCs/>
      <w:sz w:val="24"/>
      <w:szCs w:val="24"/>
      <w:lang w:val="en-GB" w:eastAsia="ja-JP"/>
    </w:rPr>
  </w:style>
  <w:style w:type="character" w:customStyle="1" w:styleId="Ttulo7Car">
    <w:name w:val="Título 7 Car"/>
    <w:basedOn w:val="Fuentedeprrafopredeter"/>
    <w:link w:val="Ttulo7"/>
    <w:rsid w:val="007A4E28"/>
    <w:rPr>
      <w:rFonts w:asciiTheme="majorHAnsi" w:eastAsiaTheme="majorEastAsia" w:hAnsiTheme="majorHAnsi" w:cstheme="majorBidi"/>
      <w:iCs/>
      <w:sz w:val="24"/>
      <w:szCs w:val="24"/>
      <w:lang w:val="en-GB" w:eastAsia="ja-JP"/>
    </w:rPr>
  </w:style>
  <w:style w:type="character" w:customStyle="1" w:styleId="Ttulo8Car">
    <w:name w:val="Título 8 Car"/>
    <w:basedOn w:val="Fuentedeprrafopredeter"/>
    <w:link w:val="Ttulo8"/>
    <w:rsid w:val="007A4E28"/>
    <w:rPr>
      <w:rFonts w:asciiTheme="majorHAnsi" w:eastAsiaTheme="majorEastAsia" w:hAnsiTheme="majorHAnsi" w:cstheme="majorBidi"/>
      <w:sz w:val="20"/>
      <w:szCs w:val="24"/>
      <w:lang w:val="en-GB" w:eastAsia="ja-JP"/>
    </w:rPr>
  </w:style>
  <w:style w:type="character" w:customStyle="1" w:styleId="Ttulo9Car">
    <w:name w:val="Título 9 Car"/>
    <w:basedOn w:val="Fuentedeprrafopredeter"/>
    <w:link w:val="Ttulo9"/>
    <w:rsid w:val="007A4E28"/>
    <w:rPr>
      <w:rFonts w:asciiTheme="majorHAnsi" w:eastAsiaTheme="majorEastAsia" w:hAnsiTheme="majorHAnsi" w:cstheme="majorBidi"/>
      <w:iCs/>
      <w:sz w:val="20"/>
      <w:szCs w:val="24"/>
      <w:lang w:val="en-GB" w:eastAsia="ja-JP"/>
    </w:rPr>
  </w:style>
  <w:style w:type="paragraph" w:customStyle="1" w:styleId="AddressBlock">
    <w:name w:val="Address Block"/>
    <w:basedOn w:val="Normal"/>
    <w:uiPriority w:val="4"/>
    <w:rsid w:val="00A07D21"/>
    <w:pPr>
      <w:spacing w:after="0" w:line="200" w:lineRule="atLeast"/>
    </w:pPr>
    <w:rPr>
      <w:rFonts w:asciiTheme="majorHAnsi" w:eastAsiaTheme="majorEastAsia" w:hAnsiTheme="majorHAnsi" w:cstheme="majorBidi"/>
      <w:sz w:val="16"/>
      <w:szCs w:val="16"/>
    </w:rPr>
  </w:style>
  <w:style w:type="paragraph" w:customStyle="1" w:styleId="ClientNameCrossRef">
    <w:name w:val="Client Name Cross Ref"/>
    <w:basedOn w:val="Normal"/>
    <w:uiPriority w:val="4"/>
    <w:rsid w:val="00A07D21"/>
    <w:pPr>
      <w:spacing w:after="180" w:line="200" w:lineRule="atLeast"/>
    </w:pPr>
    <w:rPr>
      <w:rFonts w:asciiTheme="majorHAnsi" w:hAnsiTheme="majorHAnsi" w:cstheme="majorBidi"/>
      <w:sz w:val="16"/>
      <w:szCs w:val="16"/>
    </w:rPr>
  </w:style>
  <w:style w:type="paragraph" w:customStyle="1" w:styleId="HeadingU">
    <w:name w:val="Heading U"/>
    <w:basedOn w:val="Ttulo1"/>
    <w:next w:val="Textoindependiente"/>
    <w:qFormat/>
    <w:rsid w:val="006272E5"/>
    <w:pPr>
      <w:numPr>
        <w:numId w:val="0"/>
      </w:numPr>
    </w:pPr>
    <w:rPr>
      <w:bCs w:val="0"/>
    </w:rPr>
  </w:style>
  <w:style w:type="character" w:styleId="Nmerodepgina">
    <w:name w:val="page number"/>
    <w:basedOn w:val="Fuentedeprrafopredeter"/>
    <w:uiPriority w:val="4"/>
    <w:rsid w:val="00A07D21"/>
    <w:rPr>
      <w:rFonts w:asciiTheme="minorHAnsi" w:eastAsiaTheme="minorEastAsia" w:hAnsiTheme="minorHAnsi" w:cstheme="minorBidi"/>
      <w:b w:val="0"/>
      <w:bCs w:val="0"/>
      <w:i w:val="0"/>
      <w:iCs w:val="0"/>
      <w:smallCaps w:val="0"/>
      <w:noProof w:val="0"/>
      <w:sz w:val="20"/>
      <w:szCs w:val="20"/>
      <w:u w:val="none"/>
      <w:lang w:val="en-GB" w:eastAsia="ja-JP"/>
    </w:rPr>
  </w:style>
  <w:style w:type="paragraph" w:customStyle="1" w:styleId="DraftMarkings">
    <w:name w:val="Draft Markings"/>
    <w:basedOn w:val="ClientNameCrossRef"/>
    <w:rsid w:val="00A07D21"/>
    <w:pPr>
      <w:spacing w:after="0" w:line="240" w:lineRule="auto"/>
      <w:jc w:val="right"/>
    </w:pPr>
    <w:rPr>
      <w:rFonts w:eastAsiaTheme="majorEastAsia"/>
      <w:b/>
      <w:sz w:val="20"/>
      <w:szCs w:val="20"/>
    </w:rPr>
  </w:style>
  <w:style w:type="numbering" w:customStyle="1" w:styleId="AppendicesList">
    <w:name w:val="Appendices List"/>
    <w:uiPriority w:val="99"/>
    <w:rsid w:val="00433EF0"/>
    <w:pPr>
      <w:numPr>
        <w:numId w:val="1"/>
      </w:numPr>
    </w:pPr>
  </w:style>
  <w:style w:type="numbering" w:customStyle="1" w:styleId="HeadingsList">
    <w:name w:val="Headings List"/>
    <w:uiPriority w:val="99"/>
    <w:rsid w:val="00C72FB8"/>
    <w:pPr>
      <w:numPr>
        <w:numId w:val="2"/>
      </w:numPr>
    </w:pPr>
  </w:style>
  <w:style w:type="paragraph" w:styleId="Textodeglobo">
    <w:name w:val="Balloon Text"/>
    <w:basedOn w:val="Normal"/>
    <w:link w:val="TextodegloboCar"/>
    <w:uiPriority w:val="4"/>
    <w:rsid w:val="00A07D21"/>
    <w:pPr>
      <w:spacing w:after="0"/>
    </w:pPr>
    <w:rPr>
      <w:rFonts w:ascii="Tahoma" w:hAnsi="Tahoma" w:cs="Tahoma"/>
      <w:sz w:val="16"/>
      <w:szCs w:val="16"/>
    </w:rPr>
  </w:style>
  <w:style w:type="character" w:customStyle="1" w:styleId="TextodegloboCar">
    <w:name w:val="Texto de globo Car"/>
    <w:basedOn w:val="Fuentedeprrafopredeter"/>
    <w:link w:val="Textodeglobo"/>
    <w:uiPriority w:val="4"/>
    <w:rsid w:val="007A4E28"/>
    <w:rPr>
      <w:rFonts w:ascii="Tahoma" w:hAnsi="Tahoma" w:cs="Tahoma"/>
      <w:noProof w:val="0"/>
      <w:sz w:val="16"/>
      <w:szCs w:val="16"/>
      <w:lang w:val="en-GB" w:eastAsia="ja-JP"/>
    </w:rPr>
  </w:style>
  <w:style w:type="paragraph" w:styleId="Listaconnmeros">
    <w:name w:val="List Number"/>
    <w:basedOn w:val="Normal"/>
    <w:qFormat/>
    <w:rsid w:val="006272E5"/>
    <w:pPr>
      <w:numPr>
        <w:ilvl w:val="5"/>
        <w:numId w:val="11"/>
      </w:numPr>
      <w:spacing w:after="120" w:line="260" w:lineRule="atLeast"/>
      <w:outlineLvl w:val="5"/>
    </w:pPr>
    <w:rPr>
      <w:rFonts w:cstheme="minorHAnsi"/>
      <w:szCs w:val="20"/>
    </w:rPr>
  </w:style>
  <w:style w:type="paragraph" w:styleId="Listaconvietas">
    <w:name w:val="List Bullet"/>
    <w:basedOn w:val="Normal"/>
    <w:qFormat/>
    <w:rsid w:val="006272E5"/>
    <w:pPr>
      <w:numPr>
        <w:ilvl w:val="4"/>
        <w:numId w:val="10"/>
      </w:numPr>
      <w:spacing w:after="120" w:line="260" w:lineRule="atLeast"/>
      <w:outlineLvl w:val="4"/>
    </w:pPr>
    <w:rPr>
      <w:rFonts w:cstheme="minorHAnsi"/>
      <w:szCs w:val="20"/>
    </w:rPr>
  </w:style>
  <w:style w:type="paragraph" w:styleId="Listaconvietas2">
    <w:name w:val="List Bullet 2"/>
    <w:basedOn w:val="Normal"/>
    <w:qFormat/>
    <w:rsid w:val="006272E5"/>
    <w:pPr>
      <w:numPr>
        <w:ilvl w:val="5"/>
        <w:numId w:val="10"/>
      </w:numPr>
      <w:spacing w:after="120" w:line="260" w:lineRule="atLeast"/>
      <w:outlineLvl w:val="5"/>
    </w:pPr>
    <w:rPr>
      <w:rFonts w:cstheme="minorHAnsi"/>
      <w:szCs w:val="20"/>
    </w:rPr>
  </w:style>
  <w:style w:type="paragraph" w:styleId="Encabezado">
    <w:name w:val="header"/>
    <w:basedOn w:val="Normal"/>
    <w:link w:val="EncabezadoCar"/>
    <w:uiPriority w:val="99"/>
    <w:rsid w:val="00A07D21"/>
    <w:pPr>
      <w:tabs>
        <w:tab w:val="center" w:pos="4320"/>
        <w:tab w:val="right" w:pos="8640"/>
      </w:tabs>
    </w:pPr>
  </w:style>
  <w:style w:type="character" w:customStyle="1" w:styleId="EncabezadoCar">
    <w:name w:val="Encabezado Car"/>
    <w:basedOn w:val="Fuentedeprrafopredeter"/>
    <w:link w:val="Encabezado"/>
    <w:uiPriority w:val="99"/>
    <w:rsid w:val="007A4E28"/>
    <w:rPr>
      <w:noProof w:val="0"/>
      <w:sz w:val="24"/>
      <w:szCs w:val="24"/>
      <w:lang w:val="en-GB" w:eastAsia="ja-JP"/>
    </w:rPr>
  </w:style>
  <w:style w:type="paragraph" w:styleId="Piedepgina">
    <w:name w:val="footer"/>
    <w:basedOn w:val="Normal"/>
    <w:link w:val="PiedepginaCar"/>
    <w:uiPriority w:val="99"/>
    <w:rsid w:val="00A07D21"/>
    <w:pPr>
      <w:tabs>
        <w:tab w:val="center" w:pos="4320"/>
        <w:tab w:val="right" w:pos="8640"/>
      </w:tabs>
    </w:pPr>
  </w:style>
  <w:style w:type="character" w:customStyle="1" w:styleId="PiedepginaCar">
    <w:name w:val="Pie de página Car"/>
    <w:basedOn w:val="Fuentedeprrafopredeter"/>
    <w:link w:val="Piedepgina"/>
    <w:uiPriority w:val="99"/>
    <w:rsid w:val="007A4E28"/>
    <w:rPr>
      <w:noProof w:val="0"/>
      <w:sz w:val="24"/>
      <w:szCs w:val="24"/>
      <w:lang w:val="en-GB" w:eastAsia="ja-JP"/>
    </w:rPr>
  </w:style>
  <w:style w:type="paragraph" w:customStyle="1" w:styleId="HeadingU2">
    <w:name w:val="Heading U2"/>
    <w:basedOn w:val="Ttulo2"/>
    <w:next w:val="Textoindependiente"/>
    <w:qFormat/>
    <w:rsid w:val="006272E5"/>
    <w:pPr>
      <w:numPr>
        <w:ilvl w:val="0"/>
        <w:numId w:val="0"/>
      </w:numPr>
    </w:pPr>
  </w:style>
  <w:style w:type="paragraph" w:customStyle="1" w:styleId="Exhibit">
    <w:name w:val="Exhibit"/>
    <w:basedOn w:val="Normal"/>
    <w:next w:val="Normal"/>
    <w:qFormat/>
    <w:rsid w:val="006272E5"/>
    <w:pPr>
      <w:keepLines/>
      <w:numPr>
        <w:numId w:val="12"/>
      </w:numPr>
      <w:spacing w:after="260"/>
    </w:pPr>
    <w:rPr>
      <w:i/>
    </w:rPr>
  </w:style>
  <w:style w:type="paragraph" w:styleId="Descripcin">
    <w:name w:val="caption"/>
    <w:basedOn w:val="Normal"/>
    <w:next w:val="Normal"/>
    <w:qFormat/>
    <w:rsid w:val="006272E5"/>
    <w:pPr>
      <w:keepNext/>
      <w:keepLines/>
      <w:spacing w:after="0"/>
      <w:jc w:val="center"/>
    </w:pPr>
    <w:rPr>
      <w:b/>
      <w:bCs/>
    </w:rPr>
  </w:style>
  <w:style w:type="paragraph" w:customStyle="1" w:styleId="ClientName">
    <w:name w:val="Client Name"/>
    <w:basedOn w:val="Normal"/>
    <w:uiPriority w:val="4"/>
    <w:rsid w:val="00A07D21"/>
    <w:pPr>
      <w:spacing w:line="520" w:lineRule="atLeast"/>
    </w:pPr>
    <w:rPr>
      <w:rFonts w:asciiTheme="majorHAnsi" w:eastAsiaTheme="majorEastAsia" w:hAnsiTheme="majorHAnsi" w:cstheme="majorBidi"/>
      <w:sz w:val="44"/>
      <w:szCs w:val="44"/>
    </w:rPr>
  </w:style>
  <w:style w:type="paragraph" w:customStyle="1" w:styleId="Filestamp">
    <w:name w:val="Filestamp"/>
    <w:basedOn w:val="Normal"/>
    <w:uiPriority w:val="4"/>
    <w:rsid w:val="00A07D21"/>
    <w:pPr>
      <w:spacing w:before="460" w:line="240" w:lineRule="atLeast"/>
    </w:pPr>
    <w:rPr>
      <w:sz w:val="10"/>
      <w:szCs w:val="1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rsid w:val="00A07D21"/>
    <w:rPr>
      <w:rFonts w:cstheme="minorBidi"/>
      <w:bCs w:val="0"/>
      <w:iCs w:val="0"/>
      <w:noProof w:val="0"/>
      <w:szCs w:val="24"/>
      <w:vertAlign w:val="superscript"/>
      <w:lang w:val="en-GB" w:eastAsia="ja-JP"/>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rsid w:val="00A07D21"/>
    <w:pPr>
      <w:spacing w:after="120"/>
      <w:ind w:left="360" w:hanging="360"/>
    </w:pPr>
    <w:rPr>
      <w:sz w:val="18"/>
      <w:szCs w:val="18"/>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rsid w:val="007A4E28"/>
    <w:rPr>
      <w:noProof w:val="0"/>
      <w:sz w:val="18"/>
      <w:szCs w:val="18"/>
      <w:lang w:val="en-GB" w:eastAsia="ja-JP"/>
    </w:rPr>
  </w:style>
  <w:style w:type="paragraph" w:customStyle="1" w:styleId="LetterDate">
    <w:name w:val="Letter Date"/>
    <w:basedOn w:val="Normal"/>
    <w:next w:val="Normal"/>
    <w:uiPriority w:val="4"/>
    <w:rsid w:val="00A07D21"/>
    <w:pPr>
      <w:spacing w:line="360" w:lineRule="atLeast"/>
    </w:pPr>
    <w:rPr>
      <w:sz w:val="28"/>
      <w:szCs w:val="28"/>
    </w:rPr>
  </w:style>
  <w:style w:type="table" w:customStyle="1" w:styleId="OWGTable">
    <w:name w:val="OWG Table"/>
    <w:basedOn w:val="Tablanormal"/>
    <w:uiPriority w:val="99"/>
    <w:rsid w:val="00493E59"/>
    <w:pPr>
      <w:spacing w:after="0" w:line="240" w:lineRule="auto"/>
    </w:pPr>
    <w:rPr>
      <w:rFonts w:ascii="Times New Roman" w:eastAsia="MS Mincho" w:hAnsi="Times New Roman" w:cs="Times New Roman"/>
      <w:sz w:val="20"/>
      <w:szCs w:val="20"/>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uiPriority w:val="4"/>
    <w:rsid w:val="00A07D21"/>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A07D21"/>
    <w:pPr>
      <w:spacing w:before="300" w:line="520" w:lineRule="atLeast"/>
    </w:pPr>
    <w:rPr>
      <w:rFonts w:asciiTheme="majorHAnsi" w:eastAsiaTheme="majorEastAsia" w:hAnsiTheme="majorHAnsi" w:cstheme="majorBidi"/>
      <w:b/>
      <w:sz w:val="44"/>
      <w:szCs w:val="44"/>
    </w:rPr>
  </w:style>
  <w:style w:type="paragraph" w:styleId="Subttulo">
    <w:name w:val="Subtitle"/>
    <w:basedOn w:val="Puesto"/>
    <w:link w:val="SubttuloCar"/>
    <w:uiPriority w:val="4"/>
    <w:rsid w:val="00A07D21"/>
    <w:rPr>
      <w:caps w:val="0"/>
      <w:sz w:val="28"/>
      <w:szCs w:val="28"/>
    </w:rPr>
  </w:style>
  <w:style w:type="character" w:customStyle="1" w:styleId="SubttuloCar">
    <w:name w:val="Subtítulo Car"/>
    <w:basedOn w:val="Fuentedeprrafopredeter"/>
    <w:link w:val="Subttulo"/>
    <w:uiPriority w:val="4"/>
    <w:rsid w:val="007A4E28"/>
    <w:rPr>
      <w:rFonts w:asciiTheme="majorHAnsi" w:eastAsiaTheme="majorEastAsia" w:hAnsiTheme="majorHAnsi" w:cstheme="majorBidi"/>
      <w:b/>
      <w:noProof w:val="0"/>
      <w:sz w:val="28"/>
      <w:szCs w:val="28"/>
      <w:lang w:val="en-GB" w:eastAsia="ja-JP"/>
    </w:rPr>
  </w:style>
  <w:style w:type="paragraph" w:styleId="Puesto">
    <w:name w:val="Title"/>
    <w:basedOn w:val="Normal"/>
    <w:link w:val="PuestoCar"/>
    <w:uiPriority w:val="4"/>
    <w:rsid w:val="00A07D21"/>
    <w:pPr>
      <w:keepNext/>
      <w:keepLines/>
      <w:spacing w:after="0"/>
      <w:jc w:val="center"/>
    </w:pPr>
    <w:rPr>
      <w:rFonts w:asciiTheme="majorHAnsi" w:eastAsiaTheme="majorEastAsia" w:hAnsiTheme="majorHAnsi" w:cstheme="majorBidi"/>
      <w:b/>
      <w:caps/>
      <w:sz w:val="36"/>
      <w:szCs w:val="36"/>
    </w:rPr>
  </w:style>
  <w:style w:type="character" w:customStyle="1" w:styleId="PuestoCar">
    <w:name w:val="Puesto Car"/>
    <w:basedOn w:val="Fuentedeprrafopredeter"/>
    <w:link w:val="Puesto"/>
    <w:uiPriority w:val="4"/>
    <w:rsid w:val="007A4E28"/>
    <w:rPr>
      <w:rFonts w:asciiTheme="majorHAnsi" w:eastAsiaTheme="majorEastAsia" w:hAnsiTheme="majorHAnsi" w:cstheme="majorBidi"/>
      <w:b/>
      <w:caps/>
      <w:noProof w:val="0"/>
      <w:sz w:val="36"/>
      <w:szCs w:val="36"/>
      <w:lang w:val="en-GB" w:eastAsia="ja-JP"/>
    </w:rPr>
  </w:style>
  <w:style w:type="paragraph" w:customStyle="1" w:styleId="TextBox">
    <w:name w:val="TextBox"/>
    <w:basedOn w:val="Normal"/>
    <w:next w:val="Normal"/>
    <w:qFormat/>
    <w:rsid w:val="006272E5"/>
    <w:pPr>
      <w:pBdr>
        <w:top w:val="single" w:sz="6" w:space="12" w:color="auto"/>
        <w:left w:val="single" w:sz="6" w:space="12" w:color="auto"/>
        <w:bottom w:val="single" w:sz="6" w:space="12" w:color="auto"/>
        <w:right w:val="single" w:sz="6" w:space="12" w:color="auto"/>
      </w:pBdr>
      <w:spacing w:after="300"/>
      <w:ind w:left="288" w:right="302"/>
    </w:pPr>
  </w:style>
  <w:style w:type="paragraph" w:customStyle="1" w:styleId="TextBoxBullet">
    <w:name w:val="TextBoxBullet"/>
    <w:basedOn w:val="Listaconvietas"/>
    <w:qFormat/>
    <w:rsid w:val="006272E5"/>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DC1">
    <w:name w:val="toc 1"/>
    <w:basedOn w:val="Ttulo1"/>
    <w:next w:val="Normal"/>
    <w:uiPriority w:val="39"/>
    <w:rsid w:val="001E3554"/>
    <w:pPr>
      <w:keepNext w:val="0"/>
      <w:numPr>
        <w:numId w:val="0"/>
      </w:numPr>
      <w:tabs>
        <w:tab w:val="left" w:pos="1354"/>
        <w:tab w:val="right" w:pos="8640"/>
      </w:tabs>
      <w:suppressAutoHyphens/>
      <w:spacing w:before="240" w:after="0"/>
      <w:ind w:left="936" w:right="1077" w:hanging="936"/>
      <w:outlineLvl w:val="9"/>
    </w:pPr>
  </w:style>
  <w:style w:type="paragraph" w:styleId="TDC2">
    <w:name w:val="toc 2"/>
    <w:basedOn w:val="TDC1"/>
    <w:next w:val="Normal"/>
    <w:uiPriority w:val="39"/>
    <w:unhideWhenUsed/>
    <w:rsid w:val="00480A3B"/>
    <w:pPr>
      <w:spacing w:before="0"/>
    </w:pPr>
    <w:rPr>
      <w:b w:val="0"/>
      <w:sz w:val="26"/>
      <w:szCs w:val="26"/>
    </w:rPr>
  </w:style>
  <w:style w:type="paragraph" w:styleId="TDC3">
    <w:name w:val="toc 3"/>
    <w:basedOn w:val="TDC2"/>
    <w:next w:val="Normal"/>
    <w:uiPriority w:val="39"/>
    <w:unhideWhenUsed/>
    <w:rsid w:val="00A07D21"/>
  </w:style>
  <w:style w:type="paragraph" w:styleId="TDC4">
    <w:name w:val="toc 4"/>
    <w:basedOn w:val="TDC3"/>
    <w:next w:val="Normal"/>
    <w:unhideWhenUsed/>
    <w:rsid w:val="00A07D21"/>
    <w:pPr>
      <w:tabs>
        <w:tab w:val="clear" w:pos="1354"/>
        <w:tab w:val="left" w:pos="1350"/>
      </w:tabs>
      <w:ind w:left="1296" w:hanging="1296"/>
    </w:pPr>
  </w:style>
  <w:style w:type="paragraph" w:styleId="TDC5">
    <w:name w:val="toc 5"/>
    <w:basedOn w:val="TDC4"/>
    <w:next w:val="Normal"/>
    <w:unhideWhenUsed/>
    <w:rsid w:val="00A07D21"/>
  </w:style>
  <w:style w:type="paragraph" w:styleId="TDC6">
    <w:name w:val="toc 6"/>
    <w:basedOn w:val="TDC1"/>
    <w:next w:val="Normal"/>
    <w:autoRedefine/>
    <w:unhideWhenUsed/>
    <w:rsid w:val="00A07D21"/>
    <w:pPr>
      <w:tabs>
        <w:tab w:val="left" w:pos="1980"/>
      </w:tabs>
    </w:pPr>
  </w:style>
  <w:style w:type="paragraph" w:styleId="TDC7">
    <w:name w:val="toc 7"/>
    <w:basedOn w:val="Normal"/>
    <w:next w:val="Normal"/>
    <w:autoRedefine/>
    <w:unhideWhenUsed/>
    <w:rsid w:val="00A07D21"/>
    <w:pPr>
      <w:tabs>
        <w:tab w:val="right" w:pos="9029"/>
      </w:tabs>
      <w:spacing w:after="300" w:line="271" w:lineRule="auto"/>
      <w:ind w:left="1320"/>
      <w:jc w:val="both"/>
    </w:pPr>
    <w:rPr>
      <w:sz w:val="20"/>
      <w:szCs w:val="20"/>
    </w:rPr>
  </w:style>
  <w:style w:type="paragraph" w:styleId="TDC8">
    <w:name w:val="toc 8"/>
    <w:basedOn w:val="Normal"/>
    <w:next w:val="Normal"/>
    <w:autoRedefine/>
    <w:unhideWhenUsed/>
    <w:rsid w:val="00A07D21"/>
    <w:pPr>
      <w:tabs>
        <w:tab w:val="right" w:pos="9029"/>
      </w:tabs>
      <w:spacing w:after="300" w:line="271" w:lineRule="auto"/>
      <w:ind w:left="1540"/>
      <w:jc w:val="both"/>
    </w:pPr>
    <w:rPr>
      <w:sz w:val="20"/>
      <w:szCs w:val="20"/>
    </w:rPr>
  </w:style>
  <w:style w:type="paragraph" w:styleId="TDC9">
    <w:name w:val="toc 9"/>
    <w:basedOn w:val="Normal"/>
    <w:next w:val="Normal"/>
    <w:autoRedefine/>
    <w:unhideWhenUsed/>
    <w:rsid w:val="00A07D21"/>
    <w:pPr>
      <w:tabs>
        <w:tab w:val="right" w:pos="9029"/>
      </w:tabs>
      <w:spacing w:after="300" w:line="271" w:lineRule="auto"/>
      <w:ind w:left="1760"/>
      <w:jc w:val="both"/>
    </w:pPr>
    <w:rPr>
      <w:sz w:val="20"/>
      <w:szCs w:val="20"/>
    </w:rPr>
  </w:style>
  <w:style w:type="paragraph" w:styleId="TtulodeTDC">
    <w:name w:val="TOC Heading"/>
    <w:basedOn w:val="Normal"/>
    <w:uiPriority w:val="4"/>
    <w:rsid w:val="008A7828"/>
    <w:pPr>
      <w:spacing w:before="300" w:after="0" w:line="360" w:lineRule="atLeast"/>
    </w:pPr>
    <w:rPr>
      <w:rFonts w:asciiTheme="majorHAnsi" w:eastAsiaTheme="majorEastAsia" w:hAnsiTheme="majorHAnsi" w:cstheme="majorBidi"/>
      <w:b/>
      <w:sz w:val="28"/>
      <w:szCs w:val="28"/>
    </w:rPr>
  </w:style>
  <w:style w:type="paragraph" w:styleId="Textoindependiente">
    <w:name w:val="Body Text"/>
    <w:basedOn w:val="Normal"/>
    <w:link w:val="TextoindependienteCar"/>
    <w:qFormat/>
    <w:rsid w:val="006272E5"/>
  </w:style>
  <w:style w:type="character" w:customStyle="1" w:styleId="TextoindependienteCar">
    <w:name w:val="Texto independiente Car"/>
    <w:basedOn w:val="Fuentedeprrafopredeter"/>
    <w:link w:val="Textoindependiente"/>
    <w:rsid w:val="006272E5"/>
    <w:rPr>
      <w:sz w:val="24"/>
      <w:szCs w:val="24"/>
      <w:lang w:val="en-GB" w:eastAsia="ja-JP"/>
    </w:rPr>
  </w:style>
  <w:style w:type="paragraph" w:customStyle="1" w:styleId="DocNum">
    <w:name w:val="DocNum"/>
    <w:basedOn w:val="Normal"/>
    <w:uiPriority w:val="4"/>
    <w:rsid w:val="00A07D21"/>
    <w:pPr>
      <w:spacing w:after="0"/>
    </w:pPr>
    <w:rPr>
      <w:rFonts w:asciiTheme="majorHAnsi" w:eastAsiaTheme="majorEastAsia" w:hAnsiTheme="majorHAnsi" w:cstheme="majorBidi"/>
      <w:sz w:val="14"/>
      <w:szCs w:val="14"/>
    </w:rPr>
  </w:style>
  <w:style w:type="numbering" w:customStyle="1" w:styleId="ParagraphNumbering">
    <w:name w:val="Paragraph Numbering"/>
    <w:uiPriority w:val="99"/>
    <w:rsid w:val="00BA2DB9"/>
    <w:pPr>
      <w:numPr>
        <w:numId w:val="3"/>
      </w:numPr>
    </w:pPr>
  </w:style>
  <w:style w:type="character" w:styleId="Textodelmarcadordeposicin">
    <w:name w:val="Placeholder Text"/>
    <w:basedOn w:val="Fuentedeprrafopredeter"/>
    <w:uiPriority w:val="99"/>
    <w:semiHidden/>
    <w:rsid w:val="00A07D21"/>
    <w:rPr>
      <w:rFonts w:cstheme="minorBidi"/>
      <w:bCs w:val="0"/>
      <w:iCs w:val="0"/>
      <w:noProof w:val="0"/>
      <w:color w:val="808080"/>
      <w:szCs w:val="24"/>
      <w:lang w:val="en-GB" w:eastAsia="ja-JP"/>
    </w:rPr>
  </w:style>
  <w:style w:type="paragraph" w:customStyle="1" w:styleId="Table">
    <w:name w:val="Table"/>
    <w:basedOn w:val="Normal"/>
    <w:uiPriority w:val="4"/>
    <w:qFormat/>
    <w:rsid w:val="006272E5"/>
    <w:pPr>
      <w:keepNext/>
      <w:spacing w:after="0"/>
      <w:jc w:val="both"/>
    </w:pPr>
    <w:rPr>
      <w:rFonts w:asciiTheme="majorHAnsi" w:eastAsiaTheme="majorEastAsia" w:hAnsiTheme="majorHAnsi" w:cstheme="majorBidi"/>
    </w:rPr>
  </w:style>
  <w:style w:type="paragraph" w:customStyle="1" w:styleId="TableLogoText">
    <w:name w:val="Table Logo Text"/>
    <w:basedOn w:val="Normal"/>
    <w:rsid w:val="00A07D21"/>
    <w:rPr>
      <w:rFonts w:asciiTheme="majorHAnsi" w:eastAsiaTheme="majorEastAsia" w:hAnsiTheme="majorHAnsi" w:cstheme="majorBidi"/>
    </w:rPr>
  </w:style>
  <w:style w:type="table" w:styleId="Tablaconcuadrcula">
    <w:name w:val="Table Grid"/>
    <w:basedOn w:val="Tablanormal"/>
    <w:rsid w:val="00A07D21"/>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A07D21"/>
    <w:pPr>
      <w:numPr>
        <w:numId w:val="4"/>
      </w:numPr>
    </w:pPr>
  </w:style>
  <w:style w:type="numbering" w:styleId="1ai">
    <w:name w:val="Outline List 1"/>
    <w:basedOn w:val="Sinlista"/>
    <w:rsid w:val="00A07D21"/>
    <w:pPr>
      <w:numPr>
        <w:numId w:val="5"/>
      </w:numPr>
    </w:pPr>
  </w:style>
  <w:style w:type="numbering" w:styleId="ArtculoSeccin">
    <w:name w:val="Outline List 3"/>
    <w:basedOn w:val="Sinlista"/>
    <w:rsid w:val="00A07D21"/>
    <w:pPr>
      <w:numPr>
        <w:numId w:val="6"/>
      </w:numPr>
    </w:pPr>
  </w:style>
  <w:style w:type="paragraph" w:styleId="Bibliografa">
    <w:name w:val="Bibliography"/>
    <w:basedOn w:val="Normal"/>
    <w:next w:val="Normal"/>
    <w:uiPriority w:val="37"/>
    <w:semiHidden/>
    <w:unhideWhenUsed/>
    <w:rsid w:val="00A07D21"/>
  </w:style>
  <w:style w:type="paragraph" w:styleId="Textodebloque">
    <w:name w:val="Block Text"/>
    <w:basedOn w:val="Normal"/>
    <w:uiPriority w:val="4"/>
    <w:rsid w:val="00A07D2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Textoindependiente2">
    <w:name w:val="Body Text 2"/>
    <w:basedOn w:val="Normal"/>
    <w:link w:val="Textoindependiente2Car"/>
    <w:uiPriority w:val="4"/>
    <w:semiHidden/>
    <w:rsid w:val="00A07D21"/>
    <w:pPr>
      <w:spacing w:line="480" w:lineRule="auto"/>
    </w:pPr>
  </w:style>
  <w:style w:type="character" w:customStyle="1" w:styleId="Textoindependiente2Car">
    <w:name w:val="Texto independiente 2 Car"/>
    <w:basedOn w:val="Fuentedeprrafopredeter"/>
    <w:link w:val="Textoindependiente2"/>
    <w:uiPriority w:val="4"/>
    <w:semiHidden/>
    <w:rsid w:val="007A4E28"/>
    <w:rPr>
      <w:noProof w:val="0"/>
      <w:sz w:val="24"/>
      <w:szCs w:val="24"/>
      <w:lang w:val="en-GB" w:eastAsia="ja-JP"/>
    </w:rPr>
  </w:style>
  <w:style w:type="paragraph" w:styleId="Textoindependiente3">
    <w:name w:val="Body Text 3"/>
    <w:basedOn w:val="Normal"/>
    <w:link w:val="Textoindependiente3Car"/>
    <w:uiPriority w:val="4"/>
    <w:semiHidden/>
    <w:rsid w:val="00A07D21"/>
    <w:rPr>
      <w:sz w:val="16"/>
      <w:szCs w:val="16"/>
    </w:rPr>
  </w:style>
  <w:style w:type="character" w:customStyle="1" w:styleId="Textoindependiente3Car">
    <w:name w:val="Texto independiente 3 Car"/>
    <w:basedOn w:val="Fuentedeprrafopredeter"/>
    <w:link w:val="Textoindependiente3"/>
    <w:uiPriority w:val="4"/>
    <w:semiHidden/>
    <w:rsid w:val="007A4E28"/>
    <w:rPr>
      <w:noProof w:val="0"/>
      <w:sz w:val="16"/>
      <w:szCs w:val="16"/>
      <w:lang w:val="en-GB" w:eastAsia="ja-JP"/>
    </w:rPr>
  </w:style>
  <w:style w:type="paragraph" w:styleId="Textoindependienteprimerasangra">
    <w:name w:val="Body Text First Indent"/>
    <w:basedOn w:val="Textoindependiente"/>
    <w:link w:val="TextoindependienteprimerasangraCar"/>
    <w:qFormat/>
    <w:rsid w:val="006272E5"/>
    <w:pPr>
      <w:ind w:firstLine="360"/>
    </w:pPr>
  </w:style>
  <w:style w:type="character" w:customStyle="1" w:styleId="TextoindependienteprimerasangraCar">
    <w:name w:val="Texto independiente primera sangría Car"/>
    <w:basedOn w:val="TextoindependienteCar"/>
    <w:link w:val="Textoindependienteprimerasangra"/>
    <w:rsid w:val="006272E5"/>
    <w:rPr>
      <w:sz w:val="24"/>
      <w:szCs w:val="24"/>
      <w:lang w:val="en-GB" w:eastAsia="ja-JP"/>
    </w:rPr>
  </w:style>
  <w:style w:type="paragraph" w:styleId="Sangradetextonormal">
    <w:name w:val="Body Text Indent"/>
    <w:basedOn w:val="Textoindependiente"/>
    <w:link w:val="SangradetextonormalCar"/>
    <w:qFormat/>
    <w:rsid w:val="006272E5"/>
    <w:pPr>
      <w:ind w:left="360"/>
    </w:pPr>
  </w:style>
  <w:style w:type="character" w:customStyle="1" w:styleId="SangradetextonormalCar">
    <w:name w:val="Sangría de texto normal Car"/>
    <w:basedOn w:val="Fuentedeprrafopredeter"/>
    <w:link w:val="Sangradetextonormal"/>
    <w:rsid w:val="006272E5"/>
    <w:rPr>
      <w:sz w:val="24"/>
      <w:szCs w:val="24"/>
      <w:lang w:val="en-GB" w:eastAsia="ja-JP"/>
    </w:rPr>
  </w:style>
  <w:style w:type="paragraph" w:styleId="Textoindependienteprimerasangra2">
    <w:name w:val="Body Text First Indent 2"/>
    <w:basedOn w:val="Sangradetextonormal"/>
    <w:link w:val="Textoindependienteprimerasangra2Car"/>
    <w:uiPriority w:val="4"/>
    <w:semiHidden/>
    <w:rsid w:val="00A07D21"/>
    <w:pPr>
      <w:ind w:firstLine="360"/>
    </w:pPr>
  </w:style>
  <w:style w:type="character" w:customStyle="1" w:styleId="Textoindependienteprimerasangra2Car">
    <w:name w:val="Texto independiente primera sangría 2 Car"/>
    <w:basedOn w:val="SangradetextonormalCar"/>
    <w:link w:val="Textoindependienteprimerasangra2"/>
    <w:uiPriority w:val="4"/>
    <w:semiHidden/>
    <w:rsid w:val="007A4E28"/>
    <w:rPr>
      <w:noProof w:val="0"/>
      <w:sz w:val="24"/>
      <w:szCs w:val="24"/>
      <w:lang w:val="en-GB" w:eastAsia="ja-JP"/>
    </w:rPr>
  </w:style>
  <w:style w:type="paragraph" w:styleId="Sangra2detindependiente">
    <w:name w:val="Body Text Indent 2"/>
    <w:basedOn w:val="Textoindependiente2"/>
    <w:link w:val="Sangra2detindependienteCar"/>
    <w:uiPriority w:val="4"/>
    <w:semiHidden/>
    <w:rsid w:val="00312A7C"/>
    <w:pPr>
      <w:ind w:left="360"/>
    </w:pPr>
  </w:style>
  <w:style w:type="character" w:customStyle="1" w:styleId="Sangra2detindependienteCar">
    <w:name w:val="Sangría 2 de t. independiente Car"/>
    <w:basedOn w:val="Fuentedeprrafopredeter"/>
    <w:link w:val="Sangra2detindependiente"/>
    <w:uiPriority w:val="4"/>
    <w:semiHidden/>
    <w:rsid w:val="007A4E28"/>
    <w:rPr>
      <w:noProof w:val="0"/>
      <w:sz w:val="24"/>
      <w:szCs w:val="24"/>
      <w:lang w:val="en-GB" w:eastAsia="ja-JP"/>
    </w:rPr>
  </w:style>
  <w:style w:type="paragraph" w:styleId="Sangra3detindependiente">
    <w:name w:val="Body Text Indent 3"/>
    <w:basedOn w:val="Textoindependiente3"/>
    <w:link w:val="Sangra3detindependienteCar"/>
    <w:uiPriority w:val="4"/>
    <w:semiHidden/>
    <w:rsid w:val="00312A7C"/>
    <w:pPr>
      <w:ind w:left="360"/>
    </w:pPr>
  </w:style>
  <w:style w:type="character" w:customStyle="1" w:styleId="Sangra3detindependienteCar">
    <w:name w:val="Sangría 3 de t. independiente Car"/>
    <w:basedOn w:val="Fuentedeprrafopredeter"/>
    <w:link w:val="Sangra3detindependiente"/>
    <w:uiPriority w:val="4"/>
    <w:semiHidden/>
    <w:rsid w:val="007A4E28"/>
    <w:rPr>
      <w:noProof w:val="0"/>
      <w:sz w:val="16"/>
      <w:szCs w:val="16"/>
      <w:lang w:val="en-GB" w:eastAsia="ja-JP"/>
    </w:rPr>
  </w:style>
  <w:style w:type="character" w:styleId="Ttulodellibro">
    <w:name w:val="Book Title"/>
    <w:basedOn w:val="Fuentedeprrafopredeter"/>
    <w:uiPriority w:val="33"/>
    <w:rsid w:val="00A07D21"/>
    <w:rPr>
      <w:rFonts w:cstheme="minorBidi"/>
      <w:b/>
      <w:bCs/>
      <w:iCs w:val="0"/>
      <w:smallCaps/>
      <w:noProof w:val="0"/>
      <w:spacing w:val="5"/>
      <w:szCs w:val="24"/>
      <w:lang w:val="en-GB" w:eastAsia="ja-JP"/>
    </w:rPr>
  </w:style>
  <w:style w:type="paragraph" w:styleId="Cierre">
    <w:name w:val="Closing"/>
    <w:basedOn w:val="Normal"/>
    <w:link w:val="CierreCar"/>
    <w:uiPriority w:val="4"/>
    <w:rsid w:val="00A07D21"/>
    <w:pPr>
      <w:spacing w:after="0"/>
      <w:ind w:left="4252"/>
    </w:pPr>
  </w:style>
  <w:style w:type="character" w:customStyle="1" w:styleId="CierreCar">
    <w:name w:val="Cierre Car"/>
    <w:basedOn w:val="Fuentedeprrafopredeter"/>
    <w:link w:val="Cierre"/>
    <w:uiPriority w:val="4"/>
    <w:rsid w:val="007A4E28"/>
    <w:rPr>
      <w:noProof w:val="0"/>
      <w:sz w:val="24"/>
      <w:szCs w:val="24"/>
      <w:lang w:val="en-GB" w:eastAsia="ja-JP"/>
    </w:rPr>
  </w:style>
  <w:style w:type="table" w:styleId="Cuadrculavistosa">
    <w:name w:val="Colorful Grid"/>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vistosa">
    <w:name w:val="Colorful List"/>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dovistoso">
    <w:name w:val="Colorful Shading"/>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4"/>
    <w:rsid w:val="00A07D21"/>
    <w:rPr>
      <w:rFonts w:cstheme="minorBidi"/>
      <w:bCs w:val="0"/>
      <w:iCs w:val="0"/>
      <w:noProof w:val="0"/>
      <w:sz w:val="16"/>
      <w:szCs w:val="16"/>
      <w:lang w:val="en-GB" w:eastAsia="ja-JP"/>
    </w:rPr>
  </w:style>
  <w:style w:type="paragraph" w:styleId="Textocomentario">
    <w:name w:val="annotation text"/>
    <w:basedOn w:val="Normal"/>
    <w:link w:val="TextocomentarioCar"/>
    <w:uiPriority w:val="4"/>
    <w:rsid w:val="00A07D21"/>
    <w:rPr>
      <w:sz w:val="20"/>
    </w:rPr>
  </w:style>
  <w:style w:type="character" w:customStyle="1" w:styleId="TextocomentarioCar">
    <w:name w:val="Texto comentario Car"/>
    <w:basedOn w:val="Fuentedeprrafopredeter"/>
    <w:link w:val="Textocomentario"/>
    <w:uiPriority w:val="4"/>
    <w:rsid w:val="007A4E28"/>
    <w:rPr>
      <w:noProof w:val="0"/>
      <w:sz w:val="20"/>
      <w:szCs w:val="24"/>
      <w:lang w:val="en-GB" w:eastAsia="ja-JP"/>
    </w:rPr>
  </w:style>
  <w:style w:type="paragraph" w:styleId="Asuntodelcomentario">
    <w:name w:val="annotation subject"/>
    <w:basedOn w:val="Textocomentario"/>
    <w:next w:val="Textocomentario"/>
    <w:link w:val="AsuntodelcomentarioCar"/>
    <w:uiPriority w:val="4"/>
    <w:rsid w:val="00A07D21"/>
    <w:rPr>
      <w:b/>
      <w:bCs/>
    </w:rPr>
  </w:style>
  <w:style w:type="character" w:customStyle="1" w:styleId="AsuntodelcomentarioCar">
    <w:name w:val="Asunto del comentario Car"/>
    <w:basedOn w:val="TextocomentarioCar"/>
    <w:link w:val="Asuntodelcomentario"/>
    <w:uiPriority w:val="4"/>
    <w:rsid w:val="007A4E28"/>
    <w:rPr>
      <w:b/>
      <w:bCs/>
      <w:noProof w:val="0"/>
      <w:sz w:val="20"/>
      <w:szCs w:val="24"/>
      <w:lang w:val="en-GB" w:eastAsia="ja-JP"/>
    </w:rPr>
  </w:style>
  <w:style w:type="table" w:styleId="Listaoscura">
    <w:name w:val="Dark List"/>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A07D21"/>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Fecha">
    <w:name w:val="Date"/>
    <w:basedOn w:val="Normal"/>
    <w:next w:val="Normal"/>
    <w:link w:val="FechaCar"/>
    <w:uiPriority w:val="4"/>
    <w:rsid w:val="00A07D21"/>
  </w:style>
  <w:style w:type="character" w:customStyle="1" w:styleId="FechaCar">
    <w:name w:val="Fecha Car"/>
    <w:basedOn w:val="Fuentedeprrafopredeter"/>
    <w:link w:val="Fecha"/>
    <w:uiPriority w:val="4"/>
    <w:rsid w:val="007A4E28"/>
    <w:rPr>
      <w:noProof w:val="0"/>
      <w:sz w:val="24"/>
      <w:szCs w:val="24"/>
      <w:lang w:val="en-GB" w:eastAsia="ja-JP"/>
    </w:rPr>
  </w:style>
  <w:style w:type="paragraph" w:styleId="Mapadeldocumento">
    <w:name w:val="Document Map"/>
    <w:basedOn w:val="Normal"/>
    <w:link w:val="MapadeldocumentoCar"/>
    <w:uiPriority w:val="4"/>
    <w:rsid w:val="00A07D21"/>
    <w:pPr>
      <w:spacing w:after="0"/>
    </w:pPr>
    <w:rPr>
      <w:rFonts w:cs="Tahoma"/>
      <w:sz w:val="16"/>
      <w:szCs w:val="16"/>
    </w:rPr>
  </w:style>
  <w:style w:type="character" w:customStyle="1" w:styleId="MapadeldocumentoCar">
    <w:name w:val="Mapa del documento Car"/>
    <w:basedOn w:val="Fuentedeprrafopredeter"/>
    <w:link w:val="Mapadeldocumento"/>
    <w:uiPriority w:val="4"/>
    <w:rsid w:val="007A4E28"/>
    <w:rPr>
      <w:rFonts w:cs="Tahoma"/>
      <w:noProof w:val="0"/>
      <w:sz w:val="16"/>
      <w:szCs w:val="16"/>
      <w:lang w:val="en-GB" w:eastAsia="ja-JP"/>
    </w:rPr>
  </w:style>
  <w:style w:type="paragraph" w:styleId="Firmadecorreoelectrnico">
    <w:name w:val="E-mail Signature"/>
    <w:basedOn w:val="Normal"/>
    <w:link w:val="FirmadecorreoelectrnicoCar"/>
    <w:uiPriority w:val="4"/>
    <w:rsid w:val="00A07D21"/>
    <w:pPr>
      <w:spacing w:after="0"/>
    </w:pPr>
  </w:style>
  <w:style w:type="character" w:customStyle="1" w:styleId="FirmadecorreoelectrnicoCar">
    <w:name w:val="Firma de correo electrónico Car"/>
    <w:basedOn w:val="Fuentedeprrafopredeter"/>
    <w:link w:val="Firmadecorreoelectrnico"/>
    <w:uiPriority w:val="4"/>
    <w:rsid w:val="007A4E28"/>
    <w:rPr>
      <w:noProof w:val="0"/>
      <w:sz w:val="24"/>
      <w:szCs w:val="24"/>
      <w:lang w:val="en-GB" w:eastAsia="ja-JP"/>
    </w:rPr>
  </w:style>
  <w:style w:type="character" w:styleId="nfasis">
    <w:name w:val="Emphasis"/>
    <w:basedOn w:val="Fuentedeprrafopredeter"/>
    <w:uiPriority w:val="4"/>
    <w:rsid w:val="00A07D21"/>
    <w:rPr>
      <w:rFonts w:cstheme="minorBidi"/>
      <w:bCs w:val="0"/>
      <w:i/>
      <w:iCs/>
      <w:noProof w:val="0"/>
      <w:szCs w:val="24"/>
      <w:lang w:val="en-GB" w:eastAsia="ja-JP"/>
    </w:rPr>
  </w:style>
  <w:style w:type="character" w:styleId="Refdenotaalfinal">
    <w:name w:val="endnote reference"/>
    <w:basedOn w:val="Fuentedeprrafopredeter"/>
    <w:uiPriority w:val="4"/>
    <w:rsid w:val="00A07D21"/>
    <w:rPr>
      <w:rFonts w:cstheme="minorBidi"/>
      <w:bCs w:val="0"/>
      <w:iCs w:val="0"/>
      <w:noProof w:val="0"/>
      <w:szCs w:val="24"/>
      <w:vertAlign w:val="superscript"/>
      <w:lang w:val="en-GB" w:eastAsia="ja-JP"/>
    </w:rPr>
  </w:style>
  <w:style w:type="paragraph" w:styleId="Textonotaalfinal">
    <w:name w:val="endnote text"/>
    <w:basedOn w:val="Normal"/>
    <w:link w:val="TextonotaalfinalCar"/>
    <w:uiPriority w:val="4"/>
    <w:rsid w:val="00A07D21"/>
    <w:pPr>
      <w:spacing w:after="0"/>
    </w:pPr>
    <w:rPr>
      <w:sz w:val="20"/>
    </w:rPr>
  </w:style>
  <w:style w:type="character" w:customStyle="1" w:styleId="TextonotaalfinalCar">
    <w:name w:val="Texto nota al final Car"/>
    <w:basedOn w:val="Fuentedeprrafopredeter"/>
    <w:link w:val="Textonotaalfinal"/>
    <w:uiPriority w:val="4"/>
    <w:rsid w:val="007A4E28"/>
    <w:rPr>
      <w:noProof w:val="0"/>
      <w:sz w:val="20"/>
      <w:szCs w:val="24"/>
      <w:lang w:val="en-GB" w:eastAsia="ja-JP"/>
    </w:rPr>
  </w:style>
  <w:style w:type="paragraph" w:styleId="Direccinsobre">
    <w:name w:val="envelope address"/>
    <w:basedOn w:val="Normal"/>
    <w:uiPriority w:val="4"/>
    <w:rsid w:val="00A07D21"/>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Remitedesobre">
    <w:name w:val="envelope return"/>
    <w:basedOn w:val="Normal"/>
    <w:uiPriority w:val="4"/>
    <w:rsid w:val="00A07D21"/>
    <w:pPr>
      <w:spacing w:after="0"/>
    </w:pPr>
    <w:rPr>
      <w:rFonts w:asciiTheme="majorHAnsi" w:eastAsiaTheme="majorEastAsia" w:hAnsiTheme="majorHAnsi" w:cstheme="majorBidi"/>
      <w:sz w:val="20"/>
    </w:rPr>
  </w:style>
  <w:style w:type="character" w:styleId="Hipervnculovisitado">
    <w:name w:val="FollowedHyperlink"/>
    <w:basedOn w:val="Fuentedeprrafopredeter"/>
    <w:uiPriority w:val="4"/>
    <w:rsid w:val="00A07D21"/>
    <w:rPr>
      <w:rFonts w:cstheme="minorBidi"/>
      <w:bCs w:val="0"/>
      <w:iCs w:val="0"/>
      <w:noProof w:val="0"/>
      <w:color w:val="800080" w:themeColor="followedHyperlink"/>
      <w:szCs w:val="24"/>
      <w:u w:val="single"/>
      <w:lang w:val="en-GB" w:eastAsia="ja-JP"/>
    </w:rPr>
  </w:style>
  <w:style w:type="character" w:styleId="AcrnimoHTML">
    <w:name w:val="HTML Acronym"/>
    <w:basedOn w:val="Fuentedeprrafopredeter"/>
    <w:uiPriority w:val="4"/>
    <w:rsid w:val="00A07D21"/>
    <w:rPr>
      <w:rFonts w:cstheme="minorBidi"/>
      <w:bCs w:val="0"/>
      <w:iCs w:val="0"/>
      <w:noProof w:val="0"/>
      <w:szCs w:val="24"/>
      <w:lang w:val="en-GB" w:eastAsia="ja-JP"/>
    </w:rPr>
  </w:style>
  <w:style w:type="paragraph" w:styleId="DireccinHTML">
    <w:name w:val="HTML Address"/>
    <w:basedOn w:val="Normal"/>
    <w:link w:val="DireccinHTMLCar"/>
    <w:uiPriority w:val="4"/>
    <w:rsid w:val="00A07D21"/>
    <w:pPr>
      <w:spacing w:after="0"/>
    </w:pPr>
    <w:rPr>
      <w:i/>
      <w:iCs/>
    </w:rPr>
  </w:style>
  <w:style w:type="character" w:customStyle="1" w:styleId="DireccinHTMLCar">
    <w:name w:val="Dirección HTML Car"/>
    <w:basedOn w:val="Fuentedeprrafopredeter"/>
    <w:link w:val="DireccinHTML"/>
    <w:uiPriority w:val="4"/>
    <w:rsid w:val="007A4E28"/>
    <w:rPr>
      <w:i/>
      <w:iCs/>
      <w:noProof w:val="0"/>
      <w:sz w:val="24"/>
      <w:szCs w:val="24"/>
      <w:lang w:val="en-GB" w:eastAsia="ja-JP"/>
    </w:rPr>
  </w:style>
  <w:style w:type="character" w:styleId="CitaHTML">
    <w:name w:val="HTML Cite"/>
    <w:basedOn w:val="Fuentedeprrafopredeter"/>
    <w:uiPriority w:val="4"/>
    <w:rsid w:val="00A07D21"/>
    <w:rPr>
      <w:rFonts w:cstheme="minorBidi"/>
      <w:bCs w:val="0"/>
      <w:i/>
      <w:iCs/>
      <w:noProof w:val="0"/>
      <w:szCs w:val="24"/>
      <w:lang w:val="en-GB" w:eastAsia="ja-JP"/>
    </w:rPr>
  </w:style>
  <w:style w:type="character" w:styleId="CdigoHTML">
    <w:name w:val="HTML Code"/>
    <w:basedOn w:val="Fuentedeprrafopredeter"/>
    <w:uiPriority w:val="4"/>
    <w:rsid w:val="00A07D21"/>
    <w:rPr>
      <w:rFonts w:ascii="Consolas" w:hAnsi="Consolas" w:cs="Consolas"/>
      <w:bCs w:val="0"/>
      <w:iCs w:val="0"/>
      <w:noProof w:val="0"/>
      <w:sz w:val="20"/>
      <w:szCs w:val="20"/>
      <w:lang w:val="en-GB" w:eastAsia="ja-JP"/>
    </w:rPr>
  </w:style>
  <w:style w:type="character" w:styleId="DefinicinHTML">
    <w:name w:val="HTML Definition"/>
    <w:basedOn w:val="Fuentedeprrafopredeter"/>
    <w:uiPriority w:val="4"/>
    <w:rsid w:val="00A07D21"/>
    <w:rPr>
      <w:rFonts w:cstheme="minorBidi"/>
      <w:bCs w:val="0"/>
      <w:i/>
      <w:iCs/>
      <w:noProof w:val="0"/>
      <w:szCs w:val="24"/>
      <w:lang w:val="en-GB" w:eastAsia="ja-JP"/>
    </w:rPr>
  </w:style>
  <w:style w:type="character" w:styleId="TecladoHTML">
    <w:name w:val="HTML Keyboard"/>
    <w:basedOn w:val="Fuentedeprrafopredeter"/>
    <w:uiPriority w:val="4"/>
    <w:rsid w:val="00A07D21"/>
    <w:rPr>
      <w:rFonts w:ascii="Consolas" w:hAnsi="Consolas" w:cs="Consolas"/>
      <w:bCs w:val="0"/>
      <w:iCs w:val="0"/>
      <w:noProof w:val="0"/>
      <w:sz w:val="20"/>
      <w:szCs w:val="20"/>
      <w:lang w:val="en-GB" w:eastAsia="ja-JP"/>
    </w:rPr>
  </w:style>
  <w:style w:type="paragraph" w:styleId="HTMLconformatoprevio">
    <w:name w:val="HTML Preformatted"/>
    <w:basedOn w:val="Normal"/>
    <w:link w:val="HTMLconformatoprevioCar"/>
    <w:uiPriority w:val="4"/>
    <w:rsid w:val="00A07D21"/>
    <w:pPr>
      <w:spacing w:after="0"/>
    </w:pPr>
    <w:rPr>
      <w:rFonts w:ascii="Consolas" w:hAnsi="Consolas" w:cs="Consolas"/>
      <w:sz w:val="20"/>
    </w:rPr>
  </w:style>
  <w:style w:type="character" w:customStyle="1" w:styleId="HTMLconformatoprevioCar">
    <w:name w:val="HTML con formato previo Car"/>
    <w:basedOn w:val="Fuentedeprrafopredeter"/>
    <w:link w:val="HTMLconformatoprevio"/>
    <w:uiPriority w:val="4"/>
    <w:rsid w:val="007A4E28"/>
    <w:rPr>
      <w:rFonts w:ascii="Consolas" w:hAnsi="Consolas" w:cs="Consolas"/>
      <w:noProof w:val="0"/>
      <w:sz w:val="20"/>
      <w:szCs w:val="24"/>
      <w:lang w:val="en-GB" w:eastAsia="ja-JP"/>
    </w:rPr>
  </w:style>
  <w:style w:type="character" w:styleId="EjemplodeHTML">
    <w:name w:val="HTML Sample"/>
    <w:basedOn w:val="Fuentedeprrafopredeter"/>
    <w:uiPriority w:val="4"/>
    <w:rsid w:val="00A07D21"/>
    <w:rPr>
      <w:rFonts w:ascii="Consolas" w:hAnsi="Consolas" w:cs="Consolas"/>
      <w:bCs w:val="0"/>
      <w:iCs w:val="0"/>
      <w:noProof w:val="0"/>
      <w:sz w:val="24"/>
      <w:szCs w:val="24"/>
      <w:lang w:val="en-GB" w:eastAsia="ja-JP"/>
    </w:rPr>
  </w:style>
  <w:style w:type="character" w:styleId="MquinadeescribirHTML">
    <w:name w:val="HTML Typewriter"/>
    <w:basedOn w:val="Fuentedeprrafopredeter"/>
    <w:uiPriority w:val="4"/>
    <w:rsid w:val="00A07D21"/>
    <w:rPr>
      <w:rFonts w:ascii="Consolas" w:hAnsi="Consolas" w:cs="Consolas"/>
      <w:bCs w:val="0"/>
      <w:iCs w:val="0"/>
      <w:noProof w:val="0"/>
      <w:sz w:val="20"/>
      <w:szCs w:val="20"/>
      <w:lang w:val="en-GB" w:eastAsia="ja-JP"/>
    </w:rPr>
  </w:style>
  <w:style w:type="character" w:styleId="VariableHTML">
    <w:name w:val="HTML Variable"/>
    <w:basedOn w:val="Fuentedeprrafopredeter"/>
    <w:uiPriority w:val="4"/>
    <w:rsid w:val="00A07D21"/>
    <w:rPr>
      <w:rFonts w:cstheme="minorBidi"/>
      <w:bCs w:val="0"/>
      <w:i/>
      <w:iCs/>
      <w:noProof w:val="0"/>
      <w:szCs w:val="24"/>
      <w:lang w:val="en-GB" w:eastAsia="ja-JP"/>
    </w:rPr>
  </w:style>
  <w:style w:type="character" w:styleId="Hipervnculo">
    <w:name w:val="Hyperlink"/>
    <w:basedOn w:val="Fuentedeprrafopredeter"/>
    <w:uiPriority w:val="4"/>
    <w:rsid w:val="00A07D21"/>
    <w:rPr>
      <w:rFonts w:cstheme="minorBidi"/>
      <w:bCs w:val="0"/>
      <w:iCs w:val="0"/>
      <w:noProof w:val="0"/>
      <w:color w:val="0000FF" w:themeColor="hyperlink"/>
      <w:szCs w:val="24"/>
      <w:u w:val="single"/>
      <w:lang w:val="en-GB" w:eastAsia="ja-JP"/>
    </w:rPr>
  </w:style>
  <w:style w:type="paragraph" w:styleId="ndice1">
    <w:name w:val="index 1"/>
    <w:basedOn w:val="Normal"/>
    <w:next w:val="Normal"/>
    <w:autoRedefine/>
    <w:uiPriority w:val="4"/>
    <w:rsid w:val="00A07D21"/>
    <w:pPr>
      <w:spacing w:after="0"/>
      <w:ind w:left="240" w:hanging="240"/>
    </w:pPr>
  </w:style>
  <w:style w:type="paragraph" w:styleId="ndice2">
    <w:name w:val="index 2"/>
    <w:basedOn w:val="Normal"/>
    <w:next w:val="Normal"/>
    <w:autoRedefine/>
    <w:uiPriority w:val="4"/>
    <w:rsid w:val="00A07D21"/>
    <w:pPr>
      <w:spacing w:after="0"/>
      <w:ind w:left="480" w:hanging="240"/>
    </w:pPr>
  </w:style>
  <w:style w:type="paragraph" w:styleId="ndice3">
    <w:name w:val="index 3"/>
    <w:basedOn w:val="Normal"/>
    <w:next w:val="Normal"/>
    <w:autoRedefine/>
    <w:uiPriority w:val="4"/>
    <w:rsid w:val="00A07D21"/>
    <w:pPr>
      <w:spacing w:after="0"/>
      <w:ind w:left="720" w:hanging="240"/>
    </w:pPr>
  </w:style>
  <w:style w:type="paragraph" w:styleId="ndice4">
    <w:name w:val="index 4"/>
    <w:basedOn w:val="Normal"/>
    <w:next w:val="Normal"/>
    <w:autoRedefine/>
    <w:uiPriority w:val="4"/>
    <w:rsid w:val="00A07D21"/>
    <w:pPr>
      <w:spacing w:after="0"/>
      <w:ind w:left="960" w:hanging="240"/>
    </w:pPr>
  </w:style>
  <w:style w:type="paragraph" w:styleId="ndice5">
    <w:name w:val="index 5"/>
    <w:basedOn w:val="Normal"/>
    <w:next w:val="Normal"/>
    <w:autoRedefine/>
    <w:uiPriority w:val="4"/>
    <w:rsid w:val="00A07D21"/>
    <w:pPr>
      <w:spacing w:after="0"/>
      <w:ind w:left="1200" w:hanging="240"/>
    </w:pPr>
  </w:style>
  <w:style w:type="paragraph" w:styleId="ndice6">
    <w:name w:val="index 6"/>
    <w:basedOn w:val="Normal"/>
    <w:next w:val="Normal"/>
    <w:autoRedefine/>
    <w:uiPriority w:val="4"/>
    <w:rsid w:val="00A07D21"/>
    <w:pPr>
      <w:spacing w:after="0"/>
      <w:ind w:left="1440" w:hanging="240"/>
    </w:pPr>
  </w:style>
  <w:style w:type="paragraph" w:styleId="ndice7">
    <w:name w:val="index 7"/>
    <w:basedOn w:val="Normal"/>
    <w:next w:val="Normal"/>
    <w:autoRedefine/>
    <w:uiPriority w:val="4"/>
    <w:rsid w:val="00A07D21"/>
    <w:pPr>
      <w:spacing w:after="0"/>
      <w:ind w:left="1680" w:hanging="240"/>
    </w:pPr>
  </w:style>
  <w:style w:type="paragraph" w:styleId="ndice8">
    <w:name w:val="index 8"/>
    <w:basedOn w:val="Normal"/>
    <w:next w:val="Normal"/>
    <w:autoRedefine/>
    <w:uiPriority w:val="4"/>
    <w:rsid w:val="00A07D21"/>
    <w:pPr>
      <w:spacing w:after="0"/>
      <w:ind w:left="1920" w:hanging="240"/>
    </w:pPr>
  </w:style>
  <w:style w:type="paragraph" w:styleId="ndice9">
    <w:name w:val="index 9"/>
    <w:basedOn w:val="Normal"/>
    <w:next w:val="Normal"/>
    <w:autoRedefine/>
    <w:uiPriority w:val="4"/>
    <w:rsid w:val="00A07D21"/>
    <w:pPr>
      <w:spacing w:after="0"/>
      <w:ind w:left="2160" w:hanging="240"/>
    </w:pPr>
  </w:style>
  <w:style w:type="paragraph" w:styleId="Ttulodendice">
    <w:name w:val="index heading"/>
    <w:basedOn w:val="Normal"/>
    <w:next w:val="ndice1"/>
    <w:uiPriority w:val="4"/>
    <w:rsid w:val="00A07D21"/>
    <w:rPr>
      <w:rFonts w:asciiTheme="majorHAnsi" w:eastAsiaTheme="majorEastAsia" w:hAnsiTheme="majorHAnsi" w:cstheme="majorBidi"/>
      <w:b/>
      <w:bCs/>
    </w:rPr>
  </w:style>
  <w:style w:type="character" w:styleId="nfasisintenso">
    <w:name w:val="Intense Emphasis"/>
    <w:basedOn w:val="Fuentedeprrafopredeter"/>
    <w:uiPriority w:val="21"/>
    <w:rsid w:val="00A07D21"/>
    <w:rPr>
      <w:rFonts w:cstheme="minorBidi"/>
      <w:b/>
      <w:bCs/>
      <w:i/>
      <w:iCs/>
      <w:noProof w:val="0"/>
      <w:color w:val="4F81BD" w:themeColor="accent1"/>
      <w:szCs w:val="24"/>
      <w:lang w:val="en-GB" w:eastAsia="ja-JP"/>
    </w:rPr>
  </w:style>
  <w:style w:type="paragraph" w:styleId="Citadestacada">
    <w:name w:val="Intense Quote"/>
    <w:basedOn w:val="Normal"/>
    <w:next w:val="Normal"/>
    <w:link w:val="CitadestacadaCar"/>
    <w:uiPriority w:val="30"/>
    <w:rsid w:val="00A07D2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07D21"/>
    <w:rPr>
      <w:b/>
      <w:bCs/>
      <w:i/>
      <w:iCs/>
      <w:noProof w:val="0"/>
      <w:color w:val="4F81BD" w:themeColor="accent1"/>
      <w:sz w:val="24"/>
      <w:szCs w:val="24"/>
      <w:lang w:val="en-GB" w:eastAsia="ja-JP"/>
    </w:rPr>
  </w:style>
  <w:style w:type="character" w:styleId="Referenciaintensa">
    <w:name w:val="Intense Reference"/>
    <w:basedOn w:val="Fuentedeprrafopredeter"/>
    <w:uiPriority w:val="32"/>
    <w:rsid w:val="00A07D21"/>
    <w:rPr>
      <w:rFonts w:cstheme="minorBidi"/>
      <w:b/>
      <w:bCs/>
      <w:iCs w:val="0"/>
      <w:smallCaps/>
      <w:noProof w:val="0"/>
      <w:color w:val="C0504D" w:themeColor="accent2"/>
      <w:spacing w:val="5"/>
      <w:szCs w:val="24"/>
      <w:u w:val="single"/>
      <w:lang w:val="en-GB" w:eastAsia="ja-JP"/>
    </w:rPr>
  </w:style>
  <w:style w:type="table" w:styleId="Cuadrculaclara">
    <w:name w:val="Light Grid"/>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3">
    <w:name w:val="Light Grid Accent 3"/>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4">
    <w:name w:val="Light Grid Accent 4"/>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Cuadrculaclara-nfasis5">
    <w:name w:val="Light Grid Accent 5"/>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6">
    <w:name w:val="Light Grid Accent 6"/>
    <w:basedOn w:val="Tablanormal"/>
    <w:uiPriority w:val="62"/>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
    <w:name w:val="Light List"/>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2">
    <w:name w:val="Light List Accent 2"/>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3">
    <w:name w:val="Light List Accent 3"/>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4">
    <w:name w:val="Light List Accent 4"/>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claro">
    <w:name w:val="Light Shading"/>
    <w:basedOn w:val="Tablanormal"/>
    <w:uiPriority w:val="60"/>
    <w:rsid w:val="00A07D21"/>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A07D21"/>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A07D21"/>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07D21"/>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A07D21"/>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A07D21"/>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A07D21"/>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merodelnea">
    <w:name w:val="line number"/>
    <w:basedOn w:val="Fuentedeprrafopredeter"/>
    <w:uiPriority w:val="4"/>
    <w:rsid w:val="00A07D21"/>
    <w:rPr>
      <w:rFonts w:cstheme="minorBidi"/>
      <w:bCs w:val="0"/>
      <w:iCs w:val="0"/>
      <w:noProof w:val="0"/>
      <w:szCs w:val="24"/>
      <w:lang w:val="en-GB" w:eastAsia="ja-JP"/>
    </w:rPr>
  </w:style>
  <w:style w:type="paragraph" w:styleId="Lista">
    <w:name w:val="List"/>
    <w:basedOn w:val="Normal"/>
    <w:uiPriority w:val="4"/>
    <w:rsid w:val="008A75BF"/>
    <w:pPr>
      <w:spacing w:after="120" w:line="260" w:lineRule="atLeast"/>
      <w:ind w:left="360" w:hanging="360"/>
    </w:pPr>
  </w:style>
  <w:style w:type="paragraph" w:styleId="Lista2">
    <w:name w:val="List 2"/>
    <w:basedOn w:val="Normal"/>
    <w:uiPriority w:val="4"/>
    <w:rsid w:val="008A75BF"/>
    <w:pPr>
      <w:ind w:left="720" w:hanging="360"/>
      <w:contextualSpacing/>
    </w:pPr>
  </w:style>
  <w:style w:type="paragraph" w:styleId="Lista3">
    <w:name w:val="List 3"/>
    <w:basedOn w:val="Normal"/>
    <w:uiPriority w:val="4"/>
    <w:rsid w:val="00A07D21"/>
    <w:pPr>
      <w:ind w:left="849" w:hanging="283"/>
      <w:contextualSpacing/>
    </w:pPr>
  </w:style>
  <w:style w:type="paragraph" w:styleId="Lista4">
    <w:name w:val="List 4"/>
    <w:basedOn w:val="Normal"/>
    <w:uiPriority w:val="4"/>
    <w:rsid w:val="00A07D21"/>
    <w:pPr>
      <w:ind w:left="1132" w:hanging="283"/>
      <w:contextualSpacing/>
    </w:pPr>
  </w:style>
  <w:style w:type="paragraph" w:styleId="Lista5">
    <w:name w:val="List 5"/>
    <w:basedOn w:val="Normal"/>
    <w:uiPriority w:val="4"/>
    <w:rsid w:val="00A07D21"/>
    <w:pPr>
      <w:ind w:left="1415" w:hanging="283"/>
      <w:contextualSpacing/>
    </w:pPr>
  </w:style>
  <w:style w:type="paragraph" w:styleId="Listaconvietas3">
    <w:name w:val="List Bullet 3"/>
    <w:basedOn w:val="Normal"/>
    <w:qFormat/>
    <w:rsid w:val="006272E5"/>
    <w:pPr>
      <w:numPr>
        <w:ilvl w:val="6"/>
        <w:numId w:val="10"/>
      </w:numPr>
      <w:spacing w:after="120" w:line="260" w:lineRule="atLeast"/>
      <w:outlineLvl w:val="6"/>
    </w:pPr>
    <w:rPr>
      <w:rFonts w:cstheme="minorHAnsi"/>
      <w:szCs w:val="20"/>
    </w:rPr>
  </w:style>
  <w:style w:type="paragraph" w:styleId="Listaconvietas4">
    <w:name w:val="List Bullet 4"/>
    <w:basedOn w:val="Normal"/>
    <w:qFormat/>
    <w:rsid w:val="006272E5"/>
    <w:pPr>
      <w:numPr>
        <w:ilvl w:val="7"/>
        <w:numId w:val="10"/>
      </w:numPr>
      <w:spacing w:after="120" w:line="260" w:lineRule="atLeast"/>
      <w:outlineLvl w:val="7"/>
    </w:pPr>
    <w:rPr>
      <w:rFonts w:cstheme="minorHAnsi"/>
      <w:szCs w:val="20"/>
    </w:rPr>
  </w:style>
  <w:style w:type="paragraph" w:styleId="Listaconvietas5">
    <w:name w:val="List Bullet 5"/>
    <w:basedOn w:val="Normal"/>
    <w:rsid w:val="00F03C22"/>
    <w:pPr>
      <w:numPr>
        <w:numId w:val="8"/>
      </w:numPr>
      <w:spacing w:after="120"/>
      <w:ind w:left="1797" w:hanging="357"/>
      <w:contextualSpacing/>
    </w:pPr>
  </w:style>
  <w:style w:type="paragraph" w:styleId="Continuarlista">
    <w:name w:val="List Continue"/>
    <w:basedOn w:val="Normal"/>
    <w:uiPriority w:val="4"/>
    <w:rsid w:val="00A07D21"/>
    <w:pPr>
      <w:spacing w:after="120"/>
      <w:ind w:left="283"/>
      <w:contextualSpacing/>
    </w:pPr>
  </w:style>
  <w:style w:type="paragraph" w:styleId="Continuarlista2">
    <w:name w:val="List Continue 2"/>
    <w:basedOn w:val="Normal"/>
    <w:uiPriority w:val="4"/>
    <w:rsid w:val="00A07D21"/>
    <w:pPr>
      <w:spacing w:after="120"/>
      <w:ind w:left="566"/>
      <w:contextualSpacing/>
    </w:pPr>
  </w:style>
  <w:style w:type="paragraph" w:styleId="Continuarlista3">
    <w:name w:val="List Continue 3"/>
    <w:basedOn w:val="Normal"/>
    <w:uiPriority w:val="4"/>
    <w:rsid w:val="00A07D21"/>
    <w:pPr>
      <w:spacing w:after="120"/>
      <w:ind w:left="849"/>
      <w:contextualSpacing/>
    </w:pPr>
  </w:style>
  <w:style w:type="paragraph" w:styleId="Continuarlista4">
    <w:name w:val="List Continue 4"/>
    <w:basedOn w:val="Normal"/>
    <w:uiPriority w:val="4"/>
    <w:rsid w:val="00A07D21"/>
    <w:pPr>
      <w:spacing w:after="120"/>
      <w:ind w:left="1132"/>
      <w:contextualSpacing/>
    </w:pPr>
  </w:style>
  <w:style w:type="paragraph" w:styleId="Continuarlista5">
    <w:name w:val="List Continue 5"/>
    <w:basedOn w:val="Normal"/>
    <w:uiPriority w:val="4"/>
    <w:rsid w:val="00A07D21"/>
    <w:pPr>
      <w:spacing w:after="120"/>
      <w:ind w:left="1415"/>
      <w:contextualSpacing/>
    </w:pPr>
  </w:style>
  <w:style w:type="paragraph" w:styleId="Listaconnmeros2">
    <w:name w:val="List Number 2"/>
    <w:basedOn w:val="Normal"/>
    <w:qFormat/>
    <w:rsid w:val="006272E5"/>
    <w:pPr>
      <w:numPr>
        <w:ilvl w:val="6"/>
        <w:numId w:val="11"/>
      </w:numPr>
      <w:spacing w:after="120" w:line="260" w:lineRule="atLeast"/>
      <w:outlineLvl w:val="6"/>
    </w:pPr>
    <w:rPr>
      <w:rFonts w:cstheme="minorHAnsi"/>
      <w:szCs w:val="20"/>
    </w:rPr>
  </w:style>
  <w:style w:type="paragraph" w:styleId="Listaconnmeros3">
    <w:name w:val="List Number 3"/>
    <w:basedOn w:val="Normal"/>
    <w:qFormat/>
    <w:rsid w:val="006272E5"/>
    <w:pPr>
      <w:numPr>
        <w:ilvl w:val="7"/>
        <w:numId w:val="11"/>
      </w:numPr>
      <w:spacing w:after="120" w:line="260" w:lineRule="atLeast"/>
      <w:outlineLvl w:val="7"/>
    </w:pPr>
    <w:rPr>
      <w:rFonts w:cstheme="minorHAnsi"/>
      <w:szCs w:val="20"/>
    </w:rPr>
  </w:style>
  <w:style w:type="paragraph" w:styleId="Listaconnmeros4">
    <w:name w:val="List Number 4"/>
    <w:basedOn w:val="Normal"/>
    <w:qFormat/>
    <w:rsid w:val="006272E5"/>
    <w:pPr>
      <w:numPr>
        <w:ilvl w:val="8"/>
        <w:numId w:val="11"/>
      </w:numPr>
      <w:spacing w:after="120" w:line="260" w:lineRule="atLeast"/>
      <w:outlineLvl w:val="8"/>
    </w:pPr>
    <w:rPr>
      <w:rFonts w:cstheme="minorHAnsi"/>
      <w:szCs w:val="20"/>
    </w:rPr>
  </w:style>
  <w:style w:type="paragraph" w:styleId="Listaconnmeros5">
    <w:name w:val="List Number 5"/>
    <w:basedOn w:val="Normal"/>
    <w:rsid w:val="00B35E4A"/>
    <w:pPr>
      <w:numPr>
        <w:numId w:val="9"/>
      </w:numPr>
      <w:spacing w:after="120"/>
      <w:ind w:left="1797" w:hanging="357"/>
      <w:contextualSpacing/>
    </w:pPr>
  </w:style>
  <w:style w:type="paragraph" w:styleId="Prrafodelista">
    <w:name w:val="List Paragraph"/>
    <w:basedOn w:val="Normal"/>
    <w:uiPriority w:val="1"/>
    <w:qFormat/>
    <w:rsid w:val="00A07D21"/>
    <w:pPr>
      <w:ind w:left="720"/>
    </w:pPr>
  </w:style>
  <w:style w:type="paragraph" w:styleId="Textomacro">
    <w:name w:val="macro"/>
    <w:link w:val="TextomacroCar"/>
    <w:uiPriority w:val="4"/>
    <w:rsid w:val="00A07D2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lang w:val="en-GB" w:eastAsia="ja-JP"/>
    </w:rPr>
  </w:style>
  <w:style w:type="character" w:customStyle="1" w:styleId="TextomacroCar">
    <w:name w:val="Texto macro Car"/>
    <w:basedOn w:val="Fuentedeprrafopredeter"/>
    <w:link w:val="Textomacro"/>
    <w:uiPriority w:val="4"/>
    <w:rsid w:val="007A4E28"/>
    <w:rPr>
      <w:rFonts w:ascii="Consolas" w:hAnsi="Consolas" w:cs="Consolas"/>
      <w:noProof w:val="0"/>
      <w:sz w:val="20"/>
      <w:szCs w:val="20"/>
      <w:lang w:val="en-GB" w:eastAsia="ja-JP"/>
    </w:rPr>
  </w:style>
  <w:style w:type="table" w:styleId="Cuadrculamedia1">
    <w:name w:val="Medium Grid 1"/>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3-nfasis2">
    <w:name w:val="Medium Grid 3 Accent 2"/>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3-nfasis6">
    <w:name w:val="Medium Grid 3 Accent 6"/>
    <w:basedOn w:val="Tablanormal"/>
    <w:uiPriority w:val="69"/>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media1">
    <w:name w:val="Medium List 1"/>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A07D21"/>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A07D21"/>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A07D2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4"/>
    <w:rsid w:val="00A07D2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4"/>
    <w:rsid w:val="007A4E28"/>
    <w:rPr>
      <w:rFonts w:asciiTheme="majorHAnsi" w:eastAsiaTheme="majorEastAsia" w:hAnsiTheme="majorHAnsi" w:cstheme="majorBidi"/>
      <w:noProof w:val="0"/>
      <w:sz w:val="24"/>
      <w:szCs w:val="24"/>
      <w:shd w:val="pct20" w:color="auto" w:fill="auto"/>
      <w:lang w:val="en-GB" w:eastAsia="ja-JP"/>
    </w:rPr>
  </w:style>
  <w:style w:type="paragraph" w:styleId="Sinespaciado">
    <w:name w:val="No Spacing"/>
    <w:uiPriority w:val="9"/>
    <w:rsid w:val="00A07D21"/>
    <w:pPr>
      <w:spacing w:after="0" w:line="240" w:lineRule="auto"/>
    </w:pPr>
    <w:rPr>
      <w:sz w:val="24"/>
      <w:szCs w:val="24"/>
      <w:lang w:val="en-GB" w:eastAsia="ja-JP"/>
    </w:rPr>
  </w:style>
  <w:style w:type="paragraph" w:styleId="NormalWeb">
    <w:name w:val="Normal (Web)"/>
    <w:basedOn w:val="Normal"/>
    <w:uiPriority w:val="4"/>
    <w:rsid w:val="00A07D21"/>
  </w:style>
  <w:style w:type="paragraph" w:styleId="Sangranormal">
    <w:name w:val="Normal Indent"/>
    <w:basedOn w:val="Normal"/>
    <w:uiPriority w:val="4"/>
    <w:rsid w:val="00A07D21"/>
    <w:pPr>
      <w:ind w:left="720"/>
    </w:pPr>
  </w:style>
  <w:style w:type="paragraph" w:styleId="Encabezadodenota">
    <w:name w:val="Note Heading"/>
    <w:basedOn w:val="Normal"/>
    <w:next w:val="Normal"/>
    <w:link w:val="EncabezadodenotaCar"/>
    <w:uiPriority w:val="4"/>
    <w:rsid w:val="00A07D21"/>
    <w:pPr>
      <w:spacing w:before="200" w:line="200" w:lineRule="atLeast"/>
    </w:pPr>
    <w:rPr>
      <w:rFonts w:asciiTheme="majorHAnsi" w:eastAsiaTheme="majorEastAsia" w:hAnsiTheme="majorHAnsi" w:cstheme="majorBidi"/>
      <w:sz w:val="16"/>
      <w:szCs w:val="16"/>
    </w:rPr>
  </w:style>
  <w:style w:type="character" w:customStyle="1" w:styleId="EncabezadodenotaCar">
    <w:name w:val="Encabezado de nota Car"/>
    <w:basedOn w:val="Fuentedeprrafopredeter"/>
    <w:link w:val="Encabezadodenota"/>
    <w:uiPriority w:val="4"/>
    <w:rsid w:val="007A4E28"/>
    <w:rPr>
      <w:rFonts w:asciiTheme="majorHAnsi" w:eastAsiaTheme="majorEastAsia" w:hAnsiTheme="majorHAnsi" w:cstheme="majorBidi"/>
      <w:noProof w:val="0"/>
      <w:sz w:val="16"/>
      <w:szCs w:val="16"/>
      <w:lang w:val="en-GB" w:eastAsia="ja-JP"/>
    </w:rPr>
  </w:style>
  <w:style w:type="paragraph" w:styleId="Textosinformato">
    <w:name w:val="Plain Text"/>
    <w:basedOn w:val="Normal"/>
    <w:link w:val="TextosinformatoCar"/>
    <w:uiPriority w:val="4"/>
    <w:rsid w:val="00A07D21"/>
    <w:pPr>
      <w:spacing w:after="0"/>
    </w:pPr>
    <w:rPr>
      <w:rFonts w:ascii="Consolas" w:hAnsi="Consolas" w:cs="Consolas"/>
      <w:sz w:val="21"/>
      <w:szCs w:val="21"/>
    </w:rPr>
  </w:style>
  <w:style w:type="character" w:customStyle="1" w:styleId="TextosinformatoCar">
    <w:name w:val="Texto sin formato Car"/>
    <w:basedOn w:val="Fuentedeprrafopredeter"/>
    <w:link w:val="Textosinformato"/>
    <w:uiPriority w:val="4"/>
    <w:rsid w:val="007A4E28"/>
    <w:rPr>
      <w:rFonts w:ascii="Consolas" w:hAnsi="Consolas" w:cs="Consolas"/>
      <w:noProof w:val="0"/>
      <w:sz w:val="21"/>
      <w:szCs w:val="21"/>
      <w:lang w:val="en-GB" w:eastAsia="ja-JP"/>
    </w:rPr>
  </w:style>
  <w:style w:type="paragraph" w:styleId="Cita">
    <w:name w:val="Quote"/>
    <w:basedOn w:val="Normal"/>
    <w:next w:val="Normal"/>
    <w:link w:val="CitaCar"/>
    <w:uiPriority w:val="29"/>
    <w:rsid w:val="00A07D21"/>
    <w:rPr>
      <w:i/>
      <w:iCs/>
      <w:color w:val="000000" w:themeColor="text1"/>
    </w:rPr>
  </w:style>
  <w:style w:type="character" w:customStyle="1" w:styleId="CitaCar">
    <w:name w:val="Cita Car"/>
    <w:basedOn w:val="Fuentedeprrafopredeter"/>
    <w:link w:val="Cita"/>
    <w:uiPriority w:val="29"/>
    <w:rsid w:val="00A07D21"/>
    <w:rPr>
      <w:i/>
      <w:iCs/>
      <w:noProof w:val="0"/>
      <w:color w:val="000000" w:themeColor="text1"/>
      <w:sz w:val="24"/>
      <w:szCs w:val="24"/>
      <w:lang w:val="en-GB" w:eastAsia="ja-JP"/>
    </w:rPr>
  </w:style>
  <w:style w:type="paragraph" w:styleId="Saludo">
    <w:name w:val="Salutation"/>
    <w:basedOn w:val="Normal"/>
    <w:next w:val="Normal"/>
    <w:link w:val="SaludoCar"/>
    <w:uiPriority w:val="4"/>
    <w:rsid w:val="00A07D21"/>
  </w:style>
  <w:style w:type="character" w:customStyle="1" w:styleId="SaludoCar">
    <w:name w:val="Saludo Car"/>
    <w:basedOn w:val="Fuentedeprrafopredeter"/>
    <w:link w:val="Saludo"/>
    <w:uiPriority w:val="4"/>
    <w:rsid w:val="007A4E28"/>
    <w:rPr>
      <w:noProof w:val="0"/>
      <w:sz w:val="24"/>
      <w:szCs w:val="24"/>
      <w:lang w:val="en-GB" w:eastAsia="ja-JP"/>
    </w:rPr>
  </w:style>
  <w:style w:type="paragraph" w:styleId="Firma">
    <w:name w:val="Signature"/>
    <w:basedOn w:val="Normal"/>
    <w:link w:val="FirmaCar"/>
    <w:uiPriority w:val="4"/>
    <w:rsid w:val="00A07D21"/>
    <w:pPr>
      <w:spacing w:after="0"/>
      <w:ind w:left="4252"/>
    </w:pPr>
  </w:style>
  <w:style w:type="character" w:customStyle="1" w:styleId="FirmaCar">
    <w:name w:val="Firma Car"/>
    <w:basedOn w:val="Fuentedeprrafopredeter"/>
    <w:link w:val="Firma"/>
    <w:uiPriority w:val="4"/>
    <w:rsid w:val="007A4E28"/>
    <w:rPr>
      <w:noProof w:val="0"/>
      <w:sz w:val="24"/>
      <w:szCs w:val="24"/>
      <w:lang w:val="en-GB" w:eastAsia="ja-JP"/>
    </w:rPr>
  </w:style>
  <w:style w:type="character" w:styleId="Textoennegrita">
    <w:name w:val="Strong"/>
    <w:basedOn w:val="Fuentedeprrafopredeter"/>
    <w:uiPriority w:val="4"/>
    <w:rsid w:val="00A07D21"/>
    <w:rPr>
      <w:rFonts w:cstheme="minorBidi"/>
      <w:b/>
      <w:bCs/>
      <w:iCs w:val="0"/>
      <w:noProof w:val="0"/>
      <w:szCs w:val="24"/>
      <w:lang w:val="en-GB" w:eastAsia="ja-JP"/>
    </w:rPr>
  </w:style>
  <w:style w:type="character" w:styleId="nfasissutil">
    <w:name w:val="Subtle Emphasis"/>
    <w:basedOn w:val="Fuentedeprrafopredeter"/>
    <w:uiPriority w:val="19"/>
    <w:rsid w:val="00A07D21"/>
    <w:rPr>
      <w:rFonts w:cstheme="minorBidi"/>
      <w:bCs w:val="0"/>
      <w:i/>
      <w:iCs/>
      <w:noProof w:val="0"/>
      <w:color w:val="808080" w:themeColor="text1" w:themeTint="7F"/>
      <w:szCs w:val="24"/>
      <w:lang w:val="en-GB" w:eastAsia="ja-JP"/>
    </w:rPr>
  </w:style>
  <w:style w:type="character" w:styleId="Referenciasutil">
    <w:name w:val="Subtle Reference"/>
    <w:basedOn w:val="Fuentedeprrafopredeter"/>
    <w:uiPriority w:val="31"/>
    <w:rsid w:val="00A07D21"/>
    <w:rPr>
      <w:rFonts w:cstheme="minorBidi"/>
      <w:bCs w:val="0"/>
      <w:iCs w:val="0"/>
      <w:smallCaps/>
      <w:noProof w:val="0"/>
      <w:color w:val="C0504D" w:themeColor="accent2"/>
      <w:szCs w:val="24"/>
      <w:u w:val="single"/>
      <w:lang w:val="en-GB" w:eastAsia="ja-JP"/>
    </w:rPr>
  </w:style>
  <w:style w:type="table" w:styleId="Tablaconefectos3D1">
    <w:name w:val="Table 3D effects 1"/>
    <w:basedOn w:val="Tablanormal"/>
    <w:rsid w:val="00A07D21"/>
    <w:pPr>
      <w:spacing w:after="24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A07D21"/>
    <w:pPr>
      <w:spacing w:after="24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A07D21"/>
    <w:pPr>
      <w:spacing w:after="24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A07D21"/>
    <w:pPr>
      <w:spacing w:after="24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A07D21"/>
    <w:pPr>
      <w:spacing w:after="24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A07D21"/>
    <w:pPr>
      <w:spacing w:after="24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A07D21"/>
    <w:pPr>
      <w:spacing w:after="24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A07D21"/>
    <w:pPr>
      <w:spacing w:after="24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A07D21"/>
    <w:pPr>
      <w:spacing w:after="24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A07D21"/>
    <w:pPr>
      <w:spacing w:after="24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A07D21"/>
    <w:pPr>
      <w:spacing w:after="24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A07D21"/>
    <w:pPr>
      <w:spacing w:after="24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A07D21"/>
    <w:pPr>
      <w:spacing w:before="120" w:after="120" w:line="240" w:lineRule="auto"/>
      <w:jc w:val="right"/>
    </w:pPr>
    <w:rPr>
      <w:rFonts w:ascii="Arial" w:eastAsia="MS Mincho" w:hAnsi="Arial" w:cs="Arial"/>
      <w:sz w:val="24"/>
      <w:szCs w:val="24"/>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aelegante">
    <w:name w:val="Table Elegant"/>
    <w:basedOn w:val="Tablanormal"/>
    <w:rsid w:val="00A07D21"/>
    <w:pPr>
      <w:spacing w:after="24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A07D21"/>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A07D21"/>
    <w:pPr>
      <w:spacing w:after="24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A07D21"/>
    <w:pPr>
      <w:spacing w:after="24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A07D21"/>
    <w:pPr>
      <w:spacing w:after="24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A07D21"/>
    <w:pPr>
      <w:spacing w:after="24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A07D21"/>
    <w:pPr>
      <w:spacing w:after="24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A07D21"/>
    <w:pPr>
      <w:spacing w:after="24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A07D21"/>
    <w:pPr>
      <w:spacing w:after="24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A07D21"/>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A07D21"/>
    <w:pPr>
      <w:spacing w:after="24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A07D21"/>
    <w:pPr>
      <w:spacing w:after="24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A07D21"/>
    <w:pPr>
      <w:spacing w:after="24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4"/>
    <w:rsid w:val="00A07D21"/>
    <w:pPr>
      <w:spacing w:after="0"/>
      <w:ind w:left="240" w:hanging="240"/>
    </w:pPr>
  </w:style>
  <w:style w:type="paragraph" w:styleId="Tabladeilustraciones">
    <w:name w:val="table of figures"/>
    <w:basedOn w:val="TDC2"/>
    <w:next w:val="Normal"/>
    <w:uiPriority w:val="4"/>
    <w:rsid w:val="00A07D21"/>
    <w:pPr>
      <w:spacing w:before="100" w:beforeAutospacing="1" w:after="100" w:afterAutospacing="1"/>
      <w:contextualSpacing/>
    </w:pPr>
    <w:rPr>
      <w:sz w:val="20"/>
      <w:szCs w:val="20"/>
    </w:rPr>
  </w:style>
  <w:style w:type="table" w:styleId="Tablaprofesional">
    <w:name w:val="Table Professional"/>
    <w:basedOn w:val="Tablanormal"/>
    <w:rsid w:val="00A07D21"/>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A07D21"/>
    <w:pPr>
      <w:spacing w:after="24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A07D21"/>
    <w:pPr>
      <w:spacing w:after="24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A07D21"/>
    <w:pPr>
      <w:spacing w:after="24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A07D21"/>
    <w:pPr>
      <w:spacing w:after="24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A07D21"/>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A07D21"/>
    <w:pPr>
      <w:spacing w:after="24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A07D21"/>
    <w:pPr>
      <w:spacing w:after="24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A07D21"/>
    <w:pPr>
      <w:spacing w:after="24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4"/>
    <w:rsid w:val="00A07D21"/>
    <w:pPr>
      <w:spacing w:before="120"/>
    </w:pPr>
    <w:rPr>
      <w:rFonts w:asciiTheme="majorHAnsi" w:eastAsiaTheme="majorEastAsia" w:hAnsiTheme="majorHAnsi" w:cstheme="majorBidi"/>
      <w:b/>
      <w:bCs/>
    </w:rPr>
  </w:style>
  <w:style w:type="paragraph" w:customStyle="1" w:styleId="AddresseeInfo">
    <w:name w:val="Addressee Info"/>
    <w:basedOn w:val="Normal"/>
    <w:link w:val="AddresseeInfoChar"/>
    <w:uiPriority w:val="4"/>
    <w:rsid w:val="00A07D21"/>
    <w:pPr>
      <w:spacing w:after="0"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Fuentedeprrafopredeter"/>
    <w:link w:val="AddresseeInfo"/>
    <w:uiPriority w:val="4"/>
    <w:rsid w:val="007A4E28"/>
    <w:rPr>
      <w:rFonts w:asciiTheme="majorHAnsi" w:eastAsia="MS PGothic" w:hAnsiTheme="majorHAnsi" w:cstheme="majorHAnsi"/>
      <w:b/>
      <w:bCs/>
      <w:caps/>
      <w:noProof w:val="0"/>
      <w:sz w:val="14"/>
      <w:szCs w:val="14"/>
      <w:lang w:val="en-GB" w:eastAsia="ja-JP"/>
    </w:rPr>
  </w:style>
  <w:style w:type="paragraph" w:customStyle="1" w:styleId="DocumentName">
    <w:name w:val="Document Name"/>
    <w:basedOn w:val="Normal"/>
    <w:next w:val="Normal"/>
    <w:uiPriority w:val="4"/>
    <w:rsid w:val="00A07D21"/>
    <w:rPr>
      <w:rFonts w:asciiTheme="majorHAnsi" w:eastAsia="MS PGothic" w:hAnsiTheme="majorHAnsi" w:cs="Arial Black"/>
      <w:caps/>
      <w:sz w:val="36"/>
      <w:szCs w:val="40"/>
    </w:rPr>
  </w:style>
  <w:style w:type="paragraph" w:customStyle="1" w:styleId="Subject">
    <w:name w:val="Subject"/>
    <w:basedOn w:val="Normal"/>
    <w:link w:val="SubjectChar"/>
    <w:uiPriority w:val="4"/>
    <w:rsid w:val="00A07D21"/>
    <w:pPr>
      <w:spacing w:after="0" w:line="280" w:lineRule="atLeast"/>
    </w:pPr>
    <w:rPr>
      <w:rFonts w:asciiTheme="majorHAnsi" w:eastAsiaTheme="majorEastAsia" w:hAnsiTheme="majorHAnsi" w:cstheme="majorBidi"/>
      <w:sz w:val="20"/>
      <w:szCs w:val="20"/>
    </w:rPr>
  </w:style>
  <w:style w:type="paragraph" w:customStyle="1" w:styleId="Logo">
    <w:name w:val="Logo"/>
    <w:basedOn w:val="Normal"/>
    <w:uiPriority w:val="4"/>
    <w:rsid w:val="008350C0"/>
    <w:pPr>
      <w:spacing w:after="0" w:line="560" w:lineRule="exact"/>
      <w:jc w:val="center"/>
    </w:pPr>
    <w:rPr>
      <w:rFonts w:ascii="Arial" w:eastAsia="Times New Roman" w:hAnsi="Arial" w:cs="Arial"/>
      <w:sz w:val="16"/>
      <w:szCs w:val="16"/>
    </w:rPr>
  </w:style>
  <w:style w:type="paragraph" w:customStyle="1" w:styleId="EmployeeName">
    <w:name w:val="Employee Name"/>
    <w:basedOn w:val="Normal"/>
    <w:uiPriority w:val="4"/>
    <w:rsid w:val="005C4835"/>
    <w:pPr>
      <w:spacing w:after="0" w:line="220" w:lineRule="atLeast"/>
      <w:ind w:left="6120"/>
    </w:pPr>
    <w:rPr>
      <w:rFonts w:asciiTheme="majorHAnsi" w:eastAsia="MS PGothic" w:hAnsiTheme="majorHAnsi" w:cstheme="majorBidi"/>
      <w:b/>
      <w:bCs/>
      <w:sz w:val="17"/>
      <w:szCs w:val="17"/>
    </w:rPr>
  </w:style>
  <w:style w:type="paragraph" w:customStyle="1" w:styleId="HeadingA">
    <w:name w:val="Heading A"/>
    <w:basedOn w:val="Ttulo1"/>
    <w:next w:val="Normal"/>
    <w:qFormat/>
    <w:rsid w:val="006272E5"/>
    <w:pPr>
      <w:numPr>
        <w:numId w:val="0"/>
      </w:numPr>
      <w:tabs>
        <w:tab w:val="left" w:pos="-720"/>
        <w:tab w:val="left" w:pos="720"/>
        <w:tab w:val="left" w:pos="1440"/>
      </w:tabs>
      <w:outlineLvl w:val="9"/>
    </w:pPr>
  </w:style>
  <w:style w:type="paragraph" w:customStyle="1" w:styleId="HeadingNumber1">
    <w:name w:val="Heading Number 1"/>
    <w:basedOn w:val="Normal"/>
    <w:next w:val="Normal"/>
    <w:uiPriority w:val="4"/>
    <w:rsid w:val="00A07D21"/>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
    <w:uiPriority w:val="4"/>
    <w:rsid w:val="00A07D21"/>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
    <w:uiPriority w:val="4"/>
    <w:rsid w:val="00A07D21"/>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
    <w:uiPriority w:val="4"/>
    <w:rsid w:val="00A07D21"/>
    <w:pPr>
      <w:keepNext/>
      <w:numPr>
        <w:ilvl w:val="7"/>
        <w:numId w:val="7"/>
      </w:numPr>
      <w:spacing w:before="60" w:after="60"/>
      <w:outlineLvl w:val="7"/>
    </w:pPr>
    <w:rPr>
      <w:rFonts w:asciiTheme="majorHAnsi" w:hAnsiTheme="majorHAnsi" w:cs="Arial"/>
      <w:sz w:val="20"/>
    </w:rPr>
  </w:style>
  <w:style w:type="paragraph" w:customStyle="1" w:styleId="HeadingU3">
    <w:name w:val="Heading U3"/>
    <w:basedOn w:val="Ttulo3"/>
    <w:next w:val="Textoindependiente"/>
    <w:qFormat/>
    <w:rsid w:val="006272E5"/>
    <w:pPr>
      <w:numPr>
        <w:ilvl w:val="0"/>
        <w:numId w:val="0"/>
      </w:numPr>
    </w:pPr>
  </w:style>
  <w:style w:type="paragraph" w:customStyle="1" w:styleId="HeadingU4">
    <w:name w:val="Heading U4"/>
    <w:basedOn w:val="Ttulo4"/>
    <w:next w:val="Textoindependiente"/>
    <w:qFormat/>
    <w:rsid w:val="006272E5"/>
    <w:pPr>
      <w:numPr>
        <w:ilvl w:val="0"/>
        <w:numId w:val="0"/>
      </w:numPr>
    </w:pPr>
  </w:style>
  <w:style w:type="paragraph" w:customStyle="1" w:styleId="HeadingU5">
    <w:name w:val="Heading U5"/>
    <w:basedOn w:val="Ttulo5"/>
    <w:next w:val="Textoindependiente"/>
    <w:qFormat/>
    <w:rsid w:val="006272E5"/>
    <w:pPr>
      <w:numPr>
        <w:ilvl w:val="0"/>
        <w:numId w:val="0"/>
      </w:numPr>
    </w:pPr>
  </w:style>
  <w:style w:type="paragraph" w:customStyle="1" w:styleId="HeadingU6">
    <w:name w:val="Heading U6"/>
    <w:basedOn w:val="Ttulo6"/>
    <w:next w:val="Textoindependiente"/>
    <w:rsid w:val="00A07D21"/>
    <w:pPr>
      <w:numPr>
        <w:ilvl w:val="0"/>
        <w:numId w:val="0"/>
      </w:numPr>
    </w:pPr>
  </w:style>
  <w:style w:type="paragraph" w:customStyle="1" w:styleId="HeadingU7">
    <w:name w:val="Heading U7"/>
    <w:basedOn w:val="Ttulo7"/>
    <w:next w:val="Textoindependiente"/>
    <w:rsid w:val="00A07D21"/>
    <w:pPr>
      <w:numPr>
        <w:ilvl w:val="0"/>
        <w:numId w:val="0"/>
      </w:numPr>
    </w:pPr>
  </w:style>
  <w:style w:type="paragraph" w:customStyle="1" w:styleId="HeadingU8">
    <w:name w:val="Heading U8"/>
    <w:basedOn w:val="Ttulo8"/>
    <w:next w:val="Textoindependiente"/>
    <w:rsid w:val="00A07D21"/>
    <w:pPr>
      <w:numPr>
        <w:ilvl w:val="0"/>
        <w:numId w:val="0"/>
      </w:numPr>
    </w:pPr>
  </w:style>
  <w:style w:type="paragraph" w:customStyle="1" w:styleId="HeadingU9">
    <w:name w:val="Heading U9"/>
    <w:basedOn w:val="Ttulo9"/>
    <w:next w:val="Textoindependiente"/>
    <w:rsid w:val="00A07D21"/>
    <w:pPr>
      <w:numPr>
        <w:ilvl w:val="0"/>
        <w:numId w:val="0"/>
      </w:numPr>
    </w:pPr>
  </w:style>
  <w:style w:type="paragraph" w:customStyle="1" w:styleId="Legalcopy">
    <w:name w:val="Legal copy"/>
    <w:basedOn w:val="Normal"/>
    <w:uiPriority w:val="4"/>
    <w:rsid w:val="00A07D21"/>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ogoHide">
    <w:name w:val="Logo Hide"/>
    <w:basedOn w:val="Normal"/>
    <w:uiPriority w:val="4"/>
    <w:rsid w:val="00A07D21"/>
    <w:pPr>
      <w:spacing w:line="20" w:lineRule="exact"/>
    </w:pPr>
    <w:rPr>
      <w:sz w:val="2"/>
      <w:szCs w:val="2"/>
    </w:rPr>
  </w:style>
  <w:style w:type="table" w:customStyle="1" w:styleId="NERATable">
    <w:name w:val="NERA Table"/>
    <w:basedOn w:val="Tablanormal"/>
    <w:uiPriority w:val="99"/>
    <w:rsid w:val="00A07D21"/>
    <w:pPr>
      <w:spacing w:after="0" w:line="240" w:lineRule="auto"/>
    </w:pPr>
    <w:rPr>
      <w:rFonts w:ascii="Times New Roman" w:eastAsia="MS Mincho" w:hAnsi="Times New Roman" w:cs="Times New Roman"/>
      <w:sz w:val="20"/>
      <w:szCs w:val="20"/>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A07D21"/>
    <w:pPr>
      <w:ind w:left="360"/>
    </w:pPr>
  </w:style>
  <w:style w:type="paragraph" w:customStyle="1" w:styleId="NormalIndent2">
    <w:name w:val="Normal Indent 2"/>
    <w:basedOn w:val="Normal"/>
    <w:uiPriority w:val="4"/>
    <w:unhideWhenUsed/>
    <w:rsid w:val="00A07D21"/>
    <w:pPr>
      <w:ind w:left="720"/>
    </w:pPr>
  </w:style>
  <w:style w:type="paragraph" w:customStyle="1" w:styleId="NormalIndent3">
    <w:name w:val="Normal Indent 3"/>
    <w:basedOn w:val="Normal"/>
    <w:uiPriority w:val="4"/>
    <w:unhideWhenUsed/>
    <w:rsid w:val="00A07D21"/>
    <w:pPr>
      <w:ind w:left="1080"/>
    </w:pPr>
  </w:style>
  <w:style w:type="paragraph" w:customStyle="1" w:styleId="NormalIndent4">
    <w:name w:val="Normal Indent 4"/>
    <w:basedOn w:val="Normal"/>
    <w:uiPriority w:val="4"/>
    <w:unhideWhenUsed/>
    <w:rsid w:val="00A07D21"/>
    <w:pPr>
      <w:ind w:left="1440"/>
    </w:pPr>
  </w:style>
  <w:style w:type="table" w:customStyle="1" w:styleId="OWTable">
    <w:name w:val="OW Table"/>
    <w:basedOn w:val="Tablanormal"/>
    <w:rsid w:val="00A07D21"/>
    <w:pPr>
      <w:spacing w:after="0" w:line="240" w:lineRule="auto"/>
    </w:pPr>
    <w:rPr>
      <w:sz w:val="20"/>
      <w:szCs w:val="20"/>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A07D21"/>
    <w:pPr>
      <w:tabs>
        <w:tab w:val="right" w:pos="9360"/>
      </w:tabs>
      <w:spacing w:line="240" w:lineRule="auto"/>
    </w:pPr>
    <w:rPr>
      <w:rFonts w:eastAsiaTheme="majorEastAsia"/>
      <w:b w:val="0"/>
      <w:bCs w:val="0"/>
      <w:caps w:val="0"/>
      <w:sz w:val="18"/>
      <w:szCs w:val="18"/>
    </w:rPr>
  </w:style>
  <w:style w:type="character" w:customStyle="1" w:styleId="SubjectChar">
    <w:name w:val="Subject Char"/>
    <w:basedOn w:val="Fuentedeprrafopredeter"/>
    <w:link w:val="Subject"/>
    <w:uiPriority w:val="4"/>
    <w:rsid w:val="007A4E28"/>
    <w:rPr>
      <w:rFonts w:asciiTheme="majorHAnsi" w:eastAsiaTheme="majorEastAsia" w:hAnsiTheme="majorHAnsi" w:cstheme="majorBidi"/>
      <w:noProof w:val="0"/>
      <w:sz w:val="20"/>
      <w:szCs w:val="20"/>
      <w:lang w:val="en-GB" w:eastAsia="ja-JP"/>
    </w:rPr>
  </w:style>
  <w:style w:type="paragraph" w:customStyle="1" w:styleId="TableBullet1">
    <w:name w:val="Table Bullet 1"/>
    <w:basedOn w:val="Normal"/>
    <w:uiPriority w:val="4"/>
    <w:qFormat/>
    <w:rsid w:val="006272E5"/>
    <w:pPr>
      <w:numPr>
        <w:ilvl w:val="4"/>
        <w:numId w:val="13"/>
      </w:numPr>
      <w:spacing w:before="40" w:after="40"/>
      <w:outlineLvl w:val="4"/>
    </w:pPr>
    <w:rPr>
      <w:rFonts w:ascii="Arial" w:eastAsia="Times New Roman" w:hAnsi="Arial" w:cs="Arial"/>
      <w:sz w:val="20"/>
      <w:szCs w:val="20"/>
    </w:rPr>
  </w:style>
  <w:style w:type="paragraph" w:customStyle="1" w:styleId="TableBullet2">
    <w:name w:val="Table Bullet 2"/>
    <w:basedOn w:val="Normal"/>
    <w:uiPriority w:val="4"/>
    <w:qFormat/>
    <w:rsid w:val="006272E5"/>
    <w:pPr>
      <w:numPr>
        <w:ilvl w:val="5"/>
        <w:numId w:val="13"/>
      </w:numPr>
      <w:spacing w:before="40" w:after="40"/>
      <w:outlineLvl w:val="5"/>
    </w:pPr>
    <w:rPr>
      <w:rFonts w:ascii="Arial" w:eastAsia="Times New Roman" w:hAnsi="Arial" w:cs="Arial"/>
      <w:sz w:val="20"/>
      <w:szCs w:val="20"/>
    </w:rPr>
  </w:style>
  <w:style w:type="paragraph" w:customStyle="1" w:styleId="TableBullet3">
    <w:name w:val="Table Bullet 3"/>
    <w:basedOn w:val="Normal"/>
    <w:uiPriority w:val="4"/>
    <w:qFormat/>
    <w:rsid w:val="006272E5"/>
    <w:pPr>
      <w:numPr>
        <w:ilvl w:val="6"/>
        <w:numId w:val="13"/>
      </w:numPr>
      <w:spacing w:before="40" w:after="40"/>
      <w:outlineLvl w:val="6"/>
    </w:pPr>
    <w:rPr>
      <w:rFonts w:ascii="Arial" w:eastAsia="Times New Roman" w:hAnsi="Arial" w:cs="Arial"/>
      <w:sz w:val="20"/>
      <w:szCs w:val="20"/>
    </w:rPr>
  </w:style>
  <w:style w:type="paragraph" w:customStyle="1" w:styleId="TableBullet4">
    <w:name w:val="Table Bullet 4"/>
    <w:basedOn w:val="Normal"/>
    <w:uiPriority w:val="4"/>
    <w:qFormat/>
    <w:rsid w:val="006272E5"/>
    <w:pPr>
      <w:numPr>
        <w:ilvl w:val="7"/>
        <w:numId w:val="13"/>
      </w:numPr>
      <w:spacing w:before="40" w:after="40"/>
      <w:outlineLvl w:val="7"/>
    </w:pPr>
    <w:rPr>
      <w:rFonts w:ascii="Arial" w:eastAsia="Times New Roman" w:hAnsi="Arial" w:cs="Arial"/>
      <w:sz w:val="20"/>
      <w:szCs w:val="20"/>
    </w:rPr>
  </w:style>
  <w:style w:type="paragraph" w:customStyle="1" w:styleId="TableHeadingText">
    <w:name w:val="Table Heading Text"/>
    <w:basedOn w:val="Normal"/>
    <w:qFormat/>
    <w:rsid w:val="006272E5"/>
    <w:pPr>
      <w:keepNext/>
      <w:keepLines/>
      <w:spacing w:before="60" w:after="60"/>
    </w:pPr>
    <w:rPr>
      <w:rFonts w:asciiTheme="majorHAnsi" w:eastAsiaTheme="majorEastAsia" w:hAnsiTheme="majorHAnsi" w:cstheme="majorBidi"/>
      <w:b/>
      <w:bCs/>
      <w:sz w:val="18"/>
      <w:szCs w:val="18"/>
    </w:rPr>
  </w:style>
  <w:style w:type="paragraph" w:customStyle="1" w:styleId="TableText">
    <w:name w:val="Table Text"/>
    <w:basedOn w:val="Normal"/>
    <w:qFormat/>
    <w:rsid w:val="006272E5"/>
    <w:pPr>
      <w:keepNext/>
      <w:keepLines/>
      <w:spacing w:before="40" w:after="40"/>
    </w:pPr>
    <w:rPr>
      <w:rFonts w:asciiTheme="majorHAnsi" w:eastAsiaTheme="majorEastAsia" w:hAnsiTheme="majorHAnsi" w:cstheme="majorBidi"/>
      <w:sz w:val="20"/>
      <w:szCs w:val="20"/>
    </w:rPr>
  </w:style>
  <w:style w:type="character" w:customStyle="1" w:styleId="TextHide">
    <w:name w:val="Text Hide"/>
    <w:basedOn w:val="Fuentedeprrafopredeter"/>
    <w:uiPriority w:val="4"/>
    <w:rsid w:val="00A07D21"/>
    <w:rPr>
      <w:rFonts w:cstheme="minorBidi"/>
      <w:bCs w:val="0"/>
      <w:iCs w:val="0"/>
      <w:noProof w:val="0"/>
      <w:szCs w:val="24"/>
      <w:lang w:val="en-GB" w:eastAsia="ja-JP"/>
    </w:rPr>
  </w:style>
  <w:style w:type="paragraph" w:customStyle="1" w:styleId="QuoteIndented">
    <w:name w:val="Quote Indented"/>
    <w:basedOn w:val="Normal"/>
    <w:next w:val="Textoindependiente"/>
    <w:qFormat/>
    <w:rsid w:val="006272E5"/>
    <w:pPr>
      <w:ind w:left="360" w:right="360"/>
    </w:pPr>
  </w:style>
  <w:style w:type="paragraph" w:customStyle="1" w:styleId="HeadingUNoTOC">
    <w:name w:val="Heading U NoTOC"/>
    <w:basedOn w:val="Ttulo1"/>
    <w:next w:val="Textoindependiente"/>
    <w:rsid w:val="006272E5"/>
    <w:pPr>
      <w:keepLines w:val="0"/>
      <w:numPr>
        <w:numId w:val="0"/>
      </w:numPr>
    </w:pPr>
    <w:rPr>
      <w:b w:val="0"/>
      <w:bCs w:val="0"/>
      <w:sz w:val="36"/>
      <w:szCs w:val="36"/>
      <w:lang w:val="en-US"/>
    </w:rPr>
  </w:style>
  <w:style w:type="paragraph" w:customStyle="1" w:styleId="TableParagraph">
    <w:name w:val="Table Paragraph"/>
    <w:basedOn w:val="Normal"/>
    <w:uiPriority w:val="1"/>
    <w:qFormat/>
    <w:rsid w:val="005333C9"/>
    <w:pPr>
      <w:widowControl w:val="0"/>
      <w:spacing w:after="0"/>
    </w:pPr>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4547">
      <w:bodyDiv w:val="1"/>
      <w:marLeft w:val="0"/>
      <w:marRight w:val="0"/>
      <w:marTop w:val="0"/>
      <w:marBottom w:val="0"/>
      <w:divBdr>
        <w:top w:val="none" w:sz="0" w:space="0" w:color="auto"/>
        <w:left w:val="none" w:sz="0" w:space="0" w:color="auto"/>
        <w:bottom w:val="none" w:sz="0" w:space="0" w:color="auto"/>
        <w:right w:val="none" w:sz="0" w:space="0" w:color="auto"/>
      </w:divBdr>
    </w:div>
    <w:div w:id="950167359">
      <w:bodyDiv w:val="1"/>
      <w:marLeft w:val="0"/>
      <w:marRight w:val="0"/>
      <w:marTop w:val="0"/>
      <w:marBottom w:val="0"/>
      <w:divBdr>
        <w:top w:val="none" w:sz="0" w:space="0" w:color="auto"/>
        <w:left w:val="none" w:sz="0" w:space="0" w:color="auto"/>
        <w:bottom w:val="none" w:sz="0" w:space="0" w:color="auto"/>
        <w:right w:val="none" w:sz="0" w:space="0" w:color="auto"/>
      </w:divBdr>
      <w:divsChild>
        <w:div w:id="3636646">
          <w:marLeft w:val="734"/>
          <w:marRight w:val="0"/>
          <w:marTop w:val="168"/>
          <w:marBottom w:val="0"/>
          <w:divBdr>
            <w:top w:val="none" w:sz="0" w:space="0" w:color="auto"/>
            <w:left w:val="none" w:sz="0" w:space="0" w:color="auto"/>
            <w:bottom w:val="none" w:sz="0" w:space="0" w:color="auto"/>
            <w:right w:val="none" w:sz="0" w:space="0" w:color="auto"/>
          </w:divBdr>
        </w:div>
        <w:div w:id="141235097">
          <w:marLeft w:val="734"/>
          <w:marRight w:val="0"/>
          <w:marTop w:val="168"/>
          <w:marBottom w:val="0"/>
          <w:divBdr>
            <w:top w:val="none" w:sz="0" w:space="0" w:color="auto"/>
            <w:left w:val="none" w:sz="0" w:space="0" w:color="auto"/>
            <w:bottom w:val="none" w:sz="0" w:space="0" w:color="auto"/>
            <w:right w:val="none" w:sz="0" w:space="0" w:color="auto"/>
          </w:divBdr>
        </w:div>
        <w:div w:id="1867325448">
          <w:marLeft w:val="1440"/>
          <w:marRight w:val="0"/>
          <w:marTop w:val="144"/>
          <w:marBottom w:val="0"/>
          <w:divBdr>
            <w:top w:val="none" w:sz="0" w:space="0" w:color="auto"/>
            <w:left w:val="none" w:sz="0" w:space="0" w:color="auto"/>
            <w:bottom w:val="none" w:sz="0" w:space="0" w:color="auto"/>
            <w:right w:val="none" w:sz="0" w:space="0" w:color="auto"/>
          </w:divBdr>
        </w:div>
        <w:div w:id="928269787">
          <w:marLeft w:val="1440"/>
          <w:marRight w:val="0"/>
          <w:marTop w:val="144"/>
          <w:marBottom w:val="0"/>
          <w:divBdr>
            <w:top w:val="none" w:sz="0" w:space="0" w:color="auto"/>
            <w:left w:val="none" w:sz="0" w:space="0" w:color="auto"/>
            <w:bottom w:val="none" w:sz="0" w:space="0" w:color="auto"/>
            <w:right w:val="none" w:sz="0" w:space="0" w:color="auto"/>
          </w:divBdr>
        </w:div>
        <w:div w:id="147939064">
          <w:marLeft w:val="1440"/>
          <w:marRight w:val="0"/>
          <w:marTop w:val="144"/>
          <w:marBottom w:val="0"/>
          <w:divBdr>
            <w:top w:val="none" w:sz="0" w:space="0" w:color="auto"/>
            <w:left w:val="none" w:sz="0" w:space="0" w:color="auto"/>
            <w:bottom w:val="none" w:sz="0" w:space="0" w:color="auto"/>
            <w:right w:val="none" w:sz="0" w:space="0" w:color="auto"/>
          </w:divBdr>
        </w:div>
        <w:div w:id="1818960286">
          <w:marLeft w:val="734"/>
          <w:marRight w:val="0"/>
          <w:marTop w:val="168"/>
          <w:marBottom w:val="0"/>
          <w:divBdr>
            <w:top w:val="none" w:sz="0" w:space="0" w:color="auto"/>
            <w:left w:val="none" w:sz="0" w:space="0" w:color="auto"/>
            <w:bottom w:val="none" w:sz="0" w:space="0" w:color="auto"/>
            <w:right w:val="none" w:sz="0" w:space="0" w:color="auto"/>
          </w:divBdr>
        </w:div>
        <w:div w:id="1258631813">
          <w:marLeft w:val="734"/>
          <w:marRight w:val="0"/>
          <w:marTop w:val="168"/>
          <w:marBottom w:val="0"/>
          <w:divBdr>
            <w:top w:val="none" w:sz="0" w:space="0" w:color="auto"/>
            <w:left w:val="none" w:sz="0" w:space="0" w:color="auto"/>
            <w:bottom w:val="none" w:sz="0" w:space="0" w:color="auto"/>
            <w:right w:val="none" w:sz="0" w:space="0" w:color="auto"/>
          </w:divBdr>
        </w:div>
      </w:divsChild>
    </w:div>
    <w:div w:id="1044644310">
      <w:bodyDiv w:val="1"/>
      <w:marLeft w:val="0"/>
      <w:marRight w:val="0"/>
      <w:marTop w:val="0"/>
      <w:marBottom w:val="0"/>
      <w:divBdr>
        <w:top w:val="none" w:sz="0" w:space="0" w:color="auto"/>
        <w:left w:val="none" w:sz="0" w:space="0" w:color="auto"/>
        <w:bottom w:val="none" w:sz="0" w:space="0" w:color="auto"/>
        <w:right w:val="none" w:sz="0" w:space="0" w:color="auto"/>
      </w:divBdr>
    </w:div>
    <w:div w:id="1188520810">
      <w:bodyDiv w:val="1"/>
      <w:marLeft w:val="0"/>
      <w:marRight w:val="0"/>
      <w:marTop w:val="0"/>
      <w:marBottom w:val="0"/>
      <w:divBdr>
        <w:top w:val="none" w:sz="0" w:space="0" w:color="auto"/>
        <w:left w:val="none" w:sz="0" w:space="0" w:color="auto"/>
        <w:bottom w:val="none" w:sz="0" w:space="0" w:color="auto"/>
        <w:right w:val="none" w:sz="0" w:space="0" w:color="auto"/>
      </w:divBdr>
    </w:div>
    <w:div w:id="1189760538">
      <w:bodyDiv w:val="1"/>
      <w:marLeft w:val="0"/>
      <w:marRight w:val="0"/>
      <w:marTop w:val="0"/>
      <w:marBottom w:val="0"/>
      <w:divBdr>
        <w:top w:val="none" w:sz="0" w:space="0" w:color="auto"/>
        <w:left w:val="none" w:sz="0" w:space="0" w:color="auto"/>
        <w:bottom w:val="none" w:sz="0" w:space="0" w:color="auto"/>
        <w:right w:val="none" w:sz="0" w:space="0" w:color="auto"/>
      </w:divBdr>
    </w:div>
    <w:div w:id="21087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ntJapanese">
      <a:majorFont>
        <a:latin typeface="Arial"/>
        <a:ea typeface="MS PGothic"/>
        <a:cs typeface="Arial"/>
      </a:majorFont>
      <a:minorFont>
        <a:latin typeface="Times New Roman"/>
        <a:ea typeface="MS PMincho"/>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713a0c7208827e952e92475ac4f4db7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B726-8444-46FC-BEBF-58D5D7D19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A47EAE-651B-4AEB-B0B3-A967B4AE5077}">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7744269-19B4-412A-A2BD-4E9AE33FBE4C}">
  <ds:schemaRefs>
    <ds:schemaRef ds:uri="http://schemas.microsoft.com/sharepoint/v3/contenttype/forms"/>
  </ds:schemaRefs>
</ds:datastoreItem>
</file>

<file path=customXml/itemProps4.xml><?xml version="1.0" encoding="utf-8"?>
<ds:datastoreItem xmlns:ds="http://schemas.openxmlformats.org/officeDocument/2006/customXml" ds:itemID="{80A17107-6D15-4230-95E1-835BFE49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41</Pages>
  <Words>11905</Words>
  <Characters>65482</Characters>
  <Application>Microsoft Office Word</Application>
  <DocSecurity>4</DocSecurity>
  <Lines>545</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Oliver Wyman Group</Company>
  <LinksUpToDate>false</LinksUpToDate>
  <CharactersWithSpaces>77233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Sorensen, Soren</dc:creator>
  <cp:lastModifiedBy>Jose Gerardo Lopez Hoyo</cp:lastModifiedBy>
  <cp:revision>2</cp:revision>
  <cp:lastPrinted>2015-09-07T14:58:00Z</cp:lastPrinted>
  <dcterms:created xsi:type="dcterms:W3CDTF">2015-09-21T18:30:00Z</dcterms:created>
  <dcterms:modified xsi:type="dcterms:W3CDTF">2015-09-21T18:30:00Z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