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DE" w:rsidRPr="00D20FDE" w:rsidRDefault="00D20FDE" w:rsidP="00DD32EB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0"/>
          <w:szCs w:val="20"/>
        </w:rPr>
      </w:pPr>
    </w:p>
    <w:p w:rsidR="00DD32EB" w:rsidRPr="00D20FDE" w:rsidRDefault="00DD32EB" w:rsidP="00DD32EB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>INSTITUTO FEDERAL DE TELECOMUNICACIONES</w:t>
      </w:r>
    </w:p>
    <w:p w:rsidR="00DD32EB" w:rsidRPr="00D20FDE" w:rsidRDefault="00DD32EB" w:rsidP="00DD32EB">
      <w:pPr>
        <w:pStyle w:val="estilo30"/>
        <w:spacing w:before="0" w:beforeAutospacing="0" w:after="0" w:afterAutospacing="0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>COORDINACIÓN GENERAL DE MEJORA REGULATORIA</w:t>
      </w:r>
    </w:p>
    <w:p w:rsidR="00DD32EB" w:rsidRPr="00D20FDE" w:rsidRDefault="003B57CD" w:rsidP="00DD32EB">
      <w:pPr>
        <w:pStyle w:val="estilo30"/>
        <w:spacing w:before="0" w:beforeAutospacing="0" w:after="0" w:afterAutospacing="0" w:line="360" w:lineRule="auto"/>
        <w:jc w:val="right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>IFT/211/CGMR/</w:t>
      </w:r>
      <w:r w:rsidR="00526AA0" w:rsidRPr="00D20FDE">
        <w:rPr>
          <w:rFonts w:ascii="ITC Avant Garde" w:hAnsi="ITC Avant Garde"/>
          <w:b/>
          <w:bCs/>
          <w:color w:val="000000"/>
          <w:sz w:val="21"/>
          <w:szCs w:val="21"/>
        </w:rPr>
        <w:t>109</w:t>
      </w:r>
      <w:r w:rsidR="00DD32EB" w:rsidRPr="00D20FDE">
        <w:rPr>
          <w:rFonts w:ascii="ITC Avant Garde" w:hAnsi="ITC Avant Garde"/>
          <w:b/>
          <w:bCs/>
          <w:color w:val="000000"/>
          <w:sz w:val="21"/>
          <w:szCs w:val="21"/>
        </w:rPr>
        <w:t>/2015</w:t>
      </w:r>
    </w:p>
    <w:p w:rsidR="00DD32EB" w:rsidRPr="00D20FDE" w:rsidRDefault="00DD32EB" w:rsidP="00DD32EB">
      <w:pPr>
        <w:pStyle w:val="estilo30"/>
        <w:spacing w:before="0" w:beforeAutospacing="0" w:after="0" w:afterAutospacing="0" w:line="360" w:lineRule="auto"/>
        <w:jc w:val="right"/>
        <w:rPr>
          <w:rFonts w:ascii="ITC Avant Garde" w:hAnsi="ITC Avant Garde"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Cs/>
          <w:color w:val="000000"/>
          <w:sz w:val="21"/>
          <w:szCs w:val="21"/>
        </w:rPr>
        <w:t xml:space="preserve">México, Distrito Federal, a </w:t>
      </w:r>
      <w:r w:rsidR="00526AA0" w:rsidRPr="00D20FDE">
        <w:rPr>
          <w:rFonts w:ascii="ITC Avant Garde" w:hAnsi="ITC Avant Garde"/>
          <w:bCs/>
          <w:color w:val="000000"/>
          <w:sz w:val="21"/>
          <w:szCs w:val="21"/>
        </w:rPr>
        <w:t xml:space="preserve">9 </w:t>
      </w:r>
      <w:r w:rsidRPr="00D20FDE">
        <w:rPr>
          <w:rFonts w:ascii="ITC Avant Garde" w:hAnsi="ITC Avant Garde"/>
          <w:bCs/>
          <w:color w:val="000000"/>
          <w:sz w:val="21"/>
          <w:szCs w:val="21"/>
        </w:rPr>
        <w:t xml:space="preserve">de </w:t>
      </w:r>
      <w:r w:rsidR="00526AA0" w:rsidRPr="00D20FDE">
        <w:rPr>
          <w:rFonts w:ascii="ITC Avant Garde" w:hAnsi="ITC Avant Garde"/>
          <w:bCs/>
          <w:color w:val="000000"/>
          <w:sz w:val="21"/>
          <w:szCs w:val="21"/>
        </w:rPr>
        <w:t>septiembre</w:t>
      </w:r>
      <w:r w:rsidRPr="00D20FDE">
        <w:rPr>
          <w:rFonts w:ascii="ITC Avant Garde" w:hAnsi="ITC Avant Garde"/>
          <w:bCs/>
          <w:color w:val="000000"/>
          <w:sz w:val="21"/>
          <w:szCs w:val="21"/>
        </w:rPr>
        <w:t xml:space="preserve"> de 2015</w:t>
      </w:r>
      <w:r w:rsidR="00BF5EFD" w:rsidRPr="00D20FDE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:rsidR="00CD391B" w:rsidRPr="00D20FDE" w:rsidRDefault="00CD391B" w:rsidP="00DD32EB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</w:p>
    <w:p w:rsidR="00DD32EB" w:rsidRPr="00D20FDE" w:rsidRDefault="00DD32EB" w:rsidP="00D20FD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>NIMBE LEONOR EWALD AROSTEGUI</w:t>
      </w:r>
    </w:p>
    <w:p w:rsidR="00DD32EB" w:rsidRPr="00D20FDE" w:rsidRDefault="00DD32EB" w:rsidP="00D20FD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>DIRECTORA G</w:t>
      </w:r>
      <w:r w:rsidR="00021CFF" w:rsidRPr="00D20FDE">
        <w:rPr>
          <w:rFonts w:ascii="ITC Avant Garde" w:hAnsi="ITC Avant Garde"/>
          <w:b/>
          <w:bCs/>
          <w:color w:val="000000"/>
          <w:sz w:val="21"/>
          <w:szCs w:val="21"/>
        </w:rPr>
        <w:t>ENERAL DE REGULACION DE TÉCNICA</w:t>
      </w:r>
    </w:p>
    <w:p w:rsidR="00021CFF" w:rsidRPr="00D20FDE" w:rsidRDefault="00021CFF" w:rsidP="00D20FD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>UNIDAD DE POLÍTICA REGULATORIA</w:t>
      </w:r>
      <w:r w:rsidR="00526AA0" w:rsidRPr="00D20FDE">
        <w:rPr>
          <w:rFonts w:ascii="ITC Avant Garde" w:hAnsi="ITC Avant Garde"/>
          <w:b/>
          <w:bCs/>
          <w:color w:val="000000"/>
          <w:sz w:val="21"/>
          <w:szCs w:val="21"/>
        </w:rPr>
        <w:t xml:space="preserve"> </w:t>
      </w:r>
    </w:p>
    <w:p w:rsidR="00DD32EB" w:rsidRPr="00D20FDE" w:rsidRDefault="00DD32EB" w:rsidP="00D20FD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</w:rPr>
        <w:t xml:space="preserve">P R E S E N T E </w:t>
      </w:r>
    </w:p>
    <w:p w:rsidR="00500305" w:rsidRPr="00D20FDE" w:rsidRDefault="00500305" w:rsidP="00D20FDE">
      <w:pPr>
        <w:pStyle w:val="estilo30"/>
        <w:spacing w:before="0" w:beforeAutospacing="0" w:after="0" w:afterAutospacing="0"/>
        <w:rPr>
          <w:rFonts w:ascii="ITC Avant Garde" w:hAnsi="ITC Avant Garde"/>
          <w:b/>
          <w:bCs/>
          <w:color w:val="000000"/>
          <w:sz w:val="21"/>
          <w:szCs w:val="21"/>
        </w:rPr>
      </w:pPr>
    </w:p>
    <w:p w:rsidR="00CD391B" w:rsidRDefault="00DD32EB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Me refiero al oficio número IFT/221/UPR/</w:t>
      </w:r>
      <w:r w:rsidR="00CD391B" w:rsidRPr="00D20FDE">
        <w:rPr>
          <w:rFonts w:ascii="ITC Avant Garde" w:hAnsi="ITC Avant Garde"/>
          <w:bCs/>
          <w:sz w:val="21"/>
          <w:szCs w:val="21"/>
        </w:rPr>
        <w:t>DG-RTE/0</w:t>
      </w:r>
      <w:r w:rsidR="00526AA0" w:rsidRPr="00D20FDE">
        <w:rPr>
          <w:rFonts w:ascii="ITC Avant Garde" w:hAnsi="ITC Avant Garde"/>
          <w:bCs/>
          <w:sz w:val="21"/>
          <w:szCs w:val="21"/>
        </w:rPr>
        <w:t>62</w:t>
      </w:r>
      <w:r w:rsidR="00CD391B" w:rsidRPr="00D20FDE">
        <w:rPr>
          <w:rFonts w:ascii="ITC Avant Garde" w:hAnsi="ITC Avant Garde"/>
          <w:bCs/>
          <w:sz w:val="21"/>
          <w:szCs w:val="21"/>
        </w:rPr>
        <w:t>/2015</w:t>
      </w:r>
      <w:r w:rsidRPr="00D20FDE">
        <w:rPr>
          <w:rFonts w:ascii="ITC Avant Garde" w:hAnsi="ITC Avant Garde"/>
          <w:bCs/>
          <w:sz w:val="21"/>
          <w:szCs w:val="21"/>
        </w:rPr>
        <w:t xml:space="preserve">, </w:t>
      </w:r>
      <w:r w:rsidR="00707FAF" w:rsidRPr="00D20FDE">
        <w:rPr>
          <w:rFonts w:ascii="ITC Avant Garde" w:hAnsi="ITC Avant Garde"/>
          <w:bCs/>
          <w:sz w:val="21"/>
          <w:szCs w:val="21"/>
        </w:rPr>
        <w:t xml:space="preserve">de fecha </w:t>
      </w:r>
      <w:r w:rsidR="00526AA0" w:rsidRPr="00D20FDE">
        <w:rPr>
          <w:rFonts w:ascii="ITC Avant Garde" w:hAnsi="ITC Avant Garde"/>
          <w:bCs/>
          <w:sz w:val="21"/>
          <w:szCs w:val="21"/>
        </w:rPr>
        <w:t>8</w:t>
      </w:r>
      <w:r w:rsidR="00707FAF" w:rsidRPr="00D20FDE">
        <w:rPr>
          <w:rFonts w:ascii="ITC Avant Garde" w:hAnsi="ITC Avant Garde"/>
          <w:bCs/>
          <w:sz w:val="21"/>
          <w:szCs w:val="21"/>
        </w:rPr>
        <w:t xml:space="preserve"> de </w:t>
      </w:r>
      <w:r w:rsidR="00526AA0" w:rsidRPr="00D20FDE">
        <w:rPr>
          <w:rFonts w:ascii="ITC Avant Garde" w:hAnsi="ITC Avant Garde"/>
          <w:bCs/>
          <w:sz w:val="21"/>
          <w:szCs w:val="21"/>
        </w:rPr>
        <w:t>septiembre</w:t>
      </w:r>
      <w:r w:rsidR="008243AA" w:rsidRPr="00D20FDE">
        <w:rPr>
          <w:rFonts w:ascii="ITC Avant Garde" w:hAnsi="ITC Avant Garde"/>
          <w:bCs/>
          <w:sz w:val="21"/>
          <w:szCs w:val="21"/>
        </w:rPr>
        <w:t xml:space="preserve"> de 2015</w:t>
      </w:r>
      <w:r w:rsidR="00526AA0" w:rsidRPr="00D20FDE">
        <w:rPr>
          <w:rFonts w:ascii="ITC Avant Garde" w:hAnsi="ITC Avant Garde"/>
          <w:bCs/>
          <w:sz w:val="21"/>
          <w:szCs w:val="21"/>
        </w:rPr>
        <w:t xml:space="preserve">, el cual fue recibido en esta Coordinación General </w:t>
      </w:r>
      <w:r w:rsidR="009618AC" w:rsidRPr="00D20FDE">
        <w:rPr>
          <w:rFonts w:ascii="ITC Avant Garde" w:hAnsi="ITC Avant Garde"/>
          <w:bCs/>
          <w:sz w:val="21"/>
          <w:szCs w:val="21"/>
        </w:rPr>
        <w:t xml:space="preserve">de Mejora Regulatoria (en lo sucesivo, la “Coordinación General”) </w:t>
      </w:r>
      <w:r w:rsidR="00526AA0" w:rsidRPr="00D20FDE">
        <w:rPr>
          <w:rFonts w:ascii="ITC Avant Garde" w:hAnsi="ITC Avant Garde"/>
          <w:bCs/>
          <w:sz w:val="21"/>
          <w:szCs w:val="21"/>
        </w:rPr>
        <w:t>ese mismo día</w:t>
      </w:r>
      <w:r w:rsidR="008243AA" w:rsidRPr="00D20FDE">
        <w:rPr>
          <w:rFonts w:ascii="ITC Avant Garde" w:hAnsi="ITC Avant Garde"/>
          <w:bCs/>
          <w:sz w:val="21"/>
          <w:szCs w:val="21"/>
        </w:rPr>
        <w:t xml:space="preserve">, mediante el cual 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la Dirección General de Regulación Técnica </w:t>
      </w:r>
      <w:r w:rsidR="00223588" w:rsidRPr="00D20FDE">
        <w:rPr>
          <w:rFonts w:ascii="ITC Avant Garde" w:hAnsi="ITC Avant Garde"/>
          <w:bCs/>
          <w:sz w:val="21"/>
          <w:szCs w:val="21"/>
        </w:rPr>
        <w:t>de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 la Unidad de Política Regulatoria (</w:t>
      </w:r>
      <w:r w:rsidR="009618AC" w:rsidRPr="00D20FDE">
        <w:rPr>
          <w:rFonts w:ascii="ITC Avant Garde" w:hAnsi="ITC Avant Garde"/>
          <w:bCs/>
          <w:sz w:val="21"/>
          <w:szCs w:val="21"/>
        </w:rPr>
        <w:t>en lo sucesivo, la “</w:t>
      </w:r>
      <w:r w:rsidR="00CD391B" w:rsidRPr="00D20FDE">
        <w:rPr>
          <w:rFonts w:ascii="ITC Avant Garde" w:hAnsi="ITC Avant Garde"/>
          <w:bCs/>
          <w:sz w:val="21"/>
          <w:szCs w:val="21"/>
        </w:rPr>
        <w:t>UPR</w:t>
      </w:r>
      <w:r w:rsidR="009618AC" w:rsidRPr="00D20FDE">
        <w:rPr>
          <w:rFonts w:ascii="ITC Avant Garde" w:hAnsi="ITC Avant Garde"/>
          <w:bCs/>
          <w:sz w:val="21"/>
          <w:szCs w:val="21"/>
        </w:rPr>
        <w:t>”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) </w:t>
      </w:r>
      <w:r w:rsidR="00223588" w:rsidRPr="00D20FDE">
        <w:rPr>
          <w:rFonts w:ascii="ITC Avant Garde" w:hAnsi="ITC Avant Garde"/>
          <w:bCs/>
          <w:sz w:val="21"/>
          <w:szCs w:val="21"/>
        </w:rPr>
        <w:t>de</w:t>
      </w:r>
      <w:r w:rsidR="008243AA" w:rsidRPr="00D20FDE">
        <w:rPr>
          <w:rFonts w:ascii="ITC Avant Garde" w:hAnsi="ITC Avant Garde"/>
          <w:bCs/>
          <w:sz w:val="21"/>
          <w:szCs w:val="21"/>
        </w:rPr>
        <w:t>l</w:t>
      </w:r>
      <w:r w:rsidR="00223588" w:rsidRPr="00D20FDE">
        <w:rPr>
          <w:rFonts w:ascii="ITC Avant Garde" w:hAnsi="ITC Avant Garde"/>
          <w:bCs/>
          <w:sz w:val="21"/>
          <w:szCs w:val="21"/>
        </w:rPr>
        <w:t xml:space="preserve"> Instituto, 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remite </w:t>
      </w:r>
      <w:r w:rsidR="00223588" w:rsidRPr="00D20FDE">
        <w:rPr>
          <w:rFonts w:ascii="ITC Avant Garde" w:hAnsi="ITC Avant Garde"/>
          <w:bCs/>
          <w:sz w:val="21"/>
          <w:szCs w:val="21"/>
        </w:rPr>
        <w:t xml:space="preserve">a esta unidad administrativa 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el anteproyecto de </w:t>
      </w:r>
      <w:r w:rsidR="00CD391B" w:rsidRPr="00D20FDE">
        <w:rPr>
          <w:rFonts w:ascii="ITC Avant Garde" w:hAnsi="ITC Avant Garde"/>
          <w:b/>
          <w:bCs/>
          <w:sz w:val="21"/>
          <w:szCs w:val="21"/>
        </w:rPr>
        <w:t>“Disposición Té</w:t>
      </w:r>
      <w:r w:rsidR="00526AA0" w:rsidRPr="00D20FDE">
        <w:rPr>
          <w:rFonts w:ascii="ITC Avant Garde" w:hAnsi="ITC Avant Garde"/>
          <w:b/>
          <w:bCs/>
          <w:sz w:val="21"/>
          <w:szCs w:val="21"/>
        </w:rPr>
        <w:t>cnica IFT-009</w:t>
      </w:r>
      <w:r w:rsidR="00CD391B" w:rsidRPr="00D20FDE">
        <w:rPr>
          <w:rFonts w:ascii="ITC Avant Garde" w:hAnsi="ITC Avant Garde"/>
          <w:b/>
          <w:bCs/>
          <w:sz w:val="21"/>
          <w:szCs w:val="21"/>
        </w:rPr>
        <w:t xml:space="preserve">-2015, </w:t>
      </w:r>
      <w:r w:rsidR="00526AA0" w:rsidRPr="00D20FDE">
        <w:rPr>
          <w:rFonts w:ascii="ITC Avant Garde" w:hAnsi="ITC Avant Garde"/>
          <w:b/>
          <w:bCs/>
          <w:sz w:val="21"/>
          <w:szCs w:val="21"/>
        </w:rPr>
        <w:t xml:space="preserve">Telecomunicaciones – Interfaz – Parte de usuario de servicios integrados del sistema de señalización </w:t>
      </w:r>
      <w:r w:rsidR="009618AC" w:rsidRPr="00D20FDE">
        <w:rPr>
          <w:rFonts w:ascii="ITC Avant Garde" w:hAnsi="ITC Avant Garde"/>
          <w:b/>
          <w:bCs/>
          <w:sz w:val="21"/>
          <w:szCs w:val="21"/>
        </w:rPr>
        <w:t>por canal común</w:t>
      </w:r>
      <w:r w:rsidR="00CD391B" w:rsidRPr="00D20FDE">
        <w:rPr>
          <w:rFonts w:ascii="ITC Avant Garde" w:hAnsi="ITC Avant Garde"/>
          <w:b/>
          <w:bCs/>
          <w:sz w:val="21"/>
          <w:szCs w:val="21"/>
        </w:rPr>
        <w:t>”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 (</w:t>
      </w:r>
      <w:r w:rsidR="009618AC" w:rsidRPr="00D20FDE">
        <w:rPr>
          <w:rFonts w:ascii="ITC Avant Garde" w:hAnsi="ITC Avant Garde"/>
          <w:bCs/>
          <w:sz w:val="21"/>
          <w:szCs w:val="21"/>
        </w:rPr>
        <w:t xml:space="preserve">en lo sucesivo, </w:t>
      </w:r>
      <w:r w:rsidR="00500305" w:rsidRPr="00D20FDE">
        <w:rPr>
          <w:rFonts w:ascii="ITC Avant Garde" w:hAnsi="ITC Avant Garde"/>
          <w:bCs/>
          <w:sz w:val="21"/>
          <w:szCs w:val="21"/>
        </w:rPr>
        <w:t xml:space="preserve">el </w:t>
      </w:r>
      <w:r w:rsidR="009618AC" w:rsidRPr="00D20FDE">
        <w:rPr>
          <w:rFonts w:ascii="ITC Avant Garde" w:hAnsi="ITC Avant Garde"/>
          <w:bCs/>
          <w:sz w:val="21"/>
          <w:szCs w:val="21"/>
        </w:rPr>
        <w:t>“</w:t>
      </w:r>
      <w:r w:rsidR="00CD391B" w:rsidRPr="00D20FDE">
        <w:rPr>
          <w:rFonts w:ascii="ITC Avant Garde" w:hAnsi="ITC Avant Garde"/>
          <w:bCs/>
          <w:sz w:val="21"/>
          <w:szCs w:val="21"/>
        </w:rPr>
        <w:t>Anteproyecto</w:t>
      </w:r>
      <w:r w:rsidR="009618AC" w:rsidRPr="00D20FDE">
        <w:rPr>
          <w:rFonts w:ascii="ITC Avant Garde" w:hAnsi="ITC Avant Garde"/>
          <w:bCs/>
          <w:sz w:val="21"/>
          <w:szCs w:val="21"/>
        </w:rPr>
        <w:t>”</w:t>
      </w:r>
      <w:r w:rsidR="00CD391B" w:rsidRPr="00D20FDE">
        <w:rPr>
          <w:rFonts w:ascii="ITC Avant Garde" w:hAnsi="ITC Avant Garde"/>
          <w:bCs/>
          <w:sz w:val="21"/>
          <w:szCs w:val="21"/>
        </w:rPr>
        <w:t>)</w:t>
      </w:r>
      <w:r w:rsidR="00500305" w:rsidRPr="00D20FDE">
        <w:rPr>
          <w:rFonts w:ascii="ITC Avant Garde" w:hAnsi="ITC Avant Garde"/>
          <w:bCs/>
          <w:sz w:val="21"/>
          <w:szCs w:val="21"/>
        </w:rPr>
        <w:t xml:space="preserve">, acompañado de </w:t>
      </w:r>
      <w:r w:rsidR="00223588" w:rsidRPr="00D20FDE">
        <w:rPr>
          <w:rFonts w:ascii="ITC Avant Garde" w:hAnsi="ITC Avant Garde"/>
          <w:bCs/>
          <w:sz w:val="21"/>
          <w:szCs w:val="21"/>
        </w:rPr>
        <w:t>su respectivo</w:t>
      </w:r>
      <w:r w:rsidR="00CD391B" w:rsidRPr="00D20FDE">
        <w:rPr>
          <w:rFonts w:ascii="ITC Avant Garde" w:hAnsi="ITC Avant Garde"/>
          <w:bCs/>
          <w:sz w:val="21"/>
          <w:szCs w:val="21"/>
        </w:rPr>
        <w:t xml:space="preserve"> Aná</w:t>
      </w:r>
      <w:r w:rsidR="008243AA" w:rsidRPr="00D20FDE">
        <w:rPr>
          <w:rFonts w:ascii="ITC Avant Garde" w:hAnsi="ITC Avant Garde"/>
          <w:bCs/>
          <w:sz w:val="21"/>
          <w:szCs w:val="21"/>
        </w:rPr>
        <w:t>lisis de</w:t>
      </w:r>
      <w:r w:rsidR="00526AA0" w:rsidRPr="00D20FDE">
        <w:rPr>
          <w:rFonts w:ascii="ITC Avant Garde" w:hAnsi="ITC Avant Garde"/>
          <w:bCs/>
          <w:sz w:val="21"/>
          <w:szCs w:val="21"/>
        </w:rPr>
        <w:t xml:space="preserve"> Nulo </w:t>
      </w:r>
      <w:r w:rsidR="008243AA" w:rsidRPr="00D20FDE">
        <w:rPr>
          <w:rFonts w:ascii="ITC Avant Garde" w:hAnsi="ITC Avant Garde"/>
          <w:bCs/>
          <w:sz w:val="21"/>
          <w:szCs w:val="21"/>
        </w:rPr>
        <w:t>Impacto Regulatorio (</w:t>
      </w:r>
      <w:r w:rsidR="009618AC" w:rsidRPr="00D20FDE">
        <w:rPr>
          <w:rFonts w:ascii="ITC Avant Garde" w:hAnsi="ITC Avant Garde"/>
          <w:bCs/>
          <w:sz w:val="21"/>
          <w:szCs w:val="21"/>
        </w:rPr>
        <w:t>en lo sucesivo, el “</w:t>
      </w:r>
      <w:r w:rsidR="008243AA" w:rsidRPr="00D20FDE">
        <w:rPr>
          <w:rFonts w:ascii="ITC Avant Garde" w:hAnsi="ITC Avant Garde"/>
          <w:bCs/>
          <w:sz w:val="21"/>
          <w:szCs w:val="21"/>
        </w:rPr>
        <w:t>A</w:t>
      </w:r>
      <w:r w:rsidR="009618AC" w:rsidRPr="00D20FDE">
        <w:rPr>
          <w:rFonts w:ascii="ITC Avant Garde" w:hAnsi="ITC Avant Garde"/>
          <w:bCs/>
          <w:sz w:val="21"/>
          <w:szCs w:val="21"/>
        </w:rPr>
        <w:t>N</w:t>
      </w:r>
      <w:r w:rsidR="00CD391B" w:rsidRPr="00D20FDE">
        <w:rPr>
          <w:rFonts w:ascii="ITC Avant Garde" w:hAnsi="ITC Avant Garde"/>
          <w:bCs/>
          <w:sz w:val="21"/>
          <w:szCs w:val="21"/>
        </w:rPr>
        <w:t>IR</w:t>
      </w:r>
      <w:r w:rsidR="009618AC" w:rsidRPr="00D20FDE">
        <w:rPr>
          <w:rFonts w:ascii="ITC Avant Garde" w:hAnsi="ITC Avant Garde"/>
          <w:bCs/>
          <w:sz w:val="21"/>
          <w:szCs w:val="21"/>
        </w:rPr>
        <w:t>”</w:t>
      </w:r>
      <w:r w:rsidR="00CD391B" w:rsidRPr="00D20FDE">
        <w:rPr>
          <w:rFonts w:ascii="ITC Avant Garde" w:hAnsi="ITC Avant Garde"/>
          <w:bCs/>
          <w:sz w:val="21"/>
          <w:szCs w:val="21"/>
        </w:rPr>
        <w:t>).</w:t>
      </w:r>
    </w:p>
    <w:p w:rsidR="00D20FDE" w:rsidRPr="00D20FDE" w:rsidRDefault="00D20FDE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</w:p>
    <w:p w:rsidR="00AF783D" w:rsidRDefault="00BF5EFD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 xml:space="preserve">Al respecto, </w:t>
      </w:r>
      <w:r w:rsidR="00DD32EB" w:rsidRPr="00D20FDE">
        <w:rPr>
          <w:rFonts w:ascii="ITC Avant Garde" w:hAnsi="ITC Avant Garde"/>
          <w:bCs/>
          <w:sz w:val="21"/>
          <w:szCs w:val="21"/>
        </w:rPr>
        <w:t>con fundamento en los artículos 51 de la Ley Federal de Telecomunicaciones y Radiodifusión</w:t>
      </w:r>
      <w:r w:rsidR="00490B54" w:rsidRPr="00D20FDE">
        <w:rPr>
          <w:rFonts w:ascii="ITC Avant Garde" w:hAnsi="ITC Avant Garde"/>
          <w:bCs/>
          <w:sz w:val="21"/>
          <w:szCs w:val="21"/>
        </w:rPr>
        <w:t xml:space="preserve"> (</w:t>
      </w:r>
      <w:r w:rsidR="00D20FDE" w:rsidRPr="00D20FDE">
        <w:rPr>
          <w:rFonts w:ascii="ITC Avant Garde" w:hAnsi="ITC Avant Garde"/>
          <w:bCs/>
          <w:sz w:val="21"/>
          <w:szCs w:val="21"/>
        </w:rPr>
        <w:t>en lo sucesivo, la “</w:t>
      </w:r>
      <w:r w:rsidR="00490B54" w:rsidRPr="00D20FDE">
        <w:rPr>
          <w:rFonts w:ascii="ITC Avant Garde" w:hAnsi="ITC Avant Garde"/>
          <w:bCs/>
          <w:sz w:val="21"/>
          <w:szCs w:val="21"/>
        </w:rPr>
        <w:t>LFTR</w:t>
      </w:r>
      <w:r w:rsidR="00D20FDE" w:rsidRPr="00D20FDE">
        <w:rPr>
          <w:rFonts w:ascii="ITC Avant Garde" w:hAnsi="ITC Avant Garde"/>
          <w:bCs/>
          <w:sz w:val="21"/>
          <w:szCs w:val="21"/>
        </w:rPr>
        <w:t>”</w:t>
      </w:r>
      <w:r w:rsidR="00490B54" w:rsidRPr="00D20FDE">
        <w:rPr>
          <w:rFonts w:ascii="ITC Avant Garde" w:hAnsi="ITC Avant Garde"/>
          <w:bCs/>
          <w:sz w:val="21"/>
          <w:szCs w:val="21"/>
        </w:rPr>
        <w:t>)</w:t>
      </w:r>
      <w:r w:rsidR="00DD32EB" w:rsidRPr="00D20FDE">
        <w:rPr>
          <w:rFonts w:ascii="ITC Avant Garde" w:hAnsi="ITC Avant Garde"/>
          <w:bCs/>
          <w:sz w:val="21"/>
          <w:szCs w:val="21"/>
        </w:rPr>
        <w:t xml:space="preserve">; así como, 4, fracción VIII, inciso iv) y 75, fracción II del Estatuto Orgánico del Instituto Federal de Telecomunicaciones, </w:t>
      </w:r>
      <w:r w:rsidR="009618AC" w:rsidRPr="00D20FDE">
        <w:rPr>
          <w:rFonts w:ascii="ITC Avant Garde" w:hAnsi="ITC Avant Garde"/>
          <w:bCs/>
          <w:sz w:val="21"/>
          <w:szCs w:val="21"/>
        </w:rPr>
        <w:t>esta Coordinación General</w:t>
      </w:r>
      <w:r w:rsidR="00DD32EB" w:rsidRPr="00D20FDE">
        <w:rPr>
          <w:rFonts w:ascii="ITC Avant Garde" w:hAnsi="ITC Avant Garde"/>
          <w:bCs/>
          <w:sz w:val="21"/>
          <w:szCs w:val="21"/>
        </w:rPr>
        <w:t xml:space="preserve"> emite la presente </w:t>
      </w:r>
      <w:r w:rsidR="00DD32EB" w:rsidRPr="00D20FDE">
        <w:rPr>
          <w:rFonts w:ascii="ITC Avant Garde" w:hAnsi="ITC Avant Garde"/>
          <w:b/>
          <w:bCs/>
          <w:sz w:val="21"/>
          <w:szCs w:val="21"/>
        </w:rPr>
        <w:t>opinión no vinculante</w:t>
      </w:r>
      <w:r w:rsidR="008243AA" w:rsidRPr="00D20FDE">
        <w:rPr>
          <w:rFonts w:ascii="ITC Avant Garde" w:hAnsi="ITC Avant Garde"/>
          <w:bCs/>
          <w:sz w:val="21"/>
          <w:szCs w:val="21"/>
        </w:rPr>
        <w:t xml:space="preserve"> sobre el A</w:t>
      </w:r>
      <w:r w:rsidR="00526AA0" w:rsidRPr="00D20FDE">
        <w:rPr>
          <w:rFonts w:ascii="ITC Avant Garde" w:hAnsi="ITC Avant Garde"/>
          <w:bCs/>
          <w:sz w:val="21"/>
          <w:szCs w:val="21"/>
        </w:rPr>
        <w:t>N</w:t>
      </w:r>
      <w:r w:rsidR="00DD32EB" w:rsidRPr="00D20FDE">
        <w:rPr>
          <w:rFonts w:ascii="ITC Avant Garde" w:hAnsi="ITC Avant Garde"/>
          <w:bCs/>
          <w:sz w:val="21"/>
          <w:szCs w:val="21"/>
        </w:rPr>
        <w:t>IR del Anteproyecto:</w:t>
      </w:r>
      <w:r w:rsidR="00DB7A1B">
        <w:rPr>
          <w:rFonts w:ascii="ITC Avant Garde" w:hAnsi="ITC Avant Garde"/>
          <w:bCs/>
          <w:sz w:val="21"/>
          <w:szCs w:val="21"/>
        </w:rPr>
        <w:t xml:space="preserve"> </w:t>
      </w:r>
    </w:p>
    <w:p w:rsidR="00D20FDE" w:rsidRPr="00D20FDE" w:rsidRDefault="00D20FDE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</w:p>
    <w:p w:rsidR="00AA453F" w:rsidRDefault="00AA453F" w:rsidP="00D20FDE">
      <w:pPr>
        <w:pStyle w:val="Default"/>
        <w:numPr>
          <w:ilvl w:val="0"/>
          <w:numId w:val="3"/>
        </w:numPr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 xml:space="preserve">El </w:t>
      </w:r>
      <w:r w:rsidR="006D1CBF">
        <w:rPr>
          <w:rFonts w:ascii="ITC Avant Garde" w:hAnsi="ITC Avant Garde"/>
          <w:bCs/>
          <w:sz w:val="21"/>
          <w:szCs w:val="21"/>
        </w:rPr>
        <w:t>segundo párrafo</w:t>
      </w:r>
      <w:r w:rsidRPr="00D20FDE">
        <w:rPr>
          <w:rFonts w:ascii="ITC Avant Garde" w:hAnsi="ITC Avant Garde"/>
          <w:bCs/>
          <w:sz w:val="21"/>
          <w:szCs w:val="21"/>
        </w:rPr>
        <w:t xml:space="preserve"> del artículo 51 de la LFTR establece, entre otras cosas, que previo a la emisión de las reglas, lineamientos o disposiciones administrativas de carácter general, el Instituto deberá realizar y hacer público un análisis de impacto regulatorio (en lo sucesivo, el “AIR”).</w:t>
      </w:r>
    </w:p>
    <w:p w:rsidR="00D20FDE" w:rsidRPr="00D20FDE" w:rsidRDefault="00D20FDE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AA453F" w:rsidRDefault="00AA453F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A este respecto, esta Coordinación General considera necesario elaborar un AIR cuando la unidad administrativa del Instituto promotora de un anteproyecto de reglas, lineamientos o disposiciones administrativas de carácter general</w:t>
      </w:r>
      <w:r w:rsidR="006D1CBF">
        <w:rPr>
          <w:rFonts w:ascii="ITC Avant Garde" w:hAnsi="ITC Avant Garde"/>
          <w:bCs/>
          <w:sz w:val="21"/>
          <w:szCs w:val="21"/>
        </w:rPr>
        <w:t>,</w:t>
      </w:r>
      <w:r w:rsidRPr="00D20FDE">
        <w:rPr>
          <w:rFonts w:ascii="ITC Avant Garde" w:hAnsi="ITC Avant Garde"/>
          <w:bCs/>
          <w:sz w:val="21"/>
          <w:szCs w:val="21"/>
        </w:rPr>
        <w:t xml:space="preserve"> a su entrada en vigor genere nuevos costos de cumplimiento para los particulares, al encuadrarse en uno o varios de los siguientes criterios:</w:t>
      </w:r>
    </w:p>
    <w:p w:rsidR="00D20FDE" w:rsidRPr="00D20FDE" w:rsidRDefault="00D20FDE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AA453F" w:rsidRPr="00D20FDE" w:rsidRDefault="00AA453F" w:rsidP="00D20FDE">
      <w:pPr>
        <w:pStyle w:val="Default"/>
        <w:numPr>
          <w:ilvl w:val="0"/>
          <w:numId w:val="11"/>
        </w:numPr>
        <w:ind w:left="1134" w:right="612" w:hanging="567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Crea nuevas obligaciones para los particulares o hace más estrictas las obligaciones existentes;</w:t>
      </w:r>
    </w:p>
    <w:p w:rsidR="00AA453F" w:rsidRPr="00D20FDE" w:rsidRDefault="00AA453F" w:rsidP="00D20FDE">
      <w:pPr>
        <w:pStyle w:val="Default"/>
        <w:numPr>
          <w:ilvl w:val="0"/>
          <w:numId w:val="11"/>
        </w:numPr>
        <w:ind w:left="1134" w:right="612" w:hanging="567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Crea o modifica trámites (excepto cuando la modificación simplifica y facilita el cumplimiento del particular);</w:t>
      </w:r>
    </w:p>
    <w:p w:rsidR="00AA453F" w:rsidRPr="00D20FDE" w:rsidRDefault="00AA453F" w:rsidP="00D20FDE">
      <w:pPr>
        <w:pStyle w:val="Default"/>
        <w:numPr>
          <w:ilvl w:val="0"/>
          <w:numId w:val="11"/>
        </w:numPr>
        <w:ind w:left="1134" w:right="612" w:hanging="567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Reduce o restringe derechos o prestaciones para los particulares; o,</w:t>
      </w:r>
    </w:p>
    <w:p w:rsidR="00AA453F" w:rsidRDefault="00AA453F" w:rsidP="00D20FDE">
      <w:pPr>
        <w:pStyle w:val="Default"/>
        <w:numPr>
          <w:ilvl w:val="0"/>
          <w:numId w:val="11"/>
        </w:numPr>
        <w:ind w:left="1134" w:right="612" w:hanging="567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 xml:space="preserve">Establece definiciones, clasificaciones, caracterizaciones o cualquier otro término de referencia, que conjuntamente con otra disposición en vigor o </w:t>
      </w:r>
      <w:r w:rsidRPr="00D20FDE">
        <w:rPr>
          <w:rFonts w:ascii="ITC Avant Garde" w:hAnsi="ITC Avant Garde"/>
          <w:bCs/>
          <w:sz w:val="21"/>
          <w:szCs w:val="21"/>
        </w:rPr>
        <w:lastRenderedPageBreak/>
        <w:t>con una disposición futura, afecten o puedan afectar los derechos, obligaciones, prestaciones o trámites de los particulares.</w:t>
      </w:r>
    </w:p>
    <w:p w:rsidR="00D20FDE" w:rsidRPr="00D20FDE" w:rsidRDefault="00D20FDE" w:rsidP="00D20FDE">
      <w:pPr>
        <w:pStyle w:val="Default"/>
        <w:ind w:left="1134" w:right="612"/>
        <w:jc w:val="both"/>
        <w:rPr>
          <w:rFonts w:ascii="ITC Avant Garde" w:hAnsi="ITC Avant Garde"/>
          <w:bCs/>
          <w:sz w:val="21"/>
          <w:szCs w:val="21"/>
        </w:rPr>
      </w:pPr>
    </w:p>
    <w:p w:rsidR="00AA453F" w:rsidRDefault="00AA453F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Caso contrario a lo anterior, se considera factible que la unidad administrativa del Instituto elabore y haga público un ANIR</w:t>
      </w:r>
      <w:r w:rsidR="009D4E06" w:rsidRPr="00D20FDE">
        <w:rPr>
          <w:rFonts w:ascii="ITC Avant Garde" w:hAnsi="ITC Avant Garde"/>
          <w:bCs/>
          <w:sz w:val="21"/>
          <w:szCs w:val="21"/>
        </w:rPr>
        <w:t xml:space="preserve"> para dar cumplimiento a lo dispuesto en el segundo párrafo del artículo 51 de la LFTR</w:t>
      </w:r>
      <w:r w:rsidRPr="00D20FDE">
        <w:rPr>
          <w:rFonts w:ascii="ITC Avant Garde" w:hAnsi="ITC Avant Garde"/>
          <w:bCs/>
          <w:sz w:val="21"/>
          <w:szCs w:val="21"/>
        </w:rPr>
        <w:t>.</w:t>
      </w:r>
    </w:p>
    <w:p w:rsidR="00D20FDE" w:rsidRPr="00D20FDE" w:rsidRDefault="00D20FDE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CC6441" w:rsidRDefault="00AA453F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De la revisión realizada por la Coordinación General al Anteproyecto, se advierte que el mismo réplica el contenido de la Norma Oficial Mexicana NOM-112-SCT1-1999, Telecomunicaciones – Interfaz - Parte de usuario de servicios integrados del sistema de señalización por canal común, por lo que su expedición</w:t>
      </w:r>
      <w:r w:rsidR="009D4E06" w:rsidRPr="00D20FDE">
        <w:rPr>
          <w:rFonts w:ascii="ITC Avant Garde" w:hAnsi="ITC Avant Garde"/>
          <w:bCs/>
          <w:sz w:val="21"/>
          <w:szCs w:val="21"/>
        </w:rPr>
        <w:t xml:space="preserve"> no generará nuevos costos de cumplimiento para los particulares y que, a razón de lo anterior, resulta procedente que la UPR someta a la consideración del Pleno del Instituto</w:t>
      </w:r>
      <w:r w:rsidR="006D1CBF">
        <w:rPr>
          <w:rFonts w:ascii="ITC Avant Garde" w:hAnsi="ITC Avant Garde"/>
          <w:bCs/>
          <w:sz w:val="21"/>
          <w:szCs w:val="21"/>
        </w:rPr>
        <w:t>,</w:t>
      </w:r>
      <w:r w:rsidR="009D4E06" w:rsidRPr="00D20FDE">
        <w:rPr>
          <w:rFonts w:ascii="ITC Avant Garde" w:hAnsi="ITC Avant Garde"/>
          <w:bCs/>
          <w:sz w:val="21"/>
          <w:szCs w:val="21"/>
        </w:rPr>
        <w:t xml:space="preserve"> el Ante</w:t>
      </w:r>
      <w:r w:rsidR="00EC1044" w:rsidRPr="00D20FDE">
        <w:rPr>
          <w:rFonts w:ascii="ITC Avant Garde" w:hAnsi="ITC Avant Garde"/>
          <w:bCs/>
          <w:sz w:val="21"/>
          <w:szCs w:val="21"/>
        </w:rPr>
        <w:t>proyecto acompañado de un ANIR.</w:t>
      </w:r>
    </w:p>
    <w:p w:rsidR="00D20FDE" w:rsidRPr="00D20FDE" w:rsidRDefault="00D20FDE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6F096A" w:rsidRDefault="00A73D00" w:rsidP="00D20FDE">
      <w:pPr>
        <w:pStyle w:val="Default"/>
        <w:numPr>
          <w:ilvl w:val="0"/>
          <w:numId w:val="3"/>
        </w:numPr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Sin detrimento de lo anterior, esta Coordinación General considera conveniente hacer de</w:t>
      </w:r>
      <w:r w:rsidR="006B5340" w:rsidRPr="00D20FDE">
        <w:rPr>
          <w:rFonts w:ascii="ITC Avant Garde" w:hAnsi="ITC Avant Garde"/>
          <w:bCs/>
          <w:sz w:val="21"/>
          <w:szCs w:val="21"/>
        </w:rPr>
        <w:t>l conocimiento de la</w:t>
      </w:r>
      <w:r w:rsidR="00DC2FF8" w:rsidRPr="00D20FDE">
        <w:rPr>
          <w:rFonts w:ascii="ITC Avant Garde" w:hAnsi="ITC Avant Garde"/>
          <w:bCs/>
          <w:sz w:val="21"/>
          <w:szCs w:val="21"/>
        </w:rPr>
        <w:t xml:space="preserve"> UPR </w:t>
      </w:r>
      <w:r w:rsidR="006F096A" w:rsidRPr="00D20FDE">
        <w:rPr>
          <w:rFonts w:ascii="ITC Avant Garde" w:hAnsi="ITC Avant Garde"/>
          <w:bCs/>
          <w:sz w:val="21"/>
          <w:szCs w:val="21"/>
        </w:rPr>
        <w:t xml:space="preserve">que el </w:t>
      </w:r>
      <w:r w:rsidR="00EC1044" w:rsidRPr="00D20FDE">
        <w:rPr>
          <w:rFonts w:ascii="ITC Avant Garde" w:hAnsi="ITC Avant Garde"/>
          <w:bCs/>
          <w:sz w:val="21"/>
          <w:szCs w:val="21"/>
        </w:rPr>
        <w:t xml:space="preserve">numeral </w:t>
      </w:r>
      <w:r w:rsidR="006F096A" w:rsidRPr="00D20FDE">
        <w:rPr>
          <w:rFonts w:ascii="ITC Avant Garde" w:hAnsi="ITC Avant Garde"/>
          <w:bCs/>
          <w:sz w:val="21"/>
          <w:szCs w:val="21"/>
        </w:rPr>
        <w:t>13 del An</w:t>
      </w:r>
      <w:r w:rsidR="00C22A5A" w:rsidRPr="00D20FDE">
        <w:rPr>
          <w:rFonts w:ascii="ITC Avant Garde" w:hAnsi="ITC Avant Garde"/>
          <w:bCs/>
          <w:sz w:val="21"/>
          <w:szCs w:val="21"/>
        </w:rPr>
        <w:t>teproyecto establece que</w:t>
      </w:r>
      <w:r w:rsidR="006F096A" w:rsidRPr="00D20FDE">
        <w:rPr>
          <w:rFonts w:ascii="ITC Avant Garde" w:hAnsi="ITC Avant Garde"/>
          <w:bCs/>
          <w:sz w:val="21"/>
          <w:szCs w:val="21"/>
        </w:rPr>
        <w:t xml:space="preserve"> </w:t>
      </w:r>
      <w:r w:rsidR="006F096A" w:rsidRPr="00D20FDE">
        <w:rPr>
          <w:rFonts w:ascii="ITC Avant Garde" w:hAnsi="ITC Avant Garde"/>
          <w:bCs/>
          <w:i/>
          <w:sz w:val="21"/>
          <w:szCs w:val="21"/>
        </w:rPr>
        <w:t>“[l]as tablas y figuras referidas en la presente Disposición Técnica se encuentran disponibles en el portal de Internet del Instituto Federal de Telecomunicaciones”</w:t>
      </w:r>
      <w:r w:rsidR="006D1CBF">
        <w:rPr>
          <w:rFonts w:ascii="ITC Avant Garde" w:hAnsi="ITC Avant Garde"/>
          <w:bCs/>
          <w:sz w:val="21"/>
          <w:szCs w:val="21"/>
        </w:rPr>
        <w:t>;</w:t>
      </w:r>
      <w:r w:rsidR="00C22A5A" w:rsidRPr="00D20FDE">
        <w:rPr>
          <w:rFonts w:ascii="ITC Avant Garde" w:hAnsi="ITC Avant Garde"/>
          <w:bCs/>
          <w:sz w:val="21"/>
          <w:szCs w:val="21"/>
        </w:rPr>
        <w:t xml:space="preserve"> lo cual, a juicio de esta Coordinación General, no excluye a que </w:t>
      </w:r>
      <w:r w:rsidR="00D20FDE" w:rsidRPr="00D20FDE">
        <w:rPr>
          <w:rFonts w:ascii="ITC Avant Garde" w:hAnsi="ITC Avant Garde"/>
          <w:bCs/>
          <w:sz w:val="21"/>
          <w:szCs w:val="21"/>
        </w:rPr>
        <w:t>el Instituto</w:t>
      </w:r>
      <w:r w:rsidR="00C22A5A" w:rsidRPr="00D20FDE">
        <w:rPr>
          <w:rFonts w:ascii="ITC Avant Garde" w:hAnsi="ITC Avant Garde"/>
          <w:bCs/>
          <w:sz w:val="21"/>
          <w:szCs w:val="21"/>
        </w:rPr>
        <w:t xml:space="preserve"> </w:t>
      </w:r>
      <w:r w:rsidR="00D20FDE" w:rsidRPr="00D20FDE">
        <w:rPr>
          <w:rFonts w:ascii="ITC Avant Garde" w:hAnsi="ITC Avant Garde"/>
          <w:bCs/>
          <w:sz w:val="21"/>
          <w:szCs w:val="21"/>
        </w:rPr>
        <w:t xml:space="preserve">no </w:t>
      </w:r>
      <w:r w:rsidR="00C22A5A" w:rsidRPr="00D20FDE">
        <w:rPr>
          <w:rFonts w:ascii="ITC Avant Garde" w:hAnsi="ITC Avant Garde"/>
          <w:bCs/>
          <w:sz w:val="21"/>
          <w:szCs w:val="21"/>
        </w:rPr>
        <w:t xml:space="preserve">publique en el Diario Oficial de la Federación íntegramente el Anteproyecto, ya que el no hacerlo pudiera generar la interpretación de que las tablas y figuras en mención no son parte integrante de dicho instrumento jurídico y, por tanto, su aplicación podría </w:t>
      </w:r>
      <w:r w:rsidR="00D20FDE" w:rsidRPr="00D20FDE">
        <w:rPr>
          <w:rFonts w:ascii="ITC Avant Garde" w:hAnsi="ITC Avant Garde"/>
          <w:bCs/>
          <w:sz w:val="21"/>
          <w:szCs w:val="21"/>
        </w:rPr>
        <w:t>resultar</w:t>
      </w:r>
      <w:r w:rsidR="00C22A5A" w:rsidRPr="00D20FDE">
        <w:rPr>
          <w:rFonts w:ascii="ITC Avant Garde" w:hAnsi="ITC Avant Garde"/>
          <w:bCs/>
          <w:sz w:val="21"/>
          <w:szCs w:val="21"/>
        </w:rPr>
        <w:t xml:space="preserve"> cuestionable</w:t>
      </w:r>
      <w:r w:rsidR="006D1CBF">
        <w:rPr>
          <w:rFonts w:ascii="ITC Avant Garde" w:hAnsi="ITC Avant Garde"/>
          <w:bCs/>
          <w:sz w:val="21"/>
          <w:szCs w:val="21"/>
        </w:rPr>
        <w:t>; ello,</w:t>
      </w:r>
      <w:r w:rsidR="00D20FDE" w:rsidRPr="00D20FDE">
        <w:rPr>
          <w:rFonts w:ascii="ITC Avant Garde" w:hAnsi="ITC Avant Garde"/>
          <w:bCs/>
          <w:sz w:val="21"/>
          <w:szCs w:val="21"/>
        </w:rPr>
        <w:t xml:space="preserve"> tomando en consideración lo señalado por el </w:t>
      </w:r>
      <w:r w:rsidR="00C22A5A" w:rsidRPr="00D20FDE">
        <w:rPr>
          <w:rFonts w:ascii="ITC Avant Garde" w:hAnsi="ITC Avant Garde"/>
          <w:bCs/>
          <w:sz w:val="21"/>
          <w:szCs w:val="21"/>
        </w:rPr>
        <w:t xml:space="preserve">artículo 4 de la Ley Federal </w:t>
      </w:r>
      <w:r w:rsidR="00D20FDE" w:rsidRPr="00D20FDE">
        <w:rPr>
          <w:rFonts w:ascii="ITC Avant Garde" w:hAnsi="ITC Avant Garde"/>
          <w:bCs/>
          <w:sz w:val="21"/>
          <w:szCs w:val="21"/>
        </w:rPr>
        <w:t>de Procedimiento Administrativo</w:t>
      </w:r>
      <w:r w:rsidR="00D20FDE" w:rsidRPr="00D20FDE">
        <w:rPr>
          <w:rStyle w:val="Refdenotaalpie"/>
          <w:rFonts w:ascii="ITC Avant Garde" w:hAnsi="ITC Avant Garde"/>
          <w:bCs/>
          <w:sz w:val="21"/>
          <w:szCs w:val="21"/>
        </w:rPr>
        <w:footnoteReference w:id="1"/>
      </w:r>
      <w:r w:rsidR="00D20FDE" w:rsidRPr="00D20FDE">
        <w:rPr>
          <w:rFonts w:ascii="ITC Avant Garde" w:hAnsi="ITC Avant Garde"/>
          <w:bCs/>
          <w:sz w:val="21"/>
          <w:szCs w:val="21"/>
        </w:rPr>
        <w:t xml:space="preserve"> (en lo sucesivo, la “LFPA”), de aplicación supletoria de la LFTR.</w:t>
      </w:r>
    </w:p>
    <w:p w:rsidR="00D20FDE" w:rsidRPr="00D20FDE" w:rsidRDefault="00D20FDE" w:rsidP="00D20FDE">
      <w:pPr>
        <w:pStyle w:val="Default"/>
        <w:ind w:left="360"/>
        <w:jc w:val="both"/>
        <w:rPr>
          <w:rFonts w:ascii="ITC Avant Garde" w:hAnsi="ITC Avant Garde"/>
          <w:bCs/>
          <w:sz w:val="21"/>
          <w:szCs w:val="21"/>
        </w:rPr>
      </w:pPr>
    </w:p>
    <w:p w:rsidR="00876B2C" w:rsidRDefault="00876B2C" w:rsidP="00D20FDE">
      <w:pPr>
        <w:pStyle w:val="Default"/>
        <w:numPr>
          <w:ilvl w:val="0"/>
          <w:numId w:val="3"/>
        </w:numPr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 xml:space="preserve">El artículo Primero Transitorio del Anteproyecto establece que el mismo entrará en vigor el </w:t>
      </w:r>
      <w:r w:rsidR="00E161CC" w:rsidRPr="00D20FDE">
        <w:rPr>
          <w:rFonts w:ascii="ITC Avant Garde" w:hAnsi="ITC Avant Garde"/>
          <w:bCs/>
          <w:sz w:val="21"/>
          <w:szCs w:val="21"/>
        </w:rPr>
        <w:t>19</w:t>
      </w:r>
      <w:r w:rsidRPr="00D20FDE">
        <w:rPr>
          <w:rFonts w:ascii="ITC Avant Garde" w:hAnsi="ITC Avant Garde"/>
          <w:bCs/>
          <w:sz w:val="21"/>
          <w:szCs w:val="21"/>
        </w:rPr>
        <w:t xml:space="preserve"> de </w:t>
      </w:r>
      <w:r w:rsidR="00E161CC" w:rsidRPr="00D20FDE">
        <w:rPr>
          <w:rFonts w:ascii="ITC Avant Garde" w:hAnsi="ITC Avant Garde"/>
          <w:bCs/>
          <w:sz w:val="21"/>
          <w:szCs w:val="21"/>
        </w:rPr>
        <w:t>septiembre</w:t>
      </w:r>
      <w:r w:rsidRPr="00D20FDE">
        <w:rPr>
          <w:rFonts w:ascii="ITC Avant Garde" w:hAnsi="ITC Avant Garde"/>
          <w:bCs/>
          <w:sz w:val="21"/>
          <w:szCs w:val="21"/>
        </w:rPr>
        <w:t xml:space="preserve"> de 2015, sin que se tenga precisión del día en que dicho instrumento normat</w:t>
      </w:r>
      <w:r w:rsidR="00021CFF" w:rsidRPr="00D20FDE">
        <w:rPr>
          <w:rFonts w:ascii="ITC Avant Garde" w:hAnsi="ITC Avant Garde"/>
          <w:bCs/>
          <w:sz w:val="21"/>
          <w:szCs w:val="21"/>
        </w:rPr>
        <w:t>ivo será</w:t>
      </w:r>
      <w:r w:rsidRPr="00D20FDE">
        <w:rPr>
          <w:rFonts w:ascii="ITC Avant Garde" w:hAnsi="ITC Avant Garde"/>
          <w:bCs/>
          <w:sz w:val="21"/>
          <w:szCs w:val="21"/>
        </w:rPr>
        <w:t xml:space="preserve"> publicado en el Diario Oficial de la Federación. Por tal razón, se le sugiere a la UPR referir en dicho apartado del Anteproyecto que el mismo entrará en vigor al día siguiente de su publicación en dicho medio de difusión oficial. </w:t>
      </w:r>
    </w:p>
    <w:p w:rsidR="00D20FDE" w:rsidRPr="00D20FDE" w:rsidRDefault="00D20FDE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</w:p>
    <w:p w:rsidR="00876B2C" w:rsidRPr="00D20FDE" w:rsidRDefault="009E6670" w:rsidP="00D20FDE">
      <w:pPr>
        <w:pStyle w:val="Default"/>
        <w:numPr>
          <w:ilvl w:val="0"/>
          <w:numId w:val="3"/>
        </w:numPr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 xml:space="preserve">Esta Coordinación General </w:t>
      </w:r>
      <w:r w:rsidR="00876B2C" w:rsidRPr="00D20FDE">
        <w:rPr>
          <w:rFonts w:ascii="ITC Avant Garde" w:hAnsi="ITC Avant Garde"/>
          <w:bCs/>
          <w:sz w:val="21"/>
          <w:szCs w:val="21"/>
        </w:rPr>
        <w:t>sugiere a la UPR establecer un artículo transitorio en el Anteproyecto en donde se establezca un término para la revisión de la presente Disposición Técnica a efecto de determinar si las razones que motivaron su expedición aún subsisten o cambiaron y, con base en e</w:t>
      </w:r>
      <w:r w:rsidR="00021CFF" w:rsidRPr="00D20FDE">
        <w:rPr>
          <w:rFonts w:ascii="ITC Avant Garde" w:hAnsi="ITC Avant Garde"/>
          <w:bCs/>
          <w:sz w:val="21"/>
          <w:szCs w:val="21"/>
        </w:rPr>
        <w:t>llo, esa unidad administrativa esté</w:t>
      </w:r>
      <w:r w:rsidR="00876B2C" w:rsidRPr="00D20FDE">
        <w:rPr>
          <w:rFonts w:ascii="ITC Avant Garde" w:hAnsi="ITC Avant Garde"/>
          <w:bCs/>
          <w:sz w:val="21"/>
          <w:szCs w:val="21"/>
        </w:rPr>
        <w:t xml:space="preserve"> en condiciones de someter a la consideración del Pleno su modificación o eliminación. </w:t>
      </w:r>
    </w:p>
    <w:p w:rsidR="009E6670" w:rsidRDefault="009E6670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Finalmente, se le informa que, una vez que entre en vigor el Anteproyecto, se deberá remitir</w:t>
      </w:r>
      <w:r w:rsidR="00E40ACC" w:rsidRPr="00D20FDE">
        <w:rPr>
          <w:rFonts w:ascii="ITC Avant Garde" w:hAnsi="ITC Avant Garde"/>
          <w:bCs/>
          <w:sz w:val="21"/>
          <w:szCs w:val="21"/>
        </w:rPr>
        <w:t>, en su caso,</w:t>
      </w:r>
      <w:r w:rsidRPr="00D20FDE">
        <w:rPr>
          <w:rFonts w:ascii="ITC Avant Garde" w:hAnsi="ITC Avant Garde"/>
          <w:bCs/>
          <w:sz w:val="21"/>
          <w:szCs w:val="21"/>
        </w:rPr>
        <w:t xml:space="preserve"> a la </w:t>
      </w:r>
      <w:r w:rsidR="00EC1044" w:rsidRPr="00D20FDE">
        <w:rPr>
          <w:rFonts w:ascii="ITC Avant Garde" w:hAnsi="ITC Avant Garde"/>
          <w:bCs/>
          <w:sz w:val="21"/>
          <w:szCs w:val="21"/>
        </w:rPr>
        <w:t>Coordinación</w:t>
      </w:r>
      <w:r w:rsidRPr="00D20FDE">
        <w:rPr>
          <w:rFonts w:ascii="ITC Avant Garde" w:hAnsi="ITC Avant Garde"/>
          <w:bCs/>
          <w:sz w:val="21"/>
          <w:szCs w:val="21"/>
        </w:rPr>
        <w:t xml:space="preserve"> </w:t>
      </w:r>
      <w:r w:rsidR="00EC1044" w:rsidRPr="00D20FDE">
        <w:rPr>
          <w:rFonts w:ascii="ITC Avant Garde" w:hAnsi="ITC Avant Garde"/>
          <w:bCs/>
          <w:sz w:val="21"/>
          <w:szCs w:val="21"/>
        </w:rPr>
        <w:t xml:space="preserve">General </w:t>
      </w:r>
      <w:r w:rsidRPr="00D20FDE">
        <w:rPr>
          <w:rFonts w:ascii="ITC Avant Garde" w:hAnsi="ITC Avant Garde"/>
          <w:bCs/>
          <w:sz w:val="21"/>
          <w:szCs w:val="21"/>
        </w:rPr>
        <w:t xml:space="preserve">la información correspondiente </w:t>
      </w:r>
      <w:r w:rsidR="00EC1044" w:rsidRPr="00D20FDE">
        <w:rPr>
          <w:rFonts w:ascii="ITC Avant Garde" w:hAnsi="ITC Avant Garde"/>
          <w:bCs/>
          <w:sz w:val="21"/>
          <w:szCs w:val="21"/>
        </w:rPr>
        <w:t>p</w:t>
      </w:r>
      <w:r w:rsidRPr="00D20FDE">
        <w:rPr>
          <w:rFonts w:ascii="ITC Avant Garde" w:hAnsi="ITC Avant Garde"/>
          <w:bCs/>
          <w:sz w:val="21"/>
          <w:szCs w:val="21"/>
        </w:rPr>
        <w:t>a</w:t>
      </w:r>
      <w:r w:rsidR="00EC1044" w:rsidRPr="00D20FDE">
        <w:rPr>
          <w:rFonts w:ascii="ITC Avant Garde" w:hAnsi="ITC Avant Garde"/>
          <w:bCs/>
          <w:sz w:val="21"/>
          <w:szCs w:val="21"/>
        </w:rPr>
        <w:t xml:space="preserve">ra la actualización </w:t>
      </w:r>
      <w:r w:rsidR="00EC1044" w:rsidRPr="00D20FDE">
        <w:rPr>
          <w:rFonts w:ascii="ITC Avant Garde" w:hAnsi="ITC Avant Garde"/>
          <w:bCs/>
          <w:sz w:val="21"/>
          <w:szCs w:val="21"/>
        </w:rPr>
        <w:lastRenderedPageBreak/>
        <w:t xml:space="preserve">del </w:t>
      </w:r>
      <w:r w:rsidRPr="00D20FDE">
        <w:rPr>
          <w:rFonts w:ascii="ITC Avant Garde" w:hAnsi="ITC Avant Garde"/>
          <w:bCs/>
          <w:sz w:val="21"/>
          <w:szCs w:val="21"/>
        </w:rPr>
        <w:t>Inventario de Trámites y Servicios del Institut</w:t>
      </w:r>
      <w:r w:rsidR="00EC1044" w:rsidRPr="00D20FDE">
        <w:rPr>
          <w:rFonts w:ascii="ITC Avant Garde" w:hAnsi="ITC Avant Garde"/>
          <w:bCs/>
          <w:sz w:val="21"/>
          <w:szCs w:val="21"/>
        </w:rPr>
        <w:t xml:space="preserve">o Federal de Telecomunicaciones; ello, a efecto de dotar </w:t>
      </w:r>
      <w:r w:rsidR="00E161CC" w:rsidRPr="00D20FDE">
        <w:rPr>
          <w:rFonts w:ascii="ITC Avant Garde" w:hAnsi="ITC Avant Garde"/>
          <w:bCs/>
          <w:sz w:val="21"/>
          <w:szCs w:val="21"/>
        </w:rPr>
        <w:t xml:space="preserve">a los agentes regulados </w:t>
      </w:r>
      <w:r w:rsidR="00EC1044" w:rsidRPr="00D20FDE">
        <w:rPr>
          <w:rFonts w:ascii="ITC Avant Garde" w:hAnsi="ITC Avant Garde"/>
          <w:bCs/>
          <w:sz w:val="21"/>
          <w:szCs w:val="21"/>
        </w:rPr>
        <w:t xml:space="preserve">de mayor transparencia </w:t>
      </w:r>
      <w:r w:rsidR="00E161CC" w:rsidRPr="00D20FDE">
        <w:rPr>
          <w:rFonts w:ascii="ITC Avant Garde" w:hAnsi="ITC Avant Garde"/>
          <w:bCs/>
          <w:sz w:val="21"/>
          <w:szCs w:val="21"/>
        </w:rPr>
        <w:t>en el</w:t>
      </w:r>
      <w:r w:rsidR="00EC1044" w:rsidRPr="00D20FDE">
        <w:rPr>
          <w:rFonts w:ascii="ITC Avant Garde" w:hAnsi="ITC Avant Garde"/>
          <w:bCs/>
          <w:sz w:val="21"/>
          <w:szCs w:val="21"/>
        </w:rPr>
        <w:t xml:space="preserve"> proceso de aplicación de </w:t>
      </w:r>
      <w:r w:rsidR="00E161CC" w:rsidRPr="00D20FDE">
        <w:rPr>
          <w:rFonts w:ascii="ITC Avant Garde" w:hAnsi="ITC Avant Garde"/>
          <w:bCs/>
          <w:sz w:val="21"/>
          <w:szCs w:val="21"/>
        </w:rPr>
        <w:t xml:space="preserve">las </w:t>
      </w:r>
      <w:r w:rsidR="00EC1044" w:rsidRPr="00D20FDE">
        <w:rPr>
          <w:rFonts w:ascii="ITC Avant Garde" w:hAnsi="ITC Avant Garde"/>
          <w:bCs/>
          <w:sz w:val="21"/>
          <w:szCs w:val="21"/>
        </w:rPr>
        <w:t>regulaciones de este órgano constitucional</w:t>
      </w:r>
      <w:r w:rsidR="00E161CC" w:rsidRPr="00D20FDE">
        <w:rPr>
          <w:rFonts w:ascii="ITC Avant Garde" w:hAnsi="ITC Avant Garde"/>
          <w:bCs/>
          <w:sz w:val="21"/>
          <w:szCs w:val="21"/>
        </w:rPr>
        <w:t xml:space="preserve"> autónomo</w:t>
      </w:r>
      <w:r w:rsidR="00EC1044" w:rsidRPr="00D20FDE">
        <w:rPr>
          <w:rFonts w:ascii="ITC Avant Garde" w:hAnsi="ITC Avant Garde"/>
          <w:bCs/>
          <w:sz w:val="21"/>
          <w:szCs w:val="21"/>
        </w:rPr>
        <w:t>.</w:t>
      </w:r>
    </w:p>
    <w:p w:rsidR="00D20FDE" w:rsidRPr="00D20FDE" w:rsidRDefault="00D20FDE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</w:p>
    <w:p w:rsidR="00C70CD7" w:rsidRPr="00D20FDE" w:rsidRDefault="00DD32EB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  <w:r w:rsidRPr="00D20FDE">
        <w:rPr>
          <w:rFonts w:ascii="ITC Avant Garde" w:hAnsi="ITC Avant Garde"/>
          <w:bCs/>
          <w:sz w:val="21"/>
          <w:szCs w:val="21"/>
        </w:rPr>
        <w:t>Sin otro particular, reciba un cordial saludo.</w:t>
      </w:r>
    </w:p>
    <w:p w:rsidR="00D20FDE" w:rsidRDefault="00D20FDE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</w:p>
    <w:p w:rsidR="00D20FDE" w:rsidRPr="00D20FDE" w:rsidRDefault="00D20FDE" w:rsidP="00D20FDE">
      <w:pPr>
        <w:pStyle w:val="Default"/>
        <w:jc w:val="both"/>
        <w:rPr>
          <w:rFonts w:ascii="ITC Avant Garde" w:hAnsi="ITC Avant Garde"/>
          <w:bCs/>
          <w:sz w:val="21"/>
          <w:szCs w:val="21"/>
        </w:rPr>
      </w:pPr>
    </w:p>
    <w:p w:rsidR="00344059" w:rsidRPr="00D20FDE" w:rsidRDefault="00DD32EB" w:rsidP="00DB7A1B">
      <w:pPr>
        <w:pStyle w:val="estilo30"/>
        <w:spacing w:before="0" w:beforeAutospacing="0" w:after="720" w:afterAutospacing="0"/>
        <w:jc w:val="center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A T E N T A M E N T E</w:t>
      </w:r>
    </w:p>
    <w:p w:rsidR="00DD32EB" w:rsidRPr="00D20FDE" w:rsidRDefault="00DD32EB" w:rsidP="00D20FDE">
      <w:pPr>
        <w:pStyle w:val="estilo30"/>
        <w:spacing w:before="0" w:beforeAutospacing="0" w:after="0" w:afterAutospacing="0"/>
        <w:jc w:val="center"/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LUIS FERNANDO ROSAS YÁÑEZ</w:t>
      </w:r>
    </w:p>
    <w:p w:rsidR="00D20FDE" w:rsidRPr="00FA44DC" w:rsidRDefault="00DD32EB" w:rsidP="00DB7A1B">
      <w:pPr>
        <w:spacing w:after="480" w:line="240" w:lineRule="auto"/>
        <w:jc w:val="center"/>
        <w:rPr>
          <w:rFonts w:ascii="ITC Avant Garde" w:hAnsi="ITC Avant Garde" w:cs="Arial"/>
          <w:b/>
          <w:shd w:val="clear" w:color="auto" w:fill="FFFFFF"/>
        </w:rPr>
      </w:pPr>
      <w:r w:rsidRPr="00D20FDE">
        <w:rPr>
          <w:rFonts w:ascii="ITC Avant Garde" w:hAnsi="ITC Avant Garde"/>
          <w:b/>
          <w:bCs/>
          <w:color w:val="000000"/>
          <w:sz w:val="21"/>
          <w:szCs w:val="21"/>
          <w:lang w:val="pt-BR"/>
        </w:rPr>
        <w:t>EL COORDINADOR GENERAL</w:t>
      </w:r>
      <w:bookmarkStart w:id="0" w:name="_GoBack"/>
      <w:bookmarkEnd w:id="0"/>
    </w:p>
    <w:p w:rsidR="00DD32EB" w:rsidRPr="00D20FDE" w:rsidRDefault="00DD32EB" w:rsidP="00D20FDE">
      <w:pPr>
        <w:spacing w:after="0" w:line="240" w:lineRule="auto"/>
        <w:ind w:left="851" w:hanging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D20FDE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C.C.P. </w:t>
      </w:r>
      <w:r w:rsidRPr="00D20FDE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ab/>
      </w:r>
      <w:r w:rsidR="00344059" w:rsidRPr="00D20FDE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Javier Juárez Mó</w:t>
      </w:r>
      <w:r w:rsidR="00266332" w:rsidRPr="00D20FDE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jica</w:t>
      </w:r>
      <w:r w:rsidRPr="00D20FDE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Titular de la Unidad de Política Regulatoria del Instituto Federal de Telecomunicaciones (IFT).- Para su conocimiento.</w:t>
      </w:r>
    </w:p>
    <w:p w:rsidR="00DD32EB" w:rsidRPr="00D20FDE" w:rsidRDefault="00DD32EB" w:rsidP="00D20FDE">
      <w:pPr>
        <w:spacing w:after="0" w:line="240" w:lineRule="auto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D20FDE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Juan José Crispín Borbolla</w:t>
      </w:r>
      <w:r w:rsidRPr="00D20FDE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Secretario Técnico del Pleno del IFT.- Mismo fin.</w:t>
      </w:r>
    </w:p>
    <w:p w:rsidR="00DD32EB" w:rsidRPr="00D20FDE" w:rsidRDefault="00DD32EB" w:rsidP="00D20FDE">
      <w:pPr>
        <w:spacing w:after="0" w:line="240" w:lineRule="auto"/>
        <w:ind w:left="851"/>
        <w:jc w:val="both"/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</w:pPr>
      <w:r w:rsidRPr="00D20FDE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Luis Fernando Peláez Espinosa</w:t>
      </w:r>
      <w:r w:rsidRPr="00D20FDE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>, Coordinador Ejecutivo del IFT.- Mismo fin.</w:t>
      </w:r>
    </w:p>
    <w:p w:rsidR="003C116E" w:rsidRPr="00D20FDE" w:rsidRDefault="00DD32EB" w:rsidP="00D20FDE">
      <w:pPr>
        <w:spacing w:after="0" w:line="240" w:lineRule="auto"/>
        <w:ind w:left="851"/>
        <w:jc w:val="both"/>
        <w:rPr>
          <w:rFonts w:ascii="ITC Avant Garde" w:hAnsi="ITC Avant Garde"/>
          <w:sz w:val="16"/>
          <w:szCs w:val="16"/>
        </w:rPr>
      </w:pPr>
      <w:r w:rsidRPr="00D20FDE">
        <w:rPr>
          <w:rFonts w:ascii="ITC Avant Garde" w:hAnsi="ITC Avant Garde" w:cs="Tahoma"/>
          <w:b/>
          <w:bCs/>
          <w:color w:val="000000"/>
          <w:sz w:val="16"/>
          <w:szCs w:val="16"/>
          <w:lang w:eastAsia="es-MX"/>
        </w:rPr>
        <w:t>Sonia Alejandra Celada Ramírez</w:t>
      </w:r>
      <w:r w:rsidRPr="00D20FDE">
        <w:rPr>
          <w:rFonts w:ascii="ITC Avant Garde" w:hAnsi="ITC Avant Garde" w:cs="Tahoma"/>
          <w:bCs/>
          <w:color w:val="000000"/>
          <w:sz w:val="16"/>
          <w:szCs w:val="16"/>
          <w:lang w:eastAsia="es-MX"/>
        </w:rPr>
        <w:t xml:space="preserve">, Secretaria Particular del Comisionado Presidente del IFT.- Mismo fin. </w:t>
      </w:r>
    </w:p>
    <w:sectPr w:rsidR="003C116E" w:rsidRPr="00D20FDE" w:rsidSect="00072B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8E" w:rsidRDefault="005C438E" w:rsidP="00D07698">
      <w:pPr>
        <w:spacing w:after="0" w:line="240" w:lineRule="auto"/>
      </w:pPr>
      <w:r>
        <w:separator/>
      </w:r>
    </w:p>
  </w:endnote>
  <w:endnote w:type="continuationSeparator" w:id="0">
    <w:p w:rsidR="005C438E" w:rsidRDefault="005C438E" w:rsidP="00D0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Avant Garde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61" w:rsidRPr="00A26829" w:rsidRDefault="00B13F61" w:rsidP="00B13F61">
    <w:pPr>
      <w:pStyle w:val="Piedepgina"/>
      <w:jc w:val="right"/>
      <w:rPr>
        <w:rFonts w:ascii="ITC Avant Garde" w:hAnsi="ITC Avant Garde"/>
        <w:sz w:val="16"/>
      </w:rPr>
    </w:pPr>
    <w:r w:rsidRPr="00A26829">
      <w:rPr>
        <w:rFonts w:ascii="ITC Avant Garde" w:hAnsi="ITC Avant Garde"/>
        <w:sz w:val="16"/>
        <w:lang w:val="es-ES"/>
      </w:rPr>
      <w:t xml:space="preserve">Página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PAGE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DB7A1B" w:rsidRPr="00DB7A1B">
      <w:rPr>
        <w:rFonts w:ascii="ITC Avant Garde" w:hAnsi="ITC Avant Garde"/>
        <w:noProof/>
        <w:sz w:val="16"/>
        <w:lang w:val="es-ES"/>
      </w:rPr>
      <w:t>3</w:t>
    </w:r>
    <w:r w:rsidRPr="00A26829">
      <w:rPr>
        <w:rFonts w:ascii="ITC Avant Garde" w:hAnsi="ITC Avant Garde"/>
        <w:sz w:val="16"/>
      </w:rPr>
      <w:fldChar w:fldCharType="end"/>
    </w:r>
    <w:r w:rsidRPr="00A26829">
      <w:rPr>
        <w:rFonts w:ascii="ITC Avant Garde" w:hAnsi="ITC Avant Garde"/>
        <w:sz w:val="16"/>
        <w:lang w:val="es-ES"/>
      </w:rPr>
      <w:t xml:space="preserve"> de </w:t>
    </w:r>
    <w:r w:rsidRPr="00A26829">
      <w:rPr>
        <w:rFonts w:ascii="ITC Avant Garde" w:hAnsi="ITC Avant Garde"/>
        <w:sz w:val="16"/>
      </w:rPr>
      <w:fldChar w:fldCharType="begin"/>
    </w:r>
    <w:r w:rsidRPr="00A26829">
      <w:rPr>
        <w:rFonts w:ascii="ITC Avant Garde" w:hAnsi="ITC Avant Garde"/>
        <w:sz w:val="16"/>
      </w:rPr>
      <w:instrText>NUMPAGES  \* Arabic  \* MERGEFORMAT</w:instrText>
    </w:r>
    <w:r w:rsidRPr="00A26829">
      <w:rPr>
        <w:rFonts w:ascii="ITC Avant Garde" w:hAnsi="ITC Avant Garde"/>
        <w:sz w:val="16"/>
      </w:rPr>
      <w:fldChar w:fldCharType="separate"/>
    </w:r>
    <w:r w:rsidR="00DB7A1B" w:rsidRPr="00DB7A1B">
      <w:rPr>
        <w:rFonts w:ascii="ITC Avant Garde" w:hAnsi="ITC Avant Garde"/>
        <w:noProof/>
        <w:sz w:val="16"/>
        <w:lang w:val="es-ES"/>
      </w:rPr>
      <w:t>3</w:t>
    </w:r>
    <w:r w:rsidRPr="00A26829">
      <w:rPr>
        <w:rFonts w:ascii="ITC Avant Garde" w:hAnsi="ITC Avant Garde"/>
        <w:sz w:val="16"/>
      </w:rPr>
      <w:fldChar w:fldCharType="end"/>
    </w:r>
  </w:p>
  <w:p w:rsidR="00B13F61" w:rsidRDefault="00B13F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8E" w:rsidRDefault="005C438E" w:rsidP="00D07698">
      <w:pPr>
        <w:spacing w:after="0" w:line="240" w:lineRule="auto"/>
      </w:pPr>
      <w:r>
        <w:separator/>
      </w:r>
    </w:p>
  </w:footnote>
  <w:footnote w:type="continuationSeparator" w:id="0">
    <w:p w:rsidR="005C438E" w:rsidRDefault="005C438E" w:rsidP="00D07698">
      <w:pPr>
        <w:spacing w:after="0" w:line="240" w:lineRule="auto"/>
      </w:pPr>
      <w:r>
        <w:continuationSeparator/>
      </w:r>
    </w:p>
  </w:footnote>
  <w:footnote w:id="1">
    <w:p w:rsidR="00D20FDE" w:rsidRPr="00D20FDE" w:rsidRDefault="00D20FDE" w:rsidP="00D20FDE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20FDE">
        <w:rPr>
          <w:rStyle w:val="Refdenotaalpie"/>
          <w:rFonts w:ascii="ITC Avant Garde" w:hAnsi="ITC Avant Garde"/>
          <w:sz w:val="16"/>
          <w:szCs w:val="16"/>
        </w:rPr>
        <w:footnoteRef/>
      </w:r>
      <w:r w:rsidRPr="00D20FDE">
        <w:rPr>
          <w:rFonts w:ascii="ITC Avant Garde" w:hAnsi="ITC Avant Garde"/>
          <w:sz w:val="16"/>
          <w:szCs w:val="16"/>
        </w:rPr>
        <w:t xml:space="preserve"> Artículo 4 de la LFPA.- </w:t>
      </w:r>
      <w:r w:rsidRPr="00D20FDE">
        <w:rPr>
          <w:rFonts w:ascii="ITC Avant Garde" w:hAnsi="ITC Avant Garde"/>
          <w:i/>
          <w:sz w:val="16"/>
          <w:szCs w:val="16"/>
        </w:rPr>
        <w:t xml:space="preserve">“Los actos administrativos de carácter general, tales como reglamentos, decretos, acuerdos, normas oficiales mexicanas, circulares y formatos, así como los lineamientos, criterios, metodologías, instructivos, directivas, reglas, manuales, disposiciones que tengan por objeto establecer obligaciones específicas cuando no existan condiciones de competencia y cualesquiera de naturaleza análoga a los actos anteriores, que expidan las dependencias y organismos descentralizados de la administración pública federal, </w:t>
      </w:r>
      <w:r w:rsidRPr="00D20FDE">
        <w:rPr>
          <w:rFonts w:ascii="ITC Avant Garde" w:hAnsi="ITC Avant Garde"/>
          <w:b/>
          <w:i/>
          <w:sz w:val="16"/>
          <w:szCs w:val="16"/>
        </w:rPr>
        <w:t>deberán publicarse en el Diario Oficial de la Federación para que produzcan efectos jurídicos</w:t>
      </w:r>
      <w:r w:rsidRPr="00D20FDE">
        <w:rPr>
          <w:rFonts w:ascii="ITC Avant Garde" w:hAnsi="ITC Avant Garde"/>
          <w:i/>
          <w:sz w:val="16"/>
          <w:szCs w:val="16"/>
        </w:rPr>
        <w:t>”</w:t>
      </w:r>
      <w:r>
        <w:rPr>
          <w:rFonts w:ascii="ITC Avant Garde" w:hAnsi="ITC Avant Garde"/>
          <w:sz w:val="16"/>
          <w:szCs w:val="16"/>
        </w:rPr>
        <w:t xml:space="preserve"> (énfasis añadido)</w:t>
      </w:r>
      <w:r w:rsidRPr="00D20FDE">
        <w:rPr>
          <w:rFonts w:ascii="ITC Avant Garde" w:hAnsi="ITC Avant Gard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5C43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76" w:rsidRDefault="005C43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3" o:spid="_x0000_s2051" type="#_x0000_t75" style="position:absolute;margin-left:-70.9pt;margin-top:-114.5pt;width:612pt;height:11in;z-index:-251655168;mso-position-horizontal-relative:margin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5C438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4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410"/>
    <w:multiLevelType w:val="hybridMultilevel"/>
    <w:tmpl w:val="C58AEF50"/>
    <w:lvl w:ilvl="0" w:tplc="27F8E2A8"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1AB"/>
    <w:multiLevelType w:val="hybridMultilevel"/>
    <w:tmpl w:val="BE1A86C8"/>
    <w:lvl w:ilvl="0" w:tplc="DBC0E3C0">
      <w:start w:val="1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3FE0"/>
    <w:multiLevelType w:val="hybridMultilevel"/>
    <w:tmpl w:val="93D49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56B3"/>
    <w:multiLevelType w:val="hybridMultilevel"/>
    <w:tmpl w:val="84BC9FFE"/>
    <w:lvl w:ilvl="0" w:tplc="1C6CBAB0">
      <w:start w:val="1"/>
      <w:numFmt w:val="bullet"/>
      <w:lvlText w:val="-"/>
      <w:lvlJc w:val="left"/>
      <w:pPr>
        <w:ind w:left="1778" w:hanging="360"/>
      </w:pPr>
      <w:rPr>
        <w:rFonts w:ascii="ITC Avant Garde" w:eastAsia="Calibri" w:hAnsi="ITC Avant Garde" w:cs="Tahoma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AE31D86"/>
    <w:multiLevelType w:val="hybridMultilevel"/>
    <w:tmpl w:val="C9D233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570"/>
    <w:multiLevelType w:val="hybridMultilevel"/>
    <w:tmpl w:val="4E4631EC"/>
    <w:lvl w:ilvl="0" w:tplc="9920DF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D0FE7"/>
    <w:multiLevelType w:val="hybridMultilevel"/>
    <w:tmpl w:val="24645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0879"/>
    <w:multiLevelType w:val="hybridMultilevel"/>
    <w:tmpl w:val="151C25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1016"/>
    <w:multiLevelType w:val="hybridMultilevel"/>
    <w:tmpl w:val="7A22D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4DFD"/>
    <w:multiLevelType w:val="hybridMultilevel"/>
    <w:tmpl w:val="67326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47311"/>
    <w:multiLevelType w:val="hybridMultilevel"/>
    <w:tmpl w:val="7480DB2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E"/>
    <w:rsid w:val="00021CFF"/>
    <w:rsid w:val="00056D4B"/>
    <w:rsid w:val="000B61BE"/>
    <w:rsid w:val="000B6F95"/>
    <w:rsid w:val="000D307C"/>
    <w:rsid w:val="001246D7"/>
    <w:rsid w:val="00140D56"/>
    <w:rsid w:val="00147F3D"/>
    <w:rsid w:val="001559FA"/>
    <w:rsid w:val="001633CE"/>
    <w:rsid w:val="001747C5"/>
    <w:rsid w:val="001C4476"/>
    <w:rsid w:val="00206D11"/>
    <w:rsid w:val="002171DD"/>
    <w:rsid w:val="00223588"/>
    <w:rsid w:val="00231CF2"/>
    <w:rsid w:val="00266332"/>
    <w:rsid w:val="0029002F"/>
    <w:rsid w:val="002F573C"/>
    <w:rsid w:val="00344059"/>
    <w:rsid w:val="003616B6"/>
    <w:rsid w:val="00374C49"/>
    <w:rsid w:val="003B57CD"/>
    <w:rsid w:val="003C116E"/>
    <w:rsid w:val="003D42EC"/>
    <w:rsid w:val="00421850"/>
    <w:rsid w:val="00441E0C"/>
    <w:rsid w:val="00490B54"/>
    <w:rsid w:val="00500305"/>
    <w:rsid w:val="00526AA0"/>
    <w:rsid w:val="00534D77"/>
    <w:rsid w:val="00556F94"/>
    <w:rsid w:val="0057161F"/>
    <w:rsid w:val="005C438E"/>
    <w:rsid w:val="00612227"/>
    <w:rsid w:val="0061571F"/>
    <w:rsid w:val="00622624"/>
    <w:rsid w:val="006256E3"/>
    <w:rsid w:val="00657A80"/>
    <w:rsid w:val="00686EFD"/>
    <w:rsid w:val="00692254"/>
    <w:rsid w:val="006B5340"/>
    <w:rsid w:val="006D1CBF"/>
    <w:rsid w:val="006F096A"/>
    <w:rsid w:val="00707FAF"/>
    <w:rsid w:val="007417BD"/>
    <w:rsid w:val="007668B0"/>
    <w:rsid w:val="00787A1D"/>
    <w:rsid w:val="007B1BEA"/>
    <w:rsid w:val="007D6FCC"/>
    <w:rsid w:val="008243AA"/>
    <w:rsid w:val="008422BF"/>
    <w:rsid w:val="00842BA5"/>
    <w:rsid w:val="0086607E"/>
    <w:rsid w:val="00876994"/>
    <w:rsid w:val="00876B2C"/>
    <w:rsid w:val="008A2C5F"/>
    <w:rsid w:val="008A42E6"/>
    <w:rsid w:val="008B1D44"/>
    <w:rsid w:val="008F18BD"/>
    <w:rsid w:val="009618AC"/>
    <w:rsid w:val="009A71F3"/>
    <w:rsid w:val="009D4E06"/>
    <w:rsid w:val="009E6670"/>
    <w:rsid w:val="009F227C"/>
    <w:rsid w:val="00A26829"/>
    <w:rsid w:val="00A61D89"/>
    <w:rsid w:val="00A72852"/>
    <w:rsid w:val="00A73D00"/>
    <w:rsid w:val="00A8304A"/>
    <w:rsid w:val="00A94943"/>
    <w:rsid w:val="00AA453F"/>
    <w:rsid w:val="00AE21B6"/>
    <w:rsid w:val="00AF783D"/>
    <w:rsid w:val="00B0020E"/>
    <w:rsid w:val="00B139C7"/>
    <w:rsid w:val="00B13F61"/>
    <w:rsid w:val="00B82598"/>
    <w:rsid w:val="00BF5EFD"/>
    <w:rsid w:val="00C03BF3"/>
    <w:rsid w:val="00C215D5"/>
    <w:rsid w:val="00C22A5A"/>
    <w:rsid w:val="00C30479"/>
    <w:rsid w:val="00C508C3"/>
    <w:rsid w:val="00C70CD7"/>
    <w:rsid w:val="00C80E2D"/>
    <w:rsid w:val="00CC6441"/>
    <w:rsid w:val="00CD391B"/>
    <w:rsid w:val="00D07698"/>
    <w:rsid w:val="00D20FDE"/>
    <w:rsid w:val="00D53FF0"/>
    <w:rsid w:val="00DB7A1B"/>
    <w:rsid w:val="00DC2FF8"/>
    <w:rsid w:val="00DD32EB"/>
    <w:rsid w:val="00DD47FC"/>
    <w:rsid w:val="00E161CC"/>
    <w:rsid w:val="00E40ACC"/>
    <w:rsid w:val="00E7427A"/>
    <w:rsid w:val="00EA15DA"/>
    <w:rsid w:val="00EC1044"/>
    <w:rsid w:val="00EC3B58"/>
    <w:rsid w:val="00EC4E13"/>
    <w:rsid w:val="00F77736"/>
    <w:rsid w:val="00FC5D6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E7A4D8-BCEA-4BD8-B24E-5F3E747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16E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C1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3C116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76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6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69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3D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F6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2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C12E-BA6B-40B0-B187-2311ABD6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Altamirano Pacheco</dc:creator>
  <cp:keywords/>
  <dc:description/>
  <cp:lastModifiedBy>Mirian Amaro Lopez</cp:lastModifiedBy>
  <cp:revision>2</cp:revision>
  <cp:lastPrinted>2015-09-10T01:33:00Z</cp:lastPrinted>
  <dcterms:created xsi:type="dcterms:W3CDTF">2015-12-18T03:43:00Z</dcterms:created>
  <dcterms:modified xsi:type="dcterms:W3CDTF">2015-12-18T03:43:00Z</dcterms:modified>
</cp:coreProperties>
</file>