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1F" w:rsidRPr="00956302" w:rsidRDefault="00EF671F" w:rsidP="00EF671F">
      <w:pPr>
        <w:spacing w:line="276" w:lineRule="auto"/>
        <w:jc w:val="both"/>
        <w:rPr>
          <w:rFonts w:ascii="ITC Avant Garde" w:hAnsi="ITC Avant Garde"/>
          <w:b/>
          <w:color w:val="000000"/>
          <w:sz w:val="22"/>
          <w:szCs w:val="22"/>
        </w:rPr>
      </w:pPr>
      <w:r w:rsidRPr="00A3760D">
        <w:rPr>
          <w:rFonts w:ascii="ITC Avant Garde" w:hAnsi="ITC Avant Garde" w:cs="Tahoma"/>
          <w:b/>
          <w:bCs/>
          <w:color w:val="000000"/>
          <w:sz w:val="22"/>
          <w:szCs w:val="22"/>
        </w:rPr>
        <w:t>ACUERDO MEDIANTE EL CUAL EL PLENO DEL INSTITUTO FEDERAL DE TELECOMUNICACIONES DETERMINA SOMETER A CONSULTA PÚBLICA EL “ANTEPROYECTO DE ACUERDO MEDIANTE EL CUAL SE EXPIDE LA DISPOSICIÓN TÉCNICA IFT-009-2015: TELECOMUNICACIONES-INTERFAZ-PARTE DE USUARIO DE SERVICIOS INTEGRADOS DEL SISTEMA DE SEÑALIZACION POR CANAL COMÚN”</w:t>
      </w:r>
    </w:p>
    <w:p w:rsidR="00EF671F" w:rsidRPr="00956302" w:rsidRDefault="00EF671F" w:rsidP="00EF671F">
      <w:pPr>
        <w:pStyle w:val="Texto0"/>
        <w:spacing w:line="360" w:lineRule="auto"/>
        <w:rPr>
          <w:rFonts w:ascii="ITC Avant Garde" w:hAnsi="ITC Avant Garde"/>
          <w:sz w:val="22"/>
          <w:szCs w:val="22"/>
        </w:rPr>
      </w:pPr>
    </w:p>
    <w:p w:rsidR="00EF671F" w:rsidRDefault="00EF671F" w:rsidP="00EF671F">
      <w:pPr>
        <w:pStyle w:val="ANOTACION"/>
        <w:spacing w:line="360" w:lineRule="auto"/>
        <w:rPr>
          <w:rFonts w:ascii="ITC Avant Garde" w:hAnsi="ITC Avant Garde"/>
          <w:sz w:val="22"/>
          <w:szCs w:val="22"/>
        </w:rPr>
      </w:pPr>
      <w:r>
        <w:rPr>
          <w:rFonts w:ascii="ITC Avant Garde" w:hAnsi="ITC Avant Garde"/>
          <w:sz w:val="22"/>
          <w:szCs w:val="22"/>
        </w:rPr>
        <w:t>ANTECEDENTES</w:t>
      </w:r>
    </w:p>
    <w:p w:rsidR="00EF671F" w:rsidRDefault="00EF671F" w:rsidP="00EF671F">
      <w:pPr>
        <w:pStyle w:val="Prrafodelista"/>
        <w:spacing w:line="360" w:lineRule="auto"/>
        <w:rPr>
          <w:rFonts w:ascii="ITC Avant Garde" w:hAnsi="ITC Avant Garde"/>
          <w:bCs/>
          <w:sz w:val="22"/>
          <w:szCs w:val="22"/>
        </w:rPr>
      </w:pPr>
    </w:p>
    <w:p w:rsidR="00EF671F" w:rsidRPr="008B3B7F" w:rsidRDefault="00EF671F" w:rsidP="00EF671F">
      <w:pPr>
        <w:pStyle w:val="ROMANOS"/>
        <w:numPr>
          <w:ilvl w:val="0"/>
          <w:numId w:val="1"/>
        </w:numPr>
        <w:spacing w:after="0" w:line="360" w:lineRule="auto"/>
        <w:rPr>
          <w:rFonts w:ascii="ITC Avant Garde" w:hAnsi="ITC Avant Garde"/>
          <w:bCs/>
          <w:sz w:val="22"/>
          <w:szCs w:val="22"/>
        </w:rPr>
      </w:pPr>
      <w:r>
        <w:rPr>
          <w:rFonts w:ascii="ITC Avant Garde" w:hAnsi="ITC Avant Garde"/>
          <w:bCs/>
          <w:sz w:val="22"/>
          <w:szCs w:val="22"/>
        </w:rPr>
        <w:t>El 22 de mayo de 2000, se publicó en el DOF la Norma Oficial Mexicana NOM-112-SCT1-1999, Telecomunicaciones – Interfaz – Parte de usuario de servicios integrados del sistema se señalización por canal común.</w:t>
      </w:r>
    </w:p>
    <w:p w:rsidR="00EF671F" w:rsidRDefault="00EF671F" w:rsidP="00EF671F">
      <w:pPr>
        <w:pStyle w:val="Prrafodelista"/>
        <w:spacing w:line="360" w:lineRule="auto"/>
        <w:rPr>
          <w:rFonts w:ascii="ITC Avant Garde" w:hAnsi="ITC Avant Garde"/>
          <w:bCs/>
          <w:sz w:val="22"/>
          <w:szCs w:val="22"/>
        </w:rPr>
      </w:pPr>
    </w:p>
    <w:p w:rsidR="00EF671F" w:rsidRPr="00444E39" w:rsidRDefault="00EF671F" w:rsidP="00EF671F">
      <w:pPr>
        <w:pStyle w:val="ROMANOS"/>
        <w:numPr>
          <w:ilvl w:val="0"/>
          <w:numId w:val="1"/>
        </w:numPr>
        <w:spacing w:after="0" w:line="360" w:lineRule="auto"/>
        <w:rPr>
          <w:rFonts w:ascii="ITC Avant Garde" w:hAnsi="ITC Avant Garde"/>
          <w:bCs/>
          <w:sz w:val="22"/>
          <w:szCs w:val="22"/>
        </w:rPr>
      </w:pPr>
      <w:r w:rsidRPr="00444E39">
        <w:rPr>
          <w:rFonts w:ascii="ITC Avant Garde" w:hAnsi="ITC Avant Garde"/>
          <w:bCs/>
          <w:sz w:val="22"/>
          <w:szCs w:val="22"/>
        </w:rPr>
        <w:t>El 11 de junio de 2013 se publicó en el DOF 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rsidR="00EF671F" w:rsidRPr="00A94351" w:rsidRDefault="00EF671F" w:rsidP="00EF671F">
      <w:pPr>
        <w:spacing w:line="360" w:lineRule="auto"/>
        <w:rPr>
          <w:rFonts w:ascii="ITC Avant Garde" w:hAnsi="ITC Avant Garde"/>
          <w:sz w:val="22"/>
          <w:szCs w:val="22"/>
        </w:rPr>
      </w:pPr>
    </w:p>
    <w:p w:rsidR="00EF671F" w:rsidRDefault="00EF671F" w:rsidP="00EF671F">
      <w:pPr>
        <w:pStyle w:val="ROMANOS"/>
        <w:numPr>
          <w:ilvl w:val="0"/>
          <w:numId w:val="1"/>
        </w:numPr>
        <w:spacing w:after="0" w:line="360" w:lineRule="auto"/>
        <w:rPr>
          <w:rFonts w:ascii="ITC Avant Garde" w:hAnsi="ITC Avant Garde"/>
          <w:sz w:val="22"/>
          <w:szCs w:val="22"/>
        </w:rPr>
      </w:pPr>
      <w:r w:rsidRPr="00701694">
        <w:rPr>
          <w:rFonts w:ascii="ITC Avant Garde" w:hAnsi="ITC Avant Garde"/>
          <w:sz w:val="22"/>
          <w:szCs w:val="22"/>
        </w:rPr>
        <w:t>El 14 de julio de 2014</w:t>
      </w:r>
      <w:r>
        <w:rPr>
          <w:rFonts w:ascii="ITC Avant Garde" w:hAnsi="ITC Avant Garde"/>
          <w:sz w:val="22"/>
          <w:szCs w:val="22"/>
        </w:rPr>
        <w:t xml:space="preserve"> </w:t>
      </w:r>
      <w:r w:rsidRPr="00444E39">
        <w:rPr>
          <w:rFonts w:ascii="ITC Avant Garde" w:hAnsi="ITC Avant Garde"/>
          <w:sz w:val="22"/>
          <w:szCs w:val="22"/>
        </w:rPr>
        <w:t xml:space="preserve">fue publicado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“Decreto de Ley”), el cual, en términos de lo dispuesto por su artículo Primero transitorio, entró en </w:t>
      </w:r>
      <w:r w:rsidRPr="00444E39">
        <w:rPr>
          <w:rFonts w:ascii="ITC Avant Garde" w:hAnsi="ITC Avant Garde"/>
          <w:sz w:val="22"/>
          <w:szCs w:val="22"/>
        </w:rPr>
        <w:lastRenderedPageBreak/>
        <w:t>vigor treinta días naturales siguientes a su publicación, esto es, el 13 de agosto de 2014</w:t>
      </w:r>
      <w:r>
        <w:rPr>
          <w:rFonts w:ascii="ITC Avant Garde" w:hAnsi="ITC Avant Garde"/>
          <w:sz w:val="22"/>
          <w:szCs w:val="22"/>
        </w:rPr>
        <w:t xml:space="preserve"> </w:t>
      </w:r>
      <w:r w:rsidRPr="00701694">
        <w:rPr>
          <w:rFonts w:ascii="ITC Avant Garde" w:hAnsi="ITC Avant Garde"/>
          <w:sz w:val="22"/>
          <w:szCs w:val="22"/>
        </w:rPr>
        <w:t>.</w:t>
      </w:r>
    </w:p>
    <w:p w:rsidR="00EF671F" w:rsidRDefault="00EF671F" w:rsidP="00EF671F">
      <w:pPr>
        <w:pStyle w:val="Prrafodelista"/>
        <w:spacing w:line="360" w:lineRule="auto"/>
        <w:ind w:left="0"/>
        <w:rPr>
          <w:rFonts w:ascii="ITC Avant Garde" w:hAnsi="ITC Avant Garde"/>
          <w:sz w:val="22"/>
          <w:szCs w:val="22"/>
        </w:rPr>
      </w:pPr>
    </w:p>
    <w:p w:rsidR="00EF671F" w:rsidRDefault="00EF671F" w:rsidP="00EF671F">
      <w:pPr>
        <w:pStyle w:val="ROMANOS"/>
        <w:numPr>
          <w:ilvl w:val="0"/>
          <w:numId w:val="1"/>
        </w:numPr>
        <w:spacing w:after="0" w:line="360" w:lineRule="auto"/>
        <w:rPr>
          <w:rFonts w:ascii="ITC Avant Garde" w:hAnsi="ITC Avant Garde"/>
          <w:sz w:val="22"/>
          <w:szCs w:val="22"/>
          <w:lang w:val="es-MX"/>
        </w:rPr>
      </w:pPr>
      <w:r>
        <w:rPr>
          <w:rFonts w:ascii="ITC Avant Garde" w:hAnsi="ITC Avant Garde"/>
          <w:sz w:val="22"/>
          <w:szCs w:val="22"/>
          <w:lang w:val="es-MX"/>
        </w:rPr>
        <w:t xml:space="preserve">El 4 de septiembre de 2014, </w:t>
      </w:r>
      <w:r w:rsidRPr="001F34DB">
        <w:rPr>
          <w:rFonts w:ascii="ITC Avant Garde" w:hAnsi="ITC Avant Garde"/>
          <w:sz w:val="22"/>
          <w:szCs w:val="22"/>
        </w:rPr>
        <w:t>se publicó en el DOF el Estatuto Orgánico del Instituto (en lo sucesivo, “Estatuto Orgánico”), el cual en términos de lo dispuesto por su artículo Primero Transitorio, entró en vigor el día 26 del mismo mes y año</w:t>
      </w:r>
      <w:r w:rsidRPr="00956302">
        <w:rPr>
          <w:rFonts w:ascii="ITC Avant Garde" w:hAnsi="ITC Avant Garde"/>
          <w:sz w:val="22"/>
          <w:szCs w:val="22"/>
          <w:lang w:val="es-MX"/>
        </w:rPr>
        <w:t>.</w:t>
      </w:r>
    </w:p>
    <w:p w:rsidR="00EF671F" w:rsidRDefault="00EF671F" w:rsidP="00EF671F">
      <w:pPr>
        <w:pStyle w:val="ROMANOS"/>
        <w:spacing w:after="0" w:line="360" w:lineRule="auto"/>
        <w:ind w:left="0" w:firstLine="0"/>
        <w:rPr>
          <w:rFonts w:ascii="ITC Avant Garde" w:hAnsi="ITC Avant Garde"/>
          <w:sz w:val="22"/>
          <w:szCs w:val="22"/>
          <w:lang w:val="es-MX"/>
        </w:rPr>
      </w:pPr>
    </w:p>
    <w:p w:rsidR="00EF671F" w:rsidRPr="00956302" w:rsidRDefault="00EF671F" w:rsidP="00EF671F">
      <w:pPr>
        <w:pStyle w:val="ROMANOS"/>
        <w:spacing w:after="0" w:line="360" w:lineRule="auto"/>
        <w:ind w:left="0" w:firstLine="0"/>
        <w:rPr>
          <w:rFonts w:ascii="ITC Avant Garde" w:hAnsi="ITC Avant Garde"/>
          <w:sz w:val="22"/>
          <w:szCs w:val="22"/>
          <w:lang w:val="es-MX"/>
        </w:rPr>
      </w:pPr>
      <w:r>
        <w:rPr>
          <w:rFonts w:ascii="ITC Avant Garde" w:hAnsi="ITC Avant Garde"/>
          <w:sz w:val="22"/>
          <w:szCs w:val="22"/>
          <w:lang w:val="es-MX"/>
        </w:rPr>
        <w:t>Derivado de lo anterior y conforme a lo siguiente:</w:t>
      </w:r>
    </w:p>
    <w:p w:rsidR="00EF671F" w:rsidRDefault="00EF671F" w:rsidP="00EF671F">
      <w:pPr>
        <w:pStyle w:val="ROMANOS"/>
        <w:spacing w:after="0" w:line="360" w:lineRule="auto"/>
        <w:ind w:left="0" w:firstLine="0"/>
        <w:rPr>
          <w:rFonts w:ascii="ITC Avant Garde" w:hAnsi="ITC Avant Garde"/>
          <w:sz w:val="22"/>
          <w:szCs w:val="22"/>
          <w:lang w:val="es-MX"/>
        </w:rPr>
      </w:pPr>
    </w:p>
    <w:p w:rsidR="00EF671F" w:rsidRPr="00956302" w:rsidRDefault="00EF671F" w:rsidP="00EF671F">
      <w:pPr>
        <w:pStyle w:val="ROMANOS"/>
        <w:spacing w:after="0" w:line="360" w:lineRule="auto"/>
        <w:ind w:left="0" w:firstLine="0"/>
        <w:rPr>
          <w:rFonts w:ascii="ITC Avant Garde" w:hAnsi="ITC Avant Garde"/>
          <w:sz w:val="22"/>
          <w:szCs w:val="22"/>
          <w:lang w:val="es-MX"/>
        </w:rPr>
      </w:pPr>
    </w:p>
    <w:p w:rsidR="00EF671F" w:rsidRDefault="00EF671F" w:rsidP="00EF671F">
      <w:pPr>
        <w:pStyle w:val="ANOTACION"/>
        <w:spacing w:line="360" w:lineRule="auto"/>
        <w:rPr>
          <w:rFonts w:ascii="ITC Avant Garde" w:hAnsi="ITC Avant Garde"/>
          <w:sz w:val="22"/>
          <w:szCs w:val="22"/>
        </w:rPr>
      </w:pPr>
      <w:r w:rsidRPr="00CF78B2">
        <w:rPr>
          <w:rFonts w:ascii="ITC Avant Garde" w:hAnsi="ITC Avant Garde"/>
          <w:sz w:val="22"/>
          <w:szCs w:val="22"/>
        </w:rPr>
        <w:t>CONSIDERA</w:t>
      </w:r>
      <w:r>
        <w:rPr>
          <w:rFonts w:ascii="ITC Avant Garde" w:hAnsi="ITC Avant Garde"/>
          <w:sz w:val="22"/>
          <w:szCs w:val="22"/>
        </w:rPr>
        <w:t>NDO</w:t>
      </w:r>
    </w:p>
    <w:p w:rsidR="00EF671F" w:rsidRPr="00CF78B2" w:rsidRDefault="00EF671F" w:rsidP="00EF671F">
      <w:pPr>
        <w:pStyle w:val="ANOTACION"/>
        <w:spacing w:line="360" w:lineRule="auto"/>
        <w:rPr>
          <w:rFonts w:ascii="ITC Avant Garde" w:hAnsi="ITC Avant Garde"/>
          <w:sz w:val="22"/>
          <w:szCs w:val="22"/>
        </w:rPr>
      </w:pPr>
    </w:p>
    <w:p w:rsidR="00EF671F" w:rsidRDefault="00EF671F" w:rsidP="00EF671F">
      <w:pPr>
        <w:spacing w:line="360" w:lineRule="auto"/>
        <w:jc w:val="both"/>
        <w:rPr>
          <w:rFonts w:ascii="ITC Avant Garde" w:hAnsi="ITC Avant Garde"/>
          <w:sz w:val="22"/>
          <w:szCs w:val="22"/>
        </w:rPr>
      </w:pPr>
      <w:r w:rsidRPr="002372D3">
        <w:rPr>
          <w:rFonts w:ascii="ITC Avant Garde" w:hAnsi="ITC Avant Garde"/>
          <w:b/>
          <w:sz w:val="22"/>
          <w:szCs w:val="22"/>
        </w:rPr>
        <w:t>PRIMERO.- Competencia del Instituto.</w:t>
      </w:r>
      <w:r w:rsidRPr="002372D3">
        <w:rPr>
          <w:rFonts w:ascii="ITC Avant Garde" w:hAnsi="ITC Avant Garde"/>
          <w:sz w:val="22"/>
          <w:szCs w:val="22"/>
        </w:rPr>
        <w:t xml:space="preserve"> </w:t>
      </w:r>
      <w:r w:rsidRPr="00444E39">
        <w:rPr>
          <w:rFonts w:ascii="ITC Avant Garde" w:hAnsi="ITC Avant Garde"/>
          <w:sz w:val="22"/>
          <w:szCs w:val="22"/>
        </w:rPr>
        <w:t>De conformidad con el artículo 28, párrafo décimo quinto de la Constitución Política de los Estados Unidos Mexicanos (en lo sucesivo, “Constitución”), el Instituto tiene por objeto el desarrollo eficiente de la radiodifusión y las telecomunicaciones, conforme a lo dispuesto en la propia Constitución y en los términos que fijen las leyes.</w:t>
      </w:r>
    </w:p>
    <w:p w:rsidR="00EF671F" w:rsidRDefault="00EF671F" w:rsidP="00EF671F">
      <w:pPr>
        <w:spacing w:line="360" w:lineRule="auto"/>
        <w:jc w:val="both"/>
        <w:rPr>
          <w:rFonts w:ascii="ITC Avant Garde" w:hAnsi="ITC Avant Garde"/>
          <w:sz w:val="22"/>
          <w:szCs w:val="22"/>
        </w:rPr>
      </w:pPr>
    </w:p>
    <w:p w:rsidR="00EF671F" w:rsidRPr="002372D3" w:rsidRDefault="00EF671F" w:rsidP="00EF671F">
      <w:pPr>
        <w:spacing w:line="360" w:lineRule="auto"/>
        <w:jc w:val="both"/>
        <w:rPr>
          <w:rFonts w:ascii="ITC Avant Garde" w:hAnsi="ITC Avant Garde"/>
          <w:sz w:val="22"/>
          <w:szCs w:val="22"/>
        </w:rPr>
      </w:pPr>
      <w:r w:rsidRPr="00444E39">
        <w:rPr>
          <w:rFonts w:ascii="ITC Avant Garde" w:hAnsi="ITC Avant Garde"/>
          <w:sz w:val="22"/>
          <w:szCs w:val="22"/>
        </w:rPr>
        <w:t>Para tal efecto, en términos del precepto constitucional invocado así como de los artículos 1 y 7 de la Ley Federal de Telecomunicaciones y Radiodifusión (en lo sucesivo,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rsidR="00EF671F" w:rsidRDefault="00EF671F" w:rsidP="00EF671F">
      <w:pPr>
        <w:spacing w:line="360" w:lineRule="auto"/>
        <w:jc w:val="both"/>
        <w:rPr>
          <w:rFonts w:ascii="ITC Avant Garde" w:hAnsi="ITC Avant Garde"/>
          <w:sz w:val="22"/>
          <w:szCs w:val="22"/>
        </w:rPr>
      </w:pPr>
      <w:r w:rsidRPr="00444E39">
        <w:rPr>
          <w:rFonts w:ascii="ITC Avant Garde" w:hAnsi="ITC Avant Garde"/>
          <w:sz w:val="22"/>
          <w:szCs w:val="22"/>
        </w:rPr>
        <w:t xml:space="preserve">Asimismo, el Instituto es la autoridad en materia de competencia económica de los sectores de radiodifusión y telecomunicaciones, por lo que en éstos ejercerá en </w:t>
      </w:r>
      <w:r w:rsidRPr="00444E39">
        <w:rPr>
          <w:rFonts w:ascii="ITC Avant Garde" w:hAnsi="ITC Avant Garde"/>
          <w:sz w:val="22"/>
          <w:szCs w:val="22"/>
        </w:rPr>
        <w:lastRenderedPageBreak/>
        <w:t>forma exclusiva las facultades del artículo 28 de la Constitución, la LFTR y la Ley Federal de Competencia Económica.</w:t>
      </w:r>
    </w:p>
    <w:p w:rsidR="00EF671F" w:rsidRPr="00444E39" w:rsidRDefault="00EF671F" w:rsidP="00EF671F">
      <w:pPr>
        <w:spacing w:line="360" w:lineRule="auto"/>
        <w:jc w:val="both"/>
        <w:rPr>
          <w:rFonts w:ascii="ITC Avant Garde" w:hAnsi="ITC Avant Garde"/>
          <w:sz w:val="22"/>
          <w:szCs w:val="22"/>
        </w:rPr>
      </w:pPr>
    </w:p>
    <w:p w:rsidR="00EF671F" w:rsidRPr="00444E39" w:rsidRDefault="00EF671F" w:rsidP="00EF671F">
      <w:pPr>
        <w:spacing w:line="360" w:lineRule="auto"/>
        <w:jc w:val="both"/>
        <w:rPr>
          <w:rFonts w:ascii="ITC Avant Garde" w:hAnsi="ITC Avant Garde"/>
          <w:sz w:val="22"/>
          <w:szCs w:val="22"/>
        </w:rPr>
      </w:pPr>
      <w:r w:rsidRPr="00444E39">
        <w:rPr>
          <w:rFonts w:ascii="ITC Avant Garde" w:hAnsi="ITC Avant Garde"/>
          <w:sz w:val="22"/>
          <w:szCs w:val="22"/>
        </w:rPr>
        <w:t>El vigésimo párrafo, fracción IV del artículo 28 de la Constitución señala que el Instituto podrá emitir disposiciones administrativas de carácter general exclusivamente para el cumplimiento de su función regulatoria en el sector de su competencia. En ese orden, el párrafo segundo del artículo 7º de la LFTR prevé que el Instituto tiene a su cargo la regulación, promoción y supervisión del uso, aprovechamiento y explotación del espectro radioeléctrico, y el párrafo cuarto del mismo artículo prevé que el Instituto es la autoridad en materia de lineamientos técnicos relativos a la infraestructura y los equipos que se conecten a las redes de telecomunicaciones, así como en materia de homologación y evaluación de la conformidad de dicha infraestructura y equipos.</w:t>
      </w:r>
    </w:p>
    <w:p w:rsidR="00EF671F" w:rsidRPr="00444E39" w:rsidRDefault="00EF671F" w:rsidP="00EF671F">
      <w:pPr>
        <w:spacing w:line="360" w:lineRule="auto"/>
        <w:jc w:val="both"/>
        <w:rPr>
          <w:rFonts w:ascii="ITC Avant Garde" w:hAnsi="ITC Avant Garde"/>
          <w:sz w:val="22"/>
          <w:szCs w:val="22"/>
        </w:rPr>
      </w:pPr>
    </w:p>
    <w:p w:rsidR="00EF671F" w:rsidRPr="002372D3" w:rsidRDefault="00EF671F" w:rsidP="00EF671F">
      <w:pPr>
        <w:spacing w:line="360" w:lineRule="auto"/>
        <w:jc w:val="both"/>
        <w:rPr>
          <w:rFonts w:ascii="ITC Avant Garde" w:hAnsi="ITC Avant Garde"/>
          <w:sz w:val="22"/>
          <w:szCs w:val="22"/>
        </w:rPr>
      </w:pPr>
      <w:r w:rsidRPr="00444E39">
        <w:rPr>
          <w:rFonts w:ascii="ITC Avant Garde" w:hAnsi="ITC Avant Garde"/>
          <w:sz w:val="22"/>
          <w:szCs w:val="22"/>
        </w:rPr>
        <w:t>Aunado a lo anterior, el artículo 15, fracción 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p>
    <w:p w:rsidR="00EF671F" w:rsidRDefault="00EF671F" w:rsidP="00EF671F">
      <w:pPr>
        <w:spacing w:line="360" w:lineRule="auto"/>
        <w:jc w:val="both"/>
        <w:rPr>
          <w:rFonts w:ascii="ITC Avant Garde" w:hAnsi="ITC Avant Garde"/>
          <w:sz w:val="22"/>
          <w:szCs w:val="22"/>
        </w:rPr>
      </w:pPr>
    </w:p>
    <w:p w:rsidR="00EF671F" w:rsidRDefault="00EF671F" w:rsidP="00EF671F">
      <w:pPr>
        <w:spacing w:line="360" w:lineRule="auto"/>
        <w:jc w:val="both"/>
        <w:rPr>
          <w:rFonts w:ascii="ITC Avant Garde" w:hAnsi="ITC Avant Garde"/>
          <w:sz w:val="22"/>
          <w:szCs w:val="22"/>
        </w:rPr>
      </w:pPr>
      <w:r w:rsidRPr="00B27FD8">
        <w:rPr>
          <w:rFonts w:ascii="ITC Avant Garde" w:hAnsi="ITC Avant Garde"/>
          <w:b/>
          <w:sz w:val="22"/>
          <w:szCs w:val="22"/>
        </w:rPr>
        <w:t xml:space="preserve">SEGUNDO.- Las telecomunicaciones como servicio público de interés general. </w:t>
      </w:r>
      <w:r w:rsidRPr="00B27FD8">
        <w:rPr>
          <w:rFonts w:ascii="ITC Avant Garde" w:hAnsi="ITC Avant Garde"/>
          <w:sz w:val="22"/>
          <w:szCs w:val="22"/>
        </w:rPr>
        <w:t>Como lo ordena el artículo 28 de la Constitución, el Instituto tiene el mandato de garantizar lo establecido en los artículos 6° y 7° del mismo ordenamiento, los cuales prevén, entre otras cosas, el derecho humano de acceso a los servicios de radiodifusión y telecomunicaciones y otorgan a dichos servicios la naturaleza de servicios públicos de interés general, respecto de los cuales el Estado señalará las condiciones de competencia efectiva para prestar los mismos.</w:t>
      </w:r>
      <w:r w:rsidRPr="00B27FD8">
        <w:rPr>
          <w:rFonts w:ascii="ITC Avant Garde" w:hAnsi="ITC Avant Garde"/>
          <w:sz w:val="22"/>
          <w:szCs w:val="22"/>
        </w:rPr>
        <w:cr/>
      </w:r>
    </w:p>
    <w:p w:rsidR="00EF671F" w:rsidRPr="00B27FD8" w:rsidRDefault="00EF671F" w:rsidP="00EF671F">
      <w:pPr>
        <w:spacing w:line="360" w:lineRule="auto"/>
        <w:jc w:val="both"/>
        <w:rPr>
          <w:rFonts w:ascii="ITC Avant Garde" w:hAnsi="ITC Avant Garde"/>
          <w:sz w:val="22"/>
          <w:szCs w:val="22"/>
        </w:rPr>
      </w:pPr>
    </w:p>
    <w:p w:rsidR="00EF671F" w:rsidRPr="00B27FD8" w:rsidRDefault="00EF671F" w:rsidP="00EF671F">
      <w:pPr>
        <w:spacing w:line="360" w:lineRule="auto"/>
        <w:jc w:val="both"/>
        <w:rPr>
          <w:rFonts w:ascii="ITC Avant Garde" w:hAnsi="ITC Avant Garde"/>
          <w:sz w:val="22"/>
          <w:szCs w:val="22"/>
        </w:rPr>
      </w:pPr>
      <w:r w:rsidRPr="00B27FD8">
        <w:rPr>
          <w:rFonts w:ascii="ITC Avant Garde" w:hAnsi="ITC Avant Garde"/>
          <w:sz w:val="22"/>
          <w:szCs w:val="22"/>
        </w:rPr>
        <w:lastRenderedPageBreak/>
        <w:t>En ese orden de ideas, en términos de la fracción II del apartado B del artículo 6 de la Constitución y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r w:rsidRPr="00B27FD8">
        <w:rPr>
          <w:rFonts w:ascii="ITC Avant Garde" w:hAnsi="ITC Avant Garde"/>
          <w:sz w:val="22"/>
          <w:szCs w:val="22"/>
        </w:rPr>
        <w:cr/>
      </w:r>
    </w:p>
    <w:p w:rsidR="00EF671F" w:rsidRDefault="00EF671F" w:rsidP="00EF671F">
      <w:pPr>
        <w:spacing w:line="360" w:lineRule="auto"/>
        <w:jc w:val="both"/>
        <w:rPr>
          <w:rFonts w:ascii="ITC Avant Garde" w:hAnsi="ITC Avant Garde"/>
          <w:sz w:val="22"/>
          <w:szCs w:val="22"/>
        </w:rPr>
      </w:pPr>
      <w:r w:rsidRPr="00B27FD8">
        <w:rPr>
          <w:rFonts w:ascii="ITC Avant Garde" w:hAnsi="ITC Avant Garde"/>
          <w:sz w:val="22"/>
          <w:szCs w:val="22"/>
        </w:rPr>
        <w:t>De ahí la relevancia de garantizar la vigencia de un instrumento normativo que permite establecer una visión global del sistema de señalización número 7 describiendo sus diversos elementos funcionales y la relación entre dichos elementos funcionales, así como establecer el sistema de señalización que satisface las exigencias de la señalización de control de las llamadas para servicios de telecomunicaciones tales como telefonía y transmisión de datos con conmutación de circuitos.</w:t>
      </w:r>
    </w:p>
    <w:p w:rsidR="00EF671F" w:rsidRDefault="00EF671F" w:rsidP="00EF671F">
      <w:pPr>
        <w:pStyle w:val="Texto0"/>
        <w:spacing w:after="0" w:line="360" w:lineRule="auto"/>
        <w:ind w:firstLine="0"/>
        <w:rPr>
          <w:rFonts w:ascii="ITC Avant Garde" w:hAnsi="ITC Avant Garde"/>
          <w:sz w:val="22"/>
          <w:szCs w:val="22"/>
        </w:rPr>
      </w:pPr>
    </w:p>
    <w:p w:rsidR="00EF671F" w:rsidRPr="007C120C" w:rsidRDefault="00EF671F" w:rsidP="00EF671F">
      <w:pPr>
        <w:spacing w:line="360" w:lineRule="auto"/>
        <w:jc w:val="both"/>
        <w:rPr>
          <w:rFonts w:ascii="ITC Avant Garde" w:hAnsi="ITC Avant Garde"/>
          <w:sz w:val="22"/>
          <w:szCs w:val="22"/>
        </w:rPr>
      </w:pPr>
      <w:r w:rsidRPr="007C120C">
        <w:rPr>
          <w:rFonts w:ascii="ITC Avant Garde" w:hAnsi="ITC Avant Garde"/>
          <w:b/>
          <w:sz w:val="22"/>
          <w:szCs w:val="22"/>
        </w:rPr>
        <w:t>TERCERO.- Naturaleza de las Disposiciones Técnicas.</w:t>
      </w:r>
      <w:r w:rsidRPr="007C120C">
        <w:rPr>
          <w:rFonts w:ascii="ITC Avant Garde" w:hAnsi="ITC Avant Garde"/>
          <w:b/>
          <w:color w:val="000000"/>
          <w:sz w:val="22"/>
          <w:szCs w:val="22"/>
        </w:rPr>
        <w:t xml:space="preserve"> </w:t>
      </w:r>
      <w:r w:rsidRPr="007C120C">
        <w:rPr>
          <w:rFonts w:ascii="ITC Avant Garde" w:hAnsi="ITC Avant Garde"/>
          <w:sz w:val="22"/>
          <w:szCs w:val="22"/>
        </w:rPr>
        <w:t>Son instrumentos de observancia general expedidos por el Instituto, a través de los cuales se regulan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w:t>
      </w:r>
    </w:p>
    <w:p w:rsidR="00EF671F" w:rsidRPr="00B1307F" w:rsidRDefault="00EF671F" w:rsidP="00EF671F">
      <w:pPr>
        <w:pStyle w:val="Texto0"/>
        <w:spacing w:after="0" w:line="360" w:lineRule="auto"/>
        <w:ind w:firstLine="0"/>
        <w:rPr>
          <w:rFonts w:ascii="ITC Avant Garde" w:hAnsi="ITC Avant Garde"/>
          <w:sz w:val="22"/>
          <w:szCs w:val="22"/>
        </w:rPr>
      </w:pPr>
    </w:p>
    <w:p w:rsidR="00EF671F" w:rsidRDefault="00EF671F" w:rsidP="00EF671F">
      <w:pPr>
        <w:pStyle w:val="texto"/>
        <w:spacing w:after="80" w:line="360" w:lineRule="auto"/>
        <w:ind w:firstLine="0"/>
        <w:rPr>
          <w:rFonts w:ascii="ITC Avant Garde" w:hAnsi="ITC Avant Garde"/>
          <w:sz w:val="22"/>
          <w:szCs w:val="22"/>
          <w:lang w:val="es-ES" w:eastAsia="es-ES"/>
        </w:rPr>
      </w:pPr>
      <w:r w:rsidRPr="00755165">
        <w:rPr>
          <w:rFonts w:ascii="ITC Avant Garde" w:hAnsi="ITC Avant Garde"/>
          <w:b/>
          <w:sz w:val="22"/>
          <w:szCs w:val="22"/>
        </w:rPr>
        <w:t xml:space="preserve">CUARTO.- Marco técnico regulatorio </w:t>
      </w:r>
      <w:r w:rsidRPr="003C5F06">
        <w:rPr>
          <w:rFonts w:ascii="ITC Avant Garde" w:hAnsi="ITC Avant Garde"/>
          <w:b/>
          <w:bCs/>
          <w:sz w:val="22"/>
          <w:szCs w:val="22"/>
        </w:rPr>
        <w:t>Telecomunicaciones – Interfaz – Parte de usuario de servicios integrados del sistema se señalización por canal común</w:t>
      </w:r>
      <w:r w:rsidRPr="00755165">
        <w:rPr>
          <w:rFonts w:ascii="ITC Avant Garde" w:hAnsi="ITC Avant Garde"/>
          <w:b/>
          <w:sz w:val="22"/>
          <w:szCs w:val="22"/>
        </w:rPr>
        <w:t>.</w:t>
      </w:r>
      <w:r w:rsidRPr="00C62C53">
        <w:rPr>
          <w:rFonts w:ascii="ITC Avant Garde" w:hAnsi="ITC Avant Garde"/>
          <w:sz w:val="22"/>
          <w:szCs w:val="22"/>
        </w:rPr>
        <w:t xml:space="preserve"> </w:t>
      </w:r>
      <w:r w:rsidRPr="00335765">
        <w:rPr>
          <w:rFonts w:ascii="ITC Avant Garde" w:hAnsi="ITC Avant Garde"/>
          <w:sz w:val="22"/>
          <w:szCs w:val="22"/>
          <w:lang w:val="es-ES" w:eastAsia="es-ES"/>
        </w:rPr>
        <w:t>La disposición técnica IFT-009-2015 tiene por objeto definir la parte de usuario de la red digital de servicios integrados (PU-RDSI), especificando los mensajes de señalización de la red RDSI, sus procedimientos de codificación y señalización y sus características a través de las centrales telefónicas de las redes de telecomunicaciones.</w:t>
      </w:r>
    </w:p>
    <w:p w:rsidR="00EF671F" w:rsidRPr="00335765" w:rsidRDefault="00EF671F" w:rsidP="00EF671F">
      <w:pPr>
        <w:pStyle w:val="texto"/>
        <w:spacing w:after="80" w:line="360" w:lineRule="auto"/>
        <w:ind w:firstLine="0"/>
        <w:rPr>
          <w:rFonts w:ascii="ITC Avant Garde" w:hAnsi="ITC Avant Garde"/>
          <w:sz w:val="22"/>
          <w:szCs w:val="22"/>
          <w:lang w:val="es-ES" w:eastAsia="es-ES"/>
        </w:rPr>
      </w:pPr>
    </w:p>
    <w:p w:rsidR="00EF671F" w:rsidRDefault="00EF671F" w:rsidP="00EF671F">
      <w:pPr>
        <w:pStyle w:val="texto"/>
        <w:spacing w:after="80" w:line="360" w:lineRule="auto"/>
        <w:ind w:firstLine="0"/>
        <w:rPr>
          <w:rFonts w:ascii="ITC Avant Garde" w:hAnsi="ITC Avant Garde"/>
          <w:sz w:val="22"/>
          <w:szCs w:val="22"/>
          <w:lang w:val="es-ES" w:eastAsia="es-ES"/>
        </w:rPr>
      </w:pPr>
      <w:r w:rsidRPr="00335765">
        <w:rPr>
          <w:rFonts w:ascii="ITC Avant Garde" w:hAnsi="ITC Avant Garde"/>
          <w:sz w:val="22"/>
          <w:szCs w:val="22"/>
          <w:lang w:val="es-ES" w:eastAsia="es-ES"/>
        </w:rPr>
        <w:t>La PU-RDSI es el protocolo del sistema de señalización N.°7 que proporciona las funciones de señalización necesarias para sustentar servicios portadores básicos y servicios suplementarios de aplicaciones vocales y no vocales en una red digital de servicios integrados.</w:t>
      </w:r>
    </w:p>
    <w:p w:rsidR="00EF671F" w:rsidRPr="00335765" w:rsidRDefault="00EF671F" w:rsidP="00EF671F">
      <w:pPr>
        <w:pStyle w:val="texto"/>
        <w:spacing w:after="80" w:line="360" w:lineRule="auto"/>
        <w:ind w:firstLine="0"/>
        <w:rPr>
          <w:rFonts w:ascii="ITC Avant Garde" w:hAnsi="ITC Avant Garde"/>
          <w:sz w:val="22"/>
          <w:szCs w:val="22"/>
          <w:lang w:val="es-ES" w:eastAsia="es-ES"/>
        </w:rPr>
      </w:pPr>
    </w:p>
    <w:p w:rsidR="00EF671F" w:rsidRDefault="00EF671F" w:rsidP="00EF671F">
      <w:pPr>
        <w:pStyle w:val="texto"/>
        <w:spacing w:after="80" w:line="360" w:lineRule="auto"/>
        <w:ind w:firstLine="0"/>
        <w:rPr>
          <w:rFonts w:ascii="ITC Avant Garde" w:hAnsi="ITC Avant Garde"/>
          <w:sz w:val="22"/>
          <w:szCs w:val="22"/>
          <w:lang w:val="es-ES" w:eastAsia="es-ES"/>
        </w:rPr>
      </w:pPr>
      <w:r w:rsidRPr="00335765">
        <w:rPr>
          <w:rFonts w:ascii="ITC Avant Garde" w:hAnsi="ITC Avant Garde"/>
          <w:sz w:val="22"/>
          <w:szCs w:val="22"/>
          <w:lang w:val="es-ES" w:eastAsia="es-ES"/>
        </w:rPr>
        <w:t>Esta Disposición Técnica aplica como interfaz de señalización entre redes públicas de telecomunicaciones nacionales. La PU-RDSI es también apropiada para su uso en redes telefónicas especializadas y redes de datos con conmutación de circuitos, así como en redes analógicas y mixtas analógicas/digitales. En especial, la PU-RDSI satisface los requisitos para el tráfico de datos con conmutación de circuitos y telefónico automático y semiautomático entre redes públicas de telecomunicaciones.</w:t>
      </w:r>
    </w:p>
    <w:p w:rsidR="00EF671F" w:rsidRDefault="00EF671F" w:rsidP="00EF671F">
      <w:pPr>
        <w:pStyle w:val="texto"/>
        <w:spacing w:after="80" w:line="360" w:lineRule="auto"/>
        <w:ind w:firstLine="0"/>
        <w:rPr>
          <w:rFonts w:ascii="ITC Avant Garde" w:hAnsi="ITC Avant Garde"/>
          <w:sz w:val="22"/>
          <w:szCs w:val="22"/>
          <w:lang w:val="es-ES" w:eastAsia="es-ES"/>
        </w:rPr>
      </w:pPr>
    </w:p>
    <w:p w:rsidR="00EF671F" w:rsidRPr="00C06393" w:rsidRDefault="00EF671F" w:rsidP="00EF671F">
      <w:pPr>
        <w:spacing w:line="360" w:lineRule="auto"/>
        <w:jc w:val="both"/>
        <w:rPr>
          <w:rFonts w:ascii="ITC Avant Garde" w:hAnsi="ITC Avant Garde"/>
          <w:sz w:val="22"/>
          <w:szCs w:val="22"/>
          <w:lang w:val="es-ES" w:eastAsia="es-ES"/>
        </w:rPr>
      </w:pPr>
      <w:r w:rsidRPr="00C06393">
        <w:rPr>
          <w:rFonts w:ascii="ITC Avant Garde" w:hAnsi="ITC Avant Garde"/>
          <w:sz w:val="22"/>
          <w:szCs w:val="22"/>
          <w:lang w:val="es-ES" w:eastAsia="es-ES"/>
        </w:rPr>
        <w:t xml:space="preserve">Conforme a lo dispuesto por el artículo 51 de la Ley Federal sobre Metrología y Normalización (en </w:t>
      </w:r>
      <w:r>
        <w:rPr>
          <w:rFonts w:ascii="ITC Avant Garde" w:hAnsi="ITC Avant Garde"/>
          <w:sz w:val="22"/>
          <w:szCs w:val="22"/>
          <w:lang w:val="es-ES" w:eastAsia="es-ES"/>
        </w:rPr>
        <w:t>lo sucesivo, “LFMN”), la NOM-112-SCT1-1999 perderá su vigencia el 18 de septiembre</w:t>
      </w:r>
      <w:r w:rsidRPr="00C06393">
        <w:rPr>
          <w:rFonts w:ascii="ITC Avant Garde" w:hAnsi="ITC Avant Garde"/>
          <w:sz w:val="22"/>
          <w:szCs w:val="22"/>
          <w:lang w:val="es-ES" w:eastAsia="es-ES"/>
        </w:rPr>
        <w:t xml:space="preserve"> de 2015, al no ser jurídicamente procedente realizar la revisión de la misma en términos de la propia LFMN y, por ende, tampoco su notificación al secretariado técnico de la Comi</w:t>
      </w:r>
      <w:r>
        <w:rPr>
          <w:rFonts w:ascii="ITC Avant Garde" w:hAnsi="ITC Avant Garde"/>
          <w:sz w:val="22"/>
          <w:szCs w:val="22"/>
          <w:lang w:val="es-ES" w:eastAsia="es-ES"/>
        </w:rPr>
        <w:t>sión Nacional de Normalización.</w:t>
      </w:r>
    </w:p>
    <w:p w:rsidR="00EF671F" w:rsidRPr="00C06393" w:rsidRDefault="00EF671F" w:rsidP="00EF671F">
      <w:pPr>
        <w:spacing w:line="360" w:lineRule="auto"/>
        <w:jc w:val="both"/>
        <w:rPr>
          <w:rFonts w:ascii="ITC Avant Garde" w:hAnsi="ITC Avant Garde"/>
          <w:sz w:val="22"/>
          <w:szCs w:val="22"/>
          <w:lang w:val="es-ES" w:eastAsia="es-ES"/>
        </w:rPr>
      </w:pPr>
      <w:r w:rsidRPr="00C06393">
        <w:rPr>
          <w:rFonts w:ascii="ITC Avant Garde" w:hAnsi="ITC Avant Garde"/>
          <w:sz w:val="22"/>
          <w:szCs w:val="22"/>
          <w:lang w:val="es-ES" w:eastAsia="es-ES"/>
        </w:rPr>
        <w:t>En efecto, por v</w:t>
      </w:r>
      <w:r>
        <w:rPr>
          <w:rFonts w:ascii="ITC Avant Garde" w:hAnsi="ITC Avant Garde"/>
          <w:sz w:val="22"/>
          <w:szCs w:val="22"/>
          <w:lang w:val="es-ES" w:eastAsia="es-ES"/>
        </w:rPr>
        <w:t xml:space="preserve">irtud del artículo séptimo del </w:t>
      </w:r>
      <w:r w:rsidRPr="00C06393">
        <w:rPr>
          <w:rFonts w:ascii="ITC Avant Garde" w:hAnsi="ITC Avant Garde"/>
          <w:sz w:val="22"/>
          <w:szCs w:val="22"/>
          <w:lang w:val="es-ES" w:eastAsia="es-ES"/>
        </w:rPr>
        <w:t xml:space="preserve">Decreto </w:t>
      </w:r>
      <w:r>
        <w:rPr>
          <w:rFonts w:ascii="ITC Avant Garde" w:hAnsi="ITC Avant Garde"/>
          <w:sz w:val="22"/>
          <w:szCs w:val="22"/>
          <w:lang w:val="es-ES" w:eastAsia="es-ES"/>
        </w:rPr>
        <w:t>de Ley</w:t>
      </w:r>
      <w:r w:rsidRPr="00C06393">
        <w:rPr>
          <w:rFonts w:ascii="ITC Avant Garde" w:hAnsi="ITC Avant Garde"/>
          <w:sz w:val="22"/>
          <w:szCs w:val="22"/>
          <w:lang w:val="es-ES" w:eastAsia="es-ES"/>
        </w:rPr>
        <w:t>, se reformó la LFMN en sus artículos 39, fracción VII, 68, primer párrafo, 70, primer párrafo, y 71 para quedar como sigue:</w:t>
      </w:r>
    </w:p>
    <w:p w:rsidR="00EF671F" w:rsidRPr="00C06393" w:rsidRDefault="00EF671F" w:rsidP="00EF671F">
      <w:pPr>
        <w:spacing w:line="360" w:lineRule="auto"/>
        <w:jc w:val="both"/>
        <w:rPr>
          <w:rFonts w:ascii="ITC Avant Garde" w:hAnsi="ITC Avant Garde"/>
          <w:sz w:val="22"/>
          <w:szCs w:val="22"/>
          <w:lang w:val="es-ES" w:eastAsia="es-ES"/>
        </w:rPr>
      </w:pP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“ARTÍCULO 39. Corresponde a la Secretaría, además de lo establecido en el artículo anterior:</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VII. Coordinarse con las demás dependencias y con el Instituto Federal de Telecomunicaciones para el adecuado cumplimiento de las disposiciones de esta Ley, en base a las atribuciones de cada dependencia y de dicho Instituto;</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ARTÍCULO 68. La evaluación de la conformidad será realizada por las dependencias competentes, por el Instituto Federal de Telecomunicaciones o por los organismos de certificación, los laboratorios de prueba o de calibración y por las unidades de verificación acreditados y, en su caso, aprobados en los términos del artículo 70.</w:t>
      </w:r>
    </w:p>
    <w:p w:rsidR="00EF671F" w:rsidRPr="00C06393" w:rsidRDefault="00EF671F" w:rsidP="00EF671F">
      <w:pPr>
        <w:spacing w:line="276" w:lineRule="auto"/>
        <w:jc w:val="both"/>
        <w:rPr>
          <w:rFonts w:ascii="ITC Avant Garde" w:hAnsi="ITC Avant Garde"/>
          <w:i/>
          <w:sz w:val="18"/>
          <w:szCs w:val="18"/>
          <w:lang w:val="es-ES" w:eastAsia="es-ES"/>
        </w:rPr>
      </w:pP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ARTÍCULO 70. Las dependencias competentes y el Instituto Federal de Telecomunicaciones podrán aprobar a las personas acreditadas que se requieran para la evaluación de la conformidad, en lo que se refiere a normas oficiales mexicanas, para lo cual se sujetarán a lo siguiente:</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ARTÍCULO 71. Las dependencias competentes y el Instituto Federal de Telecomunicaciones podrán en cualquier tiempo realizar visitas de verificación para comprobar el cumplimiento de esta Ley, sus reglamentos y las normas oficiales mexicanas, por parte de las entidades de acreditación, las personas acreditadas o cualquier otra entidad u organismo que realice actividades relacionadas con las materias a que se refiere esta Ley, así como a aquellas a las que presten sus servicios.”</w:t>
      </w:r>
    </w:p>
    <w:p w:rsidR="00EF671F" w:rsidRPr="00C06393" w:rsidRDefault="00EF671F" w:rsidP="00EF671F">
      <w:pPr>
        <w:spacing w:line="276" w:lineRule="auto"/>
        <w:jc w:val="both"/>
        <w:rPr>
          <w:rFonts w:ascii="ITC Avant Garde" w:hAnsi="ITC Avant Garde"/>
          <w:i/>
          <w:sz w:val="18"/>
          <w:szCs w:val="18"/>
          <w:lang w:val="es-ES" w:eastAsia="es-ES"/>
        </w:rPr>
      </w:pP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Por su parte, los artículos 1o., 3o., fracciones IV y XI, 38, fracción II, 39, fracción V, y 43 de la LFMN no fueron reformados:</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“ARTÍCULO 1°.- La presente Ley regirá en toda la República y sus disposiciones son de orden público e interés social. Su aplicación y vigilancia corresponde al Ejecutivo Federal, por conducto de las dependencias de la administración pública federal que tengan competencia en las materias reguladas en este ordenamiento.</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Siempre que en esta Ley se haga mención a la Secretaría, se entenderá hecha a la Secretaría de Economía.</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w:t>
      </w:r>
    </w:p>
    <w:p w:rsidR="00EF671F" w:rsidRPr="00C06393" w:rsidRDefault="00EF671F" w:rsidP="00EF671F">
      <w:pPr>
        <w:spacing w:line="276" w:lineRule="auto"/>
        <w:jc w:val="both"/>
        <w:rPr>
          <w:rFonts w:ascii="ITC Avant Garde" w:hAnsi="ITC Avant Garde"/>
          <w:i/>
          <w:sz w:val="18"/>
          <w:szCs w:val="18"/>
          <w:lang w:val="es-ES" w:eastAsia="es-ES"/>
        </w:rPr>
      </w:pP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ARTÍCULO 3°.- Para los efectos de esta Ley, se entenderá por:</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IV. Dependencias: las dependencias de la administración pública federal;</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XI. Norma oficial mexicana: la regulación técnica de observancia obligatoria expedida por las dependencias competentes, conforme a las finalidades establecidas en el artículo 40, que establece reglas, especificaciones, atributos, directrices, características o prescripciones aplicables a un producto, proceso, instalación, sistema, actividad, servicio o método de producción u operación, así como aquellas relativas a terminología, simbología, embalaje, marcado o etiquetado y las que se refieran a su cumplimiento o aplicación; (…)</w:t>
      </w:r>
    </w:p>
    <w:p w:rsidR="00EF671F" w:rsidRPr="00C06393" w:rsidRDefault="00EF671F" w:rsidP="00EF671F">
      <w:pPr>
        <w:spacing w:line="276" w:lineRule="auto"/>
        <w:jc w:val="both"/>
        <w:rPr>
          <w:rFonts w:ascii="ITC Avant Garde" w:hAnsi="ITC Avant Garde"/>
          <w:i/>
          <w:sz w:val="18"/>
          <w:szCs w:val="18"/>
          <w:lang w:val="es-ES" w:eastAsia="es-ES"/>
        </w:rPr>
      </w:pP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ARTÍCULO 38.- Corresponde a las dependencias según su ámbito de competencia:</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 xml:space="preserve">II. Expedir normas oficiales mexicanas en las materias relacionadas con sus atribuciones y determinar su fecha de entrada en vigor; </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w:t>
      </w:r>
    </w:p>
    <w:p w:rsidR="00EF671F" w:rsidRPr="00C06393" w:rsidRDefault="00EF671F" w:rsidP="00EF671F">
      <w:pPr>
        <w:spacing w:line="276" w:lineRule="auto"/>
        <w:jc w:val="both"/>
        <w:rPr>
          <w:rFonts w:ascii="ITC Avant Garde" w:hAnsi="ITC Avant Garde"/>
          <w:i/>
          <w:sz w:val="18"/>
          <w:szCs w:val="18"/>
          <w:lang w:val="es-ES" w:eastAsia="es-ES"/>
        </w:rPr>
      </w:pP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ARTÍCULO 39. Corresponde a la Secretaría, además de lo establecido en el artículo anterior:</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 xml:space="preserve">V. Expedir las normas oficiales mexicanas a que se refieren las fracciones I a IV, VIII, IX, XII, XV y XVIII del artículo 40 de la presente Ley, en las áreas de su competencia; </w:t>
      </w:r>
    </w:p>
    <w:p w:rsidR="00EF671F" w:rsidRPr="00C06393"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w:t>
      </w:r>
    </w:p>
    <w:p w:rsidR="00EF671F" w:rsidRPr="00C06393" w:rsidRDefault="00EF671F" w:rsidP="00EF671F">
      <w:pPr>
        <w:spacing w:line="276" w:lineRule="auto"/>
        <w:jc w:val="both"/>
        <w:rPr>
          <w:rFonts w:ascii="ITC Avant Garde" w:hAnsi="ITC Avant Garde"/>
          <w:i/>
          <w:sz w:val="18"/>
          <w:szCs w:val="18"/>
          <w:lang w:val="es-ES" w:eastAsia="es-ES"/>
        </w:rPr>
      </w:pPr>
    </w:p>
    <w:p w:rsidR="00EF671F" w:rsidRPr="00EF671F" w:rsidRDefault="00EF671F" w:rsidP="00EF671F">
      <w:pPr>
        <w:spacing w:line="276" w:lineRule="auto"/>
        <w:jc w:val="both"/>
        <w:rPr>
          <w:rFonts w:ascii="ITC Avant Garde" w:hAnsi="ITC Avant Garde"/>
          <w:i/>
          <w:sz w:val="18"/>
          <w:szCs w:val="18"/>
          <w:lang w:val="es-ES" w:eastAsia="es-ES"/>
        </w:rPr>
      </w:pPr>
      <w:r w:rsidRPr="00C06393">
        <w:rPr>
          <w:rFonts w:ascii="ITC Avant Garde" w:hAnsi="ITC Avant Garde"/>
          <w:i/>
          <w:sz w:val="18"/>
          <w:szCs w:val="18"/>
          <w:lang w:val="es-ES" w:eastAsia="es-ES"/>
        </w:rPr>
        <w:t xml:space="preserve">ARTÍCULO 43.- En la elaboración de normas oficiales mexicanas participarán, ejerciendo sus respectivas atribuciones, las dependencias a quienes corresponda la regulación o control del producto, servicio, método, proceso o instalación, actividad o materia a normalizarse.” </w:t>
      </w:r>
    </w:p>
    <w:p w:rsidR="00EF671F" w:rsidRPr="00C06393" w:rsidRDefault="00EF671F" w:rsidP="00EF671F">
      <w:pPr>
        <w:spacing w:line="360" w:lineRule="auto"/>
        <w:jc w:val="both"/>
        <w:rPr>
          <w:rFonts w:ascii="ITC Avant Garde" w:hAnsi="ITC Avant Garde"/>
          <w:sz w:val="22"/>
          <w:szCs w:val="22"/>
          <w:lang w:val="es-ES" w:eastAsia="es-ES"/>
        </w:rPr>
      </w:pPr>
      <w:r w:rsidRPr="00C06393">
        <w:rPr>
          <w:rFonts w:ascii="ITC Avant Garde" w:hAnsi="ITC Avant Garde"/>
          <w:sz w:val="22"/>
          <w:szCs w:val="22"/>
          <w:lang w:val="es-ES" w:eastAsia="es-ES"/>
        </w:rPr>
        <w:t>De lo anterior se desprende que de conformidad con la LFMN, las normas oficiales mexicanas son elaboradas y expedidas por las dependencias de la Administración Pública Federal a quienes corresponde la regulación o control del producto, servicio, método, proceso o instalación, actividad o materia a normalizarse, sin que esté prevista dicha atribución para los órganos autónomos constitucionales.</w:t>
      </w:r>
    </w:p>
    <w:p w:rsidR="00EF671F" w:rsidRPr="00C06393" w:rsidRDefault="00EF671F" w:rsidP="00EF671F">
      <w:pPr>
        <w:spacing w:line="360" w:lineRule="auto"/>
        <w:jc w:val="both"/>
        <w:rPr>
          <w:rFonts w:ascii="ITC Avant Garde" w:hAnsi="ITC Avant Garde"/>
          <w:sz w:val="22"/>
          <w:szCs w:val="22"/>
          <w:lang w:val="es-ES" w:eastAsia="es-ES"/>
        </w:rPr>
      </w:pPr>
    </w:p>
    <w:p w:rsidR="00EF671F" w:rsidRPr="00335765" w:rsidRDefault="00EF671F" w:rsidP="00EF671F">
      <w:pPr>
        <w:spacing w:line="360" w:lineRule="auto"/>
        <w:jc w:val="both"/>
        <w:rPr>
          <w:rFonts w:ascii="ITC Avant Garde" w:hAnsi="ITC Avant Garde"/>
          <w:sz w:val="22"/>
          <w:szCs w:val="22"/>
          <w:lang w:val="es-ES" w:eastAsia="es-ES"/>
        </w:rPr>
      </w:pPr>
      <w:r w:rsidRPr="00C06393">
        <w:rPr>
          <w:rFonts w:ascii="ITC Avant Garde" w:hAnsi="ITC Avant Garde"/>
          <w:sz w:val="22"/>
          <w:szCs w:val="22"/>
          <w:lang w:val="es-ES" w:eastAsia="es-ES"/>
        </w:rPr>
        <w:t xml:space="preserve">Aunado a ello, el Instituto es competente para emitir disposiciones técnicas relativas </w:t>
      </w:r>
      <w:r>
        <w:rPr>
          <w:rFonts w:ascii="ITC Avant Garde" w:hAnsi="ITC Avant Garde"/>
          <w:sz w:val="22"/>
          <w:szCs w:val="22"/>
          <w:lang w:val="es-ES" w:eastAsia="es-ES"/>
        </w:rPr>
        <w:t xml:space="preserve">al </w:t>
      </w:r>
      <w:r w:rsidRPr="00FD15CA">
        <w:rPr>
          <w:rFonts w:ascii="ITC Avant Garde" w:hAnsi="ITC Avant Garde"/>
          <w:sz w:val="22"/>
          <w:szCs w:val="22"/>
          <w:lang w:val="es-ES" w:eastAsia="es-ES"/>
        </w:rPr>
        <w:t>sistema de señalización número 7 describiendo sus diversos elementos funcionales y la relación entre dichos elementos funcionales</w:t>
      </w:r>
      <w:r>
        <w:rPr>
          <w:rFonts w:ascii="ITC Avant Garde" w:hAnsi="ITC Avant Garde"/>
          <w:sz w:val="22"/>
          <w:szCs w:val="22"/>
          <w:lang w:val="es-ES" w:eastAsia="es-ES"/>
        </w:rPr>
        <w:t xml:space="preserve">, </w:t>
      </w:r>
      <w:r w:rsidRPr="00C06393">
        <w:rPr>
          <w:rFonts w:ascii="ITC Avant Garde" w:hAnsi="ITC Avant Garde"/>
          <w:sz w:val="22"/>
          <w:szCs w:val="22"/>
          <w:lang w:val="es-ES" w:eastAsia="es-ES"/>
        </w:rPr>
        <w:t>correspondiéndole esa materia exclusivamente al Instituto en términos de lo dispuesto en los artículos 28, párrafos décimo quinto y vigésimo, fracción IV, de la Constitución y 7, párrafos segundo y cuarto, en relación con el artículo 15, fracción I de la LFTR, y 6, fracción I, del Estatuto Orgánico del Institut</w:t>
      </w:r>
      <w:r>
        <w:rPr>
          <w:rFonts w:ascii="ITC Avant Garde" w:hAnsi="ITC Avant Garde"/>
          <w:sz w:val="22"/>
          <w:szCs w:val="22"/>
          <w:lang w:val="es-ES" w:eastAsia="es-ES"/>
        </w:rPr>
        <w:t>o Federal de Telecomunicaciones.</w:t>
      </w:r>
    </w:p>
    <w:p w:rsidR="00EF671F" w:rsidRPr="00E529A6" w:rsidRDefault="00EF671F" w:rsidP="00EF671F">
      <w:pPr>
        <w:pStyle w:val="Texto0"/>
        <w:spacing w:line="360" w:lineRule="auto"/>
        <w:rPr>
          <w:lang w:val="es-MX"/>
        </w:rPr>
      </w:pPr>
    </w:p>
    <w:p w:rsidR="00EF671F" w:rsidRDefault="00EF671F" w:rsidP="00EF671F">
      <w:pPr>
        <w:pStyle w:val="Texto0"/>
        <w:spacing w:after="0" w:line="360" w:lineRule="auto"/>
        <w:ind w:firstLine="0"/>
      </w:pPr>
      <w:r w:rsidRPr="00755165">
        <w:rPr>
          <w:rFonts w:ascii="ITC Avant Garde" w:hAnsi="ITC Avant Garde"/>
          <w:b/>
          <w:sz w:val="22"/>
          <w:szCs w:val="22"/>
        </w:rPr>
        <w:t>QUINTO.- Necesidad de emitir la Disposición Técnica IFT</w:t>
      </w:r>
      <w:r>
        <w:rPr>
          <w:rFonts w:ascii="ITC Avant Garde" w:hAnsi="ITC Avant Garde"/>
          <w:b/>
          <w:sz w:val="22"/>
          <w:szCs w:val="22"/>
        </w:rPr>
        <w:t>-009</w:t>
      </w:r>
      <w:r w:rsidRPr="00755165">
        <w:rPr>
          <w:rFonts w:ascii="ITC Avant Garde" w:hAnsi="ITC Avant Garde"/>
          <w:b/>
          <w:sz w:val="22"/>
          <w:szCs w:val="22"/>
        </w:rPr>
        <w:t>-2015</w:t>
      </w:r>
      <w:r>
        <w:rPr>
          <w:rFonts w:ascii="ITC Avant Garde" w:hAnsi="ITC Avant Garde"/>
          <w:b/>
          <w:sz w:val="22"/>
          <w:szCs w:val="22"/>
        </w:rPr>
        <w:t xml:space="preserve">: </w:t>
      </w:r>
      <w:r w:rsidRPr="00EF630D">
        <w:rPr>
          <w:rFonts w:ascii="ITC Avant Garde" w:hAnsi="ITC Avant Garde"/>
          <w:b/>
          <w:sz w:val="22"/>
          <w:szCs w:val="22"/>
        </w:rPr>
        <w:t>T</w:t>
      </w:r>
      <w:r>
        <w:rPr>
          <w:rFonts w:ascii="ITC Avant Garde" w:hAnsi="ITC Avant Garde"/>
          <w:b/>
          <w:sz w:val="22"/>
          <w:szCs w:val="22"/>
        </w:rPr>
        <w:t>elecomunicaciones-Interfaz</w:t>
      </w:r>
      <w:r w:rsidRPr="00EF630D">
        <w:rPr>
          <w:rFonts w:ascii="ITC Avant Garde" w:hAnsi="ITC Avant Garde"/>
          <w:b/>
          <w:sz w:val="22"/>
          <w:szCs w:val="22"/>
        </w:rPr>
        <w:t>-</w:t>
      </w:r>
      <w:r>
        <w:rPr>
          <w:rFonts w:ascii="ITC Avant Garde" w:hAnsi="ITC Avant Garde"/>
          <w:b/>
          <w:sz w:val="22"/>
          <w:szCs w:val="22"/>
        </w:rPr>
        <w:t>Parte de usuario de servicios integrados del sistema de Señalización por canal común</w:t>
      </w:r>
      <w:r w:rsidRPr="00EF630D">
        <w:rPr>
          <w:rFonts w:ascii="ITC Avant Garde" w:hAnsi="ITC Avant Garde"/>
          <w:b/>
          <w:sz w:val="22"/>
          <w:szCs w:val="22"/>
        </w:rPr>
        <w:t>.</w:t>
      </w:r>
      <w:r w:rsidRPr="003F2404">
        <w:rPr>
          <w:rFonts w:ascii="ITC Avant Garde" w:hAnsi="ITC Avant Garde"/>
          <w:sz w:val="22"/>
          <w:szCs w:val="22"/>
        </w:rPr>
        <w:t xml:space="preserve"> </w:t>
      </w:r>
      <w:r w:rsidRPr="000A105E">
        <w:rPr>
          <w:rFonts w:ascii="ITC Avant Garde" w:hAnsi="ITC Avant Garde"/>
          <w:sz w:val="22"/>
          <w:szCs w:val="22"/>
        </w:rPr>
        <w:t>Con fundamento en los párrafos décimo quinto y vigésimo, fracción IV, del artículo 28 de la Constitución y los artículos 1, 2, 3, 7, y 15, fracciones I y IX, 125 y 127, fracción IV, de la L</w:t>
      </w:r>
      <w:r>
        <w:rPr>
          <w:rFonts w:ascii="ITC Avant Garde" w:hAnsi="ITC Avant Garde"/>
          <w:sz w:val="22"/>
          <w:szCs w:val="22"/>
        </w:rPr>
        <w:t xml:space="preserve">ey </w:t>
      </w:r>
      <w:r w:rsidRPr="000A105E">
        <w:rPr>
          <w:rFonts w:ascii="ITC Avant Garde" w:hAnsi="ITC Avant Garde"/>
          <w:sz w:val="22"/>
          <w:szCs w:val="22"/>
        </w:rPr>
        <w:t>F</w:t>
      </w:r>
      <w:r>
        <w:rPr>
          <w:rFonts w:ascii="ITC Avant Garde" w:hAnsi="ITC Avant Garde"/>
          <w:sz w:val="22"/>
          <w:szCs w:val="22"/>
        </w:rPr>
        <w:t xml:space="preserve">ederal de </w:t>
      </w:r>
      <w:r w:rsidRPr="000A105E">
        <w:rPr>
          <w:rFonts w:ascii="ITC Avant Garde" w:hAnsi="ITC Avant Garde"/>
          <w:sz w:val="22"/>
          <w:szCs w:val="22"/>
        </w:rPr>
        <w:t>T</w:t>
      </w:r>
      <w:r>
        <w:rPr>
          <w:rFonts w:ascii="ITC Avant Garde" w:hAnsi="ITC Avant Garde"/>
          <w:sz w:val="22"/>
          <w:szCs w:val="22"/>
        </w:rPr>
        <w:t xml:space="preserve">elecomunicaciones y </w:t>
      </w:r>
      <w:r w:rsidRPr="000A105E">
        <w:rPr>
          <w:rFonts w:ascii="ITC Avant Garde" w:hAnsi="ITC Avant Garde"/>
          <w:sz w:val="22"/>
          <w:szCs w:val="22"/>
        </w:rPr>
        <w:t>R</w:t>
      </w:r>
      <w:r>
        <w:rPr>
          <w:rFonts w:ascii="ITC Avant Garde" w:hAnsi="ITC Avant Garde"/>
          <w:sz w:val="22"/>
          <w:szCs w:val="22"/>
        </w:rPr>
        <w:t>adiodifusión</w:t>
      </w:r>
      <w:r w:rsidRPr="000A105E">
        <w:rPr>
          <w:rFonts w:ascii="ITC Avant Garde" w:hAnsi="ITC Avant Garde"/>
          <w:sz w:val="22"/>
          <w:szCs w:val="22"/>
        </w:rPr>
        <w:t>, corresponde exclusivamente al Instituto, como órgano constitucional autónomo, el emitir disposiciones de carácter general que establezcan la visión global del sistema de señalización número 7 describiendo sus diversos elementos funcionales y la relación entre dichos elementos funcionales. Describiendo de manera general las funciones y capacidades de la parte transferencia de mensajes (PTM), de la parte control de conexión de señalización (PCCS), de la parte usuario de la R</w:t>
      </w:r>
      <w:r>
        <w:rPr>
          <w:rFonts w:ascii="ITC Avant Garde" w:hAnsi="ITC Avant Garde"/>
          <w:sz w:val="22"/>
          <w:szCs w:val="22"/>
        </w:rPr>
        <w:t xml:space="preserve">ed </w:t>
      </w:r>
      <w:r w:rsidRPr="000A105E">
        <w:rPr>
          <w:rFonts w:ascii="ITC Avant Garde" w:hAnsi="ITC Avant Garde"/>
          <w:sz w:val="22"/>
          <w:szCs w:val="22"/>
        </w:rPr>
        <w:t>D</w:t>
      </w:r>
      <w:r>
        <w:rPr>
          <w:rFonts w:ascii="ITC Avant Garde" w:hAnsi="ITC Avant Garde"/>
          <w:sz w:val="22"/>
          <w:szCs w:val="22"/>
        </w:rPr>
        <w:t xml:space="preserve">igital de </w:t>
      </w:r>
      <w:r w:rsidRPr="000A105E">
        <w:rPr>
          <w:rFonts w:ascii="ITC Avant Garde" w:hAnsi="ITC Avant Garde"/>
          <w:sz w:val="22"/>
          <w:szCs w:val="22"/>
        </w:rPr>
        <w:t>S</w:t>
      </w:r>
      <w:r>
        <w:rPr>
          <w:rFonts w:ascii="ITC Avant Garde" w:hAnsi="ITC Avant Garde"/>
          <w:sz w:val="22"/>
          <w:szCs w:val="22"/>
        </w:rPr>
        <w:t xml:space="preserve">ervicios </w:t>
      </w:r>
      <w:r w:rsidRPr="000A105E">
        <w:rPr>
          <w:rFonts w:ascii="ITC Avant Garde" w:hAnsi="ITC Avant Garde"/>
          <w:sz w:val="22"/>
          <w:szCs w:val="22"/>
        </w:rPr>
        <w:t>I</w:t>
      </w:r>
      <w:r>
        <w:rPr>
          <w:rFonts w:ascii="ITC Avant Garde" w:hAnsi="ITC Avant Garde"/>
          <w:sz w:val="22"/>
          <w:szCs w:val="22"/>
        </w:rPr>
        <w:t>ntegrados</w:t>
      </w:r>
      <w:r w:rsidRPr="000A105E">
        <w:rPr>
          <w:rFonts w:ascii="ITC Avant Garde" w:hAnsi="ITC Avant Garde"/>
          <w:sz w:val="22"/>
          <w:szCs w:val="22"/>
        </w:rPr>
        <w:t xml:space="preserve"> (PU-RDSI), de la capacidad de transacción (CT) y de la parte operaciones, mantenimiento y administración (POMA), exceptuando la parte de usuario de telefonía (PUT)</w:t>
      </w:r>
      <w:r>
        <w:rPr>
          <w:rFonts w:ascii="ITC Avant Garde" w:hAnsi="ITC Avant Garde"/>
          <w:sz w:val="22"/>
          <w:szCs w:val="22"/>
        </w:rPr>
        <w:t>.</w:t>
      </w:r>
    </w:p>
    <w:p w:rsidR="00EF671F" w:rsidRDefault="00EF671F" w:rsidP="00EF671F">
      <w:pPr>
        <w:pStyle w:val="Texto0"/>
        <w:spacing w:after="0" w:line="360" w:lineRule="auto"/>
        <w:ind w:firstLine="289"/>
      </w:pPr>
    </w:p>
    <w:p w:rsidR="00EF671F" w:rsidRPr="00353549" w:rsidRDefault="00EF671F" w:rsidP="00EF671F">
      <w:pPr>
        <w:spacing w:line="360" w:lineRule="auto"/>
        <w:jc w:val="both"/>
        <w:rPr>
          <w:rFonts w:ascii="ITC Avant Garde" w:hAnsi="ITC Avant Garde"/>
          <w:sz w:val="22"/>
          <w:szCs w:val="22"/>
        </w:rPr>
      </w:pPr>
      <w:r w:rsidRPr="00353549">
        <w:rPr>
          <w:rFonts w:ascii="ITC Avant Garde" w:hAnsi="ITC Avant Garde"/>
          <w:b/>
          <w:sz w:val="22"/>
          <w:szCs w:val="22"/>
        </w:rPr>
        <w:t>SEXTO.</w:t>
      </w:r>
      <w:r w:rsidRPr="00353549">
        <w:rPr>
          <w:rFonts w:ascii="ITC Avant Garde" w:hAnsi="ITC Avant Garde"/>
          <w:sz w:val="22"/>
          <w:szCs w:val="22"/>
        </w:rPr>
        <w:t xml:space="preserve"> </w:t>
      </w:r>
      <w:r w:rsidRPr="00353549">
        <w:rPr>
          <w:rFonts w:ascii="ITC Avant Garde" w:hAnsi="ITC Avant Garde"/>
          <w:b/>
          <w:sz w:val="22"/>
          <w:szCs w:val="22"/>
        </w:rPr>
        <w:t>Consulta pública.</w:t>
      </w:r>
      <w:r w:rsidRPr="00353549">
        <w:rPr>
          <w:rFonts w:ascii="ITC Avant Garde" w:hAnsi="ITC Avant Garde"/>
          <w:sz w:val="22"/>
          <w:szCs w:val="22"/>
        </w:rPr>
        <w:t xml:space="preserve"> Que el artículo 51 de la Ley establece que para la emisión y modificación de reglas, lineamientos o disposiciones administrativas de carácter general, así como en cualquier caso que determine el Pleno, el Instituto deberá realizar </w:t>
      </w:r>
      <w:r w:rsidRPr="00026795">
        <w:rPr>
          <w:rFonts w:ascii="ITC Avant Garde" w:hAnsi="ITC Avant Garde"/>
          <w:sz w:val="22"/>
          <w:szCs w:val="22"/>
        </w:rPr>
        <w:t>consultas públicas</w:t>
      </w:r>
      <w:r w:rsidRPr="00353549">
        <w:rPr>
          <w:rFonts w:ascii="ITC Avant Garde" w:hAnsi="ITC Avant Garde"/>
          <w:sz w:val="22"/>
          <w:szCs w:val="22"/>
        </w:rPr>
        <w:t xml:space="preserve"> bajo los principios de transpar</w:t>
      </w:r>
      <w:r>
        <w:rPr>
          <w:rFonts w:ascii="ITC Avant Garde" w:hAnsi="ITC Avant Garde"/>
          <w:sz w:val="22"/>
          <w:szCs w:val="22"/>
        </w:rPr>
        <w:t>encia y participación ciudadana,</w:t>
      </w:r>
      <w:r w:rsidRPr="00FD15CA">
        <w:t xml:space="preserve"> </w:t>
      </w:r>
      <w:r w:rsidRPr="00FD15CA">
        <w:rPr>
          <w:rFonts w:ascii="ITC Avant Garde" w:hAnsi="ITC Avant Garde"/>
          <w:sz w:val="22"/>
          <w:szCs w:val="22"/>
        </w:rPr>
        <w:t>salvo que la publicidad pudiera comprometer los efectos que se pretenden resolver o prevenir en una situación de emergencia.</w:t>
      </w:r>
      <w:r>
        <w:rPr>
          <w:rFonts w:ascii="ITC Avant Garde" w:hAnsi="ITC Avant Garde"/>
          <w:sz w:val="22"/>
          <w:szCs w:val="22"/>
        </w:rPr>
        <w:t xml:space="preserve"> </w:t>
      </w:r>
    </w:p>
    <w:p w:rsidR="00EF671F" w:rsidRPr="00353549" w:rsidRDefault="00EF671F" w:rsidP="00EF671F">
      <w:pPr>
        <w:autoSpaceDE w:val="0"/>
        <w:autoSpaceDN w:val="0"/>
        <w:adjustRightInd w:val="0"/>
        <w:spacing w:line="360" w:lineRule="auto"/>
        <w:jc w:val="both"/>
        <w:rPr>
          <w:rFonts w:ascii="ITC Avant Garde" w:hAnsi="ITC Avant Garde" w:cs="Tahoma"/>
          <w:b/>
          <w:bCs/>
          <w:color w:val="000000"/>
          <w:sz w:val="22"/>
          <w:szCs w:val="22"/>
        </w:rPr>
      </w:pPr>
    </w:p>
    <w:p w:rsidR="00EF671F" w:rsidRDefault="00EF671F" w:rsidP="00EF671F">
      <w:pPr>
        <w:autoSpaceDE w:val="0"/>
        <w:autoSpaceDN w:val="0"/>
        <w:adjustRightInd w:val="0"/>
        <w:spacing w:line="360" w:lineRule="auto"/>
        <w:jc w:val="both"/>
        <w:rPr>
          <w:rFonts w:ascii="ITC Avant Garde" w:hAnsi="ITC Avant Garde" w:cs="Tahoma"/>
          <w:bCs/>
          <w:color w:val="000000"/>
          <w:sz w:val="22"/>
          <w:szCs w:val="22"/>
        </w:rPr>
      </w:pPr>
      <w:r w:rsidRPr="00FD15CA">
        <w:rPr>
          <w:rFonts w:ascii="ITC Avant Garde" w:hAnsi="ITC Avant Garde" w:cs="Tahoma"/>
          <w:bCs/>
          <w:color w:val="000000"/>
          <w:sz w:val="22"/>
          <w:szCs w:val="22"/>
        </w:rPr>
        <w:t>En el caso del Anteproyecto de “ACUERDO MEDIANTE EL CUAL SE EXPIDE LA DISPOSICIÓN TÉCNICA IFT-009-2015: TELECOMUNICACIONES-INTERFAZ-PARTE DE USUARIO DE SERVICIOS INTEGRADOS DEL SISTEMA DE SEÑALIZACION POR CANAL COMÚN”, se considera que su publicidad no compromete los efectos que se pretenden resolver o prevenir, ni se advierte la existencia de una situación de emergencia.</w:t>
      </w:r>
    </w:p>
    <w:p w:rsidR="00EF671F" w:rsidRDefault="00EF671F" w:rsidP="00EF671F">
      <w:pPr>
        <w:autoSpaceDE w:val="0"/>
        <w:autoSpaceDN w:val="0"/>
        <w:adjustRightInd w:val="0"/>
        <w:spacing w:line="360" w:lineRule="auto"/>
        <w:jc w:val="both"/>
        <w:rPr>
          <w:rFonts w:ascii="ITC Avant Garde" w:hAnsi="ITC Avant Garde" w:cs="Tahoma"/>
          <w:bCs/>
          <w:color w:val="000000"/>
          <w:sz w:val="22"/>
          <w:szCs w:val="22"/>
          <w:highlight w:val="yellow"/>
        </w:rPr>
      </w:pPr>
    </w:p>
    <w:p w:rsidR="00EF671F" w:rsidRDefault="00EF671F" w:rsidP="00EF671F">
      <w:pPr>
        <w:autoSpaceDE w:val="0"/>
        <w:autoSpaceDN w:val="0"/>
        <w:adjustRightInd w:val="0"/>
        <w:spacing w:line="360" w:lineRule="auto"/>
        <w:jc w:val="both"/>
        <w:rPr>
          <w:rFonts w:ascii="ITC Avant Garde" w:hAnsi="ITC Avant Garde" w:cs="Tahoma"/>
          <w:bCs/>
          <w:color w:val="000000"/>
          <w:sz w:val="22"/>
          <w:szCs w:val="22"/>
        </w:rPr>
      </w:pPr>
      <w:r w:rsidRPr="00FD15CA">
        <w:rPr>
          <w:rFonts w:ascii="ITC Avant Garde" w:hAnsi="ITC Avant Garde" w:cs="Tahoma"/>
          <w:bCs/>
          <w:color w:val="000000"/>
          <w:sz w:val="22"/>
          <w:szCs w:val="22"/>
        </w:rPr>
        <w:t>En ese sentido, el Pleno del Instituto estima conveniente someter a consulta pública el Anteproyecto mencionado por un periodo razonable, cuya elaboración estuvo a cargo de la Unidad de Política Regulatoria</w:t>
      </w:r>
      <w:r>
        <w:rPr>
          <w:rFonts w:ascii="ITC Avant Garde" w:hAnsi="ITC Avant Garde" w:cs="Tahoma"/>
          <w:bCs/>
          <w:color w:val="000000"/>
          <w:sz w:val="22"/>
          <w:szCs w:val="22"/>
        </w:rPr>
        <w:t xml:space="preserve"> del Instituto</w:t>
      </w:r>
      <w:r w:rsidRPr="00FD15CA">
        <w:rPr>
          <w:rFonts w:ascii="ITC Avant Garde" w:hAnsi="ITC Avant Garde" w:cs="Tahoma"/>
          <w:bCs/>
          <w:color w:val="000000"/>
          <w:sz w:val="22"/>
          <w:szCs w:val="22"/>
        </w:rPr>
        <w:t>, a fin de transparentar y promover la participación ciudadana en los procesos de emisión de disposiciones de carácter general a cargo del Instituto.</w:t>
      </w:r>
      <w:r>
        <w:rPr>
          <w:rFonts w:ascii="ITC Avant Garde" w:hAnsi="ITC Avant Garde" w:cs="Tahoma"/>
          <w:bCs/>
          <w:color w:val="000000"/>
          <w:sz w:val="22"/>
          <w:szCs w:val="22"/>
        </w:rPr>
        <w:t xml:space="preserve"> </w:t>
      </w:r>
    </w:p>
    <w:p w:rsidR="00EF671F" w:rsidRDefault="00EF671F" w:rsidP="00EF671F">
      <w:pPr>
        <w:autoSpaceDE w:val="0"/>
        <w:autoSpaceDN w:val="0"/>
        <w:adjustRightInd w:val="0"/>
        <w:spacing w:line="360" w:lineRule="auto"/>
        <w:jc w:val="both"/>
        <w:rPr>
          <w:rFonts w:ascii="ITC Avant Garde" w:hAnsi="ITC Avant Garde" w:cs="Tahoma"/>
          <w:bCs/>
          <w:color w:val="000000"/>
          <w:sz w:val="22"/>
          <w:szCs w:val="22"/>
        </w:rPr>
      </w:pPr>
    </w:p>
    <w:p w:rsidR="00EF671F" w:rsidRPr="002F7AAB" w:rsidRDefault="00EF671F" w:rsidP="00EF671F">
      <w:pPr>
        <w:autoSpaceDE w:val="0"/>
        <w:autoSpaceDN w:val="0"/>
        <w:adjustRightInd w:val="0"/>
        <w:spacing w:line="360" w:lineRule="auto"/>
        <w:jc w:val="both"/>
        <w:rPr>
          <w:rFonts w:ascii="ITC Avant Garde" w:hAnsi="ITC Avant Garde" w:cs="Tahoma"/>
          <w:bCs/>
          <w:color w:val="000000"/>
          <w:sz w:val="22"/>
          <w:szCs w:val="22"/>
          <w:highlight w:val="yellow"/>
        </w:rPr>
      </w:pPr>
      <w:r>
        <w:rPr>
          <w:rFonts w:ascii="ITC Avant Garde" w:hAnsi="ITC Avant Garde" w:cs="Tahoma"/>
          <w:bCs/>
          <w:color w:val="000000"/>
          <w:sz w:val="22"/>
          <w:szCs w:val="22"/>
        </w:rPr>
        <w:t xml:space="preserve">El </w:t>
      </w:r>
      <w:r w:rsidRPr="00353549">
        <w:rPr>
          <w:rFonts w:ascii="ITC Avant Garde" w:hAnsi="ITC Avant Garde" w:cs="Tahoma"/>
          <w:bCs/>
          <w:color w:val="000000"/>
          <w:sz w:val="22"/>
          <w:szCs w:val="22"/>
        </w:rPr>
        <w:t xml:space="preserve">Anteproyecto </w:t>
      </w:r>
      <w:r>
        <w:rPr>
          <w:rFonts w:ascii="ITC Avant Garde" w:hAnsi="ITC Avant Garde" w:cs="Tahoma"/>
          <w:bCs/>
          <w:color w:val="000000"/>
          <w:sz w:val="22"/>
          <w:szCs w:val="22"/>
        </w:rPr>
        <w:t>de “</w:t>
      </w:r>
      <w:r w:rsidRPr="00FD15CA">
        <w:rPr>
          <w:rFonts w:ascii="ITC Avant Garde" w:hAnsi="ITC Avant Garde" w:cs="Tahoma"/>
          <w:bCs/>
          <w:color w:val="000000"/>
          <w:sz w:val="22"/>
          <w:szCs w:val="22"/>
        </w:rPr>
        <w:t>ACUERDO MEDIANTE EL CUAL SE EXPIDE LA DISPOSICIÓN TÉCNICA IFT-009-2015: TELECOMUNICACIONES-INTERFAZ-PARTE DE USUARIO DE SERVICIOS INTEGRADOS DEL SISTEMA DE SEÑALIZACION POR CANAL COMÚN”</w:t>
      </w:r>
      <w:r>
        <w:rPr>
          <w:rFonts w:ascii="ITC Avant Garde" w:hAnsi="ITC Avant Garde" w:cs="Tahoma"/>
          <w:bCs/>
          <w:color w:val="000000"/>
          <w:sz w:val="22"/>
          <w:szCs w:val="22"/>
        </w:rPr>
        <w:t xml:space="preserve"> </w:t>
      </w:r>
      <w:r w:rsidRPr="00353549">
        <w:rPr>
          <w:rFonts w:ascii="ITC Avant Garde" w:hAnsi="ITC Avant Garde" w:cs="Tahoma"/>
          <w:bCs/>
          <w:color w:val="000000"/>
          <w:sz w:val="22"/>
          <w:szCs w:val="22"/>
        </w:rPr>
        <w:t xml:space="preserve">se adjunta al presente Acuerdo como Anexo Único y forma parte integral de éste. </w:t>
      </w:r>
    </w:p>
    <w:p w:rsidR="00EF671F" w:rsidRPr="00353549" w:rsidRDefault="00EF671F" w:rsidP="00EF671F">
      <w:pPr>
        <w:autoSpaceDE w:val="0"/>
        <w:autoSpaceDN w:val="0"/>
        <w:adjustRightInd w:val="0"/>
        <w:spacing w:line="360" w:lineRule="auto"/>
        <w:jc w:val="both"/>
        <w:rPr>
          <w:rFonts w:ascii="ITC Avant Garde" w:hAnsi="ITC Avant Garde" w:cs="Tahoma"/>
          <w:bCs/>
          <w:color w:val="000000"/>
          <w:sz w:val="22"/>
          <w:szCs w:val="22"/>
          <w:highlight w:val="yellow"/>
        </w:rPr>
      </w:pPr>
    </w:p>
    <w:p w:rsidR="00EF671F" w:rsidRPr="00353549" w:rsidRDefault="00EF671F" w:rsidP="00EF671F">
      <w:pPr>
        <w:autoSpaceDE w:val="0"/>
        <w:autoSpaceDN w:val="0"/>
        <w:adjustRightInd w:val="0"/>
        <w:spacing w:line="360" w:lineRule="auto"/>
        <w:jc w:val="both"/>
        <w:rPr>
          <w:rFonts w:ascii="ITC Avant Garde" w:hAnsi="ITC Avant Garde" w:cs="Tahoma"/>
          <w:bCs/>
          <w:color w:val="000000"/>
          <w:sz w:val="22"/>
          <w:szCs w:val="22"/>
        </w:rPr>
      </w:pPr>
      <w:r w:rsidRPr="00353549">
        <w:rPr>
          <w:rFonts w:ascii="ITC Avant Garde" w:hAnsi="ITC Avant Garde" w:cs="Tahoma"/>
          <w:bCs/>
          <w:color w:val="000000"/>
          <w:sz w:val="22"/>
          <w:szCs w:val="22"/>
        </w:rPr>
        <w:t>Lo anterior sin perjuicio de que, en su momento, el Instituto realice y haga público el correspondiente análisis de impacto regulatorio, conforme a lo dispuesto en el segundo párrafo del artículo 51 de la Ley.</w:t>
      </w:r>
    </w:p>
    <w:p w:rsidR="00EF671F" w:rsidRDefault="00EF671F" w:rsidP="00EF671F">
      <w:pPr>
        <w:autoSpaceDE w:val="0"/>
        <w:autoSpaceDN w:val="0"/>
        <w:adjustRightInd w:val="0"/>
        <w:spacing w:line="360" w:lineRule="auto"/>
        <w:jc w:val="both"/>
        <w:rPr>
          <w:rFonts w:ascii="ITC Avant Garde" w:hAnsi="ITC Avant Garde" w:cs="Tahoma"/>
          <w:bCs/>
          <w:color w:val="000000"/>
          <w:sz w:val="22"/>
          <w:szCs w:val="22"/>
        </w:rPr>
      </w:pPr>
    </w:p>
    <w:p w:rsidR="00EF671F" w:rsidRPr="00353549" w:rsidRDefault="00EF671F" w:rsidP="00EF671F">
      <w:pPr>
        <w:autoSpaceDE w:val="0"/>
        <w:autoSpaceDN w:val="0"/>
        <w:adjustRightInd w:val="0"/>
        <w:spacing w:line="360" w:lineRule="auto"/>
        <w:jc w:val="both"/>
        <w:rPr>
          <w:rFonts w:ascii="ITC Avant Garde" w:hAnsi="ITC Avant Garde" w:cs="Tahoma"/>
          <w:bCs/>
          <w:color w:val="000000"/>
          <w:sz w:val="22"/>
          <w:szCs w:val="22"/>
        </w:rPr>
      </w:pPr>
    </w:p>
    <w:p w:rsidR="00EF671F" w:rsidRPr="00353549" w:rsidRDefault="00EF671F" w:rsidP="00EF671F">
      <w:pPr>
        <w:tabs>
          <w:tab w:val="left" w:pos="0"/>
        </w:tabs>
        <w:spacing w:line="360" w:lineRule="auto"/>
        <w:jc w:val="both"/>
        <w:rPr>
          <w:rFonts w:ascii="ITC Avant Garde" w:hAnsi="ITC Avant Garde"/>
          <w:color w:val="000000"/>
          <w:sz w:val="22"/>
          <w:szCs w:val="22"/>
          <w:lang w:val="es-MX"/>
        </w:rPr>
      </w:pPr>
      <w:r w:rsidRPr="00353549">
        <w:rPr>
          <w:rFonts w:ascii="ITC Avant Garde" w:hAnsi="ITC Avant Garde"/>
          <w:color w:val="000000"/>
          <w:sz w:val="22"/>
          <w:szCs w:val="22"/>
          <w:lang w:val="es-MX"/>
        </w:rPr>
        <w:t xml:space="preserve">Con la emisión de la consulta pública se alcanzan los siguientes objetivos: </w:t>
      </w:r>
    </w:p>
    <w:p w:rsidR="00EF671F" w:rsidRPr="00353549" w:rsidRDefault="00EF671F" w:rsidP="00EF671F">
      <w:pPr>
        <w:spacing w:line="360" w:lineRule="auto"/>
        <w:jc w:val="both"/>
        <w:rPr>
          <w:rFonts w:ascii="ITC Avant Garde" w:hAnsi="ITC Avant Garde"/>
          <w:color w:val="000000"/>
          <w:sz w:val="22"/>
          <w:szCs w:val="22"/>
        </w:rPr>
      </w:pPr>
    </w:p>
    <w:p w:rsidR="00EF671F" w:rsidRDefault="00EF671F" w:rsidP="00EF671F">
      <w:pPr>
        <w:numPr>
          <w:ilvl w:val="0"/>
          <w:numId w:val="2"/>
        </w:numPr>
        <w:spacing w:line="360" w:lineRule="auto"/>
        <w:jc w:val="both"/>
        <w:rPr>
          <w:rFonts w:ascii="ITC Avant Garde" w:hAnsi="ITC Avant Garde"/>
          <w:color w:val="000000"/>
          <w:sz w:val="22"/>
          <w:szCs w:val="22"/>
        </w:rPr>
      </w:pPr>
      <w:r w:rsidRPr="00353549">
        <w:rPr>
          <w:rFonts w:ascii="ITC Avant Garde" w:hAnsi="ITC Avant Garde"/>
          <w:color w:val="000000"/>
          <w:sz w:val="22"/>
          <w:szCs w:val="22"/>
        </w:rPr>
        <w:t>Fortalecer el principio de transparencia en la emisión de una disposición administrativa de carácter general q</w:t>
      </w:r>
      <w:r>
        <w:rPr>
          <w:rFonts w:ascii="ITC Avant Garde" w:hAnsi="ITC Avant Garde"/>
          <w:color w:val="000000"/>
          <w:sz w:val="22"/>
          <w:szCs w:val="22"/>
        </w:rPr>
        <w:t>ue impacta a todo el sector de telecomunicaciones</w:t>
      </w:r>
      <w:r w:rsidRPr="00353549">
        <w:rPr>
          <w:rFonts w:ascii="ITC Avant Garde" w:hAnsi="ITC Avant Garde"/>
          <w:color w:val="000000"/>
          <w:sz w:val="22"/>
          <w:szCs w:val="22"/>
        </w:rPr>
        <w:t>, y</w:t>
      </w:r>
    </w:p>
    <w:p w:rsidR="00EF671F" w:rsidRPr="00353549" w:rsidRDefault="00EF671F" w:rsidP="00EF671F">
      <w:pPr>
        <w:spacing w:line="360" w:lineRule="auto"/>
        <w:ind w:left="720"/>
        <w:jc w:val="both"/>
        <w:rPr>
          <w:rFonts w:ascii="ITC Avant Garde" w:hAnsi="ITC Avant Garde"/>
          <w:color w:val="000000"/>
          <w:sz w:val="22"/>
          <w:szCs w:val="22"/>
        </w:rPr>
      </w:pPr>
    </w:p>
    <w:p w:rsidR="00EF671F" w:rsidRPr="00353549" w:rsidRDefault="00EF671F" w:rsidP="00EF671F">
      <w:pPr>
        <w:numPr>
          <w:ilvl w:val="0"/>
          <w:numId w:val="2"/>
        </w:numPr>
        <w:spacing w:line="360" w:lineRule="auto"/>
        <w:jc w:val="both"/>
        <w:rPr>
          <w:rFonts w:ascii="ITC Avant Garde" w:hAnsi="ITC Avant Garde"/>
          <w:color w:val="000000"/>
          <w:sz w:val="22"/>
          <w:szCs w:val="22"/>
        </w:rPr>
      </w:pPr>
      <w:r w:rsidRPr="00353549">
        <w:rPr>
          <w:rFonts w:ascii="ITC Avant Garde" w:hAnsi="ITC Avant Garde"/>
          <w:color w:val="000000"/>
          <w:sz w:val="22"/>
          <w:szCs w:val="22"/>
        </w:rPr>
        <w:t>Fortalecer los planteamientos expuestos en el Anteproyecto, mediante la participación ciudadana, generando así un documento más robusto y eficiente</w:t>
      </w:r>
      <w:r>
        <w:rPr>
          <w:rFonts w:ascii="ITC Avant Garde" w:hAnsi="ITC Avant Garde"/>
          <w:color w:val="000000"/>
          <w:sz w:val="22"/>
          <w:szCs w:val="22"/>
        </w:rPr>
        <w:t>,</w:t>
      </w:r>
      <w:r w:rsidRPr="00FD15CA">
        <w:t xml:space="preserve"> </w:t>
      </w:r>
      <w:r w:rsidRPr="00FD15CA">
        <w:rPr>
          <w:rFonts w:ascii="ITC Avant Garde" w:hAnsi="ITC Avant Garde"/>
          <w:color w:val="000000"/>
          <w:sz w:val="22"/>
          <w:szCs w:val="22"/>
        </w:rPr>
        <w:t>que busque brindar una cobertura óptima a las necesidades y sugerencias</w:t>
      </w:r>
      <w:r w:rsidRPr="00353549">
        <w:rPr>
          <w:rFonts w:ascii="ITC Avant Garde" w:hAnsi="ITC Avant Garde"/>
          <w:color w:val="000000"/>
          <w:sz w:val="22"/>
          <w:szCs w:val="22"/>
        </w:rPr>
        <w:t xml:space="preserve">, en </w:t>
      </w:r>
      <w:r>
        <w:rPr>
          <w:rFonts w:ascii="ITC Avant Garde" w:hAnsi="ITC Avant Garde"/>
          <w:color w:val="000000"/>
          <w:sz w:val="22"/>
          <w:szCs w:val="22"/>
        </w:rPr>
        <w:t>beneficio</w:t>
      </w:r>
      <w:r w:rsidRPr="00353549">
        <w:rPr>
          <w:rFonts w:ascii="ITC Avant Garde" w:hAnsi="ITC Avant Garde"/>
          <w:color w:val="000000"/>
          <w:sz w:val="22"/>
          <w:szCs w:val="22"/>
        </w:rPr>
        <w:t xml:space="preserve"> de todo el sector.</w:t>
      </w:r>
    </w:p>
    <w:p w:rsidR="00EF671F" w:rsidRPr="00353549" w:rsidRDefault="00EF671F" w:rsidP="00EF671F">
      <w:pPr>
        <w:spacing w:line="360" w:lineRule="auto"/>
        <w:jc w:val="both"/>
        <w:rPr>
          <w:rFonts w:ascii="ITC Avant Garde" w:hAnsi="ITC Avant Garde"/>
          <w:color w:val="000000"/>
          <w:sz w:val="22"/>
          <w:szCs w:val="22"/>
        </w:rPr>
      </w:pPr>
    </w:p>
    <w:p w:rsidR="00EF671F" w:rsidRDefault="00EF671F" w:rsidP="00EF671F">
      <w:pPr>
        <w:autoSpaceDE w:val="0"/>
        <w:autoSpaceDN w:val="0"/>
        <w:adjustRightInd w:val="0"/>
        <w:spacing w:line="360" w:lineRule="auto"/>
        <w:jc w:val="both"/>
        <w:rPr>
          <w:rFonts w:ascii="ITC Avant Garde" w:hAnsi="ITC Avant Garde"/>
          <w:sz w:val="22"/>
          <w:szCs w:val="22"/>
        </w:rPr>
      </w:pPr>
      <w:r>
        <w:rPr>
          <w:rFonts w:ascii="ITC Avant Garde" w:hAnsi="ITC Avant Garde" w:cs="Tahoma"/>
          <w:bCs/>
          <w:color w:val="000000"/>
          <w:sz w:val="22"/>
          <w:szCs w:val="22"/>
        </w:rPr>
        <w:t xml:space="preserve"> </w:t>
      </w:r>
      <w:r w:rsidRPr="00FD15CA">
        <w:rPr>
          <w:rFonts w:ascii="ITC Avant Garde" w:hAnsi="ITC Avant Garde"/>
          <w:sz w:val="22"/>
          <w:szCs w:val="22"/>
        </w:rPr>
        <w:t>Por las razones antes expuestas, con fundamento en lo dispuesto en los artículos 6o., apartado B, fracciones II y III y 28, párrafos décimo quinto y vigésimo, fracción IV, de la Constitución Política de los Estados Unidos Mexicanos; 1, 2, 6, fracción IV, 7, 15 fracción I, 16, 17 fracción I, 51, 52, 289 de la Ley Federal de Telecomunicaciones y Radiodifusión; 28, último párrafo, de la Ley Federal de Procedimiento Administrativo; así como en los artículos 1, 3, 4, fracción I, 6, fracción I, 8 19 y 20, fracción XXII del Estatuto Orgánico del Instituto Federal de Telecomunicaciones, el Pleno del Instituto expide el siguiente:</w:t>
      </w:r>
    </w:p>
    <w:p w:rsidR="00EF671F" w:rsidRDefault="00EF671F" w:rsidP="00EF671F">
      <w:pPr>
        <w:pStyle w:val="Texto0"/>
        <w:spacing w:after="0" w:line="360" w:lineRule="auto"/>
        <w:ind w:firstLine="0"/>
      </w:pPr>
    </w:p>
    <w:p w:rsidR="00EF671F" w:rsidRDefault="00EF671F" w:rsidP="00EF671F">
      <w:pPr>
        <w:pStyle w:val="Texto0"/>
        <w:spacing w:after="0" w:line="360" w:lineRule="auto"/>
        <w:ind w:firstLine="0"/>
      </w:pPr>
    </w:p>
    <w:p w:rsidR="00EF671F" w:rsidRDefault="00EF671F" w:rsidP="00EF671F">
      <w:pPr>
        <w:autoSpaceDE w:val="0"/>
        <w:autoSpaceDN w:val="0"/>
        <w:adjustRightInd w:val="0"/>
        <w:spacing w:line="360" w:lineRule="auto"/>
        <w:jc w:val="center"/>
        <w:rPr>
          <w:rFonts w:ascii="ITC Avant Garde" w:hAnsi="ITC Avant Garde" w:cs="Tahoma"/>
          <w:b/>
          <w:bCs/>
          <w:color w:val="000000"/>
          <w:sz w:val="22"/>
          <w:szCs w:val="22"/>
        </w:rPr>
      </w:pPr>
      <w:r>
        <w:rPr>
          <w:rFonts w:ascii="ITC Avant Garde" w:hAnsi="ITC Avant Garde" w:cs="Tahoma"/>
          <w:b/>
          <w:bCs/>
          <w:color w:val="000000"/>
          <w:sz w:val="22"/>
          <w:szCs w:val="22"/>
        </w:rPr>
        <w:t>ACUERDO</w:t>
      </w:r>
    </w:p>
    <w:p w:rsidR="00EF671F" w:rsidRDefault="00EF671F" w:rsidP="00EF671F">
      <w:pPr>
        <w:autoSpaceDE w:val="0"/>
        <w:autoSpaceDN w:val="0"/>
        <w:adjustRightInd w:val="0"/>
        <w:spacing w:line="360" w:lineRule="auto"/>
        <w:rPr>
          <w:rFonts w:ascii="ITC Avant Garde" w:hAnsi="ITC Avant Garde" w:cs="Tahoma"/>
          <w:b/>
          <w:bCs/>
          <w:color w:val="000000"/>
          <w:sz w:val="22"/>
          <w:szCs w:val="22"/>
        </w:rPr>
      </w:pPr>
    </w:p>
    <w:p w:rsidR="00EF671F" w:rsidRDefault="00EF671F" w:rsidP="00EF671F">
      <w:pPr>
        <w:autoSpaceDE w:val="0"/>
        <w:autoSpaceDN w:val="0"/>
        <w:adjustRightInd w:val="0"/>
        <w:spacing w:line="360" w:lineRule="auto"/>
        <w:jc w:val="both"/>
        <w:rPr>
          <w:rFonts w:ascii="ITC Avant Garde" w:hAnsi="ITC Avant Garde" w:cs="Tahoma"/>
          <w:bCs/>
          <w:color w:val="000000"/>
          <w:sz w:val="22"/>
          <w:szCs w:val="22"/>
        </w:rPr>
      </w:pPr>
      <w:r>
        <w:rPr>
          <w:rFonts w:ascii="ITC Avant Garde" w:hAnsi="ITC Avant Garde" w:cs="Tahoma"/>
          <w:b/>
          <w:bCs/>
          <w:color w:val="000000"/>
          <w:sz w:val="22"/>
          <w:szCs w:val="22"/>
        </w:rPr>
        <w:t>PRIMERO</w:t>
      </w:r>
      <w:r>
        <w:rPr>
          <w:rFonts w:ascii="ITC Avant Garde" w:hAnsi="ITC Avant Garde" w:cs="Tahoma"/>
          <w:bCs/>
          <w:color w:val="000000"/>
          <w:sz w:val="22"/>
          <w:szCs w:val="22"/>
        </w:rPr>
        <w:t xml:space="preserve">.- Se determina someter a consulta pública el </w:t>
      </w:r>
      <w:r w:rsidRPr="009B2634">
        <w:rPr>
          <w:rFonts w:ascii="ITC Avant Garde" w:hAnsi="ITC Avant Garde" w:cs="Tahoma"/>
          <w:b/>
          <w:bCs/>
          <w:color w:val="000000"/>
          <w:sz w:val="22"/>
          <w:szCs w:val="22"/>
        </w:rPr>
        <w:t>“</w:t>
      </w:r>
      <w:r w:rsidRPr="009B2634">
        <w:rPr>
          <w:rFonts w:ascii="ITC Avant Garde" w:hAnsi="ITC Avant Garde"/>
          <w:b/>
          <w:color w:val="000000"/>
          <w:sz w:val="22"/>
          <w:szCs w:val="22"/>
        </w:rPr>
        <w:t xml:space="preserve">ANTEPROYECTO DE </w:t>
      </w:r>
      <w:r w:rsidRPr="009B2634">
        <w:rPr>
          <w:rFonts w:ascii="ITC Avant Garde" w:hAnsi="ITC Avant Garde" w:cs="Tahoma"/>
          <w:b/>
          <w:bCs/>
          <w:color w:val="000000"/>
          <w:sz w:val="22"/>
          <w:szCs w:val="22"/>
        </w:rPr>
        <w:t xml:space="preserve">ACUERDO MEDIANTE EL CUAL SE ESTABLECE LA DISPOSICIÓN TÉCNICA IFT-009-2015: </w:t>
      </w:r>
      <w:r w:rsidRPr="009B2634">
        <w:rPr>
          <w:rFonts w:ascii="ITC Avant Garde" w:hAnsi="ITC Avant Garde"/>
          <w:b/>
          <w:sz w:val="22"/>
          <w:szCs w:val="22"/>
        </w:rPr>
        <w:t>TELECOMUNICACIONES-INTERFAZ-PARTE DE USUARIO DE SERVICIOS INTEGRADOS DEL SISTEMA DE SEÑALIZACION POR CANAL COMUN</w:t>
      </w:r>
      <w:r w:rsidRPr="009B2634">
        <w:rPr>
          <w:rFonts w:ascii="ITC Avant Garde" w:hAnsi="ITC Avant Garde" w:cs="Tahoma"/>
          <w:b/>
          <w:bCs/>
          <w:color w:val="000000"/>
          <w:sz w:val="22"/>
          <w:szCs w:val="22"/>
        </w:rPr>
        <w:t>”</w:t>
      </w:r>
      <w:r>
        <w:rPr>
          <w:rFonts w:ascii="ITC Avant Garde" w:hAnsi="ITC Avant Garde" w:cs="Tahoma"/>
          <w:bCs/>
          <w:color w:val="000000"/>
          <w:sz w:val="22"/>
          <w:szCs w:val="22"/>
        </w:rPr>
        <w:t xml:space="preserve">, el cual se adjunta al presente como </w:t>
      </w:r>
      <w:r>
        <w:rPr>
          <w:rFonts w:ascii="ITC Avant Garde" w:hAnsi="ITC Avant Garde" w:cs="Tahoma"/>
          <w:b/>
          <w:bCs/>
          <w:color w:val="000000"/>
          <w:sz w:val="22"/>
          <w:szCs w:val="22"/>
        </w:rPr>
        <w:t>Anexo Único</w:t>
      </w:r>
      <w:r>
        <w:rPr>
          <w:rFonts w:ascii="ITC Avant Garde" w:hAnsi="ITC Avant Garde" w:cs="Tahoma"/>
          <w:bCs/>
          <w:color w:val="000000"/>
          <w:sz w:val="22"/>
          <w:szCs w:val="22"/>
        </w:rPr>
        <w:t xml:space="preserve">. Dicha consulta pública se realizará durante un plazo </w:t>
      </w:r>
      <w:r w:rsidRPr="00210B59">
        <w:rPr>
          <w:rFonts w:ascii="ITC Avant Garde" w:hAnsi="ITC Avant Garde" w:cs="Tahoma"/>
          <w:bCs/>
          <w:color w:val="000000"/>
          <w:sz w:val="22"/>
          <w:szCs w:val="22"/>
        </w:rPr>
        <w:t xml:space="preserve">de diez días hábiles, del </w:t>
      </w:r>
      <w:r>
        <w:rPr>
          <w:rFonts w:ascii="ITC Avant Garde" w:hAnsi="ITC Avant Garde" w:cs="Tahoma"/>
          <w:bCs/>
          <w:color w:val="000000"/>
          <w:sz w:val="22"/>
          <w:szCs w:val="22"/>
        </w:rPr>
        <w:t>14 al 27</w:t>
      </w:r>
      <w:r w:rsidRPr="00210B59">
        <w:rPr>
          <w:rFonts w:ascii="ITC Avant Garde" w:hAnsi="ITC Avant Garde" w:cs="Tahoma"/>
          <w:bCs/>
          <w:color w:val="000000"/>
          <w:sz w:val="22"/>
          <w:szCs w:val="22"/>
        </w:rPr>
        <w:t xml:space="preserve"> de agosto de 2015.</w:t>
      </w:r>
    </w:p>
    <w:p w:rsidR="00EF671F" w:rsidRDefault="00EF671F" w:rsidP="00EF671F">
      <w:pPr>
        <w:autoSpaceDE w:val="0"/>
        <w:autoSpaceDN w:val="0"/>
        <w:adjustRightInd w:val="0"/>
        <w:spacing w:line="360" w:lineRule="auto"/>
        <w:jc w:val="both"/>
        <w:rPr>
          <w:rFonts w:ascii="ITC Avant Garde" w:hAnsi="ITC Avant Garde" w:cs="Tahoma"/>
          <w:bCs/>
          <w:color w:val="000000"/>
          <w:sz w:val="22"/>
          <w:szCs w:val="22"/>
        </w:rPr>
      </w:pPr>
    </w:p>
    <w:p w:rsidR="00EF671F" w:rsidRDefault="00EF671F" w:rsidP="00EF671F">
      <w:pPr>
        <w:autoSpaceDE w:val="0"/>
        <w:autoSpaceDN w:val="0"/>
        <w:adjustRightInd w:val="0"/>
        <w:spacing w:line="360" w:lineRule="auto"/>
        <w:jc w:val="both"/>
        <w:rPr>
          <w:rFonts w:ascii="ITC Avant Garde" w:hAnsi="ITC Avant Garde" w:cs="Tahoma"/>
          <w:bCs/>
          <w:color w:val="000000"/>
          <w:sz w:val="22"/>
          <w:szCs w:val="22"/>
        </w:rPr>
      </w:pPr>
      <w:r>
        <w:rPr>
          <w:rFonts w:ascii="ITC Avant Garde" w:hAnsi="ITC Avant Garde" w:cs="Tahoma"/>
          <w:b/>
          <w:bCs/>
          <w:color w:val="000000"/>
          <w:sz w:val="22"/>
          <w:szCs w:val="22"/>
        </w:rPr>
        <w:t>SEGUNDO.</w:t>
      </w:r>
      <w:r>
        <w:rPr>
          <w:rFonts w:ascii="ITC Avant Garde" w:hAnsi="ITC Avant Garde" w:cs="Tahoma"/>
          <w:bCs/>
          <w:color w:val="000000"/>
          <w:sz w:val="22"/>
          <w:szCs w:val="22"/>
        </w:rPr>
        <w:t>- Se instruye a la Unidad de Política Regulatoria, por conducto de la Dirección General de Regulación Técnica, en su calidad de área proponente, a recibir y dar la atención que corresponda a las opiniones que sean vertidas en virtud de la consulta pública materia del presente Acuerdo.</w:t>
      </w:r>
    </w:p>
    <w:p w:rsidR="00EF671F" w:rsidRDefault="00EF671F" w:rsidP="00EF671F">
      <w:pPr>
        <w:autoSpaceDE w:val="0"/>
        <w:autoSpaceDN w:val="0"/>
        <w:adjustRightInd w:val="0"/>
        <w:spacing w:line="360" w:lineRule="auto"/>
        <w:jc w:val="both"/>
        <w:rPr>
          <w:rFonts w:ascii="ITC Avant Garde" w:hAnsi="ITC Avant Garde" w:cs="Tahoma"/>
          <w:bCs/>
          <w:color w:val="000000"/>
          <w:sz w:val="22"/>
          <w:szCs w:val="22"/>
        </w:rPr>
      </w:pPr>
    </w:p>
    <w:p w:rsidR="00EF671F" w:rsidRPr="002F7AAB" w:rsidRDefault="00EF671F" w:rsidP="00EF671F">
      <w:pPr>
        <w:autoSpaceDE w:val="0"/>
        <w:autoSpaceDN w:val="0"/>
        <w:adjustRightInd w:val="0"/>
        <w:spacing w:line="360" w:lineRule="auto"/>
        <w:jc w:val="both"/>
        <w:rPr>
          <w:rFonts w:ascii="ITC Avant Garde" w:hAnsi="ITC Avant Garde" w:cs="Tahoma"/>
          <w:bCs/>
          <w:color w:val="000000"/>
          <w:sz w:val="22"/>
          <w:szCs w:val="22"/>
        </w:rPr>
      </w:pPr>
      <w:r>
        <w:rPr>
          <w:rFonts w:ascii="ITC Avant Garde" w:hAnsi="ITC Avant Garde" w:cs="Tahoma"/>
          <w:b/>
          <w:bCs/>
          <w:color w:val="000000"/>
          <w:sz w:val="22"/>
          <w:szCs w:val="22"/>
        </w:rPr>
        <w:t>TERCERO.-</w:t>
      </w:r>
      <w:r>
        <w:rPr>
          <w:rFonts w:ascii="ITC Avant Garde" w:hAnsi="ITC Avant Garde" w:cs="Tahoma"/>
          <w:bCs/>
          <w:color w:val="000000"/>
          <w:sz w:val="22"/>
          <w:szCs w:val="22"/>
        </w:rPr>
        <w:t xml:space="preserve"> Publíquese en el portal de Internet del Instituto Federal de Telecomunicaciones.  </w:t>
      </w:r>
    </w:p>
    <w:p w:rsidR="00EF671F" w:rsidRDefault="00EF671F" w:rsidP="00EF671F">
      <w:pPr>
        <w:autoSpaceDE w:val="0"/>
        <w:autoSpaceDN w:val="0"/>
        <w:adjustRightInd w:val="0"/>
        <w:spacing w:line="360" w:lineRule="auto"/>
        <w:jc w:val="center"/>
        <w:rPr>
          <w:rFonts w:ascii="ITC Avant Garde" w:hAnsi="ITC Avant Garde" w:cs="Tahoma"/>
          <w:b/>
          <w:bCs/>
          <w:color w:val="000000"/>
          <w:sz w:val="22"/>
          <w:szCs w:val="22"/>
        </w:rPr>
      </w:pPr>
    </w:p>
    <w:p w:rsidR="003C2622" w:rsidRDefault="003C2622" w:rsidP="00EF671F">
      <w:pPr>
        <w:autoSpaceDE w:val="0"/>
        <w:autoSpaceDN w:val="0"/>
        <w:adjustRightInd w:val="0"/>
        <w:spacing w:line="360" w:lineRule="auto"/>
        <w:jc w:val="center"/>
        <w:rPr>
          <w:rFonts w:ascii="ITC Avant Garde" w:hAnsi="ITC Avant Garde" w:cs="Tahoma"/>
          <w:b/>
          <w:bCs/>
          <w:color w:val="000000"/>
          <w:sz w:val="22"/>
          <w:szCs w:val="22"/>
        </w:rPr>
      </w:pPr>
    </w:p>
    <w:p w:rsidR="003C2622" w:rsidRDefault="003C2622" w:rsidP="00EF671F">
      <w:pPr>
        <w:autoSpaceDE w:val="0"/>
        <w:autoSpaceDN w:val="0"/>
        <w:adjustRightInd w:val="0"/>
        <w:spacing w:line="360" w:lineRule="auto"/>
        <w:jc w:val="center"/>
        <w:rPr>
          <w:rFonts w:ascii="ITC Avant Garde" w:hAnsi="ITC Avant Garde" w:cs="Tahoma"/>
          <w:b/>
          <w:bCs/>
          <w:color w:val="000000"/>
          <w:sz w:val="22"/>
          <w:szCs w:val="22"/>
        </w:rPr>
      </w:pPr>
    </w:p>
    <w:p w:rsidR="003C2622" w:rsidRDefault="003C2622" w:rsidP="00EF671F">
      <w:pPr>
        <w:autoSpaceDE w:val="0"/>
        <w:autoSpaceDN w:val="0"/>
        <w:adjustRightInd w:val="0"/>
        <w:spacing w:line="360" w:lineRule="auto"/>
        <w:jc w:val="center"/>
        <w:rPr>
          <w:rFonts w:ascii="ITC Avant Garde" w:hAnsi="ITC Avant Garde" w:cs="Tahoma"/>
          <w:b/>
          <w:bCs/>
          <w:color w:val="000000"/>
          <w:sz w:val="22"/>
          <w:szCs w:val="22"/>
        </w:rPr>
      </w:pPr>
    </w:p>
    <w:tbl>
      <w:tblPr>
        <w:tblW w:w="9404" w:type="dxa"/>
        <w:jc w:val="center"/>
        <w:tblLook w:val="04A0" w:firstRow="1" w:lastRow="0" w:firstColumn="1" w:lastColumn="0" w:noHBand="0" w:noVBand="1"/>
      </w:tblPr>
      <w:tblGrid>
        <w:gridCol w:w="222"/>
        <w:gridCol w:w="4026"/>
        <w:gridCol w:w="651"/>
        <w:gridCol w:w="4283"/>
        <w:gridCol w:w="222"/>
      </w:tblGrid>
      <w:tr w:rsidR="00EF671F" w:rsidTr="003C2622">
        <w:trPr>
          <w:jc w:val="center"/>
        </w:trPr>
        <w:tc>
          <w:tcPr>
            <w:tcW w:w="222" w:type="dxa"/>
          </w:tcPr>
          <w:p w:rsidR="00EF671F" w:rsidRDefault="00EF671F" w:rsidP="007604EA">
            <w:pPr>
              <w:ind w:right="-14"/>
              <w:jc w:val="center"/>
              <w:rPr>
                <w:rFonts w:ascii="ITC Avant Garde" w:eastAsia="Calibri" w:hAnsi="ITC Avant Garde"/>
                <w:b/>
                <w:bCs/>
                <w:sz w:val="22"/>
                <w:szCs w:val="22"/>
              </w:rPr>
            </w:pPr>
          </w:p>
        </w:tc>
        <w:tc>
          <w:tcPr>
            <w:tcW w:w="8960" w:type="dxa"/>
            <w:gridSpan w:val="3"/>
            <w:hideMark/>
          </w:tcPr>
          <w:p w:rsidR="00EF671F" w:rsidRDefault="00EF671F" w:rsidP="007604EA">
            <w:pPr>
              <w:ind w:right="-14"/>
              <w:jc w:val="center"/>
              <w:rPr>
                <w:rFonts w:ascii="ITC Avant Garde" w:eastAsia="Calibri" w:hAnsi="ITC Avant Garde"/>
                <w:b/>
                <w:bCs/>
                <w:sz w:val="22"/>
                <w:szCs w:val="22"/>
              </w:rPr>
            </w:pPr>
            <w:r>
              <w:rPr>
                <w:rFonts w:ascii="ITC Avant Garde" w:eastAsia="Calibri" w:hAnsi="ITC Avant Garde"/>
                <w:b/>
                <w:bCs/>
                <w:sz w:val="22"/>
                <w:szCs w:val="22"/>
              </w:rPr>
              <w:t>Gabriel Oswaldo Contreras Saldívar</w:t>
            </w:r>
          </w:p>
        </w:tc>
        <w:tc>
          <w:tcPr>
            <w:tcW w:w="222" w:type="dxa"/>
          </w:tcPr>
          <w:p w:rsidR="00EF671F" w:rsidRDefault="00EF671F" w:rsidP="007604EA">
            <w:pPr>
              <w:ind w:right="-14"/>
              <w:jc w:val="center"/>
              <w:rPr>
                <w:rFonts w:ascii="ITC Avant Garde" w:eastAsia="Calibri" w:hAnsi="ITC Avant Garde"/>
                <w:b/>
                <w:bCs/>
                <w:sz w:val="22"/>
                <w:szCs w:val="22"/>
              </w:rPr>
            </w:pPr>
          </w:p>
        </w:tc>
      </w:tr>
      <w:tr w:rsidR="00EF671F" w:rsidTr="003C2622">
        <w:trPr>
          <w:jc w:val="center"/>
        </w:trPr>
        <w:tc>
          <w:tcPr>
            <w:tcW w:w="222" w:type="dxa"/>
          </w:tcPr>
          <w:p w:rsidR="00EF671F" w:rsidRDefault="00EF671F" w:rsidP="007604EA">
            <w:pPr>
              <w:ind w:right="-14"/>
              <w:jc w:val="center"/>
              <w:rPr>
                <w:rFonts w:ascii="ITC Avant Garde" w:eastAsia="Calibri" w:hAnsi="ITC Avant Garde"/>
                <w:b/>
                <w:bCs/>
                <w:sz w:val="22"/>
                <w:szCs w:val="22"/>
              </w:rPr>
            </w:pPr>
          </w:p>
        </w:tc>
        <w:tc>
          <w:tcPr>
            <w:tcW w:w="8960" w:type="dxa"/>
            <w:gridSpan w:val="3"/>
            <w:hideMark/>
          </w:tcPr>
          <w:p w:rsidR="00EF671F" w:rsidRDefault="00EC4CB9" w:rsidP="007604EA">
            <w:pPr>
              <w:ind w:right="-14"/>
              <w:jc w:val="center"/>
              <w:rPr>
                <w:rFonts w:ascii="ITC Avant Garde" w:eastAsia="Calibri" w:hAnsi="ITC Avant Garde"/>
                <w:b/>
                <w:bCs/>
                <w:sz w:val="22"/>
                <w:szCs w:val="22"/>
              </w:rPr>
            </w:pPr>
            <w:r>
              <w:rPr>
                <w:rFonts w:ascii="ITC Avant Garde" w:eastAsia="Calibri" w:hAnsi="ITC Avant Garde"/>
                <w:b/>
                <w:bCs/>
                <w:sz w:val="22"/>
                <w:szCs w:val="22"/>
              </w:rPr>
              <w:t xml:space="preserve">Comisionado </w:t>
            </w:r>
            <w:r w:rsidR="00EF671F">
              <w:rPr>
                <w:rFonts w:ascii="ITC Avant Garde" w:eastAsia="Calibri" w:hAnsi="ITC Avant Garde"/>
                <w:b/>
                <w:bCs/>
                <w:sz w:val="22"/>
                <w:szCs w:val="22"/>
              </w:rPr>
              <w:t>Presidente</w:t>
            </w:r>
          </w:p>
        </w:tc>
        <w:tc>
          <w:tcPr>
            <w:tcW w:w="222" w:type="dxa"/>
          </w:tcPr>
          <w:p w:rsidR="00EF671F" w:rsidRDefault="00EF671F" w:rsidP="007604EA">
            <w:pPr>
              <w:ind w:right="-14"/>
              <w:jc w:val="center"/>
              <w:rPr>
                <w:rFonts w:ascii="ITC Avant Garde" w:eastAsia="Calibri" w:hAnsi="ITC Avant Garde"/>
                <w:b/>
                <w:bCs/>
                <w:sz w:val="22"/>
                <w:szCs w:val="22"/>
              </w:rPr>
            </w:pPr>
          </w:p>
        </w:tc>
      </w:tr>
      <w:tr w:rsidR="00EF671F" w:rsidTr="003C2622">
        <w:trPr>
          <w:jc w:val="center"/>
        </w:trPr>
        <w:tc>
          <w:tcPr>
            <w:tcW w:w="4248" w:type="dxa"/>
            <w:gridSpan w:val="2"/>
          </w:tcPr>
          <w:p w:rsidR="00EF671F" w:rsidRDefault="00EF671F" w:rsidP="007604EA">
            <w:pPr>
              <w:ind w:right="-14"/>
              <w:jc w:val="center"/>
              <w:rPr>
                <w:rFonts w:ascii="ITC Avant Garde" w:eastAsia="Calibri" w:hAnsi="ITC Avant Garde"/>
                <w:b/>
                <w:bCs/>
                <w:sz w:val="22"/>
                <w:szCs w:val="22"/>
              </w:rPr>
            </w:pP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tcPr>
          <w:p w:rsidR="00EF671F" w:rsidRDefault="00EF671F" w:rsidP="007604EA">
            <w:pPr>
              <w:ind w:right="-14"/>
              <w:jc w:val="center"/>
              <w:rPr>
                <w:rFonts w:ascii="ITC Avant Garde" w:eastAsia="Calibri" w:hAnsi="ITC Avant Garde"/>
                <w:b/>
                <w:bCs/>
                <w:sz w:val="22"/>
                <w:szCs w:val="22"/>
              </w:rPr>
            </w:pPr>
          </w:p>
        </w:tc>
      </w:tr>
      <w:tr w:rsidR="00EF671F" w:rsidTr="003C2622">
        <w:trPr>
          <w:jc w:val="center"/>
        </w:trPr>
        <w:tc>
          <w:tcPr>
            <w:tcW w:w="4248" w:type="dxa"/>
            <w:gridSpan w:val="2"/>
          </w:tcPr>
          <w:p w:rsidR="00EF671F" w:rsidRDefault="00EF671F" w:rsidP="007604EA">
            <w:pPr>
              <w:ind w:right="-14"/>
              <w:jc w:val="center"/>
              <w:rPr>
                <w:rFonts w:ascii="ITC Avant Garde" w:eastAsia="Calibri" w:hAnsi="ITC Avant Garde"/>
                <w:b/>
                <w:bCs/>
                <w:sz w:val="22"/>
                <w:szCs w:val="22"/>
              </w:rPr>
            </w:pP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tcPr>
          <w:p w:rsidR="00EF671F" w:rsidRDefault="00EF671F" w:rsidP="007604EA">
            <w:pPr>
              <w:ind w:right="-14"/>
              <w:jc w:val="center"/>
              <w:rPr>
                <w:rFonts w:ascii="ITC Avant Garde" w:eastAsia="Calibri" w:hAnsi="ITC Avant Garde"/>
                <w:b/>
                <w:bCs/>
                <w:sz w:val="22"/>
                <w:szCs w:val="22"/>
              </w:rPr>
            </w:pPr>
          </w:p>
        </w:tc>
      </w:tr>
      <w:tr w:rsidR="00EF671F" w:rsidTr="003C2622">
        <w:trPr>
          <w:jc w:val="center"/>
        </w:trPr>
        <w:tc>
          <w:tcPr>
            <w:tcW w:w="4248" w:type="dxa"/>
            <w:gridSpan w:val="2"/>
          </w:tcPr>
          <w:p w:rsidR="00EF671F" w:rsidRDefault="00EF671F" w:rsidP="007604EA">
            <w:pPr>
              <w:ind w:right="-14"/>
              <w:jc w:val="center"/>
              <w:rPr>
                <w:rFonts w:ascii="ITC Avant Garde" w:eastAsia="Calibri" w:hAnsi="ITC Avant Garde"/>
                <w:b/>
                <w:bCs/>
                <w:sz w:val="22"/>
                <w:szCs w:val="22"/>
              </w:rPr>
            </w:pP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tcPr>
          <w:p w:rsidR="00EF671F" w:rsidRDefault="00EF671F" w:rsidP="007604EA">
            <w:pPr>
              <w:ind w:right="-14"/>
              <w:jc w:val="center"/>
              <w:rPr>
                <w:rFonts w:ascii="ITC Avant Garde" w:eastAsia="Calibri" w:hAnsi="ITC Avant Garde"/>
                <w:b/>
                <w:bCs/>
                <w:sz w:val="22"/>
                <w:szCs w:val="22"/>
              </w:rPr>
            </w:pPr>
          </w:p>
        </w:tc>
      </w:tr>
      <w:tr w:rsidR="00EF671F" w:rsidTr="003C2622">
        <w:trPr>
          <w:jc w:val="center"/>
        </w:trPr>
        <w:tc>
          <w:tcPr>
            <w:tcW w:w="4248" w:type="dxa"/>
            <w:gridSpan w:val="2"/>
          </w:tcPr>
          <w:p w:rsidR="00EF671F" w:rsidRDefault="00EF671F" w:rsidP="007604EA">
            <w:pPr>
              <w:ind w:right="-70"/>
              <w:jc w:val="center"/>
              <w:rPr>
                <w:rFonts w:ascii="ITC Avant Garde" w:eastAsia="Calibri" w:hAnsi="ITC Avant Garde"/>
                <w:b/>
                <w:bCs/>
                <w:sz w:val="22"/>
                <w:szCs w:val="22"/>
              </w:rPr>
            </w:pP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tcPr>
          <w:p w:rsidR="00EF671F" w:rsidRDefault="00EF671F" w:rsidP="007604EA">
            <w:pPr>
              <w:ind w:right="-14"/>
              <w:jc w:val="center"/>
              <w:rPr>
                <w:rFonts w:ascii="ITC Avant Garde" w:eastAsia="Calibri" w:hAnsi="ITC Avant Garde"/>
                <w:b/>
                <w:bCs/>
                <w:sz w:val="22"/>
                <w:szCs w:val="22"/>
              </w:rPr>
            </w:pPr>
          </w:p>
        </w:tc>
      </w:tr>
      <w:tr w:rsidR="00EF671F" w:rsidTr="003C2622">
        <w:trPr>
          <w:jc w:val="center"/>
        </w:trPr>
        <w:tc>
          <w:tcPr>
            <w:tcW w:w="4248" w:type="dxa"/>
            <w:gridSpan w:val="2"/>
            <w:hideMark/>
          </w:tcPr>
          <w:p w:rsidR="00EF671F" w:rsidRDefault="00EF671F" w:rsidP="007604EA">
            <w:pPr>
              <w:ind w:right="72"/>
              <w:jc w:val="center"/>
              <w:rPr>
                <w:rFonts w:ascii="ITC Avant Garde" w:eastAsia="Calibri" w:hAnsi="ITC Avant Garde"/>
                <w:b/>
                <w:bCs/>
                <w:sz w:val="22"/>
                <w:szCs w:val="22"/>
              </w:rPr>
            </w:pPr>
            <w:r>
              <w:rPr>
                <w:rFonts w:ascii="ITC Avant Garde" w:eastAsia="Calibri" w:hAnsi="ITC Avant Garde"/>
                <w:b/>
                <w:bCs/>
                <w:sz w:val="22"/>
                <w:szCs w:val="22"/>
              </w:rPr>
              <w:t>Luis Fernando Borjón Figueroa</w:t>
            </w: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hideMark/>
          </w:tcPr>
          <w:p w:rsidR="00EF671F" w:rsidRDefault="00EF671F" w:rsidP="007604EA">
            <w:pPr>
              <w:ind w:right="-14"/>
              <w:jc w:val="center"/>
              <w:rPr>
                <w:rFonts w:ascii="ITC Avant Garde" w:eastAsia="Calibri" w:hAnsi="ITC Avant Garde"/>
                <w:b/>
                <w:bCs/>
                <w:sz w:val="22"/>
                <w:szCs w:val="22"/>
              </w:rPr>
            </w:pPr>
            <w:r>
              <w:rPr>
                <w:rFonts w:ascii="ITC Avant Garde" w:eastAsia="Calibri" w:hAnsi="ITC Avant Garde"/>
                <w:b/>
                <w:bCs/>
                <w:sz w:val="22"/>
                <w:szCs w:val="22"/>
              </w:rPr>
              <w:t>Ernesto Estrada González</w:t>
            </w:r>
          </w:p>
        </w:tc>
      </w:tr>
      <w:tr w:rsidR="00EF671F" w:rsidTr="003C2622">
        <w:trPr>
          <w:jc w:val="center"/>
        </w:trPr>
        <w:tc>
          <w:tcPr>
            <w:tcW w:w="4248" w:type="dxa"/>
            <w:gridSpan w:val="2"/>
            <w:hideMark/>
          </w:tcPr>
          <w:p w:rsidR="00EF671F" w:rsidRDefault="00EF671F" w:rsidP="007604EA">
            <w:pPr>
              <w:ind w:right="72"/>
              <w:jc w:val="center"/>
              <w:rPr>
                <w:rFonts w:ascii="ITC Avant Garde" w:eastAsia="Calibri" w:hAnsi="ITC Avant Garde"/>
                <w:b/>
                <w:bCs/>
                <w:sz w:val="22"/>
                <w:szCs w:val="22"/>
              </w:rPr>
            </w:pPr>
            <w:r>
              <w:rPr>
                <w:rFonts w:ascii="ITC Avant Garde" w:eastAsia="Calibri" w:hAnsi="ITC Avant Garde"/>
                <w:b/>
                <w:bCs/>
                <w:sz w:val="22"/>
                <w:szCs w:val="22"/>
              </w:rPr>
              <w:t>Comisionado</w:t>
            </w: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hideMark/>
          </w:tcPr>
          <w:p w:rsidR="00EF671F" w:rsidRDefault="00EF671F" w:rsidP="007604EA">
            <w:pPr>
              <w:ind w:right="-14"/>
              <w:jc w:val="center"/>
              <w:rPr>
                <w:rFonts w:ascii="ITC Avant Garde" w:eastAsia="Calibri" w:hAnsi="ITC Avant Garde"/>
                <w:b/>
                <w:bCs/>
                <w:sz w:val="22"/>
                <w:szCs w:val="22"/>
              </w:rPr>
            </w:pPr>
            <w:r>
              <w:rPr>
                <w:rFonts w:ascii="ITC Avant Garde" w:eastAsia="Calibri" w:hAnsi="ITC Avant Garde"/>
                <w:b/>
                <w:bCs/>
                <w:sz w:val="22"/>
                <w:szCs w:val="22"/>
              </w:rPr>
              <w:t>Comisionado</w:t>
            </w:r>
          </w:p>
        </w:tc>
      </w:tr>
      <w:tr w:rsidR="00EF671F" w:rsidTr="003C2622">
        <w:trPr>
          <w:jc w:val="center"/>
        </w:trPr>
        <w:tc>
          <w:tcPr>
            <w:tcW w:w="4248" w:type="dxa"/>
            <w:gridSpan w:val="2"/>
          </w:tcPr>
          <w:p w:rsidR="00EF671F" w:rsidRDefault="00EF671F" w:rsidP="007604EA">
            <w:pPr>
              <w:ind w:right="-14"/>
              <w:jc w:val="center"/>
              <w:rPr>
                <w:rFonts w:ascii="ITC Avant Garde" w:eastAsia="Calibri" w:hAnsi="ITC Avant Garde"/>
                <w:b/>
                <w:bCs/>
                <w:sz w:val="22"/>
                <w:szCs w:val="22"/>
              </w:rPr>
            </w:pP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tcPr>
          <w:p w:rsidR="00EF671F" w:rsidRDefault="00EF671F" w:rsidP="007604EA">
            <w:pPr>
              <w:ind w:right="-14"/>
              <w:jc w:val="center"/>
              <w:rPr>
                <w:rFonts w:ascii="ITC Avant Garde" w:eastAsia="Calibri" w:hAnsi="ITC Avant Garde"/>
                <w:b/>
                <w:bCs/>
                <w:sz w:val="22"/>
                <w:szCs w:val="22"/>
              </w:rPr>
            </w:pPr>
          </w:p>
        </w:tc>
      </w:tr>
      <w:tr w:rsidR="00EF671F" w:rsidTr="003C2622">
        <w:trPr>
          <w:jc w:val="center"/>
        </w:trPr>
        <w:tc>
          <w:tcPr>
            <w:tcW w:w="4248" w:type="dxa"/>
            <w:gridSpan w:val="2"/>
          </w:tcPr>
          <w:p w:rsidR="00EF671F" w:rsidRDefault="00EF671F" w:rsidP="007604EA">
            <w:pPr>
              <w:ind w:right="-14"/>
              <w:jc w:val="center"/>
              <w:rPr>
                <w:rFonts w:ascii="ITC Avant Garde" w:eastAsia="Calibri" w:hAnsi="ITC Avant Garde"/>
                <w:b/>
                <w:bCs/>
                <w:sz w:val="22"/>
                <w:szCs w:val="22"/>
              </w:rPr>
            </w:pP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tcPr>
          <w:p w:rsidR="00EF671F" w:rsidRDefault="00EF671F" w:rsidP="007604EA">
            <w:pPr>
              <w:ind w:right="-14"/>
              <w:jc w:val="center"/>
              <w:rPr>
                <w:rFonts w:ascii="ITC Avant Garde" w:eastAsia="Calibri" w:hAnsi="ITC Avant Garde"/>
                <w:b/>
                <w:bCs/>
                <w:sz w:val="22"/>
                <w:szCs w:val="22"/>
              </w:rPr>
            </w:pPr>
          </w:p>
        </w:tc>
      </w:tr>
      <w:tr w:rsidR="00EF671F" w:rsidTr="003C2622">
        <w:trPr>
          <w:jc w:val="center"/>
        </w:trPr>
        <w:tc>
          <w:tcPr>
            <w:tcW w:w="4248" w:type="dxa"/>
            <w:gridSpan w:val="2"/>
          </w:tcPr>
          <w:p w:rsidR="00EF671F" w:rsidRDefault="00EF671F" w:rsidP="007604EA">
            <w:pPr>
              <w:ind w:right="-14"/>
              <w:jc w:val="center"/>
              <w:rPr>
                <w:rFonts w:ascii="ITC Avant Garde" w:eastAsia="Calibri" w:hAnsi="ITC Avant Garde"/>
                <w:b/>
                <w:bCs/>
                <w:sz w:val="22"/>
                <w:szCs w:val="22"/>
              </w:rPr>
            </w:pP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tcPr>
          <w:p w:rsidR="00EF671F" w:rsidRDefault="00EF671F" w:rsidP="007604EA">
            <w:pPr>
              <w:ind w:right="-14"/>
              <w:jc w:val="center"/>
              <w:rPr>
                <w:rFonts w:ascii="ITC Avant Garde" w:eastAsia="Calibri" w:hAnsi="ITC Avant Garde"/>
                <w:b/>
                <w:bCs/>
                <w:sz w:val="22"/>
                <w:szCs w:val="22"/>
              </w:rPr>
            </w:pPr>
          </w:p>
        </w:tc>
      </w:tr>
      <w:tr w:rsidR="00EF671F" w:rsidTr="003C2622">
        <w:trPr>
          <w:jc w:val="center"/>
        </w:trPr>
        <w:tc>
          <w:tcPr>
            <w:tcW w:w="4248" w:type="dxa"/>
            <w:gridSpan w:val="2"/>
          </w:tcPr>
          <w:p w:rsidR="00EF671F" w:rsidRDefault="00EF671F" w:rsidP="007604EA">
            <w:pPr>
              <w:ind w:right="-14"/>
              <w:jc w:val="center"/>
              <w:rPr>
                <w:rFonts w:ascii="ITC Avant Garde" w:eastAsia="Calibri" w:hAnsi="ITC Avant Garde"/>
                <w:b/>
                <w:bCs/>
                <w:sz w:val="22"/>
                <w:szCs w:val="22"/>
              </w:rPr>
            </w:pP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tcPr>
          <w:p w:rsidR="00EF671F" w:rsidRDefault="00EF671F" w:rsidP="007604EA">
            <w:pPr>
              <w:ind w:right="-14"/>
              <w:jc w:val="center"/>
              <w:rPr>
                <w:rFonts w:ascii="ITC Avant Garde" w:eastAsia="Calibri" w:hAnsi="ITC Avant Garde"/>
                <w:b/>
                <w:bCs/>
                <w:sz w:val="22"/>
                <w:szCs w:val="22"/>
              </w:rPr>
            </w:pPr>
          </w:p>
        </w:tc>
      </w:tr>
      <w:tr w:rsidR="00EF671F" w:rsidTr="003C2622">
        <w:trPr>
          <w:jc w:val="center"/>
        </w:trPr>
        <w:tc>
          <w:tcPr>
            <w:tcW w:w="4248" w:type="dxa"/>
            <w:gridSpan w:val="2"/>
            <w:hideMark/>
          </w:tcPr>
          <w:p w:rsidR="00EF671F" w:rsidRDefault="00EF671F" w:rsidP="007604EA">
            <w:pPr>
              <w:ind w:right="72"/>
              <w:jc w:val="center"/>
              <w:rPr>
                <w:rFonts w:ascii="ITC Avant Garde" w:eastAsia="Calibri" w:hAnsi="ITC Avant Garde"/>
                <w:b/>
                <w:bCs/>
                <w:sz w:val="22"/>
                <w:szCs w:val="22"/>
              </w:rPr>
            </w:pPr>
            <w:r>
              <w:rPr>
                <w:rFonts w:ascii="ITC Avant Garde" w:eastAsia="Calibri" w:hAnsi="ITC Avant Garde"/>
                <w:b/>
                <w:bCs/>
                <w:sz w:val="22"/>
                <w:szCs w:val="22"/>
              </w:rPr>
              <w:t>Adriana Sofía Labardini Inzunza</w:t>
            </w: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hideMark/>
          </w:tcPr>
          <w:p w:rsidR="00EF671F" w:rsidRDefault="00EF671F" w:rsidP="007604EA">
            <w:pPr>
              <w:ind w:right="-14"/>
              <w:jc w:val="center"/>
              <w:rPr>
                <w:rFonts w:ascii="ITC Avant Garde" w:eastAsia="Calibri" w:hAnsi="ITC Avant Garde"/>
                <w:b/>
                <w:bCs/>
                <w:sz w:val="22"/>
                <w:szCs w:val="22"/>
              </w:rPr>
            </w:pPr>
            <w:r>
              <w:rPr>
                <w:rFonts w:ascii="ITC Avant Garde" w:eastAsia="Calibri" w:hAnsi="ITC Avant Garde"/>
                <w:b/>
                <w:bCs/>
                <w:sz w:val="22"/>
                <w:szCs w:val="22"/>
              </w:rPr>
              <w:t>María Elena Estavillo Flores</w:t>
            </w:r>
          </w:p>
        </w:tc>
      </w:tr>
      <w:tr w:rsidR="00EF671F" w:rsidTr="003C2622">
        <w:trPr>
          <w:jc w:val="center"/>
        </w:trPr>
        <w:tc>
          <w:tcPr>
            <w:tcW w:w="4248" w:type="dxa"/>
            <w:gridSpan w:val="2"/>
            <w:hideMark/>
          </w:tcPr>
          <w:p w:rsidR="00EF671F" w:rsidRDefault="00EF671F" w:rsidP="007604EA">
            <w:pPr>
              <w:ind w:right="72"/>
              <w:jc w:val="center"/>
              <w:rPr>
                <w:rFonts w:ascii="ITC Avant Garde" w:eastAsia="Calibri" w:hAnsi="ITC Avant Garde"/>
                <w:b/>
                <w:bCs/>
                <w:sz w:val="22"/>
                <w:szCs w:val="22"/>
              </w:rPr>
            </w:pPr>
            <w:r>
              <w:rPr>
                <w:rFonts w:ascii="ITC Avant Garde" w:eastAsia="Calibri" w:hAnsi="ITC Avant Garde"/>
                <w:b/>
                <w:bCs/>
                <w:sz w:val="22"/>
                <w:szCs w:val="22"/>
              </w:rPr>
              <w:t>Comisionada</w:t>
            </w: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hideMark/>
          </w:tcPr>
          <w:p w:rsidR="00EF671F" w:rsidRDefault="00EF671F" w:rsidP="007604EA">
            <w:pPr>
              <w:ind w:right="-14"/>
              <w:jc w:val="center"/>
              <w:rPr>
                <w:rFonts w:ascii="ITC Avant Garde" w:eastAsia="Calibri" w:hAnsi="ITC Avant Garde"/>
                <w:b/>
                <w:bCs/>
                <w:sz w:val="22"/>
                <w:szCs w:val="22"/>
              </w:rPr>
            </w:pPr>
            <w:r>
              <w:rPr>
                <w:rFonts w:ascii="ITC Avant Garde" w:eastAsia="Calibri" w:hAnsi="ITC Avant Garde"/>
                <w:b/>
                <w:bCs/>
                <w:sz w:val="22"/>
                <w:szCs w:val="22"/>
              </w:rPr>
              <w:t>Comisionada</w:t>
            </w:r>
          </w:p>
        </w:tc>
      </w:tr>
      <w:tr w:rsidR="00EF671F" w:rsidTr="003C2622">
        <w:trPr>
          <w:jc w:val="center"/>
        </w:trPr>
        <w:tc>
          <w:tcPr>
            <w:tcW w:w="4248" w:type="dxa"/>
            <w:gridSpan w:val="2"/>
          </w:tcPr>
          <w:p w:rsidR="00EF671F" w:rsidRDefault="00EF671F" w:rsidP="007604EA">
            <w:pPr>
              <w:ind w:right="-14"/>
              <w:jc w:val="center"/>
              <w:rPr>
                <w:rFonts w:ascii="ITC Avant Garde" w:eastAsia="Calibri" w:hAnsi="ITC Avant Garde"/>
                <w:b/>
                <w:bCs/>
                <w:sz w:val="22"/>
                <w:szCs w:val="22"/>
              </w:rPr>
            </w:pP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tcPr>
          <w:p w:rsidR="00EF671F" w:rsidRDefault="00EF671F" w:rsidP="007604EA">
            <w:pPr>
              <w:ind w:right="-14"/>
              <w:jc w:val="center"/>
              <w:rPr>
                <w:rFonts w:ascii="ITC Avant Garde" w:eastAsia="Calibri" w:hAnsi="ITC Avant Garde"/>
                <w:b/>
                <w:bCs/>
                <w:sz w:val="22"/>
                <w:szCs w:val="22"/>
              </w:rPr>
            </w:pPr>
          </w:p>
        </w:tc>
      </w:tr>
      <w:tr w:rsidR="00EF671F" w:rsidTr="003C2622">
        <w:trPr>
          <w:jc w:val="center"/>
        </w:trPr>
        <w:tc>
          <w:tcPr>
            <w:tcW w:w="4248" w:type="dxa"/>
            <w:gridSpan w:val="2"/>
          </w:tcPr>
          <w:p w:rsidR="00EF671F" w:rsidRDefault="00EF671F" w:rsidP="007604EA">
            <w:pPr>
              <w:ind w:right="-14"/>
              <w:jc w:val="center"/>
              <w:rPr>
                <w:rFonts w:ascii="ITC Avant Garde" w:eastAsia="Calibri" w:hAnsi="ITC Avant Garde"/>
                <w:b/>
                <w:bCs/>
                <w:sz w:val="22"/>
                <w:szCs w:val="22"/>
              </w:rPr>
            </w:pP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tcPr>
          <w:p w:rsidR="00EF671F" w:rsidRDefault="00EF671F" w:rsidP="007604EA">
            <w:pPr>
              <w:ind w:right="-14"/>
              <w:jc w:val="center"/>
              <w:rPr>
                <w:rFonts w:ascii="ITC Avant Garde" w:eastAsia="Calibri" w:hAnsi="ITC Avant Garde"/>
                <w:b/>
                <w:bCs/>
                <w:sz w:val="22"/>
                <w:szCs w:val="22"/>
              </w:rPr>
            </w:pPr>
          </w:p>
        </w:tc>
      </w:tr>
      <w:tr w:rsidR="00EF671F" w:rsidTr="003C2622">
        <w:trPr>
          <w:jc w:val="center"/>
        </w:trPr>
        <w:tc>
          <w:tcPr>
            <w:tcW w:w="4248" w:type="dxa"/>
            <w:gridSpan w:val="2"/>
          </w:tcPr>
          <w:p w:rsidR="00EF671F" w:rsidRDefault="00EF671F" w:rsidP="007604EA">
            <w:pPr>
              <w:ind w:right="-14"/>
              <w:jc w:val="center"/>
              <w:rPr>
                <w:rFonts w:ascii="ITC Avant Garde" w:eastAsia="Calibri" w:hAnsi="ITC Avant Garde"/>
                <w:b/>
                <w:bCs/>
                <w:sz w:val="22"/>
                <w:szCs w:val="22"/>
              </w:rPr>
            </w:pP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tcPr>
          <w:p w:rsidR="00EF671F" w:rsidRDefault="00EF671F" w:rsidP="007604EA">
            <w:pPr>
              <w:ind w:right="-14"/>
              <w:jc w:val="center"/>
              <w:rPr>
                <w:rFonts w:ascii="ITC Avant Garde" w:eastAsia="Calibri" w:hAnsi="ITC Avant Garde"/>
                <w:b/>
                <w:bCs/>
                <w:sz w:val="22"/>
                <w:szCs w:val="22"/>
              </w:rPr>
            </w:pPr>
          </w:p>
        </w:tc>
      </w:tr>
      <w:tr w:rsidR="00EF671F" w:rsidTr="003C2622">
        <w:trPr>
          <w:jc w:val="center"/>
        </w:trPr>
        <w:tc>
          <w:tcPr>
            <w:tcW w:w="4248" w:type="dxa"/>
            <w:gridSpan w:val="2"/>
          </w:tcPr>
          <w:p w:rsidR="00EF671F" w:rsidRDefault="00EF671F" w:rsidP="007604EA">
            <w:pPr>
              <w:ind w:right="-14"/>
              <w:jc w:val="center"/>
              <w:rPr>
                <w:rFonts w:ascii="ITC Avant Garde" w:eastAsia="Calibri" w:hAnsi="ITC Avant Garde"/>
                <w:b/>
                <w:bCs/>
                <w:sz w:val="22"/>
                <w:szCs w:val="22"/>
              </w:rPr>
            </w:pP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tcPr>
          <w:p w:rsidR="00EF671F" w:rsidRDefault="00EF671F" w:rsidP="007604EA">
            <w:pPr>
              <w:ind w:right="-14"/>
              <w:jc w:val="center"/>
              <w:rPr>
                <w:rFonts w:ascii="ITC Avant Garde" w:eastAsia="Calibri" w:hAnsi="ITC Avant Garde"/>
                <w:b/>
                <w:bCs/>
                <w:sz w:val="22"/>
                <w:szCs w:val="22"/>
              </w:rPr>
            </w:pPr>
          </w:p>
        </w:tc>
      </w:tr>
      <w:tr w:rsidR="00EF671F" w:rsidTr="003C2622">
        <w:trPr>
          <w:jc w:val="center"/>
        </w:trPr>
        <w:tc>
          <w:tcPr>
            <w:tcW w:w="4248" w:type="dxa"/>
            <w:gridSpan w:val="2"/>
            <w:hideMark/>
          </w:tcPr>
          <w:p w:rsidR="00EF671F" w:rsidRDefault="00EF671F" w:rsidP="007604EA">
            <w:pPr>
              <w:ind w:right="72"/>
              <w:jc w:val="center"/>
              <w:rPr>
                <w:rFonts w:ascii="ITC Avant Garde" w:eastAsia="Calibri" w:hAnsi="ITC Avant Garde"/>
                <w:b/>
                <w:bCs/>
                <w:sz w:val="22"/>
                <w:szCs w:val="22"/>
              </w:rPr>
            </w:pPr>
            <w:r>
              <w:rPr>
                <w:rFonts w:ascii="ITC Avant Garde" w:eastAsia="Calibri" w:hAnsi="ITC Avant Garde"/>
                <w:b/>
                <w:bCs/>
                <w:sz w:val="22"/>
                <w:szCs w:val="22"/>
              </w:rPr>
              <w:t>Mario Germán Fromow Rangel</w:t>
            </w: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hideMark/>
          </w:tcPr>
          <w:p w:rsidR="00EF671F" w:rsidRDefault="00EF671F" w:rsidP="007604EA">
            <w:pPr>
              <w:ind w:right="-14"/>
              <w:jc w:val="center"/>
              <w:rPr>
                <w:rFonts w:ascii="ITC Avant Garde" w:eastAsia="Calibri" w:hAnsi="ITC Avant Garde"/>
                <w:b/>
                <w:bCs/>
                <w:sz w:val="22"/>
                <w:szCs w:val="22"/>
              </w:rPr>
            </w:pPr>
            <w:r>
              <w:rPr>
                <w:rFonts w:ascii="ITC Avant Garde" w:eastAsia="Calibri" w:hAnsi="ITC Avant Garde"/>
                <w:b/>
                <w:bCs/>
                <w:sz w:val="22"/>
                <w:szCs w:val="22"/>
              </w:rPr>
              <w:t>Adolfo Cuevas Teja</w:t>
            </w:r>
          </w:p>
        </w:tc>
      </w:tr>
      <w:tr w:rsidR="00EF671F" w:rsidTr="003C2622">
        <w:trPr>
          <w:trHeight w:val="70"/>
          <w:jc w:val="center"/>
        </w:trPr>
        <w:tc>
          <w:tcPr>
            <w:tcW w:w="4248" w:type="dxa"/>
            <w:gridSpan w:val="2"/>
            <w:hideMark/>
          </w:tcPr>
          <w:p w:rsidR="00EF671F" w:rsidRDefault="00EF671F" w:rsidP="007604EA">
            <w:pPr>
              <w:ind w:right="72"/>
              <w:jc w:val="center"/>
              <w:rPr>
                <w:rFonts w:ascii="ITC Avant Garde" w:eastAsia="Calibri" w:hAnsi="ITC Avant Garde"/>
                <w:b/>
                <w:bCs/>
                <w:sz w:val="22"/>
                <w:szCs w:val="22"/>
              </w:rPr>
            </w:pPr>
            <w:r>
              <w:rPr>
                <w:rFonts w:ascii="ITC Avant Garde" w:eastAsia="Calibri" w:hAnsi="ITC Avant Garde"/>
                <w:b/>
                <w:bCs/>
                <w:sz w:val="22"/>
                <w:szCs w:val="22"/>
              </w:rPr>
              <w:t>Comisionado</w:t>
            </w:r>
          </w:p>
        </w:tc>
        <w:tc>
          <w:tcPr>
            <w:tcW w:w="651" w:type="dxa"/>
          </w:tcPr>
          <w:p w:rsidR="00EF671F" w:rsidRDefault="00EF671F" w:rsidP="007604EA">
            <w:pPr>
              <w:ind w:right="-14"/>
              <w:jc w:val="center"/>
              <w:rPr>
                <w:rFonts w:ascii="ITC Avant Garde" w:eastAsia="Calibri" w:hAnsi="ITC Avant Garde"/>
                <w:b/>
                <w:bCs/>
                <w:sz w:val="22"/>
                <w:szCs w:val="22"/>
              </w:rPr>
            </w:pPr>
          </w:p>
        </w:tc>
        <w:tc>
          <w:tcPr>
            <w:tcW w:w="4505" w:type="dxa"/>
            <w:gridSpan w:val="2"/>
            <w:hideMark/>
          </w:tcPr>
          <w:p w:rsidR="00EF671F" w:rsidRDefault="00EF671F" w:rsidP="007604EA">
            <w:pPr>
              <w:ind w:right="-14"/>
              <w:jc w:val="center"/>
              <w:rPr>
                <w:rFonts w:ascii="ITC Avant Garde" w:eastAsia="Calibri" w:hAnsi="ITC Avant Garde"/>
                <w:b/>
                <w:bCs/>
                <w:sz w:val="22"/>
                <w:szCs w:val="22"/>
              </w:rPr>
            </w:pPr>
            <w:r>
              <w:rPr>
                <w:rFonts w:ascii="ITC Avant Garde" w:eastAsia="Calibri" w:hAnsi="ITC Avant Garde"/>
                <w:b/>
                <w:bCs/>
                <w:sz w:val="22"/>
                <w:szCs w:val="22"/>
              </w:rPr>
              <w:t>Comisionado</w:t>
            </w:r>
          </w:p>
        </w:tc>
      </w:tr>
    </w:tbl>
    <w:p w:rsidR="00EF671F" w:rsidRDefault="00EF671F" w:rsidP="00EF671F">
      <w:pPr>
        <w:pStyle w:val="Texto0"/>
        <w:spacing w:after="0" w:line="360" w:lineRule="auto"/>
        <w:ind w:firstLine="289"/>
      </w:pPr>
    </w:p>
    <w:p w:rsidR="003C2622" w:rsidRPr="003C2622" w:rsidRDefault="003C2622" w:rsidP="003C2622">
      <w:pPr>
        <w:ind w:right="44"/>
        <w:jc w:val="both"/>
        <w:rPr>
          <w:rFonts w:ascii="ITC Avant Garde" w:eastAsia="Calibri" w:hAnsi="ITC Avant Garde"/>
          <w:bCs/>
          <w:sz w:val="16"/>
        </w:rPr>
      </w:pPr>
      <w:r w:rsidRPr="003C2622">
        <w:rPr>
          <w:rFonts w:ascii="ITC Avant Garde" w:hAnsi="ITC Avant Garde"/>
          <w:bCs/>
          <w:sz w:val="16"/>
        </w:rPr>
        <w:t xml:space="preserve">El presente Acuerdo fue aprobado </w:t>
      </w:r>
      <w:r w:rsidRPr="003C2622">
        <w:rPr>
          <w:rFonts w:ascii="ITC Avant Garde" w:eastAsia="Arial Unicode MS" w:hAnsi="ITC Avant Garde"/>
          <w:sz w:val="16"/>
        </w:rPr>
        <w:t>por el Pleno del Instituto Federal de Telecomunicaciones en su XVI Sesión Ordinaria celebrada el 12 de agosto de 2015,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P/IFT/120815/344.</w:t>
      </w:r>
    </w:p>
    <w:p w:rsidR="003C2622" w:rsidRDefault="003C2622">
      <w:bookmarkStart w:id="0" w:name="_GoBack"/>
      <w:bookmarkEnd w:id="0"/>
    </w:p>
    <w:sectPr w:rsidR="003C2622" w:rsidSect="00EF671F">
      <w:footerReference w:type="default" r:id="rId8"/>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71F" w:rsidRDefault="00EF671F" w:rsidP="00EF671F">
      <w:r>
        <w:separator/>
      </w:r>
    </w:p>
  </w:endnote>
  <w:endnote w:type="continuationSeparator" w:id="0">
    <w:p w:rsidR="00EF671F" w:rsidRDefault="00EF671F" w:rsidP="00EF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129461"/>
      <w:docPartObj>
        <w:docPartGallery w:val="Page Numbers (Bottom of Page)"/>
        <w:docPartUnique/>
      </w:docPartObj>
    </w:sdtPr>
    <w:sdtEndPr>
      <w:rPr>
        <w:rFonts w:ascii="ITC Avant Garde" w:hAnsi="ITC Avant Garde"/>
        <w:sz w:val="16"/>
        <w:szCs w:val="16"/>
      </w:rPr>
    </w:sdtEndPr>
    <w:sdtContent>
      <w:p w:rsidR="00EF671F" w:rsidRPr="00EF671F" w:rsidRDefault="00EF671F">
        <w:pPr>
          <w:pStyle w:val="Piedepgina"/>
          <w:jc w:val="right"/>
          <w:rPr>
            <w:rFonts w:ascii="ITC Avant Garde" w:hAnsi="ITC Avant Garde"/>
            <w:sz w:val="16"/>
            <w:szCs w:val="16"/>
          </w:rPr>
        </w:pPr>
        <w:r w:rsidRPr="00EF671F">
          <w:rPr>
            <w:rFonts w:ascii="ITC Avant Garde" w:hAnsi="ITC Avant Garde"/>
            <w:sz w:val="16"/>
            <w:szCs w:val="16"/>
          </w:rPr>
          <w:fldChar w:fldCharType="begin"/>
        </w:r>
        <w:r w:rsidRPr="00EF671F">
          <w:rPr>
            <w:rFonts w:ascii="ITC Avant Garde" w:hAnsi="ITC Avant Garde"/>
            <w:sz w:val="16"/>
            <w:szCs w:val="16"/>
          </w:rPr>
          <w:instrText>PAGE   \* MERGEFORMAT</w:instrText>
        </w:r>
        <w:r w:rsidRPr="00EF671F">
          <w:rPr>
            <w:rFonts w:ascii="ITC Avant Garde" w:hAnsi="ITC Avant Garde"/>
            <w:sz w:val="16"/>
            <w:szCs w:val="16"/>
          </w:rPr>
          <w:fldChar w:fldCharType="separate"/>
        </w:r>
        <w:r w:rsidR="003C2622" w:rsidRPr="003C2622">
          <w:rPr>
            <w:rFonts w:ascii="ITC Avant Garde" w:hAnsi="ITC Avant Garde"/>
            <w:noProof/>
            <w:sz w:val="16"/>
            <w:szCs w:val="16"/>
            <w:lang w:val="es-ES"/>
          </w:rPr>
          <w:t>10</w:t>
        </w:r>
        <w:r w:rsidRPr="00EF671F">
          <w:rPr>
            <w:rFonts w:ascii="ITC Avant Garde" w:hAnsi="ITC Avant Garde"/>
            <w:sz w:val="16"/>
            <w:szCs w:val="16"/>
          </w:rPr>
          <w:fldChar w:fldCharType="end"/>
        </w:r>
      </w:p>
    </w:sdtContent>
  </w:sdt>
  <w:p w:rsidR="00EF671F" w:rsidRDefault="00EF67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71F" w:rsidRDefault="00EF671F" w:rsidP="00EF671F">
      <w:r>
        <w:separator/>
      </w:r>
    </w:p>
  </w:footnote>
  <w:footnote w:type="continuationSeparator" w:id="0">
    <w:p w:rsidR="00EF671F" w:rsidRDefault="00EF671F" w:rsidP="00EF6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61E82"/>
    <w:multiLevelType w:val="hybridMultilevel"/>
    <w:tmpl w:val="128CD7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624841AA"/>
    <w:multiLevelType w:val="hybridMultilevel"/>
    <w:tmpl w:val="146AA682"/>
    <w:lvl w:ilvl="0" w:tplc="C2EC716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1F"/>
    <w:rsid w:val="0015309E"/>
    <w:rsid w:val="003C2622"/>
    <w:rsid w:val="003C7935"/>
    <w:rsid w:val="00EC4CB9"/>
    <w:rsid w:val="00EF67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05107-464B-4D0C-BBE7-1D818DF3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71F"/>
    <w:pPr>
      <w:spacing w:after="0" w:line="240" w:lineRule="auto"/>
    </w:pPr>
    <w:rPr>
      <w:rFonts w:ascii="Arial" w:eastAsia="Times New Roman" w:hAnsi="Arial" w:cs="Arial"/>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OTACION">
    <w:name w:val="ANOTACION"/>
    <w:basedOn w:val="Normal"/>
    <w:link w:val="ANOTACIONCar"/>
    <w:rsid w:val="00EF671F"/>
    <w:pPr>
      <w:spacing w:after="101" w:line="216" w:lineRule="atLeast"/>
      <w:jc w:val="center"/>
    </w:pPr>
    <w:rPr>
      <w:b/>
      <w:sz w:val="18"/>
    </w:rPr>
  </w:style>
  <w:style w:type="paragraph" w:customStyle="1" w:styleId="ROMANOS">
    <w:name w:val="ROMANOS"/>
    <w:basedOn w:val="Normal"/>
    <w:link w:val="ROMANOSCar"/>
    <w:rsid w:val="00EF671F"/>
    <w:pPr>
      <w:tabs>
        <w:tab w:val="left" w:pos="720"/>
      </w:tabs>
      <w:spacing w:after="101" w:line="216" w:lineRule="atLeast"/>
      <w:ind w:left="720" w:hanging="432"/>
      <w:jc w:val="both"/>
    </w:pPr>
    <w:rPr>
      <w:sz w:val="18"/>
    </w:rPr>
  </w:style>
  <w:style w:type="paragraph" w:customStyle="1" w:styleId="texto">
    <w:name w:val="texto"/>
    <w:basedOn w:val="Normal"/>
    <w:rsid w:val="00EF671F"/>
    <w:pPr>
      <w:spacing w:after="101" w:line="216" w:lineRule="atLeast"/>
      <w:ind w:firstLine="288"/>
      <w:jc w:val="both"/>
    </w:pPr>
    <w:rPr>
      <w:sz w:val="18"/>
    </w:rPr>
  </w:style>
  <w:style w:type="paragraph" w:customStyle="1" w:styleId="Texto0">
    <w:name w:val="Texto"/>
    <w:basedOn w:val="Normal"/>
    <w:link w:val="TextoCar"/>
    <w:rsid w:val="00EF671F"/>
    <w:pPr>
      <w:spacing w:after="101" w:line="216" w:lineRule="exact"/>
      <w:ind w:firstLine="288"/>
      <w:jc w:val="both"/>
    </w:pPr>
    <w:rPr>
      <w:sz w:val="18"/>
      <w:lang w:val="es-ES" w:eastAsia="es-ES"/>
    </w:rPr>
  </w:style>
  <w:style w:type="character" w:customStyle="1" w:styleId="TextoCar">
    <w:name w:val="Texto Car"/>
    <w:link w:val="Texto0"/>
    <w:locked/>
    <w:rsid w:val="00EF671F"/>
    <w:rPr>
      <w:rFonts w:ascii="Arial" w:eastAsia="Times New Roman" w:hAnsi="Arial" w:cs="Arial"/>
      <w:sz w:val="18"/>
      <w:szCs w:val="20"/>
      <w:lang w:val="es-ES" w:eastAsia="es-ES"/>
    </w:rPr>
  </w:style>
  <w:style w:type="character" w:customStyle="1" w:styleId="ROMANOSCar">
    <w:name w:val="ROMANOS Car"/>
    <w:link w:val="ROMANOS"/>
    <w:locked/>
    <w:rsid w:val="00EF671F"/>
    <w:rPr>
      <w:rFonts w:ascii="Arial" w:eastAsia="Times New Roman" w:hAnsi="Arial" w:cs="Arial"/>
      <w:sz w:val="18"/>
      <w:szCs w:val="20"/>
      <w:lang w:val="es-ES_tradnl" w:eastAsia="es-MX"/>
    </w:rPr>
  </w:style>
  <w:style w:type="character" w:customStyle="1" w:styleId="ANOTACIONCar">
    <w:name w:val="ANOTACION Car"/>
    <w:link w:val="ANOTACION"/>
    <w:locked/>
    <w:rsid w:val="00EF671F"/>
    <w:rPr>
      <w:rFonts w:ascii="Arial" w:eastAsia="Times New Roman" w:hAnsi="Arial" w:cs="Arial"/>
      <w:b/>
      <w:sz w:val="18"/>
      <w:szCs w:val="20"/>
      <w:lang w:val="es-ES_tradnl" w:eastAsia="es-MX"/>
    </w:rPr>
  </w:style>
  <w:style w:type="paragraph" w:styleId="Prrafodelista">
    <w:name w:val="List Paragraph"/>
    <w:basedOn w:val="Normal"/>
    <w:uiPriority w:val="34"/>
    <w:qFormat/>
    <w:rsid w:val="00EF671F"/>
    <w:pPr>
      <w:ind w:left="708"/>
    </w:pPr>
    <w:rPr>
      <w:sz w:val="24"/>
      <w:lang w:val="es-MX"/>
    </w:rPr>
  </w:style>
  <w:style w:type="paragraph" w:styleId="Encabezado">
    <w:name w:val="header"/>
    <w:basedOn w:val="Normal"/>
    <w:link w:val="EncabezadoCar"/>
    <w:uiPriority w:val="99"/>
    <w:unhideWhenUsed/>
    <w:rsid w:val="00EF671F"/>
    <w:pPr>
      <w:tabs>
        <w:tab w:val="center" w:pos="4419"/>
        <w:tab w:val="right" w:pos="8838"/>
      </w:tabs>
    </w:pPr>
  </w:style>
  <w:style w:type="character" w:customStyle="1" w:styleId="EncabezadoCar">
    <w:name w:val="Encabezado Car"/>
    <w:basedOn w:val="Fuentedeprrafopredeter"/>
    <w:link w:val="Encabezado"/>
    <w:uiPriority w:val="99"/>
    <w:rsid w:val="00EF671F"/>
    <w:rPr>
      <w:rFonts w:ascii="Arial" w:eastAsia="Times New Roman" w:hAnsi="Arial" w:cs="Arial"/>
      <w:sz w:val="20"/>
      <w:szCs w:val="20"/>
      <w:lang w:val="es-ES_tradnl" w:eastAsia="es-MX"/>
    </w:rPr>
  </w:style>
  <w:style w:type="paragraph" w:styleId="Piedepgina">
    <w:name w:val="footer"/>
    <w:basedOn w:val="Normal"/>
    <w:link w:val="PiedepginaCar"/>
    <w:uiPriority w:val="99"/>
    <w:unhideWhenUsed/>
    <w:rsid w:val="00EF671F"/>
    <w:pPr>
      <w:tabs>
        <w:tab w:val="center" w:pos="4419"/>
        <w:tab w:val="right" w:pos="8838"/>
      </w:tabs>
    </w:pPr>
  </w:style>
  <w:style w:type="character" w:customStyle="1" w:styleId="PiedepginaCar">
    <w:name w:val="Pie de página Car"/>
    <w:basedOn w:val="Fuentedeprrafopredeter"/>
    <w:link w:val="Piedepgina"/>
    <w:uiPriority w:val="99"/>
    <w:rsid w:val="00EF671F"/>
    <w:rPr>
      <w:rFonts w:ascii="Arial" w:eastAsia="Times New Roman" w:hAnsi="Arial" w:cs="Arial"/>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B61D5-AB4C-44F2-BB71-84FD9270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2883</Words>
  <Characters>15858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Ameneyro Tapia</dc:creator>
  <cp:keywords/>
  <dc:description/>
  <cp:lastModifiedBy>Karen Beatriz Martinez Munguia</cp:lastModifiedBy>
  <cp:revision>3</cp:revision>
  <dcterms:created xsi:type="dcterms:W3CDTF">2015-08-13T17:38:00Z</dcterms:created>
  <dcterms:modified xsi:type="dcterms:W3CDTF">2015-08-13T19:03:00Z</dcterms:modified>
</cp:coreProperties>
</file>