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31BFA" w14:textId="21E64B83" w:rsidR="00C00897" w:rsidRPr="00D93429" w:rsidRDefault="00C00897" w:rsidP="00D93429">
      <w:pPr>
        <w:spacing w:after="0"/>
        <w:jc w:val="both"/>
        <w:rPr>
          <w:rFonts w:ascii="ITC Avant Garde" w:hAnsi="ITC Avant Garde"/>
          <w:b/>
        </w:rPr>
      </w:pPr>
      <w:r w:rsidRPr="00D93429">
        <w:rPr>
          <w:rFonts w:ascii="ITC Avant Garde" w:hAnsi="ITC Avant Garde" w:cs="TimesNewRomanPS-BoldMT"/>
          <w:b/>
          <w:bCs/>
          <w:color w:val="000000"/>
        </w:rPr>
        <w:t xml:space="preserve">ACUERDO MEDIANTE EL CUAL EL PLENO DEL INSTITUTO FEDERAL DE TELECOMUNICACIONES </w:t>
      </w:r>
      <w:r w:rsidR="0088760F" w:rsidRPr="00D93429">
        <w:rPr>
          <w:rFonts w:ascii="ITC Avant Garde" w:hAnsi="ITC Avant Garde" w:cs="TimesNewRomanPS-BoldMT"/>
          <w:b/>
          <w:bCs/>
          <w:color w:val="000000"/>
        </w:rPr>
        <w:t>DETERMINA SOMETER</w:t>
      </w:r>
      <w:r w:rsidRPr="00D93429">
        <w:rPr>
          <w:rFonts w:ascii="ITC Avant Garde" w:hAnsi="ITC Avant Garde" w:cs="TimesNewRomanPS-BoldMT"/>
          <w:b/>
          <w:bCs/>
          <w:color w:val="000000"/>
        </w:rPr>
        <w:t xml:space="preserve"> A CONSULTA PÚBLICA EL ANTEPROYECTO DE </w:t>
      </w:r>
      <w:r w:rsidR="002D6150" w:rsidRPr="00D93429">
        <w:rPr>
          <w:rFonts w:ascii="ITC Avant Garde" w:hAnsi="ITC Avant Garde"/>
          <w:b/>
        </w:rPr>
        <w:t>LINEAMIENTOS GENERALES SOBRE LOS DERECHOS DE LAS AUDIENCIAS</w:t>
      </w:r>
      <w:r w:rsidRPr="00D93429">
        <w:rPr>
          <w:rFonts w:ascii="ITC Avant Garde" w:hAnsi="ITC Avant Garde"/>
          <w:b/>
        </w:rPr>
        <w:t>.</w:t>
      </w:r>
    </w:p>
    <w:p w14:paraId="40E44CC8"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567177B6"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5E4AE260" w14:textId="77777777" w:rsidR="00C00897" w:rsidRPr="00D93429" w:rsidRDefault="00C00897" w:rsidP="00D93429">
      <w:pPr>
        <w:autoSpaceDE w:val="0"/>
        <w:autoSpaceDN w:val="0"/>
        <w:adjustRightInd w:val="0"/>
        <w:spacing w:after="0"/>
        <w:jc w:val="center"/>
        <w:rPr>
          <w:rFonts w:ascii="ITC Avant Garde" w:hAnsi="ITC Avant Garde" w:cs="TimesNewRomanPS-BoldMT"/>
          <w:b/>
          <w:bCs/>
          <w:color w:val="000000"/>
        </w:rPr>
      </w:pPr>
      <w:r w:rsidRPr="00D93429">
        <w:rPr>
          <w:rFonts w:ascii="ITC Avant Garde" w:hAnsi="ITC Avant Garde" w:cs="TimesNewRomanPS-BoldMT"/>
          <w:b/>
          <w:bCs/>
          <w:color w:val="000000"/>
        </w:rPr>
        <w:t>ANTECEDENTES</w:t>
      </w:r>
    </w:p>
    <w:p w14:paraId="6CE9826E" w14:textId="77777777" w:rsidR="007628F7" w:rsidRDefault="007628F7" w:rsidP="00D93429">
      <w:pPr>
        <w:pStyle w:val="Prrafodelista"/>
        <w:suppressAutoHyphens/>
        <w:spacing w:after="0"/>
        <w:ind w:left="1080"/>
        <w:jc w:val="both"/>
        <w:rPr>
          <w:color w:val="000000"/>
          <w:kern w:val="1"/>
          <w:lang w:eastAsia="ar-SA"/>
        </w:rPr>
      </w:pPr>
    </w:p>
    <w:p w14:paraId="42C86D52" w14:textId="77777777" w:rsidR="00D93429" w:rsidRPr="00D93429" w:rsidRDefault="00D93429" w:rsidP="00D93429">
      <w:pPr>
        <w:pStyle w:val="Prrafodelista"/>
        <w:suppressAutoHyphens/>
        <w:spacing w:after="0"/>
        <w:ind w:left="1080"/>
        <w:jc w:val="both"/>
        <w:rPr>
          <w:color w:val="000000"/>
          <w:kern w:val="1"/>
          <w:lang w:eastAsia="ar-SA"/>
        </w:rPr>
      </w:pPr>
    </w:p>
    <w:p w14:paraId="701BAAD2" w14:textId="6233DAD2" w:rsidR="00C00897" w:rsidRPr="00D93429" w:rsidRDefault="00C00897" w:rsidP="00415B61">
      <w:pPr>
        <w:pStyle w:val="Prrafodelista"/>
        <w:numPr>
          <w:ilvl w:val="0"/>
          <w:numId w:val="8"/>
        </w:numPr>
        <w:tabs>
          <w:tab w:val="left" w:pos="284"/>
        </w:tabs>
        <w:suppressAutoHyphens/>
        <w:spacing w:after="0"/>
        <w:ind w:left="0" w:firstLine="0"/>
        <w:contextualSpacing w:val="0"/>
        <w:jc w:val="both"/>
        <w:rPr>
          <w:color w:val="000000"/>
          <w:kern w:val="1"/>
          <w:lang w:eastAsia="ar-SA"/>
        </w:rPr>
      </w:pPr>
      <w:r w:rsidRPr="00D93429">
        <w:rPr>
          <w:color w:val="000000"/>
          <w:kern w:val="1"/>
          <w:lang w:eastAsia="ar-SA"/>
        </w:rPr>
        <w:t>El 11 de junio de 2013, se publicó en el Diario Oficial de la Federación (DOF), el “</w:t>
      </w:r>
      <w:r w:rsidRPr="00D93429">
        <w:rPr>
          <w:i/>
          <w:color w:val="000000"/>
          <w:kern w:val="1"/>
          <w:lang w:eastAsia="ar-SA"/>
        </w:rPr>
        <w:t>Decreto por el que se reforman y adicionan diversas disposiciones de los artículos 6o., 7o., 27, 28, 73, 78, 94 y 105 de la Constitución Política de los Estados Unidos Mexicanos, en materia de telecomunicaciones</w:t>
      </w:r>
      <w:r w:rsidRPr="00D93429">
        <w:rPr>
          <w:color w:val="000000"/>
          <w:kern w:val="1"/>
          <w:lang w:eastAsia="ar-SA"/>
        </w:rPr>
        <w:t>” (Decreto de Reforma Constitucional), mediante el cual se creó al Instituto Federal de Telecomunicaciones (Instituto) como un órgano autónomo, con personalidad</w:t>
      </w:r>
      <w:r w:rsidR="00541350" w:rsidRPr="00D93429">
        <w:rPr>
          <w:color w:val="000000"/>
          <w:kern w:val="1"/>
          <w:lang w:eastAsia="ar-SA"/>
        </w:rPr>
        <w:t xml:space="preserve"> jurídica y patrimonio propio</w:t>
      </w:r>
      <w:r w:rsidR="002D6E97" w:rsidRPr="00D93429">
        <w:rPr>
          <w:color w:val="000000"/>
          <w:kern w:val="1"/>
          <w:lang w:eastAsia="ar-SA"/>
        </w:rPr>
        <w:t>s</w:t>
      </w:r>
      <w:r w:rsidR="009D222A" w:rsidRPr="00D93429">
        <w:rPr>
          <w:color w:val="000000"/>
          <w:kern w:val="1"/>
          <w:lang w:eastAsia="ar-SA"/>
        </w:rPr>
        <w:t>;</w:t>
      </w:r>
    </w:p>
    <w:p w14:paraId="41E065A7" w14:textId="77777777" w:rsidR="009D222A" w:rsidRPr="00D93429" w:rsidRDefault="009D222A" w:rsidP="00D93429">
      <w:pPr>
        <w:pStyle w:val="Prrafodelista"/>
        <w:suppressAutoHyphens/>
        <w:spacing w:after="0"/>
        <w:ind w:left="0"/>
        <w:contextualSpacing w:val="0"/>
        <w:jc w:val="both"/>
        <w:rPr>
          <w:color w:val="000000"/>
          <w:kern w:val="1"/>
          <w:lang w:eastAsia="ar-SA"/>
        </w:rPr>
      </w:pPr>
    </w:p>
    <w:p w14:paraId="551CA2D2" w14:textId="77777777" w:rsidR="009D222A" w:rsidRPr="00D93429" w:rsidRDefault="009D222A" w:rsidP="00415B61">
      <w:pPr>
        <w:pStyle w:val="Prrafodelista"/>
        <w:numPr>
          <w:ilvl w:val="0"/>
          <w:numId w:val="8"/>
        </w:numPr>
        <w:tabs>
          <w:tab w:val="left" w:pos="284"/>
        </w:tabs>
        <w:suppressAutoHyphens/>
        <w:spacing w:after="0"/>
        <w:ind w:left="0" w:firstLine="0"/>
        <w:contextualSpacing w:val="0"/>
        <w:jc w:val="both"/>
        <w:rPr>
          <w:color w:val="000000"/>
          <w:kern w:val="1"/>
          <w:lang w:eastAsia="ar-SA"/>
        </w:rPr>
      </w:pPr>
      <w:r w:rsidRPr="00D93429">
        <w:rPr>
          <w:color w:val="000000"/>
          <w:kern w:val="1"/>
          <w:lang w:eastAsia="ar-SA"/>
        </w:rPr>
        <w:t>El 10 de septiembre de 2013, quedó debidamente integrado el Instituto en términos de lo dispuesto por el artículo Sexto Transitorio del Decreto de Reforma Constitucional, mediante la ratificación por parte del Senado de la República de los nombramientos de los Comisionados que integran su órgano máximo de gobierno y la designación de su Presidente;</w:t>
      </w:r>
    </w:p>
    <w:p w14:paraId="60DE31C5" w14:textId="77777777" w:rsidR="009D222A" w:rsidRPr="00D93429" w:rsidRDefault="009D222A" w:rsidP="00D93429">
      <w:pPr>
        <w:pStyle w:val="Prrafodelista"/>
        <w:spacing w:after="0"/>
        <w:rPr>
          <w:color w:val="000000"/>
          <w:kern w:val="1"/>
          <w:lang w:eastAsia="ar-SA"/>
        </w:rPr>
      </w:pPr>
    </w:p>
    <w:p w14:paraId="6731F19F" w14:textId="642AC8E7" w:rsidR="00B25916" w:rsidRPr="00D93429" w:rsidRDefault="00F86480" w:rsidP="00415B61">
      <w:pPr>
        <w:pStyle w:val="Prrafodelista"/>
        <w:numPr>
          <w:ilvl w:val="0"/>
          <w:numId w:val="8"/>
        </w:numPr>
        <w:tabs>
          <w:tab w:val="left" w:pos="284"/>
        </w:tabs>
        <w:suppressAutoHyphens/>
        <w:spacing w:after="0"/>
        <w:ind w:left="0" w:firstLine="0"/>
        <w:contextualSpacing w:val="0"/>
        <w:jc w:val="both"/>
        <w:rPr>
          <w:color w:val="000000"/>
          <w:kern w:val="1"/>
          <w:lang w:eastAsia="ar-SA"/>
        </w:rPr>
      </w:pPr>
      <w:r w:rsidRPr="00D93429">
        <w:rPr>
          <w:color w:val="000000"/>
          <w:kern w:val="1"/>
          <w:lang w:eastAsia="ar-SA"/>
        </w:rPr>
        <w:t>El 14 de septiembre de 2014</w:t>
      </w:r>
      <w:r w:rsidR="00B25916" w:rsidRPr="00D93429">
        <w:rPr>
          <w:color w:val="000000"/>
          <w:kern w:val="1"/>
          <w:lang w:eastAsia="ar-SA"/>
        </w:rPr>
        <w:t>, se publicó en el DOF e</w:t>
      </w:r>
      <w:r w:rsidR="009D222A" w:rsidRPr="00D93429">
        <w:rPr>
          <w:color w:val="000000"/>
          <w:kern w:val="1"/>
          <w:lang w:eastAsia="ar-SA"/>
        </w:rPr>
        <w:t>l Estatuto Orgánico del Instituto (Estatuto)</w:t>
      </w:r>
      <w:r w:rsidRPr="00D93429">
        <w:rPr>
          <w:color w:val="000000"/>
          <w:kern w:val="1"/>
          <w:lang w:eastAsia="ar-SA"/>
        </w:rPr>
        <w:t>, el cual se modificó el 17 de octubre del mismo año.</w:t>
      </w:r>
    </w:p>
    <w:p w14:paraId="70752AE7" w14:textId="77777777" w:rsidR="00C00897" w:rsidRPr="00D93429" w:rsidRDefault="00C00897" w:rsidP="00D93429">
      <w:pPr>
        <w:pStyle w:val="Prrafodelista"/>
        <w:suppressAutoHyphens/>
        <w:spacing w:after="0"/>
        <w:ind w:left="0"/>
        <w:jc w:val="both"/>
        <w:rPr>
          <w:color w:val="000000"/>
          <w:kern w:val="1"/>
          <w:lang w:eastAsia="ar-SA"/>
        </w:rPr>
      </w:pPr>
    </w:p>
    <w:p w14:paraId="2A3E8E7D" w14:textId="1625473B" w:rsidR="001705FF" w:rsidRPr="00D93429" w:rsidRDefault="00C00897" w:rsidP="00415B61">
      <w:pPr>
        <w:pStyle w:val="Prrafodelista"/>
        <w:numPr>
          <w:ilvl w:val="0"/>
          <w:numId w:val="8"/>
        </w:numPr>
        <w:tabs>
          <w:tab w:val="left" w:pos="284"/>
        </w:tabs>
        <w:suppressAutoHyphens/>
        <w:spacing w:after="0"/>
        <w:ind w:left="0" w:firstLine="0"/>
        <w:contextualSpacing w:val="0"/>
        <w:jc w:val="both"/>
        <w:rPr>
          <w:color w:val="000000"/>
          <w:kern w:val="1"/>
          <w:lang w:eastAsia="ar-SA"/>
        </w:rPr>
      </w:pPr>
      <w:r w:rsidRPr="00D93429">
        <w:rPr>
          <w:color w:val="000000"/>
          <w:kern w:val="1"/>
          <w:lang w:eastAsia="ar-SA"/>
        </w:rPr>
        <w:t>El 14 de julio de 2014, se publicó en el DOF el “</w:t>
      </w:r>
      <w:r w:rsidRPr="00D93429">
        <w:rPr>
          <w:i/>
          <w:color w:val="000000"/>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D93429">
        <w:rPr>
          <w:color w:val="000000"/>
          <w:kern w:val="1"/>
          <w:lang w:eastAsia="ar-SA"/>
        </w:rPr>
        <w:t xml:space="preserve">” (Decreto de Ley), mismo que de conformidad con el artículo PRIMERO </w:t>
      </w:r>
      <w:r w:rsidR="001705FF" w:rsidRPr="00D93429">
        <w:rPr>
          <w:color w:val="000000"/>
          <w:kern w:val="1"/>
          <w:lang w:eastAsia="ar-SA"/>
        </w:rPr>
        <w:t>T</w:t>
      </w:r>
      <w:r w:rsidRPr="00D93429">
        <w:rPr>
          <w:color w:val="000000"/>
          <w:kern w:val="1"/>
          <w:lang w:eastAsia="ar-SA"/>
        </w:rPr>
        <w:t>ransitorio, entró en vigor 30 días naturales siguientes a su publicación, es decir, el 13 de agosto de 2014</w:t>
      </w:r>
      <w:r w:rsidR="001705FF" w:rsidRPr="00D93429">
        <w:rPr>
          <w:color w:val="000000"/>
          <w:kern w:val="1"/>
          <w:lang w:eastAsia="ar-SA"/>
        </w:rPr>
        <w:t>, y</w:t>
      </w:r>
    </w:p>
    <w:p w14:paraId="170F783C" w14:textId="77777777" w:rsidR="009D222A" w:rsidRPr="00D93429" w:rsidRDefault="009D222A" w:rsidP="00D93429">
      <w:pPr>
        <w:pStyle w:val="Prrafodelista"/>
        <w:suppressAutoHyphens/>
        <w:spacing w:after="0"/>
        <w:ind w:left="0"/>
        <w:contextualSpacing w:val="0"/>
        <w:jc w:val="both"/>
        <w:rPr>
          <w:color w:val="000000"/>
          <w:kern w:val="1"/>
          <w:lang w:eastAsia="ar-SA"/>
        </w:rPr>
      </w:pPr>
    </w:p>
    <w:p w14:paraId="6CE48D59" w14:textId="10F72790" w:rsidR="009D222A" w:rsidRPr="00D93429" w:rsidRDefault="009D222A" w:rsidP="00415B61">
      <w:pPr>
        <w:pStyle w:val="Prrafodelista"/>
        <w:numPr>
          <w:ilvl w:val="0"/>
          <w:numId w:val="8"/>
        </w:numPr>
        <w:tabs>
          <w:tab w:val="left" w:pos="284"/>
        </w:tabs>
        <w:suppressAutoHyphens/>
        <w:spacing w:after="0"/>
        <w:ind w:left="0" w:firstLine="0"/>
        <w:contextualSpacing w:val="0"/>
        <w:jc w:val="both"/>
        <w:rPr>
          <w:color w:val="000000"/>
          <w:kern w:val="1"/>
          <w:lang w:eastAsia="ar-SA"/>
        </w:rPr>
      </w:pPr>
      <w:r w:rsidRPr="00D93429">
        <w:rPr>
          <w:color w:val="000000"/>
          <w:kern w:val="1"/>
          <w:lang w:eastAsia="ar-SA"/>
        </w:rPr>
        <w:t>El 3 de julio de 2015, la Unidad de Medios y Contenidos Audiovisuales del Instituto presentó al Pleno un anteproyecto de Lineamientos Generales sobre los Derechos de las Audiencias a fin de que éste se someta a consulta pública.</w:t>
      </w:r>
    </w:p>
    <w:p w14:paraId="054A7170" w14:textId="77777777" w:rsidR="00944C07" w:rsidRPr="00D93429" w:rsidRDefault="00944C07" w:rsidP="00D93429">
      <w:pPr>
        <w:autoSpaceDE w:val="0"/>
        <w:autoSpaceDN w:val="0"/>
        <w:adjustRightInd w:val="0"/>
        <w:spacing w:after="0"/>
        <w:jc w:val="center"/>
        <w:rPr>
          <w:rFonts w:ascii="ITC Avant Garde" w:eastAsia="Times New Roman" w:hAnsi="ITC Avant Garde"/>
          <w:kern w:val="1"/>
          <w:lang w:eastAsia="ar-SA"/>
        </w:rPr>
      </w:pPr>
    </w:p>
    <w:p w14:paraId="5B97EBEE" w14:textId="77777777" w:rsidR="00944C07" w:rsidRDefault="00944C07" w:rsidP="00D93429">
      <w:pPr>
        <w:autoSpaceDE w:val="0"/>
        <w:autoSpaceDN w:val="0"/>
        <w:adjustRightInd w:val="0"/>
        <w:spacing w:after="0"/>
        <w:jc w:val="center"/>
        <w:rPr>
          <w:rFonts w:ascii="ITC Avant Garde" w:eastAsia="Times New Roman" w:hAnsi="ITC Avant Garde"/>
          <w:kern w:val="1"/>
          <w:lang w:eastAsia="ar-SA"/>
        </w:rPr>
      </w:pPr>
    </w:p>
    <w:p w14:paraId="07526EC4" w14:textId="533DA79A" w:rsidR="00C00897" w:rsidRPr="00D93429" w:rsidRDefault="0043371A" w:rsidP="00D93429">
      <w:pPr>
        <w:autoSpaceDE w:val="0"/>
        <w:autoSpaceDN w:val="0"/>
        <w:adjustRightInd w:val="0"/>
        <w:spacing w:after="0"/>
        <w:jc w:val="center"/>
        <w:rPr>
          <w:rFonts w:ascii="ITC Avant Garde" w:eastAsia="Times New Roman" w:hAnsi="ITC Avant Garde"/>
          <w:b/>
          <w:kern w:val="1"/>
          <w:lang w:eastAsia="ar-SA"/>
        </w:rPr>
      </w:pPr>
      <w:r w:rsidRPr="00D93429">
        <w:rPr>
          <w:rFonts w:ascii="ITC Avant Garde" w:eastAsia="Times New Roman" w:hAnsi="ITC Avant Garde"/>
          <w:b/>
          <w:kern w:val="1"/>
          <w:lang w:eastAsia="ar-SA"/>
        </w:rPr>
        <w:lastRenderedPageBreak/>
        <w:t>CONSIDERANDO</w:t>
      </w:r>
    </w:p>
    <w:p w14:paraId="12A06F0B" w14:textId="77777777" w:rsidR="007628F7" w:rsidRPr="00D93429" w:rsidRDefault="007628F7" w:rsidP="00D93429">
      <w:pPr>
        <w:autoSpaceDE w:val="0"/>
        <w:autoSpaceDN w:val="0"/>
        <w:adjustRightInd w:val="0"/>
        <w:spacing w:after="0"/>
        <w:jc w:val="center"/>
        <w:rPr>
          <w:rFonts w:ascii="ITC Avant Garde" w:hAnsi="ITC Avant Garde" w:cs="TimesNewRomanPS-BoldMT"/>
          <w:b/>
          <w:bCs/>
          <w:color w:val="000000"/>
        </w:rPr>
      </w:pPr>
    </w:p>
    <w:p w14:paraId="6E42FFC5"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629FC8B0" w14:textId="77777777" w:rsidR="00C00897" w:rsidRPr="00D93429" w:rsidRDefault="00C00897" w:rsidP="00D93429">
      <w:pPr>
        <w:suppressAutoHyphens/>
        <w:spacing w:after="0"/>
        <w:ind w:right="-62"/>
        <w:jc w:val="both"/>
        <w:rPr>
          <w:rFonts w:ascii="ITC Avant Garde" w:eastAsia="Times New Roman" w:hAnsi="ITC Avant Garde"/>
          <w:kern w:val="1"/>
          <w:lang w:val="es-ES" w:eastAsia="ar-SA"/>
        </w:rPr>
      </w:pPr>
      <w:r w:rsidRPr="00D93429">
        <w:rPr>
          <w:rFonts w:ascii="ITC Avant Garde" w:eastAsia="Times New Roman" w:hAnsi="ITC Avant Garde"/>
          <w:b/>
          <w:kern w:val="1"/>
          <w:lang w:eastAsia="ar-SA"/>
        </w:rPr>
        <w:t>PRIMERO.-</w:t>
      </w:r>
      <w:r w:rsidRPr="00D93429">
        <w:rPr>
          <w:rFonts w:ascii="ITC Avant Garde" w:eastAsia="Times New Roman" w:hAnsi="ITC Avant Garde"/>
          <w:kern w:val="1"/>
          <w:lang w:eastAsia="ar-SA"/>
        </w:rPr>
        <w:t xml:space="preserve"> </w:t>
      </w:r>
      <w:r w:rsidRPr="00D93429">
        <w:rPr>
          <w:rFonts w:ascii="ITC Avant Garde" w:eastAsia="Times New Roman" w:hAnsi="ITC Avant Garde"/>
          <w:kern w:val="1"/>
          <w:lang w:val="es-ES" w:eastAsia="ar-SA"/>
        </w:rPr>
        <w:t xml:space="preserve">De conformidad con el artículo 28, párrafo décimo quinto </w:t>
      </w:r>
      <w:r w:rsidR="00CB6937" w:rsidRPr="00D93429">
        <w:rPr>
          <w:rFonts w:ascii="ITC Avant Garde" w:eastAsia="Times New Roman" w:hAnsi="ITC Avant Garde"/>
          <w:kern w:val="1"/>
          <w:lang w:val="es-ES" w:eastAsia="ar-SA"/>
        </w:rPr>
        <w:t xml:space="preserve">y décimo sexto </w:t>
      </w:r>
      <w:r w:rsidRPr="00D93429">
        <w:rPr>
          <w:rFonts w:ascii="ITC Avant Garde" w:eastAsia="Times New Roman" w:hAnsi="ITC Avant Garde"/>
          <w:kern w:val="1"/>
          <w:lang w:val="es-ES" w:eastAsia="ar-SA"/>
        </w:rPr>
        <w:t>de la Constitución</w:t>
      </w:r>
      <w:r w:rsidR="00CB6937" w:rsidRPr="00D93429">
        <w:rPr>
          <w:rFonts w:ascii="ITC Avant Garde" w:eastAsia="Times New Roman" w:hAnsi="ITC Avant Garde"/>
          <w:kern w:val="1"/>
          <w:lang w:val="es-ES" w:eastAsia="ar-SA"/>
        </w:rPr>
        <w:t xml:space="preserve"> Política de los Estados Unidos Mexicanos (Constitución)</w:t>
      </w:r>
      <w:r w:rsidRPr="00D93429">
        <w:rPr>
          <w:rFonts w:ascii="ITC Avant Garde" w:eastAsia="Times New Roman" w:hAnsi="ITC Avant Garde"/>
          <w:kern w:val="1"/>
          <w:lang w:val="es-ES" w:eastAsia="ar-SA"/>
        </w:rPr>
        <w:t xml:space="preserve">, el Instituto es un órgano autónomo con personalidad jurídica y patrimonio propio, que tiene por objeto el desarrollo eficiente de la radiodifusión y las telecomunicaciones, conforme a lo dispuesto en la propia Constitución y en los términos que fijen las leyes. </w:t>
      </w:r>
    </w:p>
    <w:p w14:paraId="26E2E500" w14:textId="77777777" w:rsidR="00C00897" w:rsidRPr="00D93429" w:rsidRDefault="00C00897" w:rsidP="00D93429">
      <w:pPr>
        <w:suppressAutoHyphens/>
        <w:spacing w:after="0"/>
        <w:ind w:right="-62"/>
        <w:jc w:val="both"/>
        <w:rPr>
          <w:rFonts w:ascii="ITC Avant Garde" w:eastAsia="Times New Roman" w:hAnsi="ITC Avant Garde"/>
          <w:kern w:val="1"/>
          <w:lang w:val="es-ES" w:eastAsia="ar-SA"/>
        </w:rPr>
      </w:pPr>
    </w:p>
    <w:p w14:paraId="697806DE" w14:textId="77777777" w:rsidR="00C00897" w:rsidRPr="00D93429" w:rsidRDefault="00C00897" w:rsidP="00D93429">
      <w:pPr>
        <w:suppressAutoHyphens/>
        <w:spacing w:after="0"/>
        <w:ind w:right="-62"/>
        <w:jc w:val="both"/>
        <w:rPr>
          <w:rFonts w:ascii="ITC Avant Garde" w:eastAsia="Times New Roman" w:hAnsi="ITC Avant Garde"/>
          <w:kern w:val="1"/>
          <w:lang w:val="es-ES" w:eastAsia="ar-SA"/>
        </w:rPr>
      </w:pPr>
      <w:r w:rsidRPr="00D93429">
        <w:rPr>
          <w:rFonts w:ascii="ITC Avant Garde" w:eastAsia="Times New Roman" w:hAnsi="ITC Avant Garde"/>
          <w:kern w:val="1"/>
          <w:lang w:val="es-ES" w:eastAsia="ar-SA"/>
        </w:rPr>
        <w:t xml:space="preserve">Para tal efecto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en términos del precepto </w:t>
      </w:r>
      <w:r w:rsidR="00CB6937" w:rsidRPr="00D93429">
        <w:rPr>
          <w:rFonts w:ascii="ITC Avant Garde" w:eastAsia="Times New Roman" w:hAnsi="ITC Avant Garde"/>
          <w:kern w:val="1"/>
          <w:lang w:val="es-ES" w:eastAsia="ar-SA"/>
        </w:rPr>
        <w:t xml:space="preserve">de la Constitución </w:t>
      </w:r>
      <w:r w:rsidRPr="00D93429">
        <w:rPr>
          <w:rFonts w:ascii="ITC Avant Garde" w:eastAsia="Times New Roman" w:hAnsi="ITC Avant Garde"/>
          <w:kern w:val="1"/>
          <w:lang w:val="es-ES" w:eastAsia="ar-SA"/>
        </w:rPr>
        <w:t>invocado</w:t>
      </w:r>
      <w:r w:rsidR="007D64E3" w:rsidRPr="00D93429">
        <w:rPr>
          <w:rFonts w:ascii="ITC Avant Garde" w:eastAsia="Times New Roman" w:hAnsi="ITC Avant Garde"/>
          <w:kern w:val="1"/>
          <w:lang w:val="es-ES" w:eastAsia="ar-SA"/>
        </w:rPr>
        <w:t>,</w:t>
      </w:r>
      <w:r w:rsidRPr="00D93429">
        <w:rPr>
          <w:rFonts w:ascii="ITC Avant Garde" w:eastAsia="Times New Roman" w:hAnsi="ITC Avant Garde"/>
          <w:kern w:val="1"/>
          <w:lang w:val="es-ES" w:eastAsia="ar-SA"/>
        </w:rPr>
        <w:t xml:space="preserve"> así como del artículo 7 de la Ley Federal de Telecomunicaciones y Radiodifusión (</w:t>
      </w:r>
      <w:r w:rsidR="00481711" w:rsidRPr="00D93429">
        <w:rPr>
          <w:rFonts w:ascii="ITC Avant Garde" w:eastAsia="Times New Roman" w:hAnsi="ITC Avant Garde"/>
          <w:kern w:val="1"/>
          <w:lang w:val="es-ES" w:eastAsia="ar-SA"/>
        </w:rPr>
        <w:t>Ley</w:t>
      </w:r>
      <w:r w:rsidRPr="00D93429">
        <w:rPr>
          <w:rFonts w:ascii="ITC Avant Garde" w:eastAsia="Times New Roman" w:hAnsi="ITC Avant Garde"/>
          <w:kern w:val="1"/>
          <w:lang w:val="es-ES" w:eastAsia="ar-SA"/>
        </w:rPr>
        <w:t>), garantizando lo establecido en los artículos 6° y 7° de la Constitución.</w:t>
      </w:r>
    </w:p>
    <w:p w14:paraId="3CAC52A2" w14:textId="77777777" w:rsidR="00C00897" w:rsidRPr="00D93429" w:rsidRDefault="00C00897" w:rsidP="00D93429">
      <w:pPr>
        <w:suppressAutoHyphens/>
        <w:spacing w:after="0"/>
        <w:ind w:right="-62"/>
        <w:jc w:val="both"/>
        <w:rPr>
          <w:rFonts w:ascii="ITC Avant Garde" w:eastAsia="Times New Roman" w:hAnsi="ITC Avant Garde"/>
          <w:kern w:val="1"/>
          <w:lang w:eastAsia="ar-SA"/>
        </w:rPr>
      </w:pPr>
    </w:p>
    <w:p w14:paraId="39EADE7A" w14:textId="37B1E878" w:rsidR="00C00897" w:rsidRPr="00D93429" w:rsidRDefault="00C00897" w:rsidP="00D93429">
      <w:pPr>
        <w:suppressAutoHyphens/>
        <w:spacing w:after="0"/>
        <w:ind w:right="-62"/>
        <w:jc w:val="both"/>
        <w:rPr>
          <w:rFonts w:ascii="ITC Avant Garde" w:eastAsia="Times New Roman" w:hAnsi="ITC Avant Garde"/>
          <w:kern w:val="1"/>
          <w:lang w:eastAsia="ar-SA"/>
        </w:rPr>
      </w:pPr>
      <w:r w:rsidRPr="00D93429">
        <w:rPr>
          <w:rFonts w:ascii="ITC Avant Garde" w:eastAsia="Times New Roman" w:hAnsi="ITC Avant Garde"/>
          <w:kern w:val="1"/>
          <w:lang w:eastAsia="ar-SA"/>
        </w:rPr>
        <w:t xml:space="preserve">Asimismo, </w:t>
      </w:r>
      <w:r w:rsidR="00CB2968" w:rsidRPr="00D93429">
        <w:rPr>
          <w:rFonts w:ascii="ITC Avant Garde" w:eastAsia="Times New Roman" w:hAnsi="ITC Avant Garde"/>
          <w:kern w:val="1"/>
          <w:lang w:eastAsia="ar-SA"/>
        </w:rPr>
        <w:t xml:space="preserve">el </w:t>
      </w:r>
      <w:r w:rsidR="00CB2968" w:rsidRPr="00D93429">
        <w:rPr>
          <w:rFonts w:ascii="ITC Avant Garde" w:eastAsia="Times New Roman" w:hAnsi="ITC Avant Garde"/>
          <w:kern w:val="1"/>
          <w:lang w:val="es-ES" w:eastAsia="ar-SA"/>
        </w:rPr>
        <w:t xml:space="preserve">artículo 28, párrafo décimo sexto establece que </w:t>
      </w:r>
      <w:r w:rsidRPr="00D93429">
        <w:rPr>
          <w:rFonts w:ascii="ITC Avant Garde" w:eastAsia="Times New Roman" w:hAnsi="ITC Avant Garde"/>
          <w:kern w:val="1"/>
          <w:lang w:eastAsia="ar-SA"/>
        </w:rPr>
        <w:t xml:space="preserve">el Instituto es también la autoridad en materia de competencia económica de los sectores de radiodifusión y telecomunicaciones, por lo que en éstos ejercerá en forma exclusiva las facultades del artículo 28 de la Constitución, la </w:t>
      </w:r>
      <w:r w:rsidR="00481711" w:rsidRPr="00D93429">
        <w:rPr>
          <w:rFonts w:ascii="ITC Avant Garde" w:eastAsia="Times New Roman" w:hAnsi="ITC Avant Garde"/>
          <w:kern w:val="1"/>
          <w:lang w:eastAsia="ar-SA"/>
        </w:rPr>
        <w:t>Ley</w:t>
      </w:r>
      <w:r w:rsidRPr="00D93429">
        <w:rPr>
          <w:rFonts w:ascii="ITC Avant Garde" w:eastAsia="Times New Roman" w:hAnsi="ITC Avant Garde"/>
          <w:kern w:val="1"/>
          <w:lang w:eastAsia="ar-SA"/>
        </w:rPr>
        <w:t xml:space="preserve"> y la Ley Federal de Competencia Económica.</w:t>
      </w:r>
    </w:p>
    <w:p w14:paraId="0265CF0F" w14:textId="77777777" w:rsidR="00C00897" w:rsidRPr="00D93429" w:rsidRDefault="00C00897" w:rsidP="00D93429">
      <w:pPr>
        <w:suppressAutoHyphens/>
        <w:spacing w:after="0"/>
        <w:ind w:right="-62"/>
        <w:jc w:val="both"/>
        <w:rPr>
          <w:rFonts w:ascii="ITC Avant Garde" w:eastAsia="Times New Roman" w:hAnsi="ITC Avant Garde"/>
          <w:kern w:val="1"/>
          <w:lang w:eastAsia="ar-SA"/>
        </w:rPr>
      </w:pPr>
    </w:p>
    <w:p w14:paraId="16C512AC" w14:textId="3F301F3B" w:rsidR="00C00897" w:rsidRPr="00D93429" w:rsidRDefault="00C00897" w:rsidP="00D93429">
      <w:pPr>
        <w:suppressAutoHyphens/>
        <w:spacing w:after="0"/>
        <w:ind w:right="-62"/>
        <w:jc w:val="both"/>
        <w:rPr>
          <w:rFonts w:ascii="ITC Avant Garde" w:eastAsia="Times New Roman" w:hAnsi="ITC Avant Garde"/>
          <w:kern w:val="1"/>
          <w:lang w:eastAsia="ar-SA"/>
        </w:rPr>
      </w:pPr>
      <w:r w:rsidRPr="00D93429">
        <w:rPr>
          <w:rFonts w:ascii="ITC Avant Garde" w:eastAsia="Times New Roman" w:hAnsi="ITC Avant Garde"/>
          <w:kern w:val="1"/>
          <w:lang w:eastAsia="ar-SA"/>
        </w:rPr>
        <w:t xml:space="preserve">Los artículos 15, fracción I </w:t>
      </w:r>
      <w:r w:rsidR="00CB2968" w:rsidRPr="00D93429">
        <w:rPr>
          <w:rFonts w:ascii="ITC Avant Garde" w:eastAsia="Times New Roman" w:hAnsi="ITC Avant Garde"/>
          <w:kern w:val="1"/>
          <w:lang w:eastAsia="ar-SA"/>
        </w:rPr>
        <w:t xml:space="preserve">y XL </w:t>
      </w:r>
      <w:r w:rsidRPr="00D93429">
        <w:rPr>
          <w:rFonts w:ascii="ITC Avant Garde" w:eastAsia="Times New Roman" w:hAnsi="ITC Avant Garde"/>
          <w:kern w:val="1"/>
          <w:lang w:eastAsia="ar-SA"/>
        </w:rPr>
        <w:t xml:space="preserve">y 51 de la </w:t>
      </w:r>
      <w:r w:rsidR="00481711" w:rsidRPr="00D93429">
        <w:rPr>
          <w:rFonts w:ascii="ITC Avant Garde" w:eastAsia="Times New Roman" w:hAnsi="ITC Avant Garde"/>
          <w:kern w:val="1"/>
          <w:lang w:eastAsia="ar-SA"/>
        </w:rPr>
        <w:t>Ley</w:t>
      </w:r>
      <w:r w:rsidRPr="00D93429">
        <w:rPr>
          <w:rFonts w:ascii="ITC Avant Garde" w:eastAsia="Times New Roman" w:hAnsi="ITC Avant Garde"/>
          <w:kern w:val="1"/>
          <w:lang w:eastAsia="ar-SA"/>
        </w:rPr>
        <w:t xml:space="preserve"> señalan, respectivamente, que el Instituto podrá expedir </w:t>
      </w:r>
      <w:r w:rsidRPr="00D93429">
        <w:rPr>
          <w:rFonts w:ascii="ITC Avant Garde" w:hAnsi="ITC Avant Garde"/>
        </w:rPr>
        <w:t xml:space="preserve">lineamientos en materia de telecomunicaciones y radiodifusión y que </w:t>
      </w:r>
      <w:r w:rsidRPr="00D93429">
        <w:rPr>
          <w:rFonts w:ascii="ITC Avant Garde" w:eastAsia="Times New Roman" w:hAnsi="ITC Avant Garde"/>
          <w:kern w:val="1"/>
          <w:lang w:eastAsia="ar-SA"/>
        </w:rPr>
        <w:t>para ello deberá realizar consultas públicas bajo los principios de transparencia y participación ciudadana.</w:t>
      </w:r>
    </w:p>
    <w:p w14:paraId="216A0803" w14:textId="77777777" w:rsidR="00C00897" w:rsidRPr="00D93429" w:rsidRDefault="00C00897" w:rsidP="00D93429">
      <w:pPr>
        <w:spacing w:after="0"/>
        <w:jc w:val="both"/>
        <w:rPr>
          <w:rFonts w:ascii="ITC Avant Garde" w:hAnsi="ITC Avant Garde"/>
        </w:rPr>
      </w:pPr>
    </w:p>
    <w:p w14:paraId="7BC2160E" w14:textId="54165AD6" w:rsidR="00C00897" w:rsidRPr="00D93429" w:rsidRDefault="00C00897" w:rsidP="00D93429">
      <w:pPr>
        <w:spacing w:after="0"/>
        <w:jc w:val="both"/>
        <w:rPr>
          <w:rFonts w:ascii="ITC Avant Garde" w:hAnsi="ITC Avant Garde"/>
        </w:rPr>
      </w:pPr>
      <w:r w:rsidRPr="00D93429">
        <w:rPr>
          <w:rFonts w:ascii="ITC Avant Garde" w:eastAsia="Times New Roman" w:hAnsi="ITC Avant Garde"/>
          <w:kern w:val="1"/>
          <w:lang w:eastAsia="ar-SA"/>
        </w:rPr>
        <w:t xml:space="preserve">Por lo anterior y con fundamento en los artículos 6º y 28, párrafo décimo quinto de la Constitución Política de los Estados Unidos Mexicanos; </w:t>
      </w:r>
      <w:r w:rsidRPr="00D93429">
        <w:rPr>
          <w:rFonts w:ascii="ITC Avant Garde" w:eastAsia="Times New Roman" w:hAnsi="ITC Avant Garde"/>
          <w:kern w:val="2"/>
          <w:lang w:val="es-ES" w:eastAsia="ar-SA"/>
        </w:rPr>
        <w:t>1, 2, 7, 15</w:t>
      </w:r>
      <w:r w:rsidR="00CB2968" w:rsidRPr="00D93429">
        <w:rPr>
          <w:rFonts w:ascii="ITC Avant Garde" w:eastAsia="Times New Roman" w:hAnsi="ITC Avant Garde"/>
          <w:kern w:val="2"/>
          <w:lang w:val="es-ES" w:eastAsia="ar-SA"/>
        </w:rPr>
        <w:t>,</w:t>
      </w:r>
      <w:r w:rsidRPr="00D93429">
        <w:rPr>
          <w:rFonts w:ascii="ITC Avant Garde" w:eastAsia="Times New Roman" w:hAnsi="ITC Avant Garde"/>
          <w:kern w:val="2"/>
          <w:lang w:val="es-ES" w:eastAsia="ar-SA"/>
        </w:rPr>
        <w:t xml:space="preserve"> fracción I y LVI, 17 f</w:t>
      </w:r>
      <w:r w:rsidR="00CB2968" w:rsidRPr="00D93429">
        <w:rPr>
          <w:rFonts w:ascii="ITC Avant Garde" w:eastAsia="Times New Roman" w:hAnsi="ITC Avant Garde"/>
          <w:kern w:val="2"/>
          <w:lang w:val="es-ES" w:eastAsia="ar-SA"/>
        </w:rPr>
        <w:t>r</w:t>
      </w:r>
      <w:r w:rsidRPr="00D93429">
        <w:rPr>
          <w:rFonts w:ascii="ITC Avant Garde" w:eastAsia="Times New Roman" w:hAnsi="ITC Avant Garde"/>
          <w:kern w:val="2"/>
          <w:lang w:val="es-ES" w:eastAsia="ar-SA"/>
        </w:rPr>
        <w:t>acci</w:t>
      </w:r>
      <w:r w:rsidR="00CB2968" w:rsidRPr="00D93429">
        <w:rPr>
          <w:rFonts w:ascii="ITC Avant Garde" w:eastAsia="Times New Roman" w:hAnsi="ITC Avant Garde"/>
          <w:kern w:val="2"/>
          <w:lang w:val="es-ES" w:eastAsia="ar-SA"/>
        </w:rPr>
        <w:t>ón</w:t>
      </w:r>
      <w:r w:rsidRPr="00D93429">
        <w:rPr>
          <w:rFonts w:ascii="ITC Avant Garde" w:eastAsia="Times New Roman" w:hAnsi="ITC Avant Garde"/>
          <w:kern w:val="2"/>
          <w:lang w:val="es-ES" w:eastAsia="ar-SA"/>
        </w:rPr>
        <w:t xml:space="preserve"> I y 51 de la Ley Federal de Telecomunicaciones y Radiodifusión</w:t>
      </w:r>
      <w:r w:rsidRPr="00D93429">
        <w:rPr>
          <w:rFonts w:ascii="ITC Avant Garde" w:hAnsi="ITC Avant Garde"/>
        </w:rPr>
        <w:t xml:space="preserve"> y </w:t>
      </w:r>
      <w:r w:rsidRPr="00D93429">
        <w:rPr>
          <w:rFonts w:ascii="ITC Avant Garde" w:eastAsia="Times New Roman" w:hAnsi="ITC Avant Garde"/>
          <w:kern w:val="1"/>
          <w:lang w:eastAsia="ar-SA"/>
        </w:rPr>
        <w:t>1, 4</w:t>
      </w:r>
      <w:r w:rsidR="00CB2968" w:rsidRPr="00D93429">
        <w:rPr>
          <w:rFonts w:ascii="ITC Avant Garde" w:eastAsia="Times New Roman" w:hAnsi="ITC Avant Garde"/>
          <w:kern w:val="1"/>
          <w:lang w:eastAsia="ar-SA"/>
        </w:rPr>
        <w:t>,</w:t>
      </w:r>
      <w:r w:rsidRPr="00D93429">
        <w:rPr>
          <w:rFonts w:ascii="ITC Avant Garde" w:eastAsia="Times New Roman" w:hAnsi="ITC Avant Garde"/>
          <w:kern w:val="1"/>
          <w:lang w:eastAsia="ar-SA"/>
        </w:rPr>
        <w:t xml:space="preserve"> fracción I y 6</w:t>
      </w:r>
      <w:r w:rsidR="00CB2968" w:rsidRPr="00D93429">
        <w:rPr>
          <w:rFonts w:ascii="ITC Avant Garde" w:eastAsia="Times New Roman" w:hAnsi="ITC Avant Garde"/>
          <w:kern w:val="1"/>
          <w:lang w:eastAsia="ar-SA"/>
        </w:rPr>
        <w:t>,</w:t>
      </w:r>
      <w:r w:rsidRPr="00D93429">
        <w:rPr>
          <w:rFonts w:ascii="ITC Avant Garde" w:eastAsia="Times New Roman" w:hAnsi="ITC Avant Garde"/>
          <w:kern w:val="1"/>
          <w:lang w:eastAsia="ar-SA"/>
        </w:rPr>
        <w:t xml:space="preserve"> fracci</w:t>
      </w:r>
      <w:r w:rsidR="00CB2968" w:rsidRPr="00D93429">
        <w:rPr>
          <w:rFonts w:ascii="ITC Avant Garde" w:eastAsia="Times New Roman" w:hAnsi="ITC Avant Garde"/>
          <w:kern w:val="1"/>
          <w:lang w:eastAsia="ar-SA"/>
        </w:rPr>
        <w:t>o</w:t>
      </w:r>
      <w:r w:rsidRPr="00D93429">
        <w:rPr>
          <w:rFonts w:ascii="ITC Avant Garde" w:eastAsia="Times New Roman" w:hAnsi="ITC Avant Garde"/>
          <w:kern w:val="1"/>
          <w:lang w:eastAsia="ar-SA"/>
        </w:rPr>
        <w:t>n</w:t>
      </w:r>
      <w:r w:rsidR="00CB2968" w:rsidRPr="00D93429">
        <w:rPr>
          <w:rFonts w:ascii="ITC Avant Garde" w:eastAsia="Times New Roman" w:hAnsi="ITC Avant Garde"/>
          <w:kern w:val="1"/>
          <w:lang w:eastAsia="ar-SA"/>
        </w:rPr>
        <w:t>es</w:t>
      </w:r>
      <w:r w:rsidRPr="00D93429">
        <w:rPr>
          <w:rFonts w:ascii="ITC Avant Garde" w:eastAsia="Times New Roman" w:hAnsi="ITC Avant Garde"/>
          <w:kern w:val="1"/>
          <w:lang w:eastAsia="ar-SA"/>
        </w:rPr>
        <w:t xml:space="preserve"> I</w:t>
      </w:r>
      <w:r w:rsidRPr="00D93429">
        <w:rPr>
          <w:rFonts w:ascii="ITC Avant Garde" w:hAnsi="ITC Avant Garde"/>
        </w:rPr>
        <w:t xml:space="preserve"> </w:t>
      </w:r>
      <w:r w:rsidR="00CB2968" w:rsidRPr="00D93429">
        <w:rPr>
          <w:rFonts w:ascii="ITC Avant Garde" w:hAnsi="ITC Avant Garde"/>
        </w:rPr>
        <w:t xml:space="preserve">y XXXVII </w:t>
      </w:r>
      <w:r w:rsidRPr="00D93429">
        <w:rPr>
          <w:rFonts w:ascii="ITC Avant Garde" w:hAnsi="ITC Avant Garde"/>
        </w:rPr>
        <w:t>del Estatuto Orgánico del Instituto Federal de Telecomunicaciones</w:t>
      </w:r>
      <w:r w:rsidRPr="00D93429">
        <w:rPr>
          <w:rFonts w:ascii="ITC Avant Garde" w:eastAsia="Times New Roman" w:hAnsi="ITC Avant Garde"/>
          <w:kern w:val="1"/>
          <w:lang w:eastAsia="ar-SA"/>
        </w:rPr>
        <w:t>, el Pleno del Instituto es competente para emitir el presente Acuerdo.</w:t>
      </w:r>
    </w:p>
    <w:p w14:paraId="73CE8B9E" w14:textId="77777777" w:rsidR="007628F7" w:rsidRPr="00D93429" w:rsidRDefault="007628F7" w:rsidP="00D93429">
      <w:pPr>
        <w:autoSpaceDE w:val="0"/>
        <w:autoSpaceDN w:val="0"/>
        <w:adjustRightInd w:val="0"/>
        <w:spacing w:after="0"/>
        <w:jc w:val="both"/>
        <w:rPr>
          <w:rFonts w:ascii="ITC Avant Garde" w:eastAsia="Times New Roman" w:hAnsi="ITC Avant Garde"/>
          <w:kern w:val="1"/>
          <w:lang w:eastAsia="ar-SA"/>
        </w:rPr>
      </w:pPr>
    </w:p>
    <w:p w14:paraId="1C1EF43C" w14:textId="48506589" w:rsidR="005E1306" w:rsidRPr="00D93429" w:rsidRDefault="00C00897" w:rsidP="00D93429">
      <w:pPr>
        <w:pStyle w:val="Default"/>
        <w:spacing w:line="276" w:lineRule="auto"/>
        <w:jc w:val="both"/>
        <w:rPr>
          <w:rFonts w:ascii="ITC Avant Garde" w:hAnsi="ITC Avant Garde"/>
          <w:sz w:val="22"/>
          <w:szCs w:val="22"/>
        </w:rPr>
      </w:pPr>
      <w:r w:rsidRPr="00D93429">
        <w:rPr>
          <w:rFonts w:ascii="ITC Avant Garde" w:hAnsi="ITC Avant Garde"/>
          <w:b/>
          <w:sz w:val="22"/>
          <w:szCs w:val="22"/>
        </w:rPr>
        <w:lastRenderedPageBreak/>
        <w:t>SEGUNDO.-</w:t>
      </w:r>
      <w:r w:rsidR="005E1306" w:rsidRPr="00D93429">
        <w:rPr>
          <w:rFonts w:ascii="ITC Avant Garde" w:hAnsi="ITC Avant Garde"/>
          <w:sz w:val="22"/>
          <w:szCs w:val="22"/>
        </w:rPr>
        <w:t xml:space="preserve"> Los artículos 15, fracción LIX y 216, fracción II de la</w:t>
      </w:r>
      <w:r w:rsidRPr="00D93429">
        <w:rPr>
          <w:rFonts w:ascii="ITC Avant Garde" w:hAnsi="ITC Avant Garde"/>
          <w:sz w:val="22"/>
          <w:szCs w:val="22"/>
        </w:rPr>
        <w:t xml:space="preserve"> </w:t>
      </w:r>
      <w:r w:rsidR="00481711" w:rsidRPr="00D93429">
        <w:rPr>
          <w:rFonts w:ascii="ITC Avant Garde" w:hAnsi="ITC Avant Garde"/>
          <w:sz w:val="22"/>
          <w:szCs w:val="22"/>
        </w:rPr>
        <w:t>Ley</w:t>
      </w:r>
      <w:r w:rsidRPr="00D93429">
        <w:rPr>
          <w:rFonts w:ascii="ITC Avant Garde" w:hAnsi="ITC Avant Garde"/>
          <w:sz w:val="22"/>
          <w:szCs w:val="22"/>
        </w:rPr>
        <w:t xml:space="preserve"> </w:t>
      </w:r>
      <w:r w:rsidR="005E1306" w:rsidRPr="00D93429">
        <w:rPr>
          <w:rFonts w:ascii="ITC Avant Garde" w:hAnsi="ITC Avant Garde"/>
          <w:sz w:val="22"/>
          <w:szCs w:val="22"/>
        </w:rPr>
        <w:t xml:space="preserve">otorgan al Instituto la atribución de vigilar y sancionar las obligaciones en materia de defensa de las audiencias, asimismo, el Instituto, para el ejercicio de sus funciones, tiene atribuciones para </w:t>
      </w:r>
      <w:r w:rsidR="005E1306" w:rsidRPr="00D93429">
        <w:rPr>
          <w:rFonts w:ascii="ITC Avant Garde" w:eastAsia="Times New Roman" w:hAnsi="ITC Avant Garde" w:cs="Arial"/>
          <w:sz w:val="22"/>
          <w:szCs w:val="22"/>
        </w:rPr>
        <w:t>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esta Ley</w:t>
      </w:r>
      <w:r w:rsidR="005E1306" w:rsidRPr="00D93429">
        <w:rPr>
          <w:rFonts w:ascii="ITC Avant Garde" w:hAnsi="ITC Avant Garde"/>
          <w:sz w:val="22"/>
          <w:szCs w:val="22"/>
        </w:rPr>
        <w:t xml:space="preserve"> en términos del diverso artículo 15, fracción I de la Ley</w:t>
      </w:r>
      <w:r w:rsidR="003430C2" w:rsidRPr="00D93429">
        <w:rPr>
          <w:rFonts w:ascii="ITC Avant Garde" w:hAnsi="ITC Avant Garde"/>
          <w:sz w:val="22"/>
          <w:szCs w:val="22"/>
        </w:rPr>
        <w:t>.</w:t>
      </w:r>
    </w:p>
    <w:p w14:paraId="7887FE31" w14:textId="77777777" w:rsidR="005E1306" w:rsidRPr="00D93429" w:rsidRDefault="005E1306" w:rsidP="00D93429">
      <w:pPr>
        <w:pStyle w:val="Default"/>
        <w:spacing w:line="276" w:lineRule="auto"/>
        <w:jc w:val="both"/>
        <w:rPr>
          <w:rFonts w:ascii="ITC Avant Garde" w:hAnsi="ITC Avant Garde"/>
          <w:sz w:val="22"/>
          <w:szCs w:val="22"/>
        </w:rPr>
      </w:pPr>
    </w:p>
    <w:p w14:paraId="01A0DE79" w14:textId="2F2A5217" w:rsidR="005E1306" w:rsidRPr="00D93429" w:rsidRDefault="005E1306" w:rsidP="00D93429">
      <w:pPr>
        <w:pStyle w:val="Default"/>
        <w:spacing w:line="276" w:lineRule="auto"/>
        <w:jc w:val="both"/>
        <w:rPr>
          <w:rFonts w:ascii="ITC Avant Garde" w:hAnsi="ITC Avant Garde"/>
          <w:sz w:val="22"/>
          <w:szCs w:val="22"/>
        </w:rPr>
      </w:pPr>
      <w:r w:rsidRPr="00D93429">
        <w:rPr>
          <w:rFonts w:ascii="ITC Avant Garde" w:hAnsi="ITC Avant Garde"/>
          <w:sz w:val="22"/>
          <w:szCs w:val="22"/>
        </w:rPr>
        <w:t xml:space="preserve">Por su parte, el </w:t>
      </w:r>
      <w:r w:rsidR="0016727C" w:rsidRPr="00D93429">
        <w:rPr>
          <w:rFonts w:ascii="ITC Avant Garde" w:hAnsi="ITC Avant Garde"/>
          <w:sz w:val="22"/>
          <w:szCs w:val="22"/>
        </w:rPr>
        <w:t xml:space="preserve">artículo 256, párrafo segundo de la Ley </w:t>
      </w:r>
      <w:r w:rsidR="00427CEC" w:rsidRPr="00D93429">
        <w:rPr>
          <w:rFonts w:ascii="ITC Avant Garde" w:hAnsi="ITC Avant Garde"/>
          <w:sz w:val="22"/>
          <w:szCs w:val="22"/>
        </w:rPr>
        <w:t xml:space="preserve">ordena </w:t>
      </w:r>
      <w:r w:rsidRPr="00D93429">
        <w:rPr>
          <w:rFonts w:ascii="ITC Avant Garde" w:hAnsi="ITC Avant Garde"/>
          <w:sz w:val="22"/>
          <w:szCs w:val="22"/>
        </w:rPr>
        <w:t xml:space="preserve">expresamente </w:t>
      </w:r>
      <w:r w:rsidR="0016727C" w:rsidRPr="00D93429">
        <w:rPr>
          <w:rFonts w:ascii="ITC Avant Garde" w:hAnsi="ITC Avant Garde"/>
          <w:sz w:val="22"/>
          <w:szCs w:val="22"/>
        </w:rPr>
        <w:t xml:space="preserve">al Instituto a emitir lineamientos a los que se deberán ajustar los códigos de ética que expidan los concesionarios de radiodifusión o de televisión </w:t>
      </w:r>
      <w:r w:rsidR="003430C2" w:rsidRPr="00D93429">
        <w:rPr>
          <w:rFonts w:ascii="ITC Avant Garde" w:hAnsi="ITC Avant Garde"/>
          <w:sz w:val="22"/>
          <w:szCs w:val="22"/>
        </w:rPr>
        <w:t>y/</w:t>
      </w:r>
      <w:r w:rsidR="0016727C" w:rsidRPr="00D93429">
        <w:rPr>
          <w:rFonts w:ascii="ITC Avant Garde" w:hAnsi="ITC Avant Garde"/>
          <w:sz w:val="22"/>
          <w:szCs w:val="22"/>
        </w:rPr>
        <w:t xml:space="preserve">o audio restringidos. </w:t>
      </w:r>
    </w:p>
    <w:p w14:paraId="6C22AB04" w14:textId="4D4EED64" w:rsidR="0016727C" w:rsidRPr="00D93429" w:rsidRDefault="0016727C" w:rsidP="00D93429">
      <w:pPr>
        <w:pStyle w:val="Default"/>
        <w:spacing w:line="276" w:lineRule="auto"/>
        <w:jc w:val="both"/>
        <w:rPr>
          <w:rFonts w:ascii="ITC Avant Garde" w:hAnsi="ITC Avant Garde"/>
          <w:sz w:val="22"/>
          <w:szCs w:val="22"/>
        </w:rPr>
      </w:pPr>
      <w:r w:rsidRPr="00D93429">
        <w:rPr>
          <w:rFonts w:ascii="ITC Avant Garde" w:hAnsi="ITC Avant Garde"/>
          <w:sz w:val="22"/>
          <w:szCs w:val="22"/>
        </w:rPr>
        <w:t xml:space="preserve">Asimismo, el artículo 259, párrafo segundo de la Ley obliga al Instituto a emitir lineamientos de carácter general que establezcan las obligaciones mínimas que tendrán los defensores de las audiencias para la adecuada protección de </w:t>
      </w:r>
      <w:r w:rsidR="005E1306" w:rsidRPr="00D93429">
        <w:rPr>
          <w:rFonts w:ascii="ITC Avant Garde" w:hAnsi="ITC Avant Garde"/>
          <w:sz w:val="22"/>
          <w:szCs w:val="22"/>
        </w:rPr>
        <w:t>los</w:t>
      </w:r>
      <w:r w:rsidRPr="00D93429">
        <w:rPr>
          <w:rFonts w:ascii="ITC Avant Garde" w:hAnsi="ITC Avant Garde"/>
          <w:sz w:val="22"/>
          <w:szCs w:val="22"/>
        </w:rPr>
        <w:t xml:space="preserve"> derechos</w:t>
      </w:r>
      <w:r w:rsidR="005E1306" w:rsidRPr="00D93429">
        <w:rPr>
          <w:rFonts w:ascii="ITC Avant Garde" w:hAnsi="ITC Avant Garde"/>
          <w:sz w:val="22"/>
          <w:szCs w:val="22"/>
        </w:rPr>
        <w:t xml:space="preserve"> de </w:t>
      </w:r>
      <w:r w:rsidR="003430C2" w:rsidRPr="00D93429">
        <w:rPr>
          <w:rFonts w:ascii="ITC Avant Garde" w:hAnsi="ITC Avant Garde"/>
          <w:sz w:val="22"/>
          <w:szCs w:val="22"/>
        </w:rPr>
        <w:t>las audiencias</w:t>
      </w:r>
      <w:r w:rsidRPr="00D93429">
        <w:rPr>
          <w:rFonts w:ascii="ITC Avant Garde" w:hAnsi="ITC Avant Garde"/>
          <w:sz w:val="22"/>
          <w:szCs w:val="22"/>
        </w:rPr>
        <w:t>.</w:t>
      </w:r>
    </w:p>
    <w:p w14:paraId="0907A8ED" w14:textId="77777777" w:rsidR="0016727C" w:rsidRPr="00D93429" w:rsidRDefault="0016727C" w:rsidP="00D93429">
      <w:pPr>
        <w:pStyle w:val="Default"/>
        <w:spacing w:line="276" w:lineRule="auto"/>
        <w:rPr>
          <w:rFonts w:ascii="ITC Avant Garde" w:hAnsi="ITC Avant Garde"/>
          <w:sz w:val="22"/>
          <w:szCs w:val="22"/>
        </w:rPr>
      </w:pPr>
    </w:p>
    <w:p w14:paraId="19F81047" w14:textId="77777777" w:rsidR="005963A3" w:rsidRPr="00D93429" w:rsidRDefault="005963A3" w:rsidP="00D93429">
      <w:pPr>
        <w:pStyle w:val="Default"/>
        <w:spacing w:line="276" w:lineRule="auto"/>
        <w:jc w:val="both"/>
        <w:rPr>
          <w:rFonts w:ascii="ITC Avant Garde" w:hAnsi="ITC Avant Garde"/>
          <w:sz w:val="22"/>
          <w:szCs w:val="22"/>
        </w:rPr>
      </w:pPr>
      <w:r w:rsidRPr="00D93429">
        <w:rPr>
          <w:rFonts w:ascii="ITC Avant Garde" w:hAnsi="ITC Avant Garde"/>
          <w:sz w:val="22"/>
          <w:szCs w:val="22"/>
        </w:rPr>
        <w:t>En virtud de lo anterior, se considera necesaria la emisión de una disposición general en la cual se establezcan claramente dichas obligaciones y los parámetros mínimos que habrán de contener los códigos de ética, se desarrollen los procedimientos, principios, criterios y mecanismos bajo los cuales el Instituto habrá de ejercer su mandato constitucional y legal de tutelar y proteger, dentro de su ámbito de competencia, los derechos de las audiencias en general así como, en particular, de las audiencias infantiles y con discapacidad, incluyendo la vigilancia e imposición de sanciones por infracciones en dicha materia</w:t>
      </w:r>
      <w:r w:rsidRPr="00D93429">
        <w:rPr>
          <w:rFonts w:ascii="ITC Avant Garde" w:hAnsi="ITC Avant Garde"/>
          <w:sz w:val="22"/>
          <w:szCs w:val="22"/>
          <w:lang w:val="es-ES_tradnl"/>
        </w:rPr>
        <w:t>.</w:t>
      </w:r>
    </w:p>
    <w:p w14:paraId="360C9A51" w14:textId="75AD741F" w:rsidR="00C00897" w:rsidRPr="00D93429" w:rsidRDefault="00C00897" w:rsidP="00D93429">
      <w:pPr>
        <w:pStyle w:val="Default"/>
        <w:spacing w:line="276" w:lineRule="auto"/>
        <w:jc w:val="both"/>
        <w:rPr>
          <w:rFonts w:ascii="ITC Avant Garde" w:hAnsi="ITC Avant Garde"/>
          <w:sz w:val="22"/>
          <w:szCs w:val="22"/>
        </w:rPr>
      </w:pPr>
    </w:p>
    <w:p w14:paraId="111B0CF6" w14:textId="77777777" w:rsidR="005963A3" w:rsidRPr="00D93429" w:rsidRDefault="005963A3" w:rsidP="00D93429">
      <w:pPr>
        <w:pStyle w:val="Default"/>
        <w:spacing w:line="276" w:lineRule="auto"/>
        <w:jc w:val="both"/>
        <w:rPr>
          <w:rFonts w:ascii="ITC Avant Garde" w:hAnsi="ITC Avant Garde"/>
          <w:sz w:val="22"/>
          <w:szCs w:val="22"/>
        </w:rPr>
      </w:pPr>
      <w:r w:rsidRPr="00D93429">
        <w:rPr>
          <w:rFonts w:ascii="ITC Avant Garde" w:hAnsi="ITC Avant Garde"/>
          <w:sz w:val="22"/>
          <w:szCs w:val="22"/>
        </w:rPr>
        <w:t>Consecuentemente, dado que al Instituto le compete garantizar en el ámbito de su competencia, de conformidad con el artículo 28 constitucional, los derechos humanos insertos en los artículos 6º y 7º de la Constitución, es menester expedir un marco regulatorio que dote de eficacia, certidumbre y exigibilidad a las obligaciones de defensores y concesionarios en relación con los derechos de las audiencias, y que igualmente respete la libertad de expresión de los concesionarios, todo ello, cumpliendo con el deber de someterlo a consulta pública previsto en la Ley.</w:t>
      </w:r>
    </w:p>
    <w:p w14:paraId="32353661" w14:textId="45BCDEDE" w:rsidR="00906CDE" w:rsidRPr="00D93429" w:rsidRDefault="00906CDE" w:rsidP="00D93429">
      <w:pPr>
        <w:pStyle w:val="Default"/>
        <w:spacing w:line="276" w:lineRule="auto"/>
        <w:jc w:val="both"/>
        <w:rPr>
          <w:rFonts w:ascii="ITC Avant Garde" w:hAnsi="ITC Avant Garde"/>
          <w:sz w:val="22"/>
          <w:szCs w:val="22"/>
        </w:rPr>
      </w:pPr>
    </w:p>
    <w:p w14:paraId="1B60CFA6" w14:textId="77777777" w:rsidR="005963A3" w:rsidRPr="00D93429" w:rsidRDefault="005963A3" w:rsidP="00D93429">
      <w:pPr>
        <w:pStyle w:val="Default"/>
        <w:spacing w:line="276" w:lineRule="auto"/>
        <w:jc w:val="both"/>
        <w:rPr>
          <w:rFonts w:ascii="ITC Avant Garde" w:hAnsi="ITC Avant Garde"/>
          <w:sz w:val="22"/>
          <w:szCs w:val="22"/>
        </w:rPr>
      </w:pPr>
      <w:r w:rsidRPr="00D93429">
        <w:rPr>
          <w:rFonts w:ascii="ITC Avant Garde" w:hAnsi="ITC Avant Garde"/>
          <w:sz w:val="22"/>
          <w:szCs w:val="22"/>
        </w:rPr>
        <w:lastRenderedPageBreak/>
        <w:t>Por lo expuesto y con fundamento en el artículo 15, fracción I, de la Ley, relativo a la facultad del Instituto de expedir lineamientos en materia de telecomunicaciones y radiodifusión, el Instituto considera necesaria la emisión de los Lineamientos Generales sobre los Derechos de las Audiencias y por tanto someter a consulta pública el anteproyecto elaborado por la Unidad de Medios y Contenidos Audiovisuales.</w:t>
      </w:r>
      <w:r w:rsidRPr="00D93429" w:rsidDel="004F7D05">
        <w:rPr>
          <w:rFonts w:ascii="ITC Avant Garde" w:hAnsi="ITC Avant Garde"/>
          <w:sz w:val="22"/>
          <w:szCs w:val="22"/>
        </w:rPr>
        <w:t xml:space="preserve"> </w:t>
      </w:r>
    </w:p>
    <w:p w14:paraId="16B21BB0" w14:textId="2107A33C" w:rsidR="00682F8E" w:rsidRPr="00D93429" w:rsidRDefault="00682F8E" w:rsidP="00D93429">
      <w:pPr>
        <w:pStyle w:val="Default"/>
        <w:spacing w:line="276" w:lineRule="auto"/>
        <w:jc w:val="both"/>
        <w:rPr>
          <w:rFonts w:ascii="ITC Avant Garde" w:hAnsi="ITC Avant Garde"/>
          <w:sz w:val="22"/>
          <w:szCs w:val="22"/>
        </w:rPr>
      </w:pPr>
    </w:p>
    <w:p w14:paraId="40B44A6B" w14:textId="0AB0B555" w:rsidR="007E5DF3" w:rsidRPr="00D93429" w:rsidRDefault="00C00897" w:rsidP="00D93429">
      <w:pPr>
        <w:spacing w:after="0"/>
        <w:ind w:right="-58"/>
        <w:jc w:val="both"/>
        <w:rPr>
          <w:rFonts w:ascii="ITC Avant Garde" w:hAnsi="ITC Avant Garde" w:cs="TimesNewRomanPSMT"/>
          <w:color w:val="000000"/>
          <w:lang w:eastAsia="es-MX"/>
        </w:rPr>
      </w:pPr>
      <w:r w:rsidRPr="00D93429">
        <w:rPr>
          <w:rFonts w:ascii="ITC Avant Garde" w:hAnsi="ITC Avant Garde" w:cs="TimesNewRomanPS-BoldMT"/>
          <w:b/>
          <w:bCs/>
        </w:rPr>
        <w:t>TERCERO.-</w:t>
      </w:r>
      <w:r w:rsidR="008E3CFC" w:rsidRPr="00D93429">
        <w:rPr>
          <w:rFonts w:ascii="ITC Avant Garde" w:hAnsi="ITC Avant Garde" w:cs="TimesNewRomanPS-BoldMT"/>
          <w:b/>
          <w:bCs/>
        </w:rPr>
        <w:t xml:space="preserve"> </w:t>
      </w:r>
      <w:r w:rsidR="007E5DF3" w:rsidRPr="00D93429">
        <w:rPr>
          <w:rFonts w:ascii="ITC Avant Garde" w:hAnsi="ITC Avant Garde" w:cs="TimesNewRomanPSMT"/>
          <w:color w:val="000000"/>
          <w:lang w:eastAsia="es-MX"/>
        </w:rPr>
        <w:t>El artículo 51 de la Ley señala que para la emisión y modificación de reglas, lineamientos o disposiciones administrativas de carácter general, así como en cualquier caso que determine el Pleno, el Instituto deberá realizar consultas públicas bajo los principios de transparencia y participación ciudadana.</w:t>
      </w:r>
    </w:p>
    <w:p w14:paraId="5F97CC34" w14:textId="77777777" w:rsidR="007E5DF3" w:rsidRPr="00D93429" w:rsidRDefault="007E5DF3" w:rsidP="00D93429">
      <w:pPr>
        <w:spacing w:after="0"/>
        <w:ind w:right="-58"/>
        <w:jc w:val="both"/>
        <w:rPr>
          <w:rFonts w:ascii="ITC Avant Garde" w:hAnsi="ITC Avant Garde" w:cs="TimesNewRomanPSMT"/>
          <w:color w:val="000000"/>
          <w:lang w:eastAsia="es-MX"/>
        </w:rPr>
      </w:pPr>
    </w:p>
    <w:p w14:paraId="499B34B6" w14:textId="77777777" w:rsidR="004D4718" w:rsidRPr="00D93429" w:rsidRDefault="004D4718" w:rsidP="00D93429">
      <w:pPr>
        <w:spacing w:after="0"/>
        <w:jc w:val="both"/>
        <w:rPr>
          <w:rFonts w:ascii="ITC Avant Garde" w:hAnsi="ITC Avant Garde" w:cs="TimesNewRomanPSMT"/>
          <w:color w:val="000000"/>
          <w:lang w:eastAsia="es-MX"/>
        </w:rPr>
      </w:pPr>
      <w:r w:rsidRPr="00D93429">
        <w:rPr>
          <w:rFonts w:ascii="ITC Avant Garde" w:hAnsi="ITC Avant Garde" w:cs="TimesNewRomanPSMT"/>
          <w:color w:val="000000"/>
          <w:lang w:eastAsia="es-MX"/>
        </w:rPr>
        <w:t>En este sentido, el Pleno del Instituto debe someter a consulta pública el “</w:t>
      </w:r>
      <w:r w:rsidRPr="00D93429">
        <w:rPr>
          <w:rFonts w:ascii="ITC Avant Garde" w:hAnsi="ITC Avant Garde" w:cs="TimesNewRomanPSMT"/>
          <w:i/>
          <w:color w:val="000000"/>
          <w:lang w:eastAsia="es-MX"/>
        </w:rPr>
        <w:t xml:space="preserve">Anteproyecto de </w:t>
      </w:r>
      <w:r w:rsidRPr="00D93429">
        <w:rPr>
          <w:rFonts w:ascii="ITC Avant Garde" w:hAnsi="ITC Avant Garde" w:cs="TimesNewRomanPSMT"/>
          <w:bCs/>
          <w:i/>
          <w:color w:val="000000"/>
          <w:lang w:eastAsia="es-MX"/>
        </w:rPr>
        <w:t>Lineamientos Generales sobre los Derechos de las Audiencias</w:t>
      </w:r>
      <w:r w:rsidRPr="00D93429">
        <w:rPr>
          <w:rFonts w:ascii="ITC Avant Garde" w:hAnsi="ITC Avant Garde" w:cs="TimesNewRomanPSMT"/>
          <w:bCs/>
          <w:color w:val="000000"/>
          <w:lang w:eastAsia="es-MX"/>
        </w:rPr>
        <w:t xml:space="preserve">” </w:t>
      </w:r>
      <w:r w:rsidRPr="00D93429">
        <w:rPr>
          <w:rFonts w:ascii="ITC Avant Garde" w:hAnsi="ITC Avant Garde" w:cs="TimesNewRomanPSMT"/>
          <w:color w:val="000000"/>
          <w:lang w:eastAsia="es-MX"/>
        </w:rPr>
        <w:t>por un periodo razonable a fin de transparentar y promover la participación ciudadana en los procesos de emisión de disposiciones de carácter general que genere el Instituto, a efecto de dar cabal cumplimiento a lo establecido en el dispositivo legal señalado.</w:t>
      </w:r>
    </w:p>
    <w:p w14:paraId="352810AF" w14:textId="77777777" w:rsidR="00C815DF" w:rsidRPr="00D93429" w:rsidRDefault="00C815DF" w:rsidP="00D93429">
      <w:pPr>
        <w:spacing w:after="0"/>
        <w:jc w:val="both"/>
        <w:rPr>
          <w:rFonts w:ascii="ITC Avant Garde" w:hAnsi="ITC Avant Garde" w:cs="TimesNewRomanPSMT"/>
          <w:color w:val="000000"/>
          <w:lang w:eastAsia="es-MX"/>
        </w:rPr>
      </w:pPr>
    </w:p>
    <w:p w14:paraId="07F9274E" w14:textId="70DB64D8" w:rsidR="00C00897" w:rsidRPr="00D93429" w:rsidRDefault="00C00897" w:rsidP="00D93429">
      <w:pPr>
        <w:autoSpaceDE w:val="0"/>
        <w:autoSpaceDN w:val="0"/>
        <w:adjustRightInd w:val="0"/>
        <w:spacing w:after="0"/>
        <w:jc w:val="both"/>
        <w:rPr>
          <w:rFonts w:ascii="ITC Avant Garde" w:hAnsi="ITC Avant Garde" w:cs="TimesNewRomanPSMT"/>
          <w:color w:val="000000"/>
        </w:rPr>
      </w:pPr>
      <w:r w:rsidRPr="00D93429">
        <w:rPr>
          <w:rFonts w:ascii="ITC Avant Garde" w:hAnsi="ITC Avant Garde" w:cs="TimesNewRomanPS-BoldMT"/>
          <w:bCs/>
        </w:rPr>
        <w:t xml:space="preserve">Por las razones antes expuestas, con fundamento en lo dispuesto por los </w:t>
      </w:r>
      <w:r w:rsidRPr="00D93429">
        <w:rPr>
          <w:rFonts w:ascii="ITC Avant Garde" w:eastAsia="Times New Roman" w:hAnsi="ITC Avant Garde"/>
          <w:kern w:val="1"/>
          <w:lang w:eastAsia="ar-SA"/>
        </w:rPr>
        <w:t>artículos 6º y 28, párrafos décimo quinto y décimo sexto de la Constitución Política de los Estados Unidos Mexicanos;</w:t>
      </w:r>
      <w:r w:rsidR="006935F3" w:rsidRPr="00D93429">
        <w:rPr>
          <w:rFonts w:ascii="ITC Avant Garde" w:eastAsia="Times New Roman" w:hAnsi="ITC Avant Garde"/>
          <w:kern w:val="2"/>
          <w:lang w:val="es-ES" w:eastAsia="ar-SA"/>
        </w:rPr>
        <w:t xml:space="preserve"> </w:t>
      </w:r>
      <w:r w:rsidRPr="00D93429">
        <w:rPr>
          <w:rFonts w:ascii="ITC Avant Garde" w:eastAsia="Times New Roman" w:hAnsi="ITC Avant Garde"/>
          <w:kern w:val="2"/>
          <w:lang w:val="es-ES" w:eastAsia="ar-SA"/>
        </w:rPr>
        <w:t>1, 2, 7, 15</w:t>
      </w:r>
      <w:r w:rsidR="007B536C" w:rsidRPr="00D93429">
        <w:rPr>
          <w:rFonts w:ascii="ITC Avant Garde" w:eastAsia="Times New Roman" w:hAnsi="ITC Avant Garde"/>
          <w:kern w:val="2"/>
          <w:lang w:val="es-ES" w:eastAsia="ar-SA"/>
        </w:rPr>
        <w:t xml:space="preserve">, fracciones I y XL, 17, fracción I, </w:t>
      </w:r>
      <w:r w:rsidRPr="00D93429">
        <w:rPr>
          <w:rFonts w:ascii="ITC Avant Garde" w:eastAsia="Times New Roman" w:hAnsi="ITC Avant Garde"/>
          <w:kern w:val="2"/>
          <w:lang w:val="es-ES" w:eastAsia="ar-SA"/>
        </w:rPr>
        <w:t>51</w:t>
      </w:r>
      <w:r w:rsidR="00BB208D" w:rsidRPr="00D93429">
        <w:rPr>
          <w:rFonts w:ascii="ITC Avant Garde" w:eastAsia="Times New Roman" w:hAnsi="ITC Avant Garde"/>
          <w:kern w:val="2"/>
          <w:lang w:val="es-ES" w:eastAsia="ar-SA"/>
        </w:rPr>
        <w:t xml:space="preserve">, </w:t>
      </w:r>
      <w:r w:rsidR="00911278" w:rsidRPr="00D93429">
        <w:rPr>
          <w:rFonts w:ascii="ITC Avant Garde" w:eastAsia="Times New Roman" w:hAnsi="ITC Avant Garde"/>
          <w:kern w:val="2"/>
          <w:lang w:val="es-ES" w:eastAsia="ar-SA"/>
        </w:rPr>
        <w:t>216, 222 al 261</w:t>
      </w:r>
      <w:r w:rsidRPr="00D93429">
        <w:rPr>
          <w:rFonts w:ascii="ITC Avant Garde" w:eastAsia="Times New Roman" w:hAnsi="ITC Avant Garde"/>
          <w:kern w:val="2"/>
          <w:lang w:val="es-ES" w:eastAsia="ar-SA"/>
        </w:rPr>
        <w:t xml:space="preserve"> de la Ley Federal de Telecomunicaciones y Radiodifusión</w:t>
      </w:r>
      <w:r w:rsidR="006935F3" w:rsidRPr="00D93429">
        <w:rPr>
          <w:rFonts w:ascii="ITC Avant Garde" w:eastAsia="Times New Roman" w:hAnsi="ITC Avant Garde"/>
          <w:kern w:val="2"/>
          <w:lang w:val="es-ES" w:eastAsia="ar-SA"/>
        </w:rPr>
        <w:t>;</w:t>
      </w:r>
      <w:r w:rsidRPr="00D93429">
        <w:rPr>
          <w:rFonts w:ascii="ITC Avant Garde" w:hAnsi="ITC Avant Garde"/>
        </w:rPr>
        <w:t xml:space="preserve"> y </w:t>
      </w:r>
      <w:r w:rsidRPr="00D93429">
        <w:rPr>
          <w:rFonts w:ascii="ITC Avant Garde" w:eastAsia="Times New Roman" w:hAnsi="ITC Avant Garde"/>
          <w:kern w:val="1"/>
          <w:lang w:eastAsia="ar-SA"/>
        </w:rPr>
        <w:t>1, 4</w:t>
      </w:r>
      <w:r w:rsidR="007B536C" w:rsidRPr="00D93429">
        <w:rPr>
          <w:rFonts w:ascii="ITC Avant Garde" w:eastAsia="Times New Roman" w:hAnsi="ITC Avant Garde"/>
          <w:kern w:val="1"/>
          <w:lang w:eastAsia="ar-SA"/>
        </w:rPr>
        <w:t>,</w:t>
      </w:r>
      <w:r w:rsidRPr="00D93429">
        <w:rPr>
          <w:rFonts w:ascii="ITC Avant Garde" w:eastAsia="Times New Roman" w:hAnsi="ITC Avant Garde"/>
          <w:kern w:val="1"/>
          <w:lang w:eastAsia="ar-SA"/>
        </w:rPr>
        <w:t xml:space="preserve"> fracción I y 6 fracción I</w:t>
      </w:r>
      <w:r w:rsidR="00911278" w:rsidRPr="00D93429">
        <w:rPr>
          <w:rFonts w:ascii="ITC Avant Garde" w:eastAsia="Times New Roman" w:hAnsi="ITC Avant Garde"/>
          <w:kern w:val="1"/>
          <w:lang w:eastAsia="ar-SA"/>
        </w:rPr>
        <w:t xml:space="preserve"> y XXXVI</w:t>
      </w:r>
      <w:r w:rsidRPr="00D93429">
        <w:rPr>
          <w:rFonts w:ascii="ITC Avant Garde" w:hAnsi="ITC Avant Garde"/>
        </w:rPr>
        <w:t xml:space="preserve"> del Estatuto Orgánico del Instituto Federal de Telecomunicaciones, </w:t>
      </w:r>
      <w:r w:rsidR="004D4718" w:rsidRPr="00D93429">
        <w:rPr>
          <w:rFonts w:ascii="ITC Avant Garde" w:hAnsi="ITC Avant Garde"/>
        </w:rPr>
        <w:t xml:space="preserve">el Pleno emite </w:t>
      </w:r>
      <w:r w:rsidRPr="00D93429">
        <w:rPr>
          <w:rFonts w:ascii="ITC Avant Garde" w:hAnsi="ITC Avant Garde" w:cs="TimesNewRomanPSMT"/>
          <w:color w:val="000000"/>
        </w:rPr>
        <w:t>el siguiente:</w:t>
      </w:r>
    </w:p>
    <w:p w14:paraId="4D140334"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1B5B2181"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60E7DEEE" w14:textId="77777777" w:rsidR="00C00897" w:rsidRPr="00D93429" w:rsidRDefault="00C00897" w:rsidP="00D93429">
      <w:pPr>
        <w:autoSpaceDE w:val="0"/>
        <w:autoSpaceDN w:val="0"/>
        <w:adjustRightInd w:val="0"/>
        <w:spacing w:after="0"/>
        <w:jc w:val="center"/>
        <w:rPr>
          <w:rFonts w:ascii="ITC Avant Garde" w:hAnsi="ITC Avant Garde" w:cs="TimesNewRomanPS-BoldMT"/>
          <w:b/>
          <w:bCs/>
          <w:color w:val="000000"/>
        </w:rPr>
      </w:pPr>
      <w:r w:rsidRPr="00D93429">
        <w:rPr>
          <w:rFonts w:ascii="ITC Avant Garde" w:hAnsi="ITC Avant Garde" w:cs="TimesNewRomanPS-BoldMT"/>
          <w:b/>
          <w:bCs/>
          <w:color w:val="000000"/>
        </w:rPr>
        <w:t>ACUERDO</w:t>
      </w:r>
    </w:p>
    <w:p w14:paraId="41BD60A8"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12210BF0" w14:textId="77777777" w:rsidR="00944C07" w:rsidRPr="00D93429" w:rsidRDefault="00944C07" w:rsidP="00D93429">
      <w:pPr>
        <w:autoSpaceDE w:val="0"/>
        <w:autoSpaceDN w:val="0"/>
        <w:adjustRightInd w:val="0"/>
        <w:spacing w:after="0"/>
        <w:jc w:val="center"/>
        <w:rPr>
          <w:rFonts w:ascii="ITC Avant Garde" w:hAnsi="ITC Avant Garde" w:cs="TimesNewRomanPS-BoldMT"/>
          <w:b/>
          <w:bCs/>
          <w:color w:val="000000"/>
        </w:rPr>
      </w:pPr>
    </w:p>
    <w:p w14:paraId="08165036" w14:textId="517D8F57" w:rsidR="001774ED" w:rsidRDefault="00C00897" w:rsidP="001774ED">
      <w:pPr>
        <w:jc w:val="both"/>
        <w:rPr>
          <w:rFonts w:ascii="ITC Avant Garde" w:hAnsi="ITC Avant Garde" w:cs="Tahoma"/>
          <w:bCs/>
          <w:color w:val="000000"/>
          <w:lang w:eastAsia="es-MX"/>
        </w:rPr>
      </w:pPr>
      <w:r w:rsidRPr="00D93429">
        <w:rPr>
          <w:rFonts w:ascii="ITC Avant Garde" w:hAnsi="ITC Avant Garde" w:cs="TimesNewRomanPS-BoldMT"/>
          <w:b/>
          <w:bCs/>
          <w:color w:val="000000"/>
        </w:rPr>
        <w:t xml:space="preserve">PRIMERO.- </w:t>
      </w:r>
      <w:r w:rsidR="0043371A" w:rsidRPr="00D93429">
        <w:rPr>
          <w:rFonts w:ascii="ITC Avant Garde" w:hAnsi="ITC Avant Garde" w:cs="TimesNewRomanPS-BoldMT"/>
          <w:bCs/>
          <w:color w:val="000000"/>
        </w:rPr>
        <w:t>Se determina</w:t>
      </w:r>
      <w:r w:rsidR="007F4AB6" w:rsidRPr="00D93429">
        <w:rPr>
          <w:rFonts w:ascii="ITC Avant Garde" w:hAnsi="ITC Avant Garde" w:cs="TimesNewRomanPS-BoldMT"/>
          <w:b/>
          <w:bCs/>
          <w:color w:val="000000"/>
        </w:rPr>
        <w:t xml:space="preserve"> </w:t>
      </w:r>
      <w:r w:rsidR="007F4AB6" w:rsidRPr="00D93429">
        <w:rPr>
          <w:rFonts w:ascii="ITC Avant Garde" w:hAnsi="ITC Avant Garde"/>
        </w:rPr>
        <w:t xml:space="preserve">someter a consulta pública, por un plazo de </w:t>
      </w:r>
      <w:r w:rsidR="006A55F5" w:rsidRPr="00D93429">
        <w:rPr>
          <w:rFonts w:ascii="ITC Avant Garde" w:hAnsi="ITC Avant Garde"/>
        </w:rPr>
        <w:t>20 (</w:t>
      </w:r>
      <w:r w:rsidR="007F4AB6" w:rsidRPr="00D93429">
        <w:rPr>
          <w:rFonts w:ascii="ITC Avant Garde" w:hAnsi="ITC Avant Garde"/>
        </w:rPr>
        <w:t>veinte</w:t>
      </w:r>
      <w:r w:rsidR="006A55F5" w:rsidRPr="00D93429">
        <w:rPr>
          <w:rFonts w:ascii="ITC Avant Garde" w:hAnsi="ITC Avant Garde"/>
        </w:rPr>
        <w:t>)</w:t>
      </w:r>
      <w:r w:rsidR="007F4AB6" w:rsidRPr="00D93429">
        <w:rPr>
          <w:rFonts w:ascii="ITC Avant Garde" w:hAnsi="ITC Avant Garde"/>
        </w:rPr>
        <w:t xml:space="preserve"> días hábiles contados a</w:t>
      </w:r>
      <w:r w:rsidR="0043371A" w:rsidRPr="00D93429">
        <w:rPr>
          <w:rFonts w:ascii="ITC Avant Garde" w:hAnsi="ITC Avant Garde"/>
        </w:rPr>
        <w:t xml:space="preserve"> partir del día de</w:t>
      </w:r>
      <w:r w:rsidR="007F4AB6" w:rsidRPr="00D93429">
        <w:rPr>
          <w:rFonts w:ascii="ITC Avant Garde" w:hAnsi="ITC Avant Garde"/>
        </w:rPr>
        <w:t xml:space="preserve"> su publicación en el portal de Internet de</w:t>
      </w:r>
      <w:r w:rsidR="006A55F5" w:rsidRPr="00D93429">
        <w:rPr>
          <w:rFonts w:ascii="ITC Avant Garde" w:hAnsi="ITC Avant Garde"/>
        </w:rPr>
        <w:t xml:space="preserve">l </w:t>
      </w:r>
      <w:r w:rsidR="007F4AB6" w:rsidRPr="00D93429">
        <w:rPr>
          <w:rFonts w:ascii="ITC Avant Garde" w:hAnsi="ITC Avant Garde"/>
        </w:rPr>
        <w:t>Instituto</w:t>
      </w:r>
      <w:r w:rsidR="006A55F5" w:rsidRPr="00D93429">
        <w:rPr>
          <w:rFonts w:ascii="ITC Avant Garde" w:hAnsi="ITC Avant Garde"/>
        </w:rPr>
        <w:t xml:space="preserve"> Federal de Telecomunicaciones</w:t>
      </w:r>
      <w:r w:rsidR="006935F3" w:rsidRPr="00D93429">
        <w:rPr>
          <w:rFonts w:ascii="ITC Avant Garde" w:hAnsi="ITC Avant Garde" w:cs="TimesNewRomanPSMT"/>
          <w:color w:val="000000"/>
        </w:rPr>
        <w:t xml:space="preserve">, el </w:t>
      </w:r>
      <w:r w:rsidR="006F3A47" w:rsidRPr="00D93429">
        <w:rPr>
          <w:rFonts w:ascii="ITC Avant Garde" w:hAnsi="ITC Avant Garde" w:cs="TimesNewRomanPSMT"/>
          <w:color w:val="000000"/>
        </w:rPr>
        <w:t>“</w:t>
      </w:r>
      <w:r w:rsidR="006935F3" w:rsidRPr="00D93429">
        <w:rPr>
          <w:rFonts w:ascii="ITC Avant Garde" w:hAnsi="ITC Avant Garde" w:cs="TimesNewRomanPSMT"/>
          <w:i/>
          <w:color w:val="000000"/>
        </w:rPr>
        <w:t xml:space="preserve">Anteproyecto de </w:t>
      </w:r>
      <w:r w:rsidR="00714D72" w:rsidRPr="00D93429">
        <w:rPr>
          <w:rFonts w:ascii="ITC Avant Garde" w:hAnsi="ITC Avant Garde" w:cs="TimesNewRomanPSMT"/>
          <w:i/>
          <w:color w:val="000000"/>
        </w:rPr>
        <w:t>Lineamientos Generales sobre los Derechos de las Audiencias</w:t>
      </w:r>
      <w:r w:rsidR="006F3A47" w:rsidRPr="00D93429">
        <w:rPr>
          <w:rFonts w:ascii="ITC Avant Garde" w:hAnsi="ITC Avant Garde" w:cs="TimesNewRomanPSMT"/>
          <w:color w:val="000000"/>
        </w:rPr>
        <w:t>”</w:t>
      </w:r>
      <w:r w:rsidR="00FC0B37" w:rsidRPr="00D93429">
        <w:rPr>
          <w:rFonts w:ascii="ITC Avant Garde" w:hAnsi="ITC Avant Garde" w:cs="TimesNewRomanPSMT"/>
          <w:color w:val="000000"/>
        </w:rPr>
        <w:t xml:space="preserve"> presentado por la Unidad de Medios y Contenidos Audiovisuales</w:t>
      </w:r>
      <w:r w:rsidR="006935F3" w:rsidRPr="00D93429">
        <w:rPr>
          <w:rFonts w:ascii="ITC Avant Garde" w:hAnsi="ITC Avant Garde" w:cs="TimesNewRomanPSMT"/>
          <w:color w:val="000000"/>
        </w:rPr>
        <w:t>, mismo que</w:t>
      </w:r>
      <w:r w:rsidR="004D4718" w:rsidRPr="00D93429">
        <w:rPr>
          <w:rFonts w:ascii="ITC Avant Garde" w:hAnsi="ITC Avant Garde" w:cs="TimesNewRomanPSMT"/>
          <w:color w:val="000000"/>
        </w:rPr>
        <w:t xml:space="preserve"> se acompaña </w:t>
      </w:r>
      <w:r w:rsidR="006935F3" w:rsidRPr="00D93429">
        <w:rPr>
          <w:rFonts w:ascii="ITC Avant Garde" w:hAnsi="ITC Avant Garde" w:cs="TimesNewRomanPSMT"/>
          <w:color w:val="000000"/>
        </w:rPr>
        <w:t xml:space="preserve">como </w:t>
      </w:r>
      <w:r w:rsidR="006935F3" w:rsidRPr="00D93429">
        <w:rPr>
          <w:rFonts w:ascii="ITC Avant Garde" w:hAnsi="ITC Avant Garde" w:cs="TimesNewRomanPSMT"/>
          <w:b/>
          <w:color w:val="000000"/>
        </w:rPr>
        <w:t xml:space="preserve">Anexo </w:t>
      </w:r>
      <w:r w:rsidR="000803F8" w:rsidRPr="00D93429">
        <w:rPr>
          <w:rFonts w:ascii="ITC Avant Garde" w:hAnsi="ITC Avant Garde" w:cs="TimesNewRomanPSMT"/>
          <w:b/>
          <w:color w:val="000000"/>
        </w:rPr>
        <w:t>1</w:t>
      </w:r>
      <w:r w:rsidR="004D4718" w:rsidRPr="00D93429">
        <w:rPr>
          <w:rFonts w:ascii="ITC Avant Garde" w:hAnsi="ITC Avant Garde" w:cs="TimesNewRomanPSMT"/>
          <w:b/>
          <w:color w:val="000000"/>
        </w:rPr>
        <w:t xml:space="preserve"> </w:t>
      </w:r>
      <w:r w:rsidR="004D4718" w:rsidRPr="00D93429">
        <w:rPr>
          <w:rFonts w:ascii="ITC Avant Garde" w:hAnsi="ITC Avant Garde" w:cs="TimesNewRomanPSMT"/>
          <w:color w:val="000000"/>
        </w:rPr>
        <w:t xml:space="preserve">a fin de que, </w:t>
      </w:r>
      <w:r w:rsidR="00FC0B37" w:rsidRPr="00D93429">
        <w:rPr>
          <w:rFonts w:ascii="ITC Avant Garde" w:hAnsi="ITC Avant Garde" w:cs="TimesNewRomanPSMT"/>
          <w:color w:val="000000"/>
        </w:rPr>
        <w:t>cualquier interesado presen</w:t>
      </w:r>
      <w:r w:rsidR="004D4718" w:rsidRPr="00D93429">
        <w:rPr>
          <w:rFonts w:ascii="ITC Avant Garde" w:hAnsi="ITC Avant Garde" w:cs="TimesNewRomanPSMT"/>
          <w:color w:val="000000"/>
        </w:rPr>
        <w:t xml:space="preserve">te comentarios, observaciones, </w:t>
      </w:r>
      <w:r w:rsidR="00FC0B37" w:rsidRPr="00D93429">
        <w:rPr>
          <w:rFonts w:ascii="ITC Avant Garde" w:hAnsi="ITC Avant Garde" w:cs="TimesNewRomanPSMT"/>
          <w:color w:val="000000"/>
        </w:rPr>
        <w:t>propuestas</w:t>
      </w:r>
      <w:r w:rsidR="007936CD" w:rsidRPr="00D93429">
        <w:rPr>
          <w:rFonts w:ascii="ITC Avant Garde" w:hAnsi="ITC Avant Garde" w:cs="TimesNewRomanPSMT"/>
          <w:color w:val="000000"/>
        </w:rPr>
        <w:t xml:space="preserve"> </w:t>
      </w:r>
      <w:r w:rsidR="004D4718" w:rsidRPr="00D93429">
        <w:rPr>
          <w:rFonts w:ascii="ITC Avant Garde" w:hAnsi="ITC Avant Garde" w:cs="TimesNewRomanPSMT"/>
          <w:color w:val="000000"/>
        </w:rPr>
        <w:t>y/o adiciones.</w:t>
      </w:r>
      <w:r w:rsidR="001774ED">
        <w:rPr>
          <w:rFonts w:ascii="ITC Avant Garde" w:hAnsi="ITC Avant Garde" w:cs="TimesNewRomanPSMT"/>
          <w:color w:val="000000"/>
        </w:rPr>
        <w:t xml:space="preserve"> </w:t>
      </w:r>
      <w:r w:rsidR="001774ED" w:rsidRPr="00AA31D3">
        <w:rPr>
          <w:rFonts w:ascii="ITC Avant Garde" w:hAnsi="ITC Avant Garde" w:cs="Tahoma"/>
          <w:bCs/>
          <w:color w:val="000000"/>
          <w:lang w:eastAsia="es-MX"/>
        </w:rPr>
        <w:t xml:space="preserve">Dicha consulta pública se realizará del </w:t>
      </w:r>
      <w:r w:rsidR="001774ED">
        <w:rPr>
          <w:rFonts w:ascii="ITC Avant Garde" w:hAnsi="ITC Avant Garde" w:cs="Tahoma"/>
          <w:bCs/>
          <w:color w:val="000000"/>
          <w:lang w:eastAsia="es-MX"/>
        </w:rPr>
        <w:t>14</w:t>
      </w:r>
      <w:r w:rsidR="001774ED" w:rsidRPr="00AA31D3">
        <w:rPr>
          <w:rFonts w:ascii="ITC Avant Garde" w:hAnsi="ITC Avant Garde" w:cs="Tahoma"/>
          <w:bCs/>
          <w:color w:val="000000"/>
          <w:lang w:eastAsia="es-MX"/>
        </w:rPr>
        <w:t xml:space="preserve"> al </w:t>
      </w:r>
      <w:r w:rsidR="001774ED">
        <w:rPr>
          <w:rFonts w:ascii="ITC Avant Garde" w:hAnsi="ITC Avant Garde" w:cs="Tahoma"/>
          <w:bCs/>
          <w:color w:val="000000"/>
          <w:lang w:eastAsia="es-MX"/>
        </w:rPr>
        <w:t xml:space="preserve">17 </w:t>
      </w:r>
      <w:r w:rsidR="001774ED" w:rsidRPr="00AA31D3">
        <w:rPr>
          <w:rFonts w:ascii="ITC Avant Garde" w:hAnsi="ITC Avant Garde" w:cs="Tahoma"/>
          <w:bCs/>
          <w:color w:val="000000"/>
          <w:lang w:eastAsia="es-MX"/>
        </w:rPr>
        <w:t xml:space="preserve">de julio y del </w:t>
      </w:r>
      <w:r w:rsidR="001774ED">
        <w:rPr>
          <w:rFonts w:ascii="ITC Avant Garde" w:hAnsi="ITC Avant Garde" w:cs="Tahoma"/>
          <w:bCs/>
          <w:color w:val="000000"/>
          <w:lang w:eastAsia="es-MX"/>
        </w:rPr>
        <w:t>3</w:t>
      </w:r>
      <w:r w:rsidR="001774ED" w:rsidRPr="00AA31D3">
        <w:rPr>
          <w:rFonts w:ascii="ITC Avant Garde" w:hAnsi="ITC Avant Garde" w:cs="Tahoma"/>
          <w:bCs/>
          <w:color w:val="000000"/>
          <w:lang w:eastAsia="es-MX"/>
        </w:rPr>
        <w:t xml:space="preserve"> al </w:t>
      </w:r>
      <w:r w:rsidR="001774ED">
        <w:rPr>
          <w:rFonts w:ascii="ITC Avant Garde" w:hAnsi="ITC Avant Garde" w:cs="Tahoma"/>
          <w:bCs/>
          <w:color w:val="000000"/>
          <w:lang w:eastAsia="es-MX"/>
        </w:rPr>
        <w:t xml:space="preserve">24 </w:t>
      </w:r>
      <w:r w:rsidR="001774ED" w:rsidRPr="00AA31D3">
        <w:rPr>
          <w:rFonts w:ascii="ITC Avant Garde" w:hAnsi="ITC Avant Garde" w:cs="Tahoma"/>
          <w:bCs/>
          <w:color w:val="000000"/>
          <w:lang w:eastAsia="es-MX"/>
        </w:rPr>
        <w:t xml:space="preserve">de agosto de </w:t>
      </w:r>
      <w:r w:rsidR="001774ED">
        <w:rPr>
          <w:rFonts w:ascii="ITC Avant Garde" w:hAnsi="ITC Avant Garde" w:cs="Tahoma"/>
          <w:bCs/>
          <w:color w:val="000000"/>
          <w:lang w:eastAsia="es-MX"/>
        </w:rPr>
        <w:t>2015</w:t>
      </w:r>
      <w:r w:rsidR="001774ED" w:rsidRPr="00AA31D3">
        <w:rPr>
          <w:rFonts w:ascii="ITC Avant Garde" w:hAnsi="ITC Avant Garde" w:cs="Tahoma"/>
          <w:bCs/>
          <w:color w:val="000000"/>
          <w:lang w:eastAsia="es-MX"/>
        </w:rPr>
        <w:t>.</w:t>
      </w:r>
    </w:p>
    <w:p w14:paraId="16FB955F" w14:textId="63AD0CBB" w:rsidR="006935F3" w:rsidRPr="00D93429" w:rsidRDefault="006935F3" w:rsidP="00D93429">
      <w:pPr>
        <w:autoSpaceDE w:val="0"/>
        <w:autoSpaceDN w:val="0"/>
        <w:adjustRightInd w:val="0"/>
        <w:spacing w:after="0"/>
        <w:jc w:val="both"/>
        <w:rPr>
          <w:rFonts w:ascii="ITC Avant Garde" w:hAnsi="ITC Avant Garde" w:cs="TimesNewRomanPSMT"/>
          <w:color w:val="000000"/>
        </w:rPr>
      </w:pPr>
    </w:p>
    <w:p w14:paraId="104CA3E1" w14:textId="74C5673C" w:rsidR="008B39F9" w:rsidRDefault="000803F8" w:rsidP="00D93429">
      <w:pPr>
        <w:autoSpaceDE w:val="0"/>
        <w:autoSpaceDN w:val="0"/>
        <w:adjustRightInd w:val="0"/>
        <w:spacing w:after="0"/>
        <w:jc w:val="both"/>
        <w:rPr>
          <w:rFonts w:ascii="ITC Avant Garde" w:hAnsi="ITC Avant Garde" w:cs="TimesNewRomanPSMT"/>
          <w:color w:val="000000"/>
        </w:rPr>
      </w:pPr>
      <w:r w:rsidRPr="00D93429">
        <w:rPr>
          <w:rFonts w:ascii="ITC Avant Garde" w:hAnsi="ITC Avant Garde" w:cs="TimesNewRomanPSMT"/>
          <w:b/>
          <w:color w:val="000000"/>
        </w:rPr>
        <w:t xml:space="preserve">SEGUNDO.- </w:t>
      </w:r>
      <w:r w:rsidR="008B39F9" w:rsidRPr="00D93429">
        <w:rPr>
          <w:rFonts w:ascii="ITC Avant Garde" w:hAnsi="ITC Avant Garde" w:cs="TimesNewRomanPSMT"/>
          <w:color w:val="000000"/>
        </w:rPr>
        <w:t xml:space="preserve">Se instruye a la Unidad de </w:t>
      </w:r>
      <w:r w:rsidR="00AF4857" w:rsidRPr="00D93429">
        <w:rPr>
          <w:rFonts w:ascii="ITC Avant Garde" w:hAnsi="ITC Avant Garde" w:cs="TimesNewRomanPSMT"/>
          <w:color w:val="000000"/>
        </w:rPr>
        <w:t>Medios y Contenidos Audiovisuales</w:t>
      </w:r>
      <w:r w:rsidR="008B39F9" w:rsidRPr="00D93429">
        <w:rPr>
          <w:rFonts w:ascii="ITC Avant Garde" w:hAnsi="ITC Avant Garde" w:cs="TimesNewRomanPSMT"/>
          <w:color w:val="000000"/>
        </w:rPr>
        <w:t>, a recibir y dar la atención que corresponda, en el ámbito de sus atribuciones, a l</w:t>
      </w:r>
      <w:r w:rsidR="00FC0B37" w:rsidRPr="00D93429">
        <w:rPr>
          <w:rFonts w:ascii="ITC Avant Garde" w:hAnsi="ITC Avant Garde" w:cs="TimesNewRomanPSMT"/>
          <w:color w:val="000000"/>
        </w:rPr>
        <w:t>o</w:t>
      </w:r>
      <w:r w:rsidR="008B39F9" w:rsidRPr="00D93429">
        <w:rPr>
          <w:rFonts w:ascii="ITC Avant Garde" w:hAnsi="ITC Avant Garde" w:cs="TimesNewRomanPSMT"/>
          <w:color w:val="000000"/>
        </w:rPr>
        <w:t xml:space="preserve">s </w:t>
      </w:r>
      <w:r w:rsidR="00FC0B37" w:rsidRPr="00D93429">
        <w:rPr>
          <w:rFonts w:ascii="ITC Avant Garde" w:hAnsi="ITC Avant Garde" w:cs="TimesNewRomanPSMT"/>
          <w:color w:val="000000"/>
        </w:rPr>
        <w:t xml:space="preserve">comentarios, </w:t>
      </w:r>
      <w:r w:rsidR="008B39F9" w:rsidRPr="00D93429">
        <w:rPr>
          <w:rFonts w:ascii="ITC Avant Garde" w:hAnsi="ITC Avant Garde" w:cs="TimesNewRomanPSMT"/>
          <w:color w:val="000000"/>
        </w:rPr>
        <w:t>opiniones</w:t>
      </w:r>
      <w:r w:rsidR="004D4718" w:rsidRPr="00D93429">
        <w:rPr>
          <w:rFonts w:ascii="ITC Avant Garde" w:hAnsi="ITC Avant Garde" w:cs="TimesNewRomanPSMT"/>
          <w:color w:val="000000"/>
        </w:rPr>
        <w:t xml:space="preserve">, </w:t>
      </w:r>
      <w:r w:rsidR="00FC0B37" w:rsidRPr="00D93429">
        <w:rPr>
          <w:rFonts w:ascii="ITC Avant Garde" w:hAnsi="ITC Avant Garde" w:cs="TimesNewRomanPSMT"/>
          <w:color w:val="000000"/>
        </w:rPr>
        <w:t>propuestas</w:t>
      </w:r>
      <w:r w:rsidR="007936CD" w:rsidRPr="00D93429">
        <w:rPr>
          <w:rFonts w:ascii="ITC Avant Garde" w:hAnsi="ITC Avant Garde" w:cs="TimesNewRomanPSMT"/>
          <w:color w:val="000000"/>
        </w:rPr>
        <w:t xml:space="preserve"> </w:t>
      </w:r>
      <w:r w:rsidR="004D4718" w:rsidRPr="00D93429">
        <w:rPr>
          <w:rFonts w:ascii="ITC Avant Garde" w:hAnsi="ITC Avant Garde" w:cs="TimesNewRomanPSMT"/>
          <w:color w:val="000000"/>
        </w:rPr>
        <w:t xml:space="preserve">y/o adiciones </w:t>
      </w:r>
      <w:r w:rsidR="008B39F9" w:rsidRPr="00D93429">
        <w:rPr>
          <w:rFonts w:ascii="ITC Avant Garde" w:hAnsi="ITC Avant Garde" w:cs="TimesNewRomanPSMT"/>
          <w:color w:val="000000"/>
        </w:rPr>
        <w:t xml:space="preserve">que sean vertidas en virtud de la consulta pública materia del presente </w:t>
      </w:r>
      <w:r w:rsidR="00FC0B37" w:rsidRPr="00D93429">
        <w:rPr>
          <w:rFonts w:ascii="ITC Avant Garde" w:hAnsi="ITC Avant Garde" w:cs="TimesNewRomanPSMT"/>
          <w:color w:val="000000"/>
        </w:rPr>
        <w:t>a</w:t>
      </w:r>
      <w:r w:rsidR="006A55F5" w:rsidRPr="00D93429">
        <w:rPr>
          <w:rFonts w:ascii="ITC Avant Garde" w:hAnsi="ITC Avant Garde" w:cs="TimesNewRomanPSMT"/>
          <w:color w:val="000000"/>
        </w:rPr>
        <w:t>cuerdo</w:t>
      </w:r>
      <w:r w:rsidR="008B39F9" w:rsidRPr="00D93429">
        <w:rPr>
          <w:rFonts w:ascii="ITC Avant Garde" w:hAnsi="ITC Avant Garde" w:cs="TimesNewRomanPSMT"/>
          <w:color w:val="000000"/>
        </w:rPr>
        <w:t>.</w:t>
      </w:r>
    </w:p>
    <w:p w14:paraId="0023611F" w14:textId="77777777" w:rsidR="008D15F0" w:rsidRPr="00D93429" w:rsidRDefault="008D15F0" w:rsidP="00D93429">
      <w:pPr>
        <w:autoSpaceDE w:val="0"/>
        <w:autoSpaceDN w:val="0"/>
        <w:adjustRightInd w:val="0"/>
        <w:spacing w:after="0"/>
        <w:jc w:val="both"/>
        <w:rPr>
          <w:rFonts w:ascii="ITC Avant Garde" w:hAnsi="ITC Avant Garde" w:cs="TimesNewRomanPSMT"/>
          <w:color w:val="000000"/>
        </w:rPr>
      </w:pPr>
    </w:p>
    <w:p w14:paraId="5D793C97" w14:textId="4AD2CAD9" w:rsidR="00C00897" w:rsidRPr="00D93429" w:rsidRDefault="008B39F9" w:rsidP="00D93429">
      <w:pPr>
        <w:autoSpaceDE w:val="0"/>
        <w:autoSpaceDN w:val="0"/>
        <w:adjustRightInd w:val="0"/>
        <w:spacing w:after="0"/>
        <w:jc w:val="both"/>
        <w:rPr>
          <w:rFonts w:ascii="ITC Avant Garde" w:hAnsi="ITC Avant Garde"/>
        </w:rPr>
      </w:pPr>
      <w:r w:rsidRPr="00D93429">
        <w:rPr>
          <w:rFonts w:ascii="ITC Avant Garde" w:hAnsi="ITC Avant Garde"/>
          <w:b/>
        </w:rPr>
        <w:t>T</w:t>
      </w:r>
      <w:r w:rsidR="00D02D4E" w:rsidRPr="00D93429">
        <w:rPr>
          <w:rFonts w:ascii="ITC Avant Garde" w:hAnsi="ITC Avant Garde"/>
          <w:b/>
        </w:rPr>
        <w:t>ERCER</w:t>
      </w:r>
      <w:r w:rsidRPr="00D93429">
        <w:rPr>
          <w:rFonts w:ascii="ITC Avant Garde" w:hAnsi="ITC Avant Garde"/>
          <w:b/>
        </w:rPr>
        <w:t>O.-</w:t>
      </w:r>
      <w:r w:rsidR="00C00897" w:rsidRPr="00D93429">
        <w:rPr>
          <w:rFonts w:ascii="ITC Avant Garde" w:hAnsi="ITC Avant Garde"/>
        </w:rPr>
        <w:t>Publíquese en la página de Internet del Instituto Federal de Telecomunicaciones.</w:t>
      </w:r>
    </w:p>
    <w:p w14:paraId="09D05F90" w14:textId="77777777" w:rsidR="00944C07" w:rsidRPr="00D93429" w:rsidRDefault="00944C07" w:rsidP="00D93429">
      <w:pPr>
        <w:autoSpaceDE w:val="0"/>
        <w:autoSpaceDN w:val="0"/>
        <w:adjustRightInd w:val="0"/>
        <w:spacing w:after="0"/>
        <w:jc w:val="both"/>
        <w:rPr>
          <w:rFonts w:ascii="ITC Avant Garde" w:hAnsi="ITC Avant Garde"/>
        </w:rPr>
      </w:pPr>
    </w:p>
    <w:tbl>
      <w:tblPr>
        <w:tblW w:w="8917" w:type="dxa"/>
        <w:jc w:val="center"/>
        <w:tblCellMar>
          <w:left w:w="70" w:type="dxa"/>
          <w:right w:w="70" w:type="dxa"/>
        </w:tblCellMar>
        <w:tblLook w:val="04A0" w:firstRow="1" w:lastRow="0" w:firstColumn="1" w:lastColumn="0" w:noHBand="0" w:noVBand="1"/>
      </w:tblPr>
      <w:tblGrid>
        <w:gridCol w:w="1471"/>
        <w:gridCol w:w="2693"/>
        <w:gridCol w:w="1081"/>
        <w:gridCol w:w="2316"/>
        <w:gridCol w:w="1356"/>
      </w:tblGrid>
      <w:tr w:rsidR="00944C07" w:rsidRPr="00D93429" w14:paraId="5327C101" w14:textId="77777777" w:rsidTr="008D780B">
        <w:trPr>
          <w:trHeight w:val="246"/>
          <w:jc w:val="center"/>
        </w:trPr>
        <w:tc>
          <w:tcPr>
            <w:tcW w:w="4164" w:type="dxa"/>
            <w:gridSpan w:val="2"/>
            <w:vAlign w:val="center"/>
          </w:tcPr>
          <w:p w14:paraId="6649C916"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1081" w:type="dxa"/>
            <w:vAlign w:val="center"/>
          </w:tcPr>
          <w:p w14:paraId="16B95518" w14:textId="77777777" w:rsidR="00944C07" w:rsidRDefault="00944C07" w:rsidP="00D93429">
            <w:pPr>
              <w:spacing w:after="0"/>
              <w:jc w:val="both"/>
              <w:rPr>
                <w:rFonts w:ascii="ITC Avant Garde" w:eastAsia="Times New Roman" w:hAnsi="ITC Avant Garde"/>
                <w:b/>
                <w:bCs/>
                <w:color w:val="000000"/>
                <w:lang w:eastAsia="es-MX"/>
              </w:rPr>
            </w:pPr>
          </w:p>
          <w:p w14:paraId="405B0D8B" w14:textId="77777777" w:rsidR="008D15F0" w:rsidRDefault="008D15F0" w:rsidP="00D93429">
            <w:pPr>
              <w:spacing w:after="0"/>
              <w:jc w:val="both"/>
              <w:rPr>
                <w:rFonts w:ascii="ITC Avant Garde" w:eastAsia="Times New Roman" w:hAnsi="ITC Avant Garde"/>
                <w:b/>
                <w:bCs/>
                <w:color w:val="000000"/>
                <w:lang w:eastAsia="es-MX"/>
              </w:rPr>
            </w:pPr>
          </w:p>
          <w:p w14:paraId="6C18032C" w14:textId="77777777" w:rsidR="00D93429" w:rsidRPr="008D780B" w:rsidRDefault="00D93429" w:rsidP="00D93429">
            <w:pPr>
              <w:spacing w:after="0"/>
              <w:jc w:val="both"/>
              <w:rPr>
                <w:rFonts w:ascii="ITC Avant Garde" w:eastAsia="Times New Roman" w:hAnsi="ITC Avant Garde"/>
                <w:b/>
                <w:bCs/>
                <w:color w:val="000000"/>
                <w:sz w:val="14"/>
                <w:lang w:eastAsia="es-MX"/>
              </w:rPr>
            </w:pPr>
          </w:p>
          <w:p w14:paraId="5F0248B1"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3672" w:type="dxa"/>
            <w:gridSpan w:val="2"/>
            <w:vAlign w:val="center"/>
          </w:tcPr>
          <w:p w14:paraId="75AB995F" w14:textId="77777777" w:rsidR="00944C07" w:rsidRPr="00D93429" w:rsidRDefault="00944C07" w:rsidP="00D93429">
            <w:pPr>
              <w:spacing w:after="0"/>
              <w:jc w:val="both"/>
              <w:rPr>
                <w:rFonts w:ascii="ITC Avant Garde" w:eastAsia="Times New Roman" w:hAnsi="ITC Avant Garde"/>
                <w:b/>
                <w:bCs/>
                <w:color w:val="000000"/>
                <w:lang w:eastAsia="es-MX"/>
              </w:rPr>
            </w:pPr>
          </w:p>
        </w:tc>
      </w:tr>
      <w:tr w:rsidR="00944C07" w:rsidRPr="00D93429" w14:paraId="7D7B8AD0" w14:textId="77777777" w:rsidTr="008D780B">
        <w:trPr>
          <w:trHeight w:val="246"/>
          <w:jc w:val="center"/>
        </w:trPr>
        <w:tc>
          <w:tcPr>
            <w:tcW w:w="4164" w:type="dxa"/>
            <w:gridSpan w:val="2"/>
            <w:vAlign w:val="center"/>
          </w:tcPr>
          <w:p w14:paraId="372427FE"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1081" w:type="dxa"/>
            <w:vAlign w:val="center"/>
          </w:tcPr>
          <w:p w14:paraId="011F12F2"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3672" w:type="dxa"/>
            <w:gridSpan w:val="2"/>
            <w:vAlign w:val="center"/>
          </w:tcPr>
          <w:p w14:paraId="20266EF6" w14:textId="77777777" w:rsidR="00944C07" w:rsidRPr="00D93429" w:rsidRDefault="00944C07" w:rsidP="00D93429">
            <w:pPr>
              <w:spacing w:after="0"/>
              <w:jc w:val="both"/>
              <w:rPr>
                <w:rFonts w:ascii="ITC Avant Garde" w:eastAsia="Times New Roman" w:hAnsi="ITC Avant Garde"/>
                <w:b/>
                <w:bCs/>
                <w:color w:val="000000"/>
                <w:lang w:eastAsia="es-MX"/>
              </w:rPr>
            </w:pPr>
          </w:p>
        </w:tc>
      </w:tr>
      <w:tr w:rsidR="00944C07" w:rsidRPr="00D93429" w14:paraId="0B669990" w14:textId="77777777" w:rsidTr="008D780B">
        <w:trPr>
          <w:trHeight w:val="246"/>
          <w:jc w:val="center"/>
        </w:trPr>
        <w:tc>
          <w:tcPr>
            <w:tcW w:w="4164" w:type="dxa"/>
            <w:gridSpan w:val="2"/>
            <w:vAlign w:val="center"/>
          </w:tcPr>
          <w:p w14:paraId="078942CB"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1081" w:type="dxa"/>
            <w:vAlign w:val="center"/>
          </w:tcPr>
          <w:p w14:paraId="37D40CEF"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3672" w:type="dxa"/>
            <w:gridSpan w:val="2"/>
            <w:vAlign w:val="center"/>
          </w:tcPr>
          <w:p w14:paraId="5D010696" w14:textId="77777777" w:rsidR="00944C07" w:rsidRPr="00D93429" w:rsidRDefault="00944C07" w:rsidP="00D93429">
            <w:pPr>
              <w:spacing w:after="0"/>
              <w:jc w:val="both"/>
              <w:rPr>
                <w:rFonts w:ascii="ITC Avant Garde" w:eastAsia="Times New Roman" w:hAnsi="ITC Avant Garde"/>
                <w:b/>
                <w:bCs/>
                <w:color w:val="000000"/>
                <w:lang w:eastAsia="es-MX"/>
              </w:rPr>
            </w:pPr>
          </w:p>
        </w:tc>
      </w:tr>
      <w:tr w:rsidR="00944C07" w:rsidRPr="00D93429" w14:paraId="77DA7895" w14:textId="77777777" w:rsidTr="008D780B">
        <w:trPr>
          <w:trHeight w:val="246"/>
          <w:jc w:val="center"/>
        </w:trPr>
        <w:tc>
          <w:tcPr>
            <w:tcW w:w="1471" w:type="dxa"/>
            <w:vAlign w:val="center"/>
          </w:tcPr>
          <w:p w14:paraId="7A1DE075" w14:textId="77777777" w:rsidR="00944C07" w:rsidRPr="00D93429" w:rsidRDefault="00944C07" w:rsidP="00D93429">
            <w:pPr>
              <w:spacing w:after="0"/>
              <w:jc w:val="both"/>
              <w:rPr>
                <w:rFonts w:ascii="ITC Avant Garde" w:eastAsia="Times New Roman" w:hAnsi="ITC Avant Garde"/>
                <w:b/>
                <w:bCs/>
                <w:color w:val="000000"/>
                <w:lang w:eastAsia="es-MX"/>
              </w:rPr>
            </w:pPr>
          </w:p>
        </w:tc>
        <w:tc>
          <w:tcPr>
            <w:tcW w:w="6090" w:type="dxa"/>
            <w:gridSpan w:val="3"/>
            <w:vAlign w:val="center"/>
            <w:hideMark/>
          </w:tcPr>
          <w:p w14:paraId="6738DCB7"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Gabriel Oswaldo Contreras Saldívar</w:t>
            </w:r>
          </w:p>
          <w:p w14:paraId="0B784E32" w14:textId="1D33ED01" w:rsidR="00944C07" w:rsidRPr="00D93429" w:rsidRDefault="00D93429" w:rsidP="00D93429">
            <w:pPr>
              <w:spacing w:after="0"/>
              <w:jc w:val="center"/>
              <w:rPr>
                <w:rFonts w:ascii="ITC Avant Garde" w:eastAsia="Times New Roman" w:hAnsi="ITC Avant Garde"/>
                <w:b/>
                <w:bCs/>
                <w:color w:val="000000"/>
                <w:lang w:eastAsia="es-MX"/>
              </w:rPr>
            </w:pPr>
            <w:r>
              <w:rPr>
                <w:rFonts w:ascii="ITC Avant Garde" w:eastAsia="Times New Roman" w:hAnsi="ITC Avant Garde"/>
                <w:b/>
                <w:bCs/>
                <w:color w:val="000000"/>
                <w:lang w:eastAsia="es-MX"/>
              </w:rPr>
              <w:t xml:space="preserve">Comisionado </w:t>
            </w:r>
            <w:r w:rsidR="00944C07" w:rsidRPr="00D93429">
              <w:rPr>
                <w:rFonts w:ascii="ITC Avant Garde" w:eastAsia="Times New Roman" w:hAnsi="ITC Avant Garde"/>
                <w:b/>
                <w:bCs/>
                <w:color w:val="000000"/>
                <w:lang w:eastAsia="es-MX"/>
              </w:rPr>
              <w:t xml:space="preserve">Presidente </w:t>
            </w:r>
          </w:p>
        </w:tc>
        <w:tc>
          <w:tcPr>
            <w:tcW w:w="1356" w:type="dxa"/>
            <w:vAlign w:val="center"/>
          </w:tcPr>
          <w:p w14:paraId="215C955B" w14:textId="77777777" w:rsidR="00944C07" w:rsidRPr="00D93429" w:rsidRDefault="00944C07" w:rsidP="00D93429">
            <w:pPr>
              <w:spacing w:after="0"/>
              <w:jc w:val="both"/>
              <w:rPr>
                <w:rFonts w:ascii="ITC Avant Garde" w:eastAsia="Times New Roman" w:hAnsi="ITC Avant Garde"/>
                <w:b/>
                <w:bCs/>
                <w:color w:val="000000"/>
                <w:lang w:eastAsia="es-MX"/>
              </w:rPr>
            </w:pPr>
          </w:p>
        </w:tc>
      </w:tr>
      <w:tr w:rsidR="00944C07" w:rsidRPr="00D93429" w14:paraId="4A33CBB6" w14:textId="77777777" w:rsidTr="008D780B">
        <w:trPr>
          <w:trHeight w:val="236"/>
          <w:jc w:val="center"/>
        </w:trPr>
        <w:tc>
          <w:tcPr>
            <w:tcW w:w="4164" w:type="dxa"/>
            <w:gridSpan w:val="2"/>
            <w:vAlign w:val="center"/>
          </w:tcPr>
          <w:p w14:paraId="1350D2A2"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1EAD56E9"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7AEBFC1D"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3A427E05" w14:textId="77777777" w:rsidTr="008D780B">
        <w:trPr>
          <w:trHeight w:val="50"/>
          <w:jc w:val="center"/>
        </w:trPr>
        <w:tc>
          <w:tcPr>
            <w:tcW w:w="4164" w:type="dxa"/>
            <w:gridSpan w:val="2"/>
            <w:vAlign w:val="center"/>
          </w:tcPr>
          <w:p w14:paraId="401AE39A" w14:textId="77777777" w:rsidR="00944C07" w:rsidRPr="00D93429" w:rsidRDefault="00944C07" w:rsidP="00D93429">
            <w:pPr>
              <w:spacing w:after="0"/>
              <w:jc w:val="center"/>
              <w:rPr>
                <w:rFonts w:ascii="ITC Avant Garde" w:eastAsia="Times New Roman" w:hAnsi="ITC Avant Garde"/>
                <w:b/>
                <w:bCs/>
                <w:color w:val="000000"/>
                <w:lang w:eastAsia="es-MX"/>
              </w:rPr>
            </w:pPr>
          </w:p>
          <w:p w14:paraId="58612175"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214D6AF6"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320D1099"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35FD1D82" w14:textId="77777777" w:rsidTr="008D780B">
        <w:trPr>
          <w:trHeight w:val="246"/>
          <w:jc w:val="center"/>
        </w:trPr>
        <w:tc>
          <w:tcPr>
            <w:tcW w:w="4164" w:type="dxa"/>
            <w:gridSpan w:val="2"/>
            <w:vAlign w:val="center"/>
            <w:hideMark/>
          </w:tcPr>
          <w:p w14:paraId="23E967C0"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Luis Fernando Borjón Figueroa</w:t>
            </w:r>
          </w:p>
          <w:p w14:paraId="4C3DF3BC"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Comisionado</w:t>
            </w:r>
          </w:p>
        </w:tc>
        <w:tc>
          <w:tcPr>
            <w:tcW w:w="1081" w:type="dxa"/>
            <w:vAlign w:val="center"/>
          </w:tcPr>
          <w:p w14:paraId="7FBC5BF8"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hideMark/>
          </w:tcPr>
          <w:p w14:paraId="78212FC7"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Ernesto Estrada González</w:t>
            </w:r>
          </w:p>
          <w:p w14:paraId="2C32DAB5"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Comisionado</w:t>
            </w:r>
          </w:p>
        </w:tc>
      </w:tr>
      <w:tr w:rsidR="00944C07" w:rsidRPr="00D93429" w14:paraId="3170E46C" w14:textId="77777777" w:rsidTr="008D780B">
        <w:trPr>
          <w:trHeight w:val="50"/>
          <w:jc w:val="center"/>
        </w:trPr>
        <w:tc>
          <w:tcPr>
            <w:tcW w:w="4164" w:type="dxa"/>
            <w:gridSpan w:val="2"/>
            <w:vAlign w:val="center"/>
          </w:tcPr>
          <w:p w14:paraId="4A61D034"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257D3BC6"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506AEF73"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70BCB497" w14:textId="77777777" w:rsidTr="008D780B">
        <w:trPr>
          <w:trHeight w:val="50"/>
          <w:jc w:val="center"/>
        </w:trPr>
        <w:tc>
          <w:tcPr>
            <w:tcW w:w="4164" w:type="dxa"/>
            <w:gridSpan w:val="2"/>
            <w:vAlign w:val="center"/>
          </w:tcPr>
          <w:p w14:paraId="07B2AD0E"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6CA5AB54"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2AAAAD07"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0AC0AA5B" w14:textId="77777777" w:rsidTr="008D780B">
        <w:trPr>
          <w:trHeight w:val="50"/>
          <w:jc w:val="center"/>
        </w:trPr>
        <w:tc>
          <w:tcPr>
            <w:tcW w:w="4164" w:type="dxa"/>
            <w:gridSpan w:val="2"/>
            <w:vAlign w:val="center"/>
          </w:tcPr>
          <w:p w14:paraId="663ED016" w14:textId="77777777" w:rsidR="00944C07" w:rsidRDefault="00944C07" w:rsidP="00D93429">
            <w:pPr>
              <w:spacing w:after="0"/>
              <w:jc w:val="center"/>
              <w:rPr>
                <w:rFonts w:ascii="ITC Avant Garde" w:eastAsia="Times New Roman" w:hAnsi="ITC Avant Garde"/>
                <w:b/>
                <w:bCs/>
                <w:color w:val="000000"/>
                <w:lang w:eastAsia="es-MX"/>
              </w:rPr>
            </w:pPr>
          </w:p>
          <w:p w14:paraId="1268F6E6" w14:textId="77777777" w:rsidR="008D0900" w:rsidRPr="008D0900" w:rsidRDefault="008D0900" w:rsidP="00D93429">
            <w:pPr>
              <w:spacing w:after="0"/>
              <w:jc w:val="center"/>
              <w:rPr>
                <w:rFonts w:ascii="ITC Avant Garde" w:eastAsia="Times New Roman" w:hAnsi="ITC Avant Garde"/>
                <w:b/>
                <w:bCs/>
                <w:color w:val="000000"/>
                <w:sz w:val="10"/>
                <w:lang w:eastAsia="es-MX"/>
              </w:rPr>
            </w:pPr>
          </w:p>
        </w:tc>
        <w:tc>
          <w:tcPr>
            <w:tcW w:w="1081" w:type="dxa"/>
            <w:vAlign w:val="center"/>
          </w:tcPr>
          <w:p w14:paraId="5FD49AB6"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7A402B0E"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6025E4A7" w14:textId="77777777" w:rsidTr="008D780B">
        <w:trPr>
          <w:trHeight w:val="50"/>
          <w:jc w:val="center"/>
        </w:trPr>
        <w:tc>
          <w:tcPr>
            <w:tcW w:w="4164" w:type="dxa"/>
            <w:gridSpan w:val="2"/>
            <w:vAlign w:val="center"/>
            <w:hideMark/>
          </w:tcPr>
          <w:p w14:paraId="1C5418B0"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Adriana Sofía Labardini Inzunza</w:t>
            </w:r>
          </w:p>
          <w:p w14:paraId="6143D12E"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Comisionada</w:t>
            </w:r>
          </w:p>
        </w:tc>
        <w:tc>
          <w:tcPr>
            <w:tcW w:w="1081" w:type="dxa"/>
            <w:vAlign w:val="center"/>
          </w:tcPr>
          <w:p w14:paraId="01BCC93A"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hideMark/>
          </w:tcPr>
          <w:p w14:paraId="42805EAE"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María Elena Estavillo Flores</w:t>
            </w:r>
          </w:p>
          <w:p w14:paraId="51BD2449"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Comisionada</w:t>
            </w:r>
          </w:p>
        </w:tc>
      </w:tr>
      <w:tr w:rsidR="00944C07" w:rsidRPr="00D93429" w14:paraId="21FC86CE" w14:textId="77777777" w:rsidTr="008D780B">
        <w:trPr>
          <w:trHeight w:val="236"/>
          <w:jc w:val="center"/>
        </w:trPr>
        <w:tc>
          <w:tcPr>
            <w:tcW w:w="4164" w:type="dxa"/>
            <w:gridSpan w:val="2"/>
            <w:vAlign w:val="center"/>
          </w:tcPr>
          <w:p w14:paraId="28C1B63B"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2A78CDED"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7780C46D"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12E34AB0" w14:textId="77777777" w:rsidTr="008D780B">
        <w:trPr>
          <w:trHeight w:val="102"/>
          <w:jc w:val="center"/>
        </w:trPr>
        <w:tc>
          <w:tcPr>
            <w:tcW w:w="4164" w:type="dxa"/>
            <w:gridSpan w:val="2"/>
            <w:vAlign w:val="center"/>
          </w:tcPr>
          <w:p w14:paraId="0CCE6C14"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6614F688"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4D42B33F"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16FCC8DE" w14:textId="77777777" w:rsidTr="008D780B">
        <w:trPr>
          <w:trHeight w:val="47"/>
          <w:jc w:val="center"/>
        </w:trPr>
        <w:tc>
          <w:tcPr>
            <w:tcW w:w="4164" w:type="dxa"/>
            <w:gridSpan w:val="2"/>
            <w:vAlign w:val="center"/>
          </w:tcPr>
          <w:p w14:paraId="34B4EA66"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1081" w:type="dxa"/>
            <w:vAlign w:val="center"/>
          </w:tcPr>
          <w:p w14:paraId="1B912831"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vAlign w:val="center"/>
          </w:tcPr>
          <w:p w14:paraId="2ABFB12D" w14:textId="77777777" w:rsidR="00944C07" w:rsidRPr="00D93429" w:rsidRDefault="00944C07" w:rsidP="00D93429">
            <w:pPr>
              <w:spacing w:after="0"/>
              <w:jc w:val="center"/>
              <w:rPr>
                <w:rFonts w:ascii="ITC Avant Garde" w:eastAsia="Times New Roman" w:hAnsi="ITC Avant Garde"/>
                <w:b/>
                <w:bCs/>
                <w:color w:val="000000"/>
                <w:lang w:eastAsia="es-MX"/>
              </w:rPr>
            </w:pPr>
          </w:p>
        </w:tc>
      </w:tr>
      <w:tr w:rsidR="00944C07" w:rsidRPr="00D93429" w14:paraId="7D54FFBF" w14:textId="77777777" w:rsidTr="008D780B">
        <w:trPr>
          <w:trHeight w:val="236"/>
          <w:jc w:val="center"/>
        </w:trPr>
        <w:tc>
          <w:tcPr>
            <w:tcW w:w="4164" w:type="dxa"/>
            <w:gridSpan w:val="2"/>
            <w:vAlign w:val="center"/>
            <w:hideMark/>
          </w:tcPr>
          <w:p w14:paraId="7AB2A4FE"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Mario Germán Fromow Rangel</w:t>
            </w:r>
          </w:p>
          <w:p w14:paraId="327094E4"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Comisionado</w:t>
            </w:r>
          </w:p>
        </w:tc>
        <w:tc>
          <w:tcPr>
            <w:tcW w:w="1081" w:type="dxa"/>
            <w:vAlign w:val="center"/>
          </w:tcPr>
          <w:p w14:paraId="240CC8F8" w14:textId="77777777" w:rsidR="00944C07" w:rsidRPr="00D93429" w:rsidRDefault="00944C07" w:rsidP="00D93429">
            <w:pPr>
              <w:spacing w:after="0"/>
              <w:jc w:val="center"/>
              <w:rPr>
                <w:rFonts w:ascii="ITC Avant Garde" w:eastAsia="Times New Roman" w:hAnsi="ITC Avant Garde"/>
                <w:b/>
                <w:bCs/>
                <w:color w:val="000000"/>
                <w:lang w:eastAsia="es-MX"/>
              </w:rPr>
            </w:pPr>
          </w:p>
        </w:tc>
        <w:tc>
          <w:tcPr>
            <w:tcW w:w="3672" w:type="dxa"/>
            <w:gridSpan w:val="2"/>
            <w:hideMark/>
          </w:tcPr>
          <w:p w14:paraId="19869947"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Adolfo Cuevas Teja</w:t>
            </w:r>
          </w:p>
          <w:p w14:paraId="5BB301B2" w14:textId="77777777" w:rsidR="00944C07" w:rsidRPr="00D93429" w:rsidRDefault="00944C07" w:rsidP="00D93429">
            <w:pPr>
              <w:spacing w:after="0"/>
              <w:jc w:val="center"/>
              <w:rPr>
                <w:rFonts w:ascii="ITC Avant Garde" w:eastAsia="Times New Roman" w:hAnsi="ITC Avant Garde"/>
                <w:b/>
                <w:bCs/>
                <w:color w:val="000000"/>
                <w:lang w:eastAsia="es-MX"/>
              </w:rPr>
            </w:pPr>
            <w:r w:rsidRPr="00D93429">
              <w:rPr>
                <w:rFonts w:ascii="ITC Avant Garde" w:eastAsia="Times New Roman" w:hAnsi="ITC Avant Garde"/>
                <w:b/>
                <w:bCs/>
                <w:color w:val="000000"/>
                <w:lang w:eastAsia="es-MX"/>
              </w:rPr>
              <w:t>Comisionado</w:t>
            </w:r>
          </w:p>
        </w:tc>
      </w:tr>
    </w:tbl>
    <w:p w14:paraId="40476892" w14:textId="77777777" w:rsidR="00944C07" w:rsidRDefault="00944C07" w:rsidP="00D93429">
      <w:pPr>
        <w:autoSpaceDE w:val="0"/>
        <w:autoSpaceDN w:val="0"/>
        <w:adjustRightInd w:val="0"/>
        <w:spacing w:after="0"/>
        <w:jc w:val="both"/>
        <w:rPr>
          <w:rFonts w:ascii="ITC Avant Garde" w:hAnsi="ITC Avant Garde"/>
          <w:sz w:val="5"/>
          <w:szCs w:val="13"/>
        </w:rPr>
      </w:pPr>
    </w:p>
    <w:p w14:paraId="7791A167" w14:textId="77777777" w:rsidR="008D0900" w:rsidRDefault="008D0900" w:rsidP="00D93429">
      <w:pPr>
        <w:autoSpaceDE w:val="0"/>
        <w:autoSpaceDN w:val="0"/>
        <w:adjustRightInd w:val="0"/>
        <w:spacing w:after="0"/>
        <w:jc w:val="both"/>
        <w:rPr>
          <w:rFonts w:ascii="ITC Avant Garde" w:hAnsi="ITC Avant Garde"/>
          <w:sz w:val="5"/>
          <w:szCs w:val="13"/>
        </w:rPr>
      </w:pPr>
    </w:p>
    <w:p w14:paraId="12C1C1E6" w14:textId="77777777" w:rsidR="008D0900" w:rsidRPr="008D0900" w:rsidRDefault="008D0900" w:rsidP="00D93429">
      <w:pPr>
        <w:autoSpaceDE w:val="0"/>
        <w:autoSpaceDN w:val="0"/>
        <w:adjustRightInd w:val="0"/>
        <w:spacing w:after="0"/>
        <w:jc w:val="both"/>
        <w:rPr>
          <w:rFonts w:ascii="ITC Avant Garde" w:hAnsi="ITC Avant Garde"/>
          <w:sz w:val="3"/>
          <w:szCs w:val="13"/>
        </w:rPr>
      </w:pPr>
      <w:bookmarkStart w:id="0" w:name="_GoBack"/>
      <w:bookmarkEnd w:id="0"/>
    </w:p>
    <w:p w14:paraId="7D262CC3" w14:textId="5176350D" w:rsidR="000949CB" w:rsidRPr="000949CB" w:rsidRDefault="000949CB" w:rsidP="000949CB">
      <w:pPr>
        <w:spacing w:line="240" w:lineRule="auto"/>
        <w:jc w:val="both"/>
        <w:rPr>
          <w:rFonts w:ascii="ITC Avant Garde" w:hAnsi="ITC Avant Garde"/>
          <w:bCs/>
          <w:iCs/>
          <w:sz w:val="13"/>
          <w:szCs w:val="13"/>
        </w:rPr>
      </w:pPr>
      <w:r w:rsidRPr="000949CB">
        <w:rPr>
          <w:rFonts w:ascii="ITC Avant Garde" w:hAnsi="ITC Avant Garde"/>
          <w:bCs/>
          <w:iCs/>
          <w:sz w:val="13"/>
          <w:szCs w:val="13"/>
        </w:rPr>
        <w:t>El presente Acuerdo fue aprobado 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sidRPr="000949CB">
        <w:rPr>
          <w:rFonts w:ascii="ITC Avant Garde" w:hAnsi="ITC Avant Garde"/>
          <w:bCs/>
          <w:iCs/>
          <w:sz w:val="13"/>
          <w:szCs w:val="13"/>
        </w:rPr>
        <w:t>25</w:t>
      </w:r>
      <w:r w:rsidRPr="000949CB">
        <w:rPr>
          <w:rFonts w:ascii="ITC Avant Garde" w:hAnsi="ITC Avant Garde"/>
          <w:bCs/>
          <w:iCs/>
          <w:sz w:val="13"/>
          <w:szCs w:val="13"/>
        </w:rPr>
        <w:t>.</w:t>
      </w:r>
    </w:p>
    <w:p w14:paraId="6F34A784" w14:textId="38009464" w:rsidR="00944C07" w:rsidRPr="000949CB" w:rsidRDefault="000949CB" w:rsidP="000949CB">
      <w:pPr>
        <w:spacing w:line="240" w:lineRule="auto"/>
        <w:jc w:val="both"/>
        <w:rPr>
          <w:rFonts w:ascii="ITC Avant Garde" w:hAnsi="ITC Avant Garde"/>
          <w:sz w:val="18"/>
        </w:rPr>
      </w:pPr>
      <w:r w:rsidRPr="000949CB">
        <w:rPr>
          <w:rFonts w:ascii="ITC Avant Garde" w:hAnsi="ITC Avant Garde"/>
          <w:bCs/>
          <w:iCs/>
          <w:sz w:val="13"/>
          <w:szCs w:val="13"/>
        </w:rPr>
        <w:t>El Comisionado Adolfo Cuevas Teja previendo su ausencia justificada a la sesión, emitió su voto razonado por escrito, de conformidad con el artículo 45 tercer párrafo de la Ley Federal de Telecomunicaciones y Radiodifusión.</w:t>
      </w:r>
    </w:p>
    <w:sectPr w:rsidR="00944C07" w:rsidRPr="000949CB" w:rsidSect="00944C07">
      <w:headerReference w:type="even" r:id="rId11"/>
      <w:footerReference w:type="default" r:id="rId12"/>
      <w:headerReference w:type="first" r:id="rId13"/>
      <w:pgSz w:w="12240" w:h="15840"/>
      <w:pgMar w:top="2410" w:right="1467"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A82F5" w14:textId="77777777" w:rsidR="00E35BB2" w:rsidRDefault="00E35BB2" w:rsidP="00072BC8">
      <w:pPr>
        <w:spacing w:after="0" w:line="240" w:lineRule="auto"/>
      </w:pPr>
      <w:r>
        <w:separator/>
      </w:r>
    </w:p>
  </w:endnote>
  <w:endnote w:type="continuationSeparator" w:id="0">
    <w:p w14:paraId="02191913" w14:textId="77777777" w:rsidR="00E35BB2" w:rsidRDefault="00E35BB2"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35A1E9" w14:textId="77777777" w:rsidR="007936CD" w:rsidRPr="00944C07" w:rsidRDefault="007936CD">
    <w:pPr>
      <w:pStyle w:val="Piedepgina"/>
      <w:jc w:val="right"/>
      <w:rPr>
        <w:rFonts w:ascii="ITC Avant Garde" w:hAnsi="ITC Avant Garde"/>
        <w:sz w:val="18"/>
        <w:szCs w:val="18"/>
      </w:rPr>
    </w:pPr>
    <w:r w:rsidRPr="00944C07">
      <w:rPr>
        <w:rFonts w:ascii="ITC Avant Garde" w:hAnsi="ITC Avant Garde"/>
        <w:sz w:val="18"/>
        <w:szCs w:val="18"/>
        <w:lang w:val="es-ES"/>
      </w:rPr>
      <w:t xml:space="preserve">Página </w:t>
    </w:r>
    <w:r w:rsidRPr="00944C07">
      <w:rPr>
        <w:rFonts w:ascii="ITC Avant Garde" w:hAnsi="ITC Avant Garde"/>
        <w:b/>
        <w:bCs/>
        <w:sz w:val="18"/>
        <w:szCs w:val="18"/>
      </w:rPr>
      <w:fldChar w:fldCharType="begin"/>
    </w:r>
    <w:r w:rsidRPr="00944C07">
      <w:rPr>
        <w:rFonts w:ascii="ITC Avant Garde" w:hAnsi="ITC Avant Garde"/>
        <w:b/>
        <w:bCs/>
        <w:sz w:val="18"/>
        <w:szCs w:val="18"/>
      </w:rPr>
      <w:instrText>PAGE</w:instrText>
    </w:r>
    <w:r w:rsidRPr="00944C07">
      <w:rPr>
        <w:rFonts w:ascii="ITC Avant Garde" w:hAnsi="ITC Avant Garde"/>
        <w:b/>
        <w:bCs/>
        <w:sz w:val="18"/>
        <w:szCs w:val="18"/>
      </w:rPr>
      <w:fldChar w:fldCharType="separate"/>
    </w:r>
    <w:r w:rsidR="008D0900">
      <w:rPr>
        <w:rFonts w:ascii="ITC Avant Garde" w:hAnsi="ITC Avant Garde"/>
        <w:b/>
        <w:bCs/>
        <w:noProof/>
        <w:sz w:val="18"/>
        <w:szCs w:val="18"/>
      </w:rPr>
      <w:t>5</w:t>
    </w:r>
    <w:r w:rsidRPr="00944C07">
      <w:rPr>
        <w:rFonts w:ascii="ITC Avant Garde" w:hAnsi="ITC Avant Garde"/>
        <w:b/>
        <w:bCs/>
        <w:sz w:val="18"/>
        <w:szCs w:val="18"/>
      </w:rPr>
      <w:fldChar w:fldCharType="end"/>
    </w:r>
    <w:r w:rsidRPr="00944C07">
      <w:rPr>
        <w:rFonts w:ascii="ITC Avant Garde" w:hAnsi="ITC Avant Garde"/>
        <w:sz w:val="18"/>
        <w:szCs w:val="18"/>
        <w:lang w:val="es-ES"/>
      </w:rPr>
      <w:t xml:space="preserve"> de </w:t>
    </w:r>
    <w:r w:rsidRPr="00944C07">
      <w:rPr>
        <w:rFonts w:ascii="ITC Avant Garde" w:hAnsi="ITC Avant Garde"/>
        <w:b/>
        <w:bCs/>
        <w:sz w:val="18"/>
        <w:szCs w:val="18"/>
      </w:rPr>
      <w:fldChar w:fldCharType="begin"/>
    </w:r>
    <w:r w:rsidRPr="00944C07">
      <w:rPr>
        <w:rFonts w:ascii="ITC Avant Garde" w:hAnsi="ITC Avant Garde"/>
        <w:b/>
        <w:bCs/>
        <w:sz w:val="18"/>
        <w:szCs w:val="18"/>
      </w:rPr>
      <w:instrText>NUMPAGES</w:instrText>
    </w:r>
    <w:r w:rsidRPr="00944C07">
      <w:rPr>
        <w:rFonts w:ascii="ITC Avant Garde" w:hAnsi="ITC Avant Garde"/>
        <w:b/>
        <w:bCs/>
        <w:sz w:val="18"/>
        <w:szCs w:val="18"/>
      </w:rPr>
      <w:fldChar w:fldCharType="separate"/>
    </w:r>
    <w:r w:rsidR="008D0900">
      <w:rPr>
        <w:rFonts w:ascii="ITC Avant Garde" w:hAnsi="ITC Avant Garde"/>
        <w:b/>
        <w:bCs/>
        <w:noProof/>
        <w:sz w:val="18"/>
        <w:szCs w:val="18"/>
      </w:rPr>
      <w:t>5</w:t>
    </w:r>
    <w:r w:rsidRPr="00944C07">
      <w:rPr>
        <w:rFonts w:ascii="ITC Avant Garde" w:hAnsi="ITC Avant Garde"/>
        <w:b/>
        <w:bCs/>
        <w:sz w:val="18"/>
        <w:szCs w:val="18"/>
      </w:rPr>
      <w:fldChar w:fldCharType="end"/>
    </w:r>
  </w:p>
  <w:p w14:paraId="43913AE4" w14:textId="77777777" w:rsidR="007936CD" w:rsidRDefault="007936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54038" w14:textId="77777777" w:rsidR="00E35BB2" w:rsidRDefault="00E35BB2" w:rsidP="00072BC8">
      <w:pPr>
        <w:spacing w:after="0" w:line="240" w:lineRule="auto"/>
      </w:pPr>
      <w:r>
        <w:separator/>
      </w:r>
    </w:p>
  </w:footnote>
  <w:footnote w:type="continuationSeparator" w:id="0">
    <w:p w14:paraId="61BA1393" w14:textId="77777777" w:rsidR="00E35BB2" w:rsidRDefault="00E35BB2"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767CE8" w14:textId="77777777" w:rsidR="007936CD" w:rsidRDefault="00EC49B6">
    <w:pPr>
      <w:pStyle w:val="Encabezado"/>
    </w:pPr>
    <w:r>
      <w:rPr>
        <w:noProof/>
        <w:lang w:eastAsia="es-MX"/>
      </w:rPr>
      <w:pict w14:anchorId="320DA5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2"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Edif2-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91CDA" w14:textId="77777777" w:rsidR="007936CD" w:rsidRDefault="00EC49B6">
    <w:pPr>
      <w:pStyle w:val="Encabezado"/>
    </w:pPr>
    <w:r>
      <w:rPr>
        <w:noProof/>
        <w:lang w:eastAsia="es-MX"/>
      </w:rPr>
      <w:pict w14:anchorId="04AC6A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177121"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Edif2-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E623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7"/>
    <w:multiLevelType w:val="multilevel"/>
    <w:tmpl w:val="670ED9A6"/>
    <w:name w:val="WWNum25"/>
    <w:lvl w:ilvl="0">
      <w:start w:val="1"/>
      <w:numFmt w:val="decimal"/>
      <w:lvlText w:val="%1."/>
      <w:lvlJc w:val="left"/>
      <w:pPr>
        <w:tabs>
          <w:tab w:val="num" w:pos="4602"/>
        </w:tabs>
        <w:ind w:left="5322" w:hanging="360"/>
      </w:pPr>
      <w:rPr>
        <w:b w:val="0"/>
      </w:rPr>
    </w:lvl>
    <w:lvl w:ilvl="1">
      <w:start w:val="1"/>
      <w:numFmt w:val="lowerLetter"/>
      <w:lvlText w:val="%2."/>
      <w:lvlJc w:val="left"/>
      <w:pPr>
        <w:tabs>
          <w:tab w:val="num" w:pos="4602"/>
        </w:tabs>
        <w:ind w:left="6042" w:hanging="360"/>
      </w:pPr>
    </w:lvl>
    <w:lvl w:ilvl="2">
      <w:start w:val="1"/>
      <w:numFmt w:val="lowerRoman"/>
      <w:lvlText w:val="%3."/>
      <w:lvlJc w:val="left"/>
      <w:pPr>
        <w:tabs>
          <w:tab w:val="num" w:pos="4602"/>
        </w:tabs>
        <w:ind w:left="6762" w:hanging="180"/>
      </w:pPr>
    </w:lvl>
    <w:lvl w:ilvl="3">
      <w:start w:val="1"/>
      <w:numFmt w:val="decimal"/>
      <w:lvlText w:val="%4."/>
      <w:lvlJc w:val="left"/>
      <w:pPr>
        <w:tabs>
          <w:tab w:val="num" w:pos="4602"/>
        </w:tabs>
        <w:ind w:left="7482" w:hanging="360"/>
      </w:pPr>
    </w:lvl>
    <w:lvl w:ilvl="4">
      <w:start w:val="1"/>
      <w:numFmt w:val="lowerLetter"/>
      <w:lvlText w:val="%5."/>
      <w:lvlJc w:val="left"/>
      <w:pPr>
        <w:tabs>
          <w:tab w:val="num" w:pos="4602"/>
        </w:tabs>
        <w:ind w:left="8202" w:hanging="360"/>
      </w:pPr>
    </w:lvl>
    <w:lvl w:ilvl="5">
      <w:start w:val="1"/>
      <w:numFmt w:val="lowerRoman"/>
      <w:lvlText w:val="%6."/>
      <w:lvlJc w:val="left"/>
      <w:pPr>
        <w:tabs>
          <w:tab w:val="num" w:pos="4602"/>
        </w:tabs>
        <w:ind w:left="8922" w:hanging="180"/>
      </w:pPr>
    </w:lvl>
    <w:lvl w:ilvl="6">
      <w:start w:val="1"/>
      <w:numFmt w:val="decimal"/>
      <w:lvlText w:val="%7."/>
      <w:lvlJc w:val="left"/>
      <w:pPr>
        <w:tabs>
          <w:tab w:val="num" w:pos="4602"/>
        </w:tabs>
        <w:ind w:left="9642" w:hanging="360"/>
      </w:pPr>
    </w:lvl>
    <w:lvl w:ilvl="7">
      <w:start w:val="1"/>
      <w:numFmt w:val="lowerLetter"/>
      <w:lvlText w:val="%8."/>
      <w:lvlJc w:val="left"/>
      <w:pPr>
        <w:tabs>
          <w:tab w:val="num" w:pos="4602"/>
        </w:tabs>
        <w:ind w:left="10362" w:hanging="360"/>
      </w:pPr>
    </w:lvl>
    <w:lvl w:ilvl="8">
      <w:start w:val="1"/>
      <w:numFmt w:val="lowerRoman"/>
      <w:lvlText w:val="%9."/>
      <w:lvlJc w:val="left"/>
      <w:pPr>
        <w:tabs>
          <w:tab w:val="num" w:pos="4602"/>
        </w:tabs>
        <w:ind w:left="11082" w:hanging="180"/>
      </w:pPr>
    </w:lvl>
  </w:abstractNum>
  <w:abstractNum w:abstractNumId="3" w15:restartNumberingAfterBreak="0">
    <w:nsid w:val="02384194"/>
    <w:multiLevelType w:val="multilevel"/>
    <w:tmpl w:val="F8602F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15:restartNumberingAfterBreak="0">
    <w:nsid w:val="0DAE0DA4"/>
    <w:multiLevelType w:val="hybridMultilevel"/>
    <w:tmpl w:val="5B24F36E"/>
    <w:lvl w:ilvl="0" w:tplc="5064A376">
      <w:numFmt w:val="bullet"/>
      <w:lvlText w:val="-"/>
      <w:lvlJc w:val="left"/>
      <w:pPr>
        <w:ind w:left="720" w:hanging="360"/>
      </w:pPr>
      <w:rPr>
        <w:rFonts w:ascii="ITC Avant Garde" w:eastAsia="Calibri" w:hAnsi="ITC Avant Gard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EC55F9B"/>
    <w:multiLevelType w:val="hybridMultilevel"/>
    <w:tmpl w:val="20465F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18355C"/>
    <w:multiLevelType w:val="hybridMultilevel"/>
    <w:tmpl w:val="6C5A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E1DFA"/>
    <w:multiLevelType w:val="hybridMultilevel"/>
    <w:tmpl w:val="8730E6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66F368C"/>
    <w:multiLevelType w:val="hybridMultilevel"/>
    <w:tmpl w:val="2C566E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2B1AA1"/>
    <w:multiLevelType w:val="hybridMultilevel"/>
    <w:tmpl w:val="51B276C4"/>
    <w:lvl w:ilvl="0" w:tplc="CBC01134">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0" w15:restartNumberingAfterBreak="0">
    <w:nsid w:val="30EC7971"/>
    <w:multiLevelType w:val="hybridMultilevel"/>
    <w:tmpl w:val="ED906B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0A67CD"/>
    <w:multiLevelType w:val="hybridMultilevel"/>
    <w:tmpl w:val="CA5A58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64D446C"/>
    <w:multiLevelType w:val="hybridMultilevel"/>
    <w:tmpl w:val="796234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9C13C3D"/>
    <w:multiLevelType w:val="hybridMultilevel"/>
    <w:tmpl w:val="6C5A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9F36DF"/>
    <w:multiLevelType w:val="hybridMultilevel"/>
    <w:tmpl w:val="ED906B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DCE629B"/>
    <w:multiLevelType w:val="hybridMultilevel"/>
    <w:tmpl w:val="1DAEEB2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FF58A4"/>
    <w:multiLevelType w:val="hybridMultilevel"/>
    <w:tmpl w:val="B486FD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2841403"/>
    <w:multiLevelType w:val="hybridMultilevel"/>
    <w:tmpl w:val="17D21C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59115A0"/>
    <w:multiLevelType w:val="hybridMultilevel"/>
    <w:tmpl w:val="F14A52C2"/>
    <w:lvl w:ilvl="0" w:tplc="315C0A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7C7C7FE0"/>
    <w:multiLevelType w:val="hybridMultilevel"/>
    <w:tmpl w:val="6C5A11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B96408"/>
    <w:multiLevelType w:val="hybridMultilevel"/>
    <w:tmpl w:val="3D80B9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9"/>
  </w:num>
  <w:num w:numId="9">
    <w:abstractNumId w:val="15"/>
  </w:num>
  <w:num w:numId="10">
    <w:abstractNumId w:val="12"/>
  </w:num>
  <w:num w:numId="11">
    <w:abstractNumId w:val="7"/>
  </w:num>
  <w:num w:numId="12">
    <w:abstractNumId w:val="20"/>
  </w:num>
  <w:num w:numId="13">
    <w:abstractNumId w:val="16"/>
  </w:num>
  <w:num w:numId="14">
    <w:abstractNumId w:val="11"/>
  </w:num>
  <w:num w:numId="15">
    <w:abstractNumId w:val="10"/>
  </w:num>
  <w:num w:numId="16">
    <w:abstractNumId w:val="14"/>
  </w:num>
  <w:num w:numId="17">
    <w:abstractNumId w:val="19"/>
  </w:num>
  <w:num w:numId="18">
    <w:abstractNumId w:val="6"/>
  </w:num>
  <w:num w:numId="19">
    <w:abstractNumId w:val="17"/>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70B9"/>
    <w:rsid w:val="000074A1"/>
    <w:rsid w:val="00012677"/>
    <w:rsid w:val="000154B0"/>
    <w:rsid w:val="00032E99"/>
    <w:rsid w:val="00044F48"/>
    <w:rsid w:val="00046772"/>
    <w:rsid w:val="00047436"/>
    <w:rsid w:val="00054400"/>
    <w:rsid w:val="00072BC8"/>
    <w:rsid w:val="000753F0"/>
    <w:rsid w:val="0007590F"/>
    <w:rsid w:val="000803F8"/>
    <w:rsid w:val="00084779"/>
    <w:rsid w:val="0009171D"/>
    <w:rsid w:val="000949CB"/>
    <w:rsid w:val="00095E12"/>
    <w:rsid w:val="00097057"/>
    <w:rsid w:val="000A2E94"/>
    <w:rsid w:val="000E3FD6"/>
    <w:rsid w:val="000F54A7"/>
    <w:rsid w:val="00106523"/>
    <w:rsid w:val="00115424"/>
    <w:rsid w:val="00120124"/>
    <w:rsid w:val="001203F1"/>
    <w:rsid w:val="00124878"/>
    <w:rsid w:val="00125679"/>
    <w:rsid w:val="001272E1"/>
    <w:rsid w:val="001577F7"/>
    <w:rsid w:val="0016727C"/>
    <w:rsid w:val="001705FF"/>
    <w:rsid w:val="001739B2"/>
    <w:rsid w:val="001774ED"/>
    <w:rsid w:val="00181B60"/>
    <w:rsid w:val="0018473D"/>
    <w:rsid w:val="00187F5C"/>
    <w:rsid w:val="00191294"/>
    <w:rsid w:val="00196F29"/>
    <w:rsid w:val="001A13F0"/>
    <w:rsid w:val="001A3582"/>
    <w:rsid w:val="001A7C80"/>
    <w:rsid w:val="001B58A1"/>
    <w:rsid w:val="001E4AF3"/>
    <w:rsid w:val="001F2219"/>
    <w:rsid w:val="001F2A31"/>
    <w:rsid w:val="002043B0"/>
    <w:rsid w:val="00222592"/>
    <w:rsid w:val="0023752B"/>
    <w:rsid w:val="00247933"/>
    <w:rsid w:val="00251BA5"/>
    <w:rsid w:val="002644E9"/>
    <w:rsid w:val="00276E5B"/>
    <w:rsid w:val="002A318D"/>
    <w:rsid w:val="002A489F"/>
    <w:rsid w:val="002B3D39"/>
    <w:rsid w:val="002B4F9F"/>
    <w:rsid w:val="002D6150"/>
    <w:rsid w:val="002D6E97"/>
    <w:rsid w:val="002D78C6"/>
    <w:rsid w:val="002E042D"/>
    <w:rsid w:val="002E5B54"/>
    <w:rsid w:val="002F01AD"/>
    <w:rsid w:val="002F2A2D"/>
    <w:rsid w:val="00310B93"/>
    <w:rsid w:val="00314AD8"/>
    <w:rsid w:val="00317E58"/>
    <w:rsid w:val="003430C2"/>
    <w:rsid w:val="00364CED"/>
    <w:rsid w:val="00370395"/>
    <w:rsid w:val="0037042A"/>
    <w:rsid w:val="003917D1"/>
    <w:rsid w:val="003B445E"/>
    <w:rsid w:val="003B4DD0"/>
    <w:rsid w:val="003E53C2"/>
    <w:rsid w:val="0040233A"/>
    <w:rsid w:val="00412065"/>
    <w:rsid w:val="00415B61"/>
    <w:rsid w:val="00415BCB"/>
    <w:rsid w:val="00423BB5"/>
    <w:rsid w:val="00425419"/>
    <w:rsid w:val="00427CEC"/>
    <w:rsid w:val="00431ABE"/>
    <w:rsid w:val="0043371A"/>
    <w:rsid w:val="00446523"/>
    <w:rsid w:val="004601F5"/>
    <w:rsid w:val="00461566"/>
    <w:rsid w:val="00462204"/>
    <w:rsid w:val="00481711"/>
    <w:rsid w:val="00485074"/>
    <w:rsid w:val="004A3DE6"/>
    <w:rsid w:val="004A78DC"/>
    <w:rsid w:val="004B01CE"/>
    <w:rsid w:val="004B2DCF"/>
    <w:rsid w:val="004B5169"/>
    <w:rsid w:val="004D46BF"/>
    <w:rsid w:val="004D4718"/>
    <w:rsid w:val="004E35BC"/>
    <w:rsid w:val="004F7D05"/>
    <w:rsid w:val="00504FF0"/>
    <w:rsid w:val="00505513"/>
    <w:rsid w:val="005065B9"/>
    <w:rsid w:val="0051488F"/>
    <w:rsid w:val="00517E1C"/>
    <w:rsid w:val="0052178F"/>
    <w:rsid w:val="005339A5"/>
    <w:rsid w:val="00537363"/>
    <w:rsid w:val="00541350"/>
    <w:rsid w:val="00545B98"/>
    <w:rsid w:val="005472FB"/>
    <w:rsid w:val="00554561"/>
    <w:rsid w:val="00556AFF"/>
    <w:rsid w:val="005605A8"/>
    <w:rsid w:val="00561194"/>
    <w:rsid w:val="0057197A"/>
    <w:rsid w:val="0058054F"/>
    <w:rsid w:val="005963A3"/>
    <w:rsid w:val="005C57D0"/>
    <w:rsid w:val="005C586F"/>
    <w:rsid w:val="005C7570"/>
    <w:rsid w:val="005D61BE"/>
    <w:rsid w:val="005E0003"/>
    <w:rsid w:val="005E1306"/>
    <w:rsid w:val="005F5061"/>
    <w:rsid w:val="006020B8"/>
    <w:rsid w:val="00602231"/>
    <w:rsid w:val="00620292"/>
    <w:rsid w:val="00621EBD"/>
    <w:rsid w:val="00630C60"/>
    <w:rsid w:val="0063245F"/>
    <w:rsid w:val="00635669"/>
    <w:rsid w:val="00663676"/>
    <w:rsid w:val="0066634B"/>
    <w:rsid w:val="00675288"/>
    <w:rsid w:val="0067788A"/>
    <w:rsid w:val="00682F8E"/>
    <w:rsid w:val="00692214"/>
    <w:rsid w:val="006935F3"/>
    <w:rsid w:val="00693FDF"/>
    <w:rsid w:val="00697738"/>
    <w:rsid w:val="006A55F5"/>
    <w:rsid w:val="006B4EDF"/>
    <w:rsid w:val="006C3138"/>
    <w:rsid w:val="006E3313"/>
    <w:rsid w:val="006E7E4A"/>
    <w:rsid w:val="006F3A47"/>
    <w:rsid w:val="006F54FC"/>
    <w:rsid w:val="00706242"/>
    <w:rsid w:val="00713032"/>
    <w:rsid w:val="00714D72"/>
    <w:rsid w:val="0071574A"/>
    <w:rsid w:val="0072425E"/>
    <w:rsid w:val="00753AEC"/>
    <w:rsid w:val="00761C83"/>
    <w:rsid w:val="007628F7"/>
    <w:rsid w:val="00763A4C"/>
    <w:rsid w:val="00765A9E"/>
    <w:rsid w:val="00780AEE"/>
    <w:rsid w:val="00784E66"/>
    <w:rsid w:val="007936CD"/>
    <w:rsid w:val="007941A2"/>
    <w:rsid w:val="00794E05"/>
    <w:rsid w:val="007A7811"/>
    <w:rsid w:val="007B0271"/>
    <w:rsid w:val="007B536C"/>
    <w:rsid w:val="007D0258"/>
    <w:rsid w:val="007D19AA"/>
    <w:rsid w:val="007D303F"/>
    <w:rsid w:val="007D64E3"/>
    <w:rsid w:val="007E5DF3"/>
    <w:rsid w:val="007F1A60"/>
    <w:rsid w:val="007F1E50"/>
    <w:rsid w:val="007F4AB6"/>
    <w:rsid w:val="007F56E5"/>
    <w:rsid w:val="00812301"/>
    <w:rsid w:val="008303AA"/>
    <w:rsid w:val="008304B4"/>
    <w:rsid w:val="008313E9"/>
    <w:rsid w:val="00836A2C"/>
    <w:rsid w:val="00852C0D"/>
    <w:rsid w:val="0087149A"/>
    <w:rsid w:val="0087570F"/>
    <w:rsid w:val="008817E9"/>
    <w:rsid w:val="0088760F"/>
    <w:rsid w:val="008A6676"/>
    <w:rsid w:val="008A7CF9"/>
    <w:rsid w:val="008B0B96"/>
    <w:rsid w:val="008B1081"/>
    <w:rsid w:val="008B2F1C"/>
    <w:rsid w:val="008B39F9"/>
    <w:rsid w:val="008C3C6A"/>
    <w:rsid w:val="008C43EB"/>
    <w:rsid w:val="008D0900"/>
    <w:rsid w:val="008D15F0"/>
    <w:rsid w:val="008D35EF"/>
    <w:rsid w:val="008D780B"/>
    <w:rsid w:val="008E3CFC"/>
    <w:rsid w:val="008E4556"/>
    <w:rsid w:val="008F0390"/>
    <w:rsid w:val="008F4263"/>
    <w:rsid w:val="00906CDE"/>
    <w:rsid w:val="00911278"/>
    <w:rsid w:val="00916A7E"/>
    <w:rsid w:val="00933829"/>
    <w:rsid w:val="009403C9"/>
    <w:rsid w:val="00942CB7"/>
    <w:rsid w:val="00944C07"/>
    <w:rsid w:val="0095783C"/>
    <w:rsid w:val="00966089"/>
    <w:rsid w:val="009824F5"/>
    <w:rsid w:val="0098347A"/>
    <w:rsid w:val="00994AD0"/>
    <w:rsid w:val="009A327C"/>
    <w:rsid w:val="009B4181"/>
    <w:rsid w:val="009B4453"/>
    <w:rsid w:val="009C0845"/>
    <w:rsid w:val="009C240A"/>
    <w:rsid w:val="009D222A"/>
    <w:rsid w:val="009D69E1"/>
    <w:rsid w:val="009F7460"/>
    <w:rsid w:val="009F7889"/>
    <w:rsid w:val="00A03062"/>
    <w:rsid w:val="00A06157"/>
    <w:rsid w:val="00A2574F"/>
    <w:rsid w:val="00A35846"/>
    <w:rsid w:val="00A47402"/>
    <w:rsid w:val="00A52A54"/>
    <w:rsid w:val="00A65931"/>
    <w:rsid w:val="00A72CF9"/>
    <w:rsid w:val="00A7707C"/>
    <w:rsid w:val="00A800D1"/>
    <w:rsid w:val="00A90251"/>
    <w:rsid w:val="00A9314F"/>
    <w:rsid w:val="00A94900"/>
    <w:rsid w:val="00AA2603"/>
    <w:rsid w:val="00AA668A"/>
    <w:rsid w:val="00AA7502"/>
    <w:rsid w:val="00AB14B2"/>
    <w:rsid w:val="00AB14D7"/>
    <w:rsid w:val="00AB455E"/>
    <w:rsid w:val="00AD77C3"/>
    <w:rsid w:val="00AF4857"/>
    <w:rsid w:val="00B044F4"/>
    <w:rsid w:val="00B06546"/>
    <w:rsid w:val="00B075A0"/>
    <w:rsid w:val="00B122E7"/>
    <w:rsid w:val="00B20373"/>
    <w:rsid w:val="00B21D08"/>
    <w:rsid w:val="00B23A66"/>
    <w:rsid w:val="00B25916"/>
    <w:rsid w:val="00B50CB6"/>
    <w:rsid w:val="00B51C52"/>
    <w:rsid w:val="00B616AC"/>
    <w:rsid w:val="00B648B2"/>
    <w:rsid w:val="00B67FF9"/>
    <w:rsid w:val="00B7761C"/>
    <w:rsid w:val="00BA37FF"/>
    <w:rsid w:val="00BA40DE"/>
    <w:rsid w:val="00BA4AB2"/>
    <w:rsid w:val="00BB208D"/>
    <w:rsid w:val="00BB22C6"/>
    <w:rsid w:val="00BB5794"/>
    <w:rsid w:val="00BC7CC8"/>
    <w:rsid w:val="00BD13E1"/>
    <w:rsid w:val="00BD1B05"/>
    <w:rsid w:val="00BD7D90"/>
    <w:rsid w:val="00BE48A2"/>
    <w:rsid w:val="00BF27DF"/>
    <w:rsid w:val="00C00897"/>
    <w:rsid w:val="00C141CA"/>
    <w:rsid w:val="00C249E1"/>
    <w:rsid w:val="00C26DBE"/>
    <w:rsid w:val="00C33352"/>
    <w:rsid w:val="00C362E9"/>
    <w:rsid w:val="00C41F30"/>
    <w:rsid w:val="00C62CF8"/>
    <w:rsid w:val="00C815DF"/>
    <w:rsid w:val="00C84F74"/>
    <w:rsid w:val="00C8767F"/>
    <w:rsid w:val="00CA0907"/>
    <w:rsid w:val="00CA47B3"/>
    <w:rsid w:val="00CA6916"/>
    <w:rsid w:val="00CB2968"/>
    <w:rsid w:val="00CB5C46"/>
    <w:rsid w:val="00CB6937"/>
    <w:rsid w:val="00CB707C"/>
    <w:rsid w:val="00CC2646"/>
    <w:rsid w:val="00CC4C0B"/>
    <w:rsid w:val="00CE54B1"/>
    <w:rsid w:val="00CF5F35"/>
    <w:rsid w:val="00D02D4E"/>
    <w:rsid w:val="00D2336A"/>
    <w:rsid w:val="00D30236"/>
    <w:rsid w:val="00D4008B"/>
    <w:rsid w:val="00D4217A"/>
    <w:rsid w:val="00D47660"/>
    <w:rsid w:val="00D632AE"/>
    <w:rsid w:val="00D754FD"/>
    <w:rsid w:val="00D817AD"/>
    <w:rsid w:val="00D93429"/>
    <w:rsid w:val="00D936EF"/>
    <w:rsid w:val="00D97A68"/>
    <w:rsid w:val="00DB31E5"/>
    <w:rsid w:val="00DC16E0"/>
    <w:rsid w:val="00DC2604"/>
    <w:rsid w:val="00DE40C0"/>
    <w:rsid w:val="00DE776D"/>
    <w:rsid w:val="00DF205E"/>
    <w:rsid w:val="00E02638"/>
    <w:rsid w:val="00E20E2E"/>
    <w:rsid w:val="00E23F13"/>
    <w:rsid w:val="00E35BB2"/>
    <w:rsid w:val="00E42AFF"/>
    <w:rsid w:val="00E51DFA"/>
    <w:rsid w:val="00E5723F"/>
    <w:rsid w:val="00E73A26"/>
    <w:rsid w:val="00E85C2F"/>
    <w:rsid w:val="00E87F00"/>
    <w:rsid w:val="00EA3CE0"/>
    <w:rsid w:val="00EA71D2"/>
    <w:rsid w:val="00EB732F"/>
    <w:rsid w:val="00EE7C64"/>
    <w:rsid w:val="00F04843"/>
    <w:rsid w:val="00F214A5"/>
    <w:rsid w:val="00F27D72"/>
    <w:rsid w:val="00F47C55"/>
    <w:rsid w:val="00F617D6"/>
    <w:rsid w:val="00F672F7"/>
    <w:rsid w:val="00F71E42"/>
    <w:rsid w:val="00F73814"/>
    <w:rsid w:val="00F742D3"/>
    <w:rsid w:val="00F86480"/>
    <w:rsid w:val="00FC0B37"/>
    <w:rsid w:val="00FC72EC"/>
    <w:rsid w:val="00FD2E17"/>
    <w:rsid w:val="00FE0ACF"/>
    <w:rsid w:val="00FF720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3FE9B2AB"/>
  <w15:docId w15:val="{1923DFC6-E09F-406B-9F8A-74A7D40D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customStyle="1" w:styleId="Listavistosa-nfasis11">
    <w:name w:val="Lista vistosa - Énfasis 11"/>
    <w:basedOn w:val="Normal"/>
    <w:link w:val="Listavistosa-nfasis1Car"/>
    <w:uiPriority w:val="34"/>
    <w:qFormat/>
    <w:rsid w:val="003B445E"/>
    <w:pPr>
      <w:ind w:left="720"/>
      <w:contextualSpacing/>
    </w:pPr>
    <w:rPr>
      <w:rFonts w:ascii="ITC Avant Garde" w:hAnsi="ITC Avant Garde" w:cs="Tahoma"/>
      <w:bCs/>
      <w:lang w:eastAsia="es-MX"/>
    </w:rPr>
  </w:style>
  <w:style w:type="paragraph" w:styleId="Textodeglobo">
    <w:name w:val="Balloon Text"/>
    <w:basedOn w:val="Normal"/>
    <w:link w:val="TextodegloboCar"/>
    <w:uiPriority w:val="99"/>
    <w:semiHidden/>
    <w:unhideWhenUsed/>
    <w:rsid w:val="00CC4C0B"/>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C4C0B"/>
    <w:rPr>
      <w:rFonts w:ascii="Segoe UI" w:hAnsi="Segoe UI" w:cs="Segoe UI"/>
      <w:sz w:val="18"/>
      <w:szCs w:val="18"/>
      <w:lang w:eastAsia="en-US"/>
    </w:rPr>
  </w:style>
  <w:style w:type="character" w:customStyle="1" w:styleId="Listavistosa-nfasis1Car">
    <w:name w:val="Lista vistosa - Énfasis 1 Car"/>
    <w:link w:val="Listavistosa-nfasis11"/>
    <w:uiPriority w:val="34"/>
    <w:locked/>
    <w:rsid w:val="007D303F"/>
    <w:rPr>
      <w:rFonts w:ascii="ITC Avant Garde" w:hAnsi="ITC Avant Garde" w:cs="Tahoma"/>
      <w:bCs/>
      <w:sz w:val="22"/>
      <w:szCs w:val="22"/>
    </w:rPr>
  </w:style>
  <w:style w:type="paragraph" w:customStyle="1" w:styleId="Texto">
    <w:name w:val="Texto"/>
    <w:basedOn w:val="Normal"/>
    <w:link w:val="TextoCar"/>
    <w:rsid w:val="005D61BE"/>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D61BE"/>
    <w:rPr>
      <w:rFonts w:ascii="Arial" w:eastAsia="Times New Roman" w:hAnsi="Arial" w:cs="Arial"/>
      <w:sz w:val="18"/>
      <w:lang w:val="es-ES" w:eastAsia="es-ES"/>
    </w:rPr>
  </w:style>
  <w:style w:type="character" w:styleId="Refdecomentario">
    <w:name w:val="annotation reference"/>
    <w:uiPriority w:val="99"/>
    <w:semiHidden/>
    <w:unhideWhenUsed/>
    <w:rsid w:val="00A94900"/>
    <w:rPr>
      <w:sz w:val="18"/>
      <w:szCs w:val="18"/>
    </w:rPr>
  </w:style>
  <w:style w:type="paragraph" w:styleId="Textocomentario">
    <w:name w:val="annotation text"/>
    <w:basedOn w:val="Normal"/>
    <w:link w:val="TextocomentarioCar"/>
    <w:uiPriority w:val="99"/>
    <w:unhideWhenUsed/>
    <w:rsid w:val="00A94900"/>
    <w:rPr>
      <w:sz w:val="24"/>
      <w:szCs w:val="24"/>
    </w:rPr>
  </w:style>
  <w:style w:type="character" w:customStyle="1" w:styleId="TextocomentarioCar">
    <w:name w:val="Texto comentario Car"/>
    <w:link w:val="Textocomentario"/>
    <w:uiPriority w:val="99"/>
    <w:rsid w:val="00A94900"/>
    <w:rPr>
      <w:sz w:val="24"/>
      <w:szCs w:val="24"/>
      <w:lang w:eastAsia="en-US"/>
    </w:rPr>
  </w:style>
  <w:style w:type="paragraph" w:styleId="Asuntodelcomentario">
    <w:name w:val="annotation subject"/>
    <w:basedOn w:val="Textocomentario"/>
    <w:next w:val="Textocomentario"/>
    <w:link w:val="AsuntodelcomentarioCar"/>
    <w:uiPriority w:val="99"/>
    <w:semiHidden/>
    <w:unhideWhenUsed/>
    <w:rsid w:val="00A94900"/>
    <w:rPr>
      <w:b/>
      <w:bCs/>
      <w:sz w:val="20"/>
      <w:szCs w:val="20"/>
    </w:rPr>
  </w:style>
  <w:style w:type="character" w:customStyle="1" w:styleId="AsuntodelcomentarioCar">
    <w:name w:val="Asunto del comentario Car"/>
    <w:link w:val="Asuntodelcomentario"/>
    <w:uiPriority w:val="99"/>
    <w:semiHidden/>
    <w:rsid w:val="00A94900"/>
    <w:rPr>
      <w:b/>
      <w:bCs/>
      <w:sz w:val="24"/>
      <w:szCs w:val="24"/>
      <w:lang w:eastAsia="en-US"/>
    </w:rPr>
  </w:style>
  <w:style w:type="paragraph" w:styleId="Prrafodelista">
    <w:name w:val="List Paragraph"/>
    <w:basedOn w:val="Normal"/>
    <w:link w:val="PrrafodelistaCar"/>
    <w:uiPriority w:val="34"/>
    <w:qFormat/>
    <w:rsid w:val="008A7CF9"/>
    <w:pPr>
      <w:ind w:left="720"/>
      <w:contextualSpacing/>
    </w:pPr>
    <w:rPr>
      <w:rFonts w:ascii="ITC Avant Garde" w:hAnsi="ITC Avant Garde" w:cs="Tahoma"/>
      <w:bCs/>
      <w:lang w:eastAsia="es-MX"/>
    </w:rPr>
  </w:style>
  <w:style w:type="character" w:customStyle="1" w:styleId="PrrafodelistaCar">
    <w:name w:val="Párrafo de lista Car"/>
    <w:link w:val="Prrafodelista"/>
    <w:uiPriority w:val="34"/>
    <w:locked/>
    <w:rsid w:val="008A7CF9"/>
    <w:rPr>
      <w:rFonts w:ascii="ITC Avant Garde" w:hAnsi="ITC Avant Garde" w:cs="Tahoma"/>
      <w:bCs/>
      <w:sz w:val="22"/>
      <w:szCs w:val="22"/>
    </w:rPr>
  </w:style>
  <w:style w:type="paragraph" w:styleId="Textonotapie">
    <w:name w:val="footnote text"/>
    <w:basedOn w:val="Normal"/>
    <w:link w:val="TextonotapieCar"/>
    <w:uiPriority w:val="99"/>
    <w:semiHidden/>
    <w:unhideWhenUsed/>
    <w:rsid w:val="008A7CF9"/>
    <w:rPr>
      <w:sz w:val="20"/>
      <w:szCs w:val="20"/>
    </w:rPr>
  </w:style>
  <w:style w:type="character" w:customStyle="1" w:styleId="TextonotapieCar">
    <w:name w:val="Texto nota pie Car"/>
    <w:link w:val="Textonotapie"/>
    <w:uiPriority w:val="99"/>
    <w:semiHidden/>
    <w:rsid w:val="008A7CF9"/>
    <w:rPr>
      <w:lang w:eastAsia="en-US"/>
    </w:rPr>
  </w:style>
  <w:style w:type="character" w:styleId="Refdenotaalpie">
    <w:name w:val="footnote reference"/>
    <w:uiPriority w:val="99"/>
    <w:semiHidden/>
    <w:unhideWhenUsed/>
    <w:rsid w:val="008A7CF9"/>
    <w:rPr>
      <w:vertAlign w:val="superscript"/>
    </w:rPr>
  </w:style>
  <w:style w:type="table" w:styleId="Tablaconcuadrcula">
    <w:name w:val="Table Grid"/>
    <w:basedOn w:val="Tablanormal"/>
    <w:uiPriority w:val="39"/>
    <w:rsid w:val="0063245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C2604"/>
  </w:style>
  <w:style w:type="paragraph" w:styleId="Revisin">
    <w:name w:val="Revision"/>
    <w:hidden/>
    <w:uiPriority w:val="99"/>
    <w:semiHidden/>
    <w:rsid w:val="007936C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671147">
      <w:bodyDiv w:val="1"/>
      <w:marLeft w:val="0"/>
      <w:marRight w:val="0"/>
      <w:marTop w:val="0"/>
      <w:marBottom w:val="0"/>
      <w:divBdr>
        <w:top w:val="none" w:sz="0" w:space="0" w:color="auto"/>
        <w:left w:val="none" w:sz="0" w:space="0" w:color="auto"/>
        <w:bottom w:val="none" w:sz="0" w:space="0" w:color="auto"/>
        <w:right w:val="none" w:sz="0" w:space="0" w:color="auto"/>
      </w:divBdr>
    </w:div>
    <w:div w:id="781337087">
      <w:bodyDiv w:val="1"/>
      <w:marLeft w:val="0"/>
      <w:marRight w:val="0"/>
      <w:marTop w:val="0"/>
      <w:marBottom w:val="0"/>
      <w:divBdr>
        <w:top w:val="none" w:sz="0" w:space="0" w:color="auto"/>
        <w:left w:val="none" w:sz="0" w:space="0" w:color="auto"/>
        <w:bottom w:val="none" w:sz="0" w:space="0" w:color="auto"/>
        <w:right w:val="none" w:sz="0" w:space="0" w:color="auto"/>
      </w:divBdr>
    </w:div>
    <w:div w:id="983387397">
      <w:bodyDiv w:val="1"/>
      <w:marLeft w:val="0"/>
      <w:marRight w:val="0"/>
      <w:marTop w:val="0"/>
      <w:marBottom w:val="0"/>
      <w:divBdr>
        <w:top w:val="none" w:sz="0" w:space="0" w:color="auto"/>
        <w:left w:val="none" w:sz="0" w:space="0" w:color="auto"/>
        <w:bottom w:val="none" w:sz="0" w:space="0" w:color="auto"/>
        <w:right w:val="none" w:sz="0" w:space="0" w:color="auto"/>
      </w:divBdr>
      <w:divsChild>
        <w:div w:id="1558053129">
          <w:marLeft w:val="0"/>
          <w:marRight w:val="0"/>
          <w:marTop w:val="0"/>
          <w:marBottom w:val="101"/>
          <w:divBdr>
            <w:top w:val="none" w:sz="0" w:space="0" w:color="auto"/>
            <w:left w:val="none" w:sz="0" w:space="0" w:color="auto"/>
            <w:bottom w:val="none" w:sz="0" w:space="0" w:color="auto"/>
            <w:right w:val="none" w:sz="0" w:space="0" w:color="auto"/>
          </w:divBdr>
        </w:div>
        <w:div w:id="1290354994">
          <w:marLeft w:val="288"/>
          <w:marRight w:val="1008"/>
          <w:marTop w:val="0"/>
          <w:marBottom w:val="101"/>
          <w:divBdr>
            <w:top w:val="none" w:sz="0" w:space="0" w:color="auto"/>
            <w:left w:val="none" w:sz="0" w:space="0" w:color="auto"/>
            <w:bottom w:val="none" w:sz="0" w:space="0" w:color="auto"/>
            <w:right w:val="none" w:sz="0" w:space="0" w:color="auto"/>
          </w:divBdr>
        </w:div>
        <w:div w:id="1050693395">
          <w:marLeft w:val="288"/>
          <w:marRight w:val="1008"/>
          <w:marTop w:val="0"/>
          <w:marBottom w:val="101"/>
          <w:divBdr>
            <w:top w:val="none" w:sz="0" w:space="0" w:color="auto"/>
            <w:left w:val="none" w:sz="0" w:space="0" w:color="auto"/>
            <w:bottom w:val="none" w:sz="0" w:space="0" w:color="auto"/>
            <w:right w:val="none" w:sz="0" w:space="0" w:color="auto"/>
          </w:divBdr>
        </w:div>
        <w:div w:id="788596314">
          <w:marLeft w:val="288"/>
          <w:marRight w:val="1008"/>
          <w:marTop w:val="0"/>
          <w:marBottom w:val="101"/>
          <w:divBdr>
            <w:top w:val="none" w:sz="0" w:space="0" w:color="auto"/>
            <w:left w:val="none" w:sz="0" w:space="0" w:color="auto"/>
            <w:bottom w:val="none" w:sz="0" w:space="0" w:color="auto"/>
            <w:right w:val="none" w:sz="0" w:space="0" w:color="auto"/>
          </w:divBdr>
        </w:div>
        <w:div w:id="1066997600">
          <w:marLeft w:val="288"/>
          <w:marRight w:val="1008"/>
          <w:marTop w:val="0"/>
          <w:marBottom w:val="101"/>
          <w:divBdr>
            <w:top w:val="none" w:sz="0" w:space="0" w:color="auto"/>
            <w:left w:val="none" w:sz="0" w:space="0" w:color="auto"/>
            <w:bottom w:val="none" w:sz="0" w:space="0" w:color="auto"/>
            <w:right w:val="none" w:sz="0" w:space="0" w:color="auto"/>
          </w:divBdr>
        </w:div>
        <w:div w:id="1402754017">
          <w:marLeft w:val="0"/>
          <w:marRight w:val="0"/>
          <w:marTop w:val="0"/>
          <w:marBottom w:val="101"/>
          <w:divBdr>
            <w:top w:val="none" w:sz="0" w:space="0" w:color="auto"/>
            <w:left w:val="none" w:sz="0" w:space="0" w:color="auto"/>
            <w:bottom w:val="none" w:sz="0" w:space="0" w:color="auto"/>
            <w:right w:val="none" w:sz="0" w:space="0" w:color="auto"/>
          </w:divBdr>
        </w:div>
        <w:div w:id="1870097071">
          <w:marLeft w:val="0"/>
          <w:marRight w:val="0"/>
          <w:marTop w:val="0"/>
          <w:marBottom w:val="101"/>
          <w:divBdr>
            <w:top w:val="none" w:sz="0" w:space="0" w:color="auto"/>
            <w:left w:val="none" w:sz="0" w:space="0" w:color="auto"/>
            <w:bottom w:val="none" w:sz="0" w:space="0" w:color="auto"/>
            <w:right w:val="none" w:sz="0" w:space="0" w:color="auto"/>
          </w:divBdr>
        </w:div>
        <w:div w:id="1868828954">
          <w:marLeft w:val="0"/>
          <w:marRight w:val="0"/>
          <w:marTop w:val="0"/>
          <w:marBottom w:val="101"/>
          <w:divBdr>
            <w:top w:val="none" w:sz="0" w:space="0" w:color="auto"/>
            <w:left w:val="none" w:sz="0" w:space="0" w:color="auto"/>
            <w:bottom w:val="none" w:sz="0" w:space="0" w:color="auto"/>
            <w:right w:val="none" w:sz="0" w:space="0" w:color="auto"/>
          </w:divBdr>
        </w:div>
        <w:div w:id="480389368">
          <w:marLeft w:val="288"/>
          <w:marRight w:val="1008"/>
          <w:marTop w:val="0"/>
          <w:marBottom w:val="101"/>
          <w:divBdr>
            <w:top w:val="none" w:sz="0" w:space="0" w:color="auto"/>
            <w:left w:val="none" w:sz="0" w:space="0" w:color="auto"/>
            <w:bottom w:val="none" w:sz="0" w:space="0" w:color="auto"/>
            <w:right w:val="none" w:sz="0" w:space="0" w:color="auto"/>
          </w:divBdr>
        </w:div>
      </w:divsChild>
    </w:div>
    <w:div w:id="138493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F9B726321B4A3448B30A47EA8E28E9E" ma:contentTypeVersion="0" ma:contentTypeDescription="Crear nuevo documento." ma:contentTypeScope="" ma:versionID="f18349b6eec2de5b96ae8586d98a08a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9574D-88B8-4ACA-8796-89FE7007C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399C3F3-FC86-4398-91DE-64D758999CC0}">
  <ds:schemaRef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682AB6BF-EA9E-45A6-BB6B-B53F81BD8448}">
  <ds:schemaRefs>
    <ds:schemaRef ds:uri="http://schemas.microsoft.com/sharepoint/v3/contenttype/forms"/>
  </ds:schemaRefs>
</ds:datastoreItem>
</file>

<file path=customXml/itemProps4.xml><?xml version="1.0" encoding="utf-8"?>
<ds:datastoreItem xmlns:ds="http://schemas.openxmlformats.org/officeDocument/2006/customXml" ds:itemID="{DE48E803-5C5B-414A-9FCA-BA7D13EF6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1592</Words>
  <Characters>8761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Eslava Herrada</dc:creator>
  <cp:keywords/>
  <cp:lastModifiedBy>Karen Beatriz Martinez Munguia</cp:lastModifiedBy>
  <cp:revision>25</cp:revision>
  <cp:lastPrinted>2015-07-13T22:40:00Z</cp:lastPrinted>
  <dcterms:created xsi:type="dcterms:W3CDTF">2015-07-13T16:49:00Z</dcterms:created>
  <dcterms:modified xsi:type="dcterms:W3CDTF">2015-07-13T22:48:00Z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0x0101001F9B726321B4A3448B30A47EA8E28E9E</vt:lpwstr>
  </property>
</Properties>
</file>