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08DA1" w14:textId="607B4C61" w:rsidR="00DC00DB" w:rsidRPr="00D03948" w:rsidRDefault="00DC00DB" w:rsidP="00317696">
      <w:pPr>
        <w:spacing w:after="0"/>
        <w:contextualSpacing/>
        <w:jc w:val="both"/>
        <w:rPr>
          <w:rFonts w:ascii="ITC Avant Garde" w:hAnsi="ITC Avant Garde"/>
          <w:b/>
          <w:color w:val="000000" w:themeColor="text1"/>
          <w:szCs w:val="21"/>
        </w:rPr>
      </w:pPr>
      <w:r w:rsidRPr="00D03948">
        <w:rPr>
          <w:rFonts w:ascii="ITC Avant Garde" w:hAnsi="ITC Avant Garde"/>
          <w:b/>
          <w:color w:val="000000" w:themeColor="text1"/>
          <w:szCs w:val="21"/>
        </w:rPr>
        <w:t>ACUERDO MEDIANTE EL CUAL EL PLENO DEL INSTITUTO FEDER</w:t>
      </w:r>
      <w:r w:rsidR="00A17EC8">
        <w:rPr>
          <w:rFonts w:ascii="ITC Avant Garde" w:hAnsi="ITC Avant Garde"/>
          <w:b/>
          <w:color w:val="000000" w:themeColor="text1"/>
          <w:szCs w:val="21"/>
        </w:rPr>
        <w:t>AL DE TELECOMUNICACIONES DETERMINA</w:t>
      </w:r>
      <w:r w:rsidRPr="00D03948">
        <w:rPr>
          <w:rFonts w:ascii="ITC Avant Garde" w:hAnsi="ITC Avant Garde"/>
          <w:b/>
          <w:color w:val="000000" w:themeColor="text1"/>
          <w:szCs w:val="21"/>
        </w:rPr>
        <w:t xml:space="preserve"> SOMETER A CONSULTA PÚBLICA </w:t>
      </w:r>
      <w:r w:rsidRPr="008C7B86">
        <w:rPr>
          <w:rFonts w:ascii="ITC Avant Garde" w:hAnsi="ITC Avant Garde"/>
          <w:b/>
          <w:color w:val="000000" w:themeColor="text1"/>
          <w:szCs w:val="21"/>
        </w:rPr>
        <w:t>EL</w:t>
      </w:r>
      <w:r w:rsidRPr="00D03948">
        <w:rPr>
          <w:rFonts w:ascii="ITC Avant Garde" w:hAnsi="ITC Avant Garde"/>
          <w:b/>
          <w:i/>
          <w:color w:val="000000" w:themeColor="text1"/>
          <w:szCs w:val="21"/>
        </w:rPr>
        <w:t xml:space="preserve"> </w:t>
      </w:r>
      <w:r w:rsidR="008C7B86">
        <w:rPr>
          <w:rFonts w:ascii="ITC Avant Garde" w:hAnsi="ITC Avant Garde"/>
          <w:b/>
          <w:i/>
          <w:color w:val="000000" w:themeColor="text1"/>
          <w:szCs w:val="21"/>
        </w:rPr>
        <w:t>“</w:t>
      </w:r>
      <w:r w:rsidRPr="00D03948">
        <w:rPr>
          <w:rFonts w:ascii="ITC Avant Garde" w:hAnsi="ITC Avant Garde"/>
          <w:b/>
          <w:i/>
          <w:color w:val="000000" w:themeColor="text1"/>
          <w:szCs w:val="21"/>
        </w:rPr>
        <w:t>ANTEPROYECTO DE LINEAMIENTOS GENERALES SOBRE LA AUTORIZACIÓN DE ARRENDAMIENTO DE ESPECTRO RADIOELÉCTRICO”</w:t>
      </w:r>
      <w:r w:rsidRPr="00D03948">
        <w:rPr>
          <w:rFonts w:ascii="ITC Avant Garde" w:hAnsi="ITC Avant Garde"/>
          <w:b/>
          <w:color w:val="000000" w:themeColor="text1"/>
          <w:szCs w:val="21"/>
        </w:rPr>
        <w:t>.</w:t>
      </w:r>
    </w:p>
    <w:p w14:paraId="0C362911" w14:textId="77777777" w:rsidR="00DC00DB" w:rsidRPr="00D03948" w:rsidRDefault="00DC00DB" w:rsidP="00317696">
      <w:pPr>
        <w:keepNext/>
        <w:keepLines/>
        <w:spacing w:after="0"/>
        <w:contextualSpacing/>
        <w:jc w:val="both"/>
        <w:outlineLvl w:val="0"/>
        <w:rPr>
          <w:rFonts w:ascii="ITC Avant Garde" w:eastAsiaTheme="majorEastAsia" w:hAnsi="ITC Avant Garde" w:cstheme="majorBidi"/>
          <w:b/>
          <w:color w:val="000000" w:themeColor="text1"/>
          <w:szCs w:val="21"/>
        </w:rPr>
      </w:pPr>
    </w:p>
    <w:p w14:paraId="14D220E8" w14:textId="77777777" w:rsidR="00DC00DB" w:rsidRPr="00D03948" w:rsidRDefault="00DC00DB" w:rsidP="00317696">
      <w:pPr>
        <w:keepNext/>
        <w:keepLines/>
        <w:spacing w:after="0"/>
        <w:contextualSpacing/>
        <w:jc w:val="center"/>
        <w:outlineLvl w:val="1"/>
        <w:rPr>
          <w:rFonts w:ascii="ITC Avant Garde" w:eastAsiaTheme="majorEastAsia" w:hAnsi="ITC Avant Garde" w:cstheme="majorBidi"/>
          <w:b/>
          <w:color w:val="000000" w:themeColor="text1"/>
          <w:szCs w:val="21"/>
        </w:rPr>
      </w:pPr>
      <w:bookmarkStart w:id="0" w:name="_Toc413840354"/>
      <w:bookmarkStart w:id="1" w:name="_Toc413918667"/>
      <w:r w:rsidRPr="00D03948">
        <w:rPr>
          <w:rFonts w:ascii="ITC Avant Garde" w:eastAsiaTheme="majorEastAsia" w:hAnsi="ITC Avant Garde" w:cstheme="majorBidi"/>
          <w:b/>
          <w:color w:val="000000" w:themeColor="text1"/>
          <w:szCs w:val="21"/>
        </w:rPr>
        <w:t>ANTECEDENTES</w:t>
      </w:r>
      <w:bookmarkEnd w:id="0"/>
      <w:bookmarkEnd w:id="1"/>
    </w:p>
    <w:p w14:paraId="5C4532CE" w14:textId="77777777" w:rsidR="00DC00DB" w:rsidRPr="00D03948" w:rsidRDefault="00DC00DB" w:rsidP="00317696">
      <w:pPr>
        <w:spacing w:after="0"/>
        <w:contextualSpacing/>
        <w:rPr>
          <w:rFonts w:ascii="ITC Avant Garde" w:hAnsi="ITC Avant Garde"/>
          <w:szCs w:val="21"/>
        </w:rPr>
      </w:pPr>
    </w:p>
    <w:p w14:paraId="65BAF076" w14:textId="77777777" w:rsidR="00DC00DB" w:rsidRPr="00D03948" w:rsidRDefault="00DC00DB" w:rsidP="00317696">
      <w:pPr>
        <w:numPr>
          <w:ilvl w:val="0"/>
          <w:numId w:val="2"/>
        </w:numPr>
        <w:suppressAutoHyphens/>
        <w:spacing w:after="0"/>
        <w:ind w:right="49"/>
        <w:contextualSpacing/>
        <w:jc w:val="both"/>
        <w:rPr>
          <w:rFonts w:ascii="ITC Avant Garde" w:hAnsi="ITC Avant Garde"/>
          <w:color w:val="000000" w:themeColor="text1"/>
          <w:kern w:val="1"/>
          <w:szCs w:val="21"/>
          <w:lang w:eastAsia="ar-SA"/>
        </w:rPr>
      </w:pPr>
      <w:r w:rsidRPr="00D03948">
        <w:rPr>
          <w:rFonts w:ascii="ITC Avant Garde" w:hAnsi="ITC Avant Garde"/>
          <w:color w:val="000000" w:themeColor="text1"/>
          <w:kern w:val="1"/>
          <w:szCs w:val="21"/>
          <w:lang w:eastAsia="ar-SA"/>
        </w:rPr>
        <w:t xml:space="preserve">El 11 de junio de 2013 se publicó en el Diario Oficial de la Federación (DOF) el </w:t>
      </w:r>
      <w:r w:rsidRPr="00D03948">
        <w:rPr>
          <w:rFonts w:ascii="ITC Avant Garde" w:hAnsi="ITC Avant Garde"/>
          <w:i/>
          <w:color w:val="000000" w:themeColor="text1"/>
          <w:kern w:val="1"/>
          <w:szCs w:val="21"/>
          <w:lang w:eastAsia="ar-SA"/>
        </w:rPr>
        <w:t>“DECRETO por el que se reforman y adicionan diversas disposiciones de los artículos 6o., 7o., 27, 28, 73, 78, 94 y 105 de la Constitución Política de los Estados Unidos Mexicanos, en materia de telecomunicaciones”</w:t>
      </w:r>
      <w:r w:rsidRPr="00D03948">
        <w:rPr>
          <w:rFonts w:ascii="ITC Avant Garde" w:hAnsi="ITC Avant Garde"/>
          <w:color w:val="000000" w:themeColor="text1"/>
          <w:kern w:val="1"/>
          <w:szCs w:val="21"/>
          <w:lang w:eastAsia="ar-SA"/>
        </w:rPr>
        <w:t xml:space="preserve"> (Decreto de Reforma Constitucional), mediante el cual se creó al Instituto Federal de Telecomunicaciones (Instituto) com</w:t>
      </w:r>
      <w:bookmarkStart w:id="2" w:name="_GoBack"/>
      <w:bookmarkEnd w:id="2"/>
      <w:r w:rsidRPr="00D03948">
        <w:rPr>
          <w:rFonts w:ascii="ITC Avant Garde" w:hAnsi="ITC Avant Garde"/>
          <w:color w:val="000000" w:themeColor="text1"/>
          <w:kern w:val="1"/>
          <w:szCs w:val="21"/>
          <w:lang w:eastAsia="ar-SA"/>
        </w:rPr>
        <w:t>o un órgano autónomo, con personalidad jurídica y patrimonio propio.</w:t>
      </w:r>
    </w:p>
    <w:p w14:paraId="4FA7C0B9" w14:textId="77777777" w:rsidR="00DC00DB" w:rsidRPr="00D03948" w:rsidRDefault="00DC00DB" w:rsidP="00317696">
      <w:pPr>
        <w:spacing w:after="0"/>
        <w:contextualSpacing/>
        <w:jc w:val="both"/>
        <w:rPr>
          <w:rFonts w:ascii="ITC Avant Garde" w:hAnsi="ITC Avant Garde" w:cs="Arial"/>
          <w:color w:val="000000" w:themeColor="text1"/>
          <w:szCs w:val="21"/>
        </w:rPr>
      </w:pPr>
    </w:p>
    <w:p w14:paraId="71995B96" w14:textId="77777777" w:rsidR="00DC00DB" w:rsidRPr="00D03948" w:rsidRDefault="00DC00DB" w:rsidP="00317696">
      <w:pPr>
        <w:numPr>
          <w:ilvl w:val="0"/>
          <w:numId w:val="2"/>
        </w:numPr>
        <w:suppressAutoHyphens/>
        <w:spacing w:after="0"/>
        <w:ind w:right="49"/>
        <w:contextualSpacing/>
        <w:jc w:val="both"/>
        <w:rPr>
          <w:rFonts w:ascii="ITC Avant Garde" w:hAnsi="ITC Avant Garde"/>
          <w:color w:val="000000" w:themeColor="text1"/>
          <w:kern w:val="1"/>
          <w:szCs w:val="21"/>
          <w:lang w:eastAsia="ar-SA"/>
        </w:rPr>
      </w:pPr>
      <w:r w:rsidRPr="00D03948">
        <w:rPr>
          <w:rFonts w:ascii="ITC Avant Garde" w:hAnsi="ITC Avant Garde"/>
          <w:color w:val="000000" w:themeColor="text1"/>
          <w:kern w:val="1"/>
          <w:szCs w:val="21"/>
          <w:lang w:eastAsia="ar-SA"/>
        </w:rPr>
        <w:t xml:space="preserve">El 14 de julio de 2014 se publicó en el DOF el </w:t>
      </w:r>
      <w:r w:rsidRPr="00D03948">
        <w:rPr>
          <w:rFonts w:ascii="ITC Avant Garde" w:hAnsi="ITC Avant Garde"/>
          <w:i/>
          <w:color w:val="000000" w:themeColor="text1"/>
          <w:kern w:val="1"/>
          <w:szCs w:val="21"/>
          <w:lang w:eastAsia="ar-SA"/>
        </w:rPr>
        <w:t xml:space="preserve">“DECRETO por el que se expiden la Ley Federal de Telecomunicaciones y Radiodifusión, y la Ley del Sistema Público de Radiodifusión del Estado Mexicano; y se reforman, adicionan y derogan diversas disposiciones en materia de telecomunicaciones y radiodifusión” </w:t>
      </w:r>
      <w:r w:rsidRPr="00D03948">
        <w:rPr>
          <w:rFonts w:ascii="ITC Avant Garde" w:hAnsi="ITC Avant Garde"/>
          <w:color w:val="000000" w:themeColor="text1"/>
          <w:kern w:val="1"/>
          <w:szCs w:val="21"/>
          <w:lang w:eastAsia="ar-SA"/>
        </w:rPr>
        <w:t>(Decreto de Ley), mismo que entró en vigor el 13 de agosto de 2014.</w:t>
      </w:r>
    </w:p>
    <w:p w14:paraId="235B764A" w14:textId="77777777" w:rsidR="00DC00DB" w:rsidRPr="00D03948" w:rsidRDefault="00DC00DB" w:rsidP="00317696">
      <w:pPr>
        <w:suppressAutoHyphens/>
        <w:spacing w:after="0"/>
        <w:ind w:right="49"/>
        <w:contextualSpacing/>
        <w:jc w:val="both"/>
        <w:rPr>
          <w:rFonts w:ascii="ITC Avant Garde" w:hAnsi="ITC Avant Garde"/>
          <w:color w:val="000000" w:themeColor="text1"/>
          <w:kern w:val="1"/>
          <w:szCs w:val="21"/>
          <w:lang w:eastAsia="ar-SA"/>
        </w:rPr>
      </w:pPr>
    </w:p>
    <w:p w14:paraId="06D5C4D6" w14:textId="77777777" w:rsidR="00DC00DB" w:rsidRPr="00D03948" w:rsidRDefault="00DC00DB" w:rsidP="00317696">
      <w:pPr>
        <w:numPr>
          <w:ilvl w:val="0"/>
          <w:numId w:val="2"/>
        </w:numPr>
        <w:spacing w:after="0"/>
        <w:ind w:right="49"/>
        <w:contextualSpacing/>
        <w:jc w:val="both"/>
        <w:rPr>
          <w:rFonts w:ascii="ITC Avant Garde" w:hAnsi="ITC Avant Garde"/>
          <w:color w:val="000000" w:themeColor="text1"/>
          <w:szCs w:val="21"/>
          <w:lang w:eastAsia="es-MX"/>
        </w:rPr>
      </w:pPr>
      <w:r w:rsidRPr="00D03948">
        <w:rPr>
          <w:rFonts w:ascii="ITC Avant Garde" w:hAnsi="ITC Avant Garde"/>
          <w:color w:val="000000" w:themeColor="text1"/>
          <w:szCs w:val="21"/>
          <w:lang w:eastAsia="es-MX"/>
        </w:rPr>
        <w:t>El 4 de septiembre de 2014 se publicó en el DOF el Estatuto Orgánico del Instituto Federal de Telecomunicaciones (Estatuto Orgánico), el cual entró en vigor el 26 de septiembre de 2014, y fue modificado mediante publicación en el mismo medio de difusión el 17 de octubre de 2014.</w:t>
      </w:r>
    </w:p>
    <w:p w14:paraId="51ECF1F3" w14:textId="77777777" w:rsidR="00DC00DB" w:rsidRPr="00D03948" w:rsidRDefault="00DC00DB" w:rsidP="00317696">
      <w:pPr>
        <w:tabs>
          <w:tab w:val="left" w:pos="5520"/>
        </w:tabs>
        <w:spacing w:after="0"/>
        <w:ind w:left="720"/>
        <w:contextualSpacing/>
        <w:rPr>
          <w:rFonts w:ascii="ITC Avant Garde" w:hAnsi="ITC Avant Garde"/>
          <w:color w:val="000000" w:themeColor="text1"/>
          <w:szCs w:val="21"/>
        </w:rPr>
      </w:pPr>
    </w:p>
    <w:p w14:paraId="0A0AD790" w14:textId="77777777" w:rsidR="00DC00DB" w:rsidRPr="00D03948" w:rsidRDefault="00DC00DB" w:rsidP="00317696">
      <w:pPr>
        <w:spacing w:after="0"/>
        <w:contextualSpacing/>
        <w:jc w:val="both"/>
        <w:rPr>
          <w:rFonts w:ascii="ITC Avant Garde" w:eastAsia="Times New Roman" w:hAnsi="ITC Avant Garde" w:cs="Arial"/>
          <w:color w:val="000000" w:themeColor="text1"/>
          <w:szCs w:val="21"/>
          <w:lang w:eastAsia="es-MX"/>
        </w:rPr>
      </w:pPr>
      <w:r w:rsidRPr="00D03948">
        <w:rPr>
          <w:rFonts w:ascii="ITC Avant Garde" w:eastAsia="Times New Roman" w:hAnsi="ITC Avant Garde" w:cs="Arial"/>
          <w:color w:val="000000" w:themeColor="text1"/>
          <w:szCs w:val="21"/>
          <w:lang w:eastAsia="es-MX"/>
        </w:rPr>
        <w:t>En virtud de los antecedentes señalados y,</w:t>
      </w:r>
    </w:p>
    <w:p w14:paraId="5CFC7272" w14:textId="77777777" w:rsidR="00DC00DB" w:rsidRPr="00D03948" w:rsidRDefault="00DC00DB" w:rsidP="00317696">
      <w:pPr>
        <w:spacing w:after="0"/>
        <w:contextualSpacing/>
        <w:jc w:val="center"/>
        <w:rPr>
          <w:rFonts w:ascii="ITC Avant Garde" w:hAnsi="ITC Avant Garde"/>
          <w:b/>
          <w:color w:val="000000" w:themeColor="text1"/>
          <w:szCs w:val="21"/>
        </w:rPr>
      </w:pPr>
    </w:p>
    <w:p w14:paraId="5BBF7606" w14:textId="77777777" w:rsidR="00DC00DB" w:rsidRPr="00D03948" w:rsidRDefault="00DC00DB" w:rsidP="00317696">
      <w:pPr>
        <w:keepNext/>
        <w:keepLines/>
        <w:spacing w:after="0"/>
        <w:contextualSpacing/>
        <w:jc w:val="center"/>
        <w:outlineLvl w:val="1"/>
        <w:rPr>
          <w:rFonts w:ascii="ITC Avant Garde" w:eastAsiaTheme="majorEastAsia" w:hAnsi="ITC Avant Garde" w:cstheme="majorBidi"/>
          <w:b/>
          <w:color w:val="000000" w:themeColor="text1"/>
          <w:szCs w:val="21"/>
        </w:rPr>
      </w:pPr>
      <w:bookmarkStart w:id="3" w:name="_Toc413840355"/>
      <w:bookmarkStart w:id="4" w:name="_Toc413918668"/>
      <w:r w:rsidRPr="00D03948">
        <w:rPr>
          <w:rFonts w:ascii="ITC Avant Garde" w:eastAsiaTheme="majorEastAsia" w:hAnsi="ITC Avant Garde" w:cstheme="majorBidi"/>
          <w:b/>
          <w:color w:val="000000" w:themeColor="text1"/>
          <w:szCs w:val="21"/>
        </w:rPr>
        <w:t>CONSIDERANDO</w:t>
      </w:r>
      <w:bookmarkEnd w:id="3"/>
      <w:bookmarkEnd w:id="4"/>
    </w:p>
    <w:p w14:paraId="5B1FB29F" w14:textId="77777777" w:rsidR="00DC00DB" w:rsidRPr="00D03948" w:rsidRDefault="00DC00DB" w:rsidP="00317696">
      <w:pPr>
        <w:spacing w:after="0"/>
        <w:contextualSpacing/>
        <w:rPr>
          <w:rFonts w:ascii="ITC Avant Garde" w:hAnsi="ITC Avant Garde"/>
          <w:szCs w:val="21"/>
        </w:rPr>
      </w:pPr>
    </w:p>
    <w:p w14:paraId="6A1473EC" w14:textId="77777777" w:rsidR="00DC00DB" w:rsidRPr="00D03948" w:rsidRDefault="00DC00DB" w:rsidP="00317696">
      <w:pPr>
        <w:numPr>
          <w:ilvl w:val="0"/>
          <w:numId w:val="3"/>
        </w:numPr>
        <w:pBdr>
          <w:top w:val="nil"/>
          <w:left w:val="nil"/>
          <w:bottom w:val="nil"/>
          <w:right w:val="nil"/>
          <w:between w:val="nil"/>
          <w:bar w:val="nil"/>
        </w:pBdr>
        <w:spacing w:after="0"/>
        <w:ind w:left="0" w:firstLine="0"/>
        <w:contextualSpacing/>
        <w:jc w:val="both"/>
        <w:rPr>
          <w:rFonts w:ascii="ITC Avant Garde" w:eastAsia="Times New Roman" w:hAnsi="ITC Avant Garde"/>
          <w:color w:val="000000" w:themeColor="text1"/>
          <w:kern w:val="1"/>
          <w:szCs w:val="21"/>
          <w:lang w:eastAsia="ar-SA"/>
        </w:rPr>
      </w:pPr>
      <w:bookmarkStart w:id="5" w:name="_Toc413840356"/>
      <w:bookmarkStart w:id="6" w:name="_Toc413918669"/>
      <w:r w:rsidRPr="00D03948">
        <w:rPr>
          <w:rFonts w:ascii="ITC Avant Garde" w:eastAsia="Arial Unicode MS" w:hAnsi="ITC Avant Garde" w:cs="Times"/>
          <w:b/>
          <w:color w:val="000000" w:themeColor="text1"/>
          <w:szCs w:val="21"/>
          <w:bdr w:val="nil"/>
          <w:lang w:eastAsia="es-MX"/>
        </w:rPr>
        <w:t>Competencia del Instituto.</w:t>
      </w:r>
      <w:bookmarkEnd w:id="5"/>
      <w:bookmarkEnd w:id="6"/>
      <w:r w:rsidRPr="00D03948">
        <w:rPr>
          <w:rFonts w:ascii="ITC Avant Garde" w:hAnsi="ITC Avant Garde" w:cs="Arial"/>
          <w:color w:val="000000" w:themeColor="text1"/>
          <w:szCs w:val="21"/>
        </w:rPr>
        <w:t xml:space="preserve"> </w:t>
      </w:r>
      <w:r w:rsidRPr="00D03948">
        <w:rPr>
          <w:rFonts w:ascii="ITC Avant Garde" w:eastAsia="Times New Roman" w:hAnsi="ITC Avant Garde"/>
          <w:color w:val="000000" w:themeColor="text1"/>
          <w:kern w:val="1"/>
          <w:szCs w:val="21"/>
          <w:lang w:eastAsia="ar-SA"/>
        </w:rPr>
        <w:t xml:space="preserve">De conformidad con el artículo 28, párrafo décimo quinto y décimo sexto de la Constitución Política de los Estados Unidos Mexicanos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2DB00FBC" w14:textId="77777777" w:rsidR="00DC00DB" w:rsidRPr="00D03948" w:rsidRDefault="00DC00DB" w:rsidP="00317696">
      <w:pPr>
        <w:suppressAutoHyphens/>
        <w:spacing w:after="0"/>
        <w:ind w:right="49"/>
        <w:contextualSpacing/>
        <w:jc w:val="both"/>
        <w:rPr>
          <w:rFonts w:ascii="ITC Avant Garde" w:eastAsia="Times New Roman" w:hAnsi="ITC Avant Garde"/>
          <w:color w:val="000000" w:themeColor="text1"/>
          <w:kern w:val="1"/>
          <w:szCs w:val="21"/>
          <w:lang w:eastAsia="ar-SA"/>
        </w:rPr>
      </w:pPr>
    </w:p>
    <w:p w14:paraId="56586175" w14:textId="77777777" w:rsidR="00DC00DB" w:rsidRPr="00D03948" w:rsidDel="004067FC" w:rsidRDefault="00DC00DB" w:rsidP="00317696">
      <w:pPr>
        <w:spacing w:after="0"/>
        <w:ind w:right="49"/>
        <w:contextualSpacing/>
        <w:jc w:val="both"/>
        <w:rPr>
          <w:rFonts w:ascii="ITC Avant Garde" w:eastAsia="Times New Roman" w:hAnsi="ITC Avant Garde"/>
          <w:color w:val="000000" w:themeColor="text1"/>
          <w:kern w:val="1"/>
          <w:szCs w:val="21"/>
          <w:lang w:eastAsia="ar-SA"/>
        </w:rPr>
      </w:pPr>
      <w:r w:rsidRPr="00D03948" w:rsidDel="004067FC">
        <w:rPr>
          <w:rFonts w:ascii="ITC Avant Garde" w:eastAsia="Times New Roman" w:hAnsi="ITC Avant Garde"/>
          <w:color w:val="000000" w:themeColor="text1"/>
          <w:kern w:val="1"/>
          <w:szCs w:val="21"/>
          <w:lang w:eastAsia="ar-SA"/>
        </w:rPr>
        <w:t xml:space="preserve">Para tal efecto, en términos del precepto constitucional </w:t>
      </w:r>
      <w:r w:rsidRPr="00D03948">
        <w:rPr>
          <w:rFonts w:ascii="ITC Avant Garde" w:eastAsia="Times New Roman" w:hAnsi="ITC Avant Garde"/>
          <w:color w:val="000000" w:themeColor="text1"/>
          <w:kern w:val="1"/>
          <w:szCs w:val="21"/>
          <w:lang w:eastAsia="ar-SA"/>
        </w:rPr>
        <w:t>mencionado</w:t>
      </w:r>
      <w:r w:rsidRPr="00D03948" w:rsidDel="004067FC">
        <w:rPr>
          <w:rFonts w:ascii="ITC Avant Garde" w:eastAsia="Times New Roman" w:hAnsi="ITC Avant Garde"/>
          <w:color w:val="000000" w:themeColor="text1"/>
          <w:kern w:val="1"/>
          <w:szCs w:val="21"/>
          <w:lang w:eastAsia="ar-SA"/>
        </w:rPr>
        <w:t xml:space="preserve">, así como de los artículos 1 y 7 de la </w:t>
      </w:r>
      <w:r w:rsidRPr="00D03948">
        <w:rPr>
          <w:rFonts w:ascii="ITC Avant Garde" w:eastAsia="Times New Roman" w:hAnsi="ITC Avant Garde"/>
          <w:color w:val="000000" w:themeColor="text1"/>
          <w:kern w:val="1"/>
          <w:szCs w:val="21"/>
          <w:lang w:eastAsia="ar-SA"/>
        </w:rPr>
        <w:t xml:space="preserve">Ley Federal de Telecomunicaciones y Radiodifusión </w:t>
      </w:r>
      <w:r w:rsidRPr="00D03948">
        <w:rPr>
          <w:rFonts w:ascii="ITC Avant Garde" w:eastAsia="Times New Roman" w:hAnsi="ITC Avant Garde"/>
          <w:color w:val="000000" w:themeColor="text1"/>
          <w:kern w:val="1"/>
          <w:szCs w:val="21"/>
          <w:lang w:eastAsia="ar-SA"/>
        </w:rPr>
        <w:lastRenderedPageBreak/>
        <w:t>(Ley)</w:t>
      </w:r>
      <w:r w:rsidRPr="00D03948" w:rsidDel="004067FC">
        <w:rPr>
          <w:rFonts w:ascii="ITC Avant Garde" w:eastAsia="Times New Roman" w:hAnsi="ITC Avant Garde"/>
          <w:color w:val="000000" w:themeColor="text1"/>
          <w:kern w:val="1"/>
          <w:szCs w:val="21"/>
          <w:lang w:eastAsia="ar-SA"/>
        </w:rPr>
        <w:t>,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14:paraId="63ECCAE7" w14:textId="77777777" w:rsidR="00DC00DB" w:rsidRPr="00D03948" w:rsidRDefault="00DC00DB" w:rsidP="00317696">
      <w:pPr>
        <w:suppressAutoHyphens/>
        <w:spacing w:after="0"/>
        <w:ind w:right="49"/>
        <w:contextualSpacing/>
        <w:jc w:val="both"/>
        <w:rPr>
          <w:rFonts w:ascii="ITC Avant Garde" w:eastAsia="Times New Roman" w:hAnsi="ITC Avant Garde"/>
          <w:color w:val="000000" w:themeColor="text1"/>
          <w:kern w:val="1"/>
          <w:szCs w:val="21"/>
          <w:lang w:eastAsia="ar-SA"/>
        </w:rPr>
      </w:pPr>
      <w:r w:rsidRPr="00D03948" w:rsidDel="004067FC">
        <w:rPr>
          <w:rFonts w:ascii="ITC Avant Garde" w:eastAsia="Times New Roman" w:hAnsi="ITC Avant Garde"/>
          <w:color w:val="000000" w:themeColor="text1"/>
          <w:kern w:val="1"/>
          <w:szCs w:val="21"/>
          <w:lang w:eastAsia="ar-SA"/>
        </w:rPr>
        <w:t>Asimismo</w:t>
      </w:r>
      <w:r w:rsidRPr="00D03948">
        <w:rPr>
          <w:rFonts w:ascii="ITC Avant Garde" w:eastAsia="Times New Roman" w:hAnsi="ITC Avant Garde"/>
          <w:color w:val="000000" w:themeColor="text1"/>
          <w:kern w:val="1"/>
          <w:szCs w:val="21"/>
          <w:lang w:eastAsia="ar-SA"/>
        </w:rPr>
        <w:t>, el Instituto es también la autoridad en materia de competencia económica de los sectores de radiodifusión y telecomunicaciones, por lo que en éstos ejercerá en forma exclusiva las facultades establecidas en el artículo 28 de la Constitución, la Ley y la Ley Federal de Competencia Económica.</w:t>
      </w:r>
    </w:p>
    <w:p w14:paraId="0E30F137" w14:textId="77777777" w:rsidR="00DC00DB" w:rsidRPr="00D03948" w:rsidRDefault="00DC00DB" w:rsidP="00317696">
      <w:pPr>
        <w:suppressAutoHyphens/>
        <w:spacing w:after="0"/>
        <w:ind w:right="49"/>
        <w:contextualSpacing/>
        <w:jc w:val="both"/>
        <w:rPr>
          <w:rFonts w:ascii="ITC Avant Garde" w:eastAsia="Times New Roman" w:hAnsi="ITC Avant Garde"/>
          <w:color w:val="000000" w:themeColor="text1"/>
          <w:kern w:val="1"/>
          <w:szCs w:val="21"/>
          <w:lang w:eastAsia="ar-SA"/>
        </w:rPr>
      </w:pPr>
    </w:p>
    <w:p w14:paraId="344C5D53" w14:textId="77777777" w:rsidR="008C7B86" w:rsidRPr="00CD33B2" w:rsidRDefault="008C7B86" w:rsidP="00317696">
      <w:pPr>
        <w:suppressAutoHyphens/>
        <w:spacing w:after="0"/>
        <w:ind w:right="49"/>
        <w:contextualSpacing/>
        <w:jc w:val="both"/>
        <w:rPr>
          <w:rFonts w:ascii="ITC Avant Garde" w:eastAsia="Times New Roman" w:hAnsi="ITC Avant Garde"/>
          <w:color w:val="000000" w:themeColor="text1"/>
          <w:kern w:val="1"/>
          <w:lang w:eastAsia="ar-SA"/>
        </w:rPr>
      </w:pPr>
      <w:r w:rsidRPr="00CD33B2">
        <w:rPr>
          <w:rFonts w:ascii="ITC Avant Garde" w:eastAsia="Times New Roman" w:hAnsi="ITC Avant Garde"/>
          <w:color w:val="000000" w:themeColor="text1"/>
          <w:kern w:val="1"/>
          <w:lang w:eastAsia="ar-SA"/>
        </w:rPr>
        <w:t>Con referencia a lo anterior, el artículo 54 de la Ley</w:t>
      </w:r>
      <w:r w:rsidRPr="00CD33B2">
        <w:rPr>
          <w:rFonts w:ascii="ITC Avant Garde" w:hAnsi="ITC Avant Garde"/>
          <w:color w:val="000000" w:themeColor="text1"/>
          <w:bdr w:val="none" w:sz="0" w:space="0" w:color="auto" w:frame="1"/>
        </w:rPr>
        <w:t xml:space="preserve"> </w:t>
      </w:r>
      <w:r w:rsidRPr="00CD33B2">
        <w:rPr>
          <w:rFonts w:ascii="ITC Avant Garde" w:eastAsia="Times New Roman" w:hAnsi="ITC Avant Garde"/>
          <w:color w:val="000000" w:themeColor="text1"/>
          <w:kern w:val="1"/>
          <w:lang w:eastAsia="ar-SA"/>
        </w:rPr>
        <w:t xml:space="preserve">establece que la administración del espectro radioeléctrico y los recursos orbitales se ejercerá por el Instituto en el actuar de sus funciones según lo dispuesto por la Constitución, en la propia Ley, en los tratados y acuerdos internacionales firmados por México y, en lo aplicable, siguiendo las recomendaciones de la Unión Internacional de Telecomunicaciones y otros organismos internacionales. </w:t>
      </w:r>
    </w:p>
    <w:p w14:paraId="20C937F9" w14:textId="19DBC79B" w:rsidR="00DC00DB" w:rsidRPr="00D03948" w:rsidRDefault="00DC00DB" w:rsidP="00317696">
      <w:pPr>
        <w:suppressAutoHyphens/>
        <w:spacing w:after="0"/>
        <w:ind w:right="49"/>
        <w:contextualSpacing/>
        <w:jc w:val="both"/>
        <w:rPr>
          <w:rFonts w:ascii="ITC Avant Garde" w:eastAsia="Times New Roman" w:hAnsi="ITC Avant Garde"/>
          <w:color w:val="000000" w:themeColor="text1"/>
          <w:kern w:val="1"/>
          <w:szCs w:val="21"/>
          <w:lang w:eastAsia="ar-SA"/>
        </w:rPr>
      </w:pPr>
    </w:p>
    <w:p w14:paraId="62751BDA" w14:textId="77777777" w:rsidR="00DC00DB" w:rsidRPr="00D03948" w:rsidRDefault="00DC00DB" w:rsidP="00317696">
      <w:pPr>
        <w:suppressAutoHyphens/>
        <w:spacing w:after="0"/>
        <w:ind w:right="49"/>
        <w:contextualSpacing/>
        <w:jc w:val="both"/>
        <w:rPr>
          <w:rFonts w:ascii="ITC Avant Garde" w:eastAsia="Times New Roman" w:hAnsi="ITC Avant Garde"/>
          <w:color w:val="000000" w:themeColor="text1"/>
          <w:kern w:val="1"/>
          <w:szCs w:val="21"/>
          <w:lang w:eastAsia="ar-SA"/>
        </w:rPr>
      </w:pPr>
      <w:r w:rsidRPr="00D03948">
        <w:rPr>
          <w:rFonts w:ascii="ITC Avant Garde" w:eastAsia="Times New Roman" w:hAnsi="ITC Avant Garde"/>
          <w:color w:val="000000" w:themeColor="text1"/>
          <w:kern w:val="1"/>
          <w:szCs w:val="21"/>
          <w:lang w:eastAsia="ar-SA"/>
        </w:rPr>
        <w:t>La administración del espectro radioeléctrico comprende la elaboración y aprobación de planes y programas de su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41BA7694" w14:textId="77777777" w:rsidR="00DC00DB" w:rsidRPr="00D03948" w:rsidRDefault="00DC00DB" w:rsidP="00317696">
      <w:pPr>
        <w:suppressAutoHyphens/>
        <w:spacing w:after="0"/>
        <w:ind w:right="49"/>
        <w:contextualSpacing/>
        <w:jc w:val="both"/>
        <w:rPr>
          <w:rFonts w:ascii="ITC Avant Garde" w:eastAsia="Times New Roman" w:hAnsi="ITC Avant Garde"/>
          <w:color w:val="000000" w:themeColor="text1"/>
          <w:kern w:val="1"/>
          <w:szCs w:val="21"/>
          <w:lang w:eastAsia="ar-SA"/>
        </w:rPr>
      </w:pPr>
    </w:p>
    <w:p w14:paraId="52A6CBA9" w14:textId="1F2CDD78" w:rsidR="008C7B86" w:rsidRPr="00D03948" w:rsidRDefault="00DC00DB" w:rsidP="00317696">
      <w:pPr>
        <w:tabs>
          <w:tab w:val="left" w:pos="7655"/>
        </w:tabs>
        <w:spacing w:after="0"/>
        <w:ind w:right="49"/>
        <w:contextualSpacing/>
        <w:jc w:val="both"/>
        <w:rPr>
          <w:rFonts w:ascii="ITC Avant Garde" w:hAnsi="ITC Avant Garde" w:cs="Arial"/>
          <w:color w:val="000000" w:themeColor="text1"/>
          <w:szCs w:val="21"/>
        </w:rPr>
      </w:pPr>
      <w:r w:rsidRPr="00D03948">
        <w:rPr>
          <w:rFonts w:ascii="ITC Avant Garde" w:hAnsi="ITC Avant Garde" w:cs="Arial"/>
          <w:color w:val="000000" w:themeColor="text1"/>
          <w:szCs w:val="21"/>
        </w:rPr>
        <w:t>En este contexto, el artículo 15 fracción I, y 51 de la Ley señalan, respectivamente, que el Instituto podrá expedir lineamientos en materia de telecomunicaciones y radiodifusión, y para ello deberá realizar consultas públicas bajo principios de transparencia y participación ciudadana.</w:t>
      </w:r>
      <w:r w:rsidR="008C7B86" w:rsidRPr="008C7B86">
        <w:rPr>
          <w:rFonts w:ascii="ITC Avant Garde" w:hAnsi="ITC Avant Garde" w:cs="Arial"/>
          <w:color w:val="000000" w:themeColor="text1"/>
          <w:szCs w:val="21"/>
        </w:rPr>
        <w:t xml:space="preserve"> </w:t>
      </w:r>
      <w:r w:rsidR="008C7B86">
        <w:rPr>
          <w:rFonts w:ascii="ITC Avant Garde" w:hAnsi="ITC Avant Garde" w:cs="Arial"/>
          <w:color w:val="000000" w:themeColor="text1"/>
          <w:szCs w:val="21"/>
        </w:rPr>
        <w:t>Ello, en relación con lo dispuesto en el artículo 104 de la Ley, el cual prevé que l</w:t>
      </w:r>
      <w:r w:rsidR="008C7B86" w:rsidRPr="008C7B86">
        <w:rPr>
          <w:rFonts w:ascii="ITC Avant Garde" w:hAnsi="ITC Avant Garde" w:cs="Arial"/>
          <w:color w:val="000000" w:themeColor="text1"/>
          <w:szCs w:val="21"/>
        </w:rPr>
        <w:t>os requisitos para obtener la autorización del arrendamiento</w:t>
      </w:r>
      <w:r w:rsidR="008C7B86">
        <w:rPr>
          <w:rFonts w:ascii="ITC Avant Garde" w:hAnsi="ITC Avant Garde" w:cs="Arial"/>
          <w:color w:val="000000" w:themeColor="text1"/>
          <w:szCs w:val="21"/>
        </w:rPr>
        <w:t xml:space="preserve"> de espectro radioeléctrico</w:t>
      </w:r>
      <w:r w:rsidR="008C7B86" w:rsidRPr="008C7B86">
        <w:rPr>
          <w:rFonts w:ascii="ITC Avant Garde" w:hAnsi="ITC Avant Garde" w:cs="Arial"/>
          <w:color w:val="000000" w:themeColor="text1"/>
          <w:szCs w:val="21"/>
        </w:rPr>
        <w:t>, se sujetarán a las disposiciones que al efecto emita el Instituto.</w:t>
      </w:r>
    </w:p>
    <w:p w14:paraId="75AEDC88" w14:textId="3650417A" w:rsidR="00DC00DB" w:rsidRPr="00D03948" w:rsidRDefault="00DC00DB" w:rsidP="00317696">
      <w:pPr>
        <w:tabs>
          <w:tab w:val="left" w:pos="7655"/>
        </w:tabs>
        <w:spacing w:after="0"/>
        <w:ind w:right="49"/>
        <w:contextualSpacing/>
        <w:jc w:val="both"/>
        <w:rPr>
          <w:rFonts w:ascii="ITC Avant Garde" w:hAnsi="ITC Avant Garde" w:cs="Arial"/>
          <w:color w:val="000000" w:themeColor="text1"/>
          <w:szCs w:val="21"/>
          <w:highlight w:val="yellow"/>
        </w:rPr>
      </w:pPr>
    </w:p>
    <w:p w14:paraId="504F5540" w14:textId="77777777" w:rsidR="00DC00DB" w:rsidRPr="00D03948" w:rsidRDefault="00DC00DB" w:rsidP="00317696">
      <w:pPr>
        <w:suppressAutoHyphens/>
        <w:spacing w:after="0"/>
        <w:ind w:right="-62"/>
        <w:contextualSpacing/>
        <w:jc w:val="both"/>
        <w:rPr>
          <w:rFonts w:ascii="ITC Avant Garde" w:hAnsi="ITC Avant Garde" w:cs="Arial"/>
          <w:color w:val="000000" w:themeColor="text1"/>
          <w:szCs w:val="21"/>
        </w:rPr>
      </w:pPr>
      <w:r w:rsidRPr="00D03948">
        <w:rPr>
          <w:rFonts w:ascii="ITC Avant Garde" w:hAnsi="ITC Avant Garde" w:cs="Arial"/>
          <w:color w:val="000000" w:themeColor="text1"/>
          <w:szCs w:val="21"/>
        </w:rPr>
        <w:t>En tal virtud, con fundamento en los preceptos invocados, el Pleno del Instituto es competente para emitir el presente Acuerdo.</w:t>
      </w:r>
      <w:bookmarkStart w:id="7" w:name="_Toc413840357"/>
      <w:bookmarkStart w:id="8" w:name="_Toc413918670"/>
    </w:p>
    <w:p w14:paraId="0E865E3B" w14:textId="77777777" w:rsidR="00DC00DB" w:rsidRPr="00D03948" w:rsidRDefault="00DC00DB" w:rsidP="00317696">
      <w:pPr>
        <w:suppressAutoHyphens/>
        <w:spacing w:after="0"/>
        <w:ind w:right="-62"/>
        <w:contextualSpacing/>
        <w:jc w:val="both"/>
        <w:rPr>
          <w:rFonts w:ascii="ITC Avant Garde" w:hAnsi="ITC Avant Garde" w:cs="Arial"/>
          <w:color w:val="000000" w:themeColor="text1"/>
          <w:szCs w:val="21"/>
        </w:rPr>
      </w:pPr>
    </w:p>
    <w:p w14:paraId="147266BC" w14:textId="0687465C" w:rsidR="00DC00DB" w:rsidRPr="00C22E7F" w:rsidRDefault="00DC00DB" w:rsidP="00317696">
      <w:pPr>
        <w:numPr>
          <w:ilvl w:val="0"/>
          <w:numId w:val="3"/>
        </w:numPr>
        <w:pBdr>
          <w:top w:val="nil"/>
          <w:left w:val="nil"/>
          <w:bottom w:val="nil"/>
          <w:right w:val="nil"/>
          <w:between w:val="nil"/>
          <w:bar w:val="nil"/>
        </w:pBdr>
        <w:spacing w:after="0"/>
        <w:ind w:left="0" w:firstLine="0"/>
        <w:contextualSpacing/>
        <w:jc w:val="both"/>
        <w:rPr>
          <w:rFonts w:ascii="ITC Avant Garde" w:eastAsia="Arial Unicode MS" w:hAnsi="ITC Avant Garde" w:cs="Times"/>
          <w:b/>
          <w:color w:val="000000" w:themeColor="text1"/>
          <w:szCs w:val="21"/>
          <w:bdr w:val="nil"/>
          <w:lang w:eastAsia="es-MX"/>
        </w:rPr>
      </w:pPr>
      <w:r w:rsidRPr="00C22E7F">
        <w:rPr>
          <w:rFonts w:ascii="ITC Avant Garde" w:eastAsia="Arial Unicode MS" w:hAnsi="ITC Avant Garde" w:cs="Times"/>
          <w:b/>
          <w:color w:val="000000" w:themeColor="text1"/>
          <w:szCs w:val="21"/>
          <w:bdr w:val="nil"/>
          <w:lang w:eastAsia="es-MX"/>
        </w:rPr>
        <w:t>Mercado Secundario de Espectro Radioeléctrico</w:t>
      </w:r>
      <w:r w:rsidR="00C22E7F">
        <w:rPr>
          <w:rFonts w:ascii="ITC Avant Garde" w:eastAsia="Arial Unicode MS" w:hAnsi="ITC Avant Garde" w:cs="Times"/>
          <w:color w:val="000000" w:themeColor="text1"/>
          <w:szCs w:val="21"/>
          <w:bdr w:val="nil"/>
          <w:lang w:eastAsia="es-MX"/>
        </w:rPr>
        <w:t>.</w:t>
      </w:r>
      <w:r w:rsidRPr="00C22E7F">
        <w:rPr>
          <w:rFonts w:ascii="ITC Avant Garde" w:eastAsia="Arial Unicode MS" w:hAnsi="ITC Avant Garde" w:cs="Times"/>
          <w:color w:val="000000" w:themeColor="text1"/>
          <w:szCs w:val="21"/>
          <w:bdr w:val="nil"/>
          <w:lang w:eastAsia="es-MX"/>
        </w:rPr>
        <w:t xml:space="preserve"> </w:t>
      </w:r>
      <w:r w:rsidR="00EE4C69" w:rsidRPr="00C22E7F">
        <w:rPr>
          <w:rFonts w:ascii="ITC Avant Garde" w:eastAsia="Arial Unicode MS" w:hAnsi="ITC Avant Garde" w:cs="Times"/>
          <w:color w:val="000000" w:themeColor="text1"/>
          <w:szCs w:val="21"/>
          <w:bdr w:val="nil"/>
          <w:lang w:eastAsia="es-MX"/>
        </w:rPr>
        <w:t xml:space="preserve"> </w:t>
      </w:r>
      <w:r w:rsidRPr="00C22E7F">
        <w:rPr>
          <w:rFonts w:ascii="ITC Avant Garde" w:eastAsia="Arial Unicode MS" w:hAnsi="ITC Avant Garde" w:cs="Times"/>
          <w:color w:val="000000" w:themeColor="text1"/>
          <w:szCs w:val="21"/>
          <w:bdr w:val="nil"/>
          <w:lang w:eastAsia="es-MX"/>
        </w:rPr>
        <w:t xml:space="preserve">El objetivo del Mercado Secundario de Espectro Radioeléctrico es proveer de flexibilidad, agilidad y dinamismo a la gestión del espectro radioeléctrico, para disminuir o corregir ineficiencias ocurridas en la asignación de espectro, como la acumulación </w:t>
      </w:r>
      <w:r w:rsidRPr="00C22E7F">
        <w:rPr>
          <w:rFonts w:ascii="ITC Avant Garde" w:eastAsia="Arial Unicode MS" w:hAnsi="ITC Avant Garde" w:cs="Times"/>
          <w:color w:val="000000" w:themeColor="text1"/>
          <w:szCs w:val="21"/>
          <w:bdr w:val="nil"/>
          <w:lang w:eastAsia="es-MX"/>
        </w:rPr>
        <w:lastRenderedPageBreak/>
        <w:t>de espectro ocioso y, de ser posible, redistribuir dicho bien a aquéllos que lo requieren para satisfacer las demandas de los usuarios, y con ello dar un uso eficiente al espectro</w:t>
      </w:r>
      <w:r w:rsidRPr="00C22E7F">
        <w:rPr>
          <w:rFonts w:ascii="ITC Avant Garde" w:eastAsia="Arial Unicode MS" w:hAnsi="ITC Avant Garde" w:cs="Times"/>
          <w:b/>
          <w:color w:val="000000" w:themeColor="text1"/>
          <w:szCs w:val="21"/>
          <w:bdr w:val="nil"/>
          <w:lang w:eastAsia="es-MX"/>
        </w:rPr>
        <w:t>.</w:t>
      </w:r>
    </w:p>
    <w:p w14:paraId="03DBEFF3" w14:textId="77777777" w:rsidR="00DC00DB" w:rsidRPr="00D03948" w:rsidRDefault="00DC00DB" w:rsidP="00317696">
      <w:pPr>
        <w:autoSpaceDE w:val="0"/>
        <w:autoSpaceDN w:val="0"/>
        <w:adjustRightInd w:val="0"/>
        <w:spacing w:after="0"/>
        <w:contextualSpacing/>
        <w:jc w:val="both"/>
        <w:rPr>
          <w:rFonts w:ascii="ITC Avant Garde" w:hAnsi="ITC Avant Garde" w:cs="Helvetica"/>
          <w:szCs w:val="21"/>
        </w:rPr>
      </w:pPr>
    </w:p>
    <w:p w14:paraId="62497888" w14:textId="76028C5A" w:rsidR="005C12C0" w:rsidRPr="00D03948" w:rsidRDefault="00DC00DB" w:rsidP="00317696">
      <w:pPr>
        <w:autoSpaceDE w:val="0"/>
        <w:autoSpaceDN w:val="0"/>
        <w:adjustRightInd w:val="0"/>
        <w:spacing w:after="0"/>
        <w:contextualSpacing/>
        <w:jc w:val="both"/>
        <w:rPr>
          <w:rFonts w:ascii="ITC Avant Garde" w:hAnsi="ITC Avant Garde"/>
          <w:szCs w:val="21"/>
        </w:rPr>
      </w:pPr>
      <w:r w:rsidRPr="00D03948">
        <w:rPr>
          <w:rFonts w:ascii="ITC Avant Garde" w:hAnsi="ITC Avant Garde" w:cs="Helvetica"/>
          <w:szCs w:val="21"/>
        </w:rPr>
        <w:t xml:space="preserve">Asimismo, es una alternativa que permite a cualquier interesado obtener espectro radioeléctrico sin depender de que el Estado lo licite, con lo que se disminuye una de las principales barreras de entrada para nuevos competidores, al facilitar el acceso a un insumo esencial. Al fomentar mediante este mecanismo </w:t>
      </w:r>
      <w:r w:rsidRPr="00D03948">
        <w:rPr>
          <w:rFonts w:ascii="ITC Avant Garde" w:hAnsi="ITC Avant Garde"/>
          <w:szCs w:val="21"/>
        </w:rPr>
        <w:t>la libre competencia y libre concurrencia en los servicios, se dará lugar a un uso más eficiente del espectro radioeléctrico, y, en consecuencia, a que un mayor número de usuarios acceda a ellos en mejores términos de calidad y precio</w:t>
      </w:r>
      <w:r w:rsidRPr="00D03948">
        <w:rPr>
          <w:rFonts w:ascii="ITC Avant Garde" w:hAnsi="ITC Avant Garde"/>
          <w:szCs w:val="21"/>
          <w:vertAlign w:val="superscript"/>
        </w:rPr>
        <w:footnoteReference w:id="2"/>
      </w:r>
      <w:r w:rsidRPr="00D03948">
        <w:rPr>
          <w:rFonts w:ascii="ITC Avant Garde" w:hAnsi="ITC Avant Garde"/>
          <w:szCs w:val="21"/>
        </w:rPr>
        <w:t>.</w:t>
      </w:r>
    </w:p>
    <w:p w14:paraId="7EC16A29" w14:textId="77777777" w:rsidR="00DC00DB" w:rsidRPr="00D03948" w:rsidRDefault="00DC00DB" w:rsidP="00317696">
      <w:pPr>
        <w:autoSpaceDE w:val="0"/>
        <w:autoSpaceDN w:val="0"/>
        <w:adjustRightInd w:val="0"/>
        <w:spacing w:after="0"/>
        <w:contextualSpacing/>
        <w:jc w:val="both"/>
        <w:rPr>
          <w:rFonts w:ascii="ITC Avant Garde" w:hAnsi="ITC Avant Garde"/>
          <w:szCs w:val="21"/>
        </w:rPr>
      </w:pPr>
    </w:p>
    <w:p w14:paraId="5D12A659" w14:textId="77777777" w:rsidR="00DC00DB" w:rsidRPr="00D03948" w:rsidRDefault="00DC00DB" w:rsidP="00317696">
      <w:pPr>
        <w:autoSpaceDE w:val="0"/>
        <w:autoSpaceDN w:val="0"/>
        <w:adjustRightInd w:val="0"/>
        <w:spacing w:after="0"/>
        <w:contextualSpacing/>
        <w:jc w:val="both"/>
        <w:rPr>
          <w:rFonts w:ascii="ITC Avant Garde" w:hAnsi="ITC Avant Garde" w:cs="Helvetica"/>
          <w:szCs w:val="21"/>
        </w:rPr>
      </w:pPr>
      <w:r w:rsidRPr="00D03948">
        <w:rPr>
          <w:rFonts w:ascii="ITC Avant Garde" w:hAnsi="ITC Avant Garde"/>
          <w:szCs w:val="21"/>
        </w:rPr>
        <w:t>Dado lo anterior, se puede concluir que el Mercado Secundario de Espectro Radioeléctrico resulta ser de gran importancia por los beneficios de eficiencia económica y técnica del espectro, entendiendo la eficiencia económica como el uso de un recurso escaso (espectro) conforme lo requerido por la demanda de corto y mediano plazo de dicho recurso sin que existan elementos que restrinjan su oferta. En cuanto a la eficiencia técnica, maximizar el uso del espectro, es decir, utilizar la mayor cantidad posible de bandas de frecuencias asignadas en la prestación de servicios.</w:t>
      </w:r>
    </w:p>
    <w:p w14:paraId="2F847D20" w14:textId="77777777" w:rsidR="00DC00DB" w:rsidRPr="00D03948" w:rsidRDefault="00DC00DB" w:rsidP="00317696">
      <w:pPr>
        <w:spacing w:after="0"/>
        <w:contextualSpacing/>
        <w:jc w:val="both"/>
        <w:rPr>
          <w:rFonts w:ascii="ITC Avant Garde" w:hAnsi="ITC Avant Garde"/>
          <w:szCs w:val="21"/>
        </w:rPr>
      </w:pPr>
    </w:p>
    <w:p w14:paraId="08C0F178" w14:textId="1C354D28" w:rsidR="00DC00DB" w:rsidRPr="00D03948" w:rsidRDefault="00DC00DB" w:rsidP="00317696">
      <w:pPr>
        <w:autoSpaceDE w:val="0"/>
        <w:autoSpaceDN w:val="0"/>
        <w:adjustRightInd w:val="0"/>
        <w:spacing w:after="0"/>
        <w:contextualSpacing/>
        <w:jc w:val="both"/>
        <w:rPr>
          <w:rFonts w:ascii="ITC Avant Garde" w:hAnsi="ITC Avant Garde" w:cs="Arial"/>
          <w:color w:val="000000"/>
          <w:szCs w:val="21"/>
        </w:rPr>
      </w:pPr>
      <w:r w:rsidRPr="00D03948">
        <w:rPr>
          <w:rFonts w:ascii="ITC Avant Garde" w:hAnsi="ITC Avant Garde" w:cs="Arial"/>
          <w:color w:val="000000"/>
          <w:szCs w:val="21"/>
        </w:rPr>
        <w:t xml:space="preserve">Al </w:t>
      </w:r>
      <w:r w:rsidR="00AC1F89">
        <w:rPr>
          <w:rFonts w:ascii="ITC Avant Garde" w:hAnsi="ITC Avant Garde" w:cs="Arial"/>
          <w:color w:val="000000"/>
          <w:szCs w:val="21"/>
        </w:rPr>
        <w:t>vigilar</w:t>
      </w:r>
      <w:r w:rsidRPr="00D03948">
        <w:rPr>
          <w:rFonts w:ascii="ITC Avant Garde" w:hAnsi="ITC Avant Garde" w:cs="Arial"/>
          <w:color w:val="000000"/>
          <w:szCs w:val="21"/>
        </w:rPr>
        <w:t xml:space="preserve"> el Mercado Secundario de Espectro Radioeléctrico, el Instituto deberá velar por que no se generen fenómenos </w:t>
      </w:r>
      <w:r w:rsidR="001818EF" w:rsidRPr="001818EF">
        <w:rPr>
          <w:rFonts w:ascii="ITC Avant Garde" w:hAnsi="ITC Avant Garde" w:cs="Arial"/>
          <w:color w:val="000000"/>
          <w:szCs w:val="21"/>
        </w:rPr>
        <w:t xml:space="preserve">de </w:t>
      </w:r>
      <w:r w:rsidR="00AC1F89">
        <w:rPr>
          <w:rFonts w:ascii="ITC Avant Garde" w:hAnsi="ITC Avant Garde" w:cs="Arial"/>
          <w:color w:val="000000"/>
          <w:szCs w:val="21"/>
        </w:rPr>
        <w:t xml:space="preserve">trato discriminatorio o de </w:t>
      </w:r>
      <w:r w:rsidR="001818EF" w:rsidRPr="001818EF">
        <w:rPr>
          <w:rFonts w:ascii="ITC Avant Garde" w:hAnsi="ITC Avant Garde" w:cs="Arial"/>
          <w:color w:val="000000"/>
          <w:szCs w:val="21"/>
        </w:rPr>
        <w:t>concentración, acaparamiento o propiedad cruzada</w:t>
      </w:r>
      <w:r w:rsidR="001818EF">
        <w:rPr>
          <w:rFonts w:ascii="ITC Avant Garde" w:hAnsi="ITC Avant Garde" w:cs="Arial"/>
          <w:color w:val="000000"/>
          <w:szCs w:val="21"/>
        </w:rPr>
        <w:t xml:space="preserve">, </w:t>
      </w:r>
      <w:r w:rsidR="00AC1F89">
        <w:rPr>
          <w:rFonts w:ascii="ITC Avant Garde" w:hAnsi="ITC Avant Garde" w:cs="Arial"/>
          <w:color w:val="000000"/>
          <w:szCs w:val="21"/>
        </w:rPr>
        <w:t>mediante</w:t>
      </w:r>
      <w:r w:rsidR="00AC1F89" w:rsidRPr="00D03948">
        <w:rPr>
          <w:rFonts w:ascii="ITC Avant Garde" w:hAnsi="ITC Avant Garde" w:cs="Arial"/>
          <w:color w:val="000000"/>
          <w:szCs w:val="21"/>
        </w:rPr>
        <w:t xml:space="preserve"> </w:t>
      </w:r>
      <w:r w:rsidRPr="00D03948">
        <w:rPr>
          <w:rFonts w:ascii="ITC Avant Garde" w:hAnsi="ITC Avant Garde" w:cs="Arial"/>
          <w:color w:val="000000"/>
          <w:szCs w:val="21"/>
        </w:rPr>
        <w:t xml:space="preserve">los mecanismos regulatorios </w:t>
      </w:r>
      <w:r w:rsidR="00AC1F89">
        <w:rPr>
          <w:rFonts w:ascii="ITC Avant Garde" w:hAnsi="ITC Avant Garde" w:cs="Arial"/>
          <w:color w:val="000000"/>
          <w:szCs w:val="21"/>
        </w:rPr>
        <w:t xml:space="preserve">y de política de competencia que de acuerdo con las facultades puede implementar a fin de mitigar </w:t>
      </w:r>
      <w:r w:rsidRPr="00D03948">
        <w:rPr>
          <w:rFonts w:ascii="ITC Avant Garde" w:hAnsi="ITC Avant Garde" w:cs="Arial"/>
          <w:color w:val="000000"/>
          <w:szCs w:val="21"/>
        </w:rPr>
        <w:t>los riesgos de dichos fenómenos.</w:t>
      </w:r>
    </w:p>
    <w:p w14:paraId="6CFC4EF3" w14:textId="77777777" w:rsidR="00DC00DB" w:rsidRPr="00D03948" w:rsidRDefault="00DC00DB" w:rsidP="00317696">
      <w:pPr>
        <w:spacing w:after="0"/>
        <w:contextualSpacing/>
        <w:jc w:val="both"/>
        <w:rPr>
          <w:rFonts w:ascii="ITC Avant Garde" w:hAnsi="ITC Avant Garde"/>
          <w:szCs w:val="21"/>
        </w:rPr>
      </w:pPr>
    </w:p>
    <w:p w14:paraId="661BA01B" w14:textId="5E98B3C1" w:rsidR="00DC00DB" w:rsidRPr="00C22E7F" w:rsidRDefault="00DC00DB" w:rsidP="00317696">
      <w:pPr>
        <w:numPr>
          <w:ilvl w:val="0"/>
          <w:numId w:val="3"/>
        </w:numPr>
        <w:pBdr>
          <w:top w:val="nil"/>
          <w:left w:val="nil"/>
          <w:bottom w:val="nil"/>
          <w:right w:val="nil"/>
          <w:between w:val="nil"/>
          <w:bar w:val="nil"/>
        </w:pBdr>
        <w:spacing w:after="0"/>
        <w:ind w:left="0" w:firstLine="0"/>
        <w:contextualSpacing/>
        <w:jc w:val="both"/>
        <w:rPr>
          <w:rFonts w:ascii="ITC Avant Garde" w:eastAsia="Arial Unicode MS" w:hAnsi="ITC Avant Garde" w:cs="Times"/>
          <w:color w:val="000000" w:themeColor="text1"/>
          <w:szCs w:val="21"/>
          <w:bdr w:val="nil"/>
          <w:lang w:eastAsia="es-MX"/>
        </w:rPr>
      </w:pPr>
      <w:r w:rsidRPr="00C22E7F">
        <w:rPr>
          <w:rFonts w:ascii="ITC Avant Garde" w:eastAsia="Arial Unicode MS" w:hAnsi="ITC Avant Garde" w:cs="Times"/>
          <w:b/>
          <w:color w:val="000000" w:themeColor="text1"/>
          <w:szCs w:val="21"/>
          <w:bdr w:val="nil"/>
          <w:lang w:eastAsia="es-MX"/>
        </w:rPr>
        <w:t>Arrendamiento de Espectro.</w:t>
      </w:r>
      <w:r w:rsidR="00EE4C69" w:rsidRPr="00C22E7F" w:rsidDel="00EE4C69">
        <w:rPr>
          <w:rFonts w:ascii="ITC Avant Garde" w:eastAsia="Arial Unicode MS" w:hAnsi="ITC Avant Garde" w:cs="Times"/>
          <w:b/>
          <w:color w:val="000000" w:themeColor="text1"/>
          <w:szCs w:val="21"/>
          <w:bdr w:val="nil"/>
          <w:lang w:eastAsia="es-MX"/>
        </w:rPr>
        <w:t xml:space="preserve"> </w:t>
      </w:r>
      <w:r w:rsidRPr="00C22E7F">
        <w:rPr>
          <w:rFonts w:ascii="ITC Avant Garde" w:eastAsia="Arial Unicode MS" w:hAnsi="ITC Avant Garde" w:cs="Times"/>
          <w:color w:val="000000" w:themeColor="text1"/>
          <w:szCs w:val="21"/>
          <w:bdr w:val="nil"/>
          <w:lang w:eastAsia="es-MX"/>
        </w:rPr>
        <w:t xml:space="preserve">El Dictamen </w:t>
      </w:r>
      <w:r w:rsidR="0041746B" w:rsidRPr="00C22E7F">
        <w:rPr>
          <w:rFonts w:ascii="ITC Avant Garde" w:eastAsia="Arial Unicode MS" w:hAnsi="ITC Avant Garde" w:cs="Times"/>
          <w:color w:val="000000" w:themeColor="text1"/>
          <w:szCs w:val="21"/>
          <w:bdr w:val="nil"/>
          <w:lang w:eastAsia="es-MX"/>
        </w:rPr>
        <w:t xml:space="preserve">emanado de la Cámara de Diputados </w:t>
      </w:r>
      <w:r w:rsidRPr="00C22E7F">
        <w:rPr>
          <w:rFonts w:ascii="ITC Avant Garde" w:eastAsia="Arial Unicode MS" w:hAnsi="ITC Avant Garde" w:cs="Times"/>
          <w:color w:val="000000" w:themeColor="text1"/>
          <w:szCs w:val="21"/>
          <w:bdr w:val="nil"/>
          <w:lang w:eastAsia="es-MX"/>
        </w:rPr>
        <w:t xml:space="preserve">del Congreso </w:t>
      </w:r>
      <w:r w:rsidR="0041746B" w:rsidRPr="00C22E7F">
        <w:rPr>
          <w:rFonts w:ascii="ITC Avant Garde" w:eastAsia="Arial Unicode MS" w:hAnsi="ITC Avant Garde" w:cs="Times"/>
          <w:color w:val="000000" w:themeColor="text1"/>
          <w:szCs w:val="21"/>
          <w:bdr w:val="nil"/>
          <w:lang w:eastAsia="es-MX"/>
        </w:rPr>
        <w:t xml:space="preserve">de la Unión </w:t>
      </w:r>
      <w:r w:rsidRPr="00C22E7F">
        <w:rPr>
          <w:rFonts w:ascii="ITC Avant Garde" w:eastAsia="Arial Unicode MS" w:hAnsi="ITC Avant Garde" w:cs="Times"/>
          <w:color w:val="000000" w:themeColor="text1"/>
          <w:szCs w:val="21"/>
          <w:bdr w:val="nil"/>
          <w:lang w:eastAsia="es-MX"/>
        </w:rPr>
        <w:t>a la Iniciativa de Ley prevé la figura del arrendamiento de espectro radioeléctrico como una alternativa rápida y flexible para obtener espectro</w:t>
      </w:r>
      <w:r w:rsidRPr="00C22E7F">
        <w:rPr>
          <w:rFonts w:ascii="ITC Avant Garde" w:eastAsia="Arial Unicode MS" w:hAnsi="ITC Avant Garde" w:cs="Times"/>
          <w:color w:val="000000" w:themeColor="text1"/>
          <w:szCs w:val="21"/>
          <w:bdr w:val="nil"/>
          <w:vertAlign w:val="superscript"/>
          <w:lang w:eastAsia="es-MX"/>
        </w:rPr>
        <w:footnoteReference w:id="3"/>
      </w:r>
      <w:r w:rsidRPr="00C22E7F">
        <w:rPr>
          <w:rFonts w:ascii="ITC Avant Garde" w:eastAsia="Arial Unicode MS" w:hAnsi="ITC Avant Garde" w:cs="Times"/>
          <w:color w:val="000000" w:themeColor="text1"/>
          <w:szCs w:val="21"/>
          <w:bdr w:val="nil"/>
          <w:lang w:eastAsia="es-MX"/>
        </w:rPr>
        <w:t xml:space="preserve">. </w:t>
      </w:r>
    </w:p>
    <w:p w14:paraId="62538CCB" w14:textId="77777777" w:rsidR="00C50D3C" w:rsidRPr="0091229B" w:rsidRDefault="00C50D3C" w:rsidP="00317696">
      <w:pPr>
        <w:spacing w:after="0"/>
        <w:contextualSpacing/>
        <w:jc w:val="both"/>
        <w:rPr>
          <w:rFonts w:ascii="ITC Avant Garde" w:hAnsi="ITC Avant Garde"/>
          <w:szCs w:val="21"/>
          <w:highlight w:val="yellow"/>
        </w:rPr>
      </w:pPr>
    </w:p>
    <w:p w14:paraId="6716D4EF" w14:textId="3B4B8274" w:rsidR="00DC00DB" w:rsidRPr="00965118" w:rsidRDefault="00DC00DB" w:rsidP="00317696">
      <w:pPr>
        <w:spacing w:after="0"/>
        <w:contextualSpacing/>
        <w:jc w:val="both"/>
        <w:rPr>
          <w:rFonts w:ascii="ITC Avant Garde" w:hAnsi="ITC Avant Garde"/>
          <w:szCs w:val="21"/>
        </w:rPr>
      </w:pPr>
      <w:r w:rsidRPr="00965118">
        <w:rPr>
          <w:rFonts w:ascii="ITC Avant Garde" w:hAnsi="ITC Avant Garde"/>
          <w:szCs w:val="21"/>
        </w:rPr>
        <w:lastRenderedPageBreak/>
        <w:t>En este sentido, las Comisiones dictaminadoras determinaron incluir en la Iniciativa de Ley la figura del arrendamiento de espectro radioeléctrico, l</w:t>
      </w:r>
      <w:r w:rsidR="00C22E7F" w:rsidRPr="00965118">
        <w:rPr>
          <w:rFonts w:ascii="ITC Avant Garde" w:hAnsi="ITC Avant Garde"/>
          <w:szCs w:val="21"/>
        </w:rPr>
        <w:t>a</w:t>
      </w:r>
      <w:r w:rsidRPr="00965118">
        <w:rPr>
          <w:rFonts w:ascii="ITC Avant Garde" w:hAnsi="ITC Avant Garde"/>
          <w:szCs w:val="21"/>
        </w:rPr>
        <w:t xml:space="preserve"> cual consiste en </w:t>
      </w:r>
      <w:r w:rsidR="00EE4C69" w:rsidRPr="00965118">
        <w:rPr>
          <w:rFonts w:ascii="ITC Avant Garde" w:hAnsi="ITC Avant Garde"/>
          <w:szCs w:val="21"/>
        </w:rPr>
        <w:t>conceder temporalmente</w:t>
      </w:r>
      <w:r w:rsidRPr="00965118">
        <w:rPr>
          <w:rFonts w:ascii="ITC Avant Garde" w:hAnsi="ITC Avant Garde"/>
          <w:szCs w:val="21"/>
        </w:rPr>
        <w:t xml:space="preserve"> los derechos de uso del espectro radioeléctrico de un concesionario a otro, o de un concesionario a un particular, que para poder explotarlo requeriría adquirir el carácter de concesionario, sin producir el cambio de titularidad de la concesión a fin de dar flexibilidad, agilidad y dinamismo a la gestión de este bien del Estado. </w:t>
      </w:r>
    </w:p>
    <w:p w14:paraId="71F3CB48" w14:textId="77777777" w:rsidR="00DC00DB" w:rsidRPr="00965118" w:rsidRDefault="00DC00DB" w:rsidP="00317696">
      <w:pPr>
        <w:spacing w:after="0"/>
        <w:contextualSpacing/>
        <w:jc w:val="both"/>
        <w:rPr>
          <w:rFonts w:ascii="ITC Avant Garde" w:hAnsi="ITC Avant Garde"/>
          <w:szCs w:val="21"/>
        </w:rPr>
      </w:pPr>
    </w:p>
    <w:p w14:paraId="30CA9007" w14:textId="77777777" w:rsidR="00DC00DB" w:rsidRPr="00965118" w:rsidRDefault="00DC00DB" w:rsidP="00317696">
      <w:pPr>
        <w:spacing w:after="0"/>
        <w:contextualSpacing/>
        <w:jc w:val="both"/>
        <w:rPr>
          <w:rFonts w:ascii="ITC Avant Garde" w:hAnsi="ITC Avant Garde"/>
          <w:szCs w:val="21"/>
        </w:rPr>
      </w:pPr>
      <w:r w:rsidRPr="00965118">
        <w:rPr>
          <w:rFonts w:ascii="ITC Avant Garde" w:hAnsi="ITC Avant Garde"/>
          <w:szCs w:val="21"/>
        </w:rPr>
        <w:t>Asimismo, se previó que el Estado mantuviera el control sobre la administración y asignación de dicho bien de dominio público, a efecto de evitar cualquier actuación de los particulares en detrimento de la rectoría que se debe ejercer al respecto. También se buscó garantizar el cumplimiento oportuno a las obligaciones originales de los títulos de concesión para usar el espectro de manera eficiente, y que el arrendamiento de espectro radioeléctrico se sujetara a autorización del Instituto, a fin de evitar que se generaran efectos nocivos al proceso de competencia económica.</w:t>
      </w:r>
    </w:p>
    <w:p w14:paraId="66043495" w14:textId="77777777" w:rsidR="00DC00DB" w:rsidRPr="00965118" w:rsidRDefault="00DC00DB" w:rsidP="00317696">
      <w:pPr>
        <w:spacing w:after="0"/>
        <w:contextualSpacing/>
        <w:jc w:val="both"/>
        <w:rPr>
          <w:rFonts w:ascii="ITC Avant Garde" w:hAnsi="ITC Avant Garde"/>
          <w:szCs w:val="21"/>
        </w:rPr>
      </w:pPr>
    </w:p>
    <w:p w14:paraId="4A622260" w14:textId="77777777" w:rsidR="00DC00DB" w:rsidRPr="00965118" w:rsidRDefault="00DC00DB" w:rsidP="00317696">
      <w:pPr>
        <w:spacing w:after="0"/>
        <w:contextualSpacing/>
        <w:jc w:val="both"/>
        <w:rPr>
          <w:rFonts w:ascii="ITC Avant Garde" w:hAnsi="ITC Avant Garde"/>
          <w:szCs w:val="21"/>
        </w:rPr>
      </w:pPr>
      <w:r w:rsidRPr="00965118">
        <w:rPr>
          <w:rFonts w:ascii="ITC Avant Garde" w:hAnsi="ITC Avant Garde"/>
          <w:szCs w:val="21"/>
        </w:rPr>
        <w:t>Para efectos de la definición de arrendamiento del espectro radioeléctrico, en principio, se debe atender a la definición de arrendamiento contenida en el artículo 2398 del Código Civil Federal, que establece:</w:t>
      </w:r>
    </w:p>
    <w:p w14:paraId="31CDAC72" w14:textId="77777777" w:rsidR="00DC00DB" w:rsidRPr="00965118" w:rsidRDefault="00DC00DB" w:rsidP="00317696">
      <w:pPr>
        <w:spacing w:after="0"/>
        <w:contextualSpacing/>
        <w:jc w:val="both"/>
        <w:rPr>
          <w:rFonts w:ascii="ITC Avant Garde" w:hAnsi="ITC Avant Garde"/>
          <w:szCs w:val="21"/>
        </w:rPr>
      </w:pPr>
    </w:p>
    <w:p w14:paraId="3A5D56A6" w14:textId="5AD85FF3" w:rsidR="00DC00DB" w:rsidRPr="00D03948" w:rsidRDefault="00DC00DB" w:rsidP="00317696">
      <w:pPr>
        <w:spacing w:after="0"/>
        <w:ind w:left="1134" w:right="1183"/>
        <w:contextualSpacing/>
        <w:jc w:val="both"/>
        <w:rPr>
          <w:rFonts w:ascii="ITC Avant Garde" w:hAnsi="ITC Avant Garde"/>
          <w:i/>
          <w:sz w:val="20"/>
          <w:szCs w:val="19"/>
        </w:rPr>
      </w:pPr>
      <w:r w:rsidRPr="00965118">
        <w:rPr>
          <w:rFonts w:ascii="ITC Avant Garde" w:hAnsi="ITC Avant Garde"/>
          <w:i/>
          <w:sz w:val="20"/>
          <w:szCs w:val="19"/>
        </w:rPr>
        <w:t>“</w:t>
      </w:r>
      <w:r w:rsidRPr="00965118">
        <w:rPr>
          <w:rFonts w:ascii="ITC Avant Garde" w:hAnsi="ITC Avant Garde"/>
          <w:b/>
          <w:i/>
          <w:sz w:val="20"/>
          <w:szCs w:val="19"/>
        </w:rPr>
        <w:t>Artículo 2398</w:t>
      </w:r>
      <w:r w:rsidRPr="00965118">
        <w:rPr>
          <w:rFonts w:ascii="ITC Avant Garde" w:hAnsi="ITC Avant Garde"/>
          <w:i/>
          <w:sz w:val="20"/>
          <w:szCs w:val="19"/>
        </w:rPr>
        <w:t>.- Hay arrendamiento cuando las dos partes contratantes se obligan recíprocamente, una, a conceder el uso o goce temporal de una cosa, y la otra, a pagar por ese uso o goce un precio cierto. (…)</w:t>
      </w:r>
      <w:r w:rsidR="00C22E7F" w:rsidRPr="00965118">
        <w:rPr>
          <w:rFonts w:ascii="ITC Avant Garde" w:hAnsi="ITC Avant Garde"/>
          <w:i/>
          <w:sz w:val="20"/>
          <w:szCs w:val="19"/>
        </w:rPr>
        <w:t>”</w:t>
      </w:r>
    </w:p>
    <w:p w14:paraId="29D1F1DA" w14:textId="77777777" w:rsidR="00DC00DB" w:rsidRPr="00D03948" w:rsidRDefault="00DC00DB" w:rsidP="00317696">
      <w:pPr>
        <w:spacing w:after="0"/>
        <w:ind w:left="993" w:right="616" w:hanging="142"/>
        <w:contextualSpacing/>
        <w:jc w:val="both"/>
        <w:rPr>
          <w:rFonts w:ascii="ITC Avant Garde" w:hAnsi="ITC Avant Garde"/>
          <w:szCs w:val="21"/>
        </w:rPr>
      </w:pPr>
    </w:p>
    <w:p w14:paraId="7637FFF9" w14:textId="77777777" w:rsidR="00DC00DB" w:rsidRPr="00D03948" w:rsidRDefault="00DC00DB" w:rsidP="00317696">
      <w:pPr>
        <w:tabs>
          <w:tab w:val="left" w:pos="7938"/>
        </w:tabs>
        <w:spacing w:after="0"/>
        <w:ind w:right="49"/>
        <w:contextualSpacing/>
        <w:jc w:val="both"/>
        <w:rPr>
          <w:rFonts w:ascii="ITC Avant Garde" w:hAnsi="ITC Avant Garde"/>
          <w:szCs w:val="21"/>
        </w:rPr>
      </w:pPr>
      <w:r w:rsidRPr="00D03948">
        <w:rPr>
          <w:rFonts w:ascii="ITC Avant Garde" w:hAnsi="ITC Avant Garde"/>
          <w:szCs w:val="21"/>
        </w:rPr>
        <w:t>Por lo que refiere a la definición de espectro radioeléctrico, la fracción XXI del artículo 3 de la Ley prevé:</w:t>
      </w:r>
    </w:p>
    <w:p w14:paraId="5D63F41C" w14:textId="77777777" w:rsidR="00DC00DB" w:rsidRPr="00D03948" w:rsidRDefault="00DC00DB" w:rsidP="00317696">
      <w:pPr>
        <w:tabs>
          <w:tab w:val="left" w:pos="7938"/>
        </w:tabs>
        <w:spacing w:after="0"/>
        <w:ind w:right="49"/>
        <w:contextualSpacing/>
        <w:jc w:val="both"/>
        <w:rPr>
          <w:rFonts w:ascii="ITC Avant Garde" w:hAnsi="ITC Avant Garde"/>
          <w:szCs w:val="21"/>
        </w:rPr>
      </w:pPr>
    </w:p>
    <w:p w14:paraId="5E98AB5D" w14:textId="77777777" w:rsidR="00DC00DB" w:rsidRPr="00D03948" w:rsidRDefault="00DC00DB" w:rsidP="00317696">
      <w:pPr>
        <w:spacing w:after="0"/>
        <w:ind w:left="1134" w:right="1041"/>
        <w:contextualSpacing/>
        <w:jc w:val="both"/>
        <w:rPr>
          <w:rFonts w:ascii="ITC Avant Garde" w:hAnsi="ITC Avant Garde"/>
          <w:i/>
          <w:sz w:val="20"/>
          <w:szCs w:val="19"/>
        </w:rPr>
      </w:pPr>
      <w:r w:rsidRPr="00D03948">
        <w:rPr>
          <w:rFonts w:ascii="ITC Avant Garde" w:hAnsi="ITC Avant Garde"/>
          <w:i/>
          <w:sz w:val="20"/>
          <w:szCs w:val="19"/>
        </w:rPr>
        <w:t>“</w:t>
      </w:r>
      <w:r w:rsidRPr="00D03948">
        <w:rPr>
          <w:rFonts w:ascii="ITC Avant Garde" w:hAnsi="ITC Avant Garde"/>
          <w:b/>
          <w:bCs/>
          <w:i/>
          <w:sz w:val="20"/>
          <w:szCs w:val="19"/>
        </w:rPr>
        <w:t xml:space="preserve">Espectro radioeléctrico: </w:t>
      </w:r>
      <w:r w:rsidRPr="00D03948">
        <w:rPr>
          <w:rFonts w:ascii="ITC Avant Garde" w:hAnsi="ITC Avant Garde"/>
          <w:i/>
          <w:sz w:val="20"/>
          <w:szCs w:val="19"/>
        </w:rPr>
        <w:t xml:space="preserve">Espacio que permite la propagación, sin guía artificial, de ondas electromagnéticas cuyas bandas de frecuencias se fijan convencionalmente por debajo de los 3,000 </w:t>
      </w:r>
      <w:proofErr w:type="spellStart"/>
      <w:r w:rsidRPr="00D03948">
        <w:rPr>
          <w:rFonts w:ascii="ITC Avant Garde" w:hAnsi="ITC Avant Garde"/>
          <w:i/>
          <w:sz w:val="20"/>
          <w:szCs w:val="19"/>
        </w:rPr>
        <w:t>gigahertz</w:t>
      </w:r>
      <w:proofErr w:type="spellEnd"/>
      <w:r w:rsidRPr="00D03948">
        <w:rPr>
          <w:rFonts w:ascii="ITC Avant Garde" w:hAnsi="ITC Avant Garde"/>
          <w:i/>
          <w:sz w:val="20"/>
          <w:szCs w:val="19"/>
        </w:rPr>
        <w:t>.”</w:t>
      </w:r>
    </w:p>
    <w:p w14:paraId="21F2FCC8" w14:textId="77777777" w:rsidR="00DC00DB" w:rsidRPr="00D03948" w:rsidRDefault="00DC00DB" w:rsidP="00317696">
      <w:pPr>
        <w:spacing w:after="0"/>
        <w:ind w:left="1134" w:right="1041"/>
        <w:contextualSpacing/>
        <w:jc w:val="both"/>
        <w:rPr>
          <w:rFonts w:ascii="ITC Avant Garde" w:hAnsi="ITC Avant Garde"/>
          <w:szCs w:val="21"/>
        </w:rPr>
      </w:pPr>
    </w:p>
    <w:p w14:paraId="01D85103" w14:textId="39E5D5E1" w:rsidR="00DC00DB" w:rsidRPr="00D03948" w:rsidRDefault="00DC00DB" w:rsidP="00317696">
      <w:pPr>
        <w:spacing w:after="0"/>
        <w:contextualSpacing/>
        <w:jc w:val="both"/>
        <w:rPr>
          <w:rFonts w:ascii="ITC Avant Garde" w:hAnsi="ITC Avant Garde"/>
          <w:szCs w:val="21"/>
        </w:rPr>
      </w:pPr>
      <w:r w:rsidRPr="00D03948">
        <w:rPr>
          <w:rFonts w:ascii="ITC Avant Garde" w:hAnsi="ITC Avant Garde"/>
          <w:szCs w:val="21"/>
        </w:rPr>
        <w:t xml:space="preserve">Por tal motivo, </w:t>
      </w:r>
      <w:r w:rsidR="0041746B">
        <w:rPr>
          <w:rFonts w:ascii="ITC Avant Garde" w:hAnsi="ITC Avant Garde"/>
          <w:szCs w:val="21"/>
        </w:rPr>
        <w:t xml:space="preserve">dentro del Mercado Secundario de Espectro Radioeléctrico, </w:t>
      </w:r>
      <w:r w:rsidRPr="00D03948">
        <w:rPr>
          <w:rFonts w:ascii="ITC Avant Garde" w:hAnsi="ITC Avant Garde"/>
          <w:szCs w:val="21"/>
        </w:rPr>
        <w:t xml:space="preserve">para que una persona física o moral pueda obtener el </w:t>
      </w:r>
      <w:r w:rsidR="0041746B">
        <w:rPr>
          <w:rFonts w:ascii="ITC Avant Garde" w:hAnsi="ITC Avant Garde"/>
          <w:szCs w:val="21"/>
        </w:rPr>
        <w:t xml:space="preserve">derecho al </w:t>
      </w:r>
      <w:r w:rsidRPr="00D03948">
        <w:rPr>
          <w:rFonts w:ascii="ITC Avant Garde" w:hAnsi="ITC Avant Garde"/>
          <w:szCs w:val="21"/>
        </w:rPr>
        <w:t>uso</w:t>
      </w:r>
      <w:r w:rsidR="0041746B">
        <w:rPr>
          <w:rFonts w:ascii="ITC Avant Garde" w:hAnsi="ITC Avant Garde"/>
          <w:szCs w:val="21"/>
        </w:rPr>
        <w:t>,</w:t>
      </w:r>
      <w:r w:rsidRPr="00D03948">
        <w:rPr>
          <w:rFonts w:ascii="ITC Avant Garde" w:hAnsi="ITC Avant Garde"/>
          <w:szCs w:val="21"/>
        </w:rPr>
        <w:t xml:space="preserve"> aprovechamiento </w:t>
      </w:r>
      <w:r w:rsidR="00F10313">
        <w:rPr>
          <w:rFonts w:ascii="ITC Avant Garde" w:hAnsi="ITC Avant Garde"/>
          <w:szCs w:val="21"/>
        </w:rPr>
        <w:t>y/</w:t>
      </w:r>
      <w:r w:rsidR="0041746B">
        <w:rPr>
          <w:rFonts w:ascii="ITC Avant Garde" w:hAnsi="ITC Avant Garde"/>
          <w:szCs w:val="21"/>
        </w:rPr>
        <w:t xml:space="preserve">o explotación </w:t>
      </w:r>
      <w:r w:rsidRPr="00D03948">
        <w:rPr>
          <w:rFonts w:ascii="ITC Avant Garde" w:hAnsi="ITC Avant Garde"/>
          <w:szCs w:val="21"/>
        </w:rPr>
        <w:t xml:space="preserve">del espectro radioeléctrico, los artículos 66 y 75 de la Ley establecen que se requerirá concesión única para prestar todo tipo de servicios públicos de telecomunicaciones y radiodifusión. </w:t>
      </w:r>
    </w:p>
    <w:p w14:paraId="62A89716" w14:textId="77777777" w:rsidR="00DC00DB" w:rsidRPr="00D03948" w:rsidRDefault="00DC00DB" w:rsidP="00317696">
      <w:pPr>
        <w:spacing w:after="0"/>
        <w:contextualSpacing/>
        <w:jc w:val="both"/>
        <w:rPr>
          <w:rFonts w:ascii="ITC Avant Garde" w:hAnsi="ITC Avant Garde"/>
          <w:szCs w:val="21"/>
        </w:rPr>
      </w:pPr>
    </w:p>
    <w:p w14:paraId="78B90D45" w14:textId="77777777" w:rsidR="00DC00DB" w:rsidRPr="00D03948" w:rsidRDefault="00DC00DB" w:rsidP="00317696">
      <w:pPr>
        <w:spacing w:after="0"/>
        <w:contextualSpacing/>
        <w:jc w:val="both"/>
        <w:rPr>
          <w:rFonts w:ascii="ITC Avant Garde" w:hAnsi="ITC Avant Garde"/>
          <w:szCs w:val="21"/>
        </w:rPr>
      </w:pPr>
      <w:r w:rsidRPr="00D03948">
        <w:rPr>
          <w:rFonts w:ascii="ITC Avant Garde" w:hAnsi="ITC Avant Garde"/>
          <w:szCs w:val="21"/>
        </w:rPr>
        <w:lastRenderedPageBreak/>
        <w:t xml:space="preserve">Dado que el artículo 104 de la Ley establece que podrán darse en arrendamiento, </w:t>
      </w:r>
      <w:r w:rsidRPr="00D03948">
        <w:rPr>
          <w:rFonts w:ascii="ITC Avant Garde" w:hAnsi="ITC Avant Garde"/>
          <w:i/>
          <w:szCs w:val="21"/>
        </w:rPr>
        <w:t>“(…) únicamente bandas de frecuencia concesionadas para uso comercial o privado, estos últimos con propósitos de comunicación privada (…)”</w:t>
      </w:r>
      <w:r w:rsidRPr="00D03948">
        <w:rPr>
          <w:rFonts w:ascii="ITC Avant Garde" w:hAnsi="ITC Avant Garde"/>
          <w:szCs w:val="21"/>
        </w:rPr>
        <w:t>, sólo las personas físicas o morales que en virtud del artículo 78 de la Ley obtengan una concesión para el uso, aprovechamiento y explotación de espectro radioeléctrico para uso comercial o privado (este último caso para los propósitos previstos en el inciso a) de la fracción III del artículo 76 de la Ley, es decir, para comunicación privada), mediante licitación pública, podrán arrendar espectro concesionado.</w:t>
      </w:r>
    </w:p>
    <w:p w14:paraId="6E3EFE95" w14:textId="77777777" w:rsidR="00DC00DB" w:rsidRPr="00D03948" w:rsidRDefault="00DC00DB" w:rsidP="00317696">
      <w:pPr>
        <w:spacing w:after="0"/>
        <w:contextualSpacing/>
        <w:jc w:val="both"/>
        <w:rPr>
          <w:rFonts w:ascii="ITC Avant Garde" w:hAnsi="ITC Avant Garde"/>
          <w:szCs w:val="21"/>
        </w:rPr>
      </w:pPr>
    </w:p>
    <w:p w14:paraId="01B99757" w14:textId="77777777" w:rsidR="00DC00DB" w:rsidRPr="00D03948" w:rsidRDefault="00DC00DB" w:rsidP="00317696">
      <w:pPr>
        <w:spacing w:after="0"/>
        <w:contextualSpacing/>
        <w:jc w:val="both"/>
        <w:rPr>
          <w:rFonts w:ascii="ITC Avant Garde" w:hAnsi="ITC Avant Garde"/>
          <w:szCs w:val="21"/>
        </w:rPr>
      </w:pPr>
      <w:r w:rsidRPr="00D03948">
        <w:rPr>
          <w:rFonts w:ascii="ITC Avant Garde" w:hAnsi="ITC Avant Garde"/>
          <w:szCs w:val="21"/>
        </w:rPr>
        <w:t>Ahora bien, el artículo 77 de la Ley establece que las concesiones de espectro radioeléctrico solo podrán otorgarse a personas físicas o morales de nacionalidad mexicana, y podrá permitirse la participación de la inversión extranjera en sociedades concesionarias, según lo previsto en el Decreto de Reforma Constitucional y la Ley de Inversión Extranjera.</w:t>
      </w:r>
    </w:p>
    <w:p w14:paraId="47EF85CC" w14:textId="77777777" w:rsidR="00DC00DB" w:rsidRPr="00D03948" w:rsidRDefault="00DC00DB" w:rsidP="00317696">
      <w:pPr>
        <w:spacing w:after="0"/>
        <w:contextualSpacing/>
        <w:jc w:val="both"/>
        <w:rPr>
          <w:rFonts w:ascii="ITC Avant Garde" w:hAnsi="ITC Avant Garde"/>
          <w:szCs w:val="21"/>
        </w:rPr>
      </w:pPr>
    </w:p>
    <w:p w14:paraId="4AECCEDC" w14:textId="348EABF5" w:rsidR="00DC00DB" w:rsidRPr="00D03948" w:rsidRDefault="00DC00DB" w:rsidP="00317696">
      <w:pPr>
        <w:spacing w:after="0"/>
        <w:contextualSpacing/>
        <w:jc w:val="both"/>
        <w:rPr>
          <w:rFonts w:ascii="ITC Avant Garde" w:hAnsi="ITC Avant Garde"/>
          <w:szCs w:val="21"/>
        </w:rPr>
      </w:pPr>
      <w:r w:rsidRPr="00D03948">
        <w:rPr>
          <w:rFonts w:ascii="ITC Avant Garde" w:hAnsi="ITC Avant Garde"/>
          <w:szCs w:val="21"/>
        </w:rPr>
        <w:t xml:space="preserve">En virtud de lo anterior, se puede definir al arrendamiento del espectro radioeléctrico como la figura por medio de la cual se </w:t>
      </w:r>
      <w:r w:rsidR="0041746B">
        <w:rPr>
          <w:rFonts w:ascii="ITC Avant Garde" w:hAnsi="ITC Avant Garde"/>
          <w:szCs w:val="21"/>
        </w:rPr>
        <w:t>concede temporalmente</w:t>
      </w:r>
      <w:r w:rsidR="0041746B" w:rsidRPr="00D03948">
        <w:rPr>
          <w:rFonts w:ascii="ITC Avant Garde" w:hAnsi="ITC Avant Garde"/>
          <w:szCs w:val="21"/>
        </w:rPr>
        <w:t xml:space="preserve"> </w:t>
      </w:r>
      <w:r w:rsidRPr="00D03948">
        <w:rPr>
          <w:rFonts w:ascii="ITC Avant Garde" w:hAnsi="ITC Avant Garde"/>
          <w:szCs w:val="21"/>
        </w:rPr>
        <w:t>el derecho al uso, aprovechamiento y/o explotación, de una Banda de Frecuencias previamente concesionada, a un precio determinado</w:t>
      </w:r>
      <w:r w:rsidR="00F032C3">
        <w:rPr>
          <w:rFonts w:ascii="ITC Avant Garde" w:hAnsi="ITC Avant Garde"/>
          <w:szCs w:val="21"/>
        </w:rPr>
        <w:t>, sin transferir el título de concesión en comento.</w:t>
      </w:r>
    </w:p>
    <w:p w14:paraId="79C8A00A" w14:textId="663E0227" w:rsidR="00DC00DB" w:rsidRPr="00D03948" w:rsidRDefault="00DC00DB" w:rsidP="00317696">
      <w:pPr>
        <w:spacing w:after="0"/>
        <w:contextualSpacing/>
        <w:jc w:val="both"/>
        <w:rPr>
          <w:rFonts w:ascii="ITC Avant Garde" w:hAnsi="ITC Avant Garde"/>
          <w:b/>
          <w:szCs w:val="21"/>
        </w:rPr>
      </w:pPr>
    </w:p>
    <w:p w14:paraId="10307566" w14:textId="77777777" w:rsidR="00DC00DB" w:rsidRPr="00D03948" w:rsidRDefault="00DC00DB" w:rsidP="00317696">
      <w:pPr>
        <w:spacing w:after="0"/>
        <w:contextualSpacing/>
        <w:jc w:val="both"/>
        <w:rPr>
          <w:rFonts w:ascii="ITC Avant Garde" w:hAnsi="ITC Avant Garde"/>
          <w:b/>
          <w:szCs w:val="21"/>
        </w:rPr>
      </w:pPr>
      <w:r w:rsidRPr="00D03948">
        <w:rPr>
          <w:rFonts w:ascii="ITC Avant Garde" w:hAnsi="ITC Avant Garde"/>
          <w:szCs w:val="21"/>
        </w:rPr>
        <w:t>El artículo 104 de la Ley dispone que solo se podrán dar en arrendamiento bandas de frecuencia concesionadas para uso comercial y privado, este último con propósitos de comunicación privada. Asimismo, dicho artículo marca los parámetros mínimos que deberán observarse para llevar a cabo el arrendamiento de espectro, a saber:</w:t>
      </w:r>
    </w:p>
    <w:p w14:paraId="2E147CC8" w14:textId="77777777" w:rsidR="00DC00DB" w:rsidRPr="00D03948" w:rsidRDefault="00DC00DB" w:rsidP="00317696">
      <w:pPr>
        <w:spacing w:after="0"/>
        <w:contextualSpacing/>
        <w:jc w:val="both"/>
        <w:rPr>
          <w:rFonts w:ascii="ITC Avant Garde" w:hAnsi="ITC Avant Garde"/>
          <w:szCs w:val="21"/>
        </w:rPr>
      </w:pPr>
    </w:p>
    <w:p w14:paraId="6303DD5F" w14:textId="77777777" w:rsidR="00DC00DB" w:rsidRPr="00D03948" w:rsidRDefault="00DC00DB" w:rsidP="00317696">
      <w:pPr>
        <w:numPr>
          <w:ilvl w:val="0"/>
          <w:numId w:val="9"/>
        </w:numPr>
        <w:spacing w:after="0"/>
        <w:contextualSpacing/>
        <w:jc w:val="both"/>
        <w:rPr>
          <w:rFonts w:ascii="ITC Avant Garde" w:hAnsi="ITC Avant Garde"/>
          <w:szCs w:val="21"/>
        </w:rPr>
      </w:pPr>
      <w:r w:rsidRPr="00D03948">
        <w:rPr>
          <w:rFonts w:ascii="ITC Avant Garde" w:hAnsi="ITC Avant Garde"/>
          <w:szCs w:val="21"/>
        </w:rPr>
        <w:t xml:space="preserve">Que el arrendatario cuente con </w:t>
      </w:r>
      <w:r w:rsidRPr="00D03948">
        <w:rPr>
          <w:rFonts w:ascii="ITC Avant Garde" w:hAnsi="ITC Avant Garde"/>
          <w:b/>
          <w:szCs w:val="21"/>
        </w:rPr>
        <w:t>concesión única</w:t>
      </w:r>
      <w:r w:rsidRPr="00D03948">
        <w:rPr>
          <w:rFonts w:ascii="ITC Avant Garde" w:hAnsi="ITC Avant Garde"/>
          <w:szCs w:val="21"/>
        </w:rPr>
        <w:t xml:space="preserve"> del mismo uso o la haya solicitado al Instituto.</w:t>
      </w:r>
    </w:p>
    <w:p w14:paraId="265061C0" w14:textId="094BAE82" w:rsidR="00DC00DB" w:rsidRPr="00D03948" w:rsidRDefault="00DC00DB" w:rsidP="00317696">
      <w:pPr>
        <w:numPr>
          <w:ilvl w:val="0"/>
          <w:numId w:val="9"/>
        </w:numPr>
        <w:spacing w:after="0"/>
        <w:contextualSpacing/>
        <w:jc w:val="both"/>
        <w:rPr>
          <w:rFonts w:ascii="ITC Avant Garde" w:hAnsi="ITC Avant Garde"/>
          <w:szCs w:val="21"/>
        </w:rPr>
      </w:pPr>
      <w:r w:rsidRPr="00D03948">
        <w:rPr>
          <w:rFonts w:ascii="ITC Avant Garde" w:hAnsi="ITC Avant Garde"/>
          <w:szCs w:val="21"/>
        </w:rPr>
        <w:t xml:space="preserve">Que el arrendatario se constituya como </w:t>
      </w:r>
      <w:r w:rsidRPr="00D03948">
        <w:rPr>
          <w:rFonts w:ascii="ITC Avant Garde" w:hAnsi="ITC Avant Garde"/>
          <w:b/>
          <w:szCs w:val="21"/>
        </w:rPr>
        <w:t>obligado solidario del concesionario</w:t>
      </w:r>
      <w:r w:rsidRPr="00D03948">
        <w:rPr>
          <w:rFonts w:ascii="ITC Avant Garde" w:hAnsi="ITC Avant Garde"/>
          <w:szCs w:val="21"/>
        </w:rPr>
        <w:t xml:space="preserve">, </w:t>
      </w:r>
      <w:r w:rsidR="0020556E">
        <w:rPr>
          <w:rFonts w:ascii="ITC Avant Garde" w:hAnsi="ITC Avant Garde"/>
          <w:szCs w:val="21"/>
        </w:rPr>
        <w:t xml:space="preserve">respecto de las obligaciones </w:t>
      </w:r>
      <w:r w:rsidRPr="00D03948">
        <w:rPr>
          <w:rFonts w:ascii="ITC Avant Garde" w:hAnsi="ITC Avant Garde"/>
          <w:szCs w:val="21"/>
        </w:rPr>
        <w:t>derivad</w:t>
      </w:r>
      <w:r w:rsidR="0020556E">
        <w:rPr>
          <w:rFonts w:ascii="ITC Avant Garde" w:hAnsi="ITC Avant Garde"/>
          <w:szCs w:val="21"/>
        </w:rPr>
        <w:t>as</w:t>
      </w:r>
      <w:r w:rsidRPr="00D03948">
        <w:rPr>
          <w:rFonts w:ascii="ITC Avant Garde" w:hAnsi="ITC Avant Garde"/>
          <w:szCs w:val="21"/>
        </w:rPr>
        <w:t xml:space="preserve"> de la concesión de la banda de frecuencia arrendada.</w:t>
      </w:r>
    </w:p>
    <w:p w14:paraId="74C2CD3A" w14:textId="6D4DDC63" w:rsidR="00DC00DB" w:rsidRPr="00D03948" w:rsidRDefault="00DC00DB" w:rsidP="00317696">
      <w:pPr>
        <w:numPr>
          <w:ilvl w:val="0"/>
          <w:numId w:val="9"/>
        </w:numPr>
        <w:spacing w:after="0"/>
        <w:contextualSpacing/>
        <w:jc w:val="both"/>
        <w:rPr>
          <w:rFonts w:ascii="ITC Avant Garde" w:hAnsi="ITC Avant Garde"/>
          <w:szCs w:val="21"/>
        </w:rPr>
      </w:pPr>
      <w:r w:rsidRPr="00D03948">
        <w:rPr>
          <w:rFonts w:ascii="ITC Avant Garde" w:hAnsi="ITC Avant Garde"/>
          <w:szCs w:val="21"/>
        </w:rPr>
        <w:t xml:space="preserve">Que no se afecte la </w:t>
      </w:r>
      <w:r w:rsidRPr="00D03948">
        <w:rPr>
          <w:rFonts w:ascii="ITC Avant Garde" w:hAnsi="ITC Avant Garde"/>
          <w:b/>
          <w:szCs w:val="21"/>
        </w:rPr>
        <w:t xml:space="preserve">continuidad </w:t>
      </w:r>
      <w:r w:rsidR="0020556E">
        <w:rPr>
          <w:rFonts w:ascii="ITC Avant Garde" w:hAnsi="ITC Avant Garde"/>
          <w:b/>
          <w:szCs w:val="21"/>
        </w:rPr>
        <w:t xml:space="preserve">en la prestación </w:t>
      </w:r>
      <w:r w:rsidRPr="00D03948">
        <w:rPr>
          <w:rFonts w:ascii="ITC Avant Garde" w:hAnsi="ITC Avant Garde"/>
          <w:b/>
          <w:szCs w:val="21"/>
        </w:rPr>
        <w:t>del servicio</w:t>
      </w:r>
      <w:r w:rsidRPr="00D03948">
        <w:rPr>
          <w:rFonts w:ascii="ITC Avant Garde" w:hAnsi="ITC Avant Garde"/>
          <w:szCs w:val="21"/>
        </w:rPr>
        <w:t>.</w:t>
      </w:r>
    </w:p>
    <w:p w14:paraId="70481909" w14:textId="77777777" w:rsidR="00DC00DB" w:rsidRPr="00D03948" w:rsidRDefault="00DC00DB" w:rsidP="00317696">
      <w:pPr>
        <w:numPr>
          <w:ilvl w:val="0"/>
          <w:numId w:val="9"/>
        </w:numPr>
        <w:spacing w:after="0"/>
        <w:contextualSpacing/>
        <w:jc w:val="both"/>
        <w:rPr>
          <w:rFonts w:ascii="ITC Avant Garde" w:hAnsi="ITC Avant Garde"/>
          <w:szCs w:val="21"/>
        </w:rPr>
      </w:pPr>
      <w:r w:rsidRPr="00D03948">
        <w:rPr>
          <w:rFonts w:ascii="ITC Avant Garde" w:hAnsi="ITC Avant Garde"/>
          <w:szCs w:val="21"/>
        </w:rPr>
        <w:t xml:space="preserve">Que </w:t>
      </w:r>
      <w:r w:rsidRPr="00D03948">
        <w:rPr>
          <w:rFonts w:ascii="ITC Avant Garde" w:hAnsi="ITC Avant Garde"/>
          <w:b/>
          <w:szCs w:val="21"/>
        </w:rPr>
        <w:t>no se generen fenómenos de concentración, acaparamiento o propiedad cruzada</w:t>
      </w:r>
      <w:r w:rsidRPr="00D03948">
        <w:rPr>
          <w:rFonts w:ascii="ITC Avant Garde" w:hAnsi="ITC Avant Garde"/>
          <w:szCs w:val="21"/>
        </w:rPr>
        <w:t>.</w:t>
      </w:r>
    </w:p>
    <w:p w14:paraId="18F56EED" w14:textId="77777777" w:rsidR="00DC00DB" w:rsidRPr="00D03948" w:rsidRDefault="00DC00DB" w:rsidP="00317696">
      <w:pPr>
        <w:spacing w:after="0"/>
        <w:contextualSpacing/>
        <w:jc w:val="both"/>
        <w:rPr>
          <w:rFonts w:ascii="ITC Avant Garde" w:hAnsi="ITC Avant Garde"/>
          <w:szCs w:val="21"/>
        </w:rPr>
      </w:pPr>
    </w:p>
    <w:p w14:paraId="2ED82A00" w14:textId="5040A7FD" w:rsidR="00C22E7F" w:rsidRDefault="00DC00DB" w:rsidP="00317696">
      <w:pPr>
        <w:spacing w:after="0"/>
        <w:contextualSpacing/>
        <w:jc w:val="both"/>
        <w:rPr>
          <w:rFonts w:ascii="ITC Avant Garde" w:hAnsi="ITC Avant Garde"/>
          <w:b/>
          <w:sz w:val="18"/>
          <w:szCs w:val="18"/>
        </w:rPr>
      </w:pPr>
      <w:r w:rsidRPr="005D4B43">
        <w:rPr>
          <w:rFonts w:ascii="ITC Avant Garde" w:hAnsi="ITC Avant Garde"/>
          <w:szCs w:val="21"/>
        </w:rPr>
        <w:t>En ese sentido, los concesionarios que deseen dar en arrendamiento bandas de frecuencias de espectro radioeléctrico que le ha sido concesionada, deberán solicitar la</w:t>
      </w:r>
      <w:r w:rsidRPr="005D4B43">
        <w:rPr>
          <w:rFonts w:ascii="ITC Avant Garde" w:hAnsi="ITC Avant Garde" w:cs="Arial"/>
          <w:bCs/>
          <w:color w:val="000000" w:themeColor="text1"/>
          <w:szCs w:val="21"/>
        </w:rPr>
        <w:t xml:space="preserve"> autorización de arrendamiento ante el Instituto,</w:t>
      </w:r>
      <w:r w:rsidRPr="005D4B43">
        <w:rPr>
          <w:rFonts w:ascii="ITC Avant Garde" w:hAnsi="ITC Avant Garde"/>
          <w:color w:val="000000" w:themeColor="text1"/>
          <w:szCs w:val="21"/>
        </w:rPr>
        <w:t xml:space="preserve"> señalando</w:t>
      </w:r>
      <w:r w:rsidRPr="005D4B43">
        <w:rPr>
          <w:rFonts w:ascii="ITC Avant Garde" w:hAnsi="ITC Avant Garde" w:cs="Arial"/>
          <w:bCs/>
          <w:color w:val="000000" w:themeColor="text1"/>
          <w:szCs w:val="21"/>
        </w:rPr>
        <w:t xml:space="preserve"> el título de concesión de espectro radioeléctrico para uso comercial o privado con propósitos </w:t>
      </w:r>
      <w:r w:rsidRPr="005D4B43">
        <w:rPr>
          <w:rFonts w:ascii="ITC Avant Garde" w:hAnsi="ITC Avant Garde" w:cs="Arial"/>
          <w:bCs/>
          <w:color w:val="000000" w:themeColor="text1"/>
          <w:szCs w:val="21"/>
        </w:rPr>
        <w:lastRenderedPageBreak/>
        <w:t xml:space="preserve">de comunicación privada, así como el </w:t>
      </w:r>
      <w:r w:rsidR="00CA7AE3" w:rsidRPr="005D4B43">
        <w:rPr>
          <w:rFonts w:ascii="ITC Avant Garde" w:hAnsi="ITC Avant Garde" w:cs="Arial"/>
          <w:bCs/>
          <w:color w:val="000000" w:themeColor="text1"/>
        </w:rPr>
        <w:t xml:space="preserve">título de concesión única </w:t>
      </w:r>
      <w:r w:rsidRPr="005D4B43">
        <w:rPr>
          <w:rFonts w:ascii="ITC Avant Garde" w:hAnsi="ITC Avant Garde" w:cs="Arial"/>
          <w:bCs/>
          <w:color w:val="000000" w:themeColor="text1"/>
          <w:szCs w:val="21"/>
        </w:rPr>
        <w:t xml:space="preserve">del </w:t>
      </w:r>
      <w:r w:rsidR="009953DF">
        <w:rPr>
          <w:rFonts w:ascii="ITC Avant Garde" w:hAnsi="ITC Avant Garde" w:cs="Arial"/>
          <w:bCs/>
          <w:color w:val="000000" w:themeColor="text1"/>
          <w:szCs w:val="21"/>
        </w:rPr>
        <w:t xml:space="preserve">interesado en </w:t>
      </w:r>
      <w:r w:rsidR="004C10E6">
        <w:rPr>
          <w:rFonts w:ascii="ITC Avant Garde" w:hAnsi="ITC Avant Garde" w:cs="Arial"/>
          <w:bCs/>
          <w:color w:val="000000" w:themeColor="text1"/>
          <w:szCs w:val="21"/>
        </w:rPr>
        <w:t xml:space="preserve">tomar arrendamiento en </w:t>
      </w:r>
      <w:r w:rsidR="009953DF">
        <w:rPr>
          <w:rFonts w:ascii="ITC Avant Garde" w:hAnsi="ITC Avant Garde" w:cs="Arial"/>
          <w:bCs/>
          <w:color w:val="000000" w:themeColor="text1"/>
          <w:szCs w:val="21"/>
        </w:rPr>
        <w:t>bandas de frecuencias</w:t>
      </w:r>
      <w:r w:rsidRPr="005D4B43">
        <w:rPr>
          <w:rFonts w:ascii="ITC Avant Garde" w:hAnsi="ITC Avant Garde" w:cs="Arial"/>
          <w:bCs/>
          <w:color w:val="000000" w:themeColor="text1"/>
          <w:szCs w:val="21"/>
        </w:rPr>
        <w:t xml:space="preserve"> o, en su caso, el acuse de la solicitud de concesión única de éste último.</w:t>
      </w:r>
      <w:r w:rsidRPr="005D4B43">
        <w:rPr>
          <w:rFonts w:ascii="ITC Avant Garde" w:hAnsi="ITC Avant Garde"/>
          <w:color w:val="000000" w:themeColor="text1"/>
          <w:szCs w:val="21"/>
        </w:rPr>
        <w:t xml:space="preserve"> </w:t>
      </w:r>
      <w:r w:rsidRPr="005D4B43">
        <w:rPr>
          <w:rFonts w:ascii="ITC Avant Garde" w:hAnsi="ITC Avant Garde"/>
          <w:szCs w:val="21"/>
        </w:rPr>
        <w:t>El Instituto cuenta con 45 días hábiles para dar respuesta al solicitante.</w:t>
      </w:r>
    </w:p>
    <w:p w14:paraId="6A44CA12" w14:textId="77777777" w:rsidR="00C22E7F" w:rsidRPr="00D03948" w:rsidRDefault="00C22E7F" w:rsidP="00317696">
      <w:pPr>
        <w:spacing w:after="0"/>
        <w:contextualSpacing/>
        <w:jc w:val="both"/>
        <w:rPr>
          <w:rFonts w:ascii="ITC Avant Garde" w:hAnsi="ITC Avant Garde"/>
          <w:szCs w:val="21"/>
        </w:rPr>
      </w:pPr>
    </w:p>
    <w:bookmarkEnd w:id="7"/>
    <w:bookmarkEnd w:id="8"/>
    <w:p w14:paraId="660794CB" w14:textId="67989FED" w:rsidR="00624644" w:rsidRDefault="0091229B" w:rsidP="00317696">
      <w:pPr>
        <w:spacing w:after="0"/>
        <w:contextualSpacing/>
        <w:jc w:val="both"/>
        <w:rPr>
          <w:rFonts w:ascii="ITC Avant Garde" w:hAnsi="ITC Avant Garde"/>
        </w:rPr>
      </w:pPr>
      <w:r w:rsidRPr="00B53202">
        <w:rPr>
          <w:rFonts w:ascii="ITC Avant Garde" w:hAnsi="ITC Avant Garde"/>
          <w:color w:val="000000" w:themeColor="text1"/>
          <w:szCs w:val="21"/>
        </w:rPr>
        <w:t>T</w:t>
      </w:r>
      <w:r w:rsidR="00624644" w:rsidRPr="00CD33B2">
        <w:rPr>
          <w:rFonts w:ascii="ITC Avant Garde" w:hAnsi="ITC Avant Garde" w:cs="Arial"/>
          <w:color w:val="000000" w:themeColor="text1"/>
        </w:rPr>
        <w:t xml:space="preserve">oda vez que el arrendamiento de espectro es una figura de reciente incorporación en la legislación mexicana, se considera conveniente </w:t>
      </w:r>
      <w:r w:rsidR="00C816FD">
        <w:rPr>
          <w:rFonts w:ascii="ITC Avant Garde" w:hAnsi="ITC Avant Garde" w:cs="Arial"/>
          <w:color w:val="000000" w:themeColor="text1"/>
        </w:rPr>
        <w:t xml:space="preserve">establecer un marco regulatorio </w:t>
      </w:r>
      <w:r w:rsidR="00624644" w:rsidRPr="00CD33B2">
        <w:rPr>
          <w:rFonts w:ascii="ITC Avant Garde" w:hAnsi="ITC Avant Garde" w:cs="Arial"/>
          <w:color w:val="000000" w:themeColor="text1"/>
        </w:rPr>
        <w:t>a efecto de contribuir a la</w:t>
      </w:r>
      <w:r w:rsidR="00624644" w:rsidRPr="00CD33B2">
        <w:rPr>
          <w:rFonts w:ascii="ITC Avant Garde" w:hAnsi="ITC Avant Garde"/>
        </w:rPr>
        <w:t xml:space="preserve"> flexibilidad, agilidad y dinamismo que a la gestión del espectro brinda el Mercado Secundario de Espectro Radioeléctrico</w:t>
      </w:r>
      <w:r w:rsidR="00C816FD">
        <w:rPr>
          <w:rFonts w:ascii="ITC Avant Garde" w:hAnsi="ITC Avant Garde"/>
        </w:rPr>
        <w:t>, ello en cumplimiento a</w:t>
      </w:r>
      <w:r w:rsidR="00624644" w:rsidRPr="00CD33B2">
        <w:rPr>
          <w:rFonts w:ascii="ITC Avant Garde" w:hAnsi="ITC Avant Garde"/>
        </w:rPr>
        <w:t xml:space="preserve"> lo dispuesto en el párrafo segundo del artículo 104 de la Ley, </w:t>
      </w:r>
      <w:r w:rsidR="00C816FD">
        <w:rPr>
          <w:rFonts w:ascii="ITC Avant Garde" w:hAnsi="ITC Avant Garde"/>
        </w:rPr>
        <w:t xml:space="preserve">por lo que es necesario que el Instituto </w:t>
      </w:r>
      <w:r w:rsidR="00624644" w:rsidRPr="00CD33B2">
        <w:rPr>
          <w:rFonts w:ascii="ITC Avant Garde" w:hAnsi="ITC Avant Garde"/>
        </w:rPr>
        <w:t xml:space="preserve">emita los Lineamientos Generales </w:t>
      </w:r>
      <w:r w:rsidR="00624644">
        <w:rPr>
          <w:rFonts w:ascii="ITC Avant Garde" w:hAnsi="ITC Avant Garde"/>
        </w:rPr>
        <w:t>sobre la</w:t>
      </w:r>
      <w:r w:rsidR="00624644" w:rsidRPr="00CD33B2">
        <w:rPr>
          <w:rFonts w:ascii="ITC Avant Garde" w:hAnsi="ITC Avant Garde"/>
        </w:rPr>
        <w:t xml:space="preserve"> Autorización de Arrendamiento de Espectro Radioeléctrico.</w:t>
      </w:r>
    </w:p>
    <w:p w14:paraId="068DA2C8" w14:textId="77777777" w:rsidR="00C50D3C" w:rsidRPr="00CD33B2" w:rsidRDefault="00C50D3C" w:rsidP="00317696">
      <w:pPr>
        <w:spacing w:after="0"/>
        <w:contextualSpacing/>
        <w:jc w:val="both"/>
        <w:rPr>
          <w:rFonts w:ascii="ITC Avant Garde" w:hAnsi="ITC Avant Garde"/>
        </w:rPr>
      </w:pPr>
    </w:p>
    <w:p w14:paraId="3D058D59" w14:textId="2F464B1F" w:rsidR="00DC00DB" w:rsidRPr="00D03948" w:rsidRDefault="00DC00DB" w:rsidP="00317696">
      <w:pPr>
        <w:numPr>
          <w:ilvl w:val="0"/>
          <w:numId w:val="3"/>
        </w:numPr>
        <w:pBdr>
          <w:top w:val="nil"/>
          <w:left w:val="nil"/>
          <w:bottom w:val="nil"/>
          <w:right w:val="nil"/>
          <w:between w:val="nil"/>
          <w:bar w:val="nil"/>
        </w:pBdr>
        <w:spacing w:after="0"/>
        <w:ind w:left="0" w:firstLine="0"/>
        <w:contextualSpacing/>
        <w:jc w:val="both"/>
        <w:rPr>
          <w:rFonts w:ascii="ITC Avant Garde" w:hAnsi="ITC Avant Garde" w:cs="Arial"/>
          <w:szCs w:val="21"/>
        </w:rPr>
      </w:pPr>
      <w:r w:rsidRPr="00D03948">
        <w:rPr>
          <w:rFonts w:ascii="ITC Avant Garde" w:hAnsi="ITC Avant Garde" w:cs="Arial"/>
          <w:b/>
          <w:color w:val="000000" w:themeColor="text1"/>
          <w:szCs w:val="21"/>
        </w:rPr>
        <w:t xml:space="preserve">Consulta Pública del Anteproyecto de Lineamientos </w:t>
      </w:r>
      <w:r w:rsidR="00624644">
        <w:rPr>
          <w:rFonts w:ascii="ITC Avant Garde" w:hAnsi="ITC Avant Garde" w:cs="Arial"/>
          <w:b/>
          <w:color w:val="000000" w:themeColor="text1"/>
          <w:szCs w:val="21"/>
        </w:rPr>
        <w:t xml:space="preserve">sobre la Autorización de Arrendamiento </w:t>
      </w:r>
      <w:r w:rsidRPr="00D03948">
        <w:rPr>
          <w:rFonts w:ascii="ITC Avant Garde" w:hAnsi="ITC Avant Garde" w:cs="Arial"/>
          <w:b/>
          <w:color w:val="000000" w:themeColor="text1"/>
          <w:szCs w:val="21"/>
        </w:rPr>
        <w:t>de Espectro Radioeléctrico.</w:t>
      </w:r>
      <w:r w:rsidRPr="00D03948">
        <w:rPr>
          <w:rFonts w:ascii="ITC Avant Garde" w:hAnsi="ITC Avant Garde"/>
          <w:b/>
          <w:szCs w:val="21"/>
        </w:rPr>
        <w:t xml:space="preserve"> </w:t>
      </w:r>
      <w:r w:rsidRPr="00D03948">
        <w:rPr>
          <w:rFonts w:ascii="ITC Avant Garde" w:eastAsia="Times New Roman" w:hAnsi="ITC Avant Garde" w:cs="TimesNewRomanPS-BoldMT"/>
          <w:bCs/>
          <w:szCs w:val="21"/>
          <w:lang w:val="es-ES" w:eastAsia="es-ES"/>
        </w:rPr>
        <w:t>El artículo 51 de la Ley establece que para la emisión y modificación de reglas, lineamientos o disposiciones administrativas de carácter general, el Instituto deberá realizar consultas públicas bajo los principios de transparencia y participación ciudadana.</w:t>
      </w:r>
    </w:p>
    <w:p w14:paraId="190C5C70" w14:textId="77777777" w:rsidR="00DC00DB" w:rsidRPr="00D03948" w:rsidRDefault="00DC00DB" w:rsidP="00317696">
      <w:pPr>
        <w:suppressAutoHyphens/>
        <w:spacing w:after="0"/>
        <w:contextualSpacing/>
        <w:jc w:val="both"/>
        <w:rPr>
          <w:rFonts w:ascii="ITC Avant Garde" w:eastAsia="Times New Roman" w:hAnsi="ITC Avant Garde" w:cs="TimesNewRomanPS-BoldMT"/>
          <w:bCs/>
          <w:szCs w:val="21"/>
          <w:lang w:val="es-ES" w:eastAsia="es-ES"/>
        </w:rPr>
      </w:pPr>
    </w:p>
    <w:p w14:paraId="0A42E4A5" w14:textId="59FA025A" w:rsidR="00DC00DB" w:rsidRPr="00D03948" w:rsidRDefault="00DC00DB" w:rsidP="00317696">
      <w:pPr>
        <w:spacing w:after="0"/>
        <w:contextualSpacing/>
        <w:jc w:val="both"/>
        <w:rPr>
          <w:rFonts w:ascii="ITC Avant Garde" w:hAnsi="ITC Avant Garde" w:cs="Arial"/>
          <w:color w:val="000000" w:themeColor="text1"/>
          <w:szCs w:val="21"/>
        </w:rPr>
      </w:pPr>
      <w:r w:rsidRPr="00D03948">
        <w:rPr>
          <w:rFonts w:ascii="ITC Avant Garde" w:hAnsi="ITC Avant Garde" w:cs="Arial"/>
          <w:color w:val="000000" w:themeColor="text1"/>
          <w:szCs w:val="21"/>
        </w:rPr>
        <w:t xml:space="preserve">En ese sentido, se considera que el Anteproyecto de Lineamientos de mérito debe estar sujeto a un proceso de consulta pública por un período de </w:t>
      </w:r>
      <w:r w:rsidR="0051407B">
        <w:rPr>
          <w:rFonts w:ascii="ITC Avant Garde" w:hAnsi="ITC Avant Garde" w:cs="Arial"/>
          <w:color w:val="000000" w:themeColor="text1"/>
          <w:szCs w:val="21"/>
        </w:rPr>
        <w:t>20</w:t>
      </w:r>
      <w:r w:rsidR="0091229B">
        <w:rPr>
          <w:rFonts w:ascii="ITC Avant Garde" w:hAnsi="ITC Avant Garde" w:cs="Arial"/>
          <w:color w:val="000000" w:themeColor="text1"/>
          <w:szCs w:val="21"/>
        </w:rPr>
        <w:t xml:space="preserve"> </w:t>
      </w:r>
      <w:r w:rsidR="00B53202">
        <w:rPr>
          <w:rFonts w:ascii="ITC Avant Garde" w:hAnsi="ITC Avant Garde" w:cs="Arial"/>
          <w:color w:val="000000" w:themeColor="text1"/>
          <w:szCs w:val="21"/>
        </w:rPr>
        <w:t xml:space="preserve"> </w:t>
      </w:r>
      <w:r w:rsidR="0091229B">
        <w:rPr>
          <w:rFonts w:ascii="ITC Avant Garde" w:hAnsi="ITC Avant Garde" w:cs="Arial"/>
          <w:color w:val="000000" w:themeColor="text1"/>
          <w:szCs w:val="21"/>
        </w:rPr>
        <w:t>(</w:t>
      </w:r>
      <w:r w:rsidR="0051407B">
        <w:rPr>
          <w:rFonts w:ascii="ITC Avant Garde" w:hAnsi="ITC Avant Garde" w:cs="Arial"/>
          <w:color w:val="000000" w:themeColor="text1"/>
          <w:szCs w:val="21"/>
        </w:rPr>
        <w:t>veinte</w:t>
      </w:r>
      <w:r w:rsidR="0091229B">
        <w:rPr>
          <w:rFonts w:ascii="ITC Avant Garde" w:hAnsi="ITC Avant Garde" w:cs="Arial"/>
          <w:color w:val="000000" w:themeColor="text1"/>
          <w:szCs w:val="21"/>
        </w:rPr>
        <w:t>)</w:t>
      </w:r>
      <w:r w:rsidRPr="00D03948">
        <w:rPr>
          <w:rFonts w:ascii="ITC Avant Garde" w:hAnsi="ITC Avant Garde" w:cs="Arial"/>
          <w:color w:val="000000" w:themeColor="text1"/>
          <w:szCs w:val="21"/>
        </w:rPr>
        <w:t xml:space="preserve"> días hábiles para favorecer la transparencia y participación ciudadana, con el fin de recibir los comentarios y opiniones de la industria, académicos, analistas y sociedad en general sobre las principales condiciones técnicas y operativas de la aplicación de los Lineamientos Generales sobre la Autorización de Arrendamiento de Espectro Radioeléctrico, a efecto de dar cabal cumplimiento a lo establecido en el artículo 51 de la Ley antes referido.</w:t>
      </w:r>
    </w:p>
    <w:p w14:paraId="434A4B02" w14:textId="77777777" w:rsidR="00DC00DB" w:rsidRPr="00D03948" w:rsidRDefault="00DC00DB" w:rsidP="00317696">
      <w:pPr>
        <w:spacing w:after="0"/>
        <w:contextualSpacing/>
        <w:jc w:val="both"/>
        <w:rPr>
          <w:rFonts w:ascii="ITC Avant Garde" w:hAnsi="ITC Avant Garde" w:cs="Arial"/>
          <w:color w:val="000000" w:themeColor="text1"/>
          <w:szCs w:val="21"/>
        </w:rPr>
      </w:pPr>
    </w:p>
    <w:p w14:paraId="142C66FE" w14:textId="14729B7A" w:rsidR="00DC00DB" w:rsidRPr="00D03948" w:rsidDel="00FE1C07" w:rsidRDefault="00DC00DB" w:rsidP="00317696">
      <w:pPr>
        <w:spacing w:after="0"/>
        <w:contextualSpacing/>
        <w:jc w:val="both"/>
        <w:rPr>
          <w:rFonts w:ascii="ITC Avant Garde" w:hAnsi="ITC Avant Garde" w:cs="Arial"/>
          <w:color w:val="000000" w:themeColor="text1"/>
          <w:szCs w:val="21"/>
        </w:rPr>
      </w:pPr>
      <w:r w:rsidRPr="00D03948" w:rsidDel="00FE1C07">
        <w:rPr>
          <w:rFonts w:ascii="ITC Avant Garde" w:hAnsi="ITC Avant Garde" w:cs="Arial"/>
          <w:color w:val="000000" w:themeColor="text1"/>
          <w:szCs w:val="21"/>
        </w:rPr>
        <w:t>Por lo anterior y con fundamento en los artículos 6o. 7o. y 28, párrafos décimo quinto y décimo sexto de la Constitución Política de los Estados Unidos Mexicanos; 1, 2, 7, 15 fracci</w:t>
      </w:r>
      <w:r w:rsidR="00624644">
        <w:rPr>
          <w:rFonts w:ascii="ITC Avant Garde" w:hAnsi="ITC Avant Garde" w:cs="Arial"/>
          <w:color w:val="000000" w:themeColor="text1"/>
          <w:szCs w:val="21"/>
        </w:rPr>
        <w:t>ones</w:t>
      </w:r>
      <w:r w:rsidR="007329F7">
        <w:rPr>
          <w:rFonts w:ascii="ITC Avant Garde" w:hAnsi="ITC Avant Garde" w:cs="Arial"/>
          <w:color w:val="000000" w:themeColor="text1"/>
          <w:szCs w:val="21"/>
        </w:rPr>
        <w:t xml:space="preserve"> </w:t>
      </w:r>
      <w:r w:rsidRPr="00D03948" w:rsidDel="00FE1C07">
        <w:rPr>
          <w:rFonts w:ascii="ITC Avant Garde" w:hAnsi="ITC Avant Garde" w:cs="Arial"/>
          <w:color w:val="000000" w:themeColor="text1"/>
          <w:szCs w:val="21"/>
        </w:rPr>
        <w:t>I</w:t>
      </w:r>
      <w:r w:rsidR="00624644">
        <w:rPr>
          <w:rFonts w:ascii="ITC Avant Garde" w:hAnsi="ITC Avant Garde" w:cs="Arial"/>
          <w:color w:val="000000" w:themeColor="text1"/>
          <w:szCs w:val="21"/>
        </w:rPr>
        <w:t xml:space="preserve"> y XL</w:t>
      </w:r>
      <w:r w:rsidRPr="00D03948" w:rsidDel="00FE1C07">
        <w:rPr>
          <w:rFonts w:ascii="ITC Avant Garde" w:hAnsi="ITC Avant Garde" w:cs="Arial"/>
          <w:color w:val="000000" w:themeColor="text1"/>
          <w:szCs w:val="21"/>
        </w:rPr>
        <w:t xml:space="preserve">, 16, 17 fracciones I y XV, </w:t>
      </w:r>
      <w:r w:rsidRPr="00D03948">
        <w:rPr>
          <w:rFonts w:ascii="ITC Avant Garde" w:hAnsi="ITC Avant Garde" w:cs="Arial"/>
          <w:color w:val="000000" w:themeColor="text1"/>
          <w:szCs w:val="21"/>
        </w:rPr>
        <w:t xml:space="preserve">51, </w:t>
      </w:r>
      <w:r w:rsidRPr="00D03948" w:rsidDel="00FE1C07">
        <w:rPr>
          <w:rFonts w:ascii="ITC Avant Garde" w:hAnsi="ITC Avant Garde" w:cs="Arial"/>
          <w:color w:val="000000" w:themeColor="text1"/>
          <w:szCs w:val="21"/>
        </w:rPr>
        <w:t>54</w:t>
      </w:r>
      <w:r w:rsidRPr="00D03948">
        <w:rPr>
          <w:rFonts w:ascii="ITC Avant Garde" w:hAnsi="ITC Avant Garde" w:cs="Arial"/>
          <w:color w:val="000000" w:themeColor="text1"/>
          <w:szCs w:val="21"/>
        </w:rPr>
        <w:t>,</w:t>
      </w:r>
      <w:r w:rsidRPr="00D03948" w:rsidDel="00FE1C07">
        <w:rPr>
          <w:rFonts w:ascii="ITC Avant Garde" w:hAnsi="ITC Avant Garde" w:cs="Arial"/>
          <w:color w:val="000000" w:themeColor="text1"/>
          <w:szCs w:val="21"/>
        </w:rPr>
        <w:t xml:space="preserve"> 56</w:t>
      </w:r>
      <w:r w:rsidRPr="00D03948">
        <w:rPr>
          <w:rFonts w:ascii="ITC Avant Garde" w:hAnsi="ITC Avant Garde" w:cs="Arial"/>
          <w:color w:val="000000" w:themeColor="text1"/>
          <w:szCs w:val="21"/>
        </w:rPr>
        <w:t xml:space="preserve"> y </w:t>
      </w:r>
      <w:r w:rsidR="00456E65">
        <w:rPr>
          <w:rFonts w:ascii="ITC Avant Garde" w:hAnsi="ITC Avant Garde" w:cs="Arial"/>
          <w:color w:val="000000" w:themeColor="text1"/>
          <w:szCs w:val="21"/>
        </w:rPr>
        <w:t>104</w:t>
      </w:r>
      <w:r w:rsidRPr="00D03948">
        <w:rPr>
          <w:rFonts w:ascii="ITC Avant Garde" w:hAnsi="ITC Avant Garde" w:cs="Arial"/>
          <w:color w:val="000000" w:themeColor="text1"/>
          <w:szCs w:val="21"/>
        </w:rPr>
        <w:t xml:space="preserve"> </w:t>
      </w:r>
      <w:r w:rsidRPr="00D03948" w:rsidDel="00FE1C07">
        <w:rPr>
          <w:rFonts w:ascii="ITC Avant Garde" w:hAnsi="ITC Avant Garde" w:cs="Arial"/>
          <w:color w:val="000000" w:themeColor="text1"/>
          <w:szCs w:val="21"/>
        </w:rPr>
        <w:t xml:space="preserve">de la Ley Federal de Telecomunicaciones y Radiodifusión; y 1, 4, fracción I, 6, fracción I, 27 y </w:t>
      </w:r>
      <w:r w:rsidRPr="00D03948">
        <w:rPr>
          <w:rFonts w:ascii="ITC Avant Garde" w:hAnsi="ITC Avant Garde" w:cs="Arial"/>
          <w:color w:val="000000" w:themeColor="text1"/>
          <w:szCs w:val="21"/>
        </w:rPr>
        <w:t>28</w:t>
      </w:r>
      <w:r w:rsidRPr="00D03948" w:rsidDel="00FE1C07">
        <w:rPr>
          <w:rFonts w:ascii="ITC Avant Garde" w:hAnsi="ITC Avant Garde" w:cs="Arial"/>
          <w:color w:val="000000" w:themeColor="text1"/>
          <w:szCs w:val="21"/>
        </w:rPr>
        <w:t xml:space="preserve"> fracción </w:t>
      </w:r>
      <w:r w:rsidRPr="00D03948">
        <w:rPr>
          <w:rFonts w:ascii="ITC Avant Garde" w:hAnsi="ITC Avant Garde" w:cs="Arial"/>
          <w:color w:val="000000" w:themeColor="text1"/>
          <w:szCs w:val="21"/>
        </w:rPr>
        <w:t xml:space="preserve">XIII </w:t>
      </w:r>
      <w:r w:rsidRPr="00D03948" w:rsidDel="00FE1C07">
        <w:rPr>
          <w:rFonts w:ascii="ITC Avant Garde" w:hAnsi="ITC Avant Garde" w:cs="Arial"/>
          <w:color w:val="000000" w:themeColor="text1"/>
          <w:szCs w:val="21"/>
        </w:rPr>
        <w:t xml:space="preserve">del Estatuto Orgánico del Instituto Federal de Telecomunicaciones, el Pleno del Instituto </w:t>
      </w:r>
      <w:r w:rsidRPr="00D03948">
        <w:rPr>
          <w:rFonts w:ascii="ITC Avant Garde" w:hAnsi="ITC Avant Garde" w:cs="Arial"/>
          <w:color w:val="000000" w:themeColor="text1"/>
          <w:szCs w:val="21"/>
        </w:rPr>
        <w:t>resuelve emitir el siguiente:</w:t>
      </w:r>
    </w:p>
    <w:p w14:paraId="0D98A62B" w14:textId="77777777" w:rsidR="009A341B" w:rsidRPr="00D03948" w:rsidRDefault="009A341B" w:rsidP="00317696">
      <w:pPr>
        <w:autoSpaceDE w:val="0"/>
        <w:autoSpaceDN w:val="0"/>
        <w:adjustRightInd w:val="0"/>
        <w:spacing w:after="0"/>
        <w:contextualSpacing/>
        <w:jc w:val="center"/>
        <w:rPr>
          <w:rFonts w:ascii="ITC Avant Garde" w:eastAsia="Times New Roman" w:hAnsi="ITC Avant Garde" w:cs="TimesNewRomanPS-BoldMT"/>
          <w:b/>
          <w:bCs/>
          <w:color w:val="000000"/>
          <w:szCs w:val="21"/>
          <w:lang w:val="es-ES" w:eastAsia="es-ES"/>
        </w:rPr>
      </w:pPr>
    </w:p>
    <w:p w14:paraId="3F1534A5" w14:textId="77777777" w:rsidR="00DC00DB" w:rsidRPr="00D03948" w:rsidRDefault="00DC00DB" w:rsidP="00317696">
      <w:pPr>
        <w:autoSpaceDE w:val="0"/>
        <w:autoSpaceDN w:val="0"/>
        <w:adjustRightInd w:val="0"/>
        <w:spacing w:after="0"/>
        <w:contextualSpacing/>
        <w:jc w:val="center"/>
        <w:rPr>
          <w:rFonts w:ascii="ITC Avant Garde" w:eastAsia="Times New Roman" w:hAnsi="ITC Avant Garde" w:cs="TimesNewRomanPS-BoldMT"/>
          <w:b/>
          <w:bCs/>
          <w:color w:val="000000"/>
          <w:szCs w:val="21"/>
          <w:lang w:val="es-ES" w:eastAsia="es-ES"/>
        </w:rPr>
      </w:pPr>
      <w:r w:rsidRPr="00D03948">
        <w:rPr>
          <w:rFonts w:ascii="ITC Avant Garde" w:eastAsia="Times New Roman" w:hAnsi="ITC Avant Garde" w:cs="TimesNewRomanPS-BoldMT"/>
          <w:b/>
          <w:bCs/>
          <w:color w:val="000000"/>
          <w:szCs w:val="21"/>
          <w:lang w:val="es-ES" w:eastAsia="es-ES"/>
        </w:rPr>
        <w:t>ACUERDO</w:t>
      </w:r>
    </w:p>
    <w:p w14:paraId="2B917349" w14:textId="77777777" w:rsidR="00DC00DB" w:rsidRPr="00D03948" w:rsidRDefault="00DC00DB" w:rsidP="00317696">
      <w:pPr>
        <w:autoSpaceDE w:val="0"/>
        <w:autoSpaceDN w:val="0"/>
        <w:adjustRightInd w:val="0"/>
        <w:spacing w:after="0"/>
        <w:contextualSpacing/>
        <w:jc w:val="center"/>
        <w:rPr>
          <w:rFonts w:ascii="ITC Avant Garde" w:eastAsia="Times New Roman" w:hAnsi="ITC Avant Garde" w:cs="TimesNewRomanPS-BoldMT"/>
          <w:b/>
          <w:bCs/>
          <w:color w:val="000000"/>
          <w:szCs w:val="21"/>
          <w:lang w:val="es-ES" w:eastAsia="es-ES"/>
        </w:rPr>
      </w:pPr>
    </w:p>
    <w:p w14:paraId="1ED3C79F" w14:textId="51605546" w:rsidR="00991C7C" w:rsidRDefault="00991C7C" w:rsidP="00991C7C">
      <w:pPr>
        <w:numPr>
          <w:ilvl w:val="0"/>
          <w:numId w:val="17"/>
        </w:numPr>
        <w:suppressAutoHyphens/>
        <w:spacing w:after="0"/>
        <w:ind w:left="0" w:right="49" w:firstLine="0"/>
        <w:contextualSpacing/>
        <w:jc w:val="both"/>
        <w:rPr>
          <w:rFonts w:ascii="ITC Avant Garde" w:eastAsia="Times New Roman" w:hAnsi="ITC Avant Garde" w:cs="Arial"/>
          <w:szCs w:val="21"/>
          <w:lang w:val="es-ES" w:eastAsia="es-ES"/>
        </w:rPr>
      </w:pPr>
      <w:r w:rsidRPr="00991C7C">
        <w:rPr>
          <w:rFonts w:ascii="ITC Avant Garde" w:eastAsia="Times New Roman" w:hAnsi="ITC Avant Garde" w:cs="Arial"/>
          <w:szCs w:val="21"/>
          <w:lang w:val="es-ES" w:eastAsia="es-ES"/>
        </w:rPr>
        <w:t>Se determina</w:t>
      </w:r>
      <w:r w:rsidR="00DC00DB" w:rsidRPr="00991C7C">
        <w:rPr>
          <w:rFonts w:ascii="ITC Avant Garde" w:eastAsia="Times New Roman" w:hAnsi="ITC Avant Garde" w:cs="Arial"/>
          <w:szCs w:val="21"/>
          <w:lang w:val="es-ES" w:eastAsia="es-ES"/>
        </w:rPr>
        <w:t xml:space="preserve"> someter a consulta pública por un plazo de </w:t>
      </w:r>
      <w:r w:rsidR="0051407B" w:rsidRPr="00991C7C">
        <w:rPr>
          <w:rFonts w:ascii="ITC Avant Garde" w:eastAsia="Times New Roman" w:hAnsi="ITC Avant Garde" w:cs="Arial"/>
          <w:szCs w:val="21"/>
          <w:lang w:val="es-ES" w:eastAsia="es-ES"/>
        </w:rPr>
        <w:t xml:space="preserve">20 </w:t>
      </w:r>
      <w:r w:rsidR="00DC00DB" w:rsidRPr="00991C7C">
        <w:rPr>
          <w:rFonts w:ascii="ITC Avant Garde" w:eastAsia="Times New Roman" w:hAnsi="ITC Avant Garde" w:cs="Arial"/>
          <w:szCs w:val="21"/>
          <w:lang w:val="es-ES" w:eastAsia="es-ES"/>
        </w:rPr>
        <w:t>(</w:t>
      </w:r>
      <w:r w:rsidR="0051407B" w:rsidRPr="00991C7C">
        <w:rPr>
          <w:rFonts w:ascii="ITC Avant Garde" w:eastAsia="Times New Roman" w:hAnsi="ITC Avant Garde" w:cs="Arial"/>
          <w:szCs w:val="21"/>
          <w:lang w:val="es-ES" w:eastAsia="es-ES"/>
        </w:rPr>
        <w:t>veinte</w:t>
      </w:r>
      <w:r w:rsidR="00DC00DB" w:rsidRPr="00991C7C">
        <w:rPr>
          <w:rFonts w:ascii="ITC Avant Garde" w:eastAsia="Times New Roman" w:hAnsi="ITC Avant Garde" w:cs="Arial"/>
          <w:szCs w:val="21"/>
          <w:lang w:val="es-ES" w:eastAsia="es-ES"/>
        </w:rPr>
        <w:t xml:space="preserve">) días hábiles, </w:t>
      </w:r>
      <w:r w:rsidRPr="00991C7C">
        <w:rPr>
          <w:rFonts w:ascii="ITC Avant Garde" w:eastAsia="Times New Roman" w:hAnsi="ITC Avant Garde" w:cs="Arial"/>
          <w:szCs w:val="21"/>
          <w:lang w:val="es-ES" w:eastAsia="es-ES"/>
        </w:rPr>
        <w:t>contados a partir del día de su publicación en el portal de Internet del Instituto Federal de Telecomunicaciones</w:t>
      </w:r>
      <w:r w:rsidR="00DC00DB" w:rsidRPr="00991C7C">
        <w:rPr>
          <w:rFonts w:ascii="ITC Avant Garde" w:eastAsia="Times New Roman" w:hAnsi="ITC Avant Garde" w:cs="Arial"/>
          <w:szCs w:val="21"/>
          <w:lang w:val="es-ES" w:eastAsia="es-ES"/>
        </w:rPr>
        <w:t xml:space="preserve">, el “Anteproyecto de Lineamientos </w:t>
      </w:r>
      <w:r w:rsidR="00DC00DB" w:rsidRPr="00991C7C">
        <w:rPr>
          <w:rFonts w:ascii="ITC Avant Garde" w:eastAsia="Times New Roman" w:hAnsi="ITC Avant Garde" w:cs="Arial"/>
          <w:szCs w:val="21"/>
          <w:lang w:val="es-ES" w:eastAsia="es-ES"/>
        </w:rPr>
        <w:lastRenderedPageBreak/>
        <w:t xml:space="preserve">Generales sobre la Autorización del Arrendamiento de Espectro Radioeléctrico”, </w:t>
      </w:r>
      <w:r w:rsidRPr="00991C7C">
        <w:rPr>
          <w:rFonts w:ascii="ITC Avant Garde" w:eastAsia="Times New Roman" w:hAnsi="ITC Avant Garde" w:cs="Arial"/>
          <w:szCs w:val="21"/>
          <w:lang w:val="es-ES" w:eastAsia="es-ES"/>
        </w:rPr>
        <w:t xml:space="preserve">mismo que se acompaña como </w:t>
      </w:r>
      <w:r w:rsidRPr="00991C7C">
        <w:rPr>
          <w:rFonts w:ascii="ITC Avant Garde" w:eastAsia="Times New Roman" w:hAnsi="ITC Avant Garde" w:cs="Arial"/>
          <w:b/>
          <w:szCs w:val="21"/>
          <w:lang w:val="es-ES" w:eastAsia="es-ES"/>
        </w:rPr>
        <w:t>Anexo 1</w:t>
      </w:r>
      <w:r w:rsidRPr="00991C7C">
        <w:rPr>
          <w:rFonts w:ascii="ITC Avant Garde" w:eastAsia="Times New Roman" w:hAnsi="ITC Avant Garde" w:cs="Arial"/>
          <w:szCs w:val="21"/>
          <w:lang w:val="es-ES" w:eastAsia="es-ES"/>
        </w:rPr>
        <w:t xml:space="preserve"> a fin de que, cualquier interesado presente comentarios, observaciones, propuestas y/o adiciones. Dicha consulta pública se realizará del 14 al 17 de julio y del 3 al 24 de agosto de 2015.</w:t>
      </w:r>
    </w:p>
    <w:p w14:paraId="524BA805" w14:textId="77777777" w:rsidR="00402674" w:rsidRPr="00402674" w:rsidRDefault="00402674" w:rsidP="00402674">
      <w:pPr>
        <w:suppressAutoHyphens/>
        <w:spacing w:after="0"/>
        <w:ind w:right="49"/>
        <w:contextualSpacing/>
        <w:jc w:val="both"/>
        <w:rPr>
          <w:rFonts w:ascii="ITC Avant Garde" w:eastAsia="Times New Roman" w:hAnsi="ITC Avant Garde" w:cs="Arial"/>
          <w:sz w:val="12"/>
          <w:szCs w:val="21"/>
          <w:lang w:val="es-ES" w:eastAsia="es-ES"/>
        </w:rPr>
      </w:pPr>
    </w:p>
    <w:p w14:paraId="3B79A720" w14:textId="42829B51" w:rsidR="00402674" w:rsidRDefault="00DC00DB" w:rsidP="00402674">
      <w:pPr>
        <w:numPr>
          <w:ilvl w:val="0"/>
          <w:numId w:val="17"/>
        </w:numPr>
        <w:suppressAutoHyphens/>
        <w:spacing w:after="0"/>
        <w:ind w:left="0" w:right="49" w:firstLine="0"/>
        <w:contextualSpacing/>
        <w:jc w:val="both"/>
        <w:rPr>
          <w:rFonts w:ascii="ITC Avant Garde" w:eastAsia="Times New Roman" w:hAnsi="ITC Avant Garde" w:cs="Arial"/>
          <w:szCs w:val="21"/>
          <w:lang w:val="es-ES" w:eastAsia="es-ES"/>
        </w:rPr>
      </w:pPr>
      <w:r w:rsidRPr="00D03948">
        <w:rPr>
          <w:rFonts w:ascii="ITC Avant Garde" w:eastAsia="Times New Roman" w:hAnsi="ITC Avant Garde" w:cs="Arial"/>
          <w:szCs w:val="21"/>
          <w:lang w:val="es-ES" w:eastAsia="es-ES"/>
        </w:rPr>
        <w:t>Publíquese en el portal de Internet del Instituto Federal de Telecomunicaciones el presente Acuerdo y su Anexo Único.</w:t>
      </w:r>
    </w:p>
    <w:p w14:paraId="278D47D9" w14:textId="77777777" w:rsidR="00402674" w:rsidRPr="00402674" w:rsidRDefault="00402674" w:rsidP="00402674">
      <w:pPr>
        <w:suppressAutoHyphens/>
        <w:spacing w:after="0"/>
        <w:ind w:right="49"/>
        <w:contextualSpacing/>
        <w:jc w:val="both"/>
        <w:rPr>
          <w:rFonts w:ascii="ITC Avant Garde" w:eastAsia="Times New Roman" w:hAnsi="ITC Avant Garde" w:cs="Arial"/>
          <w:sz w:val="12"/>
          <w:szCs w:val="21"/>
          <w:lang w:val="es-ES" w:eastAsia="es-ES"/>
        </w:rPr>
      </w:pPr>
    </w:p>
    <w:p w14:paraId="40F70AC6" w14:textId="77777777" w:rsidR="00DC00DB" w:rsidRPr="00D03948" w:rsidRDefault="00DC00DB" w:rsidP="00317696">
      <w:pPr>
        <w:numPr>
          <w:ilvl w:val="0"/>
          <w:numId w:val="17"/>
        </w:numPr>
        <w:suppressAutoHyphens/>
        <w:autoSpaceDE w:val="0"/>
        <w:autoSpaceDN w:val="0"/>
        <w:adjustRightInd w:val="0"/>
        <w:spacing w:after="0"/>
        <w:ind w:left="0" w:right="49" w:firstLine="0"/>
        <w:contextualSpacing/>
        <w:jc w:val="both"/>
        <w:rPr>
          <w:rFonts w:ascii="ITC Avant Garde" w:eastAsia="Times New Roman" w:hAnsi="ITC Avant Garde" w:cs="Arial"/>
          <w:szCs w:val="21"/>
          <w:lang w:val="es-ES" w:eastAsia="es-ES"/>
        </w:rPr>
      </w:pPr>
      <w:r w:rsidRPr="00D03948">
        <w:rPr>
          <w:rFonts w:ascii="ITC Avant Garde" w:eastAsia="Times New Roman" w:hAnsi="ITC Avant Garde" w:cs="Arial"/>
          <w:szCs w:val="21"/>
          <w:lang w:val="es-ES" w:eastAsia="es-ES"/>
        </w:rPr>
        <w:t xml:space="preserve">Se instruye a la Unidad de Espectro Radioeléctrico para que, a través de la Dirección General de Regulación del Espectro y Recursos Orbitales, reciba y atienda las opiniones vertidas, según corresponda, en virtud de la consulta pública. </w:t>
      </w:r>
    </w:p>
    <w:p w14:paraId="5FF81C98" w14:textId="77777777" w:rsidR="005C12C0" w:rsidRDefault="005C12C0" w:rsidP="00317696">
      <w:pPr>
        <w:spacing w:after="0"/>
        <w:contextualSpacing/>
        <w:jc w:val="both"/>
        <w:rPr>
          <w:rFonts w:ascii="ITC Avant Garde" w:hAnsi="ITC Avant Garde"/>
          <w:kern w:val="1"/>
          <w:szCs w:val="21"/>
          <w:lang w:val="es-ES" w:eastAsia="ar-SA"/>
        </w:rPr>
      </w:pPr>
    </w:p>
    <w:p w14:paraId="6A98326F" w14:textId="77777777" w:rsidR="001B56E7" w:rsidRDefault="001B56E7" w:rsidP="00317696">
      <w:pPr>
        <w:spacing w:after="0"/>
        <w:contextualSpacing/>
        <w:jc w:val="both"/>
        <w:rPr>
          <w:rFonts w:ascii="ITC Avant Garde" w:hAnsi="ITC Avant Garde"/>
          <w:kern w:val="1"/>
          <w:szCs w:val="21"/>
          <w:lang w:val="es-ES" w:eastAsia="ar-SA"/>
        </w:rPr>
      </w:pPr>
    </w:p>
    <w:p w14:paraId="05953AB8" w14:textId="77777777" w:rsidR="00402674" w:rsidRPr="00D03948" w:rsidRDefault="00402674" w:rsidP="00317696">
      <w:pPr>
        <w:spacing w:after="0"/>
        <w:contextualSpacing/>
        <w:jc w:val="both"/>
        <w:rPr>
          <w:rFonts w:ascii="ITC Avant Garde" w:hAnsi="ITC Avant Garde"/>
          <w:kern w:val="1"/>
          <w:szCs w:val="21"/>
          <w:lang w:val="es-ES" w:eastAsia="ar-SA"/>
        </w:rPr>
      </w:pPr>
    </w:p>
    <w:tbl>
      <w:tblPr>
        <w:tblW w:w="8461" w:type="dxa"/>
        <w:tblCellMar>
          <w:left w:w="70" w:type="dxa"/>
          <w:right w:w="70" w:type="dxa"/>
        </w:tblCellMar>
        <w:tblLook w:val="0000" w:firstRow="0" w:lastRow="0" w:firstColumn="0" w:lastColumn="0" w:noHBand="0" w:noVBand="0"/>
      </w:tblPr>
      <w:tblGrid>
        <w:gridCol w:w="4385"/>
        <w:gridCol w:w="4076"/>
      </w:tblGrid>
      <w:tr w:rsidR="00DC00DB" w:rsidRPr="00D03948" w14:paraId="6BE96E6E" w14:textId="77777777" w:rsidTr="001E5FD3">
        <w:trPr>
          <w:trHeight w:val="966"/>
        </w:trPr>
        <w:tc>
          <w:tcPr>
            <w:tcW w:w="8461" w:type="dxa"/>
            <w:gridSpan w:val="2"/>
          </w:tcPr>
          <w:p w14:paraId="6F58A4CE" w14:textId="77777777" w:rsidR="00DC00DB" w:rsidRPr="001E5FD3" w:rsidRDefault="00DC00DB" w:rsidP="001B56E7">
            <w:pPr>
              <w:spacing w:after="0" w:line="240" w:lineRule="auto"/>
              <w:ind w:right="-427"/>
              <w:contextualSpacing/>
              <w:rPr>
                <w:rFonts w:ascii="ITC Avant Garde" w:eastAsia="Times New Roman" w:hAnsi="ITC Avant Garde" w:cs="Arial"/>
                <w:b/>
                <w:bCs/>
                <w:sz w:val="20"/>
                <w:szCs w:val="21"/>
                <w:lang w:val="es-ES" w:eastAsia="es-ES"/>
              </w:rPr>
            </w:pPr>
          </w:p>
          <w:p w14:paraId="36B76780" w14:textId="77777777" w:rsidR="00DC00DB" w:rsidRPr="00D03948" w:rsidRDefault="00DC00DB" w:rsidP="001B56E7">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Gabriel Oswaldo Contreras Saldívar</w:t>
            </w:r>
          </w:p>
          <w:p w14:paraId="350A6C4C" w14:textId="77777777" w:rsidR="00DC00DB" w:rsidRPr="00D03948" w:rsidRDefault="00DC00DB" w:rsidP="001B56E7">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Presidente</w:t>
            </w:r>
          </w:p>
        </w:tc>
      </w:tr>
      <w:tr w:rsidR="00DC00DB" w:rsidRPr="00D03948" w14:paraId="614D03FE" w14:textId="77777777" w:rsidTr="001E5FD3">
        <w:trPr>
          <w:trHeight w:val="438"/>
        </w:trPr>
        <w:tc>
          <w:tcPr>
            <w:tcW w:w="4385" w:type="dxa"/>
          </w:tcPr>
          <w:p w14:paraId="782D0150" w14:textId="77777777" w:rsidR="00DC00DB" w:rsidRPr="00D03948" w:rsidRDefault="00DC00DB" w:rsidP="001B56E7">
            <w:pPr>
              <w:spacing w:after="0" w:line="240" w:lineRule="auto"/>
              <w:ind w:right="-427"/>
              <w:contextualSpacing/>
              <w:rPr>
                <w:rFonts w:ascii="ITC Avant Garde" w:eastAsia="Times New Roman" w:hAnsi="ITC Avant Garde" w:cs="Arial"/>
                <w:b/>
                <w:bCs/>
                <w:szCs w:val="21"/>
                <w:lang w:val="es-ES" w:eastAsia="es-ES"/>
              </w:rPr>
            </w:pPr>
          </w:p>
          <w:p w14:paraId="719844FC" w14:textId="77777777" w:rsidR="00DC00DB" w:rsidRDefault="00DC00DB" w:rsidP="001B56E7">
            <w:pPr>
              <w:spacing w:after="0" w:line="240" w:lineRule="auto"/>
              <w:ind w:right="-427"/>
              <w:contextualSpacing/>
              <w:jc w:val="center"/>
              <w:rPr>
                <w:rFonts w:ascii="ITC Avant Garde" w:eastAsia="Times New Roman" w:hAnsi="ITC Avant Garde" w:cs="Arial"/>
                <w:b/>
                <w:bCs/>
                <w:szCs w:val="21"/>
                <w:lang w:val="es-ES" w:eastAsia="es-ES"/>
              </w:rPr>
            </w:pPr>
          </w:p>
          <w:p w14:paraId="0AD66A9C" w14:textId="77777777" w:rsidR="00FE049F" w:rsidRDefault="00FE049F" w:rsidP="001B56E7">
            <w:pPr>
              <w:spacing w:after="0" w:line="240" w:lineRule="auto"/>
              <w:ind w:right="-427"/>
              <w:contextualSpacing/>
              <w:jc w:val="center"/>
              <w:rPr>
                <w:rFonts w:ascii="ITC Avant Garde" w:eastAsia="Times New Roman" w:hAnsi="ITC Avant Garde" w:cs="Arial"/>
                <w:b/>
                <w:bCs/>
                <w:szCs w:val="21"/>
                <w:lang w:val="es-ES" w:eastAsia="es-ES"/>
              </w:rPr>
            </w:pPr>
          </w:p>
          <w:p w14:paraId="3651201F" w14:textId="77777777" w:rsidR="0093371B" w:rsidRPr="001E5FD3" w:rsidRDefault="0093371B" w:rsidP="001B56E7">
            <w:pPr>
              <w:spacing w:after="0" w:line="240" w:lineRule="auto"/>
              <w:ind w:right="-427"/>
              <w:contextualSpacing/>
              <w:jc w:val="center"/>
              <w:rPr>
                <w:rFonts w:ascii="ITC Avant Garde" w:eastAsia="Times New Roman" w:hAnsi="ITC Avant Garde" w:cs="Arial"/>
                <w:b/>
                <w:bCs/>
                <w:sz w:val="20"/>
                <w:szCs w:val="21"/>
                <w:lang w:val="es-ES" w:eastAsia="es-ES"/>
              </w:rPr>
            </w:pPr>
          </w:p>
          <w:p w14:paraId="57B90743" w14:textId="77777777" w:rsidR="00DC00DB" w:rsidRPr="00D03948" w:rsidRDefault="00DC00DB" w:rsidP="001B56E7">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Luis Fernando Borjón Figueroa</w:t>
            </w:r>
          </w:p>
          <w:p w14:paraId="70586F2D" w14:textId="77777777" w:rsidR="00DC00DB" w:rsidRPr="00D03948" w:rsidRDefault="00DC00DB" w:rsidP="001B56E7">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Comisionado</w:t>
            </w:r>
          </w:p>
        </w:tc>
        <w:tc>
          <w:tcPr>
            <w:tcW w:w="4075" w:type="dxa"/>
          </w:tcPr>
          <w:p w14:paraId="0BAE0963" w14:textId="77777777" w:rsidR="00DC00DB" w:rsidRPr="00D03948" w:rsidRDefault="00DC00DB" w:rsidP="001B56E7">
            <w:pPr>
              <w:spacing w:after="0" w:line="240" w:lineRule="auto"/>
              <w:ind w:right="-427"/>
              <w:contextualSpacing/>
              <w:jc w:val="center"/>
              <w:rPr>
                <w:rFonts w:ascii="ITC Avant Garde" w:eastAsia="Times New Roman" w:hAnsi="ITC Avant Garde" w:cs="Arial"/>
                <w:b/>
                <w:bCs/>
                <w:szCs w:val="21"/>
                <w:lang w:val="es-ES" w:eastAsia="es-ES"/>
              </w:rPr>
            </w:pPr>
          </w:p>
          <w:p w14:paraId="239CBBCD" w14:textId="77777777" w:rsidR="0093371B" w:rsidRPr="00D03948" w:rsidRDefault="0093371B" w:rsidP="001B56E7">
            <w:pPr>
              <w:spacing w:after="0" w:line="240" w:lineRule="auto"/>
              <w:ind w:right="-427"/>
              <w:contextualSpacing/>
              <w:rPr>
                <w:rFonts w:ascii="ITC Avant Garde" w:eastAsia="Times New Roman" w:hAnsi="ITC Avant Garde" w:cs="Arial"/>
                <w:b/>
                <w:bCs/>
                <w:szCs w:val="21"/>
                <w:lang w:val="es-ES" w:eastAsia="es-ES"/>
              </w:rPr>
            </w:pPr>
          </w:p>
          <w:p w14:paraId="69B3173D" w14:textId="77777777" w:rsidR="00DC00DB" w:rsidRDefault="00DC00DB" w:rsidP="001B56E7">
            <w:pPr>
              <w:spacing w:after="0" w:line="240" w:lineRule="auto"/>
              <w:ind w:right="-427"/>
              <w:contextualSpacing/>
              <w:jc w:val="center"/>
              <w:rPr>
                <w:rFonts w:ascii="ITC Avant Garde" w:eastAsia="Times New Roman" w:hAnsi="ITC Avant Garde" w:cs="Arial"/>
                <w:b/>
                <w:bCs/>
                <w:szCs w:val="21"/>
                <w:lang w:val="es-ES" w:eastAsia="es-ES"/>
              </w:rPr>
            </w:pPr>
          </w:p>
          <w:p w14:paraId="5EC4A967" w14:textId="77777777" w:rsidR="00FE049F" w:rsidRPr="001E5FD3" w:rsidRDefault="00FE049F" w:rsidP="001B56E7">
            <w:pPr>
              <w:spacing w:after="0" w:line="240" w:lineRule="auto"/>
              <w:ind w:right="-427"/>
              <w:contextualSpacing/>
              <w:jc w:val="center"/>
              <w:rPr>
                <w:rFonts w:ascii="ITC Avant Garde" w:eastAsia="Times New Roman" w:hAnsi="ITC Avant Garde" w:cs="Arial"/>
                <w:b/>
                <w:bCs/>
                <w:sz w:val="20"/>
                <w:szCs w:val="21"/>
                <w:lang w:val="es-ES" w:eastAsia="es-ES"/>
              </w:rPr>
            </w:pPr>
          </w:p>
          <w:p w14:paraId="16BD4B00" w14:textId="77777777" w:rsidR="00DC00DB" w:rsidRPr="00D03948" w:rsidRDefault="00DC00DB" w:rsidP="001B56E7">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Ernesto Estrada González</w:t>
            </w:r>
          </w:p>
          <w:p w14:paraId="76F2F279" w14:textId="77777777" w:rsidR="00DC00DB" w:rsidRPr="00D03948" w:rsidRDefault="00DC00DB" w:rsidP="001B56E7">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Comisionado</w:t>
            </w:r>
          </w:p>
        </w:tc>
      </w:tr>
      <w:tr w:rsidR="00DC00DB" w:rsidRPr="00D03948" w14:paraId="4E62760D" w14:textId="77777777" w:rsidTr="001E5FD3">
        <w:trPr>
          <w:trHeight w:val="438"/>
        </w:trPr>
        <w:tc>
          <w:tcPr>
            <w:tcW w:w="4385" w:type="dxa"/>
          </w:tcPr>
          <w:p w14:paraId="08EF07BA" w14:textId="77777777" w:rsidR="00DC00DB" w:rsidRPr="00D03948" w:rsidRDefault="00DC00DB" w:rsidP="001B56E7">
            <w:pPr>
              <w:spacing w:after="0" w:line="240" w:lineRule="auto"/>
              <w:ind w:right="-427"/>
              <w:contextualSpacing/>
              <w:rPr>
                <w:rFonts w:ascii="ITC Avant Garde" w:eastAsia="Times New Roman" w:hAnsi="ITC Avant Garde" w:cs="Arial"/>
                <w:b/>
                <w:bCs/>
                <w:szCs w:val="21"/>
                <w:lang w:val="es-ES" w:eastAsia="es-ES"/>
              </w:rPr>
            </w:pPr>
          </w:p>
          <w:p w14:paraId="55082E14" w14:textId="77777777" w:rsidR="00DC00DB" w:rsidRDefault="00DC00DB" w:rsidP="001B56E7">
            <w:pPr>
              <w:spacing w:after="0" w:line="240" w:lineRule="auto"/>
              <w:ind w:right="-427"/>
              <w:contextualSpacing/>
              <w:jc w:val="center"/>
              <w:rPr>
                <w:rFonts w:ascii="ITC Avant Garde" w:eastAsia="Times New Roman" w:hAnsi="ITC Avant Garde" w:cs="Arial"/>
                <w:b/>
                <w:bCs/>
                <w:szCs w:val="21"/>
                <w:lang w:val="es-ES" w:eastAsia="es-ES"/>
              </w:rPr>
            </w:pPr>
          </w:p>
          <w:p w14:paraId="3E4BA6E5" w14:textId="77777777" w:rsidR="0093371B" w:rsidRPr="00D03948" w:rsidRDefault="0093371B" w:rsidP="001B56E7">
            <w:pPr>
              <w:spacing w:after="0" w:line="240" w:lineRule="auto"/>
              <w:ind w:right="-427"/>
              <w:contextualSpacing/>
              <w:jc w:val="center"/>
              <w:rPr>
                <w:rFonts w:ascii="ITC Avant Garde" w:eastAsia="Times New Roman" w:hAnsi="ITC Avant Garde" w:cs="Arial"/>
                <w:b/>
                <w:bCs/>
                <w:szCs w:val="21"/>
                <w:lang w:val="es-ES" w:eastAsia="es-ES"/>
              </w:rPr>
            </w:pPr>
          </w:p>
          <w:p w14:paraId="6D3384E5" w14:textId="77777777" w:rsidR="00DC00DB" w:rsidRPr="00D03948" w:rsidRDefault="00DC00DB" w:rsidP="001B56E7">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Adriana Sofía Labardini Inzunza</w:t>
            </w:r>
          </w:p>
          <w:p w14:paraId="6C7E3D39" w14:textId="77777777" w:rsidR="00DC00DB" w:rsidRPr="00D03948" w:rsidRDefault="00DC00DB" w:rsidP="001B56E7">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Comisionada</w:t>
            </w:r>
          </w:p>
        </w:tc>
        <w:tc>
          <w:tcPr>
            <w:tcW w:w="4075" w:type="dxa"/>
          </w:tcPr>
          <w:p w14:paraId="41FFB39C" w14:textId="77777777" w:rsidR="00DC00DB" w:rsidRPr="00D03948" w:rsidRDefault="00DC00DB" w:rsidP="001B56E7">
            <w:pPr>
              <w:spacing w:after="0" w:line="240" w:lineRule="auto"/>
              <w:ind w:right="-427"/>
              <w:contextualSpacing/>
              <w:jc w:val="center"/>
              <w:rPr>
                <w:rFonts w:ascii="ITC Avant Garde" w:eastAsia="Times New Roman" w:hAnsi="ITC Avant Garde" w:cs="Arial"/>
                <w:b/>
                <w:bCs/>
                <w:szCs w:val="21"/>
                <w:lang w:val="es-ES" w:eastAsia="es-ES"/>
              </w:rPr>
            </w:pPr>
          </w:p>
          <w:p w14:paraId="7E2C0C1F" w14:textId="77777777" w:rsidR="00DC00DB" w:rsidRDefault="00DC00DB" w:rsidP="001B56E7">
            <w:pPr>
              <w:spacing w:after="0" w:line="240" w:lineRule="auto"/>
              <w:ind w:right="-427"/>
              <w:contextualSpacing/>
              <w:rPr>
                <w:rFonts w:ascii="ITC Avant Garde" w:eastAsia="Times New Roman" w:hAnsi="ITC Avant Garde" w:cs="Arial"/>
                <w:b/>
                <w:bCs/>
                <w:szCs w:val="21"/>
                <w:lang w:val="es-ES" w:eastAsia="es-ES"/>
              </w:rPr>
            </w:pPr>
          </w:p>
          <w:p w14:paraId="39CA375D" w14:textId="77777777" w:rsidR="0093371B" w:rsidRPr="00D03948" w:rsidRDefault="0093371B" w:rsidP="001B56E7">
            <w:pPr>
              <w:spacing w:after="0" w:line="240" w:lineRule="auto"/>
              <w:ind w:right="-427"/>
              <w:contextualSpacing/>
              <w:jc w:val="center"/>
              <w:rPr>
                <w:rFonts w:ascii="ITC Avant Garde" w:eastAsia="Times New Roman" w:hAnsi="ITC Avant Garde" w:cs="Arial"/>
                <w:b/>
                <w:bCs/>
                <w:szCs w:val="21"/>
                <w:lang w:val="es-ES" w:eastAsia="es-ES"/>
              </w:rPr>
            </w:pPr>
          </w:p>
          <w:p w14:paraId="15E1E1BA" w14:textId="77777777" w:rsidR="00DC00DB" w:rsidRPr="00D03948" w:rsidRDefault="00DC00DB" w:rsidP="001B56E7">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María Elena Estavillo Flores</w:t>
            </w:r>
          </w:p>
          <w:p w14:paraId="159D4B67" w14:textId="77777777" w:rsidR="00DC00DB" w:rsidRPr="00D03948" w:rsidRDefault="00DC00DB" w:rsidP="001B56E7">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Comisionada</w:t>
            </w:r>
          </w:p>
        </w:tc>
      </w:tr>
      <w:tr w:rsidR="00DC00DB" w:rsidRPr="00D03948" w14:paraId="6337A103" w14:textId="77777777" w:rsidTr="001E5FD3">
        <w:trPr>
          <w:trHeight w:val="1588"/>
        </w:trPr>
        <w:tc>
          <w:tcPr>
            <w:tcW w:w="4385" w:type="dxa"/>
          </w:tcPr>
          <w:p w14:paraId="32579D13" w14:textId="77777777" w:rsidR="00DC00DB" w:rsidRPr="00D03948" w:rsidRDefault="00DC00DB" w:rsidP="001B56E7">
            <w:pPr>
              <w:spacing w:after="0" w:line="240" w:lineRule="auto"/>
              <w:ind w:right="-427"/>
              <w:contextualSpacing/>
              <w:jc w:val="center"/>
              <w:rPr>
                <w:rFonts w:ascii="ITC Avant Garde" w:eastAsia="Times New Roman" w:hAnsi="ITC Avant Garde" w:cs="Arial"/>
                <w:b/>
                <w:bCs/>
                <w:szCs w:val="21"/>
                <w:lang w:val="es-ES" w:eastAsia="es-ES"/>
              </w:rPr>
            </w:pPr>
          </w:p>
          <w:p w14:paraId="6631BF43" w14:textId="77777777" w:rsidR="00DC00DB" w:rsidRPr="00D03948" w:rsidRDefault="00DC00DB" w:rsidP="001B56E7">
            <w:pPr>
              <w:spacing w:after="0" w:line="240" w:lineRule="auto"/>
              <w:ind w:right="-427"/>
              <w:contextualSpacing/>
              <w:jc w:val="center"/>
              <w:rPr>
                <w:rFonts w:ascii="ITC Avant Garde" w:eastAsia="Times New Roman" w:hAnsi="ITC Avant Garde" w:cs="Arial"/>
                <w:b/>
                <w:bCs/>
                <w:szCs w:val="21"/>
                <w:lang w:val="es-ES" w:eastAsia="es-ES"/>
              </w:rPr>
            </w:pPr>
          </w:p>
          <w:p w14:paraId="58B99111" w14:textId="77777777" w:rsidR="0093371B" w:rsidRPr="00D03948" w:rsidRDefault="0093371B" w:rsidP="0005054E">
            <w:pPr>
              <w:spacing w:after="0" w:line="240" w:lineRule="auto"/>
              <w:ind w:right="-427"/>
              <w:contextualSpacing/>
              <w:rPr>
                <w:rFonts w:ascii="ITC Avant Garde" w:eastAsia="Times New Roman" w:hAnsi="ITC Avant Garde" w:cs="Arial"/>
                <w:b/>
                <w:bCs/>
                <w:szCs w:val="21"/>
                <w:lang w:val="es-ES" w:eastAsia="es-ES"/>
              </w:rPr>
            </w:pPr>
          </w:p>
          <w:p w14:paraId="706F0FD7" w14:textId="77777777" w:rsidR="00DC00DB" w:rsidRPr="00D03948" w:rsidRDefault="00DC00DB" w:rsidP="001B56E7">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Mario Germán Fromow Rangel</w:t>
            </w:r>
          </w:p>
          <w:p w14:paraId="6FBF9128" w14:textId="77777777" w:rsidR="00DC00DB" w:rsidRPr="00D03948" w:rsidRDefault="00DC00DB" w:rsidP="001B56E7">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Comisionado</w:t>
            </w:r>
          </w:p>
        </w:tc>
        <w:tc>
          <w:tcPr>
            <w:tcW w:w="4075" w:type="dxa"/>
          </w:tcPr>
          <w:p w14:paraId="233094A8" w14:textId="77777777" w:rsidR="00DC00DB" w:rsidRPr="00D03948" w:rsidRDefault="00DC00DB" w:rsidP="001B56E7">
            <w:pPr>
              <w:spacing w:after="0" w:line="240" w:lineRule="auto"/>
              <w:ind w:right="-427"/>
              <w:contextualSpacing/>
              <w:jc w:val="center"/>
              <w:rPr>
                <w:rFonts w:ascii="ITC Avant Garde" w:eastAsia="Times New Roman" w:hAnsi="ITC Avant Garde" w:cs="Arial"/>
                <w:b/>
                <w:bCs/>
                <w:szCs w:val="21"/>
                <w:lang w:val="es-ES" w:eastAsia="es-ES"/>
              </w:rPr>
            </w:pPr>
          </w:p>
          <w:p w14:paraId="0664A909" w14:textId="77777777" w:rsidR="00DC00DB" w:rsidRDefault="00DC00DB" w:rsidP="0005054E">
            <w:pPr>
              <w:spacing w:after="0" w:line="240" w:lineRule="auto"/>
              <w:ind w:right="-427"/>
              <w:contextualSpacing/>
              <w:rPr>
                <w:rFonts w:ascii="ITC Avant Garde" w:eastAsia="Times New Roman" w:hAnsi="ITC Avant Garde" w:cs="Arial"/>
                <w:b/>
                <w:bCs/>
                <w:szCs w:val="21"/>
                <w:lang w:val="es-ES" w:eastAsia="es-ES"/>
              </w:rPr>
            </w:pPr>
          </w:p>
          <w:p w14:paraId="4473F280" w14:textId="77777777" w:rsidR="0093371B" w:rsidRPr="00D03948" w:rsidRDefault="0093371B" w:rsidP="001B56E7">
            <w:pPr>
              <w:spacing w:after="0" w:line="240" w:lineRule="auto"/>
              <w:ind w:right="-427"/>
              <w:contextualSpacing/>
              <w:jc w:val="center"/>
              <w:rPr>
                <w:rFonts w:ascii="ITC Avant Garde" w:eastAsia="Times New Roman" w:hAnsi="ITC Avant Garde" w:cs="Arial"/>
                <w:b/>
                <w:bCs/>
                <w:szCs w:val="21"/>
                <w:lang w:val="es-ES" w:eastAsia="es-ES"/>
              </w:rPr>
            </w:pPr>
          </w:p>
          <w:p w14:paraId="6F7259BB" w14:textId="77777777" w:rsidR="00DC00DB" w:rsidRPr="00D03948" w:rsidRDefault="00DC00DB" w:rsidP="001B56E7">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Adolfo Cuevas Teja</w:t>
            </w:r>
          </w:p>
          <w:p w14:paraId="235E75B6" w14:textId="77777777" w:rsidR="00DC00DB" w:rsidRDefault="00DC00DB" w:rsidP="001B56E7">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Comisionado</w:t>
            </w:r>
          </w:p>
          <w:p w14:paraId="79D67A71" w14:textId="77777777" w:rsidR="001B56E7" w:rsidRDefault="001B56E7" w:rsidP="001B56E7">
            <w:pPr>
              <w:spacing w:after="0" w:line="240" w:lineRule="auto"/>
              <w:ind w:right="-427"/>
              <w:contextualSpacing/>
              <w:jc w:val="center"/>
              <w:rPr>
                <w:rFonts w:ascii="ITC Avant Garde" w:eastAsia="Times New Roman" w:hAnsi="ITC Avant Garde" w:cs="Arial"/>
                <w:b/>
                <w:bCs/>
                <w:szCs w:val="21"/>
                <w:lang w:val="es-ES" w:eastAsia="es-ES"/>
              </w:rPr>
            </w:pPr>
          </w:p>
          <w:p w14:paraId="10E95A3D" w14:textId="77777777" w:rsidR="001B56E7" w:rsidRPr="00D03948" w:rsidRDefault="001B56E7" w:rsidP="001B56E7">
            <w:pPr>
              <w:spacing w:after="0" w:line="240" w:lineRule="auto"/>
              <w:ind w:right="-427"/>
              <w:contextualSpacing/>
              <w:jc w:val="center"/>
              <w:rPr>
                <w:rFonts w:ascii="ITC Avant Garde" w:eastAsia="Times New Roman" w:hAnsi="ITC Avant Garde" w:cs="Arial"/>
                <w:b/>
                <w:bCs/>
                <w:szCs w:val="21"/>
                <w:lang w:val="es-ES" w:eastAsia="es-ES"/>
              </w:rPr>
            </w:pPr>
          </w:p>
        </w:tc>
      </w:tr>
    </w:tbl>
    <w:p w14:paraId="2249B2DF" w14:textId="77777777" w:rsidR="0005054E" w:rsidRDefault="0005054E" w:rsidP="001B56E7">
      <w:pPr>
        <w:spacing w:after="0" w:line="240" w:lineRule="auto"/>
        <w:jc w:val="both"/>
        <w:rPr>
          <w:rFonts w:ascii="ITC Avant Garde" w:hAnsi="ITC Avant Garde"/>
          <w:bCs/>
          <w:iCs/>
          <w:sz w:val="14"/>
          <w:szCs w:val="14"/>
        </w:rPr>
      </w:pPr>
    </w:p>
    <w:p w14:paraId="7E996332" w14:textId="522BC8E7" w:rsidR="001B56E7" w:rsidRPr="001B56E7" w:rsidRDefault="001B56E7" w:rsidP="001B56E7">
      <w:pPr>
        <w:spacing w:after="0" w:line="240" w:lineRule="auto"/>
        <w:jc w:val="both"/>
        <w:rPr>
          <w:rFonts w:ascii="ITC Avant Garde" w:hAnsi="ITC Avant Garde"/>
          <w:bCs/>
          <w:iCs/>
          <w:sz w:val="14"/>
          <w:szCs w:val="14"/>
        </w:rPr>
      </w:pPr>
      <w:r w:rsidRPr="001B56E7">
        <w:rPr>
          <w:rFonts w:ascii="ITC Avant Garde" w:hAnsi="ITC Avant Garde"/>
          <w:bCs/>
          <w:iCs/>
          <w:sz w:val="14"/>
          <w:szCs w:val="14"/>
        </w:rPr>
        <w:t>El presente Acuerdo fue aprobado por el Pleno del Instituto Federal de Telecomunicaciones en su XV Sesión Ordinaria celebrada el 10 de julio de 2015, por unanimidad de votos de los Comisionados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P/IFT/100715/216.</w:t>
      </w:r>
    </w:p>
    <w:p w14:paraId="5D7F82B4" w14:textId="77777777" w:rsidR="001B56E7" w:rsidRPr="001B56E7" w:rsidRDefault="001B56E7" w:rsidP="001B56E7">
      <w:pPr>
        <w:spacing w:after="0" w:line="240" w:lineRule="auto"/>
        <w:jc w:val="both"/>
        <w:rPr>
          <w:rFonts w:ascii="ITC Avant Garde" w:hAnsi="ITC Avant Garde"/>
          <w:bCs/>
          <w:iCs/>
          <w:sz w:val="14"/>
          <w:szCs w:val="14"/>
        </w:rPr>
      </w:pPr>
    </w:p>
    <w:p w14:paraId="59E88CA5" w14:textId="74C7181D" w:rsidR="005C67DF" w:rsidRPr="001B56E7" w:rsidRDefault="001B56E7" w:rsidP="001B56E7">
      <w:pPr>
        <w:spacing w:after="0" w:line="240" w:lineRule="auto"/>
        <w:jc w:val="both"/>
        <w:rPr>
          <w:rFonts w:ascii="ITC Avant Garde" w:hAnsi="ITC Avant Garde"/>
          <w:b/>
          <w:bCs/>
          <w:i/>
          <w:iCs/>
          <w:sz w:val="14"/>
          <w:szCs w:val="14"/>
        </w:rPr>
      </w:pPr>
      <w:r w:rsidRPr="001B56E7">
        <w:rPr>
          <w:rFonts w:ascii="ITC Avant Garde" w:hAnsi="ITC Avant Garde"/>
          <w:bCs/>
          <w:iCs/>
          <w:sz w:val="14"/>
          <w:szCs w:val="14"/>
        </w:rPr>
        <w:t>El Comisionado Adolfo Cuevas Teja previendo su ausencia justificada a la sesión, emitió su voto razonado por escrito, de conformidad con el artículo 45 tercer párrafo de la Ley Federal de Telecomunicaciones y Radiodifusión.</w:t>
      </w:r>
    </w:p>
    <w:sectPr w:rsidR="005C67DF" w:rsidRPr="001B56E7" w:rsidSect="00402674">
      <w:headerReference w:type="even" r:id="rId11"/>
      <w:footerReference w:type="default" r:id="rId12"/>
      <w:headerReference w:type="first" r:id="rId13"/>
      <w:pgSz w:w="12240" w:h="15840"/>
      <w:pgMar w:top="2127" w:right="175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14180" w14:textId="77777777" w:rsidR="001A41BF" w:rsidRDefault="001A41BF" w:rsidP="00EF1A37">
      <w:pPr>
        <w:spacing w:after="0" w:line="240" w:lineRule="auto"/>
      </w:pPr>
      <w:r>
        <w:separator/>
      </w:r>
    </w:p>
  </w:endnote>
  <w:endnote w:type="continuationSeparator" w:id="0">
    <w:p w14:paraId="7E58AE0B" w14:textId="77777777" w:rsidR="001A41BF" w:rsidRDefault="001A41BF" w:rsidP="00EF1A37">
      <w:pPr>
        <w:spacing w:after="0" w:line="240" w:lineRule="auto"/>
      </w:pPr>
      <w:r>
        <w:continuationSeparator/>
      </w:r>
    </w:p>
  </w:endnote>
  <w:endnote w:type="continuationNotice" w:id="1">
    <w:p w14:paraId="1B469516" w14:textId="77777777" w:rsidR="001A41BF" w:rsidRDefault="001A41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Helvetica">
    <w:panose1 w:val="020B0504020202030204"/>
    <w:charset w:val="00"/>
    <w:family w:val="swiss"/>
    <w:notTrueType/>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4"/>
        <w:szCs w:val="14"/>
      </w:rPr>
      <w:id w:val="1446193190"/>
      <w:docPartObj>
        <w:docPartGallery w:val="Page Numbers (Bottom of Page)"/>
        <w:docPartUnique/>
      </w:docPartObj>
    </w:sdtPr>
    <w:sdtEndPr/>
    <w:sdtContent>
      <w:sdt>
        <w:sdtPr>
          <w:rPr>
            <w:rFonts w:ascii="ITC Avant Garde" w:hAnsi="ITC Avant Garde"/>
            <w:sz w:val="14"/>
            <w:szCs w:val="14"/>
          </w:rPr>
          <w:id w:val="-1760437747"/>
          <w:docPartObj>
            <w:docPartGallery w:val="Page Numbers (Top of Page)"/>
            <w:docPartUnique/>
          </w:docPartObj>
        </w:sdtPr>
        <w:sdtEndPr/>
        <w:sdtContent>
          <w:p w14:paraId="3B6A9DC0" w14:textId="23BD1A16" w:rsidR="005A2A63" w:rsidRPr="00B96E94" w:rsidRDefault="005A2A63" w:rsidP="00980BBC">
            <w:pPr>
              <w:pStyle w:val="Piedepgina"/>
              <w:jc w:val="right"/>
              <w:rPr>
                <w:rFonts w:ascii="ITC Avant Garde" w:hAnsi="ITC Avant Garde"/>
                <w:sz w:val="14"/>
                <w:szCs w:val="14"/>
              </w:rPr>
            </w:pPr>
            <w:r w:rsidRPr="00B96E94">
              <w:rPr>
                <w:rFonts w:ascii="ITC Avant Garde" w:hAnsi="ITC Avant Garde"/>
                <w:sz w:val="14"/>
                <w:szCs w:val="14"/>
                <w:lang w:val="es-ES"/>
              </w:rPr>
              <w:t xml:space="preserve">Página </w:t>
            </w:r>
            <w:r w:rsidRPr="00B96E94">
              <w:rPr>
                <w:rFonts w:ascii="ITC Avant Garde" w:hAnsi="ITC Avant Garde"/>
                <w:b/>
                <w:bCs/>
                <w:sz w:val="14"/>
                <w:szCs w:val="14"/>
              </w:rPr>
              <w:fldChar w:fldCharType="begin"/>
            </w:r>
            <w:r w:rsidRPr="00B96E94">
              <w:rPr>
                <w:rFonts w:ascii="ITC Avant Garde" w:hAnsi="ITC Avant Garde"/>
                <w:b/>
                <w:bCs/>
                <w:sz w:val="14"/>
                <w:szCs w:val="14"/>
              </w:rPr>
              <w:instrText>PAGE</w:instrText>
            </w:r>
            <w:r w:rsidRPr="00B96E94">
              <w:rPr>
                <w:rFonts w:ascii="ITC Avant Garde" w:hAnsi="ITC Avant Garde"/>
                <w:b/>
                <w:bCs/>
                <w:sz w:val="14"/>
                <w:szCs w:val="14"/>
              </w:rPr>
              <w:fldChar w:fldCharType="separate"/>
            </w:r>
            <w:r w:rsidR="000970F5">
              <w:rPr>
                <w:rFonts w:ascii="ITC Avant Garde" w:hAnsi="ITC Avant Garde"/>
                <w:b/>
                <w:bCs/>
                <w:noProof/>
                <w:sz w:val="14"/>
                <w:szCs w:val="14"/>
              </w:rPr>
              <w:t>7</w:t>
            </w:r>
            <w:r w:rsidRPr="00B96E94">
              <w:rPr>
                <w:rFonts w:ascii="ITC Avant Garde" w:hAnsi="ITC Avant Garde"/>
                <w:b/>
                <w:bCs/>
                <w:sz w:val="14"/>
                <w:szCs w:val="14"/>
              </w:rPr>
              <w:fldChar w:fldCharType="end"/>
            </w:r>
            <w:r w:rsidRPr="00B96E94">
              <w:rPr>
                <w:rFonts w:ascii="ITC Avant Garde" w:hAnsi="ITC Avant Garde"/>
                <w:sz w:val="14"/>
                <w:szCs w:val="14"/>
                <w:lang w:val="es-ES"/>
              </w:rPr>
              <w:t xml:space="preserve"> de </w:t>
            </w:r>
            <w:r w:rsidRPr="00B96E94">
              <w:rPr>
                <w:rFonts w:ascii="ITC Avant Garde" w:hAnsi="ITC Avant Garde"/>
                <w:b/>
                <w:bCs/>
                <w:sz w:val="14"/>
                <w:szCs w:val="14"/>
              </w:rPr>
              <w:fldChar w:fldCharType="begin"/>
            </w:r>
            <w:r w:rsidRPr="00B96E94">
              <w:rPr>
                <w:rFonts w:ascii="ITC Avant Garde" w:hAnsi="ITC Avant Garde"/>
                <w:b/>
                <w:bCs/>
                <w:sz w:val="14"/>
                <w:szCs w:val="14"/>
              </w:rPr>
              <w:instrText>NUMPAGES</w:instrText>
            </w:r>
            <w:r w:rsidRPr="00B96E94">
              <w:rPr>
                <w:rFonts w:ascii="ITC Avant Garde" w:hAnsi="ITC Avant Garde"/>
                <w:b/>
                <w:bCs/>
                <w:sz w:val="14"/>
                <w:szCs w:val="14"/>
              </w:rPr>
              <w:fldChar w:fldCharType="separate"/>
            </w:r>
            <w:r w:rsidR="000970F5">
              <w:rPr>
                <w:rFonts w:ascii="ITC Avant Garde" w:hAnsi="ITC Avant Garde"/>
                <w:b/>
                <w:bCs/>
                <w:noProof/>
                <w:sz w:val="14"/>
                <w:szCs w:val="14"/>
              </w:rPr>
              <w:t>7</w:t>
            </w:r>
            <w:r w:rsidRPr="00B96E94">
              <w:rPr>
                <w:rFonts w:ascii="ITC Avant Garde" w:hAnsi="ITC Avant Garde"/>
                <w:b/>
                <w:bCs/>
                <w:sz w:val="14"/>
                <w:szCs w:val="14"/>
              </w:rPr>
              <w:fldChar w:fldCharType="end"/>
            </w:r>
          </w:p>
        </w:sdtContent>
      </w:sdt>
    </w:sdtContent>
  </w:sdt>
  <w:p w14:paraId="59E88CAD" w14:textId="77777777" w:rsidR="005A2A63" w:rsidRPr="00B96E94" w:rsidRDefault="005A2A63" w:rsidP="00BC0AB3">
    <w:pPr>
      <w:pStyle w:val="Piedepgina"/>
      <w:jc w:val="center"/>
      <w:rPr>
        <w:rFonts w:ascii="ITC Avant Garde" w:hAnsi="ITC Avant Gard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AFF9D" w14:textId="77777777" w:rsidR="001A41BF" w:rsidRDefault="001A41BF" w:rsidP="00EF1A37">
      <w:pPr>
        <w:spacing w:after="0" w:line="240" w:lineRule="auto"/>
      </w:pPr>
      <w:r>
        <w:separator/>
      </w:r>
    </w:p>
  </w:footnote>
  <w:footnote w:type="continuationSeparator" w:id="0">
    <w:p w14:paraId="57A2A188" w14:textId="77777777" w:rsidR="001A41BF" w:rsidRDefault="001A41BF" w:rsidP="00EF1A37">
      <w:pPr>
        <w:spacing w:after="0" w:line="240" w:lineRule="auto"/>
      </w:pPr>
      <w:r>
        <w:continuationSeparator/>
      </w:r>
    </w:p>
  </w:footnote>
  <w:footnote w:type="continuationNotice" w:id="1">
    <w:p w14:paraId="63BA3795" w14:textId="77777777" w:rsidR="001A41BF" w:rsidRDefault="001A41BF">
      <w:pPr>
        <w:spacing w:after="0" w:line="240" w:lineRule="auto"/>
      </w:pPr>
    </w:p>
  </w:footnote>
  <w:footnote w:id="2">
    <w:p w14:paraId="22825211" w14:textId="40D4C842" w:rsidR="005A2A63" w:rsidRPr="004757EA" w:rsidRDefault="005A2A63" w:rsidP="00DC00DB">
      <w:pPr>
        <w:pStyle w:val="Textonotapie"/>
        <w:jc w:val="both"/>
        <w:rPr>
          <w:rFonts w:ascii="ITC Avant Garde" w:hAnsi="ITC Avant Garde"/>
          <w:sz w:val="16"/>
          <w:szCs w:val="16"/>
        </w:rPr>
      </w:pPr>
      <w:r w:rsidRPr="004757EA">
        <w:rPr>
          <w:rStyle w:val="Refdenotaalpie"/>
          <w:rFonts w:ascii="ITC Avant Garde" w:hAnsi="ITC Avant Garde"/>
          <w:sz w:val="16"/>
          <w:szCs w:val="16"/>
        </w:rPr>
        <w:footnoteRef/>
      </w:r>
      <w:r w:rsidRPr="004757EA">
        <w:rPr>
          <w:rFonts w:ascii="ITC Avant Garde" w:hAnsi="ITC Avant Garde"/>
          <w:sz w:val="16"/>
          <w:szCs w:val="16"/>
        </w:rPr>
        <w:t xml:space="preserve"> </w:t>
      </w:r>
      <w:r>
        <w:rPr>
          <w:rFonts w:ascii="ITC Avant Garde" w:hAnsi="ITC Avant Garde"/>
          <w:sz w:val="16"/>
          <w:szCs w:val="16"/>
        </w:rPr>
        <w:t xml:space="preserve">Cfr. </w:t>
      </w:r>
      <w:r w:rsidRPr="004757EA">
        <w:rPr>
          <w:rFonts w:ascii="ITC Avant Garde" w:hAnsi="ITC Avant Garde"/>
          <w:sz w:val="16"/>
          <w:szCs w:val="16"/>
        </w:rPr>
        <w:t>Gaceta Parlamentaria. Iniciativas del titular del Poder Ejecutivo, con proyecto de decreto, que reforma y adiciona diversas disposiciones de la Constitución Política de los Estados Unidos Mexicanos, en materia de telecomunicaciones. Anexo II Palacio Legislativo de San Lázaro, martes 12 de marzo de 2013, número 3726-I. Año XVI. Página 4.</w:t>
      </w:r>
    </w:p>
  </w:footnote>
  <w:footnote w:id="3">
    <w:p w14:paraId="28740E97" w14:textId="77777777" w:rsidR="005A2A63" w:rsidRPr="004757EA" w:rsidRDefault="005A2A63" w:rsidP="00DC00DB">
      <w:pPr>
        <w:pStyle w:val="Textonotapie"/>
        <w:jc w:val="both"/>
        <w:rPr>
          <w:rFonts w:ascii="ITC Avant Garde" w:hAnsi="ITC Avant Garde"/>
          <w:sz w:val="16"/>
          <w:szCs w:val="16"/>
        </w:rPr>
      </w:pPr>
      <w:r w:rsidRPr="004757EA">
        <w:rPr>
          <w:rStyle w:val="Refdenotaalpie"/>
          <w:rFonts w:ascii="ITC Avant Garde" w:hAnsi="ITC Avant Garde"/>
          <w:sz w:val="16"/>
          <w:szCs w:val="16"/>
        </w:rPr>
        <w:footnoteRef/>
      </w:r>
      <w:r w:rsidRPr="004757EA">
        <w:rPr>
          <w:rFonts w:ascii="ITC Avant Garde" w:hAnsi="ITC Avant Garde"/>
          <w:sz w:val="16"/>
          <w:szCs w:val="16"/>
        </w:rPr>
        <w:t xml:space="preserve"> </w:t>
      </w:r>
      <w:r w:rsidRPr="004757EA">
        <w:rPr>
          <w:rFonts w:ascii="ITC Avant Garde" w:hAnsi="ITC Avant Garde"/>
          <w:i/>
          <w:sz w:val="16"/>
          <w:szCs w:val="16"/>
        </w:rPr>
        <w:t>Véase</w:t>
      </w:r>
      <w:r w:rsidRPr="004757EA">
        <w:rPr>
          <w:rFonts w:ascii="ITC Avant Garde" w:hAnsi="ITC Avant Garde"/>
          <w:sz w:val="16"/>
          <w:szCs w:val="16"/>
        </w:rPr>
        <w:t xml:space="preserve"> página 99 del Dictamen de las comisiones unidas de comunicaciones y de radio y televisión sobre la minuta con proyecto de Decreto por el que se expiden la Ley Federal de Telecomunicaciones y Radiodifusión, y la Ley del Sistema Público de Radiodifusión del Estado Mexicano; y se reforman, adicionan y derogan diversas disposiciones en materia de telecomunicaciones y radiodifusión, publicado en la Gaceta Parlamentaria el 8 de julio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88CAA" w14:textId="77777777" w:rsidR="005A2A63" w:rsidRDefault="000970F5">
    <w:pPr>
      <w:pStyle w:val="Encabezado"/>
    </w:pPr>
    <w:r>
      <w:rPr>
        <w:noProof/>
        <w:lang w:eastAsia="es-MX"/>
      </w:rPr>
      <w:pict w14:anchorId="59E88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88CAE" w14:textId="77777777" w:rsidR="005A2A63" w:rsidRDefault="000970F5">
    <w:pPr>
      <w:pStyle w:val="Encabezado"/>
    </w:pPr>
    <w:r>
      <w:rPr>
        <w:noProof/>
        <w:lang w:eastAsia="es-MX"/>
      </w:rPr>
      <w:pict w14:anchorId="59E88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169D0"/>
    <w:multiLevelType w:val="hybridMultilevel"/>
    <w:tmpl w:val="250A409C"/>
    <w:lvl w:ilvl="0" w:tplc="080A0015">
      <w:start w:val="1"/>
      <w:numFmt w:val="upperLetter"/>
      <w:lvlText w:val="%1."/>
      <w:lvlJc w:val="left"/>
      <w:pPr>
        <w:ind w:left="720" w:hanging="360"/>
      </w:pPr>
      <w:rPr>
        <w:rFonts w:hint="default"/>
      </w:rPr>
    </w:lvl>
    <w:lvl w:ilvl="1" w:tplc="59A0AB5A">
      <w:start w:val="1"/>
      <w:numFmt w:val="lowerLetter"/>
      <w:lvlText w:val="%2."/>
      <w:lvlJc w:val="left"/>
      <w:pPr>
        <w:ind w:left="1440" w:hanging="360"/>
      </w:pPr>
      <w:rPr>
        <w:b/>
      </w:rPr>
    </w:lvl>
    <w:lvl w:ilvl="2" w:tplc="EFC6051C">
      <w:start w:val="1"/>
      <w:numFmt w:val="lowerLetter"/>
      <w:lvlText w:val="%3."/>
      <w:lvlJc w:val="left"/>
      <w:pPr>
        <w:ind w:left="2340" w:hanging="360"/>
      </w:pPr>
      <w:rPr>
        <w:rFonts w:hint="default"/>
        <w:b/>
        <w:color w:val="auto"/>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A44727"/>
    <w:multiLevelType w:val="hybridMultilevel"/>
    <w:tmpl w:val="DC60EDCA"/>
    <w:lvl w:ilvl="0" w:tplc="EF8C62D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28079C"/>
    <w:multiLevelType w:val="hybridMultilevel"/>
    <w:tmpl w:val="3C562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91B43"/>
    <w:multiLevelType w:val="hybridMultilevel"/>
    <w:tmpl w:val="6EA4FC08"/>
    <w:lvl w:ilvl="0" w:tplc="6F7EB1AA">
      <w:start w:val="1"/>
      <w:numFmt w:val="upperRoman"/>
      <w:lvlText w:val="%1."/>
      <w:lvlJc w:val="left"/>
      <w:pPr>
        <w:ind w:left="780" w:hanging="720"/>
      </w:pPr>
      <w:rPr>
        <w:rFonts w:hint="default"/>
        <w:b/>
      </w:rPr>
    </w:lvl>
    <w:lvl w:ilvl="1" w:tplc="7968096E">
      <w:start w:val="1"/>
      <w:numFmt w:val="lowerLetter"/>
      <w:lvlText w:val="%2."/>
      <w:lvlJc w:val="left"/>
      <w:pPr>
        <w:ind w:left="1140" w:hanging="360"/>
      </w:pPr>
      <w:rPr>
        <w:b/>
      </w:r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1A70640B"/>
    <w:multiLevelType w:val="hybridMultilevel"/>
    <w:tmpl w:val="AC94349E"/>
    <w:lvl w:ilvl="0" w:tplc="D91E0F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565623"/>
    <w:multiLevelType w:val="hybridMultilevel"/>
    <w:tmpl w:val="250A409C"/>
    <w:lvl w:ilvl="0" w:tplc="080A0015">
      <w:start w:val="1"/>
      <w:numFmt w:val="upperLetter"/>
      <w:lvlText w:val="%1."/>
      <w:lvlJc w:val="left"/>
      <w:pPr>
        <w:ind w:left="720" w:hanging="360"/>
      </w:pPr>
      <w:rPr>
        <w:rFonts w:hint="default"/>
      </w:rPr>
    </w:lvl>
    <w:lvl w:ilvl="1" w:tplc="59A0AB5A">
      <w:start w:val="1"/>
      <w:numFmt w:val="lowerLetter"/>
      <w:lvlText w:val="%2."/>
      <w:lvlJc w:val="left"/>
      <w:pPr>
        <w:ind w:left="1440" w:hanging="360"/>
      </w:pPr>
      <w:rPr>
        <w:b/>
      </w:rPr>
    </w:lvl>
    <w:lvl w:ilvl="2" w:tplc="EFC6051C">
      <w:start w:val="1"/>
      <w:numFmt w:val="lowerLetter"/>
      <w:lvlText w:val="%3."/>
      <w:lvlJc w:val="left"/>
      <w:pPr>
        <w:ind w:left="2340" w:hanging="360"/>
      </w:pPr>
      <w:rPr>
        <w:rFonts w:hint="default"/>
        <w:b/>
        <w:color w:val="auto"/>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045E21"/>
    <w:multiLevelType w:val="hybridMultilevel"/>
    <w:tmpl w:val="C752099C"/>
    <w:lvl w:ilvl="0" w:tplc="ECA4CFFE">
      <w:start w:val="1"/>
      <w:numFmt w:val="ordinalText"/>
      <w:lvlText w:val="%1."/>
      <w:lvlJc w:val="left"/>
      <w:pPr>
        <w:ind w:left="360" w:hanging="360"/>
      </w:pPr>
      <w:rPr>
        <w:rFonts w:ascii="ITC Avant Garde" w:hAnsi="ITC Avant Garde" w:hint="default"/>
        <w:b/>
        <w:i w:val="0"/>
        <w:caps/>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43F473E"/>
    <w:multiLevelType w:val="hybridMultilevel"/>
    <w:tmpl w:val="E95AC7DE"/>
    <w:lvl w:ilvl="0" w:tplc="15CC9BD0">
      <w:start w:val="1"/>
      <w:numFmt w:val="ordinalText"/>
      <w:lvlText w:val="%1."/>
      <w:lvlJc w:val="left"/>
      <w:pPr>
        <w:ind w:left="5180" w:hanging="360"/>
      </w:pPr>
      <w:rPr>
        <w:rFonts w:ascii="ITC Avant Garde" w:hAnsi="ITC Avant Garde" w:hint="default"/>
        <w:b/>
        <w:i w:val="0"/>
        <w:caps/>
        <w:sz w:val="22"/>
        <w:szCs w:val="22"/>
      </w:rPr>
    </w:lvl>
    <w:lvl w:ilvl="1" w:tplc="080A0019" w:tentative="1">
      <w:start w:val="1"/>
      <w:numFmt w:val="lowerLetter"/>
      <w:lvlText w:val="%2."/>
      <w:lvlJc w:val="left"/>
      <w:pPr>
        <w:ind w:left="6260" w:hanging="360"/>
      </w:pPr>
    </w:lvl>
    <w:lvl w:ilvl="2" w:tplc="080A001B" w:tentative="1">
      <w:start w:val="1"/>
      <w:numFmt w:val="lowerRoman"/>
      <w:lvlText w:val="%3."/>
      <w:lvlJc w:val="right"/>
      <w:pPr>
        <w:ind w:left="6980" w:hanging="180"/>
      </w:pPr>
    </w:lvl>
    <w:lvl w:ilvl="3" w:tplc="080A000F" w:tentative="1">
      <w:start w:val="1"/>
      <w:numFmt w:val="decimal"/>
      <w:lvlText w:val="%4."/>
      <w:lvlJc w:val="left"/>
      <w:pPr>
        <w:ind w:left="7700" w:hanging="360"/>
      </w:pPr>
    </w:lvl>
    <w:lvl w:ilvl="4" w:tplc="080A0019" w:tentative="1">
      <w:start w:val="1"/>
      <w:numFmt w:val="lowerLetter"/>
      <w:lvlText w:val="%5."/>
      <w:lvlJc w:val="left"/>
      <w:pPr>
        <w:ind w:left="8420" w:hanging="360"/>
      </w:pPr>
    </w:lvl>
    <w:lvl w:ilvl="5" w:tplc="080A001B" w:tentative="1">
      <w:start w:val="1"/>
      <w:numFmt w:val="lowerRoman"/>
      <w:lvlText w:val="%6."/>
      <w:lvlJc w:val="right"/>
      <w:pPr>
        <w:ind w:left="9140" w:hanging="180"/>
      </w:pPr>
    </w:lvl>
    <w:lvl w:ilvl="6" w:tplc="080A000F" w:tentative="1">
      <w:start w:val="1"/>
      <w:numFmt w:val="decimal"/>
      <w:lvlText w:val="%7."/>
      <w:lvlJc w:val="left"/>
      <w:pPr>
        <w:ind w:left="9860" w:hanging="360"/>
      </w:pPr>
    </w:lvl>
    <w:lvl w:ilvl="7" w:tplc="080A0019" w:tentative="1">
      <w:start w:val="1"/>
      <w:numFmt w:val="lowerLetter"/>
      <w:lvlText w:val="%8."/>
      <w:lvlJc w:val="left"/>
      <w:pPr>
        <w:ind w:left="10580" w:hanging="360"/>
      </w:pPr>
    </w:lvl>
    <w:lvl w:ilvl="8" w:tplc="080A001B" w:tentative="1">
      <w:start w:val="1"/>
      <w:numFmt w:val="lowerRoman"/>
      <w:lvlText w:val="%9."/>
      <w:lvlJc w:val="right"/>
      <w:pPr>
        <w:ind w:left="11300" w:hanging="180"/>
      </w:pPr>
    </w:lvl>
  </w:abstractNum>
  <w:abstractNum w:abstractNumId="8" w15:restartNumberingAfterBreak="0">
    <w:nsid w:val="25706730"/>
    <w:multiLevelType w:val="hybridMultilevel"/>
    <w:tmpl w:val="EA3EF006"/>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7C7C28"/>
    <w:multiLevelType w:val="hybridMultilevel"/>
    <w:tmpl w:val="DEF63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A642A8"/>
    <w:multiLevelType w:val="hybridMultilevel"/>
    <w:tmpl w:val="DF6E147C"/>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BC3852"/>
    <w:multiLevelType w:val="hybridMultilevel"/>
    <w:tmpl w:val="2728A24C"/>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004FEF"/>
    <w:multiLevelType w:val="hybridMultilevel"/>
    <w:tmpl w:val="D8FAA0A6"/>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EA3DA6"/>
    <w:multiLevelType w:val="hybridMultilevel"/>
    <w:tmpl w:val="2FAA08EE"/>
    <w:lvl w:ilvl="0" w:tplc="1982D55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E68E8C2">
      <w:start w:val="1"/>
      <w:numFmt w:val="low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7B22C2C"/>
    <w:multiLevelType w:val="hybridMultilevel"/>
    <w:tmpl w:val="28B047B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6D3E83"/>
    <w:multiLevelType w:val="hybridMultilevel"/>
    <w:tmpl w:val="EA02155E"/>
    <w:lvl w:ilvl="0" w:tplc="1982D55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01">
      <w:start w:val="1"/>
      <w:numFmt w:val="bullet"/>
      <w:lvlText w:val=""/>
      <w:lvlJc w:val="left"/>
      <w:pPr>
        <w:ind w:left="2160" w:hanging="180"/>
      </w:pPr>
      <w:rPr>
        <w:rFonts w:ascii="Symbol" w:hAnsi="Symbol"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CEA55EE"/>
    <w:multiLevelType w:val="hybridMultilevel"/>
    <w:tmpl w:val="EA3EF006"/>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E55302F"/>
    <w:multiLevelType w:val="hybridMultilevel"/>
    <w:tmpl w:val="E82450D6"/>
    <w:lvl w:ilvl="0" w:tplc="AF20D592">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0518FF"/>
    <w:multiLevelType w:val="hybridMultilevel"/>
    <w:tmpl w:val="3C8C25C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02E0BD8"/>
    <w:multiLevelType w:val="hybridMultilevel"/>
    <w:tmpl w:val="2E52646C"/>
    <w:lvl w:ilvl="0" w:tplc="022837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1F672CD"/>
    <w:multiLevelType w:val="hybridMultilevel"/>
    <w:tmpl w:val="B5F898C6"/>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4FC5BD0"/>
    <w:multiLevelType w:val="hybridMultilevel"/>
    <w:tmpl w:val="53DEF214"/>
    <w:lvl w:ilvl="0" w:tplc="ABF09A4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B716F8E"/>
    <w:multiLevelType w:val="hybridMultilevel"/>
    <w:tmpl w:val="EFD8D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7"/>
  </w:num>
  <w:num w:numId="4">
    <w:abstractNumId w:val="9"/>
  </w:num>
  <w:num w:numId="5">
    <w:abstractNumId w:val="12"/>
  </w:num>
  <w:num w:numId="6">
    <w:abstractNumId w:val="0"/>
  </w:num>
  <w:num w:numId="7">
    <w:abstractNumId w:val="16"/>
  </w:num>
  <w:num w:numId="8">
    <w:abstractNumId w:val="14"/>
  </w:num>
  <w:num w:numId="9">
    <w:abstractNumId w:val="2"/>
  </w:num>
  <w:num w:numId="10">
    <w:abstractNumId w:val="11"/>
  </w:num>
  <w:num w:numId="11">
    <w:abstractNumId w:val="21"/>
  </w:num>
  <w:num w:numId="12">
    <w:abstractNumId w:val="18"/>
  </w:num>
  <w:num w:numId="13">
    <w:abstractNumId w:val="22"/>
  </w:num>
  <w:num w:numId="14">
    <w:abstractNumId w:val="19"/>
  </w:num>
  <w:num w:numId="15">
    <w:abstractNumId w:val="10"/>
  </w:num>
  <w:num w:numId="16">
    <w:abstractNumId w:val="15"/>
  </w:num>
  <w:num w:numId="17">
    <w:abstractNumId w:val="6"/>
  </w:num>
  <w:num w:numId="18">
    <w:abstractNumId w:val="1"/>
  </w:num>
  <w:num w:numId="19">
    <w:abstractNumId w:val="13"/>
  </w:num>
  <w:num w:numId="20">
    <w:abstractNumId w:val="3"/>
  </w:num>
  <w:num w:numId="21">
    <w:abstractNumId w:val="17"/>
  </w:num>
  <w:num w:numId="22">
    <w:abstractNumId w:val="8"/>
  </w:num>
  <w:num w:numId="23">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37"/>
    <w:rsid w:val="000021DF"/>
    <w:rsid w:val="000064C6"/>
    <w:rsid w:val="000167DB"/>
    <w:rsid w:val="00017187"/>
    <w:rsid w:val="00022339"/>
    <w:rsid w:val="00024D7C"/>
    <w:rsid w:val="000311D1"/>
    <w:rsid w:val="000426FA"/>
    <w:rsid w:val="00044FCF"/>
    <w:rsid w:val="0005054E"/>
    <w:rsid w:val="0005058F"/>
    <w:rsid w:val="00071AB1"/>
    <w:rsid w:val="00081C80"/>
    <w:rsid w:val="000845EB"/>
    <w:rsid w:val="00092877"/>
    <w:rsid w:val="0009617B"/>
    <w:rsid w:val="000970F5"/>
    <w:rsid w:val="0009769C"/>
    <w:rsid w:val="00097959"/>
    <w:rsid w:val="00097E60"/>
    <w:rsid w:val="000A2781"/>
    <w:rsid w:val="000A6A0F"/>
    <w:rsid w:val="000A75D7"/>
    <w:rsid w:val="000A7BA0"/>
    <w:rsid w:val="000B039F"/>
    <w:rsid w:val="000B3E37"/>
    <w:rsid w:val="000B4186"/>
    <w:rsid w:val="000B4D22"/>
    <w:rsid w:val="000B7284"/>
    <w:rsid w:val="000C2D1B"/>
    <w:rsid w:val="000C4989"/>
    <w:rsid w:val="000C4A53"/>
    <w:rsid w:val="000E2B2D"/>
    <w:rsid w:val="000F0362"/>
    <w:rsid w:val="000F3805"/>
    <w:rsid w:val="001038F6"/>
    <w:rsid w:val="00103BF4"/>
    <w:rsid w:val="001044F1"/>
    <w:rsid w:val="001044F6"/>
    <w:rsid w:val="001047E3"/>
    <w:rsid w:val="00107170"/>
    <w:rsid w:val="00111D65"/>
    <w:rsid w:val="001267A2"/>
    <w:rsid w:val="00130EE6"/>
    <w:rsid w:val="00143FD3"/>
    <w:rsid w:val="0014492C"/>
    <w:rsid w:val="00146D95"/>
    <w:rsid w:val="00147A16"/>
    <w:rsid w:val="001511A5"/>
    <w:rsid w:val="00164105"/>
    <w:rsid w:val="0016761C"/>
    <w:rsid w:val="001733FE"/>
    <w:rsid w:val="00180AAF"/>
    <w:rsid w:val="001818EF"/>
    <w:rsid w:val="0018528B"/>
    <w:rsid w:val="00187256"/>
    <w:rsid w:val="001A3497"/>
    <w:rsid w:val="001A41BF"/>
    <w:rsid w:val="001B162E"/>
    <w:rsid w:val="001B36B2"/>
    <w:rsid w:val="001B56E7"/>
    <w:rsid w:val="001D09A7"/>
    <w:rsid w:val="001D1D61"/>
    <w:rsid w:val="001D36D0"/>
    <w:rsid w:val="001E29B2"/>
    <w:rsid w:val="001E561A"/>
    <w:rsid w:val="001E5FD3"/>
    <w:rsid w:val="001E7C1E"/>
    <w:rsid w:val="001F1151"/>
    <w:rsid w:val="001F3322"/>
    <w:rsid w:val="001F36D2"/>
    <w:rsid w:val="00204661"/>
    <w:rsid w:val="0020556E"/>
    <w:rsid w:val="002147A3"/>
    <w:rsid w:val="00215C69"/>
    <w:rsid w:val="002201E2"/>
    <w:rsid w:val="0022425D"/>
    <w:rsid w:val="00224F0F"/>
    <w:rsid w:val="00230F61"/>
    <w:rsid w:val="00231008"/>
    <w:rsid w:val="00233F60"/>
    <w:rsid w:val="0025103B"/>
    <w:rsid w:val="00261E9C"/>
    <w:rsid w:val="00265673"/>
    <w:rsid w:val="002676CD"/>
    <w:rsid w:val="0027002A"/>
    <w:rsid w:val="0028121A"/>
    <w:rsid w:val="00283C18"/>
    <w:rsid w:val="00287ECA"/>
    <w:rsid w:val="00293C8E"/>
    <w:rsid w:val="00294ADC"/>
    <w:rsid w:val="002A39F8"/>
    <w:rsid w:val="002B0F56"/>
    <w:rsid w:val="002B16C6"/>
    <w:rsid w:val="002B64D7"/>
    <w:rsid w:val="002B77CF"/>
    <w:rsid w:val="002C1939"/>
    <w:rsid w:val="002C2B70"/>
    <w:rsid w:val="002C4404"/>
    <w:rsid w:val="002C7405"/>
    <w:rsid w:val="002D1359"/>
    <w:rsid w:val="002D69E0"/>
    <w:rsid w:val="002E1C20"/>
    <w:rsid w:val="002E3598"/>
    <w:rsid w:val="002E367E"/>
    <w:rsid w:val="002E4A42"/>
    <w:rsid w:val="002E7E1B"/>
    <w:rsid w:val="002F1E75"/>
    <w:rsid w:val="0030107C"/>
    <w:rsid w:val="00302651"/>
    <w:rsid w:val="003053B4"/>
    <w:rsid w:val="00305C92"/>
    <w:rsid w:val="00307878"/>
    <w:rsid w:val="00312890"/>
    <w:rsid w:val="00317696"/>
    <w:rsid w:val="00320711"/>
    <w:rsid w:val="00326E82"/>
    <w:rsid w:val="00335B08"/>
    <w:rsid w:val="0034124B"/>
    <w:rsid w:val="00342A6C"/>
    <w:rsid w:val="00344AA0"/>
    <w:rsid w:val="003457FA"/>
    <w:rsid w:val="0036009F"/>
    <w:rsid w:val="00360F53"/>
    <w:rsid w:val="00363219"/>
    <w:rsid w:val="00365499"/>
    <w:rsid w:val="00374877"/>
    <w:rsid w:val="003836A6"/>
    <w:rsid w:val="0038570E"/>
    <w:rsid w:val="00391F73"/>
    <w:rsid w:val="003A280C"/>
    <w:rsid w:val="003A2A28"/>
    <w:rsid w:val="003A4796"/>
    <w:rsid w:val="003A4AF0"/>
    <w:rsid w:val="003A5639"/>
    <w:rsid w:val="003B6063"/>
    <w:rsid w:val="003C1FD9"/>
    <w:rsid w:val="003C69F1"/>
    <w:rsid w:val="003D169B"/>
    <w:rsid w:val="003D34A3"/>
    <w:rsid w:val="003D3737"/>
    <w:rsid w:val="003D5E67"/>
    <w:rsid w:val="003E0953"/>
    <w:rsid w:val="003F7800"/>
    <w:rsid w:val="00402674"/>
    <w:rsid w:val="00404CD8"/>
    <w:rsid w:val="00407D0B"/>
    <w:rsid w:val="00411761"/>
    <w:rsid w:val="00412220"/>
    <w:rsid w:val="0041746B"/>
    <w:rsid w:val="0043045D"/>
    <w:rsid w:val="004340C6"/>
    <w:rsid w:val="00440546"/>
    <w:rsid w:val="00441315"/>
    <w:rsid w:val="00454394"/>
    <w:rsid w:val="00455E04"/>
    <w:rsid w:val="00456E65"/>
    <w:rsid w:val="00461D38"/>
    <w:rsid w:val="00462D58"/>
    <w:rsid w:val="004658B4"/>
    <w:rsid w:val="00471512"/>
    <w:rsid w:val="004757EA"/>
    <w:rsid w:val="00481C91"/>
    <w:rsid w:val="00482377"/>
    <w:rsid w:val="00483F84"/>
    <w:rsid w:val="004843AA"/>
    <w:rsid w:val="00485760"/>
    <w:rsid w:val="00490E86"/>
    <w:rsid w:val="0049177D"/>
    <w:rsid w:val="004A028D"/>
    <w:rsid w:val="004B2C86"/>
    <w:rsid w:val="004B4821"/>
    <w:rsid w:val="004C10E6"/>
    <w:rsid w:val="004D3149"/>
    <w:rsid w:val="004D3CAA"/>
    <w:rsid w:val="004D41B8"/>
    <w:rsid w:val="004E050E"/>
    <w:rsid w:val="004E0B25"/>
    <w:rsid w:val="004E281D"/>
    <w:rsid w:val="004E4B05"/>
    <w:rsid w:val="004E6762"/>
    <w:rsid w:val="004F4C94"/>
    <w:rsid w:val="004F7454"/>
    <w:rsid w:val="00500AAD"/>
    <w:rsid w:val="00500DB4"/>
    <w:rsid w:val="005021E0"/>
    <w:rsid w:val="0051407B"/>
    <w:rsid w:val="005170B5"/>
    <w:rsid w:val="005240F9"/>
    <w:rsid w:val="00535B7F"/>
    <w:rsid w:val="00537D94"/>
    <w:rsid w:val="005435BF"/>
    <w:rsid w:val="00545A5C"/>
    <w:rsid w:val="00552D37"/>
    <w:rsid w:val="005556F9"/>
    <w:rsid w:val="005567A6"/>
    <w:rsid w:val="00563894"/>
    <w:rsid w:val="00563CFD"/>
    <w:rsid w:val="00566113"/>
    <w:rsid w:val="005670DE"/>
    <w:rsid w:val="005753B5"/>
    <w:rsid w:val="005813B2"/>
    <w:rsid w:val="005814C6"/>
    <w:rsid w:val="00595908"/>
    <w:rsid w:val="00596614"/>
    <w:rsid w:val="005A2A63"/>
    <w:rsid w:val="005B1957"/>
    <w:rsid w:val="005B1C17"/>
    <w:rsid w:val="005B25DB"/>
    <w:rsid w:val="005C12C0"/>
    <w:rsid w:val="005C2807"/>
    <w:rsid w:val="005C67DF"/>
    <w:rsid w:val="005D2C62"/>
    <w:rsid w:val="005D4B43"/>
    <w:rsid w:val="005D6C37"/>
    <w:rsid w:val="005E16F7"/>
    <w:rsid w:val="005E23E9"/>
    <w:rsid w:val="005E5D84"/>
    <w:rsid w:val="005E6DF1"/>
    <w:rsid w:val="005F004D"/>
    <w:rsid w:val="005F4C7B"/>
    <w:rsid w:val="005F6D2C"/>
    <w:rsid w:val="0060216A"/>
    <w:rsid w:val="00602AE4"/>
    <w:rsid w:val="006043C5"/>
    <w:rsid w:val="00617EAA"/>
    <w:rsid w:val="00624644"/>
    <w:rsid w:val="00625593"/>
    <w:rsid w:val="00625A1C"/>
    <w:rsid w:val="006309C7"/>
    <w:rsid w:val="00647D87"/>
    <w:rsid w:val="006560F0"/>
    <w:rsid w:val="006660AE"/>
    <w:rsid w:val="00672C8B"/>
    <w:rsid w:val="0067631C"/>
    <w:rsid w:val="006764E2"/>
    <w:rsid w:val="00676B96"/>
    <w:rsid w:val="00676DA4"/>
    <w:rsid w:val="006819DF"/>
    <w:rsid w:val="00684B97"/>
    <w:rsid w:val="00692226"/>
    <w:rsid w:val="00693970"/>
    <w:rsid w:val="006943B9"/>
    <w:rsid w:val="006953CB"/>
    <w:rsid w:val="006A0857"/>
    <w:rsid w:val="006B2960"/>
    <w:rsid w:val="006B3FFF"/>
    <w:rsid w:val="006B5990"/>
    <w:rsid w:val="006B66D5"/>
    <w:rsid w:val="006C41F4"/>
    <w:rsid w:val="006C617E"/>
    <w:rsid w:val="006D2C6A"/>
    <w:rsid w:val="006D6D6D"/>
    <w:rsid w:val="006D7BDE"/>
    <w:rsid w:val="006E5648"/>
    <w:rsid w:val="006E7D54"/>
    <w:rsid w:val="006F016E"/>
    <w:rsid w:val="006F1C81"/>
    <w:rsid w:val="006F1D09"/>
    <w:rsid w:val="007017FD"/>
    <w:rsid w:val="00703960"/>
    <w:rsid w:val="00706670"/>
    <w:rsid w:val="007070A9"/>
    <w:rsid w:val="00710BF6"/>
    <w:rsid w:val="00710FF2"/>
    <w:rsid w:val="007115E2"/>
    <w:rsid w:val="00713320"/>
    <w:rsid w:val="007139F6"/>
    <w:rsid w:val="007159E9"/>
    <w:rsid w:val="00715B8C"/>
    <w:rsid w:val="00716B48"/>
    <w:rsid w:val="0072069F"/>
    <w:rsid w:val="007210BB"/>
    <w:rsid w:val="00722290"/>
    <w:rsid w:val="00725BBF"/>
    <w:rsid w:val="00727955"/>
    <w:rsid w:val="007329F7"/>
    <w:rsid w:val="007459F6"/>
    <w:rsid w:val="007472B2"/>
    <w:rsid w:val="00751988"/>
    <w:rsid w:val="00754431"/>
    <w:rsid w:val="00755622"/>
    <w:rsid w:val="007610B3"/>
    <w:rsid w:val="007616C5"/>
    <w:rsid w:val="007628AB"/>
    <w:rsid w:val="007676E0"/>
    <w:rsid w:val="00773AEA"/>
    <w:rsid w:val="00781BD3"/>
    <w:rsid w:val="007922EF"/>
    <w:rsid w:val="0079531C"/>
    <w:rsid w:val="00797F8A"/>
    <w:rsid w:val="007A2E36"/>
    <w:rsid w:val="007A6E6F"/>
    <w:rsid w:val="007B3E41"/>
    <w:rsid w:val="007C51F9"/>
    <w:rsid w:val="007C711B"/>
    <w:rsid w:val="007C7530"/>
    <w:rsid w:val="007D054A"/>
    <w:rsid w:val="007D2B2E"/>
    <w:rsid w:val="007E0219"/>
    <w:rsid w:val="007E3C7F"/>
    <w:rsid w:val="007E43DE"/>
    <w:rsid w:val="007E5B67"/>
    <w:rsid w:val="007F6615"/>
    <w:rsid w:val="00805243"/>
    <w:rsid w:val="00806D6E"/>
    <w:rsid w:val="00807E16"/>
    <w:rsid w:val="00813DCA"/>
    <w:rsid w:val="00816036"/>
    <w:rsid w:val="00816EC1"/>
    <w:rsid w:val="00822683"/>
    <w:rsid w:val="00826245"/>
    <w:rsid w:val="00831BE9"/>
    <w:rsid w:val="0083351C"/>
    <w:rsid w:val="0083594D"/>
    <w:rsid w:val="00843412"/>
    <w:rsid w:val="00850134"/>
    <w:rsid w:val="0086214E"/>
    <w:rsid w:val="00863344"/>
    <w:rsid w:val="00870118"/>
    <w:rsid w:val="00872DF7"/>
    <w:rsid w:val="00874A47"/>
    <w:rsid w:val="00876564"/>
    <w:rsid w:val="00882FA4"/>
    <w:rsid w:val="00882FCE"/>
    <w:rsid w:val="008868B1"/>
    <w:rsid w:val="00892B19"/>
    <w:rsid w:val="008945E3"/>
    <w:rsid w:val="00894A03"/>
    <w:rsid w:val="008A6998"/>
    <w:rsid w:val="008B1B2F"/>
    <w:rsid w:val="008B1BFD"/>
    <w:rsid w:val="008C276D"/>
    <w:rsid w:val="008C47D2"/>
    <w:rsid w:val="008C7B86"/>
    <w:rsid w:val="008D121A"/>
    <w:rsid w:val="008D3DC4"/>
    <w:rsid w:val="008D57D8"/>
    <w:rsid w:val="008E0CCD"/>
    <w:rsid w:val="008E1707"/>
    <w:rsid w:val="008E6642"/>
    <w:rsid w:val="008E7881"/>
    <w:rsid w:val="00902B43"/>
    <w:rsid w:val="00906428"/>
    <w:rsid w:val="0091187F"/>
    <w:rsid w:val="0091229B"/>
    <w:rsid w:val="009128BA"/>
    <w:rsid w:val="00915037"/>
    <w:rsid w:val="00924829"/>
    <w:rsid w:val="00930627"/>
    <w:rsid w:val="0093371B"/>
    <w:rsid w:val="00933D8D"/>
    <w:rsid w:val="00936994"/>
    <w:rsid w:val="00937DB1"/>
    <w:rsid w:val="00955AFF"/>
    <w:rsid w:val="00955D40"/>
    <w:rsid w:val="00960106"/>
    <w:rsid w:val="00965118"/>
    <w:rsid w:val="00967ED1"/>
    <w:rsid w:val="00970824"/>
    <w:rsid w:val="009721FE"/>
    <w:rsid w:val="00974C2D"/>
    <w:rsid w:val="00980BBC"/>
    <w:rsid w:val="00980D9B"/>
    <w:rsid w:val="009866E0"/>
    <w:rsid w:val="00991C7C"/>
    <w:rsid w:val="009953DF"/>
    <w:rsid w:val="00997DED"/>
    <w:rsid w:val="009A341B"/>
    <w:rsid w:val="009A61B0"/>
    <w:rsid w:val="009B2099"/>
    <w:rsid w:val="009B4144"/>
    <w:rsid w:val="009B4384"/>
    <w:rsid w:val="009B5C69"/>
    <w:rsid w:val="009C0EF5"/>
    <w:rsid w:val="009C5B0E"/>
    <w:rsid w:val="009C684D"/>
    <w:rsid w:val="009C6A10"/>
    <w:rsid w:val="009D3086"/>
    <w:rsid w:val="009D672F"/>
    <w:rsid w:val="009E301B"/>
    <w:rsid w:val="009F307A"/>
    <w:rsid w:val="009F34B9"/>
    <w:rsid w:val="009F4617"/>
    <w:rsid w:val="009F53D5"/>
    <w:rsid w:val="00A042EC"/>
    <w:rsid w:val="00A06234"/>
    <w:rsid w:val="00A17EC8"/>
    <w:rsid w:val="00A20B97"/>
    <w:rsid w:val="00A25796"/>
    <w:rsid w:val="00A2740B"/>
    <w:rsid w:val="00A336D0"/>
    <w:rsid w:val="00A34356"/>
    <w:rsid w:val="00A34BF7"/>
    <w:rsid w:val="00A356FF"/>
    <w:rsid w:val="00A36960"/>
    <w:rsid w:val="00A41484"/>
    <w:rsid w:val="00A4297C"/>
    <w:rsid w:val="00A435DB"/>
    <w:rsid w:val="00A45EF4"/>
    <w:rsid w:val="00A50A31"/>
    <w:rsid w:val="00A52732"/>
    <w:rsid w:val="00A629C7"/>
    <w:rsid w:val="00A654AE"/>
    <w:rsid w:val="00A7329F"/>
    <w:rsid w:val="00A86940"/>
    <w:rsid w:val="00A904E6"/>
    <w:rsid w:val="00A904F8"/>
    <w:rsid w:val="00A90A29"/>
    <w:rsid w:val="00AA432E"/>
    <w:rsid w:val="00AA7581"/>
    <w:rsid w:val="00AB0EC4"/>
    <w:rsid w:val="00AB12F6"/>
    <w:rsid w:val="00AB6618"/>
    <w:rsid w:val="00AB7033"/>
    <w:rsid w:val="00AC1F89"/>
    <w:rsid w:val="00AC362C"/>
    <w:rsid w:val="00AC58E9"/>
    <w:rsid w:val="00AD3B12"/>
    <w:rsid w:val="00AD6404"/>
    <w:rsid w:val="00AF0135"/>
    <w:rsid w:val="00AF2BBA"/>
    <w:rsid w:val="00AF2C3D"/>
    <w:rsid w:val="00B00CF1"/>
    <w:rsid w:val="00B0334F"/>
    <w:rsid w:val="00B03352"/>
    <w:rsid w:val="00B111CC"/>
    <w:rsid w:val="00B141BB"/>
    <w:rsid w:val="00B20830"/>
    <w:rsid w:val="00B235CD"/>
    <w:rsid w:val="00B26C5F"/>
    <w:rsid w:val="00B27949"/>
    <w:rsid w:val="00B27AE3"/>
    <w:rsid w:val="00B37D43"/>
    <w:rsid w:val="00B41506"/>
    <w:rsid w:val="00B42441"/>
    <w:rsid w:val="00B43DF0"/>
    <w:rsid w:val="00B45F3C"/>
    <w:rsid w:val="00B46E2D"/>
    <w:rsid w:val="00B51BF9"/>
    <w:rsid w:val="00B53202"/>
    <w:rsid w:val="00B546A6"/>
    <w:rsid w:val="00B6325E"/>
    <w:rsid w:val="00B63B87"/>
    <w:rsid w:val="00B6417F"/>
    <w:rsid w:val="00B6712B"/>
    <w:rsid w:val="00B677E3"/>
    <w:rsid w:val="00B81716"/>
    <w:rsid w:val="00B84247"/>
    <w:rsid w:val="00B85D62"/>
    <w:rsid w:val="00B864B5"/>
    <w:rsid w:val="00B86C69"/>
    <w:rsid w:val="00B94940"/>
    <w:rsid w:val="00B96E94"/>
    <w:rsid w:val="00BA6B7B"/>
    <w:rsid w:val="00BA7490"/>
    <w:rsid w:val="00BC0AB3"/>
    <w:rsid w:val="00BE01FD"/>
    <w:rsid w:val="00BE0F2E"/>
    <w:rsid w:val="00BE305C"/>
    <w:rsid w:val="00BE7937"/>
    <w:rsid w:val="00C115AF"/>
    <w:rsid w:val="00C21D6C"/>
    <w:rsid w:val="00C22E7F"/>
    <w:rsid w:val="00C2760B"/>
    <w:rsid w:val="00C30A6B"/>
    <w:rsid w:val="00C35AAC"/>
    <w:rsid w:val="00C422E3"/>
    <w:rsid w:val="00C42C54"/>
    <w:rsid w:val="00C46FB6"/>
    <w:rsid w:val="00C50D3C"/>
    <w:rsid w:val="00C527B5"/>
    <w:rsid w:val="00C56B70"/>
    <w:rsid w:val="00C579B4"/>
    <w:rsid w:val="00C662F4"/>
    <w:rsid w:val="00C800C2"/>
    <w:rsid w:val="00C816FD"/>
    <w:rsid w:val="00C83446"/>
    <w:rsid w:val="00C83C9A"/>
    <w:rsid w:val="00C84E9A"/>
    <w:rsid w:val="00C86761"/>
    <w:rsid w:val="00C9054F"/>
    <w:rsid w:val="00C92DAC"/>
    <w:rsid w:val="00C93D53"/>
    <w:rsid w:val="00CA20EA"/>
    <w:rsid w:val="00CA50E7"/>
    <w:rsid w:val="00CA7AE3"/>
    <w:rsid w:val="00CB2215"/>
    <w:rsid w:val="00CC6E6B"/>
    <w:rsid w:val="00CC7A9E"/>
    <w:rsid w:val="00CD0292"/>
    <w:rsid w:val="00CD1BCC"/>
    <w:rsid w:val="00CD6E62"/>
    <w:rsid w:val="00CD6FFB"/>
    <w:rsid w:val="00CE07DF"/>
    <w:rsid w:val="00CE76AD"/>
    <w:rsid w:val="00CF0939"/>
    <w:rsid w:val="00D03948"/>
    <w:rsid w:val="00D05673"/>
    <w:rsid w:val="00D13D1D"/>
    <w:rsid w:val="00D20838"/>
    <w:rsid w:val="00D30C4A"/>
    <w:rsid w:val="00D40D9E"/>
    <w:rsid w:val="00D439F6"/>
    <w:rsid w:val="00D460AF"/>
    <w:rsid w:val="00D526C4"/>
    <w:rsid w:val="00D542F4"/>
    <w:rsid w:val="00D55021"/>
    <w:rsid w:val="00D55CB5"/>
    <w:rsid w:val="00D572AB"/>
    <w:rsid w:val="00D57D9A"/>
    <w:rsid w:val="00D628C6"/>
    <w:rsid w:val="00D642B6"/>
    <w:rsid w:val="00D67C9C"/>
    <w:rsid w:val="00D70631"/>
    <w:rsid w:val="00D71C7F"/>
    <w:rsid w:val="00D75B6E"/>
    <w:rsid w:val="00D81700"/>
    <w:rsid w:val="00D838A9"/>
    <w:rsid w:val="00D93E6D"/>
    <w:rsid w:val="00D94621"/>
    <w:rsid w:val="00DA3410"/>
    <w:rsid w:val="00DB5AEE"/>
    <w:rsid w:val="00DB6155"/>
    <w:rsid w:val="00DB6A79"/>
    <w:rsid w:val="00DB6F45"/>
    <w:rsid w:val="00DC00DB"/>
    <w:rsid w:val="00DC5DDE"/>
    <w:rsid w:val="00DD2F34"/>
    <w:rsid w:val="00DD32EE"/>
    <w:rsid w:val="00DD4636"/>
    <w:rsid w:val="00DD499B"/>
    <w:rsid w:val="00DE15FB"/>
    <w:rsid w:val="00DE6350"/>
    <w:rsid w:val="00DF4324"/>
    <w:rsid w:val="00DF615B"/>
    <w:rsid w:val="00DF635F"/>
    <w:rsid w:val="00DF63DB"/>
    <w:rsid w:val="00E003EC"/>
    <w:rsid w:val="00E037A3"/>
    <w:rsid w:val="00E115F6"/>
    <w:rsid w:val="00E13CA2"/>
    <w:rsid w:val="00E17A79"/>
    <w:rsid w:val="00E23F95"/>
    <w:rsid w:val="00E2645D"/>
    <w:rsid w:val="00E26886"/>
    <w:rsid w:val="00E31DC0"/>
    <w:rsid w:val="00E36D53"/>
    <w:rsid w:val="00E4555F"/>
    <w:rsid w:val="00E53779"/>
    <w:rsid w:val="00E56539"/>
    <w:rsid w:val="00E621A2"/>
    <w:rsid w:val="00E63A20"/>
    <w:rsid w:val="00E707DA"/>
    <w:rsid w:val="00E72989"/>
    <w:rsid w:val="00E745A8"/>
    <w:rsid w:val="00E82208"/>
    <w:rsid w:val="00E93B0F"/>
    <w:rsid w:val="00E97853"/>
    <w:rsid w:val="00EA4430"/>
    <w:rsid w:val="00EA79FE"/>
    <w:rsid w:val="00EB0386"/>
    <w:rsid w:val="00EB45C9"/>
    <w:rsid w:val="00EC6A90"/>
    <w:rsid w:val="00EC7E0D"/>
    <w:rsid w:val="00ED3904"/>
    <w:rsid w:val="00ED3C14"/>
    <w:rsid w:val="00EE0D8D"/>
    <w:rsid w:val="00EE494B"/>
    <w:rsid w:val="00EE4C69"/>
    <w:rsid w:val="00EE78CE"/>
    <w:rsid w:val="00EE7D5F"/>
    <w:rsid w:val="00EF1A37"/>
    <w:rsid w:val="00EF2FCC"/>
    <w:rsid w:val="00F032C3"/>
    <w:rsid w:val="00F07ED6"/>
    <w:rsid w:val="00F10313"/>
    <w:rsid w:val="00F12E32"/>
    <w:rsid w:val="00F14024"/>
    <w:rsid w:val="00F14BEF"/>
    <w:rsid w:val="00F14D91"/>
    <w:rsid w:val="00F177DA"/>
    <w:rsid w:val="00F205B8"/>
    <w:rsid w:val="00F27AA5"/>
    <w:rsid w:val="00F30BC0"/>
    <w:rsid w:val="00F31705"/>
    <w:rsid w:val="00F31ACA"/>
    <w:rsid w:val="00F329CA"/>
    <w:rsid w:val="00F33C7B"/>
    <w:rsid w:val="00F37024"/>
    <w:rsid w:val="00F45369"/>
    <w:rsid w:val="00F512AC"/>
    <w:rsid w:val="00F61D3E"/>
    <w:rsid w:val="00F670D9"/>
    <w:rsid w:val="00F7401C"/>
    <w:rsid w:val="00F7503F"/>
    <w:rsid w:val="00F91462"/>
    <w:rsid w:val="00F93191"/>
    <w:rsid w:val="00FA67BD"/>
    <w:rsid w:val="00FB1F9F"/>
    <w:rsid w:val="00FB6688"/>
    <w:rsid w:val="00FC14CE"/>
    <w:rsid w:val="00FC37BB"/>
    <w:rsid w:val="00FC6A73"/>
    <w:rsid w:val="00FE049F"/>
    <w:rsid w:val="00FE3E22"/>
    <w:rsid w:val="00FE67F7"/>
    <w:rsid w:val="00FF27CA"/>
    <w:rsid w:val="00FF726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9E889E7"/>
  <w15:docId w15:val="{7B1EDB97-B43B-4BAA-9E4C-80C32D64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A3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EF1A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F1A37"/>
    <w:pPr>
      <w:keepNext/>
      <w:keepLines/>
      <w:spacing w:before="40" w:after="0" w:line="259" w:lineRule="auto"/>
      <w:jc w:val="center"/>
      <w:outlineLvl w:val="1"/>
    </w:pPr>
    <w:rPr>
      <w:rFonts w:ascii="ITC Avant Garde" w:eastAsiaTheme="majorEastAsia" w:hAnsi="ITC Avant Garde" w:cstheme="majorBidi"/>
      <w:b/>
      <w:color w:val="000000" w:themeColor="text1"/>
      <w:sz w:val="24"/>
      <w:szCs w:val="26"/>
    </w:rPr>
  </w:style>
  <w:style w:type="paragraph" w:styleId="Ttulo3">
    <w:name w:val="heading 3"/>
    <w:basedOn w:val="Normal"/>
    <w:next w:val="Normal"/>
    <w:link w:val="Ttulo3Car"/>
    <w:uiPriority w:val="9"/>
    <w:unhideWhenUsed/>
    <w:qFormat/>
    <w:rsid w:val="00EF1A37"/>
    <w:pPr>
      <w:keepNext/>
      <w:keepLines/>
      <w:spacing w:before="40" w:after="0" w:line="259" w:lineRule="auto"/>
      <w:jc w:val="center"/>
      <w:outlineLvl w:val="2"/>
    </w:pPr>
    <w:rPr>
      <w:rFonts w:ascii="ITC Avant Garde" w:eastAsiaTheme="majorEastAsia" w:hAnsi="ITC Avant Garde" w:cstheme="majorBidi"/>
      <w:b/>
      <w:color w:val="000000" w:themeColor="text1"/>
      <w:szCs w:val="24"/>
    </w:rPr>
  </w:style>
  <w:style w:type="paragraph" w:styleId="Ttulo4">
    <w:name w:val="heading 4"/>
    <w:basedOn w:val="Normal"/>
    <w:next w:val="Normal"/>
    <w:link w:val="Ttulo4Car"/>
    <w:uiPriority w:val="9"/>
    <w:unhideWhenUsed/>
    <w:qFormat/>
    <w:rsid w:val="00EF1A37"/>
    <w:pPr>
      <w:keepNext/>
      <w:keepLines/>
      <w:spacing w:before="40" w:after="0" w:line="259" w:lineRule="auto"/>
      <w:jc w:val="both"/>
      <w:outlineLvl w:val="3"/>
    </w:pPr>
    <w:rPr>
      <w:rFonts w:ascii="ITC Avant Garde" w:eastAsiaTheme="majorEastAsia" w:hAnsi="ITC Avant Garde" w:cstheme="majorBidi"/>
      <w:b/>
      <w:iCs/>
      <w:color w:val="000000" w:themeColor="text1"/>
    </w:rPr>
  </w:style>
  <w:style w:type="paragraph" w:styleId="Ttulo5">
    <w:name w:val="heading 5"/>
    <w:basedOn w:val="Normal"/>
    <w:next w:val="Normal"/>
    <w:link w:val="Ttulo5Car"/>
    <w:uiPriority w:val="9"/>
    <w:unhideWhenUsed/>
    <w:qFormat/>
    <w:rsid w:val="00EF1A37"/>
    <w:pPr>
      <w:keepNext/>
      <w:keepLines/>
      <w:spacing w:before="40" w:after="0" w:line="259" w:lineRule="auto"/>
      <w:outlineLvl w:val="4"/>
    </w:pPr>
    <w:rPr>
      <w:rFonts w:ascii="ITC Avant Garde" w:eastAsiaTheme="majorEastAsia" w:hAnsi="ITC Avant Garde" w:cstheme="majorBidi"/>
      <w:b/>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1A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1A37"/>
    <w:rPr>
      <w:rFonts w:ascii="Calibri" w:eastAsia="Calibri" w:hAnsi="Calibri" w:cs="Times New Roman"/>
    </w:rPr>
  </w:style>
  <w:style w:type="paragraph" w:styleId="Piedepgina">
    <w:name w:val="footer"/>
    <w:basedOn w:val="Normal"/>
    <w:link w:val="PiedepginaCar"/>
    <w:uiPriority w:val="99"/>
    <w:unhideWhenUsed/>
    <w:rsid w:val="00EF1A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1A37"/>
    <w:rPr>
      <w:rFonts w:ascii="Calibri" w:eastAsia="Calibri" w:hAnsi="Calibri" w:cs="Times New Roman"/>
    </w:rPr>
  </w:style>
  <w:style w:type="paragraph" w:customStyle="1" w:styleId="Default">
    <w:name w:val="Default"/>
    <w:rsid w:val="00EF1A37"/>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basedOn w:val="Normal"/>
    <w:link w:val="PrrafodelistaCar"/>
    <w:uiPriority w:val="34"/>
    <w:qFormat/>
    <w:rsid w:val="00EF1A3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EF1A37"/>
    <w:rPr>
      <w:rFonts w:ascii="Arial" w:eastAsia="Times New Roman" w:hAnsi="Arial" w:cs="Times New Roman"/>
      <w:sz w:val="24"/>
      <w:szCs w:val="20"/>
    </w:rPr>
  </w:style>
  <w:style w:type="paragraph" w:styleId="Textonotapie">
    <w:name w:val="footnote text"/>
    <w:basedOn w:val="Normal"/>
    <w:link w:val="TextonotapieCar"/>
    <w:uiPriority w:val="99"/>
    <w:unhideWhenUsed/>
    <w:rsid w:val="00EF1A37"/>
    <w:pPr>
      <w:spacing w:after="0" w:line="240" w:lineRule="auto"/>
    </w:pPr>
    <w:rPr>
      <w:sz w:val="20"/>
      <w:szCs w:val="20"/>
    </w:rPr>
  </w:style>
  <w:style w:type="character" w:customStyle="1" w:styleId="TextonotapieCar">
    <w:name w:val="Texto nota pie Car"/>
    <w:basedOn w:val="Fuentedeprrafopredeter"/>
    <w:link w:val="Textonotapie"/>
    <w:uiPriority w:val="99"/>
    <w:rsid w:val="00EF1A37"/>
    <w:rPr>
      <w:rFonts w:ascii="Calibri" w:eastAsia="Calibri" w:hAnsi="Calibri" w:cs="Times New Roman"/>
      <w:sz w:val="20"/>
      <w:szCs w:val="20"/>
    </w:rPr>
  </w:style>
  <w:style w:type="character" w:styleId="Refdenotaalpie">
    <w:name w:val="footnote reference"/>
    <w:basedOn w:val="Fuentedeprrafopredeter"/>
    <w:uiPriority w:val="99"/>
    <w:unhideWhenUsed/>
    <w:rsid w:val="00EF1A37"/>
    <w:rPr>
      <w:vertAlign w:val="superscript"/>
    </w:rPr>
  </w:style>
  <w:style w:type="paragraph" w:customStyle="1" w:styleId="Texto">
    <w:name w:val="Texto"/>
    <w:basedOn w:val="Normal"/>
    <w:link w:val="TextoCar"/>
    <w:rsid w:val="00EF1A37"/>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EF1A37"/>
    <w:rPr>
      <w:rFonts w:ascii="Arial" w:eastAsia="Times New Roman" w:hAnsi="Arial" w:cs="Arial"/>
      <w:sz w:val="18"/>
      <w:szCs w:val="18"/>
      <w:lang w:val="es-ES" w:eastAsia="es-ES"/>
    </w:rPr>
  </w:style>
  <w:style w:type="character" w:styleId="Refdecomentario">
    <w:name w:val="annotation reference"/>
    <w:basedOn w:val="Fuentedeprrafopredeter"/>
    <w:uiPriority w:val="99"/>
    <w:semiHidden/>
    <w:unhideWhenUsed/>
    <w:rsid w:val="00EF1A37"/>
    <w:rPr>
      <w:sz w:val="16"/>
      <w:szCs w:val="16"/>
    </w:rPr>
  </w:style>
  <w:style w:type="character" w:customStyle="1" w:styleId="Ttulo1Car">
    <w:name w:val="Título 1 Car"/>
    <w:basedOn w:val="Fuentedeprrafopredeter"/>
    <w:link w:val="Ttulo1"/>
    <w:uiPriority w:val="9"/>
    <w:rsid w:val="00EF1A3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F1A37"/>
    <w:rPr>
      <w:rFonts w:ascii="ITC Avant Garde" w:eastAsiaTheme="majorEastAsia" w:hAnsi="ITC Avant Garde" w:cstheme="majorBidi"/>
      <w:b/>
      <w:color w:val="000000" w:themeColor="text1"/>
      <w:sz w:val="24"/>
      <w:szCs w:val="26"/>
    </w:rPr>
  </w:style>
  <w:style w:type="character" w:customStyle="1" w:styleId="Ttulo3Car">
    <w:name w:val="Título 3 Car"/>
    <w:basedOn w:val="Fuentedeprrafopredeter"/>
    <w:link w:val="Ttulo3"/>
    <w:uiPriority w:val="9"/>
    <w:rsid w:val="00EF1A37"/>
    <w:rPr>
      <w:rFonts w:ascii="ITC Avant Garde" w:eastAsiaTheme="majorEastAsia" w:hAnsi="ITC Avant Garde" w:cstheme="majorBidi"/>
      <w:b/>
      <w:color w:val="000000" w:themeColor="text1"/>
      <w:szCs w:val="24"/>
    </w:rPr>
  </w:style>
  <w:style w:type="character" w:customStyle="1" w:styleId="Ttulo4Car">
    <w:name w:val="Título 4 Car"/>
    <w:basedOn w:val="Fuentedeprrafopredeter"/>
    <w:link w:val="Ttulo4"/>
    <w:uiPriority w:val="9"/>
    <w:rsid w:val="00EF1A37"/>
    <w:rPr>
      <w:rFonts w:ascii="ITC Avant Garde" w:eastAsiaTheme="majorEastAsia" w:hAnsi="ITC Avant Garde" w:cstheme="majorBidi"/>
      <w:b/>
      <w:iCs/>
      <w:color w:val="000000" w:themeColor="text1"/>
    </w:rPr>
  </w:style>
  <w:style w:type="character" w:customStyle="1" w:styleId="Ttulo5Car">
    <w:name w:val="Título 5 Car"/>
    <w:basedOn w:val="Fuentedeprrafopredeter"/>
    <w:link w:val="Ttulo5"/>
    <w:uiPriority w:val="9"/>
    <w:rsid w:val="00EF1A37"/>
    <w:rPr>
      <w:rFonts w:ascii="ITC Avant Garde" w:eastAsiaTheme="majorEastAsia" w:hAnsi="ITC Avant Garde" w:cstheme="majorBidi"/>
      <w:b/>
      <w:color w:val="000000" w:themeColor="text1"/>
    </w:rPr>
  </w:style>
  <w:style w:type="paragraph" w:styleId="Textodeglobo">
    <w:name w:val="Balloon Text"/>
    <w:basedOn w:val="Normal"/>
    <w:link w:val="TextodegloboCar"/>
    <w:uiPriority w:val="99"/>
    <w:semiHidden/>
    <w:unhideWhenUsed/>
    <w:rsid w:val="00EF1A37"/>
    <w:pPr>
      <w:spacing w:after="0" w:line="240" w:lineRule="auto"/>
    </w:pPr>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EF1A37"/>
    <w:rPr>
      <w:rFonts w:ascii="Segoe UI" w:hAnsi="Segoe UI" w:cs="Segoe UI"/>
      <w:sz w:val="18"/>
      <w:szCs w:val="18"/>
    </w:rPr>
  </w:style>
  <w:style w:type="paragraph" w:styleId="Textocomentario">
    <w:name w:val="annotation text"/>
    <w:basedOn w:val="Normal"/>
    <w:link w:val="TextocomentarioCar"/>
    <w:uiPriority w:val="99"/>
    <w:unhideWhenUsed/>
    <w:rsid w:val="00EF1A37"/>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EF1A37"/>
    <w:rPr>
      <w:sz w:val="20"/>
      <w:szCs w:val="20"/>
    </w:rPr>
  </w:style>
  <w:style w:type="character" w:customStyle="1" w:styleId="AsuntodelcomentarioCar">
    <w:name w:val="Asunto del comentario Car"/>
    <w:basedOn w:val="TextocomentarioCar"/>
    <w:link w:val="Asuntodelcomentario"/>
    <w:uiPriority w:val="99"/>
    <w:semiHidden/>
    <w:rsid w:val="00EF1A37"/>
    <w:rPr>
      <w:b/>
      <w:bCs/>
      <w:sz w:val="20"/>
      <w:szCs w:val="20"/>
    </w:rPr>
  </w:style>
  <w:style w:type="paragraph" w:styleId="Asuntodelcomentario">
    <w:name w:val="annotation subject"/>
    <w:basedOn w:val="Textocomentario"/>
    <w:next w:val="Textocomentario"/>
    <w:link w:val="AsuntodelcomentarioCar"/>
    <w:uiPriority w:val="99"/>
    <w:semiHidden/>
    <w:unhideWhenUsed/>
    <w:rsid w:val="00EF1A37"/>
    <w:rPr>
      <w:b/>
      <w:bCs/>
    </w:rPr>
  </w:style>
  <w:style w:type="character" w:customStyle="1" w:styleId="AsuntodelcomentarioCar1">
    <w:name w:val="Asunto del comentario Car1"/>
    <w:basedOn w:val="TextocomentarioCar"/>
    <w:uiPriority w:val="99"/>
    <w:semiHidden/>
    <w:rsid w:val="00EF1A37"/>
    <w:rPr>
      <w:b/>
      <w:bCs/>
      <w:sz w:val="20"/>
      <w:szCs w:val="20"/>
    </w:rPr>
  </w:style>
  <w:style w:type="character" w:customStyle="1" w:styleId="apple-converted-space">
    <w:name w:val="apple-converted-space"/>
    <w:basedOn w:val="Fuentedeprrafopredeter"/>
    <w:rsid w:val="00EF1A37"/>
  </w:style>
  <w:style w:type="character" w:styleId="nfasis">
    <w:name w:val="Emphasis"/>
    <w:basedOn w:val="Fuentedeprrafopredeter"/>
    <w:qFormat/>
    <w:rsid w:val="00EF1A37"/>
    <w:rPr>
      <w:i/>
      <w:iCs/>
    </w:rPr>
  </w:style>
  <w:style w:type="paragraph" w:styleId="Revisin">
    <w:name w:val="Revision"/>
    <w:hidden/>
    <w:uiPriority w:val="99"/>
    <w:semiHidden/>
    <w:rsid w:val="00693970"/>
    <w:pPr>
      <w:spacing w:after="0" w:line="240" w:lineRule="auto"/>
    </w:pPr>
    <w:rPr>
      <w:rFonts w:ascii="Calibri" w:eastAsia="Calibri" w:hAnsi="Calibri" w:cs="Times New Roman"/>
    </w:rPr>
  </w:style>
  <w:style w:type="character" w:customStyle="1" w:styleId="j">
    <w:name w:val="j"/>
    <w:basedOn w:val="Fuentedeprrafopredeter"/>
    <w:rsid w:val="00DC00DB"/>
  </w:style>
  <w:style w:type="paragraph" w:styleId="TtulodeTDC">
    <w:name w:val="TOC Heading"/>
    <w:basedOn w:val="Ttulo1"/>
    <w:next w:val="Normal"/>
    <w:uiPriority w:val="39"/>
    <w:unhideWhenUsed/>
    <w:qFormat/>
    <w:rsid w:val="00DC00DB"/>
    <w:pPr>
      <w:spacing w:line="259" w:lineRule="auto"/>
      <w:outlineLvl w:val="9"/>
    </w:pPr>
    <w:rPr>
      <w:lang w:eastAsia="es-MX"/>
    </w:rPr>
  </w:style>
  <w:style w:type="paragraph" w:styleId="TDC1">
    <w:name w:val="toc 1"/>
    <w:basedOn w:val="Normal"/>
    <w:next w:val="Normal"/>
    <w:autoRedefine/>
    <w:uiPriority w:val="39"/>
    <w:unhideWhenUsed/>
    <w:rsid w:val="00DC00DB"/>
    <w:pPr>
      <w:spacing w:after="100" w:line="259" w:lineRule="auto"/>
    </w:pPr>
    <w:rPr>
      <w:rFonts w:asciiTheme="minorHAnsi" w:eastAsiaTheme="minorHAnsi" w:hAnsiTheme="minorHAnsi" w:cstheme="minorBidi"/>
    </w:rPr>
  </w:style>
  <w:style w:type="paragraph" w:styleId="TDC2">
    <w:name w:val="toc 2"/>
    <w:basedOn w:val="Normal"/>
    <w:next w:val="Normal"/>
    <w:autoRedefine/>
    <w:uiPriority w:val="39"/>
    <w:unhideWhenUsed/>
    <w:rsid w:val="00DC00DB"/>
    <w:pPr>
      <w:spacing w:after="100" w:line="259" w:lineRule="auto"/>
      <w:ind w:left="220"/>
    </w:pPr>
    <w:rPr>
      <w:rFonts w:asciiTheme="minorHAnsi" w:eastAsiaTheme="minorHAnsi" w:hAnsiTheme="minorHAnsi" w:cstheme="minorBidi"/>
    </w:rPr>
  </w:style>
  <w:style w:type="character" w:styleId="Hipervnculo">
    <w:name w:val="Hyperlink"/>
    <w:basedOn w:val="Fuentedeprrafopredeter"/>
    <w:uiPriority w:val="99"/>
    <w:unhideWhenUsed/>
    <w:rsid w:val="00DC00DB"/>
    <w:rPr>
      <w:color w:val="0563C1" w:themeColor="hyperlink"/>
      <w:u w:val="single"/>
    </w:rPr>
  </w:style>
  <w:style w:type="paragraph" w:customStyle="1" w:styleId="TextoNormal">
    <w:name w:val="Texto Normal"/>
    <w:basedOn w:val="Normal"/>
    <w:link w:val="TextoNormalCar"/>
    <w:qFormat/>
    <w:rsid w:val="00DC00DB"/>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DC00DB"/>
    <w:rPr>
      <w:rFonts w:ascii="Cambria" w:eastAsia="Arial Unicode MS" w:hAnsi="Cambria" w:cs="Arial Unicode MS"/>
      <w:color w:val="000000"/>
      <w:u w:color="000000"/>
      <w:bdr w:val="nil"/>
      <w:lang w:val="es-ES_tradnl"/>
    </w:rPr>
  </w:style>
  <w:style w:type="table" w:styleId="Tablaconcuadrcula">
    <w:name w:val="Table Grid"/>
    <w:basedOn w:val="Tablanormal"/>
    <w:uiPriority w:val="39"/>
    <w:rsid w:val="00DC0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00DB"/>
    <w:pPr>
      <w:spacing w:after="160" w:line="256" w:lineRule="auto"/>
    </w:pPr>
    <w:rPr>
      <w:rFonts w:ascii="Times New Roman" w:eastAsiaTheme="minorHAnsi" w:hAnsi="Times New Roman"/>
      <w:sz w:val="24"/>
      <w:szCs w:val="24"/>
    </w:rPr>
  </w:style>
  <w:style w:type="paragraph" w:customStyle="1" w:styleId="p">
    <w:name w:val="p"/>
    <w:basedOn w:val="Normal"/>
    <w:rsid w:val="00DC00D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f">
    <w:name w:val="f"/>
    <w:basedOn w:val="Fuentedeprrafopredeter"/>
    <w:rsid w:val="00DC00DB"/>
  </w:style>
  <w:style w:type="paragraph" w:customStyle="1" w:styleId="q">
    <w:name w:val="q"/>
    <w:basedOn w:val="Normal"/>
    <w:rsid w:val="00DC00D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d">
    <w:name w:val="d"/>
    <w:basedOn w:val="Fuentedeprrafopredeter"/>
    <w:rsid w:val="00DC00DB"/>
  </w:style>
  <w:style w:type="character" w:customStyle="1" w:styleId="b">
    <w:name w:val="b"/>
    <w:basedOn w:val="Fuentedeprrafopredeter"/>
    <w:rsid w:val="00DC00DB"/>
  </w:style>
  <w:style w:type="table" w:customStyle="1" w:styleId="Tablaconcuadrcula1">
    <w:name w:val="Tabla con cuadrícula1"/>
    <w:basedOn w:val="Tablanormal"/>
    <w:next w:val="Tablaconcuadrcula"/>
    <w:uiPriority w:val="39"/>
    <w:rsid w:val="00DC00DB"/>
    <w:pPr>
      <w:spacing w:after="0" w:line="240" w:lineRule="auto"/>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7518">
      <w:bodyDiv w:val="1"/>
      <w:marLeft w:val="0"/>
      <w:marRight w:val="0"/>
      <w:marTop w:val="0"/>
      <w:marBottom w:val="0"/>
      <w:divBdr>
        <w:top w:val="none" w:sz="0" w:space="0" w:color="auto"/>
        <w:left w:val="none" w:sz="0" w:space="0" w:color="auto"/>
        <w:bottom w:val="none" w:sz="0" w:space="0" w:color="auto"/>
        <w:right w:val="none" w:sz="0" w:space="0" w:color="auto"/>
      </w:divBdr>
      <w:divsChild>
        <w:div w:id="598222392">
          <w:marLeft w:val="0"/>
          <w:marRight w:val="0"/>
          <w:marTop w:val="0"/>
          <w:marBottom w:val="0"/>
          <w:divBdr>
            <w:top w:val="none" w:sz="0" w:space="0" w:color="auto"/>
            <w:left w:val="none" w:sz="0" w:space="0" w:color="auto"/>
            <w:bottom w:val="none" w:sz="0" w:space="0" w:color="auto"/>
            <w:right w:val="none" w:sz="0" w:space="0" w:color="auto"/>
          </w:divBdr>
          <w:divsChild>
            <w:div w:id="936905636">
              <w:marLeft w:val="240"/>
              <w:marRight w:val="0"/>
              <w:marTop w:val="0"/>
              <w:marBottom w:val="0"/>
              <w:divBdr>
                <w:top w:val="none" w:sz="0" w:space="0" w:color="auto"/>
                <w:left w:val="none" w:sz="0" w:space="0" w:color="auto"/>
                <w:bottom w:val="none" w:sz="0" w:space="0" w:color="auto"/>
                <w:right w:val="none" w:sz="0" w:space="0" w:color="auto"/>
              </w:divBdr>
              <w:divsChild>
                <w:div w:id="200855312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020542647">
          <w:marLeft w:val="0"/>
          <w:marRight w:val="0"/>
          <w:marTop w:val="0"/>
          <w:marBottom w:val="0"/>
          <w:divBdr>
            <w:top w:val="none" w:sz="0" w:space="0" w:color="auto"/>
            <w:left w:val="none" w:sz="0" w:space="0" w:color="auto"/>
            <w:bottom w:val="none" w:sz="0" w:space="0" w:color="auto"/>
            <w:right w:val="none" w:sz="0" w:space="0" w:color="auto"/>
          </w:divBdr>
        </w:div>
      </w:divsChild>
    </w:div>
    <w:div w:id="134445450">
      <w:bodyDiv w:val="1"/>
      <w:marLeft w:val="0"/>
      <w:marRight w:val="0"/>
      <w:marTop w:val="0"/>
      <w:marBottom w:val="0"/>
      <w:divBdr>
        <w:top w:val="none" w:sz="0" w:space="0" w:color="auto"/>
        <w:left w:val="none" w:sz="0" w:space="0" w:color="auto"/>
        <w:bottom w:val="none" w:sz="0" w:space="0" w:color="auto"/>
        <w:right w:val="none" w:sz="0" w:space="0" w:color="auto"/>
      </w:divBdr>
    </w:div>
    <w:div w:id="207424412">
      <w:bodyDiv w:val="1"/>
      <w:marLeft w:val="0"/>
      <w:marRight w:val="0"/>
      <w:marTop w:val="0"/>
      <w:marBottom w:val="0"/>
      <w:divBdr>
        <w:top w:val="none" w:sz="0" w:space="0" w:color="auto"/>
        <w:left w:val="none" w:sz="0" w:space="0" w:color="auto"/>
        <w:bottom w:val="none" w:sz="0" w:space="0" w:color="auto"/>
        <w:right w:val="none" w:sz="0" w:space="0" w:color="auto"/>
      </w:divBdr>
      <w:divsChild>
        <w:div w:id="2121485703">
          <w:marLeft w:val="0"/>
          <w:marRight w:val="0"/>
          <w:marTop w:val="0"/>
          <w:marBottom w:val="48"/>
          <w:divBdr>
            <w:top w:val="none" w:sz="0" w:space="0" w:color="auto"/>
            <w:left w:val="none" w:sz="0" w:space="0" w:color="auto"/>
            <w:bottom w:val="none" w:sz="0" w:space="0" w:color="auto"/>
            <w:right w:val="none" w:sz="0" w:space="0" w:color="auto"/>
          </w:divBdr>
        </w:div>
        <w:div w:id="1324313978">
          <w:marLeft w:val="0"/>
          <w:marRight w:val="0"/>
          <w:marTop w:val="0"/>
          <w:marBottom w:val="48"/>
          <w:divBdr>
            <w:top w:val="none" w:sz="0" w:space="0" w:color="auto"/>
            <w:left w:val="none" w:sz="0" w:space="0" w:color="auto"/>
            <w:bottom w:val="none" w:sz="0" w:space="0" w:color="auto"/>
            <w:right w:val="none" w:sz="0" w:space="0" w:color="auto"/>
          </w:divBdr>
        </w:div>
      </w:divsChild>
    </w:div>
    <w:div w:id="248584039">
      <w:bodyDiv w:val="1"/>
      <w:marLeft w:val="0"/>
      <w:marRight w:val="0"/>
      <w:marTop w:val="0"/>
      <w:marBottom w:val="0"/>
      <w:divBdr>
        <w:top w:val="none" w:sz="0" w:space="0" w:color="auto"/>
        <w:left w:val="none" w:sz="0" w:space="0" w:color="auto"/>
        <w:bottom w:val="none" w:sz="0" w:space="0" w:color="auto"/>
        <w:right w:val="none" w:sz="0" w:space="0" w:color="auto"/>
      </w:divBdr>
      <w:divsChild>
        <w:div w:id="157158245">
          <w:marLeft w:val="0"/>
          <w:marRight w:val="0"/>
          <w:marTop w:val="0"/>
          <w:marBottom w:val="0"/>
          <w:divBdr>
            <w:top w:val="none" w:sz="0" w:space="0" w:color="auto"/>
            <w:left w:val="none" w:sz="0" w:space="0" w:color="auto"/>
            <w:bottom w:val="none" w:sz="0" w:space="0" w:color="auto"/>
            <w:right w:val="none" w:sz="0" w:space="0" w:color="auto"/>
          </w:divBdr>
          <w:divsChild>
            <w:div w:id="696154237">
              <w:marLeft w:val="240"/>
              <w:marRight w:val="0"/>
              <w:marTop w:val="0"/>
              <w:marBottom w:val="0"/>
              <w:divBdr>
                <w:top w:val="none" w:sz="0" w:space="0" w:color="auto"/>
                <w:left w:val="none" w:sz="0" w:space="0" w:color="auto"/>
                <w:bottom w:val="none" w:sz="0" w:space="0" w:color="auto"/>
                <w:right w:val="none" w:sz="0" w:space="0" w:color="auto"/>
              </w:divBdr>
              <w:divsChild>
                <w:div w:id="134212448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699747981">
          <w:marLeft w:val="0"/>
          <w:marRight w:val="0"/>
          <w:marTop w:val="0"/>
          <w:marBottom w:val="0"/>
          <w:divBdr>
            <w:top w:val="none" w:sz="0" w:space="0" w:color="auto"/>
            <w:left w:val="none" w:sz="0" w:space="0" w:color="auto"/>
            <w:bottom w:val="none" w:sz="0" w:space="0" w:color="auto"/>
            <w:right w:val="none" w:sz="0" w:space="0" w:color="auto"/>
          </w:divBdr>
        </w:div>
      </w:divsChild>
    </w:div>
    <w:div w:id="194264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e03b37f4209ddfe238a9d5a7d6145df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95CF7-2945-497D-B2E0-A9B0DF3AECB2}">
  <ds:schemaRef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BDE748EA-A23C-4770-86EF-59A4EAD57B36}">
  <ds:schemaRefs>
    <ds:schemaRef ds:uri="http://schemas.microsoft.com/sharepoint/v3/contenttype/forms"/>
  </ds:schemaRefs>
</ds:datastoreItem>
</file>

<file path=customXml/itemProps3.xml><?xml version="1.0" encoding="utf-8"?>
<ds:datastoreItem xmlns:ds="http://schemas.openxmlformats.org/officeDocument/2006/customXml" ds:itemID="{48673A50-EA8F-454E-A0D0-B0BC032EC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3B4324A-290E-4189-8CEA-7DAAC87B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2403</Words>
  <Characters>13222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Eslava Herrada</dc:creator>
  <cp:keywords/>
  <dc:description/>
  <cp:lastModifiedBy>Arlene Ameneyro Tapia</cp:lastModifiedBy>
  <cp:revision>11</cp:revision>
  <cp:lastPrinted>2015-07-13T23:32:00Z</cp:lastPrinted>
  <dcterms:created xsi:type="dcterms:W3CDTF">2015-07-13T19:39:00Z</dcterms:created>
  <dcterms:modified xsi:type="dcterms:W3CDTF">2015-07-14T00:01:00Z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