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EB" w:rsidRPr="00DA0A7D" w:rsidRDefault="00DD32EB" w:rsidP="00BF364A">
      <w:pPr>
        <w:pStyle w:val="estilo30"/>
        <w:spacing w:before="0" w:beforeAutospacing="0" w:after="0" w:afterAutospacing="0" w:line="276" w:lineRule="auto"/>
        <w:jc w:val="right"/>
        <w:rPr>
          <w:rFonts w:ascii="ITC Avant Garde" w:hAnsi="ITC Avant Garde"/>
          <w:b/>
          <w:bCs/>
          <w:color w:val="000000"/>
          <w:sz w:val="21"/>
          <w:szCs w:val="21"/>
        </w:rPr>
      </w:pPr>
      <w:bookmarkStart w:id="0" w:name="_GoBack"/>
      <w:bookmarkEnd w:id="0"/>
      <w:r w:rsidRPr="00DA0A7D">
        <w:rPr>
          <w:rFonts w:ascii="ITC Avant Garde" w:hAnsi="ITC Avant Garde"/>
          <w:b/>
          <w:bCs/>
          <w:color w:val="000000"/>
          <w:sz w:val="21"/>
          <w:szCs w:val="21"/>
        </w:rPr>
        <w:t>INSTITUTO FEDERAL DE TELECOMUNICACIONES</w:t>
      </w:r>
    </w:p>
    <w:p w:rsidR="00DD32EB" w:rsidRPr="00DA0A7D" w:rsidRDefault="00DD32EB" w:rsidP="00BF364A">
      <w:pPr>
        <w:pStyle w:val="estilo30"/>
        <w:spacing w:before="0" w:beforeAutospacing="0" w:after="0" w:afterAutospacing="0" w:line="276" w:lineRule="auto"/>
        <w:jc w:val="right"/>
        <w:rPr>
          <w:rFonts w:ascii="ITC Avant Garde" w:hAnsi="ITC Avant Garde"/>
          <w:b/>
          <w:bCs/>
          <w:color w:val="000000"/>
          <w:sz w:val="21"/>
          <w:szCs w:val="21"/>
        </w:rPr>
      </w:pPr>
      <w:r w:rsidRPr="00DA0A7D">
        <w:rPr>
          <w:rFonts w:ascii="ITC Avant Garde" w:hAnsi="ITC Avant Garde"/>
          <w:b/>
          <w:bCs/>
          <w:color w:val="000000"/>
          <w:sz w:val="21"/>
          <w:szCs w:val="21"/>
        </w:rPr>
        <w:t>COORDINACIÓN GENERAL DE MEJORA REGULATORIA</w:t>
      </w:r>
    </w:p>
    <w:p w:rsidR="00DD32EB" w:rsidRDefault="003B57CD" w:rsidP="00BF364A">
      <w:pPr>
        <w:pStyle w:val="estilo30"/>
        <w:spacing w:before="0" w:beforeAutospacing="0" w:after="0" w:afterAutospacing="0" w:line="276" w:lineRule="auto"/>
        <w:jc w:val="right"/>
        <w:rPr>
          <w:rFonts w:ascii="ITC Avant Garde" w:hAnsi="ITC Avant Garde"/>
          <w:b/>
          <w:bCs/>
          <w:color w:val="000000"/>
          <w:sz w:val="21"/>
          <w:szCs w:val="21"/>
        </w:rPr>
      </w:pPr>
      <w:r w:rsidRPr="00DA0A7D">
        <w:rPr>
          <w:rFonts w:ascii="ITC Avant Garde" w:hAnsi="ITC Avant Garde"/>
          <w:b/>
          <w:bCs/>
          <w:color w:val="000000"/>
          <w:sz w:val="21"/>
          <w:szCs w:val="21"/>
        </w:rPr>
        <w:t>IFT/211/CGMR/</w:t>
      </w:r>
      <w:r w:rsidR="00BF364A" w:rsidRPr="004F5B97">
        <w:rPr>
          <w:rFonts w:ascii="ITC Avant Garde" w:hAnsi="ITC Avant Garde"/>
          <w:b/>
          <w:bCs/>
          <w:color w:val="000000"/>
          <w:sz w:val="21"/>
          <w:szCs w:val="21"/>
        </w:rPr>
        <w:t>018</w:t>
      </w:r>
      <w:r w:rsidR="00BF364A">
        <w:rPr>
          <w:rFonts w:ascii="ITC Avant Garde" w:hAnsi="ITC Avant Garde"/>
          <w:b/>
          <w:bCs/>
          <w:color w:val="000000"/>
          <w:sz w:val="21"/>
          <w:szCs w:val="21"/>
        </w:rPr>
        <w:t>/2016</w:t>
      </w:r>
    </w:p>
    <w:p w:rsidR="00BF364A" w:rsidRDefault="00BF364A" w:rsidP="00BF364A">
      <w:pPr>
        <w:pStyle w:val="estilo30"/>
        <w:spacing w:before="0" w:beforeAutospacing="0" w:after="0" w:afterAutospacing="0" w:line="276" w:lineRule="auto"/>
        <w:jc w:val="right"/>
        <w:rPr>
          <w:rFonts w:ascii="ITC Avant Garde" w:hAnsi="ITC Avant Garde"/>
          <w:b/>
          <w:bCs/>
          <w:color w:val="000000"/>
          <w:sz w:val="21"/>
          <w:szCs w:val="21"/>
        </w:rPr>
      </w:pPr>
    </w:p>
    <w:p w:rsidR="00DD32EB" w:rsidRPr="00BF364A" w:rsidRDefault="00BF364A" w:rsidP="00BF364A">
      <w:pPr>
        <w:pStyle w:val="estilo30"/>
        <w:spacing w:before="0" w:beforeAutospacing="0" w:after="0" w:afterAutospacing="0" w:line="276" w:lineRule="auto"/>
        <w:jc w:val="right"/>
        <w:rPr>
          <w:rFonts w:ascii="ITC Avant Garde" w:hAnsi="ITC Avant Garde"/>
          <w:bCs/>
          <w:color w:val="000000"/>
          <w:sz w:val="21"/>
          <w:szCs w:val="21"/>
        </w:rPr>
      </w:pPr>
      <w:r>
        <w:rPr>
          <w:rFonts w:ascii="ITC Avant Garde" w:hAnsi="ITC Avant Garde"/>
          <w:bCs/>
          <w:color w:val="000000"/>
          <w:sz w:val="21"/>
          <w:szCs w:val="21"/>
        </w:rPr>
        <w:t xml:space="preserve">Ciudad de </w:t>
      </w:r>
      <w:r w:rsidR="00DD32EB" w:rsidRPr="00BF364A">
        <w:rPr>
          <w:rFonts w:ascii="ITC Avant Garde" w:hAnsi="ITC Avant Garde"/>
          <w:bCs/>
          <w:color w:val="000000"/>
          <w:sz w:val="21"/>
          <w:szCs w:val="21"/>
        </w:rPr>
        <w:t>México</w:t>
      </w:r>
      <w:r w:rsidR="004F5B97">
        <w:rPr>
          <w:rFonts w:ascii="ITC Avant Garde" w:hAnsi="ITC Avant Garde"/>
          <w:bCs/>
          <w:color w:val="000000"/>
          <w:sz w:val="21"/>
          <w:szCs w:val="21"/>
        </w:rPr>
        <w:t>,</w:t>
      </w:r>
      <w:r>
        <w:rPr>
          <w:rFonts w:ascii="ITC Avant Garde" w:hAnsi="ITC Avant Garde"/>
          <w:bCs/>
          <w:color w:val="000000"/>
          <w:sz w:val="21"/>
          <w:szCs w:val="21"/>
        </w:rPr>
        <w:t xml:space="preserve"> </w:t>
      </w:r>
      <w:r w:rsidR="00DD32EB" w:rsidRPr="00BF364A">
        <w:rPr>
          <w:rFonts w:ascii="ITC Avant Garde" w:hAnsi="ITC Avant Garde"/>
          <w:bCs/>
          <w:color w:val="000000"/>
          <w:sz w:val="21"/>
          <w:szCs w:val="21"/>
        </w:rPr>
        <w:t xml:space="preserve">a </w:t>
      </w:r>
      <w:r>
        <w:rPr>
          <w:rFonts w:ascii="ITC Avant Garde" w:hAnsi="ITC Avant Garde"/>
          <w:bCs/>
          <w:color w:val="000000"/>
          <w:sz w:val="21"/>
          <w:szCs w:val="21"/>
        </w:rPr>
        <w:t>26</w:t>
      </w:r>
      <w:r w:rsidR="00DD32EB" w:rsidRPr="00BF364A">
        <w:rPr>
          <w:rFonts w:ascii="ITC Avant Garde" w:hAnsi="ITC Avant Garde"/>
          <w:bCs/>
          <w:color w:val="000000"/>
          <w:sz w:val="21"/>
          <w:szCs w:val="21"/>
        </w:rPr>
        <w:t xml:space="preserve"> de </w:t>
      </w:r>
      <w:r>
        <w:rPr>
          <w:rFonts w:ascii="ITC Avant Garde" w:hAnsi="ITC Avant Garde"/>
          <w:bCs/>
          <w:color w:val="000000"/>
          <w:sz w:val="21"/>
          <w:szCs w:val="21"/>
        </w:rPr>
        <w:t>febrero de 2016</w:t>
      </w:r>
      <w:r w:rsidR="004F5B97">
        <w:rPr>
          <w:rFonts w:ascii="ITC Avant Garde" w:hAnsi="ITC Avant Garde"/>
          <w:bCs/>
          <w:color w:val="000000"/>
          <w:sz w:val="21"/>
          <w:szCs w:val="21"/>
        </w:rPr>
        <w:t>.</w:t>
      </w:r>
    </w:p>
    <w:p w:rsidR="00AF550E" w:rsidRPr="00500305" w:rsidRDefault="00AF550E" w:rsidP="00BF364A">
      <w:pPr>
        <w:pStyle w:val="estilo30"/>
        <w:spacing w:before="0" w:beforeAutospacing="0" w:after="0" w:afterAutospacing="0" w:line="276" w:lineRule="auto"/>
        <w:rPr>
          <w:rFonts w:ascii="ITC Avant Garde" w:hAnsi="ITC Avant Garde"/>
          <w:b/>
          <w:bCs/>
          <w:color w:val="000000"/>
          <w:sz w:val="22"/>
          <w:szCs w:val="22"/>
        </w:rPr>
      </w:pPr>
    </w:p>
    <w:p w:rsidR="00DD32EB" w:rsidRPr="00DA0A7D" w:rsidRDefault="00AE6B49" w:rsidP="00586D87">
      <w:pPr>
        <w:pStyle w:val="estilo30"/>
        <w:spacing w:before="0" w:beforeAutospacing="0" w:after="0" w:afterAutospacing="0"/>
        <w:rPr>
          <w:rFonts w:ascii="ITC Avant Garde" w:hAnsi="ITC Avant Garde"/>
          <w:b/>
          <w:bCs/>
          <w:color w:val="000000"/>
          <w:sz w:val="21"/>
          <w:szCs w:val="21"/>
        </w:rPr>
      </w:pPr>
      <w:r w:rsidRPr="00DA0A7D">
        <w:rPr>
          <w:rFonts w:ascii="ITC Avant Garde" w:hAnsi="ITC Avant Garde"/>
          <w:b/>
          <w:bCs/>
          <w:color w:val="000000"/>
          <w:sz w:val="21"/>
          <w:szCs w:val="21"/>
        </w:rPr>
        <w:t>JORGE LUIS HERNÁNDEZ OJEDA</w:t>
      </w:r>
    </w:p>
    <w:p w:rsidR="00DD32EB" w:rsidRPr="00DA0A7D" w:rsidRDefault="00AE6B49" w:rsidP="00586D87">
      <w:pPr>
        <w:pStyle w:val="estilo30"/>
        <w:spacing w:before="0" w:beforeAutospacing="0" w:after="0" w:afterAutospacing="0"/>
        <w:rPr>
          <w:rFonts w:ascii="ITC Avant Garde" w:hAnsi="ITC Avant Garde"/>
          <w:b/>
          <w:bCs/>
          <w:color w:val="000000"/>
          <w:sz w:val="21"/>
          <w:szCs w:val="21"/>
        </w:rPr>
      </w:pPr>
      <w:r w:rsidRPr="00DA0A7D">
        <w:rPr>
          <w:rFonts w:ascii="ITC Avant Garde" w:hAnsi="ITC Avant Garde"/>
          <w:b/>
          <w:bCs/>
          <w:color w:val="000000"/>
          <w:sz w:val="21"/>
          <w:szCs w:val="21"/>
        </w:rPr>
        <w:t>DIRECTOR DE PROYECTOS REGULATORIOS</w:t>
      </w:r>
    </w:p>
    <w:p w:rsidR="00DD32EB" w:rsidRPr="00DA0A7D" w:rsidRDefault="00AE6B49" w:rsidP="00586D87">
      <w:pPr>
        <w:pStyle w:val="estilo30"/>
        <w:spacing w:before="0" w:beforeAutospacing="0" w:after="0" w:afterAutospacing="0"/>
        <w:rPr>
          <w:rFonts w:ascii="ITC Avant Garde" w:hAnsi="ITC Avant Garde"/>
          <w:b/>
          <w:bCs/>
          <w:color w:val="000000"/>
          <w:sz w:val="21"/>
          <w:szCs w:val="21"/>
        </w:rPr>
      </w:pPr>
      <w:r w:rsidRPr="00DA0A7D">
        <w:rPr>
          <w:rFonts w:ascii="ITC Avant Garde" w:hAnsi="ITC Avant Garde"/>
          <w:b/>
          <w:bCs/>
          <w:color w:val="000000"/>
          <w:sz w:val="21"/>
          <w:szCs w:val="21"/>
        </w:rPr>
        <w:t>UNIDAD DE ESPECTRO RADIOELECTRICO</w:t>
      </w:r>
    </w:p>
    <w:p w:rsidR="00DD32EB" w:rsidRPr="00DA0A7D" w:rsidRDefault="00DD32EB" w:rsidP="00586D87">
      <w:pPr>
        <w:pStyle w:val="estilo30"/>
        <w:spacing w:before="0" w:beforeAutospacing="0" w:after="0" w:afterAutospacing="0"/>
        <w:rPr>
          <w:rFonts w:ascii="ITC Avant Garde" w:hAnsi="ITC Avant Garde"/>
          <w:b/>
          <w:bCs/>
          <w:color w:val="000000"/>
          <w:sz w:val="21"/>
          <w:szCs w:val="21"/>
        </w:rPr>
      </w:pPr>
      <w:r w:rsidRPr="00DA0A7D">
        <w:rPr>
          <w:rFonts w:ascii="ITC Avant Garde" w:hAnsi="ITC Avant Garde"/>
          <w:b/>
          <w:bCs/>
          <w:color w:val="000000"/>
          <w:sz w:val="21"/>
          <w:szCs w:val="21"/>
        </w:rPr>
        <w:t xml:space="preserve">P R E S E N T E </w:t>
      </w:r>
    </w:p>
    <w:p w:rsidR="00500305" w:rsidRPr="00500305" w:rsidRDefault="00500305" w:rsidP="00BF364A">
      <w:pPr>
        <w:pStyle w:val="estilo30"/>
        <w:spacing w:before="0" w:beforeAutospacing="0" w:after="0" w:afterAutospacing="0" w:line="276" w:lineRule="auto"/>
        <w:rPr>
          <w:rFonts w:ascii="ITC Avant Garde" w:hAnsi="ITC Avant Garde"/>
          <w:b/>
          <w:bCs/>
          <w:color w:val="000000"/>
          <w:sz w:val="22"/>
          <w:szCs w:val="22"/>
        </w:rPr>
      </w:pPr>
    </w:p>
    <w:p w:rsidR="00CD391B" w:rsidRDefault="00DD32EB" w:rsidP="00BF364A">
      <w:pPr>
        <w:pStyle w:val="Default"/>
        <w:spacing w:line="276" w:lineRule="auto"/>
        <w:jc w:val="both"/>
        <w:rPr>
          <w:rFonts w:ascii="ITC Avant Garde" w:hAnsi="ITC Avant Garde"/>
          <w:bCs/>
          <w:sz w:val="21"/>
          <w:szCs w:val="21"/>
        </w:rPr>
      </w:pPr>
      <w:r w:rsidRPr="00DA0A7D">
        <w:rPr>
          <w:rFonts w:ascii="ITC Avant Garde" w:hAnsi="ITC Avant Garde"/>
          <w:bCs/>
          <w:sz w:val="21"/>
          <w:szCs w:val="21"/>
        </w:rPr>
        <w:t xml:space="preserve">Me </w:t>
      </w:r>
      <w:r w:rsidR="00AF550E" w:rsidRPr="00DA0A7D">
        <w:rPr>
          <w:rFonts w:ascii="ITC Avant Garde" w:hAnsi="ITC Avant Garde"/>
          <w:bCs/>
          <w:sz w:val="21"/>
          <w:szCs w:val="21"/>
        </w:rPr>
        <w:t>refiero al oficio número IFT/222</w:t>
      </w:r>
      <w:r w:rsidRPr="00DA0A7D">
        <w:rPr>
          <w:rFonts w:ascii="ITC Avant Garde" w:hAnsi="ITC Avant Garde"/>
          <w:bCs/>
          <w:sz w:val="21"/>
          <w:szCs w:val="21"/>
        </w:rPr>
        <w:t>/</w:t>
      </w:r>
      <w:r w:rsidR="00AF550E" w:rsidRPr="00DA0A7D">
        <w:rPr>
          <w:rFonts w:ascii="ITC Avant Garde" w:hAnsi="ITC Avant Garde"/>
          <w:bCs/>
          <w:sz w:val="21"/>
          <w:szCs w:val="21"/>
        </w:rPr>
        <w:t>UER</w:t>
      </w:r>
      <w:r w:rsidRPr="00DA0A7D">
        <w:rPr>
          <w:rFonts w:ascii="ITC Avant Garde" w:hAnsi="ITC Avant Garde"/>
          <w:bCs/>
          <w:sz w:val="21"/>
          <w:szCs w:val="21"/>
        </w:rPr>
        <w:t>/</w:t>
      </w:r>
      <w:r w:rsidR="00CD391B" w:rsidRPr="00DA0A7D">
        <w:rPr>
          <w:rFonts w:ascii="ITC Avant Garde" w:hAnsi="ITC Avant Garde"/>
          <w:bCs/>
          <w:sz w:val="21"/>
          <w:szCs w:val="21"/>
        </w:rPr>
        <w:t>DG-</w:t>
      </w:r>
      <w:r w:rsidR="00AF550E" w:rsidRPr="004F5B97">
        <w:rPr>
          <w:rFonts w:ascii="ITC Avant Garde" w:hAnsi="ITC Avant Garde"/>
          <w:bCs/>
          <w:sz w:val="21"/>
          <w:szCs w:val="21"/>
        </w:rPr>
        <w:t>RERO</w:t>
      </w:r>
      <w:r w:rsidR="00CD391B" w:rsidRPr="004F5B97">
        <w:rPr>
          <w:rFonts w:ascii="ITC Avant Garde" w:hAnsi="ITC Avant Garde"/>
          <w:bCs/>
          <w:sz w:val="21"/>
          <w:szCs w:val="21"/>
        </w:rPr>
        <w:t>/</w:t>
      </w:r>
      <w:r w:rsidR="004F5B97" w:rsidRPr="004F5B97">
        <w:rPr>
          <w:rFonts w:ascii="ITC Avant Garde" w:hAnsi="ITC Avant Garde"/>
          <w:bCs/>
          <w:sz w:val="21"/>
          <w:szCs w:val="21"/>
        </w:rPr>
        <w:t>007</w:t>
      </w:r>
      <w:r w:rsidR="00CD391B" w:rsidRPr="004F5B97">
        <w:rPr>
          <w:rFonts w:ascii="ITC Avant Garde" w:hAnsi="ITC Avant Garde"/>
          <w:bCs/>
          <w:sz w:val="21"/>
          <w:szCs w:val="21"/>
        </w:rPr>
        <w:t>/</w:t>
      </w:r>
      <w:r w:rsidR="00BF364A" w:rsidRPr="004F5B97">
        <w:rPr>
          <w:rFonts w:ascii="ITC Avant Garde" w:hAnsi="ITC Avant Garde"/>
          <w:bCs/>
          <w:sz w:val="21"/>
          <w:szCs w:val="21"/>
        </w:rPr>
        <w:t>2016</w:t>
      </w:r>
      <w:r w:rsidRPr="004F5B97">
        <w:rPr>
          <w:rFonts w:ascii="ITC Avant Garde" w:hAnsi="ITC Avant Garde"/>
          <w:bCs/>
          <w:sz w:val="21"/>
          <w:szCs w:val="21"/>
        </w:rPr>
        <w:t xml:space="preserve">, </w:t>
      </w:r>
      <w:r w:rsidR="00707FAF" w:rsidRPr="004F5B97">
        <w:rPr>
          <w:rFonts w:ascii="ITC Avant Garde" w:hAnsi="ITC Avant Garde"/>
          <w:bCs/>
          <w:sz w:val="21"/>
          <w:szCs w:val="21"/>
        </w:rPr>
        <w:t xml:space="preserve">de fecha </w:t>
      </w:r>
      <w:r w:rsidR="004F5B97" w:rsidRPr="004F5B97">
        <w:rPr>
          <w:rFonts w:ascii="ITC Avant Garde" w:hAnsi="ITC Avant Garde"/>
          <w:bCs/>
          <w:sz w:val="21"/>
          <w:szCs w:val="21"/>
        </w:rPr>
        <w:t>23</w:t>
      </w:r>
      <w:r w:rsidR="00707FAF" w:rsidRPr="004F5B97">
        <w:rPr>
          <w:rFonts w:ascii="ITC Avant Garde" w:hAnsi="ITC Avant Garde"/>
          <w:bCs/>
          <w:sz w:val="21"/>
          <w:szCs w:val="21"/>
        </w:rPr>
        <w:t xml:space="preserve"> de </w:t>
      </w:r>
      <w:r w:rsidR="00BF364A" w:rsidRPr="004F5B97">
        <w:rPr>
          <w:rFonts w:ascii="ITC Avant Garde" w:hAnsi="ITC Avant Garde"/>
          <w:bCs/>
          <w:sz w:val="21"/>
          <w:szCs w:val="21"/>
        </w:rPr>
        <w:t>febrero</w:t>
      </w:r>
      <w:r w:rsidR="00707FAF" w:rsidRPr="004F5B97">
        <w:rPr>
          <w:rFonts w:ascii="ITC Avant Garde" w:hAnsi="ITC Avant Garde"/>
          <w:bCs/>
          <w:sz w:val="21"/>
          <w:szCs w:val="21"/>
        </w:rPr>
        <w:t xml:space="preserve"> de </w:t>
      </w:r>
      <w:r w:rsidR="00BF364A" w:rsidRPr="004F5B97">
        <w:rPr>
          <w:rFonts w:ascii="ITC Avant Garde" w:hAnsi="ITC Avant Garde"/>
          <w:bCs/>
          <w:sz w:val="21"/>
          <w:szCs w:val="21"/>
        </w:rPr>
        <w:t>2016</w:t>
      </w:r>
      <w:r w:rsidR="0038566B" w:rsidRPr="004F5B97">
        <w:rPr>
          <w:rFonts w:ascii="ITC Avant Garde" w:hAnsi="ITC Avant Garde"/>
          <w:bCs/>
          <w:sz w:val="21"/>
          <w:szCs w:val="21"/>
        </w:rPr>
        <w:t xml:space="preserve">, el cual fue </w:t>
      </w:r>
      <w:r w:rsidRPr="004F5B97">
        <w:rPr>
          <w:rFonts w:ascii="ITC Avant Garde" w:hAnsi="ITC Avant Garde"/>
          <w:bCs/>
          <w:sz w:val="21"/>
          <w:szCs w:val="21"/>
        </w:rPr>
        <w:t xml:space="preserve">recibido </w:t>
      </w:r>
      <w:r w:rsidR="00707FAF" w:rsidRPr="004F5B97">
        <w:rPr>
          <w:rFonts w:ascii="ITC Avant Garde" w:hAnsi="ITC Avant Garde"/>
          <w:bCs/>
          <w:sz w:val="21"/>
          <w:szCs w:val="21"/>
        </w:rPr>
        <w:t>en esta Coordinación General de Mejora Regulatoria (</w:t>
      </w:r>
      <w:r w:rsidR="0038566B" w:rsidRPr="004F5B97">
        <w:rPr>
          <w:rFonts w:ascii="ITC Avant Garde" w:hAnsi="ITC Avant Garde"/>
          <w:bCs/>
          <w:sz w:val="21"/>
          <w:szCs w:val="21"/>
        </w:rPr>
        <w:t>en lo sucesivo, la “</w:t>
      </w:r>
      <w:r w:rsidR="00707FAF" w:rsidRPr="004F5B97">
        <w:rPr>
          <w:rFonts w:ascii="ITC Avant Garde" w:hAnsi="ITC Avant Garde"/>
          <w:bCs/>
          <w:sz w:val="21"/>
          <w:szCs w:val="21"/>
        </w:rPr>
        <w:t>CGMR</w:t>
      </w:r>
      <w:r w:rsidR="0038566B" w:rsidRPr="004F5B97">
        <w:rPr>
          <w:rFonts w:ascii="ITC Avant Garde" w:hAnsi="ITC Avant Garde"/>
          <w:bCs/>
          <w:sz w:val="21"/>
          <w:szCs w:val="21"/>
        </w:rPr>
        <w:t>”</w:t>
      </w:r>
      <w:r w:rsidR="00707FAF" w:rsidRPr="004F5B97">
        <w:rPr>
          <w:rFonts w:ascii="ITC Avant Garde" w:hAnsi="ITC Avant Garde"/>
          <w:bCs/>
          <w:sz w:val="21"/>
          <w:szCs w:val="21"/>
        </w:rPr>
        <w:t xml:space="preserve">) </w:t>
      </w:r>
      <w:r w:rsidR="00AF550E" w:rsidRPr="004F5B97">
        <w:rPr>
          <w:rFonts w:ascii="ITC Avant Garde" w:hAnsi="ITC Avant Garde"/>
          <w:bCs/>
          <w:sz w:val="21"/>
          <w:szCs w:val="21"/>
        </w:rPr>
        <w:t>ese</w:t>
      </w:r>
      <w:r w:rsidR="009E0C72" w:rsidRPr="004F5B97">
        <w:rPr>
          <w:rFonts w:ascii="ITC Avant Garde" w:hAnsi="ITC Avant Garde"/>
          <w:bCs/>
          <w:sz w:val="21"/>
          <w:szCs w:val="21"/>
        </w:rPr>
        <w:t xml:space="preserve"> </w:t>
      </w:r>
      <w:r w:rsidR="00AF550E" w:rsidRPr="004F5B97">
        <w:rPr>
          <w:rFonts w:ascii="ITC Avant Garde" w:hAnsi="ITC Avant Garde"/>
          <w:bCs/>
          <w:sz w:val="21"/>
          <w:szCs w:val="21"/>
        </w:rPr>
        <w:t>mismo día</w:t>
      </w:r>
      <w:r w:rsidRPr="004F5B97">
        <w:rPr>
          <w:rFonts w:ascii="ITC Avant Garde" w:hAnsi="ITC Avant Garde"/>
          <w:bCs/>
          <w:sz w:val="21"/>
          <w:szCs w:val="21"/>
        </w:rPr>
        <w:t xml:space="preserve">, mediante el cual </w:t>
      </w:r>
      <w:r w:rsidR="00CD391B" w:rsidRPr="004F5B97">
        <w:rPr>
          <w:rFonts w:ascii="ITC Avant Garde" w:hAnsi="ITC Avant Garde"/>
          <w:bCs/>
          <w:sz w:val="21"/>
          <w:szCs w:val="21"/>
        </w:rPr>
        <w:t>la</w:t>
      </w:r>
      <w:r w:rsidR="00CD391B" w:rsidRPr="00DA0A7D">
        <w:rPr>
          <w:rFonts w:ascii="ITC Avant Garde" w:hAnsi="ITC Avant Garde"/>
          <w:bCs/>
          <w:sz w:val="21"/>
          <w:szCs w:val="21"/>
        </w:rPr>
        <w:t xml:space="preserve"> Unidad de </w:t>
      </w:r>
      <w:r w:rsidR="00AF550E" w:rsidRPr="00DA0A7D">
        <w:rPr>
          <w:rFonts w:ascii="ITC Avant Garde" w:hAnsi="ITC Avant Garde"/>
          <w:bCs/>
          <w:sz w:val="21"/>
          <w:szCs w:val="21"/>
        </w:rPr>
        <w:t>Espectro Radioeléctrico</w:t>
      </w:r>
      <w:r w:rsidR="00CD391B" w:rsidRPr="00DA0A7D">
        <w:rPr>
          <w:rFonts w:ascii="ITC Avant Garde" w:hAnsi="ITC Avant Garde"/>
          <w:bCs/>
          <w:sz w:val="21"/>
          <w:szCs w:val="21"/>
        </w:rPr>
        <w:t xml:space="preserve"> (</w:t>
      </w:r>
      <w:r w:rsidR="0038566B" w:rsidRPr="00DA0A7D">
        <w:rPr>
          <w:rFonts w:ascii="ITC Avant Garde" w:hAnsi="ITC Avant Garde"/>
          <w:bCs/>
          <w:sz w:val="21"/>
          <w:szCs w:val="21"/>
        </w:rPr>
        <w:t>en lo sucesivo, la “</w:t>
      </w:r>
      <w:r w:rsidR="00CD391B" w:rsidRPr="00DA0A7D">
        <w:rPr>
          <w:rFonts w:ascii="ITC Avant Garde" w:hAnsi="ITC Avant Garde"/>
          <w:bCs/>
          <w:sz w:val="21"/>
          <w:szCs w:val="21"/>
        </w:rPr>
        <w:t>U</w:t>
      </w:r>
      <w:r w:rsidR="00AF550E" w:rsidRPr="00DA0A7D">
        <w:rPr>
          <w:rFonts w:ascii="ITC Avant Garde" w:hAnsi="ITC Avant Garde"/>
          <w:bCs/>
          <w:sz w:val="21"/>
          <w:szCs w:val="21"/>
        </w:rPr>
        <w:t>ER</w:t>
      </w:r>
      <w:r w:rsidR="0038566B" w:rsidRPr="00DA0A7D">
        <w:rPr>
          <w:rFonts w:ascii="ITC Avant Garde" w:hAnsi="ITC Avant Garde"/>
          <w:bCs/>
          <w:sz w:val="21"/>
          <w:szCs w:val="21"/>
        </w:rPr>
        <w:t>”</w:t>
      </w:r>
      <w:r w:rsidR="00CD391B" w:rsidRPr="00DA0A7D">
        <w:rPr>
          <w:rFonts w:ascii="ITC Avant Garde" w:hAnsi="ITC Avant Garde"/>
          <w:bCs/>
          <w:sz w:val="21"/>
          <w:szCs w:val="21"/>
        </w:rPr>
        <w:t xml:space="preserve">) remite el anteproyecto de </w:t>
      </w:r>
      <w:r w:rsidR="00CD391B" w:rsidRPr="00DA0A7D">
        <w:rPr>
          <w:rFonts w:ascii="ITC Avant Garde" w:hAnsi="ITC Avant Garde"/>
          <w:b/>
          <w:bCs/>
          <w:sz w:val="21"/>
          <w:szCs w:val="21"/>
        </w:rPr>
        <w:t>“</w:t>
      </w:r>
      <w:r w:rsidR="00AF550E" w:rsidRPr="00DA0A7D">
        <w:rPr>
          <w:rFonts w:ascii="ITC Avant Garde" w:hAnsi="ITC Avant Garde"/>
          <w:b/>
          <w:bCs/>
          <w:sz w:val="21"/>
          <w:szCs w:val="21"/>
        </w:rPr>
        <w:t xml:space="preserve">Lineamientos Generales sobre la </w:t>
      </w:r>
      <w:r w:rsidR="00E8544E">
        <w:rPr>
          <w:rFonts w:ascii="ITC Avant Garde" w:hAnsi="ITC Avant Garde"/>
          <w:b/>
          <w:bCs/>
          <w:sz w:val="21"/>
          <w:szCs w:val="21"/>
        </w:rPr>
        <w:t>A</w:t>
      </w:r>
      <w:r w:rsidR="00AF550E" w:rsidRPr="00DA0A7D">
        <w:rPr>
          <w:rFonts w:ascii="ITC Avant Garde" w:hAnsi="ITC Avant Garde"/>
          <w:b/>
          <w:bCs/>
          <w:sz w:val="21"/>
          <w:szCs w:val="21"/>
        </w:rPr>
        <w:t xml:space="preserve">utorización de </w:t>
      </w:r>
      <w:r w:rsidR="00E8544E">
        <w:rPr>
          <w:rFonts w:ascii="ITC Avant Garde" w:hAnsi="ITC Avant Garde"/>
          <w:b/>
          <w:bCs/>
          <w:sz w:val="21"/>
          <w:szCs w:val="21"/>
        </w:rPr>
        <w:t>A</w:t>
      </w:r>
      <w:r w:rsidR="00AF550E" w:rsidRPr="00DA0A7D">
        <w:rPr>
          <w:rFonts w:ascii="ITC Avant Garde" w:hAnsi="ITC Avant Garde"/>
          <w:b/>
          <w:bCs/>
          <w:sz w:val="21"/>
          <w:szCs w:val="21"/>
        </w:rPr>
        <w:t xml:space="preserve">rrendamiento de </w:t>
      </w:r>
      <w:r w:rsidR="00E8544E">
        <w:rPr>
          <w:rFonts w:ascii="ITC Avant Garde" w:hAnsi="ITC Avant Garde"/>
          <w:b/>
          <w:bCs/>
          <w:sz w:val="21"/>
          <w:szCs w:val="21"/>
        </w:rPr>
        <w:t>E</w:t>
      </w:r>
      <w:r w:rsidR="00AF550E" w:rsidRPr="00DA0A7D">
        <w:rPr>
          <w:rFonts w:ascii="ITC Avant Garde" w:hAnsi="ITC Avant Garde"/>
          <w:b/>
          <w:bCs/>
          <w:sz w:val="21"/>
          <w:szCs w:val="21"/>
        </w:rPr>
        <w:t xml:space="preserve">spectro </w:t>
      </w:r>
      <w:r w:rsidR="00E8544E">
        <w:rPr>
          <w:rFonts w:ascii="ITC Avant Garde" w:hAnsi="ITC Avant Garde"/>
          <w:b/>
          <w:bCs/>
          <w:sz w:val="21"/>
          <w:szCs w:val="21"/>
        </w:rPr>
        <w:t>R</w:t>
      </w:r>
      <w:r w:rsidR="00AF550E" w:rsidRPr="00DA0A7D">
        <w:rPr>
          <w:rFonts w:ascii="ITC Avant Garde" w:hAnsi="ITC Avant Garde"/>
          <w:b/>
          <w:bCs/>
          <w:sz w:val="21"/>
          <w:szCs w:val="21"/>
        </w:rPr>
        <w:t>adioeléctrico</w:t>
      </w:r>
      <w:r w:rsidR="00CD391B" w:rsidRPr="00DA0A7D">
        <w:rPr>
          <w:rFonts w:ascii="ITC Avant Garde" w:hAnsi="ITC Avant Garde"/>
          <w:b/>
          <w:bCs/>
          <w:sz w:val="21"/>
          <w:szCs w:val="21"/>
        </w:rPr>
        <w:t>”</w:t>
      </w:r>
      <w:r w:rsidR="00CD391B" w:rsidRPr="00DA0A7D">
        <w:rPr>
          <w:rFonts w:ascii="ITC Avant Garde" w:hAnsi="ITC Avant Garde"/>
          <w:bCs/>
          <w:sz w:val="21"/>
          <w:szCs w:val="21"/>
        </w:rPr>
        <w:t xml:space="preserve"> (</w:t>
      </w:r>
      <w:r w:rsidR="0065774F" w:rsidRPr="00DA0A7D">
        <w:rPr>
          <w:rFonts w:ascii="ITC Avant Garde" w:hAnsi="ITC Avant Garde"/>
          <w:bCs/>
          <w:sz w:val="21"/>
          <w:szCs w:val="21"/>
        </w:rPr>
        <w:t xml:space="preserve">en lo sucesivo, </w:t>
      </w:r>
      <w:r w:rsidR="00500305" w:rsidRPr="00DA0A7D">
        <w:rPr>
          <w:rFonts w:ascii="ITC Avant Garde" w:hAnsi="ITC Avant Garde"/>
          <w:bCs/>
          <w:sz w:val="21"/>
          <w:szCs w:val="21"/>
        </w:rPr>
        <w:t xml:space="preserve">el </w:t>
      </w:r>
      <w:r w:rsidR="0065774F" w:rsidRPr="00DA0A7D">
        <w:rPr>
          <w:rFonts w:ascii="ITC Avant Garde" w:hAnsi="ITC Avant Garde"/>
          <w:bCs/>
          <w:sz w:val="21"/>
          <w:szCs w:val="21"/>
        </w:rPr>
        <w:t>“</w:t>
      </w:r>
      <w:r w:rsidR="00CD391B" w:rsidRPr="00DA0A7D">
        <w:rPr>
          <w:rFonts w:ascii="ITC Avant Garde" w:hAnsi="ITC Avant Garde"/>
          <w:bCs/>
          <w:sz w:val="21"/>
          <w:szCs w:val="21"/>
        </w:rPr>
        <w:t>Anteproyecto</w:t>
      </w:r>
      <w:r w:rsidR="0065774F" w:rsidRPr="00DA0A7D">
        <w:rPr>
          <w:rFonts w:ascii="ITC Avant Garde" w:hAnsi="ITC Avant Garde"/>
          <w:bCs/>
          <w:sz w:val="21"/>
          <w:szCs w:val="21"/>
        </w:rPr>
        <w:t>”</w:t>
      </w:r>
      <w:r w:rsidR="00CD391B" w:rsidRPr="00DA0A7D">
        <w:rPr>
          <w:rFonts w:ascii="ITC Avant Garde" w:hAnsi="ITC Avant Garde"/>
          <w:bCs/>
          <w:sz w:val="21"/>
          <w:szCs w:val="21"/>
        </w:rPr>
        <w:t>)</w:t>
      </w:r>
      <w:r w:rsidR="00500305" w:rsidRPr="00DA0A7D">
        <w:rPr>
          <w:rFonts w:ascii="ITC Avant Garde" w:hAnsi="ITC Avant Garde"/>
          <w:bCs/>
          <w:sz w:val="21"/>
          <w:szCs w:val="21"/>
        </w:rPr>
        <w:t xml:space="preserve">, acompañado de </w:t>
      </w:r>
      <w:r w:rsidR="0038566B" w:rsidRPr="00DA0A7D">
        <w:rPr>
          <w:rFonts w:ascii="ITC Avant Garde" w:hAnsi="ITC Avant Garde"/>
          <w:bCs/>
          <w:sz w:val="21"/>
          <w:szCs w:val="21"/>
        </w:rPr>
        <w:t xml:space="preserve">un </w:t>
      </w:r>
      <w:r w:rsidR="00CD391B" w:rsidRPr="00DA0A7D">
        <w:rPr>
          <w:rFonts w:ascii="ITC Avant Garde" w:hAnsi="ITC Avant Garde"/>
          <w:bCs/>
          <w:sz w:val="21"/>
          <w:szCs w:val="21"/>
        </w:rPr>
        <w:t>Análisis de Impacto Regulatorio (</w:t>
      </w:r>
      <w:r w:rsidR="00DA0A7D">
        <w:rPr>
          <w:rFonts w:ascii="ITC Avant Garde" w:hAnsi="ITC Avant Garde"/>
          <w:bCs/>
          <w:sz w:val="21"/>
          <w:szCs w:val="21"/>
        </w:rPr>
        <w:t>en lo sucesivo, el “</w:t>
      </w:r>
      <w:r w:rsidR="00CD391B" w:rsidRPr="00DA0A7D">
        <w:rPr>
          <w:rFonts w:ascii="ITC Avant Garde" w:hAnsi="ITC Avant Garde"/>
          <w:bCs/>
          <w:sz w:val="21"/>
          <w:szCs w:val="21"/>
        </w:rPr>
        <w:t>AIR</w:t>
      </w:r>
      <w:r w:rsidR="00DA0A7D">
        <w:rPr>
          <w:rFonts w:ascii="ITC Avant Garde" w:hAnsi="ITC Avant Garde"/>
          <w:bCs/>
          <w:sz w:val="21"/>
          <w:szCs w:val="21"/>
        </w:rPr>
        <w:t>”</w:t>
      </w:r>
      <w:r w:rsidR="00CD391B" w:rsidRPr="00DA0A7D">
        <w:rPr>
          <w:rFonts w:ascii="ITC Avant Garde" w:hAnsi="ITC Avant Garde"/>
          <w:bCs/>
          <w:sz w:val="21"/>
          <w:szCs w:val="21"/>
        </w:rPr>
        <w:t>)</w:t>
      </w:r>
      <w:r w:rsidR="00DA0A7D">
        <w:rPr>
          <w:rFonts w:ascii="ITC Avant Garde" w:hAnsi="ITC Avant Garde"/>
          <w:bCs/>
          <w:sz w:val="21"/>
          <w:szCs w:val="21"/>
        </w:rPr>
        <w:t xml:space="preserve"> a efecto</w:t>
      </w:r>
      <w:r w:rsidR="0038566B" w:rsidRPr="00DA0A7D">
        <w:rPr>
          <w:rFonts w:ascii="ITC Avant Garde" w:hAnsi="ITC Avant Garde"/>
          <w:bCs/>
          <w:sz w:val="21"/>
          <w:szCs w:val="21"/>
        </w:rPr>
        <w:t xml:space="preserve"> de </w:t>
      </w:r>
      <w:r w:rsidR="00E8544E">
        <w:rPr>
          <w:rFonts w:ascii="ITC Avant Garde" w:hAnsi="ITC Avant Garde"/>
          <w:bCs/>
          <w:sz w:val="21"/>
          <w:szCs w:val="21"/>
        </w:rPr>
        <w:t xml:space="preserve">dar cumplimiento a </w:t>
      </w:r>
      <w:r w:rsidR="0038566B" w:rsidRPr="00DA0A7D">
        <w:rPr>
          <w:rFonts w:ascii="ITC Avant Garde" w:hAnsi="ITC Avant Garde"/>
          <w:bCs/>
          <w:sz w:val="21"/>
          <w:szCs w:val="21"/>
        </w:rPr>
        <w:t>lo señalado en el artículo 51, segundo párrafo, de la Ley Federal de Telecomunicaciones y Radiodifusión (en lo sucesivo, la “LFTR”)</w:t>
      </w:r>
      <w:r w:rsidR="00CD391B" w:rsidRPr="00DA0A7D">
        <w:rPr>
          <w:rFonts w:ascii="ITC Avant Garde" w:hAnsi="ITC Avant Garde"/>
          <w:bCs/>
          <w:sz w:val="21"/>
          <w:szCs w:val="21"/>
        </w:rPr>
        <w:t>.</w:t>
      </w:r>
    </w:p>
    <w:p w:rsidR="00BF364A" w:rsidRPr="00DA0A7D" w:rsidRDefault="00BF364A" w:rsidP="00BF364A">
      <w:pPr>
        <w:pStyle w:val="Default"/>
        <w:spacing w:line="276" w:lineRule="auto"/>
        <w:jc w:val="both"/>
        <w:rPr>
          <w:rFonts w:ascii="ITC Avant Garde" w:hAnsi="ITC Avant Garde"/>
          <w:bCs/>
          <w:sz w:val="21"/>
          <w:szCs w:val="21"/>
        </w:rPr>
      </w:pPr>
    </w:p>
    <w:p w:rsidR="00DD32EB" w:rsidRDefault="00BF5EFD" w:rsidP="00BF364A">
      <w:pPr>
        <w:pStyle w:val="Default"/>
        <w:spacing w:line="276" w:lineRule="auto"/>
        <w:jc w:val="both"/>
        <w:rPr>
          <w:rFonts w:ascii="ITC Avant Garde" w:hAnsi="ITC Avant Garde"/>
          <w:bCs/>
          <w:sz w:val="21"/>
          <w:szCs w:val="21"/>
        </w:rPr>
      </w:pPr>
      <w:r w:rsidRPr="00DA0A7D">
        <w:rPr>
          <w:rFonts w:ascii="ITC Avant Garde" w:hAnsi="ITC Avant Garde"/>
          <w:bCs/>
          <w:sz w:val="21"/>
          <w:szCs w:val="21"/>
        </w:rPr>
        <w:t xml:space="preserve">Al respecto, </w:t>
      </w:r>
      <w:r w:rsidR="00DD32EB" w:rsidRPr="00DA0A7D">
        <w:rPr>
          <w:rFonts w:ascii="ITC Avant Garde" w:hAnsi="ITC Avant Garde"/>
          <w:bCs/>
          <w:sz w:val="21"/>
          <w:szCs w:val="21"/>
        </w:rPr>
        <w:t xml:space="preserve">con fundamento en los artículos 51 de la </w:t>
      </w:r>
      <w:r w:rsidR="0038566B" w:rsidRPr="00DA0A7D">
        <w:rPr>
          <w:rFonts w:ascii="ITC Avant Garde" w:hAnsi="ITC Avant Garde"/>
          <w:bCs/>
          <w:sz w:val="21"/>
          <w:szCs w:val="21"/>
        </w:rPr>
        <w:t>LFTR</w:t>
      </w:r>
      <w:r w:rsidR="00BF364A">
        <w:rPr>
          <w:rFonts w:ascii="ITC Avant Garde" w:hAnsi="ITC Avant Garde"/>
          <w:bCs/>
          <w:sz w:val="21"/>
          <w:szCs w:val="21"/>
        </w:rPr>
        <w:t>,</w:t>
      </w:r>
      <w:r w:rsidR="00DD32EB" w:rsidRPr="00DA0A7D">
        <w:rPr>
          <w:rFonts w:ascii="ITC Avant Garde" w:hAnsi="ITC Avant Garde"/>
          <w:bCs/>
          <w:sz w:val="21"/>
          <w:szCs w:val="21"/>
        </w:rPr>
        <w:t xml:space="preserve"> </w:t>
      </w:r>
      <w:r w:rsidR="004F5B97">
        <w:rPr>
          <w:rFonts w:ascii="ITC Avant Garde" w:hAnsi="ITC Avant Garde"/>
          <w:bCs/>
          <w:sz w:val="21"/>
          <w:szCs w:val="21"/>
        </w:rPr>
        <w:t xml:space="preserve">así como </w:t>
      </w:r>
      <w:r w:rsidR="00DD32EB" w:rsidRPr="00DA0A7D">
        <w:rPr>
          <w:rFonts w:ascii="ITC Avant Garde" w:hAnsi="ITC Avant Garde"/>
          <w:bCs/>
          <w:sz w:val="21"/>
          <w:szCs w:val="21"/>
        </w:rPr>
        <w:t>4, fracción VIII, inciso iv)</w:t>
      </w:r>
      <w:r w:rsidR="004F5B97">
        <w:rPr>
          <w:rFonts w:ascii="ITC Avant Garde" w:hAnsi="ITC Avant Garde"/>
          <w:bCs/>
          <w:sz w:val="21"/>
          <w:szCs w:val="21"/>
        </w:rPr>
        <w:t>,</w:t>
      </w:r>
      <w:r w:rsidR="00DD32EB" w:rsidRPr="00DA0A7D">
        <w:rPr>
          <w:rFonts w:ascii="ITC Avant Garde" w:hAnsi="ITC Avant Garde"/>
          <w:bCs/>
          <w:sz w:val="21"/>
          <w:szCs w:val="21"/>
        </w:rPr>
        <w:t xml:space="preserve"> y 75, fracción II</w:t>
      </w:r>
      <w:r w:rsidR="004F5B97">
        <w:rPr>
          <w:rFonts w:ascii="ITC Avant Garde" w:hAnsi="ITC Avant Garde"/>
          <w:bCs/>
          <w:sz w:val="21"/>
          <w:szCs w:val="21"/>
        </w:rPr>
        <w:t>,</w:t>
      </w:r>
      <w:r w:rsidR="00DD32EB" w:rsidRPr="00DA0A7D">
        <w:rPr>
          <w:rFonts w:ascii="ITC Avant Garde" w:hAnsi="ITC Avant Garde"/>
          <w:bCs/>
          <w:sz w:val="21"/>
          <w:szCs w:val="21"/>
        </w:rPr>
        <w:t xml:space="preserve"> del Estatuto Orgánico del Instituto Federal de Telecomunicaciones, la CGMR emite la presente </w:t>
      </w:r>
      <w:r w:rsidR="00DD32EB" w:rsidRPr="00DA0A7D">
        <w:rPr>
          <w:rFonts w:ascii="ITC Avant Garde" w:hAnsi="ITC Avant Garde"/>
          <w:b/>
          <w:bCs/>
          <w:sz w:val="21"/>
          <w:szCs w:val="21"/>
        </w:rPr>
        <w:t>opinión no vinculante</w:t>
      </w:r>
      <w:r w:rsidR="009E0C72" w:rsidRPr="00DA0A7D">
        <w:rPr>
          <w:rFonts w:ascii="ITC Avant Garde" w:hAnsi="ITC Avant Garde"/>
          <w:bCs/>
          <w:sz w:val="21"/>
          <w:szCs w:val="21"/>
        </w:rPr>
        <w:t xml:space="preserve"> sobre el A</w:t>
      </w:r>
      <w:r w:rsidR="00DD32EB" w:rsidRPr="00DA0A7D">
        <w:rPr>
          <w:rFonts w:ascii="ITC Avant Garde" w:hAnsi="ITC Avant Garde"/>
          <w:bCs/>
          <w:sz w:val="21"/>
          <w:szCs w:val="21"/>
        </w:rPr>
        <w:t>IR del Anteproyecto:</w:t>
      </w:r>
    </w:p>
    <w:p w:rsidR="00BF364A" w:rsidRPr="00DA0A7D" w:rsidRDefault="00BF364A" w:rsidP="00BF364A">
      <w:pPr>
        <w:pStyle w:val="Default"/>
        <w:spacing w:line="276" w:lineRule="auto"/>
        <w:jc w:val="both"/>
        <w:rPr>
          <w:rFonts w:ascii="ITC Avant Garde" w:hAnsi="ITC Avant Garde"/>
          <w:bCs/>
          <w:sz w:val="21"/>
          <w:szCs w:val="21"/>
        </w:rPr>
      </w:pPr>
    </w:p>
    <w:p w:rsidR="00DA0A7D" w:rsidRDefault="00C757F2" w:rsidP="00BF364A">
      <w:pPr>
        <w:pStyle w:val="Default"/>
        <w:numPr>
          <w:ilvl w:val="0"/>
          <w:numId w:val="3"/>
        </w:numPr>
        <w:spacing w:line="276" w:lineRule="auto"/>
        <w:jc w:val="both"/>
        <w:rPr>
          <w:rFonts w:ascii="ITC Avant Garde" w:hAnsi="ITC Avant Garde"/>
          <w:bCs/>
          <w:sz w:val="21"/>
          <w:szCs w:val="21"/>
        </w:rPr>
      </w:pPr>
      <w:r w:rsidRPr="00DA0A7D">
        <w:rPr>
          <w:rFonts w:ascii="ITC Avant Garde" w:hAnsi="ITC Avant Garde"/>
          <w:bCs/>
          <w:sz w:val="21"/>
          <w:szCs w:val="21"/>
        </w:rPr>
        <w:t xml:space="preserve">En el numeral 2 del AIR, relacionado con la problemática o situación que da origen al anteproyecto de regulación, sería conveniente que la </w:t>
      </w:r>
      <w:r w:rsidR="00424B63" w:rsidRPr="00DA0A7D">
        <w:rPr>
          <w:rFonts w:ascii="ITC Avant Garde" w:hAnsi="ITC Avant Garde"/>
          <w:bCs/>
          <w:sz w:val="21"/>
          <w:szCs w:val="21"/>
        </w:rPr>
        <w:t>UER</w:t>
      </w:r>
      <w:r w:rsidRPr="00DA0A7D">
        <w:rPr>
          <w:rFonts w:ascii="ITC Avant Garde" w:hAnsi="ITC Avant Garde"/>
          <w:bCs/>
          <w:sz w:val="21"/>
          <w:szCs w:val="21"/>
        </w:rPr>
        <w:t>, de manera adicional a lo ahí expuesto, precise los elementos, la evidencia empírica y la situación en particular que permita vislumbrar a todos los interesado</w:t>
      </w:r>
      <w:r w:rsidR="003F4A59" w:rsidRPr="00DA0A7D">
        <w:rPr>
          <w:rFonts w:ascii="ITC Avant Garde" w:hAnsi="ITC Avant Garde"/>
          <w:bCs/>
          <w:sz w:val="21"/>
          <w:szCs w:val="21"/>
        </w:rPr>
        <w:t>s</w:t>
      </w:r>
      <w:r w:rsidRPr="00DA0A7D">
        <w:rPr>
          <w:rFonts w:ascii="ITC Avant Garde" w:hAnsi="ITC Avant Garde"/>
          <w:bCs/>
          <w:sz w:val="21"/>
          <w:szCs w:val="21"/>
        </w:rPr>
        <w:t xml:space="preserve"> </w:t>
      </w:r>
      <w:r w:rsidR="00DA0A7D">
        <w:rPr>
          <w:rFonts w:ascii="ITC Avant Garde" w:hAnsi="ITC Avant Garde"/>
          <w:bCs/>
          <w:sz w:val="21"/>
          <w:szCs w:val="21"/>
        </w:rPr>
        <w:t>la</w:t>
      </w:r>
      <w:r w:rsidRPr="00DA0A7D">
        <w:rPr>
          <w:rFonts w:ascii="ITC Avant Garde" w:hAnsi="ITC Avant Garde"/>
          <w:bCs/>
          <w:sz w:val="21"/>
          <w:szCs w:val="21"/>
        </w:rPr>
        <w:t xml:space="preserve"> problemática</w:t>
      </w:r>
      <w:r w:rsidR="00DA0A7D">
        <w:rPr>
          <w:rFonts w:ascii="ITC Avant Garde" w:hAnsi="ITC Avant Garde"/>
          <w:bCs/>
          <w:sz w:val="21"/>
          <w:szCs w:val="21"/>
        </w:rPr>
        <w:t xml:space="preserve"> o situación</w:t>
      </w:r>
      <w:r w:rsidR="00BF364A">
        <w:rPr>
          <w:rFonts w:ascii="ITC Avant Garde" w:hAnsi="ITC Avant Garde"/>
          <w:bCs/>
          <w:sz w:val="21"/>
          <w:szCs w:val="21"/>
        </w:rPr>
        <w:t xml:space="preserve"> que da origen al Anteproyecto, es decir, cuá</w:t>
      </w:r>
      <w:r w:rsidR="00DA0A7D">
        <w:rPr>
          <w:rFonts w:ascii="ITC Avant Garde" w:hAnsi="ITC Avant Garde"/>
          <w:bCs/>
          <w:sz w:val="21"/>
          <w:szCs w:val="21"/>
        </w:rPr>
        <w:t xml:space="preserve">l es </w:t>
      </w:r>
      <w:r w:rsidRPr="00DA0A7D">
        <w:rPr>
          <w:rFonts w:ascii="ITC Avant Garde" w:hAnsi="ITC Avant Garde"/>
          <w:bCs/>
          <w:sz w:val="21"/>
          <w:szCs w:val="21"/>
        </w:rPr>
        <w:t xml:space="preserve">la motivación </w:t>
      </w:r>
      <w:r w:rsidR="00DA0A7D">
        <w:rPr>
          <w:rFonts w:ascii="ITC Avant Garde" w:hAnsi="ITC Avant Garde"/>
          <w:bCs/>
          <w:sz w:val="21"/>
          <w:szCs w:val="21"/>
        </w:rPr>
        <w:t xml:space="preserve">–de manera adicional a lo señalado por el propio artículo 104 de la LFTR- </w:t>
      </w:r>
      <w:r w:rsidRPr="00DA0A7D">
        <w:rPr>
          <w:rFonts w:ascii="ITC Avant Garde" w:hAnsi="ITC Avant Garde"/>
          <w:bCs/>
          <w:sz w:val="21"/>
          <w:szCs w:val="21"/>
        </w:rPr>
        <w:t xml:space="preserve">por la cual el Instituto </w:t>
      </w:r>
      <w:r w:rsidR="00DA0A7D">
        <w:rPr>
          <w:rFonts w:ascii="ITC Avant Garde" w:hAnsi="ITC Avant Garde"/>
          <w:bCs/>
          <w:sz w:val="21"/>
          <w:szCs w:val="21"/>
        </w:rPr>
        <w:t>ha decidido expedir</w:t>
      </w:r>
      <w:r w:rsidRPr="00DA0A7D">
        <w:rPr>
          <w:rFonts w:ascii="ITC Avant Garde" w:hAnsi="ITC Avant Garde"/>
          <w:bCs/>
          <w:sz w:val="21"/>
          <w:szCs w:val="21"/>
        </w:rPr>
        <w:t xml:space="preserve"> una regulación con las características y contenidos propuestos</w:t>
      </w:r>
      <w:r w:rsidR="00DA0A7D">
        <w:rPr>
          <w:rFonts w:ascii="ITC Avant Garde" w:hAnsi="ITC Avant Garde"/>
          <w:bCs/>
          <w:sz w:val="21"/>
          <w:szCs w:val="21"/>
        </w:rPr>
        <w:t>.</w:t>
      </w:r>
    </w:p>
    <w:p w:rsidR="00BF364A" w:rsidRDefault="00BF364A" w:rsidP="00BF364A">
      <w:pPr>
        <w:pStyle w:val="Default"/>
        <w:spacing w:line="276" w:lineRule="auto"/>
        <w:ind w:left="360"/>
        <w:jc w:val="both"/>
        <w:rPr>
          <w:rFonts w:ascii="ITC Avant Garde" w:hAnsi="ITC Avant Garde"/>
          <w:bCs/>
          <w:sz w:val="21"/>
          <w:szCs w:val="21"/>
        </w:rPr>
      </w:pPr>
    </w:p>
    <w:p w:rsidR="00E31308" w:rsidRDefault="00DA0A7D" w:rsidP="004F5B97">
      <w:pPr>
        <w:pStyle w:val="Default"/>
        <w:spacing w:line="276" w:lineRule="auto"/>
        <w:ind w:left="360"/>
        <w:jc w:val="both"/>
        <w:rPr>
          <w:rFonts w:ascii="ITC Avant Garde" w:hAnsi="ITC Avant Garde"/>
          <w:bCs/>
          <w:sz w:val="21"/>
          <w:szCs w:val="21"/>
        </w:rPr>
      </w:pPr>
      <w:r>
        <w:rPr>
          <w:rFonts w:ascii="ITC Avant Garde" w:hAnsi="ITC Avant Garde"/>
          <w:bCs/>
          <w:sz w:val="21"/>
          <w:szCs w:val="21"/>
        </w:rPr>
        <w:t>Inclusive</w:t>
      </w:r>
      <w:r w:rsidR="00C757F2" w:rsidRPr="00DA0A7D">
        <w:rPr>
          <w:rFonts w:ascii="ITC Avant Garde" w:hAnsi="ITC Avant Garde"/>
          <w:bCs/>
          <w:sz w:val="21"/>
          <w:szCs w:val="21"/>
        </w:rPr>
        <w:t xml:space="preserve">, </w:t>
      </w:r>
      <w:r>
        <w:rPr>
          <w:rFonts w:ascii="ITC Avant Garde" w:hAnsi="ITC Avant Garde"/>
          <w:bCs/>
          <w:sz w:val="21"/>
          <w:szCs w:val="21"/>
        </w:rPr>
        <w:t xml:space="preserve">la UER puede ahondar </w:t>
      </w:r>
      <w:r w:rsidR="005266E1">
        <w:rPr>
          <w:rFonts w:ascii="ITC Avant Garde" w:hAnsi="ITC Avant Garde"/>
          <w:bCs/>
          <w:sz w:val="21"/>
          <w:szCs w:val="21"/>
        </w:rPr>
        <w:t>aún más</w:t>
      </w:r>
      <w:r w:rsidR="00BF364A">
        <w:rPr>
          <w:rFonts w:ascii="ITC Avant Garde" w:hAnsi="ITC Avant Garde"/>
          <w:bCs/>
          <w:sz w:val="21"/>
          <w:szCs w:val="21"/>
        </w:rPr>
        <w:t xml:space="preserve"> y</w:t>
      </w:r>
      <w:r>
        <w:rPr>
          <w:rFonts w:ascii="ITC Avant Garde" w:hAnsi="ITC Avant Garde"/>
          <w:bCs/>
          <w:sz w:val="21"/>
          <w:szCs w:val="21"/>
        </w:rPr>
        <w:t xml:space="preserve"> proporcionar en el AIR mayor información que describa la</w:t>
      </w:r>
      <w:r w:rsidR="00C757F2" w:rsidRPr="00DA0A7D">
        <w:rPr>
          <w:rFonts w:ascii="ITC Avant Garde" w:hAnsi="ITC Avant Garde"/>
          <w:bCs/>
          <w:sz w:val="21"/>
          <w:szCs w:val="21"/>
        </w:rPr>
        <w:t xml:space="preserve"> situación </w:t>
      </w:r>
      <w:r>
        <w:rPr>
          <w:rFonts w:ascii="ITC Avant Garde" w:hAnsi="ITC Avant Garde"/>
          <w:bCs/>
          <w:sz w:val="21"/>
          <w:szCs w:val="21"/>
        </w:rPr>
        <w:t xml:space="preserve">que </w:t>
      </w:r>
      <w:r w:rsidR="00C757F2" w:rsidRPr="00DA0A7D">
        <w:rPr>
          <w:rFonts w:ascii="ITC Avant Garde" w:hAnsi="ITC Avant Garde"/>
          <w:bCs/>
          <w:sz w:val="21"/>
          <w:szCs w:val="21"/>
        </w:rPr>
        <w:t>pretende eliminar o atenuar que se considere nociva o no deseable para el desarrollo ef</w:t>
      </w:r>
      <w:r w:rsidR="00022123" w:rsidRPr="00DA0A7D">
        <w:rPr>
          <w:rFonts w:ascii="ITC Avant Garde" w:hAnsi="ITC Avant Garde"/>
          <w:bCs/>
          <w:sz w:val="21"/>
          <w:szCs w:val="21"/>
        </w:rPr>
        <w:t xml:space="preserve">iciente de </w:t>
      </w:r>
      <w:r w:rsidR="00BF364A">
        <w:rPr>
          <w:rFonts w:ascii="ITC Avant Garde" w:hAnsi="ITC Avant Garde"/>
          <w:bCs/>
          <w:sz w:val="21"/>
          <w:szCs w:val="21"/>
        </w:rPr>
        <w:t>los sectores de</w:t>
      </w:r>
      <w:r w:rsidR="00022123" w:rsidRPr="00DA0A7D">
        <w:rPr>
          <w:rFonts w:ascii="ITC Avant Garde" w:hAnsi="ITC Avant Garde"/>
          <w:bCs/>
          <w:sz w:val="21"/>
          <w:szCs w:val="21"/>
        </w:rPr>
        <w:t xml:space="preserve"> telecomunicaciones</w:t>
      </w:r>
      <w:r>
        <w:rPr>
          <w:rFonts w:ascii="ITC Avant Garde" w:hAnsi="ITC Avant Garde"/>
          <w:bCs/>
          <w:sz w:val="21"/>
          <w:szCs w:val="21"/>
        </w:rPr>
        <w:t xml:space="preserve"> y radiodifusión, proporcionando para ello, datos </w:t>
      </w:r>
      <w:r w:rsidR="005266E1">
        <w:rPr>
          <w:rFonts w:ascii="ITC Avant Garde" w:hAnsi="ITC Avant Garde"/>
          <w:bCs/>
          <w:sz w:val="21"/>
          <w:szCs w:val="21"/>
        </w:rPr>
        <w:t>e</w:t>
      </w:r>
      <w:r>
        <w:rPr>
          <w:rFonts w:ascii="ITC Avant Garde" w:hAnsi="ITC Avant Garde"/>
          <w:bCs/>
          <w:sz w:val="21"/>
          <w:szCs w:val="21"/>
        </w:rPr>
        <w:t xml:space="preserve"> información </w:t>
      </w:r>
      <w:r w:rsidR="005266E1">
        <w:rPr>
          <w:rFonts w:ascii="ITC Avant Garde" w:hAnsi="ITC Avant Garde"/>
          <w:bCs/>
          <w:sz w:val="21"/>
          <w:szCs w:val="21"/>
        </w:rPr>
        <w:t xml:space="preserve">que permita conocer las </w:t>
      </w:r>
      <w:r w:rsidR="00424B63" w:rsidRPr="00DA0A7D">
        <w:rPr>
          <w:rFonts w:ascii="ITC Avant Garde" w:hAnsi="ITC Avant Garde"/>
          <w:bCs/>
          <w:sz w:val="21"/>
          <w:szCs w:val="21"/>
        </w:rPr>
        <w:t>posibles ineficiencias en la asignación de espectro</w:t>
      </w:r>
      <w:r>
        <w:rPr>
          <w:rFonts w:ascii="ITC Avant Garde" w:hAnsi="ITC Avant Garde"/>
          <w:bCs/>
          <w:sz w:val="21"/>
          <w:szCs w:val="21"/>
        </w:rPr>
        <w:t xml:space="preserve"> radioeléctrico</w:t>
      </w:r>
      <w:r w:rsidR="00BF364A">
        <w:rPr>
          <w:rFonts w:ascii="ITC Avant Garde" w:hAnsi="ITC Avant Garde"/>
          <w:bCs/>
          <w:sz w:val="21"/>
          <w:szCs w:val="21"/>
        </w:rPr>
        <w:t xml:space="preserve"> que se puede</w:t>
      </w:r>
      <w:r w:rsidR="005266E1">
        <w:rPr>
          <w:rFonts w:ascii="ITC Avant Garde" w:hAnsi="ITC Avant Garde"/>
          <w:bCs/>
          <w:sz w:val="21"/>
          <w:szCs w:val="21"/>
        </w:rPr>
        <w:t>n presentar,</w:t>
      </w:r>
      <w:r>
        <w:rPr>
          <w:rFonts w:ascii="ITC Avant Garde" w:hAnsi="ITC Avant Garde"/>
          <w:bCs/>
          <w:sz w:val="21"/>
          <w:szCs w:val="21"/>
        </w:rPr>
        <w:t xml:space="preserve"> </w:t>
      </w:r>
      <w:r w:rsidR="004F5B97">
        <w:rPr>
          <w:rFonts w:ascii="ITC Avant Garde" w:hAnsi="ITC Avant Garde"/>
          <w:bCs/>
          <w:sz w:val="21"/>
          <w:szCs w:val="21"/>
        </w:rPr>
        <w:t>como por ejemplo</w:t>
      </w:r>
      <w:r w:rsidR="00C757F2" w:rsidRPr="00DA0A7D">
        <w:rPr>
          <w:rFonts w:ascii="ITC Avant Garde" w:hAnsi="ITC Avant Garde"/>
          <w:bCs/>
          <w:sz w:val="21"/>
          <w:szCs w:val="21"/>
        </w:rPr>
        <w:t>,</w:t>
      </w:r>
      <w:r w:rsidR="00424B63" w:rsidRPr="00DA0A7D">
        <w:rPr>
          <w:rFonts w:ascii="ITC Avant Garde" w:hAnsi="ITC Avant Garde"/>
          <w:bCs/>
          <w:sz w:val="21"/>
          <w:szCs w:val="21"/>
        </w:rPr>
        <w:t xml:space="preserve"> </w:t>
      </w:r>
      <w:r w:rsidR="004F5B97">
        <w:rPr>
          <w:rFonts w:ascii="ITC Avant Garde" w:hAnsi="ITC Avant Garde"/>
          <w:bCs/>
          <w:sz w:val="21"/>
          <w:szCs w:val="21"/>
        </w:rPr>
        <w:t>mencionar</w:t>
      </w:r>
      <w:r>
        <w:rPr>
          <w:rFonts w:ascii="ITC Avant Garde" w:hAnsi="ITC Avant Garde"/>
          <w:bCs/>
          <w:sz w:val="21"/>
          <w:szCs w:val="21"/>
        </w:rPr>
        <w:t xml:space="preserve"> los porcentajes o grados de</w:t>
      </w:r>
      <w:r w:rsidR="00424B63" w:rsidRPr="00DA0A7D">
        <w:rPr>
          <w:rFonts w:ascii="ITC Avant Garde" w:hAnsi="ITC Avant Garde"/>
          <w:bCs/>
          <w:sz w:val="21"/>
          <w:szCs w:val="21"/>
        </w:rPr>
        <w:t xml:space="preserve"> ociosidad</w:t>
      </w:r>
      <w:r w:rsidR="00E8544E">
        <w:rPr>
          <w:rFonts w:ascii="ITC Avant Garde" w:hAnsi="ITC Avant Garde"/>
          <w:bCs/>
          <w:sz w:val="21"/>
          <w:szCs w:val="21"/>
        </w:rPr>
        <w:t xml:space="preserve"> que se registran de</w:t>
      </w:r>
      <w:r w:rsidR="005266E1">
        <w:rPr>
          <w:rFonts w:ascii="ITC Avant Garde" w:hAnsi="ITC Avant Garde"/>
          <w:bCs/>
          <w:sz w:val="21"/>
          <w:szCs w:val="21"/>
        </w:rPr>
        <w:t xml:space="preserve"> dicho bien público</w:t>
      </w:r>
      <w:r w:rsidR="00424B63" w:rsidRPr="00DA0A7D">
        <w:rPr>
          <w:rFonts w:ascii="ITC Avant Garde" w:hAnsi="ITC Avant Garde"/>
          <w:bCs/>
          <w:sz w:val="21"/>
          <w:szCs w:val="21"/>
        </w:rPr>
        <w:t>,</w:t>
      </w:r>
      <w:r w:rsidR="005266E1">
        <w:rPr>
          <w:rFonts w:ascii="ITC Avant Garde" w:hAnsi="ITC Avant Garde"/>
          <w:bCs/>
          <w:sz w:val="21"/>
          <w:szCs w:val="21"/>
        </w:rPr>
        <w:t xml:space="preserve"> entre otros</w:t>
      </w:r>
      <w:r w:rsidR="00C757F2" w:rsidRPr="00DA0A7D">
        <w:rPr>
          <w:rFonts w:ascii="ITC Avant Garde" w:hAnsi="ITC Avant Garde"/>
          <w:bCs/>
          <w:sz w:val="21"/>
          <w:szCs w:val="21"/>
        </w:rPr>
        <w:t>.</w:t>
      </w:r>
    </w:p>
    <w:p w:rsidR="00E021F6" w:rsidRDefault="00E021F6" w:rsidP="00E021F6">
      <w:pPr>
        <w:pStyle w:val="Default"/>
        <w:numPr>
          <w:ilvl w:val="0"/>
          <w:numId w:val="3"/>
        </w:numPr>
        <w:spacing w:line="276" w:lineRule="auto"/>
        <w:jc w:val="both"/>
        <w:rPr>
          <w:rFonts w:ascii="ITC Avant Garde" w:hAnsi="ITC Avant Garde"/>
          <w:bCs/>
          <w:sz w:val="21"/>
          <w:szCs w:val="21"/>
        </w:rPr>
      </w:pPr>
      <w:r>
        <w:rPr>
          <w:rFonts w:ascii="ITC Avant Garde" w:hAnsi="ITC Avant Garde"/>
          <w:bCs/>
          <w:sz w:val="21"/>
          <w:szCs w:val="21"/>
        </w:rPr>
        <w:lastRenderedPageBreak/>
        <w:t>De acuerdo con l</w:t>
      </w:r>
      <w:r w:rsidRPr="00E021F6">
        <w:rPr>
          <w:rFonts w:ascii="ITC Avant Garde" w:hAnsi="ITC Avant Garde"/>
          <w:bCs/>
          <w:sz w:val="21"/>
          <w:szCs w:val="21"/>
        </w:rPr>
        <w:t>a</w:t>
      </w:r>
      <w:r w:rsidR="007B322D" w:rsidRPr="00E021F6">
        <w:rPr>
          <w:rFonts w:ascii="ITC Avant Garde" w:hAnsi="ITC Avant Garde"/>
          <w:bCs/>
          <w:sz w:val="21"/>
          <w:szCs w:val="21"/>
        </w:rPr>
        <w:t xml:space="preserve"> </w:t>
      </w:r>
      <w:r w:rsidR="00A50853" w:rsidRPr="00E021F6">
        <w:rPr>
          <w:rFonts w:ascii="ITC Avant Garde" w:hAnsi="ITC Avant Garde"/>
          <w:bCs/>
          <w:sz w:val="21"/>
          <w:szCs w:val="21"/>
        </w:rPr>
        <w:t>CGMR</w:t>
      </w:r>
      <w:r>
        <w:rPr>
          <w:rFonts w:ascii="ITC Avant Garde" w:hAnsi="ITC Avant Garde"/>
          <w:bCs/>
          <w:sz w:val="21"/>
          <w:szCs w:val="21"/>
        </w:rPr>
        <w:t>,</w:t>
      </w:r>
      <w:r w:rsidR="007B322D" w:rsidRPr="00E021F6">
        <w:rPr>
          <w:rFonts w:ascii="ITC Avant Garde" w:hAnsi="ITC Avant Garde"/>
          <w:bCs/>
          <w:sz w:val="21"/>
          <w:szCs w:val="21"/>
        </w:rPr>
        <w:t xml:space="preserve"> se entiende por trámite </w:t>
      </w:r>
      <w:r w:rsidRPr="00E021F6">
        <w:rPr>
          <w:rFonts w:ascii="ITC Avant Garde" w:hAnsi="ITC Avant Garde"/>
          <w:bCs/>
          <w:sz w:val="21"/>
          <w:szCs w:val="21"/>
        </w:rPr>
        <w:t>a cualquier solicitud o entrega de información que las personas físicas o morales hagan ante el Instituto, ya sea para cumplir con una obligación, obtener un beneficio o servicio o, en general, a fin de que se emita una resolución, así como cualquier documento que dichas personas estén obligadas a conservar, no comprendiéndose aquella documentación o información que sólo tenga que presentarse en caso de un requerimiento en términos de lo dispuesto en las diversas leyes y disposiciones administrativas de carácter general</w:t>
      </w:r>
      <w:r>
        <w:rPr>
          <w:rFonts w:ascii="ITC Avant Garde" w:hAnsi="ITC Avant Garde"/>
          <w:bCs/>
          <w:sz w:val="21"/>
          <w:szCs w:val="21"/>
        </w:rPr>
        <w:t>.</w:t>
      </w:r>
    </w:p>
    <w:p w:rsidR="00E021F6" w:rsidRPr="00E021F6" w:rsidRDefault="00E021F6" w:rsidP="00E021F6">
      <w:pPr>
        <w:pStyle w:val="Default"/>
        <w:spacing w:line="276" w:lineRule="auto"/>
        <w:ind w:left="360"/>
        <w:jc w:val="both"/>
        <w:rPr>
          <w:rFonts w:ascii="ITC Avant Garde" w:hAnsi="ITC Avant Garde"/>
          <w:bCs/>
          <w:sz w:val="21"/>
          <w:szCs w:val="21"/>
        </w:rPr>
      </w:pPr>
    </w:p>
    <w:p w:rsidR="007B322D" w:rsidRDefault="007B322D" w:rsidP="00BF364A">
      <w:pPr>
        <w:pStyle w:val="Default"/>
        <w:spacing w:line="276" w:lineRule="auto"/>
        <w:ind w:left="360"/>
        <w:jc w:val="both"/>
        <w:rPr>
          <w:rFonts w:ascii="ITC Avant Garde" w:hAnsi="ITC Avant Garde"/>
          <w:bCs/>
          <w:sz w:val="21"/>
          <w:szCs w:val="21"/>
        </w:rPr>
      </w:pPr>
      <w:r w:rsidRPr="00DA0A7D">
        <w:rPr>
          <w:rFonts w:ascii="ITC Avant Garde" w:hAnsi="ITC Avant Garde"/>
          <w:bCs/>
          <w:sz w:val="21"/>
          <w:szCs w:val="21"/>
        </w:rPr>
        <w:t xml:space="preserve">De la revisión realizada al Anteproyecto, </w:t>
      </w:r>
      <w:r w:rsidR="00E021F6">
        <w:rPr>
          <w:rFonts w:ascii="ITC Avant Garde" w:hAnsi="ITC Avant Garde"/>
          <w:bCs/>
          <w:sz w:val="21"/>
          <w:szCs w:val="21"/>
        </w:rPr>
        <w:t>la</w:t>
      </w:r>
      <w:r w:rsidR="00A50853">
        <w:rPr>
          <w:rFonts w:ascii="ITC Avant Garde" w:hAnsi="ITC Avant Garde"/>
          <w:bCs/>
          <w:sz w:val="21"/>
          <w:szCs w:val="21"/>
        </w:rPr>
        <w:t xml:space="preserve"> CGMR considera que </w:t>
      </w:r>
      <w:r w:rsidRPr="00DA0A7D">
        <w:rPr>
          <w:rFonts w:ascii="ITC Avant Garde" w:hAnsi="ITC Avant Garde"/>
          <w:bCs/>
          <w:sz w:val="21"/>
          <w:szCs w:val="21"/>
        </w:rPr>
        <w:t>el mismo crea otros trámites que no fueron identificados y descritos en el numeral 8 del AIR, relativo a</w:t>
      </w:r>
      <w:r w:rsidR="008E3F74">
        <w:rPr>
          <w:rFonts w:ascii="ITC Avant Garde" w:hAnsi="ITC Avant Garde"/>
          <w:bCs/>
          <w:sz w:val="21"/>
          <w:szCs w:val="21"/>
        </w:rPr>
        <w:t xml:space="preserve"> </w:t>
      </w:r>
      <w:r w:rsidR="00A50853">
        <w:rPr>
          <w:rFonts w:ascii="ITC Avant Garde" w:hAnsi="ITC Avant Garde"/>
          <w:bCs/>
          <w:sz w:val="21"/>
          <w:szCs w:val="21"/>
        </w:rPr>
        <w:t>l</w:t>
      </w:r>
      <w:r w:rsidR="008E3F74">
        <w:rPr>
          <w:rFonts w:ascii="ITC Avant Garde" w:hAnsi="ITC Avant Garde"/>
          <w:bCs/>
          <w:sz w:val="21"/>
          <w:szCs w:val="21"/>
        </w:rPr>
        <w:t xml:space="preserve">a descripción de los </w:t>
      </w:r>
      <w:r w:rsidRPr="00DA0A7D">
        <w:rPr>
          <w:rFonts w:ascii="ITC Avant Garde" w:hAnsi="ITC Avant Garde"/>
          <w:bCs/>
          <w:sz w:val="21"/>
          <w:szCs w:val="21"/>
        </w:rPr>
        <w:t xml:space="preserve">trámites que el anteproyecto de regulación </w:t>
      </w:r>
      <w:r w:rsidR="00A50853" w:rsidRPr="00DA0A7D">
        <w:rPr>
          <w:rFonts w:ascii="ITC Avant Garde" w:hAnsi="ITC Avant Garde"/>
          <w:bCs/>
          <w:sz w:val="21"/>
          <w:szCs w:val="21"/>
        </w:rPr>
        <w:t xml:space="preserve">creará, modificará o eliminará </w:t>
      </w:r>
      <w:r w:rsidRPr="00DA0A7D">
        <w:rPr>
          <w:rFonts w:ascii="ITC Avant Garde" w:hAnsi="ITC Avant Garde"/>
          <w:bCs/>
          <w:sz w:val="21"/>
          <w:szCs w:val="21"/>
        </w:rPr>
        <w:t>a su entrada en vigor, como son</w:t>
      </w:r>
      <w:r w:rsidR="008E3F74">
        <w:rPr>
          <w:rFonts w:ascii="ITC Avant Garde" w:hAnsi="ITC Avant Garde"/>
          <w:bCs/>
          <w:sz w:val="21"/>
          <w:szCs w:val="21"/>
        </w:rPr>
        <w:t xml:space="preserve"> los contenidos en</w:t>
      </w:r>
      <w:r w:rsidRPr="00DA0A7D">
        <w:rPr>
          <w:rFonts w:ascii="ITC Avant Garde" w:hAnsi="ITC Avant Garde"/>
          <w:bCs/>
          <w:sz w:val="21"/>
          <w:szCs w:val="21"/>
        </w:rPr>
        <w:t>:</w:t>
      </w:r>
    </w:p>
    <w:p w:rsidR="00E021F6" w:rsidRPr="00DA0A7D" w:rsidRDefault="00E021F6" w:rsidP="00BF364A">
      <w:pPr>
        <w:pStyle w:val="Default"/>
        <w:spacing w:line="276" w:lineRule="auto"/>
        <w:ind w:left="360"/>
        <w:jc w:val="both"/>
        <w:rPr>
          <w:rFonts w:ascii="ITC Avant Garde" w:hAnsi="ITC Avant Garde"/>
          <w:bCs/>
          <w:sz w:val="21"/>
          <w:szCs w:val="21"/>
        </w:rPr>
      </w:pPr>
    </w:p>
    <w:p w:rsidR="007B322D" w:rsidRPr="00DA0A7D" w:rsidRDefault="00E021F6" w:rsidP="00E021F6">
      <w:pPr>
        <w:pStyle w:val="Default"/>
        <w:numPr>
          <w:ilvl w:val="0"/>
          <w:numId w:val="6"/>
        </w:numPr>
        <w:spacing w:line="276" w:lineRule="auto"/>
        <w:jc w:val="both"/>
        <w:rPr>
          <w:rFonts w:ascii="ITC Avant Garde" w:hAnsi="ITC Avant Garde"/>
          <w:bCs/>
          <w:i/>
          <w:sz w:val="21"/>
          <w:szCs w:val="21"/>
        </w:rPr>
      </w:pPr>
      <w:r>
        <w:rPr>
          <w:rFonts w:ascii="ITC Avant Garde" w:hAnsi="ITC Avant Garde"/>
          <w:bCs/>
          <w:sz w:val="21"/>
          <w:szCs w:val="21"/>
        </w:rPr>
        <w:t>Artículo 15</w:t>
      </w:r>
      <w:r w:rsidR="007B322D" w:rsidRPr="00DA0A7D">
        <w:rPr>
          <w:rFonts w:ascii="ITC Avant Garde" w:hAnsi="ITC Avant Garde"/>
          <w:bCs/>
          <w:sz w:val="21"/>
          <w:szCs w:val="21"/>
        </w:rPr>
        <w:t xml:space="preserve">, fracción II.- </w:t>
      </w:r>
      <w:r w:rsidR="007B322D" w:rsidRPr="00DA0A7D">
        <w:rPr>
          <w:rFonts w:ascii="ITC Avant Garde" w:hAnsi="ITC Avant Garde"/>
          <w:bCs/>
          <w:i/>
          <w:sz w:val="21"/>
          <w:szCs w:val="21"/>
        </w:rPr>
        <w:t>“</w:t>
      </w:r>
      <w:r w:rsidRPr="00E021F6">
        <w:rPr>
          <w:rFonts w:ascii="ITC Avant Garde" w:hAnsi="ITC Avant Garde"/>
          <w:bCs/>
          <w:i/>
          <w:sz w:val="21"/>
          <w:szCs w:val="21"/>
        </w:rPr>
        <w:t>El Contrato de Arrendamiento y el Contrato de Subarrendamiento terminarán por alguna de las siguientes causas</w:t>
      </w:r>
      <w:r w:rsidR="007B322D" w:rsidRPr="00DA0A7D">
        <w:rPr>
          <w:rFonts w:ascii="ITC Avant Garde" w:hAnsi="ITC Avant Garde"/>
          <w:bCs/>
          <w:i/>
          <w:sz w:val="21"/>
          <w:szCs w:val="21"/>
        </w:rPr>
        <w:t>:</w:t>
      </w:r>
    </w:p>
    <w:p w:rsidR="007B322D" w:rsidRPr="00DA0A7D" w:rsidRDefault="007B322D" w:rsidP="00BF364A">
      <w:pPr>
        <w:pStyle w:val="Default"/>
        <w:spacing w:line="276" w:lineRule="auto"/>
        <w:ind w:left="1134"/>
        <w:jc w:val="both"/>
        <w:rPr>
          <w:rFonts w:ascii="ITC Avant Garde" w:hAnsi="ITC Avant Garde"/>
          <w:bCs/>
          <w:i/>
          <w:sz w:val="21"/>
          <w:szCs w:val="21"/>
        </w:rPr>
      </w:pPr>
      <w:r w:rsidRPr="00DA0A7D">
        <w:rPr>
          <w:rFonts w:ascii="ITC Avant Garde" w:hAnsi="ITC Avant Garde"/>
          <w:bCs/>
          <w:i/>
          <w:sz w:val="21"/>
          <w:szCs w:val="21"/>
        </w:rPr>
        <w:t>…</w:t>
      </w:r>
    </w:p>
    <w:p w:rsidR="007B322D" w:rsidRPr="00DA0A7D" w:rsidRDefault="00E021F6" w:rsidP="00BF364A">
      <w:pPr>
        <w:pStyle w:val="Default"/>
        <w:spacing w:line="276" w:lineRule="auto"/>
        <w:ind w:left="1134"/>
        <w:jc w:val="both"/>
        <w:rPr>
          <w:rFonts w:ascii="ITC Avant Garde" w:hAnsi="ITC Avant Garde"/>
          <w:bCs/>
          <w:i/>
          <w:sz w:val="21"/>
          <w:szCs w:val="21"/>
        </w:rPr>
      </w:pPr>
      <w:r>
        <w:rPr>
          <w:rFonts w:ascii="ITC Avant Garde" w:hAnsi="ITC Avant Garde"/>
          <w:bCs/>
          <w:i/>
          <w:sz w:val="21"/>
          <w:szCs w:val="21"/>
        </w:rPr>
        <w:t xml:space="preserve">II. </w:t>
      </w:r>
      <w:r w:rsidRPr="00E021F6">
        <w:rPr>
          <w:rFonts w:ascii="ITC Avant Garde" w:hAnsi="ITC Avant Garde"/>
          <w:bCs/>
          <w:i/>
          <w:sz w:val="21"/>
          <w:szCs w:val="21"/>
        </w:rPr>
        <w:t xml:space="preserve">Por su rescisión, para lo cual se estará a lo previsto en la legislación civil y únicamente deberá el Arrendador o Subarrendador, según corresponda, </w:t>
      </w:r>
      <w:r w:rsidRPr="00E021F6">
        <w:rPr>
          <w:rFonts w:ascii="ITC Avant Garde" w:hAnsi="ITC Avant Garde"/>
          <w:b/>
          <w:bCs/>
          <w:i/>
          <w:sz w:val="21"/>
          <w:szCs w:val="21"/>
        </w:rPr>
        <w:t>comunicar al Instituto</w:t>
      </w:r>
      <w:r w:rsidRPr="00E021F6">
        <w:rPr>
          <w:rFonts w:ascii="ITC Avant Garde" w:hAnsi="ITC Avant Garde"/>
          <w:bCs/>
          <w:i/>
          <w:sz w:val="21"/>
          <w:szCs w:val="21"/>
        </w:rPr>
        <w:t xml:space="preserve"> su extinción y el acto jurídico por medio del cual se llevó a cabo dentro de los 15 (quince) días hábiles siguientes a la rescisión</w:t>
      </w:r>
      <w:r w:rsidR="007B322D" w:rsidRPr="00DA0A7D">
        <w:rPr>
          <w:rFonts w:ascii="ITC Avant Garde" w:hAnsi="ITC Avant Garde"/>
          <w:bCs/>
          <w:i/>
          <w:sz w:val="21"/>
          <w:szCs w:val="21"/>
        </w:rPr>
        <w:t>.</w:t>
      </w:r>
    </w:p>
    <w:p w:rsidR="00E021F6" w:rsidRDefault="007B322D" w:rsidP="004F5B97">
      <w:pPr>
        <w:pStyle w:val="Default"/>
        <w:spacing w:line="276" w:lineRule="auto"/>
        <w:ind w:left="1134"/>
        <w:jc w:val="both"/>
        <w:rPr>
          <w:rFonts w:ascii="ITC Avant Garde" w:hAnsi="ITC Avant Garde"/>
          <w:bCs/>
          <w:sz w:val="21"/>
          <w:szCs w:val="21"/>
        </w:rPr>
      </w:pPr>
      <w:r w:rsidRPr="00DA0A7D">
        <w:rPr>
          <w:rFonts w:ascii="ITC Avant Garde" w:hAnsi="ITC Avant Garde"/>
          <w:bCs/>
          <w:i/>
          <w:sz w:val="21"/>
          <w:szCs w:val="21"/>
        </w:rPr>
        <w:t>…”</w:t>
      </w:r>
      <w:r w:rsidRPr="00DA0A7D">
        <w:rPr>
          <w:rFonts w:ascii="ITC Avant Garde" w:hAnsi="ITC Avant Garde"/>
          <w:bCs/>
          <w:sz w:val="21"/>
          <w:szCs w:val="21"/>
        </w:rPr>
        <w:t xml:space="preserve"> (énfasis añadido).</w:t>
      </w:r>
    </w:p>
    <w:p w:rsidR="000C0A0D" w:rsidRDefault="000C0A0D" w:rsidP="00BF364A">
      <w:pPr>
        <w:pStyle w:val="Default"/>
        <w:spacing w:line="276" w:lineRule="auto"/>
        <w:ind w:left="1134"/>
        <w:jc w:val="both"/>
        <w:rPr>
          <w:rFonts w:ascii="ITC Avant Garde" w:hAnsi="ITC Avant Garde"/>
          <w:bCs/>
          <w:sz w:val="21"/>
          <w:szCs w:val="21"/>
        </w:rPr>
      </w:pPr>
    </w:p>
    <w:p w:rsidR="00E021F6" w:rsidRPr="00DA0A7D" w:rsidRDefault="00E021F6" w:rsidP="00E021F6">
      <w:pPr>
        <w:pStyle w:val="Default"/>
        <w:numPr>
          <w:ilvl w:val="0"/>
          <w:numId w:val="6"/>
        </w:numPr>
        <w:spacing w:line="276" w:lineRule="auto"/>
        <w:jc w:val="both"/>
        <w:rPr>
          <w:rFonts w:ascii="ITC Avant Garde" w:hAnsi="ITC Avant Garde"/>
          <w:bCs/>
          <w:i/>
          <w:sz w:val="21"/>
          <w:szCs w:val="21"/>
        </w:rPr>
      </w:pPr>
      <w:r>
        <w:rPr>
          <w:rFonts w:ascii="ITC Avant Garde" w:hAnsi="ITC Avant Garde"/>
          <w:bCs/>
          <w:sz w:val="21"/>
          <w:szCs w:val="21"/>
        </w:rPr>
        <w:t>Artículo 15</w:t>
      </w:r>
      <w:r w:rsidRPr="00DA0A7D">
        <w:rPr>
          <w:rFonts w:ascii="ITC Avant Garde" w:hAnsi="ITC Avant Garde"/>
          <w:bCs/>
          <w:sz w:val="21"/>
          <w:szCs w:val="21"/>
        </w:rPr>
        <w:t>, fracción I</w:t>
      </w:r>
      <w:r>
        <w:rPr>
          <w:rFonts w:ascii="ITC Avant Garde" w:hAnsi="ITC Avant Garde"/>
          <w:bCs/>
          <w:sz w:val="21"/>
          <w:szCs w:val="21"/>
        </w:rPr>
        <w:t>V</w:t>
      </w:r>
      <w:r w:rsidRPr="00DA0A7D">
        <w:rPr>
          <w:rFonts w:ascii="ITC Avant Garde" w:hAnsi="ITC Avant Garde"/>
          <w:bCs/>
          <w:sz w:val="21"/>
          <w:szCs w:val="21"/>
        </w:rPr>
        <w:t xml:space="preserve">.- </w:t>
      </w:r>
      <w:r w:rsidRPr="00DA0A7D">
        <w:rPr>
          <w:rFonts w:ascii="ITC Avant Garde" w:hAnsi="ITC Avant Garde"/>
          <w:bCs/>
          <w:i/>
          <w:sz w:val="21"/>
          <w:szCs w:val="21"/>
        </w:rPr>
        <w:t>“</w:t>
      </w:r>
      <w:r w:rsidRPr="00E021F6">
        <w:rPr>
          <w:rFonts w:ascii="ITC Avant Garde" w:hAnsi="ITC Avant Garde"/>
          <w:bCs/>
          <w:i/>
          <w:sz w:val="21"/>
          <w:szCs w:val="21"/>
        </w:rPr>
        <w:t>El Contrato de Arrendamiento y el Contrato de Subarrendamiento terminarán por alguna de las siguientes causas</w:t>
      </w:r>
      <w:r w:rsidRPr="00DA0A7D">
        <w:rPr>
          <w:rFonts w:ascii="ITC Avant Garde" w:hAnsi="ITC Avant Garde"/>
          <w:bCs/>
          <w:i/>
          <w:sz w:val="21"/>
          <w:szCs w:val="21"/>
        </w:rPr>
        <w:t>:</w:t>
      </w:r>
    </w:p>
    <w:p w:rsidR="00E021F6" w:rsidRPr="00DA0A7D" w:rsidRDefault="00E021F6" w:rsidP="00E021F6">
      <w:pPr>
        <w:pStyle w:val="Default"/>
        <w:spacing w:line="276" w:lineRule="auto"/>
        <w:ind w:left="1134"/>
        <w:jc w:val="both"/>
        <w:rPr>
          <w:rFonts w:ascii="ITC Avant Garde" w:hAnsi="ITC Avant Garde"/>
          <w:bCs/>
          <w:i/>
          <w:sz w:val="21"/>
          <w:szCs w:val="21"/>
        </w:rPr>
      </w:pPr>
      <w:r w:rsidRPr="00DA0A7D">
        <w:rPr>
          <w:rFonts w:ascii="ITC Avant Garde" w:hAnsi="ITC Avant Garde"/>
          <w:bCs/>
          <w:i/>
          <w:sz w:val="21"/>
          <w:szCs w:val="21"/>
        </w:rPr>
        <w:t>…</w:t>
      </w:r>
    </w:p>
    <w:p w:rsidR="00E021F6" w:rsidRPr="00DA0A7D" w:rsidRDefault="00E021F6" w:rsidP="00E021F6">
      <w:pPr>
        <w:pStyle w:val="Default"/>
        <w:spacing w:line="276" w:lineRule="auto"/>
        <w:ind w:left="1134"/>
        <w:jc w:val="both"/>
        <w:rPr>
          <w:rFonts w:ascii="ITC Avant Garde" w:hAnsi="ITC Avant Garde"/>
          <w:bCs/>
          <w:i/>
          <w:sz w:val="21"/>
          <w:szCs w:val="21"/>
        </w:rPr>
      </w:pPr>
      <w:r>
        <w:rPr>
          <w:rFonts w:ascii="ITC Avant Garde" w:hAnsi="ITC Avant Garde"/>
          <w:bCs/>
          <w:i/>
          <w:sz w:val="21"/>
          <w:szCs w:val="21"/>
        </w:rPr>
        <w:t xml:space="preserve">IV. </w:t>
      </w:r>
      <w:r w:rsidRPr="00E021F6">
        <w:rPr>
          <w:rFonts w:ascii="ITC Avant Garde" w:hAnsi="ITC Avant Garde"/>
          <w:bCs/>
          <w:i/>
          <w:sz w:val="21"/>
          <w:szCs w:val="21"/>
        </w:rPr>
        <w:t xml:space="preserve">Por voluntad expresa de las partes, en cuyo supuesto el Arrendador o Subarrendador, según corresponda, </w:t>
      </w:r>
      <w:r w:rsidRPr="00E021F6">
        <w:rPr>
          <w:rFonts w:ascii="ITC Avant Garde" w:hAnsi="ITC Avant Garde"/>
          <w:b/>
          <w:bCs/>
          <w:i/>
          <w:sz w:val="21"/>
          <w:szCs w:val="21"/>
        </w:rPr>
        <w:t>deberá notificar al Instituto</w:t>
      </w:r>
      <w:r w:rsidRPr="00E021F6">
        <w:rPr>
          <w:rFonts w:ascii="ITC Avant Garde" w:hAnsi="ITC Avant Garde"/>
          <w:bCs/>
          <w:i/>
          <w:sz w:val="21"/>
          <w:szCs w:val="21"/>
        </w:rPr>
        <w:t xml:space="preserve"> dentro de los 15 (quince) días hábiles posteriores a la terminación del Contrato</w:t>
      </w:r>
      <w:r w:rsidRPr="00DA0A7D">
        <w:rPr>
          <w:rFonts w:ascii="ITC Avant Garde" w:hAnsi="ITC Avant Garde"/>
          <w:bCs/>
          <w:i/>
          <w:sz w:val="21"/>
          <w:szCs w:val="21"/>
        </w:rPr>
        <w:t>.</w:t>
      </w:r>
    </w:p>
    <w:p w:rsidR="00E021F6" w:rsidRDefault="00E021F6" w:rsidP="00E021F6">
      <w:pPr>
        <w:pStyle w:val="Default"/>
        <w:spacing w:line="276" w:lineRule="auto"/>
        <w:ind w:left="1134"/>
        <w:jc w:val="both"/>
        <w:rPr>
          <w:rFonts w:ascii="ITC Avant Garde" w:hAnsi="ITC Avant Garde"/>
          <w:bCs/>
          <w:sz w:val="21"/>
          <w:szCs w:val="21"/>
        </w:rPr>
      </w:pPr>
      <w:r w:rsidRPr="00DA0A7D">
        <w:rPr>
          <w:rFonts w:ascii="ITC Avant Garde" w:hAnsi="ITC Avant Garde"/>
          <w:bCs/>
          <w:i/>
          <w:sz w:val="21"/>
          <w:szCs w:val="21"/>
        </w:rPr>
        <w:t>…”</w:t>
      </w:r>
      <w:r w:rsidRPr="00DA0A7D">
        <w:rPr>
          <w:rFonts w:ascii="ITC Avant Garde" w:hAnsi="ITC Avant Garde"/>
          <w:bCs/>
          <w:sz w:val="21"/>
          <w:szCs w:val="21"/>
        </w:rPr>
        <w:t xml:space="preserve"> (énfasis añadido).</w:t>
      </w:r>
    </w:p>
    <w:p w:rsidR="004F5B97" w:rsidRDefault="004F5B97" w:rsidP="00E021F6">
      <w:pPr>
        <w:pStyle w:val="Default"/>
        <w:spacing w:line="276" w:lineRule="auto"/>
        <w:ind w:left="1134"/>
        <w:jc w:val="both"/>
        <w:rPr>
          <w:rFonts w:ascii="ITC Avant Garde" w:hAnsi="ITC Avant Garde"/>
          <w:bCs/>
          <w:sz w:val="21"/>
          <w:szCs w:val="21"/>
        </w:rPr>
      </w:pPr>
    </w:p>
    <w:p w:rsidR="00E021F6" w:rsidRDefault="00E021F6" w:rsidP="00E021F6">
      <w:pPr>
        <w:pStyle w:val="Default"/>
        <w:numPr>
          <w:ilvl w:val="0"/>
          <w:numId w:val="6"/>
        </w:numPr>
        <w:jc w:val="both"/>
        <w:rPr>
          <w:rFonts w:ascii="ITC Avant Garde" w:hAnsi="ITC Avant Garde"/>
          <w:bCs/>
          <w:i/>
          <w:sz w:val="21"/>
          <w:szCs w:val="21"/>
        </w:rPr>
      </w:pPr>
      <w:r>
        <w:rPr>
          <w:rFonts w:ascii="ITC Avant Garde" w:hAnsi="ITC Avant Garde"/>
          <w:bCs/>
          <w:sz w:val="21"/>
          <w:szCs w:val="21"/>
        </w:rPr>
        <w:t>Artículo 17</w:t>
      </w:r>
      <w:r w:rsidR="007B322D" w:rsidRPr="00DA0A7D">
        <w:rPr>
          <w:rFonts w:ascii="ITC Avant Garde" w:hAnsi="ITC Avant Garde"/>
          <w:bCs/>
          <w:sz w:val="21"/>
          <w:szCs w:val="21"/>
        </w:rPr>
        <w:t xml:space="preserve">.- </w:t>
      </w:r>
      <w:r w:rsidR="007B322D" w:rsidRPr="00DA0A7D">
        <w:rPr>
          <w:rFonts w:ascii="ITC Avant Garde" w:hAnsi="ITC Avant Garde"/>
          <w:bCs/>
          <w:i/>
          <w:sz w:val="21"/>
          <w:szCs w:val="21"/>
        </w:rPr>
        <w:t>“</w:t>
      </w:r>
      <w:r w:rsidRPr="00E021F6">
        <w:rPr>
          <w:rFonts w:ascii="ITC Avant Garde" w:hAnsi="ITC Avant Garde"/>
          <w:bCs/>
          <w:i/>
          <w:sz w:val="21"/>
          <w:szCs w:val="21"/>
        </w:rPr>
        <w:t xml:space="preserve">Cualquier modificación que se pretenda realizar al Contrato de Arrendamiento o al Contrato de Subarrendamiento </w:t>
      </w:r>
      <w:r w:rsidRPr="00E021F6">
        <w:rPr>
          <w:rFonts w:ascii="ITC Avant Garde" w:hAnsi="ITC Avant Garde"/>
          <w:b/>
          <w:bCs/>
          <w:i/>
          <w:sz w:val="21"/>
          <w:szCs w:val="21"/>
        </w:rPr>
        <w:t>deberá ser objeto de una nueva Autorización</w:t>
      </w:r>
      <w:r w:rsidRPr="00E021F6">
        <w:rPr>
          <w:rFonts w:ascii="ITC Avant Garde" w:hAnsi="ITC Avant Garde"/>
          <w:bCs/>
          <w:i/>
          <w:sz w:val="21"/>
          <w:szCs w:val="21"/>
        </w:rPr>
        <w:t xml:space="preserve"> de Arrendamiento o una nueva Autorización de Subar</w:t>
      </w:r>
      <w:r w:rsidR="004F5B97">
        <w:rPr>
          <w:rFonts w:ascii="ITC Avant Garde" w:hAnsi="ITC Avant Garde"/>
          <w:bCs/>
          <w:i/>
          <w:sz w:val="21"/>
          <w:szCs w:val="21"/>
        </w:rPr>
        <w:t>rendamiento, según corresponda.</w:t>
      </w:r>
    </w:p>
    <w:p w:rsidR="004F5B97" w:rsidRPr="00E021F6" w:rsidRDefault="004F5B97" w:rsidP="004F5B97">
      <w:pPr>
        <w:pStyle w:val="Default"/>
        <w:ind w:left="1068"/>
        <w:jc w:val="both"/>
        <w:rPr>
          <w:rFonts w:ascii="ITC Avant Garde" w:hAnsi="ITC Avant Garde"/>
          <w:bCs/>
          <w:i/>
          <w:sz w:val="21"/>
          <w:szCs w:val="21"/>
        </w:rPr>
      </w:pPr>
    </w:p>
    <w:p w:rsidR="00F2609F" w:rsidRDefault="00E021F6" w:rsidP="00E021F6">
      <w:pPr>
        <w:pStyle w:val="Default"/>
        <w:spacing w:line="276" w:lineRule="auto"/>
        <w:ind w:left="1068"/>
        <w:jc w:val="both"/>
        <w:rPr>
          <w:rFonts w:ascii="ITC Avant Garde" w:hAnsi="ITC Avant Garde"/>
          <w:bCs/>
          <w:sz w:val="21"/>
          <w:szCs w:val="21"/>
        </w:rPr>
      </w:pPr>
      <w:r w:rsidRPr="00E021F6">
        <w:rPr>
          <w:rFonts w:ascii="ITC Avant Garde" w:hAnsi="ITC Avant Garde"/>
          <w:bCs/>
          <w:i/>
          <w:sz w:val="21"/>
          <w:szCs w:val="21"/>
        </w:rPr>
        <w:t xml:space="preserve">Tratándose de la modificación en la renta o precio materia del Contrato de Arrendamiento o del Contrato de Subarrendamiento, solamente </w:t>
      </w:r>
      <w:r w:rsidRPr="00E021F6">
        <w:rPr>
          <w:rFonts w:ascii="ITC Avant Garde" w:hAnsi="ITC Avant Garde"/>
          <w:b/>
          <w:bCs/>
          <w:i/>
          <w:sz w:val="21"/>
          <w:szCs w:val="21"/>
        </w:rPr>
        <w:t>deberán hacerse del conocimiento del Instituto</w:t>
      </w:r>
      <w:r w:rsidRPr="00E021F6">
        <w:rPr>
          <w:rFonts w:ascii="ITC Avant Garde" w:hAnsi="ITC Avant Garde"/>
          <w:bCs/>
          <w:i/>
          <w:sz w:val="21"/>
          <w:szCs w:val="21"/>
        </w:rPr>
        <w:t xml:space="preserve">, la renta o el precio acordados por los interesados, </w:t>
      </w:r>
      <w:r w:rsidRPr="00E021F6">
        <w:rPr>
          <w:rFonts w:ascii="ITC Avant Garde" w:hAnsi="ITC Avant Garde"/>
          <w:bCs/>
          <w:i/>
          <w:sz w:val="21"/>
          <w:szCs w:val="21"/>
        </w:rPr>
        <w:lastRenderedPageBreak/>
        <w:t>con por lo menos 15 (quince) días hábiles de anticipación a que surta efectos la modificación respectiva</w:t>
      </w:r>
      <w:r w:rsidR="007B322D" w:rsidRPr="00DA0A7D">
        <w:rPr>
          <w:rFonts w:ascii="ITC Avant Garde" w:hAnsi="ITC Avant Garde"/>
          <w:bCs/>
          <w:i/>
          <w:sz w:val="21"/>
          <w:szCs w:val="21"/>
        </w:rPr>
        <w:t>”</w:t>
      </w:r>
      <w:r w:rsidR="000A3E7C" w:rsidRPr="00DA0A7D">
        <w:rPr>
          <w:rFonts w:ascii="ITC Avant Garde" w:hAnsi="ITC Avant Garde"/>
          <w:bCs/>
          <w:sz w:val="21"/>
          <w:szCs w:val="21"/>
        </w:rPr>
        <w:t xml:space="preserve"> (énfasis añadido)</w:t>
      </w:r>
      <w:r w:rsidR="007B322D" w:rsidRPr="00DA0A7D">
        <w:rPr>
          <w:rFonts w:ascii="ITC Avant Garde" w:hAnsi="ITC Avant Garde"/>
          <w:bCs/>
          <w:sz w:val="21"/>
          <w:szCs w:val="21"/>
        </w:rPr>
        <w:t xml:space="preserve">. </w:t>
      </w:r>
    </w:p>
    <w:p w:rsidR="00E021F6" w:rsidRPr="00DA0A7D" w:rsidRDefault="00E021F6" w:rsidP="00E021F6">
      <w:pPr>
        <w:pStyle w:val="Default"/>
        <w:spacing w:line="276" w:lineRule="auto"/>
        <w:ind w:left="1068"/>
        <w:jc w:val="both"/>
        <w:rPr>
          <w:rFonts w:ascii="ITC Avant Garde" w:hAnsi="ITC Avant Garde"/>
          <w:bCs/>
          <w:sz w:val="21"/>
          <w:szCs w:val="21"/>
        </w:rPr>
      </w:pPr>
    </w:p>
    <w:p w:rsidR="00E021F6" w:rsidRDefault="000A3E7C" w:rsidP="00E021F6">
      <w:pPr>
        <w:pStyle w:val="Default"/>
        <w:spacing w:line="276" w:lineRule="auto"/>
        <w:ind w:left="284"/>
        <w:jc w:val="both"/>
        <w:rPr>
          <w:rFonts w:ascii="ITC Avant Garde" w:hAnsi="ITC Avant Garde"/>
          <w:bCs/>
          <w:sz w:val="21"/>
          <w:szCs w:val="21"/>
        </w:rPr>
      </w:pPr>
      <w:r w:rsidRPr="00DA0A7D">
        <w:rPr>
          <w:rFonts w:ascii="ITC Avant Garde" w:hAnsi="ITC Avant Garde"/>
          <w:bCs/>
          <w:sz w:val="21"/>
          <w:szCs w:val="21"/>
        </w:rPr>
        <w:t xml:space="preserve">A este respecto, </w:t>
      </w:r>
      <w:r w:rsidR="00E021F6">
        <w:rPr>
          <w:rFonts w:ascii="ITC Avant Garde" w:hAnsi="ITC Avant Garde"/>
          <w:bCs/>
          <w:sz w:val="21"/>
          <w:szCs w:val="21"/>
        </w:rPr>
        <w:t>la</w:t>
      </w:r>
      <w:r w:rsidRPr="00DA0A7D">
        <w:rPr>
          <w:rFonts w:ascii="ITC Avant Garde" w:hAnsi="ITC Avant Garde"/>
          <w:bCs/>
          <w:sz w:val="21"/>
          <w:szCs w:val="21"/>
        </w:rPr>
        <w:t xml:space="preserve"> </w:t>
      </w:r>
      <w:r w:rsidR="00A50853">
        <w:rPr>
          <w:rFonts w:ascii="ITC Avant Garde" w:hAnsi="ITC Avant Garde"/>
          <w:bCs/>
          <w:sz w:val="21"/>
          <w:szCs w:val="21"/>
        </w:rPr>
        <w:t>CGMR</w:t>
      </w:r>
      <w:r w:rsidRPr="00DA0A7D">
        <w:rPr>
          <w:rFonts w:ascii="ITC Avant Garde" w:hAnsi="ITC Avant Garde"/>
          <w:bCs/>
          <w:sz w:val="21"/>
          <w:szCs w:val="21"/>
        </w:rPr>
        <w:t xml:space="preserve"> sugiere a la UER incorporar dichos trámites y su descripción en el numeral 8 del AIR</w:t>
      </w:r>
      <w:r w:rsidR="00A50853">
        <w:rPr>
          <w:rFonts w:ascii="ITC Avant Garde" w:hAnsi="ITC Avant Garde"/>
          <w:bCs/>
          <w:sz w:val="21"/>
          <w:szCs w:val="21"/>
        </w:rPr>
        <w:t>,</w:t>
      </w:r>
      <w:r w:rsidRPr="00DA0A7D">
        <w:rPr>
          <w:rFonts w:ascii="ITC Avant Garde" w:hAnsi="ITC Avant Garde"/>
          <w:bCs/>
          <w:sz w:val="21"/>
          <w:szCs w:val="21"/>
        </w:rPr>
        <w:t xml:space="preserve"> a efecto de reflejar adecuadamente en dicho documento los trámites que se crearán a razón de la entrada en vigor del presente Anteproyecto</w:t>
      </w:r>
      <w:r w:rsidR="00A50853">
        <w:rPr>
          <w:rFonts w:ascii="ITC Avant Garde" w:hAnsi="ITC Avant Garde"/>
          <w:bCs/>
          <w:sz w:val="21"/>
          <w:szCs w:val="21"/>
        </w:rPr>
        <w:t xml:space="preserve">, así como la forma en que esa unidad administrativa del Instituto </w:t>
      </w:r>
      <w:r w:rsidR="00673B75">
        <w:rPr>
          <w:rFonts w:ascii="ITC Avant Garde" w:hAnsi="ITC Avant Garde"/>
          <w:bCs/>
          <w:sz w:val="21"/>
          <w:szCs w:val="21"/>
        </w:rPr>
        <w:t>estima que se</w:t>
      </w:r>
      <w:r w:rsidR="00A50853">
        <w:rPr>
          <w:rFonts w:ascii="ITC Avant Garde" w:hAnsi="ITC Avant Garde"/>
          <w:bCs/>
          <w:sz w:val="21"/>
          <w:szCs w:val="21"/>
        </w:rPr>
        <w:t xml:space="preserve"> desarroll</w:t>
      </w:r>
      <w:r w:rsidR="00673B75">
        <w:rPr>
          <w:rFonts w:ascii="ITC Avant Garde" w:hAnsi="ITC Avant Garde"/>
          <w:bCs/>
          <w:sz w:val="21"/>
          <w:szCs w:val="21"/>
        </w:rPr>
        <w:t>en</w:t>
      </w:r>
      <w:r w:rsidRPr="00DA0A7D">
        <w:rPr>
          <w:rFonts w:ascii="ITC Avant Garde" w:hAnsi="ITC Avant Garde"/>
          <w:bCs/>
          <w:sz w:val="21"/>
          <w:szCs w:val="21"/>
        </w:rPr>
        <w:t>.</w:t>
      </w:r>
    </w:p>
    <w:p w:rsidR="00E021F6" w:rsidRDefault="00E021F6" w:rsidP="00E021F6">
      <w:pPr>
        <w:pStyle w:val="Default"/>
        <w:spacing w:line="276" w:lineRule="auto"/>
        <w:ind w:left="284"/>
        <w:jc w:val="both"/>
        <w:rPr>
          <w:rFonts w:ascii="ITC Avant Garde" w:hAnsi="ITC Avant Garde"/>
          <w:bCs/>
          <w:sz w:val="21"/>
          <w:szCs w:val="21"/>
        </w:rPr>
      </w:pPr>
    </w:p>
    <w:p w:rsidR="00E021F6" w:rsidRDefault="00E021F6" w:rsidP="00E021F6">
      <w:pPr>
        <w:pStyle w:val="Default"/>
        <w:spacing w:line="276" w:lineRule="auto"/>
        <w:ind w:left="284"/>
        <w:jc w:val="both"/>
        <w:rPr>
          <w:rFonts w:ascii="ITC Avant Garde" w:hAnsi="ITC Avant Garde"/>
          <w:bCs/>
          <w:sz w:val="21"/>
          <w:szCs w:val="21"/>
        </w:rPr>
      </w:pPr>
      <w:r>
        <w:rPr>
          <w:rFonts w:ascii="ITC Avant Garde" w:hAnsi="ITC Avant Garde"/>
          <w:bCs/>
          <w:sz w:val="21"/>
          <w:szCs w:val="21"/>
        </w:rPr>
        <w:t xml:space="preserve">De manera adicional, la CGMR observa que </w:t>
      </w:r>
      <w:r w:rsidR="004F5B97">
        <w:rPr>
          <w:rFonts w:ascii="ITC Avant Garde" w:hAnsi="ITC Avant Garde"/>
          <w:bCs/>
          <w:sz w:val="21"/>
          <w:szCs w:val="21"/>
        </w:rPr>
        <w:t>en</w:t>
      </w:r>
      <w:r>
        <w:rPr>
          <w:rFonts w:ascii="ITC Avant Garde" w:hAnsi="ITC Avant Garde"/>
          <w:bCs/>
          <w:sz w:val="21"/>
          <w:szCs w:val="21"/>
        </w:rPr>
        <w:t xml:space="preserve"> </w:t>
      </w:r>
      <w:r w:rsidR="004F5B97">
        <w:rPr>
          <w:rFonts w:ascii="ITC Avant Garde" w:hAnsi="ITC Avant Garde"/>
          <w:bCs/>
          <w:sz w:val="21"/>
          <w:szCs w:val="21"/>
        </w:rPr>
        <w:t xml:space="preserve">la </w:t>
      </w:r>
      <w:r>
        <w:rPr>
          <w:rFonts w:ascii="ITC Avant Garde" w:hAnsi="ITC Avant Garde"/>
          <w:bCs/>
          <w:sz w:val="21"/>
          <w:szCs w:val="21"/>
        </w:rPr>
        <w:t xml:space="preserve">descripción de los </w:t>
      </w:r>
      <w:r w:rsidR="004F5B97">
        <w:rPr>
          <w:rFonts w:ascii="ITC Avant Garde" w:hAnsi="ITC Avant Garde"/>
          <w:bCs/>
          <w:sz w:val="21"/>
          <w:szCs w:val="21"/>
        </w:rPr>
        <w:t xml:space="preserve">dos </w:t>
      </w:r>
      <w:r>
        <w:rPr>
          <w:rFonts w:ascii="ITC Avant Garde" w:hAnsi="ITC Avant Garde"/>
          <w:bCs/>
          <w:sz w:val="21"/>
          <w:szCs w:val="21"/>
        </w:rPr>
        <w:t>trámites</w:t>
      </w:r>
      <w:r w:rsidR="004F5B97">
        <w:rPr>
          <w:rFonts w:ascii="ITC Avant Garde" w:hAnsi="ITC Avant Garde"/>
          <w:bCs/>
          <w:sz w:val="21"/>
          <w:szCs w:val="21"/>
        </w:rPr>
        <w:t xml:space="preserve"> que fueron</w:t>
      </w:r>
      <w:r>
        <w:rPr>
          <w:rFonts w:ascii="ITC Avant Garde" w:hAnsi="ITC Avant Garde"/>
          <w:bCs/>
          <w:sz w:val="21"/>
          <w:szCs w:val="21"/>
        </w:rPr>
        <w:t xml:space="preserve"> identificados </w:t>
      </w:r>
      <w:r w:rsidR="004F5B97">
        <w:rPr>
          <w:rFonts w:ascii="ITC Avant Garde" w:hAnsi="ITC Avant Garde"/>
          <w:bCs/>
          <w:sz w:val="21"/>
          <w:szCs w:val="21"/>
        </w:rPr>
        <w:t xml:space="preserve">y descritos </w:t>
      </w:r>
      <w:r>
        <w:rPr>
          <w:rFonts w:ascii="ITC Avant Garde" w:hAnsi="ITC Avant Garde"/>
          <w:bCs/>
          <w:sz w:val="21"/>
          <w:szCs w:val="21"/>
        </w:rPr>
        <w:t>por la UER en el numeral 8 del AIR</w:t>
      </w:r>
      <w:r w:rsidR="004F5B97">
        <w:rPr>
          <w:rFonts w:ascii="ITC Avant Garde" w:hAnsi="ITC Avant Garde"/>
          <w:bCs/>
          <w:sz w:val="21"/>
          <w:szCs w:val="21"/>
        </w:rPr>
        <w:t>,</w:t>
      </w:r>
      <w:r>
        <w:rPr>
          <w:rFonts w:ascii="ITC Avant Garde" w:hAnsi="ITC Avant Garde"/>
          <w:bCs/>
          <w:sz w:val="21"/>
          <w:szCs w:val="21"/>
        </w:rPr>
        <w:t xml:space="preserve"> </w:t>
      </w:r>
      <w:r w:rsidR="00932FBF">
        <w:rPr>
          <w:rFonts w:ascii="ITC Avant Garde" w:hAnsi="ITC Avant Garde"/>
          <w:bCs/>
          <w:sz w:val="21"/>
          <w:szCs w:val="21"/>
        </w:rPr>
        <w:t xml:space="preserve">no </w:t>
      </w:r>
      <w:r w:rsidR="008B5052">
        <w:rPr>
          <w:rFonts w:ascii="ITC Avant Garde" w:hAnsi="ITC Avant Garde"/>
          <w:bCs/>
          <w:sz w:val="21"/>
          <w:szCs w:val="21"/>
        </w:rPr>
        <w:t>se incorporó</w:t>
      </w:r>
      <w:r w:rsidR="00932FBF">
        <w:rPr>
          <w:rFonts w:ascii="ITC Avant Garde" w:hAnsi="ITC Avant Garde"/>
          <w:bCs/>
          <w:sz w:val="21"/>
          <w:szCs w:val="21"/>
        </w:rPr>
        <w:t xml:space="preserve"> la información </w:t>
      </w:r>
      <w:r w:rsidR="004F5B97">
        <w:rPr>
          <w:rFonts w:ascii="ITC Avant Garde" w:hAnsi="ITC Avant Garde"/>
          <w:bCs/>
          <w:sz w:val="21"/>
          <w:szCs w:val="21"/>
        </w:rPr>
        <w:t>relacionada</w:t>
      </w:r>
      <w:r w:rsidR="00932FBF">
        <w:rPr>
          <w:rFonts w:ascii="ITC Avant Garde" w:hAnsi="ITC Avant Garde"/>
          <w:bCs/>
          <w:sz w:val="21"/>
          <w:szCs w:val="21"/>
        </w:rPr>
        <w:t xml:space="preserve"> con el tipo de ficta, plazo máximo de resolución, justificación, entre </w:t>
      </w:r>
      <w:r w:rsidR="004F5B97">
        <w:rPr>
          <w:rFonts w:ascii="ITC Avant Garde" w:hAnsi="ITC Avant Garde"/>
          <w:bCs/>
          <w:sz w:val="21"/>
          <w:szCs w:val="21"/>
        </w:rPr>
        <w:t>otros,</w:t>
      </w:r>
      <w:r w:rsidR="00932FBF">
        <w:rPr>
          <w:rFonts w:ascii="ITC Avant Garde" w:hAnsi="ITC Avant Garde"/>
          <w:bCs/>
          <w:sz w:val="21"/>
          <w:szCs w:val="21"/>
        </w:rPr>
        <w:t xml:space="preserve"> los cuales se s</w:t>
      </w:r>
      <w:r w:rsidR="004F5B97">
        <w:rPr>
          <w:rFonts w:ascii="ITC Avant Garde" w:hAnsi="ITC Avant Garde"/>
          <w:bCs/>
          <w:sz w:val="21"/>
          <w:szCs w:val="21"/>
        </w:rPr>
        <w:t>ugieren sean incluidos a efecto</w:t>
      </w:r>
      <w:r w:rsidR="00932FBF">
        <w:rPr>
          <w:rFonts w:ascii="ITC Avant Garde" w:hAnsi="ITC Avant Garde"/>
          <w:bCs/>
          <w:sz w:val="21"/>
          <w:szCs w:val="21"/>
        </w:rPr>
        <w:t xml:space="preserve"> </w:t>
      </w:r>
      <w:r w:rsidR="004F5B97">
        <w:rPr>
          <w:rFonts w:ascii="ITC Avant Garde" w:hAnsi="ITC Avant Garde"/>
          <w:bCs/>
          <w:sz w:val="21"/>
          <w:szCs w:val="21"/>
        </w:rPr>
        <w:t xml:space="preserve">de transparentar la forma y medios con los que estima </w:t>
      </w:r>
      <w:r w:rsidR="008B5052">
        <w:rPr>
          <w:rFonts w:ascii="ITC Avant Garde" w:hAnsi="ITC Avant Garde"/>
          <w:bCs/>
          <w:sz w:val="21"/>
          <w:szCs w:val="21"/>
        </w:rPr>
        <w:t xml:space="preserve">el Instituto </w:t>
      </w:r>
      <w:r w:rsidR="004F5B97">
        <w:rPr>
          <w:rFonts w:ascii="ITC Avant Garde" w:hAnsi="ITC Avant Garde"/>
          <w:bCs/>
          <w:sz w:val="21"/>
          <w:szCs w:val="21"/>
        </w:rPr>
        <w:t>se desarrollen esos</w:t>
      </w:r>
      <w:r w:rsidR="00932FBF">
        <w:rPr>
          <w:rFonts w:ascii="ITC Avant Garde" w:hAnsi="ITC Avant Garde"/>
          <w:bCs/>
          <w:sz w:val="21"/>
          <w:szCs w:val="21"/>
        </w:rPr>
        <w:t xml:space="preserve"> trámites.</w:t>
      </w:r>
    </w:p>
    <w:p w:rsidR="00E021F6" w:rsidRPr="00DA0A7D" w:rsidRDefault="00E021F6" w:rsidP="00BF364A">
      <w:pPr>
        <w:pStyle w:val="Default"/>
        <w:spacing w:line="276" w:lineRule="auto"/>
        <w:ind w:left="284"/>
        <w:jc w:val="both"/>
        <w:rPr>
          <w:rFonts w:ascii="ITC Avant Garde" w:hAnsi="ITC Avant Garde"/>
          <w:bCs/>
          <w:sz w:val="21"/>
          <w:szCs w:val="21"/>
        </w:rPr>
      </w:pPr>
    </w:p>
    <w:p w:rsidR="000A3E7C" w:rsidRDefault="000A3E7C" w:rsidP="00BF364A">
      <w:pPr>
        <w:pStyle w:val="Default"/>
        <w:numPr>
          <w:ilvl w:val="0"/>
          <w:numId w:val="3"/>
        </w:numPr>
        <w:spacing w:line="276" w:lineRule="auto"/>
        <w:jc w:val="both"/>
        <w:rPr>
          <w:rFonts w:ascii="ITC Avant Garde" w:hAnsi="ITC Avant Garde"/>
          <w:bCs/>
          <w:sz w:val="21"/>
          <w:szCs w:val="21"/>
        </w:rPr>
      </w:pPr>
      <w:r w:rsidRPr="00DA0A7D">
        <w:rPr>
          <w:rFonts w:ascii="ITC Avant Garde" w:hAnsi="ITC Avant Garde"/>
          <w:bCs/>
          <w:sz w:val="21"/>
          <w:szCs w:val="21"/>
        </w:rPr>
        <w:t xml:space="preserve">En el numeral 9 del AIR, relativo a las disposiciones, obligaciones y/o acciones distintas a los trámites </w:t>
      </w:r>
      <w:r w:rsidR="00A50853">
        <w:rPr>
          <w:rFonts w:ascii="ITC Avant Garde" w:hAnsi="ITC Avant Garde"/>
          <w:bCs/>
          <w:sz w:val="21"/>
          <w:szCs w:val="21"/>
        </w:rPr>
        <w:t xml:space="preserve">contenidos en </w:t>
      </w:r>
      <w:r w:rsidRPr="00DA0A7D">
        <w:rPr>
          <w:rFonts w:ascii="ITC Avant Garde" w:hAnsi="ITC Avant Garde"/>
          <w:bCs/>
          <w:sz w:val="21"/>
          <w:szCs w:val="21"/>
        </w:rPr>
        <w:t xml:space="preserve">la propuesta de </w:t>
      </w:r>
      <w:r w:rsidR="008B5052">
        <w:rPr>
          <w:rFonts w:ascii="ITC Avant Garde" w:hAnsi="ITC Avant Garde"/>
          <w:bCs/>
          <w:sz w:val="21"/>
          <w:szCs w:val="21"/>
        </w:rPr>
        <w:t>A</w:t>
      </w:r>
      <w:r w:rsidRPr="00DA0A7D">
        <w:rPr>
          <w:rFonts w:ascii="ITC Avant Garde" w:hAnsi="ITC Avant Garde"/>
          <w:bCs/>
          <w:sz w:val="21"/>
          <w:szCs w:val="21"/>
        </w:rPr>
        <w:t>nteproyecto de regulación, la UER no proporcionó ninguna información al respecto</w:t>
      </w:r>
      <w:r w:rsidR="008B5052">
        <w:rPr>
          <w:rFonts w:ascii="ITC Avant Garde" w:hAnsi="ITC Avant Garde"/>
          <w:bCs/>
          <w:sz w:val="21"/>
          <w:szCs w:val="21"/>
        </w:rPr>
        <w:t>,</w:t>
      </w:r>
      <w:r w:rsidRPr="00DA0A7D">
        <w:rPr>
          <w:rFonts w:ascii="ITC Avant Garde" w:hAnsi="ITC Avant Garde"/>
          <w:bCs/>
          <w:sz w:val="21"/>
          <w:szCs w:val="21"/>
        </w:rPr>
        <w:t xml:space="preserve"> abocándose a señalar que no </w:t>
      </w:r>
      <w:r w:rsidR="00A50853">
        <w:rPr>
          <w:rFonts w:ascii="ITC Avant Garde" w:hAnsi="ITC Avant Garde"/>
          <w:bCs/>
          <w:sz w:val="21"/>
          <w:szCs w:val="21"/>
        </w:rPr>
        <w:t xml:space="preserve">le es aplicable </w:t>
      </w:r>
      <w:r w:rsidRPr="00DA0A7D">
        <w:rPr>
          <w:rFonts w:ascii="ITC Avant Garde" w:hAnsi="ITC Avant Garde"/>
          <w:bCs/>
          <w:sz w:val="21"/>
          <w:szCs w:val="21"/>
        </w:rPr>
        <w:t>dicho apartado</w:t>
      </w:r>
      <w:r w:rsidR="00A50853">
        <w:rPr>
          <w:rFonts w:ascii="ITC Avant Garde" w:hAnsi="ITC Avant Garde"/>
          <w:bCs/>
          <w:sz w:val="21"/>
          <w:szCs w:val="21"/>
        </w:rPr>
        <w:t xml:space="preserve"> del AIR</w:t>
      </w:r>
      <w:r w:rsidRPr="00DA0A7D">
        <w:rPr>
          <w:rFonts w:ascii="ITC Avant Garde" w:hAnsi="ITC Avant Garde"/>
          <w:bCs/>
          <w:sz w:val="21"/>
          <w:szCs w:val="21"/>
        </w:rPr>
        <w:t>.</w:t>
      </w:r>
    </w:p>
    <w:p w:rsidR="00932FBF" w:rsidRPr="00DA0A7D" w:rsidRDefault="00932FBF" w:rsidP="00932FBF">
      <w:pPr>
        <w:pStyle w:val="Default"/>
        <w:spacing w:line="276" w:lineRule="auto"/>
        <w:ind w:left="360"/>
        <w:jc w:val="both"/>
        <w:rPr>
          <w:rFonts w:ascii="ITC Avant Garde" w:hAnsi="ITC Avant Garde"/>
          <w:bCs/>
          <w:sz w:val="21"/>
          <w:szCs w:val="21"/>
        </w:rPr>
      </w:pPr>
    </w:p>
    <w:p w:rsidR="000A3E7C" w:rsidRDefault="000A3E7C" w:rsidP="00BF364A">
      <w:pPr>
        <w:pStyle w:val="Default"/>
        <w:spacing w:line="276" w:lineRule="auto"/>
        <w:ind w:left="360"/>
        <w:jc w:val="both"/>
        <w:rPr>
          <w:rFonts w:ascii="ITC Avant Garde" w:hAnsi="ITC Avant Garde"/>
          <w:bCs/>
          <w:sz w:val="21"/>
          <w:szCs w:val="21"/>
        </w:rPr>
      </w:pPr>
      <w:r w:rsidRPr="00DA0A7D">
        <w:rPr>
          <w:rFonts w:ascii="ITC Avant Garde" w:hAnsi="ITC Avant Garde"/>
          <w:bCs/>
          <w:sz w:val="21"/>
          <w:szCs w:val="21"/>
        </w:rPr>
        <w:t xml:space="preserve">No obstante, de la revisión realizada por </w:t>
      </w:r>
      <w:r w:rsidR="00932FBF">
        <w:rPr>
          <w:rFonts w:ascii="ITC Avant Garde" w:hAnsi="ITC Avant Garde"/>
          <w:bCs/>
          <w:sz w:val="21"/>
          <w:szCs w:val="21"/>
        </w:rPr>
        <w:t>la CGMR</w:t>
      </w:r>
      <w:r w:rsidRPr="00DA0A7D">
        <w:rPr>
          <w:rFonts w:ascii="ITC Avant Garde" w:hAnsi="ITC Avant Garde"/>
          <w:bCs/>
          <w:sz w:val="21"/>
          <w:szCs w:val="21"/>
        </w:rPr>
        <w:t xml:space="preserve"> al Anteproyecto</w:t>
      </w:r>
      <w:r w:rsidR="00A50853">
        <w:rPr>
          <w:rFonts w:ascii="ITC Avant Garde" w:hAnsi="ITC Avant Garde"/>
          <w:bCs/>
          <w:sz w:val="21"/>
          <w:szCs w:val="21"/>
        </w:rPr>
        <w:t>,</w:t>
      </w:r>
      <w:r w:rsidRPr="00DA0A7D">
        <w:rPr>
          <w:rFonts w:ascii="ITC Avant Garde" w:hAnsi="ITC Avant Garde"/>
          <w:bCs/>
          <w:sz w:val="21"/>
          <w:szCs w:val="21"/>
        </w:rPr>
        <w:t xml:space="preserve"> se advierte que el mismo contiene diversos apartados que contienen disposicione</w:t>
      </w:r>
      <w:r w:rsidR="00A50853">
        <w:rPr>
          <w:rFonts w:ascii="ITC Avant Garde" w:hAnsi="ITC Avant Garde"/>
          <w:bCs/>
          <w:sz w:val="21"/>
          <w:szCs w:val="21"/>
        </w:rPr>
        <w:t xml:space="preserve">s regulatorias, prohibiciones, </w:t>
      </w:r>
      <w:r w:rsidRPr="00DA0A7D">
        <w:rPr>
          <w:rFonts w:ascii="ITC Avant Garde" w:hAnsi="ITC Avant Garde"/>
          <w:bCs/>
          <w:sz w:val="21"/>
          <w:szCs w:val="21"/>
        </w:rPr>
        <w:t>obligaciones</w:t>
      </w:r>
      <w:r w:rsidR="00A50853">
        <w:rPr>
          <w:rFonts w:ascii="ITC Avant Garde" w:hAnsi="ITC Avant Garde"/>
          <w:bCs/>
          <w:sz w:val="21"/>
          <w:szCs w:val="21"/>
        </w:rPr>
        <w:t xml:space="preserve"> y, </w:t>
      </w:r>
      <w:r w:rsidR="00DA0A7D">
        <w:rPr>
          <w:rFonts w:ascii="ITC Avant Garde" w:hAnsi="ITC Avant Garde"/>
          <w:bCs/>
          <w:sz w:val="21"/>
          <w:szCs w:val="21"/>
        </w:rPr>
        <w:t>en general</w:t>
      </w:r>
      <w:r w:rsidR="00673B75">
        <w:rPr>
          <w:rFonts w:ascii="ITC Avant Garde" w:hAnsi="ITC Avant Garde"/>
          <w:bCs/>
          <w:sz w:val="21"/>
          <w:szCs w:val="21"/>
        </w:rPr>
        <w:t>,</w:t>
      </w:r>
      <w:r w:rsidR="00DA0A7D">
        <w:rPr>
          <w:rFonts w:ascii="ITC Avant Garde" w:hAnsi="ITC Avant Garde"/>
          <w:bCs/>
          <w:sz w:val="21"/>
          <w:szCs w:val="21"/>
        </w:rPr>
        <w:t xml:space="preserve"> acciones reg</w:t>
      </w:r>
      <w:r w:rsidR="00673B75">
        <w:rPr>
          <w:rFonts w:ascii="ITC Avant Garde" w:hAnsi="ITC Avant Garde"/>
          <w:bCs/>
          <w:sz w:val="21"/>
          <w:szCs w:val="21"/>
        </w:rPr>
        <w:t>ulatorias</w:t>
      </w:r>
      <w:r w:rsidRPr="00DA0A7D">
        <w:rPr>
          <w:rFonts w:ascii="ITC Avant Garde" w:hAnsi="ITC Avant Garde"/>
          <w:bCs/>
          <w:sz w:val="21"/>
          <w:szCs w:val="21"/>
        </w:rPr>
        <w:t xml:space="preserve"> a las que estarán sujetos </w:t>
      </w:r>
      <w:r w:rsidR="008B5052">
        <w:rPr>
          <w:rFonts w:ascii="ITC Avant Garde" w:hAnsi="ITC Avant Garde"/>
          <w:bCs/>
          <w:sz w:val="21"/>
          <w:szCs w:val="21"/>
        </w:rPr>
        <w:t>los interesados</w:t>
      </w:r>
      <w:r w:rsidRPr="00DA0A7D">
        <w:rPr>
          <w:rFonts w:ascii="ITC Avant Garde" w:hAnsi="ITC Avant Garde"/>
          <w:bCs/>
          <w:sz w:val="21"/>
          <w:szCs w:val="21"/>
        </w:rPr>
        <w:t xml:space="preserve"> que decidan incorporarse a las medidas propuestas por el Anteproyecto, como </w:t>
      </w:r>
      <w:r w:rsidR="008B5052">
        <w:rPr>
          <w:rFonts w:ascii="ITC Avant Garde" w:hAnsi="ITC Avant Garde"/>
          <w:bCs/>
          <w:sz w:val="21"/>
          <w:szCs w:val="21"/>
        </w:rPr>
        <w:t xml:space="preserve">a manera de ejemplo </w:t>
      </w:r>
      <w:r w:rsidRPr="00DA0A7D">
        <w:rPr>
          <w:rFonts w:ascii="ITC Avant Garde" w:hAnsi="ITC Avant Garde"/>
          <w:bCs/>
          <w:sz w:val="21"/>
          <w:szCs w:val="21"/>
        </w:rPr>
        <w:t>son:</w:t>
      </w:r>
    </w:p>
    <w:p w:rsidR="008B5052" w:rsidRPr="00DA0A7D" w:rsidRDefault="008B5052" w:rsidP="00BF364A">
      <w:pPr>
        <w:pStyle w:val="Default"/>
        <w:spacing w:line="276" w:lineRule="auto"/>
        <w:ind w:left="360"/>
        <w:jc w:val="both"/>
        <w:rPr>
          <w:rFonts w:ascii="ITC Avant Garde" w:hAnsi="ITC Avant Garde"/>
          <w:bCs/>
          <w:sz w:val="21"/>
          <w:szCs w:val="21"/>
        </w:rPr>
      </w:pPr>
    </w:p>
    <w:p w:rsidR="000A3E7C" w:rsidRDefault="000A3E7C" w:rsidP="00BF364A">
      <w:pPr>
        <w:pStyle w:val="Default"/>
        <w:numPr>
          <w:ilvl w:val="0"/>
          <w:numId w:val="7"/>
        </w:numPr>
        <w:spacing w:line="276" w:lineRule="auto"/>
        <w:ind w:left="1134" w:hanging="567"/>
        <w:jc w:val="both"/>
        <w:rPr>
          <w:rFonts w:ascii="ITC Avant Garde" w:hAnsi="ITC Avant Garde"/>
          <w:bCs/>
          <w:sz w:val="21"/>
          <w:szCs w:val="21"/>
        </w:rPr>
      </w:pPr>
      <w:r w:rsidRPr="00DA0A7D">
        <w:rPr>
          <w:rFonts w:ascii="ITC Avant Garde" w:hAnsi="ITC Avant Garde"/>
          <w:bCs/>
          <w:sz w:val="21"/>
          <w:szCs w:val="21"/>
        </w:rPr>
        <w:t xml:space="preserve">Artículo 3.- </w:t>
      </w:r>
      <w:r w:rsidR="00A50853">
        <w:rPr>
          <w:rFonts w:ascii="ITC Avant Garde" w:hAnsi="ITC Avant Garde"/>
          <w:bCs/>
          <w:sz w:val="21"/>
          <w:szCs w:val="21"/>
        </w:rPr>
        <w:t>Establece</w:t>
      </w:r>
      <w:r w:rsidRPr="00DA0A7D">
        <w:rPr>
          <w:rFonts w:ascii="ITC Avant Garde" w:hAnsi="ITC Avant Garde"/>
          <w:bCs/>
          <w:sz w:val="21"/>
          <w:szCs w:val="21"/>
        </w:rPr>
        <w:t xml:space="preserve"> </w:t>
      </w:r>
      <w:r w:rsidR="00A50853">
        <w:rPr>
          <w:rFonts w:ascii="ITC Avant Garde" w:hAnsi="ITC Avant Garde"/>
          <w:bCs/>
          <w:sz w:val="21"/>
          <w:szCs w:val="21"/>
        </w:rPr>
        <w:t xml:space="preserve">las definiciones de </w:t>
      </w:r>
      <w:r w:rsidRPr="00DA0A7D">
        <w:rPr>
          <w:rFonts w:ascii="ITC Avant Garde" w:hAnsi="ITC Avant Garde"/>
          <w:bCs/>
          <w:sz w:val="21"/>
          <w:szCs w:val="21"/>
        </w:rPr>
        <w:t>diversos términos para la aplicación del Anteproyecto.</w:t>
      </w:r>
    </w:p>
    <w:p w:rsidR="008B5052" w:rsidRDefault="008B5052" w:rsidP="008B5052">
      <w:pPr>
        <w:pStyle w:val="Default"/>
        <w:spacing w:line="276" w:lineRule="auto"/>
        <w:ind w:left="1134"/>
        <w:jc w:val="both"/>
        <w:rPr>
          <w:rFonts w:ascii="ITC Avant Garde" w:hAnsi="ITC Avant Garde"/>
          <w:bCs/>
          <w:sz w:val="21"/>
          <w:szCs w:val="21"/>
        </w:rPr>
      </w:pPr>
    </w:p>
    <w:p w:rsidR="003D405A" w:rsidRDefault="00932FBF" w:rsidP="00BF364A">
      <w:pPr>
        <w:pStyle w:val="Default"/>
        <w:numPr>
          <w:ilvl w:val="0"/>
          <w:numId w:val="7"/>
        </w:numPr>
        <w:spacing w:line="276" w:lineRule="auto"/>
        <w:ind w:left="1134" w:hanging="567"/>
        <w:jc w:val="both"/>
        <w:rPr>
          <w:rFonts w:ascii="ITC Avant Garde" w:hAnsi="ITC Avant Garde"/>
          <w:bCs/>
          <w:sz w:val="21"/>
          <w:szCs w:val="21"/>
        </w:rPr>
      </w:pPr>
      <w:r>
        <w:rPr>
          <w:rFonts w:ascii="ITC Avant Garde" w:hAnsi="ITC Avant Garde"/>
          <w:bCs/>
          <w:sz w:val="21"/>
          <w:szCs w:val="21"/>
        </w:rPr>
        <w:t>Artículos 5</w:t>
      </w:r>
      <w:r w:rsidR="004F104B">
        <w:rPr>
          <w:rFonts w:ascii="ITC Avant Garde" w:hAnsi="ITC Avant Garde"/>
          <w:bCs/>
          <w:sz w:val="21"/>
          <w:szCs w:val="21"/>
        </w:rPr>
        <w:t>,</w:t>
      </w:r>
      <w:r w:rsidR="008B5052">
        <w:rPr>
          <w:rFonts w:ascii="ITC Avant Garde" w:hAnsi="ITC Avant Garde"/>
          <w:bCs/>
          <w:sz w:val="21"/>
          <w:szCs w:val="21"/>
        </w:rPr>
        <w:t xml:space="preserve"> 7</w:t>
      </w:r>
      <w:r w:rsidR="004F104B">
        <w:rPr>
          <w:rFonts w:ascii="ITC Avant Garde" w:hAnsi="ITC Avant Garde"/>
          <w:bCs/>
          <w:sz w:val="21"/>
          <w:szCs w:val="21"/>
        </w:rPr>
        <w:t>, 9 y 12</w:t>
      </w:r>
      <w:r w:rsidR="003D405A" w:rsidRPr="00DA0A7D">
        <w:rPr>
          <w:rFonts w:ascii="ITC Avant Garde" w:hAnsi="ITC Avant Garde"/>
          <w:bCs/>
          <w:sz w:val="21"/>
          <w:szCs w:val="21"/>
        </w:rPr>
        <w:t>.- Establec</w:t>
      </w:r>
      <w:r w:rsidR="00A50853">
        <w:rPr>
          <w:rFonts w:ascii="ITC Avant Garde" w:hAnsi="ITC Avant Garde"/>
          <w:bCs/>
          <w:sz w:val="21"/>
          <w:szCs w:val="21"/>
        </w:rPr>
        <w:t>en</w:t>
      </w:r>
      <w:r w:rsidR="003D405A" w:rsidRPr="00DA0A7D">
        <w:rPr>
          <w:rFonts w:ascii="ITC Avant Garde" w:hAnsi="ITC Avant Garde"/>
          <w:bCs/>
          <w:sz w:val="21"/>
          <w:szCs w:val="21"/>
        </w:rPr>
        <w:t xml:space="preserve"> diversas disposiciones normativas a las que </w:t>
      </w:r>
      <w:r w:rsidR="00A50853">
        <w:rPr>
          <w:rFonts w:ascii="ITC Avant Garde" w:hAnsi="ITC Avant Garde"/>
          <w:bCs/>
          <w:sz w:val="21"/>
          <w:szCs w:val="21"/>
        </w:rPr>
        <w:t xml:space="preserve">estarán </w:t>
      </w:r>
      <w:r w:rsidR="003D405A" w:rsidRPr="00DA0A7D">
        <w:rPr>
          <w:rFonts w:ascii="ITC Avant Garde" w:hAnsi="ITC Avant Garde"/>
          <w:bCs/>
          <w:sz w:val="21"/>
          <w:szCs w:val="21"/>
        </w:rPr>
        <w:t>sujetos los concesionarios que decidan arrendar</w:t>
      </w:r>
      <w:r w:rsidR="00A50853">
        <w:rPr>
          <w:rFonts w:ascii="ITC Avant Garde" w:hAnsi="ITC Avant Garde"/>
          <w:bCs/>
          <w:sz w:val="21"/>
          <w:szCs w:val="21"/>
        </w:rPr>
        <w:t xml:space="preserve"> espectro radioeléctrico</w:t>
      </w:r>
      <w:r w:rsidR="008B5052">
        <w:rPr>
          <w:rFonts w:ascii="ITC Avant Garde" w:hAnsi="ITC Avant Garde"/>
          <w:bCs/>
          <w:sz w:val="21"/>
          <w:szCs w:val="21"/>
        </w:rPr>
        <w:t>, como por ejemplo:</w:t>
      </w:r>
    </w:p>
    <w:p w:rsidR="008B5052" w:rsidRDefault="008B5052" w:rsidP="008B5052">
      <w:pPr>
        <w:pStyle w:val="Default"/>
        <w:spacing w:line="276" w:lineRule="auto"/>
        <w:jc w:val="both"/>
        <w:rPr>
          <w:rFonts w:ascii="ITC Avant Garde" w:hAnsi="ITC Avant Garde"/>
          <w:bCs/>
          <w:sz w:val="21"/>
          <w:szCs w:val="21"/>
        </w:rPr>
      </w:pPr>
    </w:p>
    <w:p w:rsidR="00A50853" w:rsidRDefault="00673B75" w:rsidP="00932FBF">
      <w:pPr>
        <w:pStyle w:val="Default"/>
        <w:numPr>
          <w:ilvl w:val="0"/>
          <w:numId w:val="10"/>
        </w:numPr>
        <w:spacing w:line="276" w:lineRule="auto"/>
        <w:jc w:val="both"/>
        <w:rPr>
          <w:rFonts w:ascii="ITC Avant Garde" w:hAnsi="ITC Avant Garde"/>
          <w:bCs/>
          <w:sz w:val="21"/>
          <w:szCs w:val="21"/>
        </w:rPr>
      </w:pPr>
      <w:r>
        <w:rPr>
          <w:rFonts w:ascii="ITC Avant Garde" w:hAnsi="ITC Avant Garde"/>
          <w:bCs/>
          <w:i/>
          <w:sz w:val="21"/>
          <w:szCs w:val="21"/>
        </w:rPr>
        <w:t xml:space="preserve">Artículo </w:t>
      </w:r>
      <w:r w:rsidR="00932FBF">
        <w:rPr>
          <w:rFonts w:ascii="ITC Avant Garde" w:hAnsi="ITC Avant Garde"/>
          <w:bCs/>
          <w:i/>
          <w:sz w:val="21"/>
          <w:szCs w:val="21"/>
        </w:rPr>
        <w:t>5</w:t>
      </w:r>
      <w:r>
        <w:rPr>
          <w:rFonts w:ascii="ITC Avant Garde" w:hAnsi="ITC Avant Garde"/>
          <w:bCs/>
          <w:i/>
          <w:sz w:val="21"/>
          <w:szCs w:val="21"/>
        </w:rPr>
        <w:t xml:space="preserve">.- </w:t>
      </w:r>
      <w:r w:rsidR="003D405A" w:rsidRPr="00A50853">
        <w:rPr>
          <w:rFonts w:ascii="ITC Avant Garde" w:hAnsi="ITC Avant Garde"/>
          <w:bCs/>
          <w:i/>
          <w:sz w:val="21"/>
          <w:szCs w:val="21"/>
        </w:rPr>
        <w:t>“</w:t>
      </w:r>
      <w:r w:rsidR="00932FBF" w:rsidRPr="00932FBF">
        <w:rPr>
          <w:rFonts w:ascii="ITC Avant Garde" w:hAnsi="ITC Avant Garde"/>
          <w:b/>
          <w:bCs/>
          <w:i/>
          <w:sz w:val="21"/>
          <w:szCs w:val="21"/>
        </w:rPr>
        <w:t>Únicamente podrán ser objeto</w:t>
      </w:r>
      <w:r w:rsidR="00932FBF" w:rsidRPr="00932FBF">
        <w:rPr>
          <w:rFonts w:ascii="ITC Avant Garde" w:hAnsi="ITC Avant Garde"/>
          <w:bCs/>
          <w:i/>
          <w:sz w:val="21"/>
          <w:szCs w:val="21"/>
        </w:rPr>
        <w:t xml:space="preserve"> </w:t>
      </w:r>
      <w:r w:rsidR="00932FBF" w:rsidRPr="00932FBF">
        <w:rPr>
          <w:rFonts w:ascii="ITC Avant Garde" w:hAnsi="ITC Avant Garde"/>
          <w:b/>
          <w:bCs/>
          <w:i/>
          <w:sz w:val="21"/>
          <w:szCs w:val="21"/>
        </w:rPr>
        <w:t>de arrendamiento</w:t>
      </w:r>
      <w:r w:rsidR="00932FBF" w:rsidRPr="00932FBF">
        <w:rPr>
          <w:rFonts w:ascii="ITC Avant Garde" w:hAnsi="ITC Avant Garde"/>
          <w:bCs/>
          <w:i/>
          <w:sz w:val="21"/>
          <w:szCs w:val="21"/>
        </w:rPr>
        <w:t xml:space="preserve"> las Bandas de Frecuencias, cuyos fines sean para uso comercial o para uso privado con propósitos de comunicación privada, previa autorización del Instituto</w:t>
      </w:r>
      <w:r w:rsidR="003D405A" w:rsidRPr="00A50853">
        <w:rPr>
          <w:rFonts w:ascii="ITC Avant Garde" w:hAnsi="ITC Avant Garde"/>
          <w:bCs/>
          <w:i/>
          <w:sz w:val="21"/>
          <w:szCs w:val="21"/>
        </w:rPr>
        <w:t>”</w:t>
      </w:r>
      <w:r w:rsidR="00932FBF" w:rsidRPr="00932FBF">
        <w:rPr>
          <w:rFonts w:ascii="ITC Avant Garde" w:hAnsi="ITC Avant Garde"/>
          <w:bCs/>
          <w:sz w:val="21"/>
          <w:szCs w:val="21"/>
        </w:rPr>
        <w:t xml:space="preserve"> </w:t>
      </w:r>
      <w:r w:rsidR="00932FBF">
        <w:rPr>
          <w:rFonts w:ascii="ITC Avant Garde" w:hAnsi="ITC Avant Garde"/>
          <w:bCs/>
          <w:sz w:val="21"/>
          <w:szCs w:val="21"/>
        </w:rPr>
        <w:t>(énfasis añadido)</w:t>
      </w:r>
      <w:r w:rsidR="00932FBF" w:rsidRPr="00A50853">
        <w:rPr>
          <w:rFonts w:ascii="ITC Avant Garde" w:hAnsi="ITC Avant Garde"/>
          <w:bCs/>
          <w:sz w:val="21"/>
          <w:szCs w:val="21"/>
        </w:rPr>
        <w:t>.</w:t>
      </w:r>
    </w:p>
    <w:p w:rsidR="00586D87" w:rsidRPr="00586D87" w:rsidRDefault="00586D87" w:rsidP="00586D87">
      <w:pPr>
        <w:pStyle w:val="Default"/>
        <w:spacing w:line="276" w:lineRule="auto"/>
        <w:ind w:left="1854"/>
        <w:jc w:val="both"/>
        <w:rPr>
          <w:rFonts w:ascii="ITC Avant Garde" w:hAnsi="ITC Avant Garde"/>
          <w:bCs/>
          <w:sz w:val="21"/>
          <w:szCs w:val="21"/>
        </w:rPr>
      </w:pPr>
    </w:p>
    <w:p w:rsidR="00A50853" w:rsidRDefault="00673B75" w:rsidP="00932FBF">
      <w:pPr>
        <w:pStyle w:val="Default"/>
        <w:numPr>
          <w:ilvl w:val="0"/>
          <w:numId w:val="10"/>
        </w:numPr>
        <w:spacing w:line="276" w:lineRule="auto"/>
        <w:jc w:val="both"/>
        <w:rPr>
          <w:rFonts w:ascii="ITC Avant Garde" w:hAnsi="ITC Avant Garde"/>
          <w:bCs/>
          <w:sz w:val="21"/>
          <w:szCs w:val="21"/>
        </w:rPr>
      </w:pPr>
      <w:r w:rsidRPr="00673B75">
        <w:rPr>
          <w:rFonts w:ascii="ITC Avant Garde" w:hAnsi="ITC Avant Garde"/>
          <w:bCs/>
          <w:i/>
          <w:sz w:val="21"/>
          <w:szCs w:val="21"/>
        </w:rPr>
        <w:t>Artículo</w:t>
      </w:r>
      <w:r w:rsidR="00932FBF">
        <w:rPr>
          <w:rFonts w:ascii="ITC Avant Garde" w:hAnsi="ITC Avant Garde"/>
          <w:bCs/>
          <w:i/>
          <w:sz w:val="21"/>
          <w:szCs w:val="21"/>
        </w:rPr>
        <w:t xml:space="preserve"> 7</w:t>
      </w:r>
      <w:r w:rsidRPr="00673B75">
        <w:rPr>
          <w:rFonts w:ascii="ITC Avant Garde" w:hAnsi="ITC Avant Garde"/>
          <w:bCs/>
          <w:i/>
          <w:sz w:val="21"/>
          <w:szCs w:val="21"/>
        </w:rPr>
        <w:t>.-</w:t>
      </w:r>
      <w:r>
        <w:rPr>
          <w:rFonts w:ascii="ITC Avant Garde" w:hAnsi="ITC Avant Garde"/>
          <w:bCs/>
          <w:sz w:val="21"/>
          <w:szCs w:val="21"/>
        </w:rPr>
        <w:t xml:space="preserve"> </w:t>
      </w:r>
      <w:r w:rsidR="004F104B">
        <w:rPr>
          <w:rFonts w:ascii="ITC Avant Garde" w:hAnsi="ITC Avant Garde"/>
          <w:bCs/>
          <w:i/>
          <w:sz w:val="21"/>
          <w:szCs w:val="21"/>
        </w:rPr>
        <w:t>“</w:t>
      </w:r>
      <w:r w:rsidR="00932FBF" w:rsidRPr="00932FBF">
        <w:rPr>
          <w:rFonts w:ascii="ITC Avant Garde" w:hAnsi="ITC Avant Garde"/>
          <w:bCs/>
          <w:i/>
          <w:sz w:val="21"/>
          <w:szCs w:val="21"/>
        </w:rPr>
        <w:t>Cualquier persona física o moral</w:t>
      </w:r>
      <w:r w:rsidR="00932FBF" w:rsidRPr="00932FBF">
        <w:rPr>
          <w:rFonts w:ascii="ITC Avant Garde" w:hAnsi="ITC Avant Garde"/>
          <w:b/>
          <w:bCs/>
          <w:i/>
          <w:sz w:val="21"/>
          <w:szCs w:val="21"/>
        </w:rPr>
        <w:t xml:space="preserve"> que cumpla con los requisitos </w:t>
      </w:r>
      <w:r w:rsidR="00932FBF" w:rsidRPr="00932FBF">
        <w:rPr>
          <w:rFonts w:ascii="ITC Avant Garde" w:hAnsi="ITC Avant Garde"/>
          <w:bCs/>
          <w:i/>
          <w:sz w:val="21"/>
          <w:szCs w:val="21"/>
        </w:rPr>
        <w:t xml:space="preserve">establecidos en la Ley y en los presentes Lineamientos podrá celebrar con </w:t>
      </w:r>
      <w:r w:rsidR="00932FBF" w:rsidRPr="00932FBF">
        <w:rPr>
          <w:rFonts w:ascii="ITC Avant Garde" w:hAnsi="ITC Avant Garde"/>
          <w:bCs/>
          <w:i/>
          <w:sz w:val="21"/>
          <w:szCs w:val="21"/>
        </w:rPr>
        <w:lastRenderedPageBreak/>
        <w:t>el titular de una Concesión de Espectro Radioeléctrico para Uso Comercial o de una Concesión de Espectro Radioeléctrico para Uso Privado vigente un Contrato de Arrendamiento</w:t>
      </w:r>
      <w:r w:rsidR="00F844B2" w:rsidRPr="00673B75">
        <w:rPr>
          <w:rFonts w:ascii="ITC Avant Garde" w:hAnsi="ITC Avant Garde"/>
          <w:bCs/>
          <w:i/>
          <w:sz w:val="21"/>
          <w:szCs w:val="21"/>
        </w:rPr>
        <w:t>”</w:t>
      </w:r>
      <w:r>
        <w:rPr>
          <w:rFonts w:ascii="ITC Avant Garde" w:hAnsi="ITC Avant Garde"/>
          <w:bCs/>
          <w:sz w:val="21"/>
          <w:szCs w:val="21"/>
        </w:rPr>
        <w:t xml:space="preserve"> (énfasis añadido)</w:t>
      </w:r>
      <w:r w:rsidR="00F844B2" w:rsidRPr="00A50853">
        <w:rPr>
          <w:rFonts w:ascii="ITC Avant Garde" w:hAnsi="ITC Avant Garde"/>
          <w:bCs/>
          <w:sz w:val="21"/>
          <w:szCs w:val="21"/>
        </w:rPr>
        <w:t>.</w:t>
      </w:r>
    </w:p>
    <w:p w:rsidR="008B5052" w:rsidRDefault="008B5052" w:rsidP="008B5052">
      <w:pPr>
        <w:pStyle w:val="Default"/>
        <w:spacing w:line="276" w:lineRule="auto"/>
        <w:ind w:left="1854"/>
        <w:jc w:val="both"/>
        <w:rPr>
          <w:rFonts w:ascii="ITC Avant Garde" w:hAnsi="ITC Avant Garde"/>
          <w:bCs/>
          <w:sz w:val="21"/>
          <w:szCs w:val="21"/>
        </w:rPr>
      </w:pPr>
    </w:p>
    <w:p w:rsidR="00932FBF" w:rsidRDefault="00673B75" w:rsidP="00932FBF">
      <w:pPr>
        <w:pStyle w:val="Default"/>
        <w:numPr>
          <w:ilvl w:val="0"/>
          <w:numId w:val="10"/>
        </w:numPr>
        <w:jc w:val="both"/>
        <w:rPr>
          <w:rFonts w:ascii="ITC Avant Garde" w:hAnsi="ITC Avant Garde"/>
          <w:bCs/>
          <w:i/>
          <w:sz w:val="21"/>
          <w:szCs w:val="21"/>
        </w:rPr>
      </w:pPr>
      <w:r>
        <w:rPr>
          <w:rFonts w:ascii="ITC Avant Garde" w:hAnsi="ITC Avant Garde"/>
          <w:bCs/>
          <w:i/>
          <w:sz w:val="21"/>
          <w:szCs w:val="21"/>
        </w:rPr>
        <w:t>Artículo 9.- “</w:t>
      </w:r>
      <w:r w:rsidR="00932FBF" w:rsidRPr="00932FBF">
        <w:rPr>
          <w:rFonts w:ascii="ITC Avant Garde" w:hAnsi="ITC Avant Garde"/>
          <w:bCs/>
          <w:i/>
          <w:sz w:val="21"/>
          <w:szCs w:val="21"/>
        </w:rPr>
        <w:t xml:space="preserve">Los titulares de una Concesión de Espectro Radioeléctrico para Uso Comercial </w:t>
      </w:r>
      <w:r w:rsidR="00932FBF" w:rsidRPr="00932FBF">
        <w:rPr>
          <w:rFonts w:ascii="ITC Avant Garde" w:hAnsi="ITC Avant Garde"/>
          <w:b/>
          <w:bCs/>
          <w:i/>
          <w:sz w:val="21"/>
          <w:szCs w:val="21"/>
        </w:rPr>
        <w:t>sólo podrán</w:t>
      </w:r>
      <w:r w:rsidR="00932FBF" w:rsidRPr="00932FBF">
        <w:rPr>
          <w:rFonts w:ascii="ITC Avant Garde" w:hAnsi="ITC Avant Garde"/>
          <w:bCs/>
          <w:i/>
          <w:sz w:val="21"/>
          <w:szCs w:val="21"/>
        </w:rPr>
        <w:t xml:space="preserve"> </w:t>
      </w:r>
      <w:r w:rsidR="00932FBF" w:rsidRPr="00932FBF">
        <w:rPr>
          <w:rFonts w:ascii="ITC Avant Garde" w:hAnsi="ITC Avant Garde"/>
          <w:b/>
          <w:bCs/>
          <w:i/>
          <w:sz w:val="21"/>
          <w:szCs w:val="21"/>
        </w:rPr>
        <w:t>dar en arrendamiento</w:t>
      </w:r>
      <w:r w:rsidR="00932FBF" w:rsidRPr="00932FBF">
        <w:rPr>
          <w:rFonts w:ascii="ITC Avant Garde" w:hAnsi="ITC Avant Garde"/>
          <w:bCs/>
          <w:i/>
          <w:sz w:val="21"/>
          <w:szCs w:val="21"/>
        </w:rPr>
        <w:t xml:space="preserve"> Bandas de Frecuencias a titulares de Concesiones Únicas para Uso Comercial.</w:t>
      </w:r>
    </w:p>
    <w:p w:rsidR="008B5052" w:rsidRPr="00932FBF" w:rsidRDefault="008B5052" w:rsidP="008B5052">
      <w:pPr>
        <w:pStyle w:val="Default"/>
        <w:jc w:val="both"/>
        <w:rPr>
          <w:rFonts w:ascii="ITC Avant Garde" w:hAnsi="ITC Avant Garde"/>
          <w:bCs/>
          <w:i/>
          <w:sz w:val="21"/>
          <w:szCs w:val="21"/>
        </w:rPr>
      </w:pPr>
    </w:p>
    <w:p w:rsidR="00673B75" w:rsidRDefault="00932FBF" w:rsidP="00932FBF">
      <w:pPr>
        <w:pStyle w:val="Default"/>
        <w:spacing w:line="276" w:lineRule="auto"/>
        <w:ind w:left="1854"/>
        <w:jc w:val="both"/>
        <w:rPr>
          <w:rFonts w:ascii="ITC Avant Garde" w:hAnsi="ITC Avant Garde"/>
          <w:bCs/>
          <w:i/>
          <w:sz w:val="21"/>
          <w:szCs w:val="21"/>
        </w:rPr>
      </w:pPr>
      <w:r w:rsidRPr="00932FBF">
        <w:rPr>
          <w:rFonts w:ascii="ITC Avant Garde" w:hAnsi="ITC Avant Garde"/>
          <w:bCs/>
          <w:i/>
          <w:sz w:val="21"/>
          <w:szCs w:val="21"/>
        </w:rPr>
        <w:t xml:space="preserve">Los titulares de una Concesión de Espectro Radioeléctrico para Uso Privado </w:t>
      </w:r>
      <w:r w:rsidRPr="00932FBF">
        <w:rPr>
          <w:rFonts w:ascii="ITC Avant Garde" w:hAnsi="ITC Avant Garde"/>
          <w:b/>
          <w:bCs/>
          <w:i/>
          <w:sz w:val="21"/>
          <w:szCs w:val="21"/>
        </w:rPr>
        <w:t>sólo podrán dar en arrendamiento</w:t>
      </w:r>
      <w:r w:rsidRPr="00932FBF">
        <w:rPr>
          <w:rFonts w:ascii="ITC Avant Garde" w:hAnsi="ITC Avant Garde"/>
          <w:bCs/>
          <w:i/>
          <w:sz w:val="21"/>
          <w:szCs w:val="21"/>
        </w:rPr>
        <w:t xml:space="preserve"> Bandas de Frecuencias a titulares de Concesiones Únicas para Uso Privado</w:t>
      </w:r>
      <w:r w:rsidR="00673B75">
        <w:rPr>
          <w:rFonts w:ascii="ITC Avant Garde" w:hAnsi="ITC Avant Garde"/>
          <w:bCs/>
          <w:i/>
          <w:sz w:val="21"/>
          <w:szCs w:val="21"/>
        </w:rPr>
        <w:t xml:space="preserve">” </w:t>
      </w:r>
      <w:r w:rsidR="00673B75">
        <w:rPr>
          <w:rFonts w:ascii="ITC Avant Garde" w:hAnsi="ITC Avant Garde"/>
          <w:bCs/>
          <w:sz w:val="21"/>
          <w:szCs w:val="21"/>
        </w:rPr>
        <w:t>(énfasis añadido)</w:t>
      </w:r>
      <w:r w:rsidR="008B5052">
        <w:rPr>
          <w:rFonts w:ascii="ITC Avant Garde" w:hAnsi="ITC Avant Garde"/>
          <w:bCs/>
          <w:i/>
          <w:sz w:val="21"/>
          <w:szCs w:val="21"/>
        </w:rPr>
        <w:t>.</w:t>
      </w:r>
    </w:p>
    <w:p w:rsidR="008B5052" w:rsidRDefault="008B5052" w:rsidP="00932FBF">
      <w:pPr>
        <w:pStyle w:val="Default"/>
        <w:spacing w:line="276" w:lineRule="auto"/>
        <w:ind w:left="1854"/>
        <w:jc w:val="both"/>
        <w:rPr>
          <w:rFonts w:ascii="ITC Avant Garde" w:hAnsi="ITC Avant Garde"/>
          <w:bCs/>
          <w:sz w:val="21"/>
          <w:szCs w:val="21"/>
        </w:rPr>
      </w:pPr>
    </w:p>
    <w:p w:rsidR="003D405A" w:rsidRDefault="00673B75" w:rsidP="00BF364A">
      <w:pPr>
        <w:pStyle w:val="Default"/>
        <w:numPr>
          <w:ilvl w:val="0"/>
          <w:numId w:val="10"/>
        </w:numPr>
        <w:spacing w:line="276" w:lineRule="auto"/>
        <w:jc w:val="both"/>
        <w:rPr>
          <w:rFonts w:ascii="ITC Avant Garde" w:hAnsi="ITC Avant Garde"/>
          <w:bCs/>
          <w:sz w:val="21"/>
          <w:szCs w:val="21"/>
        </w:rPr>
      </w:pPr>
      <w:r w:rsidRPr="00673B75">
        <w:rPr>
          <w:rFonts w:ascii="ITC Avant Garde" w:hAnsi="ITC Avant Garde"/>
          <w:bCs/>
          <w:i/>
          <w:sz w:val="21"/>
          <w:szCs w:val="21"/>
        </w:rPr>
        <w:t>Artículo 12.-</w:t>
      </w:r>
      <w:r>
        <w:rPr>
          <w:rFonts w:ascii="ITC Avant Garde" w:hAnsi="ITC Avant Garde"/>
          <w:bCs/>
          <w:sz w:val="21"/>
          <w:szCs w:val="21"/>
        </w:rPr>
        <w:t xml:space="preserve"> </w:t>
      </w:r>
      <w:r w:rsidRPr="004F104B">
        <w:rPr>
          <w:rFonts w:ascii="ITC Avant Garde" w:hAnsi="ITC Avant Garde"/>
          <w:bCs/>
          <w:i/>
          <w:sz w:val="21"/>
          <w:szCs w:val="21"/>
        </w:rPr>
        <w:t>“Las clá</w:t>
      </w:r>
      <w:r w:rsidR="003D405A" w:rsidRPr="004F104B">
        <w:rPr>
          <w:rFonts w:ascii="ITC Avant Garde" w:hAnsi="ITC Avant Garde"/>
          <w:bCs/>
          <w:i/>
          <w:sz w:val="21"/>
          <w:szCs w:val="21"/>
        </w:rPr>
        <w:t xml:space="preserve">usulas previstas en los Contratos de Arrendamiento que se opongan a los presentes Lineamientos y/o la Ley, </w:t>
      </w:r>
      <w:r w:rsidR="003D405A" w:rsidRPr="004F104B">
        <w:rPr>
          <w:rFonts w:ascii="ITC Avant Garde" w:hAnsi="ITC Avant Garde"/>
          <w:b/>
          <w:bCs/>
          <w:i/>
          <w:sz w:val="21"/>
          <w:szCs w:val="21"/>
        </w:rPr>
        <w:t>se tendrán por no puestas y no surtirán efecto jurídico alguno</w:t>
      </w:r>
      <w:r w:rsidR="003D405A" w:rsidRPr="004F104B">
        <w:rPr>
          <w:rFonts w:ascii="ITC Avant Garde" w:hAnsi="ITC Avant Garde"/>
          <w:bCs/>
          <w:i/>
          <w:sz w:val="21"/>
          <w:szCs w:val="21"/>
        </w:rPr>
        <w:t>”</w:t>
      </w:r>
      <w:r>
        <w:rPr>
          <w:rFonts w:ascii="ITC Avant Garde" w:hAnsi="ITC Avant Garde"/>
          <w:bCs/>
          <w:sz w:val="21"/>
          <w:szCs w:val="21"/>
        </w:rPr>
        <w:t xml:space="preserve"> (énfasis añadido)</w:t>
      </w:r>
      <w:r w:rsidR="003D405A" w:rsidRPr="00A50853">
        <w:rPr>
          <w:rFonts w:ascii="ITC Avant Garde" w:hAnsi="ITC Avant Garde"/>
          <w:bCs/>
          <w:sz w:val="21"/>
          <w:szCs w:val="21"/>
        </w:rPr>
        <w:t>.</w:t>
      </w:r>
    </w:p>
    <w:p w:rsidR="008B5052" w:rsidRPr="008B5052" w:rsidRDefault="008B5052" w:rsidP="008B5052">
      <w:pPr>
        <w:pStyle w:val="Default"/>
        <w:spacing w:line="276" w:lineRule="auto"/>
        <w:jc w:val="both"/>
        <w:rPr>
          <w:rFonts w:ascii="ITC Avant Garde" w:hAnsi="ITC Avant Garde"/>
          <w:bCs/>
          <w:sz w:val="21"/>
          <w:szCs w:val="21"/>
        </w:rPr>
      </w:pPr>
    </w:p>
    <w:p w:rsidR="00F844B2" w:rsidRDefault="00F844B2" w:rsidP="00BF364A">
      <w:pPr>
        <w:pStyle w:val="Default"/>
        <w:numPr>
          <w:ilvl w:val="0"/>
          <w:numId w:val="7"/>
        </w:numPr>
        <w:spacing w:line="276" w:lineRule="auto"/>
        <w:ind w:left="1134" w:hanging="567"/>
        <w:jc w:val="both"/>
        <w:rPr>
          <w:rFonts w:ascii="ITC Avant Garde" w:hAnsi="ITC Avant Garde"/>
          <w:bCs/>
          <w:sz w:val="21"/>
          <w:szCs w:val="21"/>
        </w:rPr>
      </w:pPr>
      <w:r w:rsidRPr="00DA0A7D">
        <w:rPr>
          <w:rFonts w:ascii="ITC Avant Garde" w:hAnsi="ITC Avant Garde"/>
          <w:bCs/>
          <w:sz w:val="21"/>
          <w:szCs w:val="21"/>
        </w:rPr>
        <w:t>Artículo</w:t>
      </w:r>
      <w:r w:rsidR="008B5052">
        <w:rPr>
          <w:rFonts w:ascii="ITC Avant Garde" w:hAnsi="ITC Avant Garde"/>
          <w:bCs/>
          <w:sz w:val="21"/>
          <w:szCs w:val="21"/>
        </w:rPr>
        <w:t>s</w:t>
      </w:r>
      <w:r w:rsidRPr="00DA0A7D">
        <w:rPr>
          <w:rFonts w:ascii="ITC Avant Garde" w:hAnsi="ITC Avant Garde"/>
          <w:bCs/>
          <w:sz w:val="21"/>
          <w:szCs w:val="21"/>
        </w:rPr>
        <w:t xml:space="preserve"> 1</w:t>
      </w:r>
      <w:r w:rsidR="00D002AE">
        <w:rPr>
          <w:rFonts w:ascii="ITC Avant Garde" w:hAnsi="ITC Avant Garde"/>
          <w:bCs/>
          <w:sz w:val="21"/>
          <w:szCs w:val="21"/>
        </w:rPr>
        <w:t>3 a 15</w:t>
      </w:r>
      <w:r w:rsidRPr="00DA0A7D">
        <w:rPr>
          <w:rFonts w:ascii="ITC Avant Garde" w:hAnsi="ITC Avant Garde"/>
          <w:bCs/>
          <w:sz w:val="21"/>
          <w:szCs w:val="21"/>
        </w:rPr>
        <w:t xml:space="preserve">.- </w:t>
      </w:r>
      <w:r w:rsidR="00A50853">
        <w:rPr>
          <w:rFonts w:ascii="ITC Avant Garde" w:hAnsi="ITC Avant Garde"/>
          <w:bCs/>
          <w:sz w:val="21"/>
          <w:szCs w:val="21"/>
        </w:rPr>
        <w:t>Fijan</w:t>
      </w:r>
      <w:r w:rsidRPr="00DA0A7D">
        <w:rPr>
          <w:rFonts w:ascii="ITC Avant Garde" w:hAnsi="ITC Avant Garde"/>
          <w:bCs/>
          <w:sz w:val="21"/>
          <w:szCs w:val="21"/>
        </w:rPr>
        <w:t xml:space="preserve"> diversas cláusulas, términos y condiciones que deberán contener, cuando menos, los Contratos de Arrendamiento </w:t>
      </w:r>
      <w:r w:rsidR="00A50853">
        <w:rPr>
          <w:rFonts w:ascii="ITC Avant Garde" w:hAnsi="ITC Avant Garde"/>
          <w:bCs/>
          <w:sz w:val="21"/>
          <w:szCs w:val="21"/>
        </w:rPr>
        <w:t>de bandas de f</w:t>
      </w:r>
      <w:r w:rsidR="00A50853" w:rsidRPr="00DA0A7D">
        <w:rPr>
          <w:rFonts w:ascii="ITC Avant Garde" w:hAnsi="ITC Avant Garde"/>
          <w:bCs/>
          <w:sz w:val="21"/>
          <w:szCs w:val="21"/>
        </w:rPr>
        <w:t>recuencias</w:t>
      </w:r>
      <w:r w:rsidR="00A50853">
        <w:rPr>
          <w:rFonts w:ascii="ITC Avant Garde" w:hAnsi="ITC Avant Garde"/>
          <w:bCs/>
          <w:sz w:val="21"/>
          <w:szCs w:val="21"/>
        </w:rPr>
        <w:t xml:space="preserve"> de espectro radioeléctrico</w:t>
      </w:r>
      <w:r w:rsidR="00A50853" w:rsidRPr="00DA0A7D">
        <w:rPr>
          <w:rFonts w:ascii="ITC Avant Garde" w:hAnsi="ITC Avant Garde"/>
          <w:bCs/>
          <w:sz w:val="21"/>
          <w:szCs w:val="21"/>
        </w:rPr>
        <w:t xml:space="preserve"> </w:t>
      </w:r>
      <w:r w:rsidRPr="00DA0A7D">
        <w:rPr>
          <w:rFonts w:ascii="ITC Avant Garde" w:hAnsi="ITC Avant Garde"/>
          <w:bCs/>
          <w:sz w:val="21"/>
          <w:szCs w:val="21"/>
        </w:rPr>
        <w:t>que se sometan a la consideración de</w:t>
      </w:r>
      <w:r w:rsidR="00A50853">
        <w:rPr>
          <w:rFonts w:ascii="ITC Avant Garde" w:hAnsi="ITC Avant Garde"/>
          <w:bCs/>
          <w:sz w:val="21"/>
          <w:szCs w:val="21"/>
        </w:rPr>
        <w:t>l</w:t>
      </w:r>
      <w:r w:rsidRPr="00DA0A7D">
        <w:rPr>
          <w:rFonts w:ascii="ITC Avant Garde" w:hAnsi="ITC Avant Garde"/>
          <w:bCs/>
          <w:sz w:val="21"/>
          <w:szCs w:val="21"/>
        </w:rPr>
        <w:t xml:space="preserve"> Instituto.</w:t>
      </w:r>
    </w:p>
    <w:p w:rsidR="008B5052" w:rsidRPr="00DA0A7D" w:rsidRDefault="008B5052" w:rsidP="008B5052">
      <w:pPr>
        <w:pStyle w:val="Default"/>
        <w:spacing w:line="276" w:lineRule="auto"/>
        <w:ind w:left="567"/>
        <w:jc w:val="both"/>
        <w:rPr>
          <w:rFonts w:ascii="ITC Avant Garde" w:hAnsi="ITC Avant Garde"/>
          <w:bCs/>
          <w:sz w:val="21"/>
          <w:szCs w:val="21"/>
        </w:rPr>
      </w:pPr>
    </w:p>
    <w:p w:rsidR="00F844B2" w:rsidRDefault="00D002AE" w:rsidP="00BF364A">
      <w:pPr>
        <w:pStyle w:val="Default"/>
        <w:numPr>
          <w:ilvl w:val="0"/>
          <w:numId w:val="7"/>
        </w:numPr>
        <w:spacing w:line="276" w:lineRule="auto"/>
        <w:ind w:left="1134" w:hanging="567"/>
        <w:jc w:val="both"/>
        <w:rPr>
          <w:rFonts w:ascii="ITC Avant Garde" w:hAnsi="ITC Avant Garde"/>
          <w:bCs/>
          <w:sz w:val="21"/>
          <w:szCs w:val="21"/>
        </w:rPr>
      </w:pPr>
      <w:r>
        <w:rPr>
          <w:rFonts w:ascii="ITC Avant Garde" w:hAnsi="ITC Avant Garde"/>
          <w:bCs/>
          <w:sz w:val="21"/>
          <w:szCs w:val="21"/>
        </w:rPr>
        <w:t>Artículos 26 a 28</w:t>
      </w:r>
      <w:r w:rsidR="00F844B2" w:rsidRPr="00DA0A7D">
        <w:rPr>
          <w:rFonts w:ascii="ITC Avant Garde" w:hAnsi="ITC Avant Garde"/>
          <w:bCs/>
          <w:sz w:val="21"/>
          <w:szCs w:val="21"/>
        </w:rPr>
        <w:t xml:space="preserve">.- </w:t>
      </w:r>
      <w:r w:rsidR="00A50853">
        <w:rPr>
          <w:rFonts w:ascii="ITC Avant Garde" w:hAnsi="ITC Avant Garde"/>
          <w:bCs/>
          <w:sz w:val="21"/>
          <w:szCs w:val="21"/>
        </w:rPr>
        <w:t>Establecen la figura del</w:t>
      </w:r>
      <w:r w:rsidR="00F844B2" w:rsidRPr="00DA0A7D">
        <w:rPr>
          <w:rFonts w:ascii="ITC Avant Garde" w:hAnsi="ITC Avant Garde"/>
          <w:bCs/>
          <w:sz w:val="21"/>
          <w:szCs w:val="21"/>
        </w:rPr>
        <w:t xml:space="preserve"> subarrendamiento, sus requisitos para su obtención, así como diversas disposiciones regulatorias a observar.</w:t>
      </w:r>
    </w:p>
    <w:p w:rsidR="00D002AE" w:rsidRPr="00DA0A7D" w:rsidRDefault="00D002AE" w:rsidP="00D002AE">
      <w:pPr>
        <w:pStyle w:val="Default"/>
        <w:spacing w:line="276" w:lineRule="auto"/>
        <w:ind w:left="1134"/>
        <w:jc w:val="both"/>
        <w:rPr>
          <w:rFonts w:ascii="ITC Avant Garde" w:hAnsi="ITC Avant Garde"/>
          <w:bCs/>
          <w:sz w:val="21"/>
          <w:szCs w:val="21"/>
        </w:rPr>
      </w:pPr>
    </w:p>
    <w:p w:rsidR="001708BA" w:rsidRDefault="00F844B2" w:rsidP="00BF364A">
      <w:pPr>
        <w:pStyle w:val="Default"/>
        <w:spacing w:line="276" w:lineRule="auto"/>
        <w:ind w:left="360"/>
        <w:jc w:val="both"/>
        <w:rPr>
          <w:rFonts w:ascii="ITC Avant Garde" w:hAnsi="ITC Avant Garde"/>
          <w:bCs/>
          <w:sz w:val="21"/>
          <w:szCs w:val="21"/>
        </w:rPr>
      </w:pPr>
      <w:r w:rsidRPr="00DA0A7D">
        <w:rPr>
          <w:rFonts w:ascii="ITC Avant Garde" w:hAnsi="ITC Avant Garde"/>
          <w:bCs/>
          <w:sz w:val="21"/>
          <w:szCs w:val="21"/>
        </w:rPr>
        <w:t xml:space="preserve">En este sentido, </w:t>
      </w:r>
      <w:r w:rsidR="00D002AE">
        <w:rPr>
          <w:rFonts w:ascii="ITC Avant Garde" w:hAnsi="ITC Avant Garde"/>
          <w:bCs/>
          <w:sz w:val="21"/>
          <w:szCs w:val="21"/>
        </w:rPr>
        <w:t>la</w:t>
      </w:r>
      <w:r w:rsidR="001708BA" w:rsidRPr="00DA0A7D">
        <w:rPr>
          <w:rFonts w:ascii="ITC Avant Garde" w:hAnsi="ITC Avant Garde"/>
          <w:bCs/>
          <w:sz w:val="21"/>
          <w:szCs w:val="21"/>
        </w:rPr>
        <w:t xml:space="preserve"> CGMR sugiere a la </w:t>
      </w:r>
      <w:r w:rsidRPr="00DA0A7D">
        <w:rPr>
          <w:rFonts w:ascii="ITC Avant Garde" w:hAnsi="ITC Avant Garde"/>
          <w:bCs/>
          <w:sz w:val="21"/>
          <w:szCs w:val="21"/>
        </w:rPr>
        <w:t>UER</w:t>
      </w:r>
      <w:r w:rsidR="001708BA" w:rsidRPr="00DA0A7D">
        <w:rPr>
          <w:rFonts w:ascii="ITC Avant Garde" w:hAnsi="ITC Avant Garde"/>
          <w:bCs/>
          <w:sz w:val="21"/>
          <w:szCs w:val="21"/>
        </w:rPr>
        <w:t xml:space="preserve"> detallar y justificar en el </w:t>
      </w:r>
      <w:r w:rsidR="00C84B9D" w:rsidRPr="00DA0A7D">
        <w:rPr>
          <w:rFonts w:ascii="ITC Avant Garde" w:hAnsi="ITC Avant Garde"/>
          <w:bCs/>
          <w:sz w:val="21"/>
          <w:szCs w:val="21"/>
        </w:rPr>
        <w:t xml:space="preserve">citado apartado del </w:t>
      </w:r>
      <w:r w:rsidR="001708BA" w:rsidRPr="00DA0A7D">
        <w:rPr>
          <w:rFonts w:ascii="ITC Avant Garde" w:hAnsi="ITC Avant Garde"/>
          <w:bCs/>
          <w:sz w:val="21"/>
          <w:szCs w:val="21"/>
        </w:rPr>
        <w:t>AIR</w:t>
      </w:r>
      <w:r w:rsidR="00C84B9D" w:rsidRPr="00DA0A7D">
        <w:rPr>
          <w:rFonts w:ascii="ITC Avant Garde" w:hAnsi="ITC Avant Garde"/>
          <w:bCs/>
          <w:sz w:val="21"/>
          <w:szCs w:val="21"/>
        </w:rPr>
        <w:t>,</w:t>
      </w:r>
      <w:r w:rsidR="001708BA" w:rsidRPr="00DA0A7D">
        <w:rPr>
          <w:rFonts w:ascii="ITC Avant Garde" w:hAnsi="ITC Avant Garde"/>
          <w:bCs/>
          <w:sz w:val="21"/>
          <w:szCs w:val="21"/>
        </w:rPr>
        <w:t xml:space="preserve"> cada u</w:t>
      </w:r>
      <w:r w:rsidR="00022123" w:rsidRPr="00DA0A7D">
        <w:rPr>
          <w:rFonts w:ascii="ITC Avant Garde" w:hAnsi="ITC Avant Garde"/>
          <w:bCs/>
          <w:sz w:val="21"/>
          <w:szCs w:val="21"/>
        </w:rPr>
        <w:t xml:space="preserve">na de las acciones regulatorias </w:t>
      </w:r>
      <w:r w:rsidR="00910246">
        <w:rPr>
          <w:rFonts w:ascii="ITC Avant Garde" w:hAnsi="ITC Avant Garde"/>
          <w:bCs/>
          <w:sz w:val="21"/>
          <w:szCs w:val="21"/>
        </w:rPr>
        <w:t>contenidas en el Anteproyecto</w:t>
      </w:r>
      <w:r w:rsidR="00C84B9D" w:rsidRPr="00DA0A7D">
        <w:rPr>
          <w:rFonts w:ascii="ITC Avant Garde" w:hAnsi="ITC Avant Garde"/>
          <w:bCs/>
          <w:sz w:val="21"/>
          <w:szCs w:val="21"/>
        </w:rPr>
        <w:t xml:space="preserve"> </w:t>
      </w:r>
      <w:r w:rsidR="001708BA" w:rsidRPr="00DA0A7D">
        <w:rPr>
          <w:rFonts w:ascii="ITC Avant Garde" w:hAnsi="ITC Avant Garde"/>
          <w:bCs/>
          <w:sz w:val="21"/>
          <w:szCs w:val="21"/>
        </w:rPr>
        <w:t xml:space="preserve">a efecto de </w:t>
      </w:r>
      <w:r w:rsidR="00C84B9D" w:rsidRPr="00DA0A7D">
        <w:rPr>
          <w:rFonts w:ascii="ITC Avant Garde" w:hAnsi="ITC Avant Garde"/>
          <w:bCs/>
          <w:sz w:val="21"/>
          <w:szCs w:val="21"/>
        </w:rPr>
        <w:t>dotar</w:t>
      </w:r>
      <w:r w:rsidR="001708BA" w:rsidRPr="00DA0A7D">
        <w:rPr>
          <w:rFonts w:ascii="ITC Avant Garde" w:hAnsi="ITC Avant Garde"/>
          <w:bCs/>
          <w:sz w:val="21"/>
          <w:szCs w:val="21"/>
        </w:rPr>
        <w:t xml:space="preserve"> a to</w:t>
      </w:r>
      <w:r w:rsidR="00C84B9D" w:rsidRPr="00DA0A7D">
        <w:rPr>
          <w:rFonts w:ascii="ITC Avant Garde" w:hAnsi="ITC Avant Garde"/>
          <w:bCs/>
          <w:sz w:val="21"/>
          <w:szCs w:val="21"/>
        </w:rPr>
        <w:t xml:space="preserve">dos los interesados y afectados una explicación o justificación </w:t>
      </w:r>
      <w:r w:rsidR="00A50853">
        <w:rPr>
          <w:rFonts w:ascii="ITC Avant Garde" w:hAnsi="ITC Avant Garde"/>
          <w:bCs/>
          <w:sz w:val="21"/>
          <w:szCs w:val="21"/>
        </w:rPr>
        <w:t>jurídica, económica</w:t>
      </w:r>
      <w:r w:rsidR="006E6FF9">
        <w:rPr>
          <w:rFonts w:ascii="ITC Avant Garde" w:hAnsi="ITC Avant Garde"/>
          <w:bCs/>
          <w:sz w:val="21"/>
          <w:szCs w:val="21"/>
        </w:rPr>
        <w:t xml:space="preserve"> o técnica</w:t>
      </w:r>
      <w:r w:rsidRPr="00DA0A7D">
        <w:rPr>
          <w:rFonts w:ascii="ITC Avant Garde" w:hAnsi="ITC Avant Garde"/>
          <w:bCs/>
          <w:sz w:val="21"/>
          <w:szCs w:val="21"/>
        </w:rPr>
        <w:t xml:space="preserve"> </w:t>
      </w:r>
      <w:r w:rsidR="00C84B9D" w:rsidRPr="00DA0A7D">
        <w:rPr>
          <w:rFonts w:ascii="ITC Avant Garde" w:hAnsi="ITC Avant Garde"/>
          <w:bCs/>
          <w:sz w:val="21"/>
          <w:szCs w:val="21"/>
        </w:rPr>
        <w:t>sobre las motivaciones o razones</w:t>
      </w:r>
      <w:r w:rsidR="006E6FF9">
        <w:rPr>
          <w:rFonts w:ascii="ITC Avant Garde" w:hAnsi="ITC Avant Garde"/>
          <w:bCs/>
          <w:sz w:val="21"/>
          <w:szCs w:val="21"/>
        </w:rPr>
        <w:t xml:space="preserve"> por las cuales esa </w:t>
      </w:r>
      <w:r w:rsidR="00D002AE">
        <w:rPr>
          <w:rFonts w:ascii="ITC Avant Garde" w:hAnsi="ITC Avant Garde"/>
          <w:bCs/>
          <w:sz w:val="21"/>
          <w:szCs w:val="21"/>
        </w:rPr>
        <w:t xml:space="preserve">Unidad Administrativa </w:t>
      </w:r>
      <w:r w:rsidR="006E6FF9">
        <w:rPr>
          <w:rFonts w:ascii="ITC Avant Garde" w:hAnsi="ITC Avant Garde"/>
          <w:bCs/>
          <w:sz w:val="21"/>
          <w:szCs w:val="21"/>
        </w:rPr>
        <w:t>del Instituto propone dichas medidas</w:t>
      </w:r>
      <w:r w:rsidR="00C84B9D" w:rsidRPr="00DA0A7D">
        <w:rPr>
          <w:rFonts w:ascii="ITC Avant Garde" w:hAnsi="ITC Avant Garde"/>
          <w:bCs/>
          <w:sz w:val="21"/>
          <w:szCs w:val="21"/>
        </w:rPr>
        <w:t xml:space="preserve"> </w:t>
      </w:r>
      <w:r w:rsidR="006E6FF9">
        <w:rPr>
          <w:rFonts w:ascii="ITC Avant Garde" w:hAnsi="ITC Avant Garde"/>
          <w:bCs/>
          <w:sz w:val="21"/>
          <w:szCs w:val="21"/>
        </w:rPr>
        <w:t>a través del presente</w:t>
      </w:r>
      <w:r w:rsidR="00C84B9D" w:rsidRPr="00DA0A7D">
        <w:rPr>
          <w:rFonts w:ascii="ITC Avant Garde" w:hAnsi="ITC Avant Garde"/>
          <w:bCs/>
          <w:sz w:val="21"/>
          <w:szCs w:val="21"/>
        </w:rPr>
        <w:t xml:space="preserve"> Anteproyecto</w:t>
      </w:r>
      <w:r w:rsidR="00A03D42">
        <w:rPr>
          <w:rFonts w:ascii="ITC Avant Garde" w:hAnsi="ITC Avant Garde"/>
          <w:bCs/>
          <w:sz w:val="21"/>
          <w:szCs w:val="21"/>
        </w:rPr>
        <w:t>.</w:t>
      </w:r>
    </w:p>
    <w:p w:rsidR="00D002AE" w:rsidRPr="00DA0A7D" w:rsidRDefault="00D002AE" w:rsidP="00D002AE">
      <w:pPr>
        <w:pStyle w:val="Default"/>
        <w:spacing w:line="276" w:lineRule="auto"/>
        <w:jc w:val="both"/>
        <w:rPr>
          <w:rFonts w:ascii="ITC Avant Garde" w:hAnsi="ITC Avant Garde"/>
          <w:bCs/>
          <w:sz w:val="21"/>
          <w:szCs w:val="21"/>
        </w:rPr>
      </w:pPr>
    </w:p>
    <w:p w:rsidR="008E7670" w:rsidRDefault="006772FE" w:rsidP="00BF364A">
      <w:pPr>
        <w:pStyle w:val="Default"/>
        <w:numPr>
          <w:ilvl w:val="0"/>
          <w:numId w:val="3"/>
        </w:numPr>
        <w:spacing w:line="276" w:lineRule="auto"/>
        <w:jc w:val="both"/>
        <w:rPr>
          <w:rFonts w:ascii="ITC Avant Garde" w:hAnsi="ITC Avant Garde"/>
          <w:bCs/>
          <w:sz w:val="21"/>
          <w:szCs w:val="21"/>
        </w:rPr>
      </w:pPr>
      <w:r w:rsidRPr="00DA0A7D">
        <w:rPr>
          <w:rFonts w:ascii="ITC Avant Garde" w:hAnsi="ITC Avant Garde"/>
          <w:bCs/>
          <w:sz w:val="21"/>
          <w:szCs w:val="21"/>
        </w:rPr>
        <w:t xml:space="preserve">En el numeral 13 del AIR, relativo a la estimación de </w:t>
      </w:r>
      <w:r w:rsidR="008E7670" w:rsidRPr="00DA0A7D">
        <w:rPr>
          <w:rFonts w:ascii="ITC Avant Garde" w:hAnsi="ITC Avant Garde"/>
          <w:bCs/>
          <w:sz w:val="21"/>
          <w:szCs w:val="21"/>
        </w:rPr>
        <w:t xml:space="preserve">los </w:t>
      </w:r>
      <w:r w:rsidRPr="00DA0A7D">
        <w:rPr>
          <w:rFonts w:ascii="ITC Avant Garde" w:hAnsi="ITC Avant Garde"/>
          <w:bCs/>
          <w:sz w:val="21"/>
          <w:szCs w:val="21"/>
        </w:rPr>
        <w:t>costos en</w:t>
      </w:r>
      <w:r w:rsidR="008E7670" w:rsidRPr="00DA0A7D">
        <w:rPr>
          <w:rFonts w:ascii="ITC Avant Garde" w:hAnsi="ITC Avant Garde"/>
          <w:bCs/>
          <w:sz w:val="21"/>
          <w:szCs w:val="21"/>
        </w:rPr>
        <w:t xml:space="preserve"> los que podrá incurrir cada particular, grupo de particulares o industria a raz</w:t>
      </w:r>
      <w:r w:rsidR="009237F9" w:rsidRPr="00DA0A7D">
        <w:rPr>
          <w:rFonts w:ascii="ITC Avant Garde" w:hAnsi="ITC Avant Garde"/>
          <w:bCs/>
          <w:sz w:val="21"/>
          <w:szCs w:val="21"/>
        </w:rPr>
        <w:t>ón de la</w:t>
      </w:r>
      <w:r w:rsidR="008E7670" w:rsidRPr="00DA0A7D">
        <w:rPr>
          <w:rFonts w:ascii="ITC Avant Garde" w:hAnsi="ITC Avant Garde"/>
          <w:bCs/>
          <w:sz w:val="21"/>
          <w:szCs w:val="21"/>
        </w:rPr>
        <w:t xml:space="preserve"> entrada en vigor del an</w:t>
      </w:r>
      <w:r w:rsidR="00B528FF" w:rsidRPr="00DA0A7D">
        <w:rPr>
          <w:rFonts w:ascii="ITC Avant Garde" w:hAnsi="ITC Avant Garde"/>
          <w:bCs/>
          <w:sz w:val="21"/>
          <w:szCs w:val="21"/>
        </w:rPr>
        <w:t>teproyecto de regulación, la UER</w:t>
      </w:r>
      <w:r w:rsidR="008E7670" w:rsidRPr="00DA0A7D">
        <w:rPr>
          <w:rFonts w:ascii="ITC Avant Garde" w:hAnsi="ITC Avant Garde"/>
          <w:bCs/>
          <w:sz w:val="21"/>
          <w:szCs w:val="21"/>
        </w:rPr>
        <w:t xml:space="preserve"> señala </w:t>
      </w:r>
      <w:r w:rsidR="00B528FF" w:rsidRPr="00DA0A7D">
        <w:rPr>
          <w:rFonts w:ascii="ITC Avant Garde" w:hAnsi="ITC Avant Garde"/>
          <w:bCs/>
          <w:sz w:val="21"/>
          <w:szCs w:val="21"/>
        </w:rPr>
        <w:t>que el único costo identificado corresponde al de la presentación del comprobante de pago de derechos y/o aprovechamientos que correspondan por el trámite de Autorización de Arrendamiento</w:t>
      </w:r>
      <w:r w:rsidR="00B22297">
        <w:rPr>
          <w:rFonts w:ascii="ITC Avant Garde" w:hAnsi="ITC Avant Garde"/>
          <w:bCs/>
          <w:sz w:val="21"/>
          <w:szCs w:val="21"/>
        </w:rPr>
        <w:t xml:space="preserve"> de bandas de f</w:t>
      </w:r>
      <w:r w:rsidR="00B22297" w:rsidRPr="00DA0A7D">
        <w:rPr>
          <w:rFonts w:ascii="ITC Avant Garde" w:hAnsi="ITC Avant Garde"/>
          <w:bCs/>
          <w:sz w:val="21"/>
          <w:szCs w:val="21"/>
        </w:rPr>
        <w:t>recuencias</w:t>
      </w:r>
      <w:r w:rsidR="00B22297">
        <w:rPr>
          <w:rFonts w:ascii="ITC Avant Garde" w:hAnsi="ITC Avant Garde"/>
          <w:bCs/>
          <w:sz w:val="21"/>
          <w:szCs w:val="21"/>
        </w:rPr>
        <w:t xml:space="preserve"> de espectro radioeléctrico</w:t>
      </w:r>
      <w:r w:rsidR="008E7670" w:rsidRPr="00DA0A7D">
        <w:rPr>
          <w:rFonts w:ascii="ITC Avant Garde" w:hAnsi="ITC Avant Garde"/>
          <w:bCs/>
          <w:sz w:val="21"/>
          <w:szCs w:val="21"/>
        </w:rPr>
        <w:t>.</w:t>
      </w:r>
    </w:p>
    <w:p w:rsidR="00D002AE" w:rsidRPr="00DA0A7D" w:rsidRDefault="00D002AE" w:rsidP="00D002AE">
      <w:pPr>
        <w:pStyle w:val="Default"/>
        <w:spacing w:line="276" w:lineRule="auto"/>
        <w:ind w:left="360"/>
        <w:jc w:val="both"/>
        <w:rPr>
          <w:rFonts w:ascii="ITC Avant Garde" w:hAnsi="ITC Avant Garde"/>
          <w:bCs/>
          <w:sz w:val="21"/>
          <w:szCs w:val="21"/>
        </w:rPr>
      </w:pPr>
    </w:p>
    <w:p w:rsidR="00C757F2" w:rsidRDefault="005173A8" w:rsidP="00BF364A">
      <w:pPr>
        <w:pStyle w:val="Default"/>
        <w:spacing w:line="276" w:lineRule="auto"/>
        <w:ind w:left="360"/>
        <w:jc w:val="both"/>
        <w:rPr>
          <w:rFonts w:ascii="ITC Avant Garde" w:hAnsi="ITC Avant Garde"/>
          <w:bCs/>
          <w:sz w:val="21"/>
          <w:szCs w:val="21"/>
        </w:rPr>
      </w:pPr>
      <w:r w:rsidRPr="00DA0A7D">
        <w:rPr>
          <w:rFonts w:ascii="ITC Avant Garde" w:hAnsi="ITC Avant Garde"/>
          <w:bCs/>
          <w:sz w:val="21"/>
          <w:szCs w:val="21"/>
        </w:rPr>
        <w:t>No obstante lo anterior</w:t>
      </w:r>
      <w:r w:rsidR="008E7670" w:rsidRPr="00DA0A7D">
        <w:rPr>
          <w:rFonts w:ascii="ITC Avant Garde" w:hAnsi="ITC Avant Garde"/>
          <w:bCs/>
          <w:sz w:val="21"/>
          <w:szCs w:val="21"/>
        </w:rPr>
        <w:t xml:space="preserve">, </w:t>
      </w:r>
      <w:r w:rsidR="00D002AE">
        <w:rPr>
          <w:rFonts w:ascii="ITC Avant Garde" w:hAnsi="ITC Avant Garde"/>
          <w:bCs/>
          <w:sz w:val="21"/>
          <w:szCs w:val="21"/>
        </w:rPr>
        <w:t>la</w:t>
      </w:r>
      <w:r w:rsidR="008E7670" w:rsidRPr="00DA0A7D">
        <w:rPr>
          <w:rFonts w:ascii="ITC Avant Garde" w:hAnsi="ITC Avant Garde"/>
          <w:bCs/>
          <w:sz w:val="21"/>
          <w:szCs w:val="21"/>
        </w:rPr>
        <w:t xml:space="preserve"> CGMR sugiere a la U</w:t>
      </w:r>
      <w:r w:rsidRPr="00DA0A7D">
        <w:rPr>
          <w:rFonts w:ascii="ITC Avant Garde" w:hAnsi="ITC Avant Garde"/>
          <w:bCs/>
          <w:sz w:val="21"/>
          <w:szCs w:val="21"/>
        </w:rPr>
        <w:t>ER</w:t>
      </w:r>
      <w:r w:rsidR="008E7670" w:rsidRPr="00DA0A7D">
        <w:rPr>
          <w:rFonts w:ascii="ITC Avant Garde" w:hAnsi="ITC Avant Garde"/>
          <w:bCs/>
          <w:sz w:val="21"/>
          <w:szCs w:val="21"/>
        </w:rPr>
        <w:t xml:space="preserve"> </w:t>
      </w:r>
      <w:r w:rsidR="00910246">
        <w:rPr>
          <w:rFonts w:ascii="ITC Avant Garde" w:hAnsi="ITC Avant Garde"/>
          <w:bCs/>
          <w:sz w:val="21"/>
          <w:szCs w:val="21"/>
        </w:rPr>
        <w:t xml:space="preserve">analizar y describir en dicho apartado del AIR los costos que se desprenderán a razón de los trámites y acciones regulatorias </w:t>
      </w:r>
      <w:r w:rsidR="00910246">
        <w:rPr>
          <w:rFonts w:ascii="ITC Avant Garde" w:hAnsi="ITC Avant Garde"/>
          <w:bCs/>
          <w:sz w:val="21"/>
          <w:szCs w:val="21"/>
        </w:rPr>
        <w:lastRenderedPageBreak/>
        <w:t xml:space="preserve">que el Anteproyecto creará a su entrada en vigor y de los cuales en los numerales anteriores esta CGMR apoya a la UER en la identificación de algunos ejemplos. Asimismo, se sugiere que la información que </w:t>
      </w:r>
      <w:r w:rsidR="00450212">
        <w:rPr>
          <w:rFonts w:ascii="ITC Avant Garde" w:hAnsi="ITC Avant Garde"/>
          <w:bCs/>
          <w:sz w:val="21"/>
          <w:szCs w:val="21"/>
        </w:rPr>
        <w:t>proporcione</w:t>
      </w:r>
      <w:r w:rsidR="00910246">
        <w:rPr>
          <w:rFonts w:ascii="ITC Avant Garde" w:hAnsi="ITC Avant Garde"/>
          <w:bCs/>
          <w:sz w:val="21"/>
          <w:szCs w:val="21"/>
        </w:rPr>
        <w:t xml:space="preserve"> la UER a este respecto</w:t>
      </w:r>
      <w:r w:rsidR="009237F9" w:rsidRPr="00DA0A7D">
        <w:rPr>
          <w:rFonts w:ascii="ITC Avant Garde" w:hAnsi="ITC Avant Garde"/>
          <w:bCs/>
          <w:sz w:val="21"/>
          <w:szCs w:val="21"/>
        </w:rPr>
        <w:t xml:space="preserve"> cuente con el desglose de los siguientes rubros: i) tipo de acción regulatoria o trámite al que se pretende estimar el costo de su cumplimiento (v.gr. prohibición, adopción de un estándar tecnológico, requisitos de presentación); ii) el particular, grupo o industrias afectados; iii) los costos unitarios de la acción regulatoria o trámite; y, iv) su frecuencia anual.</w:t>
      </w:r>
    </w:p>
    <w:p w:rsidR="00D002AE" w:rsidRPr="00DA0A7D" w:rsidRDefault="00D002AE" w:rsidP="00BF364A">
      <w:pPr>
        <w:pStyle w:val="Default"/>
        <w:spacing w:line="276" w:lineRule="auto"/>
        <w:ind w:left="360"/>
        <w:jc w:val="both"/>
        <w:rPr>
          <w:rFonts w:ascii="ITC Avant Garde" w:hAnsi="ITC Avant Garde"/>
          <w:bCs/>
          <w:sz w:val="21"/>
          <w:szCs w:val="21"/>
        </w:rPr>
      </w:pPr>
    </w:p>
    <w:p w:rsidR="00884FF8" w:rsidRDefault="00884FF8" w:rsidP="00BF364A">
      <w:pPr>
        <w:pStyle w:val="Default"/>
        <w:spacing w:line="276" w:lineRule="auto"/>
        <w:ind w:left="360"/>
        <w:jc w:val="both"/>
        <w:rPr>
          <w:rFonts w:ascii="ITC Avant Garde" w:hAnsi="ITC Avant Garde"/>
          <w:bCs/>
          <w:sz w:val="21"/>
          <w:szCs w:val="21"/>
        </w:rPr>
      </w:pPr>
      <w:r w:rsidRPr="00DA0A7D">
        <w:rPr>
          <w:rFonts w:ascii="ITC Avant Garde" w:hAnsi="ITC Avant Garde"/>
          <w:bCs/>
          <w:sz w:val="21"/>
          <w:szCs w:val="21"/>
        </w:rPr>
        <w:t xml:space="preserve">Con lo anterior, </w:t>
      </w:r>
      <w:r w:rsidR="00D002AE">
        <w:rPr>
          <w:rFonts w:ascii="ITC Avant Garde" w:hAnsi="ITC Avant Garde"/>
          <w:bCs/>
          <w:sz w:val="21"/>
          <w:szCs w:val="21"/>
        </w:rPr>
        <w:t>la</w:t>
      </w:r>
      <w:r w:rsidRPr="00DA0A7D">
        <w:rPr>
          <w:rFonts w:ascii="ITC Avant Garde" w:hAnsi="ITC Avant Garde"/>
          <w:bCs/>
          <w:sz w:val="21"/>
          <w:szCs w:val="21"/>
        </w:rPr>
        <w:t xml:space="preserve"> CGMR </w:t>
      </w:r>
      <w:r w:rsidR="00A03D42">
        <w:rPr>
          <w:rFonts w:ascii="ITC Avant Garde" w:hAnsi="ITC Avant Garde"/>
          <w:bCs/>
          <w:sz w:val="21"/>
          <w:szCs w:val="21"/>
        </w:rPr>
        <w:t>considera</w:t>
      </w:r>
      <w:r w:rsidRPr="00DA0A7D">
        <w:rPr>
          <w:rFonts w:ascii="ITC Avant Garde" w:hAnsi="ITC Avant Garde"/>
          <w:bCs/>
          <w:sz w:val="21"/>
          <w:szCs w:val="21"/>
        </w:rPr>
        <w:t xml:space="preserve"> que la UER podría </w:t>
      </w:r>
      <w:r w:rsidR="00A03D42">
        <w:rPr>
          <w:rFonts w:ascii="ITC Avant Garde" w:hAnsi="ITC Avant Garde"/>
          <w:bCs/>
          <w:sz w:val="21"/>
          <w:szCs w:val="21"/>
        </w:rPr>
        <w:t xml:space="preserve">estar en condiciones de realizar una </w:t>
      </w:r>
      <w:r w:rsidRPr="00DA0A7D">
        <w:rPr>
          <w:rFonts w:ascii="ITC Avant Garde" w:hAnsi="ITC Avant Garde"/>
          <w:bCs/>
          <w:sz w:val="21"/>
          <w:szCs w:val="21"/>
        </w:rPr>
        <w:t xml:space="preserve">estimación sobre </w:t>
      </w:r>
      <w:r w:rsidR="00A03D42">
        <w:rPr>
          <w:rFonts w:ascii="ITC Avant Garde" w:hAnsi="ITC Avant Garde"/>
          <w:bCs/>
          <w:sz w:val="21"/>
          <w:szCs w:val="21"/>
        </w:rPr>
        <w:t>los costos en que incurriría un</w:t>
      </w:r>
      <w:r w:rsidRPr="00DA0A7D">
        <w:rPr>
          <w:rFonts w:ascii="ITC Avant Garde" w:hAnsi="ITC Avant Garde"/>
          <w:bCs/>
          <w:sz w:val="21"/>
          <w:szCs w:val="21"/>
        </w:rPr>
        <w:t xml:space="preserve"> concesionario, grupo de concesionarios o </w:t>
      </w:r>
      <w:r w:rsidR="00A03D42">
        <w:rPr>
          <w:rFonts w:ascii="ITC Avant Garde" w:hAnsi="ITC Avant Garde"/>
          <w:bCs/>
          <w:sz w:val="21"/>
          <w:szCs w:val="21"/>
        </w:rPr>
        <w:t xml:space="preserve">la </w:t>
      </w:r>
      <w:r w:rsidRPr="00DA0A7D">
        <w:rPr>
          <w:rFonts w:ascii="ITC Avant Garde" w:hAnsi="ITC Avant Garde"/>
          <w:bCs/>
          <w:sz w:val="21"/>
          <w:szCs w:val="21"/>
        </w:rPr>
        <w:t>industria</w:t>
      </w:r>
      <w:r w:rsidR="00A03D42">
        <w:rPr>
          <w:rFonts w:ascii="ITC Avant Garde" w:hAnsi="ITC Avant Garde"/>
          <w:bCs/>
          <w:sz w:val="21"/>
          <w:szCs w:val="21"/>
        </w:rPr>
        <w:t xml:space="preserve"> en general,</w:t>
      </w:r>
      <w:r w:rsidRPr="00DA0A7D">
        <w:rPr>
          <w:rFonts w:ascii="ITC Avant Garde" w:hAnsi="ITC Avant Garde"/>
          <w:bCs/>
          <w:sz w:val="21"/>
          <w:szCs w:val="21"/>
        </w:rPr>
        <w:t xml:space="preserve"> a razón de la entrada en vigor de</w:t>
      </w:r>
      <w:r w:rsidR="00A03D42">
        <w:rPr>
          <w:rFonts w:ascii="ITC Avant Garde" w:hAnsi="ITC Avant Garde"/>
          <w:bCs/>
          <w:sz w:val="21"/>
          <w:szCs w:val="21"/>
        </w:rPr>
        <w:t xml:space="preserve">l </w:t>
      </w:r>
      <w:r w:rsidRPr="00DA0A7D">
        <w:rPr>
          <w:rFonts w:ascii="ITC Avant Garde" w:hAnsi="ITC Avant Garde"/>
          <w:bCs/>
          <w:sz w:val="21"/>
          <w:szCs w:val="21"/>
        </w:rPr>
        <w:t>Anteproyecto.</w:t>
      </w:r>
    </w:p>
    <w:p w:rsidR="00D002AE" w:rsidRPr="00DA0A7D" w:rsidRDefault="00D002AE" w:rsidP="00910246">
      <w:pPr>
        <w:pStyle w:val="Default"/>
        <w:spacing w:line="276" w:lineRule="auto"/>
        <w:jc w:val="both"/>
        <w:rPr>
          <w:rFonts w:ascii="ITC Avant Garde" w:hAnsi="ITC Avant Garde"/>
          <w:bCs/>
          <w:sz w:val="21"/>
          <w:szCs w:val="21"/>
        </w:rPr>
      </w:pPr>
    </w:p>
    <w:p w:rsidR="003E34D8" w:rsidRDefault="00967B56" w:rsidP="00BF364A">
      <w:pPr>
        <w:pStyle w:val="Default"/>
        <w:numPr>
          <w:ilvl w:val="0"/>
          <w:numId w:val="3"/>
        </w:numPr>
        <w:spacing w:line="276" w:lineRule="auto"/>
        <w:jc w:val="both"/>
        <w:rPr>
          <w:rFonts w:ascii="ITC Avant Garde" w:hAnsi="ITC Avant Garde"/>
          <w:bCs/>
          <w:sz w:val="21"/>
          <w:szCs w:val="21"/>
        </w:rPr>
      </w:pPr>
      <w:r w:rsidRPr="00DA0A7D">
        <w:rPr>
          <w:rFonts w:ascii="ITC Avant Garde" w:hAnsi="ITC Avant Garde"/>
          <w:bCs/>
          <w:sz w:val="21"/>
          <w:szCs w:val="21"/>
        </w:rPr>
        <w:t>En el numeral 18 del AIR, referente a la forma y medios a través de los cuales serán evaluados los logros de los objetivos del anteproyecto de regulación, así</w:t>
      </w:r>
      <w:r w:rsidR="00884FF8" w:rsidRPr="00DA0A7D">
        <w:rPr>
          <w:rFonts w:ascii="ITC Avant Garde" w:hAnsi="ITC Avant Garde"/>
          <w:bCs/>
          <w:sz w:val="21"/>
          <w:szCs w:val="21"/>
        </w:rPr>
        <w:t xml:space="preserve"> como el plazo para ello, la UER </w:t>
      </w:r>
      <w:r w:rsidRPr="00DA0A7D">
        <w:rPr>
          <w:rFonts w:ascii="ITC Avant Garde" w:hAnsi="ITC Avant Garde"/>
          <w:bCs/>
          <w:sz w:val="21"/>
          <w:szCs w:val="21"/>
        </w:rPr>
        <w:t xml:space="preserve">hace referencia </w:t>
      </w:r>
      <w:r w:rsidR="00884FF8" w:rsidRPr="00DA0A7D">
        <w:rPr>
          <w:rFonts w:ascii="ITC Avant Garde" w:hAnsi="ITC Avant Garde"/>
          <w:bCs/>
          <w:sz w:val="21"/>
          <w:szCs w:val="21"/>
        </w:rPr>
        <w:t xml:space="preserve">a que dicha evaluación la realizará a través del número de solicitudes </w:t>
      </w:r>
      <w:r w:rsidR="00EE6D65">
        <w:rPr>
          <w:rFonts w:ascii="ITC Avant Garde" w:hAnsi="ITC Avant Garde"/>
          <w:bCs/>
          <w:sz w:val="21"/>
          <w:szCs w:val="21"/>
        </w:rPr>
        <w:t xml:space="preserve">que reciba </w:t>
      </w:r>
      <w:r w:rsidR="00884FF8" w:rsidRPr="00DA0A7D">
        <w:rPr>
          <w:rFonts w:ascii="ITC Avant Garde" w:hAnsi="ITC Avant Garde"/>
          <w:bCs/>
          <w:sz w:val="21"/>
          <w:szCs w:val="21"/>
        </w:rPr>
        <w:t>de los concesionarios de espectro para arrendar bandas de frecuencias, conforme a las autorizaciones inscritas en el Registro Público de Concesiones, precisando, que el mercado será el que determine el funcionamiento de los lineamientos.</w:t>
      </w:r>
      <w:r w:rsidR="003E34D8" w:rsidRPr="003E34D8">
        <w:rPr>
          <w:rFonts w:ascii="ITC Avant Garde" w:hAnsi="ITC Avant Garde"/>
          <w:bCs/>
          <w:sz w:val="21"/>
          <w:szCs w:val="21"/>
        </w:rPr>
        <w:t xml:space="preserve"> </w:t>
      </w:r>
    </w:p>
    <w:p w:rsidR="00D002AE" w:rsidRDefault="00D002AE" w:rsidP="00D002AE">
      <w:pPr>
        <w:pStyle w:val="Default"/>
        <w:spacing w:line="276" w:lineRule="auto"/>
        <w:ind w:left="360"/>
        <w:jc w:val="both"/>
        <w:rPr>
          <w:rFonts w:ascii="ITC Avant Garde" w:hAnsi="ITC Avant Garde"/>
          <w:bCs/>
          <w:sz w:val="21"/>
          <w:szCs w:val="21"/>
        </w:rPr>
      </w:pPr>
    </w:p>
    <w:p w:rsidR="00884FF8" w:rsidRDefault="003E34D8" w:rsidP="00BF364A">
      <w:pPr>
        <w:pStyle w:val="Default"/>
        <w:spacing w:line="276" w:lineRule="auto"/>
        <w:ind w:left="360"/>
        <w:jc w:val="both"/>
        <w:rPr>
          <w:rFonts w:ascii="ITC Avant Garde" w:hAnsi="ITC Avant Garde"/>
          <w:bCs/>
          <w:sz w:val="21"/>
          <w:szCs w:val="21"/>
        </w:rPr>
      </w:pPr>
      <w:r w:rsidRPr="00EE6D65">
        <w:rPr>
          <w:rFonts w:ascii="ITC Avant Garde" w:hAnsi="ITC Avant Garde"/>
          <w:bCs/>
          <w:sz w:val="21"/>
          <w:szCs w:val="21"/>
        </w:rPr>
        <w:t xml:space="preserve">En virtud de lo anterior, </w:t>
      </w:r>
      <w:r w:rsidR="00D002AE">
        <w:rPr>
          <w:rFonts w:ascii="ITC Avant Garde" w:hAnsi="ITC Avant Garde"/>
          <w:bCs/>
          <w:sz w:val="21"/>
          <w:szCs w:val="21"/>
        </w:rPr>
        <w:t>la CGMR</w:t>
      </w:r>
      <w:r w:rsidRPr="00EE6D65">
        <w:rPr>
          <w:rFonts w:ascii="ITC Avant Garde" w:hAnsi="ITC Avant Garde"/>
          <w:bCs/>
          <w:sz w:val="21"/>
          <w:szCs w:val="21"/>
        </w:rPr>
        <w:t xml:space="preserve"> sugiere a la UER valorar la pertinencia </w:t>
      </w:r>
      <w:r>
        <w:rPr>
          <w:rFonts w:ascii="ITC Avant Garde" w:hAnsi="ITC Avant Garde"/>
          <w:bCs/>
          <w:sz w:val="21"/>
          <w:szCs w:val="21"/>
        </w:rPr>
        <w:t>de</w:t>
      </w:r>
      <w:r w:rsidRPr="00EE6D65">
        <w:rPr>
          <w:rFonts w:ascii="ITC Avant Garde" w:hAnsi="ITC Avant Garde"/>
          <w:bCs/>
          <w:sz w:val="21"/>
          <w:szCs w:val="21"/>
        </w:rPr>
        <w:t xml:space="preserve"> evalua</w:t>
      </w:r>
      <w:r>
        <w:rPr>
          <w:rFonts w:ascii="ITC Avant Garde" w:hAnsi="ITC Avant Garde"/>
          <w:bCs/>
          <w:sz w:val="21"/>
          <w:szCs w:val="21"/>
        </w:rPr>
        <w:t>r</w:t>
      </w:r>
      <w:r w:rsidRPr="00EE6D65">
        <w:rPr>
          <w:rFonts w:ascii="ITC Avant Garde" w:hAnsi="ITC Avant Garde"/>
          <w:bCs/>
          <w:sz w:val="21"/>
          <w:szCs w:val="21"/>
        </w:rPr>
        <w:t xml:space="preserve"> el presente Anteproyecto, </w:t>
      </w:r>
      <w:r>
        <w:rPr>
          <w:rFonts w:ascii="ITC Avant Garde" w:hAnsi="ITC Avant Garde"/>
          <w:bCs/>
          <w:sz w:val="21"/>
          <w:szCs w:val="21"/>
        </w:rPr>
        <w:t xml:space="preserve">mediante el empleo de </w:t>
      </w:r>
      <w:r w:rsidRPr="00EE6D65">
        <w:rPr>
          <w:rFonts w:ascii="ITC Avant Garde" w:hAnsi="ITC Avant Garde"/>
          <w:bCs/>
          <w:sz w:val="21"/>
          <w:szCs w:val="21"/>
        </w:rPr>
        <w:t>variables estadísticas o</w:t>
      </w:r>
      <w:r>
        <w:rPr>
          <w:rFonts w:ascii="ITC Avant Garde" w:hAnsi="ITC Avant Garde"/>
          <w:bCs/>
          <w:sz w:val="21"/>
          <w:szCs w:val="21"/>
        </w:rPr>
        <w:t xml:space="preserve"> a través de la construcción de</w:t>
      </w:r>
      <w:r w:rsidRPr="00EE6D65">
        <w:rPr>
          <w:rFonts w:ascii="ITC Avant Garde" w:hAnsi="ITC Avant Garde"/>
          <w:bCs/>
          <w:sz w:val="21"/>
          <w:szCs w:val="21"/>
        </w:rPr>
        <w:t xml:space="preserve"> indicadores que </w:t>
      </w:r>
      <w:r>
        <w:rPr>
          <w:rFonts w:ascii="ITC Avant Garde" w:hAnsi="ITC Avant Garde"/>
          <w:bCs/>
          <w:sz w:val="21"/>
          <w:szCs w:val="21"/>
        </w:rPr>
        <w:t xml:space="preserve">le </w:t>
      </w:r>
      <w:r w:rsidRPr="00EE6D65">
        <w:rPr>
          <w:rFonts w:ascii="ITC Avant Garde" w:hAnsi="ITC Avant Garde"/>
          <w:bCs/>
          <w:sz w:val="21"/>
          <w:szCs w:val="21"/>
        </w:rPr>
        <w:t xml:space="preserve">permitan </w:t>
      </w:r>
      <w:r>
        <w:rPr>
          <w:rFonts w:ascii="ITC Avant Garde" w:hAnsi="ITC Avant Garde"/>
          <w:bCs/>
          <w:sz w:val="21"/>
          <w:szCs w:val="21"/>
        </w:rPr>
        <w:t xml:space="preserve">al Instituto, </w:t>
      </w:r>
      <w:r w:rsidRPr="00EE6D65">
        <w:rPr>
          <w:rFonts w:ascii="ITC Avant Garde" w:hAnsi="ITC Avant Garde"/>
          <w:bCs/>
          <w:sz w:val="21"/>
          <w:szCs w:val="21"/>
        </w:rPr>
        <w:t xml:space="preserve">conocer el grado de cumplimiento de los objetivos que persigue el </w:t>
      </w:r>
      <w:r>
        <w:rPr>
          <w:rFonts w:ascii="ITC Avant Garde" w:hAnsi="ITC Avant Garde"/>
          <w:bCs/>
          <w:sz w:val="21"/>
          <w:szCs w:val="21"/>
        </w:rPr>
        <w:t>presente Anteproyecto;</w:t>
      </w:r>
      <w:r w:rsidRPr="00EE6D65">
        <w:rPr>
          <w:rFonts w:ascii="ITC Avant Garde" w:hAnsi="ITC Avant Garde"/>
          <w:bCs/>
          <w:sz w:val="21"/>
          <w:szCs w:val="21"/>
        </w:rPr>
        <w:t xml:space="preserve"> como por ejemplo, </w:t>
      </w:r>
      <w:r>
        <w:rPr>
          <w:rFonts w:ascii="ITC Avant Garde" w:hAnsi="ITC Avant Garde"/>
          <w:bCs/>
          <w:sz w:val="21"/>
          <w:szCs w:val="21"/>
        </w:rPr>
        <w:t xml:space="preserve">considerar reducciones –en un tiempo determinado- sobre algunos </w:t>
      </w:r>
      <w:r w:rsidRPr="00EE6D65">
        <w:rPr>
          <w:rFonts w:ascii="ITC Avant Garde" w:hAnsi="ITC Avant Garde"/>
          <w:bCs/>
          <w:sz w:val="21"/>
          <w:szCs w:val="21"/>
        </w:rPr>
        <w:t xml:space="preserve">márgenes o porcentajes </w:t>
      </w:r>
      <w:r>
        <w:rPr>
          <w:rFonts w:ascii="ITC Avant Garde" w:hAnsi="ITC Avant Garde"/>
          <w:bCs/>
          <w:sz w:val="21"/>
          <w:szCs w:val="21"/>
        </w:rPr>
        <w:t>relacionados con los</w:t>
      </w:r>
      <w:r w:rsidRPr="00EE6D65">
        <w:rPr>
          <w:rFonts w:ascii="ITC Avant Garde" w:hAnsi="ITC Avant Garde"/>
          <w:bCs/>
          <w:sz w:val="21"/>
          <w:szCs w:val="21"/>
        </w:rPr>
        <w:t xml:space="preserve"> niveles de acumulación y ociosidad del espectro radioeléctrico</w:t>
      </w:r>
      <w:r>
        <w:rPr>
          <w:rFonts w:ascii="ITC Avant Garde" w:hAnsi="ITC Avant Garde"/>
          <w:bCs/>
          <w:sz w:val="21"/>
          <w:szCs w:val="21"/>
        </w:rPr>
        <w:t>, los cuales de acuerdo a lo expuesto en el propio AIR no son deseables y están ín</w:t>
      </w:r>
      <w:r w:rsidR="00D002AE">
        <w:rPr>
          <w:rFonts w:ascii="ITC Avant Garde" w:hAnsi="ITC Avant Garde"/>
          <w:bCs/>
          <w:sz w:val="21"/>
          <w:szCs w:val="21"/>
        </w:rPr>
        <w:t>t</w:t>
      </w:r>
      <w:r>
        <w:rPr>
          <w:rFonts w:ascii="ITC Avant Garde" w:hAnsi="ITC Avant Garde"/>
          <w:bCs/>
          <w:sz w:val="21"/>
          <w:szCs w:val="21"/>
        </w:rPr>
        <w:t>imamente relacionados a uno de los objetivos primordiales que persigue el presente Anteproyecto, el uso eficiente de dicho bien público.</w:t>
      </w:r>
    </w:p>
    <w:p w:rsidR="00D002AE" w:rsidRDefault="00D002AE" w:rsidP="00BF364A">
      <w:pPr>
        <w:pStyle w:val="Default"/>
        <w:spacing w:line="276" w:lineRule="auto"/>
        <w:ind w:left="360"/>
        <w:jc w:val="both"/>
        <w:rPr>
          <w:rFonts w:ascii="ITC Avant Garde" w:hAnsi="ITC Avant Garde"/>
          <w:bCs/>
          <w:sz w:val="21"/>
          <w:szCs w:val="21"/>
        </w:rPr>
      </w:pPr>
    </w:p>
    <w:p w:rsidR="005A17D2" w:rsidRDefault="005A17D2" w:rsidP="00BF364A">
      <w:pPr>
        <w:pStyle w:val="Default"/>
        <w:numPr>
          <w:ilvl w:val="0"/>
          <w:numId w:val="3"/>
        </w:numPr>
        <w:spacing w:line="276" w:lineRule="auto"/>
        <w:jc w:val="both"/>
        <w:rPr>
          <w:rFonts w:ascii="ITC Avant Garde" w:hAnsi="ITC Avant Garde"/>
          <w:bCs/>
          <w:sz w:val="21"/>
          <w:szCs w:val="21"/>
        </w:rPr>
      </w:pPr>
      <w:r w:rsidRPr="003E34D8">
        <w:rPr>
          <w:rFonts w:ascii="ITC Avant Garde" w:hAnsi="ITC Avant Garde"/>
          <w:bCs/>
          <w:sz w:val="21"/>
          <w:szCs w:val="21"/>
        </w:rPr>
        <w:t>Con el propósito de robustecer y mejorar algunas de las disposiciones del Anteproyecto, se hace del conocimiento de la UER, las siguientes consideraciones:</w:t>
      </w:r>
    </w:p>
    <w:p w:rsidR="00D002AE" w:rsidRPr="003E34D8" w:rsidRDefault="00D002AE" w:rsidP="00D002AE">
      <w:pPr>
        <w:pStyle w:val="Default"/>
        <w:spacing w:line="276" w:lineRule="auto"/>
        <w:ind w:left="360"/>
        <w:jc w:val="both"/>
        <w:rPr>
          <w:rFonts w:ascii="ITC Avant Garde" w:hAnsi="ITC Avant Garde"/>
          <w:bCs/>
          <w:sz w:val="21"/>
          <w:szCs w:val="21"/>
        </w:rPr>
      </w:pPr>
    </w:p>
    <w:p w:rsidR="00477348" w:rsidRDefault="001A013F" w:rsidP="00BF364A">
      <w:pPr>
        <w:pStyle w:val="Default"/>
        <w:numPr>
          <w:ilvl w:val="0"/>
          <w:numId w:val="9"/>
        </w:numPr>
        <w:spacing w:line="276" w:lineRule="auto"/>
        <w:ind w:left="1134" w:hanging="567"/>
        <w:jc w:val="both"/>
        <w:rPr>
          <w:rFonts w:ascii="ITC Avant Garde" w:hAnsi="ITC Avant Garde"/>
          <w:bCs/>
          <w:sz w:val="21"/>
          <w:szCs w:val="21"/>
        </w:rPr>
      </w:pPr>
      <w:r w:rsidRPr="00DA0A7D">
        <w:rPr>
          <w:rFonts w:ascii="ITC Avant Garde" w:hAnsi="ITC Avant Garde"/>
          <w:bCs/>
          <w:sz w:val="21"/>
          <w:szCs w:val="21"/>
        </w:rPr>
        <w:t xml:space="preserve">Revisar la pertinencia y conveniencia de que en el artículo 3 del Anteproyecto </w:t>
      </w:r>
      <w:r w:rsidR="00BC6F27">
        <w:rPr>
          <w:rFonts w:ascii="ITC Avant Garde" w:hAnsi="ITC Avant Garde"/>
          <w:bCs/>
          <w:sz w:val="21"/>
          <w:szCs w:val="21"/>
        </w:rPr>
        <w:t xml:space="preserve">se </w:t>
      </w:r>
      <w:r w:rsidRPr="00DA0A7D">
        <w:rPr>
          <w:rFonts w:ascii="ITC Avant Garde" w:hAnsi="ITC Avant Garde"/>
          <w:bCs/>
          <w:sz w:val="21"/>
          <w:szCs w:val="21"/>
        </w:rPr>
        <w:t>establezca la definición de</w:t>
      </w:r>
      <w:r w:rsidR="00477348">
        <w:rPr>
          <w:rFonts w:ascii="ITC Avant Garde" w:hAnsi="ITC Avant Garde"/>
          <w:bCs/>
          <w:sz w:val="21"/>
          <w:szCs w:val="21"/>
        </w:rPr>
        <w:t>l término “Concesión Única” de manera distinta a la prevista</w:t>
      </w:r>
      <w:r w:rsidRPr="00DA0A7D">
        <w:rPr>
          <w:rFonts w:ascii="ITC Avant Garde" w:hAnsi="ITC Avant Garde"/>
          <w:bCs/>
          <w:sz w:val="21"/>
          <w:szCs w:val="21"/>
        </w:rPr>
        <w:t xml:space="preserve"> en la LFTR</w:t>
      </w:r>
      <w:r w:rsidR="00477348">
        <w:rPr>
          <w:rFonts w:ascii="ITC Avant Garde" w:hAnsi="ITC Avant Garde"/>
          <w:bCs/>
          <w:sz w:val="21"/>
          <w:szCs w:val="21"/>
        </w:rPr>
        <w:t>, a saber:</w:t>
      </w:r>
    </w:p>
    <w:p w:rsidR="001A013F" w:rsidRDefault="001A013F" w:rsidP="00BF364A">
      <w:pPr>
        <w:pStyle w:val="Default"/>
        <w:spacing w:line="276" w:lineRule="auto"/>
        <w:ind w:left="720"/>
        <w:jc w:val="both"/>
        <w:rPr>
          <w:rFonts w:ascii="ITC Avant Garde" w:hAnsi="ITC Avant Garde"/>
          <w:bCs/>
          <w:sz w:val="21"/>
          <w:szCs w:val="21"/>
        </w:rPr>
      </w:pPr>
      <w:r w:rsidRPr="00DA0A7D">
        <w:rPr>
          <w:rFonts w:ascii="ITC Avant Garde" w:hAnsi="ITC Avant Garde"/>
          <w:bCs/>
          <w:sz w:val="21"/>
          <w:szCs w:val="21"/>
        </w:rPr>
        <w:t xml:space="preserve"> </w:t>
      </w:r>
    </w:p>
    <w:p w:rsidR="004F104B" w:rsidRDefault="004F104B" w:rsidP="00BF364A">
      <w:pPr>
        <w:pStyle w:val="Default"/>
        <w:spacing w:line="276" w:lineRule="auto"/>
        <w:ind w:left="720"/>
        <w:jc w:val="both"/>
        <w:rPr>
          <w:rFonts w:ascii="ITC Avant Garde" w:hAnsi="ITC Avant Garde"/>
          <w:bCs/>
          <w:sz w:val="21"/>
          <w:szCs w:val="21"/>
        </w:rPr>
      </w:pPr>
    </w:p>
    <w:p w:rsidR="004F104B" w:rsidRPr="00DA0A7D" w:rsidRDefault="004F104B" w:rsidP="00BF364A">
      <w:pPr>
        <w:pStyle w:val="Default"/>
        <w:spacing w:line="276" w:lineRule="auto"/>
        <w:ind w:left="720"/>
        <w:jc w:val="both"/>
        <w:rPr>
          <w:rFonts w:ascii="ITC Avant Garde" w:hAnsi="ITC Avant Garde"/>
          <w:bCs/>
          <w:sz w:val="21"/>
          <w:szCs w:val="21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4111"/>
        <w:gridCol w:w="4154"/>
      </w:tblGrid>
      <w:tr w:rsidR="001A013F" w:rsidRPr="003E34D8" w:rsidTr="003E34D8">
        <w:tc>
          <w:tcPr>
            <w:tcW w:w="4111" w:type="dxa"/>
            <w:shd w:val="clear" w:color="auto" w:fill="C5E0B3" w:themeFill="accent6" w:themeFillTint="66"/>
          </w:tcPr>
          <w:p w:rsidR="001A013F" w:rsidRPr="003E34D8" w:rsidRDefault="001A013F" w:rsidP="00BF364A">
            <w:pPr>
              <w:pStyle w:val="Default"/>
              <w:tabs>
                <w:tab w:val="left" w:pos="1425"/>
              </w:tabs>
              <w:spacing w:line="276" w:lineRule="auto"/>
              <w:jc w:val="center"/>
              <w:rPr>
                <w:rFonts w:ascii="ITC Avant Garde" w:hAnsi="ITC Avant Garde"/>
                <w:bCs/>
                <w:sz w:val="17"/>
                <w:szCs w:val="21"/>
              </w:rPr>
            </w:pPr>
            <w:r w:rsidRPr="003E34D8">
              <w:rPr>
                <w:rFonts w:ascii="ITC Avant Garde" w:hAnsi="ITC Avant Garde"/>
                <w:bCs/>
                <w:sz w:val="17"/>
                <w:szCs w:val="21"/>
              </w:rPr>
              <w:lastRenderedPageBreak/>
              <w:t>LFTR</w:t>
            </w:r>
          </w:p>
        </w:tc>
        <w:tc>
          <w:tcPr>
            <w:tcW w:w="4154" w:type="dxa"/>
            <w:shd w:val="clear" w:color="auto" w:fill="C5E0B3" w:themeFill="accent6" w:themeFillTint="66"/>
          </w:tcPr>
          <w:p w:rsidR="001A013F" w:rsidRPr="003E34D8" w:rsidRDefault="001A013F" w:rsidP="00BF364A">
            <w:pPr>
              <w:pStyle w:val="Default"/>
              <w:spacing w:line="276" w:lineRule="auto"/>
              <w:jc w:val="center"/>
              <w:rPr>
                <w:rFonts w:ascii="ITC Avant Garde" w:hAnsi="ITC Avant Garde"/>
                <w:bCs/>
                <w:sz w:val="17"/>
                <w:szCs w:val="21"/>
              </w:rPr>
            </w:pPr>
            <w:r w:rsidRPr="003E34D8">
              <w:rPr>
                <w:rFonts w:ascii="ITC Avant Garde" w:hAnsi="ITC Avant Garde"/>
                <w:bCs/>
                <w:sz w:val="17"/>
                <w:szCs w:val="21"/>
              </w:rPr>
              <w:t>Anteproyecto</w:t>
            </w:r>
          </w:p>
        </w:tc>
      </w:tr>
      <w:tr w:rsidR="001A013F" w:rsidRPr="003E34D8" w:rsidTr="003E34D8">
        <w:tc>
          <w:tcPr>
            <w:tcW w:w="4111" w:type="dxa"/>
          </w:tcPr>
          <w:p w:rsidR="001A013F" w:rsidRPr="003E34D8" w:rsidRDefault="001A013F" w:rsidP="00BF364A">
            <w:pPr>
              <w:pStyle w:val="Default"/>
              <w:spacing w:line="276" w:lineRule="auto"/>
              <w:jc w:val="both"/>
              <w:rPr>
                <w:rFonts w:ascii="ITC Avant Garde" w:hAnsi="ITC Avant Garde"/>
                <w:bCs/>
                <w:sz w:val="17"/>
                <w:szCs w:val="21"/>
              </w:rPr>
            </w:pPr>
            <w:r w:rsidRPr="003E34D8">
              <w:rPr>
                <w:rFonts w:ascii="ITC Avant Garde" w:hAnsi="ITC Avant Garde"/>
                <w:bCs/>
                <w:sz w:val="17"/>
                <w:szCs w:val="21"/>
              </w:rPr>
              <w:t xml:space="preserve">Artículo 3, fracción XII.- </w:t>
            </w:r>
            <w:r w:rsidRPr="003E34D8">
              <w:rPr>
                <w:rFonts w:ascii="ITC Avant Garde" w:hAnsi="ITC Avant Garde"/>
                <w:bCs/>
                <w:i/>
                <w:sz w:val="17"/>
                <w:szCs w:val="21"/>
              </w:rPr>
              <w:t xml:space="preserve">“Concesión única: Acto administrativo mediante el cual el Instituto confiere el derecho para prestar de manera convergente, todo tipo de servicios públicos de telecomunicaciones o radiodifusión. </w:t>
            </w:r>
            <w:r w:rsidRPr="003E34D8">
              <w:rPr>
                <w:rFonts w:ascii="ITC Avant Garde" w:hAnsi="ITC Avant Garde"/>
                <w:b/>
                <w:bCs/>
                <w:i/>
                <w:sz w:val="17"/>
                <w:szCs w:val="21"/>
              </w:rPr>
              <w:t>En caso de que el concesionario requiera utilizar bandas del espectro radioeléctrico o recursos orbitales, deberá obtenerlos conforme a los términos y modalidades establecidas en esta Ley</w:t>
            </w:r>
            <w:r w:rsidRPr="003E34D8">
              <w:rPr>
                <w:rFonts w:ascii="ITC Avant Garde" w:hAnsi="ITC Avant Garde"/>
                <w:bCs/>
                <w:i/>
                <w:sz w:val="17"/>
                <w:szCs w:val="21"/>
              </w:rPr>
              <w:t>”.</w:t>
            </w:r>
          </w:p>
        </w:tc>
        <w:tc>
          <w:tcPr>
            <w:tcW w:w="4154" w:type="dxa"/>
          </w:tcPr>
          <w:p w:rsidR="001A013F" w:rsidRPr="003E34D8" w:rsidRDefault="001A013F" w:rsidP="00BF364A">
            <w:pPr>
              <w:pStyle w:val="Default"/>
              <w:spacing w:line="276" w:lineRule="auto"/>
              <w:jc w:val="both"/>
              <w:rPr>
                <w:rFonts w:ascii="ITC Avant Garde" w:hAnsi="ITC Avant Garde"/>
                <w:bCs/>
                <w:sz w:val="17"/>
                <w:szCs w:val="21"/>
              </w:rPr>
            </w:pPr>
            <w:r w:rsidRPr="003E34D8">
              <w:rPr>
                <w:rFonts w:ascii="ITC Avant Garde" w:hAnsi="ITC Avant Garde"/>
                <w:bCs/>
                <w:sz w:val="17"/>
                <w:szCs w:val="21"/>
              </w:rPr>
              <w:t xml:space="preserve">Artículo 3, fracción IX.- </w:t>
            </w:r>
            <w:r w:rsidRPr="003E34D8">
              <w:rPr>
                <w:rFonts w:ascii="ITC Avant Garde" w:hAnsi="ITC Avant Garde"/>
                <w:bCs/>
                <w:i/>
                <w:sz w:val="17"/>
                <w:szCs w:val="21"/>
              </w:rPr>
              <w:t>“Concesión Única: Acto administrativo mediante el cual el Instituto confiere el derecho para prestar de manera convergente, todo tipo de servicios públicos de telecomunicaciones y radiodifusión”.</w:t>
            </w:r>
          </w:p>
        </w:tc>
      </w:tr>
    </w:tbl>
    <w:p w:rsidR="003E34D8" w:rsidRDefault="003E34D8" w:rsidP="00BF364A">
      <w:pPr>
        <w:pStyle w:val="Default"/>
        <w:spacing w:line="276" w:lineRule="auto"/>
        <w:ind w:left="720"/>
        <w:jc w:val="both"/>
        <w:rPr>
          <w:rFonts w:ascii="ITC Avant Garde" w:hAnsi="ITC Avant Garde"/>
          <w:bCs/>
          <w:sz w:val="21"/>
          <w:szCs w:val="21"/>
        </w:rPr>
      </w:pPr>
    </w:p>
    <w:p w:rsidR="00D002AE" w:rsidRDefault="001A013F" w:rsidP="00BF364A">
      <w:pPr>
        <w:pStyle w:val="Default"/>
        <w:numPr>
          <w:ilvl w:val="0"/>
          <w:numId w:val="9"/>
        </w:numPr>
        <w:spacing w:line="276" w:lineRule="auto"/>
        <w:ind w:left="1134" w:hanging="567"/>
        <w:jc w:val="both"/>
        <w:rPr>
          <w:rFonts w:ascii="ITC Avant Garde" w:hAnsi="ITC Avant Garde"/>
          <w:bCs/>
          <w:sz w:val="21"/>
          <w:szCs w:val="21"/>
        </w:rPr>
      </w:pPr>
      <w:r w:rsidRPr="00DA0A7D">
        <w:rPr>
          <w:rFonts w:ascii="ITC Avant Garde" w:hAnsi="ITC Avant Garde"/>
          <w:bCs/>
          <w:sz w:val="21"/>
          <w:szCs w:val="21"/>
        </w:rPr>
        <w:t xml:space="preserve">Valorar la pertinencia de que </w:t>
      </w:r>
      <w:r w:rsidR="008B5052">
        <w:rPr>
          <w:rFonts w:ascii="ITC Avant Garde" w:hAnsi="ITC Avant Garde"/>
          <w:bCs/>
          <w:sz w:val="21"/>
          <w:szCs w:val="21"/>
        </w:rPr>
        <w:t>el escrito libre que se prevé para la</w:t>
      </w:r>
      <w:r w:rsidRPr="00DA0A7D">
        <w:rPr>
          <w:rFonts w:ascii="ITC Avant Garde" w:hAnsi="ITC Avant Garde"/>
          <w:bCs/>
          <w:sz w:val="21"/>
          <w:szCs w:val="21"/>
        </w:rPr>
        <w:t xml:space="preserve"> Solicitud de Arrendamiento</w:t>
      </w:r>
      <w:r w:rsidR="008B5052">
        <w:rPr>
          <w:rFonts w:ascii="ITC Avant Garde" w:hAnsi="ITC Avant Garde"/>
          <w:bCs/>
          <w:sz w:val="21"/>
          <w:szCs w:val="21"/>
        </w:rPr>
        <w:t xml:space="preserve"> y Subarrendamiento</w:t>
      </w:r>
      <w:r w:rsidRPr="00DA0A7D">
        <w:rPr>
          <w:rFonts w:ascii="ITC Avant Garde" w:hAnsi="ITC Avant Garde"/>
          <w:bCs/>
          <w:sz w:val="21"/>
          <w:szCs w:val="21"/>
        </w:rPr>
        <w:t xml:space="preserve"> a la que hace alusión el Anteproyecto sea cubierta por un formato</w:t>
      </w:r>
      <w:r w:rsidR="00477348">
        <w:rPr>
          <w:rFonts w:ascii="ITC Avant Garde" w:hAnsi="ITC Avant Garde"/>
          <w:bCs/>
          <w:sz w:val="21"/>
          <w:szCs w:val="21"/>
        </w:rPr>
        <w:t xml:space="preserve"> que la UER diseñe y elabore a efecto de que los solicitantes de una </w:t>
      </w:r>
      <w:r w:rsidR="00477348" w:rsidRPr="00DA0A7D">
        <w:rPr>
          <w:rFonts w:ascii="ITC Avant Garde" w:hAnsi="ITC Avant Garde"/>
          <w:bCs/>
          <w:sz w:val="21"/>
          <w:szCs w:val="21"/>
        </w:rPr>
        <w:t>Autorización de Arrendamiento</w:t>
      </w:r>
      <w:r w:rsidR="00477348">
        <w:rPr>
          <w:rFonts w:ascii="ITC Avant Garde" w:hAnsi="ITC Avant Garde"/>
          <w:bCs/>
          <w:sz w:val="21"/>
          <w:szCs w:val="21"/>
        </w:rPr>
        <w:t xml:space="preserve"> de bandas de f</w:t>
      </w:r>
      <w:r w:rsidR="00477348" w:rsidRPr="00DA0A7D">
        <w:rPr>
          <w:rFonts w:ascii="ITC Avant Garde" w:hAnsi="ITC Avant Garde"/>
          <w:bCs/>
          <w:sz w:val="21"/>
          <w:szCs w:val="21"/>
        </w:rPr>
        <w:t>recuencias</w:t>
      </w:r>
      <w:r w:rsidR="00477348">
        <w:rPr>
          <w:rFonts w:ascii="ITC Avant Garde" w:hAnsi="ITC Avant Garde"/>
          <w:bCs/>
          <w:sz w:val="21"/>
          <w:szCs w:val="21"/>
        </w:rPr>
        <w:t xml:space="preserve"> de espectro radioeléctrico, </w:t>
      </w:r>
      <w:r w:rsidR="00FC41C9">
        <w:rPr>
          <w:rFonts w:ascii="ITC Avant Garde" w:hAnsi="ITC Avant Garde"/>
          <w:bCs/>
          <w:sz w:val="21"/>
          <w:szCs w:val="21"/>
        </w:rPr>
        <w:t>puedan proporcionarle</w:t>
      </w:r>
      <w:r w:rsidR="00477348">
        <w:rPr>
          <w:rFonts w:ascii="ITC Avant Garde" w:hAnsi="ITC Avant Garde"/>
          <w:bCs/>
          <w:sz w:val="21"/>
          <w:szCs w:val="21"/>
        </w:rPr>
        <w:t xml:space="preserve"> al Instituto los datos de información que éste último requiere</w:t>
      </w:r>
      <w:r w:rsidRPr="00DA0A7D">
        <w:rPr>
          <w:rFonts w:ascii="ITC Avant Garde" w:hAnsi="ITC Avant Garde"/>
          <w:bCs/>
          <w:sz w:val="21"/>
          <w:szCs w:val="21"/>
        </w:rPr>
        <w:t xml:space="preserve"> para emitir </w:t>
      </w:r>
      <w:r w:rsidR="00FC41C9">
        <w:rPr>
          <w:rFonts w:ascii="ITC Avant Garde" w:hAnsi="ITC Avant Garde"/>
          <w:bCs/>
          <w:sz w:val="21"/>
          <w:szCs w:val="21"/>
        </w:rPr>
        <w:t>la resolución que le corresponde</w:t>
      </w:r>
      <w:r w:rsidR="00477348">
        <w:rPr>
          <w:rFonts w:ascii="ITC Avant Garde" w:hAnsi="ITC Avant Garde"/>
          <w:bCs/>
          <w:sz w:val="21"/>
          <w:szCs w:val="21"/>
        </w:rPr>
        <w:t xml:space="preserve"> y</w:t>
      </w:r>
      <w:r w:rsidRPr="00DA0A7D">
        <w:rPr>
          <w:rFonts w:ascii="ITC Avant Garde" w:hAnsi="ITC Avant Garde"/>
          <w:bCs/>
          <w:sz w:val="21"/>
          <w:szCs w:val="21"/>
        </w:rPr>
        <w:t xml:space="preserve"> </w:t>
      </w:r>
      <w:r w:rsidR="00FC41C9">
        <w:rPr>
          <w:rFonts w:ascii="ITC Avant Garde" w:hAnsi="ITC Avant Garde"/>
          <w:bCs/>
          <w:sz w:val="21"/>
          <w:szCs w:val="21"/>
        </w:rPr>
        <w:t xml:space="preserve">en donde </w:t>
      </w:r>
      <w:r w:rsidR="00477348">
        <w:rPr>
          <w:rFonts w:ascii="ITC Avant Garde" w:hAnsi="ITC Avant Garde"/>
          <w:bCs/>
          <w:sz w:val="21"/>
          <w:szCs w:val="21"/>
        </w:rPr>
        <w:t>se</w:t>
      </w:r>
      <w:r w:rsidRPr="00DA0A7D">
        <w:rPr>
          <w:rFonts w:ascii="ITC Avant Garde" w:hAnsi="ITC Avant Garde"/>
          <w:bCs/>
          <w:sz w:val="21"/>
          <w:szCs w:val="21"/>
        </w:rPr>
        <w:t xml:space="preserve"> </w:t>
      </w:r>
      <w:r w:rsidR="00477348">
        <w:rPr>
          <w:rFonts w:ascii="ITC Avant Garde" w:hAnsi="ITC Avant Garde"/>
          <w:bCs/>
          <w:sz w:val="21"/>
          <w:szCs w:val="21"/>
        </w:rPr>
        <w:t>enlisten</w:t>
      </w:r>
      <w:r w:rsidRPr="00DA0A7D">
        <w:rPr>
          <w:rFonts w:ascii="ITC Avant Garde" w:hAnsi="ITC Avant Garde"/>
          <w:bCs/>
          <w:sz w:val="21"/>
          <w:szCs w:val="21"/>
        </w:rPr>
        <w:t xml:space="preserve"> </w:t>
      </w:r>
      <w:r w:rsidR="00477348">
        <w:rPr>
          <w:rFonts w:ascii="ITC Avant Garde" w:hAnsi="ITC Avant Garde"/>
          <w:bCs/>
          <w:sz w:val="21"/>
          <w:szCs w:val="21"/>
        </w:rPr>
        <w:t>los documentos anexos que deberán acompañarlo</w:t>
      </w:r>
      <w:r w:rsidRPr="00DA0A7D">
        <w:rPr>
          <w:rFonts w:ascii="ITC Avant Garde" w:hAnsi="ITC Avant Garde"/>
          <w:bCs/>
          <w:sz w:val="21"/>
          <w:szCs w:val="21"/>
        </w:rPr>
        <w:t xml:space="preserve">, </w:t>
      </w:r>
      <w:r w:rsidR="00477348">
        <w:rPr>
          <w:rFonts w:ascii="ITC Avant Garde" w:hAnsi="ITC Avant Garde"/>
          <w:bCs/>
          <w:sz w:val="21"/>
          <w:szCs w:val="21"/>
        </w:rPr>
        <w:t xml:space="preserve">así como </w:t>
      </w:r>
      <w:r w:rsidRPr="00DA0A7D">
        <w:rPr>
          <w:rFonts w:ascii="ITC Avant Garde" w:hAnsi="ITC Avant Garde"/>
          <w:bCs/>
          <w:sz w:val="21"/>
          <w:szCs w:val="21"/>
        </w:rPr>
        <w:t>un instructivo para su llenado</w:t>
      </w:r>
      <w:r w:rsidR="00477348">
        <w:rPr>
          <w:rFonts w:ascii="ITC Avant Garde" w:hAnsi="ITC Avant Garde"/>
          <w:bCs/>
          <w:sz w:val="21"/>
          <w:szCs w:val="21"/>
        </w:rPr>
        <w:t xml:space="preserve"> que contenga </w:t>
      </w:r>
      <w:r w:rsidRPr="00DA0A7D">
        <w:rPr>
          <w:rFonts w:ascii="ITC Avant Garde" w:hAnsi="ITC Avant Garde"/>
          <w:bCs/>
          <w:sz w:val="21"/>
          <w:szCs w:val="21"/>
        </w:rPr>
        <w:t xml:space="preserve">información </w:t>
      </w:r>
      <w:r w:rsidR="00FC41C9">
        <w:rPr>
          <w:rFonts w:ascii="ITC Avant Garde" w:hAnsi="ITC Avant Garde"/>
          <w:bCs/>
          <w:sz w:val="21"/>
          <w:szCs w:val="21"/>
        </w:rPr>
        <w:t>relevante y de</w:t>
      </w:r>
      <w:r w:rsidRPr="00DA0A7D">
        <w:rPr>
          <w:rFonts w:ascii="ITC Avant Garde" w:hAnsi="ITC Avant Garde"/>
          <w:bCs/>
          <w:sz w:val="21"/>
          <w:szCs w:val="21"/>
        </w:rPr>
        <w:t xml:space="preserve"> utilidad para </w:t>
      </w:r>
      <w:r w:rsidR="00FC41C9">
        <w:rPr>
          <w:rFonts w:ascii="ITC Avant Garde" w:hAnsi="ITC Avant Garde"/>
          <w:bCs/>
          <w:sz w:val="21"/>
          <w:szCs w:val="21"/>
        </w:rPr>
        <w:t xml:space="preserve">todos </w:t>
      </w:r>
      <w:r w:rsidRPr="00DA0A7D">
        <w:rPr>
          <w:rFonts w:ascii="ITC Avant Garde" w:hAnsi="ITC Avant Garde"/>
          <w:bCs/>
          <w:sz w:val="21"/>
          <w:szCs w:val="21"/>
        </w:rPr>
        <w:t xml:space="preserve">los </w:t>
      </w:r>
      <w:r w:rsidR="00FC41C9">
        <w:rPr>
          <w:rFonts w:ascii="ITC Avant Garde" w:hAnsi="ITC Avant Garde"/>
          <w:bCs/>
          <w:sz w:val="21"/>
          <w:szCs w:val="21"/>
        </w:rPr>
        <w:t>concesionarios que decidan presentar su solicitud</w:t>
      </w:r>
      <w:r w:rsidR="008B5052">
        <w:rPr>
          <w:rFonts w:ascii="ITC Avant Garde" w:hAnsi="ITC Avant Garde"/>
          <w:bCs/>
          <w:sz w:val="21"/>
          <w:szCs w:val="21"/>
        </w:rPr>
        <w:t>.</w:t>
      </w:r>
    </w:p>
    <w:p w:rsidR="008B5052" w:rsidRDefault="008B5052" w:rsidP="008B5052">
      <w:pPr>
        <w:pStyle w:val="Default"/>
        <w:spacing w:line="276" w:lineRule="auto"/>
        <w:ind w:left="1134"/>
        <w:jc w:val="both"/>
        <w:rPr>
          <w:rFonts w:ascii="ITC Avant Garde" w:hAnsi="ITC Avant Garde"/>
          <w:bCs/>
          <w:sz w:val="21"/>
          <w:szCs w:val="21"/>
        </w:rPr>
      </w:pPr>
    </w:p>
    <w:p w:rsidR="008B5052" w:rsidRPr="00910246" w:rsidRDefault="00273767" w:rsidP="00910246">
      <w:pPr>
        <w:pStyle w:val="Default"/>
        <w:numPr>
          <w:ilvl w:val="0"/>
          <w:numId w:val="9"/>
        </w:numPr>
        <w:spacing w:line="276" w:lineRule="auto"/>
        <w:ind w:left="1134" w:hanging="567"/>
        <w:jc w:val="both"/>
        <w:rPr>
          <w:rFonts w:ascii="ITC Avant Garde" w:hAnsi="ITC Avant Garde"/>
          <w:bCs/>
          <w:sz w:val="21"/>
          <w:szCs w:val="21"/>
        </w:rPr>
      </w:pPr>
      <w:r>
        <w:rPr>
          <w:rFonts w:ascii="ITC Avant Garde" w:hAnsi="ITC Avant Garde"/>
          <w:bCs/>
          <w:sz w:val="21"/>
          <w:szCs w:val="21"/>
        </w:rPr>
        <w:t>Analizar</w:t>
      </w:r>
      <w:r w:rsidR="004613E3">
        <w:rPr>
          <w:rFonts w:ascii="ITC Avant Garde" w:hAnsi="ITC Avant Garde"/>
          <w:bCs/>
          <w:sz w:val="21"/>
          <w:szCs w:val="21"/>
        </w:rPr>
        <w:t>, desde el punto de vista jurídico,</w:t>
      </w:r>
      <w:r>
        <w:rPr>
          <w:rFonts w:ascii="ITC Avant Garde" w:hAnsi="ITC Avant Garde"/>
          <w:bCs/>
          <w:sz w:val="21"/>
          <w:szCs w:val="21"/>
        </w:rPr>
        <w:t xml:space="preserve"> </w:t>
      </w:r>
      <w:r w:rsidR="00E96702">
        <w:rPr>
          <w:rFonts w:ascii="ITC Avant Garde" w:hAnsi="ITC Avant Garde"/>
          <w:bCs/>
          <w:sz w:val="21"/>
          <w:szCs w:val="21"/>
        </w:rPr>
        <w:t xml:space="preserve">lo propuesto en el Capítulo V “Del Subarrendamiento” del Anteproyecto con relación a </w:t>
      </w:r>
      <w:r>
        <w:rPr>
          <w:rFonts w:ascii="ITC Avant Garde" w:hAnsi="ITC Avant Garde"/>
          <w:bCs/>
          <w:sz w:val="21"/>
          <w:szCs w:val="21"/>
        </w:rPr>
        <w:t xml:space="preserve">lo señalado </w:t>
      </w:r>
      <w:r w:rsidR="00E96702">
        <w:rPr>
          <w:rFonts w:ascii="ITC Avant Garde" w:hAnsi="ITC Avant Garde"/>
          <w:bCs/>
          <w:sz w:val="21"/>
          <w:szCs w:val="21"/>
        </w:rPr>
        <w:t>en</w:t>
      </w:r>
      <w:r>
        <w:rPr>
          <w:rFonts w:ascii="ITC Avant Garde" w:hAnsi="ITC Avant Garde"/>
          <w:bCs/>
          <w:sz w:val="21"/>
          <w:szCs w:val="21"/>
        </w:rPr>
        <w:t xml:space="preserve"> la Tesis Jurisprudencial: 2ª./J.34/2013 (10ª.), Semanario Judicial de la Federación y su Gaceta, Décima Época, Tomo 2, Libro XVIII, marzo de 2013, p. 1065</w:t>
      </w:r>
      <w:r w:rsidR="004613E3">
        <w:rPr>
          <w:rFonts w:ascii="ITC Avant Garde" w:hAnsi="ITC Avant Garde"/>
          <w:bCs/>
          <w:sz w:val="21"/>
          <w:szCs w:val="21"/>
        </w:rPr>
        <w:t>, que a la letra dice:</w:t>
      </w:r>
    </w:p>
    <w:p w:rsidR="008B5052" w:rsidRDefault="008B5052" w:rsidP="008B5052">
      <w:pPr>
        <w:pStyle w:val="Default"/>
        <w:spacing w:line="276" w:lineRule="auto"/>
        <w:ind w:left="1134"/>
        <w:jc w:val="both"/>
        <w:rPr>
          <w:rFonts w:ascii="ITC Avant Garde" w:hAnsi="ITC Avant Garde"/>
          <w:bCs/>
          <w:sz w:val="21"/>
          <w:szCs w:val="21"/>
        </w:rPr>
      </w:pPr>
    </w:p>
    <w:p w:rsidR="00E96702" w:rsidRPr="00AF6EE2" w:rsidRDefault="00E96702" w:rsidP="00BF364A">
      <w:pPr>
        <w:pStyle w:val="Default"/>
        <w:spacing w:line="276" w:lineRule="auto"/>
        <w:ind w:left="1560" w:right="615"/>
        <w:jc w:val="both"/>
        <w:rPr>
          <w:rFonts w:ascii="ITC Avant Garde" w:hAnsi="ITC Avant Garde"/>
          <w:b/>
          <w:bCs/>
          <w:i/>
          <w:sz w:val="18"/>
          <w:szCs w:val="18"/>
        </w:rPr>
      </w:pPr>
      <w:r w:rsidRPr="00AF6EE2">
        <w:rPr>
          <w:rFonts w:ascii="ITC Avant Garde" w:hAnsi="ITC Avant Garde"/>
          <w:bCs/>
          <w:i/>
          <w:sz w:val="18"/>
          <w:szCs w:val="18"/>
        </w:rPr>
        <w:t>“</w:t>
      </w:r>
      <w:r w:rsidRPr="00AF6EE2">
        <w:rPr>
          <w:rFonts w:ascii="ITC Avant Garde" w:hAnsi="ITC Avant Garde"/>
          <w:b/>
          <w:bCs/>
          <w:i/>
          <w:sz w:val="18"/>
          <w:szCs w:val="18"/>
        </w:rPr>
        <w:t>SUPLETORIEDAD DE LAS LEYES. REQUISITOS PARA QUE OPERE.</w:t>
      </w:r>
    </w:p>
    <w:p w:rsidR="004613E3" w:rsidRDefault="00E96702" w:rsidP="00BF364A">
      <w:pPr>
        <w:pStyle w:val="Default"/>
        <w:spacing w:line="276" w:lineRule="auto"/>
        <w:ind w:left="1560" w:right="615"/>
        <w:jc w:val="both"/>
        <w:rPr>
          <w:rFonts w:ascii="ITC Avant Garde" w:hAnsi="ITC Avant Garde"/>
          <w:bCs/>
          <w:sz w:val="18"/>
          <w:szCs w:val="18"/>
        </w:rPr>
      </w:pPr>
      <w:r w:rsidRPr="00AF6EE2">
        <w:rPr>
          <w:rFonts w:ascii="ITC Avant Garde" w:hAnsi="ITC Avant Garde"/>
          <w:bCs/>
          <w:i/>
          <w:sz w:val="18"/>
          <w:szCs w:val="18"/>
        </w:rPr>
        <w:t xml:space="preserve">La aplicación supletoria de una ley respecto de otra procede para integrar una omisión en la ley o para interpretar sus disposiciones y que se integren con otras normas o principios generales contenidos en otras leyes. Así, para que opere la supletoriedad es necesario que: a) El ordenamiento legal a suplir establezca expresamente esa posibilidad, indicando la ley o normas que pueden aplicarse supletoriamente, o que un ordenamiento establezca que aplica, total o parcialmente, de manera supletoria a otros ordenamientos; b) La ley a suplir no contemple la institución o las cuestiones jurídicas que pretenden aplicarse supletoriamente o, aun estableciéndolas, no las desarrolle o las regule deficientemente; c) Esa omisión o vacío legislativo haga necesaria la aplicación supletoria de normas para solucionar la controversia o el problema jurídico planteado, sin que sea válido atender a cuestiones jurídicas que el legislador no tuvo intención de establecer en la ley a suplir; y, d) Las normas aplicables supletoriamente no contraríen el ordenamiento legal a suplir, sino que sean </w:t>
      </w:r>
      <w:r w:rsidRPr="00AF6EE2">
        <w:rPr>
          <w:rFonts w:ascii="ITC Avant Garde" w:hAnsi="ITC Avant Garde"/>
          <w:bCs/>
          <w:i/>
          <w:sz w:val="18"/>
          <w:szCs w:val="18"/>
        </w:rPr>
        <w:lastRenderedPageBreak/>
        <w:t>congruentes con sus principios y con las bases que rigen específicamente</w:t>
      </w:r>
      <w:r>
        <w:rPr>
          <w:rFonts w:ascii="ITC Avant Garde" w:hAnsi="ITC Avant Garde"/>
          <w:bCs/>
          <w:i/>
          <w:sz w:val="18"/>
          <w:szCs w:val="18"/>
        </w:rPr>
        <w:t xml:space="preserve"> la institución de que se trate”.</w:t>
      </w:r>
    </w:p>
    <w:p w:rsidR="008B5052" w:rsidRPr="008B5052" w:rsidRDefault="008B5052" w:rsidP="00BF364A">
      <w:pPr>
        <w:pStyle w:val="Default"/>
        <w:spacing w:line="276" w:lineRule="auto"/>
        <w:ind w:left="1560" w:right="615"/>
        <w:jc w:val="both"/>
        <w:rPr>
          <w:rFonts w:ascii="ITC Avant Garde" w:hAnsi="ITC Avant Garde"/>
          <w:bCs/>
          <w:sz w:val="21"/>
          <w:szCs w:val="21"/>
        </w:rPr>
      </w:pPr>
    </w:p>
    <w:p w:rsidR="00E63327" w:rsidRDefault="004613E3" w:rsidP="00E63327">
      <w:pPr>
        <w:pStyle w:val="Default"/>
        <w:spacing w:line="276" w:lineRule="auto"/>
        <w:ind w:left="1134"/>
        <w:jc w:val="both"/>
        <w:rPr>
          <w:rFonts w:ascii="ITC Avant Garde" w:hAnsi="ITC Avant Garde"/>
          <w:bCs/>
          <w:sz w:val="21"/>
          <w:szCs w:val="21"/>
        </w:rPr>
      </w:pPr>
      <w:r>
        <w:rPr>
          <w:rFonts w:ascii="ITC Avant Garde" w:hAnsi="ITC Avant Garde"/>
          <w:bCs/>
          <w:sz w:val="21"/>
          <w:szCs w:val="21"/>
        </w:rPr>
        <w:t>Lo anterior, a efecto de que</w:t>
      </w:r>
      <w:r w:rsidR="00E96702">
        <w:rPr>
          <w:rFonts w:ascii="ITC Avant Garde" w:hAnsi="ITC Avant Garde"/>
          <w:bCs/>
          <w:sz w:val="21"/>
          <w:szCs w:val="21"/>
        </w:rPr>
        <w:t>, en su caso,</w:t>
      </w:r>
      <w:r>
        <w:rPr>
          <w:rFonts w:ascii="ITC Avant Garde" w:hAnsi="ITC Avant Garde"/>
          <w:bCs/>
          <w:sz w:val="21"/>
          <w:szCs w:val="21"/>
        </w:rPr>
        <w:t xml:space="preserve"> </w:t>
      </w:r>
      <w:r w:rsidR="00E63327">
        <w:rPr>
          <w:rFonts w:ascii="ITC Avant Garde" w:hAnsi="ITC Avant Garde"/>
          <w:bCs/>
          <w:sz w:val="21"/>
          <w:szCs w:val="21"/>
        </w:rPr>
        <w:t>la</w:t>
      </w:r>
      <w:r>
        <w:rPr>
          <w:rFonts w:ascii="ITC Avant Garde" w:hAnsi="ITC Avant Garde"/>
          <w:bCs/>
          <w:sz w:val="21"/>
          <w:szCs w:val="21"/>
        </w:rPr>
        <w:t xml:space="preserve"> UER </w:t>
      </w:r>
      <w:r w:rsidR="00E96702">
        <w:rPr>
          <w:rFonts w:ascii="ITC Avant Garde" w:hAnsi="ITC Avant Garde"/>
          <w:bCs/>
          <w:sz w:val="21"/>
          <w:szCs w:val="21"/>
        </w:rPr>
        <w:t>considere necesario realizar alguna adecuación</w:t>
      </w:r>
      <w:r>
        <w:rPr>
          <w:rFonts w:ascii="ITC Avant Garde" w:hAnsi="ITC Avant Garde"/>
          <w:bCs/>
          <w:sz w:val="21"/>
          <w:szCs w:val="21"/>
        </w:rPr>
        <w:t xml:space="preserve"> </w:t>
      </w:r>
      <w:r w:rsidR="00E96702">
        <w:rPr>
          <w:rFonts w:ascii="ITC Avant Garde" w:hAnsi="ITC Avant Garde"/>
          <w:bCs/>
          <w:sz w:val="21"/>
          <w:szCs w:val="21"/>
        </w:rPr>
        <w:t>o ajuste</w:t>
      </w:r>
      <w:r>
        <w:rPr>
          <w:rFonts w:ascii="ITC Avant Garde" w:hAnsi="ITC Avant Garde"/>
          <w:bCs/>
          <w:sz w:val="21"/>
          <w:szCs w:val="21"/>
        </w:rPr>
        <w:t xml:space="preserve"> al Anteproyecto.</w:t>
      </w:r>
    </w:p>
    <w:p w:rsidR="00910246" w:rsidRDefault="00910246" w:rsidP="00910246">
      <w:pPr>
        <w:pStyle w:val="Default"/>
        <w:spacing w:line="276" w:lineRule="auto"/>
        <w:jc w:val="both"/>
        <w:rPr>
          <w:rFonts w:ascii="ITC Avant Garde" w:hAnsi="ITC Avant Garde"/>
          <w:bCs/>
          <w:sz w:val="21"/>
          <w:szCs w:val="21"/>
        </w:rPr>
      </w:pPr>
    </w:p>
    <w:p w:rsidR="00E63327" w:rsidRDefault="00910246" w:rsidP="00E63327">
      <w:pPr>
        <w:pStyle w:val="Default"/>
        <w:numPr>
          <w:ilvl w:val="0"/>
          <w:numId w:val="9"/>
        </w:numPr>
        <w:spacing w:line="276" w:lineRule="auto"/>
        <w:ind w:left="1134" w:hanging="567"/>
        <w:jc w:val="both"/>
        <w:rPr>
          <w:rFonts w:ascii="ITC Avant Garde" w:hAnsi="ITC Avant Garde"/>
          <w:bCs/>
          <w:sz w:val="21"/>
          <w:szCs w:val="21"/>
        </w:rPr>
      </w:pPr>
      <w:r>
        <w:rPr>
          <w:rFonts w:ascii="ITC Avant Garde" w:hAnsi="ITC Avant Garde"/>
          <w:bCs/>
          <w:sz w:val="21"/>
          <w:szCs w:val="21"/>
        </w:rPr>
        <w:t xml:space="preserve">Valorar la </w:t>
      </w:r>
      <w:r w:rsidR="00E63327" w:rsidRPr="00DA0A7D">
        <w:rPr>
          <w:rFonts w:ascii="ITC Avant Garde" w:hAnsi="ITC Avant Garde"/>
          <w:bCs/>
          <w:sz w:val="21"/>
          <w:szCs w:val="21"/>
        </w:rPr>
        <w:t xml:space="preserve">pertinencia </w:t>
      </w:r>
      <w:r>
        <w:rPr>
          <w:rFonts w:ascii="ITC Avant Garde" w:hAnsi="ITC Avant Garde"/>
          <w:bCs/>
          <w:sz w:val="21"/>
          <w:szCs w:val="21"/>
        </w:rPr>
        <w:t>de que el</w:t>
      </w:r>
      <w:r w:rsidR="00E63327" w:rsidRPr="00DA0A7D">
        <w:rPr>
          <w:rFonts w:ascii="ITC Avant Garde" w:hAnsi="ITC Avant Garde"/>
          <w:bCs/>
          <w:sz w:val="21"/>
          <w:szCs w:val="21"/>
        </w:rPr>
        <w:t xml:space="preserve"> artículo </w:t>
      </w:r>
      <w:r>
        <w:rPr>
          <w:rFonts w:ascii="ITC Avant Garde" w:hAnsi="ITC Avant Garde"/>
          <w:bCs/>
          <w:sz w:val="21"/>
          <w:szCs w:val="21"/>
        </w:rPr>
        <w:t>S</w:t>
      </w:r>
      <w:r w:rsidR="00E63327">
        <w:rPr>
          <w:rFonts w:ascii="ITC Avant Garde" w:hAnsi="ITC Avant Garde"/>
          <w:bCs/>
          <w:sz w:val="21"/>
          <w:szCs w:val="21"/>
        </w:rPr>
        <w:t>egundo</w:t>
      </w:r>
      <w:r w:rsidR="00E63327" w:rsidRPr="00DA0A7D">
        <w:rPr>
          <w:rFonts w:ascii="ITC Avant Garde" w:hAnsi="ITC Avant Garde"/>
          <w:bCs/>
          <w:sz w:val="21"/>
          <w:szCs w:val="21"/>
        </w:rPr>
        <w:t xml:space="preserve"> </w:t>
      </w:r>
      <w:r>
        <w:rPr>
          <w:rFonts w:ascii="ITC Avant Garde" w:hAnsi="ITC Avant Garde"/>
          <w:bCs/>
          <w:sz w:val="21"/>
          <w:szCs w:val="21"/>
        </w:rPr>
        <w:t xml:space="preserve">Transitorio </w:t>
      </w:r>
      <w:r w:rsidR="00E63327" w:rsidRPr="00DA0A7D">
        <w:rPr>
          <w:rFonts w:ascii="ITC Avant Garde" w:hAnsi="ITC Avant Garde"/>
          <w:bCs/>
          <w:sz w:val="21"/>
          <w:szCs w:val="21"/>
        </w:rPr>
        <w:t>del Anteproyecto</w:t>
      </w:r>
      <w:r w:rsidR="00E63327">
        <w:rPr>
          <w:rFonts w:ascii="ITC Avant Garde" w:hAnsi="ITC Avant Garde"/>
          <w:bCs/>
          <w:sz w:val="21"/>
          <w:szCs w:val="21"/>
        </w:rPr>
        <w:t xml:space="preserve"> </w:t>
      </w:r>
      <w:r>
        <w:rPr>
          <w:rFonts w:ascii="ITC Avant Garde" w:hAnsi="ITC Avant Garde"/>
          <w:bCs/>
          <w:sz w:val="21"/>
          <w:szCs w:val="21"/>
        </w:rPr>
        <w:t>establezca un término</w:t>
      </w:r>
      <w:r w:rsidR="00E63327">
        <w:rPr>
          <w:rFonts w:ascii="ITC Avant Garde" w:hAnsi="ITC Avant Garde"/>
          <w:bCs/>
          <w:sz w:val="21"/>
          <w:szCs w:val="21"/>
        </w:rPr>
        <w:t xml:space="preserve"> para la expedición del </w:t>
      </w:r>
      <w:r w:rsidR="00E63327" w:rsidRPr="00E63327">
        <w:rPr>
          <w:rFonts w:ascii="ITC Avant Garde" w:hAnsi="ITC Avant Garde"/>
          <w:bCs/>
          <w:sz w:val="21"/>
          <w:szCs w:val="21"/>
        </w:rPr>
        <w:t>Instructivo en materia de Comp</w:t>
      </w:r>
      <w:r w:rsidR="00E63327">
        <w:rPr>
          <w:rFonts w:ascii="ITC Avant Garde" w:hAnsi="ITC Avant Garde"/>
          <w:bCs/>
          <w:sz w:val="21"/>
          <w:szCs w:val="21"/>
        </w:rPr>
        <w:t xml:space="preserve">etencia Económica, el cual </w:t>
      </w:r>
      <w:r>
        <w:rPr>
          <w:rFonts w:ascii="ITC Avant Garde" w:hAnsi="ITC Avant Garde"/>
          <w:bCs/>
          <w:sz w:val="21"/>
          <w:szCs w:val="21"/>
        </w:rPr>
        <w:t xml:space="preserve">precisa y detalla los requisitos en dicha materia a propósito de </w:t>
      </w:r>
      <w:r w:rsidR="00E63327">
        <w:rPr>
          <w:rFonts w:ascii="ITC Avant Garde" w:hAnsi="ITC Avant Garde"/>
          <w:bCs/>
          <w:sz w:val="21"/>
          <w:szCs w:val="21"/>
        </w:rPr>
        <w:t>los trámites de Autorización de Arrendamiento y Subarrendamiento</w:t>
      </w:r>
      <w:r>
        <w:rPr>
          <w:rFonts w:ascii="ITC Avant Garde" w:hAnsi="ITC Avant Garde"/>
          <w:bCs/>
          <w:sz w:val="21"/>
          <w:szCs w:val="21"/>
        </w:rPr>
        <w:t xml:space="preserve"> de espectro radioeléctrico</w:t>
      </w:r>
      <w:r w:rsidR="00E63327">
        <w:rPr>
          <w:rFonts w:ascii="ITC Avant Garde" w:hAnsi="ITC Avant Garde"/>
          <w:bCs/>
          <w:sz w:val="21"/>
          <w:szCs w:val="21"/>
        </w:rPr>
        <w:t>.</w:t>
      </w:r>
    </w:p>
    <w:p w:rsidR="00910246" w:rsidRDefault="00910246" w:rsidP="00910246">
      <w:pPr>
        <w:pStyle w:val="Default"/>
        <w:spacing w:line="276" w:lineRule="auto"/>
        <w:jc w:val="both"/>
        <w:rPr>
          <w:rFonts w:ascii="ITC Avant Garde" w:hAnsi="ITC Avant Garde"/>
          <w:bCs/>
          <w:sz w:val="21"/>
          <w:szCs w:val="21"/>
        </w:rPr>
      </w:pPr>
    </w:p>
    <w:p w:rsidR="004737A6" w:rsidRDefault="005A17D2" w:rsidP="00BF364A">
      <w:pPr>
        <w:pStyle w:val="Default"/>
        <w:spacing w:line="276" w:lineRule="auto"/>
        <w:jc w:val="both"/>
        <w:rPr>
          <w:rFonts w:ascii="ITC Avant Garde" w:hAnsi="ITC Avant Garde"/>
          <w:bCs/>
          <w:sz w:val="21"/>
          <w:szCs w:val="21"/>
        </w:rPr>
      </w:pPr>
      <w:r w:rsidRPr="00DA0A7D">
        <w:rPr>
          <w:rFonts w:ascii="ITC Avant Garde" w:hAnsi="ITC Avant Garde"/>
          <w:bCs/>
          <w:sz w:val="21"/>
          <w:szCs w:val="21"/>
        </w:rPr>
        <w:t xml:space="preserve">Finalmente, se le informa que, una vez que entre en vigor el Anteproyecto, </w:t>
      </w:r>
      <w:r w:rsidR="00273767">
        <w:rPr>
          <w:rFonts w:ascii="ITC Avant Garde" w:hAnsi="ITC Avant Garde"/>
          <w:bCs/>
          <w:sz w:val="21"/>
          <w:szCs w:val="21"/>
        </w:rPr>
        <w:t>la UER</w:t>
      </w:r>
      <w:r w:rsidRPr="00DA0A7D">
        <w:rPr>
          <w:rFonts w:ascii="ITC Avant Garde" w:hAnsi="ITC Avant Garde"/>
          <w:bCs/>
          <w:sz w:val="21"/>
          <w:szCs w:val="21"/>
        </w:rPr>
        <w:t xml:space="preserve"> deberá remitir a la CGMR la información correspondiente a los trámites que deberán ser inscritos en el Inventario de Trámites y Servicios del Instituto Federal de Telecomunicaciones.</w:t>
      </w:r>
    </w:p>
    <w:p w:rsidR="00E63327" w:rsidRDefault="00E63327" w:rsidP="00BF364A">
      <w:pPr>
        <w:pStyle w:val="Default"/>
        <w:spacing w:line="276" w:lineRule="auto"/>
        <w:jc w:val="both"/>
        <w:rPr>
          <w:rFonts w:ascii="ITC Avant Garde" w:hAnsi="ITC Avant Garde"/>
          <w:bCs/>
          <w:sz w:val="21"/>
          <w:szCs w:val="21"/>
        </w:rPr>
      </w:pPr>
    </w:p>
    <w:p w:rsidR="00273767" w:rsidRPr="00DA0A7D" w:rsidRDefault="00273767" w:rsidP="00BF364A">
      <w:pPr>
        <w:pStyle w:val="Default"/>
        <w:spacing w:line="276" w:lineRule="auto"/>
        <w:jc w:val="both"/>
        <w:rPr>
          <w:rFonts w:ascii="ITC Avant Garde" w:hAnsi="ITC Avant Garde"/>
          <w:bCs/>
          <w:sz w:val="21"/>
          <w:szCs w:val="21"/>
        </w:rPr>
      </w:pPr>
      <w:r>
        <w:rPr>
          <w:rFonts w:ascii="ITC Avant Garde" w:hAnsi="ITC Avant Garde"/>
          <w:bCs/>
          <w:sz w:val="21"/>
          <w:szCs w:val="21"/>
        </w:rPr>
        <w:t>Esperando que la presente opinión no vinculante le sea de utilidad, quedo a sus órdenes para cualquier comentario o duda que exista sobre el particular.</w:t>
      </w:r>
    </w:p>
    <w:p w:rsidR="00C70CD7" w:rsidRDefault="00273767" w:rsidP="00BF364A">
      <w:pPr>
        <w:pStyle w:val="Default"/>
        <w:spacing w:line="276" w:lineRule="auto"/>
        <w:jc w:val="both"/>
        <w:rPr>
          <w:rFonts w:ascii="ITC Avant Garde" w:hAnsi="ITC Avant Garde"/>
          <w:bCs/>
          <w:sz w:val="21"/>
          <w:szCs w:val="21"/>
        </w:rPr>
      </w:pPr>
      <w:r>
        <w:rPr>
          <w:rFonts w:ascii="ITC Avant Garde" w:hAnsi="ITC Avant Garde"/>
          <w:bCs/>
          <w:sz w:val="21"/>
          <w:szCs w:val="21"/>
        </w:rPr>
        <w:t>R</w:t>
      </w:r>
      <w:r w:rsidR="00DD32EB" w:rsidRPr="00DA0A7D">
        <w:rPr>
          <w:rFonts w:ascii="ITC Avant Garde" w:hAnsi="ITC Avant Garde"/>
          <w:bCs/>
          <w:sz w:val="21"/>
          <w:szCs w:val="21"/>
        </w:rPr>
        <w:t>eciba un cordial saludo.</w:t>
      </w:r>
    </w:p>
    <w:p w:rsidR="00910246" w:rsidRPr="003E34D8" w:rsidRDefault="00910246" w:rsidP="00BF364A">
      <w:pPr>
        <w:pStyle w:val="Default"/>
        <w:spacing w:line="276" w:lineRule="auto"/>
        <w:jc w:val="both"/>
        <w:rPr>
          <w:rFonts w:ascii="ITC Avant Garde" w:hAnsi="ITC Avant Garde"/>
          <w:bCs/>
          <w:sz w:val="21"/>
          <w:szCs w:val="21"/>
        </w:rPr>
      </w:pPr>
    </w:p>
    <w:p w:rsidR="00DD32EB" w:rsidRPr="00DA0A7D" w:rsidRDefault="00DD32EB" w:rsidP="00BF364A">
      <w:pPr>
        <w:pStyle w:val="estilo30"/>
        <w:spacing w:before="0" w:beforeAutospacing="0" w:after="0" w:afterAutospacing="0" w:line="276" w:lineRule="auto"/>
        <w:jc w:val="center"/>
        <w:rPr>
          <w:rFonts w:ascii="ITC Avant Garde" w:hAnsi="ITC Avant Garde"/>
          <w:b/>
          <w:bCs/>
          <w:color w:val="000000"/>
          <w:sz w:val="21"/>
          <w:szCs w:val="21"/>
          <w:lang w:val="pt-BR"/>
        </w:rPr>
      </w:pPr>
      <w:r w:rsidRPr="00DA0A7D">
        <w:rPr>
          <w:rFonts w:ascii="ITC Avant Garde" w:hAnsi="ITC Avant Garde"/>
          <w:b/>
          <w:bCs/>
          <w:color w:val="000000"/>
          <w:sz w:val="21"/>
          <w:szCs w:val="21"/>
          <w:lang w:val="pt-BR"/>
        </w:rPr>
        <w:t>A T E N T A M E N T E</w:t>
      </w:r>
    </w:p>
    <w:p w:rsidR="00DD32EB" w:rsidRPr="00DA0A7D" w:rsidRDefault="00DD32EB" w:rsidP="00BF364A">
      <w:pPr>
        <w:pStyle w:val="estilo30"/>
        <w:spacing w:before="0" w:beforeAutospacing="0" w:after="0" w:afterAutospacing="0" w:line="276" w:lineRule="auto"/>
        <w:rPr>
          <w:rFonts w:ascii="ITC Avant Garde" w:hAnsi="ITC Avant Garde"/>
          <w:b/>
          <w:bCs/>
          <w:color w:val="000000"/>
          <w:sz w:val="21"/>
          <w:szCs w:val="21"/>
          <w:lang w:val="pt-BR"/>
        </w:rPr>
      </w:pPr>
    </w:p>
    <w:p w:rsidR="00344059" w:rsidRPr="00DA0A7D" w:rsidRDefault="00344059" w:rsidP="00BF364A">
      <w:pPr>
        <w:pStyle w:val="estilo30"/>
        <w:spacing w:before="0" w:beforeAutospacing="0" w:after="0" w:afterAutospacing="0" w:line="276" w:lineRule="auto"/>
        <w:rPr>
          <w:rFonts w:ascii="ITC Avant Garde" w:hAnsi="ITC Avant Garde"/>
          <w:b/>
          <w:bCs/>
          <w:color w:val="000000"/>
          <w:sz w:val="21"/>
          <w:szCs w:val="21"/>
          <w:lang w:val="pt-BR"/>
        </w:rPr>
      </w:pPr>
    </w:p>
    <w:p w:rsidR="00DD32EB" w:rsidRPr="00DA0A7D" w:rsidRDefault="00DD32EB" w:rsidP="00BF364A">
      <w:pPr>
        <w:pStyle w:val="estilo30"/>
        <w:spacing w:before="0" w:beforeAutospacing="0" w:after="0" w:afterAutospacing="0" w:line="276" w:lineRule="auto"/>
        <w:jc w:val="center"/>
        <w:rPr>
          <w:rFonts w:ascii="ITC Avant Garde" w:hAnsi="ITC Avant Garde"/>
          <w:b/>
          <w:bCs/>
          <w:color w:val="000000"/>
          <w:sz w:val="21"/>
          <w:szCs w:val="21"/>
          <w:lang w:val="pt-BR"/>
        </w:rPr>
      </w:pPr>
      <w:r w:rsidRPr="00DA0A7D">
        <w:rPr>
          <w:rFonts w:ascii="ITC Avant Garde" w:hAnsi="ITC Avant Garde"/>
          <w:b/>
          <w:bCs/>
          <w:color w:val="000000"/>
          <w:sz w:val="21"/>
          <w:szCs w:val="21"/>
          <w:lang w:val="pt-BR"/>
        </w:rPr>
        <w:t>LUIS FERNANDO ROSAS YÁÑEZ</w:t>
      </w:r>
    </w:p>
    <w:p w:rsidR="00DD32EB" w:rsidRPr="00DA0A7D" w:rsidRDefault="00DD32EB" w:rsidP="00BF364A">
      <w:pPr>
        <w:spacing w:after="0"/>
        <w:jc w:val="center"/>
        <w:rPr>
          <w:rFonts w:ascii="ITC Avant Garde" w:hAnsi="ITC Avant Garde"/>
          <w:b/>
          <w:bCs/>
          <w:color w:val="000000"/>
          <w:sz w:val="21"/>
          <w:szCs w:val="21"/>
          <w:lang w:val="pt-BR"/>
        </w:rPr>
      </w:pPr>
      <w:r w:rsidRPr="00DA0A7D">
        <w:rPr>
          <w:rFonts w:ascii="ITC Avant Garde" w:hAnsi="ITC Avant Garde"/>
          <w:b/>
          <w:bCs/>
          <w:color w:val="000000"/>
          <w:sz w:val="21"/>
          <w:szCs w:val="21"/>
          <w:lang w:val="pt-BR"/>
        </w:rPr>
        <w:t>COORDINADOR GENERAL</w:t>
      </w:r>
    </w:p>
    <w:p w:rsidR="00C70CD7" w:rsidRPr="00FA44DC" w:rsidRDefault="00C70CD7" w:rsidP="00BF364A">
      <w:pPr>
        <w:spacing w:after="0"/>
        <w:rPr>
          <w:rFonts w:ascii="ITC Avant Garde" w:hAnsi="ITC Avant Garde" w:cs="Arial"/>
          <w:b/>
          <w:shd w:val="clear" w:color="auto" w:fill="FFFFFF"/>
        </w:rPr>
      </w:pPr>
    </w:p>
    <w:p w:rsidR="00DD32EB" w:rsidRPr="00346F83" w:rsidRDefault="00DD32EB" w:rsidP="00BF364A">
      <w:pPr>
        <w:spacing w:after="0"/>
        <w:jc w:val="center"/>
        <w:rPr>
          <w:rFonts w:ascii="ITC Avant Garde" w:hAnsi="ITC Avant Garde" w:cs="Arial"/>
          <w:b/>
          <w:sz w:val="16"/>
          <w:szCs w:val="16"/>
          <w:shd w:val="clear" w:color="auto" w:fill="FFFFFF"/>
        </w:rPr>
      </w:pPr>
    </w:p>
    <w:p w:rsidR="00DD32EB" w:rsidRPr="00346F83" w:rsidRDefault="00346F83" w:rsidP="00BF364A">
      <w:pPr>
        <w:spacing w:after="0"/>
        <w:ind w:left="851" w:hanging="851"/>
        <w:jc w:val="both"/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</w:pPr>
      <w:r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>C.c.p</w:t>
      </w:r>
      <w:r w:rsidR="00DD32EB" w:rsidRPr="00346F83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 xml:space="preserve">. </w:t>
      </w:r>
      <w:r w:rsidR="00DD32EB" w:rsidRPr="00346F83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ab/>
      </w:r>
      <w:r w:rsidR="00AF550E" w:rsidRPr="00346F83">
        <w:rPr>
          <w:rFonts w:ascii="ITC Avant Garde" w:hAnsi="ITC Avant Garde" w:cs="Tahoma"/>
          <w:b/>
          <w:bCs/>
          <w:color w:val="000000"/>
          <w:sz w:val="16"/>
          <w:szCs w:val="16"/>
          <w:lang w:eastAsia="es-MX"/>
        </w:rPr>
        <w:t>Alejandro Navarrete Torres</w:t>
      </w:r>
      <w:r w:rsidR="00DD32EB" w:rsidRPr="00346F83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 xml:space="preserve">, Titular de la Unidad de </w:t>
      </w:r>
      <w:r w:rsidR="00AF550E" w:rsidRPr="00346F83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>Espectro Radioeléctrico</w:t>
      </w:r>
      <w:r w:rsidR="00DD32EB" w:rsidRPr="00346F83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 xml:space="preserve"> del Instituto Federal de Telecomunicaciones (IFT).- Para su conocimiento.</w:t>
      </w:r>
    </w:p>
    <w:p w:rsidR="00884FF8" w:rsidRPr="00346F83" w:rsidRDefault="00DD32EB" w:rsidP="00BF364A">
      <w:pPr>
        <w:spacing w:after="0"/>
        <w:ind w:left="851"/>
        <w:jc w:val="both"/>
        <w:rPr>
          <w:rFonts w:ascii="ITC Avant Garde" w:hAnsi="ITC Avant Garde" w:cs="Tahoma"/>
          <w:b/>
          <w:bCs/>
          <w:color w:val="000000"/>
          <w:sz w:val="16"/>
          <w:szCs w:val="16"/>
          <w:lang w:eastAsia="es-MX"/>
        </w:rPr>
      </w:pPr>
      <w:r w:rsidRPr="00346F83">
        <w:rPr>
          <w:rFonts w:ascii="ITC Avant Garde" w:hAnsi="ITC Avant Garde" w:cs="Tahoma"/>
          <w:b/>
          <w:bCs/>
          <w:color w:val="000000"/>
          <w:sz w:val="16"/>
          <w:szCs w:val="16"/>
          <w:lang w:eastAsia="es-MX"/>
        </w:rPr>
        <w:t>Luis Fernando Peláez Espinosa</w:t>
      </w:r>
      <w:r w:rsidRPr="00346F83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>, Coordinador Ejecutivo del IFT.- Mismo fin.</w:t>
      </w:r>
      <w:r w:rsidR="00884FF8" w:rsidRPr="00346F83">
        <w:rPr>
          <w:rFonts w:ascii="ITC Avant Garde" w:hAnsi="ITC Avant Garde" w:cs="Tahoma"/>
          <w:b/>
          <w:bCs/>
          <w:color w:val="000000"/>
          <w:sz w:val="16"/>
          <w:szCs w:val="16"/>
          <w:lang w:eastAsia="es-MX"/>
        </w:rPr>
        <w:t xml:space="preserve"> </w:t>
      </w:r>
    </w:p>
    <w:p w:rsidR="003C116E" w:rsidRPr="00346F83" w:rsidRDefault="00884FF8" w:rsidP="00BF364A">
      <w:pPr>
        <w:spacing w:after="0"/>
        <w:ind w:left="851"/>
        <w:jc w:val="both"/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</w:pPr>
      <w:r w:rsidRPr="00346F83">
        <w:rPr>
          <w:rFonts w:ascii="ITC Avant Garde" w:hAnsi="ITC Avant Garde" w:cs="Tahoma"/>
          <w:b/>
          <w:bCs/>
          <w:color w:val="000000"/>
          <w:sz w:val="16"/>
          <w:szCs w:val="16"/>
          <w:lang w:eastAsia="es-MX"/>
        </w:rPr>
        <w:t>Juan José Crispín Borbolla</w:t>
      </w:r>
      <w:r w:rsidRPr="00346F83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>, Secretario Técnico del Pleno del IFT.- Mismo fin.</w:t>
      </w:r>
    </w:p>
    <w:p w:rsidR="00346F83" w:rsidRPr="00346F83" w:rsidRDefault="00346F83" w:rsidP="00BF364A">
      <w:pPr>
        <w:spacing w:after="0"/>
        <w:ind w:left="851"/>
        <w:jc w:val="both"/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</w:pPr>
      <w:r w:rsidRPr="00346F83">
        <w:rPr>
          <w:rFonts w:ascii="ITC Avant Garde" w:hAnsi="ITC Avant Garde" w:cs="Tahoma"/>
          <w:b/>
          <w:bCs/>
          <w:color w:val="000000"/>
          <w:sz w:val="16"/>
          <w:szCs w:val="16"/>
          <w:lang w:eastAsia="es-MX"/>
        </w:rPr>
        <w:t>Sonia Alejandra Celada Ramírez</w:t>
      </w:r>
      <w:r w:rsidRPr="00346F83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>, Secretaria Particular del Presidente del IFT.- Mismo fin.</w:t>
      </w:r>
    </w:p>
    <w:sectPr w:rsidR="00346F83" w:rsidRPr="00346F83" w:rsidSect="00072BC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A52" w:rsidRDefault="00925A52" w:rsidP="00D07698">
      <w:pPr>
        <w:spacing w:after="0" w:line="240" w:lineRule="auto"/>
      </w:pPr>
      <w:r>
        <w:separator/>
      </w:r>
    </w:p>
  </w:endnote>
  <w:endnote w:type="continuationSeparator" w:id="0">
    <w:p w:rsidR="00925A52" w:rsidRDefault="00925A52" w:rsidP="00D0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61" w:rsidRPr="00A26829" w:rsidRDefault="00B13F61" w:rsidP="00B13F61">
    <w:pPr>
      <w:pStyle w:val="Piedepgina"/>
      <w:jc w:val="right"/>
      <w:rPr>
        <w:rFonts w:ascii="ITC Avant Garde" w:hAnsi="ITC Avant Garde"/>
        <w:sz w:val="16"/>
      </w:rPr>
    </w:pPr>
    <w:r w:rsidRPr="00A26829">
      <w:rPr>
        <w:rFonts w:ascii="ITC Avant Garde" w:hAnsi="ITC Avant Garde"/>
        <w:sz w:val="16"/>
        <w:lang w:val="es-ES"/>
      </w:rPr>
      <w:t xml:space="preserve">Página </w:t>
    </w:r>
    <w:r w:rsidRPr="00A26829">
      <w:rPr>
        <w:rFonts w:ascii="ITC Avant Garde" w:hAnsi="ITC Avant Garde"/>
        <w:sz w:val="16"/>
      </w:rPr>
      <w:fldChar w:fldCharType="begin"/>
    </w:r>
    <w:r w:rsidRPr="00A26829">
      <w:rPr>
        <w:rFonts w:ascii="ITC Avant Garde" w:hAnsi="ITC Avant Garde"/>
        <w:sz w:val="16"/>
      </w:rPr>
      <w:instrText>PAGE  \* Arabic  \* MERGEFORMAT</w:instrText>
    </w:r>
    <w:r w:rsidRPr="00A26829">
      <w:rPr>
        <w:rFonts w:ascii="ITC Avant Garde" w:hAnsi="ITC Avant Garde"/>
        <w:sz w:val="16"/>
      </w:rPr>
      <w:fldChar w:fldCharType="separate"/>
    </w:r>
    <w:r w:rsidR="00EF308C" w:rsidRPr="00EF308C">
      <w:rPr>
        <w:rFonts w:ascii="ITC Avant Garde" w:hAnsi="ITC Avant Garde"/>
        <w:noProof/>
        <w:sz w:val="16"/>
        <w:lang w:val="es-ES"/>
      </w:rPr>
      <w:t>1</w:t>
    </w:r>
    <w:r w:rsidRPr="00A26829">
      <w:rPr>
        <w:rFonts w:ascii="ITC Avant Garde" w:hAnsi="ITC Avant Garde"/>
        <w:sz w:val="16"/>
      </w:rPr>
      <w:fldChar w:fldCharType="end"/>
    </w:r>
    <w:r w:rsidRPr="00A26829">
      <w:rPr>
        <w:rFonts w:ascii="ITC Avant Garde" w:hAnsi="ITC Avant Garde"/>
        <w:sz w:val="16"/>
        <w:lang w:val="es-ES"/>
      </w:rPr>
      <w:t xml:space="preserve"> de </w:t>
    </w:r>
    <w:r w:rsidRPr="00A26829">
      <w:rPr>
        <w:rFonts w:ascii="ITC Avant Garde" w:hAnsi="ITC Avant Garde"/>
        <w:sz w:val="16"/>
      </w:rPr>
      <w:fldChar w:fldCharType="begin"/>
    </w:r>
    <w:r w:rsidRPr="00A26829">
      <w:rPr>
        <w:rFonts w:ascii="ITC Avant Garde" w:hAnsi="ITC Avant Garde"/>
        <w:sz w:val="16"/>
      </w:rPr>
      <w:instrText>NUMPAGES  \* Arabic  \* MERGEFORMAT</w:instrText>
    </w:r>
    <w:r w:rsidRPr="00A26829">
      <w:rPr>
        <w:rFonts w:ascii="ITC Avant Garde" w:hAnsi="ITC Avant Garde"/>
        <w:sz w:val="16"/>
      </w:rPr>
      <w:fldChar w:fldCharType="separate"/>
    </w:r>
    <w:r w:rsidR="00EF308C" w:rsidRPr="00EF308C">
      <w:rPr>
        <w:rFonts w:ascii="ITC Avant Garde" w:hAnsi="ITC Avant Garde"/>
        <w:noProof/>
        <w:sz w:val="16"/>
        <w:lang w:val="es-ES"/>
      </w:rPr>
      <w:t>7</w:t>
    </w:r>
    <w:r w:rsidRPr="00A26829">
      <w:rPr>
        <w:rFonts w:ascii="ITC Avant Garde" w:hAnsi="ITC Avant Garde"/>
        <w:sz w:val="16"/>
      </w:rPr>
      <w:fldChar w:fldCharType="end"/>
    </w:r>
  </w:p>
  <w:p w:rsidR="00B13F61" w:rsidRDefault="00B13F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A52" w:rsidRDefault="00925A52" w:rsidP="00D07698">
      <w:pPr>
        <w:spacing w:after="0" w:line="240" w:lineRule="auto"/>
      </w:pPr>
      <w:r>
        <w:separator/>
      </w:r>
    </w:p>
  </w:footnote>
  <w:footnote w:type="continuationSeparator" w:id="0">
    <w:p w:rsidR="00925A52" w:rsidRDefault="00925A52" w:rsidP="00D0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925A5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7122" o:spid="_x0000_s2050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Edif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676" w:rsidRDefault="00925A5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7123" o:spid="_x0000_s2051" type="#_x0000_t75" style="position:absolute;margin-left:-70.9pt;margin-top:-114.5pt;width:612pt;height:11in;z-index:-251655168;mso-position-horizontal-relative:margin;mso-position-vertical-relative:margin" o:allowincell="f">
          <v:imagedata r:id="rId1" o:title="hoja membretada Edif2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925A5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7121" o:spid="_x0000_s2049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Edif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609BE"/>
    <w:multiLevelType w:val="hybridMultilevel"/>
    <w:tmpl w:val="C198567E"/>
    <w:lvl w:ilvl="0" w:tplc="080A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9D956B3"/>
    <w:multiLevelType w:val="hybridMultilevel"/>
    <w:tmpl w:val="84BC9FFE"/>
    <w:lvl w:ilvl="0" w:tplc="1C6CBAB0">
      <w:start w:val="1"/>
      <w:numFmt w:val="bullet"/>
      <w:lvlText w:val="-"/>
      <w:lvlJc w:val="left"/>
      <w:pPr>
        <w:ind w:left="1778" w:hanging="360"/>
      </w:pPr>
      <w:rPr>
        <w:rFonts w:ascii="ITC Avant Garde" w:eastAsia="Calibri" w:hAnsi="ITC Avant Garde" w:cs="Tahoma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F780570"/>
    <w:multiLevelType w:val="hybridMultilevel"/>
    <w:tmpl w:val="4E4631EC"/>
    <w:lvl w:ilvl="0" w:tplc="9920DFA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D0FE7"/>
    <w:multiLevelType w:val="hybridMultilevel"/>
    <w:tmpl w:val="246454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31169"/>
    <w:multiLevelType w:val="hybridMultilevel"/>
    <w:tmpl w:val="2948F4B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C4DFD"/>
    <w:multiLevelType w:val="hybridMultilevel"/>
    <w:tmpl w:val="673261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95D58"/>
    <w:multiLevelType w:val="hybridMultilevel"/>
    <w:tmpl w:val="078A7410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1B0B20"/>
    <w:multiLevelType w:val="hybridMultilevel"/>
    <w:tmpl w:val="DED4F2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47311"/>
    <w:multiLevelType w:val="hybridMultilevel"/>
    <w:tmpl w:val="7480DB2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E1062F"/>
    <w:multiLevelType w:val="hybridMultilevel"/>
    <w:tmpl w:val="1E48FC5A"/>
    <w:lvl w:ilvl="0" w:tplc="61C66E70">
      <w:start w:val="1"/>
      <w:numFmt w:val="bullet"/>
      <w:lvlText w:val="-"/>
      <w:lvlJc w:val="left"/>
      <w:pPr>
        <w:ind w:left="1080" w:hanging="360"/>
      </w:pPr>
      <w:rPr>
        <w:rFonts w:ascii="ITC Avant Garde" w:eastAsia="Calibri" w:hAnsi="ITC Avant Garde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6E"/>
    <w:rsid w:val="00022123"/>
    <w:rsid w:val="00082CA7"/>
    <w:rsid w:val="000A3E7C"/>
    <w:rsid w:val="000B61BE"/>
    <w:rsid w:val="000C0A0D"/>
    <w:rsid w:val="000D307C"/>
    <w:rsid w:val="0012019E"/>
    <w:rsid w:val="00140D56"/>
    <w:rsid w:val="00147F3D"/>
    <w:rsid w:val="001708BA"/>
    <w:rsid w:val="001A013F"/>
    <w:rsid w:val="00206D11"/>
    <w:rsid w:val="00213414"/>
    <w:rsid w:val="002171DD"/>
    <w:rsid w:val="00231CF2"/>
    <w:rsid w:val="0024221A"/>
    <w:rsid w:val="00266332"/>
    <w:rsid w:val="00273767"/>
    <w:rsid w:val="0029002F"/>
    <w:rsid w:val="00344059"/>
    <w:rsid w:val="00346F83"/>
    <w:rsid w:val="003616B6"/>
    <w:rsid w:val="00374C49"/>
    <w:rsid w:val="0038566B"/>
    <w:rsid w:val="003B57CD"/>
    <w:rsid w:val="003C116E"/>
    <w:rsid w:val="003D405A"/>
    <w:rsid w:val="003D42EC"/>
    <w:rsid w:val="003E34D8"/>
    <w:rsid w:val="003F4A59"/>
    <w:rsid w:val="00421850"/>
    <w:rsid w:val="00424B63"/>
    <w:rsid w:val="00450212"/>
    <w:rsid w:val="004613E3"/>
    <w:rsid w:val="004737A6"/>
    <w:rsid w:val="00477348"/>
    <w:rsid w:val="00490B54"/>
    <w:rsid w:val="004A3386"/>
    <w:rsid w:val="004F104B"/>
    <w:rsid w:val="004F5B97"/>
    <w:rsid w:val="00500305"/>
    <w:rsid w:val="005173A8"/>
    <w:rsid w:val="005266E1"/>
    <w:rsid w:val="00534D77"/>
    <w:rsid w:val="00556F94"/>
    <w:rsid w:val="0057161F"/>
    <w:rsid w:val="00586D87"/>
    <w:rsid w:val="005A17D2"/>
    <w:rsid w:val="005B4033"/>
    <w:rsid w:val="005B5B80"/>
    <w:rsid w:val="00605066"/>
    <w:rsid w:val="00612227"/>
    <w:rsid w:val="0061571F"/>
    <w:rsid w:val="00615EAB"/>
    <w:rsid w:val="00622624"/>
    <w:rsid w:val="006256E3"/>
    <w:rsid w:val="0065774F"/>
    <w:rsid w:val="00657A80"/>
    <w:rsid w:val="00673B75"/>
    <w:rsid w:val="006772FE"/>
    <w:rsid w:val="00686EFD"/>
    <w:rsid w:val="00692254"/>
    <w:rsid w:val="006E109C"/>
    <w:rsid w:val="006E6FF9"/>
    <w:rsid w:val="00707FAF"/>
    <w:rsid w:val="00787A1D"/>
    <w:rsid w:val="007B1BEA"/>
    <w:rsid w:val="007B322D"/>
    <w:rsid w:val="007D6FCC"/>
    <w:rsid w:val="008422BF"/>
    <w:rsid w:val="00842BA5"/>
    <w:rsid w:val="0086607E"/>
    <w:rsid w:val="00884FF8"/>
    <w:rsid w:val="008A2C5F"/>
    <w:rsid w:val="008A76A2"/>
    <w:rsid w:val="008B1D44"/>
    <w:rsid w:val="008B5052"/>
    <w:rsid w:val="008E3F74"/>
    <w:rsid w:val="008E7670"/>
    <w:rsid w:val="008F18BD"/>
    <w:rsid w:val="00905181"/>
    <w:rsid w:val="00910246"/>
    <w:rsid w:val="00923617"/>
    <w:rsid w:val="009237F9"/>
    <w:rsid w:val="00925A52"/>
    <w:rsid w:val="00932FBF"/>
    <w:rsid w:val="00967B56"/>
    <w:rsid w:val="00980388"/>
    <w:rsid w:val="009E0C72"/>
    <w:rsid w:val="009F227C"/>
    <w:rsid w:val="00A03D42"/>
    <w:rsid w:val="00A052B6"/>
    <w:rsid w:val="00A26829"/>
    <w:rsid w:val="00A43C68"/>
    <w:rsid w:val="00A50853"/>
    <w:rsid w:val="00A723B1"/>
    <w:rsid w:val="00A8304A"/>
    <w:rsid w:val="00A94943"/>
    <w:rsid w:val="00AA2535"/>
    <w:rsid w:val="00AE6B49"/>
    <w:rsid w:val="00AF550E"/>
    <w:rsid w:val="00AF783D"/>
    <w:rsid w:val="00B0020E"/>
    <w:rsid w:val="00B029FB"/>
    <w:rsid w:val="00B0653E"/>
    <w:rsid w:val="00B13F61"/>
    <w:rsid w:val="00B22297"/>
    <w:rsid w:val="00B528FF"/>
    <w:rsid w:val="00BC6F27"/>
    <w:rsid w:val="00BF364A"/>
    <w:rsid w:val="00BF5EFD"/>
    <w:rsid w:val="00C215D5"/>
    <w:rsid w:val="00C508C3"/>
    <w:rsid w:val="00C70CD7"/>
    <w:rsid w:val="00C757F2"/>
    <w:rsid w:val="00C80E2D"/>
    <w:rsid w:val="00C84B9D"/>
    <w:rsid w:val="00C853F7"/>
    <w:rsid w:val="00CD391B"/>
    <w:rsid w:val="00CF5C32"/>
    <w:rsid w:val="00CF7D57"/>
    <w:rsid w:val="00D002AE"/>
    <w:rsid w:val="00D07698"/>
    <w:rsid w:val="00D53FF0"/>
    <w:rsid w:val="00DA0A7D"/>
    <w:rsid w:val="00DD32EB"/>
    <w:rsid w:val="00E021F6"/>
    <w:rsid w:val="00E30DD7"/>
    <w:rsid w:val="00E31308"/>
    <w:rsid w:val="00E63327"/>
    <w:rsid w:val="00E7427A"/>
    <w:rsid w:val="00E765AB"/>
    <w:rsid w:val="00E8544E"/>
    <w:rsid w:val="00E96702"/>
    <w:rsid w:val="00EA15DA"/>
    <w:rsid w:val="00EE6D65"/>
    <w:rsid w:val="00EE717B"/>
    <w:rsid w:val="00EF308C"/>
    <w:rsid w:val="00EF6052"/>
    <w:rsid w:val="00F2609F"/>
    <w:rsid w:val="00F77736"/>
    <w:rsid w:val="00F844B2"/>
    <w:rsid w:val="00FC41C9"/>
    <w:rsid w:val="00FC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AE7A4D8-BCEA-4BD8-B24E-5F3E747C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1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11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16E"/>
    <w:rPr>
      <w:rFonts w:ascii="Calibri" w:eastAsia="Calibri" w:hAnsi="Calibri" w:cs="Times New Roman"/>
    </w:rPr>
  </w:style>
  <w:style w:type="paragraph" w:customStyle="1" w:styleId="estilo30">
    <w:name w:val="estilo30"/>
    <w:basedOn w:val="Normal"/>
    <w:rsid w:val="003C11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3C11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3C116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076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769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0769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7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F3D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B1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F6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5A17D2"/>
    <w:pPr>
      <w:ind w:left="720"/>
      <w:contextualSpacing/>
    </w:pPr>
  </w:style>
  <w:style w:type="table" w:styleId="Tablaconcuadrcula">
    <w:name w:val="Table Grid"/>
    <w:basedOn w:val="Tablanormal"/>
    <w:uiPriority w:val="39"/>
    <w:rsid w:val="001A0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C6E2-E212-41AB-B5E3-63602975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2434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Altamirano Pacheco</dc:creator>
  <cp:keywords/>
  <dc:description/>
  <cp:lastModifiedBy>Luis Fernando Rosas Yanez</cp:lastModifiedBy>
  <cp:revision>2</cp:revision>
  <cp:lastPrinted>2015-10-13T00:27:00Z</cp:lastPrinted>
  <dcterms:created xsi:type="dcterms:W3CDTF">2016-02-29T15:42:00Z</dcterms:created>
  <dcterms:modified xsi:type="dcterms:W3CDTF">2016-02-29T15:42:00Z</dcterms:modified>
</cp:coreProperties>
</file>