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54272" w14:textId="77777777" w:rsidR="00F37C4D" w:rsidRPr="00EB3B5D" w:rsidRDefault="00F37C4D" w:rsidP="00F003B2">
      <w:pPr>
        <w:spacing w:after="0" w:line="240" w:lineRule="auto"/>
        <w:contextualSpacing/>
        <w:jc w:val="both"/>
        <w:rPr>
          <w:rFonts w:ascii="ITC Avant Garde" w:hAnsi="ITC Avant Garde"/>
          <w:b/>
          <w:color w:val="000000" w:themeColor="text1"/>
          <w:szCs w:val="21"/>
        </w:rPr>
      </w:pPr>
      <w:r w:rsidRPr="00EB3B5D">
        <w:rPr>
          <w:rFonts w:ascii="ITC Avant Garde" w:hAnsi="ITC Avant Garde"/>
          <w:b/>
          <w:color w:val="000000" w:themeColor="text1"/>
          <w:szCs w:val="21"/>
        </w:rPr>
        <w:t>ACUERDO MEDIANTE EL CUAL EL PLENO DEL INSTITUTO FEDERAL DE TELECOMUNICACIONES APRUEBA</w:t>
      </w:r>
      <w:r>
        <w:rPr>
          <w:rFonts w:ascii="ITC Avant Garde" w:hAnsi="ITC Avant Garde"/>
          <w:b/>
          <w:color w:val="000000" w:themeColor="text1"/>
          <w:szCs w:val="21"/>
        </w:rPr>
        <w:t xml:space="preserve"> Y EMITE </w:t>
      </w:r>
      <w:r w:rsidRPr="00EB3B5D">
        <w:rPr>
          <w:rFonts w:ascii="ITC Avant Garde" w:hAnsi="ITC Avant Garde"/>
          <w:b/>
          <w:color w:val="000000" w:themeColor="text1"/>
          <w:szCs w:val="21"/>
        </w:rPr>
        <w:t>LOS LINEAMIENTOS GENERALES SOBRE LA AUTORIZACIÓN DE ARRENDAMIENTO DE ESPECTRO RADIOELÉCTRICO.</w:t>
      </w:r>
    </w:p>
    <w:p w14:paraId="4CA303C7" w14:textId="77777777" w:rsidR="00F37C4D" w:rsidRPr="00D03948" w:rsidRDefault="00F37C4D" w:rsidP="00D46DFA">
      <w:pPr>
        <w:spacing w:after="0" w:line="240" w:lineRule="auto"/>
        <w:contextualSpacing/>
        <w:jc w:val="both"/>
        <w:rPr>
          <w:rFonts w:ascii="ITC Avant Garde" w:eastAsiaTheme="majorEastAsia" w:hAnsi="ITC Avant Garde" w:cstheme="majorBidi"/>
          <w:b/>
          <w:color w:val="000000" w:themeColor="text1"/>
          <w:szCs w:val="21"/>
        </w:rPr>
      </w:pPr>
    </w:p>
    <w:p w14:paraId="24D4C681" w14:textId="77777777" w:rsidR="00F37C4D" w:rsidRPr="00D03948" w:rsidRDefault="00F37C4D" w:rsidP="00D46DFA">
      <w:pPr>
        <w:spacing w:after="0" w:line="240" w:lineRule="auto"/>
        <w:contextualSpacing/>
        <w:jc w:val="center"/>
        <w:rPr>
          <w:rFonts w:ascii="ITC Avant Garde" w:eastAsiaTheme="majorEastAsia" w:hAnsi="ITC Avant Garde" w:cstheme="majorBidi"/>
          <w:b/>
          <w:color w:val="000000" w:themeColor="text1"/>
          <w:szCs w:val="21"/>
        </w:rPr>
      </w:pPr>
      <w:r w:rsidRPr="00D03948">
        <w:rPr>
          <w:rFonts w:ascii="ITC Avant Garde" w:eastAsiaTheme="majorEastAsia" w:hAnsi="ITC Avant Garde" w:cstheme="majorBidi"/>
          <w:b/>
          <w:color w:val="000000" w:themeColor="text1"/>
          <w:szCs w:val="21"/>
        </w:rPr>
        <w:t>ANTECEDENTES</w:t>
      </w:r>
    </w:p>
    <w:p w14:paraId="11D01B35" w14:textId="77777777" w:rsidR="00F37C4D" w:rsidRPr="00D03948" w:rsidRDefault="00F37C4D" w:rsidP="00F003B2">
      <w:pPr>
        <w:spacing w:after="0" w:line="240" w:lineRule="auto"/>
        <w:contextualSpacing/>
        <w:rPr>
          <w:rFonts w:ascii="ITC Avant Garde" w:hAnsi="ITC Avant Garde"/>
          <w:szCs w:val="21"/>
        </w:rPr>
      </w:pPr>
    </w:p>
    <w:p w14:paraId="77B079A5" w14:textId="64B50615" w:rsidR="00F37C4D" w:rsidRPr="00D03948" w:rsidRDefault="00F37C4D" w:rsidP="00F003B2">
      <w:pPr>
        <w:numPr>
          <w:ilvl w:val="0"/>
          <w:numId w:val="2"/>
        </w:numPr>
        <w:suppressAutoHyphens/>
        <w:spacing w:after="0" w:line="240" w:lineRule="auto"/>
        <w:ind w:right="49"/>
        <w:contextualSpacing/>
        <w:jc w:val="both"/>
        <w:rPr>
          <w:rFonts w:ascii="ITC Avant Garde" w:hAnsi="ITC Avant Garde"/>
          <w:color w:val="000000" w:themeColor="text1"/>
          <w:kern w:val="1"/>
          <w:szCs w:val="21"/>
          <w:lang w:eastAsia="ar-SA"/>
        </w:rPr>
      </w:pPr>
      <w:r w:rsidRPr="00D03948">
        <w:rPr>
          <w:rFonts w:ascii="ITC Avant Garde" w:hAnsi="ITC Avant Garde"/>
          <w:color w:val="000000" w:themeColor="text1"/>
          <w:kern w:val="1"/>
          <w:szCs w:val="21"/>
          <w:lang w:eastAsia="ar-SA"/>
        </w:rPr>
        <w:t xml:space="preserve">El 11 de junio de 2013 se publicó en el Diario Oficial de la Federación (DOF) el </w:t>
      </w:r>
      <w:r w:rsidRPr="00D03948">
        <w:rPr>
          <w:rFonts w:ascii="ITC Avant Garde" w:hAnsi="ITC Avant Garde"/>
          <w:i/>
          <w:color w:val="000000" w:themeColor="text1"/>
          <w:kern w:val="1"/>
          <w:szCs w:val="21"/>
          <w:lang w:eastAsia="ar-SA"/>
        </w:rPr>
        <w:t>“DECRETO por el que se reforman y adicionan diversas disposiciones de los artículos 6o., 7o., 27, 28, 73, 78, 94 y 105 de la Constitución Política de los Estados Unidos Mexicanos, en materia de telecomunicaciones”</w:t>
      </w:r>
      <w:r w:rsidRPr="00D03948">
        <w:rPr>
          <w:rFonts w:ascii="ITC Avant Garde" w:hAnsi="ITC Avant Garde"/>
          <w:color w:val="000000" w:themeColor="text1"/>
          <w:kern w:val="1"/>
          <w:szCs w:val="21"/>
          <w:lang w:eastAsia="ar-SA"/>
        </w:rPr>
        <w:t>, mediante el cual se creó al Instituto Federal de Telecomunicaciones (Instituto) como un órgano autónomo, con personalidad jurídica y patrimonio propio</w:t>
      </w:r>
      <w:r w:rsidR="00DA474E">
        <w:rPr>
          <w:rFonts w:ascii="ITC Avant Garde" w:hAnsi="ITC Avant Garde"/>
          <w:color w:val="000000" w:themeColor="text1"/>
          <w:kern w:val="1"/>
          <w:szCs w:val="21"/>
          <w:lang w:eastAsia="ar-SA"/>
        </w:rPr>
        <w:t>.</w:t>
      </w:r>
    </w:p>
    <w:p w14:paraId="4837B463" w14:textId="77777777" w:rsidR="00F37C4D" w:rsidRPr="00D03948" w:rsidRDefault="00F37C4D" w:rsidP="00F003B2">
      <w:pPr>
        <w:spacing w:after="0" w:line="240" w:lineRule="auto"/>
        <w:contextualSpacing/>
        <w:jc w:val="both"/>
        <w:rPr>
          <w:rFonts w:ascii="ITC Avant Garde" w:hAnsi="ITC Avant Garde" w:cs="Arial"/>
          <w:color w:val="000000" w:themeColor="text1"/>
          <w:szCs w:val="21"/>
        </w:rPr>
      </w:pPr>
    </w:p>
    <w:p w14:paraId="1C102723" w14:textId="055D37F9" w:rsidR="00F37C4D" w:rsidRPr="00D03948" w:rsidRDefault="00F37C4D" w:rsidP="00F003B2">
      <w:pPr>
        <w:numPr>
          <w:ilvl w:val="0"/>
          <w:numId w:val="2"/>
        </w:numPr>
        <w:suppressAutoHyphens/>
        <w:spacing w:after="0" w:line="240" w:lineRule="auto"/>
        <w:ind w:right="49"/>
        <w:contextualSpacing/>
        <w:jc w:val="both"/>
        <w:rPr>
          <w:rFonts w:ascii="ITC Avant Garde" w:hAnsi="ITC Avant Garde"/>
          <w:color w:val="000000" w:themeColor="text1"/>
          <w:kern w:val="1"/>
          <w:szCs w:val="21"/>
          <w:lang w:eastAsia="ar-SA"/>
        </w:rPr>
      </w:pPr>
      <w:r w:rsidRPr="00D03948">
        <w:rPr>
          <w:rFonts w:ascii="ITC Avant Garde" w:hAnsi="ITC Avant Garde"/>
          <w:color w:val="000000" w:themeColor="text1"/>
          <w:kern w:val="1"/>
          <w:szCs w:val="21"/>
          <w:lang w:eastAsia="ar-SA"/>
        </w:rPr>
        <w:t xml:space="preserve">El 14 de julio de 2014 se publicó en el DOF el </w:t>
      </w:r>
      <w:r w:rsidRPr="00D03948">
        <w:rPr>
          <w:rFonts w:ascii="ITC Avant Garde" w:hAnsi="ITC Avant Garde"/>
          <w:i/>
          <w:color w:val="000000" w:themeColor="text1"/>
          <w:kern w:val="1"/>
          <w:szCs w:val="2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03948">
        <w:rPr>
          <w:rFonts w:ascii="ITC Avant Garde" w:hAnsi="ITC Avant Garde"/>
          <w:color w:val="000000" w:themeColor="text1"/>
          <w:kern w:val="1"/>
          <w:szCs w:val="21"/>
          <w:lang w:eastAsia="ar-SA"/>
        </w:rPr>
        <w:t>, mismo que entró en vigor el 13 de agosto de 2014.</w:t>
      </w:r>
    </w:p>
    <w:p w14:paraId="3FA962F0" w14:textId="77777777" w:rsidR="00F37C4D" w:rsidRDefault="00F37C4D" w:rsidP="00F003B2">
      <w:pPr>
        <w:pStyle w:val="Prrafodelista"/>
        <w:rPr>
          <w:rFonts w:ascii="ITC Avant Garde" w:hAnsi="ITC Avant Garde"/>
          <w:color w:val="000000" w:themeColor="text1"/>
          <w:szCs w:val="21"/>
          <w:lang w:eastAsia="es-MX"/>
        </w:rPr>
      </w:pPr>
    </w:p>
    <w:p w14:paraId="7A90BE38" w14:textId="230AC072" w:rsidR="00356A1E" w:rsidRDefault="00F37C4D" w:rsidP="00F003B2">
      <w:pPr>
        <w:numPr>
          <w:ilvl w:val="0"/>
          <w:numId w:val="2"/>
        </w:numPr>
        <w:spacing w:after="0" w:line="240" w:lineRule="auto"/>
        <w:ind w:right="49"/>
        <w:contextualSpacing/>
        <w:jc w:val="both"/>
        <w:rPr>
          <w:rFonts w:ascii="ITC Avant Garde" w:hAnsi="ITC Avant Garde"/>
          <w:color w:val="000000" w:themeColor="text1"/>
          <w:szCs w:val="21"/>
          <w:lang w:eastAsia="es-MX"/>
        </w:rPr>
      </w:pPr>
      <w:r>
        <w:rPr>
          <w:rFonts w:ascii="ITC Avant Garde" w:hAnsi="ITC Avant Garde"/>
          <w:color w:val="000000" w:themeColor="text1"/>
          <w:szCs w:val="21"/>
          <w:lang w:eastAsia="es-MX"/>
        </w:rPr>
        <w:t xml:space="preserve">Mediante Acuerdo P/IFT/100715/216, de fecha 10 de julio de 2015, el Pleno </w:t>
      </w:r>
      <w:r w:rsidR="00722DA3">
        <w:rPr>
          <w:rFonts w:ascii="ITC Avant Garde" w:hAnsi="ITC Avant Garde"/>
          <w:color w:val="000000" w:themeColor="text1"/>
          <w:szCs w:val="21"/>
          <w:lang w:eastAsia="es-MX"/>
        </w:rPr>
        <w:t>del Instituto</w:t>
      </w:r>
      <w:r w:rsidR="00E13235">
        <w:rPr>
          <w:rFonts w:ascii="ITC Avant Garde" w:hAnsi="ITC Avant Garde"/>
          <w:color w:val="000000" w:themeColor="text1"/>
          <w:szCs w:val="21"/>
          <w:lang w:eastAsia="es-MX"/>
        </w:rPr>
        <w:t>,</w:t>
      </w:r>
      <w:r w:rsidR="00722DA3">
        <w:rPr>
          <w:rFonts w:ascii="ITC Avant Garde" w:hAnsi="ITC Avant Garde"/>
          <w:color w:val="000000" w:themeColor="text1"/>
          <w:szCs w:val="21"/>
          <w:lang w:eastAsia="es-MX"/>
        </w:rPr>
        <w:t xml:space="preserve"> </w:t>
      </w:r>
      <w:r w:rsidR="00493204">
        <w:rPr>
          <w:rFonts w:ascii="ITC Avant Garde" w:hAnsi="ITC Avant Garde"/>
          <w:color w:val="000000" w:themeColor="text1"/>
          <w:szCs w:val="21"/>
          <w:lang w:eastAsia="es-MX"/>
        </w:rPr>
        <w:t xml:space="preserve">en su XV Sesión Ordinaria, </w:t>
      </w:r>
      <w:r>
        <w:rPr>
          <w:rFonts w:ascii="ITC Avant Garde" w:hAnsi="ITC Avant Garde"/>
          <w:color w:val="000000" w:themeColor="text1"/>
          <w:szCs w:val="21"/>
          <w:lang w:eastAsia="es-MX"/>
        </w:rPr>
        <w:t xml:space="preserve">aprobó someter a consulta pública por un plazo de 20 días </w:t>
      </w:r>
      <w:r w:rsidR="006E5E4C">
        <w:rPr>
          <w:rFonts w:ascii="ITC Avant Garde" w:hAnsi="ITC Avant Garde"/>
          <w:color w:val="000000" w:themeColor="text1"/>
          <w:szCs w:val="21"/>
          <w:lang w:eastAsia="es-MX"/>
        </w:rPr>
        <w:t xml:space="preserve">hábiles </w:t>
      </w:r>
      <w:r>
        <w:rPr>
          <w:rFonts w:ascii="ITC Avant Garde" w:hAnsi="ITC Avant Garde"/>
          <w:color w:val="000000" w:themeColor="text1"/>
          <w:szCs w:val="21"/>
          <w:lang w:eastAsia="es-MX"/>
        </w:rPr>
        <w:t>el “</w:t>
      </w:r>
      <w:r w:rsidR="0015761D" w:rsidRPr="00EB3B5D">
        <w:rPr>
          <w:rFonts w:ascii="ITC Avant Garde" w:hAnsi="ITC Avant Garde"/>
          <w:i/>
          <w:color w:val="000000" w:themeColor="text1"/>
          <w:szCs w:val="21"/>
          <w:lang w:eastAsia="es-MX"/>
        </w:rPr>
        <w:t>Anteproyecto de Lineamientos Generales sobre la Autorización de Arrendamiento de Espectro Radioeléctrico</w:t>
      </w:r>
      <w:r>
        <w:rPr>
          <w:rFonts w:ascii="ITC Avant Garde" w:hAnsi="ITC Avant Garde"/>
          <w:color w:val="000000" w:themeColor="text1"/>
          <w:szCs w:val="21"/>
          <w:lang w:eastAsia="es-MX"/>
        </w:rPr>
        <w:t>” (</w:t>
      </w:r>
      <w:r w:rsidR="005261B6">
        <w:rPr>
          <w:rFonts w:ascii="ITC Avant Garde" w:hAnsi="ITC Avant Garde"/>
          <w:color w:val="000000" w:themeColor="text1"/>
          <w:szCs w:val="21"/>
          <w:lang w:eastAsia="es-MX"/>
        </w:rPr>
        <w:t>Anteproyecto</w:t>
      </w:r>
      <w:r>
        <w:rPr>
          <w:rFonts w:ascii="ITC Avant Garde" w:hAnsi="ITC Avant Garde"/>
          <w:color w:val="000000" w:themeColor="text1"/>
          <w:szCs w:val="21"/>
          <w:lang w:eastAsia="es-MX"/>
        </w:rPr>
        <w:t xml:space="preserve">). </w:t>
      </w:r>
      <w:r w:rsidR="00973566">
        <w:rPr>
          <w:rFonts w:ascii="ITC Avant Garde" w:hAnsi="ITC Avant Garde"/>
          <w:color w:val="000000" w:themeColor="text1"/>
          <w:szCs w:val="21"/>
          <w:lang w:eastAsia="es-MX"/>
        </w:rPr>
        <w:t xml:space="preserve">Dicho plazo fue ampliado por un periodo de 10 días hábiles más, mediante </w:t>
      </w:r>
      <w:r w:rsidR="00722DA3">
        <w:rPr>
          <w:rFonts w:ascii="ITC Avant Garde" w:hAnsi="ITC Avant Garde"/>
          <w:color w:val="000000" w:themeColor="text1"/>
          <w:szCs w:val="21"/>
          <w:lang w:eastAsia="es-MX"/>
        </w:rPr>
        <w:t xml:space="preserve">Acuerdo </w:t>
      </w:r>
      <w:r w:rsidR="00756C4B">
        <w:rPr>
          <w:rFonts w:ascii="ITC Avant Garde" w:hAnsi="ITC Avant Garde"/>
          <w:color w:val="000000" w:themeColor="text1"/>
          <w:szCs w:val="21"/>
          <w:lang w:eastAsia="es-MX"/>
        </w:rPr>
        <w:t xml:space="preserve">P/IFT/EXT/240815/93 </w:t>
      </w:r>
      <w:r w:rsidR="00973566">
        <w:rPr>
          <w:rFonts w:ascii="ITC Avant Garde" w:hAnsi="ITC Avant Garde"/>
          <w:color w:val="000000" w:themeColor="text1"/>
          <w:szCs w:val="21"/>
          <w:lang w:eastAsia="es-MX"/>
        </w:rPr>
        <w:t>del Pleno del Instituto</w:t>
      </w:r>
      <w:r w:rsidR="00756C4B">
        <w:rPr>
          <w:rFonts w:ascii="ITC Avant Garde" w:hAnsi="ITC Avant Garde"/>
          <w:color w:val="000000" w:themeColor="text1"/>
          <w:szCs w:val="21"/>
          <w:lang w:eastAsia="es-MX"/>
        </w:rPr>
        <w:t>, el cual fue</w:t>
      </w:r>
      <w:r w:rsidR="00756C4B" w:rsidDel="00756C4B">
        <w:rPr>
          <w:rFonts w:ascii="ITC Avant Garde" w:hAnsi="ITC Avant Garde"/>
          <w:color w:val="000000" w:themeColor="text1"/>
          <w:szCs w:val="21"/>
          <w:lang w:eastAsia="es-MX"/>
        </w:rPr>
        <w:t xml:space="preserve"> </w:t>
      </w:r>
      <w:r w:rsidR="00973566">
        <w:rPr>
          <w:rFonts w:ascii="ITC Avant Garde" w:hAnsi="ITC Avant Garde"/>
          <w:color w:val="000000" w:themeColor="text1"/>
          <w:szCs w:val="21"/>
          <w:lang w:eastAsia="es-MX"/>
        </w:rPr>
        <w:t xml:space="preserve">aprobado en su XXIX Sesión Extraordinaria </w:t>
      </w:r>
      <w:r w:rsidR="003A51EB">
        <w:rPr>
          <w:rFonts w:ascii="ITC Avant Garde" w:hAnsi="ITC Avant Garde"/>
          <w:color w:val="000000" w:themeColor="text1"/>
          <w:szCs w:val="21"/>
          <w:lang w:eastAsia="es-MX"/>
        </w:rPr>
        <w:t>celebrada el</w:t>
      </w:r>
      <w:r w:rsidR="00722DA3">
        <w:rPr>
          <w:rFonts w:ascii="ITC Avant Garde" w:hAnsi="ITC Avant Garde"/>
          <w:color w:val="000000" w:themeColor="text1"/>
          <w:szCs w:val="21"/>
          <w:lang w:eastAsia="es-MX"/>
        </w:rPr>
        <w:t xml:space="preserve"> </w:t>
      </w:r>
      <w:r w:rsidR="00356A1E">
        <w:rPr>
          <w:rFonts w:ascii="ITC Avant Garde" w:hAnsi="ITC Avant Garde"/>
          <w:color w:val="000000" w:themeColor="text1"/>
          <w:szCs w:val="21"/>
          <w:lang w:eastAsia="es-MX"/>
        </w:rPr>
        <w:t>24 de agosto de 2015,</w:t>
      </w:r>
      <w:r w:rsidR="00973566">
        <w:rPr>
          <w:rFonts w:ascii="ITC Avant Garde" w:hAnsi="ITC Avant Garde"/>
          <w:color w:val="000000" w:themeColor="text1"/>
          <w:szCs w:val="21"/>
          <w:lang w:eastAsia="es-MX"/>
        </w:rPr>
        <w:t xml:space="preserve"> </w:t>
      </w:r>
      <w:r w:rsidR="00356A1E">
        <w:rPr>
          <w:rFonts w:ascii="ITC Avant Garde" w:hAnsi="ITC Avant Garde"/>
          <w:color w:val="000000" w:themeColor="text1"/>
          <w:szCs w:val="21"/>
          <w:lang w:eastAsia="es-MX"/>
        </w:rPr>
        <w:t xml:space="preserve">con la finalidad de garantizar </w:t>
      </w:r>
      <w:r w:rsidR="002757D8">
        <w:rPr>
          <w:rFonts w:ascii="ITC Avant Garde" w:hAnsi="ITC Avant Garde"/>
          <w:color w:val="000000" w:themeColor="text1"/>
          <w:szCs w:val="21"/>
          <w:lang w:eastAsia="es-MX"/>
        </w:rPr>
        <w:t xml:space="preserve">el </w:t>
      </w:r>
      <w:r w:rsidR="00356A1E">
        <w:rPr>
          <w:rFonts w:ascii="ITC Avant Garde" w:hAnsi="ITC Avant Garde"/>
          <w:color w:val="000000" w:themeColor="text1"/>
          <w:szCs w:val="21"/>
          <w:lang w:eastAsia="es-MX"/>
        </w:rPr>
        <w:t>acceso a personas con discapacidad, así como dotar de mayor tiempo a todos los interesados en el análisis y la formulación de sus comentarios y opiniones.</w:t>
      </w:r>
      <w:r w:rsidR="00722DA3">
        <w:rPr>
          <w:rFonts w:ascii="ITC Avant Garde" w:hAnsi="ITC Avant Garde"/>
          <w:color w:val="000000" w:themeColor="text1"/>
          <w:szCs w:val="21"/>
          <w:lang w:eastAsia="es-MX"/>
        </w:rPr>
        <w:t xml:space="preserve"> </w:t>
      </w:r>
    </w:p>
    <w:p w14:paraId="61DD0093" w14:textId="77777777" w:rsidR="00F37C4D" w:rsidRDefault="00F37C4D" w:rsidP="00F003B2">
      <w:pPr>
        <w:pStyle w:val="Prrafodelista"/>
        <w:rPr>
          <w:rFonts w:ascii="ITC Avant Garde" w:hAnsi="ITC Avant Garde"/>
          <w:color w:val="000000" w:themeColor="text1"/>
          <w:szCs w:val="21"/>
          <w:lang w:eastAsia="es-MX"/>
        </w:rPr>
      </w:pPr>
    </w:p>
    <w:p w14:paraId="766BFF36" w14:textId="7919A079" w:rsidR="00F37C4D" w:rsidRDefault="00F37C4D" w:rsidP="00F003B2">
      <w:pPr>
        <w:numPr>
          <w:ilvl w:val="0"/>
          <w:numId w:val="2"/>
        </w:numPr>
        <w:spacing w:after="0" w:line="240" w:lineRule="auto"/>
        <w:ind w:right="49"/>
        <w:contextualSpacing/>
        <w:jc w:val="both"/>
        <w:rPr>
          <w:rFonts w:ascii="ITC Avant Garde" w:hAnsi="ITC Avant Garde"/>
          <w:color w:val="000000" w:themeColor="text1"/>
          <w:szCs w:val="21"/>
          <w:lang w:eastAsia="es-MX"/>
        </w:rPr>
      </w:pPr>
      <w:r>
        <w:rPr>
          <w:rFonts w:ascii="ITC Avant Garde" w:hAnsi="ITC Avant Garde"/>
          <w:color w:val="000000" w:themeColor="text1"/>
          <w:szCs w:val="21"/>
          <w:lang w:eastAsia="es-MX"/>
        </w:rPr>
        <w:t xml:space="preserve">La consulta pública se llevó a cabo del 14 </w:t>
      </w:r>
      <w:r w:rsidR="0083556B">
        <w:rPr>
          <w:rFonts w:ascii="ITC Avant Garde" w:hAnsi="ITC Avant Garde"/>
          <w:color w:val="000000" w:themeColor="text1"/>
          <w:szCs w:val="21"/>
          <w:lang w:eastAsia="es-MX"/>
        </w:rPr>
        <w:t xml:space="preserve">al 17 </w:t>
      </w:r>
      <w:r>
        <w:rPr>
          <w:rFonts w:ascii="ITC Avant Garde" w:hAnsi="ITC Avant Garde"/>
          <w:color w:val="000000" w:themeColor="text1"/>
          <w:szCs w:val="21"/>
          <w:lang w:eastAsia="es-MX"/>
        </w:rPr>
        <w:t xml:space="preserve">de julio </w:t>
      </w:r>
      <w:r w:rsidR="0083556B">
        <w:rPr>
          <w:rFonts w:ascii="ITC Avant Garde" w:hAnsi="ITC Avant Garde"/>
          <w:color w:val="000000" w:themeColor="text1"/>
          <w:szCs w:val="21"/>
          <w:lang w:eastAsia="es-MX"/>
        </w:rPr>
        <w:t xml:space="preserve">y del 3 de agosto </w:t>
      </w:r>
      <w:r w:rsidR="00356A1E">
        <w:rPr>
          <w:rFonts w:ascii="ITC Avant Garde" w:hAnsi="ITC Avant Garde"/>
          <w:color w:val="000000" w:themeColor="text1"/>
          <w:szCs w:val="21"/>
          <w:lang w:eastAsia="es-MX"/>
        </w:rPr>
        <w:t xml:space="preserve">al 7 de septiembre </w:t>
      </w:r>
      <w:r>
        <w:rPr>
          <w:rFonts w:ascii="ITC Avant Garde" w:hAnsi="ITC Avant Garde"/>
          <w:color w:val="000000" w:themeColor="text1"/>
          <w:szCs w:val="21"/>
          <w:lang w:eastAsia="es-MX"/>
        </w:rPr>
        <w:t>de 2015,</w:t>
      </w:r>
      <w:r w:rsidR="009470D0">
        <w:rPr>
          <w:rFonts w:ascii="ITC Avant Garde" w:hAnsi="ITC Avant Garde"/>
          <w:color w:val="000000" w:themeColor="text1"/>
          <w:szCs w:val="21"/>
          <w:lang w:eastAsia="es-MX"/>
        </w:rPr>
        <w:t xml:space="preserve"> periodo en el cual se recibieron 16 participaciones, </w:t>
      </w:r>
      <w:r w:rsidR="00FE2721">
        <w:rPr>
          <w:rFonts w:ascii="ITC Avant Garde" w:hAnsi="ITC Avant Garde"/>
          <w:color w:val="000000" w:themeColor="text1"/>
          <w:szCs w:val="21"/>
          <w:lang w:eastAsia="es-MX"/>
        </w:rPr>
        <w:t>en</w:t>
      </w:r>
      <w:r w:rsidR="00D16157">
        <w:rPr>
          <w:rFonts w:ascii="ITC Avant Garde" w:hAnsi="ITC Avant Garde"/>
          <w:color w:val="000000" w:themeColor="text1"/>
          <w:szCs w:val="21"/>
          <w:lang w:eastAsia="es-MX"/>
        </w:rPr>
        <w:t xml:space="preserve"> las que </w:t>
      </w:r>
      <w:r w:rsidR="00FE2721">
        <w:rPr>
          <w:rFonts w:ascii="ITC Avant Garde" w:hAnsi="ITC Avant Garde"/>
          <w:color w:val="000000" w:themeColor="text1"/>
          <w:szCs w:val="21"/>
          <w:lang w:eastAsia="es-MX"/>
        </w:rPr>
        <w:t xml:space="preserve">diversos </w:t>
      </w:r>
      <w:r w:rsidR="009470D0">
        <w:rPr>
          <w:rFonts w:ascii="ITC Avant Garde" w:hAnsi="ITC Avant Garde"/>
          <w:color w:val="000000" w:themeColor="text1"/>
          <w:szCs w:val="21"/>
          <w:lang w:eastAsia="es-MX"/>
        </w:rPr>
        <w:t>interesados expusieron sus</w:t>
      </w:r>
      <w:r>
        <w:rPr>
          <w:rFonts w:ascii="ITC Avant Garde" w:hAnsi="ITC Avant Garde"/>
          <w:color w:val="000000" w:themeColor="text1"/>
          <w:szCs w:val="21"/>
          <w:lang w:eastAsia="es-MX"/>
        </w:rPr>
        <w:t xml:space="preserve"> comentarios, opiniones y </w:t>
      </w:r>
      <w:r w:rsidR="00856ABB">
        <w:rPr>
          <w:rFonts w:ascii="ITC Avant Garde" w:hAnsi="ITC Avant Garde"/>
          <w:color w:val="000000" w:themeColor="text1"/>
          <w:szCs w:val="21"/>
          <w:lang w:eastAsia="es-MX"/>
        </w:rPr>
        <w:t>propuestas</w:t>
      </w:r>
      <w:r>
        <w:rPr>
          <w:rFonts w:ascii="ITC Avant Garde" w:hAnsi="ITC Avant Garde"/>
          <w:color w:val="000000" w:themeColor="text1"/>
          <w:szCs w:val="21"/>
          <w:lang w:eastAsia="es-MX"/>
        </w:rPr>
        <w:t xml:space="preserve"> al </w:t>
      </w:r>
      <w:r w:rsidR="00EE1616" w:rsidRPr="005261B6">
        <w:rPr>
          <w:rFonts w:ascii="ITC Avant Garde" w:hAnsi="ITC Avant Garde"/>
          <w:color w:val="000000" w:themeColor="text1"/>
          <w:szCs w:val="21"/>
          <w:lang w:eastAsia="es-MX"/>
        </w:rPr>
        <w:t>A</w:t>
      </w:r>
      <w:r w:rsidR="00260247" w:rsidRPr="005261B6">
        <w:rPr>
          <w:rFonts w:ascii="ITC Avant Garde" w:hAnsi="ITC Avant Garde"/>
          <w:color w:val="000000" w:themeColor="text1"/>
          <w:szCs w:val="21"/>
          <w:lang w:eastAsia="es-MX"/>
        </w:rPr>
        <w:t>ntep</w:t>
      </w:r>
      <w:r w:rsidRPr="005261B6">
        <w:rPr>
          <w:rFonts w:ascii="ITC Avant Garde" w:hAnsi="ITC Avant Garde"/>
          <w:color w:val="000000" w:themeColor="text1"/>
          <w:szCs w:val="21"/>
          <w:lang w:eastAsia="es-MX"/>
        </w:rPr>
        <w:t>royecto</w:t>
      </w:r>
      <w:r>
        <w:rPr>
          <w:rFonts w:ascii="ITC Avant Garde" w:hAnsi="ITC Avant Garde"/>
          <w:color w:val="000000" w:themeColor="text1"/>
          <w:szCs w:val="21"/>
          <w:lang w:eastAsia="es-MX"/>
        </w:rPr>
        <w:t xml:space="preserve">. </w:t>
      </w:r>
    </w:p>
    <w:p w14:paraId="282AA577" w14:textId="77777777" w:rsidR="00F37C4D" w:rsidRDefault="00F37C4D" w:rsidP="00F003B2">
      <w:pPr>
        <w:pStyle w:val="Prrafodelista"/>
        <w:rPr>
          <w:rFonts w:ascii="ITC Avant Garde" w:hAnsi="ITC Avant Garde"/>
          <w:color w:val="000000" w:themeColor="text1"/>
          <w:szCs w:val="21"/>
          <w:lang w:eastAsia="es-MX"/>
        </w:rPr>
      </w:pPr>
    </w:p>
    <w:p w14:paraId="071AA0F9" w14:textId="585B4535" w:rsidR="00F37C4D" w:rsidRPr="007B61BF" w:rsidRDefault="00F37C4D" w:rsidP="00140703">
      <w:pPr>
        <w:spacing w:after="0" w:line="240" w:lineRule="auto"/>
        <w:ind w:left="709"/>
        <w:contextualSpacing/>
        <w:jc w:val="both"/>
        <w:rPr>
          <w:rFonts w:ascii="ITC Avant Garde" w:eastAsia="Times New Roman" w:hAnsi="ITC Avant Garde" w:cs="Arial"/>
          <w:color w:val="000000" w:themeColor="text1"/>
          <w:szCs w:val="21"/>
          <w:lang w:eastAsia="es-MX"/>
        </w:rPr>
      </w:pPr>
      <w:r w:rsidRPr="007B61BF">
        <w:rPr>
          <w:rFonts w:ascii="ITC Avant Garde" w:eastAsia="Times New Roman" w:hAnsi="ITC Avant Garde" w:cs="Arial"/>
          <w:color w:val="000000" w:themeColor="text1"/>
          <w:szCs w:val="21"/>
          <w:lang w:eastAsia="es-MX"/>
        </w:rPr>
        <w:t>Una vez cerrada la consulta pública, el Instituto agrupó l</w:t>
      </w:r>
      <w:r w:rsidR="00FE2721">
        <w:rPr>
          <w:rFonts w:ascii="ITC Avant Garde" w:eastAsia="Times New Roman" w:hAnsi="ITC Avant Garde" w:cs="Arial"/>
          <w:color w:val="000000" w:themeColor="text1"/>
          <w:szCs w:val="21"/>
          <w:lang w:eastAsia="es-MX"/>
        </w:rPr>
        <w:t>as</w:t>
      </w:r>
      <w:r w:rsidRPr="007B61BF">
        <w:rPr>
          <w:rFonts w:ascii="ITC Avant Garde" w:eastAsia="Times New Roman" w:hAnsi="ITC Avant Garde" w:cs="Arial"/>
          <w:color w:val="000000" w:themeColor="text1"/>
          <w:szCs w:val="21"/>
          <w:lang w:eastAsia="es-MX"/>
        </w:rPr>
        <w:t xml:space="preserve"> opiniones</w:t>
      </w:r>
      <w:r w:rsidR="00FE2721">
        <w:rPr>
          <w:rFonts w:ascii="ITC Avant Garde" w:eastAsia="Times New Roman" w:hAnsi="ITC Avant Garde" w:cs="Arial"/>
          <w:color w:val="000000" w:themeColor="text1"/>
          <w:szCs w:val="21"/>
          <w:lang w:eastAsia="es-MX"/>
        </w:rPr>
        <w:t>,</w:t>
      </w:r>
      <w:r w:rsidRPr="007B61BF">
        <w:rPr>
          <w:rFonts w:ascii="ITC Avant Garde" w:eastAsia="Times New Roman" w:hAnsi="ITC Avant Garde" w:cs="Arial"/>
          <w:color w:val="000000" w:themeColor="text1"/>
          <w:szCs w:val="21"/>
          <w:lang w:eastAsia="es-MX"/>
        </w:rPr>
        <w:t xml:space="preserve"> propuestas </w:t>
      </w:r>
      <w:r w:rsidR="00FE2721">
        <w:rPr>
          <w:rFonts w:ascii="ITC Avant Garde" w:eastAsia="Times New Roman" w:hAnsi="ITC Avant Garde" w:cs="Arial"/>
          <w:color w:val="000000" w:themeColor="text1"/>
          <w:szCs w:val="21"/>
          <w:lang w:eastAsia="es-MX"/>
        </w:rPr>
        <w:t>y los comentarios</w:t>
      </w:r>
      <w:r w:rsidRPr="007B61BF">
        <w:rPr>
          <w:rFonts w:ascii="ITC Avant Garde" w:eastAsia="Times New Roman" w:hAnsi="ITC Avant Garde" w:cs="Arial"/>
          <w:color w:val="000000" w:themeColor="text1"/>
          <w:szCs w:val="21"/>
          <w:lang w:eastAsia="es-MX"/>
        </w:rPr>
        <w:t xml:space="preserve"> que se encontraron relacionados entre sí, l</w:t>
      </w:r>
      <w:r w:rsidR="00FE2721">
        <w:rPr>
          <w:rFonts w:ascii="ITC Avant Garde" w:eastAsia="Times New Roman" w:hAnsi="ITC Avant Garde" w:cs="Arial"/>
          <w:color w:val="000000" w:themeColor="text1"/>
          <w:szCs w:val="21"/>
          <w:lang w:eastAsia="es-MX"/>
        </w:rPr>
        <w:t>o</w:t>
      </w:r>
      <w:r w:rsidRPr="007B61BF">
        <w:rPr>
          <w:rFonts w:ascii="ITC Avant Garde" w:eastAsia="Times New Roman" w:hAnsi="ITC Avant Garde" w:cs="Arial"/>
          <w:color w:val="000000" w:themeColor="text1"/>
          <w:szCs w:val="21"/>
          <w:lang w:eastAsia="es-MX"/>
        </w:rPr>
        <w:t>s cuales se tomaron en consideración para hacer modi</w:t>
      </w:r>
      <w:r w:rsidR="00140703">
        <w:rPr>
          <w:rFonts w:ascii="ITC Avant Garde" w:eastAsia="Times New Roman" w:hAnsi="ITC Avant Garde" w:cs="Arial"/>
          <w:color w:val="000000" w:themeColor="text1"/>
          <w:szCs w:val="21"/>
          <w:lang w:eastAsia="es-MX"/>
        </w:rPr>
        <w:t>ficaciones y/o</w:t>
      </w:r>
      <w:r w:rsidR="00FE1F30">
        <w:rPr>
          <w:rFonts w:ascii="ITC Avant Garde" w:eastAsia="Times New Roman" w:hAnsi="ITC Avant Garde" w:cs="Arial"/>
          <w:color w:val="000000" w:themeColor="text1"/>
          <w:szCs w:val="21"/>
          <w:lang w:eastAsia="es-MX"/>
        </w:rPr>
        <w:t xml:space="preserve"> </w:t>
      </w:r>
      <w:r w:rsidR="00140703">
        <w:rPr>
          <w:rFonts w:ascii="ITC Avant Garde" w:eastAsia="Times New Roman" w:hAnsi="ITC Avant Garde" w:cs="Arial"/>
          <w:color w:val="000000" w:themeColor="text1"/>
          <w:szCs w:val="21"/>
          <w:lang w:eastAsia="es-MX"/>
        </w:rPr>
        <w:t xml:space="preserve">adecuaciones al </w:t>
      </w:r>
      <w:r w:rsidR="00EE1616">
        <w:rPr>
          <w:rFonts w:ascii="ITC Avant Garde" w:eastAsia="Times New Roman" w:hAnsi="ITC Avant Garde" w:cs="Arial"/>
          <w:color w:val="000000" w:themeColor="text1"/>
          <w:szCs w:val="21"/>
          <w:lang w:eastAsia="es-MX"/>
        </w:rPr>
        <w:t>A</w:t>
      </w:r>
      <w:r w:rsidRPr="007B61BF">
        <w:rPr>
          <w:rFonts w:ascii="ITC Avant Garde" w:eastAsia="Times New Roman" w:hAnsi="ITC Avant Garde" w:cs="Arial"/>
          <w:color w:val="000000" w:themeColor="text1"/>
          <w:szCs w:val="21"/>
          <w:lang w:eastAsia="es-MX"/>
        </w:rPr>
        <w:t xml:space="preserve">nteproyecto, en cumplimiento a lo dispuesto en el </w:t>
      </w:r>
      <w:r w:rsidR="00850CDE">
        <w:rPr>
          <w:rFonts w:ascii="ITC Avant Garde" w:eastAsia="Times New Roman" w:hAnsi="ITC Avant Garde" w:cs="Arial"/>
          <w:color w:val="000000" w:themeColor="text1"/>
          <w:szCs w:val="21"/>
          <w:lang w:eastAsia="es-MX"/>
        </w:rPr>
        <w:t>A</w:t>
      </w:r>
      <w:r w:rsidR="00850CDE" w:rsidRPr="007B61BF">
        <w:rPr>
          <w:rFonts w:ascii="ITC Avant Garde" w:eastAsia="Times New Roman" w:hAnsi="ITC Avant Garde" w:cs="Arial"/>
          <w:color w:val="000000" w:themeColor="text1"/>
          <w:szCs w:val="21"/>
          <w:lang w:eastAsia="es-MX"/>
        </w:rPr>
        <w:t xml:space="preserve">cuerdo </w:t>
      </w:r>
      <w:r w:rsidR="00FE2721">
        <w:rPr>
          <w:rFonts w:ascii="ITC Avant Garde" w:eastAsia="Times New Roman" w:hAnsi="ITC Avant Garde" w:cs="Arial"/>
          <w:color w:val="000000" w:themeColor="text1"/>
          <w:szCs w:val="21"/>
          <w:lang w:eastAsia="es-MX"/>
        </w:rPr>
        <w:t>referido en el antecedente III</w:t>
      </w:r>
      <w:r w:rsidRPr="007B61BF">
        <w:rPr>
          <w:rFonts w:ascii="ITC Avant Garde" w:eastAsia="Times New Roman" w:hAnsi="ITC Avant Garde" w:cs="Arial"/>
          <w:color w:val="000000" w:themeColor="text1"/>
          <w:szCs w:val="21"/>
          <w:lang w:eastAsia="es-MX"/>
        </w:rPr>
        <w:t>. El pronunciamiento respecto de los comentarios, opiniones y propuestas concretas recibidas</w:t>
      </w:r>
      <w:r w:rsidR="00B1396A">
        <w:rPr>
          <w:rFonts w:ascii="ITC Avant Garde" w:eastAsia="Times New Roman" w:hAnsi="ITC Avant Garde" w:cs="Arial"/>
          <w:color w:val="000000" w:themeColor="text1"/>
          <w:szCs w:val="21"/>
          <w:lang w:eastAsia="es-MX"/>
        </w:rPr>
        <w:t>,</w:t>
      </w:r>
      <w:r w:rsidRPr="007B61BF">
        <w:rPr>
          <w:rFonts w:ascii="ITC Avant Garde" w:eastAsia="Times New Roman" w:hAnsi="ITC Avant Garde" w:cs="Arial"/>
          <w:color w:val="000000" w:themeColor="text1"/>
          <w:szCs w:val="21"/>
          <w:lang w:eastAsia="es-MX"/>
        </w:rPr>
        <w:t xml:space="preserve"> se encontrará disponible en el portal de Internet del Instituto. </w:t>
      </w:r>
    </w:p>
    <w:p w14:paraId="239E22A9" w14:textId="7CE8628E" w:rsidR="00F37C4D" w:rsidRDefault="00CD2436" w:rsidP="00F003B2">
      <w:pPr>
        <w:pStyle w:val="Prrafodelista"/>
        <w:rPr>
          <w:rFonts w:ascii="ITC Avant Garde" w:hAnsi="ITC Avant Garde"/>
          <w:color w:val="000000" w:themeColor="text1"/>
          <w:szCs w:val="21"/>
          <w:lang w:eastAsia="es-MX"/>
        </w:rPr>
      </w:pPr>
      <w:r>
        <w:rPr>
          <w:rFonts w:ascii="ITC Avant Garde" w:hAnsi="ITC Avant Garde"/>
          <w:color w:val="000000" w:themeColor="text1"/>
          <w:szCs w:val="21"/>
          <w:lang w:eastAsia="es-MX"/>
        </w:rPr>
        <w:t xml:space="preserve"> </w:t>
      </w:r>
    </w:p>
    <w:p w14:paraId="6C085FB1" w14:textId="11B23F0A" w:rsidR="0015761D" w:rsidRPr="0015761D" w:rsidRDefault="0015761D" w:rsidP="0015761D">
      <w:pPr>
        <w:numPr>
          <w:ilvl w:val="0"/>
          <w:numId w:val="2"/>
        </w:numPr>
        <w:spacing w:after="0" w:line="240" w:lineRule="auto"/>
        <w:ind w:right="49"/>
        <w:contextualSpacing/>
        <w:jc w:val="both"/>
        <w:rPr>
          <w:rFonts w:ascii="ITC Avant Garde" w:hAnsi="ITC Avant Garde"/>
          <w:color w:val="000000" w:themeColor="text1"/>
          <w:szCs w:val="21"/>
          <w:lang w:eastAsia="es-MX"/>
        </w:rPr>
      </w:pPr>
      <w:r w:rsidRPr="0015761D">
        <w:rPr>
          <w:rFonts w:ascii="ITC Avant Garde" w:hAnsi="ITC Avant Garde" w:cs="Arial Unicode MS"/>
          <w:bCs/>
          <w:color w:val="000000"/>
          <w:u w:color="000000"/>
          <w:bdr w:val="nil"/>
          <w:lang w:val="es-ES_tradnl" w:eastAsia="es-MX"/>
        </w:rPr>
        <w:t>Mediante oficio IFT/222/UER/</w:t>
      </w:r>
      <w:r w:rsidR="00D84F6D">
        <w:rPr>
          <w:rFonts w:ascii="ITC Avant Garde" w:hAnsi="ITC Avant Garde" w:cs="Arial Unicode MS"/>
          <w:bCs/>
          <w:color w:val="000000"/>
          <w:u w:color="000000"/>
          <w:bdr w:val="nil"/>
          <w:lang w:val="es-ES_tradnl" w:eastAsia="es-MX"/>
        </w:rPr>
        <w:t>DG-RERO/</w:t>
      </w:r>
      <w:r w:rsidR="00052FBB">
        <w:rPr>
          <w:rFonts w:ascii="ITC Avant Garde" w:hAnsi="ITC Avant Garde" w:cs="Arial Unicode MS"/>
          <w:bCs/>
          <w:color w:val="000000"/>
          <w:u w:color="000000"/>
          <w:bdr w:val="nil"/>
          <w:lang w:val="es-ES_tradnl" w:eastAsia="es-MX"/>
        </w:rPr>
        <w:t>007</w:t>
      </w:r>
      <w:r w:rsidR="00D84F6D">
        <w:rPr>
          <w:rFonts w:ascii="ITC Avant Garde" w:hAnsi="ITC Avant Garde" w:cs="Arial Unicode MS"/>
          <w:bCs/>
          <w:color w:val="000000"/>
          <w:u w:color="000000"/>
          <w:bdr w:val="nil"/>
          <w:lang w:val="es-ES_tradnl" w:eastAsia="es-MX"/>
        </w:rPr>
        <w:t>/201</w:t>
      </w:r>
      <w:r w:rsidR="00052FBB">
        <w:rPr>
          <w:rFonts w:ascii="ITC Avant Garde" w:hAnsi="ITC Avant Garde" w:cs="Arial Unicode MS"/>
          <w:bCs/>
          <w:color w:val="000000"/>
          <w:u w:color="000000"/>
          <w:bdr w:val="nil"/>
          <w:lang w:val="es-ES_tradnl" w:eastAsia="es-MX"/>
        </w:rPr>
        <w:t>6</w:t>
      </w:r>
      <w:r w:rsidR="00D84F6D">
        <w:rPr>
          <w:rFonts w:ascii="ITC Avant Garde" w:hAnsi="ITC Avant Garde" w:cs="Arial Unicode MS"/>
          <w:bCs/>
          <w:color w:val="000000"/>
          <w:u w:color="000000"/>
          <w:bdr w:val="nil"/>
          <w:lang w:val="es-ES_tradnl" w:eastAsia="es-MX"/>
        </w:rPr>
        <w:t xml:space="preserve">, de fecha </w:t>
      </w:r>
      <w:r w:rsidR="00481E05">
        <w:rPr>
          <w:rFonts w:ascii="ITC Avant Garde" w:hAnsi="ITC Avant Garde" w:cs="Arial Unicode MS"/>
          <w:bCs/>
          <w:color w:val="000000"/>
          <w:u w:color="000000"/>
          <w:bdr w:val="nil"/>
          <w:lang w:val="es-ES_tradnl" w:eastAsia="es-MX"/>
        </w:rPr>
        <w:t>2</w:t>
      </w:r>
      <w:r w:rsidR="00052FBB">
        <w:rPr>
          <w:rFonts w:ascii="ITC Avant Garde" w:hAnsi="ITC Avant Garde" w:cs="Arial Unicode MS"/>
          <w:bCs/>
          <w:color w:val="000000"/>
          <w:u w:color="000000"/>
          <w:bdr w:val="nil"/>
          <w:lang w:val="es-ES_tradnl" w:eastAsia="es-MX"/>
        </w:rPr>
        <w:t>3</w:t>
      </w:r>
      <w:r w:rsidR="00481E05" w:rsidRPr="0015761D">
        <w:rPr>
          <w:rFonts w:ascii="ITC Avant Garde" w:hAnsi="ITC Avant Garde" w:cs="Arial Unicode MS"/>
          <w:bCs/>
          <w:color w:val="000000"/>
          <w:u w:color="000000"/>
          <w:bdr w:val="nil"/>
          <w:lang w:val="es-ES_tradnl" w:eastAsia="es-MX"/>
        </w:rPr>
        <w:t xml:space="preserve"> </w:t>
      </w:r>
      <w:r w:rsidRPr="0015761D">
        <w:rPr>
          <w:rFonts w:ascii="ITC Avant Garde" w:hAnsi="ITC Avant Garde" w:cs="Arial Unicode MS"/>
          <w:bCs/>
          <w:color w:val="000000"/>
          <w:u w:color="000000"/>
          <w:bdr w:val="nil"/>
          <w:lang w:val="es-ES_tradnl" w:eastAsia="es-MX"/>
        </w:rPr>
        <w:t xml:space="preserve">de </w:t>
      </w:r>
      <w:r w:rsidR="00052FBB">
        <w:rPr>
          <w:rFonts w:ascii="ITC Avant Garde" w:hAnsi="ITC Avant Garde" w:cs="Arial Unicode MS"/>
          <w:bCs/>
          <w:color w:val="000000"/>
          <w:u w:color="000000"/>
          <w:bdr w:val="nil"/>
          <w:lang w:val="es-ES_tradnl" w:eastAsia="es-MX"/>
        </w:rPr>
        <w:t>febrero</w:t>
      </w:r>
      <w:r w:rsidRPr="0015761D">
        <w:rPr>
          <w:rFonts w:ascii="ITC Avant Garde" w:hAnsi="ITC Avant Garde" w:cs="Arial Unicode MS"/>
          <w:bCs/>
          <w:color w:val="000000"/>
          <w:u w:color="000000"/>
          <w:bdr w:val="nil"/>
          <w:lang w:val="es-ES_tradnl" w:eastAsia="es-MX"/>
        </w:rPr>
        <w:t xml:space="preserve"> de 201</w:t>
      </w:r>
      <w:r w:rsidR="00052FBB">
        <w:rPr>
          <w:rFonts w:ascii="ITC Avant Garde" w:hAnsi="ITC Avant Garde" w:cs="Arial Unicode MS"/>
          <w:bCs/>
          <w:color w:val="000000"/>
          <w:u w:color="000000"/>
          <w:bdr w:val="nil"/>
          <w:lang w:val="es-ES_tradnl" w:eastAsia="es-MX"/>
        </w:rPr>
        <w:t>6</w:t>
      </w:r>
      <w:r w:rsidRPr="0015761D">
        <w:rPr>
          <w:rFonts w:ascii="ITC Avant Garde" w:hAnsi="ITC Avant Garde" w:cs="Arial Unicode MS"/>
          <w:bCs/>
          <w:color w:val="000000"/>
          <w:u w:color="000000"/>
          <w:bdr w:val="nil"/>
          <w:lang w:val="es-ES_tradnl" w:eastAsia="es-MX"/>
        </w:rPr>
        <w:t>,</w:t>
      </w:r>
      <w:r w:rsidR="00FE2721">
        <w:rPr>
          <w:rFonts w:ascii="ITC Avant Garde" w:hAnsi="ITC Avant Garde" w:cs="Arial Unicode MS"/>
          <w:bCs/>
          <w:color w:val="000000"/>
          <w:u w:color="000000"/>
          <w:bdr w:val="nil"/>
          <w:lang w:val="es-ES_tradnl" w:eastAsia="es-MX"/>
        </w:rPr>
        <w:t xml:space="preserve"> la Unidad de Espectro Radioeléctrico</w:t>
      </w:r>
      <w:r w:rsidRPr="0015761D">
        <w:rPr>
          <w:rFonts w:ascii="ITC Avant Garde" w:hAnsi="ITC Avant Garde" w:cs="Arial Unicode MS"/>
          <w:bCs/>
          <w:color w:val="000000"/>
          <w:u w:color="000000"/>
          <w:bdr w:val="nil"/>
          <w:lang w:val="es-ES_tradnl" w:eastAsia="es-MX"/>
        </w:rPr>
        <w:t xml:space="preserve"> remiti</w:t>
      </w:r>
      <w:r w:rsidR="00FE2721">
        <w:rPr>
          <w:rFonts w:ascii="ITC Avant Garde" w:hAnsi="ITC Avant Garde" w:cs="Arial Unicode MS"/>
          <w:bCs/>
          <w:color w:val="000000"/>
          <w:u w:color="000000"/>
          <w:bdr w:val="nil"/>
          <w:lang w:val="es-ES_tradnl" w:eastAsia="es-MX"/>
        </w:rPr>
        <w:t>ó</w:t>
      </w:r>
      <w:r w:rsidR="00F46008">
        <w:rPr>
          <w:rFonts w:ascii="ITC Avant Garde" w:hAnsi="ITC Avant Garde" w:cs="Arial Unicode MS"/>
          <w:bCs/>
          <w:color w:val="000000"/>
          <w:u w:color="000000"/>
          <w:bdr w:val="nil"/>
          <w:lang w:val="es-ES_tradnl" w:eastAsia="es-MX"/>
        </w:rPr>
        <w:t xml:space="preserve"> </w:t>
      </w:r>
      <w:r w:rsidRPr="0015761D">
        <w:rPr>
          <w:rFonts w:ascii="ITC Avant Garde" w:hAnsi="ITC Avant Garde" w:cs="Arial Unicode MS"/>
          <w:bCs/>
          <w:color w:val="000000"/>
          <w:u w:color="000000"/>
          <w:bdr w:val="nil"/>
          <w:lang w:val="es-ES_tradnl" w:eastAsia="es-MX"/>
        </w:rPr>
        <w:t xml:space="preserve">a la Coordinación General de Mejora Regulatoria </w:t>
      </w:r>
      <w:r w:rsidR="00297403">
        <w:rPr>
          <w:rFonts w:ascii="ITC Avant Garde" w:hAnsi="ITC Avant Garde" w:cs="Arial Unicode MS"/>
          <w:bCs/>
          <w:color w:val="000000"/>
          <w:u w:color="000000"/>
          <w:bdr w:val="nil"/>
          <w:lang w:val="es-ES_tradnl" w:eastAsia="es-MX"/>
        </w:rPr>
        <w:t>(CGMR)</w:t>
      </w:r>
      <w:r w:rsidR="00FE2721">
        <w:rPr>
          <w:rFonts w:ascii="ITC Avant Garde" w:hAnsi="ITC Avant Garde" w:cs="Arial Unicode MS"/>
          <w:bCs/>
          <w:color w:val="000000"/>
          <w:u w:color="000000"/>
          <w:bdr w:val="nil"/>
          <w:lang w:val="es-ES_tradnl" w:eastAsia="es-MX"/>
        </w:rPr>
        <w:t xml:space="preserve"> de este Instituto,</w:t>
      </w:r>
      <w:r w:rsidR="00297403">
        <w:rPr>
          <w:rFonts w:ascii="ITC Avant Garde" w:hAnsi="ITC Avant Garde" w:cs="Arial Unicode MS"/>
          <w:bCs/>
          <w:color w:val="000000"/>
          <w:u w:color="000000"/>
          <w:bdr w:val="nil"/>
          <w:lang w:val="es-ES_tradnl" w:eastAsia="es-MX"/>
        </w:rPr>
        <w:t xml:space="preserve"> </w:t>
      </w:r>
      <w:r w:rsidR="00F46008">
        <w:rPr>
          <w:rFonts w:ascii="ITC Avant Garde" w:hAnsi="ITC Avant Garde" w:cs="Arial Unicode MS"/>
          <w:bCs/>
          <w:color w:val="000000"/>
          <w:u w:color="000000"/>
          <w:bdr w:val="nil"/>
          <w:lang w:val="es-ES_tradnl" w:eastAsia="es-MX"/>
        </w:rPr>
        <w:t xml:space="preserve">los </w:t>
      </w:r>
      <w:r w:rsidRPr="0015761D">
        <w:rPr>
          <w:rFonts w:ascii="ITC Avant Garde" w:hAnsi="ITC Avant Garde"/>
          <w:color w:val="000000" w:themeColor="text1"/>
          <w:szCs w:val="21"/>
          <w:lang w:eastAsia="es-MX"/>
        </w:rPr>
        <w:t xml:space="preserve">Lineamientos Generales sobre la Autorización de Arrendamiento de Espectro </w:t>
      </w:r>
      <w:r w:rsidRPr="00C93307">
        <w:rPr>
          <w:rFonts w:ascii="ITC Avant Garde" w:hAnsi="ITC Avant Garde"/>
          <w:color w:val="000000" w:themeColor="text1"/>
          <w:szCs w:val="21"/>
          <w:lang w:eastAsia="es-MX"/>
        </w:rPr>
        <w:t xml:space="preserve">Radioeléctrico, así como el </w:t>
      </w:r>
      <w:r w:rsidR="00850CDE" w:rsidRPr="00C93307">
        <w:rPr>
          <w:rFonts w:ascii="ITC Avant Garde" w:hAnsi="ITC Avant Garde"/>
          <w:color w:val="000000" w:themeColor="text1"/>
          <w:szCs w:val="21"/>
          <w:lang w:eastAsia="es-MX"/>
        </w:rPr>
        <w:t xml:space="preserve">Análisis </w:t>
      </w:r>
      <w:r w:rsidRPr="00C93307">
        <w:rPr>
          <w:rFonts w:ascii="ITC Avant Garde" w:hAnsi="ITC Avant Garde"/>
          <w:color w:val="000000" w:themeColor="text1"/>
          <w:szCs w:val="21"/>
          <w:lang w:eastAsia="es-MX"/>
        </w:rPr>
        <w:lastRenderedPageBreak/>
        <w:t xml:space="preserve">de </w:t>
      </w:r>
      <w:r w:rsidR="00850CDE" w:rsidRPr="00C93307">
        <w:rPr>
          <w:rFonts w:ascii="ITC Avant Garde" w:hAnsi="ITC Avant Garde"/>
          <w:color w:val="000000" w:themeColor="text1"/>
          <w:szCs w:val="21"/>
          <w:lang w:eastAsia="es-MX"/>
        </w:rPr>
        <w:t xml:space="preserve">Impacto Regulatorio </w:t>
      </w:r>
      <w:r w:rsidRPr="00C93307">
        <w:rPr>
          <w:rFonts w:ascii="ITC Avant Garde" w:hAnsi="ITC Avant Garde"/>
          <w:color w:val="000000" w:themeColor="text1"/>
          <w:szCs w:val="21"/>
          <w:lang w:eastAsia="es-MX"/>
        </w:rPr>
        <w:t xml:space="preserve">de </w:t>
      </w:r>
      <w:r w:rsidR="00F46008">
        <w:rPr>
          <w:rFonts w:ascii="ITC Avant Garde" w:hAnsi="ITC Avant Garde"/>
          <w:color w:val="000000" w:themeColor="text1"/>
          <w:szCs w:val="21"/>
          <w:lang w:eastAsia="es-MX"/>
        </w:rPr>
        <w:t>éstos</w:t>
      </w:r>
      <w:r w:rsidRPr="00C93307">
        <w:rPr>
          <w:rFonts w:ascii="ITC Avant Garde" w:hAnsi="ITC Avant Garde"/>
          <w:color w:val="000000" w:themeColor="text1"/>
          <w:szCs w:val="21"/>
          <w:lang w:eastAsia="es-MX"/>
        </w:rPr>
        <w:t>,</w:t>
      </w:r>
      <w:r w:rsidRPr="00C93307">
        <w:rPr>
          <w:rFonts w:ascii="ITC Avant Garde" w:hAnsi="ITC Avant Garde" w:cs="Arial Unicode MS"/>
          <w:bCs/>
          <w:color w:val="000000"/>
          <w:u w:color="000000"/>
          <w:bdr w:val="nil"/>
          <w:lang w:val="es-ES_tradnl" w:eastAsia="es-MX"/>
        </w:rPr>
        <w:t xml:space="preserve"> para que </w:t>
      </w:r>
      <w:r w:rsidR="00FE2721">
        <w:rPr>
          <w:rFonts w:ascii="ITC Avant Garde" w:hAnsi="ITC Avant Garde" w:cs="Arial Unicode MS"/>
          <w:bCs/>
          <w:color w:val="000000"/>
          <w:u w:color="000000"/>
          <w:bdr w:val="nil"/>
          <w:lang w:val="es-ES_tradnl" w:eastAsia="es-MX"/>
        </w:rPr>
        <w:t xml:space="preserve">la CGMR </w:t>
      </w:r>
      <w:r w:rsidRPr="00C93307">
        <w:rPr>
          <w:rFonts w:ascii="ITC Avant Garde" w:hAnsi="ITC Avant Garde" w:cs="Arial Unicode MS"/>
          <w:bCs/>
          <w:color w:val="000000"/>
          <w:u w:color="000000"/>
          <w:bdr w:val="nil"/>
          <w:lang w:val="es-ES_tradnl" w:eastAsia="es-MX"/>
        </w:rPr>
        <w:t xml:space="preserve">emitiera </w:t>
      </w:r>
      <w:r w:rsidR="00FE2721">
        <w:rPr>
          <w:rFonts w:ascii="ITC Avant Garde" w:hAnsi="ITC Avant Garde" w:cs="Arial Unicode MS"/>
          <w:bCs/>
          <w:color w:val="000000"/>
          <w:u w:color="000000"/>
          <w:bdr w:val="nil"/>
          <w:lang w:val="es-ES_tradnl" w:eastAsia="es-MX"/>
        </w:rPr>
        <w:t>su</w:t>
      </w:r>
      <w:r w:rsidRPr="00C93307">
        <w:rPr>
          <w:rFonts w:ascii="ITC Avant Garde" w:hAnsi="ITC Avant Garde" w:cs="Arial Unicode MS"/>
          <w:bCs/>
          <w:color w:val="000000"/>
          <w:u w:color="000000"/>
          <w:bdr w:val="nil"/>
          <w:lang w:val="es-ES_tradnl" w:eastAsia="es-MX"/>
        </w:rPr>
        <w:t xml:space="preserve"> opinión no vinculante</w:t>
      </w:r>
      <w:r w:rsidR="00FE2721">
        <w:rPr>
          <w:rFonts w:ascii="ITC Avant Garde" w:hAnsi="ITC Avant Garde" w:cs="Arial Unicode MS"/>
          <w:bCs/>
          <w:color w:val="000000"/>
          <w:u w:color="000000"/>
          <w:bdr w:val="nil"/>
          <w:lang w:val="es-ES_tradnl" w:eastAsia="es-MX"/>
        </w:rPr>
        <w:t>,</w:t>
      </w:r>
      <w:r w:rsidRPr="00C93307">
        <w:rPr>
          <w:rFonts w:ascii="ITC Avant Garde" w:hAnsi="ITC Avant Garde" w:cs="Arial Unicode MS"/>
          <w:bCs/>
          <w:color w:val="000000"/>
          <w:u w:color="000000"/>
          <w:bdr w:val="nil"/>
          <w:lang w:val="es-ES_tradnl" w:eastAsia="es-MX"/>
        </w:rPr>
        <w:t xml:space="preserve"> con relación a </w:t>
      </w:r>
      <w:r w:rsidRPr="008F2C4E">
        <w:rPr>
          <w:rFonts w:ascii="ITC Avant Garde" w:hAnsi="ITC Avant Garde" w:cs="Arial Unicode MS"/>
          <w:bCs/>
          <w:color w:val="000000"/>
          <w:u w:color="000000"/>
          <w:bdr w:val="nil"/>
          <w:lang w:val="es-ES_tradnl" w:eastAsia="es-MX"/>
        </w:rPr>
        <w:t>dichos documento</w:t>
      </w:r>
      <w:r w:rsidRPr="00E341A7">
        <w:rPr>
          <w:rFonts w:ascii="ITC Avant Garde" w:hAnsi="ITC Avant Garde" w:cs="Arial Unicode MS"/>
          <w:bCs/>
          <w:color w:val="000000"/>
          <w:u w:color="000000"/>
          <w:bdr w:val="nil"/>
          <w:lang w:val="es-ES_tradnl" w:eastAsia="es-MX"/>
        </w:rPr>
        <w:t>s</w:t>
      </w:r>
      <w:r w:rsidRPr="00B07E53">
        <w:rPr>
          <w:rFonts w:ascii="ITC Avant Garde" w:hAnsi="ITC Avant Garde" w:cs="Arial Unicode MS"/>
          <w:bCs/>
          <w:color w:val="000000"/>
          <w:u w:color="000000"/>
          <w:bdr w:val="nil"/>
          <w:lang w:val="es-ES_tradnl" w:eastAsia="es-MX"/>
        </w:rPr>
        <w:t>.</w:t>
      </w:r>
    </w:p>
    <w:p w14:paraId="35E7C4B3" w14:textId="77777777" w:rsidR="0015761D" w:rsidRPr="0015761D" w:rsidRDefault="0015761D" w:rsidP="0015761D">
      <w:pPr>
        <w:spacing w:after="0" w:line="240" w:lineRule="auto"/>
        <w:ind w:left="720" w:right="49"/>
        <w:contextualSpacing/>
        <w:jc w:val="both"/>
        <w:rPr>
          <w:rFonts w:ascii="ITC Avant Garde" w:hAnsi="ITC Avant Garde"/>
          <w:color w:val="000000" w:themeColor="text1"/>
          <w:szCs w:val="21"/>
          <w:lang w:eastAsia="es-MX"/>
        </w:rPr>
      </w:pPr>
    </w:p>
    <w:p w14:paraId="2ED0E55B" w14:textId="44F5C960" w:rsidR="0015761D" w:rsidRPr="0015761D" w:rsidRDefault="00981118" w:rsidP="0015761D">
      <w:pPr>
        <w:numPr>
          <w:ilvl w:val="0"/>
          <w:numId w:val="2"/>
        </w:numPr>
        <w:spacing w:after="0" w:line="240" w:lineRule="auto"/>
        <w:ind w:right="49"/>
        <w:contextualSpacing/>
        <w:jc w:val="both"/>
        <w:rPr>
          <w:rFonts w:ascii="ITC Avant Garde" w:hAnsi="ITC Avant Garde"/>
          <w:color w:val="000000" w:themeColor="text1"/>
          <w:szCs w:val="21"/>
          <w:lang w:eastAsia="es-MX"/>
        </w:rPr>
      </w:pPr>
      <w:r>
        <w:rPr>
          <w:rFonts w:ascii="ITC Avant Garde" w:hAnsi="ITC Avant Garde"/>
          <w:color w:val="000000" w:themeColor="text1"/>
          <w:szCs w:val="21"/>
          <w:lang w:eastAsia="es-MX"/>
        </w:rPr>
        <w:t>Con</w:t>
      </w:r>
      <w:r w:rsidR="0015761D" w:rsidRPr="0015761D">
        <w:rPr>
          <w:rFonts w:ascii="ITC Avant Garde" w:hAnsi="ITC Avant Garde"/>
          <w:color w:val="000000" w:themeColor="text1"/>
          <w:szCs w:val="21"/>
          <w:lang w:eastAsia="es-MX"/>
        </w:rPr>
        <w:t xml:space="preserve"> oficio IFT/211/CGMR/</w:t>
      </w:r>
      <w:r w:rsidR="00026DB7" w:rsidRPr="008F7B43">
        <w:rPr>
          <w:rFonts w:ascii="ITC Avant Garde" w:hAnsi="ITC Avant Garde"/>
          <w:szCs w:val="21"/>
          <w:lang w:eastAsia="es-MX"/>
        </w:rPr>
        <w:t>0</w:t>
      </w:r>
      <w:r w:rsidR="00052FBB">
        <w:rPr>
          <w:rFonts w:ascii="ITC Avant Garde" w:hAnsi="ITC Avant Garde"/>
          <w:szCs w:val="21"/>
          <w:lang w:eastAsia="es-MX"/>
        </w:rPr>
        <w:t>18</w:t>
      </w:r>
      <w:r w:rsidR="0015761D" w:rsidRPr="008F7B43">
        <w:rPr>
          <w:rFonts w:ascii="ITC Avant Garde" w:hAnsi="ITC Avant Garde"/>
          <w:szCs w:val="21"/>
          <w:lang w:eastAsia="es-MX"/>
        </w:rPr>
        <w:t>/201</w:t>
      </w:r>
      <w:r w:rsidR="00052FBB">
        <w:rPr>
          <w:rFonts w:ascii="ITC Avant Garde" w:hAnsi="ITC Avant Garde"/>
          <w:szCs w:val="21"/>
          <w:lang w:eastAsia="es-MX"/>
        </w:rPr>
        <w:t>6</w:t>
      </w:r>
      <w:r w:rsidR="0015761D" w:rsidRPr="008F7B43">
        <w:rPr>
          <w:rFonts w:ascii="ITC Avant Garde" w:hAnsi="ITC Avant Garde"/>
          <w:szCs w:val="21"/>
          <w:lang w:eastAsia="es-MX"/>
        </w:rPr>
        <w:t xml:space="preserve">, de fecha </w:t>
      </w:r>
      <w:r w:rsidR="00052FBB">
        <w:rPr>
          <w:rFonts w:ascii="ITC Avant Garde" w:hAnsi="ITC Avant Garde"/>
          <w:szCs w:val="21"/>
          <w:lang w:eastAsia="es-MX"/>
        </w:rPr>
        <w:t>26</w:t>
      </w:r>
      <w:r w:rsidR="00026DB7" w:rsidRPr="008F7B43">
        <w:rPr>
          <w:rFonts w:ascii="ITC Avant Garde" w:hAnsi="ITC Avant Garde"/>
          <w:szCs w:val="21"/>
          <w:lang w:eastAsia="es-MX"/>
        </w:rPr>
        <w:t xml:space="preserve"> </w:t>
      </w:r>
      <w:r w:rsidR="0015761D" w:rsidRPr="008F7B43">
        <w:rPr>
          <w:rFonts w:ascii="ITC Avant Garde" w:hAnsi="ITC Avant Garde"/>
          <w:szCs w:val="21"/>
          <w:lang w:eastAsia="es-MX"/>
        </w:rPr>
        <w:t xml:space="preserve">de </w:t>
      </w:r>
      <w:r w:rsidR="00052FBB">
        <w:rPr>
          <w:rFonts w:ascii="ITC Avant Garde" w:hAnsi="ITC Avant Garde"/>
          <w:szCs w:val="21"/>
          <w:lang w:eastAsia="es-MX"/>
        </w:rPr>
        <w:t>febrero</w:t>
      </w:r>
      <w:r w:rsidR="0015761D" w:rsidRPr="008F7B43">
        <w:rPr>
          <w:rFonts w:ascii="ITC Avant Garde" w:hAnsi="ITC Avant Garde"/>
          <w:szCs w:val="21"/>
          <w:lang w:eastAsia="es-MX"/>
        </w:rPr>
        <w:t xml:space="preserve"> d</w:t>
      </w:r>
      <w:r w:rsidR="0015761D" w:rsidRPr="0015761D">
        <w:rPr>
          <w:rFonts w:ascii="ITC Avant Garde" w:hAnsi="ITC Avant Garde"/>
          <w:color w:val="000000" w:themeColor="text1"/>
          <w:szCs w:val="21"/>
          <w:lang w:eastAsia="es-MX"/>
        </w:rPr>
        <w:t>e 201</w:t>
      </w:r>
      <w:r w:rsidR="00052FBB">
        <w:rPr>
          <w:rFonts w:ascii="ITC Avant Garde" w:hAnsi="ITC Avant Garde"/>
          <w:color w:val="000000" w:themeColor="text1"/>
          <w:szCs w:val="21"/>
          <w:lang w:eastAsia="es-MX"/>
        </w:rPr>
        <w:t>6</w:t>
      </w:r>
      <w:r w:rsidR="0015761D" w:rsidRPr="0015761D">
        <w:rPr>
          <w:rFonts w:ascii="ITC Avant Garde" w:hAnsi="ITC Avant Garde"/>
          <w:color w:val="000000" w:themeColor="text1"/>
          <w:szCs w:val="21"/>
          <w:lang w:eastAsia="es-MX"/>
        </w:rPr>
        <w:t>,</w:t>
      </w:r>
      <w:r w:rsidR="0015761D" w:rsidRPr="0015761D">
        <w:rPr>
          <w:rFonts w:ascii="ITC Avant Garde" w:hAnsi="ITC Avant Garde"/>
          <w:color w:val="000000" w:themeColor="text1"/>
          <w:szCs w:val="21"/>
          <w:lang w:eastAsia="es-MX"/>
        </w:rPr>
        <w:t xml:space="preserve"> la CGMR emitió opinión no vinculante, en relación </w:t>
      </w:r>
      <w:r w:rsidR="00540E7F">
        <w:rPr>
          <w:rFonts w:ascii="ITC Avant Garde" w:hAnsi="ITC Avant Garde"/>
          <w:color w:val="000000" w:themeColor="text1"/>
          <w:szCs w:val="21"/>
          <w:lang w:eastAsia="es-MX"/>
        </w:rPr>
        <w:t>con e</w:t>
      </w:r>
      <w:r w:rsidR="0015761D" w:rsidRPr="0015761D">
        <w:rPr>
          <w:rFonts w:ascii="ITC Avant Garde" w:hAnsi="ITC Avant Garde"/>
          <w:color w:val="000000" w:themeColor="text1"/>
          <w:szCs w:val="21"/>
          <w:lang w:eastAsia="es-MX"/>
        </w:rPr>
        <w:t xml:space="preserve">l Análisis de Impacto Regulatorio </w:t>
      </w:r>
      <w:r w:rsidR="0015761D">
        <w:rPr>
          <w:rFonts w:ascii="ITC Avant Garde" w:hAnsi="ITC Avant Garde"/>
          <w:color w:val="000000" w:themeColor="text1"/>
          <w:szCs w:val="21"/>
          <w:lang w:eastAsia="es-MX"/>
        </w:rPr>
        <w:t>del proyecto de Lineamientos Generales sobre la Autorización de Arrendamiento de Espectro Radioeléctrico</w:t>
      </w:r>
      <w:r w:rsidR="002976DD">
        <w:rPr>
          <w:rFonts w:ascii="ITC Avant Garde" w:hAnsi="ITC Avant Garde"/>
          <w:color w:val="000000" w:themeColor="text1"/>
          <w:szCs w:val="21"/>
          <w:lang w:eastAsia="es-MX"/>
        </w:rPr>
        <w:t>.</w:t>
      </w:r>
      <w:r w:rsidR="0015761D" w:rsidRPr="0015761D">
        <w:rPr>
          <w:rFonts w:ascii="ITC Avant Garde" w:hAnsi="ITC Avant Garde"/>
          <w:color w:val="000000" w:themeColor="text1"/>
          <w:szCs w:val="21"/>
          <w:lang w:eastAsia="es-MX"/>
        </w:rPr>
        <w:t xml:space="preserve"> </w:t>
      </w:r>
    </w:p>
    <w:p w14:paraId="352A2E63" w14:textId="77777777" w:rsidR="00F37C4D" w:rsidRPr="00D03948" w:rsidRDefault="00F37C4D" w:rsidP="00F003B2">
      <w:pPr>
        <w:tabs>
          <w:tab w:val="left" w:pos="5520"/>
        </w:tabs>
        <w:spacing w:after="0" w:line="240" w:lineRule="auto"/>
        <w:ind w:left="720"/>
        <w:contextualSpacing/>
        <w:rPr>
          <w:rFonts w:ascii="ITC Avant Garde" w:hAnsi="ITC Avant Garde"/>
          <w:color w:val="000000" w:themeColor="text1"/>
          <w:szCs w:val="21"/>
        </w:rPr>
      </w:pPr>
    </w:p>
    <w:p w14:paraId="2E4253D3" w14:textId="77777777" w:rsidR="00F37C4D" w:rsidRPr="00D03948" w:rsidRDefault="00F37C4D" w:rsidP="00F003B2">
      <w:pPr>
        <w:spacing w:after="0" w:line="240" w:lineRule="auto"/>
        <w:contextualSpacing/>
        <w:jc w:val="both"/>
        <w:rPr>
          <w:rFonts w:ascii="ITC Avant Garde" w:eastAsia="Times New Roman" w:hAnsi="ITC Avant Garde" w:cs="Arial"/>
          <w:color w:val="000000" w:themeColor="text1"/>
          <w:szCs w:val="21"/>
          <w:lang w:eastAsia="es-MX"/>
        </w:rPr>
      </w:pPr>
      <w:r w:rsidRPr="00D03948">
        <w:rPr>
          <w:rFonts w:ascii="ITC Avant Garde" w:eastAsia="Times New Roman" w:hAnsi="ITC Avant Garde" w:cs="Arial"/>
          <w:color w:val="000000" w:themeColor="text1"/>
          <w:szCs w:val="21"/>
          <w:lang w:eastAsia="es-MX"/>
        </w:rPr>
        <w:t>En virtud de los antecedentes señalados y,</w:t>
      </w:r>
    </w:p>
    <w:p w14:paraId="4196808C" w14:textId="77777777" w:rsidR="00F37C4D" w:rsidRPr="00D03948" w:rsidRDefault="00F37C4D" w:rsidP="00F003B2">
      <w:pPr>
        <w:spacing w:after="0" w:line="240" w:lineRule="auto"/>
        <w:contextualSpacing/>
        <w:jc w:val="center"/>
        <w:rPr>
          <w:rFonts w:ascii="ITC Avant Garde" w:hAnsi="ITC Avant Garde"/>
          <w:b/>
          <w:color w:val="000000" w:themeColor="text1"/>
          <w:szCs w:val="21"/>
        </w:rPr>
      </w:pPr>
    </w:p>
    <w:p w14:paraId="45CE4BDB" w14:textId="77777777" w:rsidR="00F37C4D" w:rsidRPr="00D46DFA" w:rsidRDefault="00F37C4D" w:rsidP="00D46DFA">
      <w:pPr>
        <w:spacing w:after="0" w:line="240" w:lineRule="auto"/>
        <w:contextualSpacing/>
        <w:jc w:val="center"/>
        <w:rPr>
          <w:rFonts w:ascii="ITC Avant Garde" w:hAnsi="ITC Avant Garde"/>
          <w:b/>
          <w:szCs w:val="21"/>
        </w:rPr>
      </w:pPr>
      <w:r w:rsidRPr="00D46DFA">
        <w:rPr>
          <w:rFonts w:ascii="ITC Avant Garde" w:hAnsi="ITC Avant Garde"/>
          <w:b/>
          <w:szCs w:val="21"/>
        </w:rPr>
        <w:t>CONSIDERANDO</w:t>
      </w:r>
    </w:p>
    <w:p w14:paraId="1640F7F6" w14:textId="77777777" w:rsidR="00F37C4D" w:rsidRPr="00D03948" w:rsidRDefault="00F37C4D" w:rsidP="00F003B2">
      <w:pPr>
        <w:spacing w:after="0" w:line="240" w:lineRule="auto"/>
        <w:contextualSpacing/>
        <w:rPr>
          <w:rFonts w:ascii="ITC Avant Garde" w:hAnsi="ITC Avant Garde"/>
          <w:szCs w:val="21"/>
        </w:rPr>
      </w:pPr>
    </w:p>
    <w:p w14:paraId="3A93AF48" w14:textId="4A6F921B" w:rsidR="00BC50C3" w:rsidRPr="00BC50C3" w:rsidRDefault="00F37C4D" w:rsidP="00BC50C3">
      <w:pPr>
        <w:numPr>
          <w:ilvl w:val="0"/>
          <w:numId w:val="3"/>
        </w:numPr>
        <w:pBdr>
          <w:top w:val="nil"/>
          <w:left w:val="nil"/>
          <w:bottom w:val="nil"/>
          <w:right w:val="nil"/>
          <w:between w:val="nil"/>
          <w:bar w:val="nil"/>
        </w:pBdr>
        <w:spacing w:after="0" w:line="240" w:lineRule="auto"/>
        <w:ind w:left="0" w:firstLine="0"/>
        <w:contextualSpacing/>
        <w:jc w:val="both"/>
        <w:rPr>
          <w:rFonts w:ascii="ITC Avant Garde" w:eastAsia="Arial Unicode MS" w:hAnsi="ITC Avant Garde" w:cs="Arial"/>
          <w:bCs/>
          <w:u w:color="000000"/>
          <w:bdr w:val="nil"/>
          <w:lang w:val="es-ES_tradnl" w:eastAsia="ar-SA"/>
        </w:rPr>
      </w:pPr>
      <w:r w:rsidRPr="00D03948">
        <w:rPr>
          <w:rFonts w:ascii="ITC Avant Garde" w:eastAsia="Arial Unicode MS" w:hAnsi="ITC Avant Garde" w:cs="Times"/>
          <w:b/>
          <w:color w:val="000000" w:themeColor="text1"/>
          <w:szCs w:val="21"/>
          <w:bdr w:val="nil"/>
          <w:lang w:eastAsia="es-MX"/>
        </w:rPr>
        <w:t>Competencia del Instituto.</w:t>
      </w:r>
      <w:r w:rsidR="00C543BA" w:rsidRPr="00C543BA">
        <w:rPr>
          <w:rFonts w:ascii="ITC Avant Garde" w:eastAsia="Arial Unicode MS" w:hAnsi="ITC Avant Garde" w:cs="Arial"/>
          <w:bCs/>
          <w:u w:color="000000"/>
          <w:bdr w:val="nil"/>
          <w:lang w:val="es-ES_tradnl" w:eastAsia="ar-SA"/>
        </w:rPr>
        <w:t xml:space="preserve"> </w:t>
      </w:r>
      <w:r w:rsidR="00C543BA" w:rsidRPr="00BC50C3">
        <w:rPr>
          <w:rFonts w:ascii="ITC Avant Garde" w:eastAsia="Arial Unicode MS" w:hAnsi="ITC Avant Garde" w:cs="Arial"/>
          <w:bCs/>
          <w:u w:color="000000"/>
          <w:bdr w:val="nil"/>
          <w:lang w:val="es-ES_tradnl" w:eastAsia="ar-SA"/>
        </w:rPr>
        <w:t xml:space="preserve">De conformidad con lo dispuesto </w:t>
      </w:r>
      <w:r w:rsidR="00C543BA" w:rsidRPr="00BC50C3">
        <w:rPr>
          <w:rFonts w:ascii="ITC Avant Garde" w:hAnsi="ITC Avant Garde"/>
          <w:bdr w:val="none" w:sz="0" w:space="0" w:color="auto" w:frame="1"/>
          <w:lang w:val="es-ES_tradnl" w:eastAsia="ar-SA"/>
        </w:rPr>
        <w:t>en los artículos 6o., apartad</w:t>
      </w:r>
      <w:r w:rsidR="00C543BA">
        <w:rPr>
          <w:rFonts w:ascii="ITC Avant Garde" w:hAnsi="ITC Avant Garde"/>
          <w:bdr w:val="none" w:sz="0" w:space="0" w:color="auto" w:frame="1"/>
          <w:lang w:val="es-ES_tradnl" w:eastAsia="ar-SA"/>
        </w:rPr>
        <w:t>o B, fracciones I y II, 7o. y 28</w:t>
      </w:r>
      <w:r w:rsidR="00C543BA" w:rsidRPr="00BC50C3">
        <w:rPr>
          <w:rFonts w:ascii="ITC Avant Garde" w:hAnsi="ITC Avant Garde"/>
          <w:bdr w:val="none" w:sz="0" w:space="0" w:color="auto" w:frame="1"/>
          <w:lang w:val="es-ES_tradnl" w:eastAsia="ar-SA"/>
        </w:rPr>
        <w:t xml:space="preserve"> párrafo</w:t>
      </w:r>
      <w:r w:rsidR="00C543BA">
        <w:rPr>
          <w:rFonts w:ascii="ITC Avant Garde" w:hAnsi="ITC Avant Garde"/>
          <w:bdr w:val="none" w:sz="0" w:space="0" w:color="auto" w:frame="1"/>
          <w:lang w:val="es-ES_tradnl" w:eastAsia="ar-SA"/>
        </w:rPr>
        <w:t>s</w:t>
      </w:r>
      <w:r w:rsidR="00C543BA" w:rsidRPr="00BC50C3">
        <w:rPr>
          <w:rFonts w:ascii="ITC Avant Garde" w:hAnsi="ITC Avant Garde"/>
          <w:bdr w:val="none" w:sz="0" w:space="0" w:color="auto" w:frame="1"/>
          <w:lang w:val="es-ES_tradnl" w:eastAsia="ar-SA"/>
        </w:rPr>
        <w:t xml:space="preserve"> décimo quinto y décimo sexto</w:t>
      </w:r>
      <w:r w:rsidR="00C543BA">
        <w:rPr>
          <w:rFonts w:ascii="ITC Avant Garde" w:hAnsi="ITC Avant Garde"/>
          <w:bdr w:val="none" w:sz="0" w:space="0" w:color="auto" w:frame="1"/>
          <w:lang w:val="es-ES_tradnl" w:eastAsia="ar-SA"/>
        </w:rPr>
        <w:t>,</w:t>
      </w:r>
      <w:r w:rsidR="00C543BA" w:rsidRPr="00BC50C3">
        <w:rPr>
          <w:rFonts w:ascii="ITC Avant Garde" w:hAnsi="ITC Avant Garde"/>
          <w:bdr w:val="none" w:sz="0" w:space="0" w:color="auto" w:frame="1"/>
          <w:lang w:val="es-ES_tradnl" w:eastAsia="ar-SA"/>
        </w:rPr>
        <w:t xml:space="preserve"> de la Constitución Política de los Estados Unidos Mexicanos (Constitución); </w:t>
      </w:r>
      <w:r w:rsidR="00C543BA">
        <w:rPr>
          <w:rFonts w:ascii="ITC Avant Garde" w:hAnsi="ITC Avant Garde"/>
          <w:lang w:eastAsia="ar-SA"/>
        </w:rPr>
        <w:t>1, 2, 7, 15</w:t>
      </w:r>
      <w:r w:rsidR="00C543BA" w:rsidRPr="00BC50C3">
        <w:rPr>
          <w:rFonts w:ascii="ITC Avant Garde" w:hAnsi="ITC Avant Garde"/>
          <w:lang w:eastAsia="ar-SA"/>
        </w:rPr>
        <w:t xml:space="preserve"> fracción </w:t>
      </w:r>
      <w:r w:rsidR="00C543BA" w:rsidRPr="00BC50C3">
        <w:rPr>
          <w:rFonts w:ascii="ITC Avant Garde" w:hAnsi="ITC Avant Garde"/>
        </w:rPr>
        <w:t>I</w:t>
      </w:r>
      <w:r w:rsidR="00C543BA">
        <w:rPr>
          <w:rFonts w:ascii="ITC Avant Garde" w:hAnsi="ITC Avant Garde"/>
          <w:lang w:eastAsia="ar-SA"/>
        </w:rPr>
        <w:t>, 16, 17</w:t>
      </w:r>
      <w:r w:rsidR="00C543BA" w:rsidRPr="00BC50C3">
        <w:rPr>
          <w:rFonts w:ascii="ITC Avant Garde" w:hAnsi="ITC Avant Garde"/>
          <w:lang w:eastAsia="ar-SA"/>
        </w:rPr>
        <w:t xml:space="preserve"> fracciones I y XV, 54 y 104 de la Ley Federal de Telecomunic</w:t>
      </w:r>
      <w:r w:rsidR="00C543BA">
        <w:rPr>
          <w:rFonts w:ascii="ITC Avant Garde" w:hAnsi="ITC Avant Garde"/>
          <w:lang w:eastAsia="ar-SA"/>
        </w:rPr>
        <w:t>aciones y Radiodifusión (Ley); y 1, 4</w:t>
      </w:r>
      <w:r w:rsidR="00C543BA" w:rsidRPr="00BC50C3">
        <w:rPr>
          <w:rFonts w:ascii="ITC Avant Garde" w:hAnsi="ITC Avant Garde"/>
          <w:lang w:eastAsia="ar-SA"/>
        </w:rPr>
        <w:t xml:space="preserve"> fracción I, </w:t>
      </w:r>
      <w:r w:rsidR="00C543BA">
        <w:rPr>
          <w:rFonts w:ascii="ITC Avant Garde" w:hAnsi="ITC Avant Garde"/>
        </w:rPr>
        <w:t>6 fracción I, 27 y 28</w:t>
      </w:r>
      <w:r w:rsidR="00C543BA" w:rsidRPr="00BC50C3">
        <w:rPr>
          <w:rFonts w:ascii="ITC Avant Garde" w:hAnsi="ITC Avant Garde"/>
        </w:rPr>
        <w:t xml:space="preserve"> fracción XIII</w:t>
      </w:r>
      <w:r w:rsidR="00C543BA">
        <w:rPr>
          <w:rFonts w:ascii="ITC Avant Garde" w:hAnsi="ITC Avant Garde"/>
        </w:rPr>
        <w:t>,</w:t>
      </w:r>
      <w:r w:rsidR="00C543BA" w:rsidRPr="00BC50C3">
        <w:rPr>
          <w:rFonts w:ascii="ITC Avant Garde" w:hAnsi="ITC Avant Garde"/>
        </w:rPr>
        <w:t xml:space="preserve"> del Estatuto Orgánico</w:t>
      </w:r>
      <w:r w:rsidR="00C543BA">
        <w:rPr>
          <w:rFonts w:ascii="ITC Avant Garde" w:hAnsi="ITC Avant Garde"/>
        </w:rPr>
        <w:t xml:space="preserve"> del Instituto Federal de Telecomunicaciones</w:t>
      </w:r>
      <w:r w:rsidR="00C543BA" w:rsidRPr="00BC50C3">
        <w:rPr>
          <w:rFonts w:ascii="ITC Avant Garde" w:hAnsi="ITC Avant Garde"/>
        </w:rPr>
        <w:t xml:space="preserve">, </w:t>
      </w:r>
      <w:r w:rsidR="00C543BA" w:rsidRPr="00BC50C3">
        <w:rPr>
          <w:rFonts w:ascii="ITC Avant Garde" w:hAnsi="ITC Avant Garde"/>
          <w:bdr w:val="none" w:sz="0" w:space="0" w:color="auto" w:frame="1"/>
          <w:lang w:val="es-ES_tradnl" w:eastAsia="ar-SA"/>
        </w:rPr>
        <w:t>el Instituto es un órgano autónomo con personalidad jurídica y patrimonio propio que tiene por objeto el desarrollo eficiente de la radiodi</w:t>
      </w:r>
      <w:r w:rsidR="00742219">
        <w:rPr>
          <w:rFonts w:ascii="ITC Avant Garde" w:hAnsi="ITC Avant Garde"/>
          <w:bdr w:val="none" w:sz="0" w:space="0" w:color="auto" w:frame="1"/>
          <w:lang w:val="es-ES_tradnl" w:eastAsia="ar-SA"/>
        </w:rPr>
        <w:t>fusión y las telecomunicaciones;</w:t>
      </w:r>
      <w:r w:rsidR="00C543BA" w:rsidRPr="00BC50C3">
        <w:rPr>
          <w:rFonts w:ascii="ITC Avant Garde" w:hAnsi="ITC Avant Garde"/>
          <w:bdr w:val="none" w:sz="0" w:space="0" w:color="auto" w:frame="1"/>
          <w:lang w:val="es-ES_tradnl" w:eastAsia="ar-SA"/>
        </w:rPr>
        <w:t xml:space="preserve"> </w:t>
      </w:r>
      <w:r w:rsidR="00742219">
        <w:rPr>
          <w:rFonts w:ascii="ITC Avant Garde" w:hAnsi="ITC Avant Garde"/>
          <w:lang w:eastAsia="ar-SA"/>
        </w:rPr>
        <w:t>a</w:t>
      </w:r>
      <w:r w:rsidR="00C543BA" w:rsidRPr="00BC50C3">
        <w:rPr>
          <w:rFonts w:ascii="ITC Avant Garde" w:hAnsi="ITC Avant Garde"/>
          <w:lang w:eastAsia="ar-SA"/>
        </w:rPr>
        <w:t>demás de ser también la autoridad en materia de competencia económica de los sectores de radiodifusión y telecomunicaciones</w:t>
      </w:r>
      <w:r w:rsidR="00BC50C3" w:rsidRPr="00BC50C3">
        <w:rPr>
          <w:rFonts w:ascii="ITC Avant Garde" w:hAnsi="ITC Avant Garde"/>
          <w:lang w:val="es-ES_tradnl" w:eastAsia="ar-SA"/>
        </w:rPr>
        <w:t>.</w:t>
      </w:r>
    </w:p>
    <w:p w14:paraId="4EB837F8" w14:textId="77777777" w:rsidR="00BC50C3" w:rsidRDefault="00BC50C3" w:rsidP="00BC50C3">
      <w:pPr>
        <w:spacing w:after="0" w:line="240" w:lineRule="auto"/>
        <w:ind w:right="51"/>
        <w:jc w:val="both"/>
        <w:rPr>
          <w:rFonts w:ascii="ITC Avant Garde" w:eastAsia="Arial Unicode MS" w:hAnsi="ITC Avant Garde" w:cs="Arial"/>
          <w:bCs/>
          <w:u w:color="000000"/>
          <w:bdr w:val="nil"/>
          <w:lang w:val="es-ES_tradnl" w:eastAsia="ar-SA"/>
        </w:rPr>
      </w:pPr>
    </w:p>
    <w:p w14:paraId="0C4804A1" w14:textId="26D84887" w:rsidR="00BC50C3" w:rsidRPr="00505E4F" w:rsidRDefault="00BC50C3" w:rsidP="00BC50C3">
      <w:pPr>
        <w:spacing w:after="0" w:line="240" w:lineRule="auto"/>
        <w:ind w:right="51"/>
        <w:jc w:val="both"/>
        <w:rPr>
          <w:rFonts w:ascii="ITC Avant Garde" w:eastAsiaTheme="minorHAnsi" w:hAnsi="ITC Avant Garde" w:cs="Arial"/>
        </w:rPr>
      </w:pPr>
      <w:r w:rsidRPr="00505E4F" w:rsidDel="004067FC">
        <w:rPr>
          <w:rFonts w:ascii="ITC Avant Garde" w:eastAsia="Times New Roman" w:hAnsi="ITC Avant Garde" w:cs="Arial"/>
          <w:kern w:val="1"/>
          <w:lang w:eastAsia="ar-SA"/>
        </w:rPr>
        <w:t xml:space="preserve">Para tal efecto, </w:t>
      </w:r>
      <w:r w:rsidR="00C10EF6">
        <w:rPr>
          <w:rFonts w:ascii="ITC Avant Garde" w:eastAsia="Times New Roman" w:hAnsi="ITC Avant Garde" w:cs="Arial"/>
          <w:kern w:val="1"/>
          <w:lang w:eastAsia="ar-SA"/>
        </w:rPr>
        <w:t xml:space="preserve">el Instituto </w:t>
      </w:r>
      <w:r>
        <w:rPr>
          <w:rFonts w:ascii="ITC Avant Garde" w:hAnsi="ITC Avant Garde"/>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41E65EAB" w14:textId="77777777" w:rsidR="00BC50C3" w:rsidRPr="00505E4F" w:rsidRDefault="00BC50C3" w:rsidP="00BC50C3">
      <w:pPr>
        <w:spacing w:after="0" w:line="240" w:lineRule="auto"/>
        <w:ind w:right="51"/>
        <w:jc w:val="both"/>
        <w:rPr>
          <w:rFonts w:ascii="ITC Avant Garde" w:eastAsiaTheme="minorHAnsi" w:hAnsi="ITC Avant Garde" w:cs="Arial"/>
        </w:rPr>
      </w:pPr>
    </w:p>
    <w:p w14:paraId="3DCA9938" w14:textId="3544E0AA" w:rsidR="00BC50C3" w:rsidRDefault="00BC50C3" w:rsidP="00BC50C3">
      <w:pPr>
        <w:spacing w:after="0" w:line="240" w:lineRule="auto"/>
        <w:contextualSpacing/>
        <w:jc w:val="both"/>
        <w:rPr>
          <w:rFonts w:ascii="ITC Avant Garde" w:eastAsiaTheme="minorHAnsi" w:hAnsi="ITC Avant Garde" w:cs="Arial"/>
        </w:rPr>
      </w:pPr>
      <w:r w:rsidRPr="00505E4F">
        <w:rPr>
          <w:rFonts w:ascii="ITC Avant Garde" w:eastAsiaTheme="minorHAnsi" w:hAnsi="ITC Avant Garde" w:cs="Arial"/>
          <w:lang w:val="es-ES_tradnl" w:eastAsia="ar-SA"/>
        </w:rPr>
        <w:t xml:space="preserve">En este sentido, </w:t>
      </w:r>
      <w:r w:rsidRPr="00215708">
        <w:rPr>
          <w:rFonts w:ascii="ITC Avant Garde" w:eastAsiaTheme="minorHAnsi" w:hAnsi="ITC Avant Garde" w:cs="Arial"/>
          <w:lang w:val="es-ES_tradnl" w:eastAsia="ar-SA"/>
        </w:rPr>
        <w:t>el Pleno</w:t>
      </w:r>
      <w:r w:rsidR="00742219">
        <w:rPr>
          <w:rFonts w:ascii="ITC Avant Garde" w:eastAsiaTheme="minorHAnsi" w:hAnsi="ITC Avant Garde" w:cs="Arial"/>
          <w:lang w:val="es-ES_tradnl" w:eastAsia="ar-SA"/>
        </w:rPr>
        <w:t>,</w:t>
      </w:r>
      <w:r w:rsidRPr="00215708">
        <w:rPr>
          <w:rFonts w:ascii="ITC Avant Garde" w:eastAsiaTheme="minorHAnsi" w:hAnsi="ITC Avant Garde" w:cs="Arial"/>
          <w:lang w:val="es-ES_tradnl" w:eastAsia="ar-SA"/>
        </w:rPr>
        <w:t xml:space="preserve"> como órgano máximo de gobierno del Instituto, resulta competente para </w:t>
      </w:r>
      <w:r>
        <w:rPr>
          <w:rFonts w:ascii="ITC Avant Garde" w:eastAsiaTheme="minorHAnsi" w:hAnsi="ITC Avant Garde" w:cs="Arial"/>
          <w:lang w:val="es-ES_tradnl" w:eastAsia="ar-SA"/>
        </w:rPr>
        <w:t>expedir lineamientos en materia de telecomunicaciones y radiodifusión, a los cuales se sujetará el arrendamiento de bandas de frecuencias concesionadas para uso</w:t>
      </w:r>
      <w:r w:rsidR="00BB0E88">
        <w:rPr>
          <w:rFonts w:ascii="ITC Avant Garde" w:eastAsiaTheme="minorHAnsi" w:hAnsi="ITC Avant Garde" w:cs="Arial"/>
          <w:lang w:val="es-ES_tradnl" w:eastAsia="ar-SA"/>
        </w:rPr>
        <w:t xml:space="preserve"> comercial o para uso privado, e</w:t>
      </w:r>
      <w:r>
        <w:rPr>
          <w:rFonts w:ascii="ITC Avant Garde" w:eastAsiaTheme="minorHAnsi" w:hAnsi="ITC Avant Garde" w:cs="Arial"/>
          <w:lang w:val="es-ES_tradnl" w:eastAsia="ar-SA"/>
        </w:rPr>
        <w:t xml:space="preserve">ste último con propósitos de comunicación privada. </w:t>
      </w:r>
    </w:p>
    <w:p w14:paraId="04E849EB" w14:textId="77777777" w:rsidR="00F37C4D" w:rsidRPr="00D03948" w:rsidRDefault="00F37C4D" w:rsidP="00F003B2">
      <w:pPr>
        <w:suppressAutoHyphens/>
        <w:spacing w:after="0" w:line="240" w:lineRule="auto"/>
        <w:ind w:right="-62"/>
        <w:contextualSpacing/>
        <w:jc w:val="both"/>
        <w:rPr>
          <w:rFonts w:ascii="ITC Avant Garde" w:hAnsi="ITC Avant Garde" w:cs="Arial"/>
          <w:color w:val="000000" w:themeColor="text1"/>
          <w:szCs w:val="21"/>
        </w:rPr>
      </w:pPr>
    </w:p>
    <w:p w14:paraId="5E687B62" w14:textId="5DE0BFED" w:rsidR="00F37C4D" w:rsidRPr="00C22E7F" w:rsidRDefault="00F37C4D" w:rsidP="00F003B2">
      <w:pPr>
        <w:numPr>
          <w:ilvl w:val="0"/>
          <w:numId w:val="3"/>
        </w:numPr>
        <w:pBdr>
          <w:top w:val="nil"/>
          <w:left w:val="nil"/>
          <w:bottom w:val="nil"/>
          <w:right w:val="nil"/>
          <w:between w:val="nil"/>
          <w:bar w:val="nil"/>
        </w:pBdr>
        <w:spacing w:after="0" w:line="240" w:lineRule="auto"/>
        <w:ind w:left="0" w:firstLine="0"/>
        <w:contextualSpacing/>
        <w:jc w:val="both"/>
        <w:rPr>
          <w:rFonts w:ascii="ITC Avant Garde" w:eastAsia="Arial Unicode MS" w:hAnsi="ITC Avant Garde" w:cs="Times"/>
          <w:b/>
          <w:color w:val="000000" w:themeColor="text1"/>
          <w:szCs w:val="21"/>
          <w:bdr w:val="nil"/>
          <w:lang w:eastAsia="es-MX"/>
        </w:rPr>
      </w:pPr>
      <w:r w:rsidRPr="00C22E7F">
        <w:rPr>
          <w:rFonts w:ascii="ITC Avant Garde" w:eastAsia="Arial Unicode MS" w:hAnsi="ITC Avant Garde" w:cs="Times"/>
          <w:b/>
          <w:color w:val="000000" w:themeColor="text1"/>
          <w:szCs w:val="21"/>
          <w:bdr w:val="nil"/>
          <w:lang w:eastAsia="es-MX"/>
        </w:rPr>
        <w:t>Mercado Secundario de Espectro Radioeléctrico</w:t>
      </w:r>
      <w:r>
        <w:rPr>
          <w:rFonts w:ascii="ITC Avant Garde" w:eastAsia="Arial Unicode MS" w:hAnsi="ITC Avant Garde" w:cs="Times"/>
          <w:color w:val="000000" w:themeColor="text1"/>
          <w:szCs w:val="21"/>
          <w:bdr w:val="nil"/>
          <w:lang w:eastAsia="es-MX"/>
        </w:rPr>
        <w:t>.</w:t>
      </w:r>
      <w:r w:rsidR="00815BE9">
        <w:rPr>
          <w:rFonts w:ascii="ITC Avant Garde" w:eastAsia="Arial Unicode MS" w:hAnsi="ITC Avant Garde" w:cs="Times"/>
          <w:color w:val="000000" w:themeColor="text1"/>
          <w:szCs w:val="21"/>
          <w:bdr w:val="nil"/>
          <w:lang w:eastAsia="es-MX"/>
        </w:rPr>
        <w:t xml:space="preserve"> El objetivo del mercado secundario de e</w:t>
      </w:r>
      <w:r w:rsidRPr="00C22E7F">
        <w:rPr>
          <w:rFonts w:ascii="ITC Avant Garde" w:eastAsia="Arial Unicode MS" w:hAnsi="ITC Avant Garde" w:cs="Times"/>
          <w:color w:val="000000" w:themeColor="text1"/>
          <w:szCs w:val="21"/>
          <w:bdr w:val="nil"/>
          <w:lang w:eastAsia="es-MX"/>
        </w:rPr>
        <w:t xml:space="preserve">spectro </w:t>
      </w:r>
      <w:r w:rsidR="00815BE9">
        <w:rPr>
          <w:rFonts w:ascii="ITC Avant Garde" w:eastAsia="Arial Unicode MS" w:hAnsi="ITC Avant Garde" w:cs="Times"/>
          <w:color w:val="000000" w:themeColor="text1"/>
          <w:szCs w:val="21"/>
          <w:bdr w:val="nil"/>
          <w:lang w:eastAsia="es-MX"/>
        </w:rPr>
        <w:t>r</w:t>
      </w:r>
      <w:r w:rsidRPr="00C22E7F">
        <w:rPr>
          <w:rFonts w:ascii="ITC Avant Garde" w:eastAsia="Arial Unicode MS" w:hAnsi="ITC Avant Garde" w:cs="Times"/>
          <w:color w:val="000000" w:themeColor="text1"/>
          <w:szCs w:val="21"/>
          <w:bdr w:val="nil"/>
          <w:lang w:eastAsia="es-MX"/>
        </w:rPr>
        <w:t xml:space="preserve">adioeléctrico es proveer de flexibilidad, agilidad y dinamismo a la gestión del espectro radioeléctrico, </w:t>
      </w:r>
      <w:r w:rsidR="00E96075">
        <w:rPr>
          <w:rFonts w:ascii="ITC Avant Garde" w:eastAsia="Arial Unicode MS" w:hAnsi="ITC Avant Garde" w:cs="Times"/>
          <w:color w:val="000000" w:themeColor="text1"/>
          <w:szCs w:val="21"/>
          <w:bdr w:val="nil"/>
          <w:lang w:eastAsia="es-MX"/>
        </w:rPr>
        <w:t>a través</w:t>
      </w:r>
      <w:r w:rsidRPr="00C22E7F">
        <w:rPr>
          <w:rFonts w:ascii="ITC Avant Garde" w:eastAsia="Arial Unicode MS" w:hAnsi="ITC Avant Garde" w:cs="Times"/>
          <w:color w:val="000000" w:themeColor="text1"/>
          <w:szCs w:val="21"/>
          <w:bdr w:val="nil"/>
          <w:lang w:eastAsia="es-MX"/>
        </w:rPr>
        <w:t xml:space="preserve"> </w:t>
      </w:r>
      <w:r w:rsidR="00E96075">
        <w:rPr>
          <w:rFonts w:ascii="ITC Avant Garde" w:eastAsia="Arial Unicode MS" w:hAnsi="ITC Avant Garde" w:cs="Times"/>
          <w:color w:val="000000" w:themeColor="text1"/>
          <w:szCs w:val="21"/>
          <w:bdr w:val="nil"/>
          <w:lang w:eastAsia="es-MX"/>
        </w:rPr>
        <w:t>d</w:t>
      </w:r>
      <w:r w:rsidR="00C6290A">
        <w:rPr>
          <w:rFonts w:ascii="ITC Avant Garde" w:eastAsia="Arial Unicode MS" w:hAnsi="ITC Avant Garde" w:cs="Times"/>
          <w:color w:val="000000" w:themeColor="text1"/>
          <w:szCs w:val="21"/>
          <w:bdr w:val="nil"/>
          <w:lang w:eastAsia="es-MX"/>
        </w:rPr>
        <w:t>el uso</w:t>
      </w:r>
      <w:r w:rsidRPr="00C22E7F">
        <w:rPr>
          <w:rFonts w:ascii="ITC Avant Garde" w:eastAsia="Arial Unicode MS" w:hAnsi="ITC Avant Garde" w:cs="Times"/>
          <w:color w:val="000000" w:themeColor="text1"/>
          <w:szCs w:val="21"/>
          <w:bdr w:val="nil"/>
          <w:lang w:eastAsia="es-MX"/>
        </w:rPr>
        <w:t xml:space="preserve"> de espectro</w:t>
      </w:r>
      <w:r w:rsidR="00C6290A">
        <w:rPr>
          <w:rFonts w:ascii="ITC Avant Garde" w:eastAsia="Arial Unicode MS" w:hAnsi="ITC Avant Garde" w:cs="Times"/>
          <w:color w:val="000000" w:themeColor="text1"/>
          <w:szCs w:val="21"/>
          <w:bdr w:val="nil"/>
          <w:lang w:eastAsia="es-MX"/>
        </w:rPr>
        <w:t xml:space="preserve"> adjudicado que permanezca</w:t>
      </w:r>
      <w:r w:rsidRPr="00C22E7F">
        <w:rPr>
          <w:rFonts w:ascii="ITC Avant Garde" w:eastAsia="Arial Unicode MS" w:hAnsi="ITC Avant Garde" w:cs="Times"/>
          <w:color w:val="000000" w:themeColor="text1"/>
          <w:szCs w:val="21"/>
          <w:bdr w:val="nil"/>
          <w:lang w:eastAsia="es-MX"/>
        </w:rPr>
        <w:t xml:space="preserve"> ocioso </w:t>
      </w:r>
      <w:r w:rsidR="00C6290A">
        <w:rPr>
          <w:rFonts w:ascii="ITC Avant Garde" w:eastAsia="Arial Unicode MS" w:hAnsi="ITC Avant Garde" w:cs="Times"/>
          <w:color w:val="000000" w:themeColor="text1"/>
          <w:szCs w:val="21"/>
          <w:bdr w:val="nil"/>
          <w:lang w:eastAsia="es-MX"/>
        </w:rPr>
        <w:t xml:space="preserve">o subutilizado, para </w:t>
      </w:r>
      <w:r w:rsidR="0015761D">
        <w:rPr>
          <w:rFonts w:ascii="ITC Avant Garde" w:eastAsia="Arial Unicode MS" w:hAnsi="ITC Avant Garde" w:cs="Times"/>
          <w:color w:val="000000" w:themeColor="text1"/>
          <w:szCs w:val="21"/>
          <w:bdr w:val="nil"/>
          <w:lang w:eastAsia="es-MX"/>
        </w:rPr>
        <w:t xml:space="preserve">permitir </w:t>
      </w:r>
      <w:r w:rsidR="00FE2721">
        <w:rPr>
          <w:rFonts w:ascii="ITC Avant Garde" w:eastAsia="Arial Unicode MS" w:hAnsi="ITC Avant Garde" w:cs="Times"/>
          <w:color w:val="000000" w:themeColor="text1"/>
          <w:szCs w:val="21"/>
          <w:bdr w:val="nil"/>
          <w:lang w:eastAsia="es-MX"/>
        </w:rPr>
        <w:t>que</w:t>
      </w:r>
      <w:r w:rsidR="00594FE5">
        <w:rPr>
          <w:rFonts w:ascii="ITC Avant Garde" w:eastAsia="Arial Unicode MS" w:hAnsi="ITC Avant Garde" w:cs="Times"/>
          <w:color w:val="000000" w:themeColor="text1"/>
          <w:szCs w:val="21"/>
          <w:bdr w:val="nil"/>
          <w:lang w:eastAsia="es-MX"/>
        </w:rPr>
        <w:t xml:space="preserve"> terceros </w:t>
      </w:r>
      <w:r w:rsidR="00FE2721">
        <w:rPr>
          <w:rFonts w:ascii="ITC Avant Garde" w:eastAsia="Arial Unicode MS" w:hAnsi="ITC Avant Garde" w:cs="Times"/>
          <w:color w:val="000000" w:themeColor="text1"/>
          <w:szCs w:val="21"/>
          <w:bdr w:val="nil"/>
          <w:lang w:eastAsia="es-MX"/>
        </w:rPr>
        <w:t xml:space="preserve">puedan utilizarlo con el fin de </w:t>
      </w:r>
      <w:r w:rsidRPr="00C22E7F">
        <w:rPr>
          <w:rFonts w:ascii="ITC Avant Garde" w:eastAsia="Arial Unicode MS" w:hAnsi="ITC Avant Garde" w:cs="Times"/>
          <w:color w:val="000000" w:themeColor="text1"/>
          <w:szCs w:val="21"/>
          <w:bdr w:val="nil"/>
          <w:lang w:eastAsia="es-MX"/>
        </w:rPr>
        <w:t xml:space="preserve">satisfacer la demanda de usuarios y </w:t>
      </w:r>
      <w:r w:rsidR="0015761D">
        <w:rPr>
          <w:rFonts w:ascii="ITC Avant Garde" w:eastAsia="Arial Unicode MS" w:hAnsi="ITC Avant Garde" w:cs="Times"/>
          <w:color w:val="000000" w:themeColor="text1"/>
          <w:szCs w:val="21"/>
          <w:bdr w:val="nil"/>
          <w:lang w:eastAsia="es-MX"/>
        </w:rPr>
        <w:t xml:space="preserve">lograr con </w:t>
      </w:r>
      <w:r w:rsidRPr="00C22E7F">
        <w:rPr>
          <w:rFonts w:ascii="ITC Avant Garde" w:eastAsia="Arial Unicode MS" w:hAnsi="ITC Avant Garde" w:cs="Times"/>
          <w:color w:val="000000" w:themeColor="text1"/>
          <w:szCs w:val="21"/>
          <w:bdr w:val="nil"/>
          <w:lang w:eastAsia="es-MX"/>
        </w:rPr>
        <w:t xml:space="preserve">ello </w:t>
      </w:r>
      <w:r w:rsidR="0015761D">
        <w:rPr>
          <w:rFonts w:ascii="ITC Avant Garde" w:eastAsia="Arial Unicode MS" w:hAnsi="ITC Avant Garde" w:cs="Times"/>
          <w:color w:val="000000" w:themeColor="text1"/>
          <w:szCs w:val="21"/>
          <w:bdr w:val="nil"/>
          <w:lang w:eastAsia="es-MX"/>
        </w:rPr>
        <w:t>el</w:t>
      </w:r>
      <w:r w:rsidRPr="00C22E7F">
        <w:rPr>
          <w:rFonts w:ascii="ITC Avant Garde" w:eastAsia="Arial Unicode MS" w:hAnsi="ITC Avant Garde" w:cs="Times"/>
          <w:color w:val="000000" w:themeColor="text1"/>
          <w:szCs w:val="21"/>
          <w:bdr w:val="nil"/>
          <w:lang w:eastAsia="es-MX"/>
        </w:rPr>
        <w:t xml:space="preserve"> uso eficiente </w:t>
      </w:r>
      <w:r w:rsidR="0015761D">
        <w:rPr>
          <w:rFonts w:ascii="ITC Avant Garde" w:eastAsia="Arial Unicode MS" w:hAnsi="ITC Avant Garde" w:cs="Times"/>
          <w:color w:val="000000" w:themeColor="text1"/>
          <w:szCs w:val="21"/>
          <w:bdr w:val="nil"/>
          <w:lang w:eastAsia="es-MX"/>
        </w:rPr>
        <w:t>del</w:t>
      </w:r>
      <w:r w:rsidR="0015761D" w:rsidRPr="00C22E7F">
        <w:rPr>
          <w:rFonts w:ascii="ITC Avant Garde" w:eastAsia="Arial Unicode MS" w:hAnsi="ITC Avant Garde" w:cs="Times"/>
          <w:color w:val="000000" w:themeColor="text1"/>
          <w:szCs w:val="21"/>
          <w:bdr w:val="nil"/>
          <w:lang w:eastAsia="es-MX"/>
        </w:rPr>
        <w:t xml:space="preserve"> </w:t>
      </w:r>
      <w:r w:rsidRPr="00C22E7F">
        <w:rPr>
          <w:rFonts w:ascii="ITC Avant Garde" w:eastAsia="Arial Unicode MS" w:hAnsi="ITC Avant Garde" w:cs="Times"/>
          <w:color w:val="000000" w:themeColor="text1"/>
          <w:szCs w:val="21"/>
          <w:bdr w:val="nil"/>
          <w:lang w:eastAsia="es-MX"/>
        </w:rPr>
        <w:t>espectro</w:t>
      </w:r>
      <w:r w:rsidRPr="00C22E7F">
        <w:rPr>
          <w:rFonts w:ascii="ITC Avant Garde" w:eastAsia="Arial Unicode MS" w:hAnsi="ITC Avant Garde" w:cs="Times"/>
          <w:b/>
          <w:color w:val="000000" w:themeColor="text1"/>
          <w:szCs w:val="21"/>
          <w:bdr w:val="nil"/>
          <w:lang w:eastAsia="es-MX"/>
        </w:rPr>
        <w:t>.</w:t>
      </w:r>
    </w:p>
    <w:p w14:paraId="69525596" w14:textId="77777777" w:rsidR="00F37C4D" w:rsidRPr="00D03948" w:rsidRDefault="00F37C4D" w:rsidP="00F003B2">
      <w:pPr>
        <w:autoSpaceDE w:val="0"/>
        <w:autoSpaceDN w:val="0"/>
        <w:adjustRightInd w:val="0"/>
        <w:spacing w:after="0" w:line="240" w:lineRule="auto"/>
        <w:contextualSpacing/>
        <w:jc w:val="both"/>
        <w:rPr>
          <w:rFonts w:ascii="ITC Avant Garde" w:hAnsi="ITC Avant Garde" w:cs="Helvetica"/>
          <w:szCs w:val="21"/>
        </w:rPr>
      </w:pPr>
    </w:p>
    <w:p w14:paraId="16AA466B" w14:textId="0546EAB3" w:rsidR="00F37C4D" w:rsidRPr="00D03948" w:rsidRDefault="00F37C4D" w:rsidP="00F003B2">
      <w:pPr>
        <w:autoSpaceDE w:val="0"/>
        <w:autoSpaceDN w:val="0"/>
        <w:adjustRightInd w:val="0"/>
        <w:spacing w:after="0" w:line="240" w:lineRule="auto"/>
        <w:contextualSpacing/>
        <w:jc w:val="both"/>
        <w:rPr>
          <w:rFonts w:ascii="ITC Avant Garde" w:hAnsi="ITC Avant Garde"/>
          <w:szCs w:val="21"/>
        </w:rPr>
      </w:pPr>
      <w:r w:rsidRPr="00D03948">
        <w:rPr>
          <w:rFonts w:ascii="ITC Avant Garde" w:hAnsi="ITC Avant Garde" w:cs="Helvetica"/>
          <w:szCs w:val="21"/>
        </w:rPr>
        <w:t xml:space="preserve">Asimismo, es una alternativa que permite a </w:t>
      </w:r>
      <w:r w:rsidR="00FE2721">
        <w:rPr>
          <w:rFonts w:ascii="ITC Avant Garde" w:hAnsi="ITC Avant Garde" w:cs="Helvetica"/>
          <w:szCs w:val="21"/>
        </w:rPr>
        <w:t>los</w:t>
      </w:r>
      <w:r w:rsidRPr="00D03948">
        <w:rPr>
          <w:rFonts w:ascii="ITC Avant Garde" w:hAnsi="ITC Avant Garde" w:cs="Helvetica"/>
          <w:szCs w:val="21"/>
        </w:rPr>
        <w:t xml:space="preserve"> interesado</w:t>
      </w:r>
      <w:r w:rsidR="00FE2721">
        <w:rPr>
          <w:rFonts w:ascii="ITC Avant Garde" w:hAnsi="ITC Avant Garde" w:cs="Helvetica"/>
          <w:szCs w:val="21"/>
        </w:rPr>
        <w:t xml:space="preserve">s acceder </w:t>
      </w:r>
      <w:r w:rsidR="009B7028">
        <w:rPr>
          <w:rFonts w:ascii="ITC Avant Garde" w:hAnsi="ITC Avant Garde" w:cs="Helvetica"/>
          <w:szCs w:val="21"/>
        </w:rPr>
        <w:t>a</w:t>
      </w:r>
      <w:r w:rsidR="00FE2721">
        <w:rPr>
          <w:rFonts w:ascii="ITC Avant Garde" w:hAnsi="ITC Avant Garde" w:cs="Helvetica"/>
          <w:szCs w:val="21"/>
        </w:rPr>
        <w:t>l</w:t>
      </w:r>
      <w:r w:rsidRPr="00D03948">
        <w:rPr>
          <w:rFonts w:ascii="ITC Avant Garde" w:hAnsi="ITC Avant Garde" w:cs="Helvetica"/>
          <w:szCs w:val="21"/>
        </w:rPr>
        <w:t xml:space="preserve"> espectro radioeléctrico</w:t>
      </w:r>
      <w:r w:rsidR="00FE2721">
        <w:rPr>
          <w:rFonts w:ascii="ITC Avant Garde" w:hAnsi="ITC Avant Garde" w:cs="Helvetica"/>
          <w:szCs w:val="21"/>
        </w:rPr>
        <w:t>,</w:t>
      </w:r>
      <w:r w:rsidRPr="00D03948">
        <w:rPr>
          <w:rFonts w:ascii="ITC Avant Garde" w:hAnsi="ITC Avant Garde" w:cs="Helvetica"/>
          <w:szCs w:val="21"/>
        </w:rPr>
        <w:t xml:space="preserve"> sin depender </w:t>
      </w:r>
      <w:r w:rsidR="00FE2721">
        <w:rPr>
          <w:rFonts w:ascii="ITC Avant Garde" w:hAnsi="ITC Avant Garde" w:cs="Helvetica"/>
          <w:szCs w:val="21"/>
        </w:rPr>
        <w:t>necesariamente d</w:t>
      </w:r>
      <w:r w:rsidRPr="00D03948">
        <w:rPr>
          <w:rFonts w:ascii="ITC Avant Garde" w:hAnsi="ITC Avant Garde" w:cs="Helvetica"/>
          <w:szCs w:val="21"/>
        </w:rPr>
        <w:t xml:space="preserve">e que el Estado </w:t>
      </w:r>
      <w:r w:rsidR="00FE2721">
        <w:rPr>
          <w:rFonts w:ascii="ITC Avant Garde" w:hAnsi="ITC Avant Garde" w:cs="Helvetica"/>
          <w:szCs w:val="21"/>
        </w:rPr>
        <w:t xml:space="preserve">lleve a cabo un proceso de licitación </w:t>
      </w:r>
      <w:r w:rsidR="009B7028">
        <w:rPr>
          <w:rFonts w:ascii="ITC Avant Garde" w:hAnsi="ITC Avant Garde" w:cs="Helvetica"/>
          <w:szCs w:val="21"/>
        </w:rPr>
        <w:t>para su asignación</w:t>
      </w:r>
      <w:r w:rsidR="00FE2721">
        <w:rPr>
          <w:rFonts w:ascii="ITC Avant Garde" w:hAnsi="ITC Avant Garde" w:cs="Helvetica"/>
          <w:szCs w:val="21"/>
        </w:rPr>
        <w:t>, lo cual permite disminuir</w:t>
      </w:r>
      <w:r w:rsidRPr="00D03948">
        <w:rPr>
          <w:rFonts w:ascii="ITC Avant Garde" w:hAnsi="ITC Avant Garde" w:cs="Helvetica"/>
          <w:szCs w:val="21"/>
        </w:rPr>
        <w:t xml:space="preserve"> una de las principales barreras de entrada para nuevos competidores, al facilitar el acceso a un insumo esencial. </w:t>
      </w:r>
      <w:r w:rsidR="00FE2721">
        <w:rPr>
          <w:rFonts w:ascii="ITC Avant Garde" w:hAnsi="ITC Avant Garde" w:cs="Helvetica"/>
          <w:szCs w:val="21"/>
        </w:rPr>
        <w:t xml:space="preserve">De esta forma, se busca </w:t>
      </w:r>
      <w:r w:rsidRPr="00D03948">
        <w:rPr>
          <w:rFonts w:ascii="ITC Avant Garde" w:hAnsi="ITC Avant Garde" w:cs="Helvetica"/>
          <w:szCs w:val="21"/>
        </w:rPr>
        <w:t xml:space="preserve">fomentar </w:t>
      </w:r>
      <w:r w:rsidR="00FE2721">
        <w:rPr>
          <w:rFonts w:ascii="ITC Avant Garde" w:hAnsi="ITC Avant Garde" w:cs="Helvetica"/>
          <w:szCs w:val="21"/>
        </w:rPr>
        <w:t>la</w:t>
      </w:r>
      <w:r w:rsidRPr="00D03948">
        <w:rPr>
          <w:rFonts w:ascii="ITC Avant Garde" w:hAnsi="ITC Avant Garde"/>
          <w:szCs w:val="21"/>
        </w:rPr>
        <w:t xml:space="preserve"> competencia y libre concurrencia en los servicios</w:t>
      </w:r>
      <w:r w:rsidR="00FE2721">
        <w:rPr>
          <w:rFonts w:ascii="ITC Avant Garde" w:hAnsi="ITC Avant Garde"/>
          <w:szCs w:val="21"/>
        </w:rPr>
        <w:t xml:space="preserve"> que </w:t>
      </w:r>
      <w:r w:rsidR="00FE2721">
        <w:rPr>
          <w:rFonts w:ascii="ITC Avant Garde" w:hAnsi="ITC Avant Garde"/>
          <w:szCs w:val="21"/>
        </w:rPr>
        <w:lastRenderedPageBreak/>
        <w:t>requieren el uso del espectro radioeléctrico, dando</w:t>
      </w:r>
      <w:r w:rsidRPr="00D03948">
        <w:rPr>
          <w:rFonts w:ascii="ITC Avant Garde" w:hAnsi="ITC Avant Garde"/>
          <w:szCs w:val="21"/>
        </w:rPr>
        <w:t xml:space="preserve"> lugar a un uso eficiente del </w:t>
      </w:r>
      <w:r w:rsidR="00F45263">
        <w:rPr>
          <w:rFonts w:ascii="ITC Avant Garde" w:hAnsi="ITC Avant Garde"/>
          <w:szCs w:val="21"/>
        </w:rPr>
        <w:t>mismo</w:t>
      </w:r>
      <w:r w:rsidRPr="00D03948">
        <w:rPr>
          <w:rFonts w:ascii="ITC Avant Garde" w:hAnsi="ITC Avant Garde"/>
          <w:szCs w:val="21"/>
        </w:rPr>
        <w:t xml:space="preserve">, y, en consecuencia, a que un mayor número de </w:t>
      </w:r>
      <w:r w:rsidR="00FE2721">
        <w:rPr>
          <w:rFonts w:ascii="ITC Avant Garde" w:hAnsi="ITC Avant Garde"/>
          <w:szCs w:val="21"/>
        </w:rPr>
        <w:t xml:space="preserve">usuarios </w:t>
      </w:r>
      <w:r w:rsidRPr="00D03948">
        <w:rPr>
          <w:rFonts w:ascii="ITC Avant Garde" w:hAnsi="ITC Avant Garde"/>
          <w:szCs w:val="21"/>
        </w:rPr>
        <w:t>acceda</w:t>
      </w:r>
      <w:r w:rsidR="00FE2721">
        <w:rPr>
          <w:rFonts w:ascii="ITC Avant Garde" w:hAnsi="ITC Avant Garde"/>
          <w:szCs w:val="21"/>
        </w:rPr>
        <w:t xml:space="preserve"> a servicios </w:t>
      </w:r>
      <w:r w:rsidR="00705EEB">
        <w:rPr>
          <w:rFonts w:ascii="ITC Avant Garde" w:hAnsi="ITC Avant Garde"/>
          <w:szCs w:val="21"/>
        </w:rPr>
        <w:t>en</w:t>
      </w:r>
      <w:r w:rsidRPr="00D03948">
        <w:rPr>
          <w:rFonts w:ascii="ITC Avant Garde" w:hAnsi="ITC Avant Garde"/>
          <w:szCs w:val="21"/>
        </w:rPr>
        <w:t xml:space="preserve"> mejores términos de calidad y precio</w:t>
      </w:r>
      <w:r w:rsidRPr="00D03948">
        <w:rPr>
          <w:rFonts w:ascii="ITC Avant Garde" w:hAnsi="ITC Avant Garde"/>
          <w:szCs w:val="21"/>
          <w:vertAlign w:val="superscript"/>
        </w:rPr>
        <w:footnoteReference w:id="2"/>
      </w:r>
      <w:r w:rsidRPr="00D03948">
        <w:rPr>
          <w:rFonts w:ascii="ITC Avant Garde" w:hAnsi="ITC Avant Garde"/>
          <w:szCs w:val="21"/>
        </w:rPr>
        <w:t>.</w:t>
      </w:r>
    </w:p>
    <w:p w14:paraId="1D5C3211" w14:textId="77777777" w:rsidR="00F37C4D" w:rsidRPr="00D03948" w:rsidRDefault="00F37C4D" w:rsidP="00F003B2">
      <w:pPr>
        <w:autoSpaceDE w:val="0"/>
        <w:autoSpaceDN w:val="0"/>
        <w:adjustRightInd w:val="0"/>
        <w:spacing w:after="0" w:line="240" w:lineRule="auto"/>
        <w:contextualSpacing/>
        <w:jc w:val="both"/>
        <w:rPr>
          <w:rFonts w:ascii="ITC Avant Garde" w:hAnsi="ITC Avant Garde"/>
          <w:szCs w:val="21"/>
        </w:rPr>
      </w:pPr>
    </w:p>
    <w:p w14:paraId="74F97CAE" w14:textId="44FA523F" w:rsidR="00F37C4D" w:rsidRPr="00D03948" w:rsidRDefault="00F22D77" w:rsidP="00F003B2">
      <w:pPr>
        <w:autoSpaceDE w:val="0"/>
        <w:autoSpaceDN w:val="0"/>
        <w:adjustRightInd w:val="0"/>
        <w:spacing w:after="0" w:line="240" w:lineRule="auto"/>
        <w:contextualSpacing/>
        <w:jc w:val="both"/>
        <w:rPr>
          <w:rFonts w:ascii="ITC Avant Garde" w:hAnsi="ITC Avant Garde" w:cs="Helvetica"/>
          <w:szCs w:val="21"/>
        </w:rPr>
      </w:pPr>
      <w:r>
        <w:rPr>
          <w:rFonts w:ascii="ITC Avant Garde" w:hAnsi="ITC Avant Garde"/>
          <w:szCs w:val="21"/>
        </w:rPr>
        <w:t>E</w:t>
      </w:r>
      <w:r w:rsidR="00F37C4D" w:rsidRPr="00D03948">
        <w:rPr>
          <w:rFonts w:ascii="ITC Avant Garde" w:hAnsi="ITC Avant Garde"/>
          <w:szCs w:val="21"/>
        </w:rPr>
        <w:t xml:space="preserve">l </w:t>
      </w:r>
      <w:r w:rsidR="00030F1E">
        <w:rPr>
          <w:rFonts w:ascii="ITC Avant Garde" w:hAnsi="ITC Avant Garde"/>
          <w:szCs w:val="21"/>
        </w:rPr>
        <w:t>mercado secundario de e</w:t>
      </w:r>
      <w:r w:rsidR="00F37C4D" w:rsidRPr="00D03948">
        <w:rPr>
          <w:rFonts w:ascii="ITC Avant Garde" w:hAnsi="ITC Avant Garde"/>
          <w:szCs w:val="21"/>
        </w:rPr>
        <w:t xml:space="preserve">spectro </w:t>
      </w:r>
      <w:r w:rsidR="00030F1E">
        <w:rPr>
          <w:rFonts w:ascii="ITC Avant Garde" w:hAnsi="ITC Avant Garde"/>
          <w:szCs w:val="21"/>
        </w:rPr>
        <w:t>r</w:t>
      </w:r>
      <w:r w:rsidR="00F37C4D" w:rsidRPr="00D03948">
        <w:rPr>
          <w:rFonts w:ascii="ITC Avant Garde" w:hAnsi="ITC Avant Garde"/>
          <w:szCs w:val="21"/>
        </w:rPr>
        <w:t xml:space="preserve">adioeléctrico </w:t>
      </w:r>
      <w:r w:rsidR="00986CBA">
        <w:rPr>
          <w:rFonts w:ascii="ITC Avant Garde" w:hAnsi="ITC Avant Garde"/>
          <w:szCs w:val="21"/>
        </w:rPr>
        <w:t>es</w:t>
      </w:r>
      <w:r w:rsidR="00F37C4D" w:rsidRPr="00D03948">
        <w:rPr>
          <w:rFonts w:ascii="ITC Avant Garde" w:hAnsi="ITC Avant Garde"/>
          <w:szCs w:val="21"/>
        </w:rPr>
        <w:t xml:space="preserve"> de gran importancia por los beneficios de eficiencia económica y técnica </w:t>
      </w:r>
      <w:r w:rsidR="00EC6E4D">
        <w:rPr>
          <w:rFonts w:ascii="ITC Avant Garde" w:hAnsi="ITC Avant Garde"/>
          <w:szCs w:val="21"/>
        </w:rPr>
        <w:t xml:space="preserve">en el uso </w:t>
      </w:r>
      <w:r w:rsidR="00F37C4D" w:rsidRPr="00D03948">
        <w:rPr>
          <w:rFonts w:ascii="ITC Avant Garde" w:hAnsi="ITC Avant Garde"/>
          <w:szCs w:val="21"/>
        </w:rPr>
        <w:t>del espectro, entendiendo la eficiencia económica como el uso de un recurso escaso (espectro</w:t>
      </w:r>
      <w:r w:rsidR="00152C3A">
        <w:rPr>
          <w:rFonts w:ascii="ITC Avant Garde" w:hAnsi="ITC Avant Garde"/>
          <w:szCs w:val="21"/>
        </w:rPr>
        <w:t xml:space="preserve"> radioeléctrico</w:t>
      </w:r>
      <w:r w:rsidR="00F37C4D" w:rsidRPr="00D03948">
        <w:rPr>
          <w:rFonts w:ascii="ITC Avant Garde" w:hAnsi="ITC Avant Garde"/>
          <w:szCs w:val="21"/>
        </w:rPr>
        <w:t>)</w:t>
      </w:r>
      <w:r w:rsidR="00F37C4D">
        <w:rPr>
          <w:rFonts w:ascii="ITC Avant Garde" w:hAnsi="ITC Avant Garde"/>
          <w:szCs w:val="21"/>
        </w:rPr>
        <w:t>,</w:t>
      </w:r>
      <w:r w:rsidR="00F37C4D" w:rsidRPr="00D03948">
        <w:rPr>
          <w:rFonts w:ascii="ITC Avant Garde" w:hAnsi="ITC Avant Garde"/>
          <w:szCs w:val="21"/>
        </w:rPr>
        <w:t xml:space="preserve"> conforme lo requerido por la demanda de corto y mediano plazo de </w:t>
      </w:r>
      <w:r w:rsidR="00152C3A">
        <w:rPr>
          <w:rFonts w:ascii="ITC Avant Garde" w:hAnsi="ITC Avant Garde"/>
          <w:szCs w:val="21"/>
        </w:rPr>
        <w:t>éste</w:t>
      </w:r>
      <w:r w:rsidR="00213466">
        <w:rPr>
          <w:rFonts w:ascii="ITC Avant Garde" w:hAnsi="ITC Avant Garde"/>
          <w:szCs w:val="21"/>
        </w:rPr>
        <w:t>,</w:t>
      </w:r>
      <w:r w:rsidR="00F37C4D" w:rsidRPr="00D03948">
        <w:rPr>
          <w:rFonts w:ascii="ITC Avant Garde" w:hAnsi="ITC Avant Garde"/>
          <w:szCs w:val="21"/>
        </w:rPr>
        <w:t xml:space="preserve"> sin que existan elementos que restrinjan su oferta. En cuanto a la eficiencia técnica, </w:t>
      </w:r>
      <w:r w:rsidR="00152C3A">
        <w:rPr>
          <w:rFonts w:ascii="ITC Avant Garde" w:hAnsi="ITC Avant Garde"/>
          <w:szCs w:val="21"/>
        </w:rPr>
        <w:t xml:space="preserve">se refiere a </w:t>
      </w:r>
      <w:r w:rsidR="00F37C4D" w:rsidRPr="00D03948">
        <w:rPr>
          <w:rFonts w:ascii="ITC Avant Garde" w:hAnsi="ITC Avant Garde"/>
          <w:szCs w:val="21"/>
        </w:rPr>
        <w:t xml:space="preserve">maximizar el uso del espectro, es decir, utilizar la mayor cantidad posible de bandas de frecuencias asignadas en la prestación de </w:t>
      </w:r>
      <w:r w:rsidR="00EC6E4D">
        <w:rPr>
          <w:rFonts w:ascii="ITC Avant Garde" w:hAnsi="ITC Avant Garde"/>
          <w:szCs w:val="21"/>
        </w:rPr>
        <w:t xml:space="preserve">más y mejores </w:t>
      </w:r>
      <w:r w:rsidR="00F37C4D" w:rsidRPr="00D03948">
        <w:rPr>
          <w:rFonts w:ascii="ITC Avant Garde" w:hAnsi="ITC Avant Garde"/>
          <w:szCs w:val="21"/>
        </w:rPr>
        <w:t>servicios.</w:t>
      </w:r>
    </w:p>
    <w:p w14:paraId="22311C7E" w14:textId="77777777" w:rsidR="00F37C4D" w:rsidRPr="00D03948" w:rsidRDefault="00F37C4D" w:rsidP="00F003B2">
      <w:pPr>
        <w:spacing w:after="0" w:line="240" w:lineRule="auto"/>
        <w:contextualSpacing/>
        <w:jc w:val="both"/>
        <w:rPr>
          <w:rFonts w:ascii="ITC Avant Garde" w:hAnsi="ITC Avant Garde"/>
          <w:szCs w:val="21"/>
        </w:rPr>
      </w:pPr>
    </w:p>
    <w:p w14:paraId="511EDC39" w14:textId="4EB926B1" w:rsidR="00F37C4D" w:rsidRPr="00D03948" w:rsidRDefault="00F37C4D" w:rsidP="00F003B2">
      <w:pPr>
        <w:autoSpaceDE w:val="0"/>
        <w:autoSpaceDN w:val="0"/>
        <w:adjustRightInd w:val="0"/>
        <w:spacing w:after="0" w:line="240" w:lineRule="auto"/>
        <w:contextualSpacing/>
        <w:jc w:val="both"/>
        <w:rPr>
          <w:rFonts w:ascii="ITC Avant Garde" w:hAnsi="ITC Avant Garde" w:cs="Arial"/>
          <w:color w:val="000000"/>
          <w:szCs w:val="21"/>
        </w:rPr>
      </w:pPr>
      <w:r w:rsidRPr="00D03948">
        <w:rPr>
          <w:rFonts w:ascii="ITC Avant Garde" w:hAnsi="ITC Avant Garde" w:cs="Arial"/>
          <w:color w:val="000000"/>
          <w:szCs w:val="21"/>
        </w:rPr>
        <w:t xml:space="preserve">Al </w:t>
      </w:r>
      <w:r w:rsidR="00152C3A">
        <w:rPr>
          <w:rFonts w:ascii="ITC Avant Garde" w:hAnsi="ITC Avant Garde" w:cs="Arial"/>
          <w:color w:val="000000"/>
          <w:szCs w:val="21"/>
        </w:rPr>
        <w:t>regular</w:t>
      </w:r>
      <w:r w:rsidR="00152C3A" w:rsidRPr="00D03948">
        <w:rPr>
          <w:rFonts w:ascii="ITC Avant Garde" w:hAnsi="ITC Avant Garde" w:cs="Arial"/>
          <w:color w:val="000000"/>
          <w:szCs w:val="21"/>
        </w:rPr>
        <w:t xml:space="preserve"> </w:t>
      </w:r>
      <w:r w:rsidR="00030F1E">
        <w:rPr>
          <w:rFonts w:ascii="ITC Avant Garde" w:hAnsi="ITC Avant Garde" w:cs="Arial"/>
          <w:color w:val="000000"/>
          <w:szCs w:val="21"/>
        </w:rPr>
        <w:t>el mercado secundario de e</w:t>
      </w:r>
      <w:r w:rsidRPr="00D03948">
        <w:rPr>
          <w:rFonts w:ascii="ITC Avant Garde" w:hAnsi="ITC Avant Garde" w:cs="Arial"/>
          <w:color w:val="000000"/>
          <w:szCs w:val="21"/>
        </w:rPr>
        <w:t xml:space="preserve">spectro </w:t>
      </w:r>
      <w:r w:rsidR="00030F1E">
        <w:rPr>
          <w:rFonts w:ascii="ITC Avant Garde" w:hAnsi="ITC Avant Garde" w:cs="Arial"/>
          <w:color w:val="000000"/>
          <w:szCs w:val="21"/>
        </w:rPr>
        <w:t>r</w:t>
      </w:r>
      <w:r w:rsidRPr="00D03948">
        <w:rPr>
          <w:rFonts w:ascii="ITC Avant Garde" w:hAnsi="ITC Avant Garde" w:cs="Arial"/>
          <w:color w:val="000000"/>
          <w:szCs w:val="21"/>
        </w:rPr>
        <w:t xml:space="preserve">adioeléctrico, el Instituto debe </w:t>
      </w:r>
      <w:r w:rsidR="00594FE5">
        <w:rPr>
          <w:rFonts w:ascii="ITC Avant Garde" w:hAnsi="ITC Avant Garde" w:cs="Arial"/>
          <w:color w:val="000000"/>
          <w:szCs w:val="21"/>
        </w:rPr>
        <w:t>prevenir</w:t>
      </w:r>
      <w:r w:rsidR="00594FE5" w:rsidRPr="00D03948">
        <w:rPr>
          <w:rFonts w:ascii="ITC Avant Garde" w:hAnsi="ITC Avant Garde" w:cs="Arial"/>
          <w:color w:val="000000"/>
          <w:szCs w:val="21"/>
        </w:rPr>
        <w:t xml:space="preserve"> </w:t>
      </w:r>
      <w:r w:rsidRPr="00D03948">
        <w:rPr>
          <w:rFonts w:ascii="ITC Avant Garde" w:hAnsi="ITC Avant Garde" w:cs="Arial"/>
          <w:color w:val="000000"/>
          <w:szCs w:val="21"/>
        </w:rPr>
        <w:t xml:space="preserve">fenómenos </w:t>
      </w:r>
      <w:r w:rsidRPr="001818EF">
        <w:rPr>
          <w:rFonts w:ascii="ITC Avant Garde" w:hAnsi="ITC Avant Garde" w:cs="Arial"/>
          <w:color w:val="000000"/>
          <w:szCs w:val="21"/>
        </w:rPr>
        <w:t>de concentración</w:t>
      </w:r>
      <w:r w:rsidR="00F655AB" w:rsidRPr="00F655AB">
        <w:rPr>
          <w:rFonts w:ascii="ITC Avant Garde" w:hAnsi="ITC Avant Garde" w:cs="Arial"/>
          <w:color w:val="000000"/>
          <w:szCs w:val="21"/>
        </w:rPr>
        <w:t xml:space="preserve"> </w:t>
      </w:r>
      <w:r w:rsidR="00594FE5">
        <w:rPr>
          <w:rFonts w:ascii="ITC Avant Garde" w:hAnsi="ITC Avant Garde" w:cs="Arial"/>
          <w:color w:val="000000"/>
          <w:szCs w:val="21"/>
        </w:rPr>
        <w:t xml:space="preserve">o </w:t>
      </w:r>
      <w:r w:rsidR="00F655AB" w:rsidRPr="001818EF">
        <w:rPr>
          <w:rFonts w:ascii="ITC Avant Garde" w:hAnsi="ITC Avant Garde" w:cs="Arial"/>
          <w:color w:val="000000"/>
          <w:szCs w:val="21"/>
        </w:rPr>
        <w:t>propiedad cruzada</w:t>
      </w:r>
      <w:r w:rsidR="00F655AB">
        <w:rPr>
          <w:rFonts w:ascii="ITC Avant Garde" w:hAnsi="ITC Avant Garde" w:cs="Arial"/>
          <w:color w:val="000000"/>
          <w:szCs w:val="21"/>
        </w:rPr>
        <w:t xml:space="preserve"> contrarios al interés público o de</w:t>
      </w:r>
      <w:r w:rsidRPr="001818EF">
        <w:rPr>
          <w:rFonts w:ascii="ITC Avant Garde" w:hAnsi="ITC Avant Garde" w:cs="Arial"/>
          <w:color w:val="000000"/>
          <w:szCs w:val="21"/>
        </w:rPr>
        <w:t xml:space="preserve"> acaparamiento</w:t>
      </w:r>
      <w:r>
        <w:rPr>
          <w:rFonts w:ascii="ITC Avant Garde" w:hAnsi="ITC Avant Garde" w:cs="Arial"/>
          <w:color w:val="000000"/>
          <w:szCs w:val="21"/>
        </w:rPr>
        <w:t>, mediante</w:t>
      </w:r>
      <w:r w:rsidRPr="00D03948">
        <w:rPr>
          <w:rFonts w:ascii="ITC Avant Garde" w:hAnsi="ITC Avant Garde" w:cs="Arial"/>
          <w:color w:val="000000"/>
          <w:szCs w:val="21"/>
        </w:rPr>
        <w:t xml:space="preserve"> los mecanismos regulatorios </w:t>
      </w:r>
      <w:r w:rsidR="00594FE5">
        <w:rPr>
          <w:rFonts w:ascii="ITC Avant Garde" w:hAnsi="ITC Avant Garde" w:cs="Arial"/>
          <w:color w:val="000000"/>
          <w:szCs w:val="21"/>
        </w:rPr>
        <w:t>previstos en las leyes y cuya aplicación sea competencia del Instituto</w:t>
      </w:r>
      <w:r w:rsidRPr="00D03948">
        <w:rPr>
          <w:rFonts w:ascii="ITC Avant Garde" w:hAnsi="ITC Avant Garde" w:cs="Arial"/>
          <w:color w:val="000000"/>
          <w:szCs w:val="21"/>
        </w:rPr>
        <w:t>.</w:t>
      </w:r>
    </w:p>
    <w:p w14:paraId="27F3575E" w14:textId="77777777" w:rsidR="00F37C4D" w:rsidRDefault="00F37C4D" w:rsidP="00F003B2">
      <w:pPr>
        <w:spacing w:after="0" w:line="240" w:lineRule="auto"/>
        <w:contextualSpacing/>
        <w:jc w:val="both"/>
        <w:rPr>
          <w:rFonts w:ascii="ITC Avant Garde" w:hAnsi="ITC Avant Garde"/>
          <w:szCs w:val="21"/>
        </w:rPr>
      </w:pPr>
    </w:p>
    <w:p w14:paraId="74E9AEFD" w14:textId="1AE1FCCB" w:rsidR="00594FE5" w:rsidRDefault="008A1A3A" w:rsidP="00594FE5">
      <w:pPr>
        <w:autoSpaceDE w:val="0"/>
        <w:autoSpaceDN w:val="0"/>
        <w:adjustRightInd w:val="0"/>
        <w:spacing w:after="0" w:line="240" w:lineRule="auto"/>
        <w:contextualSpacing/>
        <w:jc w:val="both"/>
        <w:rPr>
          <w:rFonts w:ascii="ITC Avant Garde" w:hAnsi="ITC Avant Garde" w:cs="Arial"/>
          <w:color w:val="000000"/>
          <w:szCs w:val="21"/>
        </w:rPr>
      </w:pPr>
      <w:r w:rsidRPr="00A76248">
        <w:rPr>
          <w:rFonts w:ascii="ITC Avant Garde" w:hAnsi="ITC Avant Garde" w:cs="Arial"/>
          <w:color w:val="000000"/>
          <w:szCs w:val="21"/>
        </w:rPr>
        <w:t>En términos de la</w:t>
      </w:r>
      <w:r w:rsidRPr="008A1A3A">
        <w:rPr>
          <w:rFonts w:ascii="ITC Avant Garde" w:hAnsi="ITC Avant Garde" w:cs="Arial"/>
          <w:color w:val="000000"/>
          <w:szCs w:val="21"/>
        </w:rPr>
        <w:t xml:space="preserve"> </w:t>
      </w:r>
      <w:r w:rsidRPr="00A76248">
        <w:rPr>
          <w:rFonts w:ascii="ITC Avant Garde" w:hAnsi="ITC Avant Garde" w:cs="Arial"/>
          <w:color w:val="000000"/>
          <w:szCs w:val="21"/>
        </w:rPr>
        <w:t>L</w:t>
      </w:r>
      <w:r>
        <w:rPr>
          <w:rFonts w:ascii="ITC Avant Garde" w:hAnsi="ITC Avant Garde" w:cs="Arial"/>
          <w:color w:val="000000"/>
          <w:szCs w:val="21"/>
        </w:rPr>
        <w:t>ey Federal de Competencia Económica (L</w:t>
      </w:r>
      <w:r w:rsidRPr="00A76248">
        <w:rPr>
          <w:rFonts w:ascii="ITC Avant Garde" w:hAnsi="ITC Avant Garde" w:cs="Arial"/>
          <w:color w:val="000000"/>
          <w:szCs w:val="21"/>
        </w:rPr>
        <w:t>FCE</w:t>
      </w:r>
      <w:r>
        <w:rPr>
          <w:rFonts w:ascii="ITC Avant Garde" w:hAnsi="ITC Avant Garde" w:cs="Arial"/>
          <w:color w:val="000000"/>
          <w:szCs w:val="21"/>
        </w:rPr>
        <w:t>)</w:t>
      </w:r>
      <w:r w:rsidRPr="00A76248">
        <w:rPr>
          <w:rFonts w:ascii="ITC Avant Garde" w:hAnsi="ITC Avant Garde" w:cs="Arial"/>
          <w:color w:val="000000"/>
          <w:szCs w:val="21"/>
        </w:rPr>
        <w:t xml:space="preserve">, el arrendamiento constituye una </w:t>
      </w:r>
      <w:r w:rsidRPr="00763C06">
        <w:rPr>
          <w:rFonts w:ascii="ITC Avant Garde" w:hAnsi="ITC Avant Garde" w:cs="Arial"/>
          <w:color w:val="000000"/>
          <w:szCs w:val="21"/>
        </w:rPr>
        <w:t xml:space="preserve">concentración toda vez que </w:t>
      </w:r>
      <w:r w:rsidR="00E6663C">
        <w:rPr>
          <w:rFonts w:ascii="ITC Avant Garde" w:hAnsi="ITC Avant Garde" w:cs="Arial"/>
          <w:color w:val="000000"/>
          <w:szCs w:val="21"/>
        </w:rPr>
        <w:t>los sujetos que intervienen en este acto</w:t>
      </w:r>
      <w:r w:rsidRPr="00A76248">
        <w:rPr>
          <w:rFonts w:ascii="ITC Avant Garde" w:hAnsi="ITC Avant Garde" w:cs="Arial"/>
          <w:color w:val="000000"/>
          <w:szCs w:val="21"/>
        </w:rPr>
        <w:t xml:space="preserve"> </w:t>
      </w:r>
      <w:r w:rsidR="00E6663C">
        <w:rPr>
          <w:rFonts w:ascii="ITC Avant Garde" w:hAnsi="ITC Avant Garde" w:cs="Arial"/>
          <w:color w:val="000000"/>
          <w:szCs w:val="21"/>
        </w:rPr>
        <w:t>son</w:t>
      </w:r>
      <w:r w:rsidRPr="00A76248">
        <w:rPr>
          <w:rFonts w:ascii="ITC Avant Garde" w:hAnsi="ITC Avant Garde" w:cs="Arial"/>
          <w:color w:val="000000"/>
          <w:szCs w:val="21"/>
        </w:rPr>
        <w:t xml:space="preserve"> </w:t>
      </w:r>
      <w:r>
        <w:rPr>
          <w:rFonts w:ascii="ITC Avant Garde" w:hAnsi="ITC Avant Garde" w:cs="Arial"/>
          <w:color w:val="000000"/>
          <w:szCs w:val="21"/>
        </w:rPr>
        <w:t>a</w:t>
      </w:r>
      <w:r w:rsidRPr="00A76248">
        <w:rPr>
          <w:rFonts w:ascii="ITC Avant Garde" w:hAnsi="ITC Avant Garde" w:cs="Arial"/>
          <w:color w:val="000000"/>
          <w:szCs w:val="21"/>
        </w:rPr>
        <w:t>gente</w:t>
      </w:r>
      <w:r w:rsidR="00E6663C">
        <w:rPr>
          <w:rFonts w:ascii="ITC Avant Garde" w:hAnsi="ITC Avant Garde" w:cs="Arial"/>
          <w:color w:val="000000"/>
          <w:szCs w:val="21"/>
        </w:rPr>
        <w:t>s</w:t>
      </w:r>
      <w:r w:rsidRPr="00A76248">
        <w:rPr>
          <w:rFonts w:ascii="ITC Avant Garde" w:hAnsi="ITC Avant Garde" w:cs="Arial"/>
          <w:color w:val="000000"/>
          <w:szCs w:val="21"/>
        </w:rPr>
        <w:t xml:space="preserve"> </w:t>
      </w:r>
      <w:r>
        <w:rPr>
          <w:rFonts w:ascii="ITC Avant Garde" w:hAnsi="ITC Avant Garde" w:cs="Arial"/>
          <w:color w:val="000000"/>
          <w:szCs w:val="21"/>
        </w:rPr>
        <w:t>e</w:t>
      </w:r>
      <w:r w:rsidRPr="00A76248">
        <w:rPr>
          <w:rFonts w:ascii="ITC Avant Garde" w:hAnsi="ITC Avant Garde" w:cs="Arial"/>
          <w:color w:val="000000"/>
          <w:szCs w:val="21"/>
        </w:rPr>
        <w:t>conómico</w:t>
      </w:r>
      <w:r w:rsidR="00E6663C">
        <w:rPr>
          <w:rFonts w:ascii="ITC Avant Garde" w:hAnsi="ITC Avant Garde" w:cs="Arial"/>
          <w:color w:val="000000"/>
          <w:szCs w:val="21"/>
        </w:rPr>
        <w:t>s, y bajo esta consideración, el arrendatario</w:t>
      </w:r>
      <w:r>
        <w:rPr>
          <w:rFonts w:ascii="ITC Avant Garde" w:hAnsi="ITC Avant Garde" w:cs="Arial"/>
          <w:color w:val="000000"/>
          <w:szCs w:val="21"/>
        </w:rPr>
        <w:t>, a través del arrendamiento, une a sus activos el espectro radioeléctrico originalmente concesionado a otro agente económico, el arrendador</w:t>
      </w:r>
      <w:r>
        <w:rPr>
          <w:rStyle w:val="Refdenotaalpie"/>
          <w:rFonts w:ascii="ITC Avant Garde" w:hAnsi="ITC Avant Garde" w:cs="Arial"/>
          <w:color w:val="000000"/>
          <w:szCs w:val="21"/>
        </w:rPr>
        <w:footnoteReference w:id="3"/>
      </w:r>
      <w:r>
        <w:rPr>
          <w:rFonts w:ascii="ITC Avant Garde" w:hAnsi="ITC Avant Garde" w:cs="Arial"/>
          <w:color w:val="000000"/>
          <w:szCs w:val="21"/>
        </w:rPr>
        <w:t xml:space="preserve">. En su </w:t>
      </w:r>
      <w:r w:rsidR="00E6663C">
        <w:rPr>
          <w:rFonts w:ascii="ITC Avant Garde" w:hAnsi="ITC Avant Garde" w:cs="Arial"/>
          <w:color w:val="000000"/>
          <w:szCs w:val="21"/>
        </w:rPr>
        <w:t xml:space="preserve">carácter </w:t>
      </w:r>
      <w:r>
        <w:rPr>
          <w:rFonts w:ascii="ITC Avant Garde" w:hAnsi="ITC Avant Garde" w:cs="Arial"/>
          <w:color w:val="000000"/>
          <w:szCs w:val="21"/>
        </w:rPr>
        <w:t>de concentraciones, deben sujetarse a un procedimiento de notificación para solicitar la autorización del Pleno del Instituto antes de su realización</w:t>
      </w:r>
      <w:r>
        <w:rPr>
          <w:rStyle w:val="Refdenotaalpie"/>
          <w:rFonts w:ascii="ITC Avant Garde" w:hAnsi="ITC Avant Garde" w:cs="Arial"/>
          <w:color w:val="000000"/>
          <w:szCs w:val="21"/>
        </w:rPr>
        <w:footnoteReference w:id="4"/>
      </w:r>
      <w:r>
        <w:rPr>
          <w:rFonts w:ascii="ITC Avant Garde" w:hAnsi="ITC Avant Garde" w:cs="Arial"/>
          <w:color w:val="000000"/>
          <w:szCs w:val="21"/>
        </w:rPr>
        <w:t>, cuando el valor del activo acumulado o el monto acordado entre las partes actualice los umbrales establecidos en el mismo ordenamiento</w:t>
      </w:r>
      <w:r>
        <w:rPr>
          <w:rStyle w:val="Refdenotaalpie"/>
          <w:rFonts w:ascii="ITC Avant Garde" w:hAnsi="ITC Avant Garde" w:cs="Arial"/>
          <w:color w:val="000000"/>
          <w:szCs w:val="21"/>
        </w:rPr>
        <w:footnoteReference w:id="5"/>
      </w:r>
      <w:r>
        <w:rPr>
          <w:rFonts w:ascii="ITC Avant Garde" w:hAnsi="ITC Avant Garde" w:cs="Arial"/>
          <w:color w:val="000000"/>
          <w:szCs w:val="21"/>
        </w:rPr>
        <w:t>.</w:t>
      </w:r>
    </w:p>
    <w:p w14:paraId="43EB2475" w14:textId="77777777" w:rsidR="00594FE5" w:rsidRDefault="00594FE5" w:rsidP="00594FE5">
      <w:pPr>
        <w:autoSpaceDE w:val="0"/>
        <w:autoSpaceDN w:val="0"/>
        <w:adjustRightInd w:val="0"/>
        <w:spacing w:after="0" w:line="240" w:lineRule="auto"/>
        <w:contextualSpacing/>
        <w:jc w:val="both"/>
        <w:rPr>
          <w:rFonts w:ascii="ITC Avant Garde" w:hAnsi="ITC Avant Garde" w:cs="Arial"/>
          <w:color w:val="000000"/>
          <w:szCs w:val="21"/>
        </w:rPr>
      </w:pPr>
    </w:p>
    <w:p w14:paraId="2EE282C8" w14:textId="6BB3BE9A" w:rsidR="00594FE5" w:rsidRDefault="004D08BD" w:rsidP="00594FE5">
      <w:pPr>
        <w:autoSpaceDE w:val="0"/>
        <w:autoSpaceDN w:val="0"/>
        <w:adjustRightInd w:val="0"/>
        <w:spacing w:after="0" w:line="240" w:lineRule="auto"/>
        <w:contextualSpacing/>
        <w:jc w:val="both"/>
        <w:rPr>
          <w:rFonts w:ascii="ITC Avant Garde" w:hAnsi="ITC Avant Garde" w:cs="Arial"/>
          <w:color w:val="000000"/>
          <w:szCs w:val="21"/>
        </w:rPr>
      </w:pPr>
      <w:r>
        <w:rPr>
          <w:rFonts w:ascii="ITC Avant Garde" w:hAnsi="ITC Avant Garde" w:cs="Arial"/>
          <w:color w:val="000000"/>
          <w:szCs w:val="21"/>
        </w:rPr>
        <w:t xml:space="preserve">El Instituto cuenta con dos procedimientos para analizar los efectos del arrendamiento de espectro radioeléctrico en materia de competencia económica: el </w:t>
      </w:r>
      <w:r w:rsidRPr="00763C06">
        <w:rPr>
          <w:rFonts w:ascii="ITC Avant Garde" w:hAnsi="ITC Avant Garde" w:cs="Arial"/>
          <w:color w:val="000000"/>
          <w:szCs w:val="21"/>
        </w:rPr>
        <w:t xml:space="preserve">que deriva del análisis de competencia previsto en </w:t>
      </w:r>
      <w:r w:rsidR="008E509A">
        <w:rPr>
          <w:rFonts w:ascii="ITC Avant Garde" w:hAnsi="ITC Avant Garde" w:cs="Arial"/>
          <w:color w:val="000000"/>
          <w:szCs w:val="21"/>
        </w:rPr>
        <w:t xml:space="preserve">el </w:t>
      </w:r>
      <w:r w:rsidRPr="00763C06">
        <w:rPr>
          <w:rFonts w:ascii="ITC Avant Garde" w:hAnsi="ITC Avant Garde" w:cs="Arial"/>
          <w:color w:val="000000"/>
          <w:szCs w:val="21"/>
        </w:rPr>
        <w:t>artículo 104 de la Ley</w:t>
      </w:r>
      <w:r w:rsidR="00705EEB">
        <w:rPr>
          <w:rFonts w:ascii="ITC Avant Garde" w:hAnsi="ITC Avant Garde" w:cs="Arial"/>
          <w:color w:val="000000"/>
          <w:szCs w:val="21"/>
        </w:rPr>
        <w:t>,</w:t>
      </w:r>
      <w:r>
        <w:rPr>
          <w:rFonts w:ascii="ITC Avant Garde" w:hAnsi="ITC Avant Garde" w:cs="Arial"/>
          <w:color w:val="000000"/>
          <w:szCs w:val="21"/>
        </w:rPr>
        <w:t xml:space="preserve"> y el general, de notificación previa de concentraciones previsto en la LFCE. No obstante lo anterior, las normas procesales deben </w:t>
      </w:r>
      <w:r w:rsidRPr="00F36299">
        <w:rPr>
          <w:rFonts w:ascii="ITC Avant Garde" w:hAnsi="ITC Avant Garde" w:cs="Arial"/>
          <w:color w:val="000000"/>
          <w:szCs w:val="21"/>
        </w:rPr>
        <w:t>interpreta</w:t>
      </w:r>
      <w:r>
        <w:rPr>
          <w:rFonts w:ascii="ITC Avant Garde" w:hAnsi="ITC Avant Garde" w:cs="Arial"/>
          <w:color w:val="000000"/>
          <w:szCs w:val="21"/>
        </w:rPr>
        <w:t>rse b</w:t>
      </w:r>
      <w:r w:rsidRPr="00F36299">
        <w:rPr>
          <w:rFonts w:ascii="ITC Avant Garde" w:hAnsi="ITC Avant Garde" w:cs="Arial"/>
          <w:color w:val="000000"/>
          <w:szCs w:val="21"/>
        </w:rPr>
        <w:t xml:space="preserve">ajo la </w:t>
      </w:r>
      <w:r>
        <w:rPr>
          <w:rFonts w:ascii="ITC Avant Garde" w:hAnsi="ITC Avant Garde" w:cs="Arial"/>
          <w:color w:val="000000"/>
          <w:szCs w:val="21"/>
        </w:rPr>
        <w:t>óptica de los derechos humanos y, por tanto, en aras de brindar certeza y seguridad jurídica y permitir e</w:t>
      </w:r>
      <w:r w:rsidRPr="00F36299">
        <w:rPr>
          <w:rFonts w:ascii="ITC Avant Garde" w:hAnsi="ITC Avant Garde" w:cs="Arial"/>
          <w:color w:val="000000"/>
          <w:szCs w:val="21"/>
        </w:rPr>
        <w:t xml:space="preserve">l acceso </w:t>
      </w:r>
      <w:r>
        <w:rPr>
          <w:rFonts w:ascii="ITC Avant Garde" w:hAnsi="ITC Avant Garde" w:cs="Arial"/>
          <w:color w:val="000000"/>
          <w:szCs w:val="21"/>
        </w:rPr>
        <w:t xml:space="preserve">oportuno, </w:t>
      </w:r>
      <w:r w:rsidRPr="00F36299">
        <w:rPr>
          <w:rFonts w:ascii="ITC Avant Garde" w:hAnsi="ITC Avant Garde" w:cs="Arial"/>
          <w:color w:val="000000"/>
          <w:szCs w:val="21"/>
        </w:rPr>
        <w:t>efectivo</w:t>
      </w:r>
      <w:r>
        <w:rPr>
          <w:rFonts w:ascii="ITC Avant Garde" w:hAnsi="ITC Avant Garde" w:cs="Arial"/>
          <w:color w:val="000000"/>
          <w:szCs w:val="21"/>
        </w:rPr>
        <w:t xml:space="preserve"> y expedito </w:t>
      </w:r>
      <w:r w:rsidRPr="00F36299">
        <w:rPr>
          <w:rFonts w:ascii="ITC Avant Garde" w:hAnsi="ITC Avant Garde" w:cs="Arial"/>
          <w:color w:val="000000"/>
          <w:szCs w:val="21"/>
        </w:rPr>
        <w:t>a la justicia</w:t>
      </w:r>
      <w:r>
        <w:rPr>
          <w:rFonts w:ascii="ITC Avant Garde" w:hAnsi="ITC Avant Garde" w:cs="Arial"/>
          <w:color w:val="000000"/>
          <w:szCs w:val="21"/>
        </w:rPr>
        <w:t>, no es necesario sujetar el mismo acto a dos procedimientos distintos cuyo trámite, evaluación y resolución competen a la misma autoridad</w:t>
      </w:r>
      <w:r w:rsidR="00594FE5">
        <w:rPr>
          <w:rFonts w:ascii="ITC Avant Garde" w:hAnsi="ITC Avant Garde" w:cs="Arial"/>
          <w:color w:val="000000"/>
          <w:szCs w:val="21"/>
        </w:rPr>
        <w:t>.</w:t>
      </w:r>
    </w:p>
    <w:p w14:paraId="42C00A2C" w14:textId="77777777" w:rsidR="00594FE5" w:rsidRDefault="00594FE5" w:rsidP="00594FE5">
      <w:pPr>
        <w:autoSpaceDE w:val="0"/>
        <w:autoSpaceDN w:val="0"/>
        <w:adjustRightInd w:val="0"/>
        <w:spacing w:after="0" w:line="240" w:lineRule="auto"/>
        <w:contextualSpacing/>
        <w:jc w:val="both"/>
        <w:rPr>
          <w:rFonts w:ascii="ITC Avant Garde" w:hAnsi="ITC Avant Garde" w:cs="Arial"/>
          <w:color w:val="000000"/>
          <w:szCs w:val="21"/>
        </w:rPr>
      </w:pPr>
    </w:p>
    <w:p w14:paraId="2C665D66" w14:textId="6AABC632" w:rsidR="00335B16" w:rsidRDefault="00335B16" w:rsidP="00335B16">
      <w:pPr>
        <w:autoSpaceDE w:val="0"/>
        <w:autoSpaceDN w:val="0"/>
        <w:adjustRightInd w:val="0"/>
        <w:spacing w:after="0" w:line="240" w:lineRule="auto"/>
        <w:contextualSpacing/>
        <w:jc w:val="both"/>
        <w:rPr>
          <w:rFonts w:ascii="ITC Avant Garde" w:hAnsi="ITC Avant Garde" w:cs="Arial"/>
          <w:color w:val="000000"/>
          <w:szCs w:val="21"/>
        </w:rPr>
      </w:pPr>
      <w:r>
        <w:rPr>
          <w:rFonts w:ascii="ITC Avant Garde" w:hAnsi="ITC Avant Garde" w:cs="Arial"/>
          <w:color w:val="000000"/>
          <w:szCs w:val="21"/>
        </w:rPr>
        <w:t>Estos principios están plasmados en la Ley y sirvieron de base en su elaboración. La Ley establece que l</w:t>
      </w:r>
      <w:r w:rsidRPr="00A37DF5">
        <w:rPr>
          <w:rFonts w:ascii="ITC Avant Garde" w:hAnsi="ITC Avant Garde" w:cs="Arial"/>
          <w:color w:val="000000"/>
          <w:szCs w:val="21"/>
        </w:rPr>
        <w:t>os f</w:t>
      </w:r>
      <w:r>
        <w:rPr>
          <w:rFonts w:ascii="ITC Avant Garde" w:hAnsi="ITC Avant Garde" w:cs="Arial"/>
          <w:color w:val="000000"/>
          <w:szCs w:val="21"/>
        </w:rPr>
        <w:t>uncionarios del Instituto debe</w:t>
      </w:r>
      <w:r w:rsidRPr="00A37DF5">
        <w:rPr>
          <w:rFonts w:ascii="ITC Avant Garde" w:hAnsi="ITC Avant Garde" w:cs="Arial"/>
          <w:color w:val="000000"/>
          <w:szCs w:val="21"/>
        </w:rPr>
        <w:t>n guiarse por los principios de autonomía, legalidad, objetividad,</w:t>
      </w:r>
      <w:r>
        <w:rPr>
          <w:rFonts w:ascii="ITC Avant Garde" w:hAnsi="ITC Avant Garde" w:cs="Arial"/>
          <w:color w:val="000000"/>
          <w:szCs w:val="21"/>
        </w:rPr>
        <w:t xml:space="preserve"> </w:t>
      </w:r>
      <w:r w:rsidRPr="00A37DF5">
        <w:rPr>
          <w:rFonts w:ascii="ITC Avant Garde" w:hAnsi="ITC Avant Garde" w:cs="Arial"/>
          <w:color w:val="000000"/>
          <w:szCs w:val="21"/>
        </w:rPr>
        <w:t xml:space="preserve">imparcialidad, certeza, eficiencia, eficacia, </w:t>
      </w:r>
      <w:r w:rsidRPr="00A37DF5">
        <w:rPr>
          <w:rFonts w:ascii="ITC Avant Garde" w:hAnsi="ITC Avant Garde" w:cs="Arial"/>
          <w:color w:val="000000"/>
          <w:szCs w:val="21"/>
        </w:rPr>
        <w:lastRenderedPageBreak/>
        <w:t>transparencia y rendición de cuentas</w:t>
      </w:r>
      <w:r>
        <w:rPr>
          <w:rStyle w:val="Refdenotaalpie"/>
          <w:rFonts w:ascii="ITC Avant Garde" w:hAnsi="ITC Avant Garde" w:cs="Arial"/>
          <w:color w:val="000000"/>
          <w:szCs w:val="21"/>
        </w:rPr>
        <w:footnoteReference w:id="6"/>
      </w:r>
      <w:r>
        <w:rPr>
          <w:rFonts w:ascii="ITC Avant Garde" w:hAnsi="ITC Avant Garde" w:cs="Arial"/>
          <w:color w:val="000000"/>
          <w:szCs w:val="21"/>
        </w:rPr>
        <w:t>.</w:t>
      </w:r>
      <w:r w:rsidRPr="00A37DF5">
        <w:rPr>
          <w:rFonts w:ascii="ITC Avant Garde" w:hAnsi="ITC Avant Garde" w:cs="Arial"/>
          <w:color w:val="000000"/>
          <w:szCs w:val="21"/>
        </w:rPr>
        <w:t xml:space="preserve"> </w:t>
      </w:r>
      <w:r>
        <w:rPr>
          <w:rFonts w:ascii="ITC Avant Garde" w:hAnsi="ITC Avant Garde" w:cs="Arial"/>
          <w:color w:val="000000"/>
          <w:szCs w:val="21"/>
        </w:rPr>
        <w:t>Por otra parte, uno de los propósitos centrales de la reforma constitucional consiste en consolidar un régimen regulatorio plenamente convergente que brinde al Instituto las herramientas necesarias para ser un regulador eficaz en los sectores de telecomunicaciones y radiodifusión</w:t>
      </w:r>
      <w:r>
        <w:rPr>
          <w:rStyle w:val="Refdenotaalpie"/>
          <w:rFonts w:ascii="ITC Avant Garde" w:hAnsi="ITC Avant Garde" w:cs="Arial"/>
          <w:color w:val="000000"/>
          <w:szCs w:val="21"/>
        </w:rPr>
        <w:footnoteReference w:id="7"/>
      </w:r>
      <w:r>
        <w:rPr>
          <w:rFonts w:ascii="ITC Avant Garde" w:hAnsi="ITC Avant Garde" w:cs="Arial"/>
          <w:color w:val="000000"/>
          <w:szCs w:val="21"/>
        </w:rPr>
        <w:t>.</w:t>
      </w:r>
    </w:p>
    <w:p w14:paraId="6E19E539" w14:textId="77777777" w:rsidR="00335B16" w:rsidRDefault="00335B16" w:rsidP="00335B16">
      <w:pPr>
        <w:autoSpaceDE w:val="0"/>
        <w:autoSpaceDN w:val="0"/>
        <w:adjustRightInd w:val="0"/>
        <w:spacing w:after="0" w:line="240" w:lineRule="auto"/>
        <w:contextualSpacing/>
        <w:jc w:val="both"/>
        <w:rPr>
          <w:rFonts w:ascii="ITC Avant Garde" w:hAnsi="ITC Avant Garde" w:cs="Arial"/>
          <w:color w:val="000000"/>
          <w:szCs w:val="21"/>
        </w:rPr>
      </w:pPr>
    </w:p>
    <w:p w14:paraId="727BAD5F" w14:textId="7897E4B5" w:rsidR="00335B16" w:rsidRDefault="00335B16" w:rsidP="00335B16">
      <w:pPr>
        <w:spacing w:after="0" w:line="240" w:lineRule="auto"/>
        <w:contextualSpacing/>
        <w:jc w:val="both"/>
        <w:rPr>
          <w:rFonts w:ascii="ITC Avant Garde" w:hAnsi="ITC Avant Garde" w:cs="Arial"/>
          <w:color w:val="000000"/>
          <w:szCs w:val="21"/>
        </w:rPr>
      </w:pPr>
      <w:r>
        <w:rPr>
          <w:rFonts w:ascii="ITC Avant Garde" w:hAnsi="ITC Avant Garde" w:cs="Arial"/>
          <w:color w:val="000000"/>
          <w:szCs w:val="21"/>
        </w:rPr>
        <w:t xml:space="preserve">En suma, la economía procesal y la convergencia regulatoria resultan necesarias para una actuación eficiente, eficaz, oportuna y que brinde certeza jurídica a los regulados que, a su vez, impulse el desarrollo del mercado secundario de espectro radioeléctrico y aporte </w:t>
      </w:r>
      <w:r w:rsidRPr="00C22E7F">
        <w:rPr>
          <w:rFonts w:ascii="ITC Avant Garde" w:eastAsia="Arial Unicode MS" w:hAnsi="ITC Avant Garde" w:cs="Times"/>
          <w:color w:val="000000" w:themeColor="text1"/>
          <w:szCs w:val="21"/>
          <w:bdr w:val="nil"/>
          <w:lang w:eastAsia="es-MX"/>
        </w:rPr>
        <w:t>flexibilidad, agilidad y dinamismo a la gestión del espectro radioeléctrico</w:t>
      </w:r>
      <w:r>
        <w:rPr>
          <w:rFonts w:ascii="ITC Avant Garde" w:hAnsi="ITC Avant Garde" w:cs="Arial"/>
          <w:color w:val="000000"/>
          <w:szCs w:val="21"/>
        </w:rPr>
        <w:t xml:space="preserve">. Por ello, al momento de evaluar las solicitudes de arrendamiento de espectro radioeléctrico, el Instituto incluirá el análisis en materia de competencia económica que corresponde al previsto en la </w:t>
      </w:r>
      <w:r w:rsidR="008E509A">
        <w:rPr>
          <w:rFonts w:ascii="ITC Avant Garde" w:hAnsi="ITC Avant Garde" w:cs="Arial"/>
          <w:color w:val="000000"/>
          <w:szCs w:val="21"/>
        </w:rPr>
        <w:t xml:space="preserve">Ley </w:t>
      </w:r>
      <w:r>
        <w:rPr>
          <w:rFonts w:ascii="ITC Avant Garde" w:hAnsi="ITC Avant Garde" w:cs="Arial"/>
          <w:color w:val="000000"/>
          <w:szCs w:val="21"/>
        </w:rPr>
        <w:t xml:space="preserve">y, en consecuencia, no será necesario que las partes deban agotar el procedimiento de notificación previa de concentraciones previsto en la LFCE, únicamente por lo que corresponda al espectro radioeléctrico involucrado. Lo anterior en el entendido que la obligación de solicitar una autorización previa del Instituto, como regulador sectorial en términos de la Ley y como autoridad de competencia económica en términos de la </w:t>
      </w:r>
      <w:r w:rsidRPr="003B1EBE">
        <w:rPr>
          <w:rFonts w:ascii="ITC Avant Garde" w:hAnsi="ITC Avant Garde" w:cs="Arial"/>
          <w:color w:val="000000"/>
          <w:szCs w:val="21"/>
        </w:rPr>
        <w:t>LFCE, queda satisfecha a través del p</w:t>
      </w:r>
      <w:r w:rsidRPr="00763C06">
        <w:rPr>
          <w:rFonts w:ascii="ITC Avant Garde" w:hAnsi="ITC Avant Garde" w:cs="Arial"/>
          <w:color w:val="000000"/>
          <w:szCs w:val="21"/>
        </w:rPr>
        <w:t>rocedimiento a que se refiere la Ley, para el arrendamiento de espectro radioeléctrico.</w:t>
      </w:r>
    </w:p>
    <w:p w14:paraId="4685FF43" w14:textId="77777777" w:rsidR="00594FE5" w:rsidRPr="00D03948" w:rsidRDefault="00594FE5" w:rsidP="00594FE5">
      <w:pPr>
        <w:spacing w:after="0" w:line="240" w:lineRule="auto"/>
        <w:contextualSpacing/>
        <w:jc w:val="both"/>
        <w:rPr>
          <w:rFonts w:ascii="ITC Avant Garde" w:hAnsi="ITC Avant Garde"/>
          <w:szCs w:val="21"/>
        </w:rPr>
      </w:pPr>
    </w:p>
    <w:p w14:paraId="3D6B70C3" w14:textId="6011F672" w:rsidR="00F37C4D" w:rsidRPr="00C22E7F" w:rsidRDefault="00F37C4D" w:rsidP="00F003B2">
      <w:pPr>
        <w:numPr>
          <w:ilvl w:val="0"/>
          <w:numId w:val="3"/>
        </w:numPr>
        <w:pBdr>
          <w:top w:val="nil"/>
          <w:left w:val="nil"/>
          <w:bottom w:val="nil"/>
          <w:right w:val="nil"/>
          <w:between w:val="nil"/>
          <w:bar w:val="nil"/>
        </w:pBdr>
        <w:spacing w:after="0" w:line="240" w:lineRule="auto"/>
        <w:ind w:left="0" w:firstLine="0"/>
        <w:contextualSpacing/>
        <w:jc w:val="both"/>
        <w:rPr>
          <w:rFonts w:ascii="ITC Avant Garde" w:eastAsia="Arial Unicode MS" w:hAnsi="ITC Avant Garde" w:cs="Times"/>
          <w:color w:val="000000" w:themeColor="text1"/>
          <w:szCs w:val="21"/>
          <w:bdr w:val="nil"/>
          <w:lang w:eastAsia="es-MX"/>
        </w:rPr>
      </w:pPr>
      <w:r w:rsidRPr="00C22E7F">
        <w:rPr>
          <w:rFonts w:ascii="ITC Avant Garde" w:eastAsia="Arial Unicode MS" w:hAnsi="ITC Avant Garde" w:cs="Times"/>
          <w:b/>
          <w:color w:val="000000" w:themeColor="text1"/>
          <w:szCs w:val="21"/>
          <w:bdr w:val="nil"/>
          <w:lang w:eastAsia="es-MX"/>
        </w:rPr>
        <w:t>Arrendamiento de Espectro.</w:t>
      </w:r>
      <w:r w:rsidRPr="00C22E7F" w:rsidDel="00EE4C69">
        <w:rPr>
          <w:rFonts w:ascii="ITC Avant Garde" w:eastAsia="Arial Unicode MS" w:hAnsi="ITC Avant Garde" w:cs="Times"/>
          <w:b/>
          <w:color w:val="000000" w:themeColor="text1"/>
          <w:szCs w:val="21"/>
          <w:bdr w:val="nil"/>
          <w:lang w:eastAsia="es-MX"/>
        </w:rPr>
        <w:t xml:space="preserve"> </w:t>
      </w:r>
      <w:r w:rsidRPr="00C22E7F">
        <w:rPr>
          <w:rFonts w:ascii="ITC Avant Garde" w:eastAsia="Arial Unicode MS" w:hAnsi="ITC Avant Garde" w:cs="Times"/>
          <w:color w:val="000000" w:themeColor="text1"/>
          <w:szCs w:val="21"/>
          <w:bdr w:val="nil"/>
          <w:lang w:eastAsia="es-MX"/>
        </w:rPr>
        <w:t xml:space="preserve">El </w:t>
      </w:r>
      <w:r w:rsidR="00EC6E4D">
        <w:rPr>
          <w:rFonts w:ascii="ITC Avant Garde" w:eastAsia="Arial Unicode MS" w:hAnsi="ITC Avant Garde" w:cs="Times"/>
          <w:color w:val="000000" w:themeColor="text1"/>
          <w:szCs w:val="21"/>
          <w:bdr w:val="nil"/>
          <w:lang w:eastAsia="es-MX"/>
        </w:rPr>
        <w:t>d</w:t>
      </w:r>
      <w:r w:rsidRPr="00C22E7F">
        <w:rPr>
          <w:rFonts w:ascii="ITC Avant Garde" w:eastAsia="Arial Unicode MS" w:hAnsi="ITC Avant Garde" w:cs="Times"/>
          <w:color w:val="000000" w:themeColor="text1"/>
          <w:szCs w:val="21"/>
          <w:bdr w:val="nil"/>
          <w:lang w:eastAsia="es-MX"/>
        </w:rPr>
        <w:t xml:space="preserve">ictamen emanado de la Cámara de Diputados del Congreso de la Unión a la </w:t>
      </w:r>
      <w:r w:rsidR="00EC6E4D">
        <w:rPr>
          <w:rFonts w:ascii="ITC Avant Garde" w:eastAsia="Arial Unicode MS" w:hAnsi="ITC Avant Garde" w:cs="Times"/>
          <w:color w:val="000000" w:themeColor="text1"/>
          <w:szCs w:val="21"/>
          <w:bdr w:val="nil"/>
          <w:lang w:eastAsia="es-MX"/>
        </w:rPr>
        <w:t>i</w:t>
      </w:r>
      <w:r w:rsidRPr="00C22E7F">
        <w:rPr>
          <w:rFonts w:ascii="ITC Avant Garde" w:eastAsia="Arial Unicode MS" w:hAnsi="ITC Avant Garde" w:cs="Times"/>
          <w:color w:val="000000" w:themeColor="text1"/>
          <w:szCs w:val="21"/>
          <w:bdr w:val="nil"/>
          <w:lang w:eastAsia="es-MX"/>
        </w:rPr>
        <w:t xml:space="preserve">niciativa de </w:t>
      </w:r>
      <w:r w:rsidR="004A0C75">
        <w:rPr>
          <w:rFonts w:ascii="ITC Avant Garde" w:eastAsia="Arial Unicode MS" w:hAnsi="ITC Avant Garde" w:cs="Times"/>
          <w:color w:val="000000" w:themeColor="text1"/>
          <w:szCs w:val="21"/>
          <w:bdr w:val="nil"/>
          <w:lang w:eastAsia="es-MX"/>
        </w:rPr>
        <w:t xml:space="preserve">la </w:t>
      </w:r>
      <w:r w:rsidRPr="00C22E7F">
        <w:rPr>
          <w:rFonts w:ascii="ITC Avant Garde" w:eastAsia="Arial Unicode MS" w:hAnsi="ITC Avant Garde" w:cs="Times"/>
          <w:color w:val="000000" w:themeColor="text1"/>
          <w:szCs w:val="21"/>
          <w:bdr w:val="nil"/>
          <w:lang w:eastAsia="es-MX"/>
        </w:rPr>
        <w:t xml:space="preserve">Ley prevé la figura del arrendamiento de espectro radioeléctrico como una alternativa rápida y flexible para </w:t>
      </w:r>
      <w:r w:rsidR="004A0C75">
        <w:rPr>
          <w:rFonts w:ascii="ITC Avant Garde" w:eastAsia="Arial Unicode MS" w:hAnsi="ITC Avant Garde" w:cs="Times"/>
          <w:color w:val="000000" w:themeColor="text1"/>
          <w:szCs w:val="21"/>
          <w:bdr w:val="nil"/>
          <w:lang w:eastAsia="es-MX"/>
        </w:rPr>
        <w:t>la obtención de</w:t>
      </w:r>
      <w:r w:rsidRPr="00C22E7F">
        <w:rPr>
          <w:rFonts w:ascii="ITC Avant Garde" w:eastAsia="Arial Unicode MS" w:hAnsi="ITC Avant Garde" w:cs="Times"/>
          <w:color w:val="000000" w:themeColor="text1"/>
          <w:szCs w:val="21"/>
          <w:bdr w:val="nil"/>
          <w:lang w:eastAsia="es-MX"/>
        </w:rPr>
        <w:t xml:space="preserve"> espectro</w:t>
      </w:r>
      <w:r w:rsidRPr="00C22E7F">
        <w:rPr>
          <w:rFonts w:ascii="ITC Avant Garde" w:eastAsia="Arial Unicode MS" w:hAnsi="ITC Avant Garde" w:cs="Times"/>
          <w:color w:val="000000" w:themeColor="text1"/>
          <w:szCs w:val="21"/>
          <w:bdr w:val="nil"/>
          <w:vertAlign w:val="superscript"/>
          <w:lang w:eastAsia="es-MX"/>
        </w:rPr>
        <w:footnoteReference w:id="8"/>
      </w:r>
      <w:r w:rsidRPr="00C22E7F">
        <w:rPr>
          <w:rFonts w:ascii="ITC Avant Garde" w:eastAsia="Arial Unicode MS" w:hAnsi="ITC Avant Garde" w:cs="Times"/>
          <w:color w:val="000000" w:themeColor="text1"/>
          <w:szCs w:val="21"/>
          <w:bdr w:val="nil"/>
          <w:lang w:eastAsia="es-MX"/>
        </w:rPr>
        <w:t>.</w:t>
      </w:r>
    </w:p>
    <w:p w14:paraId="5DD1CAD8" w14:textId="77777777" w:rsidR="00F37C4D" w:rsidRPr="0091229B" w:rsidRDefault="00F37C4D" w:rsidP="00F003B2">
      <w:pPr>
        <w:spacing w:after="0" w:line="240" w:lineRule="auto"/>
        <w:contextualSpacing/>
        <w:jc w:val="both"/>
        <w:rPr>
          <w:rFonts w:ascii="ITC Avant Garde" w:hAnsi="ITC Avant Garde"/>
          <w:szCs w:val="21"/>
          <w:highlight w:val="yellow"/>
        </w:rPr>
      </w:pPr>
    </w:p>
    <w:p w14:paraId="545FB0C9" w14:textId="39F21961" w:rsidR="00F37C4D" w:rsidRPr="00965118" w:rsidRDefault="00F37C4D" w:rsidP="00F003B2">
      <w:pPr>
        <w:spacing w:after="0" w:line="240" w:lineRule="auto"/>
        <w:contextualSpacing/>
        <w:jc w:val="both"/>
        <w:rPr>
          <w:rFonts w:ascii="ITC Avant Garde" w:hAnsi="ITC Avant Garde"/>
          <w:szCs w:val="21"/>
        </w:rPr>
      </w:pPr>
      <w:r w:rsidRPr="00965118">
        <w:rPr>
          <w:rFonts w:ascii="ITC Avant Garde" w:hAnsi="ITC Avant Garde"/>
          <w:szCs w:val="21"/>
        </w:rPr>
        <w:t xml:space="preserve">En este sentido, las </w:t>
      </w:r>
      <w:r w:rsidR="00EC6E4D">
        <w:rPr>
          <w:rFonts w:ascii="ITC Avant Garde" w:hAnsi="ITC Avant Garde"/>
          <w:szCs w:val="21"/>
        </w:rPr>
        <w:t>c</w:t>
      </w:r>
      <w:r w:rsidRPr="00965118">
        <w:rPr>
          <w:rFonts w:ascii="ITC Avant Garde" w:hAnsi="ITC Avant Garde"/>
          <w:szCs w:val="21"/>
        </w:rPr>
        <w:t xml:space="preserve">omisiones dictaminadoras determinaron incluir en la </w:t>
      </w:r>
      <w:r w:rsidR="00EC6E4D">
        <w:rPr>
          <w:rFonts w:ascii="ITC Avant Garde" w:hAnsi="ITC Avant Garde"/>
          <w:szCs w:val="21"/>
        </w:rPr>
        <w:t>i</w:t>
      </w:r>
      <w:r w:rsidRPr="00965118">
        <w:rPr>
          <w:rFonts w:ascii="ITC Avant Garde" w:hAnsi="ITC Avant Garde"/>
          <w:szCs w:val="21"/>
        </w:rPr>
        <w:t>niciativa de</w:t>
      </w:r>
      <w:r w:rsidR="00EC6E4D">
        <w:rPr>
          <w:rFonts w:ascii="ITC Avant Garde" w:hAnsi="ITC Avant Garde"/>
          <w:szCs w:val="21"/>
        </w:rPr>
        <w:t xml:space="preserve"> la</w:t>
      </w:r>
      <w:r w:rsidRPr="00965118">
        <w:rPr>
          <w:rFonts w:ascii="ITC Avant Garde" w:hAnsi="ITC Avant Garde"/>
          <w:szCs w:val="21"/>
        </w:rPr>
        <w:t xml:space="preserve"> Ley la figura del arrendamiento de espectro radioeléctrico, la cual consis</w:t>
      </w:r>
      <w:r w:rsidR="007E556E">
        <w:rPr>
          <w:rFonts w:ascii="ITC Avant Garde" w:hAnsi="ITC Avant Garde"/>
          <w:szCs w:val="21"/>
        </w:rPr>
        <w:t>te en conceder temporalmente el</w:t>
      </w:r>
      <w:r w:rsidRPr="00965118">
        <w:rPr>
          <w:rFonts w:ascii="ITC Avant Garde" w:hAnsi="ITC Avant Garde"/>
          <w:szCs w:val="21"/>
        </w:rPr>
        <w:t xml:space="preserve"> derecho</w:t>
      </w:r>
      <w:r w:rsidR="007E556E">
        <w:rPr>
          <w:rFonts w:ascii="ITC Avant Garde" w:hAnsi="ITC Avant Garde"/>
          <w:szCs w:val="21"/>
        </w:rPr>
        <w:t xml:space="preserve"> al</w:t>
      </w:r>
      <w:r w:rsidRPr="00965118">
        <w:rPr>
          <w:rFonts w:ascii="ITC Avant Garde" w:hAnsi="ITC Avant Garde"/>
          <w:szCs w:val="21"/>
        </w:rPr>
        <w:t xml:space="preserve"> uso</w:t>
      </w:r>
      <w:r w:rsidR="007E556E">
        <w:rPr>
          <w:rFonts w:ascii="ITC Avant Garde" w:hAnsi="ITC Avant Garde"/>
          <w:szCs w:val="21"/>
        </w:rPr>
        <w:t xml:space="preserve">, aprovechamiento y/o explotación </w:t>
      </w:r>
      <w:r w:rsidRPr="00965118">
        <w:rPr>
          <w:rFonts w:ascii="ITC Avant Garde" w:hAnsi="ITC Avant Garde"/>
          <w:szCs w:val="21"/>
        </w:rPr>
        <w:t>del espectro radioeléctrico de un concesionario a otro, o de un concesionario a un particular, que para poder explotarlo requeriría adquirir el carácter de concesionario, sin producir el cambio de titularidad de la concesión</w:t>
      </w:r>
      <w:r w:rsidR="00EC6E4D">
        <w:rPr>
          <w:rFonts w:ascii="ITC Avant Garde" w:hAnsi="ITC Avant Garde"/>
          <w:szCs w:val="21"/>
        </w:rPr>
        <w:t>,</w:t>
      </w:r>
      <w:r w:rsidRPr="00965118">
        <w:rPr>
          <w:rFonts w:ascii="ITC Avant Garde" w:hAnsi="ITC Avant Garde"/>
          <w:szCs w:val="21"/>
        </w:rPr>
        <w:t xml:space="preserve"> a fin de dar flexibilidad, agilidad y dinamismo a la gestión de este bien del Estado. </w:t>
      </w:r>
    </w:p>
    <w:p w14:paraId="760DF392" w14:textId="77777777" w:rsidR="00F37C4D" w:rsidRPr="00965118" w:rsidRDefault="00F37C4D" w:rsidP="00F003B2">
      <w:pPr>
        <w:spacing w:after="0" w:line="240" w:lineRule="auto"/>
        <w:contextualSpacing/>
        <w:jc w:val="both"/>
        <w:rPr>
          <w:rFonts w:ascii="ITC Avant Garde" w:hAnsi="ITC Avant Garde"/>
          <w:szCs w:val="21"/>
        </w:rPr>
      </w:pPr>
    </w:p>
    <w:p w14:paraId="10461F1A" w14:textId="762DE412" w:rsidR="00F37C4D" w:rsidRPr="00965118" w:rsidRDefault="00F37C4D" w:rsidP="00F003B2">
      <w:pPr>
        <w:spacing w:after="0" w:line="240" w:lineRule="auto"/>
        <w:contextualSpacing/>
        <w:jc w:val="both"/>
        <w:rPr>
          <w:rFonts w:ascii="ITC Avant Garde" w:hAnsi="ITC Avant Garde"/>
          <w:szCs w:val="21"/>
        </w:rPr>
      </w:pPr>
      <w:r w:rsidRPr="00965118">
        <w:rPr>
          <w:rFonts w:ascii="ITC Avant Garde" w:hAnsi="ITC Avant Garde"/>
          <w:szCs w:val="21"/>
        </w:rPr>
        <w:t>A</w:t>
      </w:r>
      <w:r>
        <w:rPr>
          <w:rFonts w:ascii="ITC Avant Garde" w:hAnsi="ITC Avant Garde"/>
          <w:szCs w:val="21"/>
        </w:rPr>
        <w:t>demás,</w:t>
      </w:r>
      <w:r w:rsidRPr="00965118">
        <w:rPr>
          <w:rFonts w:ascii="ITC Avant Garde" w:hAnsi="ITC Avant Garde"/>
          <w:szCs w:val="21"/>
        </w:rPr>
        <w:t xml:space="preserve"> se previó que el Estado mantuviera el control sobre la administración y asignación de dicho bien de dominio público, a efecto de evitar cualquier actuación de los particulares en detrimento de la rectoría que se debe ejercer al respecto. También se buscó que el arrendamiento de espectro radioeléctrico se sujetara a </w:t>
      </w:r>
      <w:r w:rsidR="004A0C75">
        <w:rPr>
          <w:rFonts w:ascii="ITC Avant Garde" w:hAnsi="ITC Avant Garde"/>
          <w:szCs w:val="21"/>
        </w:rPr>
        <w:t xml:space="preserve">una </w:t>
      </w:r>
      <w:r w:rsidRPr="00965118">
        <w:rPr>
          <w:rFonts w:ascii="ITC Avant Garde" w:hAnsi="ITC Avant Garde"/>
          <w:szCs w:val="21"/>
        </w:rPr>
        <w:t xml:space="preserve">autorización </w:t>
      </w:r>
      <w:r w:rsidR="004A0C75">
        <w:rPr>
          <w:rFonts w:ascii="ITC Avant Garde" w:hAnsi="ITC Avant Garde"/>
          <w:szCs w:val="21"/>
        </w:rPr>
        <w:lastRenderedPageBreak/>
        <w:t xml:space="preserve">por parte </w:t>
      </w:r>
      <w:r w:rsidRPr="00965118">
        <w:rPr>
          <w:rFonts w:ascii="ITC Avant Garde" w:hAnsi="ITC Avant Garde"/>
          <w:szCs w:val="21"/>
        </w:rPr>
        <w:t>del Instituto, a fin de evitar que se generaran efectos nocivos al proceso de competencia.</w:t>
      </w:r>
    </w:p>
    <w:p w14:paraId="6D23F40C" w14:textId="77777777" w:rsidR="00F37C4D" w:rsidRPr="00965118" w:rsidRDefault="00F37C4D" w:rsidP="00F003B2">
      <w:pPr>
        <w:spacing w:after="0" w:line="240" w:lineRule="auto"/>
        <w:contextualSpacing/>
        <w:jc w:val="both"/>
        <w:rPr>
          <w:rFonts w:ascii="ITC Avant Garde" w:hAnsi="ITC Avant Garde"/>
          <w:szCs w:val="21"/>
        </w:rPr>
      </w:pPr>
    </w:p>
    <w:p w14:paraId="175654C4" w14:textId="0783285E" w:rsidR="00F37C4D" w:rsidRPr="00965118" w:rsidRDefault="00F37C4D" w:rsidP="00F003B2">
      <w:pPr>
        <w:spacing w:after="0" w:line="240" w:lineRule="auto"/>
        <w:contextualSpacing/>
        <w:jc w:val="both"/>
        <w:rPr>
          <w:rFonts w:ascii="ITC Avant Garde" w:hAnsi="ITC Avant Garde"/>
          <w:szCs w:val="21"/>
        </w:rPr>
      </w:pPr>
      <w:r w:rsidRPr="00965118">
        <w:rPr>
          <w:rFonts w:ascii="ITC Avant Garde" w:hAnsi="ITC Avant Garde"/>
          <w:szCs w:val="21"/>
        </w:rPr>
        <w:t xml:space="preserve">Para efectos de </w:t>
      </w:r>
      <w:r w:rsidR="004A0C75">
        <w:rPr>
          <w:rFonts w:ascii="ITC Avant Garde" w:hAnsi="ITC Avant Garde"/>
          <w:szCs w:val="21"/>
        </w:rPr>
        <w:t xml:space="preserve">establecer una </w:t>
      </w:r>
      <w:r w:rsidRPr="00965118">
        <w:rPr>
          <w:rFonts w:ascii="ITC Avant Garde" w:hAnsi="ITC Avant Garde"/>
          <w:szCs w:val="21"/>
        </w:rPr>
        <w:t xml:space="preserve">definición de </w:t>
      </w:r>
      <w:r w:rsidR="004A0C75">
        <w:rPr>
          <w:rFonts w:ascii="ITC Avant Garde" w:hAnsi="ITC Avant Garde"/>
          <w:szCs w:val="21"/>
        </w:rPr>
        <w:t xml:space="preserve">la figura de </w:t>
      </w:r>
      <w:r w:rsidRPr="00965118">
        <w:rPr>
          <w:rFonts w:ascii="ITC Avant Garde" w:hAnsi="ITC Avant Garde"/>
          <w:szCs w:val="21"/>
        </w:rPr>
        <w:t xml:space="preserve">arrendamiento del espectro radioeléctrico, </w:t>
      </w:r>
      <w:r w:rsidR="0085576D">
        <w:rPr>
          <w:rFonts w:ascii="ITC Avant Garde" w:hAnsi="ITC Avant Garde"/>
          <w:szCs w:val="21"/>
        </w:rPr>
        <w:t>es necesario acudir</w:t>
      </w:r>
      <w:r w:rsidR="00986CBA">
        <w:rPr>
          <w:rFonts w:ascii="ITC Avant Garde" w:hAnsi="ITC Avant Garde"/>
          <w:szCs w:val="21"/>
        </w:rPr>
        <w:t xml:space="preserve"> en principio</w:t>
      </w:r>
      <w:r w:rsidR="0085576D">
        <w:rPr>
          <w:rFonts w:ascii="ITC Avant Garde" w:hAnsi="ITC Avant Garde"/>
          <w:szCs w:val="21"/>
        </w:rPr>
        <w:t xml:space="preserve"> a lo dispuesto en el Código Civil Federal, que es aplicable </w:t>
      </w:r>
      <w:r w:rsidR="008E509A">
        <w:rPr>
          <w:rFonts w:ascii="ITC Avant Garde" w:hAnsi="ITC Avant Garde"/>
          <w:szCs w:val="21"/>
        </w:rPr>
        <w:t>de conformidad con</w:t>
      </w:r>
      <w:r w:rsidR="0085576D">
        <w:rPr>
          <w:rFonts w:ascii="ITC Avant Garde" w:hAnsi="ITC Avant Garde"/>
          <w:szCs w:val="21"/>
        </w:rPr>
        <w:t xml:space="preserve"> la fracción VI del artículo 6 de la Ley</w:t>
      </w:r>
      <w:r w:rsidR="00986CBA">
        <w:rPr>
          <w:rFonts w:ascii="ITC Avant Garde" w:hAnsi="ITC Avant Garde"/>
          <w:szCs w:val="21"/>
        </w:rPr>
        <w:t>, el cual establece lo que deberá entenderse por arrendamiento. Así, el</w:t>
      </w:r>
      <w:r w:rsidR="0085576D">
        <w:rPr>
          <w:rFonts w:ascii="ITC Avant Garde" w:hAnsi="ITC Avant Garde"/>
          <w:szCs w:val="21"/>
        </w:rPr>
        <w:t xml:space="preserve"> </w:t>
      </w:r>
      <w:r w:rsidRPr="00965118">
        <w:rPr>
          <w:rFonts w:ascii="ITC Avant Garde" w:hAnsi="ITC Avant Garde"/>
          <w:szCs w:val="21"/>
        </w:rPr>
        <w:t>artículo 2398 del Código Civil Federal establece:</w:t>
      </w:r>
    </w:p>
    <w:p w14:paraId="65FEA5F6" w14:textId="77777777" w:rsidR="00F37C4D" w:rsidRPr="00965118" w:rsidRDefault="00F37C4D" w:rsidP="00F003B2">
      <w:pPr>
        <w:spacing w:after="0" w:line="240" w:lineRule="auto"/>
        <w:contextualSpacing/>
        <w:jc w:val="both"/>
        <w:rPr>
          <w:rFonts w:ascii="ITC Avant Garde" w:hAnsi="ITC Avant Garde"/>
          <w:szCs w:val="21"/>
        </w:rPr>
      </w:pPr>
    </w:p>
    <w:p w14:paraId="7531C87F" w14:textId="77777777" w:rsidR="00F37C4D" w:rsidRPr="00D03948" w:rsidRDefault="00F37C4D" w:rsidP="00F003B2">
      <w:pPr>
        <w:spacing w:after="0" w:line="240" w:lineRule="auto"/>
        <w:ind w:left="1134" w:right="1183"/>
        <w:contextualSpacing/>
        <w:jc w:val="both"/>
        <w:rPr>
          <w:rFonts w:ascii="ITC Avant Garde" w:hAnsi="ITC Avant Garde"/>
          <w:i/>
          <w:sz w:val="20"/>
          <w:szCs w:val="19"/>
        </w:rPr>
      </w:pPr>
      <w:r w:rsidRPr="00965118">
        <w:rPr>
          <w:rFonts w:ascii="ITC Avant Garde" w:hAnsi="ITC Avant Garde"/>
          <w:i/>
          <w:sz w:val="20"/>
          <w:szCs w:val="19"/>
        </w:rPr>
        <w:t>“</w:t>
      </w:r>
      <w:r w:rsidRPr="00965118">
        <w:rPr>
          <w:rFonts w:ascii="ITC Avant Garde" w:hAnsi="ITC Avant Garde"/>
          <w:b/>
          <w:i/>
          <w:sz w:val="20"/>
          <w:szCs w:val="19"/>
        </w:rPr>
        <w:t>Artículo 2398</w:t>
      </w:r>
      <w:r w:rsidRPr="00965118">
        <w:rPr>
          <w:rFonts w:ascii="ITC Avant Garde" w:hAnsi="ITC Avant Garde"/>
          <w:i/>
          <w:sz w:val="20"/>
          <w:szCs w:val="19"/>
        </w:rPr>
        <w:t>.- Hay arrendamiento cuando las dos partes contratantes se obligan recíprocamente, una, a conceder el uso o goce temporal de una cosa, y la otra, a pagar por ese uso o goce un precio cierto. (…)”</w:t>
      </w:r>
    </w:p>
    <w:p w14:paraId="11E5B330" w14:textId="77777777" w:rsidR="00F37C4D" w:rsidRPr="00D03948" w:rsidRDefault="00F37C4D" w:rsidP="00F003B2">
      <w:pPr>
        <w:spacing w:after="0" w:line="240" w:lineRule="auto"/>
        <w:ind w:left="993" w:right="616" w:hanging="142"/>
        <w:contextualSpacing/>
        <w:jc w:val="both"/>
        <w:rPr>
          <w:rFonts w:ascii="ITC Avant Garde" w:hAnsi="ITC Avant Garde"/>
          <w:szCs w:val="21"/>
        </w:rPr>
      </w:pPr>
    </w:p>
    <w:p w14:paraId="34180670" w14:textId="508DAB5D" w:rsidR="00F37C4D" w:rsidRPr="00D03948" w:rsidRDefault="00F37C4D" w:rsidP="00F003B2">
      <w:pPr>
        <w:tabs>
          <w:tab w:val="left" w:pos="7938"/>
        </w:tabs>
        <w:spacing w:after="0" w:line="240" w:lineRule="auto"/>
        <w:ind w:right="49"/>
        <w:contextualSpacing/>
        <w:jc w:val="both"/>
        <w:rPr>
          <w:rFonts w:ascii="ITC Avant Garde" w:hAnsi="ITC Avant Garde"/>
          <w:szCs w:val="21"/>
        </w:rPr>
      </w:pPr>
      <w:r w:rsidRPr="00D03948">
        <w:rPr>
          <w:rFonts w:ascii="ITC Avant Garde" w:hAnsi="ITC Avant Garde"/>
          <w:szCs w:val="21"/>
        </w:rPr>
        <w:t xml:space="preserve">Por lo que refiere a la definición de espectro radioeléctrico, la fracción XXI del artículo 3 de la Ley </w:t>
      </w:r>
      <w:r w:rsidR="004A0C75">
        <w:rPr>
          <w:rFonts w:ascii="ITC Avant Garde" w:hAnsi="ITC Avant Garde"/>
          <w:szCs w:val="21"/>
        </w:rPr>
        <w:t>señala</w:t>
      </w:r>
      <w:r w:rsidRPr="00D03948">
        <w:rPr>
          <w:rFonts w:ascii="ITC Avant Garde" w:hAnsi="ITC Avant Garde"/>
          <w:szCs w:val="21"/>
        </w:rPr>
        <w:t>:</w:t>
      </w:r>
    </w:p>
    <w:p w14:paraId="18BBD3E7" w14:textId="77777777" w:rsidR="00F37C4D" w:rsidRPr="00D03948" w:rsidRDefault="00F37C4D" w:rsidP="00F003B2">
      <w:pPr>
        <w:tabs>
          <w:tab w:val="left" w:pos="7938"/>
        </w:tabs>
        <w:spacing w:after="0" w:line="240" w:lineRule="auto"/>
        <w:ind w:right="49"/>
        <w:contextualSpacing/>
        <w:jc w:val="both"/>
        <w:rPr>
          <w:rFonts w:ascii="ITC Avant Garde" w:hAnsi="ITC Avant Garde"/>
          <w:szCs w:val="21"/>
        </w:rPr>
      </w:pPr>
    </w:p>
    <w:p w14:paraId="78BCF6E4" w14:textId="3ADCCAA9" w:rsidR="00F37C4D" w:rsidRPr="004C0102" w:rsidRDefault="00F37C4D" w:rsidP="00F003B2">
      <w:pPr>
        <w:spacing w:after="0" w:line="240" w:lineRule="auto"/>
        <w:ind w:left="1134" w:right="1041"/>
        <w:contextualSpacing/>
        <w:jc w:val="both"/>
        <w:rPr>
          <w:rFonts w:ascii="ITC Avant Garde" w:hAnsi="ITC Avant Garde"/>
          <w:i/>
          <w:sz w:val="20"/>
          <w:szCs w:val="19"/>
        </w:rPr>
      </w:pPr>
      <w:r w:rsidRPr="00D03948">
        <w:rPr>
          <w:rFonts w:ascii="ITC Avant Garde" w:hAnsi="ITC Avant Garde"/>
          <w:i/>
          <w:sz w:val="20"/>
          <w:szCs w:val="19"/>
        </w:rPr>
        <w:t>“</w:t>
      </w:r>
      <w:r w:rsidRPr="004C0102">
        <w:rPr>
          <w:rFonts w:ascii="ITC Avant Garde" w:hAnsi="ITC Avant Garde"/>
          <w:b/>
          <w:i/>
          <w:sz w:val="20"/>
          <w:szCs w:val="19"/>
        </w:rPr>
        <w:t>Artículo 3</w:t>
      </w:r>
      <w:r w:rsidRPr="004C0102">
        <w:rPr>
          <w:rFonts w:ascii="ITC Avant Garde" w:hAnsi="ITC Avant Garde"/>
          <w:i/>
          <w:sz w:val="20"/>
          <w:szCs w:val="19"/>
        </w:rPr>
        <w:t>. Para los efectos de esta Ley se entenderá por</w:t>
      </w:r>
      <w:r w:rsidR="00622068">
        <w:rPr>
          <w:rFonts w:ascii="ITC Avant Garde" w:hAnsi="ITC Avant Garde"/>
          <w:i/>
          <w:sz w:val="20"/>
          <w:szCs w:val="19"/>
        </w:rPr>
        <w:t>:</w:t>
      </w:r>
    </w:p>
    <w:p w14:paraId="04588EF4" w14:textId="77777777" w:rsidR="00F37C4D" w:rsidRPr="004C0102" w:rsidRDefault="00F37C4D" w:rsidP="00F003B2">
      <w:pPr>
        <w:spacing w:after="0" w:line="240" w:lineRule="auto"/>
        <w:ind w:left="1134" w:right="1041"/>
        <w:contextualSpacing/>
        <w:jc w:val="both"/>
        <w:rPr>
          <w:rFonts w:ascii="ITC Avant Garde" w:hAnsi="ITC Avant Garde"/>
          <w:i/>
          <w:sz w:val="20"/>
          <w:szCs w:val="19"/>
        </w:rPr>
      </w:pPr>
      <w:r>
        <w:rPr>
          <w:rFonts w:ascii="ITC Avant Garde" w:hAnsi="ITC Avant Garde"/>
          <w:i/>
          <w:sz w:val="20"/>
          <w:szCs w:val="19"/>
        </w:rPr>
        <w:t>(…)</w:t>
      </w:r>
    </w:p>
    <w:p w14:paraId="5470DF83" w14:textId="60768990" w:rsidR="00F37C4D" w:rsidRPr="00D03948" w:rsidRDefault="00F37C4D" w:rsidP="00ED150E">
      <w:pPr>
        <w:spacing w:after="0" w:line="240" w:lineRule="auto"/>
        <w:ind w:left="1134" w:right="1182"/>
        <w:contextualSpacing/>
        <w:jc w:val="both"/>
        <w:rPr>
          <w:rFonts w:ascii="ITC Avant Garde" w:hAnsi="ITC Avant Garde"/>
          <w:i/>
          <w:sz w:val="20"/>
          <w:szCs w:val="19"/>
        </w:rPr>
      </w:pPr>
      <w:r w:rsidRPr="00E96920">
        <w:rPr>
          <w:rFonts w:ascii="ITC Avant Garde" w:hAnsi="ITC Avant Garde"/>
          <w:b/>
          <w:i/>
          <w:sz w:val="20"/>
          <w:szCs w:val="19"/>
        </w:rPr>
        <w:t>XXI.</w:t>
      </w:r>
      <w:r w:rsidRPr="004C0102">
        <w:rPr>
          <w:rFonts w:ascii="ITC Avant Garde" w:hAnsi="ITC Avant Garde"/>
          <w:b/>
          <w:i/>
          <w:sz w:val="20"/>
          <w:szCs w:val="19"/>
        </w:rPr>
        <w:t xml:space="preserve"> </w:t>
      </w:r>
      <w:r w:rsidRPr="00D03948">
        <w:rPr>
          <w:rFonts w:ascii="ITC Avant Garde" w:hAnsi="ITC Avant Garde"/>
          <w:b/>
          <w:bCs/>
          <w:i/>
          <w:sz w:val="20"/>
          <w:szCs w:val="19"/>
        </w:rPr>
        <w:t xml:space="preserve">Espectro radioeléctrico: </w:t>
      </w:r>
      <w:r w:rsidRPr="00D03948">
        <w:rPr>
          <w:rFonts w:ascii="ITC Avant Garde" w:hAnsi="ITC Avant Garde"/>
          <w:i/>
          <w:sz w:val="20"/>
          <w:szCs w:val="19"/>
        </w:rPr>
        <w:t>Espacio que permite la propagación, sin guía artificial, de ondas electromagnéticas cuyas bandas de frecuencias se fijan convencionalmente por debajo de los 3,000 gigahertz”</w:t>
      </w:r>
      <w:r w:rsidR="007E556E">
        <w:rPr>
          <w:rFonts w:ascii="ITC Avant Garde" w:hAnsi="ITC Avant Garde"/>
          <w:i/>
          <w:sz w:val="20"/>
          <w:szCs w:val="19"/>
        </w:rPr>
        <w:t>.</w:t>
      </w:r>
    </w:p>
    <w:p w14:paraId="093B7943" w14:textId="77777777" w:rsidR="00F37C4D" w:rsidRDefault="00F37C4D" w:rsidP="00F003B2">
      <w:pPr>
        <w:spacing w:after="0" w:line="240" w:lineRule="auto"/>
        <w:ind w:left="1134" w:right="1041"/>
        <w:contextualSpacing/>
        <w:jc w:val="both"/>
        <w:rPr>
          <w:rFonts w:ascii="ITC Avant Garde" w:hAnsi="ITC Avant Garde"/>
          <w:szCs w:val="21"/>
        </w:rPr>
      </w:pPr>
    </w:p>
    <w:p w14:paraId="38D50D7C" w14:textId="6052B4EC" w:rsidR="00787FFA" w:rsidRPr="00CA3ADD" w:rsidRDefault="00787FFA" w:rsidP="00F003B2">
      <w:pPr>
        <w:spacing w:after="0" w:line="240" w:lineRule="auto"/>
        <w:contextualSpacing/>
        <w:jc w:val="both"/>
        <w:rPr>
          <w:rFonts w:ascii="ITC Avant Garde" w:hAnsi="ITC Avant Garde"/>
          <w:szCs w:val="21"/>
        </w:rPr>
      </w:pPr>
      <w:r w:rsidRPr="00CA3ADD">
        <w:rPr>
          <w:rFonts w:ascii="ITC Avant Garde" w:hAnsi="ITC Avant Garde"/>
          <w:szCs w:val="21"/>
        </w:rPr>
        <w:t>En este contexto</w:t>
      </w:r>
      <w:r w:rsidR="00152C3A">
        <w:rPr>
          <w:rFonts w:ascii="ITC Avant Garde" w:hAnsi="ITC Avant Garde"/>
          <w:szCs w:val="21"/>
        </w:rPr>
        <w:t>,</w:t>
      </w:r>
      <w:r w:rsidR="00AF0058">
        <w:rPr>
          <w:rFonts w:ascii="ITC Avant Garde" w:hAnsi="ITC Avant Garde"/>
          <w:szCs w:val="21"/>
        </w:rPr>
        <w:t xml:space="preserve"> el artículo 104 de la Ley prevé</w:t>
      </w:r>
      <w:r w:rsidRPr="00CA3ADD">
        <w:rPr>
          <w:rFonts w:ascii="ITC Avant Garde" w:hAnsi="ITC Avant Garde"/>
          <w:szCs w:val="21"/>
        </w:rPr>
        <w:t xml:space="preserve"> que podrán darse en arrendamiento únicamente bandas de frecuencia concesionadas par</w:t>
      </w:r>
      <w:r w:rsidR="005F7BEE">
        <w:rPr>
          <w:rFonts w:ascii="ITC Avant Garde" w:hAnsi="ITC Avant Garde"/>
          <w:szCs w:val="21"/>
        </w:rPr>
        <w:t>a uso comercial o privado, este</w:t>
      </w:r>
      <w:r w:rsidRPr="00CA3ADD">
        <w:rPr>
          <w:rFonts w:ascii="ITC Avant Garde" w:hAnsi="ITC Avant Garde"/>
          <w:szCs w:val="21"/>
        </w:rPr>
        <w:t xml:space="preserve"> último con propósitos de comunicación privada</w:t>
      </w:r>
      <w:r w:rsidR="00622068">
        <w:rPr>
          <w:rFonts w:ascii="ITC Avant Garde" w:hAnsi="ITC Avant Garde"/>
          <w:szCs w:val="21"/>
        </w:rPr>
        <w:t>,</w:t>
      </w:r>
      <w:r w:rsidR="005F7BEE">
        <w:rPr>
          <w:rFonts w:ascii="ITC Avant Garde" w:hAnsi="ITC Avant Garde"/>
          <w:szCs w:val="21"/>
        </w:rPr>
        <w:t xml:space="preserve"> </w:t>
      </w:r>
      <w:r w:rsidR="00622068">
        <w:rPr>
          <w:rFonts w:ascii="ITC Avant Garde" w:hAnsi="ITC Avant Garde"/>
          <w:szCs w:val="21"/>
        </w:rPr>
        <w:t xml:space="preserve">previa autorización del Instituto; </w:t>
      </w:r>
      <w:r w:rsidR="005F7BEE">
        <w:rPr>
          <w:rFonts w:ascii="ITC Avant Garde" w:hAnsi="ITC Avant Garde"/>
          <w:szCs w:val="21"/>
        </w:rPr>
        <w:t xml:space="preserve">dichas bandas </w:t>
      </w:r>
      <w:r w:rsidR="00706FBE" w:rsidRPr="00CA3ADD">
        <w:rPr>
          <w:rFonts w:ascii="ITC Avant Garde" w:hAnsi="ITC Avant Garde"/>
          <w:szCs w:val="21"/>
        </w:rPr>
        <w:t xml:space="preserve">corresponden a concesiones de espectro radioeléctrico que otorgan </w:t>
      </w:r>
      <w:r w:rsidR="00CA3ADD" w:rsidRPr="00CA3ADD">
        <w:rPr>
          <w:rFonts w:ascii="ITC Avant Garde" w:hAnsi="ITC Avant Garde"/>
          <w:szCs w:val="21"/>
        </w:rPr>
        <w:t>su</w:t>
      </w:r>
      <w:r w:rsidR="00706FBE" w:rsidRPr="00CA3ADD">
        <w:rPr>
          <w:rFonts w:ascii="ITC Avant Garde" w:hAnsi="ITC Avant Garde"/>
          <w:szCs w:val="21"/>
        </w:rPr>
        <w:t xml:space="preserve"> uso, aprovechamiento y/o explotación</w:t>
      </w:r>
      <w:r w:rsidR="00976CC6">
        <w:rPr>
          <w:rFonts w:ascii="ITC Avant Garde" w:hAnsi="ITC Avant Garde"/>
          <w:szCs w:val="21"/>
        </w:rPr>
        <w:t>, en su caso,</w:t>
      </w:r>
      <w:r w:rsidR="00152C3A">
        <w:rPr>
          <w:rFonts w:ascii="ITC Avant Garde" w:hAnsi="ITC Avant Garde"/>
          <w:szCs w:val="21"/>
        </w:rPr>
        <w:t xml:space="preserve"> a sus titulares</w:t>
      </w:r>
      <w:r w:rsidR="00706FBE" w:rsidRPr="00CA3ADD">
        <w:rPr>
          <w:rFonts w:ascii="ITC Avant Garde" w:hAnsi="ITC Avant Garde"/>
          <w:szCs w:val="21"/>
        </w:rPr>
        <w:t>, y las cuales</w:t>
      </w:r>
      <w:r w:rsidR="00E56F0B">
        <w:rPr>
          <w:rFonts w:ascii="ITC Avant Garde" w:hAnsi="ITC Avant Garde"/>
          <w:szCs w:val="21"/>
        </w:rPr>
        <w:t>,</w:t>
      </w:r>
      <w:r w:rsidR="00706FBE" w:rsidRPr="00CA3ADD">
        <w:rPr>
          <w:rFonts w:ascii="ITC Avant Garde" w:hAnsi="ITC Avant Garde"/>
          <w:szCs w:val="21"/>
        </w:rPr>
        <w:t xml:space="preserve"> </w:t>
      </w:r>
      <w:r w:rsidRPr="00CA3ADD">
        <w:rPr>
          <w:rFonts w:ascii="ITC Avant Garde" w:hAnsi="ITC Avant Garde"/>
          <w:szCs w:val="21"/>
        </w:rPr>
        <w:t>en términos del artículo 78 de la Ley</w:t>
      </w:r>
      <w:r w:rsidR="00E56F0B">
        <w:rPr>
          <w:rFonts w:ascii="ITC Avant Garde" w:hAnsi="ITC Avant Garde"/>
          <w:szCs w:val="21"/>
        </w:rPr>
        <w:t>,</w:t>
      </w:r>
      <w:r w:rsidRPr="00CA3ADD">
        <w:rPr>
          <w:rFonts w:ascii="ITC Avant Garde" w:hAnsi="ITC Avant Garde"/>
          <w:szCs w:val="21"/>
        </w:rPr>
        <w:t xml:space="preserve"> </w:t>
      </w:r>
      <w:r w:rsidR="006E6327">
        <w:rPr>
          <w:rFonts w:ascii="ITC Avant Garde" w:hAnsi="ITC Avant Garde"/>
          <w:szCs w:val="21"/>
        </w:rPr>
        <w:t>so</w:t>
      </w:r>
      <w:r w:rsidR="00CA3ADD" w:rsidRPr="00CA3ADD">
        <w:rPr>
          <w:rFonts w:ascii="ITC Avant Garde" w:hAnsi="ITC Avant Garde"/>
          <w:szCs w:val="21"/>
        </w:rPr>
        <w:t>lo</w:t>
      </w:r>
      <w:r w:rsidRPr="00CA3ADD">
        <w:rPr>
          <w:rFonts w:ascii="ITC Avant Garde" w:hAnsi="ITC Avant Garde"/>
          <w:szCs w:val="21"/>
        </w:rPr>
        <w:t xml:space="preserve"> pueden obtener</w:t>
      </w:r>
      <w:r w:rsidR="00152C3A">
        <w:rPr>
          <w:rFonts w:ascii="ITC Avant Garde" w:hAnsi="ITC Avant Garde"/>
          <w:szCs w:val="21"/>
        </w:rPr>
        <w:t>se</w:t>
      </w:r>
      <w:r w:rsidRPr="00CA3ADD">
        <w:rPr>
          <w:rFonts w:ascii="ITC Avant Garde" w:hAnsi="ITC Avant Garde"/>
          <w:szCs w:val="21"/>
        </w:rPr>
        <w:t xml:space="preserve"> mediante un procedimiento de licitación pública</w:t>
      </w:r>
      <w:r w:rsidR="00706FBE" w:rsidRPr="00CA3ADD">
        <w:rPr>
          <w:rFonts w:ascii="ITC Avant Garde" w:hAnsi="ITC Avant Garde"/>
          <w:szCs w:val="21"/>
        </w:rPr>
        <w:t>.</w:t>
      </w:r>
    </w:p>
    <w:p w14:paraId="60731B12" w14:textId="77777777" w:rsidR="00787FFA" w:rsidRDefault="00787FFA" w:rsidP="00F003B2">
      <w:pPr>
        <w:spacing w:after="0" w:line="240" w:lineRule="auto"/>
        <w:contextualSpacing/>
        <w:jc w:val="both"/>
        <w:rPr>
          <w:rFonts w:ascii="ITC Avant Garde" w:hAnsi="ITC Avant Garde"/>
          <w:szCs w:val="21"/>
        </w:rPr>
      </w:pPr>
    </w:p>
    <w:p w14:paraId="678E78D8" w14:textId="5CEEAC31" w:rsidR="00942224" w:rsidRDefault="00F869B0" w:rsidP="00A24642">
      <w:pPr>
        <w:spacing w:after="0" w:line="240" w:lineRule="auto"/>
        <w:contextualSpacing/>
        <w:jc w:val="both"/>
        <w:rPr>
          <w:rFonts w:ascii="ITC Avant Garde" w:eastAsia="Arial Unicode MS" w:hAnsi="ITC Avant Garde" w:cs="Times"/>
          <w:color w:val="000000" w:themeColor="text1"/>
          <w:szCs w:val="21"/>
          <w:bdr w:val="nil"/>
          <w:lang w:eastAsia="es-MX"/>
        </w:rPr>
      </w:pPr>
      <w:r>
        <w:rPr>
          <w:rFonts w:ascii="ITC Avant Garde" w:hAnsi="ITC Avant Garde"/>
          <w:szCs w:val="21"/>
        </w:rPr>
        <w:t>Por</w:t>
      </w:r>
      <w:r w:rsidR="00942224">
        <w:rPr>
          <w:rFonts w:ascii="ITC Avant Garde" w:hAnsi="ITC Avant Garde"/>
          <w:szCs w:val="21"/>
        </w:rPr>
        <w:t xml:space="preserve"> lo que respecta a la cantidad de espectro que puede ser sujeta del </w:t>
      </w:r>
      <w:r w:rsidR="00E56F0B">
        <w:rPr>
          <w:rFonts w:ascii="ITC Avant Garde" w:hAnsi="ITC Avant Garde"/>
          <w:szCs w:val="21"/>
        </w:rPr>
        <w:t>a</w:t>
      </w:r>
      <w:r w:rsidR="00942224">
        <w:rPr>
          <w:rFonts w:ascii="ITC Avant Garde" w:hAnsi="ITC Avant Garde"/>
          <w:szCs w:val="21"/>
        </w:rPr>
        <w:t xml:space="preserve">rrendamiento, </w:t>
      </w:r>
      <w:r w:rsidR="00942224" w:rsidRPr="00535B7F">
        <w:rPr>
          <w:rFonts w:ascii="ITC Avant Garde" w:eastAsia="Arial Unicode MS" w:hAnsi="ITC Avant Garde" w:cs="Times"/>
          <w:color w:val="000000" w:themeColor="text1"/>
          <w:szCs w:val="21"/>
          <w:bdr w:val="nil"/>
          <w:lang w:eastAsia="es-MX"/>
        </w:rPr>
        <w:t xml:space="preserve">la exposición de motivos de la </w:t>
      </w:r>
      <w:r w:rsidR="00E56F0B">
        <w:rPr>
          <w:rFonts w:ascii="ITC Avant Garde" w:eastAsia="Arial Unicode MS" w:hAnsi="ITC Avant Garde" w:cs="Times"/>
          <w:color w:val="000000" w:themeColor="text1"/>
          <w:szCs w:val="21"/>
          <w:bdr w:val="nil"/>
          <w:lang w:eastAsia="es-MX"/>
        </w:rPr>
        <w:t>i</w:t>
      </w:r>
      <w:r w:rsidR="00942224" w:rsidRPr="00535B7F">
        <w:rPr>
          <w:rFonts w:ascii="ITC Avant Garde" w:eastAsia="Arial Unicode MS" w:hAnsi="ITC Avant Garde" w:cs="Times"/>
          <w:color w:val="000000" w:themeColor="text1"/>
          <w:szCs w:val="21"/>
          <w:bdr w:val="nil"/>
          <w:lang w:eastAsia="es-MX"/>
        </w:rPr>
        <w:t>niciativa de la Ley</w:t>
      </w:r>
      <w:r w:rsidR="00E56F0B">
        <w:rPr>
          <w:rFonts w:ascii="ITC Avant Garde" w:eastAsia="Arial Unicode MS" w:hAnsi="ITC Avant Garde" w:cs="Times"/>
          <w:color w:val="000000" w:themeColor="text1"/>
          <w:szCs w:val="21"/>
          <w:bdr w:val="nil"/>
          <w:lang w:eastAsia="es-MX"/>
        </w:rPr>
        <w:t>,</w:t>
      </w:r>
      <w:r w:rsidR="00942224" w:rsidRPr="00535B7F">
        <w:rPr>
          <w:rFonts w:ascii="ITC Avant Garde" w:eastAsia="Arial Unicode MS" w:hAnsi="ITC Avant Garde" w:cs="Times"/>
          <w:color w:val="000000" w:themeColor="text1"/>
          <w:szCs w:val="21"/>
          <w:bdr w:val="nil"/>
          <w:lang w:eastAsia="es-MX"/>
        </w:rPr>
        <w:t xml:space="preserve"> presentada por el Ejecutivo Federal ante la Cámara de Senadores el 25 de marzo de 2014</w:t>
      </w:r>
      <w:r w:rsidR="00942224">
        <w:rPr>
          <w:rStyle w:val="Refdenotaalpie"/>
          <w:rFonts w:ascii="ITC Avant Garde" w:eastAsia="Arial Unicode MS" w:hAnsi="ITC Avant Garde" w:cs="Times"/>
          <w:color w:val="000000" w:themeColor="text1"/>
          <w:szCs w:val="21"/>
          <w:bdr w:val="nil"/>
          <w:lang w:eastAsia="es-MX"/>
        </w:rPr>
        <w:footnoteReference w:id="9"/>
      </w:r>
      <w:r w:rsidR="00942224" w:rsidRPr="00535B7F">
        <w:rPr>
          <w:rFonts w:ascii="ITC Avant Garde" w:eastAsia="Arial Unicode MS" w:hAnsi="ITC Avant Garde" w:cs="Times"/>
          <w:color w:val="000000" w:themeColor="text1"/>
          <w:szCs w:val="21"/>
          <w:bdr w:val="nil"/>
          <w:lang w:eastAsia="es-MX"/>
        </w:rPr>
        <w:t xml:space="preserve">, </w:t>
      </w:r>
      <w:r w:rsidR="00942224">
        <w:rPr>
          <w:rFonts w:ascii="ITC Avant Garde" w:eastAsia="Arial Unicode MS" w:hAnsi="ITC Avant Garde" w:cs="Times"/>
          <w:color w:val="000000" w:themeColor="text1"/>
          <w:szCs w:val="21"/>
          <w:bdr w:val="nil"/>
          <w:lang w:eastAsia="es-MX"/>
        </w:rPr>
        <w:t>dispuso lo siguiente:</w:t>
      </w:r>
    </w:p>
    <w:p w14:paraId="5FBEEE21" w14:textId="77777777" w:rsidR="00942224" w:rsidRDefault="00942224" w:rsidP="00942224">
      <w:pPr>
        <w:pBdr>
          <w:top w:val="nil"/>
          <w:left w:val="nil"/>
          <w:bottom w:val="nil"/>
          <w:right w:val="nil"/>
          <w:between w:val="nil"/>
          <w:bar w:val="nil"/>
        </w:pBdr>
        <w:spacing w:after="0" w:line="240" w:lineRule="auto"/>
        <w:contextualSpacing/>
        <w:jc w:val="both"/>
        <w:rPr>
          <w:rFonts w:ascii="ITC Avant Garde" w:eastAsia="Arial Unicode MS" w:hAnsi="ITC Avant Garde" w:cs="Times"/>
          <w:color w:val="000000" w:themeColor="text1"/>
          <w:szCs w:val="21"/>
          <w:bdr w:val="nil"/>
          <w:lang w:eastAsia="es-MX"/>
        </w:rPr>
      </w:pPr>
    </w:p>
    <w:p w14:paraId="3AC244E6" w14:textId="77777777" w:rsidR="00942224" w:rsidRPr="00D86B3B" w:rsidRDefault="00942224" w:rsidP="00942224">
      <w:pPr>
        <w:pBdr>
          <w:top w:val="nil"/>
          <w:left w:val="nil"/>
          <w:bottom w:val="nil"/>
          <w:right w:val="nil"/>
          <w:between w:val="nil"/>
          <w:bar w:val="nil"/>
        </w:pBdr>
        <w:spacing w:after="0" w:line="240" w:lineRule="auto"/>
        <w:ind w:left="1134" w:right="900"/>
        <w:contextualSpacing/>
        <w:jc w:val="both"/>
        <w:rPr>
          <w:rFonts w:ascii="ITC Avant Garde" w:eastAsia="Arial Unicode MS" w:hAnsi="ITC Avant Garde" w:cs="Times"/>
          <w:i/>
          <w:color w:val="000000" w:themeColor="text1"/>
          <w:sz w:val="20"/>
          <w:szCs w:val="20"/>
          <w:bdr w:val="nil"/>
          <w:lang w:eastAsia="es-MX"/>
        </w:rPr>
      </w:pPr>
      <w:r w:rsidRPr="00D86B3B">
        <w:rPr>
          <w:rFonts w:ascii="ITC Avant Garde" w:eastAsia="Arial Unicode MS" w:hAnsi="ITC Avant Garde" w:cs="Times"/>
          <w:i/>
          <w:color w:val="000000" w:themeColor="text1"/>
          <w:sz w:val="20"/>
          <w:szCs w:val="20"/>
          <w:bdr w:val="nil"/>
          <w:lang w:eastAsia="es-MX"/>
        </w:rPr>
        <w:t>“</w:t>
      </w:r>
      <w:r w:rsidRPr="00D86B3B">
        <w:rPr>
          <w:rFonts w:ascii="ITC Avant Garde" w:eastAsia="Arial Unicode MS" w:hAnsi="ITC Avant Garde" w:cs="Times"/>
          <w:b/>
          <w:i/>
          <w:color w:val="000000" w:themeColor="text1"/>
          <w:sz w:val="20"/>
          <w:szCs w:val="20"/>
          <w:bdr w:val="nil"/>
          <w:lang w:eastAsia="es-MX"/>
        </w:rPr>
        <w:t>Mercado secundario de espectro radioeléctrico</w:t>
      </w:r>
    </w:p>
    <w:p w14:paraId="49DA0E63" w14:textId="77777777" w:rsidR="00942224" w:rsidRPr="00D86B3B" w:rsidRDefault="00942224" w:rsidP="00942224">
      <w:pPr>
        <w:pBdr>
          <w:top w:val="nil"/>
          <w:left w:val="nil"/>
          <w:bottom w:val="nil"/>
          <w:right w:val="nil"/>
          <w:between w:val="nil"/>
          <w:bar w:val="nil"/>
        </w:pBdr>
        <w:spacing w:after="0" w:line="240" w:lineRule="auto"/>
        <w:ind w:left="1134" w:right="900"/>
        <w:contextualSpacing/>
        <w:jc w:val="both"/>
        <w:rPr>
          <w:rFonts w:ascii="ITC Avant Garde" w:eastAsia="Arial Unicode MS" w:hAnsi="ITC Avant Garde" w:cs="Times"/>
          <w:i/>
          <w:color w:val="000000" w:themeColor="text1"/>
          <w:sz w:val="20"/>
          <w:szCs w:val="20"/>
          <w:bdr w:val="nil"/>
          <w:lang w:eastAsia="es-MX"/>
        </w:rPr>
      </w:pPr>
    </w:p>
    <w:p w14:paraId="4D66B5D8" w14:textId="77777777" w:rsidR="00942224" w:rsidRPr="009105E3" w:rsidRDefault="00942224" w:rsidP="00942224">
      <w:pPr>
        <w:pBdr>
          <w:top w:val="nil"/>
          <w:left w:val="nil"/>
          <w:bottom w:val="nil"/>
          <w:right w:val="nil"/>
          <w:between w:val="nil"/>
          <w:bar w:val="nil"/>
        </w:pBdr>
        <w:spacing w:after="0" w:line="240" w:lineRule="auto"/>
        <w:ind w:left="1134" w:right="1182"/>
        <w:contextualSpacing/>
        <w:jc w:val="both"/>
        <w:rPr>
          <w:rFonts w:ascii="ITC Avant Garde" w:eastAsia="Arial Unicode MS" w:hAnsi="ITC Avant Garde" w:cs="Times"/>
          <w:i/>
          <w:color w:val="000000" w:themeColor="text1"/>
          <w:sz w:val="20"/>
          <w:szCs w:val="20"/>
          <w:bdr w:val="nil"/>
          <w:lang w:eastAsia="es-MX"/>
        </w:rPr>
      </w:pPr>
      <w:r w:rsidRPr="009105E3">
        <w:rPr>
          <w:rFonts w:ascii="ITC Avant Garde" w:eastAsia="Arial Unicode MS" w:hAnsi="ITC Avant Garde" w:cs="Times"/>
          <w:i/>
          <w:color w:val="000000" w:themeColor="text1"/>
          <w:sz w:val="20"/>
          <w:szCs w:val="20"/>
          <w:bdr w:val="nil"/>
          <w:lang w:eastAsia="es-MX"/>
        </w:rPr>
        <w:t>La transferencia entre particulares del derecho de uso del espectro radioeléctrico se conoce en el sector telecomunicaciones, a nivel internacional, como mercado secundario de espectro.</w:t>
      </w:r>
    </w:p>
    <w:p w14:paraId="785AFD0D" w14:textId="77777777" w:rsidR="00942224" w:rsidRPr="009105E3" w:rsidRDefault="00942224" w:rsidP="00942224">
      <w:pPr>
        <w:pBdr>
          <w:top w:val="nil"/>
          <w:left w:val="nil"/>
          <w:bottom w:val="nil"/>
          <w:right w:val="nil"/>
          <w:between w:val="nil"/>
          <w:bar w:val="nil"/>
        </w:pBdr>
        <w:spacing w:after="0" w:line="240" w:lineRule="auto"/>
        <w:ind w:left="1134" w:right="1182"/>
        <w:contextualSpacing/>
        <w:jc w:val="both"/>
        <w:rPr>
          <w:rFonts w:ascii="ITC Avant Garde" w:eastAsia="Arial Unicode MS" w:hAnsi="ITC Avant Garde" w:cs="Times"/>
          <w:i/>
          <w:color w:val="000000" w:themeColor="text1"/>
          <w:sz w:val="20"/>
          <w:szCs w:val="20"/>
          <w:bdr w:val="nil"/>
          <w:lang w:eastAsia="es-MX"/>
        </w:rPr>
      </w:pPr>
    </w:p>
    <w:p w14:paraId="55AAD6E7" w14:textId="77777777" w:rsidR="00942224" w:rsidRPr="009105E3" w:rsidRDefault="00942224" w:rsidP="00942224">
      <w:pPr>
        <w:pBdr>
          <w:top w:val="nil"/>
          <w:left w:val="nil"/>
          <w:bottom w:val="nil"/>
          <w:right w:val="nil"/>
          <w:between w:val="nil"/>
          <w:bar w:val="nil"/>
        </w:pBdr>
        <w:spacing w:after="0" w:line="240" w:lineRule="auto"/>
        <w:ind w:left="1134" w:right="1182"/>
        <w:contextualSpacing/>
        <w:jc w:val="both"/>
        <w:rPr>
          <w:rFonts w:ascii="ITC Avant Garde" w:eastAsia="Arial Unicode MS" w:hAnsi="ITC Avant Garde" w:cs="Times"/>
          <w:i/>
          <w:color w:val="000000" w:themeColor="text1"/>
          <w:sz w:val="20"/>
          <w:szCs w:val="20"/>
          <w:bdr w:val="nil"/>
          <w:lang w:eastAsia="es-MX"/>
        </w:rPr>
      </w:pPr>
      <w:r w:rsidRPr="009105E3">
        <w:rPr>
          <w:rFonts w:ascii="ITC Avant Garde" w:eastAsia="Arial Unicode MS" w:hAnsi="ITC Avant Garde" w:cs="Times"/>
          <w:i/>
          <w:color w:val="000000" w:themeColor="text1"/>
          <w:sz w:val="20"/>
          <w:szCs w:val="20"/>
          <w:bdr w:val="nil"/>
          <w:lang w:eastAsia="es-MX"/>
        </w:rPr>
        <w:t>Este mecanismo ha sido utilizado en diversos países</w:t>
      </w:r>
      <w:r w:rsidRPr="009105E3">
        <w:rPr>
          <w:rFonts w:ascii="ITC Avant Garde" w:eastAsia="Arial Unicode MS" w:hAnsi="ITC Avant Garde" w:cs="Times"/>
          <w:i/>
          <w:color w:val="000000" w:themeColor="text1"/>
          <w:sz w:val="20"/>
          <w:szCs w:val="20"/>
          <w:bdr w:val="nil"/>
          <w:vertAlign w:val="superscript"/>
          <w:lang w:eastAsia="es-MX"/>
        </w:rPr>
        <w:t xml:space="preserve">6 </w:t>
      </w:r>
      <w:r w:rsidRPr="009105E3">
        <w:rPr>
          <w:rFonts w:ascii="ITC Avant Garde" w:eastAsia="Arial Unicode MS" w:hAnsi="ITC Avant Garde" w:cs="Times"/>
          <w:i/>
          <w:color w:val="000000" w:themeColor="text1"/>
          <w:sz w:val="20"/>
          <w:szCs w:val="20"/>
          <w:bdr w:val="nil"/>
          <w:lang w:eastAsia="es-MX"/>
        </w:rPr>
        <w:t xml:space="preserve">para flexibilizar, agilizar y dar dinamismo a la gestión del espectro radioeléctrico, ya que por una parte permite disminuir o corregir las ineficiencias que hayan ocurrido en la asignación de espectro (acumulación y ociosidad), así como dar la posibilidad de que se redistribuya hacia aquellos que lo </w:t>
      </w:r>
      <w:r w:rsidRPr="009105E3">
        <w:rPr>
          <w:rFonts w:ascii="ITC Avant Garde" w:eastAsia="Arial Unicode MS" w:hAnsi="ITC Avant Garde" w:cs="Times"/>
          <w:i/>
          <w:color w:val="000000" w:themeColor="text1"/>
          <w:sz w:val="20"/>
          <w:szCs w:val="20"/>
          <w:bdr w:val="nil"/>
          <w:lang w:eastAsia="es-MX"/>
        </w:rPr>
        <w:lastRenderedPageBreak/>
        <w:t>requieren para satisfacer las demandas de los usuarios (uso eficiente). Por otra parte, es una alternativa que permite a cualquier interesado obtener espectro radioeléctrico sin depender de que el Estado lo licite, con lo que se elimina una de las principales barreras de entrada para nuevos competidores.</w:t>
      </w:r>
    </w:p>
    <w:p w14:paraId="16034D70" w14:textId="77777777" w:rsidR="00942224" w:rsidRPr="009105E3" w:rsidRDefault="00942224" w:rsidP="00942224">
      <w:pPr>
        <w:pBdr>
          <w:top w:val="nil"/>
          <w:left w:val="nil"/>
          <w:bottom w:val="nil"/>
          <w:right w:val="nil"/>
          <w:between w:val="nil"/>
          <w:bar w:val="nil"/>
        </w:pBdr>
        <w:spacing w:after="0" w:line="240" w:lineRule="auto"/>
        <w:ind w:left="1134" w:right="1182"/>
        <w:contextualSpacing/>
        <w:jc w:val="both"/>
        <w:rPr>
          <w:rFonts w:ascii="ITC Avant Garde" w:eastAsia="Arial Unicode MS" w:hAnsi="ITC Avant Garde" w:cs="Times"/>
          <w:i/>
          <w:color w:val="000000" w:themeColor="text1"/>
          <w:sz w:val="20"/>
          <w:szCs w:val="20"/>
          <w:bdr w:val="nil"/>
          <w:lang w:eastAsia="es-MX"/>
        </w:rPr>
      </w:pPr>
    </w:p>
    <w:p w14:paraId="17BE7C49" w14:textId="77777777" w:rsidR="00942224" w:rsidRPr="009105E3" w:rsidRDefault="00942224" w:rsidP="00942224">
      <w:pPr>
        <w:pBdr>
          <w:top w:val="nil"/>
          <w:left w:val="nil"/>
          <w:bottom w:val="nil"/>
          <w:right w:val="nil"/>
          <w:between w:val="nil"/>
          <w:bar w:val="nil"/>
        </w:pBdr>
        <w:spacing w:after="0" w:line="240" w:lineRule="auto"/>
        <w:ind w:left="1134" w:right="1182"/>
        <w:contextualSpacing/>
        <w:jc w:val="both"/>
        <w:rPr>
          <w:rFonts w:ascii="ITC Avant Garde" w:eastAsia="Arial Unicode MS" w:hAnsi="ITC Avant Garde" w:cs="Times"/>
          <w:i/>
          <w:color w:val="000000" w:themeColor="text1"/>
          <w:sz w:val="20"/>
          <w:szCs w:val="20"/>
          <w:bdr w:val="nil"/>
          <w:vertAlign w:val="superscript"/>
          <w:lang w:eastAsia="es-MX"/>
        </w:rPr>
      </w:pPr>
      <w:r w:rsidRPr="009105E3">
        <w:rPr>
          <w:rFonts w:ascii="ITC Avant Garde" w:eastAsia="Arial Unicode MS" w:hAnsi="ITC Avant Garde" w:cs="Times"/>
          <w:i/>
          <w:color w:val="000000" w:themeColor="text1"/>
          <w:sz w:val="20"/>
          <w:szCs w:val="20"/>
          <w:bdr w:val="nil"/>
          <w:lang w:eastAsia="es-MX"/>
        </w:rPr>
        <w:t>El mercado secundario está integrado por dos figuras jurídicas:</w:t>
      </w:r>
      <w:r w:rsidRPr="009105E3">
        <w:rPr>
          <w:rFonts w:ascii="ITC Avant Garde" w:eastAsia="Arial Unicode MS" w:hAnsi="ITC Avant Garde" w:cs="Times"/>
          <w:b/>
          <w:i/>
          <w:color w:val="000000" w:themeColor="text1"/>
          <w:sz w:val="20"/>
          <w:szCs w:val="20"/>
          <w:bdr w:val="nil"/>
          <w:lang w:eastAsia="es-MX"/>
        </w:rPr>
        <w:t xml:space="preserve"> </w:t>
      </w:r>
      <w:r w:rsidRPr="00FF0D44">
        <w:rPr>
          <w:rFonts w:ascii="ITC Avant Garde" w:eastAsia="Arial Unicode MS" w:hAnsi="ITC Avant Garde" w:cs="Times"/>
          <w:i/>
          <w:color w:val="000000" w:themeColor="text1"/>
          <w:sz w:val="20"/>
          <w:szCs w:val="20"/>
          <w:bdr w:val="nil"/>
          <w:lang w:eastAsia="es-MX"/>
        </w:rPr>
        <w:t>i</w:t>
      </w:r>
      <w:r w:rsidRPr="00DA4711">
        <w:rPr>
          <w:rFonts w:ascii="ITC Avant Garde" w:eastAsia="Arial Unicode MS" w:hAnsi="ITC Avant Garde" w:cs="Times"/>
          <w:i/>
          <w:color w:val="000000" w:themeColor="text1"/>
          <w:sz w:val="20"/>
          <w:szCs w:val="20"/>
          <w:bdr w:val="nil"/>
          <w:lang w:eastAsia="es-MX"/>
        </w:rPr>
        <w:t>) la cesión de derechos, y ii) el arrendamiento de espectro radioeléctrico</w:t>
      </w:r>
      <w:r w:rsidRPr="00DA4711">
        <w:rPr>
          <w:rFonts w:ascii="ITC Avant Garde" w:eastAsia="Arial Unicode MS" w:hAnsi="ITC Avant Garde" w:cs="Times"/>
          <w:i/>
          <w:color w:val="000000" w:themeColor="text1"/>
          <w:sz w:val="20"/>
          <w:szCs w:val="20"/>
          <w:bdr w:val="nil"/>
          <w:vertAlign w:val="superscript"/>
          <w:lang w:eastAsia="es-MX"/>
        </w:rPr>
        <w:t>7</w:t>
      </w:r>
      <w:r w:rsidRPr="00DA4711">
        <w:rPr>
          <w:rFonts w:ascii="ITC Avant Garde" w:eastAsia="Arial Unicode MS" w:hAnsi="ITC Avant Garde" w:cs="Times"/>
          <w:i/>
          <w:color w:val="000000" w:themeColor="text1"/>
          <w:sz w:val="20"/>
          <w:szCs w:val="20"/>
          <w:bdr w:val="nil"/>
          <w:lang w:eastAsia="es-MX"/>
        </w:rPr>
        <w:t>.</w:t>
      </w:r>
      <w:r w:rsidRPr="009105E3">
        <w:rPr>
          <w:rFonts w:ascii="ITC Avant Garde" w:eastAsia="Arial Unicode MS" w:hAnsi="ITC Avant Garde" w:cs="Times"/>
          <w:i/>
          <w:color w:val="000000" w:themeColor="text1"/>
          <w:sz w:val="20"/>
          <w:szCs w:val="20"/>
          <w:bdr w:val="nil"/>
          <w:vertAlign w:val="superscript"/>
          <w:lang w:eastAsia="es-MX"/>
        </w:rPr>
        <w:t xml:space="preserve"> </w:t>
      </w:r>
    </w:p>
    <w:p w14:paraId="01B2B1A6" w14:textId="21B97DD6" w:rsidR="00942224" w:rsidRDefault="00942224" w:rsidP="00942224">
      <w:pPr>
        <w:pBdr>
          <w:top w:val="nil"/>
          <w:left w:val="nil"/>
          <w:bottom w:val="nil"/>
          <w:right w:val="nil"/>
          <w:between w:val="nil"/>
          <w:bar w:val="nil"/>
        </w:pBdr>
        <w:spacing w:after="0" w:line="240" w:lineRule="auto"/>
        <w:ind w:left="1134" w:right="1182"/>
        <w:contextualSpacing/>
        <w:jc w:val="both"/>
        <w:rPr>
          <w:rFonts w:ascii="ITC Avant Garde" w:eastAsia="Arial Unicode MS" w:hAnsi="ITC Avant Garde" w:cs="Times"/>
          <w:i/>
          <w:color w:val="000000" w:themeColor="text1"/>
          <w:sz w:val="20"/>
          <w:szCs w:val="20"/>
          <w:bdr w:val="nil"/>
          <w:lang w:eastAsia="es-MX"/>
        </w:rPr>
      </w:pPr>
      <w:r w:rsidRPr="009105E3">
        <w:rPr>
          <w:rFonts w:ascii="ITC Avant Garde" w:eastAsia="Arial Unicode MS" w:hAnsi="ITC Avant Garde" w:cs="Times"/>
          <w:i/>
          <w:color w:val="000000" w:themeColor="text1"/>
          <w:sz w:val="20"/>
          <w:szCs w:val="20"/>
          <w:bdr w:val="nil"/>
          <w:lang w:eastAsia="es-MX"/>
        </w:rPr>
        <w:t>(…)</w:t>
      </w:r>
      <w:r w:rsidRPr="009105E3">
        <w:rPr>
          <w:rFonts w:ascii="ITC Avant Garde" w:eastAsia="Arial Unicode MS" w:hAnsi="ITC Avant Garde" w:cs="Times"/>
          <w:i/>
          <w:color w:val="000000" w:themeColor="text1"/>
          <w:sz w:val="20"/>
          <w:szCs w:val="20"/>
          <w:bdr w:val="nil"/>
          <w:vertAlign w:val="superscript"/>
          <w:lang w:eastAsia="es-MX"/>
        </w:rPr>
        <w:br/>
      </w:r>
      <w:r w:rsidRPr="00DA4711">
        <w:rPr>
          <w:rFonts w:ascii="ITC Avant Garde" w:eastAsia="Arial Unicode MS" w:hAnsi="ITC Avant Garde" w:cs="Times"/>
          <w:b/>
          <w:i/>
          <w:color w:val="000000" w:themeColor="text1"/>
          <w:sz w:val="20"/>
          <w:szCs w:val="20"/>
          <w:bdr w:val="nil"/>
          <w:lang w:eastAsia="es-MX"/>
        </w:rPr>
        <w:t>Por tales razones, se propone incluir en nuestro marco jurídico la figura del arrendamiento de espectro radioeléctrico, dando la posibilidad de que el arrendamiento pueda ser total o parcial, ya sea de canales, frecuencias o bandas de frecuencias,</w:t>
      </w:r>
      <w:r w:rsidRPr="009105E3">
        <w:rPr>
          <w:rFonts w:ascii="ITC Avant Garde" w:eastAsia="Arial Unicode MS" w:hAnsi="ITC Avant Garde" w:cs="Times"/>
          <w:i/>
          <w:color w:val="000000" w:themeColor="text1"/>
          <w:sz w:val="20"/>
          <w:szCs w:val="20"/>
          <w:bdr w:val="nil"/>
          <w:lang w:eastAsia="es-MX"/>
        </w:rPr>
        <w:t xml:space="preserve"> pues de esta manera se otorga la mayor flexibilidad para que los interesados determinen la cantidad o modalidad de espectro radioeléctrico que desean, ya sea para que un nuevo concesionario incursione en el mercado o para que los existentes satisfagan sus necesidades de espectro y fortalezcan sus servicios, todo en beneficio de los usuarios.</w:t>
      </w:r>
    </w:p>
    <w:p w14:paraId="3F55D877" w14:textId="77777777" w:rsidR="00942224" w:rsidRPr="009105E3" w:rsidRDefault="00942224" w:rsidP="00942224">
      <w:pPr>
        <w:pBdr>
          <w:top w:val="nil"/>
          <w:left w:val="nil"/>
          <w:bottom w:val="nil"/>
          <w:right w:val="nil"/>
          <w:between w:val="nil"/>
          <w:bar w:val="nil"/>
        </w:pBdr>
        <w:spacing w:after="0" w:line="240" w:lineRule="auto"/>
        <w:ind w:left="1134" w:right="902"/>
        <w:contextualSpacing/>
        <w:jc w:val="both"/>
        <w:rPr>
          <w:rFonts w:ascii="ITC Avant Garde" w:eastAsia="Arial Unicode MS" w:hAnsi="ITC Avant Garde" w:cs="Times"/>
          <w:i/>
          <w:color w:val="000000" w:themeColor="text1"/>
          <w:sz w:val="20"/>
          <w:szCs w:val="20"/>
          <w:bdr w:val="nil"/>
          <w:lang w:eastAsia="es-MX"/>
        </w:rPr>
      </w:pPr>
      <w:r>
        <w:rPr>
          <w:rFonts w:ascii="ITC Avant Garde" w:eastAsia="Arial Unicode MS" w:hAnsi="ITC Avant Garde" w:cs="Times"/>
          <w:i/>
          <w:color w:val="000000" w:themeColor="text1"/>
          <w:sz w:val="20"/>
          <w:szCs w:val="20"/>
          <w:bdr w:val="nil"/>
          <w:lang w:eastAsia="es-MX"/>
        </w:rPr>
        <w:t>(…)”</w:t>
      </w:r>
    </w:p>
    <w:p w14:paraId="43E5DF0B" w14:textId="77777777" w:rsidR="00942224" w:rsidRDefault="00942224" w:rsidP="00942224">
      <w:pPr>
        <w:tabs>
          <w:tab w:val="left" w:pos="284"/>
          <w:tab w:val="left" w:pos="426"/>
        </w:tabs>
        <w:spacing w:after="0" w:line="240" w:lineRule="auto"/>
        <w:jc w:val="both"/>
        <w:rPr>
          <w:rFonts w:ascii="ITC Avant Garde" w:hAnsi="ITC Avant Garde"/>
          <w:lang w:val="es-ES"/>
        </w:rPr>
      </w:pPr>
    </w:p>
    <w:p w14:paraId="64AA914B" w14:textId="4DB04629" w:rsidR="00942224" w:rsidRDefault="00957C15" w:rsidP="00942224">
      <w:pPr>
        <w:tabs>
          <w:tab w:val="left" w:pos="284"/>
          <w:tab w:val="left" w:pos="426"/>
        </w:tabs>
        <w:spacing w:after="0" w:line="240" w:lineRule="auto"/>
        <w:jc w:val="both"/>
        <w:rPr>
          <w:rFonts w:ascii="ITC Avant Garde" w:hAnsi="ITC Avant Garde"/>
          <w:lang w:val="es-ES"/>
        </w:rPr>
      </w:pPr>
      <w:r>
        <w:rPr>
          <w:rFonts w:ascii="ITC Avant Garde" w:hAnsi="ITC Avant Garde"/>
          <w:lang w:val="es-ES"/>
        </w:rPr>
        <w:t xml:space="preserve">En este sentido, si bien la Ley es omisa en </w:t>
      </w:r>
      <w:r w:rsidR="007342C2">
        <w:rPr>
          <w:rFonts w:ascii="ITC Avant Garde" w:hAnsi="ITC Avant Garde"/>
          <w:lang w:val="es-ES"/>
        </w:rPr>
        <w:t xml:space="preserve">abordar el tópico relativo a la cantidad de espectro radioeléctrico susceptible de ser </w:t>
      </w:r>
      <w:r w:rsidR="007342C2" w:rsidRPr="00A24642">
        <w:rPr>
          <w:rFonts w:ascii="ITC Avant Garde" w:hAnsi="ITC Avant Garde"/>
          <w:lang w:val="es-ES"/>
        </w:rPr>
        <w:t>arrendado,</w:t>
      </w:r>
      <w:r w:rsidRPr="00A24642">
        <w:rPr>
          <w:rFonts w:ascii="ITC Avant Garde" w:hAnsi="ITC Avant Garde"/>
          <w:lang w:val="es-ES"/>
        </w:rPr>
        <w:t xml:space="preserve"> l</w:t>
      </w:r>
      <w:r w:rsidR="00942224" w:rsidRPr="00A24642">
        <w:rPr>
          <w:rFonts w:ascii="ITC Avant Garde" w:hAnsi="ITC Avant Garde"/>
          <w:lang w:val="es-ES"/>
        </w:rPr>
        <w:t xml:space="preserve">a iniciativa de Ley </w:t>
      </w:r>
      <w:r w:rsidRPr="00A24642">
        <w:rPr>
          <w:rFonts w:ascii="ITC Avant Garde" w:hAnsi="ITC Avant Garde"/>
          <w:lang w:val="es-ES"/>
        </w:rPr>
        <w:t>prevé</w:t>
      </w:r>
      <w:r w:rsidR="00942224" w:rsidRPr="00A24642">
        <w:rPr>
          <w:rFonts w:ascii="ITC Avant Garde" w:hAnsi="ITC Avant Garde"/>
          <w:lang w:val="es-ES"/>
        </w:rPr>
        <w:t xml:space="preserve"> la figura del arrendam</w:t>
      </w:r>
      <w:r w:rsidRPr="00A24642">
        <w:rPr>
          <w:rFonts w:ascii="ITC Avant Garde" w:hAnsi="ITC Avant Garde"/>
          <w:lang w:val="es-ES"/>
        </w:rPr>
        <w:t>iento de manera total o parcial, por lo que dicha</w:t>
      </w:r>
      <w:r>
        <w:rPr>
          <w:rFonts w:ascii="ITC Avant Garde" w:hAnsi="ITC Avant Garde"/>
          <w:lang w:val="es-ES"/>
        </w:rPr>
        <w:t xml:space="preserve"> consideración se recoge en la elaboración de los Lineamientos que nos ocupan.</w:t>
      </w:r>
    </w:p>
    <w:p w14:paraId="7D09488C" w14:textId="77777777" w:rsidR="00942224" w:rsidRDefault="00942224" w:rsidP="00F003B2">
      <w:pPr>
        <w:spacing w:after="0" w:line="240" w:lineRule="auto"/>
        <w:contextualSpacing/>
        <w:jc w:val="both"/>
        <w:rPr>
          <w:rFonts w:ascii="ITC Avant Garde" w:hAnsi="ITC Avant Garde"/>
          <w:szCs w:val="21"/>
        </w:rPr>
      </w:pPr>
    </w:p>
    <w:p w14:paraId="7BD457EC" w14:textId="2987D92E" w:rsidR="00787FFA" w:rsidRDefault="00787FFA" w:rsidP="00F003B2">
      <w:pPr>
        <w:spacing w:after="0" w:line="240" w:lineRule="auto"/>
        <w:contextualSpacing/>
        <w:jc w:val="both"/>
        <w:rPr>
          <w:rFonts w:ascii="ITC Avant Garde" w:hAnsi="ITC Avant Garde"/>
          <w:szCs w:val="21"/>
        </w:rPr>
      </w:pPr>
      <w:r w:rsidRPr="00D03948">
        <w:rPr>
          <w:rFonts w:ascii="ITC Avant Garde" w:hAnsi="ITC Avant Garde"/>
          <w:szCs w:val="21"/>
        </w:rPr>
        <w:t xml:space="preserve">En virtud de lo anterior, se puede definir al arrendamiento de espectro radioeléctrico como la figura por medio de la cual se </w:t>
      </w:r>
      <w:r>
        <w:rPr>
          <w:rFonts w:ascii="ITC Avant Garde" w:hAnsi="ITC Avant Garde"/>
          <w:szCs w:val="21"/>
        </w:rPr>
        <w:t>concede temporalmente</w:t>
      </w:r>
      <w:r w:rsidRPr="00D03948">
        <w:rPr>
          <w:rFonts w:ascii="ITC Avant Garde" w:hAnsi="ITC Avant Garde"/>
          <w:szCs w:val="21"/>
        </w:rPr>
        <w:t xml:space="preserve"> </w:t>
      </w:r>
      <w:r>
        <w:rPr>
          <w:rFonts w:ascii="ITC Avant Garde" w:hAnsi="ITC Avant Garde"/>
          <w:szCs w:val="21"/>
        </w:rPr>
        <w:t xml:space="preserve">a un tercero </w:t>
      </w:r>
      <w:r w:rsidR="0085576D">
        <w:rPr>
          <w:rFonts w:ascii="ITC Avant Garde" w:hAnsi="ITC Avant Garde"/>
          <w:szCs w:val="21"/>
        </w:rPr>
        <w:t xml:space="preserve">que cuente con concesión única o que la haya solicitado al Instituto </w:t>
      </w:r>
      <w:r w:rsidRPr="00D03948">
        <w:rPr>
          <w:rFonts w:ascii="ITC Avant Garde" w:hAnsi="ITC Avant Garde"/>
          <w:szCs w:val="21"/>
        </w:rPr>
        <w:t xml:space="preserve">el derecho al uso, aprovechamiento y/o explotación, </w:t>
      </w:r>
      <w:r w:rsidR="002C6462">
        <w:rPr>
          <w:rFonts w:ascii="ITC Avant Garde" w:hAnsi="ITC Avant Garde"/>
          <w:szCs w:val="21"/>
        </w:rPr>
        <w:t xml:space="preserve">según corresponda, </w:t>
      </w:r>
      <w:r w:rsidR="00942224">
        <w:rPr>
          <w:rFonts w:ascii="ITC Avant Garde" w:hAnsi="ITC Avant Garde"/>
          <w:szCs w:val="21"/>
        </w:rPr>
        <w:t xml:space="preserve">de manera total o parcial, </w:t>
      </w:r>
      <w:r w:rsidRPr="00D03948">
        <w:rPr>
          <w:rFonts w:ascii="ITC Avant Garde" w:hAnsi="ITC Avant Garde"/>
          <w:szCs w:val="21"/>
        </w:rPr>
        <w:t xml:space="preserve">de una </w:t>
      </w:r>
      <w:r w:rsidR="00C97BA0">
        <w:rPr>
          <w:rFonts w:ascii="ITC Avant Garde" w:hAnsi="ITC Avant Garde"/>
          <w:szCs w:val="21"/>
        </w:rPr>
        <w:t xml:space="preserve">o más </w:t>
      </w:r>
      <w:r w:rsidR="000C0448">
        <w:rPr>
          <w:rFonts w:ascii="ITC Avant Garde" w:hAnsi="ITC Avant Garde"/>
          <w:szCs w:val="21"/>
        </w:rPr>
        <w:t>b</w:t>
      </w:r>
      <w:r w:rsidRPr="00D03948">
        <w:rPr>
          <w:rFonts w:ascii="ITC Avant Garde" w:hAnsi="ITC Avant Garde"/>
          <w:szCs w:val="21"/>
        </w:rPr>
        <w:t>anda</w:t>
      </w:r>
      <w:r w:rsidR="00C97BA0">
        <w:rPr>
          <w:rFonts w:ascii="ITC Avant Garde" w:hAnsi="ITC Avant Garde"/>
          <w:szCs w:val="21"/>
        </w:rPr>
        <w:t>s</w:t>
      </w:r>
      <w:r w:rsidRPr="00D03948">
        <w:rPr>
          <w:rFonts w:ascii="ITC Avant Garde" w:hAnsi="ITC Avant Garde"/>
          <w:szCs w:val="21"/>
        </w:rPr>
        <w:t xml:space="preserve"> de </w:t>
      </w:r>
      <w:r w:rsidR="000C0448">
        <w:rPr>
          <w:rFonts w:ascii="ITC Avant Garde" w:hAnsi="ITC Avant Garde"/>
          <w:szCs w:val="21"/>
        </w:rPr>
        <w:t>f</w:t>
      </w:r>
      <w:r w:rsidRPr="00D03948">
        <w:rPr>
          <w:rFonts w:ascii="ITC Avant Garde" w:hAnsi="ITC Avant Garde"/>
          <w:szCs w:val="21"/>
        </w:rPr>
        <w:t>recuencias previamente concesionada</w:t>
      </w:r>
      <w:r w:rsidR="00B92EF2">
        <w:rPr>
          <w:rFonts w:ascii="ITC Avant Garde" w:hAnsi="ITC Avant Garde"/>
          <w:szCs w:val="21"/>
        </w:rPr>
        <w:t>s</w:t>
      </w:r>
      <w:r w:rsidRPr="00D03948">
        <w:rPr>
          <w:rFonts w:ascii="ITC Avant Garde" w:hAnsi="ITC Avant Garde"/>
          <w:szCs w:val="21"/>
        </w:rPr>
        <w:t>, a un precio determinado</w:t>
      </w:r>
      <w:r>
        <w:rPr>
          <w:rFonts w:ascii="ITC Avant Garde" w:hAnsi="ITC Avant Garde"/>
          <w:szCs w:val="21"/>
        </w:rPr>
        <w:t>.</w:t>
      </w:r>
    </w:p>
    <w:p w14:paraId="1C3DE528" w14:textId="77777777" w:rsidR="00787FFA" w:rsidRDefault="00787FFA" w:rsidP="00F003B2">
      <w:pPr>
        <w:spacing w:after="0" w:line="240" w:lineRule="auto"/>
        <w:contextualSpacing/>
        <w:jc w:val="both"/>
        <w:rPr>
          <w:rFonts w:ascii="ITC Avant Garde" w:hAnsi="ITC Avant Garde"/>
          <w:szCs w:val="21"/>
        </w:rPr>
      </w:pPr>
    </w:p>
    <w:p w14:paraId="07250D70" w14:textId="392FFB10" w:rsidR="00CA3ADD" w:rsidRPr="00D03948" w:rsidRDefault="00CA3ADD" w:rsidP="00F003B2">
      <w:pPr>
        <w:spacing w:after="0" w:line="240" w:lineRule="auto"/>
        <w:contextualSpacing/>
        <w:jc w:val="both"/>
        <w:rPr>
          <w:rFonts w:ascii="ITC Avant Garde" w:hAnsi="ITC Avant Garde"/>
          <w:szCs w:val="21"/>
        </w:rPr>
      </w:pPr>
      <w:r>
        <w:rPr>
          <w:rFonts w:ascii="ITC Avant Garde" w:hAnsi="ITC Avant Garde"/>
          <w:szCs w:val="21"/>
        </w:rPr>
        <w:t>Cabe destacar que</w:t>
      </w:r>
      <w:r w:rsidR="005261B6">
        <w:rPr>
          <w:rFonts w:ascii="ITC Avant Garde" w:hAnsi="ITC Avant Garde"/>
          <w:szCs w:val="21"/>
        </w:rPr>
        <w:t>,</w:t>
      </w:r>
      <w:r>
        <w:rPr>
          <w:rFonts w:ascii="ITC Avant Garde" w:hAnsi="ITC Avant Garde"/>
          <w:szCs w:val="21"/>
        </w:rPr>
        <w:t xml:space="preserve"> al tratarse </w:t>
      </w:r>
      <w:r w:rsidR="00FF0D44">
        <w:rPr>
          <w:rFonts w:ascii="ITC Avant Garde" w:hAnsi="ITC Avant Garde"/>
          <w:szCs w:val="21"/>
        </w:rPr>
        <w:t>d</w:t>
      </w:r>
      <w:r w:rsidR="00FC30F4">
        <w:rPr>
          <w:rFonts w:ascii="ITC Avant Garde" w:hAnsi="ITC Avant Garde"/>
          <w:szCs w:val="21"/>
        </w:rPr>
        <w:t>e</w:t>
      </w:r>
      <w:r w:rsidR="008C423E">
        <w:rPr>
          <w:rFonts w:ascii="ITC Avant Garde" w:hAnsi="ITC Avant Garde"/>
          <w:szCs w:val="21"/>
        </w:rPr>
        <w:t xml:space="preserve"> un</w:t>
      </w:r>
      <w:r w:rsidR="00FC30F4">
        <w:rPr>
          <w:rFonts w:ascii="ITC Avant Garde" w:hAnsi="ITC Avant Garde"/>
          <w:szCs w:val="21"/>
        </w:rPr>
        <w:t xml:space="preserve"> arrendamiento </w:t>
      </w:r>
      <w:r w:rsidR="00F713BD">
        <w:rPr>
          <w:rFonts w:ascii="ITC Avant Garde" w:hAnsi="ITC Avant Garde"/>
          <w:szCs w:val="21"/>
        </w:rPr>
        <w:t xml:space="preserve">que permite </w:t>
      </w:r>
      <w:r w:rsidR="0088219D">
        <w:rPr>
          <w:rFonts w:ascii="ITC Avant Garde" w:hAnsi="ITC Avant Garde"/>
          <w:szCs w:val="21"/>
        </w:rPr>
        <w:t xml:space="preserve">el </w:t>
      </w:r>
      <w:r w:rsidR="0088219D" w:rsidRPr="00D03948">
        <w:rPr>
          <w:rFonts w:ascii="ITC Avant Garde" w:hAnsi="ITC Avant Garde"/>
          <w:szCs w:val="21"/>
        </w:rPr>
        <w:t xml:space="preserve">uso, </w:t>
      </w:r>
      <w:r w:rsidR="00FC30F4">
        <w:rPr>
          <w:rFonts w:ascii="ITC Avant Garde" w:hAnsi="ITC Avant Garde"/>
          <w:szCs w:val="21"/>
        </w:rPr>
        <w:t>aprovechamiento y/o explotación</w:t>
      </w:r>
      <w:r w:rsidR="00F713BD">
        <w:rPr>
          <w:rFonts w:ascii="ITC Avant Garde" w:hAnsi="ITC Avant Garde"/>
          <w:szCs w:val="21"/>
        </w:rPr>
        <w:t xml:space="preserve"> temporal</w:t>
      </w:r>
      <w:r w:rsidR="002C6462">
        <w:rPr>
          <w:rFonts w:ascii="ITC Avant Garde" w:hAnsi="ITC Avant Garde"/>
          <w:szCs w:val="21"/>
        </w:rPr>
        <w:t>, según corresponda,</w:t>
      </w:r>
      <w:r w:rsidR="0088219D" w:rsidRPr="00D03948">
        <w:rPr>
          <w:rFonts w:ascii="ITC Avant Garde" w:hAnsi="ITC Avant Garde"/>
          <w:szCs w:val="21"/>
        </w:rPr>
        <w:t xml:space="preserve"> de una </w:t>
      </w:r>
      <w:r w:rsidR="000C0448">
        <w:rPr>
          <w:rFonts w:ascii="ITC Avant Garde" w:hAnsi="ITC Avant Garde"/>
          <w:szCs w:val="21"/>
        </w:rPr>
        <w:t xml:space="preserve">o más </w:t>
      </w:r>
      <w:r w:rsidR="0088219D" w:rsidRPr="00D03948">
        <w:rPr>
          <w:rFonts w:ascii="ITC Avant Garde" w:hAnsi="ITC Avant Garde"/>
          <w:szCs w:val="21"/>
        </w:rPr>
        <w:t>banda</w:t>
      </w:r>
      <w:r w:rsidR="000C0448">
        <w:rPr>
          <w:rFonts w:ascii="ITC Avant Garde" w:hAnsi="ITC Avant Garde"/>
          <w:szCs w:val="21"/>
        </w:rPr>
        <w:t>s</w:t>
      </w:r>
      <w:r w:rsidR="0088219D" w:rsidRPr="00D03948">
        <w:rPr>
          <w:rFonts w:ascii="ITC Avant Garde" w:hAnsi="ITC Avant Garde"/>
          <w:szCs w:val="21"/>
        </w:rPr>
        <w:t xml:space="preserve"> de frecuencias</w:t>
      </w:r>
      <w:r w:rsidR="0088219D">
        <w:rPr>
          <w:rFonts w:ascii="ITC Avant Garde" w:hAnsi="ITC Avant Garde"/>
          <w:szCs w:val="21"/>
        </w:rPr>
        <w:t>,</w:t>
      </w:r>
      <w:r>
        <w:rPr>
          <w:rFonts w:ascii="ITC Avant Garde" w:hAnsi="ITC Avant Garde"/>
          <w:szCs w:val="21"/>
        </w:rPr>
        <w:t xml:space="preserve"> </w:t>
      </w:r>
      <w:r w:rsidR="008C423E">
        <w:rPr>
          <w:rFonts w:ascii="ITC Avant Garde" w:hAnsi="ITC Avant Garde"/>
          <w:szCs w:val="21"/>
        </w:rPr>
        <w:t>é</w:t>
      </w:r>
      <w:r w:rsidR="00FC30F4">
        <w:rPr>
          <w:rFonts w:ascii="ITC Avant Garde" w:hAnsi="ITC Avant Garde"/>
          <w:szCs w:val="21"/>
        </w:rPr>
        <w:t>ste</w:t>
      </w:r>
      <w:r w:rsidR="0088219D">
        <w:rPr>
          <w:rFonts w:ascii="ITC Avant Garde" w:hAnsi="ITC Avant Garde"/>
          <w:szCs w:val="21"/>
        </w:rPr>
        <w:t xml:space="preserve"> </w:t>
      </w:r>
      <w:r>
        <w:rPr>
          <w:rFonts w:ascii="ITC Avant Garde" w:hAnsi="ITC Avant Garde"/>
          <w:szCs w:val="21"/>
        </w:rPr>
        <w:t xml:space="preserve">no </w:t>
      </w:r>
      <w:r w:rsidR="0088219D">
        <w:rPr>
          <w:rFonts w:ascii="ITC Avant Garde" w:hAnsi="ITC Avant Garde"/>
          <w:szCs w:val="21"/>
        </w:rPr>
        <w:t xml:space="preserve">implica </w:t>
      </w:r>
      <w:r>
        <w:rPr>
          <w:rFonts w:ascii="ITC Avant Garde" w:hAnsi="ITC Avant Garde"/>
          <w:szCs w:val="21"/>
        </w:rPr>
        <w:t>e</w:t>
      </w:r>
      <w:r w:rsidR="001324B6">
        <w:rPr>
          <w:rFonts w:ascii="ITC Avant Garde" w:hAnsi="ITC Avant Garde"/>
          <w:szCs w:val="21"/>
        </w:rPr>
        <w:t>n</w:t>
      </w:r>
      <w:r>
        <w:rPr>
          <w:rFonts w:ascii="ITC Avant Garde" w:hAnsi="ITC Avant Garde"/>
          <w:szCs w:val="21"/>
        </w:rPr>
        <w:t xml:space="preserve"> forma alguna </w:t>
      </w:r>
      <w:r w:rsidR="005F7BEE">
        <w:rPr>
          <w:rFonts w:ascii="ITC Avant Garde" w:hAnsi="ITC Avant Garde"/>
          <w:szCs w:val="21"/>
        </w:rPr>
        <w:t xml:space="preserve">la </w:t>
      </w:r>
      <w:r>
        <w:rPr>
          <w:rFonts w:ascii="ITC Avant Garde" w:hAnsi="ITC Avant Garde"/>
          <w:szCs w:val="21"/>
        </w:rPr>
        <w:t>transmisión del título de concesión de las bandas de frecuencia</w:t>
      </w:r>
      <w:r w:rsidR="005F7BEE">
        <w:rPr>
          <w:rFonts w:ascii="ITC Avant Garde" w:hAnsi="ITC Avant Garde"/>
          <w:szCs w:val="21"/>
        </w:rPr>
        <w:t>s</w:t>
      </w:r>
      <w:r>
        <w:rPr>
          <w:rFonts w:ascii="ITC Avant Garde" w:hAnsi="ITC Avant Garde"/>
          <w:szCs w:val="21"/>
        </w:rPr>
        <w:t xml:space="preserve"> objeto del arrendamiento.</w:t>
      </w:r>
    </w:p>
    <w:p w14:paraId="21E21999" w14:textId="77777777" w:rsidR="00CA3ADD" w:rsidRDefault="00CA3ADD" w:rsidP="00F003B2">
      <w:pPr>
        <w:spacing w:after="0" w:line="240" w:lineRule="auto"/>
        <w:contextualSpacing/>
        <w:jc w:val="both"/>
        <w:rPr>
          <w:rFonts w:ascii="ITC Avant Garde" w:hAnsi="ITC Avant Garde"/>
          <w:szCs w:val="21"/>
        </w:rPr>
      </w:pPr>
    </w:p>
    <w:p w14:paraId="490E65C0" w14:textId="0C64E437" w:rsidR="00787FFA" w:rsidRPr="00D03948" w:rsidRDefault="00FC30F4" w:rsidP="00F003B2">
      <w:pPr>
        <w:spacing w:after="0" w:line="240" w:lineRule="auto"/>
        <w:contextualSpacing/>
        <w:jc w:val="both"/>
        <w:rPr>
          <w:rFonts w:ascii="ITC Avant Garde" w:hAnsi="ITC Avant Garde"/>
          <w:b/>
          <w:szCs w:val="21"/>
        </w:rPr>
      </w:pPr>
      <w:r>
        <w:rPr>
          <w:rFonts w:ascii="ITC Avant Garde" w:hAnsi="ITC Avant Garde"/>
          <w:szCs w:val="21"/>
        </w:rPr>
        <w:t>Ahora bien, e</w:t>
      </w:r>
      <w:r w:rsidR="00787FFA" w:rsidRPr="00D03948">
        <w:rPr>
          <w:rFonts w:ascii="ITC Avant Garde" w:hAnsi="ITC Avant Garde"/>
          <w:szCs w:val="21"/>
        </w:rPr>
        <w:t xml:space="preserve">l artículo 104 de la Ley </w:t>
      </w:r>
      <w:r w:rsidR="006E101D">
        <w:rPr>
          <w:rFonts w:ascii="ITC Avant Garde" w:hAnsi="ITC Avant Garde"/>
          <w:szCs w:val="21"/>
        </w:rPr>
        <w:t>establece</w:t>
      </w:r>
      <w:r w:rsidR="00787FFA" w:rsidRPr="00D03948">
        <w:rPr>
          <w:rFonts w:ascii="ITC Avant Garde" w:hAnsi="ITC Avant Garde"/>
          <w:szCs w:val="21"/>
        </w:rPr>
        <w:t xml:space="preserve"> los parámetros mínimos que deberán observarse para llevar a cabo el arrendamiento de espectro, a saber:</w:t>
      </w:r>
    </w:p>
    <w:p w14:paraId="21490243" w14:textId="616434B1" w:rsidR="00787FFA" w:rsidRDefault="00787FFA" w:rsidP="00F003B2">
      <w:pPr>
        <w:spacing w:after="0" w:line="240" w:lineRule="auto"/>
        <w:ind w:left="1134" w:right="1041"/>
        <w:contextualSpacing/>
        <w:jc w:val="both"/>
        <w:rPr>
          <w:rFonts w:ascii="ITC Avant Garde" w:hAnsi="ITC Avant Garde"/>
          <w:szCs w:val="21"/>
        </w:rPr>
      </w:pPr>
    </w:p>
    <w:p w14:paraId="1C4B3B31" w14:textId="77777777" w:rsidR="00F37C4D" w:rsidRPr="00D03948" w:rsidRDefault="00F37C4D" w:rsidP="00F003B2">
      <w:pPr>
        <w:numPr>
          <w:ilvl w:val="0"/>
          <w:numId w:val="9"/>
        </w:numPr>
        <w:spacing w:after="0" w:line="240" w:lineRule="auto"/>
        <w:contextualSpacing/>
        <w:jc w:val="both"/>
        <w:rPr>
          <w:rFonts w:ascii="ITC Avant Garde" w:hAnsi="ITC Avant Garde"/>
          <w:szCs w:val="21"/>
        </w:rPr>
      </w:pPr>
      <w:r w:rsidRPr="00D03948">
        <w:rPr>
          <w:rFonts w:ascii="ITC Avant Garde" w:hAnsi="ITC Avant Garde"/>
          <w:szCs w:val="21"/>
        </w:rPr>
        <w:t xml:space="preserve">Que el arrendatario cuente con </w:t>
      </w:r>
      <w:r w:rsidRPr="00D03948">
        <w:rPr>
          <w:rFonts w:ascii="ITC Avant Garde" w:hAnsi="ITC Avant Garde"/>
          <w:b/>
          <w:szCs w:val="21"/>
        </w:rPr>
        <w:t>concesión única</w:t>
      </w:r>
      <w:r w:rsidRPr="00D03948">
        <w:rPr>
          <w:rFonts w:ascii="ITC Avant Garde" w:hAnsi="ITC Avant Garde"/>
          <w:szCs w:val="21"/>
        </w:rPr>
        <w:t xml:space="preserve"> del mismo uso o la haya solicitado al Instituto.</w:t>
      </w:r>
    </w:p>
    <w:p w14:paraId="0D2A80E0" w14:textId="77777777" w:rsidR="00F37C4D" w:rsidRPr="00D03948" w:rsidRDefault="00F37C4D" w:rsidP="00F003B2">
      <w:pPr>
        <w:numPr>
          <w:ilvl w:val="0"/>
          <w:numId w:val="9"/>
        </w:numPr>
        <w:spacing w:after="0" w:line="240" w:lineRule="auto"/>
        <w:contextualSpacing/>
        <w:jc w:val="both"/>
        <w:rPr>
          <w:rFonts w:ascii="ITC Avant Garde" w:hAnsi="ITC Avant Garde"/>
          <w:szCs w:val="21"/>
        </w:rPr>
      </w:pPr>
      <w:r w:rsidRPr="00D03948">
        <w:rPr>
          <w:rFonts w:ascii="ITC Avant Garde" w:hAnsi="ITC Avant Garde"/>
          <w:szCs w:val="21"/>
        </w:rPr>
        <w:t xml:space="preserve">Que el arrendatario se constituya como </w:t>
      </w:r>
      <w:r w:rsidRPr="00D03948">
        <w:rPr>
          <w:rFonts w:ascii="ITC Avant Garde" w:hAnsi="ITC Avant Garde"/>
          <w:b/>
          <w:szCs w:val="21"/>
        </w:rPr>
        <w:t>obligado solidario del concesionario</w:t>
      </w:r>
      <w:r w:rsidRPr="00D03948">
        <w:rPr>
          <w:rFonts w:ascii="ITC Avant Garde" w:hAnsi="ITC Avant Garde"/>
          <w:szCs w:val="21"/>
        </w:rPr>
        <w:t xml:space="preserve">, </w:t>
      </w:r>
      <w:r>
        <w:rPr>
          <w:rFonts w:ascii="ITC Avant Garde" w:hAnsi="ITC Avant Garde"/>
          <w:szCs w:val="21"/>
        </w:rPr>
        <w:t xml:space="preserve">respecto de las obligaciones </w:t>
      </w:r>
      <w:r w:rsidRPr="00D03948">
        <w:rPr>
          <w:rFonts w:ascii="ITC Avant Garde" w:hAnsi="ITC Avant Garde"/>
          <w:szCs w:val="21"/>
        </w:rPr>
        <w:t>derivad</w:t>
      </w:r>
      <w:r>
        <w:rPr>
          <w:rFonts w:ascii="ITC Avant Garde" w:hAnsi="ITC Avant Garde"/>
          <w:szCs w:val="21"/>
        </w:rPr>
        <w:t>as</w:t>
      </w:r>
      <w:r w:rsidRPr="00D03948">
        <w:rPr>
          <w:rFonts w:ascii="ITC Avant Garde" w:hAnsi="ITC Avant Garde"/>
          <w:szCs w:val="21"/>
        </w:rPr>
        <w:t xml:space="preserve"> de la concesión de la banda de frecuencia arrendada.</w:t>
      </w:r>
    </w:p>
    <w:p w14:paraId="329EBC16" w14:textId="77777777" w:rsidR="00F37C4D" w:rsidRPr="00D03948" w:rsidRDefault="00F37C4D" w:rsidP="00F003B2">
      <w:pPr>
        <w:numPr>
          <w:ilvl w:val="0"/>
          <w:numId w:val="9"/>
        </w:numPr>
        <w:spacing w:after="0" w:line="240" w:lineRule="auto"/>
        <w:contextualSpacing/>
        <w:jc w:val="both"/>
        <w:rPr>
          <w:rFonts w:ascii="ITC Avant Garde" w:hAnsi="ITC Avant Garde"/>
          <w:szCs w:val="21"/>
        </w:rPr>
      </w:pPr>
      <w:r w:rsidRPr="00D03948">
        <w:rPr>
          <w:rFonts w:ascii="ITC Avant Garde" w:hAnsi="ITC Avant Garde"/>
          <w:szCs w:val="21"/>
        </w:rPr>
        <w:t xml:space="preserve">Que no se afecte la </w:t>
      </w:r>
      <w:r w:rsidRPr="00D03948">
        <w:rPr>
          <w:rFonts w:ascii="ITC Avant Garde" w:hAnsi="ITC Avant Garde"/>
          <w:b/>
          <w:szCs w:val="21"/>
        </w:rPr>
        <w:t xml:space="preserve">continuidad </w:t>
      </w:r>
      <w:r>
        <w:rPr>
          <w:rFonts w:ascii="ITC Avant Garde" w:hAnsi="ITC Avant Garde"/>
          <w:b/>
          <w:szCs w:val="21"/>
        </w:rPr>
        <w:t xml:space="preserve">en la prestación </w:t>
      </w:r>
      <w:r w:rsidRPr="00D03948">
        <w:rPr>
          <w:rFonts w:ascii="ITC Avant Garde" w:hAnsi="ITC Avant Garde"/>
          <w:b/>
          <w:szCs w:val="21"/>
        </w:rPr>
        <w:t>del servicio</w:t>
      </w:r>
      <w:r w:rsidRPr="00D03948">
        <w:rPr>
          <w:rFonts w:ascii="ITC Avant Garde" w:hAnsi="ITC Avant Garde"/>
          <w:szCs w:val="21"/>
        </w:rPr>
        <w:t>.</w:t>
      </w:r>
    </w:p>
    <w:p w14:paraId="0EA26000" w14:textId="77777777" w:rsidR="00F37C4D" w:rsidRPr="00D03948" w:rsidRDefault="00F37C4D" w:rsidP="00F003B2">
      <w:pPr>
        <w:numPr>
          <w:ilvl w:val="0"/>
          <w:numId w:val="9"/>
        </w:numPr>
        <w:spacing w:after="0" w:line="240" w:lineRule="auto"/>
        <w:contextualSpacing/>
        <w:jc w:val="both"/>
        <w:rPr>
          <w:rFonts w:ascii="ITC Avant Garde" w:hAnsi="ITC Avant Garde"/>
          <w:szCs w:val="21"/>
        </w:rPr>
      </w:pPr>
      <w:r w:rsidRPr="00D03948">
        <w:rPr>
          <w:rFonts w:ascii="ITC Avant Garde" w:hAnsi="ITC Avant Garde"/>
          <w:szCs w:val="21"/>
        </w:rPr>
        <w:t xml:space="preserve">Que </w:t>
      </w:r>
      <w:r w:rsidRPr="00D03948">
        <w:rPr>
          <w:rFonts w:ascii="ITC Avant Garde" w:hAnsi="ITC Avant Garde"/>
          <w:b/>
          <w:szCs w:val="21"/>
        </w:rPr>
        <w:t>no se generen fenómenos de concentración, acaparamiento o propiedad cruzada</w:t>
      </w:r>
      <w:r w:rsidRPr="00D03948">
        <w:rPr>
          <w:rFonts w:ascii="ITC Avant Garde" w:hAnsi="ITC Avant Garde"/>
          <w:szCs w:val="21"/>
        </w:rPr>
        <w:t>.</w:t>
      </w:r>
    </w:p>
    <w:p w14:paraId="0649A8D6" w14:textId="77777777" w:rsidR="00F37C4D" w:rsidRDefault="00F37C4D" w:rsidP="00F003B2">
      <w:pPr>
        <w:spacing w:after="0" w:line="240" w:lineRule="auto"/>
        <w:contextualSpacing/>
        <w:jc w:val="both"/>
        <w:rPr>
          <w:rFonts w:ascii="ITC Avant Garde" w:hAnsi="ITC Avant Garde"/>
          <w:szCs w:val="21"/>
        </w:rPr>
      </w:pPr>
    </w:p>
    <w:p w14:paraId="011BB5D0" w14:textId="5FCFA775" w:rsidR="00FC30F4" w:rsidRDefault="00FC30F4" w:rsidP="00F003B2">
      <w:pPr>
        <w:spacing w:after="0" w:line="240" w:lineRule="auto"/>
        <w:jc w:val="both"/>
        <w:rPr>
          <w:rFonts w:ascii="ITC Avant Garde" w:hAnsi="ITC Avant Garde"/>
          <w:szCs w:val="21"/>
        </w:rPr>
      </w:pPr>
      <w:r>
        <w:rPr>
          <w:rFonts w:ascii="ITC Avant Garde" w:hAnsi="ITC Avant Garde"/>
          <w:szCs w:val="21"/>
        </w:rPr>
        <w:t xml:space="preserve">En relación </w:t>
      </w:r>
      <w:r w:rsidR="004B6E17">
        <w:rPr>
          <w:rFonts w:ascii="ITC Avant Garde" w:hAnsi="ITC Avant Garde"/>
          <w:szCs w:val="21"/>
        </w:rPr>
        <w:t>con</w:t>
      </w:r>
      <w:r>
        <w:rPr>
          <w:rFonts w:ascii="ITC Avant Garde" w:hAnsi="ITC Avant Garde"/>
          <w:szCs w:val="21"/>
        </w:rPr>
        <w:t xml:space="preserve"> </w:t>
      </w:r>
      <w:r w:rsidR="004B6E17">
        <w:rPr>
          <w:rFonts w:ascii="ITC Avant Garde" w:hAnsi="ITC Avant Garde"/>
          <w:szCs w:val="21"/>
        </w:rPr>
        <w:t xml:space="preserve">el requerimiento consistente en que </w:t>
      </w:r>
      <w:r w:rsidR="004B6E17" w:rsidRPr="00D03948">
        <w:rPr>
          <w:rFonts w:ascii="ITC Avant Garde" w:hAnsi="ITC Avant Garde"/>
          <w:szCs w:val="21"/>
        </w:rPr>
        <w:t xml:space="preserve">el arrendatario cuente con </w:t>
      </w:r>
      <w:r w:rsidR="004B6E17" w:rsidRPr="004B6E17">
        <w:rPr>
          <w:rFonts w:ascii="ITC Avant Garde" w:hAnsi="ITC Avant Garde"/>
          <w:szCs w:val="21"/>
        </w:rPr>
        <w:t>concesión única del</w:t>
      </w:r>
      <w:r w:rsidR="004B6E17" w:rsidRPr="00D03948">
        <w:rPr>
          <w:rFonts w:ascii="ITC Avant Garde" w:hAnsi="ITC Avant Garde"/>
          <w:szCs w:val="21"/>
        </w:rPr>
        <w:t xml:space="preserve"> mismo uso o la haya solicitado al Instituto</w:t>
      </w:r>
      <w:r w:rsidR="004B6E17">
        <w:rPr>
          <w:rFonts w:ascii="ITC Avant Garde" w:hAnsi="ITC Avant Garde"/>
          <w:szCs w:val="21"/>
        </w:rPr>
        <w:t>,</w:t>
      </w:r>
      <w:r w:rsidR="004B6E17" w:rsidDel="004B6E17">
        <w:rPr>
          <w:rFonts w:ascii="ITC Avant Garde" w:hAnsi="ITC Avant Garde"/>
          <w:szCs w:val="21"/>
        </w:rPr>
        <w:t xml:space="preserve"> </w:t>
      </w:r>
      <w:r>
        <w:rPr>
          <w:rFonts w:ascii="ITC Avant Garde" w:hAnsi="ITC Avant Garde"/>
          <w:szCs w:val="21"/>
        </w:rPr>
        <w:t xml:space="preserve">el artículo 66 de la Ley establece que se necesita </w:t>
      </w:r>
      <w:r w:rsidRPr="00FC30F4">
        <w:rPr>
          <w:rFonts w:ascii="ITC Avant Garde" w:hAnsi="ITC Avant Garde"/>
          <w:szCs w:val="21"/>
        </w:rPr>
        <w:t>concesión única para prestar todo tipo de servicios públicos de tel</w:t>
      </w:r>
      <w:r>
        <w:rPr>
          <w:rFonts w:ascii="ITC Avant Garde" w:hAnsi="ITC Avant Garde"/>
          <w:szCs w:val="21"/>
        </w:rPr>
        <w:t xml:space="preserve">ecomunicaciones y radiodifusión, lo que es congruente con la incorporación de la figura del arrendamiento en la búsqueda de un uso eficiente del espectro concesionado, al </w:t>
      </w:r>
      <w:r w:rsidR="00F34493">
        <w:rPr>
          <w:rFonts w:ascii="ITC Avant Garde" w:hAnsi="ITC Avant Garde"/>
          <w:szCs w:val="21"/>
        </w:rPr>
        <w:t>pretender</w:t>
      </w:r>
      <w:r>
        <w:rPr>
          <w:rFonts w:ascii="ITC Avant Garde" w:hAnsi="ITC Avant Garde"/>
          <w:szCs w:val="21"/>
        </w:rPr>
        <w:t xml:space="preserve"> que el arrendatario de espectro preste servicios públicos</w:t>
      </w:r>
      <w:r w:rsidR="004B6E17">
        <w:rPr>
          <w:rFonts w:ascii="ITC Avant Garde" w:hAnsi="ITC Avant Garde"/>
          <w:szCs w:val="21"/>
        </w:rPr>
        <w:t>,</w:t>
      </w:r>
      <w:r w:rsidR="00F34493">
        <w:rPr>
          <w:rFonts w:ascii="ITC Avant Garde" w:hAnsi="ITC Avant Garde"/>
          <w:szCs w:val="21"/>
        </w:rPr>
        <w:t xml:space="preserve"> a través del espectro que no es utilizado por el </w:t>
      </w:r>
      <w:r w:rsidR="00A24642">
        <w:rPr>
          <w:rFonts w:ascii="ITC Avant Garde" w:hAnsi="ITC Avant Garde"/>
          <w:szCs w:val="21"/>
        </w:rPr>
        <w:t>arrendador</w:t>
      </w:r>
      <w:r w:rsidR="00F34493">
        <w:rPr>
          <w:rFonts w:ascii="ITC Avant Garde" w:hAnsi="ITC Avant Garde"/>
          <w:szCs w:val="21"/>
        </w:rPr>
        <w:t>.</w:t>
      </w:r>
    </w:p>
    <w:p w14:paraId="684CECD2" w14:textId="77777777" w:rsidR="005C3B57" w:rsidRDefault="005C3B57" w:rsidP="00F003B2">
      <w:pPr>
        <w:spacing w:after="0" w:line="240" w:lineRule="auto"/>
        <w:jc w:val="both"/>
        <w:rPr>
          <w:rFonts w:ascii="ITC Avant Garde" w:hAnsi="ITC Avant Garde"/>
          <w:szCs w:val="21"/>
        </w:rPr>
      </w:pPr>
    </w:p>
    <w:p w14:paraId="4DA70AD5" w14:textId="585C05E8" w:rsidR="005F7BEE" w:rsidRDefault="005F7BEE" w:rsidP="00F003B2">
      <w:pPr>
        <w:spacing w:after="0" w:line="240" w:lineRule="auto"/>
        <w:jc w:val="both"/>
        <w:rPr>
          <w:rFonts w:ascii="ITC Avant Garde" w:hAnsi="ITC Avant Garde"/>
          <w:szCs w:val="21"/>
        </w:rPr>
      </w:pPr>
      <w:r>
        <w:rPr>
          <w:rFonts w:ascii="ITC Avant Garde" w:hAnsi="ITC Avant Garde"/>
          <w:szCs w:val="21"/>
        </w:rPr>
        <w:t xml:space="preserve">La </w:t>
      </w:r>
      <w:r w:rsidR="005C3B57">
        <w:rPr>
          <w:rFonts w:ascii="ITC Avant Garde" w:hAnsi="ITC Avant Garde"/>
          <w:szCs w:val="21"/>
        </w:rPr>
        <w:t xml:space="preserve">obligación del </w:t>
      </w:r>
      <w:r>
        <w:rPr>
          <w:rFonts w:ascii="ITC Avant Garde" w:hAnsi="ITC Avant Garde"/>
          <w:szCs w:val="21"/>
        </w:rPr>
        <w:t xml:space="preserve">arrendatario </w:t>
      </w:r>
      <w:r w:rsidR="005C3B57">
        <w:rPr>
          <w:rFonts w:ascii="ITC Avant Garde" w:hAnsi="ITC Avant Garde"/>
          <w:szCs w:val="21"/>
        </w:rPr>
        <w:t xml:space="preserve">de constituirse </w:t>
      </w:r>
      <w:r>
        <w:rPr>
          <w:rFonts w:ascii="ITC Avant Garde" w:hAnsi="ITC Avant Garde"/>
          <w:szCs w:val="21"/>
        </w:rPr>
        <w:t xml:space="preserve">como obligado solidario del arrendador, </w:t>
      </w:r>
      <w:r w:rsidR="005C3B57">
        <w:rPr>
          <w:rFonts w:ascii="ITC Avant Garde" w:hAnsi="ITC Avant Garde"/>
          <w:szCs w:val="21"/>
        </w:rPr>
        <w:t>garantiza</w:t>
      </w:r>
      <w:r>
        <w:rPr>
          <w:rFonts w:ascii="ITC Avant Garde" w:hAnsi="ITC Avant Garde"/>
          <w:szCs w:val="21"/>
        </w:rPr>
        <w:t xml:space="preserve"> que el uso, aprovechamiento y/o explotación del espectro radioeléctrico por un tercero</w:t>
      </w:r>
      <w:r w:rsidR="005C3B57">
        <w:rPr>
          <w:rFonts w:ascii="ITC Avant Garde" w:hAnsi="ITC Avant Garde"/>
          <w:szCs w:val="21"/>
        </w:rPr>
        <w:t xml:space="preserve"> no sea arbitrario, sino que sea en los mismo</w:t>
      </w:r>
      <w:r w:rsidR="00152C3A">
        <w:rPr>
          <w:rFonts w:ascii="ITC Avant Garde" w:hAnsi="ITC Avant Garde"/>
          <w:szCs w:val="21"/>
        </w:rPr>
        <w:t>s</w:t>
      </w:r>
      <w:r w:rsidR="005C3B57">
        <w:rPr>
          <w:rFonts w:ascii="ITC Avant Garde" w:hAnsi="ITC Avant Garde"/>
          <w:szCs w:val="21"/>
        </w:rPr>
        <w:t xml:space="preserve"> términos en los que se encuentra obligado el </w:t>
      </w:r>
      <w:r w:rsidR="00A24642">
        <w:rPr>
          <w:rFonts w:ascii="ITC Avant Garde" w:hAnsi="ITC Avant Garde"/>
          <w:szCs w:val="21"/>
        </w:rPr>
        <w:t>arrendador</w:t>
      </w:r>
      <w:r w:rsidR="005C3B57">
        <w:rPr>
          <w:rFonts w:ascii="ITC Avant Garde" w:hAnsi="ITC Avant Garde"/>
          <w:szCs w:val="21"/>
        </w:rPr>
        <w:t>.</w:t>
      </w:r>
    </w:p>
    <w:p w14:paraId="5A81FE0D" w14:textId="77777777" w:rsidR="005C3B57" w:rsidRDefault="005C3B57" w:rsidP="00F003B2">
      <w:pPr>
        <w:spacing w:after="0" w:line="240" w:lineRule="auto"/>
        <w:jc w:val="both"/>
        <w:rPr>
          <w:rFonts w:ascii="ITC Avant Garde" w:hAnsi="ITC Avant Garde"/>
          <w:szCs w:val="21"/>
        </w:rPr>
      </w:pPr>
    </w:p>
    <w:p w14:paraId="6EDB6341" w14:textId="00BF7387" w:rsidR="005C3B57" w:rsidRDefault="007D2790" w:rsidP="00F003B2">
      <w:pPr>
        <w:spacing w:after="0" w:line="240" w:lineRule="auto"/>
        <w:jc w:val="both"/>
        <w:rPr>
          <w:rFonts w:ascii="ITC Avant Garde" w:hAnsi="ITC Avant Garde"/>
          <w:szCs w:val="21"/>
        </w:rPr>
      </w:pPr>
      <w:r>
        <w:rPr>
          <w:rFonts w:ascii="ITC Avant Garde" w:hAnsi="ITC Avant Garde"/>
          <w:szCs w:val="21"/>
        </w:rPr>
        <w:t>P</w:t>
      </w:r>
      <w:r w:rsidRPr="004867B6">
        <w:rPr>
          <w:rFonts w:ascii="ITC Avant Garde" w:hAnsi="ITC Avant Garde"/>
          <w:szCs w:val="21"/>
        </w:rPr>
        <w:t>or su parte</w:t>
      </w:r>
      <w:r>
        <w:rPr>
          <w:rFonts w:ascii="ITC Avant Garde" w:hAnsi="ITC Avant Garde"/>
          <w:szCs w:val="21"/>
        </w:rPr>
        <w:t>, l</w:t>
      </w:r>
      <w:r w:rsidR="005C3B57" w:rsidRPr="004867B6">
        <w:rPr>
          <w:rFonts w:ascii="ITC Avant Garde" w:hAnsi="ITC Avant Garde"/>
          <w:szCs w:val="21"/>
        </w:rPr>
        <w:t xml:space="preserve">a continuidad en la prestación del servicio </w:t>
      </w:r>
      <w:r w:rsidR="00553181" w:rsidRPr="004867B6">
        <w:rPr>
          <w:rFonts w:ascii="ITC Avant Garde" w:hAnsi="ITC Avant Garde"/>
          <w:szCs w:val="21"/>
        </w:rPr>
        <w:t xml:space="preserve">es una condición necesaria para la autorización de arrendamiento, toda vez que no se podrían arrendar bandas </w:t>
      </w:r>
      <w:r w:rsidR="002F5E8E">
        <w:rPr>
          <w:rFonts w:ascii="ITC Avant Garde" w:hAnsi="ITC Avant Garde"/>
          <w:szCs w:val="21"/>
        </w:rPr>
        <w:t xml:space="preserve">de frecuencias </w:t>
      </w:r>
      <w:r w:rsidR="00553181" w:rsidRPr="004867B6">
        <w:rPr>
          <w:rFonts w:ascii="ITC Avant Garde" w:hAnsi="ITC Avant Garde"/>
          <w:szCs w:val="21"/>
        </w:rPr>
        <w:t xml:space="preserve">en las que actualmente se prestan servicios a menos que se garantice que </w:t>
      </w:r>
      <w:r w:rsidR="00986CBA">
        <w:rPr>
          <w:rFonts w:ascii="ITC Avant Garde" w:hAnsi="ITC Avant Garde"/>
          <w:szCs w:val="21"/>
        </w:rPr>
        <w:t>los</w:t>
      </w:r>
      <w:r w:rsidR="00986CBA" w:rsidRPr="004867B6">
        <w:rPr>
          <w:rFonts w:ascii="ITC Avant Garde" w:hAnsi="ITC Avant Garde"/>
          <w:szCs w:val="21"/>
        </w:rPr>
        <w:t xml:space="preserve"> </w:t>
      </w:r>
      <w:r w:rsidR="00553181" w:rsidRPr="004867B6">
        <w:rPr>
          <w:rFonts w:ascii="ITC Avant Garde" w:hAnsi="ITC Avant Garde"/>
          <w:szCs w:val="21"/>
        </w:rPr>
        <w:t>usuarios no se verían afectados por el contrato que da origen a tal determinación.</w:t>
      </w:r>
    </w:p>
    <w:p w14:paraId="0B976E43" w14:textId="77777777" w:rsidR="00553181" w:rsidRDefault="00553181" w:rsidP="00F003B2">
      <w:pPr>
        <w:spacing w:after="0" w:line="240" w:lineRule="auto"/>
        <w:jc w:val="both"/>
        <w:rPr>
          <w:rFonts w:ascii="ITC Avant Garde" w:hAnsi="ITC Avant Garde"/>
          <w:szCs w:val="21"/>
        </w:rPr>
      </w:pPr>
    </w:p>
    <w:p w14:paraId="3E19166B" w14:textId="4BBFA5EF" w:rsidR="00553181" w:rsidRDefault="00553181" w:rsidP="00F003B2">
      <w:pPr>
        <w:spacing w:after="0" w:line="240" w:lineRule="auto"/>
        <w:jc w:val="both"/>
        <w:rPr>
          <w:rFonts w:ascii="ITC Avant Garde" w:hAnsi="ITC Avant Garde"/>
          <w:szCs w:val="21"/>
        </w:rPr>
      </w:pPr>
      <w:r>
        <w:rPr>
          <w:rFonts w:ascii="ITC Avant Garde" w:hAnsi="ITC Avant Garde"/>
          <w:szCs w:val="21"/>
        </w:rPr>
        <w:t>Finalmente, cabe destacar que la concentración, el acaparamient</w:t>
      </w:r>
      <w:r w:rsidR="002245D0">
        <w:rPr>
          <w:rFonts w:ascii="ITC Avant Garde" w:hAnsi="ITC Avant Garde"/>
          <w:szCs w:val="21"/>
        </w:rPr>
        <w:t>o y la propiedad cruzada son so</w:t>
      </w:r>
      <w:r>
        <w:rPr>
          <w:rFonts w:ascii="ITC Avant Garde" w:hAnsi="ITC Avant Garde"/>
          <w:szCs w:val="21"/>
        </w:rPr>
        <w:t>lo algunos de los fenómenos económicos sobre los que el Instituto, en concordancia con sus facultades en materia de competencia económica, podrá analizar y pronunciarse al realizar un análisis previo a la determinación sobre autorización del arrendamiento.</w:t>
      </w:r>
    </w:p>
    <w:p w14:paraId="17B403B6" w14:textId="2D19170E" w:rsidR="005F7BEE" w:rsidRDefault="005F7BEE" w:rsidP="00F003B2">
      <w:pPr>
        <w:spacing w:after="0" w:line="240" w:lineRule="auto"/>
        <w:jc w:val="both"/>
        <w:rPr>
          <w:rFonts w:ascii="ITC Avant Garde" w:hAnsi="ITC Avant Garde"/>
          <w:szCs w:val="21"/>
        </w:rPr>
      </w:pPr>
    </w:p>
    <w:p w14:paraId="6257B6C5" w14:textId="3F60B78C" w:rsidR="00F37C4D" w:rsidRDefault="00D40DD3" w:rsidP="00F003B2">
      <w:pPr>
        <w:spacing w:after="0" w:line="240" w:lineRule="auto"/>
        <w:contextualSpacing/>
        <w:jc w:val="both"/>
        <w:rPr>
          <w:rFonts w:ascii="ITC Avant Garde" w:hAnsi="ITC Avant Garde"/>
        </w:rPr>
      </w:pPr>
      <w:r>
        <w:rPr>
          <w:rFonts w:ascii="ITC Avant Garde" w:hAnsi="ITC Avant Garde"/>
          <w:color w:val="000000" w:themeColor="text1"/>
          <w:szCs w:val="21"/>
        </w:rPr>
        <w:t>En virtud de lo anterior y t</w:t>
      </w:r>
      <w:r w:rsidR="00F37C4D" w:rsidRPr="00CD33B2">
        <w:rPr>
          <w:rFonts w:ascii="ITC Avant Garde" w:hAnsi="ITC Avant Garde" w:cs="Arial"/>
          <w:color w:val="000000" w:themeColor="text1"/>
        </w:rPr>
        <w:t xml:space="preserve">oda vez que el arrendamiento de espectro es una figura de reciente incorporación en la legislación mexicana, </w:t>
      </w:r>
      <w:r w:rsidR="0085576D">
        <w:rPr>
          <w:rFonts w:ascii="ITC Avant Garde" w:hAnsi="ITC Avant Garde" w:cs="Arial"/>
          <w:color w:val="000000" w:themeColor="text1"/>
        </w:rPr>
        <w:t xml:space="preserve">en uso de las facultades con las que cuenta el Instituto </w:t>
      </w:r>
      <w:r w:rsidR="00F37C4D" w:rsidRPr="00CD33B2">
        <w:rPr>
          <w:rFonts w:ascii="ITC Avant Garde" w:hAnsi="ITC Avant Garde" w:cs="Arial"/>
          <w:color w:val="000000" w:themeColor="text1"/>
        </w:rPr>
        <w:t xml:space="preserve">se considera </w:t>
      </w:r>
      <w:r w:rsidR="0085576D">
        <w:rPr>
          <w:rFonts w:ascii="ITC Avant Garde" w:hAnsi="ITC Avant Garde" w:cs="Arial"/>
          <w:color w:val="000000" w:themeColor="text1"/>
        </w:rPr>
        <w:t xml:space="preserve">necesario </w:t>
      </w:r>
      <w:r w:rsidR="00F37C4D">
        <w:rPr>
          <w:rFonts w:ascii="ITC Avant Garde" w:hAnsi="ITC Avant Garde" w:cs="Arial"/>
          <w:color w:val="000000" w:themeColor="text1"/>
        </w:rPr>
        <w:t xml:space="preserve">establecer un marco regulatorio </w:t>
      </w:r>
      <w:r>
        <w:rPr>
          <w:rFonts w:ascii="ITC Avant Garde" w:hAnsi="ITC Avant Garde" w:cs="Arial"/>
          <w:color w:val="000000" w:themeColor="text1"/>
        </w:rPr>
        <w:t>adecuado</w:t>
      </w:r>
      <w:r w:rsidR="005261B6">
        <w:rPr>
          <w:rFonts w:ascii="ITC Avant Garde" w:hAnsi="ITC Avant Garde" w:cs="Arial"/>
          <w:color w:val="000000" w:themeColor="text1"/>
        </w:rPr>
        <w:t>,</w:t>
      </w:r>
      <w:r>
        <w:rPr>
          <w:rFonts w:ascii="ITC Avant Garde" w:hAnsi="ITC Avant Garde" w:cs="Arial"/>
          <w:color w:val="000000" w:themeColor="text1"/>
        </w:rPr>
        <w:t xml:space="preserve"> </w:t>
      </w:r>
      <w:r w:rsidR="0085576D">
        <w:rPr>
          <w:rFonts w:ascii="ITC Avant Garde" w:hAnsi="ITC Avant Garde" w:cs="Arial"/>
          <w:color w:val="000000" w:themeColor="text1"/>
        </w:rPr>
        <w:t xml:space="preserve">que proporcione certeza jurídica, </w:t>
      </w:r>
      <w:r w:rsidR="00F37C4D" w:rsidRPr="00CD33B2">
        <w:rPr>
          <w:rFonts w:ascii="ITC Avant Garde" w:hAnsi="ITC Avant Garde" w:cs="Arial"/>
          <w:color w:val="000000" w:themeColor="text1"/>
        </w:rPr>
        <w:t>a efecto de contribuir a la</w:t>
      </w:r>
      <w:r w:rsidR="00F37C4D" w:rsidRPr="00CD33B2">
        <w:rPr>
          <w:rFonts w:ascii="ITC Avant Garde" w:hAnsi="ITC Avant Garde"/>
        </w:rPr>
        <w:t xml:space="preserve"> flexibilidad, agilidad y dinamismo que a la gestión del espectro brinda el </w:t>
      </w:r>
      <w:r w:rsidR="00D86E39">
        <w:rPr>
          <w:rFonts w:ascii="ITC Avant Garde" w:hAnsi="ITC Avant Garde"/>
        </w:rPr>
        <w:t>m</w:t>
      </w:r>
      <w:r w:rsidR="00F37C4D" w:rsidRPr="00CD33B2">
        <w:rPr>
          <w:rFonts w:ascii="ITC Avant Garde" w:hAnsi="ITC Avant Garde"/>
        </w:rPr>
        <w:t xml:space="preserve">ercado </w:t>
      </w:r>
      <w:r w:rsidR="00D86E39">
        <w:rPr>
          <w:rFonts w:ascii="ITC Avant Garde" w:hAnsi="ITC Avant Garde"/>
        </w:rPr>
        <w:t>s</w:t>
      </w:r>
      <w:r w:rsidR="00F37C4D" w:rsidRPr="00CD33B2">
        <w:rPr>
          <w:rFonts w:ascii="ITC Avant Garde" w:hAnsi="ITC Avant Garde"/>
        </w:rPr>
        <w:t xml:space="preserve">ecundario de </w:t>
      </w:r>
      <w:r w:rsidR="00D86E39">
        <w:rPr>
          <w:rFonts w:ascii="ITC Avant Garde" w:hAnsi="ITC Avant Garde"/>
        </w:rPr>
        <w:t>e</w:t>
      </w:r>
      <w:r w:rsidR="00F37C4D" w:rsidRPr="00CD33B2">
        <w:rPr>
          <w:rFonts w:ascii="ITC Avant Garde" w:hAnsi="ITC Avant Garde"/>
        </w:rPr>
        <w:t xml:space="preserve">spectro </w:t>
      </w:r>
      <w:r w:rsidR="00D86E39">
        <w:rPr>
          <w:rFonts w:ascii="ITC Avant Garde" w:hAnsi="ITC Avant Garde"/>
        </w:rPr>
        <w:t>r</w:t>
      </w:r>
      <w:r w:rsidR="00F37C4D" w:rsidRPr="00CD33B2">
        <w:rPr>
          <w:rFonts w:ascii="ITC Avant Garde" w:hAnsi="ITC Avant Garde"/>
        </w:rPr>
        <w:t>adioeléctrico</w:t>
      </w:r>
      <w:r w:rsidR="005261B6">
        <w:rPr>
          <w:rFonts w:ascii="ITC Avant Garde" w:hAnsi="ITC Avant Garde"/>
        </w:rPr>
        <w:t>;</w:t>
      </w:r>
      <w:r w:rsidR="00F37C4D">
        <w:rPr>
          <w:rFonts w:ascii="ITC Avant Garde" w:hAnsi="ITC Avant Garde"/>
        </w:rPr>
        <w:t xml:space="preserve"> ello en cumplimiento a</w:t>
      </w:r>
      <w:r w:rsidR="00F37C4D" w:rsidRPr="00CD33B2">
        <w:rPr>
          <w:rFonts w:ascii="ITC Avant Garde" w:hAnsi="ITC Avant Garde"/>
        </w:rPr>
        <w:t xml:space="preserve"> lo dispuesto en el párrafo segundo del artículo 104 de la Ley, </w:t>
      </w:r>
      <w:r w:rsidR="00F37C4D">
        <w:rPr>
          <w:rFonts w:ascii="ITC Avant Garde" w:hAnsi="ITC Avant Garde"/>
        </w:rPr>
        <w:t xml:space="preserve">por lo que es necesario que el Instituto </w:t>
      </w:r>
      <w:r w:rsidR="00F37C4D" w:rsidRPr="00CD33B2">
        <w:rPr>
          <w:rFonts w:ascii="ITC Avant Garde" w:hAnsi="ITC Avant Garde"/>
        </w:rPr>
        <w:t xml:space="preserve">emita los Lineamientos Generales </w:t>
      </w:r>
      <w:r w:rsidR="00F37C4D">
        <w:rPr>
          <w:rFonts w:ascii="ITC Avant Garde" w:hAnsi="ITC Avant Garde"/>
        </w:rPr>
        <w:t>sobre la</w:t>
      </w:r>
      <w:r w:rsidR="00F37C4D" w:rsidRPr="00CD33B2">
        <w:rPr>
          <w:rFonts w:ascii="ITC Avant Garde" w:hAnsi="ITC Avant Garde"/>
        </w:rPr>
        <w:t xml:space="preserve"> Autorización de Arrendamiento de Espectro Radioeléctrico.</w:t>
      </w:r>
    </w:p>
    <w:p w14:paraId="5A0B8F76" w14:textId="77777777" w:rsidR="00F37C4D" w:rsidRPr="00CD33B2" w:rsidRDefault="00F37C4D" w:rsidP="00F003B2">
      <w:pPr>
        <w:spacing w:after="0" w:line="240" w:lineRule="auto"/>
        <w:contextualSpacing/>
        <w:jc w:val="both"/>
        <w:rPr>
          <w:rFonts w:ascii="ITC Avant Garde" w:hAnsi="ITC Avant Garde"/>
        </w:rPr>
      </w:pPr>
    </w:p>
    <w:p w14:paraId="088B914A" w14:textId="42D7C2C7" w:rsidR="00F37C4D" w:rsidRDefault="00F37C4D" w:rsidP="00F003B2">
      <w:pPr>
        <w:numPr>
          <w:ilvl w:val="0"/>
          <w:numId w:val="3"/>
        </w:numPr>
        <w:pBdr>
          <w:top w:val="nil"/>
          <w:left w:val="nil"/>
          <w:bottom w:val="nil"/>
          <w:right w:val="nil"/>
          <w:between w:val="nil"/>
          <w:bar w:val="nil"/>
        </w:pBdr>
        <w:suppressAutoHyphens/>
        <w:spacing w:after="0" w:line="240" w:lineRule="auto"/>
        <w:ind w:left="0" w:firstLine="0"/>
        <w:contextualSpacing/>
        <w:jc w:val="both"/>
        <w:rPr>
          <w:rFonts w:ascii="ITC Avant Garde" w:eastAsia="Times New Roman" w:hAnsi="ITC Avant Garde" w:cs="TimesNewRomanPS-BoldMT"/>
          <w:bCs/>
          <w:szCs w:val="21"/>
          <w:lang w:val="es-ES" w:eastAsia="es-ES"/>
        </w:rPr>
      </w:pPr>
      <w:r>
        <w:rPr>
          <w:rFonts w:ascii="ITC Avant Garde" w:hAnsi="ITC Avant Garde" w:cs="Arial"/>
          <w:b/>
          <w:color w:val="000000" w:themeColor="text1"/>
          <w:szCs w:val="21"/>
        </w:rPr>
        <w:t xml:space="preserve">Consulta Pública. </w:t>
      </w:r>
      <w:r w:rsidRPr="006712B1">
        <w:rPr>
          <w:rFonts w:ascii="ITC Avant Garde" w:eastAsia="Times New Roman" w:hAnsi="ITC Avant Garde" w:cs="TimesNewRomanPS-BoldMT"/>
          <w:bCs/>
          <w:szCs w:val="21"/>
          <w:lang w:val="es-ES" w:eastAsia="es-ES"/>
        </w:rPr>
        <w:t xml:space="preserve">En cumplimiento a lo dispuesto en el artículo 51 de la Ley y conforme </w:t>
      </w:r>
      <w:r w:rsidR="0070513B">
        <w:rPr>
          <w:rFonts w:ascii="ITC Avant Garde" w:eastAsia="Times New Roman" w:hAnsi="ITC Avant Garde" w:cs="TimesNewRomanPS-BoldMT"/>
          <w:bCs/>
          <w:szCs w:val="21"/>
          <w:lang w:val="es-ES" w:eastAsia="es-ES"/>
        </w:rPr>
        <w:t xml:space="preserve">se señala en los Antecedentes </w:t>
      </w:r>
      <w:r w:rsidR="00F03F9B" w:rsidRPr="00F03F9B">
        <w:rPr>
          <w:rFonts w:ascii="ITC Avant Garde" w:eastAsia="Times New Roman" w:hAnsi="ITC Avant Garde" w:cs="TimesNewRomanPS-BoldMT"/>
          <w:bCs/>
          <w:szCs w:val="21"/>
          <w:lang w:val="es-ES" w:eastAsia="es-ES"/>
        </w:rPr>
        <w:t>I</w:t>
      </w:r>
      <w:r w:rsidR="00834D14">
        <w:rPr>
          <w:rFonts w:ascii="ITC Avant Garde" w:eastAsia="Times New Roman" w:hAnsi="ITC Avant Garde" w:cs="TimesNewRomanPS-BoldMT"/>
          <w:bCs/>
          <w:szCs w:val="21"/>
          <w:lang w:val="es-ES" w:eastAsia="es-ES"/>
        </w:rPr>
        <w:t>II</w:t>
      </w:r>
      <w:r w:rsidRPr="00F03F9B">
        <w:rPr>
          <w:rFonts w:ascii="ITC Avant Garde" w:eastAsia="Times New Roman" w:hAnsi="ITC Avant Garde" w:cs="TimesNewRomanPS-BoldMT"/>
          <w:szCs w:val="21"/>
          <w:lang w:val="es-ES" w:eastAsia="es-ES"/>
        </w:rPr>
        <w:t xml:space="preserve"> y </w:t>
      </w:r>
      <w:r w:rsidR="00834D14">
        <w:rPr>
          <w:rFonts w:ascii="ITC Avant Garde" w:eastAsia="Times New Roman" w:hAnsi="ITC Avant Garde" w:cs="TimesNewRomanPS-BoldMT"/>
          <w:szCs w:val="21"/>
          <w:lang w:val="es-ES" w:eastAsia="es-ES"/>
        </w:rPr>
        <w:t>I</w:t>
      </w:r>
      <w:r w:rsidRPr="00F03F9B">
        <w:rPr>
          <w:rFonts w:ascii="ITC Avant Garde" w:eastAsia="Times New Roman" w:hAnsi="ITC Avant Garde" w:cs="TimesNewRomanPS-BoldMT"/>
          <w:szCs w:val="21"/>
          <w:lang w:val="es-ES" w:eastAsia="es-ES"/>
        </w:rPr>
        <w:t>V</w:t>
      </w:r>
      <w:r w:rsidRPr="006712B1">
        <w:rPr>
          <w:rFonts w:ascii="ITC Avant Garde" w:eastAsia="Times New Roman" w:hAnsi="ITC Avant Garde" w:cs="TimesNewRomanPS-BoldMT"/>
          <w:bCs/>
          <w:szCs w:val="21"/>
          <w:lang w:val="es-ES" w:eastAsia="es-ES"/>
        </w:rPr>
        <w:t xml:space="preserve"> del presente Acuerdo, el Instituto llevó a cabo la consulta pública del Anteproyecto bajo los principios de transparencia y participación ciudadana. Al respecto, se recibieron </w:t>
      </w:r>
      <w:r w:rsidR="009D2217" w:rsidRPr="002F5E8E">
        <w:rPr>
          <w:rFonts w:ascii="ITC Avant Garde" w:eastAsia="Times New Roman" w:hAnsi="ITC Avant Garde" w:cs="TimesNewRomanPS-BoldMT"/>
          <w:b/>
          <w:bCs/>
          <w:color w:val="000000" w:themeColor="text1"/>
          <w:szCs w:val="21"/>
          <w:lang w:val="es-ES" w:eastAsia="es-ES"/>
        </w:rPr>
        <w:t>1</w:t>
      </w:r>
      <w:r w:rsidR="00937B97" w:rsidRPr="002F5E8E">
        <w:rPr>
          <w:rFonts w:ascii="ITC Avant Garde" w:eastAsia="Times New Roman" w:hAnsi="ITC Avant Garde" w:cs="TimesNewRomanPS-BoldMT"/>
          <w:b/>
          <w:bCs/>
          <w:color w:val="000000" w:themeColor="text1"/>
          <w:szCs w:val="21"/>
          <w:lang w:val="es-ES" w:eastAsia="es-ES"/>
        </w:rPr>
        <w:t>6</w:t>
      </w:r>
      <w:r w:rsidRPr="006712B1">
        <w:rPr>
          <w:rFonts w:ascii="ITC Avant Garde" w:eastAsia="Times New Roman" w:hAnsi="ITC Avant Garde" w:cs="TimesNewRomanPS-BoldMT"/>
          <w:bCs/>
          <w:szCs w:val="21"/>
          <w:lang w:val="es-ES" w:eastAsia="es-ES"/>
        </w:rPr>
        <w:t xml:space="preserve"> </w:t>
      </w:r>
      <w:r w:rsidR="00DB72C4">
        <w:rPr>
          <w:rFonts w:ascii="ITC Avant Garde" w:eastAsia="Times New Roman" w:hAnsi="ITC Avant Garde" w:cs="TimesNewRomanPS-BoldMT"/>
          <w:bCs/>
          <w:szCs w:val="21"/>
          <w:lang w:val="es-ES" w:eastAsia="es-ES"/>
        </w:rPr>
        <w:t xml:space="preserve">participaciones por parte de personas físicas y morales, expresando sus </w:t>
      </w:r>
      <w:r w:rsidRPr="006712B1">
        <w:rPr>
          <w:rFonts w:ascii="ITC Avant Garde" w:eastAsia="Times New Roman" w:hAnsi="ITC Avant Garde" w:cs="TimesNewRomanPS-BoldMT"/>
          <w:bCs/>
          <w:szCs w:val="21"/>
          <w:lang w:val="es-ES" w:eastAsia="es-ES"/>
        </w:rPr>
        <w:t xml:space="preserve">comentarios, </w:t>
      </w:r>
      <w:r w:rsidR="009D2217">
        <w:rPr>
          <w:rFonts w:ascii="ITC Avant Garde" w:eastAsia="Times New Roman" w:hAnsi="ITC Avant Garde" w:cs="TimesNewRomanPS-BoldMT"/>
          <w:bCs/>
          <w:szCs w:val="21"/>
          <w:lang w:val="es-ES" w:eastAsia="es-ES"/>
        </w:rPr>
        <w:t>o</w:t>
      </w:r>
      <w:r w:rsidRPr="006712B1">
        <w:rPr>
          <w:rFonts w:ascii="ITC Avant Garde" w:eastAsia="Times New Roman" w:hAnsi="ITC Avant Garde" w:cs="TimesNewRomanPS-BoldMT"/>
          <w:bCs/>
          <w:szCs w:val="21"/>
          <w:lang w:val="es-ES" w:eastAsia="es-ES"/>
        </w:rPr>
        <w:t xml:space="preserve">piniones y </w:t>
      </w:r>
      <w:r>
        <w:rPr>
          <w:rFonts w:ascii="ITC Avant Garde" w:eastAsia="Times New Roman" w:hAnsi="ITC Avant Garde" w:cs="TimesNewRomanPS-BoldMT"/>
          <w:bCs/>
          <w:szCs w:val="21"/>
          <w:lang w:val="es-ES" w:eastAsia="es-ES"/>
        </w:rPr>
        <w:t>propuestas</w:t>
      </w:r>
      <w:r w:rsidRPr="006712B1">
        <w:rPr>
          <w:rFonts w:ascii="ITC Avant Garde" w:eastAsia="Times New Roman" w:hAnsi="ITC Avant Garde" w:cs="TimesNewRomanPS-BoldMT"/>
          <w:bCs/>
          <w:szCs w:val="21"/>
          <w:lang w:val="es-ES" w:eastAsia="es-ES"/>
        </w:rPr>
        <w:t xml:space="preserve"> </w:t>
      </w:r>
      <w:r w:rsidR="004A40AF">
        <w:rPr>
          <w:rFonts w:ascii="ITC Avant Garde" w:eastAsia="Times New Roman" w:hAnsi="ITC Avant Garde" w:cs="TimesNewRomanPS-BoldMT"/>
          <w:bCs/>
          <w:szCs w:val="21"/>
          <w:lang w:val="es-ES" w:eastAsia="es-ES"/>
        </w:rPr>
        <w:t xml:space="preserve">concretas </w:t>
      </w:r>
      <w:r w:rsidRPr="006712B1">
        <w:rPr>
          <w:rFonts w:ascii="ITC Avant Garde" w:eastAsia="Times New Roman" w:hAnsi="ITC Avant Garde" w:cs="TimesNewRomanPS-BoldMT"/>
          <w:bCs/>
          <w:szCs w:val="21"/>
          <w:lang w:val="es-ES" w:eastAsia="es-ES"/>
        </w:rPr>
        <w:t>al Anteproyecto</w:t>
      </w:r>
      <w:r w:rsidR="009D2217">
        <w:rPr>
          <w:rFonts w:ascii="ITC Avant Garde" w:eastAsia="Times New Roman" w:hAnsi="ITC Avant Garde" w:cs="TimesNewRomanPS-BoldMT"/>
          <w:bCs/>
          <w:szCs w:val="21"/>
          <w:lang w:val="es-ES" w:eastAsia="es-ES"/>
        </w:rPr>
        <w:t>, con sus respectivas precisiones en cuanto al con</w:t>
      </w:r>
      <w:r w:rsidR="003F287F">
        <w:rPr>
          <w:rFonts w:ascii="ITC Avant Garde" w:eastAsia="Times New Roman" w:hAnsi="ITC Avant Garde" w:cs="TimesNewRomanPS-BoldMT"/>
          <w:bCs/>
          <w:szCs w:val="21"/>
          <w:lang w:val="es-ES" w:eastAsia="es-ES"/>
        </w:rPr>
        <w:t xml:space="preserve">tenido </w:t>
      </w:r>
      <w:r w:rsidR="004A27BF">
        <w:rPr>
          <w:rFonts w:ascii="ITC Avant Garde" w:eastAsia="Times New Roman" w:hAnsi="ITC Avant Garde" w:cs="TimesNewRomanPS-BoldMT"/>
          <w:bCs/>
          <w:szCs w:val="21"/>
          <w:lang w:val="es-ES" w:eastAsia="es-ES"/>
        </w:rPr>
        <w:t>particular de éste</w:t>
      </w:r>
      <w:r w:rsidRPr="006712B1">
        <w:rPr>
          <w:rFonts w:ascii="ITC Avant Garde" w:eastAsia="Times New Roman" w:hAnsi="ITC Avant Garde" w:cs="TimesNewRomanPS-BoldMT"/>
          <w:bCs/>
          <w:szCs w:val="21"/>
          <w:lang w:val="es-ES" w:eastAsia="es-ES"/>
        </w:rPr>
        <w:t>,</w:t>
      </w:r>
      <w:r>
        <w:rPr>
          <w:rFonts w:ascii="ITC Avant Garde" w:eastAsia="Times New Roman" w:hAnsi="ITC Avant Garde" w:cs="TimesNewRomanPS-BoldMT"/>
          <w:bCs/>
          <w:szCs w:val="21"/>
          <w:lang w:val="es-ES" w:eastAsia="es-ES"/>
        </w:rPr>
        <w:t xml:space="preserve"> mismos que aluden a la materia específica del Anteproyecto en los términos siguientes:</w:t>
      </w:r>
    </w:p>
    <w:p w14:paraId="6D517B2D" w14:textId="77777777" w:rsidR="00F37C4D" w:rsidRDefault="00F37C4D"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p>
    <w:tbl>
      <w:tblPr>
        <w:tblStyle w:val="Tabladecuadrcula4-nfasis6"/>
        <w:tblW w:w="0" w:type="auto"/>
        <w:jc w:val="center"/>
        <w:tblLook w:val="04A0" w:firstRow="1" w:lastRow="0" w:firstColumn="1" w:lastColumn="0" w:noHBand="0" w:noVBand="1"/>
      </w:tblPr>
      <w:tblGrid>
        <w:gridCol w:w="2711"/>
        <w:gridCol w:w="2227"/>
      </w:tblGrid>
      <w:tr w:rsidR="00937B97" w:rsidRPr="00937B97" w14:paraId="51A2A9AF" w14:textId="77777777" w:rsidTr="00937B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1" w:type="dxa"/>
            <w:vAlign w:val="center"/>
          </w:tcPr>
          <w:p w14:paraId="69EF6F7F" w14:textId="2F275701" w:rsidR="00937B97" w:rsidRPr="004A27BF" w:rsidRDefault="00937B97" w:rsidP="00937B97">
            <w:pPr>
              <w:suppressAutoHyphens/>
              <w:spacing w:after="0" w:line="240" w:lineRule="auto"/>
              <w:contextualSpacing/>
              <w:jc w:val="center"/>
              <w:rPr>
                <w:rFonts w:ascii="ITC Avant Garde" w:eastAsia="Times New Roman" w:hAnsi="ITC Avant Garde" w:cs="TimesNewRomanPS-BoldMT"/>
                <w:b w:val="0"/>
                <w:bCs w:val="0"/>
                <w:sz w:val="18"/>
                <w:szCs w:val="21"/>
                <w:lang w:val="es-ES" w:eastAsia="es-ES"/>
              </w:rPr>
            </w:pPr>
            <w:r w:rsidRPr="004A27BF">
              <w:rPr>
                <w:rFonts w:ascii="ITC Avant Garde" w:eastAsia="Times New Roman" w:hAnsi="ITC Avant Garde" w:cs="TimesNewRomanPS-BoldMT"/>
                <w:sz w:val="18"/>
                <w:szCs w:val="21"/>
                <w:lang w:val="es-ES" w:eastAsia="es-ES"/>
              </w:rPr>
              <w:t>Capítulo del Anteproyecto</w:t>
            </w:r>
          </w:p>
        </w:tc>
        <w:tc>
          <w:tcPr>
            <w:tcW w:w="2227" w:type="dxa"/>
            <w:vAlign w:val="center"/>
          </w:tcPr>
          <w:p w14:paraId="2195489C" w14:textId="13BEF31D" w:rsidR="00937B97" w:rsidRPr="004A27BF" w:rsidRDefault="00937B97" w:rsidP="00937B97">
            <w:pPr>
              <w:suppressAutoHyphen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imesNewRomanPS-BoldMT"/>
                <w:bCs w:val="0"/>
                <w:sz w:val="18"/>
                <w:szCs w:val="21"/>
                <w:lang w:val="es-ES" w:eastAsia="es-ES"/>
              </w:rPr>
            </w:pPr>
            <w:r w:rsidRPr="004A27BF">
              <w:rPr>
                <w:rFonts w:ascii="ITC Avant Garde" w:eastAsia="Times New Roman" w:hAnsi="ITC Avant Garde" w:cs="TimesNewRomanPS-BoldMT"/>
                <w:bCs w:val="0"/>
                <w:sz w:val="18"/>
                <w:szCs w:val="21"/>
                <w:lang w:val="es-ES" w:eastAsia="es-ES"/>
              </w:rPr>
              <w:t xml:space="preserve">Comentarios, opiniones y propuestas </w:t>
            </w:r>
            <w:r w:rsidR="00B051D1">
              <w:rPr>
                <w:rFonts w:ascii="ITC Avant Garde" w:eastAsia="Times New Roman" w:hAnsi="ITC Avant Garde" w:cs="TimesNewRomanPS-BoldMT"/>
                <w:bCs w:val="0"/>
                <w:sz w:val="18"/>
                <w:szCs w:val="21"/>
                <w:lang w:val="es-ES" w:eastAsia="es-ES"/>
              </w:rPr>
              <w:t xml:space="preserve">concretas </w:t>
            </w:r>
            <w:r w:rsidRPr="004A27BF">
              <w:rPr>
                <w:rFonts w:ascii="ITC Avant Garde" w:eastAsia="Times New Roman" w:hAnsi="ITC Avant Garde" w:cs="TimesNewRomanPS-BoldMT"/>
                <w:bCs w:val="0"/>
                <w:sz w:val="18"/>
                <w:szCs w:val="21"/>
                <w:lang w:val="es-ES" w:eastAsia="es-ES"/>
              </w:rPr>
              <w:t>recibida</w:t>
            </w:r>
            <w:r w:rsidRPr="004A27BF">
              <w:rPr>
                <w:rFonts w:ascii="ITC Avant Garde" w:eastAsia="Times New Roman" w:hAnsi="ITC Avant Garde" w:cs="TimesNewRomanPS-BoldMT"/>
                <w:sz w:val="18"/>
                <w:szCs w:val="21"/>
                <w:lang w:val="es-ES" w:eastAsia="es-ES"/>
              </w:rPr>
              <w:t>s</w:t>
            </w:r>
          </w:p>
        </w:tc>
      </w:tr>
      <w:tr w:rsidR="00937B97" w:rsidRPr="00937B97" w14:paraId="59F77796" w14:textId="77777777" w:rsidTr="00937B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1" w:type="dxa"/>
            <w:vAlign w:val="center"/>
          </w:tcPr>
          <w:p w14:paraId="68546F58" w14:textId="34A31415" w:rsidR="00937B97" w:rsidRPr="00937B97" w:rsidRDefault="00937B97" w:rsidP="00937B97">
            <w:pPr>
              <w:suppressAutoHyphens/>
              <w:spacing w:after="0" w:line="240" w:lineRule="auto"/>
              <w:contextualSpacing/>
              <w:jc w:val="center"/>
              <w:rPr>
                <w:rFonts w:ascii="ITC Avant Garde" w:eastAsia="Times New Roman" w:hAnsi="ITC Avant Garde" w:cs="TimesNewRomanPS-BoldMT"/>
                <w:b w:val="0"/>
                <w:bCs w:val="0"/>
                <w:sz w:val="20"/>
                <w:szCs w:val="21"/>
                <w:lang w:val="es-ES" w:eastAsia="es-ES"/>
              </w:rPr>
            </w:pPr>
            <w:r w:rsidRPr="00937B97">
              <w:rPr>
                <w:rFonts w:ascii="ITC Avant Garde" w:eastAsia="Times New Roman" w:hAnsi="ITC Avant Garde" w:cs="TimesNewRomanPS-BoldMT"/>
                <w:sz w:val="20"/>
                <w:szCs w:val="21"/>
                <w:lang w:val="es-ES" w:eastAsia="es-ES"/>
              </w:rPr>
              <w:lastRenderedPageBreak/>
              <w:t>Capítulo I</w:t>
            </w:r>
          </w:p>
        </w:tc>
        <w:tc>
          <w:tcPr>
            <w:tcW w:w="2227" w:type="dxa"/>
            <w:vAlign w:val="center"/>
          </w:tcPr>
          <w:p w14:paraId="0A407BD5" w14:textId="5BF2194B" w:rsidR="00937B97" w:rsidRPr="00B05480" w:rsidRDefault="00906984" w:rsidP="00937B97">
            <w:pPr>
              <w:suppressAutoHyphen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NewRomanPS-BoldMT"/>
                <w:b/>
                <w:bCs/>
                <w:sz w:val="20"/>
                <w:szCs w:val="21"/>
                <w:lang w:val="es-ES" w:eastAsia="es-ES"/>
              </w:rPr>
            </w:pPr>
            <w:r>
              <w:rPr>
                <w:rFonts w:ascii="ITC Avant Garde" w:eastAsia="Times New Roman" w:hAnsi="ITC Avant Garde" w:cs="TimesNewRomanPS-BoldMT"/>
                <w:b/>
                <w:bCs/>
                <w:sz w:val="20"/>
                <w:szCs w:val="21"/>
                <w:lang w:val="es-ES" w:eastAsia="es-ES"/>
              </w:rPr>
              <w:t>20</w:t>
            </w:r>
          </w:p>
        </w:tc>
      </w:tr>
      <w:tr w:rsidR="00937B97" w:rsidRPr="00937B97" w14:paraId="6A066AE8" w14:textId="77777777" w:rsidTr="00937B97">
        <w:trPr>
          <w:jc w:val="center"/>
        </w:trPr>
        <w:tc>
          <w:tcPr>
            <w:cnfStyle w:val="001000000000" w:firstRow="0" w:lastRow="0" w:firstColumn="1" w:lastColumn="0" w:oddVBand="0" w:evenVBand="0" w:oddHBand="0" w:evenHBand="0" w:firstRowFirstColumn="0" w:firstRowLastColumn="0" w:lastRowFirstColumn="0" w:lastRowLastColumn="0"/>
            <w:tcW w:w="2711" w:type="dxa"/>
            <w:vAlign w:val="center"/>
          </w:tcPr>
          <w:p w14:paraId="05B3A776" w14:textId="680E85C5" w:rsidR="00937B97" w:rsidRPr="00937B97" w:rsidRDefault="00937B97" w:rsidP="00937B97">
            <w:pPr>
              <w:suppressAutoHyphens/>
              <w:spacing w:after="0" w:line="240" w:lineRule="auto"/>
              <w:contextualSpacing/>
              <w:jc w:val="center"/>
              <w:rPr>
                <w:rFonts w:ascii="ITC Avant Garde" w:eastAsia="Times New Roman" w:hAnsi="ITC Avant Garde" w:cs="TimesNewRomanPS-BoldMT"/>
                <w:bCs w:val="0"/>
                <w:sz w:val="20"/>
                <w:szCs w:val="21"/>
                <w:lang w:val="es-ES" w:eastAsia="es-ES"/>
              </w:rPr>
            </w:pPr>
            <w:r w:rsidRPr="00937B97">
              <w:rPr>
                <w:rFonts w:ascii="ITC Avant Garde" w:eastAsia="Times New Roman" w:hAnsi="ITC Avant Garde" w:cs="TimesNewRomanPS-BoldMT"/>
                <w:sz w:val="20"/>
                <w:szCs w:val="21"/>
                <w:lang w:val="es-ES" w:eastAsia="es-ES"/>
              </w:rPr>
              <w:t>Capítulo II</w:t>
            </w:r>
          </w:p>
        </w:tc>
        <w:tc>
          <w:tcPr>
            <w:tcW w:w="2227" w:type="dxa"/>
            <w:vAlign w:val="center"/>
          </w:tcPr>
          <w:p w14:paraId="582C17E8" w14:textId="3ECEF3CE" w:rsidR="00937B97" w:rsidRPr="00B05480" w:rsidRDefault="00906984" w:rsidP="00937B97">
            <w:pPr>
              <w:suppressAutoHyphen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NewRomanPS-BoldMT"/>
                <w:b/>
                <w:bCs/>
                <w:sz w:val="20"/>
                <w:szCs w:val="21"/>
                <w:lang w:val="es-ES" w:eastAsia="es-ES"/>
              </w:rPr>
            </w:pPr>
            <w:r>
              <w:rPr>
                <w:rFonts w:ascii="ITC Avant Garde" w:eastAsia="Times New Roman" w:hAnsi="ITC Avant Garde" w:cs="TimesNewRomanPS-BoldMT"/>
                <w:b/>
                <w:bCs/>
                <w:sz w:val="20"/>
                <w:szCs w:val="21"/>
                <w:lang w:val="es-ES" w:eastAsia="es-ES"/>
              </w:rPr>
              <w:t>27</w:t>
            </w:r>
          </w:p>
        </w:tc>
      </w:tr>
      <w:tr w:rsidR="00937B97" w:rsidRPr="00937B97" w14:paraId="4A64D1A1" w14:textId="77777777" w:rsidTr="00937B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1" w:type="dxa"/>
            <w:vAlign w:val="center"/>
          </w:tcPr>
          <w:p w14:paraId="13403AA6" w14:textId="37C73141" w:rsidR="00937B97" w:rsidRPr="00937B97" w:rsidRDefault="00937B97" w:rsidP="00937B97">
            <w:pPr>
              <w:suppressAutoHyphens/>
              <w:spacing w:after="0" w:line="240" w:lineRule="auto"/>
              <w:contextualSpacing/>
              <w:jc w:val="center"/>
              <w:rPr>
                <w:rFonts w:ascii="ITC Avant Garde" w:eastAsia="Times New Roman" w:hAnsi="ITC Avant Garde" w:cs="TimesNewRomanPS-BoldMT"/>
                <w:bCs w:val="0"/>
                <w:sz w:val="20"/>
                <w:szCs w:val="21"/>
                <w:lang w:val="es-ES" w:eastAsia="es-ES"/>
              </w:rPr>
            </w:pPr>
            <w:r w:rsidRPr="00937B97">
              <w:rPr>
                <w:rFonts w:ascii="ITC Avant Garde" w:eastAsia="Times New Roman" w:hAnsi="ITC Avant Garde" w:cs="TimesNewRomanPS-BoldMT"/>
                <w:sz w:val="20"/>
                <w:szCs w:val="21"/>
                <w:lang w:val="es-ES" w:eastAsia="es-ES"/>
              </w:rPr>
              <w:t>Capítulo III</w:t>
            </w:r>
          </w:p>
        </w:tc>
        <w:tc>
          <w:tcPr>
            <w:tcW w:w="2227" w:type="dxa"/>
            <w:vAlign w:val="center"/>
          </w:tcPr>
          <w:p w14:paraId="2216A928" w14:textId="533656B1" w:rsidR="00937B97" w:rsidRPr="00B05480" w:rsidRDefault="00906984" w:rsidP="00937B97">
            <w:pPr>
              <w:suppressAutoHyphen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NewRomanPS-BoldMT"/>
                <w:b/>
                <w:bCs/>
                <w:sz w:val="20"/>
                <w:szCs w:val="21"/>
                <w:lang w:val="es-ES" w:eastAsia="es-ES"/>
              </w:rPr>
            </w:pPr>
            <w:r>
              <w:rPr>
                <w:rFonts w:ascii="ITC Avant Garde" w:eastAsia="Times New Roman" w:hAnsi="ITC Avant Garde" w:cs="TimesNewRomanPS-BoldMT"/>
                <w:b/>
                <w:bCs/>
                <w:sz w:val="20"/>
                <w:szCs w:val="21"/>
                <w:lang w:val="es-ES" w:eastAsia="es-ES"/>
              </w:rPr>
              <w:t>35</w:t>
            </w:r>
          </w:p>
        </w:tc>
      </w:tr>
      <w:tr w:rsidR="00937B97" w:rsidRPr="00937B97" w14:paraId="1D062C1C" w14:textId="77777777" w:rsidTr="00937B97">
        <w:trPr>
          <w:jc w:val="center"/>
        </w:trPr>
        <w:tc>
          <w:tcPr>
            <w:cnfStyle w:val="001000000000" w:firstRow="0" w:lastRow="0" w:firstColumn="1" w:lastColumn="0" w:oddVBand="0" w:evenVBand="0" w:oddHBand="0" w:evenHBand="0" w:firstRowFirstColumn="0" w:firstRowLastColumn="0" w:lastRowFirstColumn="0" w:lastRowLastColumn="0"/>
            <w:tcW w:w="2711" w:type="dxa"/>
            <w:vAlign w:val="center"/>
          </w:tcPr>
          <w:p w14:paraId="18CAFA96" w14:textId="0E355A8C" w:rsidR="00937B97" w:rsidRPr="00937B97" w:rsidRDefault="00937B97" w:rsidP="00937B97">
            <w:pPr>
              <w:suppressAutoHyphens/>
              <w:spacing w:after="0" w:line="240" w:lineRule="auto"/>
              <w:contextualSpacing/>
              <w:jc w:val="center"/>
              <w:rPr>
                <w:rFonts w:ascii="ITC Avant Garde" w:eastAsia="Times New Roman" w:hAnsi="ITC Avant Garde" w:cs="TimesNewRomanPS-BoldMT"/>
                <w:bCs w:val="0"/>
                <w:sz w:val="20"/>
                <w:szCs w:val="21"/>
                <w:lang w:val="es-ES" w:eastAsia="es-ES"/>
              </w:rPr>
            </w:pPr>
            <w:r w:rsidRPr="00937B97">
              <w:rPr>
                <w:rFonts w:ascii="ITC Avant Garde" w:eastAsia="Times New Roman" w:hAnsi="ITC Avant Garde" w:cs="TimesNewRomanPS-BoldMT"/>
                <w:sz w:val="20"/>
                <w:szCs w:val="21"/>
                <w:lang w:val="es-ES" w:eastAsia="es-ES"/>
              </w:rPr>
              <w:t>Capítulo IV</w:t>
            </w:r>
          </w:p>
        </w:tc>
        <w:tc>
          <w:tcPr>
            <w:tcW w:w="2227" w:type="dxa"/>
            <w:vAlign w:val="center"/>
          </w:tcPr>
          <w:p w14:paraId="3DFC11F3" w14:textId="573D508D" w:rsidR="00937B97" w:rsidRPr="00B05480" w:rsidRDefault="00906984" w:rsidP="00937B97">
            <w:pPr>
              <w:suppressAutoHyphen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NewRomanPS-BoldMT"/>
                <w:b/>
                <w:bCs/>
                <w:sz w:val="20"/>
                <w:szCs w:val="21"/>
                <w:lang w:val="es-ES" w:eastAsia="es-ES"/>
              </w:rPr>
            </w:pPr>
            <w:r>
              <w:rPr>
                <w:rFonts w:ascii="ITC Avant Garde" w:eastAsia="Times New Roman" w:hAnsi="ITC Avant Garde" w:cs="TimesNewRomanPS-BoldMT"/>
                <w:b/>
                <w:bCs/>
                <w:sz w:val="20"/>
                <w:szCs w:val="21"/>
                <w:lang w:val="es-ES" w:eastAsia="es-ES"/>
              </w:rPr>
              <w:t>23</w:t>
            </w:r>
          </w:p>
        </w:tc>
      </w:tr>
      <w:tr w:rsidR="00937B97" w:rsidRPr="00937B97" w14:paraId="0619238C" w14:textId="77777777" w:rsidTr="00937B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1" w:type="dxa"/>
            <w:vAlign w:val="center"/>
          </w:tcPr>
          <w:p w14:paraId="61DD42DE" w14:textId="44BC2D33" w:rsidR="00937B97" w:rsidRPr="00937B97" w:rsidRDefault="00937B97" w:rsidP="00937B97">
            <w:pPr>
              <w:suppressAutoHyphens/>
              <w:spacing w:after="0" w:line="240" w:lineRule="auto"/>
              <w:contextualSpacing/>
              <w:jc w:val="center"/>
              <w:rPr>
                <w:rFonts w:ascii="ITC Avant Garde" w:eastAsia="Times New Roman" w:hAnsi="ITC Avant Garde" w:cs="TimesNewRomanPS-BoldMT"/>
                <w:bCs w:val="0"/>
                <w:sz w:val="20"/>
                <w:szCs w:val="21"/>
                <w:lang w:val="es-ES" w:eastAsia="es-ES"/>
              </w:rPr>
            </w:pPr>
            <w:r w:rsidRPr="00937B97">
              <w:rPr>
                <w:rFonts w:ascii="ITC Avant Garde" w:eastAsia="Times New Roman" w:hAnsi="ITC Avant Garde" w:cs="TimesNewRomanPS-BoldMT"/>
                <w:sz w:val="20"/>
                <w:szCs w:val="21"/>
                <w:lang w:val="es-ES" w:eastAsia="es-ES"/>
              </w:rPr>
              <w:t>Transitorios</w:t>
            </w:r>
          </w:p>
        </w:tc>
        <w:tc>
          <w:tcPr>
            <w:tcW w:w="2227" w:type="dxa"/>
            <w:vAlign w:val="center"/>
          </w:tcPr>
          <w:p w14:paraId="005B2109" w14:textId="6FB4720A" w:rsidR="00937B97" w:rsidRPr="00B05480" w:rsidRDefault="000913C0" w:rsidP="00937B97">
            <w:pPr>
              <w:suppressAutoHyphen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NewRomanPS-BoldMT"/>
                <w:b/>
                <w:bCs/>
                <w:sz w:val="20"/>
                <w:szCs w:val="21"/>
                <w:lang w:val="es-ES" w:eastAsia="es-ES"/>
              </w:rPr>
            </w:pPr>
            <w:r>
              <w:rPr>
                <w:rFonts w:ascii="ITC Avant Garde" w:eastAsia="Times New Roman" w:hAnsi="ITC Avant Garde" w:cs="TimesNewRomanPS-BoldMT"/>
                <w:b/>
                <w:bCs/>
                <w:sz w:val="20"/>
                <w:szCs w:val="21"/>
                <w:lang w:val="es-ES" w:eastAsia="es-ES"/>
              </w:rPr>
              <w:t>10</w:t>
            </w:r>
          </w:p>
        </w:tc>
      </w:tr>
    </w:tbl>
    <w:p w14:paraId="0D7566FD" w14:textId="77777777" w:rsidR="00F37C4D" w:rsidRDefault="00F37C4D"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p>
    <w:p w14:paraId="0698DEE0" w14:textId="124D9BE4" w:rsidR="0094776F" w:rsidRDefault="0094776F" w:rsidP="0040243A">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r>
        <w:rPr>
          <w:rFonts w:ascii="ITC Avant Garde" w:eastAsia="Times New Roman" w:hAnsi="ITC Avant Garde" w:cs="TimesNewRomanPS-BoldMT"/>
          <w:bCs/>
          <w:szCs w:val="21"/>
          <w:lang w:val="es-ES" w:eastAsia="es-ES"/>
        </w:rPr>
        <w:t>Cabe señalar que las 16 participaciones incluían comentarios</w:t>
      </w:r>
      <w:r w:rsidR="00E645CF">
        <w:rPr>
          <w:rFonts w:ascii="ITC Avant Garde" w:eastAsia="Times New Roman" w:hAnsi="ITC Avant Garde" w:cs="TimesNewRomanPS-BoldMT"/>
          <w:bCs/>
          <w:szCs w:val="21"/>
          <w:lang w:val="es-ES" w:eastAsia="es-ES"/>
        </w:rPr>
        <w:t xml:space="preserve">, opiniones y propuestas concretas </w:t>
      </w:r>
      <w:r>
        <w:rPr>
          <w:rFonts w:ascii="ITC Avant Garde" w:eastAsia="Times New Roman" w:hAnsi="ITC Avant Garde" w:cs="TimesNewRomanPS-BoldMT"/>
          <w:bCs/>
          <w:szCs w:val="21"/>
          <w:lang w:val="es-ES" w:eastAsia="es-ES"/>
        </w:rPr>
        <w:t>independientes p</w:t>
      </w:r>
      <w:r w:rsidR="004A40AF">
        <w:rPr>
          <w:rFonts w:ascii="ITC Avant Garde" w:eastAsia="Times New Roman" w:hAnsi="ITC Avant Garde" w:cs="TimesNewRomanPS-BoldMT"/>
          <w:bCs/>
          <w:szCs w:val="21"/>
          <w:lang w:val="es-ES" w:eastAsia="es-ES"/>
        </w:rPr>
        <w:t xml:space="preserve">or </w:t>
      </w:r>
      <w:r w:rsidR="007A56B3">
        <w:rPr>
          <w:rFonts w:ascii="ITC Avant Garde" w:eastAsia="Times New Roman" w:hAnsi="ITC Avant Garde" w:cs="TimesNewRomanPS-BoldMT"/>
          <w:bCs/>
          <w:szCs w:val="21"/>
          <w:lang w:val="es-ES" w:eastAsia="es-ES"/>
        </w:rPr>
        <w:t>C</w:t>
      </w:r>
      <w:r>
        <w:rPr>
          <w:rFonts w:ascii="ITC Avant Garde" w:eastAsia="Times New Roman" w:hAnsi="ITC Avant Garde" w:cs="TimesNewRomanPS-BoldMT"/>
          <w:bCs/>
          <w:szCs w:val="21"/>
          <w:lang w:val="es-ES" w:eastAsia="es-ES"/>
        </w:rPr>
        <w:t>apítulo</w:t>
      </w:r>
      <w:r w:rsidR="00E645CF">
        <w:rPr>
          <w:rFonts w:ascii="ITC Avant Garde" w:eastAsia="Times New Roman" w:hAnsi="ITC Avant Garde" w:cs="TimesNewRomanPS-BoldMT"/>
          <w:bCs/>
          <w:szCs w:val="21"/>
          <w:lang w:val="es-ES" w:eastAsia="es-ES"/>
        </w:rPr>
        <w:t xml:space="preserve"> del Anteproyecto sometido a consulta pública</w:t>
      </w:r>
      <w:r>
        <w:rPr>
          <w:rFonts w:ascii="ITC Avant Garde" w:eastAsia="Times New Roman" w:hAnsi="ITC Avant Garde" w:cs="TimesNewRomanPS-BoldMT"/>
          <w:bCs/>
          <w:szCs w:val="21"/>
          <w:lang w:val="es-ES" w:eastAsia="es-ES"/>
        </w:rPr>
        <w:t xml:space="preserve">, </w:t>
      </w:r>
      <w:r w:rsidR="002E31DB">
        <w:rPr>
          <w:rFonts w:ascii="ITC Avant Garde" w:eastAsia="Times New Roman" w:hAnsi="ITC Avant Garde" w:cs="TimesNewRomanPS-BoldMT"/>
          <w:bCs/>
          <w:szCs w:val="21"/>
          <w:lang w:val="es-ES" w:eastAsia="es-ES"/>
        </w:rPr>
        <w:t xml:space="preserve">mismos que fueron computados en la </w:t>
      </w:r>
      <w:r>
        <w:rPr>
          <w:rFonts w:ascii="ITC Avant Garde" w:eastAsia="Times New Roman" w:hAnsi="ITC Avant Garde" w:cs="TimesNewRomanPS-BoldMT"/>
          <w:bCs/>
          <w:szCs w:val="21"/>
          <w:lang w:val="es-ES" w:eastAsia="es-ES"/>
        </w:rPr>
        <w:t>tabla previamente inserta.</w:t>
      </w:r>
    </w:p>
    <w:p w14:paraId="4741BF79" w14:textId="77777777" w:rsidR="007933E3" w:rsidRDefault="007933E3" w:rsidP="0040243A">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p>
    <w:p w14:paraId="15C1A6CB" w14:textId="0D7C7C2C" w:rsidR="0040243A" w:rsidRDefault="00F37C4D" w:rsidP="0040243A">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r>
        <w:rPr>
          <w:rFonts w:ascii="ITC Avant Garde" w:eastAsia="Times New Roman" w:hAnsi="ITC Avant Garde" w:cs="TimesNewRomanPS-BoldMT"/>
          <w:bCs/>
          <w:szCs w:val="21"/>
          <w:lang w:val="es-ES" w:eastAsia="es-ES"/>
        </w:rPr>
        <w:t>En este sentido, los comentarios, opiniones y propuestas</w:t>
      </w:r>
      <w:r w:rsidR="000273BB">
        <w:rPr>
          <w:rFonts w:ascii="ITC Avant Garde" w:eastAsia="Times New Roman" w:hAnsi="ITC Avant Garde" w:cs="TimesNewRomanPS-BoldMT"/>
          <w:bCs/>
          <w:szCs w:val="21"/>
          <w:lang w:val="es-ES" w:eastAsia="es-ES"/>
        </w:rPr>
        <w:t xml:space="preserve"> concretas que</w:t>
      </w:r>
      <w:r>
        <w:rPr>
          <w:rFonts w:ascii="ITC Avant Garde" w:eastAsia="Times New Roman" w:hAnsi="ITC Avant Garde" w:cs="TimesNewRomanPS-BoldMT"/>
          <w:bCs/>
          <w:szCs w:val="21"/>
          <w:lang w:val="es-ES" w:eastAsia="es-ES"/>
        </w:rPr>
        <w:t xml:space="preserve"> se consideraron procedentes sirvieron para </w:t>
      </w:r>
      <w:r w:rsidR="00937B97">
        <w:rPr>
          <w:rFonts w:ascii="ITC Avant Garde" w:eastAsia="Times New Roman" w:hAnsi="ITC Avant Garde" w:cs="TimesNewRomanPS-BoldMT"/>
          <w:bCs/>
          <w:szCs w:val="21"/>
          <w:lang w:val="es-ES" w:eastAsia="es-ES"/>
        </w:rPr>
        <w:t>realizar las modificaciones pertinentes</w:t>
      </w:r>
      <w:r w:rsidR="00595746">
        <w:rPr>
          <w:rFonts w:ascii="ITC Avant Garde" w:eastAsia="Times New Roman" w:hAnsi="ITC Avant Garde" w:cs="TimesNewRomanPS-BoldMT"/>
          <w:bCs/>
          <w:szCs w:val="21"/>
          <w:lang w:val="es-ES" w:eastAsia="es-ES"/>
        </w:rPr>
        <w:t xml:space="preserve">, las cuales </w:t>
      </w:r>
      <w:r w:rsidR="00DF414A">
        <w:rPr>
          <w:rFonts w:ascii="ITC Avant Garde" w:eastAsia="Times New Roman" w:hAnsi="ITC Avant Garde" w:cs="TimesNewRomanPS-BoldMT"/>
          <w:bCs/>
          <w:szCs w:val="21"/>
          <w:lang w:val="es-ES" w:eastAsia="es-ES"/>
        </w:rPr>
        <w:t xml:space="preserve">robustecen el documento final que por medio del presente se aprueba y </w:t>
      </w:r>
      <w:r w:rsidR="00595746">
        <w:rPr>
          <w:rFonts w:ascii="ITC Avant Garde" w:eastAsia="Times New Roman" w:hAnsi="ITC Avant Garde" w:cs="TimesNewRomanPS-BoldMT"/>
          <w:bCs/>
          <w:szCs w:val="21"/>
          <w:lang w:val="es-ES" w:eastAsia="es-ES"/>
        </w:rPr>
        <w:t>se pueden agrupar en los temas siguientes</w:t>
      </w:r>
      <w:r w:rsidR="00DF414A">
        <w:rPr>
          <w:rFonts w:ascii="ITC Avant Garde" w:eastAsia="Times New Roman" w:hAnsi="ITC Avant Garde" w:cs="TimesNewRomanPS-BoldMT"/>
          <w:bCs/>
          <w:szCs w:val="21"/>
          <w:lang w:val="es-ES" w:eastAsia="es-ES"/>
        </w:rPr>
        <w:t>:</w:t>
      </w:r>
    </w:p>
    <w:p w14:paraId="47F8899C" w14:textId="77777777" w:rsidR="0040243A" w:rsidRDefault="0040243A" w:rsidP="0040243A">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p>
    <w:p w14:paraId="17F67573" w14:textId="0F1F475A" w:rsidR="003A09C9" w:rsidRPr="00A24F6D" w:rsidRDefault="003A09C9" w:rsidP="0040243A">
      <w:pPr>
        <w:pStyle w:val="Prrafodelista"/>
        <w:numPr>
          <w:ilvl w:val="0"/>
          <w:numId w:val="36"/>
        </w:numPr>
        <w:pBdr>
          <w:top w:val="nil"/>
          <w:left w:val="nil"/>
          <w:bottom w:val="nil"/>
          <w:right w:val="nil"/>
          <w:between w:val="nil"/>
          <w:bar w:val="nil"/>
        </w:pBdr>
        <w:suppressAutoHyphens/>
        <w:ind w:left="284" w:hanging="284"/>
        <w:contextualSpacing/>
        <w:jc w:val="both"/>
        <w:rPr>
          <w:rFonts w:ascii="ITC Avant Garde" w:hAnsi="ITC Avant Garde"/>
          <w:bCs/>
          <w:sz w:val="22"/>
          <w:szCs w:val="22"/>
        </w:rPr>
      </w:pPr>
      <w:r w:rsidRPr="00A24F6D">
        <w:rPr>
          <w:rFonts w:ascii="ITC Avant Garde" w:hAnsi="ITC Avant Garde"/>
          <w:b/>
          <w:bCs/>
          <w:sz w:val="22"/>
          <w:szCs w:val="22"/>
        </w:rPr>
        <w:t xml:space="preserve">Cantidad de espectro que puede ser sujeto de Arrendamiento y cumplimiento </w:t>
      </w:r>
      <w:r w:rsidR="00B91628">
        <w:rPr>
          <w:rFonts w:ascii="ITC Avant Garde" w:hAnsi="ITC Avant Garde"/>
          <w:b/>
          <w:bCs/>
          <w:sz w:val="22"/>
          <w:szCs w:val="22"/>
        </w:rPr>
        <w:t>en el pago de derechos por el uso, aprovechamiento y/o explotación, según corresponda</w:t>
      </w:r>
      <w:r w:rsidR="0012450E">
        <w:rPr>
          <w:rFonts w:ascii="ITC Avant Garde" w:hAnsi="ITC Avant Garde"/>
          <w:b/>
          <w:bCs/>
          <w:sz w:val="22"/>
          <w:szCs w:val="22"/>
        </w:rPr>
        <w:t>,</w:t>
      </w:r>
      <w:r w:rsidR="00B91628">
        <w:rPr>
          <w:rFonts w:ascii="ITC Avant Garde" w:hAnsi="ITC Avant Garde"/>
          <w:b/>
          <w:bCs/>
          <w:sz w:val="22"/>
          <w:szCs w:val="22"/>
        </w:rPr>
        <w:t xml:space="preserve"> de las bandas de frecuencias objeto del contrato de arrendamiento.</w:t>
      </w:r>
      <w:r w:rsidRPr="00A24F6D">
        <w:rPr>
          <w:rFonts w:ascii="ITC Avant Garde" w:hAnsi="ITC Avant Garde"/>
          <w:b/>
          <w:bCs/>
          <w:sz w:val="22"/>
          <w:szCs w:val="22"/>
        </w:rPr>
        <w:t xml:space="preserve"> </w:t>
      </w:r>
      <w:r w:rsidRPr="00A24F6D">
        <w:rPr>
          <w:rFonts w:ascii="ITC Avant Garde" w:hAnsi="ITC Avant Garde"/>
          <w:bCs/>
          <w:sz w:val="22"/>
          <w:szCs w:val="22"/>
        </w:rPr>
        <w:t xml:space="preserve">Los comentarios, opiniones y </w:t>
      </w:r>
      <w:r w:rsidR="008C19C9">
        <w:rPr>
          <w:rFonts w:ascii="ITC Avant Garde" w:hAnsi="ITC Avant Garde"/>
          <w:bCs/>
          <w:sz w:val="22"/>
          <w:szCs w:val="22"/>
        </w:rPr>
        <w:t>propue</w:t>
      </w:r>
      <w:r w:rsidR="00612862">
        <w:rPr>
          <w:rFonts w:ascii="ITC Avant Garde" w:hAnsi="ITC Avant Garde"/>
          <w:bCs/>
          <w:sz w:val="22"/>
          <w:szCs w:val="22"/>
        </w:rPr>
        <w:t>s</w:t>
      </w:r>
      <w:r w:rsidR="008C19C9">
        <w:rPr>
          <w:rFonts w:ascii="ITC Avant Garde" w:hAnsi="ITC Avant Garde"/>
          <w:bCs/>
          <w:sz w:val="22"/>
          <w:szCs w:val="22"/>
        </w:rPr>
        <w:t xml:space="preserve">tas </w:t>
      </w:r>
      <w:r w:rsidR="0040243A" w:rsidRPr="00A24F6D">
        <w:rPr>
          <w:rFonts w:ascii="ITC Avant Garde" w:hAnsi="ITC Avant Garde"/>
          <w:bCs/>
          <w:sz w:val="22"/>
          <w:szCs w:val="22"/>
        </w:rPr>
        <w:t xml:space="preserve">recibidos </w:t>
      </w:r>
      <w:r w:rsidR="00B07E53">
        <w:rPr>
          <w:rFonts w:ascii="ITC Avant Garde" w:hAnsi="ITC Avant Garde"/>
          <w:bCs/>
          <w:sz w:val="22"/>
          <w:szCs w:val="22"/>
        </w:rPr>
        <w:t>indican</w:t>
      </w:r>
      <w:r w:rsidR="00B07E53" w:rsidRPr="00A24F6D">
        <w:rPr>
          <w:rFonts w:ascii="ITC Avant Garde" w:hAnsi="ITC Avant Garde"/>
          <w:bCs/>
          <w:sz w:val="22"/>
          <w:szCs w:val="22"/>
        </w:rPr>
        <w:t xml:space="preserve"> </w:t>
      </w:r>
      <w:r w:rsidR="0040243A" w:rsidRPr="00A24F6D">
        <w:rPr>
          <w:rFonts w:ascii="ITC Avant Garde" w:hAnsi="ITC Avant Garde"/>
          <w:bCs/>
          <w:sz w:val="22"/>
          <w:szCs w:val="22"/>
        </w:rPr>
        <w:t xml:space="preserve">que se </w:t>
      </w:r>
      <w:r w:rsidR="00B07E53">
        <w:rPr>
          <w:rFonts w:ascii="ITC Avant Garde" w:hAnsi="ITC Avant Garde"/>
          <w:bCs/>
          <w:sz w:val="22"/>
          <w:szCs w:val="22"/>
        </w:rPr>
        <w:t>valore</w:t>
      </w:r>
      <w:r w:rsidR="00C93307" w:rsidRPr="00A24F6D">
        <w:rPr>
          <w:rFonts w:ascii="ITC Avant Garde" w:hAnsi="ITC Avant Garde"/>
          <w:bCs/>
          <w:sz w:val="22"/>
          <w:szCs w:val="22"/>
        </w:rPr>
        <w:t xml:space="preserve"> </w:t>
      </w:r>
      <w:r w:rsidR="0040243A" w:rsidRPr="00A24F6D">
        <w:rPr>
          <w:rFonts w:ascii="ITC Avant Garde" w:hAnsi="ITC Avant Garde"/>
          <w:bCs/>
          <w:sz w:val="22"/>
          <w:szCs w:val="22"/>
        </w:rPr>
        <w:t xml:space="preserve">que el </w:t>
      </w:r>
      <w:r w:rsidR="00FF0D44">
        <w:rPr>
          <w:rFonts w:ascii="ITC Avant Garde" w:hAnsi="ITC Avant Garde"/>
          <w:bCs/>
          <w:sz w:val="22"/>
          <w:szCs w:val="22"/>
        </w:rPr>
        <w:t>a</w:t>
      </w:r>
      <w:r w:rsidR="0040243A" w:rsidRPr="00A24F6D">
        <w:rPr>
          <w:rFonts w:ascii="ITC Avant Garde" w:hAnsi="ITC Avant Garde"/>
          <w:bCs/>
          <w:sz w:val="22"/>
          <w:szCs w:val="22"/>
        </w:rPr>
        <w:t xml:space="preserve">rrendamiento de </w:t>
      </w:r>
      <w:r w:rsidR="00FF0D44">
        <w:rPr>
          <w:rFonts w:ascii="ITC Avant Garde" w:hAnsi="ITC Avant Garde"/>
          <w:bCs/>
          <w:sz w:val="22"/>
          <w:szCs w:val="22"/>
        </w:rPr>
        <w:t>e</w:t>
      </w:r>
      <w:r w:rsidR="0040243A" w:rsidRPr="00A24F6D">
        <w:rPr>
          <w:rFonts w:ascii="ITC Avant Garde" w:hAnsi="ITC Avant Garde"/>
          <w:bCs/>
          <w:sz w:val="22"/>
          <w:szCs w:val="22"/>
        </w:rPr>
        <w:t xml:space="preserve">spectro </w:t>
      </w:r>
      <w:r w:rsidR="00B07E53">
        <w:rPr>
          <w:rFonts w:ascii="ITC Avant Garde" w:hAnsi="ITC Avant Garde"/>
          <w:bCs/>
          <w:sz w:val="22"/>
          <w:szCs w:val="22"/>
        </w:rPr>
        <w:t>puede</w:t>
      </w:r>
      <w:r w:rsidR="00B07E53" w:rsidRPr="00A24F6D">
        <w:rPr>
          <w:rFonts w:ascii="ITC Avant Garde" w:hAnsi="ITC Avant Garde"/>
          <w:bCs/>
          <w:sz w:val="22"/>
          <w:szCs w:val="22"/>
        </w:rPr>
        <w:t xml:space="preserve"> </w:t>
      </w:r>
      <w:r w:rsidR="0040243A" w:rsidRPr="00A24F6D">
        <w:rPr>
          <w:rFonts w:ascii="ITC Avant Garde" w:hAnsi="ITC Avant Garde"/>
          <w:bCs/>
          <w:sz w:val="22"/>
          <w:szCs w:val="22"/>
        </w:rPr>
        <w:t xml:space="preserve">ser total o parcial, con la finalidad de eliminar fenómenos especulativos que pudieran afectar a la competencia y el uso eficiente de dicho bien de dominio público, así como el cumplimiento de las obligaciones del concesionario para la procedencia de la Autorización por parte del Instituto. </w:t>
      </w:r>
    </w:p>
    <w:p w14:paraId="182C24C2" w14:textId="77777777" w:rsidR="0040243A" w:rsidRPr="00A24F6D" w:rsidRDefault="0040243A" w:rsidP="0040243A">
      <w:pPr>
        <w:pStyle w:val="Prrafodelista"/>
        <w:pBdr>
          <w:top w:val="nil"/>
          <w:left w:val="nil"/>
          <w:bottom w:val="nil"/>
          <w:right w:val="nil"/>
          <w:between w:val="nil"/>
          <w:bar w:val="nil"/>
        </w:pBdr>
        <w:suppressAutoHyphens/>
        <w:ind w:left="284"/>
        <w:contextualSpacing/>
        <w:jc w:val="both"/>
        <w:rPr>
          <w:rFonts w:ascii="ITC Avant Garde" w:hAnsi="ITC Avant Garde"/>
          <w:bCs/>
          <w:sz w:val="22"/>
          <w:szCs w:val="22"/>
        </w:rPr>
      </w:pPr>
    </w:p>
    <w:p w14:paraId="328470F4" w14:textId="61224E80" w:rsidR="007B282D" w:rsidRPr="00A24F6D" w:rsidRDefault="00167483" w:rsidP="007B282D">
      <w:pPr>
        <w:pStyle w:val="Prrafodelista"/>
        <w:pBdr>
          <w:top w:val="nil"/>
          <w:left w:val="nil"/>
          <w:bottom w:val="nil"/>
          <w:right w:val="nil"/>
          <w:between w:val="nil"/>
          <w:bar w:val="nil"/>
        </w:pBdr>
        <w:suppressAutoHyphens/>
        <w:ind w:left="284"/>
        <w:contextualSpacing/>
        <w:jc w:val="both"/>
        <w:rPr>
          <w:rFonts w:ascii="ITC Avant Garde" w:eastAsia="Arial Unicode MS" w:hAnsi="ITC Avant Garde" w:cs="Times"/>
          <w:color w:val="000000" w:themeColor="text1"/>
          <w:sz w:val="22"/>
          <w:szCs w:val="22"/>
          <w:bdr w:val="nil"/>
          <w:lang w:eastAsia="es-MX"/>
        </w:rPr>
      </w:pPr>
      <w:r>
        <w:rPr>
          <w:rFonts w:ascii="ITC Avant Garde" w:hAnsi="ITC Avant Garde"/>
          <w:bCs/>
          <w:sz w:val="22"/>
          <w:szCs w:val="22"/>
        </w:rPr>
        <w:t>Sobre el particular</w:t>
      </w:r>
      <w:r w:rsidR="00FB3435" w:rsidRPr="00A24F6D">
        <w:rPr>
          <w:rFonts w:ascii="ITC Avant Garde" w:hAnsi="ITC Avant Garde"/>
          <w:bCs/>
          <w:sz w:val="22"/>
          <w:szCs w:val="22"/>
        </w:rPr>
        <w:t>, acorde con la</w:t>
      </w:r>
      <w:r w:rsidR="00FB3435" w:rsidRPr="00A24F6D">
        <w:rPr>
          <w:rFonts w:ascii="ITC Avant Garde" w:hAnsi="ITC Avant Garde"/>
          <w:b/>
          <w:bCs/>
          <w:sz w:val="22"/>
          <w:szCs w:val="22"/>
        </w:rPr>
        <w:t xml:space="preserve"> </w:t>
      </w:r>
      <w:r w:rsidR="002A3BEE">
        <w:rPr>
          <w:rFonts w:ascii="ITC Avant Garde" w:hAnsi="ITC Avant Garde"/>
          <w:color w:val="000000"/>
          <w:sz w:val="22"/>
          <w:szCs w:val="22"/>
        </w:rPr>
        <w:t>i</w:t>
      </w:r>
      <w:r w:rsidR="003A09C9" w:rsidRPr="00A24F6D">
        <w:rPr>
          <w:rFonts w:ascii="ITC Avant Garde" w:hAnsi="ITC Avant Garde"/>
          <w:color w:val="000000"/>
          <w:sz w:val="22"/>
          <w:szCs w:val="22"/>
        </w:rPr>
        <w:t xml:space="preserve">niciativa </w:t>
      </w:r>
      <w:r w:rsidR="005F0377" w:rsidRPr="00A24F6D">
        <w:rPr>
          <w:rFonts w:ascii="ITC Avant Garde" w:hAnsi="ITC Avant Garde"/>
          <w:color w:val="000000"/>
          <w:sz w:val="22"/>
          <w:szCs w:val="22"/>
        </w:rPr>
        <w:t>del E</w:t>
      </w:r>
      <w:r w:rsidR="003A09C9" w:rsidRPr="00A24F6D">
        <w:rPr>
          <w:rFonts w:ascii="ITC Avant Garde" w:eastAsia="Arial Unicode MS" w:hAnsi="ITC Avant Garde" w:cs="Times"/>
          <w:color w:val="000000" w:themeColor="text1"/>
          <w:sz w:val="22"/>
          <w:szCs w:val="22"/>
          <w:bdr w:val="nil"/>
          <w:lang w:eastAsia="es-MX"/>
        </w:rPr>
        <w:t xml:space="preserve">jecutivo Federal </w:t>
      </w:r>
      <w:r w:rsidR="005F0377" w:rsidRPr="00A24F6D">
        <w:rPr>
          <w:rFonts w:ascii="ITC Avant Garde" w:eastAsia="Arial Unicode MS" w:hAnsi="ITC Avant Garde" w:cs="Times"/>
          <w:color w:val="000000" w:themeColor="text1"/>
          <w:sz w:val="22"/>
          <w:szCs w:val="22"/>
          <w:bdr w:val="nil"/>
          <w:lang w:eastAsia="es-MX"/>
        </w:rPr>
        <w:t>de fecha 25</w:t>
      </w:r>
      <w:r w:rsidR="003A09C9" w:rsidRPr="00A24F6D">
        <w:rPr>
          <w:rFonts w:ascii="ITC Avant Garde" w:eastAsia="Arial Unicode MS" w:hAnsi="ITC Avant Garde" w:cs="Times"/>
          <w:color w:val="000000" w:themeColor="text1"/>
          <w:sz w:val="22"/>
          <w:szCs w:val="22"/>
          <w:bdr w:val="nil"/>
          <w:lang w:eastAsia="es-MX"/>
        </w:rPr>
        <w:t xml:space="preserve"> de marzo de 2014, </w:t>
      </w:r>
      <w:r w:rsidR="00BB6FA9">
        <w:rPr>
          <w:rFonts w:ascii="ITC Avant Garde" w:eastAsia="Arial Unicode MS" w:hAnsi="ITC Avant Garde" w:cs="Times"/>
          <w:color w:val="000000" w:themeColor="text1"/>
          <w:sz w:val="22"/>
          <w:szCs w:val="22"/>
          <w:bdr w:val="nil"/>
          <w:lang w:eastAsia="es-MX"/>
        </w:rPr>
        <w:t xml:space="preserve">y lo previsto en el artículo 104 de la Ley, </w:t>
      </w:r>
      <w:r w:rsidR="003A09C9" w:rsidRPr="00A24F6D">
        <w:rPr>
          <w:rFonts w:ascii="ITC Avant Garde" w:eastAsia="Arial Unicode MS" w:hAnsi="ITC Avant Garde" w:cs="Times"/>
          <w:color w:val="000000" w:themeColor="text1"/>
          <w:sz w:val="22"/>
          <w:szCs w:val="22"/>
          <w:bdr w:val="nil"/>
          <w:lang w:eastAsia="es-MX"/>
        </w:rPr>
        <w:t xml:space="preserve">se </w:t>
      </w:r>
      <w:r w:rsidR="007B282D" w:rsidRPr="00A24F6D">
        <w:rPr>
          <w:rFonts w:ascii="ITC Avant Garde" w:eastAsia="Arial Unicode MS" w:hAnsi="ITC Avant Garde" w:cs="Times"/>
          <w:color w:val="000000" w:themeColor="text1"/>
          <w:sz w:val="22"/>
          <w:szCs w:val="22"/>
          <w:bdr w:val="nil"/>
          <w:lang w:eastAsia="es-MX"/>
        </w:rPr>
        <w:t xml:space="preserve">consideró procedente otorgar seguridad a los gobernados y señalar </w:t>
      </w:r>
      <w:r w:rsidR="002A3BEE">
        <w:rPr>
          <w:rFonts w:ascii="ITC Avant Garde" w:eastAsia="Arial Unicode MS" w:hAnsi="ITC Avant Garde" w:cs="Times"/>
          <w:color w:val="000000" w:themeColor="text1"/>
          <w:sz w:val="22"/>
          <w:szCs w:val="22"/>
          <w:bdr w:val="nil"/>
          <w:lang w:eastAsia="es-MX"/>
        </w:rPr>
        <w:t xml:space="preserve">expresamente </w:t>
      </w:r>
      <w:r w:rsidR="007B282D" w:rsidRPr="00A24F6D">
        <w:rPr>
          <w:rFonts w:ascii="ITC Avant Garde" w:eastAsia="Arial Unicode MS" w:hAnsi="ITC Avant Garde" w:cs="Times"/>
          <w:color w:val="000000" w:themeColor="text1"/>
          <w:sz w:val="22"/>
          <w:szCs w:val="22"/>
          <w:bdr w:val="nil"/>
          <w:lang w:eastAsia="es-MX"/>
        </w:rPr>
        <w:t xml:space="preserve">que el </w:t>
      </w:r>
      <w:r w:rsidR="00E9729D">
        <w:rPr>
          <w:rFonts w:ascii="ITC Avant Garde" w:eastAsia="Arial Unicode MS" w:hAnsi="ITC Avant Garde" w:cs="Times"/>
          <w:color w:val="000000" w:themeColor="text1"/>
          <w:sz w:val="22"/>
          <w:szCs w:val="22"/>
          <w:bdr w:val="nil"/>
          <w:lang w:eastAsia="es-MX"/>
        </w:rPr>
        <w:t>a</w:t>
      </w:r>
      <w:r w:rsidR="007B282D" w:rsidRPr="00A24F6D">
        <w:rPr>
          <w:rFonts w:ascii="ITC Avant Garde" w:eastAsia="Arial Unicode MS" w:hAnsi="ITC Avant Garde" w:cs="Times"/>
          <w:color w:val="000000" w:themeColor="text1"/>
          <w:sz w:val="22"/>
          <w:szCs w:val="22"/>
          <w:bdr w:val="nil"/>
          <w:lang w:eastAsia="es-MX"/>
        </w:rPr>
        <w:t>r</w:t>
      </w:r>
      <w:r w:rsidR="007C0994">
        <w:rPr>
          <w:rFonts w:ascii="ITC Avant Garde" w:eastAsia="Arial Unicode MS" w:hAnsi="ITC Avant Garde" w:cs="Times"/>
          <w:color w:val="000000" w:themeColor="text1"/>
          <w:sz w:val="22"/>
          <w:szCs w:val="22"/>
          <w:bdr w:val="nil"/>
          <w:lang w:eastAsia="es-MX"/>
        </w:rPr>
        <w:t>rendamiento de espectro radioelé</w:t>
      </w:r>
      <w:r w:rsidR="007B282D" w:rsidRPr="00A24F6D">
        <w:rPr>
          <w:rFonts w:ascii="ITC Avant Garde" w:eastAsia="Arial Unicode MS" w:hAnsi="ITC Avant Garde" w:cs="Times"/>
          <w:color w:val="000000" w:themeColor="text1"/>
          <w:sz w:val="22"/>
          <w:szCs w:val="22"/>
          <w:bdr w:val="nil"/>
          <w:lang w:eastAsia="es-MX"/>
        </w:rPr>
        <w:t>ctrico</w:t>
      </w:r>
      <w:r w:rsidR="00C33D98">
        <w:rPr>
          <w:rFonts w:ascii="ITC Avant Garde" w:eastAsia="Arial Unicode MS" w:hAnsi="ITC Avant Garde" w:cs="Times"/>
          <w:color w:val="000000" w:themeColor="text1"/>
          <w:sz w:val="22"/>
          <w:szCs w:val="22"/>
          <w:bdr w:val="nil"/>
          <w:lang w:eastAsia="es-MX"/>
        </w:rPr>
        <w:t xml:space="preserve"> </w:t>
      </w:r>
      <w:r w:rsidR="007B282D" w:rsidRPr="00A24F6D">
        <w:rPr>
          <w:rFonts w:ascii="ITC Avant Garde" w:eastAsia="Arial Unicode MS" w:hAnsi="ITC Avant Garde" w:cs="Times"/>
          <w:color w:val="000000" w:themeColor="text1"/>
          <w:sz w:val="22"/>
          <w:szCs w:val="22"/>
          <w:bdr w:val="nil"/>
          <w:lang w:eastAsia="es-MX"/>
        </w:rPr>
        <w:t xml:space="preserve">puede </w:t>
      </w:r>
      <w:r w:rsidR="002C6462">
        <w:rPr>
          <w:rFonts w:ascii="ITC Avant Garde" w:eastAsia="Arial Unicode MS" w:hAnsi="ITC Avant Garde" w:cs="Times"/>
          <w:color w:val="000000" w:themeColor="text1"/>
          <w:sz w:val="22"/>
          <w:szCs w:val="22"/>
          <w:bdr w:val="nil"/>
          <w:lang w:eastAsia="es-MX"/>
        </w:rPr>
        <w:t>corresponder al total de</w:t>
      </w:r>
      <w:r w:rsidR="00B91628">
        <w:rPr>
          <w:rFonts w:ascii="ITC Avant Garde" w:eastAsia="Arial Unicode MS" w:hAnsi="ITC Avant Garde" w:cs="Times"/>
          <w:color w:val="000000" w:themeColor="text1"/>
          <w:sz w:val="22"/>
          <w:szCs w:val="22"/>
          <w:bdr w:val="nil"/>
          <w:lang w:eastAsia="es-MX"/>
        </w:rPr>
        <w:t xml:space="preserve"> </w:t>
      </w:r>
      <w:r w:rsidR="002C6462">
        <w:rPr>
          <w:rFonts w:ascii="ITC Avant Garde" w:eastAsia="Arial Unicode MS" w:hAnsi="ITC Avant Garde" w:cs="Times"/>
          <w:color w:val="000000" w:themeColor="text1"/>
          <w:sz w:val="22"/>
          <w:szCs w:val="22"/>
          <w:bdr w:val="nil"/>
          <w:lang w:eastAsia="es-MX"/>
        </w:rPr>
        <w:t>l</w:t>
      </w:r>
      <w:r w:rsidR="00B91628">
        <w:rPr>
          <w:rFonts w:ascii="ITC Avant Garde" w:eastAsia="Arial Unicode MS" w:hAnsi="ITC Avant Garde" w:cs="Times"/>
          <w:color w:val="000000" w:themeColor="text1"/>
          <w:sz w:val="22"/>
          <w:szCs w:val="22"/>
          <w:bdr w:val="nil"/>
          <w:lang w:eastAsia="es-MX"/>
        </w:rPr>
        <w:t>as bandas de frecuencias de</w:t>
      </w:r>
      <w:r w:rsidR="002C6462">
        <w:rPr>
          <w:rFonts w:ascii="ITC Avant Garde" w:eastAsia="Arial Unicode MS" w:hAnsi="ITC Avant Garde" w:cs="Times"/>
          <w:color w:val="000000" w:themeColor="text1"/>
          <w:sz w:val="22"/>
          <w:szCs w:val="22"/>
          <w:bdr w:val="nil"/>
          <w:lang w:eastAsia="es-MX"/>
        </w:rPr>
        <w:t xml:space="preserve"> espectro radioeléctrico originalmente concesionado o sólo una parte de</w:t>
      </w:r>
      <w:r w:rsidR="00912713">
        <w:rPr>
          <w:rFonts w:ascii="ITC Avant Garde" w:eastAsia="Arial Unicode MS" w:hAnsi="ITC Avant Garde" w:cs="Times"/>
          <w:color w:val="000000" w:themeColor="text1"/>
          <w:sz w:val="22"/>
          <w:szCs w:val="22"/>
          <w:bdr w:val="nil"/>
          <w:lang w:eastAsia="es-MX"/>
        </w:rPr>
        <w:t xml:space="preserve"> </w:t>
      </w:r>
      <w:r w:rsidR="002C6462">
        <w:rPr>
          <w:rFonts w:ascii="ITC Avant Garde" w:eastAsia="Arial Unicode MS" w:hAnsi="ITC Avant Garde" w:cs="Times"/>
          <w:color w:val="000000" w:themeColor="text1"/>
          <w:sz w:val="22"/>
          <w:szCs w:val="22"/>
          <w:bdr w:val="nil"/>
          <w:lang w:eastAsia="es-MX"/>
        </w:rPr>
        <w:t>l</w:t>
      </w:r>
      <w:r w:rsidR="00912713">
        <w:rPr>
          <w:rFonts w:ascii="ITC Avant Garde" w:eastAsia="Arial Unicode MS" w:hAnsi="ITC Avant Garde" w:cs="Times"/>
          <w:color w:val="000000" w:themeColor="text1"/>
          <w:sz w:val="22"/>
          <w:szCs w:val="22"/>
          <w:bdr w:val="nil"/>
          <w:lang w:eastAsia="es-MX"/>
        </w:rPr>
        <w:t>as mismas</w:t>
      </w:r>
      <w:r w:rsidR="002C6462">
        <w:rPr>
          <w:rFonts w:ascii="ITC Avant Garde" w:eastAsia="Arial Unicode MS" w:hAnsi="ITC Avant Garde" w:cs="Times"/>
          <w:color w:val="000000" w:themeColor="text1"/>
          <w:sz w:val="22"/>
          <w:szCs w:val="22"/>
          <w:bdr w:val="nil"/>
          <w:lang w:eastAsia="es-MX"/>
        </w:rPr>
        <w:t>.</w:t>
      </w:r>
    </w:p>
    <w:p w14:paraId="52105724" w14:textId="77777777" w:rsidR="007B282D" w:rsidRPr="00A24F6D" w:rsidRDefault="007B282D" w:rsidP="007B282D">
      <w:pPr>
        <w:pStyle w:val="Prrafodelista"/>
        <w:pBdr>
          <w:top w:val="nil"/>
          <w:left w:val="nil"/>
          <w:bottom w:val="nil"/>
          <w:right w:val="nil"/>
          <w:between w:val="nil"/>
          <w:bar w:val="nil"/>
        </w:pBdr>
        <w:suppressAutoHyphens/>
        <w:ind w:left="284"/>
        <w:contextualSpacing/>
        <w:jc w:val="both"/>
        <w:rPr>
          <w:rFonts w:ascii="ITC Avant Garde" w:eastAsia="Arial Unicode MS" w:hAnsi="ITC Avant Garde" w:cs="Times"/>
          <w:color w:val="000000" w:themeColor="text1"/>
          <w:sz w:val="22"/>
          <w:szCs w:val="22"/>
          <w:bdr w:val="nil"/>
          <w:lang w:eastAsia="es-MX"/>
        </w:rPr>
      </w:pPr>
    </w:p>
    <w:p w14:paraId="356A66A8" w14:textId="2C5DD329" w:rsidR="003A09C9" w:rsidRPr="00A24F6D" w:rsidRDefault="00930766" w:rsidP="00930766">
      <w:pPr>
        <w:pStyle w:val="Prrafodelista"/>
        <w:pBdr>
          <w:top w:val="nil"/>
          <w:left w:val="nil"/>
          <w:bottom w:val="nil"/>
          <w:right w:val="nil"/>
          <w:between w:val="nil"/>
          <w:bar w:val="nil"/>
        </w:pBdr>
        <w:suppressAutoHyphens/>
        <w:ind w:left="284"/>
        <w:contextualSpacing/>
        <w:jc w:val="both"/>
        <w:rPr>
          <w:rFonts w:ascii="ITC Avant Garde" w:hAnsi="ITC Avant Garde"/>
          <w:sz w:val="22"/>
          <w:szCs w:val="22"/>
          <w:lang w:val="es-ES"/>
        </w:rPr>
      </w:pPr>
      <w:r w:rsidRPr="00A24F6D">
        <w:rPr>
          <w:rFonts w:ascii="ITC Avant Garde" w:hAnsi="ITC Avant Garde"/>
          <w:sz w:val="22"/>
          <w:szCs w:val="22"/>
        </w:rPr>
        <w:t xml:space="preserve">Por su parte, tratándose del </w:t>
      </w:r>
      <w:r w:rsidR="00A4107A">
        <w:rPr>
          <w:rFonts w:ascii="ITC Avant Garde" w:hAnsi="ITC Avant Garde"/>
          <w:sz w:val="22"/>
          <w:szCs w:val="22"/>
        </w:rPr>
        <w:t xml:space="preserve">punto planteado por los participantes respecto del </w:t>
      </w:r>
      <w:r w:rsidRPr="00A24F6D">
        <w:rPr>
          <w:rFonts w:ascii="ITC Avant Garde" w:hAnsi="ITC Avant Garde"/>
          <w:sz w:val="22"/>
          <w:szCs w:val="22"/>
        </w:rPr>
        <w:t>c</w:t>
      </w:r>
      <w:r w:rsidR="003A09C9" w:rsidRPr="00A24F6D">
        <w:rPr>
          <w:rFonts w:ascii="ITC Avant Garde" w:hAnsi="ITC Avant Garde"/>
          <w:bCs/>
          <w:sz w:val="22"/>
          <w:szCs w:val="22"/>
        </w:rPr>
        <w:t xml:space="preserve">umplimiento de las obligaciones del titular de la </w:t>
      </w:r>
      <w:r w:rsidR="006C3B38">
        <w:rPr>
          <w:rFonts w:ascii="ITC Avant Garde" w:hAnsi="ITC Avant Garde"/>
          <w:bCs/>
          <w:sz w:val="22"/>
          <w:szCs w:val="22"/>
        </w:rPr>
        <w:t>concesión de espectro radioeléctrico</w:t>
      </w:r>
      <w:r w:rsidR="003A09C9" w:rsidRPr="00A24F6D">
        <w:rPr>
          <w:rFonts w:ascii="ITC Avant Garde" w:hAnsi="ITC Avant Garde"/>
          <w:bCs/>
          <w:sz w:val="22"/>
          <w:szCs w:val="22"/>
        </w:rPr>
        <w:t xml:space="preserve"> para </w:t>
      </w:r>
      <w:r w:rsidR="0091488D">
        <w:rPr>
          <w:rFonts w:ascii="ITC Avant Garde" w:hAnsi="ITC Avant Garde"/>
          <w:bCs/>
          <w:sz w:val="22"/>
          <w:szCs w:val="22"/>
        </w:rPr>
        <w:t>uso c</w:t>
      </w:r>
      <w:r w:rsidR="003A09C9" w:rsidRPr="00A24F6D">
        <w:rPr>
          <w:rFonts w:ascii="ITC Avant Garde" w:hAnsi="ITC Avant Garde"/>
          <w:bCs/>
          <w:sz w:val="22"/>
          <w:szCs w:val="22"/>
        </w:rPr>
        <w:t xml:space="preserve">omercial o </w:t>
      </w:r>
      <w:r w:rsidR="0091488D">
        <w:rPr>
          <w:rFonts w:ascii="ITC Avant Garde" w:hAnsi="ITC Avant Garde"/>
          <w:bCs/>
          <w:sz w:val="22"/>
          <w:szCs w:val="22"/>
        </w:rPr>
        <w:t>u</w:t>
      </w:r>
      <w:r w:rsidR="003A09C9" w:rsidRPr="00A24F6D">
        <w:rPr>
          <w:rFonts w:ascii="ITC Avant Garde" w:hAnsi="ITC Avant Garde"/>
          <w:bCs/>
          <w:sz w:val="22"/>
          <w:szCs w:val="22"/>
        </w:rPr>
        <w:t xml:space="preserve">so </w:t>
      </w:r>
      <w:r w:rsidR="0091488D">
        <w:rPr>
          <w:rFonts w:ascii="ITC Avant Garde" w:hAnsi="ITC Avant Garde"/>
          <w:bCs/>
          <w:sz w:val="22"/>
          <w:szCs w:val="22"/>
        </w:rPr>
        <w:t>p</w:t>
      </w:r>
      <w:r w:rsidR="003A09C9" w:rsidRPr="00A24F6D">
        <w:rPr>
          <w:rFonts w:ascii="ITC Avant Garde" w:hAnsi="ITC Avant Garde"/>
          <w:bCs/>
          <w:sz w:val="22"/>
          <w:szCs w:val="22"/>
        </w:rPr>
        <w:t xml:space="preserve">rivado, </w:t>
      </w:r>
      <w:r w:rsidR="00622068">
        <w:rPr>
          <w:rFonts w:ascii="ITC Avant Garde" w:hAnsi="ITC Avant Garde"/>
          <w:bCs/>
          <w:sz w:val="22"/>
          <w:szCs w:val="22"/>
        </w:rPr>
        <w:t xml:space="preserve">esta última </w:t>
      </w:r>
      <w:r w:rsidR="003A09C9" w:rsidRPr="00A24F6D">
        <w:rPr>
          <w:rFonts w:ascii="ITC Avant Garde" w:hAnsi="ITC Avant Garde"/>
          <w:bCs/>
          <w:sz w:val="22"/>
          <w:szCs w:val="22"/>
        </w:rPr>
        <w:t xml:space="preserve">con propósitos de comunicación </w:t>
      </w:r>
      <w:r w:rsidRPr="00A24F6D">
        <w:rPr>
          <w:rFonts w:ascii="ITC Avant Garde" w:hAnsi="ITC Avant Garde"/>
          <w:bCs/>
          <w:sz w:val="22"/>
          <w:szCs w:val="22"/>
        </w:rPr>
        <w:t xml:space="preserve">privada, resultó necesario indicar que </w:t>
      </w:r>
      <w:r w:rsidR="00A4107A">
        <w:rPr>
          <w:rFonts w:ascii="ITC Avant Garde" w:hAnsi="ITC Avant Garde"/>
          <w:bCs/>
          <w:sz w:val="22"/>
          <w:szCs w:val="22"/>
        </w:rPr>
        <w:t xml:space="preserve">el titular de la concesión de espectro radioeléctrico para uso comercial o de una concesión de espectro radioeléctrico para uso privado que pretenda dar en arrendamiento bandas de frecuencias deberá encontrarse al corriente en el pago de los derechos por el uso, </w:t>
      </w:r>
      <w:r w:rsidR="00A4107A" w:rsidRPr="0059739E">
        <w:rPr>
          <w:rFonts w:ascii="ITC Avant Garde" w:hAnsi="ITC Avant Garde"/>
          <w:bCs/>
          <w:sz w:val="22"/>
          <w:szCs w:val="22"/>
        </w:rPr>
        <w:t xml:space="preserve">aprovechamiento y/o explotación, según corresponda, de las bandas de frecuencias objeto del contrato de arrendamiento. </w:t>
      </w:r>
      <w:r w:rsidR="003A51EB" w:rsidRPr="0059739E">
        <w:rPr>
          <w:rFonts w:ascii="ITC Avant Garde" w:hAnsi="ITC Avant Garde"/>
          <w:bCs/>
          <w:sz w:val="22"/>
          <w:szCs w:val="22"/>
        </w:rPr>
        <w:t>Lo anterior, no es óbice a que deban cumplirse las demás obligaciones derivadas de los títulos de espectro respectivos</w:t>
      </w:r>
      <w:r w:rsidR="00F256B9" w:rsidRPr="0059739E">
        <w:rPr>
          <w:rFonts w:ascii="ITC Avant Garde" w:hAnsi="ITC Avant Garde"/>
          <w:bCs/>
          <w:sz w:val="22"/>
          <w:szCs w:val="22"/>
        </w:rPr>
        <w:t>, las cuales</w:t>
      </w:r>
      <w:r w:rsidR="0012450E" w:rsidRPr="0059739E">
        <w:rPr>
          <w:rFonts w:ascii="ITC Avant Garde" w:hAnsi="ITC Avant Garde"/>
          <w:bCs/>
          <w:sz w:val="22"/>
          <w:szCs w:val="22"/>
        </w:rPr>
        <w:t>,</w:t>
      </w:r>
      <w:r w:rsidR="00F256B9" w:rsidRPr="0059739E">
        <w:rPr>
          <w:rFonts w:ascii="ITC Avant Garde" w:hAnsi="ITC Avant Garde"/>
          <w:bCs/>
          <w:sz w:val="22"/>
          <w:szCs w:val="22"/>
        </w:rPr>
        <w:t xml:space="preserve"> salvo lo indicado en el cuerpo de los Lineamientos</w:t>
      </w:r>
      <w:r w:rsidR="004C53C6">
        <w:rPr>
          <w:rFonts w:ascii="ITC Avant Garde" w:hAnsi="ITC Avant Garde"/>
          <w:bCs/>
          <w:sz w:val="22"/>
          <w:szCs w:val="22"/>
        </w:rPr>
        <w:t>,</w:t>
      </w:r>
      <w:r w:rsidR="00F256B9" w:rsidRPr="0059739E">
        <w:rPr>
          <w:rFonts w:ascii="ITC Avant Garde" w:hAnsi="ITC Avant Garde"/>
          <w:bCs/>
          <w:sz w:val="22"/>
          <w:szCs w:val="22"/>
        </w:rPr>
        <w:t xml:space="preserve"> no son materia de</w:t>
      </w:r>
      <w:r w:rsidR="00495A5E">
        <w:rPr>
          <w:rFonts w:ascii="ITC Avant Garde" w:hAnsi="ITC Avant Garde"/>
          <w:bCs/>
          <w:sz w:val="22"/>
          <w:szCs w:val="22"/>
        </w:rPr>
        <w:t>l análisis de</w:t>
      </w:r>
      <w:r w:rsidR="00F256B9" w:rsidRPr="0059739E">
        <w:rPr>
          <w:rFonts w:ascii="ITC Avant Garde" w:hAnsi="ITC Avant Garde"/>
          <w:bCs/>
          <w:sz w:val="22"/>
          <w:szCs w:val="22"/>
        </w:rPr>
        <w:t xml:space="preserve"> la</w:t>
      </w:r>
      <w:r w:rsidR="00495A5E">
        <w:rPr>
          <w:rFonts w:ascii="ITC Avant Garde" w:hAnsi="ITC Avant Garde"/>
          <w:bCs/>
          <w:sz w:val="22"/>
          <w:szCs w:val="22"/>
        </w:rPr>
        <w:t xml:space="preserve"> solicitud de</w:t>
      </w:r>
      <w:r w:rsidR="00F256B9" w:rsidRPr="0059739E">
        <w:rPr>
          <w:rFonts w:ascii="ITC Avant Garde" w:hAnsi="ITC Avant Garde"/>
          <w:bCs/>
          <w:sz w:val="22"/>
          <w:szCs w:val="22"/>
        </w:rPr>
        <w:t xml:space="preserve"> autorización respectiva</w:t>
      </w:r>
      <w:r w:rsidR="003A51EB" w:rsidRPr="0059739E">
        <w:rPr>
          <w:rFonts w:ascii="ITC Avant Garde" w:hAnsi="ITC Avant Garde"/>
          <w:bCs/>
          <w:sz w:val="22"/>
          <w:szCs w:val="22"/>
        </w:rPr>
        <w:t>.</w:t>
      </w:r>
      <w:r w:rsidR="00A4107A" w:rsidRPr="0059739E" w:rsidDel="00A4107A">
        <w:rPr>
          <w:rFonts w:ascii="ITC Avant Garde" w:hAnsi="ITC Avant Garde"/>
          <w:bCs/>
          <w:sz w:val="22"/>
          <w:szCs w:val="22"/>
        </w:rPr>
        <w:t xml:space="preserve"> </w:t>
      </w:r>
    </w:p>
    <w:p w14:paraId="4DF1195E" w14:textId="77777777" w:rsidR="003A09C9" w:rsidRPr="004C53C6" w:rsidRDefault="003A09C9" w:rsidP="003A09C9">
      <w:pPr>
        <w:pStyle w:val="Prrafodelista"/>
        <w:tabs>
          <w:tab w:val="left" w:pos="284"/>
          <w:tab w:val="left" w:pos="426"/>
        </w:tabs>
        <w:ind w:left="851"/>
        <w:jc w:val="both"/>
        <w:rPr>
          <w:rFonts w:ascii="ITC Avant Garde" w:hAnsi="ITC Avant Garde"/>
          <w:b/>
          <w:sz w:val="22"/>
          <w:szCs w:val="22"/>
          <w:lang w:val="es-ES"/>
        </w:rPr>
      </w:pPr>
    </w:p>
    <w:p w14:paraId="3F81618E" w14:textId="65CCF123" w:rsidR="002C6462" w:rsidRPr="002955B7" w:rsidRDefault="002C6462" w:rsidP="002C6462">
      <w:pPr>
        <w:pStyle w:val="Prrafodelista"/>
        <w:numPr>
          <w:ilvl w:val="0"/>
          <w:numId w:val="36"/>
        </w:numPr>
        <w:pBdr>
          <w:top w:val="nil"/>
          <w:left w:val="nil"/>
          <w:bottom w:val="nil"/>
          <w:right w:val="nil"/>
          <w:between w:val="nil"/>
          <w:bar w:val="nil"/>
        </w:pBdr>
        <w:suppressAutoHyphens/>
        <w:ind w:left="284" w:hanging="284"/>
        <w:contextualSpacing/>
        <w:jc w:val="both"/>
        <w:rPr>
          <w:rFonts w:ascii="ITC Avant Garde" w:hAnsi="ITC Avant Garde"/>
          <w:sz w:val="22"/>
          <w:szCs w:val="22"/>
        </w:rPr>
      </w:pPr>
      <w:r>
        <w:rPr>
          <w:rFonts w:ascii="ITC Avant Garde" w:hAnsi="ITC Avant Garde"/>
          <w:b/>
          <w:bCs/>
          <w:sz w:val="22"/>
          <w:szCs w:val="22"/>
        </w:rPr>
        <w:t>Eliminación de la previsión de trato no discriminatorio.</w:t>
      </w:r>
      <w:r w:rsidRPr="002C6462">
        <w:rPr>
          <w:rFonts w:ascii="ITC Avant Garde" w:hAnsi="ITC Avant Garde"/>
          <w:bCs/>
          <w:sz w:val="22"/>
          <w:szCs w:val="22"/>
        </w:rPr>
        <w:t xml:space="preserve"> Los comentarios, opiniones y propuestas </w:t>
      </w:r>
      <w:r w:rsidR="001B5823">
        <w:rPr>
          <w:rFonts w:ascii="ITC Avant Garde" w:hAnsi="ITC Avant Garde"/>
          <w:bCs/>
          <w:sz w:val="22"/>
          <w:szCs w:val="22"/>
        </w:rPr>
        <w:t>s</w:t>
      </w:r>
      <w:r w:rsidR="00A360B2">
        <w:rPr>
          <w:rFonts w:ascii="ITC Avant Garde" w:hAnsi="ITC Avant Garde"/>
          <w:bCs/>
          <w:sz w:val="22"/>
          <w:szCs w:val="22"/>
        </w:rPr>
        <w:t>eñalan</w:t>
      </w:r>
      <w:r>
        <w:rPr>
          <w:rFonts w:ascii="ITC Avant Garde" w:hAnsi="ITC Avant Garde"/>
          <w:bCs/>
          <w:sz w:val="22"/>
          <w:szCs w:val="22"/>
        </w:rPr>
        <w:t xml:space="preserve"> que se debe eliminar la previsión en comento, puesto que </w:t>
      </w:r>
      <w:r w:rsidRPr="002955B7">
        <w:rPr>
          <w:rFonts w:ascii="ITC Avant Garde" w:hAnsi="ITC Avant Garde"/>
          <w:sz w:val="22"/>
          <w:szCs w:val="22"/>
        </w:rPr>
        <w:t xml:space="preserve"> la única obligación que establece la Ley, respecto al trato no discriminatorio entre </w:t>
      </w:r>
      <w:r w:rsidRPr="002955B7">
        <w:rPr>
          <w:rFonts w:ascii="ITC Avant Garde" w:hAnsi="ITC Avant Garde"/>
          <w:sz w:val="22"/>
          <w:szCs w:val="22"/>
        </w:rPr>
        <w:lastRenderedPageBreak/>
        <w:t xml:space="preserve">concesionarios se refiere a la interconexión e interoperabilidad de las redes </w:t>
      </w:r>
      <w:r w:rsidR="00FF0D44">
        <w:rPr>
          <w:rFonts w:ascii="ITC Avant Garde" w:hAnsi="ITC Avant Garde"/>
          <w:sz w:val="22"/>
          <w:szCs w:val="22"/>
        </w:rPr>
        <w:t>(a</w:t>
      </w:r>
      <w:r w:rsidRPr="002955B7">
        <w:rPr>
          <w:rFonts w:ascii="ITC Avant Garde" w:hAnsi="ITC Avant Garde"/>
          <w:sz w:val="22"/>
          <w:szCs w:val="22"/>
        </w:rPr>
        <w:t xml:space="preserve">rtículos 124, fracción II; 125 y 132, fracción II de la Ley). </w:t>
      </w:r>
    </w:p>
    <w:p w14:paraId="474DB0C3" w14:textId="77777777" w:rsidR="002C6462" w:rsidRDefault="002C6462" w:rsidP="002C6462">
      <w:pPr>
        <w:pStyle w:val="Prrafodelista"/>
        <w:pBdr>
          <w:top w:val="nil"/>
          <w:left w:val="nil"/>
          <w:bottom w:val="nil"/>
          <w:right w:val="nil"/>
          <w:between w:val="nil"/>
          <w:bar w:val="nil"/>
        </w:pBdr>
        <w:suppressAutoHyphens/>
        <w:ind w:left="284"/>
        <w:contextualSpacing/>
        <w:jc w:val="both"/>
        <w:rPr>
          <w:rFonts w:ascii="ITC Avant Garde" w:hAnsi="ITC Avant Garde"/>
          <w:b/>
          <w:bCs/>
          <w:sz w:val="22"/>
          <w:szCs w:val="22"/>
        </w:rPr>
      </w:pPr>
    </w:p>
    <w:p w14:paraId="102ACE5F" w14:textId="014E19A7" w:rsidR="002C6462" w:rsidRPr="002955B7" w:rsidRDefault="00FF0D44" w:rsidP="002C6462">
      <w:pPr>
        <w:pStyle w:val="Prrafodelista"/>
        <w:pBdr>
          <w:top w:val="nil"/>
          <w:left w:val="nil"/>
          <w:bottom w:val="nil"/>
          <w:right w:val="nil"/>
          <w:between w:val="nil"/>
          <w:bar w:val="nil"/>
        </w:pBdr>
        <w:suppressAutoHyphens/>
        <w:ind w:left="284"/>
        <w:contextualSpacing/>
        <w:jc w:val="both"/>
        <w:rPr>
          <w:rFonts w:ascii="ITC Avant Garde" w:hAnsi="ITC Avant Garde"/>
          <w:sz w:val="22"/>
          <w:szCs w:val="22"/>
        </w:rPr>
      </w:pPr>
      <w:r>
        <w:rPr>
          <w:rFonts w:ascii="ITC Avant Garde" w:hAnsi="ITC Avant Garde"/>
          <w:sz w:val="22"/>
          <w:szCs w:val="22"/>
        </w:rPr>
        <w:t>En este sentido, manifiestan</w:t>
      </w:r>
      <w:r w:rsidRPr="002955B7">
        <w:rPr>
          <w:rFonts w:ascii="ITC Avant Garde" w:hAnsi="ITC Avant Garde"/>
          <w:sz w:val="22"/>
          <w:szCs w:val="22"/>
        </w:rPr>
        <w:t xml:space="preserve"> </w:t>
      </w:r>
      <w:r w:rsidR="002C6462" w:rsidRPr="002955B7">
        <w:rPr>
          <w:rFonts w:ascii="ITC Avant Garde" w:hAnsi="ITC Avant Garde"/>
          <w:sz w:val="22"/>
          <w:szCs w:val="22"/>
        </w:rPr>
        <w:t xml:space="preserve">que existen condiciones técnicas o comerciales que harían imposible dar un trato no discriminatorio al arrendamiento de espectro. Por lo que, el Instituto, dentro de sus facultades tendrá que revisar que el arrendamiento propuesto cumpla con los principios de fomento a la competencia, eliminación de barreras a la entrada de nuevos competidores y del uso eficiente del espectro. </w:t>
      </w:r>
    </w:p>
    <w:p w14:paraId="553BB9B3" w14:textId="77777777" w:rsidR="002C6462" w:rsidRPr="002955B7" w:rsidRDefault="002C6462" w:rsidP="002C6462">
      <w:pPr>
        <w:pStyle w:val="Default"/>
        <w:ind w:left="851" w:hanging="425"/>
        <w:jc w:val="both"/>
        <w:rPr>
          <w:rFonts w:ascii="ITC Avant Garde" w:hAnsi="ITC Avant Garde"/>
          <w:sz w:val="22"/>
          <w:szCs w:val="22"/>
        </w:rPr>
      </w:pPr>
    </w:p>
    <w:p w14:paraId="6F4FE1CA" w14:textId="77777777" w:rsidR="002C6462" w:rsidRDefault="002C6462" w:rsidP="002C6462">
      <w:pPr>
        <w:pStyle w:val="Default"/>
        <w:ind w:left="284"/>
        <w:jc w:val="both"/>
        <w:rPr>
          <w:rFonts w:ascii="ITC Avant Garde" w:hAnsi="ITC Avant Garde"/>
          <w:sz w:val="22"/>
          <w:szCs w:val="22"/>
        </w:rPr>
      </w:pPr>
      <w:r w:rsidRPr="002955B7">
        <w:rPr>
          <w:rFonts w:ascii="ITC Avant Garde" w:hAnsi="ITC Avant Garde"/>
          <w:sz w:val="22"/>
          <w:szCs w:val="22"/>
        </w:rPr>
        <w:t xml:space="preserve">Los factores que determinan o pueden determinar las condiciones comerciales del arrendamiento de espectro son variables, empezando por el propio avance de la tecnología y la oferta y demanda del mismo. </w:t>
      </w:r>
    </w:p>
    <w:p w14:paraId="1D7FF389" w14:textId="3693E337" w:rsidR="00B13F9A" w:rsidRDefault="00B13F9A" w:rsidP="002C6462">
      <w:pPr>
        <w:pStyle w:val="Default"/>
        <w:ind w:left="284"/>
        <w:jc w:val="both"/>
        <w:rPr>
          <w:rFonts w:ascii="ITC Avant Garde" w:hAnsi="ITC Avant Garde"/>
          <w:sz w:val="22"/>
          <w:szCs w:val="22"/>
        </w:rPr>
      </w:pPr>
    </w:p>
    <w:p w14:paraId="54959469" w14:textId="4311513C" w:rsidR="001046AD" w:rsidRPr="002955B7" w:rsidRDefault="001046AD" w:rsidP="001046AD">
      <w:pPr>
        <w:pStyle w:val="Default"/>
        <w:ind w:left="284"/>
        <w:jc w:val="both"/>
        <w:rPr>
          <w:rFonts w:ascii="ITC Avant Garde" w:hAnsi="ITC Avant Garde"/>
          <w:sz w:val="22"/>
          <w:szCs w:val="22"/>
        </w:rPr>
      </w:pPr>
      <w:r w:rsidRPr="002955B7">
        <w:rPr>
          <w:rFonts w:ascii="ITC Avant Garde" w:hAnsi="ITC Avant Garde"/>
          <w:sz w:val="22"/>
          <w:szCs w:val="22"/>
        </w:rPr>
        <w:t xml:space="preserve">Por lo anterior, </w:t>
      </w:r>
      <w:r>
        <w:rPr>
          <w:rFonts w:ascii="ITC Avant Garde" w:hAnsi="ITC Avant Garde"/>
          <w:sz w:val="22"/>
          <w:szCs w:val="22"/>
        </w:rPr>
        <w:t xml:space="preserve">si bien se encuentra dentro de las facultades del Instituto </w:t>
      </w:r>
      <w:r w:rsidR="00986CBA">
        <w:rPr>
          <w:rFonts w:ascii="ITC Avant Garde" w:hAnsi="ITC Avant Garde"/>
          <w:sz w:val="22"/>
          <w:szCs w:val="22"/>
        </w:rPr>
        <w:t xml:space="preserve">establecer reglas que tengan como fin evitar </w:t>
      </w:r>
      <w:r>
        <w:rPr>
          <w:rFonts w:ascii="ITC Avant Garde" w:hAnsi="ITC Avant Garde"/>
          <w:sz w:val="22"/>
          <w:szCs w:val="22"/>
        </w:rPr>
        <w:t>trato discriminatorio, no se considera oportuno hacerlo de manera general en el cuerpo de los Lineamientos</w:t>
      </w:r>
      <w:r w:rsidR="00986CBA">
        <w:rPr>
          <w:rFonts w:ascii="ITC Avant Garde" w:hAnsi="ITC Avant Garde"/>
          <w:sz w:val="22"/>
          <w:szCs w:val="22"/>
        </w:rPr>
        <w:t xml:space="preserve">, puesto que la </w:t>
      </w:r>
      <w:r w:rsidR="00640CB3">
        <w:rPr>
          <w:rFonts w:ascii="ITC Avant Garde" w:hAnsi="ITC Avant Garde"/>
          <w:sz w:val="22"/>
          <w:szCs w:val="22"/>
        </w:rPr>
        <w:t>LFCE</w:t>
      </w:r>
      <w:r w:rsidR="00986CBA">
        <w:rPr>
          <w:rFonts w:ascii="ITC Avant Garde" w:hAnsi="ITC Avant Garde"/>
          <w:sz w:val="22"/>
          <w:szCs w:val="22"/>
        </w:rPr>
        <w:t xml:space="preserve"> ya establece reglas para sancionar este tipo de conductas cuando tienen como objeto o efecto dañar el proceso de competencia y libre concurrencia.</w:t>
      </w:r>
    </w:p>
    <w:p w14:paraId="096B5963" w14:textId="77777777" w:rsidR="001046AD" w:rsidRPr="002955B7" w:rsidRDefault="001046AD" w:rsidP="001046AD">
      <w:pPr>
        <w:pStyle w:val="Default"/>
        <w:ind w:left="284"/>
        <w:jc w:val="both"/>
        <w:rPr>
          <w:rFonts w:ascii="ITC Avant Garde" w:hAnsi="ITC Avant Garde"/>
          <w:sz w:val="22"/>
          <w:szCs w:val="22"/>
        </w:rPr>
      </w:pPr>
    </w:p>
    <w:p w14:paraId="12F5D514" w14:textId="1FBFEFBA" w:rsidR="00B13F9A" w:rsidRPr="002955B7" w:rsidRDefault="001046AD" w:rsidP="00CE1F83">
      <w:pPr>
        <w:pStyle w:val="Default"/>
        <w:ind w:left="284"/>
        <w:jc w:val="both"/>
        <w:rPr>
          <w:rFonts w:ascii="ITC Avant Garde" w:hAnsi="ITC Avant Garde"/>
          <w:sz w:val="22"/>
          <w:szCs w:val="22"/>
        </w:rPr>
      </w:pPr>
      <w:r w:rsidRPr="002955B7">
        <w:rPr>
          <w:rFonts w:ascii="ITC Avant Garde" w:hAnsi="ITC Avant Garde"/>
          <w:sz w:val="22"/>
          <w:szCs w:val="22"/>
        </w:rPr>
        <w:t xml:space="preserve">Por ello, en plena atención a los comentarios, se consideró procedente </w:t>
      </w:r>
      <w:r>
        <w:rPr>
          <w:rFonts w:ascii="ITC Avant Garde" w:hAnsi="ITC Avant Garde"/>
          <w:sz w:val="22"/>
          <w:szCs w:val="22"/>
        </w:rPr>
        <w:t>suprimir</w:t>
      </w:r>
      <w:r w:rsidRPr="002955B7">
        <w:rPr>
          <w:rFonts w:ascii="ITC Avant Garde" w:hAnsi="ITC Avant Garde"/>
          <w:sz w:val="22"/>
          <w:szCs w:val="22"/>
        </w:rPr>
        <w:t xml:space="preserve"> la previsión de trato no discriminatorio, en razón de que: i) la exigencia de mérito no deriva de </w:t>
      </w:r>
      <w:r w:rsidR="00AB6314">
        <w:rPr>
          <w:rFonts w:ascii="ITC Avant Garde" w:hAnsi="ITC Avant Garde"/>
          <w:sz w:val="22"/>
          <w:szCs w:val="22"/>
        </w:rPr>
        <w:t xml:space="preserve">una obligación prevista en la </w:t>
      </w:r>
      <w:r w:rsidRPr="002955B7">
        <w:rPr>
          <w:rFonts w:ascii="ITC Avant Garde" w:hAnsi="ITC Avant Garde"/>
          <w:sz w:val="22"/>
          <w:szCs w:val="22"/>
        </w:rPr>
        <w:t>Ley</w:t>
      </w:r>
      <w:r w:rsidR="00CE1F83">
        <w:rPr>
          <w:rFonts w:ascii="ITC Avant Garde" w:hAnsi="ITC Avant Garde"/>
          <w:sz w:val="22"/>
          <w:szCs w:val="22"/>
        </w:rPr>
        <w:t>;</w:t>
      </w:r>
      <w:r w:rsidRPr="002955B7">
        <w:rPr>
          <w:rFonts w:ascii="ITC Avant Garde" w:hAnsi="ITC Avant Garde"/>
          <w:sz w:val="22"/>
          <w:szCs w:val="22"/>
        </w:rPr>
        <w:t xml:space="preserve"> ii) las condiciones para la procedencia del arrendamiento y</w:t>
      </w:r>
      <w:r w:rsidR="0012450E">
        <w:rPr>
          <w:rFonts w:ascii="ITC Avant Garde" w:hAnsi="ITC Avant Garde"/>
          <w:sz w:val="22"/>
          <w:szCs w:val="22"/>
        </w:rPr>
        <w:t>,</w:t>
      </w:r>
      <w:r w:rsidRPr="002955B7">
        <w:rPr>
          <w:rFonts w:ascii="ITC Avant Garde" w:hAnsi="ITC Avant Garde"/>
          <w:sz w:val="22"/>
          <w:szCs w:val="22"/>
        </w:rPr>
        <w:t xml:space="preserve"> en su caso, del subarrendamiento, son distintas atendiendo a cada caso en concreto, conform</w:t>
      </w:r>
      <w:r w:rsidR="00CE1F83">
        <w:rPr>
          <w:rFonts w:ascii="ITC Avant Garde" w:hAnsi="ITC Avant Garde"/>
          <w:sz w:val="22"/>
          <w:szCs w:val="22"/>
        </w:rPr>
        <w:t>e</w:t>
      </w:r>
      <w:r w:rsidRPr="002955B7">
        <w:rPr>
          <w:rFonts w:ascii="ITC Avant Garde" w:hAnsi="ITC Avant Garde"/>
          <w:sz w:val="22"/>
          <w:szCs w:val="22"/>
        </w:rPr>
        <w:t xml:space="preserve"> a los términos y condiciones pactados por las partes</w:t>
      </w:r>
      <w:r w:rsidR="003B1EBE">
        <w:rPr>
          <w:rFonts w:ascii="ITC Avant Garde" w:hAnsi="ITC Avant Garde"/>
          <w:sz w:val="22"/>
          <w:szCs w:val="22"/>
        </w:rPr>
        <w:t>;</w:t>
      </w:r>
      <w:r w:rsidR="00CE1F83">
        <w:rPr>
          <w:rFonts w:ascii="ITC Avant Garde" w:hAnsi="ITC Avant Garde"/>
          <w:sz w:val="22"/>
          <w:szCs w:val="22"/>
        </w:rPr>
        <w:t xml:space="preserve"> </w:t>
      </w:r>
      <w:r w:rsidR="003B1EBE">
        <w:rPr>
          <w:rFonts w:ascii="ITC Avant Garde" w:hAnsi="ITC Avant Garde"/>
          <w:sz w:val="22"/>
          <w:szCs w:val="22"/>
        </w:rPr>
        <w:t>iii) estas transacciones están sujetas a las disposiciones generales establecidas en la Ley y la LFCE</w:t>
      </w:r>
      <w:r w:rsidR="0012450E">
        <w:rPr>
          <w:rFonts w:ascii="ITC Avant Garde" w:hAnsi="ITC Avant Garde"/>
          <w:sz w:val="22"/>
          <w:szCs w:val="22"/>
        </w:rPr>
        <w:t>,</w:t>
      </w:r>
      <w:r w:rsidR="003B1EBE">
        <w:rPr>
          <w:rFonts w:ascii="ITC Avant Garde" w:hAnsi="ITC Avant Garde"/>
          <w:sz w:val="22"/>
          <w:szCs w:val="22"/>
        </w:rPr>
        <w:t xml:space="preserve"> por lo que no es necesario establecer un régimen específico para el arrendamiento de espectro radioeléctrico en estos Lineamientos</w:t>
      </w:r>
      <w:r w:rsidR="0059739E">
        <w:rPr>
          <w:rFonts w:ascii="ITC Avant Garde" w:hAnsi="ITC Avant Garde"/>
          <w:sz w:val="22"/>
          <w:szCs w:val="22"/>
        </w:rPr>
        <w:t>;</w:t>
      </w:r>
      <w:r w:rsidR="003B1EBE">
        <w:rPr>
          <w:rFonts w:ascii="ITC Avant Garde" w:hAnsi="ITC Avant Garde"/>
          <w:sz w:val="22"/>
          <w:szCs w:val="22"/>
        </w:rPr>
        <w:t xml:space="preserve"> y iv</w:t>
      </w:r>
      <w:r w:rsidR="00CE1F83">
        <w:rPr>
          <w:rFonts w:ascii="ITC Avant Garde" w:hAnsi="ITC Avant Garde"/>
          <w:sz w:val="22"/>
          <w:szCs w:val="22"/>
        </w:rPr>
        <w:t xml:space="preserve">) </w:t>
      </w:r>
      <w:r>
        <w:rPr>
          <w:rFonts w:ascii="ITC Avant Garde" w:hAnsi="ITC Avant Garde"/>
          <w:sz w:val="22"/>
          <w:szCs w:val="22"/>
        </w:rPr>
        <w:t>tratándose de regulación asimétrica</w:t>
      </w:r>
      <w:r w:rsidR="00E21558">
        <w:rPr>
          <w:rFonts w:ascii="ITC Avant Garde" w:hAnsi="ITC Avant Garde"/>
          <w:sz w:val="22"/>
          <w:szCs w:val="22"/>
        </w:rPr>
        <w:t>,</w:t>
      </w:r>
      <w:r w:rsidR="00CE1F83">
        <w:rPr>
          <w:rFonts w:ascii="ITC Avant Garde" w:hAnsi="ITC Avant Garde"/>
          <w:sz w:val="22"/>
          <w:szCs w:val="22"/>
        </w:rPr>
        <w:t xml:space="preserve"> a los agentes económicos declarados con poder sustancial o preponderantes</w:t>
      </w:r>
      <w:r w:rsidR="007C50D4">
        <w:rPr>
          <w:rFonts w:ascii="ITC Avant Garde" w:hAnsi="ITC Avant Garde"/>
          <w:sz w:val="22"/>
          <w:szCs w:val="22"/>
        </w:rPr>
        <w:t>,</w:t>
      </w:r>
      <w:r>
        <w:rPr>
          <w:rFonts w:ascii="ITC Avant Garde" w:hAnsi="ITC Avant Garde"/>
          <w:sz w:val="22"/>
          <w:szCs w:val="22"/>
        </w:rPr>
        <w:t xml:space="preserve"> las obligaciones y disposiciones aplicables relativas al </w:t>
      </w:r>
      <w:r w:rsidRPr="0085576D">
        <w:rPr>
          <w:rFonts w:ascii="ITC Avant Garde" w:hAnsi="ITC Avant Garde"/>
          <w:sz w:val="22"/>
          <w:szCs w:val="22"/>
        </w:rPr>
        <w:t>trato no discriminatorio</w:t>
      </w:r>
      <w:r>
        <w:rPr>
          <w:rFonts w:ascii="ITC Avant Garde" w:hAnsi="ITC Avant Garde"/>
          <w:sz w:val="22"/>
          <w:szCs w:val="22"/>
        </w:rPr>
        <w:t xml:space="preserve"> se contendrán en las resoluciones correspondientes que emita el Instituto.</w:t>
      </w:r>
    </w:p>
    <w:p w14:paraId="6695F373" w14:textId="076DA013" w:rsidR="002C6462" w:rsidRPr="002955B7" w:rsidRDefault="002C6462" w:rsidP="002C6462">
      <w:pPr>
        <w:pStyle w:val="Default"/>
        <w:ind w:left="284" w:hanging="425"/>
        <w:jc w:val="both"/>
        <w:rPr>
          <w:rFonts w:ascii="ITC Avant Garde" w:hAnsi="ITC Avant Garde"/>
          <w:sz w:val="22"/>
          <w:szCs w:val="22"/>
        </w:rPr>
      </w:pPr>
    </w:p>
    <w:p w14:paraId="7A587BA7" w14:textId="7158AB78" w:rsidR="008E6748" w:rsidRPr="00071BB7" w:rsidRDefault="00B353F0" w:rsidP="008E6748">
      <w:pPr>
        <w:pStyle w:val="Prrafodelista"/>
        <w:numPr>
          <w:ilvl w:val="0"/>
          <w:numId w:val="36"/>
        </w:numPr>
        <w:pBdr>
          <w:top w:val="nil"/>
          <w:left w:val="nil"/>
          <w:bottom w:val="nil"/>
          <w:right w:val="nil"/>
          <w:between w:val="nil"/>
          <w:bar w:val="nil"/>
        </w:pBdr>
        <w:suppressAutoHyphens/>
        <w:ind w:left="284" w:hanging="284"/>
        <w:contextualSpacing/>
        <w:jc w:val="both"/>
        <w:rPr>
          <w:rFonts w:ascii="ITC Avant Garde" w:eastAsiaTheme="minorHAnsi" w:hAnsi="ITC Avant Garde" w:cs="ITC Avant Garde"/>
          <w:color w:val="000000"/>
          <w:sz w:val="22"/>
          <w:szCs w:val="22"/>
        </w:rPr>
      </w:pPr>
      <w:r>
        <w:rPr>
          <w:rFonts w:ascii="ITC Avant Garde" w:hAnsi="ITC Avant Garde"/>
          <w:b/>
          <w:bCs/>
          <w:sz w:val="22"/>
          <w:szCs w:val="22"/>
        </w:rPr>
        <w:t xml:space="preserve"> </w:t>
      </w:r>
      <w:r w:rsidR="008E6748" w:rsidRPr="00071BB7">
        <w:rPr>
          <w:rFonts w:ascii="ITC Avant Garde" w:hAnsi="ITC Avant Garde"/>
          <w:b/>
          <w:bCs/>
          <w:sz w:val="22"/>
          <w:szCs w:val="22"/>
        </w:rPr>
        <w:t>Afirmativa</w:t>
      </w:r>
      <w:r w:rsidR="008E6748" w:rsidRPr="00071BB7">
        <w:rPr>
          <w:rFonts w:ascii="ITC Avant Garde" w:hAnsi="ITC Avant Garde"/>
          <w:b/>
          <w:sz w:val="22"/>
          <w:szCs w:val="22"/>
        </w:rPr>
        <w:t xml:space="preserve"> Ficta</w:t>
      </w:r>
      <w:r w:rsidR="008E6748" w:rsidRPr="00922A4B">
        <w:rPr>
          <w:rFonts w:ascii="ITC Avant Garde" w:hAnsi="ITC Avant Garde"/>
          <w:b/>
          <w:sz w:val="22"/>
          <w:szCs w:val="22"/>
        </w:rPr>
        <w:t>.</w:t>
      </w:r>
      <w:r w:rsidR="008E6748" w:rsidRPr="00071BB7">
        <w:rPr>
          <w:rFonts w:ascii="ITC Avant Garde" w:hAnsi="ITC Avant Garde"/>
          <w:sz w:val="22"/>
          <w:szCs w:val="22"/>
        </w:rPr>
        <w:t xml:space="preserve"> </w:t>
      </w:r>
      <w:r w:rsidR="008E6748">
        <w:rPr>
          <w:rFonts w:ascii="ITC Avant Garde" w:hAnsi="ITC Avant Garde"/>
          <w:sz w:val="22"/>
          <w:szCs w:val="22"/>
        </w:rPr>
        <w:t xml:space="preserve">Algunos comentarios, opiniones y propuestas concretas refieren a la actualización de la </w:t>
      </w:r>
      <w:r w:rsidR="008E6748" w:rsidRPr="00071BB7">
        <w:rPr>
          <w:rFonts w:ascii="ITC Avant Garde" w:eastAsiaTheme="minorHAnsi" w:hAnsi="ITC Avant Garde" w:cs="ITC Avant Garde"/>
          <w:color w:val="000000"/>
          <w:sz w:val="22"/>
          <w:szCs w:val="22"/>
        </w:rPr>
        <w:t xml:space="preserve">afirmativa ficta en el caso de que el Instituto no emita la resolución correspondiente en el plazo previsto para tal efecto. </w:t>
      </w:r>
    </w:p>
    <w:p w14:paraId="2F8CBF16" w14:textId="77777777" w:rsidR="008E6748" w:rsidRPr="0066369A" w:rsidRDefault="008E6748" w:rsidP="008E6748">
      <w:pPr>
        <w:autoSpaceDE w:val="0"/>
        <w:autoSpaceDN w:val="0"/>
        <w:adjustRightInd w:val="0"/>
        <w:spacing w:after="0" w:line="240" w:lineRule="auto"/>
        <w:ind w:left="851"/>
        <w:jc w:val="both"/>
        <w:rPr>
          <w:rFonts w:ascii="ITC Avant Garde" w:eastAsiaTheme="minorHAnsi" w:hAnsi="ITC Avant Garde" w:cs="ITC Avant Garde"/>
          <w:color w:val="000000"/>
          <w:sz w:val="20"/>
          <w:szCs w:val="20"/>
        </w:rPr>
      </w:pPr>
    </w:p>
    <w:p w14:paraId="19995AA3" w14:textId="0A664FCE" w:rsidR="00570524" w:rsidRDefault="00570524" w:rsidP="008E6748">
      <w:pPr>
        <w:autoSpaceDE w:val="0"/>
        <w:autoSpaceDN w:val="0"/>
        <w:adjustRightInd w:val="0"/>
        <w:spacing w:after="0" w:line="240" w:lineRule="auto"/>
        <w:ind w:left="284"/>
        <w:jc w:val="both"/>
        <w:rPr>
          <w:rFonts w:ascii="ITC Avant Garde" w:hAnsi="ITC Avant Garde"/>
          <w:color w:val="000000"/>
        </w:rPr>
      </w:pPr>
      <w:r>
        <w:rPr>
          <w:rFonts w:ascii="ITC Avant Garde" w:eastAsiaTheme="minorHAnsi" w:hAnsi="ITC Avant Garde" w:cstheme="minorBidi"/>
        </w:rPr>
        <w:t xml:space="preserve">Los interesados </w:t>
      </w:r>
      <w:r w:rsidRPr="00570524">
        <w:rPr>
          <w:rFonts w:ascii="ITC Avant Garde" w:eastAsiaTheme="minorHAnsi" w:hAnsi="ITC Avant Garde" w:cstheme="minorBidi"/>
        </w:rPr>
        <w:t xml:space="preserve">al presentar la solicitud de autorización de arrendamiento o autorización de subarrendamiento pretenden que la autoridad emita su pronunciamiento al respecto, y de no acontecer así, </w:t>
      </w:r>
      <w:r w:rsidRPr="002511DB">
        <w:rPr>
          <w:rFonts w:ascii="ITC Avant Garde" w:hAnsi="ITC Avant Garde"/>
          <w:color w:val="000000"/>
        </w:rPr>
        <w:t xml:space="preserve">evitar el silencio de la autoridad administrativa, </w:t>
      </w:r>
      <w:r>
        <w:rPr>
          <w:rFonts w:ascii="ITC Avant Garde" w:hAnsi="ITC Avant Garde"/>
          <w:color w:val="000000"/>
        </w:rPr>
        <w:t xml:space="preserve">por causas ajenas al propio interesado, esto es, que la autoridad no presente </w:t>
      </w:r>
      <w:r w:rsidRPr="002511DB">
        <w:rPr>
          <w:rFonts w:ascii="ITC Avant Garde" w:hAnsi="ITC Avant Garde"/>
          <w:color w:val="000000"/>
        </w:rPr>
        <w:t xml:space="preserve">actitud pasiva </w:t>
      </w:r>
      <w:r w:rsidR="00986CBA">
        <w:rPr>
          <w:rFonts w:ascii="ITC Avant Garde" w:hAnsi="ITC Avant Garde"/>
          <w:color w:val="000000"/>
        </w:rPr>
        <w:t>o</w:t>
      </w:r>
      <w:r w:rsidRPr="002511DB">
        <w:rPr>
          <w:rFonts w:ascii="ITC Avant Garde" w:hAnsi="ITC Avant Garde"/>
          <w:color w:val="000000"/>
        </w:rPr>
        <w:t xml:space="preserve"> negligente, para obligarla a producir una resolución expresa</w:t>
      </w:r>
      <w:r>
        <w:rPr>
          <w:rFonts w:ascii="ITC Avant Garde" w:hAnsi="ITC Avant Garde"/>
          <w:color w:val="000000"/>
        </w:rPr>
        <w:t>.</w:t>
      </w:r>
    </w:p>
    <w:p w14:paraId="73A4C64B" w14:textId="77777777" w:rsidR="00570524" w:rsidRDefault="00570524" w:rsidP="008E6748">
      <w:pPr>
        <w:autoSpaceDE w:val="0"/>
        <w:autoSpaceDN w:val="0"/>
        <w:adjustRightInd w:val="0"/>
        <w:spacing w:after="0" w:line="240" w:lineRule="auto"/>
        <w:ind w:left="284"/>
        <w:jc w:val="both"/>
        <w:rPr>
          <w:rFonts w:ascii="ITC Avant Garde" w:hAnsi="ITC Avant Garde"/>
          <w:color w:val="000000"/>
        </w:rPr>
      </w:pPr>
    </w:p>
    <w:p w14:paraId="7F075DAC" w14:textId="6EA88C62" w:rsidR="008E6748" w:rsidRPr="00570524" w:rsidRDefault="00570524" w:rsidP="008E6748">
      <w:pPr>
        <w:autoSpaceDE w:val="0"/>
        <w:autoSpaceDN w:val="0"/>
        <w:adjustRightInd w:val="0"/>
        <w:spacing w:after="0" w:line="240" w:lineRule="auto"/>
        <w:ind w:left="284"/>
        <w:jc w:val="both"/>
        <w:rPr>
          <w:rFonts w:ascii="ITC Avant Garde" w:eastAsiaTheme="minorHAnsi" w:hAnsi="ITC Avant Garde" w:cstheme="minorBidi"/>
        </w:rPr>
      </w:pPr>
      <w:r>
        <w:rPr>
          <w:rFonts w:ascii="ITC Avant Garde" w:hAnsi="ITC Avant Garde"/>
          <w:color w:val="000000"/>
        </w:rPr>
        <w:t>En este sentido, con el fin de proteger el derecho humano de certeza y seguridad jurídica</w:t>
      </w:r>
      <w:r w:rsidRPr="002511DB">
        <w:rPr>
          <w:rFonts w:ascii="ITC Avant Garde" w:hAnsi="ITC Avant Garde"/>
          <w:color w:val="000000"/>
        </w:rPr>
        <w:t xml:space="preserve">, y </w:t>
      </w:r>
      <w:r>
        <w:rPr>
          <w:rFonts w:ascii="ITC Avant Garde" w:hAnsi="ITC Avant Garde"/>
          <w:color w:val="000000"/>
        </w:rPr>
        <w:t>en el supuesto de que la autoridad omita pronuncia</w:t>
      </w:r>
      <w:r w:rsidR="00F713BD">
        <w:rPr>
          <w:rFonts w:ascii="ITC Avant Garde" w:hAnsi="ITC Avant Garde"/>
          <w:color w:val="000000"/>
        </w:rPr>
        <w:t>rse</w:t>
      </w:r>
      <w:r>
        <w:rPr>
          <w:rFonts w:ascii="ITC Avant Garde" w:hAnsi="ITC Avant Garde"/>
          <w:color w:val="000000"/>
        </w:rPr>
        <w:t xml:space="preserve"> </w:t>
      </w:r>
      <w:r w:rsidR="00F713BD">
        <w:rPr>
          <w:rFonts w:ascii="ITC Avant Garde" w:hAnsi="ITC Avant Garde"/>
          <w:color w:val="000000"/>
        </w:rPr>
        <w:t>respecto de una</w:t>
      </w:r>
      <w:r>
        <w:rPr>
          <w:rFonts w:ascii="ITC Avant Garde" w:hAnsi="ITC Avant Garde"/>
          <w:color w:val="000000"/>
        </w:rPr>
        <w:t xml:space="preserve"> solicitud presentada, </w:t>
      </w:r>
      <w:r w:rsidRPr="002511DB">
        <w:rPr>
          <w:rFonts w:ascii="ITC Avant Garde" w:hAnsi="ITC Avant Garde"/>
          <w:color w:val="000000"/>
        </w:rPr>
        <w:t xml:space="preserve">ese silencio </w:t>
      </w:r>
      <w:r w:rsidR="00F713BD">
        <w:rPr>
          <w:rFonts w:ascii="ITC Avant Garde" w:hAnsi="ITC Avant Garde"/>
          <w:color w:val="000000"/>
        </w:rPr>
        <w:t>producirá</w:t>
      </w:r>
      <w:r w:rsidR="00F713BD" w:rsidRPr="002511DB">
        <w:rPr>
          <w:rFonts w:ascii="ITC Avant Garde" w:hAnsi="ITC Avant Garde"/>
          <w:color w:val="000000"/>
        </w:rPr>
        <w:t xml:space="preserve"> </w:t>
      </w:r>
      <w:r w:rsidRPr="002511DB">
        <w:rPr>
          <w:rFonts w:ascii="ITC Avant Garde" w:hAnsi="ITC Avant Garde"/>
          <w:color w:val="000000"/>
        </w:rPr>
        <w:t xml:space="preserve">efectos jurídicos </w:t>
      </w:r>
      <w:r w:rsidR="0085576D">
        <w:rPr>
          <w:rFonts w:ascii="ITC Avant Garde" w:hAnsi="ITC Avant Garde"/>
          <w:color w:val="000000"/>
        </w:rPr>
        <w:t xml:space="preserve">positivos </w:t>
      </w:r>
      <w:r w:rsidRPr="002511DB">
        <w:rPr>
          <w:rFonts w:ascii="ITC Avant Garde" w:hAnsi="ITC Avant Garde"/>
          <w:color w:val="000000"/>
        </w:rPr>
        <w:t xml:space="preserve">en favor del </w:t>
      </w:r>
      <w:r w:rsidRPr="002511DB">
        <w:rPr>
          <w:rFonts w:ascii="ITC Avant Garde" w:hAnsi="ITC Avant Garde"/>
          <w:color w:val="000000"/>
        </w:rPr>
        <w:lastRenderedPageBreak/>
        <w:t>gobernado, una vez transcurrido el término del que goza la autoridad para emitir su decisión</w:t>
      </w:r>
      <w:r w:rsidR="0085576D">
        <w:rPr>
          <w:rFonts w:ascii="ITC Avant Garde" w:hAnsi="ITC Avant Garde"/>
          <w:color w:val="000000"/>
        </w:rPr>
        <w:t xml:space="preserve">, esto es, se tenga por </w:t>
      </w:r>
      <w:r w:rsidR="00F713BD">
        <w:rPr>
          <w:rFonts w:ascii="ITC Avant Garde" w:hAnsi="ITC Avant Garde"/>
          <w:color w:val="000000"/>
        </w:rPr>
        <w:t xml:space="preserve">otorgada </w:t>
      </w:r>
      <w:r w:rsidR="0085576D">
        <w:rPr>
          <w:rFonts w:ascii="ITC Avant Garde" w:hAnsi="ITC Avant Garde"/>
          <w:color w:val="000000"/>
        </w:rPr>
        <w:t>la solicitud presentada al Instituto</w:t>
      </w:r>
      <w:r w:rsidR="00763C06" w:rsidRPr="00763C06">
        <w:rPr>
          <w:rFonts w:ascii="ITC Avant Garde" w:hAnsi="ITC Avant Garde"/>
          <w:color w:val="000000"/>
        </w:rPr>
        <w:t>.</w:t>
      </w:r>
    </w:p>
    <w:p w14:paraId="58A19D8C" w14:textId="77777777" w:rsidR="008E6748" w:rsidRDefault="008E6748" w:rsidP="008E6748">
      <w:pPr>
        <w:autoSpaceDE w:val="0"/>
        <w:autoSpaceDN w:val="0"/>
        <w:adjustRightInd w:val="0"/>
        <w:spacing w:after="0" w:line="240" w:lineRule="auto"/>
        <w:ind w:left="284"/>
        <w:jc w:val="both"/>
        <w:rPr>
          <w:rFonts w:ascii="ITC Avant Garde" w:eastAsiaTheme="minorHAnsi" w:hAnsi="ITC Avant Garde" w:cstheme="minorBidi"/>
        </w:rPr>
      </w:pPr>
    </w:p>
    <w:p w14:paraId="4B25ECAF" w14:textId="2640DA65" w:rsidR="008E6748" w:rsidRPr="00071BB7" w:rsidRDefault="008E6748" w:rsidP="008E6748">
      <w:pPr>
        <w:autoSpaceDE w:val="0"/>
        <w:autoSpaceDN w:val="0"/>
        <w:adjustRightInd w:val="0"/>
        <w:spacing w:after="0" w:line="240" w:lineRule="auto"/>
        <w:ind w:left="284"/>
        <w:jc w:val="both"/>
        <w:rPr>
          <w:rFonts w:ascii="ITC Avant Garde" w:hAnsi="ITC Avant Garde"/>
          <w:bCs/>
        </w:rPr>
      </w:pPr>
      <w:r w:rsidRPr="00071BB7">
        <w:rPr>
          <w:rFonts w:ascii="ITC Avant Garde" w:eastAsiaTheme="minorHAnsi" w:hAnsi="ITC Avant Garde" w:cstheme="minorBidi"/>
        </w:rPr>
        <w:t xml:space="preserve">Además, la figura de la </w:t>
      </w:r>
      <w:r>
        <w:rPr>
          <w:rFonts w:ascii="ITC Avant Garde" w:eastAsiaTheme="minorHAnsi" w:hAnsi="ITC Avant Garde" w:cstheme="minorBidi"/>
        </w:rPr>
        <w:t xml:space="preserve">afirmativa </w:t>
      </w:r>
      <w:r w:rsidRPr="00071BB7">
        <w:rPr>
          <w:rFonts w:ascii="ITC Avant Garde" w:eastAsiaTheme="minorHAnsi" w:hAnsi="ITC Avant Garde" w:cstheme="minorBidi"/>
        </w:rPr>
        <w:t xml:space="preserve">ficta, se encuentra en concordancia con la previsión del artículo </w:t>
      </w:r>
      <w:r w:rsidRPr="00071BB7">
        <w:rPr>
          <w:rFonts w:ascii="ITC Avant Garde" w:hAnsi="ITC Avant Garde"/>
          <w:bCs/>
        </w:rPr>
        <w:t>17 de la Ley Federal de Procedimiento Administrativo, de aplicación supletoria a la Ley, de acuerdo con el numeral 6, fracción IV, del último ordenamiento citado, que prevé:</w:t>
      </w:r>
    </w:p>
    <w:p w14:paraId="08F5D3D6" w14:textId="77777777" w:rsidR="008E6748" w:rsidRPr="0066369A" w:rsidRDefault="008E6748" w:rsidP="008E6748">
      <w:pPr>
        <w:spacing w:after="0" w:line="240" w:lineRule="auto"/>
        <w:ind w:left="851"/>
        <w:jc w:val="both"/>
        <w:rPr>
          <w:rFonts w:ascii="ITC Avant Garde" w:hAnsi="ITC Avant Garde"/>
          <w:bCs/>
          <w:sz w:val="20"/>
          <w:szCs w:val="20"/>
        </w:rPr>
      </w:pPr>
    </w:p>
    <w:p w14:paraId="362C6FAD" w14:textId="412A8E32" w:rsidR="008E6748" w:rsidRPr="000957F1" w:rsidRDefault="008E6748" w:rsidP="000957F1">
      <w:pPr>
        <w:spacing w:after="0" w:line="240" w:lineRule="auto"/>
        <w:ind w:left="1701" w:right="1182"/>
        <w:jc w:val="both"/>
        <w:rPr>
          <w:rFonts w:ascii="ITC Avant Garde" w:hAnsi="ITC Avant Garde"/>
          <w:b/>
          <w:bCs/>
          <w:i/>
          <w:sz w:val="20"/>
          <w:szCs w:val="20"/>
        </w:rPr>
      </w:pPr>
      <w:r w:rsidRPr="000957F1">
        <w:rPr>
          <w:rFonts w:ascii="ITC Avant Garde" w:hAnsi="ITC Avant Garde"/>
          <w:bCs/>
          <w:i/>
          <w:sz w:val="20"/>
          <w:szCs w:val="20"/>
        </w:rPr>
        <w:t>“</w:t>
      </w:r>
      <w:r w:rsidRPr="000957F1">
        <w:rPr>
          <w:rFonts w:ascii="ITC Avant Garde" w:hAnsi="ITC Avant Garde"/>
          <w:b/>
          <w:bCs/>
          <w:i/>
          <w:sz w:val="20"/>
          <w:szCs w:val="20"/>
        </w:rPr>
        <w:t>Artículo 17.-</w:t>
      </w:r>
      <w:r w:rsidRPr="000957F1">
        <w:rPr>
          <w:rFonts w:ascii="ITC Avant Garde" w:hAnsi="ITC Avant Garde"/>
          <w:bCs/>
          <w:i/>
          <w:sz w:val="20"/>
          <w:szCs w:val="20"/>
        </w:rPr>
        <w:t xml:space="preserve"> Salvo que en otra disposición legal o administrativa de carácter general se establezca otro plazo, no podrá exceder de tres meses el tiempo para que la dependencia u organismo descentralizado resuelva lo que corresponda. </w:t>
      </w:r>
      <w:r w:rsidRPr="000957F1">
        <w:rPr>
          <w:rFonts w:ascii="ITC Avant Garde" w:hAnsi="ITC Avant Garde"/>
          <w:b/>
          <w:bCs/>
          <w:i/>
          <w:sz w:val="20"/>
          <w:szCs w:val="20"/>
        </w:rPr>
        <w:t xml:space="preserve">Transcurrido el plazo aplicable, se entenderán las resoluciones en sentido negativo al promovente, a menos que en otra disposición legal o administrativa de carácter general se prevea lo contrario. </w:t>
      </w:r>
      <w:r w:rsidRPr="000957F1">
        <w:rPr>
          <w:rFonts w:ascii="ITC Avant Garde" w:hAnsi="ITC Avant Garde"/>
          <w:bCs/>
          <w:i/>
          <w:sz w:val="20"/>
          <w:szCs w:val="20"/>
        </w:rPr>
        <w:t>A petición del interesado, se deberá expedir constancia de tal circunstancia dentro de los dos días hábiles siguientes a la presentación de la solicitud respectiva ante quien deba resolver; igual constancia deberá expedirse cuando otras disposiciones prevean que transcurrido el plazo aplicable la resolución deba entenderse en sentido positivo</w:t>
      </w:r>
      <w:r w:rsidR="00A3692A">
        <w:rPr>
          <w:rFonts w:ascii="ITC Avant Garde" w:hAnsi="ITC Avant Garde"/>
          <w:bCs/>
          <w:i/>
          <w:sz w:val="20"/>
          <w:szCs w:val="20"/>
        </w:rPr>
        <w:t>.</w:t>
      </w:r>
      <w:r w:rsidRPr="000957F1">
        <w:rPr>
          <w:rFonts w:ascii="ITC Avant Garde" w:hAnsi="ITC Avant Garde"/>
          <w:b/>
          <w:bCs/>
          <w:i/>
          <w:sz w:val="20"/>
          <w:szCs w:val="20"/>
        </w:rPr>
        <w:t xml:space="preserve"> </w:t>
      </w:r>
    </w:p>
    <w:p w14:paraId="59CC7F8C" w14:textId="61C51CC2" w:rsidR="008E6748" w:rsidRPr="000957F1" w:rsidRDefault="008E6748" w:rsidP="008E6748">
      <w:pPr>
        <w:spacing w:after="0" w:line="240" w:lineRule="auto"/>
        <w:ind w:left="1701" w:right="1466"/>
        <w:jc w:val="both"/>
        <w:rPr>
          <w:rFonts w:ascii="ITC Avant Garde" w:hAnsi="ITC Avant Garde"/>
          <w:bCs/>
          <w:i/>
          <w:sz w:val="20"/>
          <w:szCs w:val="20"/>
        </w:rPr>
      </w:pPr>
      <w:r w:rsidRPr="000957F1">
        <w:rPr>
          <w:rFonts w:ascii="ITC Avant Garde" w:hAnsi="ITC Avant Garde"/>
          <w:bCs/>
          <w:i/>
          <w:sz w:val="20"/>
          <w:szCs w:val="20"/>
        </w:rPr>
        <w:t>(…).”</w:t>
      </w:r>
    </w:p>
    <w:p w14:paraId="5184A1E2" w14:textId="7D1533D5" w:rsidR="00570524" w:rsidRDefault="00570524" w:rsidP="00071BB7">
      <w:pPr>
        <w:pStyle w:val="Prrafodelista"/>
        <w:pBdr>
          <w:top w:val="nil"/>
          <w:left w:val="nil"/>
          <w:bottom w:val="nil"/>
          <w:right w:val="nil"/>
          <w:between w:val="nil"/>
          <w:bar w:val="nil"/>
        </w:pBdr>
        <w:suppressAutoHyphens/>
        <w:ind w:left="284"/>
        <w:contextualSpacing/>
        <w:jc w:val="both"/>
      </w:pPr>
    </w:p>
    <w:p w14:paraId="12A01800" w14:textId="77777777" w:rsidR="00F97655" w:rsidRDefault="00570524" w:rsidP="002511DB">
      <w:pPr>
        <w:autoSpaceDE w:val="0"/>
        <w:autoSpaceDN w:val="0"/>
        <w:adjustRightInd w:val="0"/>
        <w:spacing w:after="0" w:line="240" w:lineRule="auto"/>
        <w:ind w:left="284"/>
        <w:jc w:val="both"/>
        <w:rPr>
          <w:rFonts w:ascii="ITC Avant Garde" w:eastAsiaTheme="minorHAnsi" w:hAnsi="ITC Avant Garde" w:cstheme="minorBidi"/>
        </w:rPr>
      </w:pPr>
      <w:r w:rsidRPr="002511DB">
        <w:rPr>
          <w:rFonts w:ascii="ITC Avant Garde" w:eastAsiaTheme="minorHAnsi" w:hAnsi="ITC Avant Garde" w:cstheme="minorBidi"/>
        </w:rPr>
        <w:t xml:space="preserve">Del precepto transcrito </w:t>
      </w:r>
      <w:r>
        <w:rPr>
          <w:rFonts w:ascii="ITC Avant Garde" w:eastAsiaTheme="minorHAnsi" w:hAnsi="ITC Avant Garde" w:cstheme="minorBidi"/>
        </w:rPr>
        <w:t xml:space="preserve">se advierte que cualquier disposición legal o administrativa puede prever la figura de la afirmativa ficta, como acontece en el caso, en pleno reconocimiento de los derechos humanos de los </w:t>
      </w:r>
      <w:r w:rsidR="002511DB">
        <w:rPr>
          <w:rFonts w:ascii="ITC Avant Garde" w:eastAsiaTheme="minorHAnsi" w:hAnsi="ITC Avant Garde" w:cstheme="minorBidi"/>
        </w:rPr>
        <w:t>solicitantes</w:t>
      </w:r>
      <w:r>
        <w:rPr>
          <w:rFonts w:ascii="ITC Avant Garde" w:eastAsiaTheme="minorHAnsi" w:hAnsi="ITC Avant Garde" w:cstheme="minorBidi"/>
        </w:rPr>
        <w:t>.</w:t>
      </w:r>
    </w:p>
    <w:p w14:paraId="0804472E" w14:textId="77777777" w:rsidR="0085576D" w:rsidRDefault="0085576D" w:rsidP="000957F1">
      <w:pPr>
        <w:autoSpaceDE w:val="0"/>
        <w:autoSpaceDN w:val="0"/>
        <w:adjustRightInd w:val="0"/>
        <w:spacing w:after="0" w:line="240" w:lineRule="auto"/>
        <w:ind w:left="284"/>
        <w:jc w:val="both"/>
        <w:rPr>
          <w:rFonts w:ascii="ITC Avant Garde" w:eastAsiaTheme="minorHAnsi" w:hAnsi="ITC Avant Garde" w:cstheme="minorBidi"/>
        </w:rPr>
      </w:pPr>
    </w:p>
    <w:p w14:paraId="56B8C586" w14:textId="531E7B2B" w:rsidR="00F17B24" w:rsidRDefault="00986CBA" w:rsidP="000957F1">
      <w:pPr>
        <w:autoSpaceDE w:val="0"/>
        <w:autoSpaceDN w:val="0"/>
        <w:adjustRightInd w:val="0"/>
        <w:spacing w:after="0" w:line="240" w:lineRule="auto"/>
        <w:ind w:left="284"/>
        <w:jc w:val="both"/>
        <w:rPr>
          <w:rFonts w:ascii="ITC Avant Garde" w:hAnsi="ITC Avant Garde"/>
          <w:color w:val="000000"/>
        </w:rPr>
      </w:pPr>
      <w:r>
        <w:rPr>
          <w:rFonts w:ascii="ITC Avant Garde" w:eastAsiaTheme="minorHAnsi" w:hAnsi="ITC Avant Garde" w:cstheme="minorBidi"/>
        </w:rPr>
        <w:t>Por su parte, e</w:t>
      </w:r>
      <w:r w:rsidR="006C342D">
        <w:rPr>
          <w:rFonts w:ascii="ITC Avant Garde" w:eastAsiaTheme="minorHAnsi" w:hAnsi="ITC Avant Garde" w:cstheme="minorBidi"/>
        </w:rPr>
        <w:t>l artículo 61 de l</w:t>
      </w:r>
      <w:r w:rsidR="00B24852">
        <w:rPr>
          <w:rFonts w:ascii="ITC Avant Garde" w:eastAsiaTheme="minorHAnsi" w:hAnsi="ITC Avant Garde" w:cstheme="minorBidi"/>
        </w:rPr>
        <w:t xml:space="preserve">a </w:t>
      </w:r>
      <w:r w:rsidR="00073382">
        <w:rPr>
          <w:rFonts w:ascii="ITC Avant Garde" w:eastAsiaTheme="minorHAnsi" w:hAnsi="ITC Avant Garde" w:cstheme="minorBidi"/>
        </w:rPr>
        <w:t>LFCE</w:t>
      </w:r>
      <w:r w:rsidR="00B24852">
        <w:rPr>
          <w:rFonts w:ascii="ITC Avant Garde" w:eastAsiaTheme="minorHAnsi" w:hAnsi="ITC Avant Garde" w:cstheme="minorBidi"/>
        </w:rPr>
        <w:t xml:space="preserve"> define a las concentraciones</w:t>
      </w:r>
      <w:r w:rsidR="006C342D">
        <w:rPr>
          <w:rFonts w:ascii="ITC Avant Garde" w:eastAsiaTheme="minorHAnsi" w:hAnsi="ITC Avant Garde" w:cstheme="minorBidi"/>
        </w:rPr>
        <w:t xml:space="preserve"> en los términos siguientes</w:t>
      </w:r>
      <w:r w:rsidR="00B24852">
        <w:rPr>
          <w:rFonts w:ascii="ITC Avant Garde" w:eastAsiaTheme="minorHAnsi" w:hAnsi="ITC Avant Garde" w:cstheme="minorBidi"/>
        </w:rPr>
        <w:t>:</w:t>
      </w:r>
    </w:p>
    <w:p w14:paraId="034363B2" w14:textId="77777777" w:rsidR="00B24852" w:rsidRDefault="00B24852" w:rsidP="000957F1">
      <w:pPr>
        <w:autoSpaceDE w:val="0"/>
        <w:autoSpaceDN w:val="0"/>
        <w:adjustRightInd w:val="0"/>
        <w:spacing w:after="0" w:line="240" w:lineRule="auto"/>
        <w:ind w:left="284"/>
        <w:jc w:val="both"/>
        <w:rPr>
          <w:rFonts w:ascii="ITC Avant Garde" w:hAnsi="ITC Avant Garde"/>
          <w:color w:val="000000"/>
        </w:rPr>
      </w:pPr>
    </w:p>
    <w:p w14:paraId="05CF08FC" w14:textId="33F260AC" w:rsidR="00B24852" w:rsidRPr="00EA38CA" w:rsidRDefault="00B24852" w:rsidP="00ED150E">
      <w:pPr>
        <w:spacing w:after="0" w:line="240" w:lineRule="auto"/>
        <w:ind w:left="1134" w:right="1182"/>
        <w:jc w:val="both"/>
        <w:rPr>
          <w:rFonts w:ascii="ITC Avant Garde" w:hAnsi="ITC Avant Garde"/>
          <w:bCs/>
          <w:i/>
          <w:sz w:val="20"/>
          <w:szCs w:val="20"/>
        </w:rPr>
      </w:pPr>
      <w:r w:rsidRPr="00EA38CA">
        <w:rPr>
          <w:rFonts w:ascii="ITC Avant Garde" w:hAnsi="ITC Avant Garde"/>
          <w:bCs/>
          <w:i/>
          <w:sz w:val="20"/>
          <w:szCs w:val="20"/>
        </w:rPr>
        <w:t>“</w:t>
      </w:r>
      <w:r w:rsidRPr="00EA38CA">
        <w:rPr>
          <w:rFonts w:ascii="ITC Avant Garde" w:hAnsi="ITC Avant Garde"/>
          <w:b/>
          <w:bCs/>
          <w:i/>
          <w:sz w:val="20"/>
          <w:szCs w:val="20"/>
        </w:rPr>
        <w:t>Artículo 61.</w:t>
      </w:r>
      <w:r w:rsidRPr="00EA38CA">
        <w:rPr>
          <w:rFonts w:ascii="ITC Avant Garde" w:hAnsi="ITC Avant Garde"/>
          <w:bCs/>
          <w:i/>
          <w:sz w:val="20"/>
          <w:szCs w:val="20"/>
        </w:rPr>
        <w:t xml:space="preserve"> Para los efectos de esta Ley,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 La Comisión no autorizará o en su caso investigará y sancionará aquellas concentraciones cuyo objeto o efecto sea disminuir, dañar o impedir la competencia y la libre concurrencia respecto de bienes o servicios iguales, similares o sustancialmente relacionados.”</w:t>
      </w:r>
    </w:p>
    <w:p w14:paraId="35148494" w14:textId="77777777" w:rsidR="00F17B24" w:rsidRDefault="00F17B24" w:rsidP="000957F1">
      <w:pPr>
        <w:autoSpaceDE w:val="0"/>
        <w:autoSpaceDN w:val="0"/>
        <w:adjustRightInd w:val="0"/>
        <w:spacing w:after="0" w:line="240" w:lineRule="auto"/>
        <w:ind w:left="284"/>
        <w:jc w:val="both"/>
        <w:rPr>
          <w:rFonts w:ascii="ITC Avant Garde" w:eastAsiaTheme="minorHAnsi" w:hAnsi="ITC Avant Garde" w:cstheme="minorBidi"/>
        </w:rPr>
      </w:pPr>
    </w:p>
    <w:p w14:paraId="0F317571" w14:textId="5AF116F9" w:rsidR="000957F1" w:rsidRDefault="0042391A" w:rsidP="000957F1">
      <w:pPr>
        <w:autoSpaceDE w:val="0"/>
        <w:autoSpaceDN w:val="0"/>
        <w:adjustRightInd w:val="0"/>
        <w:spacing w:after="0" w:line="240" w:lineRule="auto"/>
        <w:ind w:left="284"/>
        <w:jc w:val="both"/>
        <w:rPr>
          <w:rFonts w:ascii="ITC Avant Garde" w:eastAsiaTheme="minorHAnsi" w:hAnsi="ITC Avant Garde" w:cstheme="minorBidi"/>
        </w:rPr>
      </w:pPr>
      <w:r>
        <w:rPr>
          <w:rFonts w:ascii="ITC Avant Garde" w:eastAsiaTheme="minorHAnsi" w:hAnsi="ITC Avant Garde" w:cstheme="minorBidi"/>
        </w:rPr>
        <w:t xml:space="preserve">El arrendamiento de espectro radioeléctrico, </w:t>
      </w:r>
      <w:r w:rsidR="004F2366">
        <w:rPr>
          <w:rFonts w:ascii="ITC Avant Garde" w:eastAsiaTheme="minorHAnsi" w:hAnsi="ITC Avant Garde" w:cstheme="minorBidi"/>
        </w:rPr>
        <w:t xml:space="preserve">ya sea </w:t>
      </w:r>
      <w:r>
        <w:rPr>
          <w:rFonts w:ascii="ITC Avant Garde" w:eastAsiaTheme="minorHAnsi" w:hAnsi="ITC Avant Garde" w:cstheme="minorBidi"/>
        </w:rPr>
        <w:t>tratándose de un acto o una sucesión de actos, constituye una concentración en tanto se actualice que un agente económico une a sus</w:t>
      </w:r>
      <w:r w:rsidR="003F464C">
        <w:rPr>
          <w:rFonts w:ascii="ITC Avant Garde" w:eastAsiaTheme="minorHAnsi" w:hAnsi="ITC Avant Garde" w:cstheme="minorBidi"/>
        </w:rPr>
        <w:t xml:space="preserve"> activos </w:t>
      </w:r>
      <w:r>
        <w:rPr>
          <w:rFonts w:ascii="ITC Avant Garde" w:eastAsiaTheme="minorHAnsi" w:hAnsi="ITC Avant Garde" w:cstheme="minorBidi"/>
        </w:rPr>
        <w:t>los derechos de uso o goce sobre el espectro radioeléctrico, adquiridos mediante el arrendamiento. Las concentraciones que actualicen los umbrales establecidos en la LFCE quedan sujetas al procedimiento de notificación previa, previsto en el mismo ordenamiento</w:t>
      </w:r>
      <w:r w:rsidR="003F464C">
        <w:rPr>
          <w:rFonts w:ascii="ITC Avant Garde" w:eastAsiaTheme="minorHAnsi" w:hAnsi="ITC Avant Garde" w:cstheme="minorBidi"/>
        </w:rPr>
        <w:t xml:space="preserve">. </w:t>
      </w:r>
    </w:p>
    <w:p w14:paraId="18FE2E82" w14:textId="77777777" w:rsidR="000957F1" w:rsidRDefault="000957F1" w:rsidP="000957F1">
      <w:pPr>
        <w:autoSpaceDE w:val="0"/>
        <w:autoSpaceDN w:val="0"/>
        <w:adjustRightInd w:val="0"/>
        <w:spacing w:after="0" w:line="240" w:lineRule="auto"/>
        <w:ind w:left="284"/>
        <w:jc w:val="both"/>
        <w:rPr>
          <w:rFonts w:ascii="ITC Avant Garde" w:eastAsiaTheme="minorHAnsi" w:hAnsi="ITC Avant Garde" w:cstheme="minorBidi"/>
        </w:rPr>
      </w:pPr>
    </w:p>
    <w:p w14:paraId="6D8E96A1" w14:textId="5C1B9F2D" w:rsidR="000957F1" w:rsidRDefault="000957F1" w:rsidP="000957F1">
      <w:pPr>
        <w:autoSpaceDE w:val="0"/>
        <w:autoSpaceDN w:val="0"/>
        <w:adjustRightInd w:val="0"/>
        <w:spacing w:after="0" w:line="240" w:lineRule="auto"/>
        <w:ind w:left="284"/>
        <w:jc w:val="both"/>
        <w:rPr>
          <w:rFonts w:ascii="ITC Avant Garde" w:eastAsiaTheme="minorHAnsi" w:hAnsi="ITC Avant Garde" w:cstheme="minorBidi"/>
        </w:rPr>
      </w:pPr>
      <w:r>
        <w:rPr>
          <w:rFonts w:ascii="ITC Avant Garde" w:eastAsiaTheme="minorHAnsi" w:hAnsi="ITC Avant Garde" w:cstheme="minorBidi"/>
        </w:rPr>
        <w:lastRenderedPageBreak/>
        <w:t xml:space="preserve">Ahora bien, dentro del procedimiento de notificación </w:t>
      </w:r>
      <w:r w:rsidR="0042391A">
        <w:rPr>
          <w:rFonts w:ascii="ITC Avant Garde" w:eastAsiaTheme="minorHAnsi" w:hAnsi="ITC Avant Garde" w:cstheme="minorBidi"/>
        </w:rPr>
        <w:t xml:space="preserve">previa </w:t>
      </w:r>
      <w:r>
        <w:rPr>
          <w:rFonts w:ascii="ITC Avant Garde" w:eastAsiaTheme="minorHAnsi" w:hAnsi="ITC Avant Garde" w:cstheme="minorBidi"/>
        </w:rPr>
        <w:t>de concentraci</w:t>
      </w:r>
      <w:r w:rsidR="0042391A">
        <w:rPr>
          <w:rFonts w:ascii="ITC Avant Garde" w:eastAsiaTheme="minorHAnsi" w:hAnsi="ITC Avant Garde" w:cstheme="minorBidi"/>
        </w:rPr>
        <w:t>o</w:t>
      </w:r>
      <w:r>
        <w:rPr>
          <w:rFonts w:ascii="ITC Avant Garde" w:eastAsiaTheme="minorHAnsi" w:hAnsi="ITC Avant Garde" w:cstheme="minorBidi"/>
        </w:rPr>
        <w:t>n</w:t>
      </w:r>
      <w:r w:rsidR="0042391A">
        <w:rPr>
          <w:rFonts w:ascii="ITC Avant Garde" w:eastAsiaTheme="minorHAnsi" w:hAnsi="ITC Avant Garde" w:cstheme="minorBidi"/>
        </w:rPr>
        <w:t>es</w:t>
      </w:r>
      <w:r>
        <w:rPr>
          <w:rFonts w:ascii="ITC Avant Garde" w:eastAsiaTheme="minorHAnsi" w:hAnsi="ITC Avant Garde" w:cstheme="minorBidi"/>
        </w:rPr>
        <w:t xml:space="preserve">, </w:t>
      </w:r>
      <w:r w:rsidR="0042391A">
        <w:rPr>
          <w:rFonts w:ascii="ITC Avant Garde" w:eastAsiaTheme="minorHAnsi" w:hAnsi="ITC Avant Garde" w:cstheme="minorBidi"/>
        </w:rPr>
        <w:t>en los sectores de telecomunicaciones y de radiodifusión que corresponde al Instituto tramitar, evaluar y resolver</w:t>
      </w:r>
      <w:r w:rsidR="00593174">
        <w:rPr>
          <w:rFonts w:ascii="ITC Avant Garde" w:eastAsiaTheme="minorHAnsi" w:hAnsi="ITC Avant Garde" w:cstheme="minorBidi"/>
        </w:rPr>
        <w:t>;</w:t>
      </w:r>
      <w:r>
        <w:rPr>
          <w:rFonts w:ascii="ITC Avant Garde" w:eastAsiaTheme="minorHAnsi" w:hAnsi="ITC Avant Garde" w:cstheme="minorBidi"/>
        </w:rPr>
        <w:t xml:space="preserve"> el artículo 90, fracción V, primer párrafo de la </w:t>
      </w:r>
      <w:r w:rsidR="0042391A">
        <w:rPr>
          <w:rFonts w:ascii="ITC Avant Garde" w:eastAsiaTheme="minorHAnsi" w:hAnsi="ITC Avant Garde" w:cstheme="minorBidi"/>
        </w:rPr>
        <w:t>LFCE</w:t>
      </w:r>
      <w:r>
        <w:rPr>
          <w:rFonts w:ascii="ITC Avant Garde" w:eastAsiaTheme="minorHAnsi" w:hAnsi="ITC Avant Garde" w:cstheme="minorBidi"/>
        </w:rPr>
        <w:t>, prescribe lo siguiente:</w:t>
      </w:r>
    </w:p>
    <w:p w14:paraId="4B19BE00" w14:textId="77777777" w:rsidR="000957F1" w:rsidRDefault="000957F1" w:rsidP="000957F1">
      <w:pPr>
        <w:autoSpaceDE w:val="0"/>
        <w:autoSpaceDN w:val="0"/>
        <w:adjustRightInd w:val="0"/>
        <w:spacing w:after="0" w:line="240" w:lineRule="auto"/>
        <w:ind w:left="284"/>
        <w:jc w:val="both"/>
        <w:rPr>
          <w:rFonts w:ascii="ITC Avant Garde" w:eastAsiaTheme="minorHAnsi" w:hAnsi="ITC Avant Garde" w:cstheme="minorBidi"/>
        </w:rPr>
      </w:pPr>
    </w:p>
    <w:p w14:paraId="359AE516" w14:textId="68295168" w:rsidR="000957F1" w:rsidRPr="000957F1" w:rsidRDefault="000957F1" w:rsidP="000957F1">
      <w:pPr>
        <w:autoSpaceDE w:val="0"/>
        <w:autoSpaceDN w:val="0"/>
        <w:adjustRightInd w:val="0"/>
        <w:spacing w:after="0" w:line="240" w:lineRule="auto"/>
        <w:ind w:left="1134" w:right="1182"/>
        <w:jc w:val="both"/>
        <w:rPr>
          <w:rFonts w:ascii="ITC Avant Garde" w:eastAsiaTheme="minorHAnsi" w:hAnsi="ITC Avant Garde" w:cstheme="minorBidi"/>
          <w:i/>
          <w:sz w:val="20"/>
          <w:szCs w:val="20"/>
        </w:rPr>
      </w:pPr>
      <w:r w:rsidRPr="000957F1">
        <w:rPr>
          <w:rFonts w:ascii="ITC Avant Garde" w:eastAsiaTheme="minorHAnsi" w:hAnsi="ITC Avant Garde" w:cstheme="minorBidi"/>
          <w:i/>
          <w:sz w:val="20"/>
          <w:szCs w:val="20"/>
        </w:rPr>
        <w:t>“</w:t>
      </w:r>
      <w:r w:rsidRPr="000957F1">
        <w:rPr>
          <w:rFonts w:ascii="ITC Avant Garde" w:eastAsiaTheme="minorHAnsi" w:hAnsi="ITC Avant Garde" w:cstheme="minorBidi"/>
          <w:b/>
          <w:i/>
          <w:sz w:val="20"/>
          <w:szCs w:val="20"/>
        </w:rPr>
        <w:t>Artículo 90</w:t>
      </w:r>
      <w:r w:rsidRPr="000957F1">
        <w:rPr>
          <w:rFonts w:ascii="ITC Avant Garde" w:eastAsiaTheme="minorHAnsi" w:hAnsi="ITC Avant Garde" w:cstheme="minorBidi"/>
          <w:i/>
          <w:sz w:val="20"/>
          <w:szCs w:val="20"/>
        </w:rPr>
        <w:t>. Para el desahogo del procedimiento de notificación, se estará a lo siguiente:</w:t>
      </w:r>
      <w:r w:rsidRPr="000957F1">
        <w:rPr>
          <w:rFonts w:ascii="ITC Avant Garde" w:eastAsiaTheme="minorHAnsi" w:hAnsi="ITC Avant Garde" w:cstheme="minorBidi"/>
          <w:i/>
          <w:sz w:val="20"/>
          <w:szCs w:val="20"/>
        </w:rPr>
        <w:cr/>
      </w:r>
    </w:p>
    <w:p w14:paraId="6F06EB4B" w14:textId="0DC073AF" w:rsidR="000957F1" w:rsidRPr="000957F1" w:rsidRDefault="000957F1" w:rsidP="000957F1">
      <w:pPr>
        <w:autoSpaceDE w:val="0"/>
        <w:autoSpaceDN w:val="0"/>
        <w:adjustRightInd w:val="0"/>
        <w:spacing w:after="0" w:line="240" w:lineRule="auto"/>
        <w:ind w:left="1134" w:right="1182"/>
        <w:jc w:val="both"/>
        <w:rPr>
          <w:rFonts w:ascii="ITC Avant Garde" w:eastAsiaTheme="minorHAnsi" w:hAnsi="ITC Avant Garde" w:cstheme="minorBidi"/>
          <w:i/>
          <w:sz w:val="20"/>
          <w:szCs w:val="20"/>
        </w:rPr>
      </w:pPr>
      <w:r w:rsidRPr="000957F1">
        <w:rPr>
          <w:rFonts w:ascii="ITC Avant Garde" w:eastAsiaTheme="minorHAnsi" w:hAnsi="ITC Avant Garde" w:cstheme="minorBidi"/>
          <w:i/>
          <w:sz w:val="20"/>
          <w:szCs w:val="20"/>
        </w:rPr>
        <w:t>(…)</w:t>
      </w:r>
    </w:p>
    <w:p w14:paraId="033E5F6E" w14:textId="49C03D92" w:rsidR="000957F1" w:rsidRPr="000957F1" w:rsidRDefault="000957F1" w:rsidP="000957F1">
      <w:pPr>
        <w:autoSpaceDE w:val="0"/>
        <w:autoSpaceDN w:val="0"/>
        <w:adjustRightInd w:val="0"/>
        <w:spacing w:after="0" w:line="240" w:lineRule="auto"/>
        <w:ind w:left="1134" w:right="1182"/>
        <w:jc w:val="both"/>
        <w:rPr>
          <w:rFonts w:ascii="ITC Avant Garde" w:eastAsiaTheme="minorHAnsi" w:hAnsi="ITC Avant Garde" w:cstheme="minorBidi"/>
          <w:i/>
          <w:sz w:val="20"/>
          <w:szCs w:val="20"/>
        </w:rPr>
      </w:pPr>
      <w:r w:rsidRPr="000957F1">
        <w:rPr>
          <w:rFonts w:ascii="ITC Avant Garde" w:eastAsiaTheme="minorHAnsi" w:hAnsi="ITC Avant Garde" w:cstheme="minorBidi"/>
          <w:b/>
          <w:i/>
          <w:sz w:val="20"/>
          <w:szCs w:val="20"/>
        </w:rPr>
        <w:t>V.</w:t>
      </w:r>
      <w:r w:rsidRPr="000957F1">
        <w:rPr>
          <w:rFonts w:ascii="ITC Avant Garde" w:eastAsiaTheme="minorHAnsi" w:hAnsi="ITC Avant Garde" w:cstheme="minorBidi"/>
          <w:i/>
          <w:sz w:val="20"/>
          <w:szCs w:val="20"/>
        </w:rPr>
        <w:t xml:space="preserve"> Para emitir su resolución, la Comisión tendrá un plazo de sesenta días, contado a partir de la recepción de la notificación o, en su caso, de la documentación adicional solicitada. Concluido el plazo sin que se emita resolución, se entenderá que la Comisión no tiene objeción en la concentración notificada.”</w:t>
      </w:r>
    </w:p>
    <w:p w14:paraId="78EEDEFE" w14:textId="77777777" w:rsidR="000957F1" w:rsidRDefault="000957F1" w:rsidP="000957F1">
      <w:pPr>
        <w:autoSpaceDE w:val="0"/>
        <w:autoSpaceDN w:val="0"/>
        <w:adjustRightInd w:val="0"/>
        <w:spacing w:after="0" w:line="240" w:lineRule="auto"/>
        <w:ind w:left="284"/>
        <w:jc w:val="both"/>
        <w:rPr>
          <w:rFonts w:ascii="ITC Avant Garde" w:eastAsiaTheme="minorHAnsi" w:hAnsi="ITC Avant Garde" w:cstheme="minorBidi"/>
        </w:rPr>
      </w:pPr>
    </w:p>
    <w:p w14:paraId="5E6E705F" w14:textId="447A9C5D" w:rsidR="005F51A7" w:rsidRDefault="005F51A7" w:rsidP="005F51A7">
      <w:pPr>
        <w:autoSpaceDE w:val="0"/>
        <w:autoSpaceDN w:val="0"/>
        <w:adjustRightInd w:val="0"/>
        <w:spacing w:after="0" w:line="240" w:lineRule="auto"/>
        <w:ind w:left="284"/>
        <w:jc w:val="both"/>
        <w:rPr>
          <w:rFonts w:ascii="ITC Avant Garde" w:eastAsiaTheme="minorHAnsi" w:hAnsi="ITC Avant Garde" w:cstheme="minorBidi"/>
        </w:rPr>
      </w:pPr>
      <w:r>
        <w:rPr>
          <w:rFonts w:ascii="ITC Avant Garde" w:eastAsiaTheme="minorHAnsi" w:hAnsi="ITC Avant Garde" w:cstheme="minorBidi"/>
        </w:rPr>
        <w:t xml:space="preserve">El marco legal que corresponde al Instituto considerar al analizar las solicitudes </w:t>
      </w:r>
      <w:r w:rsidR="0059739E">
        <w:rPr>
          <w:rFonts w:ascii="ITC Avant Garde" w:eastAsiaTheme="minorHAnsi" w:hAnsi="ITC Avant Garde" w:cstheme="minorBidi"/>
        </w:rPr>
        <w:t>de</w:t>
      </w:r>
      <w:r w:rsidR="00081D64">
        <w:rPr>
          <w:rFonts w:ascii="ITC Avant Garde" w:eastAsiaTheme="minorHAnsi" w:hAnsi="ITC Avant Garde" w:cstheme="minorBidi"/>
        </w:rPr>
        <w:t xml:space="preserve"> </w:t>
      </w:r>
      <w:r>
        <w:rPr>
          <w:rFonts w:ascii="ITC Avant Garde" w:eastAsiaTheme="minorHAnsi" w:hAnsi="ITC Avant Garde" w:cstheme="minorBidi"/>
        </w:rPr>
        <w:t>arrendamiento de espectro radioeléctrico, en su dimensión de concentración, establece que al transcurrir un plazo legal específico, la autoridad tiene la obligación de pronunciarse y emitir la resolución que corresponda. En ausencia de una resolución, la incertidumbre no recae en los regulados, sino que debe entenderse que la autoridad no tiene objeción en el acto o actos que son materia del procedimiento.</w:t>
      </w:r>
    </w:p>
    <w:p w14:paraId="4DD9DE67" w14:textId="77777777" w:rsidR="005F51A7" w:rsidRDefault="005F51A7" w:rsidP="005F51A7">
      <w:pPr>
        <w:autoSpaceDE w:val="0"/>
        <w:autoSpaceDN w:val="0"/>
        <w:adjustRightInd w:val="0"/>
        <w:spacing w:after="0" w:line="240" w:lineRule="auto"/>
        <w:ind w:left="284"/>
        <w:jc w:val="both"/>
        <w:rPr>
          <w:rFonts w:ascii="ITC Avant Garde" w:eastAsiaTheme="minorHAnsi" w:hAnsi="ITC Avant Garde" w:cstheme="minorBidi"/>
        </w:rPr>
      </w:pPr>
    </w:p>
    <w:p w14:paraId="2D21D882" w14:textId="53680C4B" w:rsidR="000957F1" w:rsidRPr="00453FBF" w:rsidRDefault="005F51A7" w:rsidP="005F51A7">
      <w:pPr>
        <w:autoSpaceDE w:val="0"/>
        <w:autoSpaceDN w:val="0"/>
        <w:adjustRightInd w:val="0"/>
        <w:spacing w:after="0" w:line="240" w:lineRule="auto"/>
        <w:ind w:left="284"/>
        <w:jc w:val="both"/>
        <w:rPr>
          <w:rFonts w:ascii="ITC Avant Garde" w:eastAsiaTheme="minorHAnsi" w:hAnsi="ITC Avant Garde" w:cstheme="minorBidi"/>
        </w:rPr>
      </w:pPr>
      <w:r>
        <w:rPr>
          <w:rFonts w:ascii="ITC Avant Garde" w:eastAsiaTheme="minorHAnsi" w:hAnsi="ITC Avant Garde" w:cstheme="minorBidi"/>
        </w:rPr>
        <w:t xml:space="preserve">Por lo anterior, en aras de armonizar los principios de certeza jurídica, eficiencia y eficacia que rigen el actuar del Instituto, se adopta la figura de </w:t>
      </w:r>
      <w:r>
        <w:rPr>
          <w:rFonts w:ascii="ITC Avant Garde" w:eastAsiaTheme="minorHAnsi" w:hAnsi="ITC Avant Garde" w:cstheme="minorBidi"/>
          <w:i/>
        </w:rPr>
        <w:t xml:space="preserve">afirmativa ficta </w:t>
      </w:r>
      <w:r>
        <w:rPr>
          <w:rFonts w:ascii="ITC Avant Garde" w:eastAsiaTheme="minorHAnsi" w:hAnsi="ITC Avant Garde" w:cstheme="minorBidi"/>
        </w:rPr>
        <w:t>en el procedimiento aplicable a las solicitudes de autorización de arrendamiento del espectro radioeléctrico. La inclusión de esta figura también impulsa el desarrollo del mercado secundario de espectro radioeléctrico, en particular porque el silencio de la autoridad al concluir el plazo de cuarenta y cinco días para resolver no se constituirá en un impedimento para el desarrollo de transacciones entre agentes económicos</w:t>
      </w:r>
      <w:r w:rsidR="00D62C0D">
        <w:rPr>
          <w:rFonts w:ascii="ITC Avant Garde" w:eastAsiaTheme="minorHAnsi" w:hAnsi="ITC Avant Garde" w:cstheme="minorBidi"/>
        </w:rPr>
        <w:t>, que pueda traducirse en una barrera a la entrada</w:t>
      </w:r>
      <w:r>
        <w:rPr>
          <w:rFonts w:ascii="ITC Avant Garde" w:eastAsiaTheme="minorHAnsi" w:hAnsi="ITC Avant Garde" w:cstheme="minorBidi"/>
        </w:rPr>
        <w:t>.</w:t>
      </w:r>
    </w:p>
    <w:p w14:paraId="68AABCF5" w14:textId="77777777" w:rsidR="000C58DB" w:rsidRDefault="000C58DB" w:rsidP="00784243">
      <w:pPr>
        <w:autoSpaceDE w:val="0"/>
        <w:autoSpaceDN w:val="0"/>
        <w:adjustRightInd w:val="0"/>
        <w:spacing w:after="0" w:line="240" w:lineRule="auto"/>
        <w:ind w:left="284"/>
        <w:jc w:val="both"/>
        <w:rPr>
          <w:rFonts w:ascii="ITC Avant Garde" w:eastAsiaTheme="minorHAnsi" w:hAnsi="ITC Avant Garde" w:cstheme="minorBidi"/>
        </w:rPr>
      </w:pPr>
    </w:p>
    <w:p w14:paraId="0EAD3BAA" w14:textId="59AC73C2" w:rsidR="00071BB7" w:rsidRDefault="000C58DB" w:rsidP="00784243">
      <w:pPr>
        <w:autoSpaceDE w:val="0"/>
        <w:autoSpaceDN w:val="0"/>
        <w:adjustRightInd w:val="0"/>
        <w:spacing w:after="0" w:line="240" w:lineRule="auto"/>
        <w:ind w:left="284"/>
        <w:jc w:val="both"/>
        <w:rPr>
          <w:rFonts w:ascii="ITC Avant Garde" w:eastAsiaTheme="minorHAnsi" w:hAnsi="ITC Avant Garde" w:cstheme="minorBidi"/>
        </w:rPr>
      </w:pPr>
      <w:r>
        <w:rPr>
          <w:rFonts w:ascii="ITC Avant Garde" w:eastAsiaTheme="minorHAnsi" w:hAnsi="ITC Avant Garde" w:cstheme="minorBidi"/>
        </w:rPr>
        <w:t xml:space="preserve">No obstante lo anterior, la afirmativa ficta </w:t>
      </w:r>
      <w:r w:rsidR="00D62C0D">
        <w:rPr>
          <w:rFonts w:ascii="ITC Avant Garde" w:eastAsiaTheme="minorHAnsi" w:hAnsi="ITC Avant Garde" w:cstheme="minorBidi"/>
        </w:rPr>
        <w:t>se encuentra sujeta</w:t>
      </w:r>
      <w:r>
        <w:rPr>
          <w:rFonts w:ascii="ITC Avant Garde" w:eastAsiaTheme="minorHAnsi" w:hAnsi="ITC Avant Garde" w:cstheme="minorBidi"/>
        </w:rPr>
        <w:t xml:space="preserve"> a la expedición de </w:t>
      </w:r>
      <w:r w:rsidR="005E290B">
        <w:rPr>
          <w:rFonts w:ascii="ITC Avant Garde" w:eastAsiaTheme="minorHAnsi" w:hAnsi="ITC Avant Garde" w:cstheme="minorBidi"/>
        </w:rPr>
        <w:t xml:space="preserve">la concesión única </w:t>
      </w:r>
      <w:r w:rsidR="00D61896">
        <w:rPr>
          <w:rFonts w:ascii="ITC Avant Garde" w:eastAsiaTheme="minorHAnsi" w:hAnsi="ITC Avant Garde" w:cstheme="minorBidi"/>
        </w:rPr>
        <w:t>que</w:t>
      </w:r>
      <w:r w:rsidR="0059739E">
        <w:rPr>
          <w:rFonts w:ascii="ITC Avant Garde" w:eastAsiaTheme="minorHAnsi" w:hAnsi="ITC Avant Garde" w:cstheme="minorBidi"/>
        </w:rPr>
        <w:t>,</w:t>
      </w:r>
      <w:r w:rsidR="00D61896">
        <w:rPr>
          <w:rFonts w:ascii="ITC Avant Garde" w:eastAsiaTheme="minorHAnsi" w:hAnsi="ITC Avant Garde" w:cstheme="minorBidi"/>
        </w:rPr>
        <w:t xml:space="preserve"> </w:t>
      </w:r>
      <w:r w:rsidR="005E290B">
        <w:rPr>
          <w:rFonts w:ascii="ITC Avant Garde" w:eastAsiaTheme="minorHAnsi" w:hAnsi="ITC Avant Garde" w:cstheme="minorBidi"/>
        </w:rPr>
        <w:t xml:space="preserve">en </w:t>
      </w:r>
      <w:r w:rsidR="00D61896">
        <w:rPr>
          <w:rFonts w:ascii="ITC Avant Garde" w:eastAsiaTheme="minorHAnsi" w:hAnsi="ITC Avant Garde" w:cstheme="minorBidi"/>
        </w:rPr>
        <w:t>su caso</w:t>
      </w:r>
      <w:r w:rsidR="0059739E">
        <w:rPr>
          <w:rFonts w:ascii="ITC Avant Garde" w:eastAsiaTheme="minorHAnsi" w:hAnsi="ITC Avant Garde" w:cstheme="minorBidi"/>
        </w:rPr>
        <w:t>,</w:t>
      </w:r>
      <w:r w:rsidR="00D61896">
        <w:rPr>
          <w:rFonts w:ascii="ITC Avant Garde" w:eastAsiaTheme="minorHAnsi" w:hAnsi="ITC Avant Garde" w:cstheme="minorBidi"/>
        </w:rPr>
        <w:t xml:space="preserve"> se requiera y se haya solicitado</w:t>
      </w:r>
      <w:r w:rsidR="005E290B">
        <w:rPr>
          <w:rFonts w:ascii="ITC Avant Garde" w:eastAsiaTheme="minorHAnsi" w:hAnsi="ITC Avant Garde" w:cstheme="minorBidi"/>
        </w:rPr>
        <w:t>.</w:t>
      </w:r>
      <w:r w:rsidR="007F2FD7">
        <w:rPr>
          <w:rFonts w:ascii="ITC Avant Garde" w:eastAsiaTheme="minorHAnsi" w:hAnsi="ITC Avant Garde" w:cstheme="minorBidi"/>
        </w:rPr>
        <w:t xml:space="preserve"> Ello en virtud de que </w:t>
      </w:r>
      <w:r w:rsidR="001E0A0F">
        <w:rPr>
          <w:rFonts w:ascii="ITC Avant Garde" w:eastAsiaTheme="minorHAnsi" w:hAnsi="ITC Avant Garde" w:cstheme="minorBidi"/>
        </w:rPr>
        <w:t>su otorgamiento</w:t>
      </w:r>
      <w:r w:rsidR="007F2FD7">
        <w:rPr>
          <w:rFonts w:ascii="ITC Avant Garde" w:eastAsiaTheme="minorHAnsi" w:hAnsi="ITC Avant Garde" w:cstheme="minorBidi"/>
        </w:rPr>
        <w:t xml:space="preserve"> debe resolverse en términos de los </w:t>
      </w:r>
      <w:r w:rsidR="007F2FD7" w:rsidRPr="001A503A">
        <w:rPr>
          <w:rFonts w:ascii="ITC Avant Garde" w:eastAsiaTheme="minorHAnsi" w:hAnsi="ITC Avant Garde" w:cstheme="minorBidi"/>
          <w:i/>
        </w:rPr>
        <w:t>Lineamientos Generales par</w:t>
      </w:r>
      <w:r w:rsidR="00765BDA" w:rsidRPr="001A503A">
        <w:rPr>
          <w:rFonts w:ascii="ITC Avant Garde" w:eastAsiaTheme="minorHAnsi" w:hAnsi="ITC Avant Garde" w:cstheme="minorBidi"/>
          <w:i/>
        </w:rPr>
        <w:t>a el o</w:t>
      </w:r>
      <w:r w:rsidR="007F2FD7" w:rsidRPr="001A503A">
        <w:rPr>
          <w:rFonts w:ascii="ITC Avant Garde" w:eastAsiaTheme="minorHAnsi" w:hAnsi="ITC Avant Garde" w:cstheme="minorBidi"/>
          <w:i/>
        </w:rPr>
        <w:t xml:space="preserve">torgamiento de </w:t>
      </w:r>
      <w:r w:rsidR="00765BDA" w:rsidRPr="001A503A">
        <w:rPr>
          <w:rFonts w:ascii="ITC Avant Garde" w:eastAsiaTheme="minorHAnsi" w:hAnsi="ITC Avant Garde" w:cstheme="minorBidi"/>
          <w:i/>
        </w:rPr>
        <w:t>las c</w:t>
      </w:r>
      <w:r w:rsidR="007F2FD7" w:rsidRPr="001A503A">
        <w:rPr>
          <w:rFonts w:ascii="ITC Avant Garde" w:eastAsiaTheme="minorHAnsi" w:hAnsi="ITC Avant Garde" w:cstheme="minorBidi"/>
          <w:i/>
        </w:rPr>
        <w:t>oncesiones a que se refiere el Título Cuarto de la Ley Federal de Telecomunicaciones y Radiodifusión</w:t>
      </w:r>
      <w:r w:rsidR="007F2FD7">
        <w:rPr>
          <w:rFonts w:ascii="ITC Avant Garde" w:eastAsiaTheme="minorHAnsi" w:hAnsi="ITC Avant Garde" w:cstheme="minorBidi"/>
        </w:rPr>
        <w:t>, expedido</w:t>
      </w:r>
      <w:r w:rsidR="00A57336">
        <w:rPr>
          <w:rFonts w:ascii="ITC Avant Garde" w:eastAsiaTheme="minorHAnsi" w:hAnsi="ITC Avant Garde" w:cstheme="minorBidi"/>
        </w:rPr>
        <w:t>s</w:t>
      </w:r>
      <w:r w:rsidR="007F2FD7">
        <w:rPr>
          <w:rFonts w:ascii="ITC Avant Garde" w:eastAsiaTheme="minorHAnsi" w:hAnsi="ITC Avant Garde" w:cstheme="minorBidi"/>
        </w:rPr>
        <w:t xml:space="preserve"> por el Instituto y publicado</w:t>
      </w:r>
      <w:r w:rsidR="00081D64">
        <w:rPr>
          <w:rFonts w:ascii="ITC Avant Garde" w:eastAsiaTheme="minorHAnsi" w:hAnsi="ITC Avant Garde" w:cstheme="minorBidi"/>
        </w:rPr>
        <w:t>s</w:t>
      </w:r>
      <w:r w:rsidR="007F2FD7">
        <w:rPr>
          <w:rFonts w:ascii="ITC Avant Garde" w:eastAsiaTheme="minorHAnsi" w:hAnsi="ITC Avant Garde" w:cstheme="minorBidi"/>
        </w:rPr>
        <w:t xml:space="preserve"> en el </w:t>
      </w:r>
      <w:r w:rsidR="008832F0">
        <w:rPr>
          <w:rFonts w:ascii="ITC Avant Garde" w:eastAsiaTheme="minorHAnsi" w:hAnsi="ITC Avant Garde" w:cstheme="minorBidi"/>
        </w:rPr>
        <w:t>DOF</w:t>
      </w:r>
      <w:r w:rsidR="007F2FD7">
        <w:rPr>
          <w:rFonts w:ascii="ITC Avant Garde" w:eastAsiaTheme="minorHAnsi" w:hAnsi="ITC Avant Garde" w:cstheme="minorBidi"/>
        </w:rPr>
        <w:t xml:space="preserve"> el </w:t>
      </w:r>
      <w:r w:rsidR="00765BDA">
        <w:rPr>
          <w:rFonts w:ascii="ITC Avant Garde" w:eastAsiaTheme="minorHAnsi" w:hAnsi="ITC Avant Garde" w:cstheme="minorBidi"/>
        </w:rPr>
        <w:t>24 de julio de 2015.</w:t>
      </w:r>
    </w:p>
    <w:p w14:paraId="6BFCDDEE" w14:textId="77777777" w:rsidR="000C58DB" w:rsidRPr="00071BB7" w:rsidRDefault="000C58DB" w:rsidP="00784243">
      <w:pPr>
        <w:autoSpaceDE w:val="0"/>
        <w:autoSpaceDN w:val="0"/>
        <w:adjustRightInd w:val="0"/>
        <w:spacing w:after="0" w:line="240" w:lineRule="auto"/>
        <w:ind w:left="284"/>
        <w:jc w:val="both"/>
        <w:rPr>
          <w:rFonts w:ascii="ITC Avant Garde" w:hAnsi="ITC Avant Garde"/>
        </w:rPr>
      </w:pPr>
    </w:p>
    <w:p w14:paraId="6B8F31C2" w14:textId="7730B3D0" w:rsidR="000C19B7" w:rsidRPr="00490890" w:rsidRDefault="00A24F6D" w:rsidP="00784243">
      <w:pPr>
        <w:pStyle w:val="Prrafodelista"/>
        <w:numPr>
          <w:ilvl w:val="0"/>
          <w:numId w:val="36"/>
        </w:numPr>
        <w:pBdr>
          <w:top w:val="nil"/>
          <w:left w:val="nil"/>
          <w:bottom w:val="nil"/>
          <w:right w:val="nil"/>
          <w:between w:val="nil"/>
          <w:bar w:val="nil"/>
        </w:pBdr>
        <w:suppressAutoHyphens/>
        <w:ind w:left="284" w:hanging="284"/>
        <w:contextualSpacing/>
        <w:jc w:val="both"/>
        <w:rPr>
          <w:rFonts w:ascii="ITC Avant Garde" w:hAnsi="ITC Avant Garde"/>
          <w:sz w:val="22"/>
          <w:szCs w:val="22"/>
        </w:rPr>
      </w:pPr>
      <w:r w:rsidRPr="00490890">
        <w:rPr>
          <w:rFonts w:ascii="ITC Avant Garde" w:hAnsi="ITC Avant Garde" w:cs="TimesNewRomanPS-BoldMT"/>
          <w:b/>
          <w:sz w:val="22"/>
          <w:szCs w:val="22"/>
          <w:lang w:val="es-ES" w:eastAsia="es-ES"/>
        </w:rPr>
        <w:t>Definiciones</w:t>
      </w:r>
      <w:r w:rsidR="00541DF9" w:rsidRPr="00490890">
        <w:rPr>
          <w:rFonts w:ascii="ITC Avant Garde" w:hAnsi="ITC Avant Garde" w:cs="TimesNewRomanPS-BoldMT"/>
          <w:b/>
          <w:sz w:val="22"/>
          <w:szCs w:val="22"/>
          <w:lang w:val="es-ES" w:eastAsia="es-ES"/>
        </w:rPr>
        <w:t xml:space="preserve">. </w:t>
      </w:r>
      <w:r w:rsidR="00541DF9" w:rsidRPr="00490890">
        <w:rPr>
          <w:rFonts w:ascii="ITC Avant Garde" w:hAnsi="ITC Avant Garde" w:cs="TimesNewRomanPS-BoldMT"/>
          <w:sz w:val="22"/>
          <w:szCs w:val="22"/>
          <w:lang w:val="es-ES" w:eastAsia="es-ES"/>
        </w:rPr>
        <w:t>La claridad en los términos utilizados en cualquier disposición de carácter general constituye el instrumento esencial para una correcta aplicación a situaciones acaecidas en su ámbito de aplicación. Por tal razón, en atención a las propuestas presentadas</w:t>
      </w:r>
      <w:r w:rsidR="000C19B7" w:rsidRPr="00490890">
        <w:rPr>
          <w:rFonts w:ascii="ITC Avant Garde" w:hAnsi="ITC Avant Garde" w:cs="TimesNewRomanPS-BoldMT"/>
          <w:sz w:val="22"/>
          <w:szCs w:val="22"/>
          <w:lang w:val="es-ES" w:eastAsia="es-ES"/>
        </w:rPr>
        <w:t>,</w:t>
      </w:r>
      <w:r w:rsidR="00541DF9" w:rsidRPr="00490890">
        <w:rPr>
          <w:rFonts w:ascii="ITC Avant Garde" w:hAnsi="ITC Avant Garde" w:cs="TimesNewRomanPS-BoldMT"/>
          <w:sz w:val="22"/>
          <w:szCs w:val="22"/>
          <w:lang w:val="es-ES" w:eastAsia="es-ES"/>
        </w:rPr>
        <w:t xml:space="preserve"> se consideró pertinente </w:t>
      </w:r>
      <w:r w:rsidR="000C19B7" w:rsidRPr="00490890">
        <w:rPr>
          <w:rFonts w:ascii="ITC Avant Garde" w:hAnsi="ITC Avant Garde" w:cs="TimesNewRomanPS-BoldMT"/>
          <w:sz w:val="22"/>
          <w:szCs w:val="22"/>
          <w:lang w:val="es-ES" w:eastAsia="es-ES"/>
        </w:rPr>
        <w:t>detallar el alcance de</w:t>
      </w:r>
      <w:r w:rsidR="007A3E9B">
        <w:rPr>
          <w:rFonts w:ascii="ITC Avant Garde" w:hAnsi="ITC Avant Garde" w:cs="TimesNewRomanPS-BoldMT"/>
          <w:sz w:val="22"/>
          <w:szCs w:val="22"/>
          <w:lang w:val="es-ES" w:eastAsia="es-ES"/>
        </w:rPr>
        <w:t xml:space="preserve"> diversas </w:t>
      </w:r>
      <w:r w:rsidR="000C19B7" w:rsidRPr="00490890">
        <w:rPr>
          <w:rFonts w:ascii="ITC Avant Garde" w:hAnsi="ITC Avant Garde" w:cs="TimesNewRomanPS-BoldMT"/>
          <w:sz w:val="22"/>
          <w:szCs w:val="22"/>
          <w:lang w:val="es-ES" w:eastAsia="es-ES"/>
        </w:rPr>
        <w:t xml:space="preserve">definiciones </w:t>
      </w:r>
      <w:r w:rsidR="007A3E9B">
        <w:rPr>
          <w:rFonts w:ascii="ITC Avant Garde" w:hAnsi="ITC Avant Garde" w:cs="TimesNewRomanPS-BoldMT"/>
          <w:sz w:val="22"/>
          <w:szCs w:val="22"/>
          <w:lang w:val="es-ES" w:eastAsia="es-ES"/>
        </w:rPr>
        <w:t>relacionadas con la</w:t>
      </w:r>
      <w:r w:rsidR="000C19B7" w:rsidRPr="00490890">
        <w:rPr>
          <w:rFonts w:ascii="ITC Avant Garde" w:hAnsi="ITC Avant Garde" w:cs="TimesNewRomanPS-BoldMT"/>
          <w:sz w:val="22"/>
          <w:szCs w:val="22"/>
          <w:lang w:val="es-ES" w:eastAsia="es-ES"/>
        </w:rPr>
        <w:t xml:space="preserve"> expresión a una o más bandas de frecuencias, siempre y cuando se encuentren amparadas por el título de </w:t>
      </w:r>
      <w:r w:rsidR="006C3B38">
        <w:rPr>
          <w:rFonts w:ascii="ITC Avant Garde" w:hAnsi="ITC Avant Garde" w:cs="TimesNewRomanPS-BoldMT"/>
          <w:sz w:val="22"/>
          <w:szCs w:val="22"/>
          <w:lang w:val="es-ES" w:eastAsia="es-ES"/>
        </w:rPr>
        <w:t>concesión de espectro radioeléctrico</w:t>
      </w:r>
      <w:r w:rsidR="000C19B7" w:rsidRPr="00490890">
        <w:rPr>
          <w:rFonts w:ascii="ITC Avant Garde" w:hAnsi="ITC Avant Garde" w:cs="TimesNewRomanPS-BoldMT"/>
          <w:sz w:val="22"/>
          <w:szCs w:val="22"/>
          <w:lang w:val="es-ES" w:eastAsia="es-ES"/>
        </w:rPr>
        <w:t xml:space="preserve"> correspondiente y se dé cabal cumplimiento a la normatividad para tal efecto. </w:t>
      </w:r>
    </w:p>
    <w:p w14:paraId="4E9F3CC6" w14:textId="77777777" w:rsidR="000C19B7" w:rsidRPr="00490890" w:rsidRDefault="000C19B7" w:rsidP="000C19B7">
      <w:pPr>
        <w:pStyle w:val="Prrafodelista"/>
        <w:pBdr>
          <w:top w:val="nil"/>
          <w:left w:val="nil"/>
          <w:bottom w:val="nil"/>
          <w:right w:val="nil"/>
          <w:between w:val="nil"/>
          <w:bar w:val="nil"/>
        </w:pBdr>
        <w:suppressAutoHyphens/>
        <w:ind w:left="284"/>
        <w:contextualSpacing/>
        <w:jc w:val="both"/>
        <w:rPr>
          <w:rFonts w:ascii="ITC Avant Garde" w:hAnsi="ITC Avant Garde"/>
          <w:sz w:val="22"/>
          <w:szCs w:val="22"/>
        </w:rPr>
      </w:pPr>
    </w:p>
    <w:p w14:paraId="0DAAF54D" w14:textId="1C836D1F" w:rsidR="00A225D4" w:rsidRDefault="000C19B7" w:rsidP="00A225D4">
      <w:pPr>
        <w:pStyle w:val="Prrafodelista"/>
        <w:numPr>
          <w:ilvl w:val="0"/>
          <w:numId w:val="36"/>
        </w:numPr>
        <w:pBdr>
          <w:top w:val="nil"/>
          <w:left w:val="nil"/>
          <w:bottom w:val="nil"/>
          <w:right w:val="nil"/>
          <w:between w:val="nil"/>
          <w:bar w:val="nil"/>
        </w:pBdr>
        <w:suppressAutoHyphens/>
        <w:ind w:left="284" w:hanging="284"/>
        <w:contextualSpacing/>
        <w:jc w:val="both"/>
        <w:rPr>
          <w:rFonts w:ascii="ITC Avant Garde" w:hAnsi="ITC Avant Garde"/>
          <w:bCs/>
          <w:sz w:val="22"/>
          <w:szCs w:val="22"/>
        </w:rPr>
      </w:pPr>
      <w:r w:rsidRPr="00A225D4">
        <w:rPr>
          <w:rFonts w:ascii="ITC Avant Garde" w:hAnsi="ITC Avant Garde"/>
          <w:b/>
          <w:bCs/>
          <w:sz w:val="22"/>
          <w:szCs w:val="22"/>
        </w:rPr>
        <w:lastRenderedPageBreak/>
        <w:t xml:space="preserve">Cláusulas del Contrato. </w:t>
      </w:r>
      <w:r w:rsidR="00A225D4" w:rsidRPr="00A225D4">
        <w:rPr>
          <w:rFonts w:ascii="ITC Avant Garde" w:hAnsi="ITC Avant Garde"/>
          <w:bCs/>
          <w:sz w:val="22"/>
          <w:szCs w:val="22"/>
        </w:rPr>
        <w:t xml:space="preserve">En la </w:t>
      </w:r>
      <w:r w:rsidR="00064FEA">
        <w:rPr>
          <w:rFonts w:ascii="ITC Avant Garde" w:hAnsi="ITC Avant Garde"/>
          <w:bCs/>
          <w:sz w:val="22"/>
          <w:szCs w:val="22"/>
        </w:rPr>
        <w:t>c</w:t>
      </w:r>
      <w:r w:rsidR="00A225D4" w:rsidRPr="00A225D4">
        <w:rPr>
          <w:rFonts w:ascii="ITC Avant Garde" w:hAnsi="ITC Avant Garde"/>
          <w:bCs/>
          <w:sz w:val="22"/>
          <w:szCs w:val="22"/>
        </w:rPr>
        <w:t xml:space="preserve">onsulta </w:t>
      </w:r>
      <w:r w:rsidR="00064FEA">
        <w:rPr>
          <w:rFonts w:ascii="ITC Avant Garde" w:hAnsi="ITC Avant Garde"/>
          <w:bCs/>
          <w:sz w:val="22"/>
          <w:szCs w:val="22"/>
        </w:rPr>
        <w:t>p</w:t>
      </w:r>
      <w:r w:rsidR="00A225D4" w:rsidRPr="00A225D4">
        <w:rPr>
          <w:rFonts w:ascii="ITC Avant Garde" w:hAnsi="ITC Avant Garde"/>
          <w:bCs/>
          <w:sz w:val="22"/>
          <w:szCs w:val="22"/>
        </w:rPr>
        <w:t xml:space="preserve">ública, diversos participantes fueron coincidentes en apuntar que el Instituto delegaba sus atribuciones al </w:t>
      </w:r>
      <w:r w:rsidR="00F234A6">
        <w:rPr>
          <w:rFonts w:ascii="ITC Avant Garde" w:hAnsi="ITC Avant Garde"/>
          <w:bCs/>
          <w:sz w:val="22"/>
          <w:szCs w:val="22"/>
        </w:rPr>
        <w:t>a</w:t>
      </w:r>
      <w:r w:rsidR="00A225D4" w:rsidRPr="00A225D4">
        <w:rPr>
          <w:rFonts w:ascii="ITC Avant Garde" w:hAnsi="ITC Avant Garde"/>
          <w:bCs/>
          <w:sz w:val="22"/>
          <w:szCs w:val="22"/>
        </w:rPr>
        <w:t xml:space="preserve">rrendador y </w:t>
      </w:r>
      <w:r w:rsidR="00DF1B26">
        <w:rPr>
          <w:rFonts w:ascii="ITC Avant Garde" w:hAnsi="ITC Avant Garde"/>
          <w:bCs/>
          <w:sz w:val="22"/>
          <w:szCs w:val="22"/>
        </w:rPr>
        <w:t>arrendatario</w:t>
      </w:r>
      <w:r w:rsidR="00A225D4" w:rsidRPr="00A225D4">
        <w:rPr>
          <w:rFonts w:ascii="ITC Avant Garde" w:hAnsi="ITC Avant Garde"/>
          <w:bCs/>
          <w:sz w:val="22"/>
          <w:szCs w:val="22"/>
        </w:rPr>
        <w:t xml:space="preserve"> en la obligación </w:t>
      </w:r>
      <w:r w:rsidR="00A225D4">
        <w:rPr>
          <w:rFonts w:ascii="ITC Avant Garde" w:hAnsi="ITC Avant Garde"/>
          <w:bCs/>
          <w:sz w:val="22"/>
          <w:szCs w:val="22"/>
        </w:rPr>
        <w:t xml:space="preserve">de </w:t>
      </w:r>
      <w:r w:rsidR="00A225D4" w:rsidRPr="00A225D4">
        <w:rPr>
          <w:rFonts w:ascii="ITC Avant Garde" w:hAnsi="ITC Avant Garde"/>
          <w:bCs/>
          <w:sz w:val="22"/>
          <w:szCs w:val="22"/>
        </w:rPr>
        <w:t xml:space="preserve">cerciorarse periódicamente </w:t>
      </w:r>
      <w:r w:rsidR="00DA5323">
        <w:rPr>
          <w:rFonts w:ascii="ITC Avant Garde" w:hAnsi="ITC Avant Garde"/>
          <w:bCs/>
          <w:sz w:val="22"/>
          <w:szCs w:val="22"/>
        </w:rPr>
        <w:t xml:space="preserve">de </w:t>
      </w:r>
      <w:r w:rsidR="00A225D4" w:rsidRPr="00A225D4">
        <w:rPr>
          <w:rFonts w:ascii="ITC Avant Garde" w:hAnsi="ITC Avant Garde"/>
          <w:bCs/>
          <w:sz w:val="22"/>
          <w:szCs w:val="22"/>
        </w:rPr>
        <w:t xml:space="preserve">que la operación de los equipos de radiocomunicaciones del </w:t>
      </w:r>
      <w:r w:rsidR="00DF1B26">
        <w:rPr>
          <w:rFonts w:ascii="ITC Avant Garde" w:hAnsi="ITC Avant Garde"/>
          <w:bCs/>
          <w:sz w:val="22"/>
          <w:szCs w:val="22"/>
        </w:rPr>
        <w:t>arrendatario</w:t>
      </w:r>
      <w:r w:rsidR="00A225D4" w:rsidRPr="00A225D4">
        <w:rPr>
          <w:rFonts w:ascii="ITC Avant Garde" w:hAnsi="ITC Avant Garde"/>
          <w:bCs/>
          <w:sz w:val="22"/>
          <w:szCs w:val="22"/>
        </w:rPr>
        <w:t xml:space="preserve"> se lleve a cabo de conformidad con los parámetros técnicos previstos en el título de </w:t>
      </w:r>
      <w:r w:rsidR="006C3B38">
        <w:rPr>
          <w:rFonts w:ascii="ITC Avant Garde" w:hAnsi="ITC Avant Garde"/>
          <w:bCs/>
          <w:sz w:val="22"/>
          <w:szCs w:val="22"/>
        </w:rPr>
        <w:t>concesión de espectro radioeléctrico</w:t>
      </w:r>
      <w:r w:rsidR="00A225D4" w:rsidRPr="00A225D4">
        <w:rPr>
          <w:rFonts w:ascii="ITC Avant Garde" w:hAnsi="ITC Avant Garde"/>
          <w:bCs/>
          <w:sz w:val="22"/>
          <w:szCs w:val="22"/>
        </w:rPr>
        <w:t xml:space="preserve"> y libre de interferencias perjudiciales, así como la obligación de permitir que el Instituto verifique </w:t>
      </w:r>
      <w:r w:rsidR="00A225D4" w:rsidRPr="00A225D4">
        <w:rPr>
          <w:rFonts w:ascii="ITC Avant Garde" w:hAnsi="ITC Avant Garde"/>
          <w:bCs/>
          <w:i/>
          <w:sz w:val="22"/>
          <w:szCs w:val="22"/>
        </w:rPr>
        <w:t xml:space="preserve">in situ </w:t>
      </w:r>
      <w:r w:rsidR="00A225D4" w:rsidRPr="00A225D4">
        <w:rPr>
          <w:rFonts w:ascii="ITC Avant Garde" w:hAnsi="ITC Avant Garde"/>
          <w:bCs/>
          <w:sz w:val="22"/>
          <w:szCs w:val="22"/>
        </w:rPr>
        <w:t xml:space="preserve">la operación de los equipos de radiocomunicaciones y de proporcionar la información del </w:t>
      </w:r>
      <w:r w:rsidR="00DA5323">
        <w:rPr>
          <w:rFonts w:ascii="ITC Avant Garde" w:hAnsi="ITC Avant Garde"/>
          <w:bCs/>
          <w:sz w:val="22"/>
          <w:szCs w:val="22"/>
        </w:rPr>
        <w:t>a</w:t>
      </w:r>
      <w:r w:rsidR="00A225D4" w:rsidRPr="00A225D4">
        <w:rPr>
          <w:rFonts w:ascii="ITC Avant Garde" w:hAnsi="ITC Avant Garde"/>
          <w:bCs/>
          <w:sz w:val="22"/>
          <w:szCs w:val="22"/>
        </w:rPr>
        <w:t xml:space="preserve">rrendamiento, respectivamente. </w:t>
      </w:r>
    </w:p>
    <w:p w14:paraId="798FE048" w14:textId="77777777" w:rsidR="00A225D4" w:rsidRDefault="00A225D4" w:rsidP="00A225D4">
      <w:pPr>
        <w:pBdr>
          <w:top w:val="nil"/>
          <w:left w:val="nil"/>
          <w:bottom w:val="nil"/>
          <w:right w:val="nil"/>
          <w:between w:val="nil"/>
          <w:bar w:val="nil"/>
        </w:pBdr>
        <w:suppressAutoHyphens/>
        <w:spacing w:after="0" w:line="240" w:lineRule="auto"/>
        <w:ind w:left="284"/>
        <w:contextualSpacing/>
        <w:jc w:val="both"/>
        <w:rPr>
          <w:rFonts w:ascii="ITC Avant Garde" w:hAnsi="ITC Avant Garde"/>
          <w:bCs/>
        </w:rPr>
      </w:pPr>
    </w:p>
    <w:p w14:paraId="6BECC2AF" w14:textId="3B15E02A" w:rsidR="00265B94" w:rsidRPr="00490890" w:rsidRDefault="00A225D4" w:rsidP="00265B94">
      <w:pPr>
        <w:pBdr>
          <w:top w:val="nil"/>
          <w:left w:val="nil"/>
          <w:bottom w:val="nil"/>
          <w:right w:val="nil"/>
          <w:between w:val="nil"/>
          <w:bar w:val="nil"/>
        </w:pBdr>
        <w:suppressAutoHyphens/>
        <w:spacing w:after="0" w:line="240" w:lineRule="auto"/>
        <w:ind w:left="284"/>
        <w:contextualSpacing/>
        <w:jc w:val="both"/>
        <w:rPr>
          <w:rFonts w:ascii="ITC Avant Garde" w:hAnsi="ITC Avant Garde"/>
        </w:rPr>
      </w:pPr>
      <w:r>
        <w:rPr>
          <w:rFonts w:ascii="ITC Avant Garde" w:hAnsi="ITC Avant Garde"/>
          <w:bCs/>
        </w:rPr>
        <w:t xml:space="preserve">Por ello, </w:t>
      </w:r>
      <w:r w:rsidR="00C93307">
        <w:rPr>
          <w:rFonts w:ascii="ITC Avant Garde" w:hAnsi="ITC Avant Garde"/>
          <w:bCs/>
        </w:rPr>
        <w:t xml:space="preserve">si bien la finalidad de la incorporación de dichas </w:t>
      </w:r>
      <w:r w:rsidR="001A621D">
        <w:rPr>
          <w:rFonts w:ascii="ITC Avant Garde" w:hAnsi="ITC Avant Garde"/>
          <w:bCs/>
        </w:rPr>
        <w:t>consideraciones</w:t>
      </w:r>
      <w:r w:rsidR="00C93307">
        <w:rPr>
          <w:rFonts w:ascii="ITC Avant Garde" w:hAnsi="ITC Avant Garde"/>
          <w:bCs/>
        </w:rPr>
        <w:t xml:space="preserve"> obedeció a la necesidad de puntualizar las obligaciones del arrendador sobre el espectro concedido, así como permitirle mayores elementos en caso de un uso no acorde con las obligaciones derivadas de la Ley y del título de </w:t>
      </w:r>
      <w:r w:rsidR="006575A5">
        <w:rPr>
          <w:rFonts w:ascii="ITC Avant Garde" w:hAnsi="ITC Avant Garde"/>
          <w:bCs/>
        </w:rPr>
        <w:t>c</w:t>
      </w:r>
      <w:r w:rsidR="00C93307">
        <w:rPr>
          <w:rFonts w:ascii="ITC Avant Garde" w:hAnsi="ITC Avant Garde"/>
          <w:bCs/>
        </w:rPr>
        <w:t>oncesión respectivo</w:t>
      </w:r>
      <w:r w:rsidR="001A621D">
        <w:rPr>
          <w:rFonts w:ascii="ITC Avant Garde" w:hAnsi="ITC Avant Garde"/>
          <w:bCs/>
        </w:rPr>
        <w:t xml:space="preserve"> por parte d</w:t>
      </w:r>
      <w:r w:rsidR="00736BB6">
        <w:rPr>
          <w:rFonts w:ascii="ITC Avant Garde" w:hAnsi="ITC Avant Garde"/>
          <w:bCs/>
        </w:rPr>
        <w:t xml:space="preserve">el </w:t>
      </w:r>
      <w:r w:rsidR="00DF1B26">
        <w:rPr>
          <w:rFonts w:ascii="ITC Avant Garde" w:hAnsi="ITC Avant Garde"/>
          <w:bCs/>
        </w:rPr>
        <w:t>arrendatario</w:t>
      </w:r>
      <w:r w:rsidR="00C93307">
        <w:rPr>
          <w:rFonts w:ascii="ITC Avant Garde" w:hAnsi="ITC Avant Garde"/>
          <w:bCs/>
        </w:rPr>
        <w:t xml:space="preserve">; </w:t>
      </w:r>
      <w:r>
        <w:rPr>
          <w:rFonts w:ascii="ITC Avant Garde" w:hAnsi="ITC Avant Garde"/>
          <w:bCs/>
        </w:rPr>
        <w:t xml:space="preserve">con la finalidad de </w:t>
      </w:r>
      <w:r w:rsidR="00C93307">
        <w:rPr>
          <w:rFonts w:ascii="ITC Avant Garde" w:hAnsi="ITC Avant Garde"/>
          <w:bCs/>
        </w:rPr>
        <w:t xml:space="preserve">evitar cargas regulatorias excesivas y permitir que la figura del </w:t>
      </w:r>
      <w:r w:rsidR="00DA5323">
        <w:rPr>
          <w:rFonts w:ascii="ITC Avant Garde" w:hAnsi="ITC Avant Garde"/>
          <w:bCs/>
        </w:rPr>
        <w:t>a</w:t>
      </w:r>
      <w:r w:rsidR="00C93307">
        <w:rPr>
          <w:rFonts w:ascii="ITC Avant Garde" w:hAnsi="ITC Avant Garde"/>
          <w:bCs/>
        </w:rPr>
        <w:t xml:space="preserve">rrendamiento sea más ágil y sencilla, así como </w:t>
      </w:r>
      <w:r>
        <w:rPr>
          <w:rFonts w:ascii="ITC Avant Garde" w:hAnsi="ITC Avant Garde"/>
          <w:bCs/>
        </w:rPr>
        <w:t>otorgar coherencia y unidad al instrumento normativo, respecto de la Ley y demás disposiciones aplicables, se procedió a eliminar las citadas obligaciones, a efecto de puntualizar que el I</w:t>
      </w:r>
      <w:r w:rsidRPr="00490890">
        <w:rPr>
          <w:rFonts w:ascii="ITC Avant Garde" w:hAnsi="ITC Avant Garde"/>
        </w:rPr>
        <w:t xml:space="preserve">nstituto, en términos de lo dispuesto en el </w:t>
      </w:r>
      <w:r w:rsidR="00986CBA">
        <w:rPr>
          <w:rFonts w:ascii="ITC Avant Garde" w:hAnsi="ITC Avant Garde"/>
        </w:rPr>
        <w:t>artículo</w:t>
      </w:r>
      <w:r w:rsidR="008730D0">
        <w:rPr>
          <w:rFonts w:ascii="ITC Avant Garde" w:hAnsi="ITC Avant Garde"/>
        </w:rPr>
        <w:t xml:space="preserve"> 15, fracciones XXVII y XLIV</w:t>
      </w:r>
      <w:r w:rsidRPr="00490890">
        <w:rPr>
          <w:rFonts w:ascii="ITC Avant Garde" w:hAnsi="ITC Avant Garde"/>
        </w:rPr>
        <w:t xml:space="preserve"> </w:t>
      </w:r>
      <w:r w:rsidR="00BD1F8B">
        <w:rPr>
          <w:rFonts w:ascii="ITC Avant Garde" w:hAnsi="ITC Avant Garde"/>
        </w:rPr>
        <w:t xml:space="preserve">de la Ley </w:t>
      </w:r>
      <w:r w:rsidRPr="00490890">
        <w:rPr>
          <w:rFonts w:ascii="ITC Avant Garde" w:hAnsi="ITC Avant Garde"/>
        </w:rPr>
        <w:t xml:space="preserve">le compete vigilar el cumplimiento a lo dispuesto en los títulos de concesión otorgados en materia de telecomunicaciones y radiodifusión y ejercer facultades de supervisión y verificación. De igual forma, </w:t>
      </w:r>
      <w:r w:rsidR="00AF2160">
        <w:rPr>
          <w:rFonts w:ascii="ITC Avant Garde" w:hAnsi="ITC Avant Garde"/>
        </w:rPr>
        <w:t xml:space="preserve">es competencia del Instituto </w:t>
      </w:r>
      <w:r w:rsidRPr="00490890">
        <w:rPr>
          <w:rFonts w:ascii="ITC Avant Garde" w:hAnsi="ITC Avant Garde"/>
        </w:rPr>
        <w:t>efectuar el monitoreo del espectro radioeléctrico con fines de verificar su uso autorizado y llevar a cabo tareas de detección e identificación de interferencias perjudiciales.</w:t>
      </w:r>
    </w:p>
    <w:p w14:paraId="6024CE22" w14:textId="77777777" w:rsidR="00F66359" w:rsidRDefault="00F66359" w:rsidP="00F66359">
      <w:pPr>
        <w:pBdr>
          <w:top w:val="nil"/>
          <w:left w:val="nil"/>
          <w:bottom w:val="nil"/>
          <w:right w:val="nil"/>
          <w:between w:val="nil"/>
          <w:bar w:val="nil"/>
        </w:pBdr>
        <w:suppressAutoHyphens/>
        <w:spacing w:after="0" w:line="240" w:lineRule="auto"/>
        <w:ind w:left="284"/>
        <w:contextualSpacing/>
        <w:jc w:val="both"/>
        <w:rPr>
          <w:rFonts w:ascii="ITC Avant Garde" w:hAnsi="ITC Avant Garde"/>
        </w:rPr>
      </w:pPr>
    </w:p>
    <w:p w14:paraId="7E74ECF1" w14:textId="5B4CC5E3" w:rsidR="00F66359" w:rsidRPr="00490890" w:rsidRDefault="00F66359" w:rsidP="00F66359">
      <w:pPr>
        <w:pBdr>
          <w:top w:val="nil"/>
          <w:left w:val="nil"/>
          <w:bottom w:val="nil"/>
          <w:right w:val="nil"/>
          <w:between w:val="nil"/>
          <w:bar w:val="nil"/>
        </w:pBdr>
        <w:suppressAutoHyphens/>
        <w:spacing w:after="0" w:line="240" w:lineRule="auto"/>
        <w:ind w:left="284"/>
        <w:contextualSpacing/>
        <w:jc w:val="both"/>
        <w:rPr>
          <w:rFonts w:ascii="ITC Avant Garde" w:hAnsi="ITC Avant Garde"/>
        </w:rPr>
      </w:pPr>
      <w:r>
        <w:rPr>
          <w:rFonts w:ascii="ITC Avant Garde" w:hAnsi="ITC Avant Garde"/>
        </w:rPr>
        <w:t xml:space="preserve">Por otra parte, se consideró </w:t>
      </w:r>
      <w:r w:rsidRPr="00F66359">
        <w:rPr>
          <w:rFonts w:ascii="ITC Avant Garde" w:hAnsi="ITC Avant Garde"/>
        </w:rPr>
        <w:t xml:space="preserve">procedente </w:t>
      </w:r>
      <w:r>
        <w:rPr>
          <w:rFonts w:ascii="ITC Avant Garde" w:hAnsi="ITC Avant Garde"/>
        </w:rPr>
        <w:t>que</w:t>
      </w:r>
      <w:r w:rsidR="006575A5">
        <w:rPr>
          <w:rFonts w:ascii="ITC Avant Garde" w:hAnsi="ITC Avant Garde"/>
        </w:rPr>
        <w:t>,</w:t>
      </w:r>
      <w:r>
        <w:rPr>
          <w:rFonts w:ascii="ITC Avant Garde" w:hAnsi="ITC Avant Garde"/>
        </w:rPr>
        <w:t xml:space="preserve"> tratándose de la precisión de las ba</w:t>
      </w:r>
      <w:r w:rsidRPr="00D03CBE">
        <w:rPr>
          <w:rFonts w:ascii="ITC Avant Garde" w:hAnsi="ITC Avant Garde" w:cs="Arial"/>
          <w:bCs/>
          <w:color w:val="000000" w:themeColor="text1"/>
        </w:rPr>
        <w:t xml:space="preserve">ndas de </w:t>
      </w:r>
      <w:r w:rsidR="0012481E" w:rsidRPr="00D03CBE">
        <w:rPr>
          <w:rFonts w:ascii="ITC Avant Garde" w:hAnsi="ITC Avant Garde" w:cs="Arial"/>
          <w:bCs/>
          <w:color w:val="000000" w:themeColor="text1"/>
        </w:rPr>
        <w:t xml:space="preserve">frecuencias </w:t>
      </w:r>
      <w:r w:rsidRPr="00D03CBE">
        <w:rPr>
          <w:rFonts w:ascii="ITC Avant Garde" w:hAnsi="ITC Avant Garde" w:cs="Arial"/>
          <w:bCs/>
          <w:color w:val="000000" w:themeColor="text1"/>
        </w:rPr>
        <w:t xml:space="preserve">que serán objeto del </w:t>
      </w:r>
      <w:r w:rsidR="0012481E" w:rsidRPr="00D03CBE">
        <w:rPr>
          <w:rFonts w:ascii="ITC Avant Garde" w:hAnsi="ITC Avant Garde" w:cs="Arial"/>
          <w:bCs/>
          <w:color w:val="000000" w:themeColor="text1"/>
        </w:rPr>
        <w:t xml:space="preserve">contrato </w:t>
      </w:r>
      <w:r w:rsidRPr="00D03CBE">
        <w:rPr>
          <w:rFonts w:ascii="ITC Avant Garde" w:hAnsi="ITC Avant Garde" w:cs="Arial"/>
          <w:bCs/>
          <w:color w:val="000000" w:themeColor="text1"/>
        </w:rPr>
        <w:t xml:space="preserve">de </w:t>
      </w:r>
      <w:r w:rsidR="0012481E" w:rsidRPr="00D03CBE">
        <w:rPr>
          <w:rFonts w:ascii="ITC Avant Garde" w:hAnsi="ITC Avant Garde" w:cs="Arial"/>
          <w:bCs/>
          <w:color w:val="000000" w:themeColor="text1"/>
        </w:rPr>
        <w:t>arrendamiento</w:t>
      </w:r>
      <w:r w:rsidRPr="00D03CBE">
        <w:rPr>
          <w:rFonts w:ascii="ITC Avant Garde" w:hAnsi="ITC Avant Garde" w:cs="Arial"/>
          <w:bCs/>
          <w:color w:val="000000" w:themeColor="text1"/>
        </w:rPr>
        <w:t>, indicando los intervalos de frecuencias específicas que serán arrendados, así como su zona</w:t>
      </w:r>
      <w:r>
        <w:rPr>
          <w:rFonts w:ascii="ITC Avant Garde" w:hAnsi="ITC Avant Garde" w:cs="Arial"/>
          <w:bCs/>
          <w:color w:val="000000" w:themeColor="text1"/>
        </w:rPr>
        <w:t xml:space="preserve"> de cobertura o área geográfica, se agregará que</w:t>
      </w:r>
      <w:r w:rsidR="006575A5">
        <w:rPr>
          <w:rFonts w:ascii="ITC Avant Garde" w:hAnsi="ITC Avant Garde" w:cs="Arial"/>
          <w:bCs/>
          <w:color w:val="000000" w:themeColor="text1"/>
        </w:rPr>
        <w:t>,</w:t>
      </w:r>
      <w:r>
        <w:rPr>
          <w:rFonts w:ascii="ITC Avant Garde" w:hAnsi="ITC Avant Garde" w:cs="Arial"/>
          <w:bCs/>
          <w:color w:val="000000" w:themeColor="text1"/>
        </w:rPr>
        <w:t xml:space="preserve"> en </w:t>
      </w:r>
      <w:r w:rsidRPr="00D03CBE">
        <w:rPr>
          <w:rFonts w:ascii="ITC Avant Garde" w:hAnsi="ITC Avant Garde" w:cs="Arial"/>
          <w:bCs/>
          <w:color w:val="000000" w:themeColor="text1"/>
        </w:rPr>
        <w:t>caso de radiodifusión, la frecuencia o canal respectivo</w:t>
      </w:r>
      <w:r>
        <w:rPr>
          <w:rFonts w:ascii="ITC Avant Garde" w:hAnsi="ITC Avant Garde" w:cs="Arial"/>
          <w:bCs/>
          <w:color w:val="000000" w:themeColor="text1"/>
        </w:rPr>
        <w:t>, así como su zona de cobertura o área de servicio,</w:t>
      </w:r>
      <w:r w:rsidRPr="00F66359">
        <w:rPr>
          <w:rFonts w:ascii="ITC Avant Garde" w:hAnsi="ITC Avant Garde"/>
        </w:rPr>
        <w:t xml:space="preserve"> con la finalidad de identificar y otorgar al Instituto los elementos que le permitan realizar un análisis de la solicitud de autorización, </w:t>
      </w:r>
      <w:r>
        <w:rPr>
          <w:rFonts w:ascii="ITC Avant Garde" w:hAnsi="ITC Avant Garde"/>
        </w:rPr>
        <w:t xml:space="preserve">así como, </w:t>
      </w:r>
      <w:r w:rsidRPr="00F66359">
        <w:rPr>
          <w:rFonts w:ascii="ITC Avant Garde" w:hAnsi="ITC Avant Garde"/>
        </w:rPr>
        <w:t>tener la precisión de uno de los elementos objeto del contrato.</w:t>
      </w:r>
    </w:p>
    <w:p w14:paraId="0D1EF7BC" w14:textId="77777777" w:rsidR="00265B94" w:rsidRPr="00490890" w:rsidRDefault="00265B94" w:rsidP="00265B94">
      <w:pPr>
        <w:pBdr>
          <w:top w:val="nil"/>
          <w:left w:val="nil"/>
          <w:bottom w:val="nil"/>
          <w:right w:val="nil"/>
          <w:between w:val="nil"/>
          <w:bar w:val="nil"/>
        </w:pBdr>
        <w:suppressAutoHyphens/>
        <w:spacing w:after="0" w:line="240" w:lineRule="auto"/>
        <w:ind w:left="284"/>
        <w:contextualSpacing/>
        <w:jc w:val="both"/>
        <w:rPr>
          <w:rFonts w:ascii="ITC Avant Garde" w:hAnsi="ITC Avant Garde"/>
        </w:rPr>
      </w:pPr>
    </w:p>
    <w:p w14:paraId="7CAF39E5" w14:textId="1D547371" w:rsidR="003A09C9" w:rsidRPr="00B07E53" w:rsidRDefault="003A09C9" w:rsidP="007D71E4">
      <w:pPr>
        <w:pStyle w:val="Prrafodelista"/>
        <w:numPr>
          <w:ilvl w:val="0"/>
          <w:numId w:val="36"/>
        </w:numPr>
        <w:pBdr>
          <w:top w:val="nil"/>
          <w:left w:val="nil"/>
          <w:bottom w:val="nil"/>
          <w:right w:val="nil"/>
          <w:between w:val="nil"/>
          <w:bar w:val="nil"/>
        </w:pBdr>
        <w:suppressAutoHyphens/>
        <w:ind w:left="284" w:hanging="284"/>
        <w:contextualSpacing/>
        <w:jc w:val="both"/>
        <w:rPr>
          <w:rFonts w:ascii="ITC Avant Garde" w:hAnsi="ITC Avant Garde"/>
          <w:kern w:val="1"/>
          <w:sz w:val="22"/>
          <w:szCs w:val="22"/>
          <w:lang w:eastAsia="ar-SA"/>
        </w:rPr>
      </w:pPr>
      <w:r w:rsidRPr="00B07E53">
        <w:rPr>
          <w:rFonts w:ascii="ITC Avant Garde" w:hAnsi="ITC Avant Garde"/>
          <w:b/>
          <w:bCs/>
          <w:sz w:val="22"/>
          <w:szCs w:val="22"/>
        </w:rPr>
        <w:t xml:space="preserve">Modificación </w:t>
      </w:r>
      <w:r w:rsidR="00C93307" w:rsidRPr="00B07E53">
        <w:rPr>
          <w:rFonts w:ascii="ITC Avant Garde" w:hAnsi="ITC Avant Garde"/>
          <w:b/>
          <w:bCs/>
          <w:sz w:val="22"/>
          <w:szCs w:val="22"/>
        </w:rPr>
        <w:t>d</w:t>
      </w:r>
      <w:r w:rsidRPr="00B07E53">
        <w:rPr>
          <w:rFonts w:ascii="ITC Avant Garde" w:hAnsi="ITC Avant Garde"/>
          <w:b/>
          <w:bCs/>
          <w:sz w:val="22"/>
          <w:szCs w:val="22"/>
        </w:rPr>
        <w:t xml:space="preserve">el Contrato de Arrendamiento. </w:t>
      </w:r>
      <w:r w:rsidR="00265B94" w:rsidRPr="00B07E53">
        <w:rPr>
          <w:rFonts w:ascii="ITC Avant Garde" w:hAnsi="ITC Avant Garde"/>
          <w:bCs/>
          <w:sz w:val="22"/>
          <w:szCs w:val="22"/>
        </w:rPr>
        <w:t xml:space="preserve">En el presente tópico se </w:t>
      </w:r>
      <w:r w:rsidR="00B07E53" w:rsidRPr="00B07E53">
        <w:rPr>
          <w:rFonts w:ascii="ITC Avant Garde" w:hAnsi="ITC Avant Garde"/>
          <w:bCs/>
          <w:sz w:val="22"/>
          <w:szCs w:val="22"/>
        </w:rPr>
        <w:t xml:space="preserve">propone </w:t>
      </w:r>
      <w:r w:rsidR="00702285">
        <w:rPr>
          <w:rFonts w:ascii="ITC Avant Garde" w:hAnsi="ITC Avant Garde"/>
          <w:bCs/>
          <w:sz w:val="22"/>
          <w:szCs w:val="22"/>
        </w:rPr>
        <w:t xml:space="preserve">que la </w:t>
      </w:r>
      <w:r w:rsidR="00DA5323">
        <w:rPr>
          <w:rFonts w:ascii="ITC Avant Garde" w:hAnsi="ITC Avant Garde"/>
          <w:bCs/>
          <w:sz w:val="22"/>
          <w:szCs w:val="22"/>
        </w:rPr>
        <w:t>a</w:t>
      </w:r>
      <w:r w:rsidR="00265B94" w:rsidRPr="00B07E53">
        <w:rPr>
          <w:rFonts w:ascii="ITC Avant Garde" w:hAnsi="ITC Avant Garde"/>
          <w:bCs/>
          <w:sz w:val="22"/>
          <w:szCs w:val="22"/>
        </w:rPr>
        <w:t xml:space="preserve">utorización respecto a cualquier modificación o novación al </w:t>
      </w:r>
      <w:r w:rsidR="00DA5323">
        <w:rPr>
          <w:rFonts w:ascii="ITC Avant Garde" w:hAnsi="ITC Avant Garde"/>
          <w:bCs/>
          <w:sz w:val="22"/>
          <w:szCs w:val="22"/>
        </w:rPr>
        <w:t>c</w:t>
      </w:r>
      <w:r w:rsidR="00265B94" w:rsidRPr="00B07E53">
        <w:rPr>
          <w:rFonts w:ascii="ITC Avant Garde" w:hAnsi="ITC Avant Garde"/>
          <w:bCs/>
          <w:sz w:val="22"/>
          <w:szCs w:val="22"/>
        </w:rPr>
        <w:t xml:space="preserve">ontrato de </w:t>
      </w:r>
      <w:r w:rsidR="00DA5323" w:rsidRPr="00A24642">
        <w:rPr>
          <w:rFonts w:ascii="ITC Avant Garde" w:hAnsi="ITC Avant Garde"/>
          <w:bCs/>
          <w:sz w:val="22"/>
          <w:szCs w:val="22"/>
        </w:rPr>
        <w:t>a</w:t>
      </w:r>
      <w:r w:rsidR="00265B94" w:rsidRPr="00A24642">
        <w:rPr>
          <w:rFonts w:ascii="ITC Avant Garde" w:hAnsi="ITC Avant Garde"/>
          <w:bCs/>
          <w:sz w:val="22"/>
          <w:szCs w:val="22"/>
        </w:rPr>
        <w:t xml:space="preserve">rrendamiento debe excluir aquellas </w:t>
      </w:r>
      <w:r w:rsidR="00DA5323" w:rsidRPr="00A24642">
        <w:rPr>
          <w:rFonts w:ascii="ITC Avant Garde" w:hAnsi="ITC Avant Garde"/>
          <w:bCs/>
          <w:sz w:val="22"/>
          <w:szCs w:val="22"/>
        </w:rPr>
        <w:t>disposiciones</w:t>
      </w:r>
      <w:r w:rsidR="00A24642" w:rsidRPr="008C67BC">
        <w:rPr>
          <w:rFonts w:ascii="ITC Avant Garde" w:hAnsi="ITC Avant Garde"/>
          <w:bCs/>
          <w:sz w:val="22"/>
          <w:szCs w:val="22"/>
        </w:rPr>
        <w:t xml:space="preserve"> o</w:t>
      </w:r>
      <w:r w:rsidR="00A24642">
        <w:rPr>
          <w:rFonts w:ascii="ITC Avant Garde" w:hAnsi="ITC Avant Garde"/>
          <w:bCs/>
          <w:sz w:val="22"/>
          <w:szCs w:val="22"/>
        </w:rPr>
        <w:t xml:space="preserve"> </w:t>
      </w:r>
      <w:r w:rsidR="00DA5323" w:rsidRPr="00A24642">
        <w:rPr>
          <w:rFonts w:ascii="ITC Avant Garde" w:hAnsi="ITC Avant Garde"/>
          <w:bCs/>
          <w:sz w:val="22"/>
          <w:szCs w:val="22"/>
        </w:rPr>
        <w:t xml:space="preserve">cláusulas </w:t>
      </w:r>
      <w:r w:rsidR="00265B94" w:rsidRPr="00A24642">
        <w:rPr>
          <w:rFonts w:ascii="ITC Avant Garde" w:hAnsi="ITC Avant Garde"/>
          <w:bCs/>
          <w:sz w:val="22"/>
          <w:szCs w:val="22"/>
        </w:rPr>
        <w:t>vin</w:t>
      </w:r>
      <w:r w:rsidR="00265B94" w:rsidRPr="00B07E53">
        <w:rPr>
          <w:rFonts w:ascii="ITC Avant Garde" w:hAnsi="ITC Avant Garde"/>
          <w:bCs/>
          <w:sz w:val="22"/>
          <w:szCs w:val="22"/>
        </w:rPr>
        <w:t>culadas con la renta o precio (al negociarse libremente).</w:t>
      </w:r>
    </w:p>
    <w:p w14:paraId="3727D5A7" w14:textId="77777777" w:rsidR="007D71E4" w:rsidRPr="00B07E53" w:rsidRDefault="007D71E4" w:rsidP="007D71E4">
      <w:pPr>
        <w:spacing w:after="0" w:line="240" w:lineRule="auto"/>
        <w:ind w:left="284"/>
        <w:contextualSpacing/>
        <w:jc w:val="both"/>
        <w:rPr>
          <w:rFonts w:ascii="ITC Avant Garde" w:hAnsi="ITC Avant Garde" w:cs="Arial"/>
          <w:color w:val="000000" w:themeColor="text1"/>
        </w:rPr>
      </w:pPr>
    </w:p>
    <w:p w14:paraId="6C80D488" w14:textId="4AD0119D" w:rsidR="003A09C9" w:rsidRPr="00B07E53" w:rsidRDefault="007D71E4" w:rsidP="007D71E4">
      <w:pPr>
        <w:spacing w:after="0" w:line="240" w:lineRule="auto"/>
        <w:ind w:left="284"/>
        <w:contextualSpacing/>
        <w:jc w:val="both"/>
        <w:rPr>
          <w:rFonts w:ascii="ITC Avant Garde" w:hAnsi="ITC Avant Garde" w:cs="Arial"/>
          <w:color w:val="000000" w:themeColor="text1"/>
        </w:rPr>
      </w:pPr>
      <w:r w:rsidRPr="00B07E53">
        <w:rPr>
          <w:rFonts w:ascii="ITC Avant Garde" w:hAnsi="ITC Avant Garde" w:cs="Arial"/>
          <w:color w:val="000000" w:themeColor="text1"/>
        </w:rPr>
        <w:t>En este sentido, e</w:t>
      </w:r>
      <w:r w:rsidR="003A09C9" w:rsidRPr="00B07E53">
        <w:rPr>
          <w:rFonts w:ascii="ITC Avant Garde" w:hAnsi="ITC Avant Garde" w:cs="Arial"/>
          <w:color w:val="000000" w:themeColor="text1"/>
        </w:rPr>
        <w:t>l arrendamiento en materia civil</w:t>
      </w:r>
      <w:r w:rsidRPr="00B07E53">
        <w:rPr>
          <w:rFonts w:ascii="ITC Avant Garde" w:hAnsi="ITC Avant Garde" w:cs="Arial"/>
          <w:color w:val="000000" w:themeColor="text1"/>
        </w:rPr>
        <w:t>,</w:t>
      </w:r>
      <w:r w:rsidR="003A09C9" w:rsidRPr="00B07E53">
        <w:rPr>
          <w:rFonts w:ascii="ITC Avant Garde" w:hAnsi="ITC Avant Garde" w:cs="Arial"/>
          <w:color w:val="000000" w:themeColor="text1"/>
        </w:rPr>
        <w:t xml:space="preserve"> en términos de lo establecido en el artículo 2398 del Código Civil Federal</w:t>
      </w:r>
      <w:r w:rsidR="00DA5323">
        <w:rPr>
          <w:rFonts w:ascii="ITC Avant Garde" w:hAnsi="ITC Avant Garde" w:cs="Arial"/>
          <w:color w:val="000000" w:themeColor="text1"/>
        </w:rPr>
        <w:t>,</w:t>
      </w:r>
      <w:r w:rsidR="003A09C9" w:rsidRPr="00B07E53">
        <w:rPr>
          <w:rFonts w:ascii="ITC Avant Garde" w:hAnsi="ITC Avant Garde" w:cs="Arial"/>
          <w:color w:val="000000" w:themeColor="text1"/>
        </w:rPr>
        <w:t xml:space="preserve"> implica la obligación reciproca de las partes, una de conceder el uso o goce temporal de una cosa y la otra, a pagar por ese uso o goce </w:t>
      </w:r>
      <w:r w:rsidR="008916E7">
        <w:rPr>
          <w:rFonts w:ascii="ITC Avant Garde" w:hAnsi="ITC Avant Garde" w:cs="Arial"/>
          <w:color w:val="000000" w:themeColor="text1"/>
        </w:rPr>
        <w:t xml:space="preserve">temporal a </w:t>
      </w:r>
      <w:r w:rsidR="003A09C9" w:rsidRPr="00B07E53">
        <w:rPr>
          <w:rFonts w:ascii="ITC Avant Garde" w:hAnsi="ITC Avant Garde" w:cs="Arial"/>
          <w:color w:val="000000" w:themeColor="text1"/>
        </w:rPr>
        <w:t>un precio determinado.</w:t>
      </w:r>
      <w:r w:rsidRPr="00B07E53">
        <w:rPr>
          <w:rFonts w:ascii="ITC Avant Garde" w:hAnsi="ITC Avant Garde" w:cs="Arial"/>
          <w:color w:val="000000" w:themeColor="text1"/>
        </w:rPr>
        <w:t xml:space="preserve"> A</w:t>
      </w:r>
      <w:r w:rsidR="003A09C9" w:rsidRPr="00B07E53">
        <w:rPr>
          <w:rFonts w:ascii="ITC Avant Garde" w:hAnsi="ITC Avant Garde" w:cs="Arial"/>
          <w:color w:val="000000" w:themeColor="text1"/>
        </w:rPr>
        <w:t xml:space="preserve">sí, al celebrar el </w:t>
      </w:r>
      <w:r w:rsidR="00DA5323">
        <w:rPr>
          <w:rFonts w:ascii="ITC Avant Garde" w:hAnsi="ITC Avant Garde" w:cs="Arial"/>
          <w:color w:val="000000" w:themeColor="text1"/>
        </w:rPr>
        <w:t>c</w:t>
      </w:r>
      <w:r w:rsidR="003A09C9" w:rsidRPr="00B07E53">
        <w:rPr>
          <w:rFonts w:ascii="ITC Avant Garde" w:hAnsi="ITC Avant Garde" w:cs="Arial"/>
          <w:color w:val="000000" w:themeColor="text1"/>
        </w:rPr>
        <w:t xml:space="preserve">ontrato de </w:t>
      </w:r>
      <w:r w:rsidR="00DA5323">
        <w:rPr>
          <w:rFonts w:ascii="ITC Avant Garde" w:hAnsi="ITC Avant Garde" w:cs="Arial"/>
          <w:color w:val="000000" w:themeColor="text1"/>
        </w:rPr>
        <w:t>a</w:t>
      </w:r>
      <w:r w:rsidR="003A09C9" w:rsidRPr="00B07E53">
        <w:rPr>
          <w:rFonts w:ascii="ITC Avant Garde" w:hAnsi="ITC Avant Garde" w:cs="Arial"/>
          <w:color w:val="000000" w:themeColor="text1"/>
        </w:rPr>
        <w:t xml:space="preserve">rrendamiento una de las partes se obliga a pagar por el uso o goce del bien un precio cierto. </w:t>
      </w:r>
    </w:p>
    <w:p w14:paraId="5BFE09ED" w14:textId="77777777" w:rsidR="007D71E4" w:rsidRPr="00B07E53" w:rsidRDefault="007D71E4" w:rsidP="007D71E4">
      <w:pPr>
        <w:spacing w:after="0" w:line="240" w:lineRule="auto"/>
        <w:ind w:left="284"/>
        <w:contextualSpacing/>
        <w:jc w:val="both"/>
        <w:rPr>
          <w:rFonts w:ascii="ITC Avant Garde" w:hAnsi="ITC Avant Garde" w:cs="Arial"/>
          <w:color w:val="000000" w:themeColor="text1"/>
        </w:rPr>
      </w:pPr>
    </w:p>
    <w:p w14:paraId="0CA00927" w14:textId="48BB558F" w:rsidR="001519C4" w:rsidRDefault="007D71E4" w:rsidP="001519C4">
      <w:pPr>
        <w:spacing w:after="0" w:line="240" w:lineRule="auto"/>
        <w:ind w:left="284"/>
        <w:contextualSpacing/>
        <w:jc w:val="both"/>
        <w:rPr>
          <w:rFonts w:ascii="ITC Avant Garde" w:hAnsi="ITC Avant Garde" w:cs="Arial"/>
          <w:color w:val="000000" w:themeColor="text1"/>
        </w:rPr>
      </w:pPr>
      <w:r w:rsidRPr="00B07E53">
        <w:rPr>
          <w:rFonts w:ascii="ITC Avant Garde" w:hAnsi="ITC Avant Garde" w:cs="Arial"/>
          <w:color w:val="000000" w:themeColor="text1"/>
        </w:rPr>
        <w:lastRenderedPageBreak/>
        <w:t xml:space="preserve">Ahora bien, de acuerdo con los Lineamientos que por el presente se expiden, la renta o precio materia de los </w:t>
      </w:r>
      <w:r w:rsidR="00DA5323">
        <w:rPr>
          <w:rFonts w:ascii="ITC Avant Garde" w:hAnsi="ITC Avant Garde" w:cs="Arial"/>
          <w:color w:val="000000" w:themeColor="text1"/>
        </w:rPr>
        <w:t>c</w:t>
      </w:r>
      <w:r w:rsidRPr="00B07E53">
        <w:rPr>
          <w:rFonts w:ascii="ITC Avant Garde" w:hAnsi="ITC Avant Garde" w:cs="Arial"/>
          <w:color w:val="000000" w:themeColor="text1"/>
        </w:rPr>
        <w:t xml:space="preserve">ontratos de </w:t>
      </w:r>
      <w:r w:rsidR="00DA5323">
        <w:rPr>
          <w:rFonts w:ascii="ITC Avant Garde" w:hAnsi="ITC Avant Garde" w:cs="Arial"/>
          <w:color w:val="000000" w:themeColor="text1"/>
        </w:rPr>
        <w:t>a</w:t>
      </w:r>
      <w:r w:rsidRPr="00B07E53">
        <w:rPr>
          <w:rFonts w:ascii="ITC Avant Garde" w:hAnsi="ITC Avant Garde" w:cs="Arial"/>
          <w:color w:val="000000" w:themeColor="text1"/>
        </w:rPr>
        <w:t>rrendamiento</w:t>
      </w:r>
      <w:r w:rsidR="0032450F">
        <w:rPr>
          <w:rFonts w:ascii="ITC Avant Garde" w:hAnsi="ITC Avant Garde" w:cs="Arial"/>
          <w:color w:val="000000" w:themeColor="text1"/>
        </w:rPr>
        <w:t xml:space="preserve"> celebrados al amparo de los Lineamientos</w:t>
      </w:r>
      <w:r w:rsidR="0032450F" w:rsidRPr="00B07E53">
        <w:rPr>
          <w:rFonts w:ascii="ITC Avant Garde" w:hAnsi="ITC Avant Garde" w:cs="Arial"/>
          <w:color w:val="000000" w:themeColor="text1"/>
        </w:rPr>
        <w:t xml:space="preserve"> </w:t>
      </w:r>
      <w:r w:rsidRPr="00B07E53">
        <w:rPr>
          <w:rFonts w:ascii="ITC Avant Garde" w:hAnsi="ITC Avant Garde" w:cs="Arial"/>
          <w:color w:val="000000" w:themeColor="text1"/>
        </w:rPr>
        <w:t xml:space="preserve">será negociado </w:t>
      </w:r>
      <w:r w:rsidR="00784243">
        <w:rPr>
          <w:rFonts w:ascii="ITC Avant Garde" w:hAnsi="ITC Avant Garde" w:cs="Arial"/>
          <w:color w:val="000000" w:themeColor="text1"/>
        </w:rPr>
        <w:t xml:space="preserve">y determinado </w:t>
      </w:r>
      <w:r w:rsidRPr="00B07E53">
        <w:rPr>
          <w:rFonts w:ascii="ITC Avant Garde" w:hAnsi="ITC Avant Garde" w:cs="Arial"/>
          <w:color w:val="000000" w:themeColor="text1"/>
        </w:rPr>
        <w:t>libremente por los interesa</w:t>
      </w:r>
      <w:r w:rsidR="00850B98">
        <w:rPr>
          <w:rFonts w:ascii="ITC Avant Garde" w:hAnsi="ITC Avant Garde" w:cs="Arial"/>
          <w:color w:val="000000" w:themeColor="text1"/>
        </w:rPr>
        <w:t>dos</w:t>
      </w:r>
      <w:r w:rsidR="00DA5323">
        <w:rPr>
          <w:rFonts w:ascii="ITC Avant Garde" w:hAnsi="ITC Avant Garde" w:cs="Arial"/>
          <w:color w:val="000000" w:themeColor="text1"/>
        </w:rPr>
        <w:t>;</w:t>
      </w:r>
      <w:r w:rsidR="00850B98">
        <w:rPr>
          <w:rFonts w:ascii="ITC Avant Garde" w:hAnsi="ITC Avant Garde" w:cs="Arial"/>
          <w:color w:val="000000" w:themeColor="text1"/>
        </w:rPr>
        <w:t xml:space="preserve"> por ello, exceptuar de la </w:t>
      </w:r>
      <w:r w:rsidR="00DA5323">
        <w:rPr>
          <w:rFonts w:ascii="ITC Avant Garde" w:hAnsi="ITC Avant Garde" w:cs="Arial"/>
          <w:color w:val="000000" w:themeColor="text1"/>
        </w:rPr>
        <w:t>a</w:t>
      </w:r>
      <w:r w:rsidRPr="00B07E53">
        <w:rPr>
          <w:rFonts w:ascii="ITC Avant Garde" w:hAnsi="ITC Avant Garde" w:cs="Arial"/>
          <w:color w:val="000000" w:themeColor="text1"/>
        </w:rPr>
        <w:t xml:space="preserve">utorización del Instituto de dicha modificación al </w:t>
      </w:r>
      <w:r w:rsidR="00DA5323">
        <w:rPr>
          <w:rFonts w:ascii="ITC Avant Garde" w:hAnsi="ITC Avant Garde" w:cs="Arial"/>
          <w:color w:val="000000" w:themeColor="text1"/>
        </w:rPr>
        <w:t>c</w:t>
      </w:r>
      <w:r w:rsidRPr="00B07E53">
        <w:rPr>
          <w:rFonts w:ascii="ITC Avant Garde" w:hAnsi="ITC Avant Garde" w:cs="Arial"/>
          <w:color w:val="000000" w:themeColor="text1"/>
        </w:rPr>
        <w:t xml:space="preserve">ontrato de </w:t>
      </w:r>
      <w:r w:rsidR="00DA5323">
        <w:rPr>
          <w:rFonts w:ascii="ITC Avant Garde" w:hAnsi="ITC Avant Garde" w:cs="Arial"/>
          <w:color w:val="000000" w:themeColor="text1"/>
        </w:rPr>
        <w:t>a</w:t>
      </w:r>
      <w:r w:rsidRPr="00B07E53">
        <w:rPr>
          <w:rFonts w:ascii="ITC Avant Garde" w:hAnsi="ITC Avant Garde" w:cs="Arial"/>
          <w:color w:val="000000" w:themeColor="text1"/>
        </w:rPr>
        <w:t xml:space="preserve">rrendamiento es congruente con la libertad de las partes al negociar el precio o renta pactado por el </w:t>
      </w:r>
      <w:r w:rsidR="00DA5323">
        <w:rPr>
          <w:rFonts w:ascii="ITC Avant Garde" w:hAnsi="ITC Avant Garde" w:cs="Arial"/>
          <w:color w:val="000000" w:themeColor="text1"/>
        </w:rPr>
        <w:t>a</w:t>
      </w:r>
      <w:r w:rsidRPr="00B07E53">
        <w:rPr>
          <w:rFonts w:ascii="ITC Avant Garde" w:hAnsi="ITC Avant Garde" w:cs="Arial"/>
          <w:color w:val="000000" w:themeColor="text1"/>
        </w:rPr>
        <w:t xml:space="preserve">rrendamiento de </w:t>
      </w:r>
      <w:r w:rsidR="00DA5323">
        <w:rPr>
          <w:rFonts w:ascii="ITC Avant Garde" w:hAnsi="ITC Avant Garde" w:cs="Arial"/>
          <w:color w:val="000000" w:themeColor="text1"/>
        </w:rPr>
        <w:t>e</w:t>
      </w:r>
      <w:r w:rsidRPr="00B07E53">
        <w:rPr>
          <w:rFonts w:ascii="ITC Avant Garde" w:hAnsi="ITC Avant Garde" w:cs="Arial"/>
          <w:color w:val="000000" w:themeColor="text1"/>
        </w:rPr>
        <w:t xml:space="preserve">spectro </w:t>
      </w:r>
      <w:r w:rsidR="00DA5323">
        <w:rPr>
          <w:rFonts w:ascii="ITC Avant Garde" w:hAnsi="ITC Avant Garde" w:cs="Arial"/>
          <w:color w:val="000000" w:themeColor="text1"/>
        </w:rPr>
        <w:t>r</w:t>
      </w:r>
      <w:r w:rsidRPr="00B07E53">
        <w:rPr>
          <w:rFonts w:ascii="ITC Avant Garde" w:hAnsi="ITC Avant Garde" w:cs="Arial"/>
          <w:color w:val="000000" w:themeColor="text1"/>
        </w:rPr>
        <w:t>adioel</w:t>
      </w:r>
      <w:r w:rsidR="001519C4" w:rsidRPr="00B07E53">
        <w:rPr>
          <w:rFonts w:ascii="ITC Avant Garde" w:hAnsi="ITC Avant Garde" w:cs="Arial"/>
          <w:color w:val="000000" w:themeColor="text1"/>
        </w:rPr>
        <w:t>éctrico.</w:t>
      </w:r>
      <w:r w:rsidR="001519C4">
        <w:rPr>
          <w:rFonts w:ascii="ITC Avant Garde" w:hAnsi="ITC Avant Garde" w:cs="Arial"/>
          <w:color w:val="000000" w:themeColor="text1"/>
        </w:rPr>
        <w:t xml:space="preserve"> </w:t>
      </w:r>
    </w:p>
    <w:p w14:paraId="5D7E0E58" w14:textId="77777777" w:rsidR="00E04769" w:rsidRDefault="00E04769" w:rsidP="001519C4">
      <w:pPr>
        <w:spacing w:after="0" w:line="240" w:lineRule="auto"/>
        <w:ind w:left="284"/>
        <w:contextualSpacing/>
        <w:jc w:val="both"/>
        <w:rPr>
          <w:rFonts w:ascii="ITC Avant Garde" w:hAnsi="ITC Avant Garde" w:cs="Arial"/>
          <w:color w:val="000000" w:themeColor="text1"/>
        </w:rPr>
      </w:pPr>
    </w:p>
    <w:p w14:paraId="54E2A064" w14:textId="2501532A" w:rsidR="00E04769" w:rsidRDefault="00E04769" w:rsidP="00AB185B">
      <w:pPr>
        <w:spacing w:after="0" w:line="240" w:lineRule="auto"/>
        <w:ind w:left="284"/>
        <w:contextualSpacing/>
        <w:jc w:val="both"/>
        <w:rPr>
          <w:rFonts w:ascii="ITC Avant Garde" w:hAnsi="ITC Avant Garde" w:cs="Arial"/>
          <w:color w:val="000000" w:themeColor="text1"/>
        </w:rPr>
      </w:pPr>
      <w:r>
        <w:rPr>
          <w:rFonts w:ascii="ITC Avant Garde" w:hAnsi="ITC Avant Garde" w:cs="Arial"/>
          <w:color w:val="000000" w:themeColor="text1"/>
        </w:rPr>
        <w:t xml:space="preserve">No obstante lo anterior, es necesario que las partes den aviso al Instituto de tal </w:t>
      </w:r>
      <w:r w:rsidR="008916E7">
        <w:rPr>
          <w:rFonts w:ascii="ITC Avant Garde" w:hAnsi="ITC Avant Garde" w:cs="Arial"/>
          <w:color w:val="000000" w:themeColor="text1"/>
        </w:rPr>
        <w:t>modificación en el monto de la renta o precio pactado</w:t>
      </w:r>
      <w:r w:rsidR="008916E7" w:rsidDel="008916E7">
        <w:rPr>
          <w:rFonts w:ascii="ITC Avant Garde" w:hAnsi="ITC Avant Garde" w:cs="Arial"/>
          <w:color w:val="000000" w:themeColor="text1"/>
        </w:rPr>
        <w:t xml:space="preserve"> </w:t>
      </w:r>
      <w:r>
        <w:rPr>
          <w:rFonts w:ascii="ITC Avant Garde" w:hAnsi="ITC Avant Garde" w:cs="Arial"/>
          <w:color w:val="000000" w:themeColor="text1"/>
        </w:rPr>
        <w:t xml:space="preserve">con </w:t>
      </w:r>
      <w:r w:rsidR="0035792B">
        <w:rPr>
          <w:rFonts w:ascii="ITC Avant Garde" w:hAnsi="ITC Avant Garde" w:cs="Arial"/>
          <w:color w:val="000000" w:themeColor="text1"/>
        </w:rPr>
        <w:t>por lo menos 15 días hábiles de anticipación a que surta efectos la modificación respectiva</w:t>
      </w:r>
      <w:r w:rsidR="00A4449F">
        <w:rPr>
          <w:rFonts w:ascii="ITC Avant Garde" w:hAnsi="ITC Avant Garde" w:cs="Arial"/>
          <w:color w:val="000000" w:themeColor="text1"/>
        </w:rPr>
        <w:t>.</w:t>
      </w:r>
    </w:p>
    <w:p w14:paraId="77FB652E" w14:textId="10EB10FD" w:rsidR="001519C4" w:rsidRDefault="001519C4" w:rsidP="001519C4">
      <w:pPr>
        <w:spacing w:after="0" w:line="240" w:lineRule="auto"/>
        <w:ind w:left="284"/>
        <w:contextualSpacing/>
        <w:jc w:val="both"/>
        <w:rPr>
          <w:rFonts w:ascii="ITC Avant Garde" w:hAnsi="ITC Avant Garde" w:cs="Arial"/>
          <w:color w:val="000000" w:themeColor="text1"/>
        </w:rPr>
      </w:pPr>
    </w:p>
    <w:p w14:paraId="2BF2F3E8" w14:textId="6953ECF2" w:rsidR="001519C4" w:rsidRPr="001519C4" w:rsidRDefault="006A3C89" w:rsidP="001519C4">
      <w:pPr>
        <w:pStyle w:val="Prrafodelista"/>
        <w:numPr>
          <w:ilvl w:val="0"/>
          <w:numId w:val="36"/>
        </w:numPr>
        <w:pBdr>
          <w:top w:val="nil"/>
          <w:left w:val="nil"/>
          <w:bottom w:val="nil"/>
          <w:right w:val="nil"/>
          <w:between w:val="nil"/>
          <w:bar w:val="nil"/>
        </w:pBdr>
        <w:suppressAutoHyphens/>
        <w:ind w:left="284" w:hanging="284"/>
        <w:contextualSpacing/>
        <w:jc w:val="both"/>
        <w:rPr>
          <w:rFonts w:ascii="ITC Avant Garde" w:hAnsi="ITC Avant Garde" w:cs="Arial"/>
          <w:color w:val="000000" w:themeColor="text1"/>
          <w:sz w:val="22"/>
          <w:szCs w:val="22"/>
        </w:rPr>
      </w:pPr>
      <w:r>
        <w:rPr>
          <w:rFonts w:ascii="ITC Avant Garde" w:hAnsi="ITC Avant Garde"/>
          <w:b/>
          <w:kern w:val="1"/>
          <w:sz w:val="22"/>
          <w:szCs w:val="22"/>
          <w:lang w:eastAsia="ar-SA"/>
        </w:rPr>
        <w:t xml:space="preserve"> </w:t>
      </w:r>
      <w:r w:rsidR="001519C4" w:rsidRPr="001519C4">
        <w:rPr>
          <w:rFonts w:ascii="ITC Avant Garde" w:hAnsi="ITC Avant Garde"/>
          <w:b/>
          <w:kern w:val="1"/>
          <w:sz w:val="22"/>
          <w:szCs w:val="22"/>
          <w:lang w:eastAsia="ar-SA"/>
        </w:rPr>
        <w:t>De</w:t>
      </w:r>
      <w:r w:rsidR="003A09C9" w:rsidRPr="001519C4">
        <w:rPr>
          <w:rFonts w:ascii="ITC Avant Garde" w:hAnsi="ITC Avant Garde"/>
          <w:b/>
          <w:kern w:val="1"/>
          <w:sz w:val="22"/>
          <w:szCs w:val="22"/>
          <w:lang w:eastAsia="ar-SA"/>
        </w:rPr>
        <w:t xml:space="preserve">sahogo de </w:t>
      </w:r>
      <w:r w:rsidR="001519C4" w:rsidRPr="001519C4">
        <w:rPr>
          <w:rFonts w:ascii="ITC Avant Garde" w:hAnsi="ITC Avant Garde"/>
          <w:b/>
          <w:kern w:val="1"/>
          <w:sz w:val="22"/>
          <w:szCs w:val="22"/>
          <w:lang w:eastAsia="ar-SA"/>
        </w:rPr>
        <w:t xml:space="preserve">la </w:t>
      </w:r>
      <w:r w:rsidR="003A09C9" w:rsidRPr="001519C4">
        <w:rPr>
          <w:rFonts w:ascii="ITC Avant Garde" w:hAnsi="ITC Avant Garde"/>
          <w:b/>
          <w:kern w:val="1"/>
          <w:sz w:val="22"/>
          <w:szCs w:val="22"/>
          <w:lang w:eastAsia="ar-SA"/>
        </w:rPr>
        <w:t>prevención</w:t>
      </w:r>
      <w:r w:rsidR="001519C4" w:rsidRPr="001519C4">
        <w:rPr>
          <w:rFonts w:ascii="ITC Avant Garde" w:hAnsi="ITC Avant Garde"/>
          <w:b/>
          <w:kern w:val="1"/>
          <w:sz w:val="22"/>
          <w:szCs w:val="22"/>
          <w:lang w:eastAsia="ar-SA"/>
        </w:rPr>
        <w:t xml:space="preserve"> (en caso de existir)</w:t>
      </w:r>
      <w:r w:rsidR="003A09C9" w:rsidRPr="001519C4">
        <w:rPr>
          <w:rFonts w:ascii="ITC Avant Garde" w:hAnsi="ITC Avant Garde"/>
          <w:b/>
          <w:kern w:val="1"/>
          <w:sz w:val="22"/>
          <w:szCs w:val="22"/>
          <w:lang w:eastAsia="ar-SA"/>
        </w:rPr>
        <w:t xml:space="preserve">. </w:t>
      </w:r>
      <w:r w:rsidR="003A09C9" w:rsidRPr="001519C4">
        <w:rPr>
          <w:rFonts w:ascii="ITC Avant Garde" w:hAnsi="ITC Avant Garde"/>
          <w:kern w:val="1"/>
          <w:sz w:val="22"/>
          <w:szCs w:val="22"/>
          <w:lang w:eastAsia="ar-SA"/>
        </w:rPr>
        <w:t xml:space="preserve">Los comentarios </w:t>
      </w:r>
      <w:r w:rsidR="001519C4">
        <w:rPr>
          <w:rFonts w:ascii="ITC Avant Garde" w:hAnsi="ITC Avant Garde"/>
          <w:kern w:val="1"/>
          <w:sz w:val="22"/>
          <w:szCs w:val="22"/>
          <w:lang w:eastAsia="ar-SA"/>
        </w:rPr>
        <w:t xml:space="preserve">recibidos en el tema que nos ocupa precisan que </w:t>
      </w:r>
      <w:r w:rsidR="00B07E53">
        <w:rPr>
          <w:rFonts w:ascii="ITC Avant Garde" w:hAnsi="ITC Avant Garde"/>
          <w:kern w:val="1"/>
          <w:sz w:val="22"/>
          <w:szCs w:val="22"/>
          <w:lang w:eastAsia="ar-SA"/>
        </w:rPr>
        <w:t xml:space="preserve">debe </w:t>
      </w:r>
      <w:r w:rsidR="001519C4">
        <w:rPr>
          <w:rFonts w:ascii="ITC Avant Garde" w:hAnsi="ITC Avant Garde"/>
          <w:kern w:val="1"/>
          <w:sz w:val="22"/>
          <w:szCs w:val="22"/>
          <w:lang w:eastAsia="ar-SA"/>
        </w:rPr>
        <w:t xml:space="preserve">existir un plazo </w:t>
      </w:r>
      <w:r w:rsidR="008F2C4E">
        <w:rPr>
          <w:rFonts w:ascii="ITC Avant Garde" w:hAnsi="ITC Avant Garde"/>
          <w:kern w:val="1"/>
          <w:sz w:val="22"/>
          <w:szCs w:val="22"/>
          <w:lang w:eastAsia="ar-SA"/>
        </w:rPr>
        <w:t xml:space="preserve">cierto y determinado </w:t>
      </w:r>
      <w:r w:rsidR="001519C4">
        <w:rPr>
          <w:rFonts w:ascii="ITC Avant Garde" w:hAnsi="ITC Avant Garde"/>
          <w:kern w:val="1"/>
          <w:sz w:val="22"/>
          <w:szCs w:val="22"/>
          <w:lang w:eastAsia="ar-SA"/>
        </w:rPr>
        <w:t xml:space="preserve">para que el Instituto </w:t>
      </w:r>
      <w:r w:rsidR="00B07E53">
        <w:rPr>
          <w:rFonts w:ascii="ITC Avant Garde" w:hAnsi="ITC Avant Garde"/>
          <w:kern w:val="1"/>
          <w:sz w:val="22"/>
          <w:szCs w:val="22"/>
          <w:lang w:eastAsia="ar-SA"/>
        </w:rPr>
        <w:t xml:space="preserve">prevenga </w:t>
      </w:r>
      <w:r w:rsidR="001519C4">
        <w:rPr>
          <w:rFonts w:ascii="ITC Avant Garde" w:hAnsi="ITC Avant Garde"/>
          <w:kern w:val="1"/>
          <w:sz w:val="22"/>
          <w:szCs w:val="22"/>
          <w:lang w:eastAsia="ar-SA"/>
        </w:rPr>
        <w:t xml:space="preserve">al solicitante cuando la solicitud de </w:t>
      </w:r>
      <w:r w:rsidR="00CD0F3D">
        <w:rPr>
          <w:rFonts w:ascii="ITC Avant Garde" w:hAnsi="ITC Avant Garde"/>
          <w:kern w:val="1"/>
          <w:sz w:val="22"/>
          <w:szCs w:val="22"/>
          <w:lang w:eastAsia="ar-SA"/>
        </w:rPr>
        <w:t>a</w:t>
      </w:r>
      <w:r w:rsidR="001519C4">
        <w:rPr>
          <w:rFonts w:ascii="ITC Avant Garde" w:hAnsi="ITC Avant Garde"/>
          <w:kern w:val="1"/>
          <w:sz w:val="22"/>
          <w:szCs w:val="22"/>
          <w:lang w:eastAsia="ar-SA"/>
        </w:rPr>
        <w:t xml:space="preserve">utorización de </w:t>
      </w:r>
      <w:r w:rsidR="00CD0F3D">
        <w:rPr>
          <w:rFonts w:ascii="ITC Avant Garde" w:hAnsi="ITC Avant Garde"/>
          <w:kern w:val="1"/>
          <w:sz w:val="22"/>
          <w:szCs w:val="22"/>
          <w:lang w:eastAsia="ar-SA"/>
        </w:rPr>
        <w:t>a</w:t>
      </w:r>
      <w:r w:rsidR="001519C4">
        <w:rPr>
          <w:rFonts w:ascii="ITC Avant Garde" w:hAnsi="ITC Avant Garde"/>
          <w:kern w:val="1"/>
          <w:sz w:val="22"/>
          <w:szCs w:val="22"/>
          <w:lang w:eastAsia="ar-SA"/>
        </w:rPr>
        <w:t xml:space="preserve">rrendamiento no contenga los datos y/o información requeridos. </w:t>
      </w:r>
    </w:p>
    <w:p w14:paraId="71A82955" w14:textId="77777777" w:rsidR="001519C4" w:rsidRDefault="001519C4" w:rsidP="001519C4">
      <w:pPr>
        <w:pStyle w:val="Prrafodelista"/>
        <w:pBdr>
          <w:top w:val="nil"/>
          <w:left w:val="nil"/>
          <w:bottom w:val="nil"/>
          <w:right w:val="nil"/>
          <w:between w:val="nil"/>
          <w:bar w:val="nil"/>
        </w:pBdr>
        <w:suppressAutoHyphens/>
        <w:ind w:left="284"/>
        <w:contextualSpacing/>
        <w:jc w:val="both"/>
        <w:rPr>
          <w:rFonts w:ascii="ITC Avant Garde" w:hAnsi="ITC Avant Garde"/>
          <w:b/>
          <w:kern w:val="1"/>
          <w:sz w:val="22"/>
          <w:szCs w:val="22"/>
          <w:lang w:eastAsia="ar-SA"/>
        </w:rPr>
      </w:pPr>
    </w:p>
    <w:p w14:paraId="319FD0A3" w14:textId="52B205C1" w:rsidR="003A09C9" w:rsidRPr="001519C4" w:rsidRDefault="001519C4" w:rsidP="001519C4">
      <w:pPr>
        <w:pStyle w:val="Prrafodelista"/>
        <w:pBdr>
          <w:top w:val="nil"/>
          <w:left w:val="nil"/>
          <w:bottom w:val="nil"/>
          <w:right w:val="nil"/>
          <w:between w:val="nil"/>
          <w:bar w:val="nil"/>
        </w:pBdr>
        <w:suppressAutoHyphens/>
        <w:ind w:left="284"/>
        <w:contextualSpacing/>
        <w:jc w:val="both"/>
        <w:rPr>
          <w:rFonts w:ascii="ITC Avant Garde" w:hAnsi="ITC Avant Garde" w:cs="Arial"/>
          <w:color w:val="000000" w:themeColor="text1"/>
          <w:sz w:val="22"/>
          <w:szCs w:val="22"/>
        </w:rPr>
      </w:pPr>
      <w:r w:rsidRPr="001519C4">
        <w:rPr>
          <w:rFonts w:ascii="ITC Avant Garde" w:hAnsi="ITC Avant Garde"/>
          <w:kern w:val="1"/>
          <w:sz w:val="22"/>
          <w:szCs w:val="22"/>
          <w:lang w:eastAsia="ar-SA"/>
        </w:rPr>
        <w:t xml:space="preserve">Sobre el particular, </w:t>
      </w:r>
      <w:r>
        <w:rPr>
          <w:rFonts w:ascii="ITC Avant Garde" w:hAnsi="ITC Avant Garde"/>
          <w:kern w:val="1"/>
          <w:sz w:val="22"/>
          <w:szCs w:val="22"/>
          <w:lang w:eastAsia="ar-SA"/>
        </w:rPr>
        <w:t xml:space="preserve">resultó pertinente observar lo prescrito en el </w:t>
      </w:r>
      <w:r w:rsidR="003A09C9" w:rsidRPr="001519C4">
        <w:rPr>
          <w:rFonts w:ascii="ITC Avant Garde" w:hAnsi="ITC Avant Garde"/>
          <w:kern w:val="1"/>
          <w:sz w:val="22"/>
          <w:szCs w:val="22"/>
          <w:lang w:eastAsia="ar-SA"/>
        </w:rPr>
        <w:t>artículo 17-A, segundo párrafo de la Ley Federal de Procedimiento Administrativo</w:t>
      </w:r>
      <w:r>
        <w:rPr>
          <w:rFonts w:ascii="ITC Avant Garde" w:hAnsi="ITC Avant Garde"/>
          <w:kern w:val="1"/>
          <w:sz w:val="22"/>
          <w:szCs w:val="22"/>
          <w:lang w:eastAsia="ar-SA"/>
        </w:rPr>
        <w:t>, de aplicación supletoria a la Ley</w:t>
      </w:r>
      <w:r w:rsidR="00CD0F3D">
        <w:rPr>
          <w:rFonts w:ascii="ITC Avant Garde" w:hAnsi="ITC Avant Garde"/>
          <w:kern w:val="1"/>
          <w:sz w:val="22"/>
          <w:szCs w:val="22"/>
          <w:lang w:eastAsia="ar-SA"/>
        </w:rPr>
        <w:t>,</w:t>
      </w:r>
      <w:r>
        <w:rPr>
          <w:rFonts w:ascii="ITC Avant Garde" w:hAnsi="ITC Avant Garde"/>
          <w:kern w:val="1"/>
          <w:sz w:val="22"/>
          <w:szCs w:val="22"/>
          <w:lang w:eastAsia="ar-SA"/>
        </w:rPr>
        <w:t xml:space="preserve"> que indica lo</w:t>
      </w:r>
      <w:r w:rsidR="003A09C9" w:rsidRPr="001519C4">
        <w:rPr>
          <w:rFonts w:ascii="ITC Avant Garde" w:hAnsi="ITC Avant Garde"/>
          <w:kern w:val="1"/>
          <w:sz w:val="22"/>
          <w:szCs w:val="22"/>
          <w:lang w:eastAsia="ar-SA"/>
        </w:rPr>
        <w:t xml:space="preserve"> siguiente:</w:t>
      </w:r>
    </w:p>
    <w:p w14:paraId="5B13C405" w14:textId="77777777" w:rsidR="003A09C9" w:rsidRPr="0066369A" w:rsidRDefault="003A09C9" w:rsidP="003A09C9">
      <w:pPr>
        <w:pStyle w:val="Prrafodelista"/>
        <w:ind w:left="851"/>
        <w:jc w:val="both"/>
        <w:rPr>
          <w:rFonts w:ascii="ITC Avant Garde" w:hAnsi="ITC Avant Garde"/>
          <w:b/>
          <w:kern w:val="1"/>
          <w:sz w:val="20"/>
          <w:lang w:eastAsia="ar-SA"/>
        </w:rPr>
      </w:pPr>
    </w:p>
    <w:p w14:paraId="2053E69C" w14:textId="77777777" w:rsidR="003A09C9" w:rsidRPr="003F017F" w:rsidRDefault="003A09C9" w:rsidP="009B174B">
      <w:pPr>
        <w:pStyle w:val="Prrafodelista"/>
        <w:ind w:left="1134" w:right="1182"/>
        <w:jc w:val="both"/>
        <w:rPr>
          <w:rFonts w:ascii="ITC Avant Garde" w:hAnsi="ITC Avant Garde"/>
          <w:i/>
          <w:sz w:val="20"/>
        </w:rPr>
      </w:pPr>
      <w:r w:rsidRPr="003F017F">
        <w:rPr>
          <w:rFonts w:ascii="ITC Avant Garde" w:hAnsi="ITC Avant Garde"/>
          <w:i/>
          <w:sz w:val="20"/>
        </w:rPr>
        <w:t>“</w:t>
      </w:r>
      <w:r w:rsidRPr="003F017F">
        <w:rPr>
          <w:rFonts w:ascii="ITC Avant Garde" w:hAnsi="ITC Avant Garde"/>
          <w:b/>
          <w:i/>
          <w:sz w:val="20"/>
        </w:rPr>
        <w:t>Artículo 17-A.</w:t>
      </w:r>
      <w:r w:rsidRPr="003F017F">
        <w:rPr>
          <w:rFonts w:ascii="ITC Avant Garde" w:hAnsi="ITC Avant Garde"/>
          <w:i/>
          <w:sz w:val="20"/>
        </w:rPr>
        <w:t xml:space="preserve"> (…) </w:t>
      </w:r>
    </w:p>
    <w:p w14:paraId="4DC2ACA3" w14:textId="77777777" w:rsidR="003A09C9" w:rsidRPr="003F017F" w:rsidRDefault="003A09C9" w:rsidP="009B174B">
      <w:pPr>
        <w:pStyle w:val="Prrafodelista"/>
        <w:ind w:left="1134" w:right="1182"/>
        <w:jc w:val="both"/>
        <w:rPr>
          <w:rFonts w:ascii="ITC Avant Garde" w:hAnsi="ITC Avant Garde"/>
          <w:i/>
          <w:sz w:val="20"/>
        </w:rPr>
      </w:pPr>
      <w:r w:rsidRPr="003F017F">
        <w:rPr>
          <w:rFonts w:ascii="ITC Avant Garde" w:hAnsi="ITC Avant Garde"/>
          <w:i/>
          <w:sz w:val="20"/>
        </w:rPr>
        <w:t xml:space="preserve">Salvo que en una disposición de carácter general se disponga otro plazo, </w:t>
      </w:r>
      <w:r w:rsidRPr="003F017F">
        <w:rPr>
          <w:rFonts w:ascii="ITC Avant Garde" w:hAnsi="ITC Avant Garde"/>
          <w:b/>
          <w:i/>
          <w:sz w:val="20"/>
        </w:rPr>
        <w:t>la prevención de información faltante deberá hacerse dentro del primer tercio del plazo de respuesta o, de no requerirse resolución alguna, dentro de los diez días hábiles siguientes a la presentación del escrito correspondiente.</w:t>
      </w:r>
      <w:r w:rsidRPr="003F017F">
        <w:rPr>
          <w:rFonts w:ascii="ITC Avant Garde" w:hAnsi="ITC Avant Garde"/>
          <w:i/>
          <w:sz w:val="20"/>
        </w:rPr>
        <w:t xml:space="preserve"> La fracción de día que en su caso resulte de la división del plazo de respuesta se computará como un día completo. En caso de que la resolución del trámite sea inmediata, la prevención de información faltante también deberá hacerse de manera inmediata a la presentación del escrito respectivo.”</w:t>
      </w:r>
    </w:p>
    <w:p w14:paraId="4B721E40" w14:textId="77777777" w:rsidR="001519C4" w:rsidRDefault="001519C4" w:rsidP="001519C4">
      <w:pPr>
        <w:pStyle w:val="Prrafodelista"/>
        <w:ind w:left="1701" w:right="1417"/>
        <w:jc w:val="both"/>
        <w:rPr>
          <w:rFonts w:ascii="ITC Avant Garde" w:hAnsi="ITC Avant Garde"/>
          <w:i/>
          <w:kern w:val="1"/>
          <w:sz w:val="18"/>
          <w:szCs w:val="18"/>
          <w:lang w:eastAsia="ar-SA"/>
        </w:rPr>
      </w:pPr>
    </w:p>
    <w:p w14:paraId="24B5F2BB" w14:textId="464D06D2" w:rsidR="008203E1" w:rsidRPr="008203E1" w:rsidRDefault="001519C4" w:rsidP="008203E1">
      <w:pPr>
        <w:pStyle w:val="Prrafodelista"/>
        <w:ind w:left="284" w:right="48"/>
        <w:jc w:val="both"/>
        <w:rPr>
          <w:sz w:val="22"/>
          <w:szCs w:val="22"/>
        </w:rPr>
      </w:pPr>
      <w:r w:rsidRPr="008203E1">
        <w:rPr>
          <w:rFonts w:ascii="ITC Avant Garde" w:hAnsi="ITC Avant Garde"/>
          <w:kern w:val="1"/>
          <w:sz w:val="22"/>
          <w:szCs w:val="22"/>
          <w:lang w:eastAsia="ar-SA"/>
        </w:rPr>
        <w:t xml:space="preserve">Por consiguiente, </w:t>
      </w:r>
      <w:r w:rsidR="00E341A7">
        <w:rPr>
          <w:rFonts w:ascii="ITC Avant Garde" w:hAnsi="ITC Avant Garde"/>
          <w:kern w:val="1"/>
          <w:sz w:val="22"/>
          <w:szCs w:val="22"/>
          <w:lang w:eastAsia="ar-SA"/>
        </w:rPr>
        <w:t xml:space="preserve">se incorpora al texto de los Lineamientos </w:t>
      </w:r>
      <w:r w:rsidRPr="008203E1">
        <w:rPr>
          <w:rFonts w:ascii="ITC Avant Garde" w:hAnsi="ITC Avant Garde"/>
          <w:kern w:val="1"/>
          <w:sz w:val="22"/>
          <w:szCs w:val="22"/>
          <w:lang w:eastAsia="ar-SA"/>
        </w:rPr>
        <w:t xml:space="preserve">la determinación </w:t>
      </w:r>
      <w:r w:rsidR="008203E1" w:rsidRPr="008203E1">
        <w:rPr>
          <w:rFonts w:ascii="ITC Avant Garde" w:hAnsi="ITC Avant Garde"/>
          <w:kern w:val="1"/>
          <w:sz w:val="22"/>
          <w:szCs w:val="22"/>
          <w:lang w:eastAsia="ar-SA"/>
        </w:rPr>
        <w:t xml:space="preserve">relativa a que el Instituto prevendrá al solicitante </w:t>
      </w:r>
      <w:r w:rsidR="008203E1" w:rsidRPr="008203E1">
        <w:rPr>
          <w:rFonts w:ascii="ITC Avant Garde" w:eastAsiaTheme="majorEastAsia" w:hAnsi="ITC Avant Garde" w:cstheme="majorBidi"/>
          <w:color w:val="000000" w:themeColor="text1"/>
          <w:sz w:val="22"/>
          <w:szCs w:val="22"/>
        </w:rPr>
        <w:t xml:space="preserve">dentro de los </w:t>
      </w:r>
      <w:r w:rsidR="00E341A7" w:rsidRPr="008203E1">
        <w:rPr>
          <w:rFonts w:ascii="ITC Avant Garde" w:eastAsiaTheme="majorEastAsia" w:hAnsi="ITC Avant Garde" w:cstheme="majorBidi"/>
          <w:color w:val="000000" w:themeColor="text1"/>
          <w:sz w:val="22"/>
          <w:szCs w:val="22"/>
        </w:rPr>
        <w:t>1</w:t>
      </w:r>
      <w:r w:rsidR="00E341A7">
        <w:rPr>
          <w:rFonts w:ascii="ITC Avant Garde" w:eastAsiaTheme="majorEastAsia" w:hAnsi="ITC Avant Garde" w:cstheme="majorBidi"/>
          <w:color w:val="000000" w:themeColor="text1"/>
          <w:sz w:val="22"/>
          <w:szCs w:val="22"/>
        </w:rPr>
        <w:t>5</w:t>
      </w:r>
      <w:r w:rsidR="00E341A7" w:rsidRPr="008203E1">
        <w:rPr>
          <w:rFonts w:ascii="ITC Avant Garde" w:eastAsiaTheme="majorEastAsia" w:hAnsi="ITC Avant Garde" w:cstheme="majorBidi"/>
          <w:color w:val="000000" w:themeColor="text1"/>
          <w:sz w:val="22"/>
          <w:szCs w:val="22"/>
        </w:rPr>
        <w:t xml:space="preserve"> </w:t>
      </w:r>
      <w:r w:rsidRPr="008203E1">
        <w:rPr>
          <w:rFonts w:ascii="ITC Avant Garde" w:eastAsiaTheme="majorEastAsia" w:hAnsi="ITC Avant Garde" w:cstheme="majorBidi"/>
          <w:color w:val="000000" w:themeColor="text1"/>
          <w:sz w:val="22"/>
          <w:szCs w:val="22"/>
        </w:rPr>
        <w:t>días hábiles siguientes a la presentación de la solicitud,</w:t>
      </w:r>
      <w:r w:rsidR="008203E1" w:rsidRPr="008203E1">
        <w:rPr>
          <w:rFonts w:ascii="ITC Avant Garde" w:hAnsi="ITC Avant Garde"/>
          <w:kern w:val="1"/>
          <w:sz w:val="22"/>
          <w:szCs w:val="22"/>
          <w:lang w:eastAsia="ar-SA"/>
        </w:rPr>
        <w:t xml:space="preserve"> </w:t>
      </w:r>
      <w:r w:rsidR="00B07E53">
        <w:rPr>
          <w:rFonts w:ascii="ITC Avant Garde" w:hAnsi="ITC Avant Garde"/>
          <w:kern w:val="1"/>
          <w:sz w:val="22"/>
          <w:szCs w:val="22"/>
          <w:lang w:eastAsia="ar-SA"/>
        </w:rPr>
        <w:t xml:space="preserve">lo que </w:t>
      </w:r>
      <w:r w:rsidR="008203E1" w:rsidRPr="008203E1">
        <w:rPr>
          <w:rFonts w:ascii="ITC Avant Garde" w:hAnsi="ITC Avant Garde"/>
          <w:kern w:val="1"/>
          <w:sz w:val="22"/>
          <w:szCs w:val="22"/>
          <w:lang w:eastAsia="ar-SA"/>
        </w:rPr>
        <w:t>es congruente con el dispositivo legal previamente transcrito</w:t>
      </w:r>
      <w:r w:rsidR="00B07E53">
        <w:rPr>
          <w:rFonts w:ascii="ITC Avant Garde" w:hAnsi="ITC Avant Garde"/>
          <w:kern w:val="1"/>
          <w:sz w:val="22"/>
          <w:szCs w:val="22"/>
          <w:lang w:eastAsia="ar-SA"/>
        </w:rPr>
        <w:t xml:space="preserve"> y da certeza a los particulares sobre el momento en que la autoridad puede hacer el requerimiento correspondiente</w:t>
      </w:r>
      <w:r w:rsidR="000D346D">
        <w:rPr>
          <w:rFonts w:ascii="ITC Avant Garde" w:hAnsi="ITC Avant Garde"/>
          <w:kern w:val="1"/>
          <w:sz w:val="22"/>
          <w:szCs w:val="22"/>
          <w:lang w:eastAsia="ar-SA"/>
        </w:rPr>
        <w:t xml:space="preserve"> y las consecuencias de no realizar tal desahogo</w:t>
      </w:r>
      <w:r w:rsidR="00E341A7">
        <w:rPr>
          <w:rFonts w:ascii="ITC Avant Garde" w:hAnsi="ITC Avant Garde"/>
          <w:kern w:val="1"/>
          <w:sz w:val="22"/>
          <w:szCs w:val="22"/>
          <w:lang w:eastAsia="ar-SA"/>
        </w:rPr>
        <w:t>.</w:t>
      </w:r>
    </w:p>
    <w:p w14:paraId="3D609116" w14:textId="5E20CC4B" w:rsidR="003A09C9" w:rsidRPr="0066369A" w:rsidRDefault="003A09C9" w:rsidP="003A09C9">
      <w:pPr>
        <w:pStyle w:val="Prrafodelista"/>
        <w:ind w:left="1134"/>
        <w:jc w:val="both"/>
        <w:rPr>
          <w:rFonts w:ascii="ITC Avant Garde" w:hAnsi="ITC Avant Garde"/>
          <w:kern w:val="1"/>
          <w:sz w:val="20"/>
          <w:lang w:eastAsia="ar-SA"/>
        </w:rPr>
      </w:pPr>
    </w:p>
    <w:p w14:paraId="7098F61F" w14:textId="09FC7C15" w:rsidR="00AB185B" w:rsidRDefault="007F0357" w:rsidP="00000B52">
      <w:pPr>
        <w:pStyle w:val="Prrafodelista"/>
        <w:numPr>
          <w:ilvl w:val="0"/>
          <w:numId w:val="36"/>
        </w:numPr>
        <w:pBdr>
          <w:top w:val="nil"/>
          <w:left w:val="nil"/>
          <w:bottom w:val="nil"/>
          <w:right w:val="nil"/>
          <w:between w:val="nil"/>
          <w:bar w:val="nil"/>
        </w:pBdr>
        <w:suppressAutoHyphens/>
        <w:ind w:left="284" w:hanging="284"/>
        <w:contextualSpacing/>
        <w:jc w:val="both"/>
        <w:rPr>
          <w:rFonts w:ascii="ITC Avant Garde" w:hAnsi="ITC Avant Garde"/>
          <w:kern w:val="1"/>
          <w:sz w:val="22"/>
          <w:szCs w:val="22"/>
          <w:lang w:eastAsia="ar-SA"/>
        </w:rPr>
      </w:pPr>
      <w:r w:rsidRPr="00E3093D">
        <w:rPr>
          <w:rFonts w:ascii="ITC Avant Garde" w:hAnsi="ITC Avant Garde"/>
          <w:b/>
          <w:kern w:val="1"/>
          <w:sz w:val="22"/>
          <w:szCs w:val="22"/>
          <w:lang w:eastAsia="ar-SA"/>
        </w:rPr>
        <w:t xml:space="preserve">Valoración en materia de competencia económica. </w:t>
      </w:r>
      <w:r w:rsidRPr="00E3093D">
        <w:rPr>
          <w:rFonts w:ascii="ITC Avant Garde" w:hAnsi="ITC Avant Garde"/>
          <w:kern w:val="1"/>
          <w:sz w:val="22"/>
          <w:szCs w:val="22"/>
          <w:lang w:eastAsia="ar-SA"/>
        </w:rPr>
        <w:t>Los comentarios alud</w:t>
      </w:r>
      <w:r w:rsidR="00B07E53">
        <w:rPr>
          <w:rFonts w:ascii="ITC Avant Garde" w:hAnsi="ITC Avant Garde"/>
          <w:kern w:val="1"/>
          <w:sz w:val="22"/>
          <w:szCs w:val="22"/>
          <w:lang w:eastAsia="ar-SA"/>
        </w:rPr>
        <w:t>e</w:t>
      </w:r>
      <w:r w:rsidRPr="00E3093D">
        <w:rPr>
          <w:rFonts w:ascii="ITC Avant Garde" w:hAnsi="ITC Avant Garde"/>
          <w:kern w:val="1"/>
          <w:sz w:val="22"/>
          <w:szCs w:val="22"/>
          <w:lang w:eastAsia="ar-SA"/>
        </w:rPr>
        <w:t xml:space="preserve">n a que se </w:t>
      </w:r>
      <w:r w:rsidR="00B07E53">
        <w:rPr>
          <w:rFonts w:ascii="ITC Avant Garde" w:hAnsi="ITC Avant Garde"/>
          <w:kern w:val="1"/>
          <w:sz w:val="22"/>
          <w:szCs w:val="22"/>
          <w:lang w:eastAsia="ar-SA"/>
        </w:rPr>
        <w:t>requiere</w:t>
      </w:r>
      <w:r w:rsidR="00B07E53" w:rsidRPr="00E3093D">
        <w:rPr>
          <w:rFonts w:ascii="ITC Avant Garde" w:hAnsi="ITC Avant Garde"/>
          <w:kern w:val="1"/>
          <w:sz w:val="22"/>
          <w:szCs w:val="22"/>
          <w:lang w:eastAsia="ar-SA"/>
        </w:rPr>
        <w:t xml:space="preserve"> </w:t>
      </w:r>
      <w:r w:rsidRPr="00E3093D">
        <w:rPr>
          <w:rFonts w:ascii="ITC Avant Garde" w:hAnsi="ITC Avant Garde"/>
          <w:kern w:val="1"/>
          <w:sz w:val="22"/>
          <w:szCs w:val="22"/>
          <w:lang w:eastAsia="ar-SA"/>
        </w:rPr>
        <w:t xml:space="preserve">certeza en cuanto a la documentación que </w:t>
      </w:r>
      <w:r w:rsidR="00B07E53">
        <w:rPr>
          <w:rFonts w:ascii="ITC Avant Garde" w:hAnsi="ITC Avant Garde"/>
          <w:kern w:val="1"/>
          <w:sz w:val="22"/>
          <w:szCs w:val="22"/>
          <w:lang w:eastAsia="ar-SA"/>
        </w:rPr>
        <w:t>debe</w:t>
      </w:r>
      <w:r w:rsidR="00B07E53" w:rsidRPr="00E3093D">
        <w:rPr>
          <w:rFonts w:ascii="ITC Avant Garde" w:hAnsi="ITC Avant Garde"/>
          <w:kern w:val="1"/>
          <w:sz w:val="22"/>
          <w:szCs w:val="22"/>
          <w:lang w:eastAsia="ar-SA"/>
        </w:rPr>
        <w:t xml:space="preserve"> </w:t>
      </w:r>
      <w:r w:rsidRPr="00E3093D">
        <w:rPr>
          <w:rFonts w:ascii="ITC Avant Garde" w:hAnsi="ITC Avant Garde"/>
          <w:kern w:val="1"/>
          <w:sz w:val="22"/>
          <w:szCs w:val="22"/>
          <w:lang w:eastAsia="ar-SA"/>
        </w:rPr>
        <w:t xml:space="preserve">presentarse al Instituto para que se </w:t>
      </w:r>
      <w:r w:rsidR="00B07E53">
        <w:rPr>
          <w:rFonts w:ascii="ITC Avant Garde" w:hAnsi="ITC Avant Garde"/>
          <w:kern w:val="1"/>
          <w:sz w:val="22"/>
          <w:szCs w:val="22"/>
          <w:lang w:eastAsia="ar-SA"/>
        </w:rPr>
        <w:t>emita</w:t>
      </w:r>
      <w:r w:rsidR="00B07E53" w:rsidRPr="00E3093D">
        <w:rPr>
          <w:rFonts w:ascii="ITC Avant Garde" w:hAnsi="ITC Avant Garde"/>
          <w:kern w:val="1"/>
          <w:sz w:val="22"/>
          <w:szCs w:val="22"/>
          <w:lang w:eastAsia="ar-SA"/>
        </w:rPr>
        <w:t xml:space="preserve"> </w:t>
      </w:r>
      <w:r w:rsidRPr="00E3093D">
        <w:rPr>
          <w:rFonts w:ascii="ITC Avant Garde" w:hAnsi="ITC Avant Garde"/>
          <w:kern w:val="1"/>
          <w:sz w:val="22"/>
          <w:szCs w:val="22"/>
          <w:lang w:eastAsia="ar-SA"/>
        </w:rPr>
        <w:t xml:space="preserve">la opinión en materia de competencia económica respectiva. </w:t>
      </w:r>
    </w:p>
    <w:p w14:paraId="396D7E65" w14:textId="091ECAA3" w:rsidR="00420AC0" w:rsidRDefault="00420AC0" w:rsidP="00DA0E71">
      <w:pPr>
        <w:pStyle w:val="Prrafodelista"/>
        <w:pBdr>
          <w:top w:val="nil"/>
          <w:left w:val="nil"/>
          <w:bottom w:val="nil"/>
          <w:right w:val="nil"/>
          <w:between w:val="nil"/>
          <w:bar w:val="nil"/>
        </w:pBdr>
        <w:suppressAutoHyphens/>
        <w:ind w:left="284"/>
        <w:contextualSpacing/>
        <w:jc w:val="both"/>
        <w:rPr>
          <w:rFonts w:ascii="ITC Avant Garde" w:hAnsi="ITC Avant Garde"/>
          <w:kern w:val="1"/>
          <w:sz w:val="22"/>
          <w:szCs w:val="22"/>
          <w:lang w:eastAsia="ar-SA"/>
        </w:rPr>
      </w:pPr>
    </w:p>
    <w:p w14:paraId="7166A041" w14:textId="4ACA3355" w:rsidR="00420AC0" w:rsidRDefault="00420AC0" w:rsidP="00DA0E71">
      <w:pPr>
        <w:pStyle w:val="Prrafodelista"/>
        <w:pBdr>
          <w:top w:val="nil"/>
          <w:left w:val="nil"/>
          <w:bottom w:val="nil"/>
          <w:right w:val="nil"/>
          <w:between w:val="nil"/>
          <w:bar w:val="nil"/>
        </w:pBdr>
        <w:suppressAutoHyphens/>
        <w:ind w:left="284"/>
        <w:contextualSpacing/>
        <w:jc w:val="both"/>
        <w:rPr>
          <w:rFonts w:ascii="ITC Avant Garde" w:eastAsia="Calibri" w:hAnsi="ITC Avant Garde"/>
          <w:color w:val="000000" w:themeColor="text1"/>
          <w:sz w:val="22"/>
          <w:szCs w:val="22"/>
        </w:rPr>
      </w:pPr>
      <w:r>
        <w:rPr>
          <w:rFonts w:ascii="ITC Avant Garde" w:hAnsi="ITC Avant Garde"/>
          <w:kern w:val="1"/>
          <w:sz w:val="22"/>
          <w:szCs w:val="22"/>
          <w:lang w:eastAsia="ar-SA"/>
        </w:rPr>
        <w:t>En atención al punto que nos ocupa, es oportuno indicar que se incorporó la figura de</w:t>
      </w:r>
      <w:r w:rsidRPr="006F5E6F">
        <w:rPr>
          <w:rFonts w:ascii="ITC Avant Garde" w:hAnsi="ITC Avant Garde"/>
          <w:kern w:val="1"/>
          <w:sz w:val="22"/>
          <w:szCs w:val="22"/>
          <w:lang w:eastAsia="ar-SA"/>
        </w:rPr>
        <w:t xml:space="preserve">l </w:t>
      </w:r>
      <w:r w:rsidR="009B174B">
        <w:rPr>
          <w:rFonts w:ascii="ITC Avant Garde" w:eastAsia="Calibri" w:hAnsi="ITC Avant Garde"/>
          <w:color w:val="000000" w:themeColor="text1"/>
          <w:sz w:val="22"/>
          <w:szCs w:val="22"/>
        </w:rPr>
        <w:t>i</w:t>
      </w:r>
      <w:r w:rsidRPr="00DA0E71">
        <w:rPr>
          <w:rFonts w:ascii="ITC Avant Garde" w:eastAsia="Calibri" w:hAnsi="ITC Avant Garde"/>
          <w:color w:val="000000" w:themeColor="text1"/>
          <w:sz w:val="22"/>
          <w:szCs w:val="22"/>
        </w:rPr>
        <w:t xml:space="preserve">nstructivo en materia de </w:t>
      </w:r>
      <w:r w:rsidR="009B174B">
        <w:rPr>
          <w:rFonts w:ascii="ITC Avant Garde" w:eastAsia="Calibri" w:hAnsi="ITC Avant Garde"/>
          <w:color w:val="000000" w:themeColor="text1"/>
          <w:sz w:val="22"/>
          <w:szCs w:val="22"/>
        </w:rPr>
        <w:t>c</w:t>
      </w:r>
      <w:r w:rsidRPr="00DA0E71">
        <w:rPr>
          <w:rFonts w:ascii="ITC Avant Garde" w:eastAsia="Calibri" w:hAnsi="ITC Avant Garde"/>
          <w:color w:val="000000" w:themeColor="text1"/>
          <w:sz w:val="22"/>
          <w:szCs w:val="22"/>
        </w:rPr>
        <w:t xml:space="preserve">ompetencia </w:t>
      </w:r>
      <w:r w:rsidR="009B174B">
        <w:rPr>
          <w:rFonts w:ascii="ITC Avant Garde" w:eastAsia="Calibri" w:hAnsi="ITC Avant Garde"/>
          <w:color w:val="000000" w:themeColor="text1"/>
          <w:sz w:val="22"/>
          <w:szCs w:val="22"/>
        </w:rPr>
        <w:t>e</w:t>
      </w:r>
      <w:r w:rsidRPr="00DA0E71">
        <w:rPr>
          <w:rFonts w:ascii="ITC Avant Garde" w:eastAsia="Calibri" w:hAnsi="ITC Avant Garde"/>
          <w:color w:val="000000" w:themeColor="text1"/>
          <w:sz w:val="22"/>
          <w:szCs w:val="22"/>
        </w:rPr>
        <w:t xml:space="preserve">conómica </w:t>
      </w:r>
      <w:r w:rsidR="0032372C">
        <w:rPr>
          <w:rFonts w:ascii="ITC Avant Garde" w:eastAsia="Calibri" w:hAnsi="ITC Avant Garde"/>
          <w:color w:val="000000" w:themeColor="text1"/>
          <w:sz w:val="22"/>
          <w:szCs w:val="22"/>
        </w:rPr>
        <w:t xml:space="preserve">como Apéndice de los </w:t>
      </w:r>
      <w:r w:rsidR="004C1A0C">
        <w:rPr>
          <w:rFonts w:ascii="ITC Avant Garde" w:eastAsia="Calibri" w:hAnsi="ITC Avant Garde"/>
          <w:color w:val="000000" w:themeColor="text1"/>
          <w:sz w:val="22"/>
          <w:szCs w:val="22"/>
        </w:rPr>
        <w:t>Lineam</w:t>
      </w:r>
      <w:r w:rsidR="00745006">
        <w:rPr>
          <w:rFonts w:ascii="ITC Avant Garde" w:eastAsia="Calibri" w:hAnsi="ITC Avant Garde"/>
          <w:color w:val="000000" w:themeColor="text1"/>
          <w:sz w:val="22"/>
          <w:szCs w:val="22"/>
        </w:rPr>
        <w:t>i</w:t>
      </w:r>
      <w:r w:rsidR="004C1A0C">
        <w:rPr>
          <w:rFonts w:ascii="ITC Avant Garde" w:eastAsia="Calibri" w:hAnsi="ITC Avant Garde"/>
          <w:color w:val="000000" w:themeColor="text1"/>
          <w:sz w:val="22"/>
          <w:szCs w:val="22"/>
        </w:rPr>
        <w:t>entos</w:t>
      </w:r>
      <w:r w:rsidR="0032372C">
        <w:rPr>
          <w:rFonts w:ascii="ITC Avant Garde" w:eastAsia="Calibri" w:hAnsi="ITC Avant Garde"/>
          <w:color w:val="000000" w:themeColor="text1"/>
          <w:sz w:val="22"/>
          <w:szCs w:val="22"/>
        </w:rPr>
        <w:t xml:space="preserve">, mediante el cual </w:t>
      </w:r>
      <w:r w:rsidRPr="00745006">
        <w:rPr>
          <w:rFonts w:ascii="ITC Avant Garde" w:eastAsia="Calibri" w:hAnsi="ITC Avant Garde"/>
          <w:color w:val="000000" w:themeColor="text1"/>
          <w:sz w:val="22"/>
          <w:szCs w:val="22"/>
        </w:rPr>
        <w:t xml:space="preserve">se informa y establecen los requisitos de información y documentos que se deberán presentar para solicitar la Autorización de Arrendamiento y Subarrendamiento de Bandas de Frecuencias, a efecto de que se </w:t>
      </w:r>
      <w:r w:rsidRPr="00745006">
        <w:rPr>
          <w:rFonts w:ascii="ITC Avant Garde" w:eastAsia="Calibri" w:hAnsi="ITC Avant Garde"/>
          <w:color w:val="000000" w:themeColor="text1"/>
          <w:sz w:val="22"/>
          <w:szCs w:val="22"/>
        </w:rPr>
        <w:lastRenderedPageBreak/>
        <w:t>evalúen los efectos de la solicitud en materia de competencia económica</w:t>
      </w:r>
      <w:r w:rsidR="00F05C59" w:rsidRPr="004C1A0C">
        <w:rPr>
          <w:rFonts w:ascii="ITC Avant Garde" w:eastAsia="Calibri" w:hAnsi="ITC Avant Garde"/>
          <w:color w:val="000000" w:themeColor="text1"/>
          <w:sz w:val="22"/>
          <w:szCs w:val="22"/>
        </w:rPr>
        <w:t>.</w:t>
      </w:r>
      <w:r w:rsidRPr="00DA0E71">
        <w:rPr>
          <w:rFonts w:ascii="ITC Avant Garde" w:eastAsia="Calibri" w:hAnsi="ITC Avant Garde"/>
          <w:color w:val="000000" w:themeColor="text1"/>
          <w:sz w:val="22"/>
          <w:szCs w:val="22"/>
        </w:rPr>
        <w:t xml:space="preserve"> </w:t>
      </w:r>
      <w:r w:rsidR="00F05C59">
        <w:rPr>
          <w:rFonts w:ascii="ITC Avant Garde" w:eastAsia="Calibri" w:hAnsi="ITC Avant Garde"/>
          <w:color w:val="000000" w:themeColor="text1"/>
          <w:sz w:val="22"/>
          <w:szCs w:val="22"/>
        </w:rPr>
        <w:t xml:space="preserve">Dicho Instructivo se publicará en el </w:t>
      </w:r>
      <w:r w:rsidR="004C1A0C">
        <w:rPr>
          <w:rFonts w:ascii="ITC Avant Garde" w:eastAsia="Calibri" w:hAnsi="ITC Avant Garde"/>
          <w:color w:val="000000" w:themeColor="text1"/>
          <w:sz w:val="22"/>
          <w:szCs w:val="22"/>
        </w:rPr>
        <w:t>DOF</w:t>
      </w:r>
      <w:r w:rsidR="00F05C59">
        <w:rPr>
          <w:rFonts w:ascii="ITC Avant Garde" w:eastAsia="Calibri" w:hAnsi="ITC Avant Garde"/>
          <w:color w:val="000000" w:themeColor="text1"/>
          <w:sz w:val="22"/>
          <w:szCs w:val="22"/>
        </w:rPr>
        <w:t>, en conjunto con los Lineamientos de mérito</w:t>
      </w:r>
      <w:r>
        <w:rPr>
          <w:rFonts w:ascii="ITC Avant Garde" w:eastAsia="Calibri" w:hAnsi="ITC Avant Garde"/>
          <w:color w:val="000000" w:themeColor="text1"/>
          <w:sz w:val="22"/>
          <w:szCs w:val="22"/>
        </w:rPr>
        <w:t>.</w:t>
      </w:r>
    </w:p>
    <w:p w14:paraId="08C9AA35" w14:textId="77777777" w:rsidR="00420AC0" w:rsidRDefault="00420AC0" w:rsidP="00DA0E71">
      <w:pPr>
        <w:pStyle w:val="Prrafodelista"/>
        <w:pBdr>
          <w:top w:val="nil"/>
          <w:left w:val="nil"/>
          <w:bottom w:val="nil"/>
          <w:right w:val="nil"/>
          <w:between w:val="nil"/>
          <w:bar w:val="nil"/>
        </w:pBdr>
        <w:suppressAutoHyphens/>
        <w:ind w:left="284"/>
        <w:contextualSpacing/>
        <w:jc w:val="both"/>
        <w:rPr>
          <w:rFonts w:ascii="ITC Avant Garde" w:eastAsia="Calibri" w:hAnsi="ITC Avant Garde"/>
          <w:color w:val="000000" w:themeColor="text1"/>
          <w:sz w:val="22"/>
          <w:szCs w:val="22"/>
        </w:rPr>
      </w:pPr>
    </w:p>
    <w:p w14:paraId="7771164F" w14:textId="4D0F892B" w:rsidR="00420AC0" w:rsidRDefault="00420AC0" w:rsidP="00DA0E71">
      <w:pPr>
        <w:pStyle w:val="Prrafodelista"/>
        <w:pBdr>
          <w:top w:val="nil"/>
          <w:left w:val="nil"/>
          <w:bottom w:val="nil"/>
          <w:right w:val="nil"/>
          <w:between w:val="nil"/>
          <w:bar w:val="nil"/>
        </w:pBdr>
        <w:suppressAutoHyphens/>
        <w:ind w:left="284"/>
        <w:contextualSpacing/>
        <w:jc w:val="both"/>
        <w:rPr>
          <w:rFonts w:ascii="ITC Avant Garde" w:hAnsi="ITC Avant Garde"/>
          <w:kern w:val="1"/>
          <w:sz w:val="22"/>
          <w:szCs w:val="22"/>
          <w:lang w:eastAsia="ar-SA"/>
        </w:rPr>
      </w:pPr>
      <w:r>
        <w:rPr>
          <w:rFonts w:ascii="ITC Avant Garde" w:eastAsia="Calibri" w:hAnsi="ITC Avant Garde"/>
          <w:color w:val="000000" w:themeColor="text1"/>
          <w:sz w:val="22"/>
          <w:szCs w:val="22"/>
        </w:rPr>
        <w:t xml:space="preserve">Por ello, con base en la información y documentación prescritos en dicho Instructivo, los interesados tendrán conocimiento de los elementos necesarios para solicitar la autorización de arrendamiento y la autorización de subarrendamiento, según corresponda. </w:t>
      </w:r>
    </w:p>
    <w:p w14:paraId="00898581" w14:textId="1E075BAC" w:rsidR="003A09C9" w:rsidRDefault="003A09C9" w:rsidP="00AB185B">
      <w:pPr>
        <w:pStyle w:val="Prrafodelista"/>
        <w:pBdr>
          <w:top w:val="nil"/>
          <w:left w:val="nil"/>
          <w:bottom w:val="nil"/>
          <w:right w:val="nil"/>
          <w:between w:val="nil"/>
          <w:bar w:val="nil"/>
        </w:pBdr>
        <w:suppressAutoHyphens/>
        <w:ind w:left="284"/>
        <w:contextualSpacing/>
        <w:jc w:val="both"/>
        <w:rPr>
          <w:rFonts w:ascii="ITC Avant Garde" w:hAnsi="ITC Avant Garde"/>
          <w:kern w:val="1"/>
          <w:sz w:val="22"/>
          <w:szCs w:val="22"/>
          <w:lang w:eastAsia="ar-SA"/>
        </w:rPr>
      </w:pPr>
    </w:p>
    <w:p w14:paraId="069EE10A" w14:textId="4A2016E6" w:rsidR="00582FF5" w:rsidRPr="00582FF5" w:rsidRDefault="00582FF5" w:rsidP="00582FF5">
      <w:pPr>
        <w:pStyle w:val="Prrafodelista"/>
        <w:numPr>
          <w:ilvl w:val="0"/>
          <w:numId w:val="36"/>
        </w:numPr>
        <w:pBdr>
          <w:top w:val="nil"/>
          <w:left w:val="nil"/>
          <w:bottom w:val="nil"/>
          <w:right w:val="nil"/>
          <w:between w:val="nil"/>
          <w:bar w:val="nil"/>
        </w:pBdr>
        <w:suppressAutoHyphens/>
        <w:ind w:left="284" w:hanging="284"/>
        <w:contextualSpacing/>
        <w:jc w:val="both"/>
        <w:rPr>
          <w:rFonts w:ascii="ITC Avant Garde" w:hAnsi="ITC Avant Garde"/>
          <w:bCs/>
        </w:rPr>
      </w:pPr>
      <w:r w:rsidRPr="00582FF5">
        <w:rPr>
          <w:rFonts w:ascii="ITC Avant Garde" w:hAnsi="ITC Avant Garde"/>
          <w:b/>
          <w:bCs/>
          <w:sz w:val="22"/>
          <w:szCs w:val="22"/>
        </w:rPr>
        <w:t xml:space="preserve">Subarrendamiento. </w:t>
      </w:r>
      <w:r w:rsidR="00FF10CC">
        <w:rPr>
          <w:rFonts w:ascii="ITC Avant Garde" w:hAnsi="ITC Avant Garde"/>
          <w:bCs/>
          <w:sz w:val="22"/>
          <w:szCs w:val="22"/>
        </w:rPr>
        <w:t>Algunos</w:t>
      </w:r>
      <w:r w:rsidR="00FF10CC" w:rsidRPr="00582FF5">
        <w:rPr>
          <w:rFonts w:ascii="ITC Avant Garde" w:hAnsi="ITC Avant Garde"/>
          <w:bCs/>
          <w:sz w:val="22"/>
          <w:szCs w:val="22"/>
        </w:rPr>
        <w:t xml:space="preserve"> </w:t>
      </w:r>
      <w:r w:rsidRPr="00582FF5">
        <w:rPr>
          <w:rFonts w:ascii="ITC Avant Garde" w:hAnsi="ITC Avant Garde"/>
          <w:bCs/>
          <w:sz w:val="22"/>
          <w:szCs w:val="22"/>
        </w:rPr>
        <w:t>comentarios</w:t>
      </w:r>
      <w:r w:rsidR="00036F86">
        <w:rPr>
          <w:rFonts w:ascii="ITC Avant Garde" w:hAnsi="ITC Avant Garde"/>
          <w:bCs/>
          <w:sz w:val="22"/>
          <w:szCs w:val="22"/>
        </w:rPr>
        <w:t>,</w:t>
      </w:r>
      <w:r w:rsidRPr="00582FF5">
        <w:rPr>
          <w:rFonts w:ascii="ITC Avant Garde" w:hAnsi="ITC Avant Garde"/>
          <w:bCs/>
          <w:sz w:val="22"/>
          <w:szCs w:val="22"/>
        </w:rPr>
        <w:t xml:space="preserve"> opiniones y </w:t>
      </w:r>
      <w:r w:rsidR="001365B0">
        <w:rPr>
          <w:rFonts w:ascii="ITC Avant Garde" w:hAnsi="ITC Avant Garde"/>
          <w:bCs/>
          <w:sz w:val="22"/>
          <w:szCs w:val="22"/>
        </w:rPr>
        <w:t xml:space="preserve">propuestas </w:t>
      </w:r>
      <w:r w:rsidRPr="00582FF5">
        <w:rPr>
          <w:rFonts w:ascii="ITC Avant Garde" w:hAnsi="ITC Avant Garde"/>
          <w:bCs/>
          <w:sz w:val="22"/>
          <w:szCs w:val="22"/>
        </w:rPr>
        <w:t xml:space="preserve">plantean que debe permitirse el </w:t>
      </w:r>
      <w:r w:rsidR="00CD0F3D">
        <w:rPr>
          <w:rFonts w:ascii="ITC Avant Garde" w:hAnsi="ITC Avant Garde"/>
          <w:bCs/>
          <w:sz w:val="22"/>
          <w:szCs w:val="22"/>
        </w:rPr>
        <w:t>s</w:t>
      </w:r>
      <w:r w:rsidRPr="00582FF5">
        <w:rPr>
          <w:rFonts w:ascii="ITC Avant Garde" w:hAnsi="ITC Avant Garde"/>
          <w:bCs/>
          <w:sz w:val="22"/>
          <w:szCs w:val="22"/>
        </w:rPr>
        <w:t xml:space="preserve">ubarrendamiento, por una sola vez y con autorización del </w:t>
      </w:r>
      <w:r w:rsidR="00CD0F3D">
        <w:rPr>
          <w:rFonts w:ascii="ITC Avant Garde" w:hAnsi="ITC Avant Garde"/>
          <w:bCs/>
          <w:sz w:val="22"/>
          <w:szCs w:val="22"/>
        </w:rPr>
        <w:t>a</w:t>
      </w:r>
      <w:r w:rsidRPr="00582FF5">
        <w:rPr>
          <w:rFonts w:ascii="ITC Avant Garde" w:hAnsi="ITC Avant Garde"/>
          <w:bCs/>
          <w:sz w:val="22"/>
          <w:szCs w:val="22"/>
        </w:rPr>
        <w:t>rrenda</w:t>
      </w:r>
      <w:r w:rsidR="00036F86">
        <w:rPr>
          <w:rFonts w:ascii="ITC Avant Garde" w:hAnsi="ITC Avant Garde"/>
          <w:bCs/>
          <w:sz w:val="22"/>
          <w:szCs w:val="22"/>
        </w:rPr>
        <w:t>dor</w:t>
      </w:r>
      <w:r w:rsidRPr="00582FF5">
        <w:rPr>
          <w:rFonts w:ascii="ITC Avant Garde" w:hAnsi="ITC Avant Garde"/>
          <w:bCs/>
          <w:sz w:val="22"/>
          <w:szCs w:val="22"/>
        </w:rPr>
        <w:t xml:space="preserve">. </w:t>
      </w:r>
    </w:p>
    <w:p w14:paraId="182BF37C" w14:textId="77777777" w:rsidR="00582FF5" w:rsidRDefault="00582FF5" w:rsidP="00582FF5">
      <w:pPr>
        <w:spacing w:after="0" w:line="240" w:lineRule="auto"/>
        <w:jc w:val="both"/>
        <w:rPr>
          <w:rFonts w:ascii="ITC Avant Garde" w:hAnsi="ITC Avant Garde"/>
          <w:bCs/>
        </w:rPr>
      </w:pPr>
    </w:p>
    <w:p w14:paraId="7806ABCF" w14:textId="7DBD1385" w:rsidR="00452445" w:rsidRPr="00AB1128" w:rsidRDefault="00452445" w:rsidP="00452445">
      <w:pPr>
        <w:spacing w:after="0" w:line="240" w:lineRule="auto"/>
        <w:ind w:left="284" w:right="51"/>
        <w:jc w:val="both"/>
        <w:rPr>
          <w:rFonts w:ascii="ITC Avant Garde" w:eastAsia="Times New Roman" w:hAnsi="ITC Avant Garde" w:cs="Arial"/>
          <w:kern w:val="1"/>
          <w:lang w:eastAsia="ar-SA"/>
        </w:rPr>
      </w:pPr>
      <w:r>
        <w:rPr>
          <w:rFonts w:ascii="ITC Avant Garde" w:hAnsi="ITC Avant Garde"/>
          <w:bCs/>
        </w:rPr>
        <w:t xml:space="preserve">Al respecto, </w:t>
      </w:r>
      <w:r>
        <w:rPr>
          <w:rFonts w:ascii="ITC Avant Garde" w:eastAsia="Times New Roman" w:hAnsi="ITC Avant Garde" w:cs="Arial"/>
          <w:kern w:val="1"/>
          <w:lang w:eastAsia="ar-SA"/>
        </w:rPr>
        <w:t>del artículo 28 de la Constitución y 15 fracción I de la Ley</w:t>
      </w:r>
      <w:r w:rsidRPr="00AB1128">
        <w:rPr>
          <w:rFonts w:ascii="ITC Avant Garde" w:eastAsia="Times New Roman" w:hAnsi="ITC Avant Garde" w:cs="Arial"/>
          <w:kern w:val="1"/>
          <w:lang w:eastAsia="ar-SA"/>
        </w:rPr>
        <w:t xml:space="preserve">, </w:t>
      </w:r>
      <w:r>
        <w:rPr>
          <w:rFonts w:ascii="ITC Avant Garde" w:eastAsia="Times New Roman" w:hAnsi="ITC Avant Garde" w:cs="Arial"/>
          <w:kern w:val="1"/>
          <w:lang w:eastAsia="ar-SA"/>
        </w:rPr>
        <w:t>se desprende</w:t>
      </w:r>
      <w:r w:rsidRPr="00AB1128">
        <w:rPr>
          <w:rFonts w:ascii="ITC Avant Garde" w:eastAsia="Times New Roman" w:hAnsi="ITC Avant Garde" w:cs="Arial"/>
          <w:kern w:val="1"/>
          <w:lang w:eastAsia="ar-SA"/>
        </w:rPr>
        <w:t xml:space="preserve"> que el Instituto, entre otras, tiene una función específica para la expedición de normas generales, internas o externas. Las internas que aluden a la emisión del estatuto orgánico y las externas mediante la expedición de disposiciones administrativas de carácter general exclusivamente para cumplir su función regulatoria en el sector de su competencia, el cual incluye la regulación del uso, aprovechamiento y explotación del espectro radioeléctrico.</w:t>
      </w:r>
    </w:p>
    <w:p w14:paraId="32FA0E86" w14:textId="77777777" w:rsidR="00452445" w:rsidRDefault="00452445" w:rsidP="00452445">
      <w:pPr>
        <w:spacing w:after="0" w:line="240" w:lineRule="auto"/>
        <w:ind w:left="284" w:right="51"/>
        <w:jc w:val="both"/>
        <w:rPr>
          <w:rFonts w:ascii="ITC Avant Garde" w:eastAsia="Times New Roman" w:hAnsi="ITC Avant Garde" w:cs="Arial"/>
          <w:kern w:val="1"/>
          <w:lang w:eastAsia="ar-SA"/>
        </w:rPr>
      </w:pPr>
    </w:p>
    <w:p w14:paraId="3E0BFAEE" w14:textId="77777777" w:rsidR="00452445" w:rsidRPr="00AB1128" w:rsidRDefault="00452445" w:rsidP="00452445">
      <w:pPr>
        <w:spacing w:after="0" w:line="240" w:lineRule="auto"/>
        <w:ind w:left="284" w:right="51"/>
        <w:jc w:val="both"/>
        <w:rPr>
          <w:rFonts w:ascii="ITC Avant Garde" w:eastAsia="Times New Roman" w:hAnsi="ITC Avant Garde" w:cs="Arial"/>
          <w:kern w:val="1"/>
          <w:lang w:eastAsia="ar-SA"/>
        </w:rPr>
      </w:pPr>
      <w:r w:rsidRPr="00AB1128">
        <w:rPr>
          <w:rFonts w:ascii="ITC Avant Garde" w:eastAsia="Times New Roman" w:hAnsi="ITC Avant Garde" w:cs="Arial"/>
          <w:kern w:val="1"/>
          <w:lang w:eastAsia="ar-SA"/>
        </w:rPr>
        <w:t xml:space="preserve">Resulta aplicable la jurisprudencia P./J. 44/2015 (10a.), sustentada por el Pleno de la Suprema Corte de Justicia de la Nación, Décima Época, Libro 25, Diciembre de 2015, Tomo I, publicada en la Gaceta del Semanario Judicial de la Federación, visible en la página 36, con número de registro 2010670, de rubro y texto siguientes: </w:t>
      </w:r>
    </w:p>
    <w:p w14:paraId="6CA6448A" w14:textId="77777777" w:rsidR="00452445" w:rsidRDefault="00452445" w:rsidP="00452445">
      <w:pPr>
        <w:spacing w:after="0" w:line="240" w:lineRule="auto"/>
        <w:ind w:right="51"/>
        <w:jc w:val="both"/>
        <w:rPr>
          <w:rFonts w:ascii="ITC Avant Garde" w:eastAsia="Times New Roman" w:hAnsi="ITC Avant Garde" w:cs="Arial"/>
          <w:kern w:val="1"/>
          <w:lang w:eastAsia="ar-SA"/>
        </w:rPr>
      </w:pPr>
    </w:p>
    <w:p w14:paraId="41A0584C" w14:textId="77777777" w:rsidR="00452445" w:rsidRPr="00AB1128" w:rsidRDefault="00452445" w:rsidP="00452445">
      <w:pPr>
        <w:spacing w:after="0" w:line="240" w:lineRule="auto"/>
        <w:ind w:left="1134" w:right="1467"/>
        <w:jc w:val="both"/>
        <w:rPr>
          <w:rFonts w:ascii="ITC Avant Garde" w:eastAsia="Times New Roman" w:hAnsi="ITC Avant Garde" w:cs="Arial"/>
          <w:i/>
          <w:kern w:val="1"/>
          <w:sz w:val="20"/>
          <w:szCs w:val="20"/>
          <w:lang w:eastAsia="ar-SA"/>
        </w:rPr>
      </w:pPr>
      <w:r w:rsidRPr="00AB1128">
        <w:rPr>
          <w:rFonts w:ascii="ITC Avant Garde" w:eastAsia="Times New Roman" w:hAnsi="ITC Avant Garde" w:cs="Arial"/>
          <w:i/>
          <w:kern w:val="1"/>
          <w:sz w:val="20"/>
          <w:szCs w:val="20"/>
          <w:lang w:eastAsia="ar-SA"/>
        </w:rPr>
        <w:t>“</w:t>
      </w:r>
      <w:r w:rsidRPr="00AB1128">
        <w:rPr>
          <w:rFonts w:ascii="ITC Avant Garde" w:eastAsia="Times New Roman" w:hAnsi="ITC Avant Garde" w:cs="Arial"/>
          <w:b/>
          <w:i/>
          <w:kern w:val="1"/>
          <w:sz w:val="20"/>
          <w:szCs w:val="20"/>
          <w:lang w:eastAsia="ar-SA"/>
        </w:rPr>
        <w:t>INSTITUTO FEDERAL DE TELECOMUNICACIONES (IFT). CARACTERIZACIÓN CONSTITUCIONAL DE SUS FACULTADES REGULATORIAS.</w:t>
      </w:r>
      <w:r w:rsidRPr="00AB1128">
        <w:rPr>
          <w:rFonts w:ascii="ITC Avant Garde" w:eastAsia="Times New Roman" w:hAnsi="ITC Avant Garde" w:cs="Arial"/>
          <w:i/>
          <w:kern w:val="1"/>
          <w:sz w:val="20"/>
          <w:szCs w:val="20"/>
          <w:lang w:eastAsia="ar-SA"/>
        </w:rPr>
        <w:t xml:space="preserve"> Del listado de facultades previstas en el artículo 28 de la Constitución Política de los Estados Unidos Mexicanos se advierte que el IFT no tiene asignada una función jurídica preponderante, </w:t>
      </w:r>
      <w:r w:rsidRPr="00E934B4">
        <w:rPr>
          <w:rFonts w:ascii="ITC Avant Garde" w:eastAsia="Times New Roman" w:hAnsi="ITC Avant Garde" w:cs="Arial"/>
          <w:b/>
          <w:i/>
          <w:kern w:val="1"/>
          <w:sz w:val="20"/>
          <w:szCs w:val="20"/>
          <w:lang w:eastAsia="ar-SA"/>
        </w:rPr>
        <w:t>sino que conjunta las tres clásicas: la de producción de normas generales</w:t>
      </w:r>
      <w:r w:rsidRPr="00AB1128">
        <w:rPr>
          <w:rFonts w:ascii="ITC Avant Garde" w:eastAsia="Times New Roman" w:hAnsi="ITC Avant Garde" w:cs="Arial"/>
          <w:i/>
          <w:kern w:val="1"/>
          <w:sz w:val="20"/>
          <w:szCs w:val="20"/>
          <w:lang w:eastAsia="ar-SA"/>
        </w:rPr>
        <w:t xml:space="preserve">, la de aplicación y la de adjudicación, </w:t>
      </w:r>
      <w:r w:rsidRPr="00E934B4">
        <w:rPr>
          <w:rFonts w:ascii="ITC Avant Garde" w:eastAsia="Times New Roman" w:hAnsi="ITC Avant Garde" w:cs="Arial"/>
          <w:b/>
          <w:i/>
          <w:kern w:val="1"/>
          <w:sz w:val="20"/>
          <w:szCs w:val="20"/>
          <w:lang w:eastAsia="ar-SA"/>
        </w:rPr>
        <w:t>siendo la primera la que corresponde propiamente a su función regulatoria, respecto de la cual en la norma constitucional hay referencia textual a dos tipos: 1) internas; y, 2) externas. Ahora bien, el precepto indicado, en su párrafo vigésimo, fracción III, establece que aquél emitirá su propio estatuto orgánico, esto es, producirá regulación interna; por su parte, la fracción IV del párrafo y artículo aludidos establece que podrá emitir disposiciones administrativas de carácter general exclusivamente para cumplir su función regulatoria en el sector de su competencia, es decir, expedirá regulación externa.</w:t>
      </w:r>
      <w:r w:rsidRPr="00AB1128">
        <w:rPr>
          <w:rFonts w:ascii="ITC Avant Garde" w:eastAsia="Times New Roman" w:hAnsi="ITC Avant Garde" w:cs="Arial"/>
          <w:i/>
          <w:kern w:val="1"/>
          <w:sz w:val="20"/>
          <w:szCs w:val="20"/>
          <w:lang w:eastAsia="ar-SA"/>
        </w:rPr>
        <w:t xml:space="preserve"> Ahora bien, estas normas regulatorias tienen un límite material, por el cual sólo puede emitir normas generales en el ámbito de competencias en el que tiene poderes regulatorios, ya que la norma constitucional establece: "exclusivamente para el cumplimiento de su función regulatoria en el sector de su competencia"; por tanto, para determinar cuál es su sector de competencia es necesario precisar el criterio rector de su ámbito material de actuación, lo que prevén los párrafos décimo quinto y décimo sexto del artículo 28 mencionado en tres rubros: a) El </w:t>
      </w:r>
      <w:r w:rsidRPr="00AB1128">
        <w:rPr>
          <w:rFonts w:ascii="ITC Avant Garde" w:eastAsia="Times New Roman" w:hAnsi="ITC Avant Garde" w:cs="Arial"/>
          <w:i/>
          <w:kern w:val="1"/>
          <w:sz w:val="20"/>
          <w:szCs w:val="20"/>
          <w:lang w:eastAsia="ar-SA"/>
        </w:rPr>
        <w:lastRenderedPageBreak/>
        <w:t>desarrollo eficiente de la radiodifusión y las telecomunicaciones; b)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 y, c) En materia de competencia económica de los sectores de radiodifusión y telecomunicaciones. Por otra parte, sus facultades regulatorias tienen un límite jerárquico, pues el artículo 28 citado precisa que las disposiciones administrativas de carácter general que puede emitir dentro del sistema de fuentes jurídicas se encuentran por debajo de la Constitución y, en un peldaño inferior, también debajo de las leyes emitidas por el Congreso de la Unión. Así, el órgano referido tiene la facultad constitucional de emitir disposiciones administrativas de carácter general exclusivamente para cumplir su función regulatoria en el sector de su competencia, constituyendo sus disposiciones generales una fuente jurídica jerárquicamente inferior a las leyes emitidas por el Congreso con fundamento en el artículo 73, fracción XVII, de la Constitución Federal, a cuyos términos debe ajustarse dicho órgano constitucional autónomo, en términos del invocado artículo 28”.</w:t>
      </w:r>
    </w:p>
    <w:p w14:paraId="3F682052" w14:textId="77777777" w:rsidR="00452445" w:rsidRPr="00AB1128" w:rsidRDefault="00452445" w:rsidP="00452445">
      <w:pPr>
        <w:spacing w:after="0" w:line="240" w:lineRule="auto"/>
        <w:ind w:left="1134" w:right="1467"/>
        <w:jc w:val="both"/>
        <w:rPr>
          <w:rFonts w:ascii="ITC Avant Garde" w:eastAsia="Times New Roman" w:hAnsi="ITC Avant Garde" w:cs="Arial"/>
          <w:i/>
          <w:kern w:val="1"/>
          <w:lang w:eastAsia="ar-SA"/>
        </w:rPr>
      </w:pPr>
    </w:p>
    <w:p w14:paraId="18ACB2EC" w14:textId="059AA0AD" w:rsidR="00452445" w:rsidRDefault="00452445" w:rsidP="009033FC">
      <w:pPr>
        <w:spacing w:after="0" w:line="240" w:lineRule="auto"/>
        <w:ind w:left="284" w:right="51"/>
        <w:jc w:val="both"/>
        <w:rPr>
          <w:rFonts w:ascii="ITC Avant Garde" w:eastAsia="Times New Roman" w:hAnsi="ITC Avant Garde" w:cs="Arial"/>
          <w:kern w:val="1"/>
          <w:lang w:eastAsia="ar-SA"/>
        </w:rPr>
      </w:pPr>
      <w:r w:rsidRPr="00AB1128">
        <w:rPr>
          <w:rFonts w:ascii="ITC Avant Garde" w:eastAsia="Times New Roman" w:hAnsi="ITC Avant Garde" w:cs="Arial"/>
          <w:kern w:val="1"/>
          <w:lang w:eastAsia="ar-SA"/>
        </w:rPr>
        <w:t xml:space="preserve">Ahora bien, la </w:t>
      </w:r>
      <w:r>
        <w:rPr>
          <w:rFonts w:ascii="ITC Avant Garde" w:eastAsia="Times New Roman" w:hAnsi="ITC Avant Garde" w:cs="Arial"/>
          <w:kern w:val="1"/>
          <w:lang w:eastAsia="ar-SA"/>
        </w:rPr>
        <w:t>facultad para expedir</w:t>
      </w:r>
      <w:r w:rsidRPr="00AB1128">
        <w:rPr>
          <w:rFonts w:ascii="ITC Avant Garde" w:eastAsia="Times New Roman" w:hAnsi="ITC Avant Garde" w:cs="Arial"/>
          <w:kern w:val="1"/>
          <w:lang w:eastAsia="ar-SA"/>
        </w:rPr>
        <w:t xml:space="preserve"> de disposiciones administrativas de carácter general </w:t>
      </w:r>
      <w:r>
        <w:rPr>
          <w:rFonts w:ascii="ITC Avant Garde" w:eastAsia="Times New Roman" w:hAnsi="ITC Avant Garde" w:cs="Arial"/>
          <w:kern w:val="1"/>
          <w:lang w:eastAsia="ar-SA"/>
        </w:rPr>
        <w:t xml:space="preserve">permite al Instituto </w:t>
      </w:r>
      <w:r w:rsidRPr="00AB1128">
        <w:rPr>
          <w:rFonts w:ascii="ITC Avant Garde" w:eastAsia="Times New Roman" w:hAnsi="ITC Avant Garde" w:cs="Arial"/>
          <w:kern w:val="1"/>
          <w:lang w:eastAsia="ar-SA"/>
        </w:rPr>
        <w:t>la emisión de los Lineamientos Generales sobre la Autorización del Arrendamiento de Espectro Radioeléctrico, conforme a l</w:t>
      </w:r>
      <w:r>
        <w:rPr>
          <w:rFonts w:ascii="ITC Avant Garde" w:eastAsia="Times New Roman" w:hAnsi="ITC Avant Garde" w:cs="Arial"/>
          <w:kern w:val="1"/>
          <w:lang w:eastAsia="ar-SA"/>
        </w:rPr>
        <w:t xml:space="preserve">o dispuesto en el artículo 104 </w:t>
      </w:r>
      <w:r w:rsidRPr="00AB1128">
        <w:rPr>
          <w:rFonts w:ascii="ITC Avant Garde" w:eastAsia="Times New Roman" w:hAnsi="ITC Avant Garde" w:cs="Arial"/>
          <w:kern w:val="1"/>
          <w:lang w:eastAsia="ar-SA"/>
        </w:rPr>
        <w:t xml:space="preserve">de la Ley. Sin embargo, si bien es cierto </w:t>
      </w:r>
      <w:r w:rsidR="009033FC">
        <w:rPr>
          <w:rFonts w:ascii="ITC Avant Garde" w:eastAsia="Times New Roman" w:hAnsi="ITC Avant Garde" w:cs="Arial"/>
          <w:kern w:val="1"/>
          <w:lang w:eastAsia="ar-SA"/>
        </w:rPr>
        <w:t>éste</w:t>
      </w:r>
      <w:r w:rsidRPr="00AB1128">
        <w:rPr>
          <w:rFonts w:ascii="ITC Avant Garde" w:eastAsia="Times New Roman" w:hAnsi="ITC Avant Garde" w:cs="Arial"/>
          <w:kern w:val="1"/>
          <w:lang w:eastAsia="ar-SA"/>
        </w:rPr>
        <w:t xml:space="preserve"> </w:t>
      </w:r>
      <w:r>
        <w:rPr>
          <w:rFonts w:ascii="ITC Avant Garde" w:eastAsia="Times New Roman" w:hAnsi="ITC Avant Garde" w:cs="Arial"/>
          <w:kern w:val="1"/>
          <w:lang w:eastAsia="ar-SA"/>
        </w:rPr>
        <w:t xml:space="preserve">sólo </w:t>
      </w:r>
      <w:r w:rsidR="000F549E">
        <w:rPr>
          <w:rFonts w:ascii="ITC Avant Garde" w:eastAsia="Times New Roman" w:hAnsi="ITC Avant Garde" w:cs="Arial"/>
          <w:kern w:val="1"/>
          <w:lang w:eastAsia="ar-SA"/>
        </w:rPr>
        <w:t>alude</w:t>
      </w:r>
      <w:r>
        <w:rPr>
          <w:rFonts w:ascii="ITC Avant Garde" w:eastAsia="Times New Roman" w:hAnsi="ITC Avant Garde" w:cs="Arial"/>
          <w:kern w:val="1"/>
          <w:lang w:eastAsia="ar-SA"/>
        </w:rPr>
        <w:t xml:space="preserve"> </w:t>
      </w:r>
      <w:r w:rsidRPr="00AB1128">
        <w:rPr>
          <w:rFonts w:ascii="ITC Avant Garde" w:eastAsia="Times New Roman" w:hAnsi="ITC Avant Garde" w:cs="Arial"/>
          <w:kern w:val="1"/>
          <w:lang w:eastAsia="ar-SA"/>
        </w:rPr>
        <w:t xml:space="preserve">textualmente al arrendamiento, también lo es que el subarrendamiento tiene la misma naturaleza </w:t>
      </w:r>
      <w:r>
        <w:rPr>
          <w:rFonts w:ascii="ITC Avant Garde" w:eastAsia="Times New Roman" w:hAnsi="ITC Avant Garde" w:cs="Arial"/>
          <w:kern w:val="1"/>
          <w:lang w:eastAsia="ar-SA"/>
        </w:rPr>
        <w:t>y deriva de aquél</w:t>
      </w:r>
      <w:r w:rsidRPr="00AB1128">
        <w:rPr>
          <w:rFonts w:ascii="ITC Avant Garde" w:eastAsia="Times New Roman" w:hAnsi="ITC Avant Garde" w:cs="Arial"/>
          <w:kern w:val="1"/>
          <w:lang w:eastAsia="ar-SA"/>
        </w:rPr>
        <w:t xml:space="preserve">, por lo que, en ejercicio de </w:t>
      </w:r>
      <w:r>
        <w:rPr>
          <w:rFonts w:ascii="ITC Avant Garde" w:eastAsia="Times New Roman" w:hAnsi="ITC Avant Garde" w:cs="Arial"/>
          <w:kern w:val="1"/>
          <w:lang w:eastAsia="ar-SA"/>
        </w:rPr>
        <w:t>las</w:t>
      </w:r>
      <w:r w:rsidRPr="00AB1128">
        <w:rPr>
          <w:rFonts w:ascii="ITC Avant Garde" w:eastAsia="Times New Roman" w:hAnsi="ITC Avant Garde" w:cs="Arial"/>
          <w:kern w:val="1"/>
          <w:lang w:eastAsia="ar-SA"/>
        </w:rPr>
        <w:t xml:space="preserve"> facultades regulatorias del Instituto, tratándose del uso, aprovechamiento y explotación del espectro radioeléctrico, con la finalidad de otorgar seguridad jurídica a los gobernados </w:t>
      </w:r>
      <w:r>
        <w:rPr>
          <w:rFonts w:ascii="ITC Avant Garde" w:eastAsia="Times New Roman" w:hAnsi="ITC Avant Garde" w:cs="Arial"/>
          <w:kern w:val="1"/>
          <w:lang w:eastAsia="ar-SA"/>
        </w:rPr>
        <w:t xml:space="preserve">y cumplir su obligación legal </w:t>
      </w:r>
      <w:r w:rsidRPr="00AB1128">
        <w:rPr>
          <w:rFonts w:ascii="ITC Avant Garde" w:eastAsia="Times New Roman" w:hAnsi="ITC Avant Garde" w:cs="Arial"/>
          <w:kern w:val="1"/>
          <w:lang w:eastAsia="ar-SA"/>
        </w:rPr>
        <w:t xml:space="preserve">en relación con los requisitos a satisfacer para la procedencia de la autorización correspondiente para </w:t>
      </w:r>
      <w:r>
        <w:rPr>
          <w:rFonts w:ascii="ITC Avant Garde" w:eastAsia="Times New Roman" w:hAnsi="ITC Avant Garde" w:cs="Arial"/>
          <w:kern w:val="1"/>
          <w:lang w:eastAsia="ar-SA"/>
        </w:rPr>
        <w:t>el arrendamiento</w:t>
      </w:r>
      <w:r w:rsidRPr="00AB1128">
        <w:rPr>
          <w:rFonts w:ascii="ITC Avant Garde" w:eastAsia="Times New Roman" w:hAnsi="ITC Avant Garde" w:cs="Arial"/>
          <w:kern w:val="1"/>
          <w:lang w:eastAsia="ar-SA"/>
        </w:rPr>
        <w:t xml:space="preserve">, es ostensible la necesidad de </w:t>
      </w:r>
      <w:r w:rsidR="009033FC">
        <w:rPr>
          <w:rFonts w:ascii="ITC Avant Garde" w:eastAsia="Times New Roman" w:hAnsi="ITC Avant Garde" w:cs="Arial"/>
          <w:kern w:val="1"/>
          <w:lang w:eastAsia="ar-SA"/>
        </w:rPr>
        <w:t>regular</w:t>
      </w:r>
      <w:r w:rsidRPr="00AB1128">
        <w:rPr>
          <w:rFonts w:ascii="ITC Avant Garde" w:eastAsia="Times New Roman" w:hAnsi="ITC Avant Garde" w:cs="Arial"/>
          <w:kern w:val="1"/>
          <w:lang w:eastAsia="ar-SA"/>
        </w:rPr>
        <w:t xml:space="preserve"> </w:t>
      </w:r>
      <w:r>
        <w:rPr>
          <w:rFonts w:ascii="ITC Avant Garde" w:eastAsia="Times New Roman" w:hAnsi="ITC Avant Garde" w:cs="Arial"/>
          <w:kern w:val="1"/>
          <w:lang w:eastAsia="ar-SA"/>
        </w:rPr>
        <w:t>a través de esta</w:t>
      </w:r>
      <w:r w:rsidRPr="00AB1128">
        <w:rPr>
          <w:rFonts w:ascii="ITC Avant Garde" w:eastAsia="Times New Roman" w:hAnsi="ITC Avant Garde" w:cs="Arial"/>
          <w:kern w:val="1"/>
          <w:lang w:eastAsia="ar-SA"/>
        </w:rPr>
        <w:t xml:space="preserve"> disposición de car</w:t>
      </w:r>
      <w:r w:rsidR="009033FC">
        <w:rPr>
          <w:rFonts w:ascii="ITC Avant Garde" w:eastAsia="Times New Roman" w:hAnsi="ITC Avant Garde" w:cs="Arial"/>
          <w:kern w:val="1"/>
          <w:lang w:eastAsia="ar-SA"/>
        </w:rPr>
        <w:t>ácter general, a</w:t>
      </w:r>
      <w:r>
        <w:rPr>
          <w:rFonts w:ascii="ITC Avant Garde" w:eastAsia="Times New Roman" w:hAnsi="ITC Avant Garde" w:cs="Arial"/>
          <w:kern w:val="1"/>
          <w:lang w:eastAsia="ar-SA"/>
        </w:rPr>
        <w:t xml:space="preserve"> la figur</w:t>
      </w:r>
      <w:r w:rsidR="009033FC">
        <w:rPr>
          <w:rFonts w:ascii="ITC Avant Garde" w:eastAsia="Times New Roman" w:hAnsi="ITC Avant Garde" w:cs="Arial"/>
          <w:kern w:val="1"/>
          <w:lang w:eastAsia="ar-SA"/>
        </w:rPr>
        <w:t>a del subarrendamiento, la</w:t>
      </w:r>
      <w:r>
        <w:rPr>
          <w:rFonts w:ascii="ITC Avant Garde" w:eastAsia="Times New Roman" w:hAnsi="ITC Avant Garde" w:cs="Arial"/>
          <w:kern w:val="1"/>
          <w:lang w:eastAsia="ar-SA"/>
        </w:rPr>
        <w:t xml:space="preserve"> cual es acorde y no va en contra de lo prescrito en el artículo </w:t>
      </w:r>
      <w:r w:rsidR="009033FC">
        <w:rPr>
          <w:rFonts w:ascii="ITC Avant Garde" w:eastAsia="Times New Roman" w:hAnsi="ITC Avant Garde" w:cs="Arial"/>
          <w:kern w:val="1"/>
          <w:lang w:eastAsia="ar-SA"/>
        </w:rPr>
        <w:t>104 de la Ley</w:t>
      </w:r>
      <w:r>
        <w:rPr>
          <w:rFonts w:ascii="ITC Avant Garde" w:eastAsia="Times New Roman" w:hAnsi="ITC Avant Garde" w:cs="Arial"/>
          <w:kern w:val="1"/>
          <w:lang w:eastAsia="ar-SA"/>
        </w:rPr>
        <w:t xml:space="preserve">, </w:t>
      </w:r>
      <w:r w:rsidR="009033FC" w:rsidRPr="009033FC">
        <w:rPr>
          <w:rFonts w:ascii="ITC Avant Garde" w:eastAsia="Times New Roman" w:hAnsi="ITC Avant Garde" w:cs="Arial"/>
          <w:kern w:val="1"/>
          <w:lang w:eastAsia="ar-SA"/>
        </w:rPr>
        <w:t xml:space="preserve">por el contrario, deviene </w:t>
      </w:r>
      <w:r w:rsidRPr="009033FC">
        <w:rPr>
          <w:rFonts w:ascii="ITC Avant Garde" w:eastAsia="Times New Roman" w:hAnsi="ITC Avant Garde" w:cs="Arial"/>
          <w:kern w:val="1"/>
          <w:lang w:eastAsia="ar-SA"/>
        </w:rPr>
        <w:t>de la obligación del Instituto de impulsar el mercado secundario prevista en el propio artículo.</w:t>
      </w:r>
    </w:p>
    <w:p w14:paraId="3458C600" w14:textId="77777777" w:rsidR="00452445" w:rsidRPr="00AB1128" w:rsidRDefault="00452445" w:rsidP="009033FC">
      <w:pPr>
        <w:spacing w:after="0" w:line="240" w:lineRule="auto"/>
        <w:ind w:left="284" w:right="51"/>
        <w:jc w:val="both"/>
        <w:rPr>
          <w:rFonts w:ascii="ITC Avant Garde" w:eastAsia="Times New Roman" w:hAnsi="ITC Avant Garde" w:cs="Arial"/>
          <w:kern w:val="1"/>
          <w:lang w:eastAsia="ar-SA"/>
        </w:rPr>
      </w:pPr>
    </w:p>
    <w:p w14:paraId="4CB0C5AA" w14:textId="77777777" w:rsidR="00452445" w:rsidRPr="00AB1128" w:rsidRDefault="00452445" w:rsidP="009033FC">
      <w:pPr>
        <w:spacing w:after="0" w:line="240" w:lineRule="auto"/>
        <w:ind w:left="284" w:right="51"/>
        <w:jc w:val="both"/>
        <w:rPr>
          <w:rFonts w:ascii="ITC Avant Garde" w:eastAsia="Times New Roman" w:hAnsi="ITC Avant Garde" w:cs="Arial"/>
          <w:kern w:val="1"/>
          <w:lang w:eastAsia="ar-SA"/>
        </w:rPr>
      </w:pPr>
      <w:r w:rsidRPr="00AB1128">
        <w:rPr>
          <w:rFonts w:ascii="ITC Avant Garde" w:eastAsia="Times New Roman" w:hAnsi="ITC Avant Garde" w:cs="Arial"/>
          <w:kern w:val="1"/>
          <w:lang w:eastAsia="ar-SA"/>
        </w:rPr>
        <w:t>Ilustra lo anterior la tesis I.3</w:t>
      </w:r>
      <w:r>
        <w:rPr>
          <w:rFonts w:ascii="ITC Avant Garde" w:eastAsia="Times New Roman" w:hAnsi="ITC Avant Garde" w:cs="Arial"/>
          <w:kern w:val="1"/>
          <w:lang w:eastAsia="ar-SA"/>
        </w:rPr>
        <w:t>º</w:t>
      </w:r>
      <w:r w:rsidRPr="00AB1128">
        <w:rPr>
          <w:rFonts w:ascii="ITC Avant Garde" w:eastAsia="Times New Roman" w:hAnsi="ITC Avant Garde" w:cs="Arial"/>
          <w:kern w:val="1"/>
          <w:lang w:eastAsia="ar-SA"/>
        </w:rPr>
        <w:t>.C.877 C del Tercer Tribunal Colegiado en Materia Civil del Primer Circuito, Tomo XXXIII, Enero de 2011, Novena Época, publicada en el Semanario Judicial de la Federación y su Gaceta, visible en la página 3164, con número de registro 163207, de rubro y texto siguientes:</w:t>
      </w:r>
    </w:p>
    <w:p w14:paraId="349BF887" w14:textId="77777777" w:rsidR="00452445" w:rsidRPr="00AB1128" w:rsidRDefault="00452445" w:rsidP="00452445">
      <w:pPr>
        <w:spacing w:after="0" w:line="240" w:lineRule="auto"/>
        <w:ind w:right="51"/>
        <w:jc w:val="both"/>
        <w:rPr>
          <w:rFonts w:ascii="ITC Avant Garde" w:eastAsia="Times New Roman" w:hAnsi="ITC Avant Garde" w:cs="Arial"/>
          <w:kern w:val="1"/>
          <w:lang w:eastAsia="ar-SA"/>
        </w:rPr>
      </w:pPr>
    </w:p>
    <w:p w14:paraId="5E9A30DA" w14:textId="77777777" w:rsidR="00452445" w:rsidRDefault="00452445" w:rsidP="00452445">
      <w:pPr>
        <w:spacing w:after="0" w:line="240" w:lineRule="auto"/>
        <w:ind w:left="1134" w:right="1467"/>
        <w:jc w:val="both"/>
        <w:rPr>
          <w:rFonts w:ascii="ITC Avant Garde" w:eastAsia="Times New Roman" w:hAnsi="ITC Avant Garde" w:cs="Arial"/>
          <w:i/>
          <w:kern w:val="1"/>
          <w:sz w:val="20"/>
          <w:szCs w:val="20"/>
          <w:lang w:eastAsia="ar-SA"/>
        </w:rPr>
      </w:pPr>
      <w:r w:rsidRPr="00BC511B">
        <w:rPr>
          <w:rFonts w:ascii="ITC Avant Garde" w:eastAsia="Times New Roman" w:hAnsi="ITC Avant Garde" w:cs="Arial"/>
          <w:b/>
          <w:i/>
          <w:kern w:val="1"/>
          <w:sz w:val="20"/>
          <w:szCs w:val="20"/>
          <w:lang w:eastAsia="ar-SA"/>
        </w:rPr>
        <w:t xml:space="preserve">“COMPETENCIA FEDERAL. NO SE SURTE PARA RESOLVER LO RELATIVO A LA RESCISIÓN DE UN CONTRATO DE SUBARRENDAMIENTO CELEBRADO ENTRE PARTICULARES SOBRE UN INMUEBLE UBICADO EN EL AEROPUERTO DE LA CIUDAD DE MÉXICO. El subarrendamiento guarda la misma naturaleza que el arrendamiento; es decir, se constituye como un contrato oneroso y traslativo de uso. </w:t>
      </w:r>
      <w:r w:rsidRPr="00BC511B">
        <w:rPr>
          <w:rFonts w:ascii="ITC Avant Garde" w:eastAsia="Times New Roman" w:hAnsi="ITC Avant Garde" w:cs="Arial"/>
          <w:i/>
          <w:kern w:val="1"/>
          <w:sz w:val="20"/>
          <w:szCs w:val="20"/>
          <w:lang w:eastAsia="ar-SA"/>
        </w:rPr>
        <w:t xml:space="preserve">A partir del mismo se involucran </w:t>
      </w:r>
      <w:r w:rsidRPr="00BC511B">
        <w:rPr>
          <w:rFonts w:ascii="ITC Avant Garde" w:eastAsia="Times New Roman" w:hAnsi="ITC Avant Garde" w:cs="Arial"/>
          <w:i/>
          <w:kern w:val="1"/>
          <w:sz w:val="20"/>
          <w:szCs w:val="20"/>
          <w:lang w:eastAsia="ar-SA"/>
        </w:rPr>
        <w:lastRenderedPageBreak/>
        <w:t>tres relaciones jurídicas distintas: 1) la existente entre la cosa y el titular del derecho real; 2) la surgida entre el arrendador y el arrendatario, es decir, el vínculo nacido del contrato primigenio; al respecto, se puntualiza que el arrendador no necesita acreditar la propiedad del bien, toda vez que la acción o defensa que ejerza será de carácter personal, no real y 3) la nacida entre el subarrendador y el subarrendatario, la cual no se condiciona a que el subarrendador haya adquirido el derecho de uso de quien efectivamente ejerce un derecho real sobre el bien arrendado. En tal virtud, las acciones ejercitadas por el subarrendador para lograr la rescisión del contrato, la desocupación del bien y el pago de rentas vencidas, únicamente se dirigen a demostrar el incumplimiento de las obligaciones derivadas del mismo, sin cuestionar el derecho real que pudieran ejercer terceros sobre el inmueble. En consecuencia, la controversia relativa a la rescisión de un contrato de subarrendamiento, suscitada entre particulares, sobre un inmueble ubicado dentro del Aeropuerto Internacional de la Ciudad de México, únicamente se refiere al cumplimiento o incumplimiento de las obligaciones derivadas del contrato, por lo que la sentencia que llegare a dictarse con motivo de ese procedimiento, sólo resolverá lo conducente a ese aspecto, con independencia de que la Federación pudiera considerarse titular del derecho real. Ello, aun cuando el inmueble pudiera estimarse sujeto al régimen de dominio público de la Federación, en términos de la Ley General de Bienes Nacionales, porque, se reitera, el fallo que llegue a dictarse sólo se referirá al incumplimiento de las obligaciones pactadas en el contrato de subarrendamiento, sin afectar el interés que pudiere llegar a tener la Federación sobre el bien específico. Asimismo, el hecho de que la administración del inmueble deba regirse por la Ley de Aeropuertos, no otorga competencia al juzgador federal para conocer lo relativo a la rescisión del contrato de subarrendamiento, porque la controversia no se relaciona con los actos de administración que el aeródromo o su representación pudieran ejercer sobre el inmueble”</w:t>
      </w:r>
    </w:p>
    <w:p w14:paraId="5C5104EB" w14:textId="243B4995" w:rsidR="00452445" w:rsidRPr="00BC511B" w:rsidRDefault="00452445" w:rsidP="00452445">
      <w:pPr>
        <w:spacing w:after="0" w:line="240" w:lineRule="auto"/>
        <w:ind w:left="1134" w:right="1467"/>
        <w:jc w:val="both"/>
        <w:rPr>
          <w:rFonts w:ascii="ITC Avant Garde" w:eastAsia="Times New Roman" w:hAnsi="ITC Avant Garde" w:cs="Arial"/>
          <w:i/>
          <w:kern w:val="1"/>
          <w:sz w:val="20"/>
          <w:szCs w:val="20"/>
          <w:lang w:eastAsia="ar-SA"/>
        </w:rPr>
      </w:pPr>
      <w:bookmarkStart w:id="0" w:name="_GoBack"/>
      <w:bookmarkEnd w:id="0"/>
    </w:p>
    <w:p w14:paraId="2B369087" w14:textId="77777777" w:rsidR="00452445" w:rsidRPr="00AB1128" w:rsidRDefault="00452445" w:rsidP="009033FC">
      <w:pPr>
        <w:spacing w:after="0" w:line="240" w:lineRule="auto"/>
        <w:ind w:left="284" w:right="51"/>
        <w:jc w:val="both"/>
        <w:rPr>
          <w:rFonts w:ascii="ITC Avant Garde" w:eastAsia="Times New Roman" w:hAnsi="ITC Avant Garde" w:cs="Arial"/>
          <w:kern w:val="1"/>
          <w:lang w:eastAsia="ar-SA"/>
        </w:rPr>
      </w:pPr>
      <w:r w:rsidRPr="00AB1128">
        <w:rPr>
          <w:rFonts w:ascii="ITC Avant Garde" w:eastAsia="Times New Roman" w:hAnsi="ITC Avant Garde" w:cs="Arial"/>
          <w:kern w:val="1"/>
          <w:lang w:eastAsia="ar-SA"/>
        </w:rPr>
        <w:t>Asimismo, la tesis II.1o.C.T.53 C del Primer Tribunal Colegiado en Materias Civil y de Trabajo del Segundo Circuito, Novena Época, Tomo IV, Julio de 1996, publicada en el Semanario Judicial de la Federación y su Gaceta, visible en l</w:t>
      </w:r>
      <w:r>
        <w:rPr>
          <w:rFonts w:ascii="ITC Avant Garde" w:eastAsia="Times New Roman" w:hAnsi="ITC Avant Garde" w:cs="Arial"/>
          <w:kern w:val="1"/>
          <w:lang w:eastAsia="ar-SA"/>
        </w:rPr>
        <w:t>a página 426, con número de reg</w:t>
      </w:r>
      <w:r w:rsidRPr="00AB1128">
        <w:rPr>
          <w:rFonts w:ascii="ITC Avant Garde" w:eastAsia="Times New Roman" w:hAnsi="ITC Avant Garde" w:cs="Arial"/>
          <w:kern w:val="1"/>
          <w:lang w:eastAsia="ar-SA"/>
        </w:rPr>
        <w:t>i</w:t>
      </w:r>
      <w:r>
        <w:rPr>
          <w:rFonts w:ascii="ITC Avant Garde" w:eastAsia="Times New Roman" w:hAnsi="ITC Avant Garde" w:cs="Arial"/>
          <w:kern w:val="1"/>
          <w:lang w:eastAsia="ar-SA"/>
        </w:rPr>
        <w:t>s</w:t>
      </w:r>
      <w:r w:rsidRPr="00AB1128">
        <w:rPr>
          <w:rFonts w:ascii="ITC Avant Garde" w:eastAsia="Times New Roman" w:hAnsi="ITC Avant Garde" w:cs="Arial"/>
          <w:kern w:val="1"/>
          <w:lang w:eastAsia="ar-SA"/>
        </w:rPr>
        <w:t>tro, de rubro y texto siguientes:</w:t>
      </w:r>
    </w:p>
    <w:p w14:paraId="675346C2" w14:textId="77777777" w:rsidR="00452445" w:rsidRDefault="00452445" w:rsidP="00452445">
      <w:pPr>
        <w:spacing w:after="0" w:line="240" w:lineRule="auto"/>
        <w:ind w:right="51"/>
        <w:jc w:val="both"/>
        <w:rPr>
          <w:rFonts w:ascii="ITC Avant Garde" w:eastAsia="Times New Roman" w:hAnsi="ITC Avant Garde" w:cs="Arial"/>
          <w:kern w:val="1"/>
          <w:lang w:eastAsia="ar-SA"/>
        </w:rPr>
      </w:pPr>
    </w:p>
    <w:p w14:paraId="00CE77C4" w14:textId="77777777" w:rsidR="00452445" w:rsidRPr="00BC511B" w:rsidRDefault="00452445" w:rsidP="00452445">
      <w:pPr>
        <w:spacing w:after="0" w:line="240" w:lineRule="auto"/>
        <w:ind w:left="1134" w:right="1467"/>
        <w:jc w:val="both"/>
        <w:rPr>
          <w:rFonts w:ascii="ITC Avant Garde" w:eastAsia="Times New Roman" w:hAnsi="ITC Avant Garde" w:cs="Arial"/>
          <w:i/>
          <w:kern w:val="1"/>
          <w:sz w:val="20"/>
          <w:szCs w:val="20"/>
          <w:lang w:eastAsia="ar-SA"/>
        </w:rPr>
      </w:pPr>
      <w:r w:rsidRPr="00BC511B">
        <w:rPr>
          <w:rFonts w:ascii="ITC Avant Garde" w:eastAsia="Times New Roman" w:hAnsi="ITC Avant Garde" w:cs="Arial"/>
          <w:b/>
          <w:i/>
          <w:kern w:val="1"/>
          <w:sz w:val="20"/>
          <w:szCs w:val="20"/>
          <w:lang w:eastAsia="ar-SA"/>
        </w:rPr>
        <w:t>“SUBARRENDAMIENTO; DEBE PACTARSE UN PRECIO POR EL USO Y GOCE DE LA COSA.</w:t>
      </w:r>
      <w:r w:rsidRPr="00BC511B">
        <w:rPr>
          <w:rFonts w:ascii="ITC Avant Garde" w:eastAsia="Times New Roman" w:hAnsi="ITC Avant Garde" w:cs="Arial"/>
          <w:i/>
          <w:kern w:val="1"/>
          <w:sz w:val="20"/>
          <w:szCs w:val="20"/>
          <w:lang w:eastAsia="ar-SA"/>
        </w:rPr>
        <w:t xml:space="preserve"> Un contrato constituye un acto jurídico bilateral de acuerdo de voluntades de dos o más personas que produce consecuencias jurídicas de creación o transmisión de derechos y obligaciones</w:t>
      </w:r>
      <w:r w:rsidRPr="00BC511B">
        <w:rPr>
          <w:rFonts w:ascii="ITC Avant Garde" w:eastAsia="Times New Roman" w:hAnsi="ITC Avant Garde" w:cs="Arial"/>
          <w:b/>
          <w:i/>
          <w:kern w:val="1"/>
          <w:sz w:val="20"/>
          <w:szCs w:val="20"/>
          <w:lang w:eastAsia="ar-SA"/>
        </w:rPr>
        <w:t>. En consecuencia, un contrato de arrendamiento, es el verificado entre una o más personas con otra u otras, en cuyo acto el arrendador transmite el uso y goce de una cosa al arrendatario, mediante un precio previamente convenido. Ahora bien, el subarriendo, lo constituye también el alquiler de la cosa, sólo que en éste, es el arrendatario quien la transmite toda o en parte a un tercero, empero también se da a cambio de un precio</w:t>
      </w:r>
      <w:r w:rsidRPr="00BC511B">
        <w:rPr>
          <w:rFonts w:ascii="ITC Avant Garde" w:eastAsia="Times New Roman" w:hAnsi="ITC Avant Garde" w:cs="Arial"/>
          <w:i/>
          <w:kern w:val="1"/>
          <w:sz w:val="20"/>
          <w:szCs w:val="20"/>
          <w:lang w:eastAsia="ar-SA"/>
        </w:rPr>
        <w:t xml:space="preserve">; en esa virtud, cuando </w:t>
      </w:r>
      <w:r w:rsidRPr="00BC511B">
        <w:rPr>
          <w:rFonts w:ascii="ITC Avant Garde" w:eastAsia="Times New Roman" w:hAnsi="ITC Avant Garde" w:cs="Arial"/>
          <w:i/>
          <w:kern w:val="1"/>
          <w:sz w:val="20"/>
          <w:szCs w:val="20"/>
          <w:lang w:eastAsia="ar-SA"/>
        </w:rPr>
        <w:lastRenderedPageBreak/>
        <w:t>falta el último elemento, ello transforma el acto jurídico en comodato, porque sólo se transmite la posesión, total o parcial del bien, sin obtener ninguna retribución. En tales condiciones, cuando lo plenamente probado en autos, sea la transmisión parcial del uso y goce de la cosa arrendada, por el propio arrendatario, lo ahí acreditado no es un subarrendamiento, sino un comodato, al no demostrarse que tal acto sea oneroso”.</w:t>
      </w:r>
    </w:p>
    <w:p w14:paraId="0BD55447" w14:textId="77777777" w:rsidR="00452445" w:rsidRDefault="00452445" w:rsidP="00452445">
      <w:pPr>
        <w:spacing w:after="0" w:line="240" w:lineRule="auto"/>
        <w:ind w:right="51"/>
        <w:jc w:val="both"/>
        <w:rPr>
          <w:rFonts w:ascii="ITC Avant Garde" w:eastAsia="Times New Roman" w:hAnsi="ITC Avant Garde" w:cs="Arial"/>
          <w:kern w:val="1"/>
          <w:lang w:eastAsia="ar-SA"/>
        </w:rPr>
      </w:pPr>
    </w:p>
    <w:p w14:paraId="120ED282" w14:textId="77777777" w:rsidR="00452445" w:rsidRPr="00AB1128" w:rsidRDefault="00452445" w:rsidP="009033FC">
      <w:pPr>
        <w:spacing w:after="0" w:line="240" w:lineRule="auto"/>
        <w:ind w:left="284" w:right="51"/>
        <w:jc w:val="both"/>
        <w:rPr>
          <w:rFonts w:ascii="ITC Avant Garde" w:eastAsia="Times New Roman" w:hAnsi="ITC Avant Garde" w:cs="Arial"/>
          <w:kern w:val="1"/>
          <w:lang w:eastAsia="ar-SA"/>
        </w:rPr>
      </w:pPr>
      <w:r w:rsidRPr="00AB1128">
        <w:rPr>
          <w:rFonts w:ascii="ITC Avant Garde" w:eastAsia="Times New Roman" w:hAnsi="ITC Avant Garde" w:cs="Arial"/>
          <w:kern w:val="1"/>
          <w:lang w:eastAsia="ar-SA"/>
        </w:rPr>
        <w:t xml:space="preserve">Por consiguiente, tenemos que en el arrendamiento y subarrendamiento son convergentes en constituirse en un contrato oneroso y traslativo </w:t>
      </w:r>
      <w:r>
        <w:rPr>
          <w:rFonts w:ascii="ITC Avant Garde" w:eastAsia="Times New Roman" w:hAnsi="ITC Avant Garde" w:cs="Arial"/>
          <w:kern w:val="1"/>
          <w:lang w:eastAsia="ar-SA"/>
        </w:rPr>
        <w:t xml:space="preserve">temporal </w:t>
      </w:r>
      <w:r w:rsidRPr="00AB1128">
        <w:rPr>
          <w:rFonts w:ascii="ITC Avant Garde" w:eastAsia="Times New Roman" w:hAnsi="ITC Avant Garde" w:cs="Arial"/>
          <w:kern w:val="1"/>
          <w:lang w:eastAsia="ar-SA"/>
        </w:rPr>
        <w:t xml:space="preserve">del uso, total o en parte del bien, objeto del contrato. </w:t>
      </w:r>
    </w:p>
    <w:p w14:paraId="5DAE725F" w14:textId="77777777" w:rsidR="00452445" w:rsidRDefault="00452445" w:rsidP="009033FC">
      <w:pPr>
        <w:spacing w:after="0" w:line="240" w:lineRule="auto"/>
        <w:ind w:left="284" w:right="51"/>
        <w:jc w:val="both"/>
        <w:rPr>
          <w:rFonts w:ascii="ITC Avant Garde" w:eastAsia="Times New Roman" w:hAnsi="ITC Avant Garde" w:cs="Arial"/>
          <w:kern w:val="1"/>
          <w:lang w:eastAsia="ar-SA"/>
        </w:rPr>
      </w:pPr>
    </w:p>
    <w:p w14:paraId="6E1CE545" w14:textId="00A0C8DA" w:rsidR="00582FF5" w:rsidRDefault="00452445" w:rsidP="00A00853">
      <w:pPr>
        <w:spacing w:after="0" w:line="240" w:lineRule="auto"/>
        <w:ind w:left="284" w:right="51"/>
        <w:jc w:val="both"/>
        <w:rPr>
          <w:rFonts w:ascii="ITC Avant Garde" w:hAnsi="ITC Avant Garde"/>
          <w:bCs/>
        </w:rPr>
      </w:pPr>
      <w:r w:rsidRPr="00AB1128">
        <w:rPr>
          <w:rFonts w:ascii="ITC Avant Garde" w:eastAsia="Times New Roman" w:hAnsi="ITC Avant Garde" w:cs="Arial"/>
          <w:kern w:val="1"/>
          <w:lang w:eastAsia="ar-SA"/>
        </w:rPr>
        <w:t xml:space="preserve">Por lo tanto, en cuanto al uso, aprovechamiento y explotación del espectro radioeléctrico, con base en que el arrendamiento y el subarrendamiento tienen la misma naturaleza, </w:t>
      </w:r>
      <w:r>
        <w:rPr>
          <w:rFonts w:ascii="ITC Avant Garde" w:eastAsia="Times New Roman" w:hAnsi="ITC Avant Garde" w:cs="Arial"/>
          <w:kern w:val="1"/>
          <w:lang w:eastAsia="ar-SA"/>
        </w:rPr>
        <w:t xml:space="preserve">y que una </w:t>
      </w:r>
      <w:r w:rsidR="00D61EDC">
        <w:rPr>
          <w:rFonts w:ascii="ITC Avant Garde" w:eastAsia="Times New Roman" w:hAnsi="ITC Avant Garde" w:cs="Arial"/>
          <w:kern w:val="1"/>
          <w:lang w:eastAsia="ar-SA"/>
        </w:rPr>
        <w:t>figura deriva</w:t>
      </w:r>
      <w:r>
        <w:rPr>
          <w:rFonts w:ascii="ITC Avant Garde" w:eastAsia="Times New Roman" w:hAnsi="ITC Avant Garde" w:cs="Arial"/>
          <w:kern w:val="1"/>
          <w:lang w:eastAsia="ar-SA"/>
        </w:rPr>
        <w:t xml:space="preserve"> de la otra, </w:t>
      </w:r>
      <w:r w:rsidRPr="00AB1128">
        <w:rPr>
          <w:rFonts w:ascii="ITC Avant Garde" w:eastAsia="Times New Roman" w:hAnsi="ITC Avant Garde" w:cs="Arial"/>
          <w:kern w:val="1"/>
          <w:lang w:eastAsia="ar-SA"/>
        </w:rPr>
        <w:t xml:space="preserve">en ejercicio de su facultad regulatoria, </w:t>
      </w:r>
      <w:r>
        <w:rPr>
          <w:rFonts w:ascii="ITC Avant Garde" w:eastAsia="Times New Roman" w:hAnsi="ITC Avant Garde" w:cs="Arial"/>
          <w:kern w:val="1"/>
          <w:lang w:eastAsia="ar-SA"/>
        </w:rPr>
        <w:t xml:space="preserve">atendiendo la obligación legal del Instituto para regular el arrendamiento, </w:t>
      </w:r>
      <w:r w:rsidRPr="00AB1128">
        <w:rPr>
          <w:rFonts w:ascii="ITC Avant Garde" w:eastAsia="Times New Roman" w:hAnsi="ITC Avant Garde" w:cs="Arial"/>
          <w:kern w:val="1"/>
          <w:lang w:eastAsia="ar-SA"/>
        </w:rPr>
        <w:t xml:space="preserve">el Instituto ejerce su función respecto </w:t>
      </w:r>
      <w:r w:rsidR="00D61EDC">
        <w:rPr>
          <w:rFonts w:ascii="ITC Avant Garde" w:eastAsia="Times New Roman" w:hAnsi="ITC Avant Garde" w:cs="Arial"/>
          <w:kern w:val="1"/>
          <w:lang w:eastAsia="ar-SA"/>
        </w:rPr>
        <w:t xml:space="preserve">estas </w:t>
      </w:r>
      <w:r w:rsidRPr="00AB1128">
        <w:rPr>
          <w:rFonts w:ascii="ITC Avant Garde" w:eastAsia="Times New Roman" w:hAnsi="ITC Avant Garde" w:cs="Arial"/>
          <w:kern w:val="1"/>
          <w:lang w:eastAsia="ar-SA"/>
        </w:rPr>
        <w:t>dos figuras que tienen un objetivo común</w:t>
      </w:r>
      <w:r w:rsidR="00D61EDC">
        <w:rPr>
          <w:rFonts w:ascii="ITC Avant Garde" w:eastAsia="Times New Roman" w:hAnsi="ITC Avant Garde" w:cs="Arial"/>
          <w:kern w:val="1"/>
          <w:lang w:eastAsia="ar-SA"/>
        </w:rPr>
        <w:t xml:space="preserve"> y que no </w:t>
      </w:r>
      <w:r w:rsidR="00D356EA">
        <w:rPr>
          <w:rFonts w:ascii="ITC Avant Garde" w:eastAsia="Times New Roman" w:hAnsi="ITC Avant Garde" w:cs="Arial"/>
          <w:kern w:val="1"/>
          <w:lang w:eastAsia="ar-SA"/>
        </w:rPr>
        <w:t>son</w:t>
      </w:r>
      <w:r w:rsidR="00D61EDC">
        <w:rPr>
          <w:rFonts w:ascii="ITC Avant Garde" w:eastAsia="Times New Roman" w:hAnsi="ITC Avant Garde" w:cs="Arial"/>
          <w:kern w:val="1"/>
          <w:lang w:eastAsia="ar-SA"/>
        </w:rPr>
        <w:t xml:space="preserve"> contrari</w:t>
      </w:r>
      <w:r w:rsidR="00D356EA">
        <w:rPr>
          <w:rFonts w:ascii="ITC Avant Garde" w:eastAsia="Times New Roman" w:hAnsi="ITC Avant Garde" w:cs="Arial"/>
          <w:kern w:val="1"/>
          <w:lang w:eastAsia="ar-SA"/>
        </w:rPr>
        <w:t>as</w:t>
      </w:r>
      <w:r w:rsidR="009033FC">
        <w:rPr>
          <w:rFonts w:ascii="ITC Avant Garde" w:eastAsia="Times New Roman" w:hAnsi="ITC Avant Garde" w:cs="Arial"/>
          <w:kern w:val="1"/>
          <w:lang w:eastAsia="ar-SA"/>
        </w:rPr>
        <w:t xml:space="preserve"> a lo prescrito en la Ley</w:t>
      </w:r>
      <w:r w:rsidR="00D356EA">
        <w:rPr>
          <w:rFonts w:ascii="ITC Avant Garde" w:eastAsia="Times New Roman" w:hAnsi="ITC Avant Garde" w:cs="Arial"/>
          <w:kern w:val="1"/>
          <w:lang w:eastAsia="ar-SA"/>
        </w:rPr>
        <w:t xml:space="preserve">, </w:t>
      </w:r>
      <w:r w:rsidR="00D356EA">
        <w:rPr>
          <w:rFonts w:ascii="ITC Avant Garde" w:hAnsi="ITC Avant Garde"/>
          <w:bCs/>
        </w:rPr>
        <w:t>c</w:t>
      </w:r>
      <w:r w:rsidR="00582FF5" w:rsidRPr="00350C19">
        <w:rPr>
          <w:rFonts w:ascii="ITC Avant Garde" w:hAnsi="ITC Avant Garde"/>
          <w:bCs/>
        </w:rPr>
        <w:t>onsiderando que e</w:t>
      </w:r>
      <w:r w:rsidR="00582FF5" w:rsidRPr="00350C19">
        <w:rPr>
          <w:rFonts w:ascii="ITC Avant Garde" w:eastAsiaTheme="minorHAnsi" w:hAnsi="ITC Avant Garde" w:cstheme="minorBidi"/>
          <w:bCs/>
        </w:rPr>
        <w:t xml:space="preserve">l espectro radioeléctrico constituye un bien </w:t>
      </w:r>
      <w:r w:rsidR="00582FF5" w:rsidRPr="00350C19">
        <w:rPr>
          <w:rFonts w:ascii="ITC Avant Garde" w:hAnsi="ITC Avant Garde" w:cstheme="minorBidi"/>
          <w:bCs/>
        </w:rPr>
        <w:t>de dominio público de la Nación, cuya titularidad y administración corresponde al Estado</w:t>
      </w:r>
      <w:r w:rsidR="000156D0">
        <w:rPr>
          <w:rFonts w:ascii="ITC Avant Garde" w:hAnsi="ITC Avant Garde" w:cstheme="minorBidi"/>
          <w:bCs/>
        </w:rPr>
        <w:t xml:space="preserve">, </w:t>
      </w:r>
      <w:r w:rsidR="00D356EA">
        <w:rPr>
          <w:rFonts w:ascii="ITC Avant Garde" w:hAnsi="ITC Avant Garde"/>
          <w:bCs/>
        </w:rPr>
        <w:t>a través d</w:t>
      </w:r>
      <w:r w:rsidR="00582FF5" w:rsidRPr="00B72C13">
        <w:rPr>
          <w:rFonts w:ascii="ITC Avant Garde" w:eastAsiaTheme="minorHAnsi" w:hAnsi="ITC Avant Garde" w:cstheme="minorBidi"/>
          <w:bCs/>
        </w:rPr>
        <w:t>el Instituto</w:t>
      </w:r>
      <w:r w:rsidR="00D356EA">
        <w:rPr>
          <w:rFonts w:ascii="ITC Avant Garde" w:eastAsiaTheme="minorHAnsi" w:hAnsi="ITC Avant Garde" w:cstheme="minorBidi"/>
          <w:bCs/>
        </w:rPr>
        <w:t>, el cual</w:t>
      </w:r>
      <w:r w:rsidR="00582FF5" w:rsidRPr="00B72C13">
        <w:rPr>
          <w:rFonts w:ascii="ITC Avant Garde" w:eastAsiaTheme="minorHAnsi" w:hAnsi="ITC Avant Garde" w:cstheme="minorBidi"/>
          <w:bCs/>
        </w:rPr>
        <w:t xml:space="preserve"> pe</w:t>
      </w:r>
      <w:r w:rsidR="00582FF5" w:rsidRPr="00350C19">
        <w:rPr>
          <w:rFonts w:ascii="ITC Avant Garde" w:eastAsiaTheme="minorHAnsi" w:hAnsi="ITC Avant Garde" w:cstheme="minorBidi"/>
          <w:bCs/>
        </w:rPr>
        <w:t>rseguirá</w:t>
      </w:r>
      <w:r w:rsidR="00CD0F3D">
        <w:rPr>
          <w:rFonts w:ascii="ITC Avant Garde" w:eastAsiaTheme="minorHAnsi" w:hAnsi="ITC Avant Garde" w:cstheme="minorBidi"/>
          <w:bCs/>
        </w:rPr>
        <w:t>,</w:t>
      </w:r>
      <w:r w:rsidR="00582FF5" w:rsidRPr="00350C19">
        <w:rPr>
          <w:rFonts w:ascii="ITC Avant Garde" w:eastAsiaTheme="minorHAnsi" w:hAnsi="ITC Avant Garde" w:cstheme="minorBidi"/>
          <w:bCs/>
        </w:rPr>
        <w:t xml:space="preserve"> entre otros, objetivos</w:t>
      </w:r>
      <w:r w:rsidR="00582FF5" w:rsidRPr="00B72C13">
        <w:rPr>
          <w:rFonts w:ascii="ITC Avant Garde" w:eastAsiaTheme="minorHAnsi" w:hAnsi="ITC Avant Garde" w:cstheme="minorBidi"/>
          <w:bCs/>
        </w:rPr>
        <w:t xml:space="preserve"> generales en beneficio</w:t>
      </w:r>
      <w:r w:rsidR="00582FF5" w:rsidRPr="00350C19">
        <w:rPr>
          <w:rFonts w:ascii="ITC Avant Garde" w:eastAsiaTheme="minorHAnsi" w:hAnsi="ITC Avant Garde" w:cstheme="minorBidi"/>
          <w:bCs/>
        </w:rPr>
        <w:t xml:space="preserve"> </w:t>
      </w:r>
      <w:r w:rsidR="00582FF5" w:rsidRPr="00B72C13">
        <w:rPr>
          <w:rFonts w:ascii="ITC Avant Garde" w:eastAsiaTheme="minorHAnsi" w:hAnsi="ITC Avant Garde" w:cstheme="minorBidi"/>
          <w:bCs/>
        </w:rPr>
        <w:t>de los</w:t>
      </w:r>
      <w:r w:rsidR="00582FF5" w:rsidRPr="00350C19">
        <w:rPr>
          <w:rFonts w:ascii="ITC Avant Garde" w:eastAsiaTheme="minorHAnsi" w:hAnsi="ITC Avant Garde" w:cstheme="minorBidi"/>
          <w:bCs/>
        </w:rPr>
        <w:t xml:space="preserve"> usuarios, tales como e</w:t>
      </w:r>
      <w:r w:rsidR="00582FF5" w:rsidRPr="00B72C13">
        <w:rPr>
          <w:rFonts w:ascii="ITC Avant Garde" w:eastAsiaTheme="minorHAnsi" w:hAnsi="ITC Avant Garde" w:cstheme="minorBidi"/>
          <w:bCs/>
        </w:rPr>
        <w:t>l uso efic</w:t>
      </w:r>
      <w:r w:rsidR="00582FF5" w:rsidRPr="00350C19">
        <w:rPr>
          <w:rFonts w:ascii="ITC Avant Garde" w:eastAsiaTheme="minorHAnsi" w:hAnsi="ITC Avant Garde" w:cstheme="minorBidi"/>
          <w:bCs/>
        </w:rPr>
        <w:t>az del espectro y su protección</w:t>
      </w:r>
      <w:r w:rsidR="00D356EA">
        <w:rPr>
          <w:rFonts w:ascii="ITC Avant Garde" w:eastAsiaTheme="minorHAnsi" w:hAnsi="ITC Avant Garde" w:cstheme="minorBidi"/>
          <w:bCs/>
        </w:rPr>
        <w:t>, por lo que</w:t>
      </w:r>
      <w:r w:rsidR="00B4072E">
        <w:rPr>
          <w:rFonts w:ascii="ITC Avant Garde" w:eastAsiaTheme="minorHAnsi" w:hAnsi="ITC Avant Garde" w:cstheme="minorBidi"/>
          <w:bCs/>
        </w:rPr>
        <w:t xml:space="preserve"> </w:t>
      </w:r>
      <w:r w:rsidR="00582FF5" w:rsidRPr="00350C19">
        <w:rPr>
          <w:rFonts w:ascii="ITC Avant Garde" w:eastAsiaTheme="minorHAnsi" w:hAnsi="ITC Avant Garde" w:cstheme="minorBidi"/>
          <w:bCs/>
        </w:rPr>
        <w:t xml:space="preserve">resulta </w:t>
      </w:r>
      <w:r w:rsidR="00582FF5" w:rsidRPr="00350C19">
        <w:rPr>
          <w:rFonts w:ascii="ITC Avant Garde" w:hAnsi="ITC Avant Garde"/>
          <w:bCs/>
        </w:rPr>
        <w:t xml:space="preserve">de gran importancia que un recurso escaso como lo es el espectro radioeléctrico sea administrado y utilizado de la forma más racional y eficiente posible, dada su alta demanda. </w:t>
      </w:r>
    </w:p>
    <w:p w14:paraId="7886A831" w14:textId="77777777" w:rsidR="0005498E" w:rsidRPr="00350C19" w:rsidRDefault="0005498E" w:rsidP="00582FF5">
      <w:pPr>
        <w:spacing w:after="0" w:line="240" w:lineRule="auto"/>
        <w:ind w:left="284"/>
        <w:jc w:val="both"/>
        <w:rPr>
          <w:rFonts w:ascii="ITC Avant Garde" w:hAnsi="ITC Avant Garde"/>
          <w:bCs/>
        </w:rPr>
      </w:pPr>
    </w:p>
    <w:p w14:paraId="0B5F91B8" w14:textId="3346137C" w:rsidR="00582FF5" w:rsidRDefault="00D356EA" w:rsidP="00582FF5">
      <w:pPr>
        <w:spacing w:after="0" w:line="240" w:lineRule="auto"/>
        <w:ind w:left="284"/>
        <w:jc w:val="both"/>
        <w:rPr>
          <w:rFonts w:ascii="ITC Avant Garde" w:hAnsi="ITC Avant Garde"/>
        </w:rPr>
      </w:pPr>
      <w:r>
        <w:rPr>
          <w:rFonts w:ascii="ITC Avant Garde" w:hAnsi="ITC Avant Garde"/>
          <w:bCs/>
        </w:rPr>
        <w:t>Se considera</w:t>
      </w:r>
      <w:r w:rsidRPr="00350C19">
        <w:rPr>
          <w:rFonts w:ascii="ITC Avant Garde" w:hAnsi="ITC Avant Garde"/>
          <w:bCs/>
        </w:rPr>
        <w:t xml:space="preserve"> </w:t>
      </w:r>
      <w:r w:rsidR="00CD0F3D">
        <w:rPr>
          <w:rFonts w:ascii="ITC Avant Garde" w:hAnsi="ITC Avant Garde"/>
          <w:bCs/>
        </w:rPr>
        <w:t xml:space="preserve">entonces </w:t>
      </w:r>
      <w:r w:rsidR="00582FF5" w:rsidRPr="00350C19">
        <w:rPr>
          <w:rFonts w:ascii="ITC Avant Garde" w:hAnsi="ITC Avant Garde"/>
          <w:bCs/>
        </w:rPr>
        <w:t xml:space="preserve">procedente considerar el </w:t>
      </w:r>
      <w:r w:rsidR="00CD0F3D">
        <w:rPr>
          <w:rFonts w:ascii="ITC Avant Garde" w:hAnsi="ITC Avant Garde"/>
          <w:bCs/>
        </w:rPr>
        <w:t>s</w:t>
      </w:r>
      <w:r w:rsidR="00582FF5" w:rsidRPr="00350C19">
        <w:rPr>
          <w:rFonts w:ascii="ITC Avant Garde" w:hAnsi="ITC Avant Garde"/>
          <w:bCs/>
        </w:rPr>
        <w:t>ubarrendamiento</w:t>
      </w:r>
      <w:r w:rsidR="0012481E">
        <w:rPr>
          <w:rFonts w:ascii="ITC Avant Garde" w:hAnsi="ITC Avant Garde"/>
          <w:bCs/>
        </w:rPr>
        <w:t>,</w:t>
      </w:r>
      <w:r w:rsidR="00582FF5" w:rsidRPr="00350C19">
        <w:rPr>
          <w:rFonts w:ascii="ITC Avant Garde" w:hAnsi="ITC Avant Garde"/>
          <w:bCs/>
        </w:rPr>
        <w:t xml:space="preserve"> </w:t>
      </w:r>
      <w:r w:rsidR="000E0905">
        <w:rPr>
          <w:rFonts w:ascii="ITC Avant Garde" w:hAnsi="ITC Avant Garde"/>
          <w:bCs/>
        </w:rPr>
        <w:t xml:space="preserve">en caso de contar con el consentimiento expreso del arrendador en el contrato de arrendamiento, a efecto de que el arrendatario pueda subarrendar en todo o en parte el uso, aprovechamiento y/o explotación, según corresponda, de una o más bandas de frecuencias, materia de éste, previa autorización del Instituto. </w:t>
      </w:r>
      <w:r w:rsidR="00582FF5" w:rsidRPr="00350C19">
        <w:rPr>
          <w:rFonts w:ascii="ITC Avant Garde" w:hAnsi="ITC Avant Garde"/>
          <w:bCs/>
        </w:rPr>
        <w:t>De esta forma</w:t>
      </w:r>
      <w:r w:rsidR="002C199A">
        <w:rPr>
          <w:rFonts w:ascii="ITC Avant Garde" w:hAnsi="ITC Avant Garde"/>
          <w:bCs/>
        </w:rPr>
        <w:t>,</w:t>
      </w:r>
      <w:r w:rsidR="00582FF5" w:rsidRPr="00350C19">
        <w:rPr>
          <w:rFonts w:ascii="ITC Avant Garde" w:hAnsi="ITC Avant Garde"/>
          <w:bCs/>
        </w:rPr>
        <w:t xml:space="preserve"> bajo las condiciones establecidas en los Lineamientos</w:t>
      </w:r>
      <w:r w:rsidR="00CD0F3D">
        <w:rPr>
          <w:rFonts w:ascii="ITC Avant Garde" w:hAnsi="ITC Avant Garde"/>
          <w:bCs/>
        </w:rPr>
        <w:t>,</w:t>
      </w:r>
      <w:r w:rsidR="00582FF5" w:rsidRPr="00350C19">
        <w:rPr>
          <w:rFonts w:ascii="ITC Avant Garde" w:hAnsi="ITC Avant Garde"/>
          <w:bCs/>
        </w:rPr>
        <w:t xml:space="preserve"> se mantiene un </w:t>
      </w:r>
      <w:r w:rsidR="00582FF5" w:rsidRPr="00350C19">
        <w:rPr>
          <w:rFonts w:ascii="ITC Avant Garde" w:hAnsi="ITC Avant Garde"/>
        </w:rPr>
        <w:t>control sobre la administración y asignación de dicho bien de dominio público, a efecto de evitar cualquier actuación de los particulares en detrimento de la rectoría que se debe ejercer al respecto, garantizando el cumplimiento oportuno a las obligaciones originales de los títulos de concesión para usar el espectro de manera eficiente, evitando que se gener</w:t>
      </w:r>
      <w:r w:rsidR="00CD0F3D">
        <w:rPr>
          <w:rFonts w:ascii="ITC Avant Garde" w:hAnsi="ITC Avant Garde"/>
        </w:rPr>
        <w:t>en</w:t>
      </w:r>
      <w:r w:rsidR="00582FF5" w:rsidRPr="00350C19">
        <w:rPr>
          <w:rFonts w:ascii="ITC Avant Garde" w:hAnsi="ITC Avant Garde"/>
        </w:rPr>
        <w:t xml:space="preserve"> efectos nocivos al proceso de competencia económica.</w:t>
      </w:r>
    </w:p>
    <w:p w14:paraId="5A794D6B" w14:textId="67967A43" w:rsidR="007244A1" w:rsidRDefault="007244A1" w:rsidP="00582FF5">
      <w:pPr>
        <w:spacing w:after="0" w:line="240" w:lineRule="auto"/>
        <w:ind w:left="284"/>
        <w:jc w:val="both"/>
        <w:rPr>
          <w:rFonts w:ascii="ITC Avant Garde" w:hAnsi="ITC Avant Garde"/>
        </w:rPr>
      </w:pPr>
    </w:p>
    <w:p w14:paraId="32A948C4" w14:textId="2177BFC5" w:rsidR="008916E7" w:rsidRDefault="00A37BB0" w:rsidP="00A37BB0">
      <w:pPr>
        <w:spacing w:after="0" w:line="240" w:lineRule="auto"/>
        <w:ind w:left="284"/>
        <w:jc w:val="both"/>
        <w:rPr>
          <w:rFonts w:ascii="ITC Avant Garde" w:hAnsi="ITC Avant Garde"/>
        </w:rPr>
      </w:pPr>
      <w:r>
        <w:rPr>
          <w:rFonts w:ascii="ITC Avant Garde" w:hAnsi="ITC Avant Garde"/>
        </w:rPr>
        <w:t>Para tal efecto, en los Lineamientos se establece que el s</w:t>
      </w:r>
      <w:r w:rsidRPr="007244A1">
        <w:rPr>
          <w:rFonts w:ascii="ITC Avant Garde" w:hAnsi="ITC Avant Garde"/>
        </w:rPr>
        <w:t xml:space="preserve">ubarrendatario no podrá subarrendar </w:t>
      </w:r>
      <w:r w:rsidR="00616F2A">
        <w:rPr>
          <w:rFonts w:ascii="ITC Avant Garde" w:hAnsi="ITC Avant Garde"/>
        </w:rPr>
        <w:t xml:space="preserve">a su vez, </w:t>
      </w:r>
      <w:r w:rsidRPr="007244A1">
        <w:rPr>
          <w:rFonts w:ascii="ITC Avant Garde" w:hAnsi="ITC Avant Garde"/>
        </w:rPr>
        <w:t>el derecho al uso, aprove</w:t>
      </w:r>
      <w:r>
        <w:rPr>
          <w:rFonts w:ascii="ITC Avant Garde" w:hAnsi="ITC Avant Garde"/>
        </w:rPr>
        <w:t xml:space="preserve">chamiento </w:t>
      </w:r>
      <w:r w:rsidR="00616F2A">
        <w:rPr>
          <w:rFonts w:ascii="ITC Avant Garde" w:hAnsi="ITC Avant Garde"/>
        </w:rPr>
        <w:t>y/</w:t>
      </w:r>
      <w:r>
        <w:rPr>
          <w:rFonts w:ascii="ITC Avant Garde" w:hAnsi="ITC Avant Garde"/>
        </w:rPr>
        <w:t>o explotación de las bandas de f</w:t>
      </w:r>
      <w:r w:rsidRPr="007244A1">
        <w:rPr>
          <w:rFonts w:ascii="ITC Avant Garde" w:hAnsi="ITC Avant Garde"/>
        </w:rPr>
        <w:t>recuencias</w:t>
      </w:r>
      <w:r>
        <w:rPr>
          <w:rFonts w:ascii="ITC Avant Garde" w:hAnsi="ITC Avant Garde"/>
        </w:rPr>
        <w:t>,</w:t>
      </w:r>
      <w:r w:rsidR="00A42BE7">
        <w:rPr>
          <w:rFonts w:ascii="ITC Avant Garde" w:hAnsi="ITC Avant Garde"/>
        </w:rPr>
        <w:t xml:space="preserve"> objeto del c</w:t>
      </w:r>
      <w:r w:rsidRPr="007244A1">
        <w:rPr>
          <w:rFonts w:ascii="ITC Avant Garde" w:hAnsi="ITC Avant Garde"/>
        </w:rPr>
        <w:t xml:space="preserve">ontrato </w:t>
      </w:r>
      <w:r w:rsidR="00616F2A">
        <w:rPr>
          <w:rFonts w:ascii="ITC Avant Garde" w:hAnsi="ITC Avant Garde"/>
        </w:rPr>
        <w:t xml:space="preserve">de </w:t>
      </w:r>
      <w:r w:rsidR="00A42BE7">
        <w:rPr>
          <w:rFonts w:ascii="ITC Avant Garde" w:hAnsi="ITC Avant Garde"/>
        </w:rPr>
        <w:t>s</w:t>
      </w:r>
      <w:r w:rsidRPr="007244A1">
        <w:rPr>
          <w:rFonts w:ascii="ITC Avant Garde" w:hAnsi="ITC Avant Garde"/>
        </w:rPr>
        <w:t>ubarrendamiento.</w:t>
      </w:r>
      <w:r>
        <w:rPr>
          <w:rFonts w:ascii="ITC Avant Garde" w:hAnsi="ITC Avant Garde"/>
        </w:rPr>
        <w:t xml:space="preserve"> </w:t>
      </w:r>
    </w:p>
    <w:p w14:paraId="47CF482B" w14:textId="77777777" w:rsidR="008916E7" w:rsidRDefault="008916E7" w:rsidP="00A37BB0">
      <w:pPr>
        <w:spacing w:after="0" w:line="240" w:lineRule="auto"/>
        <w:ind w:left="284"/>
        <w:jc w:val="both"/>
        <w:rPr>
          <w:rFonts w:ascii="ITC Avant Garde" w:hAnsi="ITC Avant Garde"/>
        </w:rPr>
      </w:pPr>
    </w:p>
    <w:p w14:paraId="598CD6B1" w14:textId="77777777" w:rsidR="00CB58BB" w:rsidRDefault="00616F2A" w:rsidP="005539CB">
      <w:pPr>
        <w:spacing w:after="0" w:line="240" w:lineRule="auto"/>
        <w:ind w:left="284"/>
        <w:jc w:val="both"/>
        <w:rPr>
          <w:rFonts w:ascii="ITC Avant Garde" w:hAnsi="ITC Avant Garde"/>
          <w:bCs/>
        </w:rPr>
      </w:pPr>
      <w:r>
        <w:rPr>
          <w:rFonts w:ascii="ITC Avant Garde" w:hAnsi="ITC Avant Garde"/>
          <w:bCs/>
        </w:rPr>
        <w:t xml:space="preserve">De igual forma, cabe señalar que las disposiciones relativas a la autorización de arrendamiento se aplicarán a la autorización del subarrendamiento, con las particularidades prescritas en el capítulo </w:t>
      </w:r>
      <w:r w:rsidR="0012481E">
        <w:rPr>
          <w:rFonts w:ascii="ITC Avant Garde" w:hAnsi="ITC Avant Garde"/>
          <w:bCs/>
        </w:rPr>
        <w:t>correspondiente</w:t>
      </w:r>
      <w:r>
        <w:rPr>
          <w:rFonts w:ascii="ITC Avant Garde" w:hAnsi="ITC Avant Garde"/>
          <w:bCs/>
        </w:rPr>
        <w:t>.</w:t>
      </w:r>
    </w:p>
    <w:p w14:paraId="78B1979F" w14:textId="4307D94F" w:rsidR="00E11178" w:rsidRDefault="00E11178" w:rsidP="005539CB">
      <w:pPr>
        <w:spacing w:after="0" w:line="240" w:lineRule="auto"/>
        <w:ind w:left="284"/>
        <w:jc w:val="both"/>
        <w:rPr>
          <w:rFonts w:ascii="ITC Avant Garde" w:hAnsi="ITC Avant Garde"/>
          <w:bCs/>
        </w:rPr>
      </w:pPr>
    </w:p>
    <w:p w14:paraId="44C17119" w14:textId="77777777" w:rsidR="00DB7068" w:rsidRDefault="00DB7068" w:rsidP="00DB7068">
      <w:pPr>
        <w:pStyle w:val="Prrafodelista"/>
        <w:numPr>
          <w:ilvl w:val="0"/>
          <w:numId w:val="36"/>
        </w:numPr>
        <w:pBdr>
          <w:top w:val="nil"/>
          <w:left w:val="nil"/>
          <w:bottom w:val="nil"/>
          <w:right w:val="nil"/>
          <w:between w:val="nil"/>
          <w:bar w:val="nil"/>
        </w:pBdr>
        <w:suppressAutoHyphens/>
        <w:ind w:left="284" w:hanging="284"/>
        <w:contextualSpacing/>
        <w:jc w:val="both"/>
        <w:rPr>
          <w:rFonts w:ascii="ITC Avant Garde" w:hAnsi="ITC Avant Garde"/>
          <w:b/>
          <w:bCs/>
          <w:sz w:val="22"/>
          <w:szCs w:val="22"/>
        </w:rPr>
      </w:pPr>
      <w:r w:rsidRPr="00E11178">
        <w:rPr>
          <w:rFonts w:ascii="ITC Avant Garde" w:hAnsi="ITC Avant Garde"/>
          <w:b/>
          <w:bCs/>
          <w:sz w:val="22"/>
          <w:szCs w:val="22"/>
        </w:rPr>
        <w:t xml:space="preserve">Reconocimiento de las </w:t>
      </w:r>
      <w:r w:rsidRPr="00E11178">
        <w:rPr>
          <w:rFonts w:ascii="ITC Avant Garde" w:eastAsia="Calibri" w:hAnsi="ITC Avant Garde"/>
          <w:b/>
          <w:color w:val="000000" w:themeColor="text1"/>
          <w:sz w:val="22"/>
          <w:szCs w:val="22"/>
        </w:rPr>
        <w:t xml:space="preserve">concesiones </w:t>
      </w:r>
      <w:r>
        <w:rPr>
          <w:rFonts w:ascii="ITC Avant Garde" w:eastAsia="Calibri" w:hAnsi="ITC Avant Garde"/>
          <w:b/>
          <w:color w:val="000000" w:themeColor="text1"/>
          <w:sz w:val="22"/>
          <w:szCs w:val="22"/>
        </w:rPr>
        <w:t xml:space="preserve">que hayan sido otorgadas al amparo de una disposición distinta a la Ley que otorguen el derecho a la prestación del servicio </w:t>
      </w:r>
      <w:r>
        <w:rPr>
          <w:rFonts w:ascii="ITC Avant Garde" w:eastAsia="Calibri" w:hAnsi="ITC Avant Garde"/>
          <w:b/>
          <w:color w:val="000000" w:themeColor="text1"/>
          <w:sz w:val="22"/>
          <w:szCs w:val="22"/>
        </w:rPr>
        <w:lastRenderedPageBreak/>
        <w:t>público de telecomunicaciones, a través de una red pública de telecomunicaciones o el servicio público de radiodifusión</w:t>
      </w:r>
      <w:r w:rsidRPr="00582FF5">
        <w:rPr>
          <w:rFonts w:ascii="ITC Avant Garde" w:hAnsi="ITC Avant Garde"/>
          <w:b/>
          <w:bCs/>
          <w:sz w:val="22"/>
          <w:szCs w:val="22"/>
        </w:rPr>
        <w:t xml:space="preserve"> </w:t>
      </w:r>
      <w:r w:rsidRPr="00582FF5">
        <w:rPr>
          <w:rFonts w:ascii="ITC Avant Garde" w:hAnsi="ITC Avant Garde"/>
          <w:bCs/>
          <w:sz w:val="22"/>
          <w:szCs w:val="22"/>
        </w:rPr>
        <w:t>Diversos comentarios</w:t>
      </w:r>
      <w:r>
        <w:rPr>
          <w:rFonts w:ascii="ITC Avant Garde" w:hAnsi="ITC Avant Garde"/>
          <w:bCs/>
          <w:sz w:val="22"/>
          <w:szCs w:val="22"/>
        </w:rPr>
        <w:t>,</w:t>
      </w:r>
      <w:r w:rsidRPr="00582FF5">
        <w:rPr>
          <w:rFonts w:ascii="ITC Avant Garde" w:hAnsi="ITC Avant Garde"/>
          <w:bCs/>
          <w:sz w:val="22"/>
          <w:szCs w:val="22"/>
        </w:rPr>
        <w:t xml:space="preserve"> opiniones y </w:t>
      </w:r>
      <w:r>
        <w:rPr>
          <w:rFonts w:ascii="ITC Avant Garde" w:hAnsi="ITC Avant Garde"/>
          <w:bCs/>
          <w:sz w:val="22"/>
          <w:szCs w:val="22"/>
        </w:rPr>
        <w:t xml:space="preserve">propuestas </w:t>
      </w:r>
      <w:r w:rsidRPr="00582FF5">
        <w:rPr>
          <w:rFonts w:ascii="ITC Avant Garde" w:hAnsi="ITC Avant Garde"/>
          <w:bCs/>
          <w:sz w:val="22"/>
          <w:szCs w:val="22"/>
        </w:rPr>
        <w:t xml:space="preserve">plantean que </w:t>
      </w:r>
      <w:r>
        <w:rPr>
          <w:rFonts w:ascii="ITC Avant Garde" w:hAnsi="ITC Avant Garde"/>
          <w:bCs/>
          <w:sz w:val="22"/>
          <w:szCs w:val="22"/>
        </w:rPr>
        <w:t xml:space="preserve">en los Lineamientos </w:t>
      </w:r>
      <w:r w:rsidRPr="00582FF5">
        <w:rPr>
          <w:rFonts w:ascii="ITC Avant Garde" w:hAnsi="ITC Avant Garde"/>
          <w:bCs/>
          <w:sz w:val="22"/>
          <w:szCs w:val="22"/>
        </w:rPr>
        <w:t>debe</w:t>
      </w:r>
      <w:r>
        <w:rPr>
          <w:rFonts w:ascii="ITC Avant Garde" w:hAnsi="ITC Avant Garde"/>
          <w:bCs/>
          <w:sz w:val="22"/>
          <w:szCs w:val="22"/>
        </w:rPr>
        <w:t xml:space="preserve"> reconocerse</w:t>
      </w:r>
      <w:r w:rsidRPr="00582FF5">
        <w:rPr>
          <w:rFonts w:ascii="ITC Avant Garde" w:hAnsi="ITC Avant Garde"/>
          <w:bCs/>
          <w:sz w:val="22"/>
          <w:szCs w:val="22"/>
        </w:rPr>
        <w:t xml:space="preserve"> </w:t>
      </w:r>
      <w:r>
        <w:rPr>
          <w:rFonts w:ascii="ITC Avant Garde" w:hAnsi="ITC Avant Garde"/>
          <w:bCs/>
          <w:sz w:val="22"/>
          <w:szCs w:val="22"/>
        </w:rPr>
        <w:t>las concesiones que se equiparan a la Concesión Única, otorgadas al amparo de las abrogadas Ley Federal de Telecomunicaciones y de la Ley Federal de Radio y Televisión.</w:t>
      </w:r>
      <w:r>
        <w:rPr>
          <w:rFonts w:ascii="ITC Avant Garde" w:hAnsi="ITC Avant Garde"/>
          <w:b/>
          <w:bCs/>
          <w:sz w:val="22"/>
          <w:szCs w:val="22"/>
        </w:rPr>
        <w:t xml:space="preserve"> </w:t>
      </w:r>
    </w:p>
    <w:p w14:paraId="4C1CAB04" w14:textId="77777777" w:rsidR="00DB7068" w:rsidRDefault="00DB7068" w:rsidP="00DB7068">
      <w:pPr>
        <w:spacing w:after="0" w:line="240" w:lineRule="auto"/>
        <w:ind w:left="284"/>
        <w:jc w:val="both"/>
        <w:rPr>
          <w:rFonts w:ascii="ITC Avant Garde" w:hAnsi="ITC Avant Garde"/>
          <w:bCs/>
        </w:rPr>
      </w:pPr>
    </w:p>
    <w:p w14:paraId="02D9979E" w14:textId="48729865" w:rsidR="00DB7068" w:rsidRDefault="00DB7068" w:rsidP="00DB7068">
      <w:pPr>
        <w:spacing w:after="0" w:line="240" w:lineRule="auto"/>
        <w:ind w:left="284"/>
        <w:jc w:val="both"/>
        <w:rPr>
          <w:rFonts w:ascii="ITC Avant Garde" w:hAnsi="ITC Avant Garde"/>
          <w:color w:val="000000" w:themeColor="text1"/>
        </w:rPr>
      </w:pPr>
      <w:r>
        <w:rPr>
          <w:rFonts w:ascii="ITC Avant Garde" w:hAnsi="ITC Avant Garde"/>
          <w:bCs/>
        </w:rPr>
        <w:t>Al respecto, cabe señalar que el Instituto reconoce y protege los derechos de los titulares de concesiones que otorguen el derecho a la prestación del servicio público de telecomunicaciones, a través de una red pública de telecomunicaciones o el servicio público de radiodifusión, a efecto de que puedan ser objeto de la autorización de a</w:t>
      </w:r>
      <w:r w:rsidRPr="00714A48">
        <w:rPr>
          <w:rFonts w:ascii="ITC Avant Garde" w:hAnsi="ITC Avant Garde"/>
          <w:color w:val="000000" w:themeColor="text1"/>
        </w:rPr>
        <w:t xml:space="preserve">rrendamiento </w:t>
      </w:r>
      <w:r>
        <w:rPr>
          <w:rFonts w:ascii="ITC Avant Garde" w:hAnsi="ITC Avant Garde"/>
          <w:color w:val="000000" w:themeColor="text1"/>
        </w:rPr>
        <w:t xml:space="preserve">y de la autorización de subarrendamiento </w:t>
      </w:r>
      <w:r w:rsidRPr="00714A48">
        <w:rPr>
          <w:rFonts w:ascii="ITC Avant Garde" w:hAnsi="ITC Avant Garde"/>
          <w:color w:val="000000" w:themeColor="text1"/>
        </w:rPr>
        <w:t>en los término</w:t>
      </w:r>
      <w:r>
        <w:rPr>
          <w:rFonts w:ascii="ITC Avant Garde" w:hAnsi="ITC Avant Garde"/>
          <w:color w:val="000000" w:themeColor="text1"/>
        </w:rPr>
        <w:t xml:space="preserve">s previstos en los Lineamientos. </w:t>
      </w:r>
    </w:p>
    <w:p w14:paraId="709A2FBC" w14:textId="77777777" w:rsidR="00DB7068" w:rsidRDefault="00DB7068" w:rsidP="00DB7068">
      <w:pPr>
        <w:spacing w:after="0" w:line="240" w:lineRule="auto"/>
        <w:ind w:left="284"/>
        <w:jc w:val="both"/>
        <w:rPr>
          <w:rFonts w:ascii="ITC Avant Garde" w:hAnsi="ITC Avant Garde"/>
          <w:color w:val="000000" w:themeColor="text1"/>
        </w:rPr>
      </w:pPr>
    </w:p>
    <w:p w14:paraId="662626FF" w14:textId="19780AFE" w:rsidR="00DB7068" w:rsidRPr="00C161E4" w:rsidRDefault="00DB7068" w:rsidP="00DB7068">
      <w:pPr>
        <w:spacing w:after="0" w:line="240" w:lineRule="auto"/>
        <w:ind w:left="284"/>
        <w:jc w:val="both"/>
        <w:rPr>
          <w:rFonts w:ascii="ITC Avant Garde" w:hAnsi="ITC Avant Garde"/>
          <w:bCs/>
        </w:rPr>
      </w:pPr>
      <w:r>
        <w:rPr>
          <w:rFonts w:ascii="ITC Avant Garde" w:hAnsi="ITC Avant Garde"/>
          <w:color w:val="000000" w:themeColor="text1"/>
        </w:rPr>
        <w:t xml:space="preserve">Lo anterior, atendiendo a la naturaleza de las concesiones otorgadas, esto es, telecomunicaciones o radiodifusión, así como las condiciones para la prestación del servicio o restricciones previstas en los títulos </w:t>
      </w:r>
      <w:r w:rsidRPr="00714A48">
        <w:rPr>
          <w:rFonts w:ascii="ITC Avant Garde" w:hAnsi="ITC Avant Garde"/>
          <w:color w:val="000000" w:themeColor="text1"/>
        </w:rPr>
        <w:t>de concesión</w:t>
      </w:r>
      <w:r>
        <w:rPr>
          <w:rFonts w:ascii="ITC Avant Garde" w:hAnsi="ITC Avant Garde"/>
          <w:color w:val="000000" w:themeColor="text1"/>
        </w:rPr>
        <w:t xml:space="preserve"> respectivos.</w:t>
      </w:r>
    </w:p>
    <w:p w14:paraId="08F33003" w14:textId="0225D436" w:rsidR="00F64F75" w:rsidRDefault="00F64F75" w:rsidP="00CF6FC7">
      <w:pPr>
        <w:spacing w:after="0" w:line="240" w:lineRule="auto"/>
        <w:ind w:left="284"/>
        <w:jc w:val="both"/>
        <w:rPr>
          <w:rFonts w:ascii="ITC Avant Garde" w:hAnsi="ITC Avant Garde"/>
          <w:kern w:val="1"/>
          <w:lang w:eastAsia="ar-SA"/>
        </w:rPr>
      </w:pPr>
    </w:p>
    <w:p w14:paraId="54A357E6" w14:textId="7139376A" w:rsidR="00F64F75" w:rsidRPr="00FF49FD" w:rsidRDefault="00F64F75" w:rsidP="00CF6FC7">
      <w:pPr>
        <w:pStyle w:val="Prrafodelista"/>
        <w:numPr>
          <w:ilvl w:val="0"/>
          <w:numId w:val="36"/>
        </w:numPr>
        <w:pBdr>
          <w:top w:val="nil"/>
          <w:left w:val="nil"/>
          <w:bottom w:val="nil"/>
          <w:right w:val="nil"/>
          <w:between w:val="nil"/>
          <w:bar w:val="nil"/>
        </w:pBdr>
        <w:suppressAutoHyphens/>
        <w:ind w:left="284" w:hanging="284"/>
        <w:contextualSpacing/>
        <w:jc w:val="both"/>
        <w:rPr>
          <w:rFonts w:ascii="ITC Avant Garde" w:hAnsi="ITC Avant Garde"/>
          <w:kern w:val="1"/>
          <w:sz w:val="22"/>
          <w:szCs w:val="22"/>
          <w:lang w:eastAsia="ar-SA"/>
        </w:rPr>
      </w:pPr>
      <w:r w:rsidRPr="00FF49FD">
        <w:rPr>
          <w:rFonts w:ascii="ITC Avant Garde" w:hAnsi="ITC Avant Garde"/>
          <w:b/>
          <w:kern w:val="1"/>
          <w:sz w:val="22"/>
          <w:szCs w:val="22"/>
          <w:lang w:eastAsia="ar-SA"/>
        </w:rPr>
        <w:t>Sistema electrónico.</w:t>
      </w:r>
      <w:r w:rsidRPr="007A125D">
        <w:rPr>
          <w:rFonts w:ascii="ITC Avant Garde" w:hAnsi="ITC Avant Garde"/>
          <w:kern w:val="1"/>
          <w:sz w:val="22"/>
          <w:szCs w:val="22"/>
          <w:lang w:eastAsia="ar-SA"/>
        </w:rPr>
        <w:t xml:space="preserve"> Diversos comentarios aluden a que el sistema electrónico para la recepción y trámite de las solicitudes y el procedimiento de su utilización deberá explicarse e implementarse antes de la entrada en vigor de los Lineamientos. </w:t>
      </w:r>
    </w:p>
    <w:p w14:paraId="196FF038" w14:textId="77777777" w:rsidR="00F64F75" w:rsidRPr="007A125D" w:rsidRDefault="00F64F75" w:rsidP="00F64F75">
      <w:pPr>
        <w:spacing w:after="0" w:line="240" w:lineRule="auto"/>
        <w:ind w:left="284"/>
        <w:jc w:val="both"/>
        <w:rPr>
          <w:rFonts w:ascii="ITC Avant Garde" w:hAnsi="ITC Avant Garde"/>
          <w:kern w:val="1"/>
          <w:lang w:eastAsia="ar-SA"/>
        </w:rPr>
      </w:pPr>
    </w:p>
    <w:p w14:paraId="472338CA" w14:textId="7805E12B" w:rsidR="00F64F75" w:rsidRPr="007A125D" w:rsidRDefault="00F64F75" w:rsidP="00CF6FC7">
      <w:pPr>
        <w:spacing w:after="0" w:line="240" w:lineRule="auto"/>
        <w:ind w:left="284"/>
        <w:jc w:val="both"/>
        <w:rPr>
          <w:rFonts w:ascii="ITC Avant Garde" w:hAnsi="ITC Avant Garde"/>
          <w:kern w:val="1"/>
          <w:lang w:eastAsia="ar-SA"/>
        </w:rPr>
      </w:pPr>
      <w:r w:rsidRPr="007A125D">
        <w:rPr>
          <w:rFonts w:ascii="ITC Avant Garde" w:hAnsi="ITC Avant Garde"/>
          <w:kern w:val="1"/>
          <w:lang w:eastAsia="ar-SA"/>
        </w:rPr>
        <w:t>Al respecto, con la finalidad de otorgar certeza a los interesados respecto de la presentación de las solicitudes de autorización de arrendamiento y de solicitudes de autorización de subarrendamiento, se acordó eliminar la previsión que nos ocupa, con la finalidad de que el</w:t>
      </w:r>
      <w:r w:rsidR="001A4AE6" w:rsidRPr="007A125D">
        <w:rPr>
          <w:rFonts w:ascii="ITC Avant Garde" w:hAnsi="ITC Avant Garde"/>
          <w:kern w:val="1"/>
          <w:lang w:eastAsia="ar-SA"/>
        </w:rPr>
        <w:t xml:space="preserve"> interesado cumpla con la forma de presentación dispuesta en los Lineamientos. </w:t>
      </w:r>
    </w:p>
    <w:p w14:paraId="06CC60A1" w14:textId="77777777" w:rsidR="00707312" w:rsidRDefault="00707312" w:rsidP="005539CB">
      <w:pPr>
        <w:spacing w:after="0" w:line="240" w:lineRule="auto"/>
        <w:ind w:left="284"/>
        <w:jc w:val="both"/>
        <w:rPr>
          <w:rFonts w:ascii="ITC Avant Garde" w:hAnsi="ITC Avant Garde"/>
          <w:bCs/>
        </w:rPr>
      </w:pPr>
    </w:p>
    <w:p w14:paraId="7F125C0A" w14:textId="1E1E2F9C" w:rsidR="00B255A4" w:rsidRDefault="00B07E53"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r>
        <w:rPr>
          <w:rFonts w:ascii="ITC Avant Garde" w:eastAsia="Times New Roman" w:hAnsi="ITC Avant Garde" w:cs="TimesNewRomanPS-BoldMT"/>
          <w:bCs/>
          <w:szCs w:val="21"/>
          <w:lang w:val="es-ES" w:eastAsia="es-ES"/>
        </w:rPr>
        <w:t>En resumen</w:t>
      </w:r>
      <w:r w:rsidR="00CD0F3D">
        <w:rPr>
          <w:rFonts w:ascii="ITC Avant Garde" w:eastAsia="Times New Roman" w:hAnsi="ITC Avant Garde" w:cs="TimesNewRomanPS-BoldMT"/>
          <w:bCs/>
          <w:szCs w:val="21"/>
          <w:lang w:val="es-ES" w:eastAsia="es-ES"/>
        </w:rPr>
        <w:t>,</w:t>
      </w:r>
      <w:r>
        <w:rPr>
          <w:rFonts w:ascii="ITC Avant Garde" w:eastAsia="Times New Roman" w:hAnsi="ITC Avant Garde" w:cs="TimesNewRomanPS-BoldMT"/>
          <w:bCs/>
          <w:szCs w:val="21"/>
          <w:lang w:val="es-ES" w:eastAsia="es-ES"/>
        </w:rPr>
        <w:t xml:space="preserve"> los </w:t>
      </w:r>
      <w:r w:rsidR="00B255A4">
        <w:rPr>
          <w:rFonts w:ascii="ITC Avant Garde" w:eastAsia="Times New Roman" w:hAnsi="ITC Avant Garde" w:cs="TimesNewRomanPS-BoldMT"/>
          <w:bCs/>
          <w:szCs w:val="21"/>
          <w:lang w:val="es-ES" w:eastAsia="es-ES"/>
        </w:rPr>
        <w:t xml:space="preserve">temas </w:t>
      </w:r>
      <w:r>
        <w:rPr>
          <w:rFonts w:ascii="ITC Avant Garde" w:eastAsia="Times New Roman" w:hAnsi="ITC Avant Garde" w:cs="TimesNewRomanPS-BoldMT"/>
          <w:bCs/>
          <w:szCs w:val="21"/>
          <w:lang w:val="es-ES" w:eastAsia="es-ES"/>
        </w:rPr>
        <w:t xml:space="preserve">expuestos </w:t>
      </w:r>
      <w:r w:rsidR="00B255A4">
        <w:rPr>
          <w:rFonts w:ascii="ITC Avant Garde" w:eastAsia="Times New Roman" w:hAnsi="ITC Avant Garde" w:cs="TimesNewRomanPS-BoldMT"/>
          <w:bCs/>
          <w:szCs w:val="21"/>
          <w:lang w:val="es-ES" w:eastAsia="es-ES"/>
        </w:rPr>
        <w:t xml:space="preserve">reflejan las modificaciones efectuadas en el Anteproyecto sometido a </w:t>
      </w:r>
      <w:r w:rsidR="002A3BEE">
        <w:rPr>
          <w:rFonts w:ascii="ITC Avant Garde" w:eastAsia="Times New Roman" w:hAnsi="ITC Avant Garde" w:cs="TimesNewRomanPS-BoldMT"/>
          <w:bCs/>
          <w:szCs w:val="21"/>
          <w:lang w:val="es-ES" w:eastAsia="es-ES"/>
        </w:rPr>
        <w:t>c</w:t>
      </w:r>
      <w:r w:rsidR="00B255A4">
        <w:rPr>
          <w:rFonts w:ascii="ITC Avant Garde" w:eastAsia="Times New Roman" w:hAnsi="ITC Avant Garde" w:cs="TimesNewRomanPS-BoldMT"/>
          <w:bCs/>
          <w:szCs w:val="21"/>
          <w:lang w:val="es-ES" w:eastAsia="es-ES"/>
        </w:rPr>
        <w:t xml:space="preserve">onsulta </w:t>
      </w:r>
      <w:r w:rsidR="002A3BEE">
        <w:rPr>
          <w:rFonts w:ascii="ITC Avant Garde" w:eastAsia="Times New Roman" w:hAnsi="ITC Avant Garde" w:cs="TimesNewRomanPS-BoldMT"/>
          <w:bCs/>
          <w:szCs w:val="21"/>
          <w:lang w:val="es-ES" w:eastAsia="es-ES"/>
        </w:rPr>
        <w:t>p</w:t>
      </w:r>
      <w:r w:rsidR="00B255A4">
        <w:rPr>
          <w:rFonts w:ascii="ITC Avant Garde" w:eastAsia="Times New Roman" w:hAnsi="ITC Avant Garde" w:cs="TimesNewRomanPS-BoldMT"/>
          <w:bCs/>
          <w:szCs w:val="21"/>
          <w:lang w:val="es-ES" w:eastAsia="es-ES"/>
        </w:rPr>
        <w:t>ública</w:t>
      </w:r>
      <w:r>
        <w:rPr>
          <w:rFonts w:ascii="ITC Avant Garde" w:eastAsia="Times New Roman" w:hAnsi="ITC Avant Garde" w:cs="TimesNewRomanPS-BoldMT"/>
          <w:bCs/>
          <w:szCs w:val="21"/>
          <w:lang w:val="es-ES" w:eastAsia="es-ES"/>
        </w:rPr>
        <w:t xml:space="preserve"> a raíz de los resultados obtenidos en </w:t>
      </w:r>
      <w:r w:rsidR="00BF1B02">
        <w:rPr>
          <w:rFonts w:ascii="ITC Avant Garde" w:eastAsia="Times New Roman" w:hAnsi="ITC Avant Garde" w:cs="TimesNewRomanPS-BoldMT"/>
          <w:bCs/>
          <w:szCs w:val="21"/>
          <w:lang w:val="es-ES" w:eastAsia="es-ES"/>
        </w:rPr>
        <w:t xml:space="preserve">dicho </w:t>
      </w:r>
      <w:r>
        <w:rPr>
          <w:rFonts w:ascii="ITC Avant Garde" w:eastAsia="Times New Roman" w:hAnsi="ITC Avant Garde" w:cs="TimesNewRomanPS-BoldMT"/>
          <w:bCs/>
          <w:szCs w:val="21"/>
          <w:lang w:val="es-ES" w:eastAsia="es-ES"/>
        </w:rPr>
        <w:t>proceso</w:t>
      </w:r>
      <w:r w:rsidR="00B255A4">
        <w:rPr>
          <w:rFonts w:ascii="ITC Avant Garde" w:eastAsia="Times New Roman" w:hAnsi="ITC Avant Garde" w:cs="TimesNewRomanPS-BoldMT"/>
          <w:bCs/>
          <w:szCs w:val="21"/>
          <w:lang w:val="es-ES" w:eastAsia="es-ES"/>
        </w:rPr>
        <w:t xml:space="preserve">. </w:t>
      </w:r>
    </w:p>
    <w:p w14:paraId="027CD455" w14:textId="333F295B" w:rsidR="001E4DF1" w:rsidRDefault="001E4DF1"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p>
    <w:p w14:paraId="19D0BB24" w14:textId="3DF24025" w:rsidR="00F37C4D" w:rsidRDefault="00F37C4D"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r>
        <w:rPr>
          <w:rFonts w:ascii="ITC Avant Garde" w:eastAsia="Times New Roman" w:hAnsi="ITC Avant Garde" w:cs="TimesNewRomanPS-BoldMT"/>
          <w:bCs/>
          <w:szCs w:val="21"/>
          <w:lang w:val="es-ES" w:eastAsia="es-ES"/>
        </w:rPr>
        <w:t xml:space="preserve">Finalmente, cabe señalar que el documento que da atención a los comentarios, opiniones y propuestas </w:t>
      </w:r>
      <w:r w:rsidR="0009555E">
        <w:rPr>
          <w:rFonts w:ascii="ITC Avant Garde" w:eastAsia="Times New Roman" w:hAnsi="ITC Avant Garde" w:cs="TimesNewRomanPS-BoldMT"/>
          <w:bCs/>
          <w:szCs w:val="21"/>
          <w:lang w:val="es-ES" w:eastAsia="es-ES"/>
        </w:rPr>
        <w:t xml:space="preserve">concretas </w:t>
      </w:r>
      <w:r>
        <w:rPr>
          <w:rFonts w:ascii="ITC Avant Garde" w:eastAsia="Times New Roman" w:hAnsi="ITC Avant Garde" w:cs="TimesNewRomanPS-BoldMT"/>
          <w:bCs/>
          <w:szCs w:val="21"/>
          <w:lang w:val="es-ES" w:eastAsia="es-ES"/>
        </w:rPr>
        <w:t xml:space="preserve">recibidas, derivado de la </w:t>
      </w:r>
      <w:r w:rsidR="002A3BEE">
        <w:rPr>
          <w:rFonts w:ascii="ITC Avant Garde" w:eastAsia="Times New Roman" w:hAnsi="ITC Avant Garde" w:cs="TimesNewRomanPS-BoldMT"/>
          <w:bCs/>
          <w:szCs w:val="21"/>
          <w:lang w:val="es-ES" w:eastAsia="es-ES"/>
        </w:rPr>
        <w:t>c</w:t>
      </w:r>
      <w:r>
        <w:rPr>
          <w:rFonts w:ascii="ITC Avant Garde" w:eastAsia="Times New Roman" w:hAnsi="ITC Avant Garde" w:cs="TimesNewRomanPS-BoldMT"/>
          <w:bCs/>
          <w:szCs w:val="21"/>
          <w:lang w:val="es-ES" w:eastAsia="es-ES"/>
        </w:rPr>
        <w:t xml:space="preserve">onsulta </w:t>
      </w:r>
      <w:r w:rsidR="002A3BEE">
        <w:rPr>
          <w:rFonts w:ascii="ITC Avant Garde" w:eastAsia="Times New Roman" w:hAnsi="ITC Avant Garde" w:cs="TimesNewRomanPS-BoldMT"/>
          <w:bCs/>
          <w:szCs w:val="21"/>
          <w:lang w:val="es-ES" w:eastAsia="es-ES"/>
        </w:rPr>
        <w:t>p</w:t>
      </w:r>
      <w:r>
        <w:rPr>
          <w:rFonts w:ascii="ITC Avant Garde" w:eastAsia="Times New Roman" w:hAnsi="ITC Avant Garde" w:cs="TimesNewRomanPS-BoldMT"/>
          <w:bCs/>
          <w:szCs w:val="21"/>
          <w:lang w:val="es-ES" w:eastAsia="es-ES"/>
        </w:rPr>
        <w:t>ública del Anteproyecto a que se refiere</w:t>
      </w:r>
      <w:r w:rsidR="002A3BEE">
        <w:rPr>
          <w:rFonts w:ascii="ITC Avant Garde" w:eastAsia="Times New Roman" w:hAnsi="ITC Avant Garde" w:cs="TimesNewRomanPS-BoldMT"/>
          <w:bCs/>
          <w:szCs w:val="21"/>
          <w:lang w:val="es-ES" w:eastAsia="es-ES"/>
        </w:rPr>
        <w:t>n</w:t>
      </w:r>
      <w:r>
        <w:rPr>
          <w:rFonts w:ascii="ITC Avant Garde" w:eastAsia="Times New Roman" w:hAnsi="ITC Avant Garde" w:cs="TimesNewRomanPS-BoldMT"/>
          <w:bCs/>
          <w:szCs w:val="21"/>
          <w:lang w:val="es-ES" w:eastAsia="es-ES"/>
        </w:rPr>
        <w:t xml:space="preserve"> </w:t>
      </w:r>
      <w:r w:rsidR="00E84C1E">
        <w:rPr>
          <w:rFonts w:ascii="ITC Avant Garde" w:eastAsia="Times New Roman" w:hAnsi="ITC Avant Garde" w:cs="TimesNewRomanPS-BoldMT"/>
          <w:bCs/>
          <w:szCs w:val="21"/>
          <w:lang w:val="es-ES" w:eastAsia="es-ES"/>
        </w:rPr>
        <w:t>los antecedentes</w:t>
      </w:r>
      <w:r>
        <w:rPr>
          <w:rFonts w:ascii="ITC Avant Garde" w:eastAsia="Times New Roman" w:hAnsi="ITC Avant Garde" w:cs="TimesNewRomanPS-BoldMT"/>
          <w:bCs/>
          <w:szCs w:val="21"/>
          <w:lang w:val="es-ES" w:eastAsia="es-ES"/>
        </w:rPr>
        <w:t xml:space="preserve"> del presente </w:t>
      </w:r>
      <w:r w:rsidR="002E6ECA">
        <w:rPr>
          <w:rFonts w:ascii="ITC Avant Garde" w:eastAsia="Times New Roman" w:hAnsi="ITC Avant Garde" w:cs="TimesNewRomanPS-BoldMT"/>
          <w:bCs/>
          <w:szCs w:val="21"/>
          <w:lang w:val="es-ES" w:eastAsia="es-ES"/>
        </w:rPr>
        <w:t>A</w:t>
      </w:r>
      <w:r>
        <w:rPr>
          <w:rFonts w:ascii="ITC Avant Garde" w:eastAsia="Times New Roman" w:hAnsi="ITC Avant Garde" w:cs="TimesNewRomanPS-BoldMT"/>
          <w:bCs/>
          <w:szCs w:val="21"/>
          <w:lang w:val="es-ES" w:eastAsia="es-ES"/>
        </w:rPr>
        <w:t>cuerdo</w:t>
      </w:r>
      <w:r w:rsidR="00CD0F3D">
        <w:rPr>
          <w:rFonts w:ascii="ITC Avant Garde" w:eastAsia="Times New Roman" w:hAnsi="ITC Avant Garde" w:cs="TimesNewRomanPS-BoldMT"/>
          <w:bCs/>
          <w:szCs w:val="21"/>
          <w:lang w:val="es-ES" w:eastAsia="es-ES"/>
        </w:rPr>
        <w:t>,</w:t>
      </w:r>
      <w:r>
        <w:rPr>
          <w:rFonts w:ascii="ITC Avant Garde" w:eastAsia="Times New Roman" w:hAnsi="ITC Avant Garde" w:cs="TimesNewRomanPS-BoldMT"/>
          <w:bCs/>
          <w:szCs w:val="21"/>
          <w:lang w:val="es-ES" w:eastAsia="es-ES"/>
        </w:rPr>
        <w:t xml:space="preserve"> estará disponible en el portal de Internet de este Instituto. </w:t>
      </w:r>
    </w:p>
    <w:p w14:paraId="77A811F7" w14:textId="77777777" w:rsidR="00F37C4D" w:rsidRDefault="00F37C4D" w:rsidP="00F003B2">
      <w:pPr>
        <w:pBdr>
          <w:top w:val="nil"/>
          <w:left w:val="nil"/>
          <w:bottom w:val="nil"/>
          <w:right w:val="nil"/>
          <w:between w:val="nil"/>
          <w:bar w:val="nil"/>
        </w:pBdr>
        <w:suppressAutoHyphens/>
        <w:spacing w:after="0" w:line="240" w:lineRule="auto"/>
        <w:contextualSpacing/>
        <w:jc w:val="both"/>
        <w:rPr>
          <w:rFonts w:ascii="ITC Avant Garde" w:hAnsi="ITC Avant Garde" w:cs="Arial"/>
          <w:b/>
          <w:color w:val="000000" w:themeColor="text1"/>
          <w:szCs w:val="21"/>
        </w:rPr>
      </w:pPr>
    </w:p>
    <w:p w14:paraId="05C63249" w14:textId="2266500B" w:rsidR="00F37C4D" w:rsidRPr="005A73C1" w:rsidRDefault="00F37C4D" w:rsidP="00F003B2">
      <w:pPr>
        <w:numPr>
          <w:ilvl w:val="0"/>
          <w:numId w:val="3"/>
        </w:numPr>
        <w:pBdr>
          <w:top w:val="nil"/>
          <w:left w:val="nil"/>
          <w:bottom w:val="nil"/>
          <w:right w:val="nil"/>
          <w:between w:val="nil"/>
          <w:bar w:val="nil"/>
        </w:pBdr>
        <w:suppressAutoHyphens/>
        <w:spacing w:after="0" w:line="240" w:lineRule="auto"/>
        <w:ind w:left="0" w:firstLine="0"/>
        <w:contextualSpacing/>
        <w:jc w:val="both"/>
        <w:rPr>
          <w:rFonts w:ascii="ITC Avant Garde" w:hAnsi="ITC Avant Garde"/>
        </w:rPr>
      </w:pPr>
      <w:r w:rsidRPr="005A73C1">
        <w:rPr>
          <w:rFonts w:ascii="ITC Avant Garde" w:hAnsi="ITC Avant Garde" w:cs="Arial"/>
          <w:b/>
          <w:color w:val="000000" w:themeColor="text1"/>
        </w:rPr>
        <w:t xml:space="preserve"> Análisis de Impacto Regulatorio.</w:t>
      </w:r>
      <w:r w:rsidRPr="005A73C1">
        <w:rPr>
          <w:rFonts w:ascii="ITC Avant Garde" w:hAnsi="ITC Avant Garde" w:cs="Arial"/>
          <w:color w:val="000000" w:themeColor="text1"/>
        </w:rPr>
        <w:t xml:space="preserve"> El </w:t>
      </w:r>
      <w:r w:rsidR="00CB58BB">
        <w:rPr>
          <w:rFonts w:ascii="ITC Avant Garde" w:hAnsi="ITC Avant Garde"/>
        </w:rPr>
        <w:t>artículo</w:t>
      </w:r>
      <w:r w:rsidRPr="005A73C1">
        <w:rPr>
          <w:rFonts w:ascii="ITC Avant Garde" w:hAnsi="ITC Avant Garde"/>
        </w:rPr>
        <w:t xml:space="preserve"> 51, segundo párrafo de la Ley establece que</w:t>
      </w:r>
      <w:r w:rsidR="003739EF">
        <w:rPr>
          <w:rFonts w:ascii="ITC Avant Garde" w:hAnsi="ITC Avant Garde"/>
        </w:rPr>
        <w:t>,</w:t>
      </w:r>
      <w:r w:rsidRPr="005A73C1">
        <w:rPr>
          <w:rFonts w:ascii="ITC Avant Garde" w:hAnsi="ITC Avant Garde"/>
        </w:rPr>
        <w:t xml:space="preserve"> previo a la emisión de reglas, lineamientos o disposiciones administrativas de carácter general, </w:t>
      </w:r>
      <w:r w:rsidRPr="005A73C1">
        <w:rPr>
          <w:rFonts w:ascii="ITC Avant Garde" w:hAnsi="ITC Avant Garde"/>
          <w:b/>
          <w:u w:val="single"/>
        </w:rPr>
        <w:t>el Instituto deberá realizar y hacer público un análisis de impacto regulatorio</w:t>
      </w:r>
      <w:r w:rsidRPr="005A73C1">
        <w:rPr>
          <w:rFonts w:ascii="ITC Avant Garde" w:hAnsi="ITC Avant Garde"/>
        </w:rPr>
        <w:t xml:space="preserve"> o, en su caso, solicitar el apoyo de la Comisión Federal de Mejora Regulatoria</w:t>
      </w:r>
      <w:r>
        <w:rPr>
          <w:rFonts w:ascii="ITC Avant Garde" w:hAnsi="ITC Avant Garde"/>
        </w:rPr>
        <w:t>.</w:t>
      </w:r>
    </w:p>
    <w:p w14:paraId="1F83D03F" w14:textId="77777777" w:rsidR="00F37C4D" w:rsidRDefault="00F37C4D" w:rsidP="00F003B2">
      <w:pPr>
        <w:spacing w:after="0" w:line="240" w:lineRule="auto"/>
        <w:ind w:left="1134" w:right="1182"/>
        <w:jc w:val="both"/>
        <w:rPr>
          <w:rFonts w:ascii="ITC Avant Garde" w:hAnsi="ITC Avant Garde"/>
          <w:sz w:val="20"/>
          <w:szCs w:val="20"/>
        </w:rPr>
      </w:pPr>
    </w:p>
    <w:p w14:paraId="1ED8BD6E" w14:textId="6EB2B80C" w:rsidR="00F37C4D" w:rsidRDefault="00F37C4D" w:rsidP="00F003B2">
      <w:pPr>
        <w:spacing w:after="0" w:line="240" w:lineRule="auto"/>
        <w:ind w:right="-94"/>
        <w:jc w:val="both"/>
        <w:rPr>
          <w:rFonts w:ascii="ITC Avant Garde" w:hAnsi="ITC Avant Garde"/>
          <w:color w:val="000000" w:themeColor="text1"/>
          <w:szCs w:val="21"/>
          <w:lang w:eastAsia="es-MX"/>
        </w:rPr>
      </w:pPr>
      <w:r w:rsidRPr="00D83BF7">
        <w:rPr>
          <w:rFonts w:ascii="ITC Avant Garde" w:hAnsi="ITC Avant Garde" w:cs="Arial"/>
          <w:color w:val="000000" w:themeColor="text1"/>
          <w:szCs w:val="21"/>
        </w:rPr>
        <w:t xml:space="preserve">En tal sentido, </w:t>
      </w:r>
      <w:r>
        <w:rPr>
          <w:rFonts w:ascii="ITC Avant Garde" w:hAnsi="ITC Avant Garde" w:cs="Arial"/>
          <w:color w:val="000000" w:themeColor="text1"/>
          <w:szCs w:val="21"/>
        </w:rPr>
        <w:t>tal y como qued</w:t>
      </w:r>
      <w:r w:rsidR="003739EF">
        <w:rPr>
          <w:rFonts w:ascii="ITC Avant Garde" w:hAnsi="ITC Avant Garde" w:cs="Arial"/>
          <w:color w:val="000000" w:themeColor="text1"/>
          <w:szCs w:val="21"/>
        </w:rPr>
        <w:t>ó</w:t>
      </w:r>
      <w:r w:rsidR="004934D2">
        <w:rPr>
          <w:rFonts w:ascii="ITC Avant Garde" w:hAnsi="ITC Avant Garde" w:cs="Arial"/>
          <w:color w:val="000000" w:themeColor="text1"/>
          <w:szCs w:val="21"/>
        </w:rPr>
        <w:t xml:space="preserve"> prescrito en el Antecedente </w:t>
      </w:r>
      <w:r w:rsidR="004934D2" w:rsidRPr="00852043">
        <w:rPr>
          <w:rFonts w:ascii="ITC Avant Garde" w:hAnsi="ITC Avant Garde" w:cs="Arial"/>
          <w:color w:val="000000" w:themeColor="text1"/>
          <w:szCs w:val="21"/>
        </w:rPr>
        <w:t>V</w:t>
      </w:r>
      <w:r w:rsidRPr="00852043">
        <w:rPr>
          <w:rFonts w:ascii="ITC Avant Garde" w:hAnsi="ITC Avant Garde" w:cs="Arial"/>
          <w:color w:val="000000" w:themeColor="text1"/>
          <w:szCs w:val="21"/>
        </w:rPr>
        <w:t>,</w:t>
      </w:r>
      <w:r>
        <w:rPr>
          <w:rFonts w:ascii="ITC Avant Garde" w:hAnsi="ITC Avant Garde" w:cs="Arial"/>
          <w:color w:val="000000" w:themeColor="text1"/>
          <w:szCs w:val="21"/>
        </w:rPr>
        <w:t xml:space="preserve"> l</w:t>
      </w:r>
      <w:r>
        <w:rPr>
          <w:rFonts w:ascii="ITC Avant Garde" w:hAnsi="ITC Avant Garde"/>
          <w:color w:val="000000" w:themeColor="text1"/>
          <w:szCs w:val="21"/>
          <w:lang w:eastAsia="es-MX"/>
        </w:rPr>
        <w:t xml:space="preserve">a Unidad de Espectro Radioeléctrico elaboró y sometió a consideración de la </w:t>
      </w:r>
      <w:r w:rsidR="00DB5926">
        <w:rPr>
          <w:rFonts w:ascii="ITC Avant Garde" w:hAnsi="ITC Avant Garde"/>
          <w:color w:val="000000" w:themeColor="text1"/>
          <w:szCs w:val="21"/>
          <w:lang w:eastAsia="es-MX"/>
        </w:rPr>
        <w:t>CMGR,</w:t>
      </w:r>
      <w:r>
        <w:rPr>
          <w:rFonts w:ascii="ITC Avant Garde" w:hAnsi="ITC Avant Garde"/>
          <w:color w:val="000000" w:themeColor="text1"/>
          <w:szCs w:val="21"/>
          <w:lang w:eastAsia="es-MX"/>
        </w:rPr>
        <w:t xml:space="preserve"> el Análisis de Impacto Regulatorio, para que emitiera la opinión no vinculante correspondiente. </w:t>
      </w:r>
    </w:p>
    <w:p w14:paraId="7BE7F5CE" w14:textId="77777777" w:rsidR="00F37C4D" w:rsidRDefault="00F37C4D" w:rsidP="00F003B2">
      <w:pPr>
        <w:spacing w:after="0" w:line="240" w:lineRule="auto"/>
        <w:ind w:right="-94"/>
        <w:jc w:val="both"/>
        <w:rPr>
          <w:rFonts w:ascii="ITC Avant Garde" w:hAnsi="ITC Avant Garde"/>
          <w:color w:val="000000" w:themeColor="text1"/>
          <w:szCs w:val="21"/>
          <w:lang w:eastAsia="es-MX"/>
        </w:rPr>
      </w:pPr>
    </w:p>
    <w:p w14:paraId="0CCDDFAB" w14:textId="43E6A749" w:rsidR="00F37C4D" w:rsidRDefault="00F37C4D" w:rsidP="00F003B2">
      <w:pPr>
        <w:spacing w:after="0" w:line="240" w:lineRule="auto"/>
        <w:ind w:right="-94"/>
        <w:jc w:val="both"/>
        <w:rPr>
          <w:rFonts w:ascii="ITC Avant Garde" w:hAnsi="ITC Avant Garde"/>
          <w:color w:val="000000" w:themeColor="text1"/>
          <w:szCs w:val="21"/>
          <w:lang w:eastAsia="es-MX"/>
        </w:rPr>
      </w:pPr>
      <w:r>
        <w:rPr>
          <w:rFonts w:ascii="ITC Avant Garde" w:hAnsi="ITC Avant Garde"/>
          <w:color w:val="000000" w:themeColor="text1"/>
          <w:szCs w:val="21"/>
          <w:lang w:eastAsia="es-MX"/>
        </w:rPr>
        <w:lastRenderedPageBreak/>
        <w:t xml:space="preserve">Como consecuencia de lo anterior, </w:t>
      </w:r>
      <w:r w:rsidRPr="00AB185B">
        <w:rPr>
          <w:rFonts w:ascii="ITC Avant Garde" w:hAnsi="ITC Avant Garde"/>
          <w:color w:val="000000" w:themeColor="text1"/>
          <w:szCs w:val="21"/>
          <w:lang w:eastAsia="es-MX"/>
        </w:rPr>
        <w:t>la CGMR emitió la opinión no vinculante respecto del Anteproyecto de mérito.</w:t>
      </w:r>
      <w:r>
        <w:rPr>
          <w:rFonts w:ascii="ITC Avant Garde" w:hAnsi="ITC Avant Garde"/>
          <w:color w:val="000000" w:themeColor="text1"/>
          <w:szCs w:val="21"/>
          <w:lang w:eastAsia="es-MX"/>
        </w:rPr>
        <w:t xml:space="preserve"> </w:t>
      </w:r>
    </w:p>
    <w:p w14:paraId="510A521A" w14:textId="77777777" w:rsidR="00F37C4D" w:rsidRDefault="00F37C4D" w:rsidP="00F003B2">
      <w:pPr>
        <w:spacing w:after="0" w:line="240" w:lineRule="auto"/>
        <w:ind w:right="-94"/>
        <w:jc w:val="both"/>
        <w:rPr>
          <w:rFonts w:ascii="ITC Avant Garde" w:hAnsi="ITC Avant Garde"/>
          <w:color w:val="000000" w:themeColor="text1"/>
          <w:szCs w:val="21"/>
          <w:lang w:eastAsia="es-MX"/>
        </w:rPr>
      </w:pPr>
    </w:p>
    <w:p w14:paraId="13FC8504" w14:textId="448ACA5B" w:rsidR="00F37C4D" w:rsidRPr="00AB185B" w:rsidRDefault="00F37C4D" w:rsidP="00F003B2">
      <w:pPr>
        <w:spacing w:after="0" w:line="240" w:lineRule="auto"/>
        <w:ind w:right="-94"/>
        <w:jc w:val="both"/>
        <w:rPr>
          <w:rFonts w:ascii="ITC Avant Garde" w:hAnsi="ITC Avant Garde"/>
          <w:color w:val="000000" w:themeColor="text1"/>
          <w:szCs w:val="21"/>
          <w:lang w:eastAsia="es-MX"/>
        </w:rPr>
      </w:pPr>
      <w:r w:rsidRPr="00AB185B">
        <w:rPr>
          <w:rFonts w:ascii="ITC Avant Garde" w:hAnsi="ITC Avant Garde"/>
          <w:color w:val="000000" w:themeColor="text1"/>
          <w:szCs w:val="21"/>
          <w:lang w:eastAsia="es-MX"/>
        </w:rPr>
        <w:t>El Análisis de Impacto Regulatorio se publicó en el portal de Internet del Instituto</w:t>
      </w:r>
      <w:r w:rsidRPr="0086428E">
        <w:rPr>
          <w:rFonts w:ascii="ITC Avant Garde" w:hAnsi="ITC Avant Garde"/>
          <w:color w:val="000000" w:themeColor="text1"/>
          <w:szCs w:val="21"/>
          <w:lang w:eastAsia="es-MX"/>
        </w:rPr>
        <w:t>,</w:t>
      </w:r>
      <w:r w:rsidR="0009555E" w:rsidRPr="00AB185B" w:rsidDel="0009555E">
        <w:rPr>
          <w:rFonts w:ascii="ITC Avant Garde" w:hAnsi="ITC Avant Garde"/>
          <w:color w:val="000000" w:themeColor="text1"/>
          <w:szCs w:val="21"/>
          <w:lang w:eastAsia="es-MX"/>
        </w:rPr>
        <w:t xml:space="preserve"> </w:t>
      </w:r>
      <w:r w:rsidRPr="00AB185B">
        <w:rPr>
          <w:rFonts w:ascii="ITC Avant Garde" w:hAnsi="ITC Avant Garde"/>
          <w:color w:val="000000" w:themeColor="text1"/>
          <w:szCs w:val="21"/>
          <w:lang w:eastAsia="es-MX"/>
        </w:rPr>
        <w:t>a efecto de darle debida publicidad, del cual se advierte que</w:t>
      </w:r>
      <w:r w:rsidR="003739EF">
        <w:rPr>
          <w:rFonts w:ascii="ITC Avant Garde" w:hAnsi="ITC Avant Garde"/>
          <w:color w:val="000000" w:themeColor="text1"/>
          <w:szCs w:val="21"/>
          <w:lang w:eastAsia="es-MX"/>
        </w:rPr>
        <w:t>,</w:t>
      </w:r>
      <w:r w:rsidRPr="00AB185B">
        <w:rPr>
          <w:rFonts w:ascii="ITC Avant Garde" w:hAnsi="ITC Avant Garde"/>
          <w:color w:val="000000" w:themeColor="text1"/>
          <w:szCs w:val="21"/>
          <w:lang w:eastAsia="es-MX"/>
        </w:rPr>
        <w:t xml:space="preserve"> independientemente de cumplir con el mandato legal previsto en el artículo 104 de la Ley, tiene los objetivos siguientes:</w:t>
      </w:r>
    </w:p>
    <w:p w14:paraId="5987AE90" w14:textId="77777777" w:rsidR="00F37C4D" w:rsidRPr="00AB185B" w:rsidRDefault="00F37C4D" w:rsidP="00F003B2">
      <w:pPr>
        <w:spacing w:after="0" w:line="240" w:lineRule="auto"/>
        <w:ind w:right="-94"/>
        <w:jc w:val="both"/>
        <w:rPr>
          <w:rFonts w:ascii="ITC Avant Garde" w:hAnsi="ITC Avant Garde"/>
          <w:color w:val="000000" w:themeColor="text1"/>
          <w:szCs w:val="21"/>
          <w:lang w:eastAsia="es-MX"/>
        </w:rPr>
      </w:pPr>
    </w:p>
    <w:p w14:paraId="4540A86C" w14:textId="6D04E46B" w:rsidR="00F37C4D" w:rsidRPr="00AB185B" w:rsidRDefault="00F37C4D" w:rsidP="00F003B2">
      <w:pPr>
        <w:pStyle w:val="Prrafodelista"/>
        <w:numPr>
          <w:ilvl w:val="0"/>
          <w:numId w:val="30"/>
        </w:numPr>
        <w:ind w:right="-94"/>
        <w:jc w:val="both"/>
        <w:rPr>
          <w:rFonts w:ascii="ITC Avant Garde" w:hAnsi="ITC Avant Garde"/>
          <w:color w:val="000000" w:themeColor="text1"/>
          <w:sz w:val="22"/>
          <w:szCs w:val="22"/>
          <w:lang w:eastAsia="es-MX"/>
        </w:rPr>
      </w:pPr>
      <w:r w:rsidRPr="00AB185B">
        <w:rPr>
          <w:rFonts w:ascii="ITC Avant Garde" w:hAnsi="ITC Avant Garde"/>
          <w:color w:val="000000" w:themeColor="text1"/>
          <w:sz w:val="22"/>
          <w:szCs w:val="22"/>
          <w:lang w:eastAsia="es-MX"/>
        </w:rPr>
        <w:t xml:space="preserve">Garantizar que los interesados en dar en </w:t>
      </w:r>
      <w:r w:rsidR="003739EF">
        <w:rPr>
          <w:rFonts w:ascii="ITC Avant Garde" w:hAnsi="ITC Avant Garde"/>
          <w:color w:val="000000" w:themeColor="text1"/>
          <w:sz w:val="22"/>
          <w:szCs w:val="22"/>
          <w:lang w:eastAsia="es-MX"/>
        </w:rPr>
        <w:t>a</w:t>
      </w:r>
      <w:r w:rsidRPr="00AB185B">
        <w:rPr>
          <w:rFonts w:ascii="ITC Avant Garde" w:hAnsi="ITC Avant Garde"/>
          <w:color w:val="000000" w:themeColor="text1"/>
          <w:sz w:val="22"/>
          <w:szCs w:val="22"/>
          <w:lang w:eastAsia="es-MX"/>
        </w:rPr>
        <w:t xml:space="preserve">rrendamiento de </w:t>
      </w:r>
      <w:r w:rsidR="003739EF">
        <w:rPr>
          <w:rFonts w:ascii="ITC Avant Garde" w:hAnsi="ITC Avant Garde"/>
          <w:color w:val="000000" w:themeColor="text1"/>
          <w:sz w:val="22"/>
          <w:szCs w:val="22"/>
          <w:lang w:eastAsia="es-MX"/>
        </w:rPr>
        <w:t>b</w:t>
      </w:r>
      <w:r w:rsidRPr="00AB185B">
        <w:rPr>
          <w:rFonts w:ascii="ITC Avant Garde" w:hAnsi="ITC Avant Garde"/>
          <w:color w:val="000000" w:themeColor="text1"/>
          <w:sz w:val="22"/>
          <w:szCs w:val="22"/>
          <w:lang w:eastAsia="es-MX"/>
        </w:rPr>
        <w:t xml:space="preserve">andas de </w:t>
      </w:r>
      <w:r w:rsidR="003739EF">
        <w:rPr>
          <w:rFonts w:ascii="ITC Avant Garde" w:hAnsi="ITC Avant Garde"/>
          <w:color w:val="000000" w:themeColor="text1"/>
          <w:sz w:val="22"/>
          <w:szCs w:val="22"/>
          <w:lang w:eastAsia="es-MX"/>
        </w:rPr>
        <w:t>f</w:t>
      </w:r>
      <w:r w:rsidRPr="00AB185B">
        <w:rPr>
          <w:rFonts w:ascii="ITC Avant Garde" w:hAnsi="ITC Avant Garde"/>
          <w:color w:val="000000" w:themeColor="text1"/>
          <w:sz w:val="22"/>
          <w:szCs w:val="22"/>
          <w:lang w:eastAsia="es-MX"/>
        </w:rPr>
        <w:t xml:space="preserve">recuencias conozcan </w:t>
      </w:r>
      <w:r w:rsidRPr="00AB185B">
        <w:rPr>
          <w:rFonts w:ascii="ITC Avant Garde" w:hAnsi="ITC Avant Garde"/>
          <w:sz w:val="22"/>
          <w:szCs w:val="22"/>
        </w:rPr>
        <w:t>los requisitos, condiciones y obligaciones mediante las cuales el Instituto podrá autorizar dicho arrendamiento, de conformidad con lo dispuesto en el artículo 104 de la Ley</w:t>
      </w:r>
      <w:r w:rsidR="005F1B6D">
        <w:rPr>
          <w:rFonts w:ascii="ITC Avant Garde" w:hAnsi="ITC Avant Garde"/>
          <w:color w:val="000000" w:themeColor="text1"/>
          <w:sz w:val="22"/>
          <w:szCs w:val="22"/>
          <w:lang w:eastAsia="es-MX"/>
        </w:rPr>
        <w:t>;</w:t>
      </w:r>
      <w:r w:rsidR="003502EF">
        <w:rPr>
          <w:rFonts w:ascii="ITC Avant Garde" w:hAnsi="ITC Avant Garde"/>
          <w:color w:val="000000" w:themeColor="text1"/>
          <w:sz w:val="22"/>
          <w:szCs w:val="22"/>
          <w:lang w:eastAsia="es-MX"/>
        </w:rPr>
        <w:t xml:space="preserve"> asimismo, en lo aplicable</w:t>
      </w:r>
      <w:r w:rsidR="005F1B6D">
        <w:rPr>
          <w:rFonts w:ascii="ITC Avant Garde" w:hAnsi="ITC Avant Garde"/>
          <w:color w:val="000000" w:themeColor="text1"/>
          <w:sz w:val="22"/>
          <w:szCs w:val="22"/>
          <w:lang w:eastAsia="es-MX"/>
        </w:rPr>
        <w:t>,</w:t>
      </w:r>
      <w:r w:rsidR="003502EF">
        <w:rPr>
          <w:rFonts w:ascii="ITC Avant Garde" w:hAnsi="ITC Avant Garde"/>
          <w:color w:val="000000" w:themeColor="text1"/>
          <w:sz w:val="22"/>
          <w:szCs w:val="22"/>
          <w:lang w:eastAsia="es-MX"/>
        </w:rPr>
        <w:t xml:space="preserve"> los términos y condiciones para la procedencia del subarrendamiento</w:t>
      </w:r>
      <w:r w:rsidRPr="00AB185B">
        <w:rPr>
          <w:rFonts w:ascii="ITC Avant Garde" w:hAnsi="ITC Avant Garde"/>
          <w:color w:val="000000" w:themeColor="text1"/>
          <w:sz w:val="22"/>
          <w:szCs w:val="22"/>
          <w:lang w:eastAsia="es-MX"/>
        </w:rPr>
        <w:t>.</w:t>
      </w:r>
    </w:p>
    <w:p w14:paraId="5C8A1678" w14:textId="77777777" w:rsidR="00F37C4D" w:rsidRPr="00AB185B" w:rsidRDefault="00F37C4D" w:rsidP="00F003B2">
      <w:pPr>
        <w:pStyle w:val="Prrafodelista"/>
        <w:ind w:left="720" w:right="-94"/>
        <w:jc w:val="both"/>
        <w:rPr>
          <w:rFonts w:ascii="ITC Avant Garde" w:hAnsi="ITC Avant Garde"/>
          <w:color w:val="000000" w:themeColor="text1"/>
          <w:sz w:val="22"/>
          <w:szCs w:val="22"/>
          <w:lang w:eastAsia="es-MX"/>
        </w:rPr>
      </w:pPr>
    </w:p>
    <w:p w14:paraId="388CCE43" w14:textId="63F4ECB2" w:rsidR="00F37C4D" w:rsidRPr="00AB185B" w:rsidRDefault="00F37C4D" w:rsidP="00F003B2">
      <w:pPr>
        <w:pStyle w:val="Prrafodelista"/>
        <w:numPr>
          <w:ilvl w:val="0"/>
          <w:numId w:val="30"/>
        </w:numPr>
        <w:ind w:right="-94"/>
        <w:jc w:val="both"/>
        <w:rPr>
          <w:rFonts w:ascii="ITC Avant Garde" w:hAnsi="ITC Avant Garde"/>
          <w:color w:val="000000" w:themeColor="text1"/>
          <w:sz w:val="22"/>
          <w:szCs w:val="22"/>
          <w:lang w:eastAsia="es-MX"/>
        </w:rPr>
      </w:pPr>
      <w:r w:rsidRPr="00AB185B">
        <w:rPr>
          <w:rFonts w:ascii="ITC Avant Garde" w:hAnsi="ITC Avant Garde"/>
          <w:color w:val="000000" w:themeColor="text1"/>
          <w:sz w:val="22"/>
          <w:szCs w:val="22"/>
          <w:lang w:eastAsia="es-MX"/>
        </w:rPr>
        <w:t xml:space="preserve">Otorgar certeza tratándose de la presentación de información y/o documentación para la procedencia de la </w:t>
      </w:r>
      <w:r w:rsidR="003739EF">
        <w:rPr>
          <w:rFonts w:ascii="ITC Avant Garde" w:hAnsi="ITC Avant Garde"/>
          <w:color w:val="000000" w:themeColor="text1"/>
          <w:sz w:val="22"/>
          <w:szCs w:val="22"/>
          <w:lang w:eastAsia="es-MX"/>
        </w:rPr>
        <w:t>a</w:t>
      </w:r>
      <w:r w:rsidRPr="00AB185B">
        <w:rPr>
          <w:rFonts w:ascii="ITC Avant Garde" w:hAnsi="ITC Avant Garde"/>
          <w:color w:val="000000" w:themeColor="text1"/>
          <w:sz w:val="22"/>
          <w:szCs w:val="22"/>
          <w:lang w:eastAsia="es-MX"/>
        </w:rPr>
        <w:t xml:space="preserve">utorización del </w:t>
      </w:r>
      <w:r w:rsidR="003739EF">
        <w:rPr>
          <w:rFonts w:ascii="ITC Avant Garde" w:hAnsi="ITC Avant Garde"/>
          <w:color w:val="000000" w:themeColor="text1"/>
          <w:sz w:val="22"/>
          <w:szCs w:val="22"/>
          <w:lang w:eastAsia="es-MX"/>
        </w:rPr>
        <w:t>a</w:t>
      </w:r>
      <w:r w:rsidRPr="00AB185B">
        <w:rPr>
          <w:rFonts w:ascii="ITC Avant Garde" w:hAnsi="ITC Avant Garde"/>
          <w:color w:val="000000" w:themeColor="text1"/>
          <w:sz w:val="22"/>
          <w:szCs w:val="22"/>
          <w:lang w:eastAsia="es-MX"/>
        </w:rPr>
        <w:t>rrendamiento</w:t>
      </w:r>
      <w:r w:rsidR="00DB5926" w:rsidRPr="00AB185B">
        <w:rPr>
          <w:rFonts w:ascii="ITC Avant Garde" w:hAnsi="ITC Avant Garde"/>
          <w:color w:val="000000" w:themeColor="text1"/>
          <w:sz w:val="22"/>
          <w:szCs w:val="22"/>
          <w:lang w:eastAsia="es-MX"/>
        </w:rPr>
        <w:t xml:space="preserve"> </w:t>
      </w:r>
      <w:r w:rsidR="003502EF">
        <w:rPr>
          <w:rFonts w:ascii="ITC Avant Garde" w:hAnsi="ITC Avant Garde"/>
          <w:color w:val="000000" w:themeColor="text1"/>
          <w:sz w:val="22"/>
          <w:szCs w:val="22"/>
          <w:lang w:eastAsia="es-MX"/>
        </w:rPr>
        <w:t xml:space="preserve">o subarrendamiento </w:t>
      </w:r>
      <w:r w:rsidR="00DB5926" w:rsidRPr="00AB185B">
        <w:rPr>
          <w:rFonts w:ascii="ITC Avant Garde" w:hAnsi="ITC Avant Garde"/>
          <w:color w:val="000000" w:themeColor="text1"/>
          <w:sz w:val="22"/>
          <w:szCs w:val="22"/>
          <w:lang w:eastAsia="es-MX"/>
        </w:rPr>
        <w:t xml:space="preserve">de </w:t>
      </w:r>
      <w:r w:rsidR="003502EF">
        <w:rPr>
          <w:rFonts w:ascii="ITC Avant Garde" w:hAnsi="ITC Avant Garde"/>
          <w:color w:val="000000" w:themeColor="text1"/>
          <w:sz w:val="22"/>
          <w:szCs w:val="22"/>
          <w:lang w:eastAsia="es-MX"/>
        </w:rPr>
        <w:t xml:space="preserve">bandas de frecuencias de </w:t>
      </w:r>
      <w:r w:rsidR="003739EF">
        <w:rPr>
          <w:rFonts w:ascii="ITC Avant Garde" w:hAnsi="ITC Avant Garde"/>
          <w:color w:val="000000" w:themeColor="text1"/>
          <w:sz w:val="22"/>
          <w:szCs w:val="22"/>
          <w:lang w:eastAsia="es-MX"/>
        </w:rPr>
        <w:t>e</w:t>
      </w:r>
      <w:r w:rsidR="00DB5926" w:rsidRPr="00AB185B">
        <w:rPr>
          <w:rFonts w:ascii="ITC Avant Garde" w:hAnsi="ITC Avant Garde"/>
          <w:color w:val="000000" w:themeColor="text1"/>
          <w:sz w:val="22"/>
          <w:szCs w:val="22"/>
          <w:lang w:eastAsia="es-MX"/>
        </w:rPr>
        <w:t xml:space="preserve">spectro </w:t>
      </w:r>
      <w:r w:rsidR="003739EF">
        <w:rPr>
          <w:rFonts w:ascii="ITC Avant Garde" w:hAnsi="ITC Avant Garde"/>
          <w:color w:val="000000" w:themeColor="text1"/>
          <w:sz w:val="22"/>
          <w:szCs w:val="22"/>
          <w:lang w:eastAsia="es-MX"/>
        </w:rPr>
        <w:t>r</w:t>
      </w:r>
      <w:r w:rsidR="00DB5926" w:rsidRPr="00AB185B">
        <w:rPr>
          <w:rFonts w:ascii="ITC Avant Garde" w:hAnsi="ITC Avant Garde"/>
          <w:color w:val="000000" w:themeColor="text1"/>
          <w:sz w:val="22"/>
          <w:szCs w:val="22"/>
          <w:lang w:eastAsia="es-MX"/>
        </w:rPr>
        <w:t>adioeléctrico</w:t>
      </w:r>
      <w:r w:rsidRPr="00AB185B">
        <w:rPr>
          <w:rFonts w:ascii="ITC Avant Garde" w:hAnsi="ITC Avant Garde"/>
          <w:color w:val="000000" w:themeColor="text1"/>
          <w:sz w:val="22"/>
          <w:szCs w:val="22"/>
          <w:lang w:eastAsia="es-MX"/>
        </w:rPr>
        <w:t xml:space="preserve"> por parte del Instituto.</w:t>
      </w:r>
    </w:p>
    <w:p w14:paraId="0CD1C3EC" w14:textId="77777777" w:rsidR="00F37C4D" w:rsidRPr="00AB185B" w:rsidRDefault="00F37C4D" w:rsidP="00F003B2">
      <w:pPr>
        <w:pStyle w:val="Prrafodelista"/>
        <w:rPr>
          <w:rFonts w:ascii="ITC Avant Garde" w:hAnsi="ITC Avant Garde"/>
          <w:color w:val="000000" w:themeColor="text1"/>
          <w:sz w:val="22"/>
          <w:szCs w:val="22"/>
          <w:lang w:eastAsia="es-MX"/>
        </w:rPr>
      </w:pPr>
    </w:p>
    <w:p w14:paraId="6655F792" w14:textId="43D1CDCA" w:rsidR="00F37C4D" w:rsidRPr="00AB185B" w:rsidRDefault="00F37C4D" w:rsidP="00F003B2">
      <w:pPr>
        <w:pStyle w:val="Prrafodelista"/>
        <w:numPr>
          <w:ilvl w:val="0"/>
          <w:numId w:val="30"/>
        </w:numPr>
        <w:ind w:right="-94"/>
        <w:jc w:val="both"/>
        <w:rPr>
          <w:rFonts w:ascii="ITC Avant Garde" w:hAnsi="ITC Avant Garde"/>
          <w:color w:val="000000" w:themeColor="text1"/>
          <w:sz w:val="22"/>
          <w:szCs w:val="22"/>
          <w:lang w:eastAsia="es-MX"/>
        </w:rPr>
      </w:pPr>
      <w:r w:rsidRPr="00AB185B">
        <w:rPr>
          <w:rFonts w:ascii="ITC Avant Garde" w:hAnsi="ITC Avant Garde"/>
          <w:color w:val="000000" w:themeColor="text1"/>
          <w:sz w:val="22"/>
          <w:szCs w:val="22"/>
          <w:lang w:eastAsia="es-MX"/>
        </w:rPr>
        <w:t xml:space="preserve">Transparentar y flexibilizar el procedimiento para la aprobación de la </w:t>
      </w:r>
      <w:r w:rsidR="003739EF">
        <w:rPr>
          <w:rFonts w:ascii="ITC Avant Garde" w:hAnsi="ITC Avant Garde"/>
          <w:color w:val="000000" w:themeColor="text1"/>
          <w:sz w:val="22"/>
          <w:szCs w:val="22"/>
          <w:lang w:eastAsia="es-MX"/>
        </w:rPr>
        <w:t>a</w:t>
      </w:r>
      <w:r w:rsidRPr="00AB185B">
        <w:rPr>
          <w:rFonts w:ascii="ITC Avant Garde" w:hAnsi="ITC Avant Garde"/>
          <w:color w:val="000000" w:themeColor="text1"/>
          <w:sz w:val="22"/>
          <w:szCs w:val="22"/>
          <w:lang w:eastAsia="es-MX"/>
        </w:rPr>
        <w:t xml:space="preserve">utorización de </w:t>
      </w:r>
      <w:r w:rsidR="003739EF">
        <w:rPr>
          <w:rFonts w:ascii="ITC Avant Garde" w:hAnsi="ITC Avant Garde"/>
          <w:color w:val="000000" w:themeColor="text1"/>
          <w:sz w:val="22"/>
          <w:szCs w:val="22"/>
          <w:lang w:eastAsia="es-MX"/>
        </w:rPr>
        <w:t>a</w:t>
      </w:r>
      <w:r w:rsidRPr="00AB185B">
        <w:rPr>
          <w:rFonts w:ascii="ITC Avant Garde" w:hAnsi="ITC Avant Garde"/>
          <w:color w:val="000000" w:themeColor="text1"/>
          <w:sz w:val="22"/>
          <w:szCs w:val="22"/>
          <w:lang w:eastAsia="es-MX"/>
        </w:rPr>
        <w:t xml:space="preserve">rrendamiento </w:t>
      </w:r>
      <w:r w:rsidR="003502EF">
        <w:rPr>
          <w:rFonts w:ascii="ITC Avant Garde" w:hAnsi="ITC Avant Garde"/>
          <w:color w:val="000000" w:themeColor="text1"/>
          <w:sz w:val="22"/>
          <w:szCs w:val="22"/>
          <w:lang w:eastAsia="es-MX"/>
        </w:rPr>
        <w:t xml:space="preserve">o subarrendamiento </w:t>
      </w:r>
      <w:r w:rsidRPr="00AB185B">
        <w:rPr>
          <w:rFonts w:ascii="ITC Avant Garde" w:hAnsi="ITC Avant Garde"/>
          <w:color w:val="000000" w:themeColor="text1"/>
          <w:sz w:val="22"/>
          <w:szCs w:val="22"/>
          <w:lang w:eastAsia="es-MX"/>
        </w:rPr>
        <w:t xml:space="preserve">de </w:t>
      </w:r>
      <w:r w:rsidR="003739EF">
        <w:rPr>
          <w:rFonts w:ascii="ITC Avant Garde" w:hAnsi="ITC Avant Garde"/>
          <w:color w:val="000000" w:themeColor="text1"/>
          <w:sz w:val="22"/>
          <w:szCs w:val="22"/>
          <w:lang w:eastAsia="es-MX"/>
        </w:rPr>
        <w:t>e</w:t>
      </w:r>
      <w:r w:rsidRPr="00AB185B">
        <w:rPr>
          <w:rFonts w:ascii="ITC Avant Garde" w:hAnsi="ITC Avant Garde"/>
          <w:color w:val="000000" w:themeColor="text1"/>
          <w:sz w:val="22"/>
          <w:szCs w:val="22"/>
          <w:lang w:eastAsia="es-MX"/>
        </w:rPr>
        <w:t xml:space="preserve">spectro </w:t>
      </w:r>
      <w:r w:rsidR="003739EF">
        <w:rPr>
          <w:rFonts w:ascii="ITC Avant Garde" w:hAnsi="ITC Avant Garde"/>
          <w:color w:val="000000" w:themeColor="text1"/>
          <w:sz w:val="22"/>
          <w:szCs w:val="22"/>
          <w:lang w:eastAsia="es-MX"/>
        </w:rPr>
        <w:t>r</w:t>
      </w:r>
      <w:r w:rsidRPr="00AB185B">
        <w:rPr>
          <w:rFonts w:ascii="ITC Avant Garde" w:hAnsi="ITC Avant Garde"/>
          <w:color w:val="000000" w:themeColor="text1"/>
          <w:sz w:val="22"/>
          <w:szCs w:val="22"/>
          <w:lang w:eastAsia="es-MX"/>
        </w:rPr>
        <w:t xml:space="preserve">adioeléctrico, con base en las disposiciones de los Lineamientos que se aprueban. </w:t>
      </w:r>
    </w:p>
    <w:p w14:paraId="0B0776C8" w14:textId="77777777" w:rsidR="00F37C4D" w:rsidRPr="00AB185B" w:rsidRDefault="00F37C4D" w:rsidP="00F003B2">
      <w:pPr>
        <w:pStyle w:val="Prrafodelista"/>
        <w:rPr>
          <w:rFonts w:ascii="ITC Avant Garde" w:hAnsi="ITC Avant Garde"/>
          <w:color w:val="000000" w:themeColor="text1"/>
          <w:sz w:val="22"/>
          <w:szCs w:val="22"/>
          <w:lang w:eastAsia="es-MX"/>
        </w:rPr>
      </w:pPr>
    </w:p>
    <w:p w14:paraId="386488DC" w14:textId="08AB0A04" w:rsidR="00F37C4D" w:rsidRPr="00AB185B" w:rsidRDefault="00F37C4D" w:rsidP="00F003B2">
      <w:pPr>
        <w:pStyle w:val="Prrafodelista"/>
        <w:numPr>
          <w:ilvl w:val="0"/>
          <w:numId w:val="30"/>
        </w:numPr>
        <w:ind w:right="-94"/>
        <w:jc w:val="both"/>
        <w:rPr>
          <w:rFonts w:ascii="ITC Avant Garde" w:hAnsi="ITC Avant Garde"/>
          <w:color w:val="000000" w:themeColor="text1"/>
          <w:sz w:val="22"/>
          <w:szCs w:val="22"/>
          <w:lang w:eastAsia="es-MX"/>
        </w:rPr>
      </w:pPr>
      <w:r w:rsidRPr="00AB185B">
        <w:rPr>
          <w:rFonts w:ascii="ITC Avant Garde" w:hAnsi="ITC Avant Garde"/>
          <w:color w:val="000000" w:themeColor="text1"/>
          <w:sz w:val="22"/>
          <w:szCs w:val="22"/>
          <w:lang w:eastAsia="es-MX"/>
        </w:rPr>
        <w:t>Agilizar los procesos, a efecto de que el Instituto</w:t>
      </w:r>
      <w:r w:rsidR="003739EF">
        <w:rPr>
          <w:rFonts w:ascii="ITC Avant Garde" w:hAnsi="ITC Avant Garde"/>
          <w:color w:val="000000" w:themeColor="text1"/>
          <w:sz w:val="22"/>
          <w:szCs w:val="22"/>
          <w:lang w:eastAsia="es-MX"/>
        </w:rPr>
        <w:t>,</w:t>
      </w:r>
      <w:r w:rsidRPr="00AB185B">
        <w:rPr>
          <w:rFonts w:ascii="ITC Avant Garde" w:hAnsi="ITC Avant Garde"/>
          <w:color w:val="000000" w:themeColor="text1"/>
          <w:sz w:val="22"/>
          <w:szCs w:val="22"/>
          <w:lang w:eastAsia="es-MX"/>
        </w:rPr>
        <w:t xml:space="preserve"> una vez cumplidos los requisitos</w:t>
      </w:r>
      <w:r w:rsidR="003739EF">
        <w:rPr>
          <w:rFonts w:ascii="ITC Avant Garde" w:hAnsi="ITC Avant Garde"/>
          <w:color w:val="000000" w:themeColor="text1"/>
          <w:sz w:val="22"/>
          <w:szCs w:val="22"/>
          <w:lang w:eastAsia="es-MX"/>
        </w:rPr>
        <w:t>,</w:t>
      </w:r>
      <w:r w:rsidRPr="00AB185B">
        <w:rPr>
          <w:rFonts w:ascii="ITC Avant Garde" w:hAnsi="ITC Avant Garde"/>
          <w:color w:val="000000" w:themeColor="text1"/>
          <w:sz w:val="22"/>
          <w:szCs w:val="22"/>
          <w:lang w:eastAsia="es-MX"/>
        </w:rPr>
        <w:t xml:space="preserve"> proceda al análisis de la solicitud correspondiente y resuelva lo conducente en el plazo estipulado para ello.</w:t>
      </w:r>
    </w:p>
    <w:p w14:paraId="03E32E3A" w14:textId="77777777" w:rsidR="00F37C4D" w:rsidRPr="00D83BF7" w:rsidRDefault="00F37C4D" w:rsidP="00F003B2">
      <w:pPr>
        <w:spacing w:after="0" w:line="240" w:lineRule="auto"/>
        <w:ind w:right="-94"/>
        <w:jc w:val="both"/>
        <w:rPr>
          <w:rFonts w:ascii="ITC Avant Garde" w:hAnsi="ITC Avant Garde"/>
          <w:sz w:val="20"/>
          <w:szCs w:val="20"/>
        </w:rPr>
      </w:pPr>
      <w:r>
        <w:rPr>
          <w:rFonts w:ascii="ITC Avant Garde" w:hAnsi="ITC Avant Garde"/>
          <w:color w:val="000000" w:themeColor="text1"/>
          <w:szCs w:val="21"/>
          <w:lang w:eastAsia="es-MX"/>
        </w:rPr>
        <w:t xml:space="preserve"> </w:t>
      </w:r>
    </w:p>
    <w:p w14:paraId="3D71136E" w14:textId="11C77204" w:rsidR="00F37C4D" w:rsidRPr="00181016" w:rsidRDefault="00F37C4D" w:rsidP="00F003B2">
      <w:pPr>
        <w:numPr>
          <w:ilvl w:val="0"/>
          <w:numId w:val="3"/>
        </w:numPr>
        <w:pBdr>
          <w:top w:val="nil"/>
          <w:left w:val="nil"/>
          <w:bottom w:val="nil"/>
          <w:right w:val="nil"/>
          <w:between w:val="nil"/>
          <w:bar w:val="nil"/>
        </w:pBdr>
        <w:suppressAutoHyphens/>
        <w:spacing w:after="0" w:line="240" w:lineRule="auto"/>
        <w:ind w:left="0" w:firstLine="0"/>
        <w:contextualSpacing/>
        <w:jc w:val="both"/>
        <w:rPr>
          <w:rFonts w:ascii="ITC Avant Garde" w:hAnsi="ITC Avant Garde" w:cs="Arial"/>
          <w:b/>
          <w:color w:val="000000" w:themeColor="text1"/>
          <w:szCs w:val="21"/>
        </w:rPr>
      </w:pPr>
      <w:r>
        <w:rPr>
          <w:rFonts w:ascii="ITC Avant Garde" w:hAnsi="ITC Avant Garde" w:cs="Arial"/>
          <w:color w:val="000000" w:themeColor="text1"/>
          <w:szCs w:val="21"/>
        </w:rPr>
        <w:t xml:space="preserve"> </w:t>
      </w:r>
      <w:r w:rsidRPr="00D83BF7">
        <w:rPr>
          <w:rFonts w:ascii="ITC Avant Garde" w:hAnsi="ITC Avant Garde" w:cs="Arial"/>
          <w:b/>
          <w:color w:val="000000" w:themeColor="text1"/>
          <w:szCs w:val="21"/>
        </w:rPr>
        <w:t xml:space="preserve">Emisión de los Lineamientos Generales sobre la Autorización de Arrendamiento de Espectro. </w:t>
      </w:r>
      <w:r w:rsidRPr="00181016">
        <w:rPr>
          <w:rFonts w:ascii="ITC Avant Garde" w:hAnsi="ITC Avant Garde" w:cs="Arial"/>
          <w:color w:val="000000" w:themeColor="text1"/>
          <w:szCs w:val="21"/>
        </w:rPr>
        <w:t xml:space="preserve">El </w:t>
      </w:r>
      <w:r>
        <w:rPr>
          <w:rFonts w:ascii="ITC Avant Garde" w:hAnsi="ITC Avant Garde" w:cs="Arial"/>
          <w:color w:val="000000" w:themeColor="text1"/>
          <w:szCs w:val="21"/>
        </w:rPr>
        <w:t xml:space="preserve">artículo 104 de la Ley dispone que los requisitos para obtener la autorización del </w:t>
      </w:r>
      <w:r w:rsidR="00DB073B">
        <w:rPr>
          <w:rFonts w:ascii="ITC Avant Garde" w:hAnsi="ITC Avant Garde" w:cs="Arial"/>
          <w:color w:val="000000" w:themeColor="text1"/>
          <w:szCs w:val="21"/>
        </w:rPr>
        <w:t>a</w:t>
      </w:r>
      <w:r w:rsidR="004D1432">
        <w:rPr>
          <w:rFonts w:ascii="ITC Avant Garde" w:hAnsi="ITC Avant Garde" w:cs="Arial"/>
          <w:color w:val="000000" w:themeColor="text1"/>
          <w:szCs w:val="21"/>
        </w:rPr>
        <w:t xml:space="preserve">rrendamiento de </w:t>
      </w:r>
      <w:r w:rsidR="00DB073B">
        <w:rPr>
          <w:rFonts w:ascii="ITC Avant Garde" w:hAnsi="ITC Avant Garde" w:cs="Arial"/>
          <w:color w:val="000000" w:themeColor="text1"/>
          <w:szCs w:val="21"/>
        </w:rPr>
        <w:t>e</w:t>
      </w:r>
      <w:r>
        <w:rPr>
          <w:rFonts w:ascii="ITC Avant Garde" w:hAnsi="ITC Avant Garde" w:cs="Arial"/>
          <w:color w:val="000000" w:themeColor="text1"/>
          <w:szCs w:val="21"/>
        </w:rPr>
        <w:t xml:space="preserve">spectro </w:t>
      </w:r>
      <w:r w:rsidR="00DB073B">
        <w:rPr>
          <w:rFonts w:ascii="ITC Avant Garde" w:hAnsi="ITC Avant Garde" w:cs="Arial"/>
          <w:color w:val="000000" w:themeColor="text1"/>
          <w:szCs w:val="21"/>
        </w:rPr>
        <w:t>r</w:t>
      </w:r>
      <w:r>
        <w:rPr>
          <w:rFonts w:ascii="ITC Avant Garde" w:hAnsi="ITC Avant Garde" w:cs="Arial"/>
          <w:color w:val="000000" w:themeColor="text1"/>
          <w:szCs w:val="21"/>
        </w:rPr>
        <w:t xml:space="preserve">adioeléctrico se sujetarán a las disposiciones que al efecto emita el Instituto. </w:t>
      </w:r>
    </w:p>
    <w:p w14:paraId="36032AD1" w14:textId="77777777" w:rsidR="00F37C4D" w:rsidRPr="00181016" w:rsidRDefault="00F37C4D" w:rsidP="00F003B2">
      <w:pPr>
        <w:pBdr>
          <w:top w:val="nil"/>
          <w:left w:val="nil"/>
          <w:bottom w:val="nil"/>
          <w:right w:val="nil"/>
          <w:between w:val="nil"/>
          <w:bar w:val="nil"/>
        </w:pBdr>
        <w:suppressAutoHyphens/>
        <w:spacing w:after="0" w:line="240" w:lineRule="auto"/>
        <w:contextualSpacing/>
        <w:jc w:val="both"/>
        <w:rPr>
          <w:rFonts w:ascii="ITC Avant Garde" w:hAnsi="ITC Avant Garde" w:cs="Arial"/>
          <w:color w:val="000000" w:themeColor="text1"/>
          <w:szCs w:val="21"/>
        </w:rPr>
      </w:pPr>
    </w:p>
    <w:p w14:paraId="328E752F" w14:textId="311E59A4" w:rsidR="00F37C4D" w:rsidRPr="00491708" w:rsidRDefault="00F37C4D" w:rsidP="00F003B2">
      <w:pPr>
        <w:pBdr>
          <w:top w:val="nil"/>
          <w:left w:val="nil"/>
          <w:bottom w:val="nil"/>
          <w:right w:val="nil"/>
          <w:between w:val="nil"/>
          <w:bar w:val="nil"/>
        </w:pBdr>
        <w:suppressAutoHyphens/>
        <w:spacing w:after="0" w:line="240" w:lineRule="auto"/>
        <w:contextualSpacing/>
        <w:jc w:val="both"/>
        <w:rPr>
          <w:rFonts w:ascii="ITC Avant Garde" w:hAnsi="ITC Avant Garde" w:cs="Arial"/>
          <w:color w:val="000000" w:themeColor="text1"/>
        </w:rPr>
      </w:pPr>
      <w:r w:rsidRPr="00491708">
        <w:rPr>
          <w:rFonts w:ascii="ITC Avant Garde" w:hAnsi="ITC Avant Garde" w:cs="Arial"/>
          <w:color w:val="000000" w:themeColor="text1"/>
        </w:rPr>
        <w:t xml:space="preserve">Por tal motivo, surge la necesidad de establecer las disposiciones generales que contengan los requisitos, condiciones y obligaciones mediante las cuales el Instituto pueda autorizar </w:t>
      </w:r>
      <w:r w:rsidR="00246BA6">
        <w:rPr>
          <w:rFonts w:ascii="ITC Avant Garde" w:hAnsi="ITC Avant Garde" w:cs="Arial"/>
          <w:color w:val="000000" w:themeColor="text1"/>
        </w:rPr>
        <w:t>el arrendamiento o subarrendamiento de bandas de frecuencias de espectro radioeléctrico</w:t>
      </w:r>
      <w:r w:rsidR="00CF08A1">
        <w:rPr>
          <w:rFonts w:ascii="ITC Avant Garde" w:hAnsi="ITC Avant Garde" w:cs="Arial"/>
          <w:color w:val="000000" w:themeColor="text1"/>
        </w:rPr>
        <w:t>.</w:t>
      </w:r>
    </w:p>
    <w:p w14:paraId="1E325D13" w14:textId="77777777" w:rsidR="00F37C4D" w:rsidRPr="00491708" w:rsidRDefault="00F37C4D" w:rsidP="00F003B2">
      <w:pPr>
        <w:pBdr>
          <w:top w:val="nil"/>
          <w:left w:val="nil"/>
          <w:bottom w:val="nil"/>
          <w:right w:val="nil"/>
          <w:between w:val="nil"/>
          <w:bar w:val="nil"/>
        </w:pBdr>
        <w:suppressAutoHyphens/>
        <w:spacing w:after="0" w:line="240" w:lineRule="auto"/>
        <w:contextualSpacing/>
        <w:jc w:val="both"/>
        <w:rPr>
          <w:rFonts w:ascii="ITC Avant Garde" w:hAnsi="ITC Avant Garde" w:cs="Arial"/>
          <w:color w:val="000000" w:themeColor="text1"/>
        </w:rPr>
      </w:pPr>
    </w:p>
    <w:p w14:paraId="0D2962F2" w14:textId="43EDA378" w:rsidR="00F37C4D" w:rsidRPr="00491708" w:rsidRDefault="00F37C4D" w:rsidP="00F003B2">
      <w:pPr>
        <w:pBdr>
          <w:top w:val="nil"/>
          <w:left w:val="nil"/>
          <w:bottom w:val="nil"/>
          <w:right w:val="nil"/>
          <w:between w:val="nil"/>
          <w:bar w:val="nil"/>
        </w:pBdr>
        <w:suppressAutoHyphens/>
        <w:spacing w:after="0" w:line="240" w:lineRule="auto"/>
        <w:contextualSpacing/>
        <w:jc w:val="both"/>
        <w:rPr>
          <w:rFonts w:ascii="ITC Avant Garde" w:hAnsi="ITC Avant Garde" w:cs="Arial"/>
          <w:color w:val="000000" w:themeColor="text1"/>
        </w:rPr>
      </w:pPr>
      <w:r w:rsidRPr="00491708">
        <w:rPr>
          <w:rFonts w:ascii="ITC Avant Garde" w:hAnsi="ITC Avant Garde" w:cs="Arial"/>
          <w:color w:val="000000" w:themeColor="text1"/>
        </w:rPr>
        <w:t>Las disposiciones generales de mérito conforman los Lineamientos Generales sobre la Autorización de</w:t>
      </w:r>
      <w:r>
        <w:rPr>
          <w:rFonts w:ascii="ITC Avant Garde" w:hAnsi="ITC Avant Garde" w:cs="Arial"/>
          <w:color w:val="000000" w:themeColor="text1"/>
        </w:rPr>
        <w:t xml:space="preserve"> Arrendamiento de</w:t>
      </w:r>
      <w:r w:rsidRPr="00491708">
        <w:rPr>
          <w:rFonts w:ascii="ITC Avant Garde" w:hAnsi="ITC Avant Garde" w:cs="Arial"/>
          <w:color w:val="000000" w:themeColor="text1"/>
        </w:rPr>
        <w:t xml:space="preserve"> Espectro Radioeléctrico, mismos que</w:t>
      </w:r>
      <w:r w:rsidR="008B189A">
        <w:rPr>
          <w:rFonts w:ascii="ITC Avant Garde" w:hAnsi="ITC Avant Garde" w:cs="Arial"/>
          <w:color w:val="000000" w:themeColor="text1"/>
        </w:rPr>
        <w:t xml:space="preserve"> se encuentran integrados por </w:t>
      </w:r>
      <w:r w:rsidR="00246BA6">
        <w:rPr>
          <w:rFonts w:ascii="ITC Avant Garde" w:hAnsi="ITC Avant Garde" w:cs="Arial"/>
          <w:color w:val="000000" w:themeColor="text1"/>
        </w:rPr>
        <w:t>5</w:t>
      </w:r>
      <w:r w:rsidR="00246BA6" w:rsidRPr="00246BA6">
        <w:rPr>
          <w:rFonts w:ascii="ITC Avant Garde" w:hAnsi="ITC Avant Garde" w:cs="Arial"/>
          <w:color w:val="000000" w:themeColor="text1"/>
        </w:rPr>
        <w:t xml:space="preserve"> </w:t>
      </w:r>
      <w:r w:rsidRPr="00056844">
        <w:rPr>
          <w:rFonts w:ascii="ITC Avant Garde" w:hAnsi="ITC Avant Garde" w:cs="Arial"/>
          <w:color w:val="000000" w:themeColor="text1"/>
        </w:rPr>
        <w:t xml:space="preserve">Capítulos y </w:t>
      </w:r>
      <w:r w:rsidR="00246BA6">
        <w:rPr>
          <w:rFonts w:ascii="ITC Avant Garde" w:hAnsi="ITC Avant Garde" w:cs="Arial"/>
          <w:b/>
          <w:color w:val="000000" w:themeColor="text1"/>
        </w:rPr>
        <w:t>28</w:t>
      </w:r>
      <w:r w:rsidR="00AF1D49">
        <w:rPr>
          <w:rFonts w:ascii="ITC Avant Garde" w:hAnsi="ITC Avant Garde" w:cs="Arial"/>
          <w:b/>
          <w:color w:val="000000" w:themeColor="text1"/>
        </w:rPr>
        <w:t xml:space="preserve"> </w:t>
      </w:r>
      <w:r w:rsidRPr="00491708">
        <w:rPr>
          <w:rFonts w:ascii="ITC Avant Garde" w:hAnsi="ITC Avant Garde" w:cs="Arial"/>
          <w:color w:val="000000" w:themeColor="text1"/>
        </w:rPr>
        <w:t>artículos, a saber:</w:t>
      </w:r>
    </w:p>
    <w:p w14:paraId="07C58482" w14:textId="77777777" w:rsidR="00F37C4D" w:rsidRPr="00491708" w:rsidRDefault="00F37C4D" w:rsidP="00F003B2">
      <w:pPr>
        <w:pBdr>
          <w:top w:val="nil"/>
          <w:left w:val="nil"/>
          <w:bottom w:val="nil"/>
          <w:right w:val="nil"/>
          <w:between w:val="nil"/>
          <w:bar w:val="nil"/>
        </w:pBdr>
        <w:suppressAutoHyphens/>
        <w:spacing w:after="0" w:line="240" w:lineRule="auto"/>
        <w:contextualSpacing/>
        <w:jc w:val="both"/>
        <w:rPr>
          <w:rFonts w:ascii="ITC Avant Garde" w:hAnsi="ITC Avant Garde" w:cs="Arial"/>
          <w:color w:val="000000" w:themeColor="text1"/>
        </w:rPr>
      </w:pPr>
    </w:p>
    <w:p w14:paraId="3F79113F" w14:textId="08127026" w:rsidR="00F37C4D" w:rsidRPr="00491708" w:rsidRDefault="00F37C4D" w:rsidP="00F003B2">
      <w:pPr>
        <w:pBdr>
          <w:top w:val="nil"/>
          <w:left w:val="nil"/>
          <w:bottom w:val="nil"/>
          <w:right w:val="nil"/>
          <w:between w:val="nil"/>
          <w:bar w:val="nil"/>
        </w:pBdr>
        <w:suppressAutoHyphens/>
        <w:spacing w:after="0" w:line="240" w:lineRule="auto"/>
        <w:contextualSpacing/>
        <w:jc w:val="both"/>
        <w:rPr>
          <w:rFonts w:ascii="ITC Avant Garde" w:hAnsi="ITC Avant Garde" w:cs="Arial"/>
          <w:color w:val="000000" w:themeColor="text1"/>
        </w:rPr>
      </w:pPr>
      <w:r w:rsidRPr="00491708">
        <w:rPr>
          <w:rFonts w:ascii="ITC Avant Garde" w:hAnsi="ITC Avant Garde" w:cs="Arial"/>
          <w:color w:val="000000" w:themeColor="text1"/>
        </w:rPr>
        <w:t xml:space="preserve">El </w:t>
      </w:r>
      <w:r w:rsidR="00BD49E0">
        <w:rPr>
          <w:rFonts w:ascii="ITC Avant Garde" w:hAnsi="ITC Avant Garde" w:cs="Arial"/>
          <w:color w:val="000000" w:themeColor="text1"/>
        </w:rPr>
        <w:t>C</w:t>
      </w:r>
      <w:r w:rsidRPr="00491708">
        <w:rPr>
          <w:rFonts w:ascii="ITC Avant Garde" w:hAnsi="ITC Avant Garde" w:cs="Arial"/>
          <w:color w:val="000000" w:themeColor="text1"/>
        </w:rPr>
        <w:t>apítulo I</w:t>
      </w:r>
      <w:r w:rsidR="00273984">
        <w:rPr>
          <w:rFonts w:ascii="ITC Avant Garde" w:hAnsi="ITC Avant Garde" w:cs="Arial"/>
          <w:color w:val="000000" w:themeColor="text1"/>
        </w:rPr>
        <w:t>,</w:t>
      </w:r>
      <w:r w:rsidRPr="00491708">
        <w:rPr>
          <w:rFonts w:ascii="ITC Avant Garde" w:hAnsi="ITC Avant Garde" w:cs="Arial"/>
          <w:color w:val="000000" w:themeColor="text1"/>
        </w:rPr>
        <w:t xml:space="preserve"> denominado “</w:t>
      </w:r>
      <w:r w:rsidRPr="00491708">
        <w:rPr>
          <w:rFonts w:ascii="ITC Avant Garde" w:hAnsi="ITC Avant Garde" w:cs="Arial"/>
          <w:b/>
          <w:i/>
          <w:color w:val="000000" w:themeColor="text1"/>
        </w:rPr>
        <w:t>Disposiciones Generales</w:t>
      </w:r>
      <w:r w:rsidRPr="00491708">
        <w:rPr>
          <w:rFonts w:ascii="ITC Avant Garde" w:hAnsi="ITC Avant Garde" w:cs="Arial"/>
          <w:color w:val="000000" w:themeColor="text1"/>
        </w:rPr>
        <w:t>” señala</w:t>
      </w:r>
      <w:r w:rsidR="00DB073B">
        <w:rPr>
          <w:rFonts w:ascii="ITC Avant Garde" w:hAnsi="ITC Avant Garde" w:cs="Arial"/>
          <w:color w:val="000000" w:themeColor="text1"/>
        </w:rPr>
        <w:t xml:space="preserve"> a</w:t>
      </w:r>
      <w:r w:rsidRPr="00491708">
        <w:rPr>
          <w:rFonts w:ascii="ITC Avant Garde" w:hAnsi="ITC Avant Garde" w:cs="Arial"/>
          <w:color w:val="000000" w:themeColor="text1"/>
        </w:rPr>
        <w:t xml:space="preserve"> </w:t>
      </w:r>
      <w:r w:rsidRPr="00491708">
        <w:rPr>
          <w:rFonts w:ascii="ITC Avant Garde" w:hAnsi="ITC Avant Garde" w:cs="Arial"/>
          <w:i/>
          <w:color w:val="000000" w:themeColor="text1"/>
        </w:rPr>
        <w:t>grosso modo</w:t>
      </w:r>
      <w:r w:rsidRPr="00491708">
        <w:rPr>
          <w:rFonts w:ascii="ITC Avant Garde" w:hAnsi="ITC Avant Garde" w:cs="Arial"/>
          <w:color w:val="000000" w:themeColor="text1"/>
        </w:rPr>
        <w:t xml:space="preserve"> lo siguiente:</w:t>
      </w:r>
    </w:p>
    <w:p w14:paraId="22976333" w14:textId="77777777" w:rsidR="00F37C4D" w:rsidRPr="00491708" w:rsidRDefault="00F37C4D" w:rsidP="00F003B2">
      <w:pPr>
        <w:pBdr>
          <w:top w:val="nil"/>
          <w:left w:val="nil"/>
          <w:bottom w:val="nil"/>
          <w:right w:val="nil"/>
          <w:between w:val="nil"/>
          <w:bar w:val="nil"/>
        </w:pBdr>
        <w:suppressAutoHyphens/>
        <w:spacing w:after="0" w:line="240" w:lineRule="auto"/>
        <w:contextualSpacing/>
        <w:jc w:val="both"/>
        <w:rPr>
          <w:rFonts w:ascii="ITC Avant Garde" w:hAnsi="ITC Avant Garde" w:cs="Arial"/>
          <w:color w:val="000000" w:themeColor="text1"/>
        </w:rPr>
      </w:pPr>
    </w:p>
    <w:p w14:paraId="24C54FAE" w14:textId="77777777" w:rsidR="00F37C4D" w:rsidRPr="00491708" w:rsidRDefault="00F37C4D" w:rsidP="00F003B2">
      <w:pPr>
        <w:pStyle w:val="Prrafodelista"/>
        <w:numPr>
          <w:ilvl w:val="0"/>
          <w:numId w:val="24"/>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sidRPr="00491708">
        <w:rPr>
          <w:rFonts w:ascii="ITC Avant Garde" w:hAnsi="ITC Avant Garde" w:cs="Arial"/>
          <w:color w:val="000000" w:themeColor="text1"/>
          <w:sz w:val="22"/>
          <w:szCs w:val="22"/>
        </w:rPr>
        <w:t xml:space="preserve">El objeto de los Lineamientos. </w:t>
      </w:r>
    </w:p>
    <w:p w14:paraId="408E89DF" w14:textId="322170E3" w:rsidR="00F37C4D" w:rsidRPr="00491708" w:rsidRDefault="00DB073B" w:rsidP="00F003B2">
      <w:pPr>
        <w:pStyle w:val="Prrafodelista"/>
        <w:numPr>
          <w:ilvl w:val="0"/>
          <w:numId w:val="24"/>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t>Las a</w:t>
      </w:r>
      <w:r w:rsidR="00F37C4D" w:rsidRPr="00491708">
        <w:rPr>
          <w:rFonts w:ascii="ITC Avant Garde" w:hAnsi="ITC Avant Garde" w:cs="Arial"/>
          <w:color w:val="000000" w:themeColor="text1"/>
          <w:sz w:val="22"/>
          <w:szCs w:val="22"/>
        </w:rPr>
        <w:t>tribuciones del Instituto respecto de la regulación, promoción y supervisión del uso, aprovechamiento y</w:t>
      </w:r>
      <w:r w:rsidR="00273984">
        <w:rPr>
          <w:rFonts w:ascii="ITC Avant Garde" w:hAnsi="ITC Avant Garde" w:cs="Arial"/>
          <w:color w:val="000000" w:themeColor="text1"/>
          <w:sz w:val="22"/>
          <w:szCs w:val="22"/>
        </w:rPr>
        <w:t xml:space="preserve"> explotación del espectro r</w:t>
      </w:r>
      <w:r w:rsidR="00F37C4D" w:rsidRPr="00491708">
        <w:rPr>
          <w:rFonts w:ascii="ITC Avant Garde" w:hAnsi="ITC Avant Garde" w:cs="Arial"/>
          <w:color w:val="000000" w:themeColor="text1"/>
          <w:sz w:val="22"/>
          <w:szCs w:val="22"/>
        </w:rPr>
        <w:t>adioeléctrico, así como para impulsar el mercado secundario.</w:t>
      </w:r>
    </w:p>
    <w:p w14:paraId="374C0AAD" w14:textId="4B626E2A" w:rsidR="00F37C4D" w:rsidRPr="00491708" w:rsidRDefault="00DB073B" w:rsidP="00F003B2">
      <w:pPr>
        <w:pStyle w:val="Prrafodelista"/>
        <w:numPr>
          <w:ilvl w:val="0"/>
          <w:numId w:val="24"/>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lastRenderedPageBreak/>
        <w:t>La p</w:t>
      </w:r>
      <w:r w:rsidR="00F37C4D" w:rsidRPr="00491708">
        <w:rPr>
          <w:rFonts w:ascii="ITC Avant Garde" w:hAnsi="ITC Avant Garde" w:cs="Arial"/>
          <w:color w:val="000000" w:themeColor="text1"/>
          <w:sz w:val="22"/>
          <w:szCs w:val="22"/>
        </w:rPr>
        <w:t xml:space="preserve">recisión de diferentes conceptos, con su respectiva definición, para la comprensión del objeto de los Lineamientos. </w:t>
      </w:r>
    </w:p>
    <w:p w14:paraId="7B426071" w14:textId="1A292823" w:rsidR="00F37C4D" w:rsidRPr="00491708" w:rsidRDefault="00DB073B" w:rsidP="00F003B2">
      <w:pPr>
        <w:pStyle w:val="Prrafodelista"/>
        <w:numPr>
          <w:ilvl w:val="0"/>
          <w:numId w:val="24"/>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t>La f</w:t>
      </w:r>
      <w:r w:rsidR="00F37C4D" w:rsidRPr="00491708">
        <w:rPr>
          <w:rFonts w:ascii="ITC Avant Garde" w:hAnsi="ITC Avant Garde" w:cs="Arial"/>
          <w:color w:val="000000" w:themeColor="text1"/>
          <w:sz w:val="22"/>
          <w:szCs w:val="22"/>
        </w:rPr>
        <w:t xml:space="preserve">acultad del Pleno </w:t>
      </w:r>
      <w:r>
        <w:rPr>
          <w:rFonts w:ascii="ITC Avant Garde" w:hAnsi="ITC Avant Garde" w:cs="Arial"/>
          <w:color w:val="000000" w:themeColor="text1"/>
          <w:sz w:val="22"/>
          <w:szCs w:val="22"/>
        </w:rPr>
        <w:t xml:space="preserve">del Instituto </w:t>
      </w:r>
      <w:r w:rsidR="00F37C4D" w:rsidRPr="00491708">
        <w:rPr>
          <w:rFonts w:ascii="ITC Avant Garde" w:hAnsi="ITC Avant Garde" w:cs="Arial"/>
          <w:color w:val="000000" w:themeColor="text1"/>
          <w:sz w:val="22"/>
          <w:szCs w:val="22"/>
        </w:rPr>
        <w:t xml:space="preserve">para interpretar los Lineamientos o resolver cuestiones no previstas en los mismos. </w:t>
      </w:r>
    </w:p>
    <w:p w14:paraId="6D8424B4" w14:textId="77777777" w:rsidR="00F003B2" w:rsidRDefault="00F003B2" w:rsidP="00F003B2">
      <w:pPr>
        <w:tabs>
          <w:tab w:val="left" w:pos="284"/>
          <w:tab w:val="left" w:pos="426"/>
        </w:tabs>
        <w:spacing w:after="0" w:line="240" w:lineRule="auto"/>
        <w:jc w:val="both"/>
        <w:rPr>
          <w:rFonts w:ascii="ITC Avant Garde" w:eastAsia="Times New Roman" w:hAnsi="ITC Avant Garde"/>
          <w:kern w:val="1"/>
          <w:lang w:eastAsia="ar-SA"/>
        </w:rPr>
      </w:pPr>
    </w:p>
    <w:p w14:paraId="280CE40E" w14:textId="3A2A1F8D" w:rsidR="00F003B2" w:rsidRPr="00CB6AD5" w:rsidRDefault="00E35C23" w:rsidP="00942224">
      <w:pPr>
        <w:spacing w:after="0" w:line="240" w:lineRule="auto"/>
        <w:contextualSpacing/>
        <w:jc w:val="both"/>
        <w:rPr>
          <w:rFonts w:ascii="ITC Avant Garde" w:hAnsi="ITC Avant Garde"/>
          <w:lang w:val="es-ES"/>
        </w:rPr>
      </w:pPr>
      <w:r w:rsidRPr="009203EF">
        <w:rPr>
          <w:rFonts w:ascii="ITC Avant Garde" w:hAnsi="ITC Avant Garde"/>
          <w:color w:val="000000"/>
        </w:rPr>
        <w:t>En</w:t>
      </w:r>
      <w:r w:rsidR="007959F3">
        <w:rPr>
          <w:rFonts w:ascii="ITC Avant Garde" w:hAnsi="ITC Avant Garde"/>
          <w:color w:val="000000"/>
        </w:rPr>
        <w:t xml:space="preserve"> cuanto al objeto de los Lineamientos, así como algunas de las definiciones propuestas, </w:t>
      </w:r>
      <w:r w:rsidR="00F31EF3">
        <w:rPr>
          <w:rFonts w:ascii="ITC Avant Garde" w:hAnsi="ITC Avant Garde"/>
          <w:lang w:val="es-ES"/>
        </w:rPr>
        <w:t>tenemos que u</w:t>
      </w:r>
      <w:r w:rsidR="00F003B2">
        <w:rPr>
          <w:rFonts w:ascii="ITC Avant Garde" w:hAnsi="ITC Avant Garde"/>
          <w:lang w:val="es-ES"/>
        </w:rPr>
        <w:t xml:space="preserve">na de las finalidades de toda disposición de carácter general lo constituye la claridad de los términos utilizados en la misma, lo cual no es ajeno a los presentes Lineamientos, en razón de que los entes involucrados desean entender y comprender los alcances y términos para su posterior aplicación. Por ello, </w:t>
      </w:r>
      <w:r w:rsidR="00F003B2" w:rsidRPr="00CB6AD5">
        <w:rPr>
          <w:rFonts w:ascii="ITC Avant Garde" w:hAnsi="ITC Avant Garde"/>
          <w:lang w:val="es-ES"/>
        </w:rPr>
        <w:t xml:space="preserve">para que </w:t>
      </w:r>
      <w:r w:rsidR="00F003B2">
        <w:rPr>
          <w:rFonts w:ascii="ITC Avant Garde" w:hAnsi="ITC Avant Garde"/>
          <w:lang w:val="es-ES"/>
        </w:rPr>
        <w:t>los Lineamientos cumplan con dicho principio resulta necesario</w:t>
      </w:r>
      <w:r w:rsidR="00F003B2" w:rsidRPr="00CB6AD5">
        <w:rPr>
          <w:rFonts w:ascii="ITC Avant Garde" w:hAnsi="ITC Avant Garde"/>
          <w:lang w:val="es-ES"/>
        </w:rPr>
        <w:t>, conveniente y eficaz elaborar un apartado que contenga las definiciones de los concept</w:t>
      </w:r>
      <w:r w:rsidR="00F003B2">
        <w:rPr>
          <w:rFonts w:ascii="ITC Avant Garde" w:hAnsi="ITC Avant Garde"/>
          <w:lang w:val="es-ES"/>
        </w:rPr>
        <w:t>os utilizados a lo largo de éstos</w:t>
      </w:r>
      <w:r w:rsidR="00F003B2" w:rsidRPr="00CB6AD5">
        <w:rPr>
          <w:rFonts w:ascii="ITC Avant Garde" w:hAnsi="ITC Avant Garde"/>
          <w:lang w:val="es-ES"/>
        </w:rPr>
        <w:t xml:space="preserve">, ya que el alcance de cada uno de ellos </w:t>
      </w:r>
      <w:r w:rsidR="00F003B2">
        <w:rPr>
          <w:rFonts w:ascii="ITC Avant Garde" w:hAnsi="ITC Avant Garde"/>
          <w:lang w:val="es-ES"/>
        </w:rPr>
        <w:t>brinda cohesión y congruencia al propio instrumento</w:t>
      </w:r>
      <w:r w:rsidR="00F003B2" w:rsidRPr="00CB6AD5">
        <w:rPr>
          <w:rFonts w:ascii="ITC Avant Garde" w:hAnsi="ITC Avant Garde"/>
          <w:lang w:val="es-ES"/>
        </w:rPr>
        <w:t>.</w:t>
      </w:r>
    </w:p>
    <w:p w14:paraId="1195C641" w14:textId="77777777" w:rsidR="00F003B2" w:rsidRDefault="00F003B2" w:rsidP="00F003B2">
      <w:pPr>
        <w:tabs>
          <w:tab w:val="left" w:pos="284"/>
          <w:tab w:val="left" w:pos="426"/>
        </w:tabs>
        <w:spacing w:after="0" w:line="240" w:lineRule="auto"/>
        <w:jc w:val="both"/>
        <w:rPr>
          <w:rFonts w:ascii="ITC Avant Garde" w:eastAsia="Times New Roman" w:hAnsi="ITC Avant Garde"/>
          <w:kern w:val="1"/>
          <w:sz w:val="20"/>
          <w:szCs w:val="20"/>
          <w:lang w:eastAsia="ar-SA"/>
        </w:rPr>
      </w:pPr>
    </w:p>
    <w:p w14:paraId="39E364EF" w14:textId="77777777" w:rsidR="00F003B2" w:rsidRPr="007F7AEC" w:rsidRDefault="00F003B2" w:rsidP="00F003B2">
      <w:pPr>
        <w:tabs>
          <w:tab w:val="left" w:pos="284"/>
          <w:tab w:val="left" w:pos="426"/>
        </w:tabs>
        <w:spacing w:after="0" w:line="240" w:lineRule="auto"/>
        <w:jc w:val="both"/>
        <w:rPr>
          <w:rFonts w:ascii="ITC Avant Garde" w:hAnsi="ITC Avant Garde"/>
          <w:lang w:val="es-ES"/>
        </w:rPr>
      </w:pPr>
      <w:r w:rsidRPr="007F7AEC">
        <w:rPr>
          <w:rFonts w:ascii="ITC Avant Garde" w:hAnsi="ITC Avant Garde"/>
          <w:lang w:val="es-ES"/>
        </w:rPr>
        <w:t>En consecuencia, el exacto y correcto entendimiento de los alcances de cada uno de los co</w:t>
      </w:r>
      <w:r>
        <w:rPr>
          <w:rFonts w:ascii="ITC Avant Garde" w:hAnsi="ITC Avant Garde"/>
          <w:lang w:val="es-ES"/>
        </w:rPr>
        <w:t xml:space="preserve">nceptos utilizados en los Lineamientos </w:t>
      </w:r>
      <w:r w:rsidRPr="007F7AEC">
        <w:rPr>
          <w:rFonts w:ascii="ITC Avant Garde" w:hAnsi="ITC Avant Garde"/>
          <w:lang w:val="es-ES"/>
        </w:rPr>
        <w:t xml:space="preserve">hará factible: </w:t>
      </w:r>
    </w:p>
    <w:p w14:paraId="63A3FCF0" w14:textId="77777777" w:rsidR="00F003B2" w:rsidRPr="007F7AEC" w:rsidRDefault="00F003B2" w:rsidP="00F003B2">
      <w:pPr>
        <w:tabs>
          <w:tab w:val="left" w:pos="284"/>
          <w:tab w:val="left" w:pos="426"/>
        </w:tabs>
        <w:spacing w:after="0" w:line="240" w:lineRule="auto"/>
        <w:jc w:val="both"/>
        <w:rPr>
          <w:rFonts w:ascii="ITC Avant Garde" w:hAnsi="ITC Avant Garde"/>
          <w:lang w:val="es-ES"/>
        </w:rPr>
      </w:pPr>
    </w:p>
    <w:p w14:paraId="252B7468" w14:textId="14E2AF1C" w:rsidR="00F003B2" w:rsidRPr="007F7AEC" w:rsidRDefault="00F003B2" w:rsidP="00F003B2">
      <w:pPr>
        <w:pStyle w:val="Prrafodelista"/>
        <w:numPr>
          <w:ilvl w:val="0"/>
          <w:numId w:val="28"/>
        </w:numPr>
        <w:tabs>
          <w:tab w:val="left" w:pos="284"/>
          <w:tab w:val="left" w:pos="426"/>
        </w:tabs>
        <w:jc w:val="both"/>
        <w:rPr>
          <w:rFonts w:ascii="ITC Avant Garde" w:hAnsi="ITC Avant Garde"/>
          <w:sz w:val="22"/>
          <w:szCs w:val="22"/>
          <w:lang w:val="es-ES"/>
        </w:rPr>
      </w:pPr>
      <w:r w:rsidRPr="007F7AEC">
        <w:rPr>
          <w:rFonts w:ascii="ITC Avant Garde" w:hAnsi="ITC Avant Garde"/>
          <w:sz w:val="22"/>
          <w:szCs w:val="22"/>
          <w:lang w:val="es-ES"/>
        </w:rPr>
        <w:t>Q</w:t>
      </w:r>
      <w:r w:rsidR="00447531">
        <w:rPr>
          <w:rFonts w:ascii="ITC Avant Garde" w:hAnsi="ITC Avant Garde"/>
          <w:sz w:val="22"/>
          <w:szCs w:val="22"/>
          <w:lang w:val="es-ES"/>
        </w:rPr>
        <w:t>ue la</w:t>
      </w:r>
      <w:r>
        <w:rPr>
          <w:rFonts w:ascii="ITC Avant Garde" w:hAnsi="ITC Avant Garde"/>
          <w:sz w:val="22"/>
          <w:szCs w:val="22"/>
          <w:lang w:val="es-ES"/>
        </w:rPr>
        <w:t xml:space="preserve">s personas físicas y morales que se ubiquen en los supuestos </w:t>
      </w:r>
      <w:r w:rsidR="00921A4A">
        <w:rPr>
          <w:rFonts w:ascii="ITC Avant Garde" w:hAnsi="ITC Avant Garde"/>
          <w:sz w:val="22"/>
          <w:szCs w:val="22"/>
          <w:lang w:val="es-ES"/>
        </w:rPr>
        <w:t>previstos</w:t>
      </w:r>
      <w:r w:rsidR="00F229D2">
        <w:rPr>
          <w:rFonts w:ascii="ITC Avant Garde" w:hAnsi="ITC Avant Garde"/>
          <w:sz w:val="22"/>
          <w:szCs w:val="22"/>
          <w:lang w:val="es-ES"/>
        </w:rPr>
        <w:t>,</w:t>
      </w:r>
      <w:r>
        <w:rPr>
          <w:rFonts w:ascii="ITC Avant Garde" w:hAnsi="ITC Avant Garde"/>
          <w:sz w:val="22"/>
          <w:szCs w:val="22"/>
          <w:lang w:val="es-ES"/>
        </w:rPr>
        <w:t xml:space="preserve"> se encuentren </w:t>
      </w:r>
      <w:r w:rsidRPr="007F7AEC">
        <w:rPr>
          <w:rFonts w:ascii="ITC Avant Garde" w:hAnsi="ITC Avant Garde"/>
          <w:sz w:val="22"/>
          <w:szCs w:val="22"/>
          <w:lang w:val="es-ES"/>
        </w:rPr>
        <w:t>en condiciones de ejercer sus derechos y cumplir adecuadamente con sus obligaciones en la materia</w:t>
      </w:r>
      <w:r w:rsidR="009D63A7">
        <w:rPr>
          <w:rFonts w:ascii="ITC Avant Garde" w:hAnsi="ITC Avant Garde"/>
          <w:sz w:val="22"/>
          <w:szCs w:val="22"/>
          <w:lang w:val="es-ES"/>
        </w:rPr>
        <w:t>.</w:t>
      </w:r>
    </w:p>
    <w:p w14:paraId="0F1D7EDE" w14:textId="77777777" w:rsidR="00F003B2" w:rsidRPr="007F7AEC" w:rsidRDefault="00F003B2" w:rsidP="00F003B2">
      <w:pPr>
        <w:pStyle w:val="Prrafodelista"/>
        <w:tabs>
          <w:tab w:val="left" w:pos="284"/>
          <w:tab w:val="left" w:pos="426"/>
        </w:tabs>
        <w:ind w:left="720"/>
        <w:jc w:val="both"/>
        <w:rPr>
          <w:rFonts w:ascii="ITC Avant Garde" w:hAnsi="ITC Avant Garde"/>
          <w:sz w:val="22"/>
          <w:szCs w:val="22"/>
          <w:lang w:val="es-ES"/>
        </w:rPr>
      </w:pPr>
    </w:p>
    <w:p w14:paraId="7998D041" w14:textId="3B4E0527" w:rsidR="00F003B2" w:rsidRDefault="00F003B2" w:rsidP="00F003B2">
      <w:pPr>
        <w:pStyle w:val="Prrafodelista"/>
        <w:numPr>
          <w:ilvl w:val="0"/>
          <w:numId w:val="28"/>
        </w:numPr>
        <w:tabs>
          <w:tab w:val="left" w:pos="284"/>
          <w:tab w:val="left" w:pos="426"/>
        </w:tabs>
        <w:jc w:val="both"/>
        <w:rPr>
          <w:rFonts w:ascii="ITC Avant Garde" w:hAnsi="ITC Avant Garde"/>
          <w:sz w:val="22"/>
          <w:szCs w:val="22"/>
          <w:lang w:val="es-ES"/>
        </w:rPr>
      </w:pPr>
      <w:r>
        <w:rPr>
          <w:rFonts w:ascii="ITC Avant Garde" w:hAnsi="ITC Avant Garde"/>
          <w:sz w:val="22"/>
          <w:szCs w:val="22"/>
          <w:lang w:val="es-ES"/>
        </w:rPr>
        <w:t xml:space="preserve">La comprensión integral del </w:t>
      </w:r>
      <w:r w:rsidR="00DB073B">
        <w:rPr>
          <w:rFonts w:ascii="ITC Avant Garde" w:hAnsi="ITC Avant Garde"/>
          <w:sz w:val="22"/>
          <w:szCs w:val="22"/>
          <w:lang w:val="es-ES"/>
        </w:rPr>
        <w:t>a</w:t>
      </w:r>
      <w:r>
        <w:rPr>
          <w:rFonts w:ascii="ITC Avant Garde" w:hAnsi="ITC Avant Garde"/>
          <w:sz w:val="22"/>
          <w:szCs w:val="22"/>
          <w:lang w:val="es-ES"/>
        </w:rPr>
        <w:t xml:space="preserve">rrendamiento de </w:t>
      </w:r>
      <w:r w:rsidR="00DB073B">
        <w:rPr>
          <w:rFonts w:ascii="ITC Avant Garde" w:hAnsi="ITC Avant Garde"/>
          <w:sz w:val="22"/>
          <w:szCs w:val="22"/>
          <w:lang w:val="es-ES"/>
        </w:rPr>
        <w:t>e</w:t>
      </w:r>
      <w:r>
        <w:rPr>
          <w:rFonts w:ascii="ITC Avant Garde" w:hAnsi="ITC Avant Garde"/>
          <w:sz w:val="22"/>
          <w:szCs w:val="22"/>
          <w:lang w:val="es-ES"/>
        </w:rPr>
        <w:t xml:space="preserve">spectro </w:t>
      </w:r>
      <w:r w:rsidR="00DB073B">
        <w:rPr>
          <w:rFonts w:ascii="ITC Avant Garde" w:hAnsi="ITC Avant Garde"/>
          <w:sz w:val="22"/>
          <w:szCs w:val="22"/>
          <w:lang w:val="es-ES"/>
        </w:rPr>
        <w:t>r</w:t>
      </w:r>
      <w:r>
        <w:rPr>
          <w:rFonts w:ascii="ITC Avant Garde" w:hAnsi="ITC Avant Garde"/>
          <w:sz w:val="22"/>
          <w:szCs w:val="22"/>
          <w:lang w:val="es-ES"/>
        </w:rPr>
        <w:t xml:space="preserve">adioeléctrico, como figura del </w:t>
      </w:r>
      <w:r w:rsidR="0091445E">
        <w:rPr>
          <w:rFonts w:ascii="ITC Avant Garde" w:hAnsi="ITC Avant Garde"/>
          <w:sz w:val="22"/>
          <w:szCs w:val="22"/>
          <w:lang w:val="es-ES"/>
        </w:rPr>
        <w:t>m</w:t>
      </w:r>
      <w:r>
        <w:rPr>
          <w:rFonts w:ascii="ITC Avant Garde" w:hAnsi="ITC Avant Garde"/>
          <w:sz w:val="22"/>
          <w:szCs w:val="22"/>
          <w:lang w:val="es-ES"/>
        </w:rPr>
        <w:t xml:space="preserve">ercado </w:t>
      </w:r>
      <w:r w:rsidR="0091445E">
        <w:rPr>
          <w:rFonts w:ascii="ITC Avant Garde" w:hAnsi="ITC Avant Garde"/>
          <w:sz w:val="22"/>
          <w:szCs w:val="22"/>
          <w:lang w:val="es-ES"/>
        </w:rPr>
        <w:t>s</w:t>
      </w:r>
      <w:r>
        <w:rPr>
          <w:rFonts w:ascii="ITC Avant Garde" w:hAnsi="ITC Avant Garde"/>
          <w:sz w:val="22"/>
          <w:szCs w:val="22"/>
          <w:lang w:val="es-ES"/>
        </w:rPr>
        <w:t xml:space="preserve">ecundario de </w:t>
      </w:r>
      <w:r w:rsidR="0091445E">
        <w:rPr>
          <w:rFonts w:ascii="ITC Avant Garde" w:hAnsi="ITC Avant Garde"/>
          <w:sz w:val="22"/>
          <w:szCs w:val="22"/>
          <w:lang w:val="es-ES"/>
        </w:rPr>
        <w:t>e</w:t>
      </w:r>
      <w:r>
        <w:rPr>
          <w:rFonts w:ascii="ITC Avant Garde" w:hAnsi="ITC Avant Garde"/>
          <w:sz w:val="22"/>
          <w:szCs w:val="22"/>
          <w:lang w:val="es-ES"/>
        </w:rPr>
        <w:t xml:space="preserve">spectro </w:t>
      </w:r>
      <w:r w:rsidR="0091445E">
        <w:rPr>
          <w:rFonts w:ascii="ITC Avant Garde" w:hAnsi="ITC Avant Garde"/>
          <w:sz w:val="22"/>
          <w:szCs w:val="22"/>
          <w:lang w:val="es-ES"/>
        </w:rPr>
        <w:t>r</w:t>
      </w:r>
      <w:r>
        <w:rPr>
          <w:rFonts w:ascii="ITC Avant Garde" w:hAnsi="ITC Avant Garde"/>
          <w:sz w:val="22"/>
          <w:szCs w:val="22"/>
          <w:lang w:val="es-ES"/>
        </w:rPr>
        <w:t>adioeléctrico</w:t>
      </w:r>
      <w:r w:rsidRPr="007F7AEC">
        <w:rPr>
          <w:rFonts w:ascii="ITC Avant Garde" w:hAnsi="ITC Avant Garde"/>
          <w:sz w:val="22"/>
          <w:szCs w:val="22"/>
          <w:lang w:val="es-ES"/>
        </w:rPr>
        <w:t xml:space="preserve"> y sus alcances</w:t>
      </w:r>
      <w:r w:rsidR="00234E9A">
        <w:rPr>
          <w:rFonts w:ascii="ITC Avant Garde" w:hAnsi="ITC Avant Garde"/>
          <w:sz w:val="22"/>
          <w:szCs w:val="22"/>
          <w:lang w:val="es-ES"/>
        </w:rPr>
        <w:t xml:space="preserve">, </w:t>
      </w:r>
      <w:r w:rsidR="00132BB1">
        <w:rPr>
          <w:rFonts w:ascii="ITC Avant Garde" w:hAnsi="ITC Avant Garde"/>
          <w:sz w:val="22"/>
          <w:szCs w:val="22"/>
          <w:lang w:val="es-ES"/>
        </w:rPr>
        <w:t>así como el alcance del subarrendamiento de espectro radioeléctrico.</w:t>
      </w:r>
    </w:p>
    <w:p w14:paraId="767A43FF" w14:textId="77777777" w:rsidR="00F003B2" w:rsidRPr="0059075C" w:rsidRDefault="00F003B2" w:rsidP="00F003B2">
      <w:pPr>
        <w:pStyle w:val="Prrafodelista"/>
        <w:rPr>
          <w:rFonts w:ascii="ITC Avant Garde" w:hAnsi="ITC Avant Garde"/>
          <w:sz w:val="22"/>
          <w:szCs w:val="22"/>
          <w:lang w:val="es-ES"/>
        </w:rPr>
      </w:pPr>
    </w:p>
    <w:p w14:paraId="5D35C35E" w14:textId="4A198CBA" w:rsidR="00F003B2" w:rsidRPr="00A91D5A" w:rsidRDefault="00DA2D1F" w:rsidP="00F67797">
      <w:pPr>
        <w:pStyle w:val="Prrafodelista"/>
        <w:numPr>
          <w:ilvl w:val="0"/>
          <w:numId w:val="28"/>
        </w:numPr>
        <w:tabs>
          <w:tab w:val="left" w:pos="284"/>
          <w:tab w:val="left" w:pos="426"/>
        </w:tabs>
        <w:jc w:val="both"/>
        <w:rPr>
          <w:rFonts w:ascii="ITC Avant Garde" w:hAnsi="ITC Avant Garde"/>
          <w:sz w:val="22"/>
          <w:szCs w:val="22"/>
          <w:lang w:val="es-ES"/>
        </w:rPr>
      </w:pPr>
      <w:r>
        <w:rPr>
          <w:rFonts w:ascii="ITC Avant Garde" w:hAnsi="ITC Avant Garde"/>
          <w:sz w:val="22"/>
          <w:szCs w:val="22"/>
          <w:lang w:val="es-ES"/>
        </w:rPr>
        <w:t>La o</w:t>
      </w:r>
      <w:r w:rsidR="00F003B2" w:rsidRPr="00A91D5A">
        <w:rPr>
          <w:rFonts w:ascii="ITC Avant Garde" w:hAnsi="ITC Avant Garde"/>
          <w:sz w:val="22"/>
          <w:szCs w:val="22"/>
          <w:lang w:val="es-ES"/>
        </w:rPr>
        <w:t>bservancia eficaz y oportuna de las disposiciones previstas en los Lineamientos.</w:t>
      </w:r>
    </w:p>
    <w:p w14:paraId="3F3DEB9E" w14:textId="77777777" w:rsidR="00176E97" w:rsidRDefault="00176E97" w:rsidP="00C7199B">
      <w:pPr>
        <w:pStyle w:val="Prrafodelista"/>
        <w:tabs>
          <w:tab w:val="left" w:pos="284"/>
          <w:tab w:val="left" w:pos="426"/>
        </w:tabs>
        <w:ind w:left="720"/>
        <w:jc w:val="both"/>
        <w:rPr>
          <w:rFonts w:ascii="ITC Avant Garde" w:hAnsi="ITC Avant Garde"/>
          <w:sz w:val="22"/>
          <w:szCs w:val="22"/>
          <w:lang w:val="es-ES"/>
        </w:rPr>
      </w:pPr>
    </w:p>
    <w:p w14:paraId="370C0998" w14:textId="01574F7A" w:rsidR="00176E97" w:rsidRDefault="00DA2D1F" w:rsidP="00F67797">
      <w:pPr>
        <w:pStyle w:val="Prrafodelista"/>
        <w:numPr>
          <w:ilvl w:val="0"/>
          <w:numId w:val="28"/>
        </w:numPr>
        <w:tabs>
          <w:tab w:val="left" w:pos="284"/>
          <w:tab w:val="left" w:pos="426"/>
        </w:tabs>
        <w:jc w:val="both"/>
        <w:rPr>
          <w:rFonts w:ascii="ITC Avant Garde" w:hAnsi="ITC Avant Garde"/>
          <w:sz w:val="22"/>
          <w:szCs w:val="22"/>
          <w:lang w:val="es-ES"/>
        </w:rPr>
      </w:pPr>
      <w:r>
        <w:rPr>
          <w:rFonts w:ascii="ITC Avant Garde" w:hAnsi="ITC Avant Garde"/>
          <w:sz w:val="22"/>
          <w:szCs w:val="22"/>
          <w:lang w:val="es-ES"/>
        </w:rPr>
        <w:t>La a</w:t>
      </w:r>
      <w:r w:rsidR="00F003B2" w:rsidRPr="00870ACE">
        <w:rPr>
          <w:rFonts w:ascii="ITC Avant Garde" w:hAnsi="ITC Avant Garde"/>
          <w:sz w:val="22"/>
          <w:szCs w:val="22"/>
          <w:lang w:val="es-ES"/>
        </w:rPr>
        <w:t xml:space="preserve">plicación efectiva por parte del Instituto para autorizar </w:t>
      </w:r>
      <w:r w:rsidR="00870ACE">
        <w:rPr>
          <w:rFonts w:ascii="ITC Avant Garde" w:hAnsi="ITC Avant Garde"/>
          <w:sz w:val="22"/>
          <w:szCs w:val="22"/>
          <w:lang w:val="es-ES"/>
        </w:rPr>
        <w:t>el arrendamiento o subarrendamiento de bandas de frecuencias de espectro radioeléctrico</w:t>
      </w:r>
      <w:r w:rsidR="00176E97">
        <w:rPr>
          <w:rFonts w:ascii="ITC Avant Garde" w:hAnsi="ITC Avant Garde"/>
          <w:sz w:val="22"/>
          <w:szCs w:val="22"/>
          <w:lang w:val="es-ES"/>
        </w:rPr>
        <w:t>.</w:t>
      </w:r>
    </w:p>
    <w:p w14:paraId="541521E1" w14:textId="77777777" w:rsidR="00F003B2" w:rsidRPr="00870ACE" w:rsidRDefault="00F003B2" w:rsidP="00870ACE">
      <w:pPr>
        <w:pStyle w:val="Prrafodelista"/>
        <w:tabs>
          <w:tab w:val="left" w:pos="284"/>
          <w:tab w:val="left" w:pos="426"/>
        </w:tabs>
        <w:ind w:left="720"/>
        <w:jc w:val="both"/>
        <w:rPr>
          <w:rFonts w:ascii="ITC Avant Garde" w:hAnsi="ITC Avant Garde"/>
          <w:sz w:val="22"/>
          <w:szCs w:val="22"/>
          <w:lang w:val="es-ES"/>
        </w:rPr>
      </w:pPr>
    </w:p>
    <w:p w14:paraId="49C18F07" w14:textId="03032AB0" w:rsidR="00F003B2" w:rsidRDefault="00F003B2" w:rsidP="00F003B2">
      <w:pPr>
        <w:tabs>
          <w:tab w:val="left" w:pos="284"/>
          <w:tab w:val="left" w:pos="426"/>
        </w:tabs>
        <w:spacing w:after="0" w:line="240" w:lineRule="auto"/>
        <w:jc w:val="both"/>
        <w:rPr>
          <w:rFonts w:ascii="ITC Avant Garde" w:hAnsi="ITC Avant Garde"/>
          <w:lang w:val="es-ES"/>
        </w:rPr>
      </w:pPr>
      <w:r w:rsidRPr="00A45A5C">
        <w:rPr>
          <w:rFonts w:ascii="ITC Avant Garde" w:hAnsi="ITC Avant Garde"/>
          <w:lang w:val="es-ES"/>
        </w:rPr>
        <w:t xml:space="preserve">El establecimiento claro de cada concepto contenido en </w:t>
      </w:r>
      <w:r w:rsidR="00921A4A">
        <w:rPr>
          <w:rFonts w:ascii="ITC Avant Garde" w:hAnsi="ITC Avant Garde"/>
          <w:lang w:val="es-ES"/>
        </w:rPr>
        <w:t>el apartado</w:t>
      </w:r>
      <w:r w:rsidRPr="00A45A5C">
        <w:rPr>
          <w:rFonts w:ascii="ITC Avant Garde" w:hAnsi="ITC Avant Garde"/>
          <w:lang w:val="es-ES"/>
        </w:rPr>
        <w:t xml:space="preserve"> que nos ocupa</w:t>
      </w:r>
      <w:r w:rsidR="001E5D94">
        <w:rPr>
          <w:rFonts w:ascii="ITC Avant Garde" w:hAnsi="ITC Avant Garde"/>
          <w:lang w:val="es-ES"/>
        </w:rPr>
        <w:t>,</w:t>
      </w:r>
      <w:r w:rsidRPr="00A45A5C">
        <w:rPr>
          <w:rFonts w:ascii="ITC Avant Garde" w:hAnsi="ITC Avant Garde"/>
          <w:lang w:val="es-ES"/>
        </w:rPr>
        <w:t xml:space="preserve"> brinda certeza y seguridad técnica</w:t>
      </w:r>
      <w:r>
        <w:rPr>
          <w:rFonts w:ascii="ITC Avant Garde" w:hAnsi="ITC Avant Garde"/>
          <w:lang w:val="es-ES"/>
        </w:rPr>
        <w:t>,</w:t>
      </w:r>
      <w:r w:rsidRPr="00A45A5C">
        <w:rPr>
          <w:rFonts w:ascii="ITC Avant Garde" w:hAnsi="ITC Avant Garde"/>
          <w:lang w:val="es-ES"/>
        </w:rPr>
        <w:t xml:space="preserve"> así como jurídica con la finalidad de que </w:t>
      </w:r>
      <w:r>
        <w:rPr>
          <w:rFonts w:ascii="ITC Avant Garde" w:hAnsi="ITC Avant Garde"/>
          <w:lang w:val="es-ES"/>
        </w:rPr>
        <w:t xml:space="preserve">la autorización de </w:t>
      </w:r>
      <w:r w:rsidR="00DB073B">
        <w:rPr>
          <w:rFonts w:ascii="ITC Avant Garde" w:hAnsi="ITC Avant Garde"/>
          <w:lang w:val="es-ES"/>
        </w:rPr>
        <w:t>a</w:t>
      </w:r>
      <w:r>
        <w:rPr>
          <w:rFonts w:ascii="ITC Avant Garde" w:hAnsi="ITC Avant Garde"/>
          <w:lang w:val="es-ES"/>
        </w:rPr>
        <w:t xml:space="preserve">rrendamiento de </w:t>
      </w:r>
      <w:r w:rsidR="00DB073B">
        <w:rPr>
          <w:rFonts w:ascii="ITC Avant Garde" w:hAnsi="ITC Avant Garde"/>
          <w:lang w:val="es-ES"/>
        </w:rPr>
        <w:t>e</w:t>
      </w:r>
      <w:r>
        <w:rPr>
          <w:rFonts w:ascii="ITC Avant Garde" w:hAnsi="ITC Avant Garde"/>
          <w:lang w:val="es-ES"/>
        </w:rPr>
        <w:t xml:space="preserve">spectro </w:t>
      </w:r>
      <w:r w:rsidR="00DB073B">
        <w:rPr>
          <w:rFonts w:ascii="ITC Avant Garde" w:hAnsi="ITC Avant Garde"/>
          <w:lang w:val="es-ES"/>
        </w:rPr>
        <w:t>r</w:t>
      </w:r>
      <w:r>
        <w:rPr>
          <w:rFonts w:ascii="ITC Avant Garde" w:hAnsi="ITC Avant Garde"/>
          <w:lang w:val="es-ES"/>
        </w:rPr>
        <w:t>adioeléctrico</w:t>
      </w:r>
      <w:r w:rsidRPr="00A45A5C">
        <w:rPr>
          <w:rFonts w:ascii="ITC Avant Garde" w:hAnsi="ITC Avant Garde"/>
          <w:lang w:val="es-ES"/>
        </w:rPr>
        <w:t xml:space="preserve"> sea </w:t>
      </w:r>
      <w:r>
        <w:rPr>
          <w:rFonts w:ascii="ITC Avant Garde" w:hAnsi="ITC Avant Garde"/>
          <w:lang w:val="es-ES"/>
        </w:rPr>
        <w:t xml:space="preserve">llevada a cabo en condiciones óptimas. </w:t>
      </w:r>
    </w:p>
    <w:p w14:paraId="2FE72817" w14:textId="77777777" w:rsidR="00F003B2" w:rsidRDefault="00F003B2" w:rsidP="00F003B2">
      <w:pPr>
        <w:pStyle w:val="Textocomentario"/>
        <w:spacing w:after="0"/>
        <w:jc w:val="both"/>
        <w:rPr>
          <w:rFonts w:ascii="ITC Avant Garde" w:eastAsia="Times New Roman" w:hAnsi="ITC Avant Garde"/>
          <w:kern w:val="1"/>
          <w:sz w:val="22"/>
          <w:szCs w:val="22"/>
          <w:lang w:eastAsia="ar-SA"/>
        </w:rPr>
      </w:pPr>
    </w:p>
    <w:p w14:paraId="4D512F17" w14:textId="0D90AA4E" w:rsidR="00F37C4D" w:rsidRDefault="00F37C4D" w:rsidP="00F003B2">
      <w:pPr>
        <w:pBdr>
          <w:top w:val="nil"/>
          <w:left w:val="nil"/>
          <w:bottom w:val="nil"/>
          <w:right w:val="nil"/>
          <w:between w:val="nil"/>
          <w:bar w:val="nil"/>
        </w:pBdr>
        <w:suppressAutoHyphens/>
        <w:spacing w:after="0" w:line="240" w:lineRule="auto"/>
        <w:contextualSpacing/>
        <w:jc w:val="both"/>
        <w:rPr>
          <w:rFonts w:ascii="ITC Avant Garde" w:hAnsi="ITC Avant Garde" w:cs="Arial"/>
          <w:color w:val="000000" w:themeColor="text1"/>
        </w:rPr>
      </w:pPr>
      <w:r w:rsidRPr="00491708">
        <w:rPr>
          <w:rFonts w:ascii="ITC Avant Garde" w:hAnsi="ITC Avant Garde" w:cs="Arial"/>
          <w:color w:val="000000" w:themeColor="text1"/>
        </w:rPr>
        <w:t xml:space="preserve">El </w:t>
      </w:r>
      <w:r w:rsidR="0008230D">
        <w:rPr>
          <w:rFonts w:ascii="ITC Avant Garde" w:hAnsi="ITC Avant Garde" w:cs="Arial"/>
          <w:color w:val="000000" w:themeColor="text1"/>
        </w:rPr>
        <w:t>C</w:t>
      </w:r>
      <w:r w:rsidRPr="00491708">
        <w:rPr>
          <w:rFonts w:ascii="ITC Avant Garde" w:hAnsi="ITC Avant Garde" w:cs="Arial"/>
          <w:color w:val="000000" w:themeColor="text1"/>
        </w:rPr>
        <w:t>apítulo II</w:t>
      </w:r>
      <w:r w:rsidR="00273984">
        <w:rPr>
          <w:rFonts w:ascii="ITC Avant Garde" w:hAnsi="ITC Avant Garde" w:cs="Arial"/>
          <w:color w:val="000000" w:themeColor="text1"/>
        </w:rPr>
        <w:t>,</w:t>
      </w:r>
      <w:r w:rsidRPr="00491708">
        <w:rPr>
          <w:rFonts w:ascii="ITC Avant Garde" w:hAnsi="ITC Avant Garde" w:cs="Arial"/>
          <w:color w:val="000000" w:themeColor="text1"/>
        </w:rPr>
        <w:t xml:space="preserve"> </w:t>
      </w:r>
      <w:r w:rsidR="00176E97">
        <w:rPr>
          <w:rFonts w:ascii="ITC Avant Garde" w:hAnsi="ITC Avant Garde" w:cs="Arial"/>
          <w:color w:val="000000" w:themeColor="text1"/>
        </w:rPr>
        <w:t>in</w:t>
      </w:r>
      <w:r w:rsidRPr="00491708">
        <w:rPr>
          <w:rFonts w:ascii="ITC Avant Garde" w:hAnsi="ITC Avant Garde" w:cs="Arial"/>
          <w:color w:val="000000" w:themeColor="text1"/>
        </w:rPr>
        <w:t>titulado “</w:t>
      </w:r>
      <w:r w:rsidRPr="00491708">
        <w:rPr>
          <w:rFonts w:ascii="ITC Avant Garde" w:hAnsi="ITC Avant Garde" w:cs="Arial"/>
          <w:b/>
          <w:i/>
          <w:color w:val="000000" w:themeColor="text1"/>
        </w:rPr>
        <w:t>Del Arrendamiento de Espectro Radioeléctrico</w:t>
      </w:r>
      <w:r w:rsidRPr="00491708">
        <w:rPr>
          <w:rFonts w:ascii="ITC Avant Garde" w:hAnsi="ITC Avant Garde" w:cs="Arial"/>
          <w:color w:val="000000" w:themeColor="text1"/>
        </w:rPr>
        <w:t>”, en términos generales prevé:</w:t>
      </w:r>
    </w:p>
    <w:p w14:paraId="640FE05D" w14:textId="77777777" w:rsidR="00F003B2" w:rsidRPr="00491708" w:rsidRDefault="00F003B2" w:rsidP="00F003B2">
      <w:pPr>
        <w:pBdr>
          <w:top w:val="nil"/>
          <w:left w:val="nil"/>
          <w:bottom w:val="nil"/>
          <w:right w:val="nil"/>
          <w:between w:val="nil"/>
          <w:bar w:val="nil"/>
        </w:pBdr>
        <w:suppressAutoHyphens/>
        <w:spacing w:after="0" w:line="240" w:lineRule="auto"/>
        <w:contextualSpacing/>
        <w:jc w:val="both"/>
        <w:rPr>
          <w:rFonts w:ascii="ITC Avant Garde" w:hAnsi="ITC Avant Garde" w:cs="Arial"/>
          <w:color w:val="000000" w:themeColor="text1"/>
        </w:rPr>
      </w:pPr>
    </w:p>
    <w:p w14:paraId="3E8850BC" w14:textId="55C5B8F2" w:rsidR="00F37C4D" w:rsidRPr="00491708" w:rsidRDefault="00F37C4D" w:rsidP="00F003B2">
      <w:pPr>
        <w:pStyle w:val="Prrafodelista"/>
        <w:numPr>
          <w:ilvl w:val="0"/>
          <w:numId w:val="25"/>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sidRPr="00491708">
        <w:rPr>
          <w:rFonts w:ascii="ITC Avant Garde" w:hAnsi="ITC Avant Garde" w:cs="Arial"/>
          <w:color w:val="000000" w:themeColor="text1"/>
          <w:sz w:val="22"/>
          <w:szCs w:val="22"/>
        </w:rPr>
        <w:t xml:space="preserve">Precisión referente a que únicamente </w:t>
      </w:r>
      <w:r w:rsidR="007D3E6F">
        <w:rPr>
          <w:rFonts w:ascii="ITC Avant Garde" w:hAnsi="ITC Avant Garde" w:cs="Arial"/>
          <w:color w:val="000000" w:themeColor="text1"/>
          <w:sz w:val="22"/>
          <w:szCs w:val="22"/>
        </w:rPr>
        <w:t xml:space="preserve">podrán ser objeto de arrendamiento </w:t>
      </w:r>
      <w:r w:rsidRPr="00491708">
        <w:rPr>
          <w:rFonts w:ascii="ITC Avant Garde" w:hAnsi="ITC Avant Garde" w:cs="Arial"/>
          <w:color w:val="000000" w:themeColor="text1"/>
          <w:sz w:val="22"/>
          <w:szCs w:val="22"/>
        </w:rPr>
        <w:t xml:space="preserve">las </w:t>
      </w:r>
      <w:r w:rsidR="001077E5">
        <w:rPr>
          <w:rFonts w:ascii="ITC Avant Garde" w:hAnsi="ITC Avant Garde" w:cs="Arial"/>
          <w:color w:val="000000" w:themeColor="text1"/>
          <w:sz w:val="22"/>
          <w:szCs w:val="22"/>
        </w:rPr>
        <w:t>bandas de frecuencias</w:t>
      </w:r>
      <w:r w:rsidR="007D3E6F">
        <w:rPr>
          <w:rFonts w:ascii="ITC Avant Garde" w:hAnsi="ITC Avant Garde" w:cs="Arial"/>
          <w:color w:val="000000" w:themeColor="text1"/>
          <w:sz w:val="22"/>
          <w:szCs w:val="22"/>
        </w:rPr>
        <w:t>, cuyos fines sean para uso comercial o para uso privado con propósitos de comunicación privada, previa autorización del Instituto</w:t>
      </w:r>
      <w:r w:rsidRPr="00491708">
        <w:rPr>
          <w:rFonts w:ascii="ITC Avant Garde" w:hAnsi="ITC Avant Garde" w:cs="Arial"/>
          <w:color w:val="000000" w:themeColor="text1"/>
          <w:sz w:val="22"/>
          <w:szCs w:val="22"/>
        </w:rPr>
        <w:t xml:space="preserve">. </w:t>
      </w:r>
    </w:p>
    <w:p w14:paraId="0E8E0BCD" w14:textId="7021E983" w:rsidR="00F37C4D" w:rsidRDefault="00F37C4D" w:rsidP="00F003B2">
      <w:pPr>
        <w:pStyle w:val="Prrafodelista"/>
        <w:numPr>
          <w:ilvl w:val="0"/>
          <w:numId w:val="25"/>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sidRPr="00491708">
        <w:rPr>
          <w:rFonts w:ascii="ITC Avant Garde" w:hAnsi="ITC Avant Garde" w:cs="Arial"/>
          <w:color w:val="000000" w:themeColor="text1"/>
          <w:sz w:val="22"/>
          <w:szCs w:val="22"/>
        </w:rPr>
        <w:t xml:space="preserve">Sujetos susceptibles de celebrar el </w:t>
      </w:r>
      <w:r w:rsidR="001077E5">
        <w:rPr>
          <w:rFonts w:ascii="ITC Avant Garde" w:hAnsi="ITC Avant Garde" w:cs="Arial"/>
          <w:color w:val="000000" w:themeColor="text1"/>
          <w:sz w:val="22"/>
          <w:szCs w:val="22"/>
        </w:rPr>
        <w:t>c</w:t>
      </w:r>
      <w:r w:rsidRPr="00491708">
        <w:rPr>
          <w:rFonts w:ascii="ITC Avant Garde" w:hAnsi="ITC Avant Garde" w:cs="Arial"/>
          <w:color w:val="000000" w:themeColor="text1"/>
          <w:sz w:val="22"/>
          <w:szCs w:val="22"/>
        </w:rPr>
        <w:t xml:space="preserve">ontrato de </w:t>
      </w:r>
      <w:r w:rsidR="004D1432">
        <w:rPr>
          <w:rFonts w:ascii="ITC Avant Garde" w:hAnsi="ITC Avant Garde" w:cs="Arial"/>
          <w:color w:val="000000" w:themeColor="text1"/>
          <w:sz w:val="22"/>
          <w:szCs w:val="22"/>
        </w:rPr>
        <w:t>a</w:t>
      </w:r>
      <w:r w:rsidRPr="00491708">
        <w:rPr>
          <w:rFonts w:ascii="ITC Avant Garde" w:hAnsi="ITC Avant Garde" w:cs="Arial"/>
          <w:color w:val="000000" w:themeColor="text1"/>
          <w:sz w:val="22"/>
          <w:szCs w:val="22"/>
        </w:rPr>
        <w:t xml:space="preserve">rrendamiento de </w:t>
      </w:r>
      <w:r w:rsidR="001077E5">
        <w:rPr>
          <w:rFonts w:ascii="ITC Avant Garde" w:hAnsi="ITC Avant Garde" w:cs="Arial"/>
          <w:color w:val="000000" w:themeColor="text1"/>
          <w:sz w:val="22"/>
          <w:szCs w:val="22"/>
        </w:rPr>
        <w:t>b</w:t>
      </w:r>
      <w:r w:rsidRPr="00491708">
        <w:rPr>
          <w:rFonts w:ascii="ITC Avant Garde" w:hAnsi="ITC Avant Garde" w:cs="Arial"/>
          <w:color w:val="000000" w:themeColor="text1"/>
          <w:sz w:val="22"/>
          <w:szCs w:val="22"/>
        </w:rPr>
        <w:t xml:space="preserve">andas de </w:t>
      </w:r>
      <w:r w:rsidR="001077E5">
        <w:rPr>
          <w:rFonts w:ascii="ITC Avant Garde" w:hAnsi="ITC Avant Garde" w:cs="Arial"/>
          <w:color w:val="000000" w:themeColor="text1"/>
          <w:sz w:val="22"/>
          <w:szCs w:val="22"/>
        </w:rPr>
        <w:t>f</w:t>
      </w:r>
      <w:r w:rsidRPr="00491708">
        <w:rPr>
          <w:rFonts w:ascii="ITC Avant Garde" w:hAnsi="ITC Avant Garde" w:cs="Arial"/>
          <w:color w:val="000000" w:themeColor="text1"/>
          <w:sz w:val="22"/>
          <w:szCs w:val="22"/>
        </w:rPr>
        <w:t>recuencias correspondiente.</w:t>
      </w:r>
    </w:p>
    <w:p w14:paraId="008B8AC6" w14:textId="7FAC275B" w:rsidR="00FF6D58" w:rsidRPr="00491708" w:rsidRDefault="00FA4D16" w:rsidP="00F003B2">
      <w:pPr>
        <w:pStyle w:val="Prrafodelista"/>
        <w:numPr>
          <w:ilvl w:val="0"/>
          <w:numId w:val="25"/>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lastRenderedPageBreak/>
        <w:t>Previsión respecto de que el espectro radioeléctrico materia de la solicitud de arrendamiento presentada al Instituto podrá comprender el total de las bandas de frecuencias originalme</w:t>
      </w:r>
      <w:r w:rsidR="00AE6368">
        <w:rPr>
          <w:rFonts w:ascii="ITC Avant Garde" w:hAnsi="ITC Avant Garde" w:cs="Arial"/>
          <w:color w:val="000000" w:themeColor="text1"/>
          <w:sz w:val="22"/>
          <w:szCs w:val="22"/>
        </w:rPr>
        <w:t>nte concesionadas o so</w:t>
      </w:r>
      <w:r>
        <w:rPr>
          <w:rFonts w:ascii="ITC Avant Garde" w:hAnsi="ITC Avant Garde" w:cs="Arial"/>
          <w:color w:val="000000" w:themeColor="text1"/>
          <w:sz w:val="22"/>
          <w:szCs w:val="22"/>
        </w:rPr>
        <w:t>lo parte de las mismas.</w:t>
      </w:r>
    </w:p>
    <w:p w14:paraId="7A67603B" w14:textId="1D550D22" w:rsidR="00F37C4D" w:rsidRPr="00491708" w:rsidRDefault="001077E5" w:rsidP="00F003B2">
      <w:pPr>
        <w:pStyle w:val="Prrafodelista"/>
        <w:numPr>
          <w:ilvl w:val="0"/>
          <w:numId w:val="25"/>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t>Obligación del a</w:t>
      </w:r>
      <w:r w:rsidR="00F37C4D" w:rsidRPr="00491708">
        <w:rPr>
          <w:rFonts w:ascii="ITC Avant Garde" w:hAnsi="ITC Avant Garde" w:cs="Arial"/>
          <w:color w:val="000000" w:themeColor="text1"/>
          <w:sz w:val="22"/>
          <w:szCs w:val="22"/>
        </w:rPr>
        <w:t xml:space="preserve">rrendatario de contar con una concesión única </w:t>
      </w:r>
      <w:r>
        <w:rPr>
          <w:rFonts w:ascii="ITC Avant Garde" w:hAnsi="ITC Avant Garde" w:cs="Arial"/>
          <w:color w:val="000000" w:themeColor="text1"/>
          <w:sz w:val="22"/>
          <w:szCs w:val="22"/>
        </w:rPr>
        <w:t>del mismo uso, respecto de las b</w:t>
      </w:r>
      <w:r w:rsidR="00F37C4D" w:rsidRPr="00491708">
        <w:rPr>
          <w:rFonts w:ascii="ITC Avant Garde" w:hAnsi="ITC Avant Garde" w:cs="Arial"/>
          <w:color w:val="000000" w:themeColor="text1"/>
          <w:sz w:val="22"/>
          <w:szCs w:val="22"/>
        </w:rPr>
        <w:t xml:space="preserve">andas de </w:t>
      </w:r>
      <w:r>
        <w:rPr>
          <w:rFonts w:ascii="ITC Avant Garde" w:hAnsi="ITC Avant Garde" w:cs="Arial"/>
          <w:color w:val="000000" w:themeColor="text1"/>
          <w:sz w:val="22"/>
          <w:szCs w:val="22"/>
        </w:rPr>
        <w:t>f</w:t>
      </w:r>
      <w:r w:rsidR="00F37C4D" w:rsidRPr="00491708">
        <w:rPr>
          <w:rFonts w:ascii="ITC Avant Garde" w:hAnsi="ITC Avant Garde" w:cs="Arial"/>
          <w:color w:val="000000" w:themeColor="text1"/>
          <w:sz w:val="22"/>
          <w:szCs w:val="22"/>
        </w:rPr>
        <w:t xml:space="preserve">recuencias que se pretenden </w:t>
      </w:r>
      <w:r>
        <w:rPr>
          <w:rFonts w:ascii="ITC Avant Garde" w:hAnsi="ITC Avant Garde" w:cs="Arial"/>
          <w:color w:val="000000" w:themeColor="text1"/>
          <w:sz w:val="22"/>
          <w:szCs w:val="22"/>
        </w:rPr>
        <w:t>a</w:t>
      </w:r>
      <w:r w:rsidR="00F37C4D" w:rsidRPr="00491708">
        <w:rPr>
          <w:rFonts w:ascii="ITC Avant Garde" w:hAnsi="ITC Avant Garde" w:cs="Arial"/>
          <w:color w:val="000000" w:themeColor="text1"/>
          <w:sz w:val="22"/>
          <w:szCs w:val="22"/>
        </w:rPr>
        <w:t>rrendar.</w:t>
      </w:r>
    </w:p>
    <w:p w14:paraId="6AE3B071" w14:textId="2C0F9024" w:rsidR="00F37C4D" w:rsidRDefault="004D3E24" w:rsidP="00F003B2">
      <w:pPr>
        <w:pStyle w:val="Prrafodelista"/>
        <w:numPr>
          <w:ilvl w:val="0"/>
          <w:numId w:val="25"/>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t>Procedencia del a</w:t>
      </w:r>
      <w:r w:rsidR="00F37C4D" w:rsidRPr="00491708">
        <w:rPr>
          <w:rFonts w:ascii="ITC Avant Garde" w:hAnsi="ITC Avant Garde" w:cs="Arial"/>
          <w:color w:val="000000" w:themeColor="text1"/>
          <w:sz w:val="22"/>
          <w:szCs w:val="22"/>
        </w:rPr>
        <w:t xml:space="preserve">rrendamiento a </w:t>
      </w:r>
      <w:r>
        <w:rPr>
          <w:rFonts w:ascii="ITC Avant Garde" w:hAnsi="ITC Avant Garde" w:cs="Arial"/>
          <w:color w:val="000000" w:themeColor="text1"/>
          <w:sz w:val="22"/>
          <w:szCs w:val="22"/>
        </w:rPr>
        <w:t>t</w:t>
      </w:r>
      <w:r w:rsidR="00F37C4D" w:rsidRPr="00491708">
        <w:rPr>
          <w:rFonts w:ascii="ITC Avant Garde" w:hAnsi="ITC Avant Garde" w:cs="Arial"/>
          <w:color w:val="000000" w:themeColor="text1"/>
          <w:sz w:val="22"/>
          <w:szCs w:val="22"/>
        </w:rPr>
        <w:t xml:space="preserve">itulares de </w:t>
      </w:r>
      <w:r>
        <w:rPr>
          <w:rFonts w:ascii="ITC Avant Garde" w:hAnsi="ITC Avant Garde" w:cs="Arial"/>
          <w:color w:val="000000" w:themeColor="text1"/>
          <w:sz w:val="22"/>
          <w:szCs w:val="22"/>
        </w:rPr>
        <w:t>c</w:t>
      </w:r>
      <w:r w:rsidR="00F37C4D" w:rsidRPr="00491708">
        <w:rPr>
          <w:rFonts w:ascii="ITC Avant Garde" w:hAnsi="ITC Avant Garde" w:cs="Arial"/>
          <w:color w:val="000000" w:themeColor="text1"/>
          <w:sz w:val="22"/>
          <w:szCs w:val="22"/>
        </w:rPr>
        <w:t xml:space="preserve">oncesiones </w:t>
      </w:r>
      <w:r>
        <w:rPr>
          <w:rFonts w:ascii="ITC Avant Garde" w:hAnsi="ITC Avant Garde" w:cs="Arial"/>
          <w:color w:val="000000" w:themeColor="text1"/>
          <w:sz w:val="22"/>
          <w:szCs w:val="22"/>
        </w:rPr>
        <w:t>ú</w:t>
      </w:r>
      <w:r w:rsidR="00F37C4D" w:rsidRPr="00491708">
        <w:rPr>
          <w:rFonts w:ascii="ITC Avant Garde" w:hAnsi="ITC Avant Garde" w:cs="Arial"/>
          <w:color w:val="000000" w:themeColor="text1"/>
          <w:sz w:val="22"/>
          <w:szCs w:val="22"/>
        </w:rPr>
        <w:t xml:space="preserve">nicas del mismo uso de las </w:t>
      </w:r>
      <w:r>
        <w:rPr>
          <w:rFonts w:ascii="ITC Avant Garde" w:hAnsi="ITC Avant Garde" w:cs="Arial"/>
          <w:color w:val="000000" w:themeColor="text1"/>
          <w:sz w:val="22"/>
          <w:szCs w:val="22"/>
        </w:rPr>
        <w:t>b</w:t>
      </w:r>
      <w:r w:rsidR="00F37C4D" w:rsidRPr="00491708">
        <w:rPr>
          <w:rFonts w:ascii="ITC Avant Garde" w:hAnsi="ITC Avant Garde" w:cs="Arial"/>
          <w:color w:val="000000" w:themeColor="text1"/>
          <w:sz w:val="22"/>
          <w:szCs w:val="22"/>
        </w:rPr>
        <w:t xml:space="preserve">andas de </w:t>
      </w:r>
      <w:r>
        <w:rPr>
          <w:rFonts w:ascii="ITC Avant Garde" w:hAnsi="ITC Avant Garde" w:cs="Arial"/>
          <w:color w:val="000000" w:themeColor="text1"/>
          <w:sz w:val="22"/>
          <w:szCs w:val="22"/>
        </w:rPr>
        <w:t>f</w:t>
      </w:r>
      <w:r w:rsidR="00F37C4D" w:rsidRPr="00491708">
        <w:rPr>
          <w:rFonts w:ascii="ITC Avant Garde" w:hAnsi="ITC Avant Garde" w:cs="Arial"/>
          <w:color w:val="000000" w:themeColor="text1"/>
          <w:sz w:val="22"/>
          <w:szCs w:val="22"/>
        </w:rPr>
        <w:t xml:space="preserve">recuencias de </w:t>
      </w:r>
      <w:r>
        <w:rPr>
          <w:rFonts w:ascii="ITC Avant Garde" w:hAnsi="ITC Avant Garde" w:cs="Arial"/>
          <w:color w:val="000000" w:themeColor="text1"/>
          <w:sz w:val="22"/>
          <w:szCs w:val="22"/>
        </w:rPr>
        <w:t>e</w:t>
      </w:r>
      <w:r w:rsidR="00F37C4D" w:rsidRPr="00491708">
        <w:rPr>
          <w:rFonts w:ascii="ITC Avant Garde" w:hAnsi="ITC Avant Garde" w:cs="Arial"/>
          <w:color w:val="000000" w:themeColor="text1"/>
          <w:sz w:val="22"/>
          <w:szCs w:val="22"/>
        </w:rPr>
        <w:t>spectro</w:t>
      </w:r>
      <w:r w:rsidR="00F37C4D">
        <w:rPr>
          <w:rFonts w:ascii="ITC Avant Garde" w:hAnsi="ITC Avant Garde" w:cs="Arial"/>
          <w:color w:val="000000" w:themeColor="text1"/>
          <w:sz w:val="22"/>
          <w:szCs w:val="22"/>
        </w:rPr>
        <w:t xml:space="preserve"> radioeléctrico que se pretenden</w:t>
      </w:r>
      <w:r w:rsidR="00F37C4D" w:rsidRPr="00491708">
        <w:rPr>
          <w:rFonts w:ascii="ITC Avant Garde" w:hAnsi="ITC Avant Garde" w:cs="Arial"/>
          <w:color w:val="000000" w:themeColor="text1"/>
          <w:sz w:val="22"/>
          <w:szCs w:val="22"/>
        </w:rPr>
        <w:t xml:space="preserve"> arrendar. </w:t>
      </w:r>
    </w:p>
    <w:p w14:paraId="58251C19" w14:textId="5841EE35" w:rsidR="00FA4D16" w:rsidRPr="0048002A" w:rsidRDefault="00FA4D16" w:rsidP="00FA4D16">
      <w:pPr>
        <w:pStyle w:val="Prrafodelista"/>
        <w:numPr>
          <w:ilvl w:val="0"/>
          <w:numId w:val="25"/>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t xml:space="preserve">Obligación del arrendador </w:t>
      </w:r>
      <w:r w:rsidRPr="007B6025">
        <w:rPr>
          <w:rFonts w:ascii="ITC Avant Garde" w:hAnsi="ITC Avant Garde"/>
          <w:sz w:val="22"/>
        </w:rPr>
        <w:t xml:space="preserve">de </w:t>
      </w:r>
      <w:r w:rsidR="00AE6368">
        <w:rPr>
          <w:rFonts w:ascii="ITC Avant Garde" w:eastAsiaTheme="majorEastAsia" w:hAnsi="ITC Avant Garde" w:cstheme="majorBidi"/>
          <w:color w:val="000000" w:themeColor="text1"/>
          <w:sz w:val="22"/>
          <w:szCs w:val="22"/>
        </w:rPr>
        <w:t>encontrarse al corriente en el</w:t>
      </w:r>
      <w:r w:rsidRPr="004A25D9">
        <w:rPr>
          <w:rFonts w:ascii="ITC Avant Garde" w:eastAsiaTheme="majorEastAsia" w:hAnsi="ITC Avant Garde" w:cstheme="majorBidi"/>
          <w:color w:val="000000" w:themeColor="text1"/>
          <w:sz w:val="22"/>
          <w:szCs w:val="22"/>
        </w:rPr>
        <w:t xml:space="preserve"> </w:t>
      </w:r>
      <w:r>
        <w:rPr>
          <w:rFonts w:ascii="ITC Avant Garde" w:eastAsiaTheme="majorEastAsia" w:hAnsi="ITC Avant Garde" w:cstheme="majorBidi"/>
          <w:color w:val="000000" w:themeColor="text1"/>
          <w:sz w:val="22"/>
          <w:szCs w:val="22"/>
        </w:rPr>
        <w:t>pago de derechos por el uso, aprovechamiento y/o explotación, según corresponda, de las bandas de frecuencia objeto del contrato de arrendamiento.</w:t>
      </w:r>
    </w:p>
    <w:p w14:paraId="6C068C71" w14:textId="7A36A3B2" w:rsidR="0048002A" w:rsidRDefault="0048002A" w:rsidP="00FA4D16">
      <w:pPr>
        <w:pStyle w:val="Prrafodelista"/>
        <w:numPr>
          <w:ilvl w:val="0"/>
          <w:numId w:val="25"/>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t xml:space="preserve">La previsión de que </w:t>
      </w:r>
      <w:r>
        <w:rPr>
          <w:rFonts w:ascii="ITC Avant Garde" w:hAnsi="ITC Avant Garde"/>
          <w:sz w:val="22"/>
        </w:rPr>
        <w:t>e</w:t>
      </w:r>
      <w:r w:rsidRPr="00875947">
        <w:rPr>
          <w:rFonts w:ascii="ITC Avant Garde" w:hAnsi="ITC Avant Garde"/>
          <w:sz w:val="22"/>
        </w:rPr>
        <w:t>l Arrendatario no se constituye en obligado solidario del Arrendador, respecto del pago de derechos correspondientes por el uso, aprovechamiento y/o explotación del espectro radioeléctrico</w:t>
      </w:r>
      <w:r>
        <w:rPr>
          <w:rFonts w:ascii="ITC Avant Garde" w:hAnsi="ITC Avant Garde"/>
          <w:sz w:val="22"/>
        </w:rPr>
        <w:t>, correspondiente a la Banda o Bandas de Frecuencias objeto de éste</w:t>
      </w:r>
      <w:r w:rsidR="003D4785">
        <w:rPr>
          <w:rFonts w:ascii="ITC Avant Garde" w:hAnsi="ITC Avant Garde"/>
          <w:sz w:val="22"/>
        </w:rPr>
        <w:t>.</w:t>
      </w:r>
      <w:r>
        <w:rPr>
          <w:rFonts w:ascii="ITC Avant Garde" w:hAnsi="ITC Avant Garde" w:cs="Arial"/>
          <w:color w:val="000000" w:themeColor="text1"/>
          <w:sz w:val="22"/>
          <w:szCs w:val="22"/>
        </w:rPr>
        <w:t xml:space="preserve"> </w:t>
      </w:r>
    </w:p>
    <w:p w14:paraId="2D99E355" w14:textId="769C6AF7" w:rsidR="00234E9A" w:rsidRPr="00491708" w:rsidRDefault="00234E9A" w:rsidP="00F003B2">
      <w:pPr>
        <w:pStyle w:val="Prrafodelista"/>
        <w:numPr>
          <w:ilvl w:val="0"/>
          <w:numId w:val="25"/>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sidRPr="00491708">
        <w:rPr>
          <w:rFonts w:ascii="ITC Avant Garde" w:hAnsi="ITC Avant Garde" w:cs="Arial"/>
          <w:color w:val="000000" w:themeColor="text1"/>
          <w:sz w:val="22"/>
          <w:szCs w:val="22"/>
        </w:rPr>
        <w:t>Libertad de los interesados para negociar la</w:t>
      </w:r>
      <w:r>
        <w:rPr>
          <w:rFonts w:ascii="ITC Avant Garde" w:hAnsi="ITC Avant Garde" w:cs="Arial"/>
          <w:color w:val="000000" w:themeColor="text1"/>
          <w:sz w:val="22"/>
          <w:szCs w:val="22"/>
        </w:rPr>
        <w:t xml:space="preserve"> renta o precio materia de los c</w:t>
      </w:r>
      <w:r w:rsidRPr="00491708">
        <w:rPr>
          <w:rFonts w:ascii="ITC Avant Garde" w:hAnsi="ITC Avant Garde" w:cs="Arial"/>
          <w:color w:val="000000" w:themeColor="text1"/>
          <w:sz w:val="22"/>
          <w:szCs w:val="22"/>
        </w:rPr>
        <w:t xml:space="preserve">ontratos de </w:t>
      </w:r>
      <w:r>
        <w:rPr>
          <w:rFonts w:ascii="ITC Avant Garde" w:hAnsi="ITC Avant Garde" w:cs="Arial"/>
          <w:color w:val="000000" w:themeColor="text1"/>
          <w:sz w:val="22"/>
          <w:szCs w:val="22"/>
        </w:rPr>
        <w:t>a</w:t>
      </w:r>
      <w:r w:rsidRPr="00491708">
        <w:rPr>
          <w:rFonts w:ascii="ITC Avant Garde" w:hAnsi="ITC Avant Garde" w:cs="Arial"/>
          <w:color w:val="000000" w:themeColor="text1"/>
          <w:sz w:val="22"/>
          <w:szCs w:val="22"/>
        </w:rPr>
        <w:t>rrendamiento</w:t>
      </w:r>
      <w:r>
        <w:rPr>
          <w:rFonts w:ascii="ITC Avant Garde" w:hAnsi="ITC Avant Garde" w:cs="Arial"/>
          <w:color w:val="000000" w:themeColor="text1"/>
          <w:sz w:val="22"/>
          <w:szCs w:val="22"/>
        </w:rPr>
        <w:t>.</w:t>
      </w:r>
    </w:p>
    <w:p w14:paraId="0641C672" w14:textId="1C1416BD" w:rsidR="00F37C4D" w:rsidRDefault="00F37C4D" w:rsidP="00F003B2">
      <w:pPr>
        <w:pBdr>
          <w:top w:val="nil"/>
          <w:left w:val="nil"/>
          <w:bottom w:val="nil"/>
          <w:right w:val="nil"/>
          <w:between w:val="nil"/>
          <w:bar w:val="nil"/>
        </w:pBdr>
        <w:suppressAutoHyphens/>
        <w:spacing w:after="0" w:line="240" w:lineRule="auto"/>
        <w:contextualSpacing/>
        <w:jc w:val="both"/>
        <w:rPr>
          <w:rFonts w:ascii="ITC Avant Garde" w:hAnsi="ITC Avant Garde" w:cs="Arial"/>
          <w:color w:val="000000" w:themeColor="text1"/>
        </w:rPr>
      </w:pPr>
    </w:p>
    <w:p w14:paraId="1A879A20" w14:textId="42BA4E6F" w:rsidR="00F003B2" w:rsidRDefault="00F003B2"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r>
        <w:rPr>
          <w:rFonts w:ascii="ITC Avant Garde" w:eastAsia="Times New Roman" w:hAnsi="ITC Avant Garde" w:cs="TimesNewRomanPS-BoldMT"/>
          <w:bCs/>
          <w:szCs w:val="21"/>
          <w:lang w:val="es-ES" w:eastAsia="es-ES"/>
        </w:rPr>
        <w:t>El artículo 104, primer párrafo de la Ley dispone que los concesionarios s</w:t>
      </w:r>
      <w:r w:rsidR="00240D64">
        <w:rPr>
          <w:rFonts w:ascii="ITC Avant Garde" w:eastAsia="Times New Roman" w:hAnsi="ITC Avant Garde" w:cs="TimesNewRomanPS-BoldMT"/>
          <w:bCs/>
          <w:szCs w:val="21"/>
          <w:lang w:val="es-ES" w:eastAsia="es-ES"/>
        </w:rPr>
        <w:t>o</w:t>
      </w:r>
      <w:r>
        <w:rPr>
          <w:rFonts w:ascii="ITC Avant Garde" w:eastAsia="Times New Roman" w:hAnsi="ITC Avant Garde" w:cs="TimesNewRomanPS-BoldMT"/>
          <w:bCs/>
          <w:szCs w:val="21"/>
          <w:lang w:val="es-ES" w:eastAsia="es-ES"/>
        </w:rPr>
        <w:t>lo podrán dar en arrendamiento bandas de frecuencias concesionadas para uso comercial o privado, est</w:t>
      </w:r>
      <w:r w:rsidR="00240D64">
        <w:rPr>
          <w:rFonts w:ascii="ITC Avant Garde" w:eastAsia="Times New Roman" w:hAnsi="ITC Avant Garde" w:cs="TimesNewRomanPS-BoldMT"/>
          <w:bCs/>
          <w:szCs w:val="21"/>
          <w:lang w:val="es-ES" w:eastAsia="es-ES"/>
        </w:rPr>
        <w:t>e</w:t>
      </w:r>
      <w:r>
        <w:rPr>
          <w:rFonts w:ascii="ITC Avant Garde" w:eastAsia="Times New Roman" w:hAnsi="ITC Avant Garde" w:cs="TimesNewRomanPS-BoldMT"/>
          <w:bCs/>
          <w:szCs w:val="21"/>
          <w:lang w:val="es-ES" w:eastAsia="es-ES"/>
        </w:rPr>
        <w:t xml:space="preserve"> último con propósitos de comunicación privada, previa autorización del Instituto.</w:t>
      </w:r>
    </w:p>
    <w:p w14:paraId="5F307572" w14:textId="77777777" w:rsidR="00F003B2" w:rsidRDefault="00F003B2"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p>
    <w:p w14:paraId="61167C9D" w14:textId="3169BA16" w:rsidR="00F003B2" w:rsidRDefault="00F003B2"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r>
        <w:rPr>
          <w:rFonts w:ascii="ITC Avant Garde" w:eastAsia="Times New Roman" w:hAnsi="ITC Avant Garde" w:cs="TimesNewRomanPS-BoldMT"/>
          <w:bCs/>
          <w:szCs w:val="21"/>
          <w:lang w:val="es-ES" w:eastAsia="es-ES"/>
        </w:rPr>
        <w:t>Al respecto, conviene tener presente lo prescrito en el artículo 78, primer párrafo de la Ley</w:t>
      </w:r>
      <w:r w:rsidR="00DB073B">
        <w:rPr>
          <w:rFonts w:ascii="ITC Avant Garde" w:eastAsia="Times New Roman" w:hAnsi="ITC Avant Garde" w:cs="TimesNewRomanPS-BoldMT"/>
          <w:bCs/>
          <w:szCs w:val="21"/>
          <w:lang w:val="es-ES" w:eastAsia="es-ES"/>
        </w:rPr>
        <w:t>,</w:t>
      </w:r>
      <w:r>
        <w:rPr>
          <w:rFonts w:ascii="ITC Avant Garde" w:eastAsia="Times New Roman" w:hAnsi="ITC Avant Garde" w:cs="TimesNewRomanPS-BoldMT"/>
          <w:bCs/>
          <w:szCs w:val="21"/>
          <w:lang w:val="es-ES" w:eastAsia="es-ES"/>
        </w:rPr>
        <w:t xml:space="preserve"> que indica que las concesiones para el uso, aprovechamiento</w:t>
      </w:r>
      <w:r w:rsidR="00343E08">
        <w:rPr>
          <w:rFonts w:ascii="ITC Avant Garde" w:eastAsia="Times New Roman" w:hAnsi="ITC Avant Garde" w:cs="TimesNewRomanPS-BoldMT"/>
          <w:bCs/>
          <w:szCs w:val="21"/>
          <w:lang w:val="es-ES" w:eastAsia="es-ES"/>
        </w:rPr>
        <w:t xml:space="preserve"> o</w:t>
      </w:r>
      <w:r>
        <w:rPr>
          <w:rFonts w:ascii="ITC Avant Garde" w:eastAsia="Times New Roman" w:hAnsi="ITC Avant Garde" w:cs="TimesNewRomanPS-BoldMT"/>
          <w:bCs/>
          <w:szCs w:val="21"/>
          <w:lang w:val="es-ES" w:eastAsia="es-ES"/>
        </w:rPr>
        <w:t xml:space="preserve"> explotación del espectro radioeléctrico para uso comercial o </w:t>
      </w:r>
      <w:r w:rsidR="001E5D94">
        <w:rPr>
          <w:rFonts w:ascii="ITC Avant Garde" w:eastAsia="Times New Roman" w:hAnsi="ITC Avant Garde" w:cs="TimesNewRomanPS-BoldMT"/>
          <w:bCs/>
          <w:szCs w:val="21"/>
          <w:lang w:val="es-ES" w:eastAsia="es-ES"/>
        </w:rPr>
        <w:t xml:space="preserve">uso </w:t>
      </w:r>
      <w:r>
        <w:rPr>
          <w:rFonts w:ascii="ITC Avant Garde" w:eastAsia="Times New Roman" w:hAnsi="ITC Avant Garde" w:cs="TimesNewRomanPS-BoldMT"/>
          <w:bCs/>
          <w:szCs w:val="21"/>
          <w:lang w:val="es-ES" w:eastAsia="es-ES"/>
        </w:rPr>
        <w:t>privado (</w:t>
      </w:r>
      <w:r w:rsidR="00493892">
        <w:rPr>
          <w:rFonts w:ascii="ITC Avant Garde" w:eastAsia="Times New Roman" w:hAnsi="ITC Avant Garde" w:cs="TimesNewRomanPS-BoldMT"/>
          <w:bCs/>
          <w:szCs w:val="21"/>
          <w:lang w:val="es-ES" w:eastAsia="es-ES"/>
        </w:rPr>
        <w:t>c</w:t>
      </w:r>
      <w:r>
        <w:rPr>
          <w:rFonts w:ascii="ITC Avant Garde" w:eastAsia="Times New Roman" w:hAnsi="ITC Avant Garde" w:cs="TimesNewRomanPS-BoldMT"/>
          <w:bCs/>
          <w:szCs w:val="21"/>
          <w:lang w:val="es-ES" w:eastAsia="es-ES"/>
        </w:rPr>
        <w:t>omunicación privada) se otorgarán únicamente a través de un procedimiento de licitación pública</w:t>
      </w:r>
      <w:r w:rsidR="00DB073B">
        <w:rPr>
          <w:rFonts w:ascii="ITC Avant Garde" w:eastAsia="Times New Roman" w:hAnsi="ITC Avant Garde" w:cs="TimesNewRomanPS-BoldMT"/>
          <w:bCs/>
          <w:szCs w:val="21"/>
          <w:lang w:val="es-ES" w:eastAsia="es-ES"/>
        </w:rPr>
        <w:t>,</w:t>
      </w:r>
      <w:r>
        <w:rPr>
          <w:rFonts w:ascii="ITC Avant Garde" w:eastAsia="Times New Roman" w:hAnsi="ITC Avant Garde" w:cs="TimesNewRomanPS-BoldMT"/>
          <w:bCs/>
          <w:szCs w:val="21"/>
          <w:lang w:val="es-ES" w:eastAsia="es-ES"/>
        </w:rPr>
        <w:t xml:space="preserve"> previo pago de una contraprestación. </w:t>
      </w:r>
    </w:p>
    <w:p w14:paraId="36B789F2" w14:textId="77777777" w:rsidR="00F003B2" w:rsidRDefault="00F003B2"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p>
    <w:p w14:paraId="3A33ECDE" w14:textId="77777777" w:rsidR="00F003B2" w:rsidRDefault="00F003B2"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r>
        <w:rPr>
          <w:rFonts w:ascii="ITC Avant Garde" w:eastAsia="Times New Roman" w:hAnsi="ITC Avant Garde" w:cs="TimesNewRomanPS-BoldMT"/>
          <w:bCs/>
          <w:szCs w:val="21"/>
          <w:lang w:val="es-ES" w:eastAsia="es-ES"/>
        </w:rPr>
        <w:t>Lo precedente, en correlación con el artículo 76, fracciones I y III, inciso a) de la Ley que establecen:</w:t>
      </w:r>
    </w:p>
    <w:p w14:paraId="7512E653" w14:textId="77777777" w:rsidR="00F003B2" w:rsidRDefault="00F003B2"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p>
    <w:p w14:paraId="711AEAA5" w14:textId="1C3C13CD" w:rsidR="00F003B2" w:rsidRPr="00BE23FC" w:rsidRDefault="00343E08" w:rsidP="00F003B2">
      <w:pPr>
        <w:pBdr>
          <w:top w:val="nil"/>
          <w:left w:val="nil"/>
          <w:bottom w:val="nil"/>
          <w:right w:val="nil"/>
          <w:between w:val="nil"/>
          <w:bar w:val="nil"/>
        </w:pBdr>
        <w:suppressAutoHyphens/>
        <w:spacing w:after="0" w:line="240" w:lineRule="auto"/>
        <w:ind w:left="1134" w:right="1182"/>
        <w:contextualSpacing/>
        <w:jc w:val="both"/>
        <w:rPr>
          <w:rFonts w:ascii="ITC Avant Garde" w:hAnsi="ITC Avant Garde"/>
          <w:i/>
          <w:sz w:val="20"/>
          <w:szCs w:val="20"/>
        </w:rPr>
      </w:pPr>
      <w:r>
        <w:rPr>
          <w:rFonts w:ascii="ITC Avant Garde" w:hAnsi="ITC Avant Garde"/>
          <w:b/>
          <w:i/>
          <w:sz w:val="20"/>
          <w:szCs w:val="20"/>
        </w:rPr>
        <w:t>“</w:t>
      </w:r>
      <w:r w:rsidR="00F003B2" w:rsidRPr="00BE23FC">
        <w:rPr>
          <w:rFonts w:ascii="ITC Avant Garde" w:hAnsi="ITC Avant Garde"/>
          <w:b/>
          <w:i/>
          <w:sz w:val="20"/>
          <w:szCs w:val="20"/>
        </w:rPr>
        <w:t>Artículo 76.</w:t>
      </w:r>
      <w:r w:rsidR="00F003B2" w:rsidRPr="00BE23FC">
        <w:rPr>
          <w:rFonts w:ascii="ITC Avant Garde" w:hAnsi="ITC Avant Garde"/>
          <w:i/>
          <w:sz w:val="20"/>
          <w:szCs w:val="20"/>
        </w:rPr>
        <w:t xml:space="preserve"> De acuerdo con sus fines, las concesiones a que se refiere este capítulo serán: </w:t>
      </w:r>
    </w:p>
    <w:p w14:paraId="30A8BCBF" w14:textId="77777777" w:rsidR="00F003B2" w:rsidRPr="00BE23FC" w:rsidRDefault="00F003B2" w:rsidP="00F003B2">
      <w:pPr>
        <w:pStyle w:val="Prrafodelista"/>
        <w:numPr>
          <w:ilvl w:val="0"/>
          <w:numId w:val="29"/>
        </w:numPr>
        <w:pBdr>
          <w:top w:val="nil"/>
          <w:left w:val="nil"/>
          <w:bottom w:val="nil"/>
          <w:right w:val="nil"/>
          <w:between w:val="nil"/>
          <w:bar w:val="nil"/>
        </w:pBdr>
        <w:suppressAutoHyphens/>
        <w:ind w:left="1134" w:right="1182" w:firstLine="0"/>
        <w:contextualSpacing/>
        <w:jc w:val="both"/>
        <w:rPr>
          <w:rFonts w:ascii="ITC Avant Garde" w:hAnsi="ITC Avant Garde"/>
          <w:i/>
          <w:sz w:val="20"/>
        </w:rPr>
      </w:pPr>
      <w:r w:rsidRPr="00BE23FC">
        <w:rPr>
          <w:rFonts w:ascii="ITC Avant Garde" w:hAnsi="ITC Avant Garde"/>
          <w:b/>
          <w:i/>
          <w:sz w:val="20"/>
        </w:rPr>
        <w:t>Para uso comercial</w:t>
      </w:r>
      <w:r w:rsidRPr="00BE23FC">
        <w:rPr>
          <w:rFonts w:ascii="ITC Avant Garde" w:hAnsi="ITC Avant Garde"/>
          <w:i/>
          <w:sz w:val="20"/>
        </w:rPr>
        <w:t>: Confiere el derecho a personas físicas o morales para usar, aprovechar y explotar bandas de frecuencias del espectro radioeléctrico de uso determinado y para la ocupación y explotación de recursos orbitales, con fines de lucro;</w:t>
      </w:r>
    </w:p>
    <w:p w14:paraId="545DA827" w14:textId="77777777" w:rsidR="00F003B2" w:rsidRPr="00BE23FC" w:rsidRDefault="00F003B2" w:rsidP="00F003B2">
      <w:pPr>
        <w:pStyle w:val="Prrafodelista"/>
        <w:numPr>
          <w:ilvl w:val="0"/>
          <w:numId w:val="29"/>
        </w:numPr>
        <w:pBdr>
          <w:top w:val="nil"/>
          <w:left w:val="nil"/>
          <w:bottom w:val="nil"/>
          <w:right w:val="nil"/>
          <w:between w:val="nil"/>
          <w:bar w:val="nil"/>
        </w:pBdr>
        <w:suppressAutoHyphens/>
        <w:ind w:left="1134" w:right="1182" w:firstLine="0"/>
        <w:contextualSpacing/>
        <w:jc w:val="both"/>
        <w:rPr>
          <w:rFonts w:ascii="ITC Avant Garde" w:hAnsi="ITC Avant Garde" w:cs="TimesNewRomanPS-BoldMT"/>
          <w:bCs/>
          <w:i/>
          <w:sz w:val="20"/>
          <w:lang w:val="es-ES" w:eastAsia="es-ES"/>
        </w:rPr>
      </w:pPr>
      <w:r w:rsidRPr="00BE23FC">
        <w:rPr>
          <w:rFonts w:ascii="ITC Avant Garde" w:hAnsi="ITC Avant Garde" w:cs="TimesNewRomanPS-BoldMT"/>
          <w:bCs/>
          <w:i/>
          <w:sz w:val="20"/>
          <w:lang w:val="es-ES" w:eastAsia="es-ES"/>
        </w:rPr>
        <w:t>(…)</w:t>
      </w:r>
    </w:p>
    <w:p w14:paraId="2808C5EC" w14:textId="77777777" w:rsidR="00F003B2" w:rsidRPr="00BE23FC" w:rsidRDefault="00F003B2" w:rsidP="00F003B2">
      <w:pPr>
        <w:pStyle w:val="Prrafodelista"/>
        <w:numPr>
          <w:ilvl w:val="0"/>
          <w:numId w:val="29"/>
        </w:numPr>
        <w:pBdr>
          <w:top w:val="nil"/>
          <w:left w:val="nil"/>
          <w:bottom w:val="nil"/>
          <w:right w:val="nil"/>
          <w:between w:val="nil"/>
          <w:bar w:val="nil"/>
        </w:pBdr>
        <w:suppressAutoHyphens/>
        <w:ind w:left="1134" w:right="1182" w:firstLine="0"/>
        <w:contextualSpacing/>
        <w:jc w:val="both"/>
        <w:rPr>
          <w:rFonts w:ascii="ITC Avant Garde" w:hAnsi="ITC Avant Garde" w:cs="TimesNewRomanPS-BoldMT"/>
          <w:bCs/>
          <w:i/>
          <w:sz w:val="20"/>
          <w:lang w:val="es-ES" w:eastAsia="es-ES"/>
        </w:rPr>
      </w:pPr>
      <w:r w:rsidRPr="00BE23FC">
        <w:rPr>
          <w:rFonts w:ascii="ITC Avant Garde" w:hAnsi="ITC Avant Garde"/>
          <w:b/>
          <w:i/>
          <w:sz w:val="20"/>
        </w:rPr>
        <w:t>Para uso privado:</w:t>
      </w:r>
      <w:r w:rsidRPr="00BE23FC">
        <w:rPr>
          <w:rFonts w:ascii="ITC Avant Garde" w:hAnsi="ITC Avant Garde"/>
          <w:i/>
          <w:sz w:val="20"/>
        </w:rPr>
        <w:t xml:space="preserve"> Confiere el derecho para usar y aprovechar bandas de frecuencias del espectro radioeléctrico de uso determinado o para la ocupación y explotación de recursos orbitales, con propósitos de: </w:t>
      </w:r>
    </w:p>
    <w:p w14:paraId="739DBBD5" w14:textId="77777777" w:rsidR="00F003B2" w:rsidRPr="00BE23FC" w:rsidRDefault="00F003B2" w:rsidP="00F003B2">
      <w:pPr>
        <w:pStyle w:val="Prrafodelista"/>
        <w:pBdr>
          <w:top w:val="nil"/>
          <w:left w:val="nil"/>
          <w:bottom w:val="nil"/>
          <w:right w:val="nil"/>
          <w:between w:val="nil"/>
          <w:bar w:val="nil"/>
        </w:pBdr>
        <w:suppressAutoHyphens/>
        <w:ind w:left="1134" w:right="1182"/>
        <w:contextualSpacing/>
        <w:jc w:val="both"/>
        <w:rPr>
          <w:rFonts w:ascii="ITC Avant Garde" w:hAnsi="ITC Avant Garde" w:cs="TimesNewRomanPS-BoldMT"/>
          <w:bCs/>
          <w:i/>
          <w:sz w:val="20"/>
          <w:lang w:val="es-ES" w:eastAsia="es-ES"/>
        </w:rPr>
      </w:pPr>
      <w:r w:rsidRPr="00A37D70">
        <w:rPr>
          <w:rFonts w:ascii="ITC Avant Garde" w:hAnsi="ITC Avant Garde"/>
          <w:b/>
          <w:i/>
          <w:sz w:val="20"/>
        </w:rPr>
        <w:t>a)</w:t>
      </w:r>
      <w:r w:rsidRPr="00BE23FC">
        <w:rPr>
          <w:rFonts w:ascii="ITC Avant Garde" w:hAnsi="ITC Avant Garde"/>
          <w:i/>
          <w:sz w:val="20"/>
        </w:rPr>
        <w:t xml:space="preserve"> Comunicación privada, o</w:t>
      </w:r>
    </w:p>
    <w:p w14:paraId="053BD710" w14:textId="77777777" w:rsidR="00F003B2" w:rsidRPr="00BE23FC" w:rsidRDefault="00F003B2" w:rsidP="00F003B2">
      <w:pPr>
        <w:pStyle w:val="Prrafodelista"/>
        <w:pBdr>
          <w:top w:val="nil"/>
          <w:left w:val="nil"/>
          <w:bottom w:val="nil"/>
          <w:right w:val="nil"/>
          <w:between w:val="nil"/>
          <w:bar w:val="nil"/>
        </w:pBdr>
        <w:suppressAutoHyphens/>
        <w:ind w:left="1134" w:right="1182"/>
        <w:contextualSpacing/>
        <w:jc w:val="both"/>
        <w:rPr>
          <w:rFonts w:ascii="ITC Avant Garde" w:hAnsi="ITC Avant Garde" w:cs="TimesNewRomanPS-BoldMT"/>
          <w:bCs/>
          <w:i/>
          <w:sz w:val="20"/>
          <w:lang w:val="es-ES" w:eastAsia="es-ES"/>
        </w:rPr>
      </w:pPr>
      <w:r>
        <w:rPr>
          <w:rFonts w:ascii="ITC Avant Garde" w:hAnsi="ITC Avant Garde"/>
          <w:i/>
          <w:sz w:val="20"/>
        </w:rPr>
        <w:t>(</w:t>
      </w:r>
      <w:r w:rsidRPr="00BE23FC">
        <w:rPr>
          <w:rFonts w:ascii="ITC Avant Garde" w:hAnsi="ITC Avant Garde"/>
          <w:i/>
          <w:sz w:val="20"/>
        </w:rPr>
        <w:t>…)”</w:t>
      </w:r>
    </w:p>
    <w:p w14:paraId="63B63DE1" w14:textId="77777777" w:rsidR="00F003B2" w:rsidRDefault="00F003B2"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r>
        <w:rPr>
          <w:rFonts w:ascii="ITC Avant Garde" w:eastAsia="Times New Roman" w:hAnsi="ITC Avant Garde" w:cs="TimesNewRomanPS-BoldMT"/>
          <w:bCs/>
          <w:szCs w:val="21"/>
          <w:lang w:val="es-ES" w:eastAsia="es-ES"/>
        </w:rPr>
        <w:t xml:space="preserve"> </w:t>
      </w:r>
    </w:p>
    <w:p w14:paraId="6170BC00" w14:textId="6E73C567" w:rsidR="00F003B2" w:rsidRDefault="00F003B2"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r>
        <w:rPr>
          <w:rFonts w:ascii="ITC Avant Garde" w:eastAsia="Times New Roman" w:hAnsi="ITC Avant Garde" w:cs="TimesNewRomanPS-BoldMT"/>
          <w:bCs/>
          <w:szCs w:val="21"/>
          <w:lang w:val="es-ES" w:eastAsia="es-ES"/>
        </w:rPr>
        <w:t xml:space="preserve">El establecimiento de sólo </w:t>
      </w:r>
      <w:r w:rsidR="00DB073B">
        <w:rPr>
          <w:rFonts w:ascii="ITC Avant Garde" w:eastAsia="Times New Roman" w:hAnsi="ITC Avant Garde" w:cs="TimesNewRomanPS-BoldMT"/>
          <w:bCs/>
          <w:szCs w:val="21"/>
          <w:lang w:val="es-ES" w:eastAsia="es-ES"/>
        </w:rPr>
        <w:t xml:space="preserve">considerar a </w:t>
      </w:r>
      <w:r>
        <w:rPr>
          <w:rFonts w:ascii="ITC Avant Garde" w:eastAsia="Times New Roman" w:hAnsi="ITC Avant Garde" w:cs="TimesNewRomanPS-BoldMT"/>
          <w:bCs/>
          <w:szCs w:val="21"/>
          <w:lang w:val="es-ES" w:eastAsia="es-ES"/>
        </w:rPr>
        <w:t>las concesiones de espectro radioeléctrico para uso comercial y privado (</w:t>
      </w:r>
      <w:r w:rsidR="00493892">
        <w:rPr>
          <w:rFonts w:ascii="ITC Avant Garde" w:eastAsia="Times New Roman" w:hAnsi="ITC Avant Garde" w:cs="TimesNewRomanPS-BoldMT"/>
          <w:bCs/>
          <w:szCs w:val="21"/>
          <w:lang w:val="es-ES" w:eastAsia="es-ES"/>
        </w:rPr>
        <w:t>c</w:t>
      </w:r>
      <w:r>
        <w:rPr>
          <w:rFonts w:ascii="ITC Avant Garde" w:eastAsia="Times New Roman" w:hAnsi="ITC Avant Garde" w:cs="TimesNewRomanPS-BoldMT"/>
          <w:bCs/>
          <w:szCs w:val="21"/>
          <w:lang w:val="es-ES" w:eastAsia="es-ES"/>
        </w:rPr>
        <w:t>omunicación privada) obedece a los fines establecidos en la Ley para tal fin.</w:t>
      </w:r>
      <w:r w:rsidR="00D374EC">
        <w:rPr>
          <w:rFonts w:ascii="ITC Avant Garde" w:eastAsia="Times New Roman" w:hAnsi="ITC Avant Garde" w:cs="TimesNewRomanPS-BoldMT"/>
          <w:bCs/>
          <w:szCs w:val="21"/>
          <w:lang w:val="es-ES" w:eastAsia="es-ES"/>
        </w:rPr>
        <w:t xml:space="preserve"> </w:t>
      </w:r>
    </w:p>
    <w:p w14:paraId="45CA7458" w14:textId="77777777" w:rsidR="00F003B2" w:rsidRPr="00BE23FC" w:rsidRDefault="00F003B2" w:rsidP="00F003B2">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szCs w:val="21"/>
          <w:lang w:val="es-ES" w:eastAsia="es-ES"/>
        </w:rPr>
      </w:pPr>
    </w:p>
    <w:p w14:paraId="02DE298A" w14:textId="66E1D161" w:rsidR="00F003B2" w:rsidRDefault="00924D02" w:rsidP="00F003B2">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Por otra parte, e</w:t>
      </w:r>
      <w:r w:rsidR="00F003B2">
        <w:rPr>
          <w:rFonts w:ascii="ITC Avant Garde" w:hAnsi="ITC Avant Garde" w:cs="Arial"/>
          <w:color w:val="000000" w:themeColor="text1"/>
          <w:szCs w:val="21"/>
        </w:rPr>
        <w:t>l artículo 22 del Código Civil Federal establece que la capacidad</w:t>
      </w:r>
      <w:r w:rsidR="00F003B2" w:rsidRPr="007B5B0B">
        <w:rPr>
          <w:rFonts w:ascii="ITC Avant Garde" w:hAnsi="ITC Avant Garde" w:cs="Arial"/>
          <w:color w:val="000000" w:themeColor="text1"/>
          <w:szCs w:val="21"/>
        </w:rPr>
        <w:t xml:space="preserve"> jurídica de las personas físicas se adquiere por el nacimiento y se pierde</w:t>
      </w:r>
      <w:r w:rsidR="00F003B2">
        <w:rPr>
          <w:rFonts w:ascii="ITC Avant Garde" w:hAnsi="ITC Avant Garde" w:cs="Arial"/>
          <w:color w:val="000000" w:themeColor="text1"/>
          <w:szCs w:val="21"/>
        </w:rPr>
        <w:t xml:space="preserve"> </w:t>
      </w:r>
      <w:r w:rsidR="00F003B2" w:rsidRPr="007B5B0B">
        <w:rPr>
          <w:rFonts w:ascii="ITC Avant Garde" w:hAnsi="ITC Avant Garde" w:cs="Arial"/>
          <w:color w:val="000000" w:themeColor="text1"/>
          <w:szCs w:val="21"/>
        </w:rPr>
        <w:t>por la muerte</w:t>
      </w:r>
      <w:r w:rsidR="005925A7">
        <w:rPr>
          <w:rFonts w:ascii="ITC Avant Garde" w:hAnsi="ITC Avant Garde" w:cs="Arial"/>
          <w:color w:val="000000" w:themeColor="text1"/>
          <w:szCs w:val="21"/>
        </w:rPr>
        <w:t>.</w:t>
      </w:r>
    </w:p>
    <w:p w14:paraId="1FEC573F" w14:textId="77777777" w:rsidR="00F003B2" w:rsidRDefault="00F003B2" w:rsidP="00F003B2">
      <w:pPr>
        <w:spacing w:after="0" w:line="240" w:lineRule="auto"/>
        <w:contextualSpacing/>
        <w:jc w:val="both"/>
        <w:rPr>
          <w:rFonts w:ascii="ITC Avant Garde" w:hAnsi="ITC Avant Garde" w:cs="Arial"/>
          <w:color w:val="000000" w:themeColor="text1"/>
          <w:szCs w:val="21"/>
        </w:rPr>
      </w:pPr>
    </w:p>
    <w:p w14:paraId="48DBC3A3" w14:textId="01E2218C" w:rsidR="00F003B2" w:rsidRDefault="00924D02" w:rsidP="00F003B2">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E</w:t>
      </w:r>
      <w:r w:rsidR="00F003B2">
        <w:rPr>
          <w:rFonts w:ascii="ITC Avant Garde" w:hAnsi="ITC Avant Garde" w:cs="Arial"/>
          <w:color w:val="000000" w:themeColor="text1"/>
          <w:szCs w:val="21"/>
        </w:rPr>
        <w:t xml:space="preserve">l </w:t>
      </w:r>
      <w:r w:rsidR="00176E97">
        <w:rPr>
          <w:rFonts w:ascii="ITC Avant Garde" w:hAnsi="ITC Avant Garde" w:cs="Arial"/>
          <w:color w:val="000000" w:themeColor="text1"/>
          <w:szCs w:val="21"/>
        </w:rPr>
        <w:t xml:space="preserve">artículo </w:t>
      </w:r>
      <w:r w:rsidR="00F003B2">
        <w:rPr>
          <w:rFonts w:ascii="ITC Avant Garde" w:hAnsi="ITC Avant Garde" w:cs="Arial"/>
          <w:color w:val="000000" w:themeColor="text1"/>
          <w:szCs w:val="21"/>
        </w:rPr>
        <w:t xml:space="preserve">27 del mismo </w:t>
      </w:r>
      <w:r w:rsidR="00DB073B">
        <w:rPr>
          <w:rFonts w:ascii="ITC Avant Garde" w:hAnsi="ITC Avant Garde" w:cs="Arial"/>
          <w:color w:val="000000" w:themeColor="text1"/>
          <w:szCs w:val="21"/>
        </w:rPr>
        <w:t>c</w:t>
      </w:r>
      <w:r w:rsidR="00F003B2">
        <w:rPr>
          <w:rFonts w:ascii="ITC Avant Garde" w:hAnsi="ITC Avant Garde" w:cs="Arial"/>
          <w:color w:val="000000" w:themeColor="text1"/>
          <w:szCs w:val="21"/>
        </w:rPr>
        <w:t>ódigo señala que las personas morales obran y se obligan por medio de los órganos que las representan</w:t>
      </w:r>
      <w:r w:rsidR="00DB073B">
        <w:rPr>
          <w:rFonts w:ascii="ITC Avant Garde" w:hAnsi="ITC Avant Garde" w:cs="Arial"/>
          <w:color w:val="000000" w:themeColor="text1"/>
          <w:szCs w:val="21"/>
        </w:rPr>
        <w:t>,</w:t>
      </w:r>
      <w:r w:rsidR="00F003B2">
        <w:rPr>
          <w:rFonts w:ascii="ITC Avant Garde" w:hAnsi="ITC Avant Garde" w:cs="Arial"/>
          <w:color w:val="000000" w:themeColor="text1"/>
          <w:szCs w:val="21"/>
        </w:rPr>
        <w:t xml:space="preserve"> sea por disposición de la ley o conforme a las disposiciones relativas de sus escrituras constitutivas y de sus estatutos. </w:t>
      </w:r>
    </w:p>
    <w:p w14:paraId="31ED1417" w14:textId="77777777" w:rsidR="00F003B2" w:rsidRDefault="00F003B2" w:rsidP="00F003B2">
      <w:pPr>
        <w:spacing w:after="0" w:line="240" w:lineRule="auto"/>
        <w:contextualSpacing/>
        <w:jc w:val="both"/>
        <w:rPr>
          <w:rFonts w:ascii="ITC Avant Garde" w:hAnsi="ITC Avant Garde" w:cs="Arial"/>
          <w:color w:val="000000" w:themeColor="text1"/>
          <w:szCs w:val="21"/>
        </w:rPr>
      </w:pPr>
    </w:p>
    <w:p w14:paraId="6F2881F5" w14:textId="77777777" w:rsidR="00F003B2" w:rsidRDefault="00F003B2" w:rsidP="00F003B2">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En este contexto, las personas físicas y morales son sujetos de derecho con capacidad jurídica para contraer obligaciones, en los términos previstos en las disposiciones legales aplicables. </w:t>
      </w:r>
    </w:p>
    <w:p w14:paraId="000E7869" w14:textId="77777777" w:rsidR="00F003B2" w:rsidRDefault="00F003B2" w:rsidP="00F003B2">
      <w:pPr>
        <w:spacing w:after="0" w:line="240" w:lineRule="auto"/>
        <w:contextualSpacing/>
        <w:jc w:val="both"/>
        <w:rPr>
          <w:rFonts w:ascii="ITC Avant Garde" w:hAnsi="ITC Avant Garde" w:cs="Arial"/>
          <w:color w:val="000000" w:themeColor="text1"/>
          <w:szCs w:val="21"/>
        </w:rPr>
      </w:pPr>
    </w:p>
    <w:p w14:paraId="462E16E8" w14:textId="5B2DA11B" w:rsidR="00F003B2" w:rsidRDefault="00F003B2" w:rsidP="00F003B2">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Ahora bien, cualquier persona física </w:t>
      </w:r>
      <w:r w:rsidR="00176E97">
        <w:rPr>
          <w:rFonts w:ascii="ITC Avant Garde" w:hAnsi="ITC Avant Garde" w:cs="Arial"/>
          <w:color w:val="000000" w:themeColor="text1"/>
          <w:szCs w:val="21"/>
        </w:rPr>
        <w:t>o</w:t>
      </w:r>
      <w:r>
        <w:rPr>
          <w:rFonts w:ascii="ITC Avant Garde" w:hAnsi="ITC Avant Garde" w:cs="Arial"/>
          <w:color w:val="000000" w:themeColor="text1"/>
          <w:szCs w:val="21"/>
        </w:rPr>
        <w:t xml:space="preserve"> moral podrá celebrar un contrato de </w:t>
      </w:r>
      <w:r w:rsidR="00DB073B">
        <w:rPr>
          <w:rFonts w:ascii="ITC Avant Garde" w:hAnsi="ITC Avant Garde" w:cs="Arial"/>
          <w:color w:val="000000" w:themeColor="text1"/>
          <w:szCs w:val="21"/>
        </w:rPr>
        <w:t>a</w:t>
      </w:r>
      <w:r>
        <w:rPr>
          <w:rFonts w:ascii="ITC Avant Garde" w:hAnsi="ITC Avant Garde" w:cs="Arial"/>
          <w:color w:val="000000" w:themeColor="text1"/>
          <w:szCs w:val="21"/>
        </w:rPr>
        <w:t xml:space="preserve">rrendamiento de </w:t>
      </w:r>
      <w:r w:rsidR="00DB073B">
        <w:rPr>
          <w:rFonts w:ascii="ITC Avant Garde" w:hAnsi="ITC Avant Garde" w:cs="Arial"/>
          <w:color w:val="000000" w:themeColor="text1"/>
          <w:szCs w:val="21"/>
        </w:rPr>
        <w:t>b</w:t>
      </w:r>
      <w:r>
        <w:rPr>
          <w:rFonts w:ascii="ITC Avant Garde" w:hAnsi="ITC Avant Garde" w:cs="Arial"/>
          <w:color w:val="000000" w:themeColor="text1"/>
          <w:szCs w:val="21"/>
        </w:rPr>
        <w:t xml:space="preserve">andas de </w:t>
      </w:r>
      <w:r w:rsidR="00DB073B">
        <w:rPr>
          <w:rFonts w:ascii="ITC Avant Garde" w:hAnsi="ITC Avant Garde" w:cs="Arial"/>
          <w:color w:val="000000" w:themeColor="text1"/>
          <w:szCs w:val="21"/>
        </w:rPr>
        <w:t>f</w:t>
      </w:r>
      <w:r>
        <w:rPr>
          <w:rFonts w:ascii="ITC Avant Garde" w:hAnsi="ITC Avant Garde" w:cs="Arial"/>
          <w:color w:val="000000" w:themeColor="text1"/>
          <w:szCs w:val="21"/>
        </w:rPr>
        <w:t xml:space="preserve">recuencias, siempre y cuando cumpla con las disposiciones previstas en la Ley y los Lineamientos, al poseer la capacidad jurídica para tal efecto. </w:t>
      </w:r>
    </w:p>
    <w:p w14:paraId="09EFAB9C" w14:textId="77777777" w:rsidR="00F003B2" w:rsidRDefault="00F003B2" w:rsidP="00F003B2">
      <w:pPr>
        <w:spacing w:after="0" w:line="240" w:lineRule="auto"/>
        <w:contextualSpacing/>
        <w:jc w:val="both"/>
        <w:rPr>
          <w:rFonts w:ascii="ITC Avant Garde" w:hAnsi="ITC Avant Garde" w:cs="Arial"/>
          <w:color w:val="000000" w:themeColor="text1"/>
          <w:szCs w:val="21"/>
        </w:rPr>
      </w:pPr>
    </w:p>
    <w:p w14:paraId="4A9747C1" w14:textId="008A7593" w:rsidR="00F003B2" w:rsidRDefault="00F003B2" w:rsidP="00F003B2">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El </w:t>
      </w:r>
      <w:r w:rsidR="00176E97">
        <w:rPr>
          <w:rFonts w:ascii="ITC Avant Garde" w:hAnsi="ITC Avant Garde" w:cs="Arial"/>
          <w:color w:val="000000" w:themeColor="text1"/>
          <w:szCs w:val="21"/>
        </w:rPr>
        <w:t xml:space="preserve">artículo </w:t>
      </w:r>
      <w:r>
        <w:rPr>
          <w:rFonts w:ascii="ITC Avant Garde" w:hAnsi="ITC Avant Garde" w:cs="Arial"/>
          <w:color w:val="000000" w:themeColor="text1"/>
          <w:szCs w:val="21"/>
        </w:rPr>
        <w:t xml:space="preserve">104, fracción I de la Ley establece que el </w:t>
      </w:r>
      <w:r w:rsidR="00DF1B26">
        <w:rPr>
          <w:rFonts w:ascii="ITC Avant Garde" w:hAnsi="ITC Avant Garde" w:cs="Arial"/>
          <w:color w:val="000000" w:themeColor="text1"/>
          <w:szCs w:val="21"/>
        </w:rPr>
        <w:t>arrendatario</w:t>
      </w:r>
      <w:r>
        <w:rPr>
          <w:rFonts w:ascii="ITC Avant Garde" w:hAnsi="ITC Avant Garde" w:cs="Arial"/>
          <w:color w:val="000000" w:themeColor="text1"/>
          <w:szCs w:val="21"/>
        </w:rPr>
        <w:t xml:space="preserve"> debe contar con concesión única del mismo uso de las bandas de frecuencias que se pretender arrendar o que la haya solicitado al Instituto.</w:t>
      </w:r>
    </w:p>
    <w:p w14:paraId="28A886EA" w14:textId="77777777" w:rsidR="00F003B2" w:rsidRDefault="00F003B2" w:rsidP="00F003B2">
      <w:pPr>
        <w:spacing w:after="0" w:line="240" w:lineRule="auto"/>
        <w:contextualSpacing/>
        <w:jc w:val="both"/>
        <w:rPr>
          <w:rFonts w:ascii="ITC Avant Garde" w:hAnsi="ITC Avant Garde" w:cs="Arial"/>
          <w:color w:val="000000" w:themeColor="text1"/>
          <w:szCs w:val="21"/>
        </w:rPr>
      </w:pPr>
    </w:p>
    <w:p w14:paraId="644C83A4" w14:textId="02371ACA" w:rsidR="00F003B2" w:rsidRDefault="00F003B2" w:rsidP="00F003B2">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De igual forma, el artículo 67, fracciones I y III de la Ley establecen que la concesión única para uso comercial confiere el derecho a personas físicas o morales para prestar servicios públicos de telecomunicaciones y radiodifusión, con fines de lucro a través de una red pública de telecomunicaciones, mientras que la concesión única para uso privado confiere el derecho para </w:t>
      </w:r>
      <w:r w:rsidR="006C3B38">
        <w:rPr>
          <w:rFonts w:ascii="ITC Avant Garde" w:hAnsi="ITC Avant Garde" w:cs="Arial"/>
          <w:color w:val="000000" w:themeColor="text1"/>
          <w:szCs w:val="21"/>
        </w:rPr>
        <w:t xml:space="preserve">prestar </w:t>
      </w:r>
      <w:r>
        <w:rPr>
          <w:rFonts w:ascii="ITC Avant Garde" w:hAnsi="ITC Avant Garde" w:cs="Arial"/>
          <w:color w:val="000000" w:themeColor="text1"/>
          <w:szCs w:val="21"/>
        </w:rPr>
        <w:t xml:space="preserve">servicios de telecomunicaciones con propósitos de comunicación privada. </w:t>
      </w:r>
    </w:p>
    <w:p w14:paraId="6663131A" w14:textId="77777777" w:rsidR="00F003B2" w:rsidRDefault="00F003B2" w:rsidP="00F003B2">
      <w:pPr>
        <w:spacing w:after="0" w:line="240" w:lineRule="auto"/>
        <w:contextualSpacing/>
        <w:jc w:val="both"/>
        <w:rPr>
          <w:rFonts w:ascii="ITC Avant Garde" w:hAnsi="ITC Avant Garde" w:cs="Arial"/>
          <w:color w:val="000000" w:themeColor="text1"/>
          <w:szCs w:val="21"/>
        </w:rPr>
      </w:pPr>
    </w:p>
    <w:p w14:paraId="01E0B533" w14:textId="77777777" w:rsidR="00F003B2" w:rsidRDefault="00F003B2" w:rsidP="00F003B2">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En tal virtud, conforme a los fines dispuestos en la Ley para la concesión única para uso comercial o uso privado, se requiere que sean del mismo uso respecto de las bandas de frecuencias que se pretenden arrendar.</w:t>
      </w:r>
    </w:p>
    <w:p w14:paraId="24941675" w14:textId="77777777" w:rsidR="00F003B2" w:rsidRDefault="00F003B2" w:rsidP="00F003B2">
      <w:pPr>
        <w:spacing w:after="0" w:line="240" w:lineRule="auto"/>
        <w:contextualSpacing/>
        <w:jc w:val="both"/>
        <w:rPr>
          <w:rFonts w:ascii="ITC Avant Garde" w:hAnsi="ITC Avant Garde" w:cs="Arial"/>
          <w:color w:val="000000" w:themeColor="text1"/>
          <w:szCs w:val="21"/>
        </w:rPr>
      </w:pPr>
    </w:p>
    <w:p w14:paraId="467FA69E" w14:textId="77777777" w:rsidR="00B911F1" w:rsidRDefault="00F003B2" w:rsidP="00F003B2">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Cabe señalar que</w:t>
      </w:r>
      <w:r w:rsidR="006C3B38">
        <w:rPr>
          <w:rFonts w:ascii="ITC Avant Garde" w:hAnsi="ITC Avant Garde" w:cs="Arial"/>
          <w:color w:val="000000" w:themeColor="text1"/>
          <w:szCs w:val="21"/>
        </w:rPr>
        <w:t>,</w:t>
      </w:r>
      <w:r>
        <w:rPr>
          <w:rFonts w:ascii="ITC Avant Garde" w:hAnsi="ITC Avant Garde" w:cs="Arial"/>
          <w:color w:val="000000" w:themeColor="text1"/>
          <w:szCs w:val="21"/>
        </w:rPr>
        <w:t xml:space="preserve"> en el supuesto de no contar con </w:t>
      </w:r>
      <w:r w:rsidR="00343E08">
        <w:rPr>
          <w:rFonts w:ascii="ITC Avant Garde" w:hAnsi="ITC Avant Garde" w:cs="Arial"/>
          <w:color w:val="000000" w:themeColor="text1"/>
          <w:szCs w:val="21"/>
        </w:rPr>
        <w:t xml:space="preserve">la </w:t>
      </w:r>
      <w:r>
        <w:rPr>
          <w:rFonts w:ascii="ITC Avant Garde" w:hAnsi="ITC Avant Garde" w:cs="Arial"/>
          <w:color w:val="000000" w:themeColor="text1"/>
          <w:szCs w:val="21"/>
        </w:rPr>
        <w:t>concesión única</w:t>
      </w:r>
      <w:r w:rsidR="006C3B38">
        <w:rPr>
          <w:rFonts w:ascii="ITC Avant Garde" w:hAnsi="ITC Avant Garde" w:cs="Arial"/>
          <w:color w:val="000000" w:themeColor="text1"/>
          <w:szCs w:val="21"/>
        </w:rPr>
        <w:t xml:space="preserve"> correspondiente</w:t>
      </w:r>
      <w:r>
        <w:rPr>
          <w:rFonts w:ascii="ITC Avant Garde" w:hAnsi="ITC Avant Garde" w:cs="Arial"/>
          <w:color w:val="000000" w:themeColor="text1"/>
          <w:szCs w:val="21"/>
        </w:rPr>
        <w:t xml:space="preserve">, se deberá acreditar haberla solicitado previamente al Instituto, con la finalidad de dar cumplimiento a los requisitos previstos en la Ley y en los propios Lineamientos y que los interesados puedan acreditar ser susceptibles de obligarse en los términos de las disposiciones aplicables. </w:t>
      </w:r>
    </w:p>
    <w:p w14:paraId="52973493" w14:textId="77777777" w:rsidR="00B911F1" w:rsidRDefault="00B911F1" w:rsidP="00F003B2">
      <w:pPr>
        <w:spacing w:after="0" w:line="240" w:lineRule="auto"/>
        <w:contextualSpacing/>
        <w:jc w:val="both"/>
        <w:rPr>
          <w:rFonts w:ascii="ITC Avant Garde" w:hAnsi="ITC Avant Garde" w:cs="Arial"/>
          <w:color w:val="000000" w:themeColor="text1"/>
          <w:szCs w:val="21"/>
        </w:rPr>
      </w:pPr>
    </w:p>
    <w:p w14:paraId="2900817B" w14:textId="5ACD3249" w:rsidR="00F003B2" w:rsidRDefault="00F003B2" w:rsidP="00F003B2">
      <w:pPr>
        <w:spacing w:after="0" w:line="240" w:lineRule="auto"/>
        <w:contextualSpacing/>
        <w:jc w:val="both"/>
        <w:rPr>
          <w:color w:val="000000"/>
          <w:sz w:val="26"/>
          <w:szCs w:val="26"/>
        </w:rPr>
      </w:pPr>
      <w:r>
        <w:rPr>
          <w:rFonts w:ascii="ITC Avant Garde" w:hAnsi="ITC Avant Garde" w:cs="Arial"/>
          <w:color w:val="000000" w:themeColor="text1"/>
          <w:szCs w:val="21"/>
        </w:rPr>
        <w:t xml:space="preserve">Sin embargo, en razón de que uno de los requisitos que se debe observar para autorizar el </w:t>
      </w:r>
      <w:r w:rsidR="006C3B38">
        <w:rPr>
          <w:rFonts w:ascii="ITC Avant Garde" w:hAnsi="ITC Avant Garde" w:cs="Arial"/>
          <w:color w:val="000000" w:themeColor="text1"/>
          <w:szCs w:val="21"/>
        </w:rPr>
        <w:t>a</w:t>
      </w:r>
      <w:r>
        <w:rPr>
          <w:rFonts w:ascii="ITC Avant Garde" w:hAnsi="ITC Avant Garde" w:cs="Arial"/>
          <w:color w:val="000000" w:themeColor="text1"/>
          <w:szCs w:val="21"/>
        </w:rPr>
        <w:t xml:space="preserve">rrendamiento de </w:t>
      </w:r>
      <w:r w:rsidR="006C3B38">
        <w:rPr>
          <w:rFonts w:ascii="ITC Avant Garde" w:hAnsi="ITC Avant Garde" w:cs="Arial"/>
          <w:color w:val="000000" w:themeColor="text1"/>
          <w:szCs w:val="21"/>
        </w:rPr>
        <w:t>e</w:t>
      </w:r>
      <w:r>
        <w:rPr>
          <w:rFonts w:ascii="ITC Avant Garde" w:hAnsi="ITC Avant Garde" w:cs="Arial"/>
          <w:color w:val="000000" w:themeColor="text1"/>
          <w:szCs w:val="21"/>
        </w:rPr>
        <w:t xml:space="preserve">spectro </w:t>
      </w:r>
      <w:r w:rsidR="006C3B38">
        <w:rPr>
          <w:rFonts w:ascii="ITC Avant Garde" w:hAnsi="ITC Avant Garde" w:cs="Arial"/>
          <w:color w:val="000000" w:themeColor="text1"/>
          <w:szCs w:val="21"/>
        </w:rPr>
        <w:t>r</w:t>
      </w:r>
      <w:r>
        <w:rPr>
          <w:rFonts w:ascii="ITC Avant Garde" w:hAnsi="ITC Avant Garde" w:cs="Arial"/>
          <w:color w:val="000000" w:themeColor="text1"/>
          <w:szCs w:val="21"/>
        </w:rPr>
        <w:t>adioeléctrico lo constituye que el arrendatario cuente con concesión única o que se haya solicitado</w:t>
      </w:r>
      <w:r w:rsidR="00132BB1">
        <w:rPr>
          <w:rFonts w:ascii="ITC Avant Garde" w:hAnsi="ITC Avant Garde" w:cs="Arial"/>
          <w:color w:val="000000" w:themeColor="text1"/>
          <w:szCs w:val="21"/>
        </w:rPr>
        <w:t xml:space="preserve">; de haberse solicitado la concesión única, </w:t>
      </w:r>
      <w:r w:rsidR="00884853">
        <w:rPr>
          <w:rFonts w:ascii="ITC Avant Garde" w:hAnsi="ITC Avant Garde" w:cs="Arial"/>
          <w:color w:val="000000" w:themeColor="text1"/>
          <w:szCs w:val="21"/>
        </w:rPr>
        <w:t xml:space="preserve">en ningún caso podrá resolverse la solicitud de autorización </w:t>
      </w:r>
      <w:r w:rsidR="006155EE">
        <w:rPr>
          <w:rFonts w:ascii="ITC Avant Garde" w:hAnsi="ITC Avant Garde" w:cs="Arial"/>
          <w:color w:val="000000" w:themeColor="text1"/>
          <w:szCs w:val="21"/>
        </w:rPr>
        <w:t xml:space="preserve">previamente </w:t>
      </w:r>
      <w:r w:rsidR="00884853">
        <w:rPr>
          <w:rFonts w:ascii="ITC Avant Garde" w:hAnsi="ITC Avant Garde" w:cs="Arial"/>
          <w:color w:val="000000" w:themeColor="text1"/>
          <w:szCs w:val="21"/>
        </w:rPr>
        <w:t>a</w:t>
      </w:r>
      <w:r w:rsidR="00A9561F">
        <w:rPr>
          <w:rFonts w:ascii="ITC Avant Garde" w:hAnsi="ITC Avant Garde" w:cs="Arial"/>
          <w:color w:val="000000" w:themeColor="text1"/>
          <w:szCs w:val="21"/>
        </w:rPr>
        <w:t>l otorgamiento de la concesión única para uso comercial o la concesión única para uso privado, según sea el caso</w:t>
      </w:r>
      <w:r w:rsidR="00132BB1">
        <w:rPr>
          <w:rFonts w:ascii="ITC Avant Garde" w:hAnsi="ITC Avant Garde" w:cs="Arial"/>
          <w:color w:val="000000" w:themeColor="text1"/>
          <w:szCs w:val="21"/>
        </w:rPr>
        <w:t xml:space="preserve">. </w:t>
      </w:r>
    </w:p>
    <w:p w14:paraId="3CC21D6F" w14:textId="3C2E49C9" w:rsidR="00F003B2" w:rsidRDefault="00F003B2" w:rsidP="00F003B2">
      <w:pPr>
        <w:spacing w:after="0" w:line="240" w:lineRule="auto"/>
        <w:contextualSpacing/>
        <w:jc w:val="both"/>
        <w:rPr>
          <w:rFonts w:ascii="ITC Avant Garde" w:hAnsi="ITC Avant Garde" w:cs="Arial"/>
          <w:color w:val="000000" w:themeColor="text1"/>
          <w:szCs w:val="21"/>
        </w:rPr>
      </w:pPr>
    </w:p>
    <w:p w14:paraId="5B868E7D" w14:textId="5C45154E" w:rsidR="00F003B2" w:rsidRDefault="00F003B2" w:rsidP="00F003B2">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lastRenderedPageBreak/>
        <w:t>El arrendamiento en materia civil en términos de lo establecido en el artículo 2398 del Código Civil Federal implica la obligación reciproca de las partes, una de conceder el uso o goce temporal de una cosa y la otra, a pagar por ese uso o goce un precio determinado.</w:t>
      </w:r>
      <w:r w:rsidR="00D374EC">
        <w:rPr>
          <w:rFonts w:ascii="ITC Avant Garde" w:hAnsi="ITC Avant Garde" w:cs="Arial"/>
          <w:color w:val="000000" w:themeColor="text1"/>
          <w:szCs w:val="21"/>
        </w:rPr>
        <w:t xml:space="preserve"> </w:t>
      </w:r>
    </w:p>
    <w:p w14:paraId="5415421A" w14:textId="77777777" w:rsidR="00F003B2" w:rsidRDefault="00F003B2" w:rsidP="00F003B2">
      <w:pPr>
        <w:spacing w:after="0" w:line="240" w:lineRule="auto"/>
        <w:contextualSpacing/>
        <w:jc w:val="both"/>
        <w:rPr>
          <w:rFonts w:ascii="ITC Avant Garde" w:hAnsi="ITC Avant Garde" w:cs="Arial"/>
          <w:color w:val="000000" w:themeColor="text1"/>
          <w:szCs w:val="21"/>
        </w:rPr>
      </w:pPr>
    </w:p>
    <w:p w14:paraId="4E95C07A" w14:textId="77777777" w:rsidR="00F003B2" w:rsidRDefault="00F003B2" w:rsidP="00F003B2">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Para ello, el artículo 2399 del Código Civil Federal prescribe:</w:t>
      </w:r>
    </w:p>
    <w:p w14:paraId="6205EAC6" w14:textId="77777777" w:rsidR="00F003B2" w:rsidRDefault="00F003B2" w:rsidP="00F003B2">
      <w:pPr>
        <w:spacing w:after="0" w:line="240" w:lineRule="auto"/>
        <w:contextualSpacing/>
        <w:jc w:val="both"/>
        <w:rPr>
          <w:rFonts w:ascii="ITC Avant Garde" w:hAnsi="ITC Avant Garde" w:cs="Arial"/>
          <w:color w:val="000000" w:themeColor="text1"/>
          <w:szCs w:val="21"/>
        </w:rPr>
      </w:pPr>
    </w:p>
    <w:p w14:paraId="180CA1B2" w14:textId="31D4F870" w:rsidR="00F003B2" w:rsidRPr="000673F7" w:rsidRDefault="00F003B2" w:rsidP="00F003B2">
      <w:pPr>
        <w:spacing w:after="0" w:line="240" w:lineRule="auto"/>
        <w:ind w:left="1134" w:right="1182"/>
        <w:contextualSpacing/>
        <w:jc w:val="both"/>
        <w:rPr>
          <w:rFonts w:ascii="ITC Avant Garde" w:hAnsi="ITC Avant Garde" w:cs="Arial"/>
          <w:i/>
          <w:color w:val="000000" w:themeColor="text1"/>
          <w:sz w:val="20"/>
          <w:szCs w:val="20"/>
        </w:rPr>
      </w:pPr>
      <w:r w:rsidRPr="000673F7">
        <w:rPr>
          <w:rFonts w:ascii="ITC Avant Garde" w:hAnsi="ITC Avant Garde"/>
          <w:i/>
          <w:sz w:val="20"/>
          <w:szCs w:val="20"/>
        </w:rPr>
        <w:t>“</w:t>
      </w:r>
      <w:r w:rsidRPr="000673F7">
        <w:rPr>
          <w:rFonts w:ascii="ITC Avant Garde" w:hAnsi="ITC Avant Garde"/>
          <w:b/>
          <w:i/>
          <w:sz w:val="20"/>
          <w:szCs w:val="20"/>
        </w:rPr>
        <w:t>Artículo 2399.-</w:t>
      </w:r>
      <w:r w:rsidRPr="000673F7">
        <w:rPr>
          <w:rFonts w:ascii="ITC Avant Garde" w:hAnsi="ITC Avant Garde"/>
          <w:i/>
          <w:sz w:val="20"/>
          <w:szCs w:val="20"/>
        </w:rPr>
        <w:t xml:space="preserve"> La renta o precio del arrendamiento puede consistir en una suma de dinero o en cualquiera otra cosa equivalente, con tal que sea cierta y determinada.</w:t>
      </w:r>
      <w:r w:rsidR="00343E08">
        <w:rPr>
          <w:rFonts w:ascii="ITC Avant Garde" w:hAnsi="ITC Avant Garde"/>
          <w:i/>
          <w:sz w:val="20"/>
          <w:szCs w:val="20"/>
        </w:rPr>
        <w:t>”</w:t>
      </w:r>
    </w:p>
    <w:p w14:paraId="37A3F57E" w14:textId="77777777" w:rsidR="00F003B2" w:rsidRDefault="00F003B2" w:rsidP="00F003B2">
      <w:pPr>
        <w:spacing w:after="0" w:line="240" w:lineRule="auto"/>
        <w:contextualSpacing/>
        <w:jc w:val="both"/>
        <w:rPr>
          <w:rFonts w:ascii="ITC Avant Garde" w:hAnsi="ITC Avant Garde" w:cs="Arial"/>
          <w:color w:val="000000" w:themeColor="text1"/>
          <w:szCs w:val="21"/>
        </w:rPr>
      </w:pPr>
    </w:p>
    <w:p w14:paraId="280DB5B9" w14:textId="31EEC3EA" w:rsidR="00F003B2" w:rsidRDefault="00F003B2" w:rsidP="00F003B2">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Así, al celebrar el contrato de arrendamiento</w:t>
      </w:r>
      <w:r w:rsidR="0008274E">
        <w:rPr>
          <w:rFonts w:ascii="ITC Avant Garde" w:hAnsi="ITC Avant Garde" w:cs="Arial"/>
          <w:color w:val="000000" w:themeColor="text1"/>
          <w:szCs w:val="21"/>
        </w:rPr>
        <w:t>,</w:t>
      </w:r>
      <w:r>
        <w:rPr>
          <w:rFonts w:ascii="ITC Avant Garde" w:hAnsi="ITC Avant Garde" w:cs="Arial"/>
          <w:color w:val="000000" w:themeColor="text1"/>
          <w:szCs w:val="21"/>
        </w:rPr>
        <w:t xml:space="preserve"> una de las partes se obliga a pagar </w:t>
      </w:r>
      <w:r w:rsidR="00657118">
        <w:rPr>
          <w:rFonts w:ascii="ITC Avant Garde" w:hAnsi="ITC Avant Garde" w:cs="Arial"/>
          <w:color w:val="000000" w:themeColor="text1"/>
          <w:szCs w:val="21"/>
        </w:rPr>
        <w:t xml:space="preserve">la renta o </w:t>
      </w:r>
      <w:r w:rsidR="0008274E">
        <w:rPr>
          <w:rFonts w:ascii="ITC Avant Garde" w:hAnsi="ITC Avant Garde" w:cs="Arial"/>
          <w:color w:val="000000" w:themeColor="text1"/>
          <w:szCs w:val="21"/>
        </w:rPr>
        <w:t xml:space="preserve">precio </w:t>
      </w:r>
      <w:r>
        <w:rPr>
          <w:rFonts w:ascii="ITC Avant Garde" w:hAnsi="ITC Avant Garde" w:cs="Arial"/>
          <w:color w:val="000000" w:themeColor="text1"/>
          <w:szCs w:val="21"/>
        </w:rPr>
        <w:t>por el uso</w:t>
      </w:r>
      <w:r w:rsidR="00657118">
        <w:rPr>
          <w:rFonts w:ascii="ITC Avant Garde" w:hAnsi="ITC Avant Garde" w:cs="Arial"/>
          <w:color w:val="000000" w:themeColor="text1"/>
          <w:szCs w:val="21"/>
        </w:rPr>
        <w:t>, aprovechamiento y/o explotación</w:t>
      </w:r>
      <w:r w:rsidR="00657118" w:rsidDel="00657118">
        <w:rPr>
          <w:rFonts w:ascii="ITC Avant Garde" w:hAnsi="ITC Avant Garde" w:cs="Arial"/>
          <w:color w:val="000000" w:themeColor="text1"/>
          <w:szCs w:val="21"/>
        </w:rPr>
        <w:t xml:space="preserve"> </w:t>
      </w:r>
      <w:r>
        <w:rPr>
          <w:rFonts w:ascii="ITC Avant Garde" w:hAnsi="ITC Avant Garde" w:cs="Arial"/>
          <w:color w:val="000000" w:themeColor="text1"/>
          <w:szCs w:val="21"/>
        </w:rPr>
        <w:t>del bien</w:t>
      </w:r>
      <w:r w:rsidR="0008274E">
        <w:rPr>
          <w:rFonts w:ascii="ITC Avant Garde" w:hAnsi="ITC Avant Garde" w:cs="Arial"/>
          <w:color w:val="000000" w:themeColor="text1"/>
          <w:szCs w:val="21"/>
        </w:rPr>
        <w:t>.</w:t>
      </w:r>
      <w:r>
        <w:rPr>
          <w:rFonts w:ascii="ITC Avant Garde" w:hAnsi="ITC Avant Garde" w:cs="Arial"/>
          <w:color w:val="000000" w:themeColor="text1"/>
          <w:szCs w:val="21"/>
        </w:rPr>
        <w:t xml:space="preserve"> </w:t>
      </w:r>
    </w:p>
    <w:p w14:paraId="3101309B" w14:textId="77777777" w:rsidR="00F003B2" w:rsidRDefault="00F003B2" w:rsidP="00F003B2">
      <w:pPr>
        <w:spacing w:after="0" w:line="240" w:lineRule="auto"/>
        <w:contextualSpacing/>
        <w:jc w:val="both"/>
        <w:rPr>
          <w:rFonts w:ascii="ITC Avant Garde" w:hAnsi="ITC Avant Garde" w:cs="Arial"/>
          <w:color w:val="000000" w:themeColor="text1"/>
          <w:szCs w:val="21"/>
        </w:rPr>
      </w:pPr>
    </w:p>
    <w:p w14:paraId="15B27F35" w14:textId="4F145896" w:rsidR="00F003B2" w:rsidRDefault="00F003B2" w:rsidP="00F003B2">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Dicha determinación se consideró necesari</w:t>
      </w:r>
      <w:r w:rsidR="0008274E">
        <w:rPr>
          <w:rFonts w:ascii="ITC Avant Garde" w:hAnsi="ITC Avant Garde" w:cs="Arial"/>
          <w:color w:val="000000" w:themeColor="text1"/>
          <w:szCs w:val="21"/>
        </w:rPr>
        <w:t>o</w:t>
      </w:r>
      <w:r>
        <w:rPr>
          <w:rFonts w:ascii="ITC Avant Garde" w:hAnsi="ITC Avant Garde" w:cs="Arial"/>
          <w:color w:val="000000" w:themeColor="text1"/>
          <w:szCs w:val="21"/>
        </w:rPr>
        <w:t xml:space="preserve"> establecerla en los Lineamientos, con el objetivo de conservar uno de los elementos esenciales del arrendamiento, sobre la base de que la fijación de la renta o precio sea fijado libremente por las partes, al quedar a sujeción de las partes los términos en que decidan obligarse. </w:t>
      </w:r>
    </w:p>
    <w:p w14:paraId="3DE020D2" w14:textId="77777777" w:rsidR="003D4785" w:rsidRDefault="003D4785" w:rsidP="00657118">
      <w:pPr>
        <w:spacing w:after="0" w:line="240" w:lineRule="auto"/>
        <w:contextualSpacing/>
        <w:jc w:val="both"/>
        <w:rPr>
          <w:rFonts w:ascii="ITC Avant Garde" w:hAnsi="ITC Avant Garde" w:cs="Arial"/>
          <w:color w:val="000000" w:themeColor="text1"/>
          <w:szCs w:val="21"/>
        </w:rPr>
      </w:pPr>
    </w:p>
    <w:p w14:paraId="1633B882" w14:textId="6BC7607A" w:rsidR="00657118" w:rsidRDefault="00657118" w:rsidP="00657118">
      <w:pPr>
        <w:spacing w:after="0" w:line="240" w:lineRule="auto"/>
        <w:contextualSpacing/>
        <w:jc w:val="both"/>
        <w:rPr>
          <w:rFonts w:ascii="ITC Avant Garde" w:eastAsiaTheme="majorEastAsia" w:hAnsi="ITC Avant Garde" w:cstheme="majorBidi"/>
          <w:color w:val="000000" w:themeColor="text1"/>
        </w:rPr>
      </w:pPr>
      <w:r>
        <w:rPr>
          <w:rFonts w:ascii="ITC Avant Garde" w:hAnsi="ITC Avant Garde" w:cs="Arial"/>
          <w:color w:val="000000" w:themeColor="text1"/>
          <w:szCs w:val="21"/>
        </w:rPr>
        <w:t>Por último, con la finalidad de otorgar seguridad al arrendatario al celebrar el contrato de arrendamiento, se consideró pertinente determinar que e</w:t>
      </w:r>
      <w:r w:rsidRPr="007B6025">
        <w:rPr>
          <w:rFonts w:ascii="ITC Avant Garde" w:hAnsi="ITC Avant Garde"/>
        </w:rPr>
        <w:t>l</w:t>
      </w:r>
      <w:r>
        <w:rPr>
          <w:rFonts w:ascii="ITC Avant Garde" w:hAnsi="ITC Avant Garde"/>
        </w:rPr>
        <w:t xml:space="preserve"> arrendador</w:t>
      </w:r>
      <w:r w:rsidRPr="007B6025">
        <w:rPr>
          <w:rFonts w:ascii="ITC Avant Garde" w:hAnsi="ITC Avant Garde"/>
        </w:rPr>
        <w:t xml:space="preserve"> deberá </w:t>
      </w:r>
      <w:r w:rsidRPr="002F15E3">
        <w:rPr>
          <w:rFonts w:ascii="ITC Avant Garde" w:eastAsiaTheme="majorEastAsia" w:hAnsi="ITC Avant Garde" w:cstheme="majorBidi"/>
          <w:color w:val="000000" w:themeColor="text1"/>
        </w:rPr>
        <w:t xml:space="preserve">encontrarse al corriente en el </w:t>
      </w:r>
      <w:r>
        <w:rPr>
          <w:rFonts w:ascii="ITC Avant Garde" w:eastAsiaTheme="majorEastAsia" w:hAnsi="ITC Avant Garde" w:cstheme="majorBidi"/>
          <w:color w:val="000000" w:themeColor="text1"/>
        </w:rPr>
        <w:t>pago de derechos por el uso, aprovechamiento y/o explotación, según corresponda, de las bandas de frecuencia objeto del contrato de arrendamiento.</w:t>
      </w:r>
    </w:p>
    <w:p w14:paraId="67B1D0AA" w14:textId="77777777" w:rsidR="00176E97" w:rsidRDefault="00176E97" w:rsidP="00657118">
      <w:pPr>
        <w:spacing w:after="0" w:line="240" w:lineRule="auto"/>
        <w:contextualSpacing/>
        <w:jc w:val="both"/>
        <w:rPr>
          <w:rFonts w:ascii="ITC Avant Garde" w:hAnsi="ITC Avant Garde" w:cs="Arial"/>
          <w:color w:val="000000" w:themeColor="text1"/>
          <w:szCs w:val="21"/>
        </w:rPr>
      </w:pPr>
    </w:p>
    <w:p w14:paraId="0289C019" w14:textId="2F756357" w:rsidR="00B5751F" w:rsidRPr="003D4785" w:rsidRDefault="00B5751F" w:rsidP="00B5751F">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Cabe señalar que</w:t>
      </w:r>
      <w:r w:rsidR="00495F8F">
        <w:rPr>
          <w:rFonts w:ascii="ITC Avant Garde" w:hAnsi="ITC Avant Garde" w:cs="Arial"/>
          <w:color w:val="000000" w:themeColor="text1"/>
          <w:szCs w:val="21"/>
        </w:rPr>
        <w:t>,</w:t>
      </w:r>
      <w:r>
        <w:rPr>
          <w:rFonts w:ascii="ITC Avant Garde" w:hAnsi="ITC Avant Garde" w:cs="Arial"/>
          <w:color w:val="000000" w:themeColor="text1"/>
          <w:szCs w:val="21"/>
        </w:rPr>
        <w:t xml:space="preserve"> s</w:t>
      </w:r>
      <w:r w:rsidRPr="003D4785">
        <w:rPr>
          <w:rFonts w:ascii="ITC Avant Garde" w:hAnsi="ITC Avant Garde" w:cs="Arial"/>
          <w:color w:val="000000" w:themeColor="text1"/>
          <w:szCs w:val="21"/>
        </w:rPr>
        <w:t xml:space="preserve">i bien la obligación </w:t>
      </w:r>
      <w:r w:rsidRPr="00875947">
        <w:rPr>
          <w:rFonts w:ascii="ITC Avant Garde" w:hAnsi="ITC Avant Garde"/>
        </w:rPr>
        <w:t>del pago de derechos correspondientes por el uso, aprovechamiento y/o explotación del espectro radioeléctrico</w:t>
      </w:r>
      <w:r>
        <w:rPr>
          <w:rFonts w:ascii="ITC Avant Garde" w:hAnsi="ITC Avant Garde"/>
        </w:rPr>
        <w:t>, correspondiente a la Banda o Bandas de Frecuencias objeto de Arrendamiento</w:t>
      </w:r>
      <w:r w:rsidRPr="003D4785">
        <w:rPr>
          <w:rFonts w:ascii="ITC Avant Garde" w:hAnsi="ITC Avant Garde" w:cs="Arial"/>
          <w:color w:val="000000" w:themeColor="text1"/>
          <w:szCs w:val="21"/>
        </w:rPr>
        <w:t xml:space="preserve"> está plasmada en los títulos de concesión de bandas de frecuencia, esa carga no es una obligación regulatoria per se</w:t>
      </w:r>
      <w:r w:rsidR="00495F8F">
        <w:rPr>
          <w:rFonts w:ascii="ITC Avant Garde" w:hAnsi="ITC Avant Garde" w:cs="Arial"/>
          <w:color w:val="000000" w:themeColor="text1"/>
          <w:szCs w:val="21"/>
        </w:rPr>
        <w:t>,</w:t>
      </w:r>
      <w:r w:rsidRPr="003D4785">
        <w:rPr>
          <w:rFonts w:ascii="ITC Avant Garde" w:hAnsi="ITC Avant Garde" w:cs="Arial"/>
          <w:color w:val="000000" w:themeColor="text1"/>
          <w:szCs w:val="21"/>
        </w:rPr>
        <w:t xml:space="preserve"> sino una obligación fiscal que deriva de la Ley Federal de Derechos (LFD), en donde el sujeto pasivo de la obligación fiscal es el concesionario titular de la concesión que le permite hacer uso, goce o aprovechamiento del espectro radioeléctrico.</w:t>
      </w:r>
    </w:p>
    <w:p w14:paraId="799B24EB" w14:textId="77777777" w:rsidR="00B5751F" w:rsidRPr="003D4785" w:rsidRDefault="00B5751F" w:rsidP="00B5751F">
      <w:pPr>
        <w:spacing w:after="0" w:line="240" w:lineRule="auto"/>
        <w:contextualSpacing/>
        <w:jc w:val="both"/>
        <w:rPr>
          <w:rFonts w:ascii="ITC Avant Garde" w:hAnsi="ITC Avant Garde" w:cs="Arial"/>
          <w:color w:val="000000" w:themeColor="text1"/>
          <w:szCs w:val="21"/>
        </w:rPr>
      </w:pPr>
    </w:p>
    <w:p w14:paraId="4FE44129" w14:textId="77777777" w:rsidR="00B5751F" w:rsidRPr="003D4785" w:rsidRDefault="00B5751F" w:rsidP="00B5751F">
      <w:pPr>
        <w:spacing w:after="0" w:line="240" w:lineRule="auto"/>
        <w:contextualSpacing/>
        <w:jc w:val="both"/>
        <w:rPr>
          <w:rFonts w:ascii="ITC Avant Garde" w:hAnsi="ITC Avant Garde" w:cs="Arial"/>
          <w:color w:val="000000" w:themeColor="text1"/>
          <w:szCs w:val="21"/>
        </w:rPr>
      </w:pPr>
      <w:r w:rsidRPr="003D4785">
        <w:rPr>
          <w:rFonts w:ascii="ITC Avant Garde" w:hAnsi="ITC Avant Garde" w:cs="Arial"/>
          <w:color w:val="000000" w:themeColor="text1"/>
          <w:szCs w:val="21"/>
        </w:rPr>
        <w:t xml:space="preserve">Por ser el pago de derechos una obligación fiscal que deriva de la LFD y no del título de concesión, la calidad de sujeto pasivo de la obligación fiscal </w:t>
      </w:r>
      <w:r>
        <w:rPr>
          <w:rFonts w:ascii="ITC Avant Garde" w:hAnsi="ITC Avant Garde" w:cs="Arial"/>
          <w:color w:val="000000" w:themeColor="text1"/>
          <w:szCs w:val="21"/>
        </w:rPr>
        <w:t xml:space="preserve">no </w:t>
      </w:r>
      <w:r w:rsidRPr="003D4785">
        <w:rPr>
          <w:rFonts w:ascii="ITC Avant Garde" w:hAnsi="ITC Avant Garde" w:cs="Arial"/>
          <w:color w:val="000000" w:themeColor="text1"/>
          <w:szCs w:val="21"/>
        </w:rPr>
        <w:t>puede trasladarse a un tercero (arrendatario/ subarrendatario) a través de un contrato de arrendamiento o subarrendamiento de espectro, toda vez que el artículo 6 del Código Civil Federal, de aplicación supletoria en materia de telecomunicaciones, establece que la voluntad de los particulares no puede eximir de la observancia de la ley, ni alterarla o modificarla.</w:t>
      </w:r>
    </w:p>
    <w:p w14:paraId="02A4A122" w14:textId="77777777" w:rsidR="00B5751F" w:rsidRPr="003D4785" w:rsidRDefault="00B5751F" w:rsidP="00B5751F">
      <w:pPr>
        <w:spacing w:after="0" w:line="240" w:lineRule="auto"/>
        <w:contextualSpacing/>
        <w:jc w:val="both"/>
        <w:rPr>
          <w:rFonts w:ascii="ITC Avant Garde" w:hAnsi="ITC Avant Garde" w:cs="Arial"/>
          <w:color w:val="000000" w:themeColor="text1"/>
          <w:szCs w:val="21"/>
        </w:rPr>
      </w:pPr>
    </w:p>
    <w:p w14:paraId="00C643A9" w14:textId="2DBD59BC" w:rsidR="00B5751F" w:rsidRPr="003D4785" w:rsidRDefault="00B5751F" w:rsidP="00B5751F">
      <w:pPr>
        <w:spacing w:after="0" w:line="240" w:lineRule="auto"/>
        <w:contextualSpacing/>
        <w:jc w:val="both"/>
        <w:rPr>
          <w:rFonts w:ascii="ITC Avant Garde" w:hAnsi="ITC Avant Garde" w:cs="Arial"/>
          <w:color w:val="000000" w:themeColor="text1"/>
          <w:szCs w:val="21"/>
        </w:rPr>
      </w:pPr>
      <w:r w:rsidRPr="003D4785">
        <w:rPr>
          <w:rFonts w:ascii="ITC Avant Garde" w:hAnsi="ITC Avant Garde" w:cs="Arial"/>
          <w:color w:val="000000" w:themeColor="text1"/>
          <w:szCs w:val="21"/>
        </w:rPr>
        <w:t>Más</w:t>
      </w:r>
      <w:r>
        <w:rPr>
          <w:rFonts w:ascii="ITC Avant Garde" w:hAnsi="ITC Avant Garde" w:cs="Arial"/>
          <w:color w:val="000000" w:themeColor="text1"/>
          <w:szCs w:val="21"/>
        </w:rPr>
        <w:t xml:space="preserve"> aún si</w:t>
      </w:r>
      <w:r w:rsidR="00495F8F">
        <w:rPr>
          <w:rFonts w:ascii="ITC Avant Garde" w:hAnsi="ITC Avant Garde" w:cs="Arial"/>
          <w:color w:val="000000" w:themeColor="text1"/>
          <w:szCs w:val="21"/>
        </w:rPr>
        <w:t>,</w:t>
      </w:r>
      <w:r>
        <w:rPr>
          <w:rFonts w:ascii="ITC Avant Garde" w:hAnsi="ITC Avant Garde" w:cs="Arial"/>
          <w:color w:val="000000" w:themeColor="text1"/>
          <w:szCs w:val="21"/>
        </w:rPr>
        <w:t xml:space="preserve"> conforme al artículo 31</w:t>
      </w:r>
      <w:r w:rsidRPr="003D4785">
        <w:rPr>
          <w:rFonts w:ascii="ITC Avant Garde" w:hAnsi="ITC Avant Garde" w:cs="Arial"/>
          <w:color w:val="000000" w:themeColor="text1"/>
          <w:szCs w:val="21"/>
        </w:rPr>
        <w:t xml:space="preserve"> fracción IV</w:t>
      </w:r>
      <w:r>
        <w:rPr>
          <w:rFonts w:ascii="ITC Avant Garde" w:hAnsi="ITC Avant Garde" w:cs="Arial"/>
          <w:color w:val="000000" w:themeColor="text1"/>
          <w:szCs w:val="21"/>
        </w:rPr>
        <w:t xml:space="preserve"> de la Constitución</w:t>
      </w:r>
      <w:r w:rsidRPr="003D4785">
        <w:rPr>
          <w:rFonts w:ascii="ITC Avant Garde" w:hAnsi="ITC Avant Garde" w:cs="Arial"/>
          <w:color w:val="000000" w:themeColor="text1"/>
          <w:szCs w:val="21"/>
        </w:rPr>
        <w:t xml:space="preserve">, bajo </w:t>
      </w:r>
      <w:r>
        <w:rPr>
          <w:rFonts w:ascii="ITC Avant Garde" w:hAnsi="ITC Avant Garde" w:cs="Arial"/>
          <w:color w:val="000000" w:themeColor="text1"/>
          <w:szCs w:val="21"/>
        </w:rPr>
        <w:t>el</w:t>
      </w:r>
      <w:r w:rsidRPr="003D4785">
        <w:rPr>
          <w:rFonts w:ascii="ITC Avant Garde" w:hAnsi="ITC Avant Garde" w:cs="Arial"/>
          <w:color w:val="000000" w:themeColor="text1"/>
          <w:szCs w:val="21"/>
        </w:rPr>
        <w:t xml:space="preserve"> principio de legalidad tributaria las cargas fiscales sólo pueden estar previstas en la ley.</w:t>
      </w:r>
    </w:p>
    <w:p w14:paraId="3B195634" w14:textId="77777777" w:rsidR="00B5751F" w:rsidRDefault="00B5751F" w:rsidP="00657118">
      <w:pPr>
        <w:spacing w:after="0" w:line="240" w:lineRule="auto"/>
        <w:contextualSpacing/>
        <w:jc w:val="both"/>
        <w:rPr>
          <w:rFonts w:ascii="ITC Avant Garde" w:hAnsi="ITC Avant Garde" w:cs="Arial"/>
          <w:color w:val="000000" w:themeColor="text1"/>
          <w:szCs w:val="21"/>
        </w:rPr>
      </w:pPr>
    </w:p>
    <w:p w14:paraId="2466BB76" w14:textId="0D0F08F8" w:rsidR="00F37C4D" w:rsidRPr="00491708" w:rsidRDefault="00F37C4D" w:rsidP="00F003B2">
      <w:pPr>
        <w:pBdr>
          <w:top w:val="nil"/>
          <w:left w:val="nil"/>
          <w:bottom w:val="nil"/>
          <w:right w:val="nil"/>
          <w:between w:val="nil"/>
          <w:bar w:val="nil"/>
        </w:pBdr>
        <w:suppressAutoHyphens/>
        <w:spacing w:after="0" w:line="240" w:lineRule="auto"/>
        <w:contextualSpacing/>
        <w:jc w:val="both"/>
        <w:rPr>
          <w:rFonts w:ascii="ITC Avant Garde" w:hAnsi="ITC Avant Garde" w:cs="Arial"/>
          <w:color w:val="000000" w:themeColor="text1"/>
        </w:rPr>
      </w:pPr>
      <w:r w:rsidRPr="00491708">
        <w:rPr>
          <w:rFonts w:ascii="ITC Avant Garde" w:hAnsi="ITC Avant Garde" w:cs="Arial"/>
          <w:color w:val="000000" w:themeColor="text1"/>
        </w:rPr>
        <w:t>El Capítulo III</w:t>
      </w:r>
      <w:r w:rsidR="004D3E24">
        <w:rPr>
          <w:rFonts w:ascii="ITC Avant Garde" w:hAnsi="ITC Avant Garde" w:cs="Arial"/>
          <w:color w:val="000000" w:themeColor="text1"/>
        </w:rPr>
        <w:t>,</w:t>
      </w:r>
      <w:r w:rsidR="00176E97">
        <w:rPr>
          <w:rFonts w:ascii="ITC Avant Garde" w:hAnsi="ITC Avant Garde" w:cs="Arial"/>
          <w:color w:val="000000" w:themeColor="text1"/>
        </w:rPr>
        <w:t xml:space="preserve"> intitulado</w:t>
      </w:r>
      <w:r w:rsidRPr="00491708">
        <w:rPr>
          <w:rFonts w:ascii="ITC Avant Garde" w:hAnsi="ITC Avant Garde" w:cs="Arial"/>
          <w:color w:val="000000" w:themeColor="text1"/>
        </w:rPr>
        <w:t xml:space="preserve"> “</w:t>
      </w:r>
      <w:r w:rsidRPr="00491708">
        <w:rPr>
          <w:rFonts w:ascii="ITC Avant Garde" w:hAnsi="ITC Avant Garde" w:cs="Arial"/>
          <w:b/>
          <w:i/>
          <w:color w:val="000000" w:themeColor="text1"/>
        </w:rPr>
        <w:t>De la Solicitud de Autorización</w:t>
      </w:r>
      <w:r w:rsidRPr="00491708">
        <w:rPr>
          <w:rFonts w:ascii="ITC Avant Garde" w:hAnsi="ITC Avant Garde" w:cs="Arial"/>
          <w:color w:val="000000" w:themeColor="text1"/>
        </w:rPr>
        <w:t>”, a grandes rasgos señala:</w:t>
      </w:r>
    </w:p>
    <w:p w14:paraId="1432729D" w14:textId="77777777" w:rsidR="00F37C4D" w:rsidRPr="00491708" w:rsidRDefault="00F37C4D" w:rsidP="00F003B2">
      <w:pPr>
        <w:pBdr>
          <w:top w:val="nil"/>
          <w:left w:val="nil"/>
          <w:bottom w:val="nil"/>
          <w:right w:val="nil"/>
          <w:between w:val="nil"/>
          <w:bar w:val="nil"/>
        </w:pBdr>
        <w:suppressAutoHyphens/>
        <w:spacing w:after="0" w:line="240" w:lineRule="auto"/>
        <w:contextualSpacing/>
        <w:jc w:val="both"/>
        <w:rPr>
          <w:rFonts w:ascii="ITC Avant Garde" w:hAnsi="ITC Avant Garde" w:cs="Arial"/>
          <w:color w:val="000000" w:themeColor="text1"/>
        </w:rPr>
      </w:pPr>
    </w:p>
    <w:p w14:paraId="6E63B538" w14:textId="7E2CA809" w:rsidR="00F37C4D" w:rsidRPr="00491708" w:rsidRDefault="001E5D94" w:rsidP="00F003B2">
      <w:pPr>
        <w:pStyle w:val="Prrafodelista"/>
        <w:numPr>
          <w:ilvl w:val="0"/>
          <w:numId w:val="26"/>
        </w:numPr>
        <w:pBdr>
          <w:top w:val="nil"/>
          <w:left w:val="nil"/>
          <w:bottom w:val="nil"/>
          <w:right w:val="nil"/>
          <w:between w:val="nil"/>
          <w:bar w:val="nil"/>
        </w:pBdr>
        <w:suppressAutoHyphens/>
        <w:contextualSpacing/>
        <w:jc w:val="both"/>
        <w:rPr>
          <w:rFonts w:ascii="ITC Avant Garde" w:hAnsi="ITC Avant Garde" w:cs="Arial"/>
          <w:b/>
          <w:color w:val="000000" w:themeColor="text1"/>
          <w:sz w:val="22"/>
          <w:szCs w:val="22"/>
        </w:rPr>
      </w:pPr>
      <w:r>
        <w:rPr>
          <w:rFonts w:ascii="ITC Avant Garde" w:hAnsi="ITC Avant Garde" w:cs="Arial"/>
          <w:color w:val="000000" w:themeColor="text1"/>
          <w:sz w:val="22"/>
          <w:szCs w:val="22"/>
        </w:rPr>
        <w:lastRenderedPageBreak/>
        <w:t>La i</w:t>
      </w:r>
      <w:r w:rsidRPr="00491708">
        <w:rPr>
          <w:rFonts w:ascii="ITC Avant Garde" w:hAnsi="ITC Avant Garde" w:cs="Arial"/>
          <w:color w:val="000000" w:themeColor="text1"/>
          <w:sz w:val="22"/>
          <w:szCs w:val="22"/>
        </w:rPr>
        <w:t xml:space="preserve">nformación </w:t>
      </w:r>
      <w:r w:rsidR="00F37C4D" w:rsidRPr="00491708">
        <w:rPr>
          <w:rFonts w:ascii="ITC Avant Garde" w:hAnsi="ITC Avant Garde" w:cs="Arial"/>
          <w:color w:val="000000" w:themeColor="text1"/>
          <w:sz w:val="22"/>
          <w:szCs w:val="22"/>
        </w:rPr>
        <w:t>y documentación</w:t>
      </w:r>
      <w:r w:rsidR="00890BE1">
        <w:rPr>
          <w:rFonts w:ascii="ITC Avant Garde" w:hAnsi="ITC Avant Garde" w:cs="Arial"/>
          <w:color w:val="000000" w:themeColor="text1"/>
          <w:sz w:val="22"/>
          <w:szCs w:val="22"/>
        </w:rPr>
        <w:t>,</w:t>
      </w:r>
      <w:r w:rsidR="00F37C4D" w:rsidRPr="00491708">
        <w:rPr>
          <w:rFonts w:ascii="ITC Avant Garde" w:hAnsi="ITC Avant Garde" w:cs="Arial"/>
          <w:color w:val="000000" w:themeColor="text1"/>
          <w:sz w:val="22"/>
          <w:szCs w:val="22"/>
        </w:rPr>
        <w:t xml:space="preserve"> </w:t>
      </w:r>
      <w:r w:rsidR="00657118">
        <w:rPr>
          <w:rFonts w:ascii="ITC Avant Garde" w:hAnsi="ITC Avant Garde" w:cs="Arial"/>
          <w:color w:val="000000" w:themeColor="text1"/>
          <w:sz w:val="22"/>
          <w:szCs w:val="22"/>
        </w:rPr>
        <w:t>mediante escrito libre</w:t>
      </w:r>
      <w:r w:rsidR="00890BE1">
        <w:rPr>
          <w:rFonts w:ascii="ITC Avant Garde" w:hAnsi="ITC Avant Garde" w:cs="Arial"/>
          <w:color w:val="000000" w:themeColor="text1"/>
          <w:sz w:val="22"/>
          <w:szCs w:val="22"/>
        </w:rPr>
        <w:t>,</w:t>
      </w:r>
      <w:r w:rsidR="00657118">
        <w:rPr>
          <w:rFonts w:ascii="ITC Avant Garde" w:hAnsi="ITC Avant Garde" w:cs="Arial"/>
          <w:color w:val="000000" w:themeColor="text1"/>
          <w:sz w:val="22"/>
          <w:szCs w:val="22"/>
        </w:rPr>
        <w:t xml:space="preserve"> </w:t>
      </w:r>
      <w:r w:rsidR="00F37C4D" w:rsidRPr="00491708">
        <w:rPr>
          <w:rFonts w:ascii="ITC Avant Garde" w:hAnsi="ITC Avant Garde" w:cs="Arial"/>
          <w:color w:val="000000" w:themeColor="text1"/>
          <w:sz w:val="22"/>
          <w:szCs w:val="22"/>
        </w:rPr>
        <w:t xml:space="preserve">que </w:t>
      </w:r>
      <w:r w:rsidR="00F37C4D">
        <w:rPr>
          <w:rFonts w:ascii="ITC Avant Garde" w:hAnsi="ITC Avant Garde" w:cs="Arial"/>
          <w:color w:val="000000" w:themeColor="text1"/>
          <w:sz w:val="22"/>
          <w:szCs w:val="22"/>
        </w:rPr>
        <w:t xml:space="preserve">el interesado </w:t>
      </w:r>
      <w:r w:rsidR="00F37C4D" w:rsidRPr="00491708">
        <w:rPr>
          <w:rFonts w:ascii="ITC Avant Garde" w:hAnsi="ITC Avant Garde" w:cs="Arial"/>
          <w:color w:val="000000" w:themeColor="text1"/>
          <w:sz w:val="22"/>
          <w:szCs w:val="22"/>
        </w:rPr>
        <w:t xml:space="preserve">deberá presentar </w:t>
      </w:r>
      <w:r w:rsidR="004D3E24">
        <w:rPr>
          <w:rFonts w:ascii="ITC Avant Garde" w:hAnsi="ITC Avant Garde" w:cs="Arial"/>
          <w:color w:val="000000" w:themeColor="text1"/>
          <w:sz w:val="22"/>
          <w:szCs w:val="22"/>
        </w:rPr>
        <w:t xml:space="preserve">al Instituto para solicitar la </w:t>
      </w:r>
      <w:r w:rsidR="0008274E">
        <w:rPr>
          <w:rFonts w:ascii="ITC Avant Garde" w:hAnsi="ITC Avant Garde" w:cs="Arial"/>
          <w:color w:val="000000" w:themeColor="text1"/>
          <w:sz w:val="22"/>
          <w:szCs w:val="22"/>
        </w:rPr>
        <w:t>a</w:t>
      </w:r>
      <w:r w:rsidR="00F37C4D" w:rsidRPr="00491708">
        <w:rPr>
          <w:rFonts w:ascii="ITC Avant Garde" w:hAnsi="ITC Avant Garde" w:cs="Arial"/>
          <w:color w:val="000000" w:themeColor="text1"/>
          <w:sz w:val="22"/>
          <w:szCs w:val="22"/>
        </w:rPr>
        <w:t xml:space="preserve">utorización de </w:t>
      </w:r>
      <w:r w:rsidR="0008274E">
        <w:rPr>
          <w:rFonts w:ascii="ITC Avant Garde" w:hAnsi="ITC Avant Garde" w:cs="Arial"/>
          <w:color w:val="000000" w:themeColor="text1"/>
          <w:sz w:val="22"/>
          <w:szCs w:val="22"/>
        </w:rPr>
        <w:t>a</w:t>
      </w:r>
      <w:r w:rsidR="00F37C4D" w:rsidRPr="00491708">
        <w:rPr>
          <w:rFonts w:ascii="ITC Avant Garde" w:hAnsi="ITC Avant Garde" w:cs="Arial"/>
          <w:color w:val="000000" w:themeColor="text1"/>
          <w:sz w:val="22"/>
          <w:szCs w:val="22"/>
        </w:rPr>
        <w:t xml:space="preserve">rrendamiento de </w:t>
      </w:r>
      <w:r w:rsidR="00343E08">
        <w:rPr>
          <w:rFonts w:ascii="ITC Avant Garde" w:hAnsi="ITC Avant Garde" w:cs="Arial"/>
          <w:color w:val="000000" w:themeColor="text1"/>
          <w:sz w:val="22"/>
          <w:szCs w:val="22"/>
        </w:rPr>
        <w:t xml:space="preserve">bandas de frecuencia del </w:t>
      </w:r>
      <w:r w:rsidR="0008274E">
        <w:rPr>
          <w:rFonts w:ascii="ITC Avant Garde" w:hAnsi="ITC Avant Garde" w:cs="Arial"/>
          <w:color w:val="000000" w:themeColor="text1"/>
          <w:sz w:val="22"/>
          <w:szCs w:val="22"/>
        </w:rPr>
        <w:t>e</w:t>
      </w:r>
      <w:r w:rsidR="00193B3F">
        <w:rPr>
          <w:rFonts w:ascii="ITC Avant Garde" w:hAnsi="ITC Avant Garde" w:cs="Arial"/>
          <w:color w:val="000000" w:themeColor="text1"/>
          <w:sz w:val="22"/>
          <w:szCs w:val="22"/>
        </w:rPr>
        <w:t xml:space="preserve">spectro </w:t>
      </w:r>
      <w:r w:rsidR="0008274E">
        <w:rPr>
          <w:rFonts w:ascii="ITC Avant Garde" w:hAnsi="ITC Avant Garde" w:cs="Arial"/>
          <w:color w:val="000000" w:themeColor="text1"/>
          <w:sz w:val="22"/>
          <w:szCs w:val="22"/>
        </w:rPr>
        <w:t>r</w:t>
      </w:r>
      <w:r w:rsidR="00193B3F">
        <w:rPr>
          <w:rFonts w:ascii="ITC Avant Garde" w:hAnsi="ITC Avant Garde" w:cs="Arial"/>
          <w:color w:val="000000" w:themeColor="text1"/>
          <w:sz w:val="22"/>
          <w:szCs w:val="22"/>
        </w:rPr>
        <w:t>adioeléctrico</w:t>
      </w:r>
      <w:r w:rsidR="00F37C4D" w:rsidRPr="00491708">
        <w:rPr>
          <w:rFonts w:ascii="ITC Avant Garde" w:hAnsi="ITC Avant Garde" w:cs="Arial"/>
          <w:color w:val="000000" w:themeColor="text1"/>
          <w:sz w:val="22"/>
          <w:szCs w:val="22"/>
        </w:rPr>
        <w:t>.</w:t>
      </w:r>
    </w:p>
    <w:p w14:paraId="022C0A6D" w14:textId="1E2A54FB" w:rsidR="00F37C4D" w:rsidRPr="00563C14" w:rsidRDefault="006155EE" w:rsidP="00F003B2">
      <w:pPr>
        <w:pStyle w:val="Prrafodelista"/>
        <w:numPr>
          <w:ilvl w:val="0"/>
          <w:numId w:val="26"/>
        </w:numPr>
        <w:pBdr>
          <w:top w:val="nil"/>
          <w:left w:val="nil"/>
          <w:bottom w:val="nil"/>
          <w:right w:val="nil"/>
          <w:between w:val="nil"/>
          <w:bar w:val="nil"/>
        </w:pBdr>
        <w:suppressAutoHyphens/>
        <w:contextualSpacing/>
        <w:jc w:val="both"/>
        <w:rPr>
          <w:rFonts w:ascii="ITC Avant Garde" w:hAnsi="ITC Avant Garde" w:cs="Arial"/>
          <w:b/>
          <w:color w:val="000000" w:themeColor="text1"/>
          <w:sz w:val="22"/>
          <w:szCs w:val="22"/>
        </w:rPr>
      </w:pPr>
      <w:r>
        <w:rPr>
          <w:rFonts w:ascii="ITC Avant Garde" w:hAnsi="ITC Avant Garde" w:cs="Arial"/>
          <w:color w:val="000000" w:themeColor="text1"/>
          <w:sz w:val="22"/>
          <w:szCs w:val="22"/>
        </w:rPr>
        <w:t>Las cláusulas que</w:t>
      </w:r>
      <w:r w:rsidR="00495F8F">
        <w:rPr>
          <w:rFonts w:ascii="ITC Avant Garde" w:hAnsi="ITC Avant Garde" w:cs="Arial"/>
          <w:color w:val="000000" w:themeColor="text1"/>
          <w:sz w:val="22"/>
          <w:szCs w:val="22"/>
        </w:rPr>
        <w:t>,</w:t>
      </w:r>
      <w:r>
        <w:rPr>
          <w:rFonts w:ascii="ITC Avant Garde" w:hAnsi="ITC Avant Garde" w:cs="Arial"/>
          <w:color w:val="000000" w:themeColor="text1"/>
          <w:sz w:val="22"/>
          <w:szCs w:val="22"/>
        </w:rPr>
        <w:t xml:space="preserve"> como</w:t>
      </w:r>
      <w:r w:rsidR="00F37C4D" w:rsidRPr="00491708">
        <w:rPr>
          <w:rFonts w:ascii="ITC Avant Garde" w:hAnsi="ITC Avant Garde" w:cs="Arial"/>
          <w:color w:val="000000" w:themeColor="text1"/>
          <w:sz w:val="22"/>
          <w:szCs w:val="22"/>
        </w:rPr>
        <w:t xml:space="preserve"> mínimo</w:t>
      </w:r>
      <w:r w:rsidR="00495F8F">
        <w:rPr>
          <w:rFonts w:ascii="ITC Avant Garde" w:hAnsi="ITC Avant Garde" w:cs="Arial"/>
          <w:color w:val="000000" w:themeColor="text1"/>
          <w:sz w:val="22"/>
          <w:szCs w:val="22"/>
        </w:rPr>
        <w:t>,</w:t>
      </w:r>
      <w:r w:rsidR="00F37C4D" w:rsidRPr="00491708">
        <w:rPr>
          <w:rFonts w:ascii="ITC Avant Garde" w:hAnsi="ITC Avant Garde" w:cs="Arial"/>
          <w:color w:val="000000" w:themeColor="text1"/>
          <w:sz w:val="22"/>
          <w:szCs w:val="22"/>
        </w:rPr>
        <w:t xml:space="preserve"> </w:t>
      </w:r>
      <w:r>
        <w:rPr>
          <w:rFonts w:ascii="ITC Avant Garde" w:hAnsi="ITC Avant Garde" w:cs="Arial"/>
          <w:color w:val="000000" w:themeColor="text1"/>
          <w:sz w:val="22"/>
          <w:szCs w:val="22"/>
        </w:rPr>
        <w:t>debe contener el</w:t>
      </w:r>
      <w:r w:rsidR="00176E97">
        <w:rPr>
          <w:rFonts w:ascii="ITC Avant Garde" w:hAnsi="ITC Avant Garde" w:cs="Arial"/>
          <w:color w:val="000000" w:themeColor="text1"/>
          <w:sz w:val="22"/>
          <w:szCs w:val="22"/>
        </w:rPr>
        <w:t xml:space="preserve"> </w:t>
      </w:r>
      <w:r w:rsidR="004D3E24">
        <w:rPr>
          <w:rFonts w:ascii="ITC Avant Garde" w:hAnsi="ITC Avant Garde" w:cs="Arial"/>
          <w:color w:val="000000" w:themeColor="text1"/>
          <w:sz w:val="22"/>
          <w:szCs w:val="22"/>
        </w:rPr>
        <w:t>c</w:t>
      </w:r>
      <w:r w:rsidR="00F37C4D" w:rsidRPr="00491708">
        <w:rPr>
          <w:rFonts w:ascii="ITC Avant Garde" w:hAnsi="ITC Avant Garde" w:cs="Arial"/>
          <w:color w:val="000000" w:themeColor="text1"/>
          <w:sz w:val="22"/>
          <w:szCs w:val="22"/>
        </w:rPr>
        <w:t xml:space="preserve">ontrato de </w:t>
      </w:r>
      <w:r w:rsidR="004D3E24">
        <w:rPr>
          <w:rFonts w:ascii="ITC Avant Garde" w:hAnsi="ITC Avant Garde" w:cs="Arial"/>
          <w:color w:val="000000" w:themeColor="text1"/>
          <w:sz w:val="22"/>
          <w:szCs w:val="22"/>
        </w:rPr>
        <w:t>a</w:t>
      </w:r>
      <w:r w:rsidR="00F37C4D" w:rsidRPr="00491708">
        <w:rPr>
          <w:rFonts w:ascii="ITC Avant Garde" w:hAnsi="ITC Avant Garde" w:cs="Arial"/>
          <w:color w:val="000000" w:themeColor="text1"/>
          <w:sz w:val="22"/>
          <w:szCs w:val="22"/>
        </w:rPr>
        <w:t xml:space="preserve">rrendamiento. </w:t>
      </w:r>
    </w:p>
    <w:p w14:paraId="5789A218" w14:textId="11AB6F4D" w:rsidR="00563C14" w:rsidRPr="00491708" w:rsidRDefault="00085672" w:rsidP="00563C14">
      <w:pPr>
        <w:pStyle w:val="Prrafodelista"/>
        <w:numPr>
          <w:ilvl w:val="0"/>
          <w:numId w:val="26"/>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t>El consentimiento del arrendador para permitir el subarrendamiento de</w:t>
      </w:r>
      <w:r w:rsidR="00563C14">
        <w:rPr>
          <w:rFonts w:ascii="ITC Avant Garde" w:hAnsi="ITC Avant Garde" w:cs="Arial"/>
          <w:color w:val="000000" w:themeColor="text1"/>
          <w:sz w:val="22"/>
          <w:szCs w:val="22"/>
        </w:rPr>
        <w:t xml:space="preserve"> las bandas </w:t>
      </w:r>
      <w:r>
        <w:rPr>
          <w:rFonts w:ascii="ITC Avant Garde" w:hAnsi="ITC Avant Garde" w:cs="Arial"/>
          <w:color w:val="000000" w:themeColor="text1"/>
          <w:sz w:val="22"/>
          <w:szCs w:val="22"/>
        </w:rPr>
        <w:t xml:space="preserve">de </w:t>
      </w:r>
      <w:r w:rsidR="007F7CCD">
        <w:rPr>
          <w:rFonts w:ascii="ITC Avant Garde" w:hAnsi="ITC Avant Garde" w:cs="Arial"/>
          <w:color w:val="000000" w:themeColor="text1"/>
          <w:sz w:val="22"/>
          <w:szCs w:val="22"/>
        </w:rPr>
        <w:t>f</w:t>
      </w:r>
      <w:r>
        <w:rPr>
          <w:rFonts w:ascii="ITC Avant Garde" w:hAnsi="ITC Avant Garde" w:cs="Arial"/>
          <w:color w:val="000000" w:themeColor="text1"/>
          <w:sz w:val="22"/>
          <w:szCs w:val="22"/>
        </w:rPr>
        <w:t xml:space="preserve">recuencias </w:t>
      </w:r>
      <w:r w:rsidR="00563C14">
        <w:rPr>
          <w:rFonts w:ascii="ITC Avant Garde" w:hAnsi="ITC Avant Garde" w:cs="Arial"/>
          <w:color w:val="000000" w:themeColor="text1"/>
          <w:sz w:val="22"/>
          <w:szCs w:val="22"/>
        </w:rPr>
        <w:t>objeto del contrato de arrendamiento.</w:t>
      </w:r>
    </w:p>
    <w:p w14:paraId="6E98AC6B" w14:textId="2FE5F9BB" w:rsidR="00F37C4D" w:rsidRPr="00491708" w:rsidRDefault="001E5D94" w:rsidP="00F003B2">
      <w:pPr>
        <w:pStyle w:val="Prrafodelista"/>
        <w:numPr>
          <w:ilvl w:val="0"/>
          <w:numId w:val="26"/>
        </w:numPr>
        <w:pBdr>
          <w:top w:val="nil"/>
          <w:left w:val="nil"/>
          <w:bottom w:val="nil"/>
          <w:right w:val="nil"/>
          <w:between w:val="nil"/>
          <w:bar w:val="nil"/>
        </w:pBdr>
        <w:suppressAutoHyphens/>
        <w:contextualSpacing/>
        <w:jc w:val="both"/>
        <w:rPr>
          <w:rFonts w:ascii="ITC Avant Garde" w:hAnsi="ITC Avant Garde" w:cs="Arial"/>
          <w:b/>
          <w:color w:val="000000" w:themeColor="text1"/>
          <w:sz w:val="22"/>
          <w:szCs w:val="22"/>
        </w:rPr>
      </w:pPr>
      <w:r>
        <w:rPr>
          <w:rFonts w:ascii="ITC Avant Garde" w:hAnsi="ITC Avant Garde" w:cs="Arial"/>
          <w:color w:val="000000" w:themeColor="text1"/>
          <w:sz w:val="22"/>
          <w:szCs w:val="22"/>
        </w:rPr>
        <w:t>La l</w:t>
      </w:r>
      <w:r w:rsidR="00F37C4D" w:rsidRPr="00491708">
        <w:rPr>
          <w:rFonts w:ascii="ITC Avant Garde" w:hAnsi="ITC Avant Garde" w:cs="Arial"/>
          <w:color w:val="000000" w:themeColor="text1"/>
          <w:sz w:val="22"/>
          <w:szCs w:val="22"/>
        </w:rPr>
        <w:t>ibertad de las parte</w:t>
      </w:r>
      <w:r w:rsidR="004D3E24">
        <w:rPr>
          <w:rFonts w:ascii="ITC Avant Garde" w:hAnsi="ITC Avant Garde" w:cs="Arial"/>
          <w:color w:val="000000" w:themeColor="text1"/>
          <w:sz w:val="22"/>
          <w:szCs w:val="22"/>
        </w:rPr>
        <w:t>s para acordar la vigencia del c</w:t>
      </w:r>
      <w:r w:rsidR="00F37C4D" w:rsidRPr="00491708">
        <w:rPr>
          <w:rFonts w:ascii="ITC Avant Garde" w:hAnsi="ITC Avant Garde" w:cs="Arial"/>
          <w:color w:val="000000" w:themeColor="text1"/>
          <w:sz w:val="22"/>
          <w:szCs w:val="22"/>
        </w:rPr>
        <w:t xml:space="preserve">ontrato de </w:t>
      </w:r>
      <w:r w:rsidR="004D3E24">
        <w:rPr>
          <w:rFonts w:ascii="ITC Avant Garde" w:hAnsi="ITC Avant Garde" w:cs="Arial"/>
          <w:color w:val="000000" w:themeColor="text1"/>
          <w:sz w:val="22"/>
          <w:szCs w:val="22"/>
        </w:rPr>
        <w:t>a</w:t>
      </w:r>
      <w:r w:rsidR="00F37C4D" w:rsidRPr="00491708">
        <w:rPr>
          <w:rFonts w:ascii="ITC Avant Garde" w:hAnsi="ITC Avant Garde" w:cs="Arial"/>
          <w:color w:val="000000" w:themeColor="text1"/>
          <w:sz w:val="22"/>
          <w:szCs w:val="22"/>
        </w:rPr>
        <w:t xml:space="preserve">rrendamiento. </w:t>
      </w:r>
    </w:p>
    <w:p w14:paraId="60D834EE" w14:textId="590AEC43" w:rsidR="0008230D" w:rsidRPr="0008230D" w:rsidRDefault="001E5D94" w:rsidP="004F07E9">
      <w:pPr>
        <w:pStyle w:val="Prrafodelista"/>
        <w:numPr>
          <w:ilvl w:val="0"/>
          <w:numId w:val="26"/>
        </w:numPr>
        <w:pBdr>
          <w:top w:val="nil"/>
          <w:left w:val="nil"/>
          <w:bottom w:val="nil"/>
          <w:right w:val="nil"/>
          <w:between w:val="nil"/>
          <w:bar w:val="nil"/>
        </w:pBdr>
        <w:suppressAutoHyphens/>
        <w:contextualSpacing/>
        <w:jc w:val="both"/>
        <w:rPr>
          <w:rFonts w:ascii="ITC Avant Garde" w:hAnsi="ITC Avant Garde" w:cs="Arial"/>
          <w:b/>
          <w:color w:val="000000" w:themeColor="text1"/>
          <w:sz w:val="22"/>
          <w:szCs w:val="22"/>
        </w:rPr>
      </w:pPr>
      <w:r w:rsidRPr="0008230D">
        <w:rPr>
          <w:rFonts w:ascii="ITC Avant Garde" w:hAnsi="ITC Avant Garde" w:cs="Arial"/>
          <w:color w:val="000000" w:themeColor="text1"/>
          <w:sz w:val="22"/>
          <w:szCs w:val="22"/>
        </w:rPr>
        <w:t>Las c</w:t>
      </w:r>
      <w:r w:rsidR="004D3E24" w:rsidRPr="0008230D">
        <w:rPr>
          <w:rFonts w:ascii="ITC Avant Garde" w:hAnsi="ITC Avant Garde" w:cs="Arial"/>
          <w:color w:val="000000" w:themeColor="text1"/>
          <w:sz w:val="22"/>
          <w:szCs w:val="22"/>
        </w:rPr>
        <w:t>ausas de terminación del c</w:t>
      </w:r>
      <w:r w:rsidR="00F37C4D" w:rsidRPr="0008230D">
        <w:rPr>
          <w:rFonts w:ascii="ITC Avant Garde" w:hAnsi="ITC Avant Garde" w:cs="Arial"/>
          <w:color w:val="000000" w:themeColor="text1"/>
          <w:sz w:val="22"/>
          <w:szCs w:val="22"/>
        </w:rPr>
        <w:t>ontrato de</w:t>
      </w:r>
      <w:r w:rsidR="00657118" w:rsidRPr="00657118">
        <w:rPr>
          <w:rFonts w:ascii="ITC Avant Garde" w:hAnsi="ITC Avant Garde" w:cs="Arial"/>
          <w:color w:val="000000" w:themeColor="text1"/>
          <w:sz w:val="22"/>
          <w:szCs w:val="22"/>
        </w:rPr>
        <w:t xml:space="preserve"> </w:t>
      </w:r>
      <w:r w:rsidR="00657118" w:rsidRPr="0008230D">
        <w:rPr>
          <w:rFonts w:ascii="ITC Avant Garde" w:hAnsi="ITC Avant Garde" w:cs="Arial"/>
          <w:color w:val="000000" w:themeColor="text1"/>
          <w:sz w:val="22"/>
          <w:szCs w:val="22"/>
        </w:rPr>
        <w:t xml:space="preserve">arrendamiento </w:t>
      </w:r>
      <w:r w:rsidR="00C7199B">
        <w:rPr>
          <w:rFonts w:ascii="ITC Avant Garde" w:hAnsi="ITC Avant Garde" w:cs="Arial"/>
          <w:color w:val="000000" w:themeColor="text1"/>
          <w:sz w:val="22"/>
          <w:szCs w:val="22"/>
        </w:rPr>
        <w:t>o</w:t>
      </w:r>
      <w:r w:rsidR="00657118" w:rsidRPr="0008230D">
        <w:rPr>
          <w:rFonts w:ascii="ITC Avant Garde" w:hAnsi="ITC Avant Garde" w:cs="Arial"/>
          <w:color w:val="000000" w:themeColor="text1"/>
          <w:sz w:val="22"/>
          <w:szCs w:val="22"/>
        </w:rPr>
        <w:t xml:space="preserve"> </w:t>
      </w:r>
      <w:r w:rsidR="00C7199B">
        <w:rPr>
          <w:rFonts w:ascii="ITC Avant Garde" w:hAnsi="ITC Avant Garde" w:cs="Arial"/>
          <w:color w:val="000000" w:themeColor="text1"/>
          <w:sz w:val="22"/>
          <w:szCs w:val="22"/>
        </w:rPr>
        <w:t>d</w:t>
      </w:r>
      <w:r w:rsidR="00657118" w:rsidRPr="0008230D">
        <w:rPr>
          <w:rFonts w:ascii="ITC Avant Garde" w:hAnsi="ITC Avant Garde" w:cs="Arial"/>
          <w:color w:val="000000" w:themeColor="text1"/>
          <w:sz w:val="22"/>
          <w:szCs w:val="22"/>
        </w:rPr>
        <w:t>el contrato de subarrendamiento</w:t>
      </w:r>
      <w:r w:rsidR="00322B77">
        <w:rPr>
          <w:rFonts w:ascii="ITC Avant Garde" w:hAnsi="ITC Avant Garde" w:cs="Arial"/>
          <w:color w:val="000000" w:themeColor="text1"/>
          <w:sz w:val="22"/>
          <w:szCs w:val="22"/>
        </w:rPr>
        <w:t>, según corresponda</w:t>
      </w:r>
      <w:r w:rsidR="00F37C4D" w:rsidRPr="0008230D">
        <w:rPr>
          <w:rFonts w:ascii="ITC Avant Garde" w:hAnsi="ITC Avant Garde" w:cs="Arial"/>
          <w:color w:val="000000" w:themeColor="text1"/>
          <w:sz w:val="22"/>
          <w:szCs w:val="22"/>
        </w:rPr>
        <w:t>.</w:t>
      </w:r>
      <w:r w:rsidR="00F37C4D" w:rsidRPr="00491708">
        <w:rPr>
          <w:rFonts w:ascii="ITC Avant Garde" w:hAnsi="ITC Avant Garde" w:cs="Arial"/>
          <w:color w:val="000000" w:themeColor="text1"/>
          <w:sz w:val="22"/>
          <w:szCs w:val="22"/>
        </w:rPr>
        <w:t xml:space="preserve"> </w:t>
      </w:r>
    </w:p>
    <w:p w14:paraId="73A62493" w14:textId="1316A055" w:rsidR="00657118" w:rsidRPr="0008230D" w:rsidRDefault="00657118" w:rsidP="00657118">
      <w:pPr>
        <w:pStyle w:val="Prrafodelista"/>
        <w:numPr>
          <w:ilvl w:val="0"/>
          <w:numId w:val="26"/>
        </w:numPr>
        <w:pBdr>
          <w:top w:val="nil"/>
          <w:left w:val="nil"/>
          <w:bottom w:val="nil"/>
          <w:right w:val="nil"/>
          <w:between w:val="nil"/>
          <w:bar w:val="nil"/>
        </w:pBdr>
        <w:suppressAutoHyphens/>
        <w:contextualSpacing/>
        <w:jc w:val="both"/>
        <w:rPr>
          <w:rFonts w:ascii="ITC Avant Garde" w:hAnsi="ITC Avant Garde" w:cs="Arial"/>
          <w:b/>
          <w:color w:val="000000" w:themeColor="text1"/>
          <w:sz w:val="22"/>
          <w:szCs w:val="22"/>
        </w:rPr>
      </w:pPr>
      <w:r w:rsidRPr="0008230D">
        <w:rPr>
          <w:rFonts w:ascii="ITC Avant Garde" w:hAnsi="ITC Avant Garde" w:cs="Arial"/>
          <w:color w:val="000000" w:themeColor="text1"/>
          <w:sz w:val="22"/>
          <w:szCs w:val="22"/>
        </w:rPr>
        <w:t xml:space="preserve">La precisión del momento en el que surtirán efectos los contratos de arrendamiento </w:t>
      </w:r>
      <w:r w:rsidR="00C7199B">
        <w:rPr>
          <w:rFonts w:ascii="ITC Avant Garde" w:hAnsi="ITC Avant Garde" w:cs="Arial"/>
          <w:color w:val="000000" w:themeColor="text1"/>
          <w:sz w:val="22"/>
          <w:szCs w:val="22"/>
        </w:rPr>
        <w:t>o</w:t>
      </w:r>
      <w:r w:rsidRPr="0008230D">
        <w:rPr>
          <w:rFonts w:ascii="ITC Avant Garde" w:hAnsi="ITC Avant Garde" w:cs="Arial"/>
          <w:color w:val="000000" w:themeColor="text1"/>
          <w:sz w:val="22"/>
          <w:szCs w:val="22"/>
        </w:rPr>
        <w:t xml:space="preserve"> los contratos de subarrendamiento</w:t>
      </w:r>
      <w:r w:rsidR="00322B77">
        <w:rPr>
          <w:rFonts w:ascii="ITC Avant Garde" w:hAnsi="ITC Avant Garde" w:cs="Arial"/>
          <w:color w:val="000000" w:themeColor="text1"/>
          <w:sz w:val="22"/>
          <w:szCs w:val="22"/>
        </w:rPr>
        <w:t>, según corresponda</w:t>
      </w:r>
      <w:r w:rsidRPr="0008230D">
        <w:rPr>
          <w:rFonts w:ascii="ITC Avant Garde" w:hAnsi="ITC Avant Garde" w:cs="Arial"/>
          <w:color w:val="000000" w:themeColor="text1"/>
          <w:sz w:val="22"/>
          <w:szCs w:val="22"/>
        </w:rPr>
        <w:t>.</w:t>
      </w:r>
    </w:p>
    <w:p w14:paraId="2336F849" w14:textId="10D35339" w:rsidR="00921A4A" w:rsidRPr="0008230D" w:rsidRDefault="001E5D94" w:rsidP="004F07E9">
      <w:pPr>
        <w:pStyle w:val="Prrafodelista"/>
        <w:numPr>
          <w:ilvl w:val="0"/>
          <w:numId w:val="26"/>
        </w:numPr>
        <w:pBdr>
          <w:top w:val="nil"/>
          <w:left w:val="nil"/>
          <w:bottom w:val="nil"/>
          <w:right w:val="nil"/>
          <w:between w:val="nil"/>
          <w:bar w:val="nil"/>
        </w:pBdr>
        <w:suppressAutoHyphens/>
        <w:contextualSpacing/>
        <w:jc w:val="both"/>
        <w:rPr>
          <w:rFonts w:ascii="ITC Avant Garde" w:hAnsi="ITC Avant Garde" w:cs="Arial"/>
          <w:color w:val="000000" w:themeColor="text1"/>
          <w:szCs w:val="21"/>
        </w:rPr>
      </w:pPr>
      <w:r w:rsidRPr="0008230D">
        <w:rPr>
          <w:rFonts w:ascii="ITC Avant Garde" w:hAnsi="ITC Avant Garde" w:cs="Arial"/>
          <w:color w:val="000000" w:themeColor="text1"/>
          <w:sz w:val="22"/>
          <w:szCs w:val="22"/>
        </w:rPr>
        <w:t xml:space="preserve">La </w:t>
      </w:r>
      <w:r w:rsidR="00657118" w:rsidRPr="0008230D">
        <w:rPr>
          <w:rFonts w:ascii="ITC Avant Garde" w:hAnsi="ITC Avant Garde" w:cs="Arial"/>
          <w:color w:val="000000" w:themeColor="text1"/>
          <w:sz w:val="22"/>
          <w:szCs w:val="22"/>
        </w:rPr>
        <w:t xml:space="preserve">previsión de que </w:t>
      </w:r>
      <w:r w:rsidR="00F37C4D" w:rsidRPr="0008230D">
        <w:rPr>
          <w:rFonts w:ascii="ITC Avant Garde" w:hAnsi="ITC Avant Garde" w:cs="Arial"/>
          <w:color w:val="000000" w:themeColor="text1"/>
          <w:sz w:val="22"/>
          <w:szCs w:val="22"/>
        </w:rPr>
        <w:t>cualqui</w:t>
      </w:r>
      <w:r w:rsidR="004D3E24" w:rsidRPr="0008230D">
        <w:rPr>
          <w:rFonts w:ascii="ITC Avant Garde" w:hAnsi="ITC Avant Garde" w:cs="Arial"/>
          <w:color w:val="000000" w:themeColor="text1"/>
          <w:sz w:val="22"/>
          <w:szCs w:val="22"/>
        </w:rPr>
        <w:t xml:space="preserve">er modificación </w:t>
      </w:r>
      <w:r w:rsidR="00657118">
        <w:rPr>
          <w:rFonts w:ascii="ITC Avant Garde" w:hAnsi="ITC Avant Garde" w:cs="Arial"/>
          <w:color w:val="000000" w:themeColor="text1"/>
          <w:sz w:val="22"/>
          <w:szCs w:val="22"/>
        </w:rPr>
        <w:t>que se pretenda realizar</w:t>
      </w:r>
      <w:r w:rsidR="004D3E24" w:rsidRPr="0008230D">
        <w:rPr>
          <w:rFonts w:ascii="ITC Avant Garde" w:hAnsi="ITC Avant Garde" w:cs="Arial"/>
          <w:color w:val="000000" w:themeColor="text1"/>
          <w:sz w:val="22"/>
          <w:szCs w:val="22"/>
        </w:rPr>
        <w:t xml:space="preserve"> </w:t>
      </w:r>
      <w:r w:rsidR="00657118">
        <w:rPr>
          <w:rFonts w:ascii="ITC Avant Garde" w:hAnsi="ITC Avant Garde" w:cs="Arial"/>
          <w:color w:val="000000" w:themeColor="text1"/>
          <w:sz w:val="22"/>
          <w:szCs w:val="22"/>
        </w:rPr>
        <w:t>a</w:t>
      </w:r>
      <w:r w:rsidR="00657118" w:rsidRPr="0008230D">
        <w:rPr>
          <w:rFonts w:ascii="ITC Avant Garde" w:hAnsi="ITC Avant Garde" w:cs="Arial"/>
          <w:color w:val="000000" w:themeColor="text1"/>
          <w:sz w:val="22"/>
          <w:szCs w:val="22"/>
        </w:rPr>
        <w:t xml:space="preserve">l </w:t>
      </w:r>
      <w:r w:rsidR="004D3E24" w:rsidRPr="0008230D">
        <w:rPr>
          <w:rFonts w:ascii="ITC Avant Garde" w:hAnsi="ITC Avant Garde" w:cs="Arial"/>
          <w:color w:val="000000" w:themeColor="text1"/>
          <w:sz w:val="22"/>
          <w:szCs w:val="22"/>
        </w:rPr>
        <w:t>c</w:t>
      </w:r>
      <w:r w:rsidR="00F37C4D" w:rsidRPr="0008230D">
        <w:rPr>
          <w:rFonts w:ascii="ITC Avant Garde" w:hAnsi="ITC Avant Garde" w:cs="Arial"/>
          <w:color w:val="000000" w:themeColor="text1"/>
          <w:sz w:val="22"/>
          <w:szCs w:val="22"/>
        </w:rPr>
        <w:t xml:space="preserve">ontrato de </w:t>
      </w:r>
      <w:r w:rsidR="004D3E24" w:rsidRPr="0008230D">
        <w:rPr>
          <w:rFonts w:ascii="ITC Avant Garde" w:hAnsi="ITC Avant Garde" w:cs="Arial"/>
          <w:color w:val="000000" w:themeColor="text1"/>
          <w:sz w:val="22"/>
          <w:szCs w:val="22"/>
        </w:rPr>
        <w:t>a</w:t>
      </w:r>
      <w:r w:rsidR="00F37C4D" w:rsidRPr="0008230D">
        <w:rPr>
          <w:rFonts w:ascii="ITC Avant Garde" w:hAnsi="ITC Avant Garde" w:cs="Arial"/>
          <w:color w:val="000000" w:themeColor="text1"/>
          <w:sz w:val="22"/>
          <w:szCs w:val="22"/>
        </w:rPr>
        <w:t xml:space="preserve">rrendamiento </w:t>
      </w:r>
      <w:r w:rsidR="00657118" w:rsidRPr="0008230D">
        <w:rPr>
          <w:rFonts w:ascii="ITC Avant Garde" w:hAnsi="ITC Avant Garde" w:cs="Arial"/>
          <w:color w:val="000000" w:themeColor="text1"/>
          <w:sz w:val="22"/>
          <w:szCs w:val="22"/>
        </w:rPr>
        <w:t>o al contrato de subarrendamiento</w:t>
      </w:r>
      <w:r w:rsidR="006155EE">
        <w:rPr>
          <w:rFonts w:ascii="ITC Avant Garde" w:hAnsi="ITC Avant Garde" w:cs="Arial"/>
          <w:color w:val="000000" w:themeColor="text1"/>
          <w:sz w:val="22"/>
          <w:szCs w:val="22"/>
        </w:rPr>
        <w:t>, con excepción del precio,</w:t>
      </w:r>
      <w:r w:rsidR="00657118" w:rsidRPr="0008230D">
        <w:rPr>
          <w:rFonts w:ascii="ITC Avant Garde" w:hAnsi="ITC Avant Garde" w:cs="Arial"/>
          <w:color w:val="000000" w:themeColor="text1"/>
          <w:sz w:val="22"/>
          <w:szCs w:val="22"/>
        </w:rPr>
        <w:t xml:space="preserve"> deberá ser objeto de una nueva autorización de arrendamiento o una nueva </w:t>
      </w:r>
      <w:r w:rsidR="00657118">
        <w:rPr>
          <w:rFonts w:ascii="ITC Avant Garde" w:hAnsi="ITC Avant Garde" w:cs="Arial"/>
          <w:color w:val="000000" w:themeColor="text1"/>
          <w:sz w:val="22"/>
          <w:szCs w:val="22"/>
        </w:rPr>
        <w:t xml:space="preserve">autorización </w:t>
      </w:r>
      <w:r w:rsidR="00657118" w:rsidRPr="0008230D">
        <w:rPr>
          <w:rFonts w:ascii="ITC Avant Garde" w:hAnsi="ITC Avant Garde" w:cs="Arial"/>
          <w:color w:val="000000" w:themeColor="text1"/>
          <w:sz w:val="22"/>
          <w:szCs w:val="22"/>
        </w:rPr>
        <w:t>de subarrendamiento, según corresponda</w:t>
      </w:r>
      <w:r w:rsidR="00F37C4D" w:rsidRPr="0008230D">
        <w:rPr>
          <w:rFonts w:ascii="ITC Avant Garde" w:hAnsi="ITC Avant Garde" w:cs="Arial"/>
          <w:color w:val="000000" w:themeColor="text1"/>
          <w:sz w:val="22"/>
          <w:szCs w:val="22"/>
        </w:rPr>
        <w:t>.</w:t>
      </w:r>
    </w:p>
    <w:p w14:paraId="6212B9F8" w14:textId="77777777" w:rsidR="0008230D" w:rsidRPr="0008230D" w:rsidRDefault="0008230D" w:rsidP="0008230D">
      <w:pPr>
        <w:pStyle w:val="Prrafodelista"/>
        <w:pBdr>
          <w:top w:val="nil"/>
          <w:left w:val="nil"/>
          <w:bottom w:val="nil"/>
          <w:right w:val="nil"/>
          <w:between w:val="nil"/>
          <w:bar w:val="nil"/>
        </w:pBdr>
        <w:suppressAutoHyphens/>
        <w:ind w:left="720"/>
        <w:contextualSpacing/>
        <w:jc w:val="both"/>
        <w:rPr>
          <w:rFonts w:ascii="ITC Avant Garde" w:hAnsi="ITC Avant Garde" w:cs="Arial"/>
          <w:color w:val="000000" w:themeColor="text1"/>
          <w:szCs w:val="21"/>
        </w:rPr>
      </w:pPr>
    </w:p>
    <w:p w14:paraId="0EDFD39A" w14:textId="088F6BF0" w:rsidR="00921A4A" w:rsidRDefault="00921A4A"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La </w:t>
      </w:r>
      <w:r w:rsidR="0008274E">
        <w:rPr>
          <w:rFonts w:ascii="ITC Avant Garde" w:hAnsi="ITC Avant Garde" w:cs="Arial"/>
          <w:color w:val="000000" w:themeColor="text1"/>
          <w:szCs w:val="21"/>
        </w:rPr>
        <w:t>a</w:t>
      </w:r>
      <w:r>
        <w:rPr>
          <w:rFonts w:ascii="ITC Avant Garde" w:hAnsi="ITC Avant Garde" w:cs="Arial"/>
          <w:color w:val="000000" w:themeColor="text1"/>
          <w:szCs w:val="21"/>
        </w:rPr>
        <w:t xml:space="preserve">utorización de </w:t>
      </w:r>
      <w:r w:rsidR="0008274E">
        <w:rPr>
          <w:rFonts w:ascii="ITC Avant Garde" w:hAnsi="ITC Avant Garde" w:cs="Arial"/>
          <w:color w:val="000000" w:themeColor="text1"/>
          <w:szCs w:val="21"/>
        </w:rPr>
        <w:t>a</w:t>
      </w:r>
      <w:r>
        <w:rPr>
          <w:rFonts w:ascii="ITC Avant Garde" w:hAnsi="ITC Avant Garde" w:cs="Arial"/>
          <w:color w:val="000000" w:themeColor="text1"/>
          <w:szCs w:val="21"/>
        </w:rPr>
        <w:t xml:space="preserve">rrendamiento de </w:t>
      </w:r>
      <w:r w:rsidR="0008274E">
        <w:rPr>
          <w:rFonts w:ascii="ITC Avant Garde" w:hAnsi="ITC Avant Garde" w:cs="Arial"/>
          <w:color w:val="000000" w:themeColor="text1"/>
          <w:szCs w:val="21"/>
        </w:rPr>
        <w:t>e</w:t>
      </w:r>
      <w:r>
        <w:rPr>
          <w:rFonts w:ascii="ITC Avant Garde" w:hAnsi="ITC Avant Garde" w:cs="Arial"/>
          <w:color w:val="000000" w:themeColor="text1"/>
          <w:szCs w:val="21"/>
        </w:rPr>
        <w:t xml:space="preserve">spectro </w:t>
      </w:r>
      <w:r w:rsidR="0008274E">
        <w:rPr>
          <w:rFonts w:ascii="ITC Avant Garde" w:hAnsi="ITC Avant Garde" w:cs="Arial"/>
          <w:color w:val="000000" w:themeColor="text1"/>
          <w:szCs w:val="21"/>
        </w:rPr>
        <w:t>r</w:t>
      </w:r>
      <w:r>
        <w:rPr>
          <w:rFonts w:ascii="ITC Avant Garde" w:hAnsi="ITC Avant Garde" w:cs="Arial"/>
          <w:color w:val="000000" w:themeColor="text1"/>
          <w:szCs w:val="21"/>
        </w:rPr>
        <w:t>adioeléctrico, en términos de lo dispuesto en el artículo 104 de la Ley</w:t>
      </w:r>
      <w:r w:rsidR="0008274E">
        <w:rPr>
          <w:rFonts w:ascii="ITC Avant Garde" w:hAnsi="ITC Avant Garde" w:cs="Arial"/>
          <w:color w:val="000000" w:themeColor="text1"/>
          <w:szCs w:val="21"/>
        </w:rPr>
        <w:t>,</w:t>
      </w:r>
      <w:r>
        <w:rPr>
          <w:rFonts w:ascii="ITC Avant Garde" w:hAnsi="ITC Avant Garde" w:cs="Arial"/>
          <w:color w:val="000000" w:themeColor="text1"/>
          <w:szCs w:val="21"/>
        </w:rPr>
        <w:t xml:space="preserve"> necesariamente debe tener implícita la obligación de proporcionar los datos necesarios</w:t>
      </w:r>
      <w:r w:rsidR="001E5D94">
        <w:rPr>
          <w:rFonts w:ascii="ITC Avant Garde" w:hAnsi="ITC Avant Garde" w:cs="Arial"/>
          <w:color w:val="000000" w:themeColor="text1"/>
          <w:szCs w:val="21"/>
        </w:rPr>
        <w:t>,</w:t>
      </w:r>
      <w:r>
        <w:rPr>
          <w:rFonts w:ascii="ITC Avant Garde" w:hAnsi="ITC Avant Garde" w:cs="Arial"/>
          <w:color w:val="000000" w:themeColor="text1"/>
          <w:szCs w:val="21"/>
        </w:rPr>
        <w:t xml:space="preserve"> con la finalidad de que el </w:t>
      </w:r>
      <w:r w:rsidR="0008274E">
        <w:rPr>
          <w:rFonts w:ascii="ITC Avant Garde" w:hAnsi="ITC Avant Garde" w:cs="Arial"/>
          <w:color w:val="000000" w:themeColor="text1"/>
          <w:szCs w:val="21"/>
        </w:rPr>
        <w:t>I</w:t>
      </w:r>
      <w:r>
        <w:rPr>
          <w:rFonts w:ascii="ITC Avant Garde" w:hAnsi="ITC Avant Garde" w:cs="Arial"/>
          <w:color w:val="000000" w:themeColor="text1"/>
          <w:szCs w:val="21"/>
        </w:rPr>
        <w:t>nstituto pued</w:t>
      </w:r>
      <w:r w:rsidR="0008274E">
        <w:rPr>
          <w:rFonts w:ascii="ITC Avant Garde" w:hAnsi="ITC Avant Garde" w:cs="Arial"/>
          <w:color w:val="000000" w:themeColor="text1"/>
          <w:szCs w:val="21"/>
        </w:rPr>
        <w:t>a</w:t>
      </w:r>
      <w:r>
        <w:rPr>
          <w:rFonts w:ascii="ITC Avant Garde" w:hAnsi="ITC Avant Garde" w:cs="Arial"/>
          <w:color w:val="000000" w:themeColor="text1"/>
          <w:szCs w:val="21"/>
        </w:rPr>
        <w:t xml:space="preserve"> analizar la procedencia o improcedencia de la misma, para </w:t>
      </w:r>
      <w:r w:rsidR="0008274E">
        <w:rPr>
          <w:rFonts w:ascii="ITC Avant Garde" w:hAnsi="ITC Avant Garde" w:cs="Arial"/>
          <w:color w:val="000000" w:themeColor="text1"/>
          <w:szCs w:val="21"/>
        </w:rPr>
        <w:t xml:space="preserve">otorgar, </w:t>
      </w:r>
      <w:r>
        <w:rPr>
          <w:rFonts w:ascii="ITC Avant Garde" w:hAnsi="ITC Avant Garde" w:cs="Arial"/>
          <w:color w:val="000000" w:themeColor="text1"/>
          <w:szCs w:val="21"/>
        </w:rPr>
        <w:t>en su caso, la autorización respectiva.</w:t>
      </w:r>
    </w:p>
    <w:p w14:paraId="3BC56E92"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202FB6A6" w14:textId="6611961F" w:rsidR="00921A4A" w:rsidRDefault="00BB0EEA"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Por ende, a través de la referencia del(os) folio(s) electrónico(s) del(os) título(s) de concesión de espectro radioeléctrico vigentes, que amparen el uso, aprovechamiento y/o explotación, según corresponda</w:t>
      </w:r>
      <w:r w:rsidR="00890BE1">
        <w:rPr>
          <w:rFonts w:ascii="ITC Avant Garde" w:hAnsi="ITC Avant Garde" w:cs="Arial"/>
          <w:color w:val="000000" w:themeColor="text1"/>
          <w:szCs w:val="21"/>
        </w:rPr>
        <w:t>,</w:t>
      </w:r>
      <w:r>
        <w:rPr>
          <w:rFonts w:ascii="ITC Avant Garde" w:hAnsi="ITC Avant Garde" w:cs="Arial"/>
          <w:color w:val="000000" w:themeColor="text1"/>
          <w:szCs w:val="21"/>
        </w:rPr>
        <w:t xml:space="preserve"> de las bandas de frecuencias objeto del contrato de arrendamiento; la referencia al folio electrónico del título de concesión única vigente del arrendatario (o, en su caso, del acuse de la solicitud </w:t>
      </w:r>
      <w:r w:rsidR="005D3BD0">
        <w:rPr>
          <w:rFonts w:ascii="ITC Avant Garde" w:hAnsi="ITC Avant Garde" w:cs="Arial"/>
          <w:color w:val="000000" w:themeColor="text1"/>
          <w:szCs w:val="21"/>
        </w:rPr>
        <w:t>respectiva</w:t>
      </w:r>
      <w:r>
        <w:rPr>
          <w:rFonts w:ascii="ITC Avant Garde" w:hAnsi="ITC Avant Garde" w:cs="Arial"/>
          <w:color w:val="000000" w:themeColor="text1"/>
          <w:szCs w:val="21"/>
        </w:rPr>
        <w:t xml:space="preserve">); el comprobante del pago de derechos que correspondan por el trámite de la autorización de arrendamiento; el contrato de arrendamiento, así como, la documentación e información establecida en el instructivo en materia de competencia económica,  permitirán </w:t>
      </w:r>
      <w:r w:rsidR="00921A4A">
        <w:rPr>
          <w:rFonts w:ascii="ITC Avant Garde" w:hAnsi="ITC Avant Garde" w:cs="Arial"/>
          <w:color w:val="000000" w:themeColor="text1"/>
          <w:szCs w:val="21"/>
        </w:rPr>
        <w:t xml:space="preserve">acreditar </w:t>
      </w:r>
      <w:r w:rsidR="00A668F3">
        <w:rPr>
          <w:rFonts w:ascii="ITC Avant Garde" w:hAnsi="ITC Avant Garde" w:cs="Arial"/>
          <w:color w:val="000000" w:themeColor="text1"/>
          <w:szCs w:val="21"/>
        </w:rPr>
        <w:t>fácilmente a</w:t>
      </w:r>
      <w:r w:rsidR="00921A4A">
        <w:rPr>
          <w:rFonts w:ascii="ITC Avant Garde" w:hAnsi="ITC Avant Garde" w:cs="Arial"/>
          <w:color w:val="000000" w:themeColor="text1"/>
          <w:szCs w:val="21"/>
        </w:rPr>
        <w:t xml:space="preserve"> los interesados </w:t>
      </w:r>
      <w:r w:rsidR="00A668F3">
        <w:rPr>
          <w:rFonts w:ascii="ITC Avant Garde" w:hAnsi="ITC Avant Garde" w:cs="Arial"/>
          <w:color w:val="000000" w:themeColor="text1"/>
          <w:szCs w:val="21"/>
        </w:rPr>
        <w:t xml:space="preserve">que </w:t>
      </w:r>
      <w:r w:rsidR="00921A4A">
        <w:rPr>
          <w:rFonts w:ascii="ITC Avant Garde" w:hAnsi="ITC Avant Garde" w:cs="Arial"/>
          <w:color w:val="000000" w:themeColor="text1"/>
          <w:szCs w:val="21"/>
        </w:rPr>
        <w:t>se encuentran en los supuestos previstos en la Ley para la procedenci</w:t>
      </w:r>
      <w:r w:rsidR="00A668F3">
        <w:rPr>
          <w:rFonts w:ascii="ITC Avant Garde" w:hAnsi="ITC Avant Garde" w:cs="Arial"/>
          <w:color w:val="000000" w:themeColor="text1"/>
          <w:szCs w:val="21"/>
        </w:rPr>
        <w:t>a de la autorización en comento, evitando con ello que presente innecesariamente una infinidad de documentos, lo que representa</w:t>
      </w:r>
      <w:r w:rsidR="0008274E">
        <w:rPr>
          <w:rFonts w:ascii="ITC Avant Garde" w:hAnsi="ITC Avant Garde" w:cs="Arial"/>
          <w:color w:val="000000" w:themeColor="text1"/>
          <w:szCs w:val="21"/>
        </w:rPr>
        <w:t>ría</w:t>
      </w:r>
      <w:r w:rsidR="00A668F3">
        <w:rPr>
          <w:rFonts w:ascii="ITC Avant Garde" w:hAnsi="ITC Avant Garde" w:cs="Arial"/>
          <w:color w:val="000000" w:themeColor="text1"/>
          <w:szCs w:val="21"/>
        </w:rPr>
        <w:t xml:space="preserve"> mayor pérdida de tiempo y </w:t>
      </w:r>
      <w:r w:rsidR="0008274E">
        <w:rPr>
          <w:rFonts w:ascii="ITC Avant Garde" w:hAnsi="ITC Avant Garde" w:cs="Arial"/>
          <w:color w:val="000000" w:themeColor="text1"/>
          <w:szCs w:val="21"/>
        </w:rPr>
        <w:t xml:space="preserve">de </w:t>
      </w:r>
      <w:r w:rsidR="00A668F3">
        <w:rPr>
          <w:rFonts w:ascii="ITC Avant Garde" w:hAnsi="ITC Avant Garde" w:cs="Arial"/>
          <w:color w:val="000000" w:themeColor="text1"/>
          <w:szCs w:val="21"/>
        </w:rPr>
        <w:t>recursos</w:t>
      </w:r>
      <w:r w:rsidR="0008274E">
        <w:rPr>
          <w:rFonts w:ascii="ITC Avant Garde" w:hAnsi="ITC Avant Garde" w:cs="Arial"/>
          <w:color w:val="000000" w:themeColor="text1"/>
          <w:szCs w:val="21"/>
        </w:rPr>
        <w:t>,</w:t>
      </w:r>
      <w:r w:rsidR="00A668F3">
        <w:rPr>
          <w:rFonts w:ascii="ITC Avant Garde" w:hAnsi="ITC Avant Garde" w:cs="Arial"/>
          <w:color w:val="000000" w:themeColor="text1"/>
          <w:szCs w:val="21"/>
        </w:rPr>
        <w:t xml:space="preserve"> tanto para los particulares, como para el Instituto, que recibiría, administraría y analizaría dicha documentación.</w:t>
      </w:r>
    </w:p>
    <w:p w14:paraId="617ECF73"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58E9641D" w14:textId="78D9A3C7" w:rsidR="00921A4A" w:rsidRDefault="00921A4A"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Por su parte, el proyecto de contrato de arrendamiento permite al Instituto conocer los términos y condiciones pactados por las partes para conceder temporalmente el derecho al uso, aprovechamiento y/o explotación</w:t>
      </w:r>
      <w:r w:rsidR="00085672">
        <w:rPr>
          <w:rFonts w:ascii="ITC Avant Garde" w:hAnsi="ITC Avant Garde" w:cs="Arial"/>
          <w:color w:val="000000" w:themeColor="text1"/>
          <w:szCs w:val="21"/>
        </w:rPr>
        <w:t xml:space="preserve">, según corresponda, </w:t>
      </w:r>
      <w:r>
        <w:rPr>
          <w:rFonts w:ascii="ITC Avant Garde" w:hAnsi="ITC Avant Garde" w:cs="Arial"/>
          <w:color w:val="000000" w:themeColor="text1"/>
          <w:szCs w:val="21"/>
        </w:rPr>
        <w:t>de bandas de frecuencias.</w:t>
      </w:r>
    </w:p>
    <w:p w14:paraId="0CB2979C"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7A70F85C" w14:textId="77777777" w:rsidR="00921A4A" w:rsidRDefault="00921A4A"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El artículo 1839 del Código Civil Federal dispone:</w:t>
      </w:r>
    </w:p>
    <w:p w14:paraId="5AF4CB25"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7C222FAB" w14:textId="77777777" w:rsidR="00921A4A" w:rsidRPr="00963170" w:rsidRDefault="00921A4A" w:rsidP="00921A4A">
      <w:pPr>
        <w:spacing w:after="0" w:line="240" w:lineRule="auto"/>
        <w:ind w:left="1134" w:right="1182"/>
        <w:contextualSpacing/>
        <w:jc w:val="both"/>
        <w:rPr>
          <w:rFonts w:ascii="ITC Avant Garde" w:hAnsi="ITC Avant Garde" w:cs="Arial"/>
          <w:i/>
          <w:color w:val="000000" w:themeColor="text1"/>
          <w:sz w:val="20"/>
          <w:szCs w:val="20"/>
        </w:rPr>
      </w:pPr>
      <w:r w:rsidRPr="00343E08">
        <w:rPr>
          <w:rFonts w:ascii="ITC Avant Garde" w:hAnsi="ITC Avant Garde" w:cs="Arial"/>
          <w:i/>
          <w:color w:val="000000" w:themeColor="text1"/>
          <w:sz w:val="20"/>
          <w:szCs w:val="20"/>
        </w:rPr>
        <w:t>“</w:t>
      </w:r>
      <w:r w:rsidRPr="00963170">
        <w:rPr>
          <w:rFonts w:ascii="ITC Avant Garde" w:hAnsi="ITC Avant Garde" w:cs="Arial"/>
          <w:b/>
          <w:i/>
          <w:color w:val="000000" w:themeColor="text1"/>
          <w:sz w:val="20"/>
          <w:szCs w:val="20"/>
        </w:rPr>
        <w:t>Artículo 1839.-</w:t>
      </w:r>
      <w:r w:rsidRPr="00963170">
        <w:rPr>
          <w:rFonts w:ascii="ITC Avant Garde" w:hAnsi="ITC Avant Garde" w:cs="Arial"/>
          <w:i/>
          <w:color w:val="000000" w:themeColor="text1"/>
          <w:sz w:val="20"/>
          <w:szCs w:val="20"/>
        </w:rPr>
        <w:t xml:space="preserve"> Los contratantes pueden poner las cláusulas que crean convenientes; pero las que se refieran a requisitos esenciales del contrato, o sean consecuencia de su naturaleza ordinaria, se tendrán por puestas </w:t>
      </w:r>
      <w:r w:rsidRPr="00963170">
        <w:rPr>
          <w:rFonts w:ascii="ITC Avant Garde" w:hAnsi="ITC Avant Garde" w:cs="Arial"/>
          <w:i/>
          <w:color w:val="000000" w:themeColor="text1"/>
          <w:sz w:val="20"/>
          <w:szCs w:val="20"/>
        </w:rPr>
        <w:lastRenderedPageBreak/>
        <w:t>aunque no se expresen, a no ser que las segundas sean renunciadas en los casos y términos permitidos por la ley.”</w:t>
      </w:r>
    </w:p>
    <w:p w14:paraId="468B9C2C"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74F310EF" w14:textId="4BB91AC6" w:rsidR="00921A4A" w:rsidRDefault="00921A4A"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El </w:t>
      </w:r>
      <w:r w:rsidR="006B3AD1">
        <w:rPr>
          <w:rFonts w:ascii="ITC Avant Garde" w:hAnsi="ITC Avant Garde" w:cs="Arial"/>
          <w:color w:val="000000" w:themeColor="text1"/>
          <w:szCs w:val="21"/>
        </w:rPr>
        <w:t>artículo</w:t>
      </w:r>
      <w:r>
        <w:rPr>
          <w:rFonts w:ascii="ITC Avant Garde" w:hAnsi="ITC Avant Garde" w:cs="Arial"/>
          <w:color w:val="000000" w:themeColor="text1"/>
          <w:szCs w:val="21"/>
        </w:rPr>
        <w:t xml:space="preserve"> transcrito dispone que los contratantes pueden poner las cláusulas que crean convenientes.</w:t>
      </w:r>
    </w:p>
    <w:p w14:paraId="2BDD8F92"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6DD9997F" w14:textId="4D2E2EDC" w:rsidR="00921A4A" w:rsidRDefault="004A29E7"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Luego</w:t>
      </w:r>
      <w:r w:rsidR="00921A4A">
        <w:rPr>
          <w:rFonts w:ascii="ITC Avant Garde" w:hAnsi="ITC Avant Garde" w:cs="Arial"/>
          <w:color w:val="000000" w:themeColor="text1"/>
          <w:szCs w:val="21"/>
        </w:rPr>
        <w:t xml:space="preserve">, tal y como ha quedado precisado </w:t>
      </w:r>
      <w:r w:rsidR="00785FD8">
        <w:rPr>
          <w:rFonts w:ascii="ITC Avant Garde" w:hAnsi="ITC Avant Garde" w:cs="Arial"/>
          <w:color w:val="000000" w:themeColor="text1"/>
          <w:szCs w:val="21"/>
        </w:rPr>
        <w:t xml:space="preserve">anteriormente, </w:t>
      </w:r>
      <w:r w:rsidR="00921A4A">
        <w:rPr>
          <w:rFonts w:ascii="ITC Avant Garde" w:hAnsi="ITC Avant Garde" w:cs="Arial"/>
          <w:color w:val="000000" w:themeColor="text1"/>
          <w:szCs w:val="21"/>
        </w:rPr>
        <w:t xml:space="preserve">corresponde </w:t>
      </w:r>
      <w:r w:rsidR="00785FD8">
        <w:rPr>
          <w:rFonts w:ascii="ITC Avant Garde" w:hAnsi="ITC Avant Garde" w:cs="Arial"/>
          <w:color w:val="000000" w:themeColor="text1"/>
          <w:szCs w:val="21"/>
        </w:rPr>
        <w:t xml:space="preserve">al Estado </w:t>
      </w:r>
      <w:r w:rsidR="00921A4A">
        <w:rPr>
          <w:rFonts w:ascii="ITC Avant Garde" w:hAnsi="ITC Avant Garde" w:cs="Arial"/>
          <w:color w:val="000000" w:themeColor="text1"/>
          <w:szCs w:val="21"/>
        </w:rPr>
        <w:t xml:space="preserve">la administración y titularidad del espectro radioeléctrico como bien de dominio público de la Nación, mismo que es materia de la </w:t>
      </w:r>
      <w:r w:rsidR="0008274E">
        <w:rPr>
          <w:rFonts w:ascii="ITC Avant Garde" w:hAnsi="ITC Avant Garde" w:cs="Arial"/>
          <w:color w:val="000000" w:themeColor="text1"/>
          <w:szCs w:val="21"/>
        </w:rPr>
        <w:t>a</w:t>
      </w:r>
      <w:r w:rsidR="00921A4A">
        <w:rPr>
          <w:rFonts w:ascii="ITC Avant Garde" w:hAnsi="ITC Avant Garde" w:cs="Arial"/>
          <w:color w:val="000000" w:themeColor="text1"/>
          <w:szCs w:val="21"/>
        </w:rPr>
        <w:t xml:space="preserve">utorización de </w:t>
      </w:r>
      <w:r w:rsidR="0008274E">
        <w:rPr>
          <w:rFonts w:ascii="ITC Avant Garde" w:hAnsi="ITC Avant Garde" w:cs="Arial"/>
          <w:color w:val="000000" w:themeColor="text1"/>
          <w:szCs w:val="21"/>
        </w:rPr>
        <w:t>a</w:t>
      </w:r>
      <w:r w:rsidR="00921A4A">
        <w:rPr>
          <w:rFonts w:ascii="ITC Avant Garde" w:hAnsi="ITC Avant Garde" w:cs="Arial"/>
          <w:color w:val="000000" w:themeColor="text1"/>
          <w:szCs w:val="21"/>
        </w:rPr>
        <w:t>rrendamiento de dicho bien, por lo que el Instituto</w:t>
      </w:r>
      <w:r w:rsidR="0008274E">
        <w:rPr>
          <w:rFonts w:ascii="ITC Avant Garde" w:hAnsi="ITC Avant Garde" w:cs="Arial"/>
          <w:color w:val="000000" w:themeColor="text1"/>
          <w:szCs w:val="21"/>
        </w:rPr>
        <w:t>,</w:t>
      </w:r>
      <w:r w:rsidR="00921A4A">
        <w:rPr>
          <w:rFonts w:ascii="ITC Avant Garde" w:hAnsi="ITC Avant Garde" w:cs="Arial"/>
          <w:color w:val="000000" w:themeColor="text1"/>
          <w:szCs w:val="21"/>
        </w:rPr>
        <w:t xml:space="preserve"> con la finalidad de preservar el cumplimiento de las condiciones previstas en el título de concesión de espectro radioeléctrico del </w:t>
      </w:r>
      <w:r w:rsidR="00ED47AC">
        <w:rPr>
          <w:rFonts w:ascii="ITC Avant Garde" w:hAnsi="ITC Avant Garde" w:cs="Arial"/>
          <w:color w:val="000000" w:themeColor="text1"/>
          <w:szCs w:val="21"/>
        </w:rPr>
        <w:t xml:space="preserve">arrendador, el contrato de arrendamiento, deberá incluir cuando menos, entre otras, las cláusulas siguientes: </w:t>
      </w:r>
      <w:r w:rsidR="00921A4A">
        <w:rPr>
          <w:rFonts w:ascii="ITC Avant Garde" w:hAnsi="ITC Avant Garde" w:cs="Arial"/>
          <w:color w:val="000000" w:themeColor="text1"/>
          <w:szCs w:val="21"/>
        </w:rPr>
        <w:t xml:space="preserve">las bandas de frecuencias objeto del contrato de arrendamiento, </w:t>
      </w:r>
      <w:r w:rsidR="00785FD8">
        <w:rPr>
          <w:rFonts w:ascii="ITC Avant Garde" w:hAnsi="ITC Avant Garde" w:cs="Arial"/>
          <w:color w:val="000000" w:themeColor="text1"/>
          <w:szCs w:val="21"/>
        </w:rPr>
        <w:t xml:space="preserve">la </w:t>
      </w:r>
      <w:r w:rsidR="00921A4A">
        <w:rPr>
          <w:rFonts w:ascii="ITC Avant Garde" w:hAnsi="ITC Avant Garde" w:cs="Arial"/>
          <w:color w:val="000000" w:themeColor="text1"/>
          <w:szCs w:val="21"/>
        </w:rPr>
        <w:t xml:space="preserve">renta o precio del arrendamiento, </w:t>
      </w:r>
      <w:r w:rsidR="00785FD8">
        <w:rPr>
          <w:rFonts w:ascii="ITC Avant Garde" w:hAnsi="ITC Avant Garde" w:cs="Arial"/>
          <w:color w:val="000000" w:themeColor="text1"/>
          <w:szCs w:val="21"/>
        </w:rPr>
        <w:t xml:space="preserve">la </w:t>
      </w:r>
      <w:r w:rsidR="00921A4A">
        <w:rPr>
          <w:rFonts w:ascii="ITC Avant Garde" w:hAnsi="ITC Avant Garde" w:cs="Arial"/>
          <w:color w:val="000000" w:themeColor="text1"/>
          <w:szCs w:val="21"/>
        </w:rPr>
        <w:t xml:space="preserve">vigencia, </w:t>
      </w:r>
      <w:r w:rsidR="00785FD8">
        <w:rPr>
          <w:rFonts w:ascii="ITC Avant Garde" w:hAnsi="ITC Avant Garde" w:cs="Arial"/>
          <w:color w:val="000000" w:themeColor="text1"/>
          <w:szCs w:val="21"/>
        </w:rPr>
        <w:t xml:space="preserve">la </w:t>
      </w:r>
      <w:r w:rsidR="00921A4A">
        <w:rPr>
          <w:rFonts w:ascii="ITC Avant Garde" w:hAnsi="ITC Avant Garde" w:cs="Arial"/>
          <w:color w:val="000000" w:themeColor="text1"/>
          <w:szCs w:val="21"/>
        </w:rPr>
        <w:t xml:space="preserve">obligación solidaria del arrendatario en relación con el arrendador, </w:t>
      </w:r>
      <w:r w:rsidR="007F7CCD">
        <w:rPr>
          <w:rFonts w:ascii="ITC Avant Garde" w:hAnsi="ITC Avant Garde" w:cs="Arial"/>
          <w:color w:val="000000" w:themeColor="text1"/>
          <w:szCs w:val="21"/>
        </w:rPr>
        <w:t xml:space="preserve">las </w:t>
      </w:r>
      <w:r w:rsidR="006F5E6F">
        <w:rPr>
          <w:rFonts w:ascii="ITC Avant Garde" w:hAnsi="ITC Avant Garde" w:cs="Arial"/>
          <w:color w:val="000000" w:themeColor="text1"/>
          <w:szCs w:val="21"/>
        </w:rPr>
        <w:t xml:space="preserve">causales de terminación del contrato de arrendamiento, </w:t>
      </w:r>
      <w:r w:rsidR="00C15877">
        <w:rPr>
          <w:rFonts w:ascii="ITC Avant Garde" w:hAnsi="ITC Avant Garde" w:cs="Arial"/>
          <w:color w:val="000000" w:themeColor="text1"/>
          <w:szCs w:val="21"/>
        </w:rPr>
        <w:t xml:space="preserve">y la </w:t>
      </w:r>
      <w:r w:rsidR="006F5E6F">
        <w:rPr>
          <w:rFonts w:ascii="ITC Avant Garde" w:hAnsi="ITC Avant Garde" w:cs="Arial"/>
          <w:color w:val="000000" w:themeColor="text1"/>
          <w:szCs w:val="21"/>
        </w:rPr>
        <w:t xml:space="preserve">condición suspensiva de que el contrato no surtirá efectos hasta en tanto no se notifique la autorización correspondiente </w:t>
      </w:r>
      <w:r w:rsidR="00ED47AC">
        <w:rPr>
          <w:rFonts w:ascii="ITC Avant Garde" w:hAnsi="ITC Avant Garde" w:cs="Arial"/>
          <w:color w:val="000000" w:themeColor="text1"/>
          <w:szCs w:val="21"/>
        </w:rPr>
        <w:t xml:space="preserve">por </w:t>
      </w:r>
      <w:r w:rsidR="006F5E6F">
        <w:rPr>
          <w:rFonts w:ascii="ITC Avant Garde" w:hAnsi="ITC Avant Garde" w:cs="Arial"/>
          <w:color w:val="000000" w:themeColor="text1"/>
          <w:szCs w:val="21"/>
        </w:rPr>
        <w:t>Instituto</w:t>
      </w:r>
      <w:r w:rsidR="00ED47AC">
        <w:rPr>
          <w:rFonts w:ascii="ITC Avant Garde" w:hAnsi="ITC Avant Garde" w:cs="Arial"/>
          <w:color w:val="000000" w:themeColor="text1"/>
          <w:szCs w:val="21"/>
        </w:rPr>
        <w:t xml:space="preserve"> al arrendador</w:t>
      </w:r>
      <w:r w:rsidR="006F5E6F">
        <w:rPr>
          <w:rFonts w:ascii="ITC Avant Garde" w:hAnsi="ITC Avant Garde" w:cs="Arial"/>
          <w:color w:val="000000" w:themeColor="text1"/>
          <w:szCs w:val="21"/>
        </w:rPr>
        <w:t xml:space="preserve">. </w:t>
      </w:r>
    </w:p>
    <w:p w14:paraId="4FE28596"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7A48C9CD" w14:textId="15C19850" w:rsidR="00921A4A" w:rsidRDefault="00921A4A"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La vigencia del contrato de arrendamiento constituye una de las cláusulas que debe contener el acuerdo celebrado para el </w:t>
      </w:r>
      <w:r w:rsidR="0008274E">
        <w:rPr>
          <w:rFonts w:ascii="ITC Avant Garde" w:hAnsi="ITC Avant Garde" w:cs="Arial"/>
          <w:color w:val="000000" w:themeColor="text1"/>
          <w:szCs w:val="21"/>
        </w:rPr>
        <w:t>a</w:t>
      </w:r>
      <w:r>
        <w:rPr>
          <w:rFonts w:ascii="ITC Avant Garde" w:hAnsi="ITC Avant Garde" w:cs="Arial"/>
          <w:color w:val="000000" w:themeColor="text1"/>
          <w:szCs w:val="21"/>
        </w:rPr>
        <w:t xml:space="preserve">rrendamiento de </w:t>
      </w:r>
      <w:r w:rsidR="0008274E">
        <w:rPr>
          <w:rFonts w:ascii="ITC Avant Garde" w:hAnsi="ITC Avant Garde" w:cs="Arial"/>
          <w:color w:val="000000" w:themeColor="text1"/>
          <w:szCs w:val="21"/>
        </w:rPr>
        <w:t>b</w:t>
      </w:r>
      <w:r>
        <w:rPr>
          <w:rFonts w:ascii="ITC Avant Garde" w:hAnsi="ITC Avant Garde" w:cs="Arial"/>
          <w:color w:val="000000" w:themeColor="text1"/>
          <w:szCs w:val="21"/>
        </w:rPr>
        <w:t xml:space="preserve">andas de </w:t>
      </w:r>
      <w:r w:rsidR="0008274E">
        <w:rPr>
          <w:rFonts w:ascii="ITC Avant Garde" w:hAnsi="ITC Avant Garde" w:cs="Arial"/>
          <w:color w:val="000000" w:themeColor="text1"/>
          <w:szCs w:val="21"/>
        </w:rPr>
        <w:t>f</w:t>
      </w:r>
      <w:r>
        <w:rPr>
          <w:rFonts w:ascii="ITC Avant Garde" w:hAnsi="ITC Avant Garde" w:cs="Arial"/>
          <w:color w:val="000000" w:themeColor="text1"/>
          <w:szCs w:val="21"/>
        </w:rPr>
        <w:t>recuencias, en razón de que</w:t>
      </w:r>
      <w:r w:rsidR="00BD4326">
        <w:rPr>
          <w:rFonts w:ascii="ITC Avant Garde" w:hAnsi="ITC Avant Garde" w:cs="Arial"/>
          <w:color w:val="000000" w:themeColor="text1"/>
          <w:szCs w:val="21"/>
        </w:rPr>
        <w:t xml:space="preserve"> el Instituto y</w:t>
      </w:r>
      <w:r>
        <w:rPr>
          <w:rFonts w:ascii="ITC Avant Garde" w:hAnsi="ITC Avant Garde" w:cs="Arial"/>
          <w:color w:val="000000" w:themeColor="text1"/>
          <w:szCs w:val="21"/>
        </w:rPr>
        <w:t xml:space="preserve"> las partes tienen que tener seguridad y pleno conocimiento del tiempo por el que se han obligado en los términos y condiciones de los actos jurídicos celebrados. </w:t>
      </w:r>
    </w:p>
    <w:p w14:paraId="5572B428"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2C7657F2" w14:textId="34E25013" w:rsidR="00921A4A" w:rsidRDefault="00921A4A"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Dicho contrato se encuentra vinculado con la </w:t>
      </w:r>
      <w:r w:rsidR="006C3B38">
        <w:rPr>
          <w:rFonts w:ascii="ITC Avant Garde" w:hAnsi="ITC Avant Garde" w:cs="Arial"/>
          <w:color w:val="000000" w:themeColor="text1"/>
          <w:szCs w:val="21"/>
        </w:rPr>
        <w:t>concesión de espectro radioeléctrico</w:t>
      </w:r>
      <w:r>
        <w:rPr>
          <w:rFonts w:ascii="ITC Avant Garde" w:hAnsi="ITC Avant Garde" w:cs="Arial"/>
          <w:color w:val="000000" w:themeColor="text1"/>
          <w:szCs w:val="21"/>
        </w:rPr>
        <w:t xml:space="preserve"> del </w:t>
      </w:r>
      <w:r w:rsidR="0008274E">
        <w:rPr>
          <w:rFonts w:ascii="ITC Avant Garde" w:hAnsi="ITC Avant Garde" w:cs="Arial"/>
          <w:color w:val="000000" w:themeColor="text1"/>
          <w:szCs w:val="21"/>
        </w:rPr>
        <w:t>a</w:t>
      </w:r>
      <w:r>
        <w:rPr>
          <w:rFonts w:ascii="ITC Avant Garde" w:hAnsi="ITC Avant Garde" w:cs="Arial"/>
          <w:color w:val="000000" w:themeColor="text1"/>
          <w:szCs w:val="21"/>
        </w:rPr>
        <w:t xml:space="preserve">rrendador y a la </w:t>
      </w:r>
      <w:r w:rsidR="009F39B6">
        <w:rPr>
          <w:rFonts w:ascii="ITC Avant Garde" w:hAnsi="ITC Avant Garde" w:cs="Arial"/>
          <w:color w:val="000000" w:themeColor="text1"/>
          <w:szCs w:val="21"/>
        </w:rPr>
        <w:t>c</w:t>
      </w:r>
      <w:r>
        <w:rPr>
          <w:rFonts w:ascii="ITC Avant Garde" w:hAnsi="ITC Avant Garde" w:cs="Arial"/>
          <w:color w:val="000000" w:themeColor="text1"/>
          <w:szCs w:val="21"/>
        </w:rPr>
        <w:t xml:space="preserve">oncesión </w:t>
      </w:r>
      <w:r w:rsidR="009F39B6">
        <w:rPr>
          <w:rFonts w:ascii="ITC Avant Garde" w:hAnsi="ITC Avant Garde" w:cs="Arial"/>
          <w:color w:val="000000" w:themeColor="text1"/>
          <w:szCs w:val="21"/>
        </w:rPr>
        <w:t>ú</w:t>
      </w:r>
      <w:r>
        <w:rPr>
          <w:rFonts w:ascii="ITC Avant Garde" w:hAnsi="ITC Avant Garde" w:cs="Arial"/>
          <w:color w:val="000000" w:themeColor="text1"/>
          <w:szCs w:val="21"/>
        </w:rPr>
        <w:t xml:space="preserve">nica del </w:t>
      </w:r>
      <w:r w:rsidR="00DF1B26">
        <w:rPr>
          <w:rFonts w:ascii="ITC Avant Garde" w:hAnsi="ITC Avant Garde" w:cs="Arial"/>
          <w:color w:val="000000" w:themeColor="text1"/>
          <w:szCs w:val="21"/>
        </w:rPr>
        <w:t>arrendatario</w:t>
      </w:r>
      <w:r>
        <w:rPr>
          <w:rFonts w:ascii="ITC Avant Garde" w:hAnsi="ITC Avant Garde" w:cs="Arial"/>
          <w:color w:val="000000" w:themeColor="text1"/>
          <w:szCs w:val="21"/>
        </w:rPr>
        <w:t xml:space="preserve">, motivo por el cual, la temporalidad del </w:t>
      </w:r>
      <w:r w:rsidR="0008274E">
        <w:rPr>
          <w:rFonts w:ascii="ITC Avant Garde" w:hAnsi="ITC Avant Garde" w:cs="Arial"/>
          <w:color w:val="000000" w:themeColor="text1"/>
          <w:szCs w:val="21"/>
        </w:rPr>
        <w:t>c</w:t>
      </w:r>
      <w:r>
        <w:rPr>
          <w:rFonts w:ascii="ITC Avant Garde" w:hAnsi="ITC Avant Garde" w:cs="Arial"/>
          <w:color w:val="000000" w:themeColor="text1"/>
          <w:szCs w:val="21"/>
        </w:rPr>
        <w:t xml:space="preserve">ontrato de mérito no podría </w:t>
      </w:r>
      <w:r w:rsidR="00785FD8">
        <w:rPr>
          <w:rFonts w:ascii="ITC Avant Garde" w:hAnsi="ITC Avant Garde" w:cs="Arial"/>
          <w:color w:val="000000" w:themeColor="text1"/>
          <w:szCs w:val="21"/>
        </w:rPr>
        <w:t>ser superior a la del acto que le da</w:t>
      </w:r>
      <w:r>
        <w:rPr>
          <w:rFonts w:ascii="ITC Avant Garde" w:hAnsi="ITC Avant Garde" w:cs="Arial"/>
          <w:color w:val="000000" w:themeColor="text1"/>
          <w:szCs w:val="21"/>
        </w:rPr>
        <w:t xml:space="preserve"> origen. </w:t>
      </w:r>
    </w:p>
    <w:p w14:paraId="5318AA97"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74554E3A" w14:textId="2D6045E5" w:rsidR="00921A4A" w:rsidRDefault="00921A4A"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En estos términos, si bien es cierto </w:t>
      </w:r>
      <w:r w:rsidR="00705A2F">
        <w:rPr>
          <w:rFonts w:ascii="ITC Avant Garde" w:hAnsi="ITC Avant Garde" w:cs="Arial"/>
          <w:color w:val="000000" w:themeColor="text1"/>
          <w:szCs w:val="21"/>
        </w:rPr>
        <w:t xml:space="preserve">que </w:t>
      </w:r>
      <w:r>
        <w:rPr>
          <w:rFonts w:ascii="ITC Avant Garde" w:hAnsi="ITC Avant Garde" w:cs="Arial"/>
          <w:color w:val="000000" w:themeColor="text1"/>
          <w:szCs w:val="21"/>
        </w:rPr>
        <w:t xml:space="preserve">las partes podrán acordar la vigencia del contrato de arrendamiento, también lo es que deberán considerar la vigencia de las </w:t>
      </w:r>
      <w:r w:rsidR="0008274E">
        <w:rPr>
          <w:rFonts w:ascii="ITC Avant Garde" w:hAnsi="ITC Avant Garde" w:cs="Arial"/>
          <w:color w:val="000000" w:themeColor="text1"/>
          <w:szCs w:val="21"/>
        </w:rPr>
        <w:t>c</w:t>
      </w:r>
      <w:r>
        <w:rPr>
          <w:rFonts w:ascii="ITC Avant Garde" w:hAnsi="ITC Avant Garde" w:cs="Arial"/>
          <w:color w:val="000000" w:themeColor="text1"/>
          <w:szCs w:val="21"/>
        </w:rPr>
        <w:t>oncesiones de referencia, así como la previsión del último párrafo del artículo 104 de la Ley que establece que</w:t>
      </w:r>
      <w:r w:rsidR="0008274E">
        <w:rPr>
          <w:rFonts w:ascii="ITC Avant Garde" w:hAnsi="ITC Avant Garde" w:cs="Arial"/>
          <w:color w:val="000000" w:themeColor="text1"/>
          <w:szCs w:val="21"/>
        </w:rPr>
        <w:t xml:space="preserve"> el </w:t>
      </w:r>
      <w:r w:rsidR="0059301C">
        <w:rPr>
          <w:rFonts w:ascii="ITC Avant Garde" w:hAnsi="ITC Avant Garde" w:cs="Arial"/>
          <w:color w:val="000000" w:themeColor="text1"/>
          <w:szCs w:val="21"/>
        </w:rPr>
        <w:t>arrendamiento</w:t>
      </w:r>
      <w:r>
        <w:rPr>
          <w:rFonts w:ascii="ITC Avant Garde" w:hAnsi="ITC Avant Garde" w:cs="Arial"/>
          <w:color w:val="000000" w:themeColor="text1"/>
          <w:szCs w:val="21"/>
        </w:rPr>
        <w:t xml:space="preserve"> se extingue de pleno derecho cuando termine la concesión en cualquiera de los supuestos previstos en la Ley. </w:t>
      </w:r>
    </w:p>
    <w:p w14:paraId="07A6EC14" w14:textId="77777777" w:rsidR="00921A4A" w:rsidRPr="006D536F" w:rsidRDefault="00921A4A" w:rsidP="00921A4A">
      <w:pPr>
        <w:spacing w:after="0" w:line="240" w:lineRule="auto"/>
        <w:contextualSpacing/>
        <w:jc w:val="center"/>
        <w:rPr>
          <w:rFonts w:ascii="ITC Avant Garde" w:hAnsi="ITC Avant Garde" w:cs="Arial"/>
          <w:b/>
          <w:color w:val="000000" w:themeColor="text1"/>
          <w:szCs w:val="21"/>
        </w:rPr>
      </w:pPr>
    </w:p>
    <w:p w14:paraId="139B565E" w14:textId="04943A2B" w:rsidR="00921A4A" w:rsidRPr="00FA5B03" w:rsidRDefault="00BD4326"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E</w:t>
      </w:r>
      <w:r w:rsidR="00921A4A">
        <w:rPr>
          <w:rFonts w:ascii="ITC Avant Garde" w:hAnsi="ITC Avant Garde" w:cs="Arial"/>
          <w:color w:val="000000" w:themeColor="text1"/>
          <w:szCs w:val="21"/>
        </w:rPr>
        <w:t xml:space="preserve">l artículo </w:t>
      </w:r>
      <w:r w:rsidR="00921A4A" w:rsidRPr="00FA5B03">
        <w:rPr>
          <w:rFonts w:ascii="ITC Avant Garde" w:hAnsi="ITC Avant Garde" w:cs="Arial"/>
          <w:color w:val="000000" w:themeColor="text1"/>
          <w:szCs w:val="21"/>
        </w:rPr>
        <w:t>2483 del Código Civil Federal</w:t>
      </w:r>
      <w:r w:rsidR="00921A4A">
        <w:rPr>
          <w:rFonts w:ascii="ITC Avant Garde" w:hAnsi="ITC Avant Garde" w:cs="Arial"/>
          <w:color w:val="000000" w:themeColor="text1"/>
          <w:szCs w:val="21"/>
        </w:rPr>
        <w:t xml:space="preserve"> </w:t>
      </w:r>
      <w:r>
        <w:rPr>
          <w:rFonts w:ascii="ITC Avant Garde" w:hAnsi="ITC Avant Garde" w:cs="Arial"/>
          <w:color w:val="000000" w:themeColor="text1"/>
          <w:szCs w:val="21"/>
        </w:rPr>
        <w:t>establece las causas de terminación de un contrato de arrendamiento</w:t>
      </w:r>
      <w:r w:rsidR="00921A4A">
        <w:rPr>
          <w:rFonts w:ascii="ITC Avant Garde" w:hAnsi="ITC Avant Garde" w:cs="Arial"/>
          <w:color w:val="000000" w:themeColor="text1"/>
          <w:szCs w:val="21"/>
        </w:rPr>
        <w:t>, precepto que señala:</w:t>
      </w:r>
      <w:r w:rsidR="00921A4A" w:rsidRPr="00FA5B03">
        <w:rPr>
          <w:rFonts w:ascii="ITC Avant Garde" w:hAnsi="ITC Avant Garde" w:cs="Arial"/>
          <w:color w:val="000000" w:themeColor="text1"/>
          <w:szCs w:val="21"/>
        </w:rPr>
        <w:t xml:space="preserve"> </w:t>
      </w:r>
    </w:p>
    <w:p w14:paraId="494D05E7" w14:textId="77777777" w:rsidR="00921A4A" w:rsidRPr="00FA5B03" w:rsidRDefault="00921A4A" w:rsidP="00921A4A">
      <w:pPr>
        <w:spacing w:after="0" w:line="240" w:lineRule="auto"/>
        <w:contextualSpacing/>
        <w:jc w:val="both"/>
        <w:rPr>
          <w:rFonts w:ascii="ITC Avant Garde" w:hAnsi="ITC Avant Garde" w:cs="Arial"/>
          <w:color w:val="000000" w:themeColor="text1"/>
          <w:szCs w:val="21"/>
        </w:rPr>
      </w:pPr>
    </w:p>
    <w:p w14:paraId="2AE839C6" w14:textId="1BB085D8" w:rsidR="00921A4A" w:rsidRPr="00FA5B03" w:rsidRDefault="00921A4A" w:rsidP="00921A4A">
      <w:pPr>
        <w:spacing w:after="0" w:line="240" w:lineRule="auto"/>
        <w:ind w:left="1134" w:right="1182"/>
        <w:contextualSpacing/>
        <w:rPr>
          <w:rFonts w:ascii="ITC Avant Garde" w:hAnsi="ITC Avant Garde"/>
          <w:i/>
          <w:sz w:val="20"/>
          <w:szCs w:val="20"/>
        </w:rPr>
      </w:pPr>
      <w:r w:rsidRPr="00FA5B03">
        <w:rPr>
          <w:rFonts w:ascii="ITC Avant Garde" w:hAnsi="ITC Avant Garde"/>
          <w:i/>
          <w:sz w:val="20"/>
          <w:szCs w:val="20"/>
        </w:rPr>
        <w:t>“</w:t>
      </w:r>
      <w:r w:rsidRPr="00FA5B03">
        <w:rPr>
          <w:rFonts w:ascii="ITC Avant Garde" w:hAnsi="ITC Avant Garde"/>
          <w:b/>
          <w:i/>
          <w:sz w:val="20"/>
          <w:szCs w:val="20"/>
        </w:rPr>
        <w:t>Artículo 2483.-</w:t>
      </w:r>
      <w:r w:rsidRPr="00FA5B03">
        <w:rPr>
          <w:rFonts w:ascii="ITC Avant Garde" w:hAnsi="ITC Avant Garde"/>
          <w:i/>
          <w:sz w:val="20"/>
          <w:szCs w:val="20"/>
        </w:rPr>
        <w:t xml:space="preserve"> El arrendamiento puede determinar:</w:t>
      </w:r>
      <w:r w:rsidR="00343E08">
        <w:rPr>
          <w:rFonts w:ascii="ITC Avant Garde" w:hAnsi="ITC Avant Garde"/>
          <w:i/>
          <w:sz w:val="20"/>
          <w:szCs w:val="20"/>
        </w:rPr>
        <w:t xml:space="preserve"> (sic)</w:t>
      </w:r>
    </w:p>
    <w:p w14:paraId="29FD2604" w14:textId="77777777" w:rsidR="00921A4A" w:rsidRPr="00FA5B03" w:rsidRDefault="00921A4A" w:rsidP="00921A4A">
      <w:pPr>
        <w:spacing w:after="0" w:line="240" w:lineRule="auto"/>
        <w:ind w:left="1134" w:right="1182"/>
        <w:contextualSpacing/>
        <w:rPr>
          <w:rFonts w:ascii="ITC Avant Garde" w:hAnsi="ITC Avant Garde"/>
          <w:i/>
          <w:sz w:val="20"/>
          <w:szCs w:val="20"/>
        </w:rPr>
      </w:pPr>
      <w:r w:rsidRPr="00FA5B03">
        <w:rPr>
          <w:rFonts w:ascii="ITC Avant Garde" w:hAnsi="ITC Avant Garde"/>
          <w:i/>
          <w:sz w:val="20"/>
          <w:szCs w:val="20"/>
        </w:rPr>
        <w:t xml:space="preserve">I. </w:t>
      </w:r>
      <w:r w:rsidRPr="00BC3289">
        <w:rPr>
          <w:rFonts w:ascii="ITC Avant Garde" w:hAnsi="ITC Avant Garde"/>
          <w:b/>
          <w:i/>
          <w:sz w:val="20"/>
          <w:szCs w:val="20"/>
        </w:rPr>
        <w:t>Por haberse cumplido el plazo fijado en el contrato o por la ley</w:t>
      </w:r>
      <w:r w:rsidRPr="00FA5B03">
        <w:rPr>
          <w:rFonts w:ascii="ITC Avant Garde" w:hAnsi="ITC Avant Garde"/>
          <w:i/>
          <w:sz w:val="20"/>
          <w:szCs w:val="20"/>
        </w:rPr>
        <w:t xml:space="preserve">, o por estar satisfecho el objeto para que la cosa fue arrendada; </w:t>
      </w:r>
    </w:p>
    <w:p w14:paraId="6FA82D0F" w14:textId="77777777" w:rsidR="00921A4A" w:rsidRPr="00FA5B03" w:rsidRDefault="00921A4A" w:rsidP="00921A4A">
      <w:pPr>
        <w:spacing w:after="0" w:line="240" w:lineRule="auto"/>
        <w:ind w:left="1134" w:right="1182"/>
        <w:contextualSpacing/>
        <w:rPr>
          <w:rFonts w:ascii="ITC Avant Garde" w:hAnsi="ITC Avant Garde"/>
          <w:i/>
          <w:sz w:val="20"/>
          <w:szCs w:val="20"/>
        </w:rPr>
      </w:pPr>
      <w:r w:rsidRPr="00FA5B03">
        <w:rPr>
          <w:rFonts w:ascii="ITC Avant Garde" w:hAnsi="ITC Avant Garde"/>
          <w:i/>
          <w:sz w:val="20"/>
          <w:szCs w:val="20"/>
        </w:rPr>
        <w:t xml:space="preserve">II. Por convenio expreso; </w:t>
      </w:r>
    </w:p>
    <w:p w14:paraId="21D58ED7" w14:textId="77777777" w:rsidR="00921A4A" w:rsidRPr="00FA5B03" w:rsidRDefault="00921A4A" w:rsidP="00921A4A">
      <w:pPr>
        <w:spacing w:after="0" w:line="240" w:lineRule="auto"/>
        <w:ind w:left="1134" w:right="1182"/>
        <w:contextualSpacing/>
        <w:rPr>
          <w:rFonts w:ascii="ITC Avant Garde" w:hAnsi="ITC Avant Garde"/>
          <w:i/>
          <w:sz w:val="20"/>
          <w:szCs w:val="20"/>
        </w:rPr>
      </w:pPr>
      <w:r w:rsidRPr="00FA5B03">
        <w:rPr>
          <w:rFonts w:ascii="ITC Avant Garde" w:hAnsi="ITC Avant Garde"/>
          <w:i/>
          <w:sz w:val="20"/>
          <w:szCs w:val="20"/>
        </w:rPr>
        <w:t>III. Por nulidad;</w:t>
      </w:r>
    </w:p>
    <w:p w14:paraId="18D58149" w14:textId="77777777" w:rsidR="00921A4A" w:rsidRPr="00FA5B03" w:rsidRDefault="00921A4A" w:rsidP="00921A4A">
      <w:pPr>
        <w:spacing w:after="0" w:line="240" w:lineRule="auto"/>
        <w:ind w:left="1134" w:right="1182"/>
        <w:contextualSpacing/>
        <w:rPr>
          <w:rFonts w:ascii="ITC Avant Garde" w:hAnsi="ITC Avant Garde"/>
          <w:i/>
          <w:sz w:val="20"/>
          <w:szCs w:val="20"/>
        </w:rPr>
      </w:pPr>
      <w:r w:rsidRPr="00FA5B03">
        <w:rPr>
          <w:rFonts w:ascii="ITC Avant Garde" w:hAnsi="ITC Avant Garde"/>
          <w:i/>
          <w:sz w:val="20"/>
          <w:szCs w:val="20"/>
        </w:rPr>
        <w:t xml:space="preserve">IV. </w:t>
      </w:r>
      <w:r w:rsidRPr="00BC3289">
        <w:rPr>
          <w:rFonts w:ascii="ITC Avant Garde" w:hAnsi="ITC Avant Garde"/>
          <w:b/>
          <w:i/>
          <w:sz w:val="20"/>
          <w:szCs w:val="20"/>
        </w:rPr>
        <w:t>Por rescisión;</w:t>
      </w:r>
      <w:r w:rsidRPr="00FA5B03">
        <w:rPr>
          <w:rFonts w:ascii="ITC Avant Garde" w:hAnsi="ITC Avant Garde"/>
          <w:i/>
          <w:sz w:val="20"/>
          <w:szCs w:val="20"/>
        </w:rPr>
        <w:t xml:space="preserve"> </w:t>
      </w:r>
    </w:p>
    <w:p w14:paraId="51CD8351" w14:textId="77777777" w:rsidR="00921A4A" w:rsidRPr="00FA5B03" w:rsidRDefault="00921A4A" w:rsidP="00921A4A">
      <w:pPr>
        <w:spacing w:after="0" w:line="240" w:lineRule="auto"/>
        <w:ind w:left="1134" w:right="1182"/>
        <w:contextualSpacing/>
        <w:rPr>
          <w:rFonts w:ascii="ITC Avant Garde" w:hAnsi="ITC Avant Garde"/>
          <w:i/>
          <w:sz w:val="20"/>
          <w:szCs w:val="20"/>
        </w:rPr>
      </w:pPr>
      <w:r w:rsidRPr="00FA5B03">
        <w:rPr>
          <w:rFonts w:ascii="ITC Avant Garde" w:hAnsi="ITC Avant Garde"/>
          <w:i/>
          <w:sz w:val="20"/>
          <w:szCs w:val="20"/>
        </w:rPr>
        <w:t xml:space="preserve">V. Por confusión; </w:t>
      </w:r>
    </w:p>
    <w:p w14:paraId="5433A44C" w14:textId="77777777" w:rsidR="00921A4A" w:rsidRPr="00FA5B03" w:rsidRDefault="00921A4A" w:rsidP="00921A4A">
      <w:pPr>
        <w:spacing w:after="0" w:line="240" w:lineRule="auto"/>
        <w:ind w:left="1134" w:right="1182"/>
        <w:contextualSpacing/>
        <w:rPr>
          <w:rFonts w:ascii="ITC Avant Garde" w:hAnsi="ITC Avant Garde"/>
          <w:i/>
          <w:sz w:val="20"/>
          <w:szCs w:val="20"/>
        </w:rPr>
      </w:pPr>
      <w:r w:rsidRPr="00FA5B03">
        <w:rPr>
          <w:rFonts w:ascii="ITC Avant Garde" w:hAnsi="ITC Avant Garde"/>
          <w:i/>
          <w:sz w:val="20"/>
          <w:szCs w:val="20"/>
        </w:rPr>
        <w:t xml:space="preserve">VI. Por pérdida o destrucción total de la cosa arrendada, por caso fortuito o fuerza mayor; </w:t>
      </w:r>
    </w:p>
    <w:p w14:paraId="5C32EAB3" w14:textId="77777777" w:rsidR="00921A4A" w:rsidRPr="00FA5B03" w:rsidRDefault="00921A4A" w:rsidP="00921A4A">
      <w:pPr>
        <w:spacing w:after="0" w:line="240" w:lineRule="auto"/>
        <w:ind w:left="1134" w:right="1182"/>
        <w:contextualSpacing/>
        <w:rPr>
          <w:rFonts w:ascii="ITC Avant Garde" w:hAnsi="ITC Avant Garde"/>
          <w:i/>
          <w:sz w:val="20"/>
          <w:szCs w:val="20"/>
        </w:rPr>
      </w:pPr>
      <w:r w:rsidRPr="00FA5B03">
        <w:rPr>
          <w:rFonts w:ascii="ITC Avant Garde" w:hAnsi="ITC Avant Garde"/>
          <w:i/>
          <w:sz w:val="20"/>
          <w:szCs w:val="20"/>
        </w:rPr>
        <w:lastRenderedPageBreak/>
        <w:t>VII. Por expropiación de la cosa arrendada hecha por causa de utilidad pública;</w:t>
      </w:r>
    </w:p>
    <w:p w14:paraId="41B21603" w14:textId="631C4058" w:rsidR="00921A4A" w:rsidRDefault="00921A4A" w:rsidP="00540AA5">
      <w:pPr>
        <w:spacing w:after="0" w:line="240" w:lineRule="auto"/>
        <w:ind w:left="1134" w:right="1182"/>
        <w:contextualSpacing/>
        <w:rPr>
          <w:rFonts w:ascii="ITC Avant Garde" w:hAnsi="ITC Avant Garde" w:cs="Arial"/>
          <w:i/>
          <w:color w:val="000000" w:themeColor="text1"/>
          <w:sz w:val="20"/>
          <w:szCs w:val="20"/>
        </w:rPr>
      </w:pPr>
      <w:r w:rsidRPr="00FA5B03">
        <w:rPr>
          <w:rFonts w:ascii="ITC Avant Garde" w:hAnsi="ITC Avant Garde"/>
          <w:i/>
          <w:sz w:val="20"/>
          <w:szCs w:val="20"/>
        </w:rPr>
        <w:t>VIII. Por evicción de la cosa dada en arrendamiento.”</w:t>
      </w:r>
    </w:p>
    <w:p w14:paraId="4529F3D7" w14:textId="77777777" w:rsidR="00540AA5" w:rsidRDefault="00540AA5" w:rsidP="00540AA5">
      <w:pPr>
        <w:spacing w:after="0" w:line="240" w:lineRule="auto"/>
        <w:ind w:right="1182"/>
        <w:contextualSpacing/>
        <w:rPr>
          <w:rFonts w:ascii="ITC Avant Garde" w:hAnsi="ITC Avant Garde" w:cs="Arial"/>
          <w:i/>
          <w:color w:val="000000" w:themeColor="text1"/>
          <w:sz w:val="20"/>
          <w:szCs w:val="20"/>
        </w:rPr>
      </w:pPr>
    </w:p>
    <w:p w14:paraId="0F1ADD3E" w14:textId="0993A797" w:rsidR="00540AA5" w:rsidRPr="00540AA5" w:rsidRDefault="00540AA5" w:rsidP="00EB4F94">
      <w:pPr>
        <w:spacing w:after="0" w:line="240" w:lineRule="auto"/>
        <w:ind w:right="48"/>
        <w:contextualSpacing/>
        <w:jc w:val="both"/>
        <w:rPr>
          <w:rFonts w:ascii="ITC Avant Garde" w:hAnsi="ITC Avant Garde" w:cs="Arial"/>
          <w:color w:val="000000" w:themeColor="text1"/>
          <w:szCs w:val="21"/>
        </w:rPr>
      </w:pPr>
      <w:r w:rsidRPr="00540AA5">
        <w:rPr>
          <w:rFonts w:ascii="ITC Avant Garde" w:hAnsi="ITC Avant Garde" w:cs="Arial"/>
          <w:color w:val="000000" w:themeColor="text1"/>
          <w:szCs w:val="21"/>
        </w:rPr>
        <w:t xml:space="preserve">En ese sentido, los Lineamientos retoman las causales </w:t>
      </w:r>
      <w:r w:rsidR="006F5E6F">
        <w:rPr>
          <w:rFonts w:ascii="ITC Avant Garde" w:hAnsi="ITC Avant Garde" w:cs="Arial"/>
          <w:color w:val="000000" w:themeColor="text1"/>
          <w:szCs w:val="21"/>
        </w:rPr>
        <w:t xml:space="preserve">de terminación </w:t>
      </w:r>
      <w:r w:rsidRPr="00540AA5">
        <w:rPr>
          <w:rFonts w:ascii="ITC Avant Garde" w:hAnsi="ITC Avant Garde" w:cs="Arial"/>
          <w:color w:val="000000" w:themeColor="text1"/>
          <w:szCs w:val="21"/>
        </w:rPr>
        <w:t>que se considera pueden ser aplicables a la figura del arrendamiento de espectro.</w:t>
      </w:r>
    </w:p>
    <w:p w14:paraId="29505569" w14:textId="77777777" w:rsidR="00540AA5" w:rsidRPr="00540AA5" w:rsidRDefault="00540AA5" w:rsidP="00540AA5">
      <w:pPr>
        <w:spacing w:after="0" w:line="240" w:lineRule="auto"/>
        <w:ind w:right="1182"/>
        <w:contextualSpacing/>
        <w:rPr>
          <w:rFonts w:ascii="ITC Avant Garde" w:hAnsi="ITC Avant Garde" w:cs="Arial"/>
          <w:color w:val="000000" w:themeColor="text1"/>
          <w:szCs w:val="21"/>
        </w:rPr>
      </w:pPr>
    </w:p>
    <w:p w14:paraId="0563DDFF" w14:textId="63DB93BB" w:rsidR="00ED47AC" w:rsidRDefault="00ED47AC" w:rsidP="00ED47AC">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Los contratos de arrendamiento y los contratos de subarrendamiento constituyen uno de los documentos que deben presentarse al Instituto con la solicitud de autorización de arrendamiento o la solicitud de subarrendamiento, según cor</w:t>
      </w:r>
      <w:r w:rsidR="00960B2F">
        <w:rPr>
          <w:rFonts w:ascii="ITC Avant Garde" w:hAnsi="ITC Avant Garde" w:cs="Arial"/>
          <w:color w:val="000000" w:themeColor="text1"/>
          <w:szCs w:val="21"/>
        </w:rPr>
        <w:t>responda, de modo que mientras e</w:t>
      </w:r>
      <w:r>
        <w:rPr>
          <w:rFonts w:ascii="ITC Avant Garde" w:hAnsi="ITC Avant Garde" w:cs="Arial"/>
          <w:color w:val="000000" w:themeColor="text1"/>
          <w:szCs w:val="21"/>
        </w:rPr>
        <w:t xml:space="preserve">sta última no haya sido notificada a los solicitantes, no puede surtir efecto alguno el contrato de mérito. </w:t>
      </w:r>
    </w:p>
    <w:p w14:paraId="604D4A6B" w14:textId="1248F0BD" w:rsidR="00921A4A" w:rsidRDefault="00ED47AC" w:rsidP="00921A4A">
      <w:pPr>
        <w:spacing w:after="0" w:line="240" w:lineRule="auto"/>
        <w:contextualSpacing/>
        <w:jc w:val="both"/>
        <w:rPr>
          <w:rFonts w:ascii="ITC Avant Garde" w:hAnsi="ITC Avant Garde" w:cs="Arial"/>
          <w:color w:val="000000" w:themeColor="text1"/>
          <w:szCs w:val="21"/>
        </w:rPr>
      </w:pPr>
      <w:r w:rsidDel="00ED47AC">
        <w:rPr>
          <w:rFonts w:ascii="ITC Avant Garde" w:hAnsi="ITC Avant Garde" w:cs="Arial"/>
          <w:color w:val="000000" w:themeColor="text1"/>
          <w:szCs w:val="21"/>
        </w:rPr>
        <w:t xml:space="preserve"> </w:t>
      </w:r>
    </w:p>
    <w:p w14:paraId="102CCC22" w14:textId="77777777" w:rsidR="00921A4A" w:rsidRDefault="00921A4A"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El artículo 1796 del Código Civil Federal prevé:</w:t>
      </w:r>
    </w:p>
    <w:p w14:paraId="219FDEFD"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0D3A50F4" w14:textId="77777777" w:rsidR="00921A4A" w:rsidRPr="004927D5" w:rsidRDefault="00921A4A" w:rsidP="00921A4A">
      <w:pPr>
        <w:spacing w:after="0" w:line="240" w:lineRule="auto"/>
        <w:ind w:left="1134" w:right="1182"/>
        <w:contextualSpacing/>
        <w:jc w:val="both"/>
        <w:rPr>
          <w:rFonts w:ascii="ITC Avant Garde" w:hAnsi="ITC Avant Garde" w:cs="Arial"/>
          <w:i/>
          <w:color w:val="000000" w:themeColor="text1"/>
          <w:sz w:val="20"/>
          <w:szCs w:val="20"/>
        </w:rPr>
      </w:pPr>
      <w:r w:rsidRPr="00343E08">
        <w:rPr>
          <w:rFonts w:ascii="ITC Avant Garde" w:hAnsi="ITC Avant Garde"/>
          <w:i/>
          <w:sz w:val="20"/>
          <w:szCs w:val="20"/>
        </w:rPr>
        <w:t>“</w:t>
      </w:r>
      <w:r w:rsidRPr="004927D5">
        <w:rPr>
          <w:rFonts w:ascii="ITC Avant Garde" w:hAnsi="ITC Avant Garde"/>
          <w:b/>
          <w:i/>
          <w:sz w:val="20"/>
          <w:szCs w:val="20"/>
        </w:rPr>
        <w:t>Artículo 1796</w:t>
      </w:r>
      <w:r w:rsidRPr="004927D5">
        <w:rPr>
          <w:rFonts w:ascii="ITC Avant Garde" w:hAnsi="ITC Avant Garde"/>
          <w:i/>
          <w:sz w:val="20"/>
          <w:szCs w:val="20"/>
        </w:rPr>
        <w:t>.- Los contratos se perfeccionan por el mero consentimiento, excepto aquellos que deben revestir una forma establecida por la ley. Desde que se perfeccionan obligan a los contratantes, no sólo al cumplimiento de lo expresamente pactado, sino también a las consecuencias que, según su naturaleza, son conforme a la buena fe, al uso o a la ley.”</w:t>
      </w:r>
    </w:p>
    <w:p w14:paraId="1140473B" w14:textId="77777777" w:rsidR="00921A4A" w:rsidRDefault="00921A4A" w:rsidP="00921A4A">
      <w:pPr>
        <w:spacing w:after="0" w:line="240" w:lineRule="auto"/>
        <w:contextualSpacing/>
        <w:jc w:val="center"/>
        <w:rPr>
          <w:rFonts w:ascii="ITC Avant Garde" w:hAnsi="ITC Avant Garde" w:cs="Arial"/>
          <w:b/>
          <w:color w:val="000000" w:themeColor="text1"/>
          <w:szCs w:val="21"/>
        </w:rPr>
      </w:pPr>
    </w:p>
    <w:p w14:paraId="69F96AD0" w14:textId="3996B9D0" w:rsidR="00921A4A" w:rsidRDefault="00921A4A" w:rsidP="00921A4A">
      <w:pPr>
        <w:spacing w:after="0" w:line="240" w:lineRule="auto"/>
        <w:contextualSpacing/>
        <w:jc w:val="both"/>
        <w:rPr>
          <w:rFonts w:ascii="ITC Avant Garde" w:hAnsi="ITC Avant Garde" w:cs="Arial"/>
          <w:b/>
          <w:color w:val="000000" w:themeColor="text1"/>
          <w:szCs w:val="21"/>
        </w:rPr>
      </w:pPr>
      <w:r>
        <w:rPr>
          <w:rFonts w:ascii="ITC Avant Garde" w:hAnsi="ITC Avant Garde" w:cs="Arial"/>
          <w:color w:val="000000" w:themeColor="text1"/>
          <w:szCs w:val="21"/>
        </w:rPr>
        <w:t>Luego, los contratos desde que se perfeccionan obligan a los contratantes</w:t>
      </w:r>
      <w:r w:rsidR="004A1869">
        <w:rPr>
          <w:rFonts w:ascii="ITC Avant Garde" w:hAnsi="ITC Avant Garde" w:cs="Arial"/>
          <w:color w:val="000000" w:themeColor="text1"/>
          <w:szCs w:val="21"/>
        </w:rPr>
        <w:t>;</w:t>
      </w:r>
      <w:r>
        <w:rPr>
          <w:rFonts w:ascii="ITC Avant Garde" w:hAnsi="ITC Avant Garde" w:cs="Arial"/>
          <w:color w:val="000000" w:themeColor="text1"/>
          <w:szCs w:val="21"/>
        </w:rPr>
        <w:t xml:space="preserve"> sin embargo, la materia de la solicitud de </w:t>
      </w:r>
      <w:r w:rsidR="004A1869">
        <w:rPr>
          <w:rFonts w:ascii="ITC Avant Garde" w:hAnsi="ITC Avant Garde" w:cs="Arial"/>
          <w:color w:val="000000" w:themeColor="text1"/>
          <w:szCs w:val="21"/>
        </w:rPr>
        <w:t>a</w:t>
      </w:r>
      <w:r>
        <w:rPr>
          <w:rFonts w:ascii="ITC Avant Garde" w:hAnsi="ITC Avant Garde" w:cs="Arial"/>
          <w:color w:val="000000" w:themeColor="text1"/>
          <w:szCs w:val="21"/>
        </w:rPr>
        <w:t xml:space="preserve">utorización lo constituye el </w:t>
      </w:r>
      <w:r w:rsidR="004A1869">
        <w:rPr>
          <w:rFonts w:ascii="ITC Avant Garde" w:hAnsi="ITC Avant Garde" w:cs="Arial"/>
          <w:color w:val="000000" w:themeColor="text1"/>
          <w:szCs w:val="21"/>
        </w:rPr>
        <w:t>a</w:t>
      </w:r>
      <w:r>
        <w:rPr>
          <w:rFonts w:ascii="ITC Avant Garde" w:hAnsi="ITC Avant Garde" w:cs="Arial"/>
          <w:color w:val="000000" w:themeColor="text1"/>
          <w:szCs w:val="21"/>
        </w:rPr>
        <w:t xml:space="preserve">rrendamiento </w:t>
      </w:r>
      <w:r w:rsidR="00A10801">
        <w:rPr>
          <w:rFonts w:ascii="ITC Avant Garde" w:hAnsi="ITC Avant Garde" w:cs="Arial"/>
          <w:color w:val="000000" w:themeColor="text1"/>
          <w:szCs w:val="21"/>
        </w:rPr>
        <w:t xml:space="preserve">o subarrendamiento </w:t>
      </w:r>
      <w:r>
        <w:rPr>
          <w:rFonts w:ascii="ITC Avant Garde" w:hAnsi="ITC Avant Garde" w:cs="Arial"/>
          <w:color w:val="000000" w:themeColor="text1"/>
          <w:szCs w:val="21"/>
        </w:rPr>
        <w:t xml:space="preserve">de </w:t>
      </w:r>
      <w:r w:rsidR="004A1869">
        <w:rPr>
          <w:rFonts w:ascii="ITC Avant Garde" w:hAnsi="ITC Avant Garde" w:cs="Arial"/>
          <w:color w:val="000000" w:themeColor="text1"/>
          <w:szCs w:val="21"/>
        </w:rPr>
        <w:t>e</w:t>
      </w:r>
      <w:r>
        <w:rPr>
          <w:rFonts w:ascii="ITC Avant Garde" w:hAnsi="ITC Avant Garde" w:cs="Arial"/>
          <w:color w:val="000000" w:themeColor="text1"/>
          <w:szCs w:val="21"/>
        </w:rPr>
        <w:t xml:space="preserve">spectro </w:t>
      </w:r>
      <w:r w:rsidR="004A1869">
        <w:rPr>
          <w:rFonts w:ascii="ITC Avant Garde" w:hAnsi="ITC Avant Garde" w:cs="Arial"/>
          <w:color w:val="000000" w:themeColor="text1"/>
          <w:szCs w:val="21"/>
        </w:rPr>
        <w:t>r</w:t>
      </w:r>
      <w:r>
        <w:rPr>
          <w:rFonts w:ascii="ITC Avant Garde" w:hAnsi="ITC Avant Garde" w:cs="Arial"/>
          <w:color w:val="000000" w:themeColor="text1"/>
          <w:szCs w:val="21"/>
        </w:rPr>
        <w:t xml:space="preserve">adioeléctrico, un bien de dominio público, por lo que no podría surtir efectos el contrato de mérito hasta que se haya </w:t>
      </w:r>
      <w:r w:rsidR="00A10801">
        <w:rPr>
          <w:rFonts w:ascii="ITC Avant Garde" w:hAnsi="ITC Avant Garde" w:cs="Arial"/>
          <w:color w:val="000000" w:themeColor="text1"/>
          <w:szCs w:val="21"/>
        </w:rPr>
        <w:t xml:space="preserve">sido notificada la autorización correspondiente </w:t>
      </w:r>
      <w:r>
        <w:rPr>
          <w:rFonts w:ascii="ITC Avant Garde" w:hAnsi="ITC Avant Garde" w:cs="Arial"/>
          <w:color w:val="000000" w:themeColor="text1"/>
          <w:szCs w:val="21"/>
        </w:rPr>
        <w:t>por parte del Instituto</w:t>
      </w:r>
      <w:r w:rsidR="00F76019">
        <w:rPr>
          <w:rFonts w:ascii="ITC Avant Garde" w:hAnsi="ITC Avant Garde" w:cs="Arial"/>
          <w:color w:val="000000" w:themeColor="text1"/>
          <w:szCs w:val="21"/>
        </w:rPr>
        <w:t xml:space="preserve"> o haya operado la afirmativa ficta</w:t>
      </w:r>
      <w:r>
        <w:rPr>
          <w:rFonts w:ascii="ITC Avant Garde" w:hAnsi="ITC Avant Garde" w:cs="Arial"/>
          <w:color w:val="000000" w:themeColor="text1"/>
          <w:szCs w:val="21"/>
        </w:rPr>
        <w:t>, puesto que</w:t>
      </w:r>
      <w:r w:rsidR="00D740B0">
        <w:rPr>
          <w:rFonts w:ascii="ITC Avant Garde" w:hAnsi="ITC Avant Garde" w:cs="Arial"/>
          <w:color w:val="000000" w:themeColor="text1"/>
          <w:szCs w:val="21"/>
        </w:rPr>
        <w:t>,</w:t>
      </w:r>
      <w:r>
        <w:rPr>
          <w:rFonts w:ascii="ITC Avant Garde" w:hAnsi="ITC Avant Garde" w:cs="Arial"/>
          <w:color w:val="000000" w:themeColor="text1"/>
          <w:szCs w:val="21"/>
        </w:rPr>
        <w:t xml:space="preserve"> la administración del espectro le corresponde al Estado, lo cual no está sujeto a la voluntad de las partes. </w:t>
      </w:r>
    </w:p>
    <w:p w14:paraId="2C5C07D5" w14:textId="77777777" w:rsidR="00921A4A" w:rsidRDefault="00921A4A" w:rsidP="00921A4A">
      <w:pPr>
        <w:spacing w:after="0" w:line="240" w:lineRule="auto"/>
        <w:contextualSpacing/>
        <w:jc w:val="both"/>
        <w:rPr>
          <w:rFonts w:ascii="ITC Avant Garde" w:hAnsi="ITC Avant Garde" w:cs="Arial"/>
          <w:b/>
          <w:color w:val="000000" w:themeColor="text1"/>
          <w:szCs w:val="21"/>
        </w:rPr>
      </w:pPr>
    </w:p>
    <w:p w14:paraId="5C8E636A" w14:textId="21766B22" w:rsidR="007C229E" w:rsidRDefault="00921A4A" w:rsidP="007C229E">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La modificación del contrato de arrendamiento </w:t>
      </w:r>
      <w:r w:rsidR="007C229E">
        <w:rPr>
          <w:rFonts w:ascii="ITC Avant Garde" w:hAnsi="ITC Avant Garde" w:cs="Arial"/>
          <w:color w:val="000000" w:themeColor="text1"/>
          <w:szCs w:val="21"/>
        </w:rPr>
        <w:t xml:space="preserve">o el contrato de subarrendamiento </w:t>
      </w:r>
      <w:r>
        <w:rPr>
          <w:rFonts w:ascii="ITC Avant Garde" w:hAnsi="ITC Avant Garde" w:cs="Arial"/>
          <w:color w:val="000000" w:themeColor="text1"/>
          <w:szCs w:val="21"/>
        </w:rPr>
        <w:t>modifica las obligaciones pactadas por las partes, al sustituirse por una nueva de común acuerdo por los contratantes</w:t>
      </w:r>
      <w:r w:rsidR="007C229E">
        <w:rPr>
          <w:rFonts w:ascii="ITC Avant Garde" w:hAnsi="ITC Avant Garde" w:cs="Arial"/>
          <w:color w:val="000000" w:themeColor="text1"/>
          <w:szCs w:val="21"/>
        </w:rPr>
        <w:t>, de modo que deberán ser objeto de una nueva autorización de arrendamiento o de una nueva autorización de subarrendamiento, según corresponda</w:t>
      </w:r>
      <w:r w:rsidR="00322B77">
        <w:rPr>
          <w:rFonts w:ascii="ITC Avant Garde" w:hAnsi="ITC Avant Garde" w:cs="Arial"/>
          <w:color w:val="000000" w:themeColor="text1"/>
          <w:szCs w:val="21"/>
        </w:rPr>
        <w:t>, con excepción del precio o renta</w:t>
      </w:r>
      <w:r w:rsidR="007C229E">
        <w:rPr>
          <w:rFonts w:ascii="ITC Avant Garde" w:hAnsi="ITC Avant Garde" w:cs="Arial"/>
          <w:color w:val="000000" w:themeColor="text1"/>
          <w:szCs w:val="21"/>
        </w:rPr>
        <w:t xml:space="preserve">. </w:t>
      </w:r>
    </w:p>
    <w:p w14:paraId="5D88B61E" w14:textId="77777777" w:rsidR="007C229E" w:rsidRDefault="007C229E" w:rsidP="007C229E">
      <w:pPr>
        <w:spacing w:after="0" w:line="240" w:lineRule="auto"/>
        <w:contextualSpacing/>
        <w:jc w:val="both"/>
        <w:rPr>
          <w:rFonts w:ascii="ITC Avant Garde" w:hAnsi="ITC Avant Garde" w:cs="Arial"/>
          <w:color w:val="000000" w:themeColor="text1"/>
          <w:szCs w:val="21"/>
        </w:rPr>
      </w:pPr>
    </w:p>
    <w:p w14:paraId="395EE8F2" w14:textId="4AE4A8BF" w:rsidR="00921A4A" w:rsidRPr="007C229E" w:rsidRDefault="007C229E" w:rsidP="00921A4A">
      <w:pPr>
        <w:spacing w:after="0" w:line="240" w:lineRule="auto"/>
        <w:jc w:val="both"/>
        <w:rPr>
          <w:rFonts w:ascii="ITC Avant Garde" w:hAnsi="ITC Avant Garde"/>
        </w:rPr>
      </w:pPr>
      <w:r>
        <w:rPr>
          <w:rFonts w:ascii="ITC Avant Garde" w:hAnsi="ITC Avant Garde" w:cs="Arial"/>
          <w:color w:val="000000" w:themeColor="text1"/>
          <w:szCs w:val="21"/>
        </w:rPr>
        <w:t xml:space="preserve">Lo anterior, independientemente de </w:t>
      </w:r>
      <w:r w:rsidRPr="00E97D62">
        <w:rPr>
          <w:rFonts w:ascii="ITC Avant Garde" w:hAnsi="ITC Avant Garde"/>
        </w:rPr>
        <w:t xml:space="preserve">la </w:t>
      </w:r>
      <w:r>
        <w:rPr>
          <w:rFonts w:ascii="ITC Avant Garde" w:hAnsi="ITC Avant Garde"/>
        </w:rPr>
        <w:t xml:space="preserve">modificación en la </w:t>
      </w:r>
      <w:r w:rsidRPr="00E97D62">
        <w:rPr>
          <w:rFonts w:ascii="ITC Avant Garde" w:hAnsi="ITC Avant Garde"/>
        </w:rPr>
        <w:t xml:space="preserve">renta o precio materia del </w:t>
      </w:r>
      <w:r>
        <w:rPr>
          <w:rFonts w:ascii="ITC Avant Garde" w:hAnsi="ITC Avant Garde"/>
        </w:rPr>
        <w:t>contrato de a</w:t>
      </w:r>
      <w:r w:rsidRPr="00E97D62">
        <w:rPr>
          <w:rFonts w:ascii="ITC Avant Garde" w:hAnsi="ITC Avant Garde"/>
        </w:rPr>
        <w:t xml:space="preserve">rrendamiento o del </w:t>
      </w:r>
      <w:r>
        <w:rPr>
          <w:rFonts w:ascii="ITC Avant Garde" w:hAnsi="ITC Avant Garde"/>
        </w:rPr>
        <w:t>contrato de s</w:t>
      </w:r>
      <w:r w:rsidRPr="00E97D62">
        <w:rPr>
          <w:rFonts w:ascii="ITC Avant Garde" w:hAnsi="ITC Avant Garde"/>
        </w:rPr>
        <w:t xml:space="preserve">ubarrendamiento, </w:t>
      </w:r>
      <w:r>
        <w:rPr>
          <w:rFonts w:ascii="ITC Avant Garde" w:hAnsi="ITC Avant Garde"/>
        </w:rPr>
        <w:t>lo cual, al ser determinado y negociado libremente por las partes</w:t>
      </w:r>
      <w:r w:rsidR="00890BE1">
        <w:rPr>
          <w:rFonts w:ascii="ITC Avant Garde" w:hAnsi="ITC Avant Garde"/>
        </w:rPr>
        <w:t>,</w:t>
      </w:r>
      <w:r>
        <w:rPr>
          <w:rFonts w:ascii="ITC Avant Garde" w:hAnsi="ITC Avant Garde"/>
        </w:rPr>
        <w:t xml:space="preserve"> </w:t>
      </w:r>
      <w:r w:rsidRPr="00E97D62">
        <w:rPr>
          <w:rFonts w:ascii="ITC Avant Garde" w:hAnsi="ITC Avant Garde"/>
        </w:rPr>
        <w:t xml:space="preserve">solamente deberán hacerse del conocimiento del Instituto, con por lo menos 15 (quince) días hábiles de anticipación a que surta efectos la </w:t>
      </w:r>
      <w:r>
        <w:rPr>
          <w:rFonts w:ascii="ITC Avant Garde" w:hAnsi="ITC Avant Garde"/>
        </w:rPr>
        <w:t>modificación</w:t>
      </w:r>
      <w:r w:rsidRPr="00E97D62">
        <w:rPr>
          <w:rFonts w:ascii="ITC Avant Garde" w:hAnsi="ITC Avant Garde"/>
        </w:rPr>
        <w:t xml:space="preserve"> respectiva</w:t>
      </w:r>
      <w:r w:rsidR="00921A4A">
        <w:rPr>
          <w:rFonts w:ascii="ITC Avant Garde" w:hAnsi="ITC Avant Garde" w:cs="Arial"/>
          <w:color w:val="000000" w:themeColor="text1"/>
          <w:szCs w:val="21"/>
        </w:rPr>
        <w:t xml:space="preserve">. </w:t>
      </w:r>
    </w:p>
    <w:p w14:paraId="14C743F9" w14:textId="77777777" w:rsidR="00921A4A" w:rsidRPr="00491708" w:rsidRDefault="00921A4A" w:rsidP="00F003B2">
      <w:pPr>
        <w:pStyle w:val="Prrafodelista"/>
        <w:pBdr>
          <w:top w:val="nil"/>
          <w:left w:val="nil"/>
          <w:bottom w:val="nil"/>
          <w:right w:val="nil"/>
          <w:between w:val="nil"/>
          <w:bar w:val="nil"/>
        </w:pBdr>
        <w:suppressAutoHyphens/>
        <w:ind w:left="720"/>
        <w:contextualSpacing/>
        <w:jc w:val="both"/>
        <w:rPr>
          <w:rFonts w:ascii="ITC Avant Garde" w:hAnsi="ITC Avant Garde" w:cs="Arial"/>
          <w:color w:val="000000" w:themeColor="text1"/>
          <w:sz w:val="22"/>
          <w:szCs w:val="22"/>
        </w:rPr>
      </w:pPr>
    </w:p>
    <w:p w14:paraId="2FB6090C" w14:textId="6F592941" w:rsidR="00F37C4D" w:rsidRPr="00491708" w:rsidRDefault="00F37C4D" w:rsidP="00F003B2">
      <w:pPr>
        <w:pStyle w:val="Prrafodelista"/>
        <w:pBdr>
          <w:top w:val="nil"/>
          <w:left w:val="nil"/>
          <w:bottom w:val="nil"/>
          <w:right w:val="nil"/>
          <w:between w:val="nil"/>
          <w:bar w:val="nil"/>
        </w:pBdr>
        <w:suppressAutoHyphens/>
        <w:ind w:left="0"/>
        <w:contextualSpacing/>
        <w:jc w:val="both"/>
        <w:rPr>
          <w:rFonts w:ascii="ITC Avant Garde" w:hAnsi="ITC Avant Garde" w:cs="Arial"/>
          <w:color w:val="000000" w:themeColor="text1"/>
          <w:sz w:val="22"/>
          <w:szCs w:val="22"/>
        </w:rPr>
      </w:pPr>
      <w:r w:rsidRPr="00491708">
        <w:rPr>
          <w:rFonts w:ascii="ITC Avant Garde" w:hAnsi="ITC Avant Garde" w:cs="Arial"/>
          <w:color w:val="000000" w:themeColor="text1"/>
          <w:sz w:val="22"/>
          <w:szCs w:val="22"/>
        </w:rPr>
        <w:t>El Capítulo IV</w:t>
      </w:r>
      <w:r w:rsidR="00AC5367">
        <w:rPr>
          <w:rFonts w:ascii="ITC Avant Garde" w:hAnsi="ITC Avant Garde" w:cs="Arial"/>
          <w:color w:val="000000" w:themeColor="text1"/>
          <w:sz w:val="22"/>
          <w:szCs w:val="22"/>
        </w:rPr>
        <w:t>,</w:t>
      </w:r>
      <w:r w:rsidRPr="00491708">
        <w:rPr>
          <w:rFonts w:ascii="ITC Avant Garde" w:hAnsi="ITC Avant Garde" w:cs="Arial"/>
          <w:color w:val="000000" w:themeColor="text1"/>
          <w:sz w:val="22"/>
          <w:szCs w:val="22"/>
        </w:rPr>
        <w:t xml:space="preserve"> denominado </w:t>
      </w:r>
      <w:r w:rsidRPr="00491708">
        <w:rPr>
          <w:rFonts w:ascii="ITC Avant Garde" w:hAnsi="ITC Avant Garde" w:cs="Arial"/>
          <w:b/>
          <w:i/>
          <w:color w:val="000000" w:themeColor="text1"/>
          <w:sz w:val="22"/>
          <w:szCs w:val="22"/>
        </w:rPr>
        <w:t xml:space="preserve">“De la Autorización”, </w:t>
      </w:r>
      <w:r w:rsidRPr="00491708">
        <w:rPr>
          <w:rFonts w:ascii="ITC Avant Garde" w:hAnsi="ITC Avant Garde" w:cs="Arial"/>
          <w:color w:val="000000" w:themeColor="text1"/>
          <w:sz w:val="22"/>
          <w:szCs w:val="22"/>
        </w:rPr>
        <w:t>en su generalidad indica:</w:t>
      </w:r>
    </w:p>
    <w:p w14:paraId="7585E640" w14:textId="77777777" w:rsidR="00F37C4D" w:rsidRPr="00491708" w:rsidRDefault="00F37C4D" w:rsidP="00F003B2">
      <w:pPr>
        <w:pStyle w:val="Prrafodelista"/>
        <w:pBdr>
          <w:top w:val="nil"/>
          <w:left w:val="nil"/>
          <w:bottom w:val="nil"/>
          <w:right w:val="nil"/>
          <w:between w:val="nil"/>
          <w:bar w:val="nil"/>
        </w:pBdr>
        <w:suppressAutoHyphens/>
        <w:ind w:left="0"/>
        <w:contextualSpacing/>
        <w:jc w:val="both"/>
        <w:rPr>
          <w:rFonts w:ascii="ITC Avant Garde" w:hAnsi="ITC Avant Garde" w:cs="Arial"/>
          <w:b/>
          <w:color w:val="000000" w:themeColor="text1"/>
          <w:sz w:val="22"/>
          <w:szCs w:val="22"/>
        </w:rPr>
      </w:pPr>
      <w:r w:rsidRPr="00491708">
        <w:rPr>
          <w:rFonts w:ascii="ITC Avant Garde" w:hAnsi="ITC Avant Garde" w:cs="Arial"/>
          <w:color w:val="000000" w:themeColor="text1"/>
          <w:sz w:val="22"/>
          <w:szCs w:val="22"/>
        </w:rPr>
        <w:t xml:space="preserve"> </w:t>
      </w:r>
    </w:p>
    <w:p w14:paraId="2CDF1DBC" w14:textId="268C2E32" w:rsidR="00F37C4D" w:rsidRPr="00491708" w:rsidRDefault="00785FD8" w:rsidP="00F003B2">
      <w:pPr>
        <w:pStyle w:val="Prrafodelista"/>
        <w:numPr>
          <w:ilvl w:val="0"/>
          <w:numId w:val="27"/>
        </w:numPr>
        <w:pBdr>
          <w:top w:val="nil"/>
          <w:left w:val="nil"/>
          <w:bottom w:val="nil"/>
          <w:right w:val="nil"/>
          <w:between w:val="nil"/>
          <w:bar w:val="nil"/>
        </w:pBdr>
        <w:suppressAutoHyphens/>
        <w:contextualSpacing/>
        <w:jc w:val="both"/>
        <w:rPr>
          <w:rFonts w:ascii="ITC Avant Garde" w:hAnsi="ITC Avant Garde" w:cs="Arial"/>
          <w:b/>
          <w:color w:val="000000" w:themeColor="text1"/>
          <w:sz w:val="22"/>
          <w:szCs w:val="22"/>
        </w:rPr>
      </w:pPr>
      <w:r>
        <w:rPr>
          <w:rFonts w:ascii="ITC Avant Garde" w:hAnsi="ITC Avant Garde" w:cs="Arial"/>
          <w:color w:val="000000" w:themeColor="text1"/>
          <w:sz w:val="22"/>
          <w:szCs w:val="22"/>
        </w:rPr>
        <w:t>El l</w:t>
      </w:r>
      <w:r w:rsidR="00F37C4D" w:rsidRPr="00491708">
        <w:rPr>
          <w:rFonts w:ascii="ITC Avant Garde" w:hAnsi="ITC Avant Garde" w:cs="Arial"/>
          <w:color w:val="000000" w:themeColor="text1"/>
          <w:sz w:val="22"/>
          <w:szCs w:val="22"/>
        </w:rPr>
        <w:t xml:space="preserve">ugar en que se </w:t>
      </w:r>
      <w:r w:rsidR="00AC5367">
        <w:rPr>
          <w:rFonts w:ascii="ITC Avant Garde" w:hAnsi="ITC Avant Garde" w:cs="Arial"/>
          <w:color w:val="000000" w:themeColor="text1"/>
          <w:sz w:val="22"/>
          <w:szCs w:val="22"/>
        </w:rPr>
        <w:t>debe presentar la solicitud de a</w:t>
      </w:r>
      <w:r w:rsidR="00F37C4D" w:rsidRPr="00491708">
        <w:rPr>
          <w:rFonts w:ascii="ITC Avant Garde" w:hAnsi="ITC Avant Garde" w:cs="Arial"/>
          <w:color w:val="000000" w:themeColor="text1"/>
          <w:sz w:val="22"/>
          <w:szCs w:val="22"/>
        </w:rPr>
        <w:t xml:space="preserve">utorización de </w:t>
      </w:r>
      <w:r w:rsidR="00AC5367">
        <w:rPr>
          <w:rFonts w:ascii="ITC Avant Garde" w:hAnsi="ITC Avant Garde" w:cs="Arial"/>
          <w:color w:val="000000" w:themeColor="text1"/>
          <w:sz w:val="22"/>
          <w:szCs w:val="22"/>
        </w:rPr>
        <w:t>a</w:t>
      </w:r>
      <w:r w:rsidR="00F37C4D" w:rsidRPr="00491708">
        <w:rPr>
          <w:rFonts w:ascii="ITC Avant Garde" w:hAnsi="ITC Avant Garde" w:cs="Arial"/>
          <w:color w:val="000000" w:themeColor="text1"/>
          <w:sz w:val="22"/>
          <w:szCs w:val="22"/>
        </w:rPr>
        <w:t>rrendamiento.</w:t>
      </w:r>
    </w:p>
    <w:p w14:paraId="06849223" w14:textId="26567D77" w:rsidR="00F37C4D" w:rsidRPr="00491708" w:rsidRDefault="00785FD8" w:rsidP="00F003B2">
      <w:pPr>
        <w:pStyle w:val="Prrafodelista"/>
        <w:numPr>
          <w:ilvl w:val="0"/>
          <w:numId w:val="27"/>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lastRenderedPageBreak/>
        <w:t>La p</w:t>
      </w:r>
      <w:r w:rsidR="00F37C4D" w:rsidRPr="00491708">
        <w:rPr>
          <w:rFonts w:ascii="ITC Avant Garde" w:hAnsi="ITC Avant Garde" w:cs="Arial"/>
          <w:color w:val="000000" w:themeColor="text1"/>
          <w:sz w:val="22"/>
          <w:szCs w:val="22"/>
        </w:rPr>
        <w:t>revención y procedimiento a desarrollar en el s</w:t>
      </w:r>
      <w:r w:rsidR="00AC5367">
        <w:rPr>
          <w:rFonts w:ascii="ITC Avant Garde" w:hAnsi="ITC Avant Garde" w:cs="Arial"/>
          <w:color w:val="000000" w:themeColor="text1"/>
          <w:sz w:val="22"/>
          <w:szCs w:val="22"/>
        </w:rPr>
        <w:t>upuesto de que la solicitud de a</w:t>
      </w:r>
      <w:r w:rsidR="00F37C4D" w:rsidRPr="00491708">
        <w:rPr>
          <w:rFonts w:ascii="ITC Avant Garde" w:hAnsi="ITC Avant Garde" w:cs="Arial"/>
          <w:color w:val="000000" w:themeColor="text1"/>
          <w:sz w:val="22"/>
          <w:szCs w:val="22"/>
        </w:rPr>
        <w:t xml:space="preserve">utorización de </w:t>
      </w:r>
      <w:r w:rsidR="00AC5367">
        <w:rPr>
          <w:rFonts w:ascii="ITC Avant Garde" w:hAnsi="ITC Avant Garde" w:cs="Arial"/>
          <w:color w:val="000000" w:themeColor="text1"/>
          <w:sz w:val="22"/>
          <w:szCs w:val="22"/>
        </w:rPr>
        <w:t>a</w:t>
      </w:r>
      <w:r w:rsidR="00F37C4D" w:rsidRPr="00491708">
        <w:rPr>
          <w:rFonts w:ascii="ITC Avant Garde" w:hAnsi="ITC Avant Garde" w:cs="Arial"/>
          <w:color w:val="000000" w:themeColor="text1"/>
          <w:sz w:val="22"/>
          <w:szCs w:val="22"/>
        </w:rPr>
        <w:t>rrendamiento no contenga la información y</w:t>
      </w:r>
      <w:r w:rsidR="00D03711">
        <w:rPr>
          <w:rFonts w:ascii="ITC Avant Garde" w:hAnsi="ITC Avant Garde" w:cs="Arial"/>
          <w:color w:val="000000" w:themeColor="text1"/>
          <w:sz w:val="22"/>
          <w:szCs w:val="22"/>
        </w:rPr>
        <w:t>/o</w:t>
      </w:r>
      <w:r w:rsidR="00F37C4D" w:rsidRPr="00491708">
        <w:rPr>
          <w:rFonts w:ascii="ITC Avant Garde" w:hAnsi="ITC Avant Garde" w:cs="Arial"/>
          <w:color w:val="000000" w:themeColor="text1"/>
          <w:sz w:val="22"/>
          <w:szCs w:val="22"/>
        </w:rPr>
        <w:t xml:space="preserve"> documentación solicitada. </w:t>
      </w:r>
    </w:p>
    <w:p w14:paraId="26E6FE37" w14:textId="25035709" w:rsidR="00F37C4D" w:rsidRPr="00491708" w:rsidRDefault="00785FD8" w:rsidP="00F003B2">
      <w:pPr>
        <w:pStyle w:val="Prrafodelista"/>
        <w:numPr>
          <w:ilvl w:val="0"/>
          <w:numId w:val="27"/>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t>La i</w:t>
      </w:r>
      <w:r w:rsidR="00F37C4D" w:rsidRPr="00491708">
        <w:rPr>
          <w:rFonts w:ascii="ITC Avant Garde" w:hAnsi="ITC Avant Garde" w:cs="Arial"/>
          <w:color w:val="000000" w:themeColor="text1"/>
          <w:sz w:val="22"/>
          <w:szCs w:val="22"/>
        </w:rPr>
        <w:t xml:space="preserve">nscripción en el Registro Público de Concesiones de las </w:t>
      </w:r>
      <w:r w:rsidR="00AC5367">
        <w:rPr>
          <w:rFonts w:ascii="ITC Avant Garde" w:hAnsi="ITC Avant Garde" w:cs="Arial"/>
          <w:color w:val="000000" w:themeColor="text1"/>
          <w:sz w:val="22"/>
          <w:szCs w:val="22"/>
        </w:rPr>
        <w:t>a</w:t>
      </w:r>
      <w:r w:rsidR="00F37C4D" w:rsidRPr="00491708">
        <w:rPr>
          <w:rFonts w:ascii="ITC Avant Garde" w:hAnsi="ITC Avant Garde" w:cs="Arial"/>
          <w:color w:val="000000" w:themeColor="text1"/>
          <w:sz w:val="22"/>
          <w:szCs w:val="22"/>
        </w:rPr>
        <w:t xml:space="preserve">utorizaciones </w:t>
      </w:r>
      <w:r w:rsidR="00D03711">
        <w:rPr>
          <w:rFonts w:ascii="ITC Avant Garde" w:hAnsi="ITC Avant Garde" w:cs="Arial"/>
          <w:color w:val="000000" w:themeColor="text1"/>
          <w:sz w:val="22"/>
          <w:szCs w:val="22"/>
        </w:rPr>
        <w:t>de arrendamiento</w:t>
      </w:r>
      <w:r w:rsidR="00F37C4D" w:rsidRPr="00491708">
        <w:rPr>
          <w:rFonts w:ascii="ITC Avant Garde" w:hAnsi="ITC Avant Garde" w:cs="Arial"/>
          <w:color w:val="000000" w:themeColor="text1"/>
          <w:sz w:val="22"/>
          <w:szCs w:val="22"/>
        </w:rPr>
        <w:t>.</w:t>
      </w:r>
      <w:r w:rsidR="00D374EC">
        <w:rPr>
          <w:rFonts w:ascii="ITC Avant Garde" w:hAnsi="ITC Avant Garde" w:cs="Arial"/>
          <w:color w:val="000000" w:themeColor="text1"/>
          <w:sz w:val="22"/>
          <w:szCs w:val="22"/>
        </w:rPr>
        <w:t xml:space="preserve"> </w:t>
      </w:r>
    </w:p>
    <w:p w14:paraId="06B351FC" w14:textId="70C43D79" w:rsidR="00F37C4D" w:rsidRPr="00491708" w:rsidRDefault="00785FD8" w:rsidP="00F003B2">
      <w:pPr>
        <w:pStyle w:val="Prrafodelista"/>
        <w:numPr>
          <w:ilvl w:val="0"/>
          <w:numId w:val="27"/>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t>El p</w:t>
      </w:r>
      <w:r w:rsidR="00F37C4D" w:rsidRPr="00491708">
        <w:rPr>
          <w:rFonts w:ascii="ITC Avant Garde" w:hAnsi="ITC Avant Garde" w:cs="Arial"/>
          <w:color w:val="000000" w:themeColor="text1"/>
          <w:sz w:val="22"/>
          <w:szCs w:val="22"/>
        </w:rPr>
        <w:t>lazo para resolver por parte</w:t>
      </w:r>
      <w:r w:rsidR="00AC5367">
        <w:rPr>
          <w:rFonts w:ascii="ITC Avant Garde" w:hAnsi="ITC Avant Garde" w:cs="Arial"/>
          <w:color w:val="000000" w:themeColor="text1"/>
          <w:sz w:val="22"/>
          <w:szCs w:val="22"/>
        </w:rPr>
        <w:t xml:space="preserve"> del Instituto la solicitud de a</w:t>
      </w:r>
      <w:r w:rsidR="00F37C4D" w:rsidRPr="00491708">
        <w:rPr>
          <w:rFonts w:ascii="ITC Avant Garde" w:hAnsi="ITC Avant Garde" w:cs="Arial"/>
          <w:color w:val="000000" w:themeColor="text1"/>
          <w:sz w:val="22"/>
          <w:szCs w:val="22"/>
        </w:rPr>
        <w:t xml:space="preserve">utorización de </w:t>
      </w:r>
      <w:r w:rsidR="00AC5367">
        <w:rPr>
          <w:rFonts w:ascii="ITC Avant Garde" w:hAnsi="ITC Avant Garde" w:cs="Arial"/>
          <w:color w:val="000000" w:themeColor="text1"/>
          <w:sz w:val="22"/>
          <w:szCs w:val="22"/>
        </w:rPr>
        <w:t>a</w:t>
      </w:r>
      <w:r w:rsidR="00F37C4D" w:rsidRPr="00491708">
        <w:rPr>
          <w:rFonts w:ascii="ITC Avant Garde" w:hAnsi="ITC Avant Garde" w:cs="Arial"/>
          <w:color w:val="000000" w:themeColor="text1"/>
          <w:sz w:val="22"/>
          <w:szCs w:val="22"/>
        </w:rPr>
        <w:t>rrendamiento.</w:t>
      </w:r>
    </w:p>
    <w:p w14:paraId="1E202F45"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53C23704" w14:textId="2BD9B404" w:rsidR="00921A4A" w:rsidRDefault="00540AA5"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A través de este capítulo</w:t>
      </w:r>
      <w:r w:rsidR="00921A4A">
        <w:rPr>
          <w:rFonts w:ascii="ITC Avant Garde" w:hAnsi="ITC Avant Garde" w:cs="Arial"/>
          <w:color w:val="000000" w:themeColor="text1"/>
          <w:szCs w:val="21"/>
        </w:rPr>
        <w:t xml:space="preserve"> </w:t>
      </w:r>
      <w:r>
        <w:rPr>
          <w:rFonts w:ascii="ITC Avant Garde" w:hAnsi="ITC Avant Garde" w:cs="Arial"/>
          <w:color w:val="000000" w:themeColor="text1"/>
          <w:szCs w:val="21"/>
        </w:rPr>
        <w:t>se otorga</w:t>
      </w:r>
      <w:r w:rsidR="00921A4A">
        <w:rPr>
          <w:rFonts w:ascii="ITC Avant Garde" w:hAnsi="ITC Avant Garde" w:cs="Arial"/>
          <w:color w:val="000000" w:themeColor="text1"/>
          <w:szCs w:val="21"/>
        </w:rPr>
        <w:t xml:space="preserve"> a los interesados en obtener la autorización de </w:t>
      </w:r>
      <w:r w:rsidR="005243FC">
        <w:rPr>
          <w:rFonts w:ascii="ITC Avant Garde" w:hAnsi="ITC Avant Garde" w:cs="Arial"/>
          <w:color w:val="000000" w:themeColor="text1"/>
          <w:szCs w:val="21"/>
        </w:rPr>
        <w:t>a</w:t>
      </w:r>
      <w:r w:rsidR="00921A4A">
        <w:rPr>
          <w:rFonts w:ascii="ITC Avant Garde" w:hAnsi="ITC Avant Garde" w:cs="Arial"/>
          <w:color w:val="000000" w:themeColor="text1"/>
          <w:szCs w:val="21"/>
        </w:rPr>
        <w:t xml:space="preserve">rrendamiento de </w:t>
      </w:r>
      <w:r w:rsidR="005243FC">
        <w:rPr>
          <w:rFonts w:ascii="ITC Avant Garde" w:hAnsi="ITC Avant Garde" w:cs="Arial"/>
          <w:color w:val="000000" w:themeColor="text1"/>
          <w:szCs w:val="21"/>
        </w:rPr>
        <w:t>e</w:t>
      </w:r>
      <w:r w:rsidR="00921A4A">
        <w:rPr>
          <w:rFonts w:ascii="ITC Avant Garde" w:hAnsi="ITC Avant Garde" w:cs="Arial"/>
          <w:color w:val="000000" w:themeColor="text1"/>
          <w:szCs w:val="21"/>
        </w:rPr>
        <w:t xml:space="preserve">spectro </w:t>
      </w:r>
      <w:r w:rsidR="005243FC">
        <w:rPr>
          <w:rFonts w:ascii="ITC Avant Garde" w:hAnsi="ITC Avant Garde" w:cs="Arial"/>
          <w:color w:val="000000" w:themeColor="text1"/>
          <w:szCs w:val="21"/>
        </w:rPr>
        <w:t>r</w:t>
      </w:r>
      <w:r w:rsidR="00921A4A">
        <w:rPr>
          <w:rFonts w:ascii="ITC Avant Garde" w:hAnsi="ITC Avant Garde" w:cs="Arial"/>
          <w:color w:val="000000" w:themeColor="text1"/>
          <w:szCs w:val="21"/>
        </w:rPr>
        <w:t xml:space="preserve">adioeléctrico, la información relativa a quién deben dirigir y en dónde deben de presentar la solicitud correspondiente, con el objeto de otorgar seguridad del trámite respectivo. </w:t>
      </w:r>
    </w:p>
    <w:p w14:paraId="5EF7EC41"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682F63A2" w14:textId="59DBCB14" w:rsidR="00921A4A" w:rsidRDefault="00921A4A"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En el supuesto de que la solicitud de autorización de </w:t>
      </w:r>
      <w:r w:rsidR="005243FC">
        <w:rPr>
          <w:rFonts w:ascii="ITC Avant Garde" w:hAnsi="ITC Avant Garde" w:cs="Arial"/>
          <w:color w:val="000000" w:themeColor="text1"/>
          <w:szCs w:val="21"/>
        </w:rPr>
        <w:t>a</w:t>
      </w:r>
      <w:r>
        <w:rPr>
          <w:rFonts w:ascii="ITC Avant Garde" w:hAnsi="ITC Avant Garde" w:cs="Arial"/>
          <w:color w:val="000000" w:themeColor="text1"/>
          <w:szCs w:val="21"/>
        </w:rPr>
        <w:t>rrendamiento no contenga los datos y/o información requerida, se otorga al interesado la oportunidad de subsanar la omisión, con el fin de salvaguardar sus derechos y evitar el desechamiento del trámite por dicha situación.</w:t>
      </w:r>
    </w:p>
    <w:p w14:paraId="7D0E3EE0"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268F0F56" w14:textId="77777777" w:rsidR="00921A4A" w:rsidRPr="00B431CD" w:rsidRDefault="00921A4A" w:rsidP="00921A4A">
      <w:pPr>
        <w:spacing w:after="0" w:line="240" w:lineRule="auto"/>
        <w:contextualSpacing/>
        <w:jc w:val="both"/>
        <w:rPr>
          <w:rFonts w:ascii="ITC Avant Garde" w:hAnsi="ITC Avant Garde"/>
          <w:color w:val="000000"/>
        </w:rPr>
      </w:pPr>
      <w:r w:rsidRPr="00B431CD">
        <w:rPr>
          <w:rFonts w:ascii="ITC Avant Garde" w:hAnsi="ITC Avant Garde"/>
          <w:color w:val="000000"/>
        </w:rPr>
        <w:t>La finalidad de una prevención es, por una parte, auxiliar al interesado en el planteamiento y exposición de su pretensión, a fin de procurar su acceso al trámite respectivo y, por otra, que el Instituto quede en aptitud de darle trámite a la solicitud correspondiente, una vez satisfechos todos los requisitos de forma y contenido previstos en los Lineamientos</w:t>
      </w:r>
      <w:r>
        <w:rPr>
          <w:rFonts w:ascii="ITC Avant Garde" w:hAnsi="ITC Avant Garde"/>
          <w:color w:val="000000"/>
        </w:rPr>
        <w:t>.</w:t>
      </w:r>
    </w:p>
    <w:p w14:paraId="594C28BD" w14:textId="77777777" w:rsidR="00921A4A" w:rsidRDefault="00921A4A" w:rsidP="00921A4A">
      <w:pPr>
        <w:spacing w:after="0" w:line="240" w:lineRule="auto"/>
        <w:contextualSpacing/>
        <w:jc w:val="both"/>
        <w:rPr>
          <w:color w:val="000000"/>
          <w:sz w:val="26"/>
          <w:szCs w:val="26"/>
        </w:rPr>
      </w:pPr>
    </w:p>
    <w:p w14:paraId="59C3B3F9" w14:textId="6D664B61" w:rsidR="00921A4A" w:rsidRPr="00B431CD" w:rsidRDefault="00921A4A" w:rsidP="00921A4A">
      <w:pPr>
        <w:spacing w:after="0" w:line="240" w:lineRule="auto"/>
        <w:contextualSpacing/>
        <w:jc w:val="both"/>
        <w:rPr>
          <w:rFonts w:ascii="ITC Avant Garde" w:hAnsi="ITC Avant Garde"/>
          <w:color w:val="000000"/>
        </w:rPr>
      </w:pPr>
      <w:r w:rsidRPr="00B431CD">
        <w:rPr>
          <w:rFonts w:ascii="ITC Avant Garde" w:hAnsi="ITC Avant Garde"/>
          <w:color w:val="000000"/>
        </w:rPr>
        <w:t>De lo anterior se colige que la finalidad primordial de tal exigencia para el Instituto es que el interesado dé cumplimiento total a lo requerido, lo que permitirá garantizar</w:t>
      </w:r>
      <w:r w:rsidR="00960B2F">
        <w:rPr>
          <w:rFonts w:ascii="ITC Avant Garde" w:hAnsi="ITC Avant Garde"/>
          <w:color w:val="000000"/>
        </w:rPr>
        <w:t xml:space="preserve"> la posibilidad material y no so</w:t>
      </w:r>
      <w:r w:rsidRPr="00B431CD">
        <w:rPr>
          <w:rFonts w:ascii="ITC Avant Garde" w:hAnsi="ITC Avant Garde"/>
          <w:color w:val="000000"/>
        </w:rPr>
        <w:t xml:space="preserve">lo formal de subsanar esas irregularidades, y consecuentemente, resolver la solicitud planteada. </w:t>
      </w:r>
    </w:p>
    <w:p w14:paraId="43DC4514"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7452E023" w14:textId="77777777" w:rsidR="00921A4A" w:rsidRDefault="00921A4A"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El procedimiento y los plazos previstos para el desarrollo y desahogo de la prevención son acordes a lo dispuesto en el artículo 17-A de la Ley Federal de Procedimiento Administrativo, el cual establece: </w:t>
      </w:r>
    </w:p>
    <w:p w14:paraId="2A6D90AF"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485447B1" w14:textId="1466CF06" w:rsidR="00921A4A" w:rsidRPr="00102423" w:rsidRDefault="00921A4A" w:rsidP="00921A4A">
      <w:pPr>
        <w:spacing w:after="0" w:line="240" w:lineRule="auto"/>
        <w:ind w:left="1134" w:right="1182"/>
        <w:contextualSpacing/>
        <w:jc w:val="both"/>
        <w:rPr>
          <w:rFonts w:ascii="ITC Avant Garde" w:hAnsi="ITC Avant Garde"/>
          <w:i/>
          <w:sz w:val="20"/>
          <w:szCs w:val="20"/>
        </w:rPr>
      </w:pPr>
      <w:r w:rsidRPr="00102423">
        <w:rPr>
          <w:rFonts w:ascii="ITC Avant Garde" w:hAnsi="ITC Avant Garde"/>
          <w:i/>
          <w:sz w:val="20"/>
          <w:szCs w:val="20"/>
        </w:rPr>
        <w:t>“</w:t>
      </w:r>
      <w:r w:rsidRPr="00102423">
        <w:rPr>
          <w:rFonts w:ascii="ITC Avant Garde" w:hAnsi="ITC Avant Garde"/>
          <w:b/>
          <w:i/>
          <w:sz w:val="20"/>
          <w:szCs w:val="20"/>
        </w:rPr>
        <w:t>Artículo 17-A.</w:t>
      </w:r>
      <w:r w:rsidRPr="00102423">
        <w:rPr>
          <w:rFonts w:ascii="ITC Avant Garde" w:hAnsi="ITC Avant Garde"/>
          <w:i/>
          <w:sz w:val="20"/>
          <w:szCs w:val="20"/>
        </w:rPr>
        <w:t xml:space="preserve">- Cuando los escritos que presenten los interesados no contengan los datos o no cumplan con los requisitos aplicables, la dependencia u organismo descentralizado correspondiente deberá prevenir a los interesados, por escrito y por una sola vez, para que subsanen la omisión dentro del término que establezca la dependencia u organismo descentralizado, el cual no podrá ser menor de cinco días hábiles contados a partir de que haya surtido efectos la notificación; transcurrido el plazo correspondiente sin desahogar la prevención, se desechará el trámite. Salvo que en una disposición de carácter general se disponga otro plazo, la prevención de información faltante deberá hacerse dentro del primer tercio del plazo de respuesta o, de no requerirse resolución alguna, dentro de los diez días hábiles siguientes a la presentación del escrito correspondiente. La fracción de día que en su caso resulte de la división del plazo de respuesta se computará como un </w:t>
      </w:r>
      <w:r w:rsidRPr="00102423">
        <w:rPr>
          <w:rFonts w:ascii="ITC Avant Garde" w:hAnsi="ITC Avant Garde"/>
          <w:i/>
          <w:sz w:val="20"/>
          <w:szCs w:val="20"/>
        </w:rPr>
        <w:lastRenderedPageBreak/>
        <w:t>día completo. En caso de que la resolución del trámite sea inmediata, la prevención de información faltante también deberá hacerse de manera inmediata a la presentación del escrito respectivo. De no realizarse la prevención mencionada en el párrafo anterior dentro del plazo aplicable, no se podrá desechar el trámite argumentando que está incompleto. En el supuesto de que el requerimiento de información se haga en tiempo, el plazo para que la dependencia correspondiente resuelva el trámite se suspenderá y se reanudará a partir del día hábil inmediato siguiente a aquel en el que el interesado conteste.</w:t>
      </w:r>
      <w:r w:rsidR="00343E08">
        <w:rPr>
          <w:rFonts w:ascii="ITC Avant Garde" w:hAnsi="ITC Avant Garde"/>
          <w:i/>
          <w:sz w:val="20"/>
          <w:szCs w:val="20"/>
        </w:rPr>
        <w:t>”</w:t>
      </w:r>
    </w:p>
    <w:p w14:paraId="519011A5"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1F01D7B6" w14:textId="0E26F22E" w:rsidR="00921A4A" w:rsidRDefault="00921A4A"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En el Registro Público de Concesiones se inscribirán los títulos de concesión y las autorizaciones otorgadas, así como las obligaciones de las concesiones, de conformidad con el artículo 177 de la Ley que señala:</w:t>
      </w:r>
    </w:p>
    <w:p w14:paraId="24BD22C2" w14:textId="77777777" w:rsidR="00921A4A" w:rsidRPr="000D2D95" w:rsidRDefault="00921A4A" w:rsidP="00921A4A">
      <w:pPr>
        <w:spacing w:after="0" w:line="240" w:lineRule="auto"/>
        <w:ind w:left="1134" w:right="1182"/>
        <w:contextualSpacing/>
        <w:jc w:val="both"/>
        <w:rPr>
          <w:rFonts w:ascii="ITC Avant Garde" w:hAnsi="ITC Avant Garde" w:cs="Arial"/>
          <w:color w:val="000000" w:themeColor="text1"/>
          <w:sz w:val="20"/>
          <w:szCs w:val="20"/>
        </w:rPr>
      </w:pPr>
    </w:p>
    <w:p w14:paraId="06EB2474" w14:textId="77777777" w:rsidR="00921A4A" w:rsidRPr="000D2D95" w:rsidRDefault="00921A4A" w:rsidP="00921A4A">
      <w:pPr>
        <w:spacing w:after="0" w:line="240" w:lineRule="auto"/>
        <w:ind w:left="1134" w:right="1182"/>
        <w:contextualSpacing/>
        <w:jc w:val="both"/>
        <w:rPr>
          <w:rFonts w:ascii="ITC Avant Garde" w:hAnsi="ITC Avant Garde"/>
          <w:i/>
          <w:sz w:val="20"/>
          <w:szCs w:val="20"/>
        </w:rPr>
      </w:pPr>
      <w:r w:rsidRPr="000D2D95">
        <w:rPr>
          <w:rFonts w:ascii="ITC Avant Garde" w:hAnsi="ITC Avant Garde"/>
          <w:i/>
          <w:sz w:val="20"/>
          <w:szCs w:val="20"/>
        </w:rPr>
        <w:t>“</w:t>
      </w:r>
      <w:r w:rsidRPr="000D2D95">
        <w:rPr>
          <w:rFonts w:ascii="ITC Avant Garde" w:hAnsi="ITC Avant Garde"/>
          <w:b/>
          <w:i/>
          <w:sz w:val="20"/>
          <w:szCs w:val="20"/>
        </w:rPr>
        <w:t>Artículo 177.</w:t>
      </w:r>
      <w:r w:rsidRPr="000D2D95">
        <w:rPr>
          <w:rFonts w:ascii="ITC Avant Garde" w:hAnsi="ITC Avant Garde"/>
          <w:i/>
          <w:sz w:val="20"/>
          <w:szCs w:val="20"/>
        </w:rPr>
        <w:t xml:space="preserve"> El Instituto será el encargado de crear, llevar y mantener actualizado el Registro Público de Concesiones en el cual se inscribirán: </w:t>
      </w:r>
    </w:p>
    <w:p w14:paraId="05E21D8F" w14:textId="77777777" w:rsidR="00921A4A" w:rsidRPr="000D2D95" w:rsidRDefault="00921A4A" w:rsidP="00921A4A">
      <w:pPr>
        <w:spacing w:after="0" w:line="240" w:lineRule="auto"/>
        <w:ind w:left="1134" w:right="1182"/>
        <w:contextualSpacing/>
        <w:jc w:val="both"/>
        <w:rPr>
          <w:rFonts w:ascii="ITC Avant Garde" w:hAnsi="ITC Avant Garde"/>
          <w:i/>
          <w:sz w:val="20"/>
          <w:szCs w:val="20"/>
        </w:rPr>
      </w:pPr>
      <w:r w:rsidRPr="000D2D95">
        <w:rPr>
          <w:rFonts w:ascii="ITC Avant Garde" w:hAnsi="ITC Avant Garde"/>
          <w:i/>
          <w:sz w:val="20"/>
          <w:szCs w:val="20"/>
        </w:rPr>
        <w:t>I. Los títulos de concesión y las autorizaciones otorgadas, así como sus modificaciones o terminación de los mismos;</w:t>
      </w:r>
    </w:p>
    <w:p w14:paraId="4E9498E4" w14:textId="77777777" w:rsidR="00921A4A" w:rsidRPr="000D2D95" w:rsidRDefault="00921A4A" w:rsidP="00921A4A">
      <w:pPr>
        <w:spacing w:after="0" w:line="240" w:lineRule="auto"/>
        <w:ind w:left="1134" w:right="1182"/>
        <w:contextualSpacing/>
        <w:jc w:val="both"/>
        <w:rPr>
          <w:rFonts w:ascii="ITC Avant Garde" w:hAnsi="ITC Avant Garde"/>
          <w:i/>
          <w:sz w:val="20"/>
          <w:szCs w:val="20"/>
        </w:rPr>
      </w:pPr>
      <w:r w:rsidRPr="000D2D95">
        <w:rPr>
          <w:rFonts w:ascii="ITC Avant Garde" w:hAnsi="ITC Avant Garde"/>
          <w:i/>
          <w:sz w:val="20"/>
          <w:szCs w:val="20"/>
        </w:rPr>
        <w:t>(…)</w:t>
      </w:r>
    </w:p>
    <w:p w14:paraId="434CC5ED" w14:textId="265720BF" w:rsidR="00343E08" w:rsidRDefault="00921A4A" w:rsidP="00921A4A">
      <w:pPr>
        <w:spacing w:after="0" w:line="240" w:lineRule="auto"/>
        <w:ind w:left="1134" w:right="1182"/>
        <w:contextualSpacing/>
        <w:jc w:val="both"/>
        <w:rPr>
          <w:rFonts w:ascii="ITC Avant Garde" w:hAnsi="ITC Avant Garde"/>
          <w:i/>
          <w:sz w:val="20"/>
          <w:szCs w:val="20"/>
        </w:rPr>
      </w:pPr>
      <w:r w:rsidRPr="000D2D95">
        <w:rPr>
          <w:rFonts w:ascii="ITC Avant Garde" w:hAnsi="ITC Avant Garde"/>
          <w:i/>
          <w:sz w:val="20"/>
          <w:szCs w:val="20"/>
        </w:rPr>
        <w:t>V. Las cesiones de derechos y obligaciones de las concesiones;</w:t>
      </w:r>
    </w:p>
    <w:p w14:paraId="35BA4788" w14:textId="4AEF3168" w:rsidR="00921A4A" w:rsidRPr="000D2D95" w:rsidRDefault="00343E08" w:rsidP="00921A4A">
      <w:pPr>
        <w:spacing w:after="0" w:line="240" w:lineRule="auto"/>
        <w:ind w:left="1134" w:right="1182"/>
        <w:contextualSpacing/>
        <w:jc w:val="both"/>
        <w:rPr>
          <w:rFonts w:ascii="ITC Avant Garde" w:hAnsi="ITC Avant Garde" w:cs="Arial"/>
          <w:i/>
          <w:color w:val="000000" w:themeColor="text1"/>
          <w:sz w:val="20"/>
          <w:szCs w:val="20"/>
        </w:rPr>
      </w:pPr>
      <w:r>
        <w:rPr>
          <w:rFonts w:ascii="ITC Avant Garde" w:hAnsi="ITC Avant Garde"/>
          <w:i/>
          <w:sz w:val="20"/>
          <w:szCs w:val="20"/>
        </w:rPr>
        <w:t>(…)</w:t>
      </w:r>
      <w:r w:rsidR="00921A4A" w:rsidRPr="000D2D95">
        <w:rPr>
          <w:rFonts w:ascii="ITC Avant Garde" w:hAnsi="ITC Avant Garde"/>
          <w:i/>
          <w:sz w:val="20"/>
          <w:szCs w:val="20"/>
        </w:rPr>
        <w:t>”</w:t>
      </w:r>
    </w:p>
    <w:p w14:paraId="46570B0A"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144F6849" w14:textId="38B1BE57" w:rsidR="00921A4A" w:rsidRDefault="00921A4A"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Por ello, al inscribirse los títulos de concesión y las obligaciones de las concesiones, es evidente que la </w:t>
      </w:r>
      <w:r w:rsidR="005243FC">
        <w:rPr>
          <w:rFonts w:ascii="ITC Avant Garde" w:hAnsi="ITC Avant Garde" w:cs="Arial"/>
          <w:color w:val="000000" w:themeColor="text1"/>
          <w:szCs w:val="21"/>
        </w:rPr>
        <w:t>a</w:t>
      </w:r>
      <w:r>
        <w:rPr>
          <w:rFonts w:ascii="ITC Avant Garde" w:hAnsi="ITC Avant Garde" w:cs="Arial"/>
          <w:color w:val="000000" w:themeColor="text1"/>
          <w:szCs w:val="21"/>
        </w:rPr>
        <w:t xml:space="preserve">utorización de </w:t>
      </w:r>
      <w:r w:rsidR="005243FC">
        <w:rPr>
          <w:rFonts w:ascii="ITC Avant Garde" w:hAnsi="ITC Avant Garde" w:cs="Arial"/>
          <w:color w:val="000000" w:themeColor="text1"/>
          <w:szCs w:val="21"/>
        </w:rPr>
        <w:t>a</w:t>
      </w:r>
      <w:r>
        <w:rPr>
          <w:rFonts w:ascii="ITC Avant Garde" w:hAnsi="ITC Avant Garde" w:cs="Arial"/>
          <w:color w:val="000000" w:themeColor="text1"/>
          <w:szCs w:val="21"/>
        </w:rPr>
        <w:t>rrendamiento debe inscribirse en el Registro Público de Concesiones, al tener como fuente de origen el título de concesión de espectro radioeléctrico para uso comercial o</w:t>
      </w:r>
      <w:r w:rsidR="000A678B">
        <w:rPr>
          <w:rFonts w:ascii="ITC Avant Garde" w:hAnsi="ITC Avant Garde" w:cs="Arial"/>
          <w:color w:val="000000" w:themeColor="text1"/>
          <w:szCs w:val="21"/>
        </w:rPr>
        <w:t xml:space="preserve"> </w:t>
      </w:r>
      <w:r w:rsidR="00CA2206">
        <w:rPr>
          <w:rFonts w:ascii="ITC Avant Garde" w:hAnsi="ITC Avant Garde" w:cs="Arial"/>
          <w:color w:val="000000" w:themeColor="text1"/>
          <w:szCs w:val="21"/>
        </w:rPr>
        <w:t>de una concesión de espectro radioeléctrico</w:t>
      </w:r>
      <w:r>
        <w:rPr>
          <w:rFonts w:ascii="ITC Avant Garde" w:hAnsi="ITC Avant Garde" w:cs="Arial"/>
          <w:color w:val="000000" w:themeColor="text1"/>
          <w:szCs w:val="21"/>
        </w:rPr>
        <w:t xml:space="preserve"> para uso privado con propósitos de comunicación privada. </w:t>
      </w:r>
    </w:p>
    <w:p w14:paraId="087998C0"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6D1C802D" w14:textId="03DF4E00" w:rsidR="00921A4A" w:rsidRPr="004A2897" w:rsidRDefault="00921A4A" w:rsidP="00921A4A">
      <w:pPr>
        <w:spacing w:after="0" w:line="240" w:lineRule="auto"/>
        <w:contextualSpacing/>
        <w:jc w:val="both"/>
        <w:rPr>
          <w:rFonts w:ascii="ITC Avant Garde" w:hAnsi="ITC Avant Garde" w:cs="Arial"/>
          <w:color w:val="000000" w:themeColor="text1"/>
        </w:rPr>
      </w:pPr>
      <w:r w:rsidRPr="004A2897">
        <w:rPr>
          <w:rFonts w:ascii="ITC Avant Garde" w:hAnsi="ITC Avant Garde" w:cs="Arial"/>
          <w:color w:val="000000" w:themeColor="text1"/>
        </w:rPr>
        <w:t xml:space="preserve">Por otra parte, la previsión de la figura jurídica de la </w:t>
      </w:r>
      <w:r w:rsidR="007B4772">
        <w:rPr>
          <w:rFonts w:ascii="ITC Avant Garde" w:hAnsi="ITC Avant Garde" w:cs="Arial"/>
          <w:color w:val="000000" w:themeColor="text1"/>
        </w:rPr>
        <w:t>afirmativa</w:t>
      </w:r>
      <w:r w:rsidRPr="004A2897">
        <w:rPr>
          <w:rFonts w:ascii="ITC Avant Garde" w:hAnsi="ITC Avant Garde" w:cs="Arial"/>
          <w:color w:val="000000" w:themeColor="text1"/>
        </w:rPr>
        <w:t xml:space="preserve"> ficta</w:t>
      </w:r>
      <w:r w:rsidR="000A1BC3">
        <w:rPr>
          <w:rFonts w:ascii="ITC Avant Garde" w:hAnsi="ITC Avant Garde" w:cs="Arial"/>
          <w:color w:val="000000" w:themeColor="text1"/>
        </w:rPr>
        <w:t>,</w:t>
      </w:r>
      <w:r w:rsidRPr="004A2897">
        <w:rPr>
          <w:rFonts w:ascii="ITC Avant Garde" w:hAnsi="ITC Avant Garde" w:cs="Arial"/>
          <w:color w:val="000000" w:themeColor="text1"/>
        </w:rPr>
        <w:t xml:space="preserve"> </w:t>
      </w:r>
      <w:r w:rsidRPr="004A2897">
        <w:rPr>
          <w:rFonts w:ascii="ITC Avant Garde" w:hAnsi="ITC Avant Garde"/>
          <w:color w:val="000000"/>
        </w:rPr>
        <w:t xml:space="preserve">consistente en que para el caso de que el Instituto no emita la resolución correspondiente en el plazo de </w:t>
      </w:r>
      <w:r>
        <w:rPr>
          <w:rFonts w:ascii="ITC Avant Garde" w:hAnsi="ITC Avant Garde"/>
          <w:color w:val="000000"/>
        </w:rPr>
        <w:t>45</w:t>
      </w:r>
      <w:r w:rsidRPr="004A2897">
        <w:rPr>
          <w:rFonts w:ascii="ITC Avant Garde" w:hAnsi="ITC Avant Garde"/>
          <w:color w:val="000000"/>
        </w:rPr>
        <w:t xml:space="preserve"> días hábiles, se entenderá </w:t>
      </w:r>
      <w:r w:rsidR="005D3BD0">
        <w:rPr>
          <w:rFonts w:ascii="ITC Avant Garde" w:hAnsi="ITC Avant Garde"/>
          <w:color w:val="000000"/>
        </w:rPr>
        <w:t>como otorgada</w:t>
      </w:r>
      <w:r w:rsidRPr="004A2897">
        <w:rPr>
          <w:rFonts w:ascii="ITC Avant Garde" w:hAnsi="ITC Avant Garde"/>
          <w:color w:val="000000"/>
        </w:rPr>
        <w:t xml:space="preserve">, resulta </w:t>
      </w:r>
      <w:r>
        <w:rPr>
          <w:rFonts w:ascii="ITC Avant Garde" w:hAnsi="ITC Avant Garde"/>
          <w:color w:val="000000"/>
        </w:rPr>
        <w:t xml:space="preserve">oportuna, conforme a lo señalado en el </w:t>
      </w:r>
      <w:r w:rsidR="006B3AD1">
        <w:rPr>
          <w:rFonts w:ascii="ITC Avant Garde" w:hAnsi="ITC Avant Garde"/>
          <w:color w:val="000000"/>
        </w:rPr>
        <w:t xml:space="preserve">artículo </w:t>
      </w:r>
      <w:r>
        <w:rPr>
          <w:rFonts w:ascii="ITC Avant Garde" w:hAnsi="ITC Avant Garde"/>
          <w:color w:val="000000"/>
        </w:rPr>
        <w:t>17 de la Ley Federal de Procedimiento Administrativo, que prevé:</w:t>
      </w:r>
    </w:p>
    <w:p w14:paraId="796E3C73" w14:textId="77777777" w:rsidR="00921A4A" w:rsidRDefault="00921A4A" w:rsidP="00921A4A">
      <w:pPr>
        <w:spacing w:after="0" w:line="240" w:lineRule="auto"/>
        <w:contextualSpacing/>
        <w:jc w:val="both"/>
        <w:rPr>
          <w:rFonts w:ascii="ITC Avant Garde" w:hAnsi="ITC Avant Garde" w:cs="Arial"/>
          <w:color w:val="000000" w:themeColor="text1"/>
          <w:szCs w:val="21"/>
        </w:rPr>
      </w:pPr>
    </w:p>
    <w:p w14:paraId="1511FC98" w14:textId="77777777" w:rsidR="00921A4A" w:rsidRDefault="00921A4A" w:rsidP="00921A4A">
      <w:pPr>
        <w:spacing w:after="0" w:line="240" w:lineRule="auto"/>
        <w:ind w:left="1134" w:right="1182"/>
        <w:contextualSpacing/>
        <w:jc w:val="both"/>
        <w:rPr>
          <w:rFonts w:ascii="ITC Avant Garde" w:hAnsi="ITC Avant Garde"/>
          <w:i/>
          <w:sz w:val="20"/>
          <w:szCs w:val="20"/>
        </w:rPr>
      </w:pPr>
      <w:r w:rsidRPr="004A2897">
        <w:rPr>
          <w:rFonts w:ascii="ITC Avant Garde" w:hAnsi="ITC Avant Garde"/>
          <w:i/>
          <w:sz w:val="20"/>
          <w:szCs w:val="20"/>
        </w:rPr>
        <w:t>“</w:t>
      </w:r>
      <w:r w:rsidRPr="004A2897">
        <w:rPr>
          <w:rFonts w:ascii="ITC Avant Garde" w:hAnsi="ITC Avant Garde"/>
          <w:b/>
          <w:i/>
          <w:sz w:val="20"/>
          <w:szCs w:val="20"/>
        </w:rPr>
        <w:t>Artículo 17.-</w:t>
      </w:r>
      <w:r w:rsidRPr="004A2897">
        <w:rPr>
          <w:rFonts w:ascii="ITC Avant Garde" w:hAnsi="ITC Avant Garde"/>
          <w:i/>
          <w:sz w:val="20"/>
          <w:szCs w:val="20"/>
        </w:rPr>
        <w:t xml:space="preserve"> Salvo que en otra disposición legal o administrativa de carácter general se establezca otro plazo, no podrá exceder de tres meses el tiempo para que la dependencia u organismo descentralizado resuelva lo que corresponda. </w:t>
      </w:r>
      <w:r w:rsidRPr="00CA2206">
        <w:rPr>
          <w:rFonts w:ascii="ITC Avant Garde" w:hAnsi="ITC Avant Garde"/>
          <w:b/>
          <w:i/>
          <w:sz w:val="20"/>
          <w:szCs w:val="20"/>
        </w:rPr>
        <w:t xml:space="preserve">Transcurrido el plazo aplicable, se entenderán las resoluciones en sentido negativo al promovente, a menos que en otra disposición legal o administrativa de carácter general se prevea lo contrario </w:t>
      </w:r>
      <w:r w:rsidRPr="004A2897">
        <w:rPr>
          <w:rFonts w:ascii="ITC Avant Garde" w:hAnsi="ITC Avant Garde"/>
          <w:i/>
          <w:sz w:val="20"/>
          <w:szCs w:val="20"/>
        </w:rPr>
        <w:t>(…).”</w:t>
      </w:r>
    </w:p>
    <w:p w14:paraId="1ED7246F" w14:textId="7E9BE613" w:rsidR="005E4B06" w:rsidRDefault="005E4B06" w:rsidP="00921A4A">
      <w:pPr>
        <w:spacing w:after="0" w:line="240" w:lineRule="auto"/>
        <w:contextualSpacing/>
        <w:jc w:val="both"/>
        <w:rPr>
          <w:rFonts w:ascii="ITC Avant Garde" w:hAnsi="ITC Avant Garde" w:cs="Arial"/>
          <w:color w:val="000000" w:themeColor="text1"/>
          <w:szCs w:val="21"/>
        </w:rPr>
      </w:pPr>
    </w:p>
    <w:p w14:paraId="4537595A" w14:textId="32CBEA24" w:rsidR="005E4B06" w:rsidRPr="00491708" w:rsidRDefault="005E4B06" w:rsidP="005E4B06">
      <w:pPr>
        <w:pStyle w:val="Prrafodelista"/>
        <w:pBdr>
          <w:top w:val="nil"/>
          <w:left w:val="nil"/>
          <w:bottom w:val="nil"/>
          <w:right w:val="nil"/>
          <w:between w:val="nil"/>
          <w:bar w:val="nil"/>
        </w:pBdr>
        <w:suppressAutoHyphens/>
        <w:ind w:left="0"/>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t xml:space="preserve">El Capítulo </w:t>
      </w:r>
      <w:r w:rsidRPr="00491708">
        <w:rPr>
          <w:rFonts w:ascii="ITC Avant Garde" w:hAnsi="ITC Avant Garde" w:cs="Arial"/>
          <w:color w:val="000000" w:themeColor="text1"/>
          <w:sz w:val="22"/>
          <w:szCs w:val="22"/>
        </w:rPr>
        <w:t>V</w:t>
      </w:r>
      <w:r>
        <w:rPr>
          <w:rFonts w:ascii="ITC Avant Garde" w:hAnsi="ITC Avant Garde" w:cs="Arial"/>
          <w:color w:val="000000" w:themeColor="text1"/>
          <w:sz w:val="22"/>
          <w:szCs w:val="22"/>
        </w:rPr>
        <w:t>,</w:t>
      </w:r>
      <w:r w:rsidRPr="00491708">
        <w:rPr>
          <w:rFonts w:ascii="ITC Avant Garde" w:hAnsi="ITC Avant Garde" w:cs="Arial"/>
          <w:color w:val="000000" w:themeColor="text1"/>
          <w:sz w:val="22"/>
          <w:szCs w:val="22"/>
        </w:rPr>
        <w:t xml:space="preserve"> denominado </w:t>
      </w:r>
      <w:r w:rsidRPr="00491708">
        <w:rPr>
          <w:rFonts w:ascii="ITC Avant Garde" w:hAnsi="ITC Avant Garde" w:cs="Arial"/>
          <w:b/>
          <w:i/>
          <w:color w:val="000000" w:themeColor="text1"/>
          <w:sz w:val="22"/>
          <w:szCs w:val="22"/>
        </w:rPr>
        <w:t>“</w:t>
      </w:r>
      <w:r w:rsidR="00331145">
        <w:rPr>
          <w:rFonts w:ascii="ITC Avant Garde" w:hAnsi="ITC Avant Garde" w:cs="Arial"/>
          <w:b/>
          <w:i/>
          <w:color w:val="000000" w:themeColor="text1"/>
          <w:sz w:val="22"/>
          <w:szCs w:val="22"/>
        </w:rPr>
        <w:t>Del</w:t>
      </w:r>
      <w:r w:rsidRPr="00491708">
        <w:rPr>
          <w:rFonts w:ascii="ITC Avant Garde" w:hAnsi="ITC Avant Garde" w:cs="Arial"/>
          <w:b/>
          <w:i/>
          <w:color w:val="000000" w:themeColor="text1"/>
          <w:sz w:val="22"/>
          <w:szCs w:val="22"/>
        </w:rPr>
        <w:t xml:space="preserve"> </w:t>
      </w:r>
      <w:r w:rsidR="00331145">
        <w:rPr>
          <w:rFonts w:ascii="ITC Avant Garde" w:hAnsi="ITC Avant Garde" w:cs="Arial"/>
          <w:b/>
          <w:i/>
          <w:color w:val="000000" w:themeColor="text1"/>
          <w:sz w:val="22"/>
          <w:szCs w:val="22"/>
        </w:rPr>
        <w:t>Subarrendamiento</w:t>
      </w:r>
      <w:r w:rsidRPr="00491708">
        <w:rPr>
          <w:rFonts w:ascii="ITC Avant Garde" w:hAnsi="ITC Avant Garde" w:cs="Arial"/>
          <w:b/>
          <w:i/>
          <w:color w:val="000000" w:themeColor="text1"/>
          <w:sz w:val="22"/>
          <w:szCs w:val="22"/>
        </w:rPr>
        <w:t xml:space="preserve">”, </w:t>
      </w:r>
      <w:r w:rsidRPr="00491708">
        <w:rPr>
          <w:rFonts w:ascii="ITC Avant Garde" w:hAnsi="ITC Avant Garde" w:cs="Arial"/>
          <w:color w:val="000000" w:themeColor="text1"/>
          <w:sz w:val="22"/>
          <w:szCs w:val="22"/>
        </w:rPr>
        <w:t>en su generalidad indica:</w:t>
      </w:r>
    </w:p>
    <w:p w14:paraId="776B9D38" w14:textId="77777777" w:rsidR="005E4B06" w:rsidRPr="00491708" w:rsidRDefault="005E4B06" w:rsidP="005E4B06">
      <w:pPr>
        <w:pStyle w:val="Prrafodelista"/>
        <w:pBdr>
          <w:top w:val="nil"/>
          <w:left w:val="nil"/>
          <w:bottom w:val="nil"/>
          <w:right w:val="nil"/>
          <w:between w:val="nil"/>
          <w:bar w:val="nil"/>
        </w:pBdr>
        <w:suppressAutoHyphens/>
        <w:ind w:left="0"/>
        <w:contextualSpacing/>
        <w:jc w:val="both"/>
        <w:rPr>
          <w:rFonts w:ascii="ITC Avant Garde" w:hAnsi="ITC Avant Garde" w:cs="Arial"/>
          <w:b/>
          <w:color w:val="000000" w:themeColor="text1"/>
          <w:sz w:val="22"/>
          <w:szCs w:val="22"/>
        </w:rPr>
      </w:pPr>
      <w:r w:rsidRPr="00491708">
        <w:rPr>
          <w:rFonts w:ascii="ITC Avant Garde" w:hAnsi="ITC Avant Garde" w:cs="Arial"/>
          <w:color w:val="000000" w:themeColor="text1"/>
          <w:sz w:val="22"/>
          <w:szCs w:val="22"/>
        </w:rPr>
        <w:t xml:space="preserve"> </w:t>
      </w:r>
    </w:p>
    <w:p w14:paraId="17051BF5" w14:textId="39CD5C9F" w:rsidR="00D7022B" w:rsidRPr="00D7022B" w:rsidRDefault="00D7022B" w:rsidP="005E4B06">
      <w:pPr>
        <w:pStyle w:val="Prrafodelista"/>
        <w:numPr>
          <w:ilvl w:val="0"/>
          <w:numId w:val="38"/>
        </w:numPr>
        <w:pBdr>
          <w:top w:val="nil"/>
          <w:left w:val="nil"/>
          <w:bottom w:val="nil"/>
          <w:right w:val="nil"/>
          <w:between w:val="nil"/>
          <w:bar w:val="nil"/>
        </w:pBdr>
        <w:suppressAutoHyphens/>
        <w:contextualSpacing/>
        <w:jc w:val="both"/>
        <w:rPr>
          <w:rFonts w:ascii="ITC Avant Garde" w:hAnsi="ITC Avant Garde" w:cs="Arial"/>
          <w:color w:val="000000" w:themeColor="text1"/>
          <w:sz w:val="22"/>
          <w:szCs w:val="22"/>
        </w:rPr>
      </w:pPr>
      <w:r>
        <w:rPr>
          <w:rFonts w:ascii="ITC Avant Garde" w:hAnsi="ITC Avant Garde" w:cs="Arial"/>
          <w:color w:val="000000" w:themeColor="text1"/>
          <w:sz w:val="22"/>
          <w:szCs w:val="22"/>
        </w:rPr>
        <w:t>Única</w:t>
      </w:r>
      <w:r w:rsidR="0011519F">
        <w:rPr>
          <w:rFonts w:ascii="ITC Avant Garde" w:hAnsi="ITC Avant Garde" w:cs="Arial"/>
          <w:color w:val="000000" w:themeColor="text1"/>
          <w:sz w:val="22"/>
          <w:szCs w:val="22"/>
        </w:rPr>
        <w:t xml:space="preserve">mente cuando está facultado el </w:t>
      </w:r>
      <w:r w:rsidR="00DF1B26">
        <w:rPr>
          <w:rFonts w:ascii="ITC Avant Garde" w:hAnsi="ITC Avant Garde" w:cs="Arial"/>
          <w:color w:val="000000" w:themeColor="text1"/>
          <w:sz w:val="22"/>
          <w:szCs w:val="22"/>
        </w:rPr>
        <w:t>arrendatario</w:t>
      </w:r>
      <w:r>
        <w:rPr>
          <w:rFonts w:ascii="ITC Avant Garde" w:hAnsi="ITC Avant Garde" w:cs="Arial"/>
          <w:color w:val="000000" w:themeColor="text1"/>
          <w:sz w:val="22"/>
          <w:szCs w:val="22"/>
        </w:rPr>
        <w:t xml:space="preserve">, </w:t>
      </w:r>
      <w:r w:rsidR="00D03711">
        <w:rPr>
          <w:rFonts w:ascii="ITC Avant Garde" w:hAnsi="ITC Avant Garde" w:cs="Arial"/>
          <w:color w:val="000000" w:themeColor="text1"/>
          <w:sz w:val="22"/>
          <w:szCs w:val="22"/>
        </w:rPr>
        <w:t xml:space="preserve">éste </w:t>
      </w:r>
      <w:r>
        <w:rPr>
          <w:rFonts w:ascii="ITC Avant Garde" w:hAnsi="ITC Avant Garde" w:cs="Arial"/>
          <w:color w:val="000000" w:themeColor="text1"/>
          <w:sz w:val="22"/>
          <w:szCs w:val="22"/>
        </w:rPr>
        <w:t xml:space="preserve">podrá </w:t>
      </w:r>
      <w:r w:rsidR="00B95AFF">
        <w:rPr>
          <w:rFonts w:ascii="ITC Avant Garde" w:hAnsi="ITC Avant Garde" w:cs="Arial"/>
          <w:color w:val="000000" w:themeColor="text1"/>
          <w:sz w:val="22"/>
          <w:szCs w:val="22"/>
        </w:rPr>
        <w:t>s</w:t>
      </w:r>
      <w:r w:rsidRPr="00D74727">
        <w:rPr>
          <w:rFonts w:ascii="ITC Avant Garde" w:hAnsi="ITC Avant Garde"/>
          <w:sz w:val="22"/>
        </w:rPr>
        <w:t>ubarrendar en todo o en parte el uso, aprovechamiento y/o explotación</w:t>
      </w:r>
      <w:r w:rsidR="00D03711">
        <w:rPr>
          <w:rFonts w:ascii="ITC Avant Garde" w:hAnsi="ITC Avant Garde"/>
          <w:sz w:val="22"/>
        </w:rPr>
        <w:t>, según corresponda,</w:t>
      </w:r>
      <w:r w:rsidRPr="00D74727">
        <w:rPr>
          <w:rFonts w:ascii="ITC Avant Garde" w:hAnsi="ITC Avant Garde"/>
          <w:sz w:val="22"/>
        </w:rPr>
        <w:t xml:space="preserve"> de una o más </w:t>
      </w:r>
      <w:r w:rsidR="00B95AFF">
        <w:rPr>
          <w:rFonts w:ascii="ITC Avant Garde" w:hAnsi="ITC Avant Garde"/>
          <w:sz w:val="22"/>
        </w:rPr>
        <w:t>b</w:t>
      </w:r>
      <w:r w:rsidRPr="00D74727">
        <w:rPr>
          <w:rFonts w:ascii="ITC Avant Garde" w:hAnsi="ITC Avant Garde"/>
          <w:sz w:val="22"/>
        </w:rPr>
        <w:t xml:space="preserve">andas de </w:t>
      </w:r>
      <w:r w:rsidR="00B95AFF">
        <w:rPr>
          <w:rFonts w:ascii="ITC Avant Garde" w:hAnsi="ITC Avant Garde"/>
          <w:sz w:val="22"/>
        </w:rPr>
        <w:t>f</w:t>
      </w:r>
      <w:r w:rsidRPr="00D74727">
        <w:rPr>
          <w:rFonts w:ascii="ITC Avant Garde" w:hAnsi="ITC Avant Garde"/>
          <w:sz w:val="22"/>
        </w:rPr>
        <w:t xml:space="preserve">recuencias, materia de la </w:t>
      </w:r>
      <w:r w:rsidR="00B95AFF">
        <w:rPr>
          <w:rFonts w:ascii="ITC Avant Garde" w:hAnsi="ITC Avant Garde"/>
          <w:sz w:val="22"/>
        </w:rPr>
        <w:t>a</w:t>
      </w:r>
      <w:r w:rsidRPr="00D74727">
        <w:rPr>
          <w:rFonts w:ascii="ITC Avant Garde" w:hAnsi="ITC Avant Garde"/>
          <w:sz w:val="22"/>
        </w:rPr>
        <w:t xml:space="preserve">utorización de </w:t>
      </w:r>
      <w:r w:rsidR="00B95AFF">
        <w:rPr>
          <w:rFonts w:ascii="ITC Avant Garde" w:hAnsi="ITC Avant Garde"/>
          <w:sz w:val="22"/>
        </w:rPr>
        <w:t>a</w:t>
      </w:r>
      <w:r w:rsidRPr="00D74727">
        <w:rPr>
          <w:rFonts w:ascii="ITC Avant Garde" w:hAnsi="ITC Avant Garde"/>
          <w:sz w:val="22"/>
        </w:rPr>
        <w:t>rrendamiento</w:t>
      </w:r>
      <w:r w:rsidR="00D03711" w:rsidRPr="00D03711">
        <w:rPr>
          <w:rFonts w:ascii="ITC Avant Garde" w:hAnsi="ITC Avant Garde"/>
          <w:sz w:val="22"/>
        </w:rPr>
        <w:t xml:space="preserve"> </w:t>
      </w:r>
      <w:r w:rsidR="00D03711">
        <w:rPr>
          <w:rFonts w:ascii="ITC Avant Garde" w:hAnsi="ITC Avant Garde"/>
          <w:sz w:val="22"/>
        </w:rPr>
        <w:t>correspondiente</w:t>
      </w:r>
      <w:r w:rsidRPr="00D74727">
        <w:rPr>
          <w:rFonts w:ascii="ITC Avant Garde" w:hAnsi="ITC Avant Garde"/>
          <w:sz w:val="22"/>
        </w:rPr>
        <w:t>, previa autorización del Instituto</w:t>
      </w:r>
      <w:r w:rsidR="009B07A2">
        <w:rPr>
          <w:rFonts w:ascii="ITC Avant Garde" w:hAnsi="ITC Avant Garde"/>
          <w:sz w:val="22"/>
        </w:rPr>
        <w:t>.</w:t>
      </w:r>
    </w:p>
    <w:p w14:paraId="2284F447" w14:textId="01450D25" w:rsidR="00D03711" w:rsidRPr="00655029" w:rsidRDefault="00331145" w:rsidP="00D03711">
      <w:pPr>
        <w:pStyle w:val="Prrafodelista"/>
        <w:numPr>
          <w:ilvl w:val="0"/>
          <w:numId w:val="38"/>
        </w:numPr>
        <w:pBdr>
          <w:top w:val="nil"/>
          <w:left w:val="nil"/>
          <w:bottom w:val="nil"/>
          <w:right w:val="nil"/>
          <w:between w:val="nil"/>
          <w:bar w:val="nil"/>
        </w:pBdr>
        <w:suppressAutoHyphens/>
        <w:contextualSpacing/>
        <w:jc w:val="both"/>
        <w:rPr>
          <w:rFonts w:ascii="ITC Avant Garde" w:hAnsi="ITC Avant Garde" w:cs="Arial"/>
          <w:b/>
          <w:color w:val="000000" w:themeColor="text1"/>
          <w:sz w:val="22"/>
          <w:szCs w:val="22"/>
        </w:rPr>
      </w:pPr>
      <w:r>
        <w:rPr>
          <w:rFonts w:ascii="ITC Avant Garde" w:hAnsi="ITC Avant Garde" w:cs="Arial"/>
          <w:color w:val="000000" w:themeColor="text1"/>
          <w:sz w:val="22"/>
          <w:szCs w:val="22"/>
        </w:rPr>
        <w:lastRenderedPageBreak/>
        <w:t xml:space="preserve">Información </w:t>
      </w:r>
      <w:r w:rsidRPr="00491708">
        <w:rPr>
          <w:rFonts w:ascii="ITC Avant Garde" w:hAnsi="ITC Avant Garde" w:cs="Arial"/>
          <w:color w:val="000000" w:themeColor="text1"/>
          <w:sz w:val="22"/>
          <w:szCs w:val="22"/>
        </w:rPr>
        <w:t>y</w:t>
      </w:r>
      <w:r w:rsidR="00D03711">
        <w:rPr>
          <w:rFonts w:ascii="ITC Avant Garde" w:hAnsi="ITC Avant Garde" w:cs="Arial"/>
          <w:color w:val="000000" w:themeColor="text1"/>
          <w:sz w:val="22"/>
          <w:szCs w:val="22"/>
        </w:rPr>
        <w:t>/o</w:t>
      </w:r>
      <w:r w:rsidRPr="00491708">
        <w:rPr>
          <w:rFonts w:ascii="ITC Avant Garde" w:hAnsi="ITC Avant Garde" w:cs="Arial"/>
          <w:color w:val="000000" w:themeColor="text1"/>
          <w:sz w:val="22"/>
          <w:szCs w:val="22"/>
        </w:rPr>
        <w:t xml:space="preserve"> documentación que </w:t>
      </w:r>
      <w:r>
        <w:rPr>
          <w:rFonts w:ascii="ITC Avant Garde" w:hAnsi="ITC Avant Garde" w:cs="Arial"/>
          <w:color w:val="000000" w:themeColor="text1"/>
          <w:sz w:val="22"/>
          <w:szCs w:val="22"/>
        </w:rPr>
        <w:t xml:space="preserve">el interesado </w:t>
      </w:r>
      <w:r w:rsidRPr="00491708">
        <w:rPr>
          <w:rFonts w:ascii="ITC Avant Garde" w:hAnsi="ITC Avant Garde" w:cs="Arial"/>
          <w:color w:val="000000" w:themeColor="text1"/>
          <w:sz w:val="22"/>
          <w:szCs w:val="22"/>
        </w:rPr>
        <w:t xml:space="preserve">deberá presentarse </w:t>
      </w:r>
      <w:r>
        <w:rPr>
          <w:rFonts w:ascii="ITC Avant Garde" w:hAnsi="ITC Avant Garde" w:cs="Arial"/>
          <w:color w:val="000000" w:themeColor="text1"/>
          <w:sz w:val="22"/>
          <w:szCs w:val="22"/>
        </w:rPr>
        <w:t>al Instituto</w:t>
      </w:r>
      <w:r w:rsidR="00D03711">
        <w:rPr>
          <w:rFonts w:ascii="ITC Avant Garde" w:hAnsi="ITC Avant Garde" w:cs="Arial"/>
          <w:color w:val="000000" w:themeColor="text1"/>
          <w:sz w:val="22"/>
          <w:szCs w:val="22"/>
        </w:rPr>
        <w:t>,</w:t>
      </w:r>
      <w:r w:rsidR="00D03711" w:rsidRPr="00D03711">
        <w:rPr>
          <w:rFonts w:ascii="ITC Avant Garde" w:hAnsi="ITC Avant Garde" w:cs="Arial"/>
          <w:color w:val="000000" w:themeColor="text1"/>
          <w:sz w:val="22"/>
          <w:szCs w:val="22"/>
        </w:rPr>
        <w:t xml:space="preserve"> </w:t>
      </w:r>
      <w:r w:rsidR="00D03711">
        <w:rPr>
          <w:rFonts w:ascii="ITC Avant Garde" w:hAnsi="ITC Avant Garde" w:cs="Arial"/>
          <w:color w:val="000000" w:themeColor="text1"/>
          <w:sz w:val="22"/>
          <w:szCs w:val="22"/>
        </w:rPr>
        <w:t>mediante escrito libre</w:t>
      </w:r>
      <w:r w:rsidR="00D7022B">
        <w:rPr>
          <w:rFonts w:ascii="ITC Avant Garde" w:hAnsi="ITC Avant Garde" w:cs="Arial"/>
          <w:color w:val="000000" w:themeColor="text1"/>
          <w:sz w:val="22"/>
          <w:szCs w:val="22"/>
        </w:rPr>
        <w:t>.</w:t>
      </w:r>
    </w:p>
    <w:p w14:paraId="49602578" w14:textId="619C0981" w:rsidR="00D03711" w:rsidRPr="00871879" w:rsidRDefault="00D03711" w:rsidP="00D03711">
      <w:pPr>
        <w:pStyle w:val="Prrafodelista"/>
        <w:numPr>
          <w:ilvl w:val="0"/>
          <w:numId w:val="38"/>
        </w:numPr>
        <w:pBdr>
          <w:top w:val="nil"/>
          <w:left w:val="nil"/>
          <w:bottom w:val="nil"/>
          <w:right w:val="nil"/>
          <w:between w:val="nil"/>
          <w:bar w:val="nil"/>
        </w:pBdr>
        <w:suppressAutoHyphens/>
        <w:contextualSpacing/>
        <w:jc w:val="both"/>
        <w:rPr>
          <w:rFonts w:ascii="ITC Avant Garde" w:hAnsi="ITC Avant Garde" w:cs="Arial"/>
          <w:b/>
          <w:color w:val="000000" w:themeColor="text1"/>
          <w:sz w:val="22"/>
          <w:szCs w:val="22"/>
        </w:rPr>
      </w:pPr>
      <w:r>
        <w:rPr>
          <w:rFonts w:ascii="ITC Avant Garde" w:hAnsi="ITC Avant Garde" w:cs="Arial"/>
          <w:color w:val="000000" w:themeColor="text1"/>
          <w:sz w:val="22"/>
          <w:szCs w:val="22"/>
        </w:rPr>
        <w:t xml:space="preserve">Al autorizar el Instituto el contrato de subarrendamiento, la obligación solidaria del subarrendatario respecto de las obligaciones derivadas de la concesión de espectro radioeléctrico del arrendador. </w:t>
      </w:r>
    </w:p>
    <w:p w14:paraId="08AE875A" w14:textId="7F8E8CEF" w:rsidR="00D7022B" w:rsidRPr="00D74727" w:rsidRDefault="00B171E9" w:rsidP="00871879">
      <w:pPr>
        <w:pStyle w:val="Prrafodelista"/>
        <w:numPr>
          <w:ilvl w:val="0"/>
          <w:numId w:val="38"/>
        </w:numPr>
        <w:contextualSpacing/>
        <w:jc w:val="both"/>
        <w:rPr>
          <w:rFonts w:ascii="ITC Avant Garde" w:hAnsi="ITC Avant Garde"/>
          <w:sz w:val="22"/>
        </w:rPr>
      </w:pPr>
      <w:r>
        <w:rPr>
          <w:rFonts w:ascii="ITC Avant Garde" w:hAnsi="ITC Avant Garde"/>
          <w:sz w:val="22"/>
        </w:rPr>
        <w:t>Imposibilidad del</w:t>
      </w:r>
      <w:r w:rsidR="00D7022B" w:rsidRPr="00D74727">
        <w:rPr>
          <w:rFonts w:ascii="ITC Avant Garde" w:hAnsi="ITC Avant Garde"/>
          <w:sz w:val="22"/>
        </w:rPr>
        <w:t xml:space="preserve"> </w:t>
      </w:r>
      <w:r w:rsidR="00B95AFF">
        <w:rPr>
          <w:rFonts w:ascii="ITC Avant Garde" w:hAnsi="ITC Avant Garde"/>
          <w:sz w:val="22"/>
        </w:rPr>
        <w:t>s</w:t>
      </w:r>
      <w:r w:rsidR="00D7022B" w:rsidRPr="00D74727">
        <w:rPr>
          <w:rFonts w:ascii="ITC Avant Garde" w:hAnsi="ITC Avant Garde"/>
          <w:sz w:val="22"/>
        </w:rPr>
        <w:t xml:space="preserve">ubarrendatario </w:t>
      </w:r>
      <w:r>
        <w:rPr>
          <w:rFonts w:ascii="ITC Avant Garde" w:hAnsi="ITC Avant Garde"/>
          <w:sz w:val="22"/>
        </w:rPr>
        <w:t xml:space="preserve">para </w:t>
      </w:r>
      <w:r w:rsidR="00B95AFF">
        <w:rPr>
          <w:rFonts w:ascii="ITC Avant Garde" w:hAnsi="ITC Avant Garde"/>
          <w:sz w:val="22"/>
        </w:rPr>
        <w:t>s</w:t>
      </w:r>
      <w:r w:rsidR="00D7022B" w:rsidRPr="00D74727">
        <w:rPr>
          <w:rFonts w:ascii="ITC Avant Garde" w:hAnsi="ITC Avant Garde"/>
          <w:sz w:val="22"/>
        </w:rPr>
        <w:t xml:space="preserve">ubarrendar </w:t>
      </w:r>
      <w:r w:rsidR="00307125">
        <w:rPr>
          <w:rFonts w:ascii="ITC Avant Garde" w:hAnsi="ITC Avant Garde"/>
          <w:sz w:val="22"/>
        </w:rPr>
        <w:t xml:space="preserve">a su vez, </w:t>
      </w:r>
      <w:r w:rsidR="00D7022B" w:rsidRPr="00D74727">
        <w:rPr>
          <w:rFonts w:ascii="ITC Avant Garde" w:hAnsi="ITC Avant Garde"/>
          <w:sz w:val="22"/>
        </w:rPr>
        <w:t xml:space="preserve">el derecho al uso, aprovechamiento </w:t>
      </w:r>
      <w:r w:rsidR="00307125">
        <w:rPr>
          <w:rFonts w:ascii="ITC Avant Garde" w:hAnsi="ITC Avant Garde"/>
          <w:sz w:val="22"/>
        </w:rPr>
        <w:t>y/</w:t>
      </w:r>
      <w:r w:rsidR="00D7022B" w:rsidRPr="00D74727">
        <w:rPr>
          <w:rFonts w:ascii="ITC Avant Garde" w:hAnsi="ITC Avant Garde"/>
          <w:sz w:val="22"/>
        </w:rPr>
        <w:t xml:space="preserve">o explotación de las </w:t>
      </w:r>
      <w:r w:rsidR="00B95AFF">
        <w:rPr>
          <w:rFonts w:ascii="ITC Avant Garde" w:hAnsi="ITC Avant Garde"/>
          <w:sz w:val="22"/>
        </w:rPr>
        <w:t>b</w:t>
      </w:r>
      <w:r w:rsidR="00D7022B" w:rsidRPr="00D74727">
        <w:rPr>
          <w:rFonts w:ascii="ITC Avant Garde" w:hAnsi="ITC Avant Garde"/>
          <w:sz w:val="22"/>
        </w:rPr>
        <w:t xml:space="preserve">andas de </w:t>
      </w:r>
      <w:r w:rsidR="00B95AFF">
        <w:rPr>
          <w:rFonts w:ascii="ITC Avant Garde" w:hAnsi="ITC Avant Garde"/>
          <w:sz w:val="22"/>
        </w:rPr>
        <w:t>f</w:t>
      </w:r>
      <w:r w:rsidR="00A42BE7">
        <w:rPr>
          <w:rFonts w:ascii="ITC Avant Garde" w:hAnsi="ITC Avant Garde"/>
          <w:sz w:val="22"/>
        </w:rPr>
        <w:t>recuencias objeto del c</w:t>
      </w:r>
      <w:r w:rsidR="00D7022B" w:rsidRPr="00D74727">
        <w:rPr>
          <w:rFonts w:ascii="ITC Avant Garde" w:hAnsi="ITC Avant Garde"/>
          <w:sz w:val="22"/>
        </w:rPr>
        <w:t xml:space="preserve">ontrato de </w:t>
      </w:r>
      <w:r w:rsidR="00A42BE7">
        <w:rPr>
          <w:rFonts w:ascii="ITC Avant Garde" w:hAnsi="ITC Avant Garde"/>
          <w:sz w:val="22"/>
        </w:rPr>
        <w:t>s</w:t>
      </w:r>
      <w:r w:rsidR="00D7022B" w:rsidRPr="00D74727">
        <w:rPr>
          <w:rFonts w:ascii="ITC Avant Garde" w:hAnsi="ITC Avant Garde"/>
          <w:sz w:val="22"/>
        </w:rPr>
        <w:t>ubarrendamiento.</w:t>
      </w:r>
    </w:p>
    <w:p w14:paraId="2A8B4FB4" w14:textId="26026204" w:rsidR="00D7022B" w:rsidRPr="00D74727" w:rsidRDefault="009729C6" w:rsidP="00D7022B">
      <w:pPr>
        <w:pStyle w:val="Prrafodelista"/>
        <w:numPr>
          <w:ilvl w:val="0"/>
          <w:numId w:val="38"/>
        </w:numPr>
        <w:contextualSpacing/>
        <w:jc w:val="both"/>
        <w:rPr>
          <w:rFonts w:ascii="ITC Avant Garde" w:hAnsi="ITC Avant Garde"/>
          <w:sz w:val="22"/>
        </w:rPr>
      </w:pPr>
      <w:r>
        <w:rPr>
          <w:rFonts w:ascii="ITC Avant Garde" w:hAnsi="ITC Avant Garde"/>
          <w:sz w:val="22"/>
        </w:rPr>
        <w:t xml:space="preserve">Aplicabilidad al </w:t>
      </w:r>
      <w:r w:rsidR="00B95AFF">
        <w:rPr>
          <w:rFonts w:ascii="ITC Avant Garde" w:hAnsi="ITC Avant Garde"/>
          <w:sz w:val="22"/>
        </w:rPr>
        <w:t>s</w:t>
      </w:r>
      <w:r>
        <w:rPr>
          <w:rFonts w:ascii="ITC Avant Garde" w:hAnsi="ITC Avant Garde"/>
          <w:sz w:val="22"/>
        </w:rPr>
        <w:t xml:space="preserve">ubarrendamiento de las disposiciones </w:t>
      </w:r>
      <w:r w:rsidR="00307125">
        <w:rPr>
          <w:rFonts w:ascii="ITC Avant Garde" w:hAnsi="ITC Avant Garde"/>
          <w:sz w:val="22"/>
        </w:rPr>
        <w:t>relativas a la autorización del arrendamiento</w:t>
      </w:r>
      <w:r>
        <w:rPr>
          <w:rFonts w:ascii="ITC Avant Garde" w:hAnsi="ITC Avant Garde"/>
          <w:sz w:val="22"/>
        </w:rPr>
        <w:t>, en lo conducente</w:t>
      </w:r>
      <w:r w:rsidR="00D7022B" w:rsidRPr="00D74727">
        <w:rPr>
          <w:rFonts w:ascii="ITC Avant Garde" w:hAnsi="ITC Avant Garde"/>
          <w:sz w:val="22"/>
        </w:rPr>
        <w:t xml:space="preserve">. </w:t>
      </w:r>
    </w:p>
    <w:p w14:paraId="33B62A93" w14:textId="77777777" w:rsidR="00D7022B" w:rsidRDefault="00D7022B" w:rsidP="00A27FC0">
      <w:pPr>
        <w:spacing w:after="0" w:line="240" w:lineRule="auto"/>
        <w:contextualSpacing/>
        <w:jc w:val="both"/>
        <w:rPr>
          <w:rFonts w:ascii="ITC Avant Garde" w:hAnsi="ITC Avant Garde" w:cs="Arial"/>
          <w:color w:val="000000" w:themeColor="text1"/>
          <w:szCs w:val="21"/>
        </w:rPr>
      </w:pPr>
    </w:p>
    <w:p w14:paraId="1AD96A98" w14:textId="04DC9879" w:rsidR="00A27FC0" w:rsidRDefault="00A27FC0" w:rsidP="00A27FC0">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En virtud que el </w:t>
      </w:r>
      <w:r>
        <w:rPr>
          <w:rFonts w:ascii="ITC Avant Garde" w:hAnsi="ITC Avant Garde"/>
          <w:szCs w:val="21"/>
        </w:rPr>
        <w:t>Estado mantiene</w:t>
      </w:r>
      <w:r w:rsidRPr="00965118">
        <w:rPr>
          <w:rFonts w:ascii="ITC Avant Garde" w:hAnsi="ITC Avant Garde"/>
          <w:szCs w:val="21"/>
        </w:rPr>
        <w:t xml:space="preserve"> el control sobre la administración y asignación de</w:t>
      </w:r>
      <w:r>
        <w:rPr>
          <w:rFonts w:ascii="ITC Avant Garde" w:hAnsi="ITC Avant Garde"/>
          <w:szCs w:val="21"/>
        </w:rPr>
        <w:t>l espectro radioeléctrico</w:t>
      </w:r>
      <w:r w:rsidRPr="00965118">
        <w:rPr>
          <w:rFonts w:ascii="ITC Avant Garde" w:hAnsi="ITC Avant Garde"/>
          <w:szCs w:val="21"/>
        </w:rPr>
        <w:t>, a efecto de evitar cualquier actuación de los particulares en detrimento de la rectoría que se debe ejercer al respecto</w:t>
      </w:r>
      <w:r>
        <w:rPr>
          <w:rFonts w:ascii="ITC Avant Garde" w:hAnsi="ITC Avant Garde"/>
          <w:szCs w:val="21"/>
        </w:rPr>
        <w:t xml:space="preserve">, el </w:t>
      </w:r>
      <w:r>
        <w:rPr>
          <w:rFonts w:ascii="ITC Avant Garde" w:hAnsi="ITC Avant Garde" w:cs="Arial"/>
          <w:color w:val="000000" w:themeColor="text1"/>
          <w:szCs w:val="21"/>
        </w:rPr>
        <w:t xml:space="preserve">artículo 104 de la Ley otorga la atribución al Instituto de resolver la solicitud de </w:t>
      </w:r>
      <w:r w:rsidR="00617651">
        <w:rPr>
          <w:rFonts w:ascii="ITC Avant Garde" w:hAnsi="ITC Avant Garde" w:cs="Arial"/>
          <w:color w:val="000000" w:themeColor="text1"/>
          <w:szCs w:val="21"/>
        </w:rPr>
        <w:t>a</w:t>
      </w:r>
      <w:r>
        <w:rPr>
          <w:rFonts w:ascii="ITC Avant Garde" w:hAnsi="ITC Avant Garde" w:cs="Arial"/>
          <w:color w:val="000000" w:themeColor="text1"/>
          <w:szCs w:val="21"/>
        </w:rPr>
        <w:t xml:space="preserve">utorización de </w:t>
      </w:r>
      <w:r w:rsidR="00617651">
        <w:rPr>
          <w:rFonts w:ascii="ITC Avant Garde" w:hAnsi="ITC Avant Garde" w:cs="Arial"/>
          <w:color w:val="000000" w:themeColor="text1"/>
          <w:szCs w:val="21"/>
        </w:rPr>
        <w:t>a</w:t>
      </w:r>
      <w:r>
        <w:rPr>
          <w:rFonts w:ascii="ITC Avant Garde" w:hAnsi="ITC Avant Garde" w:cs="Arial"/>
          <w:color w:val="000000" w:themeColor="text1"/>
          <w:szCs w:val="21"/>
        </w:rPr>
        <w:t xml:space="preserve">rrendamiento, condición que prevalece para el subarrendamiento. </w:t>
      </w:r>
    </w:p>
    <w:p w14:paraId="70071DE2" w14:textId="14BF08BC" w:rsidR="00E12F91" w:rsidRDefault="00E12F91" w:rsidP="00A27FC0">
      <w:pPr>
        <w:spacing w:after="0" w:line="240" w:lineRule="auto"/>
        <w:contextualSpacing/>
        <w:jc w:val="both"/>
        <w:rPr>
          <w:rFonts w:ascii="ITC Avant Garde" w:hAnsi="ITC Avant Garde" w:cs="Arial"/>
          <w:color w:val="000000" w:themeColor="text1"/>
          <w:szCs w:val="21"/>
        </w:rPr>
      </w:pPr>
    </w:p>
    <w:p w14:paraId="557FFC17" w14:textId="54F515BE" w:rsidR="008C7662" w:rsidRDefault="00E12F91" w:rsidP="005E4B06">
      <w:pPr>
        <w:spacing w:after="0" w:line="240" w:lineRule="auto"/>
        <w:contextualSpacing/>
        <w:jc w:val="both"/>
        <w:rPr>
          <w:rFonts w:ascii="ITC Avant Garde" w:hAnsi="ITC Avant Garde"/>
          <w:bCs/>
        </w:rPr>
      </w:pPr>
      <w:r>
        <w:rPr>
          <w:rFonts w:ascii="ITC Avant Garde" w:hAnsi="ITC Avant Garde" w:cs="Arial"/>
          <w:color w:val="000000" w:themeColor="text1"/>
          <w:szCs w:val="21"/>
        </w:rPr>
        <w:t>Además</w:t>
      </w:r>
      <w:r w:rsidR="00617651">
        <w:rPr>
          <w:rFonts w:ascii="ITC Avant Garde" w:hAnsi="ITC Avant Garde" w:cs="Arial"/>
          <w:color w:val="000000" w:themeColor="text1"/>
          <w:szCs w:val="21"/>
        </w:rPr>
        <w:t>,</w:t>
      </w:r>
      <w:r>
        <w:rPr>
          <w:rFonts w:ascii="ITC Avant Garde" w:hAnsi="ITC Avant Garde" w:cs="Arial"/>
          <w:color w:val="000000" w:themeColor="text1"/>
          <w:szCs w:val="21"/>
        </w:rPr>
        <w:t xml:space="preserve"> el Instituto </w:t>
      </w:r>
      <w:r>
        <w:rPr>
          <w:rFonts w:ascii="ITC Avant Garde" w:hAnsi="ITC Avant Garde"/>
          <w:bCs/>
        </w:rPr>
        <w:t>estableció que e</w:t>
      </w:r>
      <w:r w:rsidRPr="00D74727">
        <w:rPr>
          <w:rFonts w:ascii="ITC Avant Garde" w:hAnsi="ITC Avant Garde"/>
        </w:rPr>
        <w:t xml:space="preserve">l </w:t>
      </w:r>
      <w:r w:rsidR="00617651">
        <w:rPr>
          <w:rFonts w:ascii="ITC Avant Garde" w:hAnsi="ITC Avant Garde"/>
        </w:rPr>
        <w:t>s</w:t>
      </w:r>
      <w:r w:rsidRPr="00D74727">
        <w:rPr>
          <w:rFonts w:ascii="ITC Avant Garde" w:hAnsi="ITC Avant Garde"/>
        </w:rPr>
        <w:t xml:space="preserve">ubarrendatario no podrá subarrendar </w:t>
      </w:r>
      <w:r w:rsidR="0054249E">
        <w:rPr>
          <w:rFonts w:ascii="ITC Avant Garde" w:hAnsi="ITC Avant Garde"/>
        </w:rPr>
        <w:t xml:space="preserve">a su vez, </w:t>
      </w:r>
      <w:r w:rsidRPr="00D74727">
        <w:rPr>
          <w:rFonts w:ascii="ITC Avant Garde" w:hAnsi="ITC Avant Garde"/>
        </w:rPr>
        <w:t xml:space="preserve">el derecho al uso, aprovechamiento </w:t>
      </w:r>
      <w:r w:rsidR="0054249E">
        <w:rPr>
          <w:rFonts w:ascii="ITC Avant Garde" w:hAnsi="ITC Avant Garde"/>
        </w:rPr>
        <w:t>y/</w:t>
      </w:r>
      <w:r w:rsidRPr="00D74727">
        <w:rPr>
          <w:rFonts w:ascii="ITC Avant Garde" w:hAnsi="ITC Avant Garde"/>
        </w:rPr>
        <w:t xml:space="preserve">o explotación de las </w:t>
      </w:r>
      <w:r w:rsidR="00617651">
        <w:rPr>
          <w:rFonts w:ascii="ITC Avant Garde" w:hAnsi="ITC Avant Garde"/>
        </w:rPr>
        <w:t>b</w:t>
      </w:r>
      <w:r w:rsidRPr="00D74727">
        <w:rPr>
          <w:rFonts w:ascii="ITC Avant Garde" w:hAnsi="ITC Avant Garde"/>
        </w:rPr>
        <w:t xml:space="preserve">andas de </w:t>
      </w:r>
      <w:r w:rsidR="00617651">
        <w:rPr>
          <w:rFonts w:ascii="ITC Avant Garde" w:hAnsi="ITC Avant Garde"/>
        </w:rPr>
        <w:t>f</w:t>
      </w:r>
      <w:r w:rsidR="00A42BE7">
        <w:rPr>
          <w:rFonts w:ascii="ITC Avant Garde" w:hAnsi="ITC Avant Garde"/>
        </w:rPr>
        <w:t>recuencias</w:t>
      </w:r>
      <w:r w:rsidR="0054249E">
        <w:rPr>
          <w:rFonts w:ascii="ITC Avant Garde" w:hAnsi="ITC Avant Garde"/>
        </w:rPr>
        <w:t>,</w:t>
      </w:r>
      <w:r w:rsidR="00A42BE7">
        <w:rPr>
          <w:rFonts w:ascii="ITC Avant Garde" w:hAnsi="ITC Avant Garde"/>
        </w:rPr>
        <w:t xml:space="preserve"> objeto del contrato </w:t>
      </w:r>
      <w:r w:rsidRPr="00D74727">
        <w:rPr>
          <w:rFonts w:ascii="ITC Avant Garde" w:hAnsi="ITC Avant Garde"/>
        </w:rPr>
        <w:t xml:space="preserve">de </w:t>
      </w:r>
      <w:r w:rsidR="00A42BE7">
        <w:rPr>
          <w:rFonts w:ascii="ITC Avant Garde" w:hAnsi="ITC Avant Garde"/>
        </w:rPr>
        <w:t>s</w:t>
      </w:r>
      <w:r w:rsidRPr="00D74727">
        <w:rPr>
          <w:rFonts w:ascii="ITC Avant Garde" w:hAnsi="ITC Avant Garde"/>
        </w:rPr>
        <w:t>ubarrendamiento</w:t>
      </w:r>
      <w:r w:rsidR="00617651">
        <w:rPr>
          <w:rFonts w:ascii="ITC Avant Garde" w:hAnsi="ITC Avant Garde"/>
        </w:rPr>
        <w:t>.</w:t>
      </w:r>
      <w:r>
        <w:rPr>
          <w:rFonts w:ascii="ITC Avant Garde" w:hAnsi="ITC Avant Garde"/>
        </w:rPr>
        <w:t xml:space="preserve"> </w:t>
      </w:r>
      <w:r w:rsidR="00617651">
        <w:rPr>
          <w:rFonts w:ascii="ITC Avant Garde" w:hAnsi="ITC Avant Garde"/>
        </w:rPr>
        <w:t>L</w:t>
      </w:r>
      <w:r>
        <w:rPr>
          <w:rFonts w:ascii="ITC Avant Garde" w:hAnsi="ITC Avant Garde"/>
        </w:rPr>
        <w:t xml:space="preserve">o anterior a efecto de lograr una administración y </w:t>
      </w:r>
      <w:r w:rsidR="0054249E">
        <w:rPr>
          <w:rFonts w:ascii="ITC Avant Garde" w:hAnsi="ITC Avant Garde"/>
        </w:rPr>
        <w:t xml:space="preserve">uso </w:t>
      </w:r>
      <w:r w:rsidRPr="00350C19">
        <w:rPr>
          <w:rFonts w:ascii="ITC Avant Garde" w:hAnsi="ITC Avant Garde"/>
          <w:bCs/>
        </w:rPr>
        <w:t>de</w:t>
      </w:r>
      <w:r>
        <w:rPr>
          <w:rFonts w:ascii="ITC Avant Garde" w:hAnsi="ITC Avant Garde"/>
          <w:bCs/>
        </w:rPr>
        <w:t xml:space="preserve">l espectro radioeléctrico de </w:t>
      </w:r>
      <w:r w:rsidRPr="00350C19">
        <w:rPr>
          <w:rFonts w:ascii="ITC Avant Garde" w:hAnsi="ITC Avant Garde"/>
          <w:bCs/>
        </w:rPr>
        <w:t>la forma más racional y eficiente posible</w:t>
      </w:r>
      <w:r w:rsidR="003204E6">
        <w:rPr>
          <w:rFonts w:ascii="ITC Avant Garde" w:hAnsi="ITC Avant Garde"/>
          <w:bCs/>
        </w:rPr>
        <w:t>, sin dar lugar a comportamiento especulativos</w:t>
      </w:r>
      <w:r w:rsidRPr="00350C19">
        <w:rPr>
          <w:rFonts w:ascii="ITC Avant Garde" w:hAnsi="ITC Avant Garde"/>
          <w:bCs/>
        </w:rPr>
        <w:t>.</w:t>
      </w:r>
      <w:r w:rsidR="008E0CB8">
        <w:rPr>
          <w:rFonts w:ascii="ITC Avant Garde" w:hAnsi="ITC Avant Garde"/>
          <w:bCs/>
        </w:rPr>
        <w:t xml:space="preserve"> </w:t>
      </w:r>
    </w:p>
    <w:p w14:paraId="7FD070D0" w14:textId="77777777" w:rsidR="008C7662" w:rsidRDefault="008C7662" w:rsidP="005E4B06">
      <w:pPr>
        <w:spacing w:after="0" w:line="240" w:lineRule="auto"/>
        <w:contextualSpacing/>
        <w:jc w:val="both"/>
        <w:rPr>
          <w:rFonts w:ascii="ITC Avant Garde" w:hAnsi="ITC Avant Garde"/>
          <w:bCs/>
        </w:rPr>
      </w:pPr>
    </w:p>
    <w:p w14:paraId="775E39CD" w14:textId="29F6E589" w:rsidR="00CB291C" w:rsidRDefault="00A27FC0" w:rsidP="005E4B06">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Por su parte, </w:t>
      </w:r>
      <w:r w:rsidR="00431448">
        <w:rPr>
          <w:rFonts w:ascii="ITC Avant Garde" w:hAnsi="ITC Avant Garde" w:cs="Arial"/>
          <w:color w:val="000000" w:themeColor="text1"/>
          <w:szCs w:val="21"/>
        </w:rPr>
        <w:t>l</w:t>
      </w:r>
      <w:r w:rsidR="006E311E">
        <w:rPr>
          <w:rFonts w:ascii="ITC Avant Garde" w:hAnsi="ITC Avant Garde" w:cs="Arial"/>
          <w:color w:val="000000" w:themeColor="text1"/>
          <w:szCs w:val="21"/>
        </w:rPr>
        <w:t>os artículos 2480</w:t>
      </w:r>
      <w:r w:rsidR="008D63EF">
        <w:rPr>
          <w:rFonts w:ascii="ITC Avant Garde" w:hAnsi="ITC Avant Garde" w:cs="Arial"/>
          <w:color w:val="000000" w:themeColor="text1"/>
          <w:szCs w:val="21"/>
        </w:rPr>
        <w:t xml:space="preserve">, </w:t>
      </w:r>
      <w:r w:rsidR="006E311E">
        <w:rPr>
          <w:rFonts w:ascii="ITC Avant Garde" w:hAnsi="ITC Avant Garde" w:cs="Arial"/>
          <w:color w:val="000000" w:themeColor="text1"/>
          <w:szCs w:val="21"/>
        </w:rPr>
        <w:t>2481</w:t>
      </w:r>
      <w:r w:rsidR="008D63EF">
        <w:rPr>
          <w:rFonts w:ascii="ITC Avant Garde" w:hAnsi="ITC Avant Garde" w:cs="Arial"/>
          <w:color w:val="000000" w:themeColor="text1"/>
          <w:szCs w:val="21"/>
        </w:rPr>
        <w:t xml:space="preserve"> </w:t>
      </w:r>
      <w:r w:rsidR="006E311E">
        <w:rPr>
          <w:rFonts w:ascii="ITC Avant Garde" w:hAnsi="ITC Avant Garde" w:cs="Arial"/>
          <w:color w:val="000000" w:themeColor="text1"/>
          <w:szCs w:val="21"/>
        </w:rPr>
        <w:t xml:space="preserve">y </w:t>
      </w:r>
      <w:r w:rsidR="008D63EF">
        <w:rPr>
          <w:rFonts w:ascii="ITC Avant Garde" w:hAnsi="ITC Avant Garde" w:cs="Arial"/>
          <w:color w:val="000000" w:themeColor="text1"/>
          <w:szCs w:val="21"/>
        </w:rPr>
        <w:t>2482</w:t>
      </w:r>
      <w:r w:rsidR="006E311E">
        <w:rPr>
          <w:rFonts w:ascii="ITC Avant Garde" w:hAnsi="ITC Avant Garde" w:cs="Arial"/>
          <w:color w:val="000000" w:themeColor="text1"/>
          <w:szCs w:val="21"/>
        </w:rPr>
        <w:t xml:space="preserve"> del Código Civil Federal establecen lo siguiente: </w:t>
      </w:r>
    </w:p>
    <w:p w14:paraId="678537BB" w14:textId="77777777" w:rsidR="00CB291C" w:rsidRDefault="00CB291C" w:rsidP="006E311E">
      <w:pPr>
        <w:spacing w:after="0" w:line="240" w:lineRule="auto"/>
        <w:ind w:left="1134" w:right="1182"/>
        <w:contextualSpacing/>
        <w:jc w:val="both"/>
        <w:rPr>
          <w:rFonts w:ascii="ITC Avant Garde" w:hAnsi="ITC Avant Garde" w:cs="Arial"/>
          <w:color w:val="000000" w:themeColor="text1"/>
          <w:szCs w:val="21"/>
        </w:rPr>
      </w:pPr>
    </w:p>
    <w:p w14:paraId="3EF78A77" w14:textId="066439E7" w:rsidR="006E311E" w:rsidRPr="00431448" w:rsidRDefault="006E311E" w:rsidP="006E311E">
      <w:pPr>
        <w:spacing w:after="0" w:line="240" w:lineRule="auto"/>
        <w:ind w:left="1134" w:right="1182"/>
        <w:contextualSpacing/>
        <w:jc w:val="both"/>
        <w:rPr>
          <w:rFonts w:ascii="ITC Avant Garde" w:hAnsi="ITC Avant Garde" w:cs="Arial"/>
          <w:i/>
          <w:color w:val="000000" w:themeColor="text1"/>
          <w:sz w:val="20"/>
          <w:szCs w:val="20"/>
        </w:rPr>
      </w:pPr>
      <w:r w:rsidRPr="00431448">
        <w:rPr>
          <w:rFonts w:ascii="ITC Avant Garde" w:hAnsi="ITC Avant Garde" w:cs="Arial"/>
          <w:i/>
          <w:color w:val="000000" w:themeColor="text1"/>
          <w:sz w:val="20"/>
          <w:szCs w:val="20"/>
        </w:rPr>
        <w:t>“</w:t>
      </w:r>
      <w:r w:rsidR="00CB291C" w:rsidRPr="00431448">
        <w:rPr>
          <w:rFonts w:ascii="ITC Avant Garde" w:hAnsi="ITC Avant Garde" w:cs="Arial"/>
          <w:b/>
          <w:i/>
          <w:color w:val="000000" w:themeColor="text1"/>
          <w:sz w:val="20"/>
          <w:szCs w:val="20"/>
        </w:rPr>
        <w:t>Artículo 2480.-</w:t>
      </w:r>
      <w:r w:rsidR="00CB291C" w:rsidRPr="00431448">
        <w:rPr>
          <w:rFonts w:ascii="ITC Avant Garde" w:hAnsi="ITC Avant Garde" w:cs="Arial"/>
          <w:i/>
          <w:color w:val="000000" w:themeColor="text1"/>
          <w:sz w:val="20"/>
          <w:szCs w:val="20"/>
        </w:rPr>
        <w:t xml:space="preserve"> El arrendatario no puede subarrendar la cosa arrendada en todo, ni en parte, ni ceder sus derechos sin consentimiento del arrendador; si lo hiciere, responderá solidariamente con el subarrendatario, de los daños y perjuicios. </w:t>
      </w:r>
    </w:p>
    <w:p w14:paraId="2BA2E33F" w14:textId="77777777" w:rsidR="006E311E" w:rsidRPr="00431448" w:rsidRDefault="006E311E" w:rsidP="006E311E">
      <w:pPr>
        <w:spacing w:after="0" w:line="240" w:lineRule="auto"/>
        <w:ind w:left="1134" w:right="1182"/>
        <w:contextualSpacing/>
        <w:jc w:val="both"/>
        <w:rPr>
          <w:rFonts w:ascii="ITC Avant Garde" w:hAnsi="ITC Avant Garde" w:cs="Arial"/>
          <w:i/>
          <w:color w:val="000000" w:themeColor="text1"/>
          <w:sz w:val="20"/>
          <w:szCs w:val="20"/>
        </w:rPr>
      </w:pPr>
    </w:p>
    <w:p w14:paraId="69EF8A0A" w14:textId="6FA1E265" w:rsidR="00CB291C" w:rsidRPr="00431448" w:rsidRDefault="00CB291C" w:rsidP="006E311E">
      <w:pPr>
        <w:spacing w:after="0" w:line="240" w:lineRule="auto"/>
        <w:ind w:left="1134" w:right="1182"/>
        <w:contextualSpacing/>
        <w:jc w:val="both"/>
        <w:rPr>
          <w:rFonts w:ascii="ITC Avant Garde" w:hAnsi="ITC Avant Garde" w:cs="Arial"/>
          <w:i/>
          <w:color w:val="000000" w:themeColor="text1"/>
          <w:sz w:val="20"/>
          <w:szCs w:val="20"/>
        </w:rPr>
      </w:pPr>
      <w:r w:rsidRPr="00431448">
        <w:rPr>
          <w:rFonts w:ascii="ITC Avant Garde" w:hAnsi="ITC Avant Garde" w:cs="Arial"/>
          <w:b/>
          <w:i/>
          <w:color w:val="000000" w:themeColor="text1"/>
          <w:sz w:val="20"/>
          <w:szCs w:val="20"/>
        </w:rPr>
        <w:t>Artículo 2481</w:t>
      </w:r>
      <w:r w:rsidRPr="00431448">
        <w:rPr>
          <w:rFonts w:ascii="ITC Avant Garde" w:hAnsi="ITC Avant Garde" w:cs="Arial"/>
          <w:i/>
          <w:color w:val="000000" w:themeColor="text1"/>
          <w:sz w:val="20"/>
          <w:szCs w:val="20"/>
        </w:rPr>
        <w:t xml:space="preserve">.- Si el subarriendo se hiciere en virtud de la autorización general concedida en el contrato, el arrendatario será responsable al arrendador, como si él mismo continuara en el uso o goce de la cosa. </w:t>
      </w:r>
    </w:p>
    <w:p w14:paraId="4D2989C4" w14:textId="17C3DEF1" w:rsidR="008D63EF" w:rsidRPr="00431448" w:rsidRDefault="008D63EF" w:rsidP="006E311E">
      <w:pPr>
        <w:spacing w:after="0" w:line="240" w:lineRule="auto"/>
        <w:ind w:left="1134" w:right="1182"/>
        <w:contextualSpacing/>
        <w:jc w:val="both"/>
        <w:rPr>
          <w:rFonts w:ascii="ITC Avant Garde" w:hAnsi="ITC Avant Garde" w:cs="Arial"/>
          <w:i/>
          <w:color w:val="000000" w:themeColor="text1"/>
          <w:sz w:val="20"/>
          <w:szCs w:val="20"/>
        </w:rPr>
      </w:pPr>
    </w:p>
    <w:p w14:paraId="583581DD" w14:textId="492686B8" w:rsidR="008D63EF" w:rsidRPr="00431448" w:rsidRDefault="008D63EF" w:rsidP="006E311E">
      <w:pPr>
        <w:spacing w:after="0" w:line="240" w:lineRule="auto"/>
        <w:ind w:left="1134" w:right="1182"/>
        <w:contextualSpacing/>
        <w:jc w:val="both"/>
        <w:rPr>
          <w:rFonts w:ascii="ITC Avant Garde" w:hAnsi="ITC Avant Garde" w:cs="Arial"/>
          <w:i/>
          <w:color w:val="000000" w:themeColor="text1"/>
          <w:sz w:val="20"/>
          <w:szCs w:val="20"/>
        </w:rPr>
      </w:pPr>
      <w:r w:rsidRPr="00431448">
        <w:rPr>
          <w:rFonts w:ascii="ITC Avant Garde" w:hAnsi="ITC Avant Garde" w:cs="Arial"/>
          <w:b/>
          <w:i/>
          <w:color w:val="000000" w:themeColor="text1"/>
          <w:sz w:val="20"/>
          <w:szCs w:val="20"/>
        </w:rPr>
        <w:t>Artículo 2482.-</w:t>
      </w:r>
      <w:r w:rsidRPr="00431448">
        <w:rPr>
          <w:rFonts w:ascii="ITC Avant Garde" w:hAnsi="ITC Avant Garde" w:cs="Arial"/>
          <w:i/>
          <w:color w:val="000000" w:themeColor="text1"/>
          <w:sz w:val="20"/>
          <w:szCs w:val="20"/>
        </w:rPr>
        <w:t xml:space="preserve"> Si el arrendador aprueba expresamente el contrato especial de subarriendo, el subarrendatario queda subrogado en todos los derechos y obligaciones del arrendatario, a no ser que por convenio se acuerde otra cosa</w:t>
      </w:r>
      <w:r w:rsidR="00431448">
        <w:rPr>
          <w:rFonts w:ascii="ITC Avant Garde" w:hAnsi="ITC Avant Garde" w:cs="Arial"/>
          <w:i/>
          <w:color w:val="000000" w:themeColor="text1"/>
          <w:sz w:val="20"/>
          <w:szCs w:val="20"/>
        </w:rPr>
        <w:t>”</w:t>
      </w:r>
    </w:p>
    <w:p w14:paraId="7C7BED6A" w14:textId="77777777" w:rsidR="00CB291C" w:rsidRDefault="00CB291C" w:rsidP="005E4B06">
      <w:pPr>
        <w:spacing w:after="0" w:line="240" w:lineRule="auto"/>
        <w:contextualSpacing/>
        <w:jc w:val="both"/>
        <w:rPr>
          <w:rFonts w:ascii="ITC Avant Garde" w:hAnsi="ITC Avant Garde" w:cs="Arial"/>
          <w:color w:val="000000" w:themeColor="text1"/>
          <w:szCs w:val="21"/>
        </w:rPr>
      </w:pPr>
    </w:p>
    <w:p w14:paraId="51D8240B" w14:textId="1FAB282D" w:rsidR="00CF310E" w:rsidRPr="00CF310E" w:rsidRDefault="008D63EF" w:rsidP="00CF310E">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 xml:space="preserve">Así, el </w:t>
      </w:r>
      <w:r w:rsidR="00DF1B26">
        <w:rPr>
          <w:rFonts w:ascii="ITC Avant Garde" w:hAnsi="ITC Avant Garde" w:cs="Arial"/>
          <w:color w:val="000000" w:themeColor="text1"/>
          <w:szCs w:val="21"/>
        </w:rPr>
        <w:t>arrendatario</w:t>
      </w:r>
      <w:r>
        <w:rPr>
          <w:rFonts w:ascii="ITC Avant Garde" w:hAnsi="ITC Avant Garde" w:cs="Arial"/>
          <w:color w:val="000000" w:themeColor="text1"/>
          <w:szCs w:val="21"/>
        </w:rPr>
        <w:t xml:space="preserve"> no puede subarrendar </w:t>
      </w:r>
      <w:r w:rsidRPr="008D63EF">
        <w:rPr>
          <w:rFonts w:ascii="ITC Avant Garde" w:hAnsi="ITC Avant Garde" w:cs="Arial"/>
          <w:color w:val="000000" w:themeColor="text1"/>
          <w:szCs w:val="21"/>
        </w:rPr>
        <w:t>la cosa arrendada en todo, ni en parte, ni ceder sus derechos sin consentimiento del arrendado</w:t>
      </w:r>
      <w:r w:rsidR="00343E08">
        <w:rPr>
          <w:rFonts w:ascii="ITC Avant Garde" w:hAnsi="ITC Avant Garde" w:cs="Arial"/>
          <w:color w:val="000000" w:themeColor="text1"/>
          <w:szCs w:val="21"/>
        </w:rPr>
        <w:t>r</w:t>
      </w:r>
      <w:r w:rsidR="00CF310E">
        <w:rPr>
          <w:rFonts w:ascii="ITC Avant Garde" w:hAnsi="ITC Avant Garde" w:cs="Arial"/>
          <w:color w:val="000000" w:themeColor="text1"/>
          <w:szCs w:val="21"/>
        </w:rPr>
        <w:t xml:space="preserve">. </w:t>
      </w:r>
    </w:p>
    <w:p w14:paraId="78E08E1C" w14:textId="77777777" w:rsidR="008D63EF" w:rsidRDefault="008D63EF" w:rsidP="008D63EF">
      <w:pPr>
        <w:spacing w:after="0" w:line="240" w:lineRule="auto"/>
        <w:contextualSpacing/>
        <w:jc w:val="both"/>
        <w:rPr>
          <w:rFonts w:ascii="ITC Avant Garde" w:hAnsi="ITC Avant Garde" w:cs="Arial"/>
          <w:color w:val="000000" w:themeColor="text1"/>
          <w:szCs w:val="21"/>
        </w:rPr>
      </w:pPr>
    </w:p>
    <w:p w14:paraId="1320B5AE" w14:textId="411AC0E3" w:rsidR="002320AE" w:rsidRDefault="0085760C" w:rsidP="002320AE">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De esta forma, s</w:t>
      </w:r>
      <w:r w:rsidR="00617651">
        <w:rPr>
          <w:rFonts w:ascii="ITC Avant Garde" w:hAnsi="ITC Avant Garde" w:cs="Arial"/>
          <w:color w:val="000000" w:themeColor="text1"/>
          <w:szCs w:val="21"/>
        </w:rPr>
        <w:t xml:space="preserve">e consideró necesario </w:t>
      </w:r>
      <w:r w:rsidR="008844BD">
        <w:rPr>
          <w:rFonts w:ascii="ITC Avant Garde" w:hAnsi="ITC Avant Garde" w:cs="Arial"/>
          <w:color w:val="000000" w:themeColor="text1"/>
          <w:szCs w:val="21"/>
        </w:rPr>
        <w:t xml:space="preserve">tomar como referencia </w:t>
      </w:r>
      <w:r w:rsidR="00617651">
        <w:rPr>
          <w:rFonts w:ascii="ITC Avant Garde" w:hAnsi="ITC Avant Garde" w:cs="Arial"/>
          <w:color w:val="000000" w:themeColor="text1"/>
          <w:szCs w:val="21"/>
        </w:rPr>
        <w:t>d</w:t>
      </w:r>
      <w:r w:rsidR="008D63EF">
        <w:rPr>
          <w:rFonts w:ascii="ITC Avant Garde" w:hAnsi="ITC Avant Garde" w:cs="Arial"/>
          <w:color w:val="000000" w:themeColor="text1"/>
          <w:szCs w:val="21"/>
        </w:rPr>
        <w:t>icha</w:t>
      </w:r>
      <w:r w:rsidR="00CF310E">
        <w:rPr>
          <w:rFonts w:ascii="ITC Avant Garde" w:hAnsi="ITC Avant Garde" w:cs="Arial"/>
          <w:color w:val="000000" w:themeColor="text1"/>
          <w:szCs w:val="21"/>
        </w:rPr>
        <w:t>s determinaciones</w:t>
      </w:r>
      <w:r w:rsidR="008D63EF">
        <w:rPr>
          <w:rFonts w:ascii="ITC Avant Garde" w:hAnsi="ITC Avant Garde" w:cs="Arial"/>
          <w:color w:val="000000" w:themeColor="text1"/>
          <w:szCs w:val="21"/>
        </w:rPr>
        <w:t xml:space="preserve"> en los Lineamientos, con el objetivo de atender los elementos esenciales del </w:t>
      </w:r>
      <w:r w:rsidR="00617651">
        <w:rPr>
          <w:rFonts w:ascii="ITC Avant Garde" w:hAnsi="ITC Avant Garde" w:cs="Arial"/>
          <w:color w:val="000000" w:themeColor="text1"/>
          <w:szCs w:val="21"/>
        </w:rPr>
        <w:t>s</w:t>
      </w:r>
      <w:r w:rsidR="008D63EF">
        <w:rPr>
          <w:rFonts w:ascii="ITC Avant Garde" w:hAnsi="ITC Avant Garde" w:cs="Arial"/>
          <w:color w:val="000000" w:themeColor="text1"/>
          <w:szCs w:val="21"/>
        </w:rPr>
        <w:t xml:space="preserve">ubarrendamiento, sobre la base de que </w:t>
      </w:r>
      <w:r w:rsidR="002320AE">
        <w:rPr>
          <w:rFonts w:ascii="ITC Avant Garde" w:hAnsi="ITC Avant Garde" w:cs="Arial"/>
          <w:color w:val="000000" w:themeColor="text1"/>
          <w:szCs w:val="21"/>
        </w:rPr>
        <w:t xml:space="preserve">resulta necesario facultar al </w:t>
      </w:r>
      <w:r w:rsidR="00DF1B26">
        <w:rPr>
          <w:rFonts w:ascii="ITC Avant Garde" w:hAnsi="ITC Avant Garde" w:cs="Arial"/>
          <w:color w:val="000000" w:themeColor="text1"/>
          <w:szCs w:val="21"/>
        </w:rPr>
        <w:t>arrendatario</w:t>
      </w:r>
      <w:r w:rsidR="002320AE">
        <w:rPr>
          <w:rFonts w:ascii="ITC Avant Garde" w:hAnsi="ITC Avant Garde" w:cs="Arial"/>
          <w:color w:val="000000" w:themeColor="text1"/>
          <w:szCs w:val="21"/>
        </w:rPr>
        <w:t xml:space="preserve"> para subarrendar las bandas </w:t>
      </w:r>
      <w:r w:rsidR="008844BD">
        <w:rPr>
          <w:rFonts w:ascii="ITC Avant Garde" w:hAnsi="ITC Avant Garde" w:cs="Arial"/>
          <w:color w:val="000000" w:themeColor="text1"/>
          <w:szCs w:val="21"/>
        </w:rPr>
        <w:t xml:space="preserve">de frecuencias </w:t>
      </w:r>
      <w:r w:rsidR="002320AE">
        <w:rPr>
          <w:rFonts w:ascii="ITC Avant Garde" w:hAnsi="ITC Avant Garde" w:cs="Arial"/>
          <w:color w:val="000000" w:themeColor="text1"/>
          <w:szCs w:val="21"/>
        </w:rPr>
        <w:t>objeto del arrendamiento</w:t>
      </w:r>
      <w:r w:rsidR="001C552C">
        <w:rPr>
          <w:rFonts w:ascii="ITC Avant Garde" w:hAnsi="ITC Avant Garde" w:cs="Arial"/>
          <w:color w:val="000000" w:themeColor="text1"/>
          <w:szCs w:val="21"/>
        </w:rPr>
        <w:t xml:space="preserve">; </w:t>
      </w:r>
      <w:r w:rsidR="002320AE">
        <w:rPr>
          <w:rFonts w:ascii="ITC Avant Garde" w:hAnsi="ITC Avant Garde" w:cs="Arial"/>
          <w:color w:val="000000" w:themeColor="text1"/>
          <w:szCs w:val="21"/>
        </w:rPr>
        <w:t>en consecuencia</w:t>
      </w:r>
      <w:r w:rsidR="0035167C">
        <w:rPr>
          <w:rFonts w:ascii="ITC Avant Garde" w:hAnsi="ITC Avant Garde" w:cs="Arial"/>
          <w:color w:val="000000" w:themeColor="text1"/>
          <w:szCs w:val="21"/>
        </w:rPr>
        <w:t>,</w:t>
      </w:r>
      <w:r w:rsidR="008844BD">
        <w:rPr>
          <w:rFonts w:ascii="ITC Avant Garde" w:hAnsi="ITC Avant Garde" w:cs="Arial"/>
          <w:color w:val="000000" w:themeColor="text1"/>
          <w:szCs w:val="21"/>
        </w:rPr>
        <w:t xml:space="preserve"> se </w:t>
      </w:r>
      <w:r w:rsidR="008844BD">
        <w:rPr>
          <w:rFonts w:ascii="ITC Avant Garde" w:hAnsi="ITC Avant Garde" w:cs="Arial"/>
          <w:color w:val="000000" w:themeColor="text1"/>
          <w:szCs w:val="21"/>
        </w:rPr>
        <w:lastRenderedPageBreak/>
        <w:t xml:space="preserve">estableció que una vez autorizado por el Instituto el contrato de subarrendamiento, el subarrendatario </w:t>
      </w:r>
      <w:r w:rsidR="001C552C">
        <w:rPr>
          <w:rFonts w:ascii="ITC Avant Garde" w:hAnsi="ITC Avant Garde" w:cs="Arial"/>
          <w:color w:val="000000" w:themeColor="text1"/>
          <w:szCs w:val="21"/>
        </w:rPr>
        <w:t>queda obligado solidariamente respecto de las obligaciones derivadas de la concesión de espectro radioeléctrico del arrendador</w:t>
      </w:r>
      <w:r w:rsidR="002320AE">
        <w:rPr>
          <w:rFonts w:ascii="ITC Avant Garde" w:hAnsi="ITC Avant Garde" w:cs="Arial"/>
          <w:color w:val="000000" w:themeColor="text1"/>
          <w:szCs w:val="21"/>
        </w:rPr>
        <w:t>.</w:t>
      </w:r>
    </w:p>
    <w:p w14:paraId="1AAA60A7" w14:textId="77777777" w:rsidR="00CB291C" w:rsidRDefault="00CB291C" w:rsidP="005E4B06">
      <w:pPr>
        <w:spacing w:after="0" w:line="240" w:lineRule="auto"/>
        <w:contextualSpacing/>
        <w:jc w:val="both"/>
        <w:rPr>
          <w:rFonts w:ascii="ITC Avant Garde" w:hAnsi="ITC Avant Garde" w:cs="Arial"/>
          <w:color w:val="000000" w:themeColor="text1"/>
          <w:szCs w:val="21"/>
        </w:rPr>
      </w:pPr>
    </w:p>
    <w:p w14:paraId="4C690C93" w14:textId="0E8BDFBC" w:rsidR="00921A4A" w:rsidRDefault="00892CB8" w:rsidP="00921A4A">
      <w:pPr>
        <w:spacing w:after="0" w:line="240" w:lineRule="auto"/>
        <w:contextualSpacing/>
        <w:jc w:val="both"/>
        <w:rPr>
          <w:rFonts w:ascii="ITC Avant Garde" w:hAnsi="ITC Avant Garde" w:cs="Arial"/>
          <w:color w:val="000000" w:themeColor="text1"/>
          <w:szCs w:val="21"/>
        </w:rPr>
      </w:pPr>
      <w:r>
        <w:rPr>
          <w:rFonts w:ascii="ITC Avant Garde" w:hAnsi="ITC Avant Garde" w:cs="Arial"/>
          <w:color w:val="000000" w:themeColor="text1"/>
          <w:szCs w:val="21"/>
        </w:rPr>
        <w:t>Por otro lado, a</w:t>
      </w:r>
      <w:r w:rsidR="005E4B06">
        <w:rPr>
          <w:rFonts w:ascii="ITC Avant Garde" w:hAnsi="ITC Avant Garde" w:cs="Arial"/>
          <w:color w:val="000000" w:themeColor="text1"/>
          <w:szCs w:val="21"/>
        </w:rPr>
        <w:t xml:space="preserve"> través de este capítulo se otorga a los interesados en obtener la autorización de </w:t>
      </w:r>
      <w:r w:rsidR="00617651">
        <w:rPr>
          <w:rFonts w:ascii="ITC Avant Garde" w:hAnsi="ITC Avant Garde" w:cs="Arial"/>
          <w:color w:val="000000" w:themeColor="text1"/>
          <w:szCs w:val="21"/>
        </w:rPr>
        <w:t>s</w:t>
      </w:r>
      <w:r w:rsidR="006D0E4B">
        <w:rPr>
          <w:rFonts w:ascii="ITC Avant Garde" w:hAnsi="ITC Avant Garde" w:cs="Arial"/>
          <w:color w:val="000000" w:themeColor="text1"/>
          <w:szCs w:val="21"/>
        </w:rPr>
        <w:t>uba</w:t>
      </w:r>
      <w:r w:rsidR="005E4B06">
        <w:rPr>
          <w:rFonts w:ascii="ITC Avant Garde" w:hAnsi="ITC Avant Garde" w:cs="Arial"/>
          <w:color w:val="000000" w:themeColor="text1"/>
          <w:szCs w:val="21"/>
        </w:rPr>
        <w:t xml:space="preserve">rrendamiento de </w:t>
      </w:r>
      <w:r w:rsidR="00617651">
        <w:rPr>
          <w:rFonts w:ascii="ITC Avant Garde" w:hAnsi="ITC Avant Garde" w:cs="Arial"/>
          <w:color w:val="000000" w:themeColor="text1"/>
          <w:szCs w:val="21"/>
        </w:rPr>
        <w:t>e</w:t>
      </w:r>
      <w:r w:rsidR="005E4B06">
        <w:rPr>
          <w:rFonts w:ascii="ITC Avant Garde" w:hAnsi="ITC Avant Garde" w:cs="Arial"/>
          <w:color w:val="000000" w:themeColor="text1"/>
          <w:szCs w:val="21"/>
        </w:rPr>
        <w:t xml:space="preserve">spectro </w:t>
      </w:r>
      <w:r w:rsidR="00617651">
        <w:rPr>
          <w:rFonts w:ascii="ITC Avant Garde" w:hAnsi="ITC Avant Garde" w:cs="Arial"/>
          <w:color w:val="000000" w:themeColor="text1"/>
          <w:szCs w:val="21"/>
        </w:rPr>
        <w:t>r</w:t>
      </w:r>
      <w:r w:rsidR="005E4B06">
        <w:rPr>
          <w:rFonts w:ascii="ITC Avant Garde" w:hAnsi="ITC Avant Garde" w:cs="Arial"/>
          <w:color w:val="000000" w:themeColor="text1"/>
          <w:szCs w:val="21"/>
        </w:rPr>
        <w:t xml:space="preserve">adioeléctrico, la información relativa a </w:t>
      </w:r>
      <w:r w:rsidR="006D0E4B">
        <w:rPr>
          <w:rFonts w:ascii="ITC Avant Garde" w:hAnsi="ITC Avant Garde" w:cs="Arial"/>
          <w:color w:val="000000" w:themeColor="text1"/>
          <w:szCs w:val="21"/>
        </w:rPr>
        <w:t>qué</w:t>
      </w:r>
      <w:r w:rsidR="005E4B06">
        <w:rPr>
          <w:rFonts w:ascii="ITC Avant Garde" w:hAnsi="ITC Avant Garde" w:cs="Arial"/>
          <w:color w:val="000000" w:themeColor="text1"/>
          <w:szCs w:val="21"/>
        </w:rPr>
        <w:t xml:space="preserve"> deben presentar </w:t>
      </w:r>
      <w:r w:rsidR="006D0E4B">
        <w:rPr>
          <w:rFonts w:ascii="ITC Avant Garde" w:hAnsi="ITC Avant Garde" w:cs="Arial"/>
          <w:color w:val="000000" w:themeColor="text1"/>
          <w:szCs w:val="21"/>
        </w:rPr>
        <w:t xml:space="preserve">al Instituto en </w:t>
      </w:r>
      <w:r w:rsidR="005E4B06">
        <w:rPr>
          <w:rFonts w:ascii="ITC Avant Garde" w:hAnsi="ITC Avant Garde" w:cs="Arial"/>
          <w:color w:val="000000" w:themeColor="text1"/>
          <w:szCs w:val="21"/>
        </w:rPr>
        <w:t>la solicitud correspondiente, con el objeto de otorgar</w:t>
      </w:r>
      <w:r w:rsidR="00DF52AA">
        <w:rPr>
          <w:rFonts w:ascii="ITC Avant Garde" w:hAnsi="ITC Avant Garde" w:cs="Arial"/>
          <w:color w:val="000000" w:themeColor="text1"/>
          <w:szCs w:val="21"/>
        </w:rPr>
        <w:t xml:space="preserve"> la autorización respectiva. A</w:t>
      </w:r>
      <w:r w:rsidR="001C552C">
        <w:rPr>
          <w:rFonts w:ascii="ITC Avant Garde" w:hAnsi="ITC Avant Garde" w:cs="Arial"/>
          <w:color w:val="000000" w:themeColor="text1"/>
          <w:szCs w:val="21"/>
        </w:rPr>
        <w:t>simismo, se debe considerar que las disposiciones relativas a la autorización de arrendamiento, se aplicarán a la autorización del subarrendamiento</w:t>
      </w:r>
      <w:r w:rsidR="005E4B06">
        <w:rPr>
          <w:rFonts w:ascii="ITC Avant Garde" w:hAnsi="ITC Avant Garde" w:cs="Arial"/>
          <w:color w:val="000000" w:themeColor="text1"/>
          <w:szCs w:val="21"/>
        </w:rPr>
        <w:t xml:space="preserve">. </w:t>
      </w:r>
    </w:p>
    <w:p w14:paraId="0FFDC1EC" w14:textId="77777777" w:rsidR="008E0CB8" w:rsidRDefault="008E0CB8" w:rsidP="00921A4A">
      <w:pPr>
        <w:spacing w:after="0" w:line="240" w:lineRule="auto"/>
        <w:contextualSpacing/>
        <w:jc w:val="both"/>
        <w:rPr>
          <w:rFonts w:ascii="ITC Avant Garde" w:hAnsi="ITC Avant Garde" w:cs="Arial"/>
          <w:color w:val="000000" w:themeColor="text1"/>
          <w:szCs w:val="21"/>
        </w:rPr>
      </w:pPr>
    </w:p>
    <w:p w14:paraId="3BF6A0AA" w14:textId="2A43C964" w:rsidR="00F37C4D" w:rsidRPr="00491708" w:rsidRDefault="00F37C4D" w:rsidP="00F003B2">
      <w:pPr>
        <w:autoSpaceDE w:val="0"/>
        <w:autoSpaceDN w:val="0"/>
        <w:adjustRightInd w:val="0"/>
        <w:spacing w:after="0" w:line="240" w:lineRule="auto"/>
        <w:jc w:val="both"/>
        <w:rPr>
          <w:rFonts w:ascii="ITC Avant Garde" w:hAnsi="ITC Avant Garde"/>
          <w:lang w:val="es-ES"/>
        </w:rPr>
      </w:pPr>
      <w:r>
        <w:rPr>
          <w:rFonts w:ascii="ITC Avant Garde" w:hAnsi="ITC Avant Garde"/>
          <w:lang w:val="es-ES"/>
        </w:rPr>
        <w:t xml:space="preserve">Finalmente, los Lineamientos </w:t>
      </w:r>
      <w:r w:rsidRPr="00491708">
        <w:rPr>
          <w:rFonts w:ascii="ITC Avant Garde" w:hAnsi="ITC Avant Garde"/>
          <w:lang w:val="es-ES"/>
        </w:rPr>
        <w:t>contiene</w:t>
      </w:r>
      <w:r>
        <w:rPr>
          <w:rFonts w:ascii="ITC Avant Garde" w:hAnsi="ITC Avant Garde"/>
          <w:lang w:val="es-ES"/>
        </w:rPr>
        <w:t>n</w:t>
      </w:r>
      <w:r w:rsidRPr="00491708">
        <w:rPr>
          <w:rFonts w:ascii="ITC Avant Garde" w:hAnsi="ITC Avant Garde"/>
          <w:lang w:val="es-ES"/>
        </w:rPr>
        <w:t xml:space="preserve"> </w:t>
      </w:r>
      <w:r w:rsidRPr="00491708">
        <w:rPr>
          <w:rFonts w:ascii="ITC Avant Garde" w:hAnsi="ITC Avant Garde"/>
          <w:b/>
          <w:u w:val="single"/>
          <w:lang w:val="es-ES"/>
        </w:rPr>
        <w:t>articulado transitorio</w:t>
      </w:r>
      <w:r w:rsidR="00EE6BA8" w:rsidRPr="00EE6BA8">
        <w:rPr>
          <w:rFonts w:ascii="ITC Avant Garde" w:hAnsi="ITC Avant Garde"/>
          <w:lang w:val="es-ES"/>
        </w:rPr>
        <w:t>,</w:t>
      </w:r>
      <w:r w:rsidRPr="00491708">
        <w:rPr>
          <w:rFonts w:ascii="ITC Avant Garde" w:hAnsi="ITC Avant Garde"/>
          <w:lang w:val="es-ES"/>
        </w:rPr>
        <w:t xml:space="preserve"> </w:t>
      </w:r>
      <w:r>
        <w:rPr>
          <w:rFonts w:ascii="ITC Avant Garde" w:hAnsi="ITC Avant Garde"/>
          <w:lang w:val="es-ES"/>
        </w:rPr>
        <w:t xml:space="preserve">a través del cual se dispone la entrada en vigor de dicho instrumento, </w:t>
      </w:r>
      <w:r w:rsidR="00612AD2">
        <w:rPr>
          <w:rFonts w:ascii="ITC Avant Garde" w:hAnsi="ITC Avant Garde"/>
          <w:lang w:val="es-ES"/>
        </w:rPr>
        <w:t>la publicación del Instructivo en materia de Competencia Económica en el Diario Oficial de la Federación, la precisión que l</w:t>
      </w:r>
      <w:r w:rsidR="00612AD2" w:rsidRPr="00D03CBE">
        <w:rPr>
          <w:rFonts w:ascii="ITC Avant Garde" w:hAnsi="ITC Avant Garde"/>
          <w:color w:val="000000" w:themeColor="text1"/>
        </w:rPr>
        <w:t xml:space="preserve">as </w:t>
      </w:r>
      <w:r w:rsidR="00612AD2">
        <w:rPr>
          <w:rFonts w:ascii="ITC Avant Garde" w:hAnsi="ITC Avant Garde"/>
          <w:color w:val="000000" w:themeColor="text1"/>
        </w:rPr>
        <w:t>c</w:t>
      </w:r>
      <w:r w:rsidR="00612AD2" w:rsidRPr="00D03CBE">
        <w:rPr>
          <w:rFonts w:ascii="ITC Avant Garde" w:hAnsi="ITC Avant Garde"/>
          <w:color w:val="000000" w:themeColor="text1"/>
        </w:rPr>
        <w:t xml:space="preserve">oncesiones </w:t>
      </w:r>
      <w:r w:rsidR="00612AD2">
        <w:rPr>
          <w:rFonts w:ascii="ITC Avant Garde" w:hAnsi="ITC Avant Garde"/>
          <w:color w:val="000000" w:themeColor="text1"/>
        </w:rPr>
        <w:t xml:space="preserve">que </w:t>
      </w:r>
      <w:r w:rsidR="0016162D">
        <w:rPr>
          <w:rFonts w:ascii="ITC Avant Garde" w:hAnsi="ITC Avant Garde"/>
          <w:color w:val="000000" w:themeColor="text1"/>
        </w:rPr>
        <w:t>confieran</w:t>
      </w:r>
      <w:r w:rsidR="00612AD2">
        <w:rPr>
          <w:rFonts w:ascii="ITC Avant Garde" w:hAnsi="ITC Avant Garde"/>
          <w:color w:val="000000" w:themeColor="text1"/>
        </w:rPr>
        <w:t xml:space="preserve"> </w:t>
      </w:r>
      <w:r w:rsidR="00612AD2" w:rsidRPr="0053216E">
        <w:rPr>
          <w:rFonts w:ascii="ITC Avant Garde" w:hAnsi="ITC Avant Garde"/>
          <w:color w:val="000000" w:themeColor="text1"/>
        </w:rPr>
        <w:t>con fines de lucro o de comunicación privada</w:t>
      </w:r>
      <w:r w:rsidR="00612AD2">
        <w:rPr>
          <w:rFonts w:ascii="ITC Avant Garde" w:hAnsi="ITC Avant Garde"/>
          <w:color w:val="000000" w:themeColor="text1"/>
        </w:rPr>
        <w:t>,</w:t>
      </w:r>
      <w:r w:rsidR="00612AD2" w:rsidRPr="00D03CBE">
        <w:rPr>
          <w:rFonts w:ascii="ITC Avant Garde" w:hAnsi="ITC Avant Garde"/>
          <w:color w:val="000000" w:themeColor="text1"/>
        </w:rPr>
        <w:t xml:space="preserve"> </w:t>
      </w:r>
      <w:r w:rsidR="00612AD2">
        <w:rPr>
          <w:rFonts w:ascii="ITC Avant Garde" w:hAnsi="ITC Avant Garde"/>
          <w:color w:val="000000" w:themeColor="text1"/>
        </w:rPr>
        <w:t>el derecho al uso, aprovechamiento y/o explotación, según corresponda, de bandas de frecuencias de espectro radioeléctrico, o el derecho a la prestación del servicio público de telecomunicaciones, a través de una red pública de telecomunicaciones</w:t>
      </w:r>
      <w:r w:rsidR="000133FA">
        <w:rPr>
          <w:rFonts w:ascii="ITC Avant Garde" w:hAnsi="ITC Avant Garde"/>
          <w:color w:val="000000" w:themeColor="text1"/>
        </w:rPr>
        <w:t>,</w:t>
      </w:r>
      <w:r w:rsidR="007B3ADA">
        <w:rPr>
          <w:rFonts w:ascii="ITC Avant Garde" w:hAnsi="ITC Avant Garde"/>
          <w:color w:val="000000" w:themeColor="text1"/>
        </w:rPr>
        <w:t xml:space="preserve"> </w:t>
      </w:r>
      <w:r w:rsidR="00612AD2">
        <w:rPr>
          <w:rFonts w:ascii="ITC Avant Garde" w:hAnsi="ITC Avant Garde"/>
          <w:color w:val="000000" w:themeColor="text1"/>
        </w:rPr>
        <w:t xml:space="preserve">o el servicio público de radiodifusión, </w:t>
      </w:r>
      <w:r w:rsidR="00612AD2" w:rsidRPr="00D03CBE">
        <w:rPr>
          <w:rFonts w:ascii="ITC Avant Garde" w:hAnsi="ITC Avant Garde"/>
          <w:color w:val="000000" w:themeColor="text1"/>
        </w:rPr>
        <w:t xml:space="preserve">podrán ser objeto de la </w:t>
      </w:r>
      <w:r w:rsidR="00612AD2">
        <w:rPr>
          <w:rFonts w:ascii="ITC Avant Garde" w:hAnsi="ITC Avant Garde"/>
          <w:color w:val="000000" w:themeColor="text1"/>
        </w:rPr>
        <w:t>a</w:t>
      </w:r>
      <w:r w:rsidR="00612AD2" w:rsidRPr="00D03CBE">
        <w:rPr>
          <w:rFonts w:ascii="ITC Avant Garde" w:hAnsi="ITC Avant Garde"/>
          <w:color w:val="000000" w:themeColor="text1"/>
        </w:rPr>
        <w:t xml:space="preserve">utorización de </w:t>
      </w:r>
      <w:r w:rsidR="00612AD2">
        <w:rPr>
          <w:rFonts w:ascii="ITC Avant Garde" w:hAnsi="ITC Avant Garde"/>
          <w:color w:val="000000" w:themeColor="text1"/>
        </w:rPr>
        <w:t>a</w:t>
      </w:r>
      <w:r w:rsidR="00612AD2" w:rsidRPr="00D03CBE">
        <w:rPr>
          <w:rFonts w:ascii="ITC Avant Garde" w:hAnsi="ITC Avant Garde"/>
          <w:color w:val="000000" w:themeColor="text1"/>
        </w:rPr>
        <w:t xml:space="preserve">rrendamiento </w:t>
      </w:r>
      <w:r w:rsidR="00612AD2">
        <w:rPr>
          <w:rFonts w:ascii="ITC Avant Garde" w:hAnsi="ITC Avant Garde"/>
          <w:color w:val="000000" w:themeColor="text1"/>
        </w:rPr>
        <w:t xml:space="preserve">y de la autorización de subarrendamiento </w:t>
      </w:r>
      <w:r w:rsidR="00612AD2" w:rsidRPr="00D03CBE">
        <w:rPr>
          <w:rFonts w:ascii="ITC Avant Garde" w:hAnsi="ITC Avant Garde"/>
          <w:color w:val="000000" w:themeColor="text1"/>
        </w:rPr>
        <w:t>prevista</w:t>
      </w:r>
      <w:r w:rsidR="00612AD2">
        <w:rPr>
          <w:rFonts w:ascii="ITC Avant Garde" w:hAnsi="ITC Avant Garde"/>
          <w:color w:val="000000" w:themeColor="text1"/>
        </w:rPr>
        <w:t>s</w:t>
      </w:r>
      <w:r w:rsidR="00612AD2" w:rsidRPr="00D03CBE">
        <w:rPr>
          <w:rFonts w:ascii="ITC Avant Garde" w:hAnsi="ITC Avant Garde"/>
          <w:color w:val="000000" w:themeColor="text1"/>
        </w:rPr>
        <w:t xml:space="preserve"> en los Lineamientos, salvo restricción en el título de concesión</w:t>
      </w:r>
      <w:r w:rsidR="00612AD2" w:rsidRPr="005A4E22">
        <w:rPr>
          <w:rFonts w:ascii="ITC Avant Garde" w:hAnsi="ITC Avant Garde"/>
          <w:color w:val="000000" w:themeColor="text1"/>
        </w:rPr>
        <w:t xml:space="preserve"> </w:t>
      </w:r>
      <w:r w:rsidR="00612AD2">
        <w:rPr>
          <w:rFonts w:ascii="ITC Avant Garde" w:hAnsi="ITC Avant Garde"/>
          <w:color w:val="000000" w:themeColor="text1"/>
        </w:rPr>
        <w:t xml:space="preserve">o por la naturaleza del mismo, y la determinación de </w:t>
      </w:r>
      <w:r w:rsidR="00612AD2" w:rsidRPr="00470E70">
        <w:rPr>
          <w:rFonts w:ascii="ITC Avant Garde" w:hAnsi="ITC Avant Garde"/>
          <w:color w:val="000000" w:themeColor="text1"/>
        </w:rPr>
        <w:t xml:space="preserve">que </w:t>
      </w:r>
      <w:r w:rsidR="00612AD2" w:rsidRPr="00470E70">
        <w:rPr>
          <w:rFonts w:ascii="ITC Avant Garde" w:hAnsi="ITC Avant Garde"/>
        </w:rPr>
        <w:t>no resultan aplicables por lo que corresponde a la autorización de arrendamiento de espectro radioeléctrico previsto para la instalación y operación de la red pública compartida de telecomunicaciones a que se refiere el artículo Décimo Sexto Transitorio del “</w:t>
      </w:r>
      <w:r w:rsidR="00612AD2" w:rsidRPr="00470E70">
        <w:rPr>
          <w:rFonts w:ascii="ITC Avant Garde" w:hAnsi="ITC Avant Garde"/>
          <w:i/>
        </w:rPr>
        <w:t>Decreto por el que se reforman y adicionan diversas disposiciones de los artículos 6o., 7o., 27, 28, 73, 78, 94 y 105 de la Constitución Política de los Estados Unidos Mexicanos, en materia de telecomunicaciones</w:t>
      </w:r>
      <w:r w:rsidR="00612AD2" w:rsidRPr="00470E70">
        <w:rPr>
          <w:rFonts w:ascii="ITC Avant Garde" w:hAnsi="ITC Avant Garde"/>
        </w:rPr>
        <w:t>”</w:t>
      </w:r>
      <w:r w:rsidR="00612AD2" w:rsidRPr="001D654B">
        <w:rPr>
          <w:rFonts w:ascii="ITC Avant Garde" w:hAnsi="ITC Avant Garde"/>
        </w:rPr>
        <w:t>, publicado en el Diario Oficial de la Federación el 11 de junio de 2013</w:t>
      </w:r>
      <w:r w:rsidR="0055595D">
        <w:rPr>
          <w:rFonts w:ascii="ITC Avant Garde" w:hAnsi="ITC Avant Garde"/>
          <w:lang w:val="es-ES"/>
        </w:rPr>
        <w:t>.</w:t>
      </w:r>
    </w:p>
    <w:p w14:paraId="3760BCA3" w14:textId="77777777" w:rsidR="00F170A0" w:rsidRDefault="00F170A0" w:rsidP="00F003B2">
      <w:pPr>
        <w:spacing w:after="0" w:line="240" w:lineRule="auto"/>
        <w:contextualSpacing/>
        <w:jc w:val="both"/>
        <w:rPr>
          <w:rFonts w:ascii="ITC Avant Garde" w:hAnsi="ITC Avant Garde" w:cs="Arial"/>
          <w:b/>
          <w:color w:val="000000" w:themeColor="text1"/>
          <w:szCs w:val="21"/>
        </w:rPr>
      </w:pPr>
    </w:p>
    <w:p w14:paraId="59578796" w14:textId="215BABF6" w:rsidR="00F37C4D" w:rsidRPr="00D03948" w:rsidDel="00FE1C07" w:rsidRDefault="00F37C4D" w:rsidP="00F003B2">
      <w:pPr>
        <w:spacing w:after="0" w:line="240" w:lineRule="auto"/>
        <w:contextualSpacing/>
        <w:jc w:val="both"/>
        <w:rPr>
          <w:rFonts w:ascii="ITC Avant Garde" w:hAnsi="ITC Avant Garde" w:cs="Arial"/>
          <w:color w:val="000000" w:themeColor="text1"/>
          <w:szCs w:val="21"/>
        </w:rPr>
      </w:pPr>
      <w:r w:rsidRPr="00D03948" w:rsidDel="00FE1C07">
        <w:rPr>
          <w:rFonts w:ascii="ITC Avant Garde" w:hAnsi="ITC Avant Garde" w:cs="Arial"/>
          <w:color w:val="000000" w:themeColor="text1"/>
          <w:szCs w:val="21"/>
        </w:rPr>
        <w:t>Por lo anterior y con fundamento en los artículos 6o.</w:t>
      </w:r>
      <w:r w:rsidR="00EA3D54">
        <w:rPr>
          <w:rFonts w:ascii="ITC Avant Garde" w:hAnsi="ITC Avant Garde" w:cs="Arial"/>
          <w:color w:val="000000" w:themeColor="text1"/>
          <w:szCs w:val="21"/>
        </w:rPr>
        <w:t>,</w:t>
      </w:r>
      <w:r w:rsidR="00DC7E80">
        <w:rPr>
          <w:rFonts w:ascii="ITC Avant Garde" w:hAnsi="ITC Avant Garde" w:cs="Arial"/>
          <w:color w:val="000000" w:themeColor="text1"/>
          <w:szCs w:val="21"/>
        </w:rPr>
        <w:t xml:space="preserve"> apartado B, fracciones I y II,</w:t>
      </w:r>
      <w:r w:rsidRPr="00D03948" w:rsidDel="00FE1C07">
        <w:rPr>
          <w:rFonts w:ascii="ITC Avant Garde" w:hAnsi="ITC Avant Garde" w:cs="Arial"/>
          <w:color w:val="000000" w:themeColor="text1"/>
          <w:szCs w:val="21"/>
        </w:rPr>
        <w:t xml:space="preserve"> 7o.</w:t>
      </w:r>
      <w:r w:rsidR="00EA3D54">
        <w:rPr>
          <w:rFonts w:ascii="ITC Avant Garde" w:hAnsi="ITC Avant Garde" w:cs="Arial"/>
          <w:color w:val="000000" w:themeColor="text1"/>
          <w:szCs w:val="21"/>
        </w:rPr>
        <w:t>,</w:t>
      </w:r>
      <w:r w:rsidRPr="00D03948" w:rsidDel="00FE1C07">
        <w:rPr>
          <w:rFonts w:ascii="ITC Avant Garde" w:hAnsi="ITC Avant Garde" w:cs="Arial"/>
          <w:color w:val="000000" w:themeColor="text1"/>
          <w:szCs w:val="21"/>
        </w:rPr>
        <w:t xml:space="preserve"> y 28, párrafos décimo quinto y décimo sexto de la Constitución Política de los Estados Unidos Mexicanos; 1, 2, 7, 15 fracci</w:t>
      </w:r>
      <w:r>
        <w:rPr>
          <w:rFonts w:ascii="ITC Avant Garde" w:hAnsi="ITC Avant Garde" w:cs="Arial"/>
          <w:color w:val="000000" w:themeColor="text1"/>
          <w:szCs w:val="21"/>
        </w:rPr>
        <w:t xml:space="preserve">ón </w:t>
      </w:r>
      <w:r w:rsidRPr="00D03948" w:rsidDel="00FE1C07">
        <w:rPr>
          <w:rFonts w:ascii="ITC Avant Garde" w:hAnsi="ITC Avant Garde" w:cs="Arial"/>
          <w:color w:val="000000" w:themeColor="text1"/>
          <w:szCs w:val="21"/>
        </w:rPr>
        <w:t>I</w:t>
      </w:r>
      <w:r>
        <w:rPr>
          <w:rFonts w:ascii="ITC Avant Garde" w:hAnsi="ITC Avant Garde" w:cs="Arial"/>
          <w:color w:val="000000" w:themeColor="text1"/>
          <w:szCs w:val="21"/>
        </w:rPr>
        <w:t>, 16, 17 fracciones I y XV,</w:t>
      </w:r>
      <w:r w:rsidRPr="00D03948">
        <w:rPr>
          <w:rFonts w:ascii="ITC Avant Garde" w:hAnsi="ITC Avant Garde" w:cs="Arial"/>
          <w:color w:val="000000" w:themeColor="text1"/>
          <w:szCs w:val="21"/>
        </w:rPr>
        <w:t xml:space="preserve"> </w:t>
      </w:r>
      <w:r w:rsidRPr="00D03948" w:rsidDel="00FE1C07">
        <w:rPr>
          <w:rFonts w:ascii="ITC Avant Garde" w:hAnsi="ITC Avant Garde" w:cs="Arial"/>
          <w:color w:val="000000" w:themeColor="text1"/>
          <w:szCs w:val="21"/>
        </w:rPr>
        <w:t>54</w:t>
      </w:r>
      <w:r w:rsidR="00DC7E80">
        <w:rPr>
          <w:rFonts w:ascii="ITC Avant Garde" w:hAnsi="ITC Avant Garde" w:cs="Arial"/>
          <w:color w:val="000000" w:themeColor="text1"/>
          <w:szCs w:val="21"/>
        </w:rPr>
        <w:t xml:space="preserve"> </w:t>
      </w:r>
      <w:r w:rsidRPr="00D03948">
        <w:rPr>
          <w:rFonts w:ascii="ITC Avant Garde" w:hAnsi="ITC Avant Garde" w:cs="Arial"/>
          <w:color w:val="000000" w:themeColor="text1"/>
          <w:szCs w:val="21"/>
        </w:rPr>
        <w:t xml:space="preserve">y </w:t>
      </w:r>
      <w:r>
        <w:rPr>
          <w:rFonts w:ascii="ITC Avant Garde" w:hAnsi="ITC Avant Garde" w:cs="Arial"/>
          <w:color w:val="000000" w:themeColor="text1"/>
          <w:szCs w:val="21"/>
        </w:rPr>
        <w:t>104</w:t>
      </w:r>
      <w:r w:rsidRPr="00D03948">
        <w:rPr>
          <w:rFonts w:ascii="ITC Avant Garde" w:hAnsi="ITC Avant Garde" w:cs="Arial"/>
          <w:color w:val="000000" w:themeColor="text1"/>
          <w:szCs w:val="21"/>
        </w:rPr>
        <w:t xml:space="preserve"> </w:t>
      </w:r>
      <w:r w:rsidRPr="00D03948" w:rsidDel="00FE1C07">
        <w:rPr>
          <w:rFonts w:ascii="ITC Avant Garde" w:hAnsi="ITC Avant Garde" w:cs="Arial"/>
          <w:color w:val="000000" w:themeColor="text1"/>
          <w:szCs w:val="21"/>
        </w:rPr>
        <w:t>de la Ley Federal de Telecomunic</w:t>
      </w:r>
      <w:r w:rsidR="00DF52AA">
        <w:rPr>
          <w:rFonts w:ascii="ITC Avant Garde" w:hAnsi="ITC Avant Garde" w:cs="Arial"/>
          <w:color w:val="000000" w:themeColor="text1"/>
          <w:szCs w:val="21"/>
        </w:rPr>
        <w:t>aciones y Radiodifusión; y 1, 4 fracción I, 6</w:t>
      </w:r>
      <w:r w:rsidRPr="00D03948" w:rsidDel="00FE1C07">
        <w:rPr>
          <w:rFonts w:ascii="ITC Avant Garde" w:hAnsi="ITC Avant Garde" w:cs="Arial"/>
          <w:color w:val="000000" w:themeColor="text1"/>
          <w:szCs w:val="21"/>
        </w:rPr>
        <w:t xml:space="preserve"> </w:t>
      </w:r>
      <w:r w:rsidR="00690D80">
        <w:rPr>
          <w:rFonts w:ascii="ITC Avant Garde" w:hAnsi="ITC Avant Garde" w:cs="Arial"/>
          <w:color w:val="000000" w:themeColor="text1"/>
          <w:szCs w:val="21"/>
        </w:rPr>
        <w:t xml:space="preserve">fracción </w:t>
      </w:r>
      <w:r w:rsidRPr="00D03948" w:rsidDel="00FE1C07">
        <w:rPr>
          <w:rFonts w:ascii="ITC Avant Garde" w:hAnsi="ITC Avant Garde" w:cs="Arial"/>
          <w:color w:val="000000" w:themeColor="text1"/>
          <w:szCs w:val="21"/>
        </w:rPr>
        <w:t>I</w:t>
      </w:r>
      <w:r w:rsidR="00690D80">
        <w:rPr>
          <w:rFonts w:ascii="ITC Avant Garde" w:hAnsi="ITC Avant Garde" w:cs="Arial"/>
          <w:color w:val="000000" w:themeColor="text1"/>
          <w:szCs w:val="21"/>
        </w:rPr>
        <w:t>,</w:t>
      </w:r>
      <w:r w:rsidRPr="00D03948" w:rsidDel="00FE1C07">
        <w:rPr>
          <w:rFonts w:ascii="ITC Avant Garde" w:hAnsi="ITC Avant Garde" w:cs="Arial"/>
          <w:color w:val="000000" w:themeColor="text1"/>
          <w:szCs w:val="21"/>
        </w:rPr>
        <w:t xml:space="preserve"> 27 y </w:t>
      </w:r>
      <w:r w:rsidRPr="00D03948">
        <w:rPr>
          <w:rFonts w:ascii="ITC Avant Garde" w:hAnsi="ITC Avant Garde" w:cs="Arial"/>
          <w:color w:val="000000" w:themeColor="text1"/>
          <w:szCs w:val="21"/>
        </w:rPr>
        <w:t>28</w:t>
      </w:r>
      <w:r w:rsidRPr="00D03948" w:rsidDel="00FE1C07">
        <w:rPr>
          <w:rFonts w:ascii="ITC Avant Garde" w:hAnsi="ITC Avant Garde" w:cs="Arial"/>
          <w:color w:val="000000" w:themeColor="text1"/>
          <w:szCs w:val="21"/>
        </w:rPr>
        <w:t xml:space="preserve"> fracción </w:t>
      </w:r>
      <w:r w:rsidRPr="00D03948">
        <w:rPr>
          <w:rFonts w:ascii="ITC Avant Garde" w:hAnsi="ITC Avant Garde" w:cs="Arial"/>
          <w:color w:val="000000" w:themeColor="text1"/>
          <w:szCs w:val="21"/>
        </w:rPr>
        <w:t>XIII</w:t>
      </w:r>
      <w:r w:rsidR="00DF52AA">
        <w:rPr>
          <w:rFonts w:ascii="ITC Avant Garde" w:hAnsi="ITC Avant Garde" w:cs="Arial"/>
          <w:color w:val="000000" w:themeColor="text1"/>
          <w:szCs w:val="21"/>
        </w:rPr>
        <w:t>,</w:t>
      </w:r>
      <w:r w:rsidRPr="00D03948">
        <w:rPr>
          <w:rFonts w:ascii="ITC Avant Garde" w:hAnsi="ITC Avant Garde" w:cs="Arial"/>
          <w:color w:val="000000" w:themeColor="text1"/>
          <w:szCs w:val="21"/>
        </w:rPr>
        <w:t xml:space="preserve"> </w:t>
      </w:r>
      <w:r w:rsidRPr="00D03948" w:rsidDel="00FE1C07">
        <w:rPr>
          <w:rFonts w:ascii="ITC Avant Garde" w:hAnsi="ITC Avant Garde" w:cs="Arial"/>
          <w:color w:val="000000" w:themeColor="text1"/>
          <w:szCs w:val="21"/>
        </w:rPr>
        <w:t xml:space="preserve">del Estatuto Orgánico del Instituto Federal de Telecomunicaciones, el Pleno del Instituto </w:t>
      </w:r>
      <w:r w:rsidRPr="00D03948">
        <w:rPr>
          <w:rFonts w:ascii="ITC Avant Garde" w:hAnsi="ITC Avant Garde" w:cs="Arial"/>
          <w:color w:val="000000" w:themeColor="text1"/>
          <w:szCs w:val="21"/>
        </w:rPr>
        <w:t>resuelve emitir el siguiente:</w:t>
      </w:r>
    </w:p>
    <w:p w14:paraId="79042ACA" w14:textId="77777777" w:rsidR="00BB10AA" w:rsidRPr="00D03948" w:rsidRDefault="00BB10AA" w:rsidP="00F003B2">
      <w:pPr>
        <w:autoSpaceDE w:val="0"/>
        <w:autoSpaceDN w:val="0"/>
        <w:adjustRightInd w:val="0"/>
        <w:spacing w:after="0" w:line="240" w:lineRule="auto"/>
        <w:contextualSpacing/>
        <w:jc w:val="center"/>
        <w:rPr>
          <w:rFonts w:ascii="ITC Avant Garde" w:eastAsia="Times New Roman" w:hAnsi="ITC Avant Garde" w:cs="TimesNewRomanPS-BoldMT"/>
          <w:b/>
          <w:bCs/>
          <w:color w:val="000000"/>
          <w:szCs w:val="21"/>
          <w:lang w:val="es-ES" w:eastAsia="es-ES"/>
        </w:rPr>
      </w:pPr>
    </w:p>
    <w:p w14:paraId="35A530B4" w14:textId="77777777" w:rsidR="00F37C4D" w:rsidRPr="00D03948" w:rsidRDefault="00F37C4D" w:rsidP="00F003B2">
      <w:pPr>
        <w:autoSpaceDE w:val="0"/>
        <w:autoSpaceDN w:val="0"/>
        <w:adjustRightInd w:val="0"/>
        <w:spacing w:after="0" w:line="240" w:lineRule="auto"/>
        <w:contextualSpacing/>
        <w:jc w:val="center"/>
        <w:rPr>
          <w:rFonts w:ascii="ITC Avant Garde" w:eastAsia="Times New Roman" w:hAnsi="ITC Avant Garde" w:cs="TimesNewRomanPS-BoldMT"/>
          <w:b/>
          <w:bCs/>
          <w:color w:val="000000"/>
          <w:szCs w:val="21"/>
          <w:lang w:val="es-ES" w:eastAsia="es-ES"/>
        </w:rPr>
      </w:pPr>
      <w:r w:rsidRPr="00D03948">
        <w:rPr>
          <w:rFonts w:ascii="ITC Avant Garde" w:eastAsia="Times New Roman" w:hAnsi="ITC Avant Garde" w:cs="TimesNewRomanPS-BoldMT"/>
          <w:b/>
          <w:bCs/>
          <w:color w:val="000000"/>
          <w:szCs w:val="21"/>
          <w:lang w:val="es-ES" w:eastAsia="es-ES"/>
        </w:rPr>
        <w:t>ACUERDO</w:t>
      </w:r>
    </w:p>
    <w:p w14:paraId="1D4A37D8" w14:textId="77777777" w:rsidR="00F37C4D" w:rsidRPr="00D03948" w:rsidRDefault="00F37C4D" w:rsidP="00F003B2">
      <w:pPr>
        <w:autoSpaceDE w:val="0"/>
        <w:autoSpaceDN w:val="0"/>
        <w:adjustRightInd w:val="0"/>
        <w:spacing w:after="0" w:line="240" w:lineRule="auto"/>
        <w:contextualSpacing/>
        <w:jc w:val="center"/>
        <w:rPr>
          <w:rFonts w:ascii="ITC Avant Garde" w:eastAsia="Times New Roman" w:hAnsi="ITC Avant Garde" w:cs="TimesNewRomanPS-BoldMT"/>
          <w:b/>
          <w:bCs/>
          <w:color w:val="000000"/>
          <w:szCs w:val="21"/>
          <w:lang w:val="es-ES" w:eastAsia="es-ES"/>
        </w:rPr>
      </w:pPr>
    </w:p>
    <w:p w14:paraId="434D13C3" w14:textId="60E30DB3" w:rsidR="00F37C4D" w:rsidRDefault="00F37C4D" w:rsidP="00F003B2">
      <w:pPr>
        <w:numPr>
          <w:ilvl w:val="0"/>
          <w:numId w:val="17"/>
        </w:numPr>
        <w:suppressAutoHyphens/>
        <w:spacing w:after="0" w:line="240" w:lineRule="auto"/>
        <w:ind w:left="0" w:right="49" w:firstLine="0"/>
        <w:contextualSpacing/>
        <w:jc w:val="both"/>
        <w:rPr>
          <w:rFonts w:ascii="ITC Avant Garde" w:eastAsia="Times New Roman" w:hAnsi="ITC Avant Garde" w:cs="Arial"/>
          <w:szCs w:val="21"/>
          <w:lang w:val="es-ES" w:eastAsia="es-ES"/>
        </w:rPr>
      </w:pPr>
      <w:r w:rsidRPr="00D03948">
        <w:rPr>
          <w:rFonts w:ascii="ITC Avant Garde" w:eastAsia="Times New Roman" w:hAnsi="ITC Avant Garde" w:cs="Arial"/>
          <w:szCs w:val="21"/>
          <w:lang w:val="es-ES" w:eastAsia="es-ES"/>
        </w:rPr>
        <w:t xml:space="preserve">Se </w:t>
      </w:r>
      <w:r>
        <w:rPr>
          <w:rFonts w:ascii="ITC Avant Garde" w:eastAsia="Times New Roman" w:hAnsi="ITC Avant Garde" w:cs="Arial"/>
          <w:szCs w:val="21"/>
          <w:lang w:val="es-ES" w:eastAsia="es-ES"/>
        </w:rPr>
        <w:t xml:space="preserve">aprueban y emiten los </w:t>
      </w:r>
      <w:r w:rsidR="00C32714" w:rsidRPr="00A07598">
        <w:rPr>
          <w:rFonts w:ascii="ITC Avant Garde" w:eastAsia="Times New Roman" w:hAnsi="ITC Avant Garde" w:cs="Arial"/>
          <w:szCs w:val="21"/>
          <w:lang w:val="es-ES" w:eastAsia="es-ES"/>
        </w:rPr>
        <w:t>Lineamientos Generales sobre la Autorización del Arrendamiento de Espectro Radioeléctrico</w:t>
      </w:r>
      <w:r w:rsidRPr="00D03948">
        <w:rPr>
          <w:rFonts w:ascii="ITC Avant Garde" w:eastAsia="Times New Roman" w:hAnsi="ITC Avant Garde" w:cs="Arial"/>
          <w:szCs w:val="21"/>
          <w:lang w:val="es-ES" w:eastAsia="es-ES"/>
        </w:rPr>
        <w:t>,</w:t>
      </w:r>
      <w:r>
        <w:rPr>
          <w:rFonts w:ascii="ITC Avant Garde" w:eastAsia="Times New Roman" w:hAnsi="ITC Avant Garde" w:cs="Arial"/>
          <w:szCs w:val="21"/>
          <w:lang w:val="es-ES" w:eastAsia="es-ES"/>
        </w:rPr>
        <w:t xml:space="preserve"> mismo</w:t>
      </w:r>
      <w:r w:rsidR="001817A2">
        <w:rPr>
          <w:rFonts w:ascii="ITC Avant Garde" w:eastAsia="Times New Roman" w:hAnsi="ITC Avant Garde" w:cs="Arial"/>
          <w:szCs w:val="21"/>
          <w:lang w:val="es-ES" w:eastAsia="es-ES"/>
        </w:rPr>
        <w:t>s</w:t>
      </w:r>
      <w:r>
        <w:rPr>
          <w:rFonts w:ascii="ITC Avant Garde" w:eastAsia="Times New Roman" w:hAnsi="ITC Avant Garde" w:cs="Arial"/>
          <w:szCs w:val="21"/>
          <w:lang w:val="es-ES" w:eastAsia="es-ES"/>
        </w:rPr>
        <w:t xml:space="preserve"> que como A</w:t>
      </w:r>
      <w:r w:rsidRPr="00D03948">
        <w:rPr>
          <w:rFonts w:ascii="ITC Avant Garde" w:eastAsia="Times New Roman" w:hAnsi="ITC Avant Garde" w:cs="Arial"/>
          <w:szCs w:val="21"/>
          <w:lang w:val="es-ES" w:eastAsia="es-ES"/>
        </w:rPr>
        <w:t xml:space="preserve">nexo </w:t>
      </w:r>
      <w:r w:rsidR="00CF60BB">
        <w:rPr>
          <w:rFonts w:ascii="ITC Avant Garde" w:eastAsia="Times New Roman" w:hAnsi="ITC Avant Garde" w:cs="Arial"/>
          <w:szCs w:val="21"/>
          <w:lang w:val="es-ES" w:eastAsia="es-ES"/>
        </w:rPr>
        <w:t>Uno</w:t>
      </w:r>
      <w:r w:rsidR="00CF60BB" w:rsidRPr="00D03948">
        <w:rPr>
          <w:rFonts w:ascii="ITC Avant Garde" w:eastAsia="Times New Roman" w:hAnsi="ITC Avant Garde" w:cs="Arial"/>
          <w:szCs w:val="21"/>
          <w:lang w:val="es-ES" w:eastAsia="es-ES"/>
        </w:rPr>
        <w:t xml:space="preserve"> </w:t>
      </w:r>
      <w:r>
        <w:rPr>
          <w:rFonts w:ascii="ITC Avant Garde" w:eastAsia="Times New Roman" w:hAnsi="ITC Avant Garde" w:cs="Arial"/>
          <w:szCs w:val="21"/>
          <w:lang w:val="es-ES" w:eastAsia="es-ES"/>
        </w:rPr>
        <w:t>se adjunta</w:t>
      </w:r>
      <w:r w:rsidR="00FE2F0F">
        <w:rPr>
          <w:rFonts w:ascii="ITC Avant Garde" w:eastAsia="Times New Roman" w:hAnsi="ITC Avant Garde" w:cs="Arial"/>
          <w:szCs w:val="21"/>
          <w:lang w:val="es-ES" w:eastAsia="es-ES"/>
        </w:rPr>
        <w:t>n</w:t>
      </w:r>
      <w:r>
        <w:rPr>
          <w:rFonts w:ascii="ITC Avant Garde" w:eastAsia="Times New Roman" w:hAnsi="ITC Avant Garde" w:cs="Arial"/>
          <w:szCs w:val="21"/>
          <w:lang w:val="es-ES" w:eastAsia="es-ES"/>
        </w:rPr>
        <w:t xml:space="preserve"> a</w:t>
      </w:r>
      <w:r w:rsidRPr="00D03948">
        <w:rPr>
          <w:rFonts w:ascii="ITC Avant Garde" w:eastAsia="Times New Roman" w:hAnsi="ITC Avant Garde" w:cs="Arial"/>
          <w:szCs w:val="21"/>
          <w:lang w:val="es-ES" w:eastAsia="es-ES"/>
        </w:rPr>
        <w:t>l presente Acuerdo</w:t>
      </w:r>
      <w:r>
        <w:rPr>
          <w:rFonts w:ascii="ITC Avant Garde" w:eastAsia="Times New Roman" w:hAnsi="ITC Avant Garde" w:cs="Arial"/>
          <w:szCs w:val="21"/>
          <w:lang w:val="es-ES" w:eastAsia="es-ES"/>
        </w:rPr>
        <w:t>.</w:t>
      </w:r>
    </w:p>
    <w:p w14:paraId="7EFC05D0" w14:textId="77777777" w:rsidR="00F37C4D" w:rsidRPr="00D03948" w:rsidRDefault="00F37C4D" w:rsidP="00F003B2">
      <w:pPr>
        <w:suppressAutoHyphens/>
        <w:spacing w:after="0" w:line="240" w:lineRule="auto"/>
        <w:ind w:right="49"/>
        <w:contextualSpacing/>
        <w:jc w:val="both"/>
        <w:rPr>
          <w:rFonts w:ascii="ITC Avant Garde" w:eastAsia="Times New Roman" w:hAnsi="ITC Avant Garde" w:cs="Arial"/>
          <w:szCs w:val="21"/>
          <w:lang w:val="es-ES" w:eastAsia="es-ES"/>
        </w:rPr>
      </w:pPr>
      <w:r w:rsidRPr="00D03948">
        <w:rPr>
          <w:rFonts w:ascii="ITC Avant Garde" w:eastAsia="Times New Roman" w:hAnsi="ITC Avant Garde" w:cs="Arial"/>
          <w:szCs w:val="21"/>
          <w:lang w:val="es-ES" w:eastAsia="es-ES"/>
        </w:rPr>
        <w:t xml:space="preserve"> </w:t>
      </w:r>
    </w:p>
    <w:p w14:paraId="5D875E9F" w14:textId="0562AA6E" w:rsidR="00905326" w:rsidRDefault="00F37C4D" w:rsidP="00905326">
      <w:pPr>
        <w:numPr>
          <w:ilvl w:val="0"/>
          <w:numId w:val="17"/>
        </w:numPr>
        <w:suppressAutoHyphens/>
        <w:spacing w:after="0" w:line="240" w:lineRule="auto"/>
        <w:ind w:left="0" w:right="49" w:firstLine="0"/>
        <w:contextualSpacing/>
        <w:jc w:val="both"/>
        <w:rPr>
          <w:rFonts w:ascii="ITC Avant Garde" w:eastAsia="Times New Roman" w:hAnsi="ITC Avant Garde" w:cs="Arial"/>
          <w:szCs w:val="21"/>
          <w:lang w:val="es-ES" w:eastAsia="es-ES"/>
        </w:rPr>
      </w:pPr>
      <w:r w:rsidRPr="00A07598">
        <w:rPr>
          <w:rFonts w:ascii="ITC Avant Garde" w:eastAsia="Times New Roman" w:hAnsi="ITC Avant Garde" w:cs="Arial"/>
          <w:szCs w:val="21"/>
          <w:lang w:val="es-ES" w:eastAsia="es-ES"/>
        </w:rPr>
        <w:t xml:space="preserve">Publíquense los </w:t>
      </w:r>
      <w:r w:rsidR="00C32714" w:rsidRPr="00A07598">
        <w:rPr>
          <w:rFonts w:ascii="ITC Avant Garde" w:eastAsia="Times New Roman" w:hAnsi="ITC Avant Garde" w:cs="Arial"/>
          <w:szCs w:val="21"/>
          <w:lang w:val="es-ES" w:eastAsia="es-ES"/>
        </w:rPr>
        <w:t>Lineamientos Generales sobre la Autorización del Arrendamiento de Espectro Radioeléctrico</w:t>
      </w:r>
      <w:r w:rsidR="0073136C">
        <w:rPr>
          <w:rFonts w:ascii="ITC Avant Garde" w:eastAsia="Times New Roman" w:hAnsi="ITC Avant Garde" w:cs="Arial"/>
          <w:szCs w:val="21"/>
          <w:lang w:val="es-ES" w:eastAsia="es-ES"/>
        </w:rPr>
        <w:t>, así como su Apéndice Único “Instructivo en materia de Competencia Económica”</w:t>
      </w:r>
      <w:r w:rsidR="004D2877">
        <w:rPr>
          <w:rFonts w:ascii="ITC Avant Garde" w:eastAsia="Times New Roman" w:hAnsi="ITC Avant Garde" w:cs="Arial"/>
          <w:szCs w:val="21"/>
          <w:lang w:val="es-ES" w:eastAsia="es-ES"/>
        </w:rPr>
        <w:t>,</w:t>
      </w:r>
      <w:r w:rsidRPr="00A07598">
        <w:rPr>
          <w:rFonts w:ascii="ITC Avant Garde" w:eastAsia="Times New Roman" w:hAnsi="ITC Avant Garde" w:cs="Arial"/>
          <w:szCs w:val="21"/>
          <w:lang w:val="es-ES" w:eastAsia="es-ES"/>
        </w:rPr>
        <w:t xml:space="preserve"> en el portal de Internet del Instituto Federal de Telecomunicaciones y en el Diario Oficial de la Federación. </w:t>
      </w:r>
    </w:p>
    <w:p w14:paraId="58DCE16D" w14:textId="77777777" w:rsidR="00905326" w:rsidRDefault="00905326" w:rsidP="00905326">
      <w:pPr>
        <w:pStyle w:val="Prrafodelista"/>
        <w:rPr>
          <w:rFonts w:ascii="ITC Avant Garde" w:hAnsi="ITC Avant Garde" w:cs="Arial"/>
          <w:szCs w:val="21"/>
          <w:lang w:val="es-ES" w:eastAsia="es-ES"/>
        </w:rPr>
      </w:pPr>
    </w:p>
    <w:p w14:paraId="34DDCCD9" w14:textId="505D46CC" w:rsidR="00F37C4D" w:rsidRPr="00905326" w:rsidRDefault="00F37C4D" w:rsidP="00905326">
      <w:pPr>
        <w:numPr>
          <w:ilvl w:val="0"/>
          <w:numId w:val="17"/>
        </w:numPr>
        <w:suppressAutoHyphens/>
        <w:spacing w:after="0" w:line="240" w:lineRule="auto"/>
        <w:ind w:left="0" w:right="49" w:firstLine="0"/>
        <w:contextualSpacing/>
        <w:jc w:val="both"/>
        <w:rPr>
          <w:rFonts w:ascii="ITC Avant Garde" w:eastAsia="Times New Roman" w:hAnsi="ITC Avant Garde" w:cs="Arial"/>
          <w:szCs w:val="21"/>
          <w:lang w:val="es-ES" w:eastAsia="es-ES"/>
        </w:rPr>
      </w:pPr>
      <w:r w:rsidRPr="00905326">
        <w:rPr>
          <w:rFonts w:ascii="ITC Avant Garde" w:eastAsia="Times New Roman" w:hAnsi="ITC Avant Garde" w:cs="Arial"/>
          <w:szCs w:val="21"/>
          <w:lang w:val="es-ES" w:eastAsia="es-ES"/>
        </w:rPr>
        <w:t xml:space="preserve">Publíquese el pronunciamiento general respecto de los comentarios, opiniones y propuestas concretas recibidas </w:t>
      </w:r>
      <w:r w:rsidR="00D9087D">
        <w:rPr>
          <w:rFonts w:ascii="ITC Avant Garde" w:eastAsia="Times New Roman" w:hAnsi="ITC Avant Garde" w:cs="Arial"/>
          <w:szCs w:val="21"/>
          <w:lang w:val="es-ES" w:eastAsia="es-ES"/>
        </w:rPr>
        <w:t xml:space="preserve">durante la Consulta Pública </w:t>
      </w:r>
      <w:r w:rsidRPr="00905326">
        <w:rPr>
          <w:rFonts w:ascii="ITC Avant Garde" w:eastAsia="Times New Roman" w:hAnsi="ITC Avant Garde" w:cs="Arial"/>
          <w:szCs w:val="21"/>
          <w:lang w:val="es-ES" w:eastAsia="es-ES"/>
        </w:rPr>
        <w:t>en el portal de Internet del Instituto.</w:t>
      </w:r>
      <w:r w:rsidRPr="00905326">
        <w:rPr>
          <w:rFonts w:ascii="ITC Avant Garde" w:hAnsi="ITC Avant Garde"/>
          <w:kern w:val="1"/>
          <w:szCs w:val="21"/>
          <w:lang w:val="es-ES" w:eastAsia="ar-SA"/>
        </w:rPr>
        <w:t xml:space="preserve"> </w:t>
      </w:r>
    </w:p>
    <w:p w14:paraId="3C087188" w14:textId="77777777" w:rsidR="00F37C4D" w:rsidRDefault="00F37C4D" w:rsidP="00F003B2">
      <w:pPr>
        <w:spacing w:after="0" w:line="240" w:lineRule="auto"/>
        <w:contextualSpacing/>
        <w:jc w:val="both"/>
        <w:rPr>
          <w:rFonts w:ascii="ITC Avant Garde" w:hAnsi="ITC Avant Garde"/>
          <w:kern w:val="1"/>
          <w:szCs w:val="21"/>
          <w:lang w:val="es-ES" w:eastAsia="ar-SA"/>
        </w:rPr>
      </w:pPr>
    </w:p>
    <w:p w14:paraId="03B6663E" w14:textId="3726918E" w:rsidR="0073136C" w:rsidRDefault="0073136C" w:rsidP="00F003B2">
      <w:pPr>
        <w:spacing w:after="0" w:line="240" w:lineRule="auto"/>
        <w:contextualSpacing/>
        <w:jc w:val="both"/>
        <w:rPr>
          <w:rFonts w:ascii="ITC Avant Garde" w:hAnsi="ITC Avant Garde"/>
          <w:kern w:val="1"/>
          <w:szCs w:val="21"/>
          <w:lang w:val="es-ES" w:eastAsia="ar-SA"/>
        </w:rPr>
      </w:pPr>
    </w:p>
    <w:p w14:paraId="2013EAE2" w14:textId="77777777" w:rsidR="0073136C" w:rsidRPr="00D03948" w:rsidRDefault="0073136C" w:rsidP="00F003B2">
      <w:pPr>
        <w:spacing w:after="0" w:line="240" w:lineRule="auto"/>
        <w:contextualSpacing/>
        <w:jc w:val="both"/>
        <w:rPr>
          <w:rFonts w:ascii="ITC Avant Garde" w:hAnsi="ITC Avant Garde"/>
          <w:kern w:val="1"/>
          <w:szCs w:val="21"/>
          <w:lang w:val="es-ES" w:eastAsia="ar-SA"/>
        </w:rPr>
      </w:pPr>
    </w:p>
    <w:tbl>
      <w:tblPr>
        <w:tblW w:w="8477" w:type="dxa"/>
        <w:tblCellMar>
          <w:left w:w="70" w:type="dxa"/>
          <w:right w:w="70" w:type="dxa"/>
        </w:tblCellMar>
        <w:tblLook w:val="0000" w:firstRow="0" w:lastRow="0" w:firstColumn="0" w:lastColumn="0" w:noHBand="0" w:noVBand="0"/>
      </w:tblPr>
      <w:tblGrid>
        <w:gridCol w:w="4395"/>
        <w:gridCol w:w="4082"/>
      </w:tblGrid>
      <w:tr w:rsidR="00F37C4D" w:rsidRPr="00D03948" w14:paraId="2F75061B" w14:textId="77777777" w:rsidTr="00DB2322">
        <w:trPr>
          <w:trHeight w:val="248"/>
        </w:trPr>
        <w:tc>
          <w:tcPr>
            <w:tcW w:w="8477" w:type="dxa"/>
            <w:gridSpan w:val="2"/>
          </w:tcPr>
          <w:p w14:paraId="6C0A195D" w14:textId="77777777" w:rsidR="00E67C39" w:rsidRDefault="00E67C39" w:rsidP="00F003B2">
            <w:pPr>
              <w:spacing w:after="0" w:line="240" w:lineRule="auto"/>
              <w:ind w:right="-427"/>
              <w:contextualSpacing/>
              <w:jc w:val="center"/>
              <w:rPr>
                <w:rFonts w:ascii="ITC Avant Garde" w:eastAsia="Times New Roman" w:hAnsi="ITC Avant Garde" w:cs="Arial"/>
                <w:b/>
                <w:bCs/>
                <w:szCs w:val="21"/>
                <w:lang w:val="es-ES" w:eastAsia="es-ES"/>
              </w:rPr>
            </w:pPr>
          </w:p>
          <w:p w14:paraId="0FD36343"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Gabriel Oswaldo Contreras Saldívar</w:t>
            </w:r>
          </w:p>
          <w:p w14:paraId="3B93C839"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Presidente</w:t>
            </w:r>
          </w:p>
        </w:tc>
      </w:tr>
      <w:tr w:rsidR="00F37C4D" w:rsidRPr="00D03948" w14:paraId="134FFF3D" w14:textId="77777777" w:rsidTr="00DB2322">
        <w:trPr>
          <w:trHeight w:val="554"/>
        </w:trPr>
        <w:tc>
          <w:tcPr>
            <w:tcW w:w="4395" w:type="dxa"/>
          </w:tcPr>
          <w:p w14:paraId="3777F3A7"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0FCB3034"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0104E8E7" w14:textId="77777777" w:rsidR="00F37C4D"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34678743"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02BCE8AA"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Luis Fernando Borjón Figueroa</w:t>
            </w:r>
          </w:p>
          <w:p w14:paraId="24368023"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Comisionado</w:t>
            </w:r>
          </w:p>
        </w:tc>
        <w:tc>
          <w:tcPr>
            <w:tcW w:w="4082" w:type="dxa"/>
          </w:tcPr>
          <w:p w14:paraId="59DE8DA7"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49ED2B14" w14:textId="77777777" w:rsidR="00F37C4D"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2A9A7389"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024F1D60"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30268DBE"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Ernesto Estrada González</w:t>
            </w:r>
          </w:p>
          <w:p w14:paraId="52188FC3"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Comisionado</w:t>
            </w:r>
          </w:p>
        </w:tc>
      </w:tr>
      <w:tr w:rsidR="00F37C4D" w:rsidRPr="00D03948" w14:paraId="2CC59386" w14:textId="77777777" w:rsidTr="00DB2322">
        <w:trPr>
          <w:trHeight w:val="554"/>
        </w:trPr>
        <w:tc>
          <w:tcPr>
            <w:tcW w:w="4395" w:type="dxa"/>
          </w:tcPr>
          <w:p w14:paraId="7EFF8100"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2B04E5E5"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75F456A2" w14:textId="77777777" w:rsidR="00F37C4D"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39AC79E4"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28CCEF2E"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Adriana Sofía Labardini Inzunza</w:t>
            </w:r>
          </w:p>
          <w:p w14:paraId="590078E6"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Comisionada</w:t>
            </w:r>
          </w:p>
        </w:tc>
        <w:tc>
          <w:tcPr>
            <w:tcW w:w="4082" w:type="dxa"/>
          </w:tcPr>
          <w:p w14:paraId="022AEA72"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4370D78E"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5B0A28A5" w14:textId="77777777" w:rsidR="00F37C4D"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2FC62C6A"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60A2BC9E"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María Elena Estavillo Flores</w:t>
            </w:r>
          </w:p>
          <w:p w14:paraId="5E2AD8A1"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Comisionada</w:t>
            </w:r>
          </w:p>
        </w:tc>
      </w:tr>
      <w:tr w:rsidR="00F37C4D" w:rsidRPr="00D03948" w14:paraId="4EAF9DB6" w14:textId="77777777" w:rsidTr="00DB2322">
        <w:trPr>
          <w:trHeight w:val="554"/>
        </w:trPr>
        <w:tc>
          <w:tcPr>
            <w:tcW w:w="4395" w:type="dxa"/>
          </w:tcPr>
          <w:p w14:paraId="32B938E6"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06C89265"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57A4E111" w14:textId="77777777" w:rsidR="00F37C4D"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6B5B21BD"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222A4453"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Mario Germán Fromow Rangel</w:t>
            </w:r>
          </w:p>
          <w:p w14:paraId="4A8BF6F3"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Comisionado</w:t>
            </w:r>
          </w:p>
        </w:tc>
        <w:tc>
          <w:tcPr>
            <w:tcW w:w="4082" w:type="dxa"/>
          </w:tcPr>
          <w:p w14:paraId="768D9719"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30EA9D95"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33AC2E94" w14:textId="77777777" w:rsidR="00F37C4D"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6F83A83F"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p>
          <w:p w14:paraId="28DA79D7"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Adolfo Cuevas Teja</w:t>
            </w:r>
          </w:p>
          <w:p w14:paraId="6080F7CF" w14:textId="77777777" w:rsidR="00F37C4D" w:rsidRPr="00D03948" w:rsidRDefault="00F37C4D" w:rsidP="00F003B2">
            <w:pPr>
              <w:spacing w:after="0" w:line="240" w:lineRule="auto"/>
              <w:ind w:right="-427"/>
              <w:contextualSpacing/>
              <w:jc w:val="center"/>
              <w:rPr>
                <w:rFonts w:ascii="ITC Avant Garde" w:eastAsia="Times New Roman" w:hAnsi="ITC Avant Garde" w:cs="Arial"/>
                <w:b/>
                <w:bCs/>
                <w:szCs w:val="21"/>
                <w:lang w:val="es-ES" w:eastAsia="es-ES"/>
              </w:rPr>
            </w:pPr>
            <w:r w:rsidRPr="00D03948">
              <w:rPr>
                <w:rFonts w:ascii="ITC Avant Garde" w:eastAsia="Times New Roman" w:hAnsi="ITC Avant Garde" w:cs="Arial"/>
                <w:b/>
                <w:bCs/>
                <w:szCs w:val="21"/>
                <w:lang w:val="es-ES" w:eastAsia="es-ES"/>
              </w:rPr>
              <w:t>Comisionado</w:t>
            </w:r>
          </w:p>
        </w:tc>
      </w:tr>
    </w:tbl>
    <w:p w14:paraId="7D5E255D" w14:textId="77777777" w:rsidR="00F37C4D" w:rsidRPr="009306CE" w:rsidRDefault="00F37C4D">
      <w:pPr>
        <w:spacing w:after="0" w:line="240" w:lineRule="auto"/>
      </w:pPr>
    </w:p>
    <w:sectPr w:rsidR="00F37C4D" w:rsidRPr="009306CE" w:rsidSect="00BC0AB3">
      <w:headerReference w:type="even" r:id="rId11"/>
      <w:footerReference w:type="default" r:id="rId12"/>
      <w:headerReference w:type="first" r:id="rId13"/>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790F6" w14:textId="77777777" w:rsidR="00CD4E96" w:rsidRDefault="00CD4E96" w:rsidP="00EF1A37">
      <w:pPr>
        <w:spacing w:after="0" w:line="240" w:lineRule="auto"/>
      </w:pPr>
      <w:r>
        <w:separator/>
      </w:r>
    </w:p>
  </w:endnote>
  <w:endnote w:type="continuationSeparator" w:id="0">
    <w:p w14:paraId="1F39407A" w14:textId="77777777" w:rsidR="00CD4E96" w:rsidRDefault="00CD4E96" w:rsidP="00EF1A37">
      <w:pPr>
        <w:spacing w:after="0" w:line="240" w:lineRule="auto"/>
      </w:pPr>
      <w:r>
        <w:continuationSeparator/>
      </w:r>
    </w:p>
  </w:endnote>
  <w:endnote w:type="continuationNotice" w:id="1">
    <w:p w14:paraId="1B991C78" w14:textId="77777777" w:rsidR="00CD4E96" w:rsidRDefault="00CD4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4"/>
        <w:szCs w:val="14"/>
      </w:rPr>
      <w:id w:val="1678689799"/>
      <w:docPartObj>
        <w:docPartGallery w:val="Page Numbers (Bottom of Page)"/>
        <w:docPartUnique/>
      </w:docPartObj>
    </w:sdtPr>
    <w:sdtEndPr/>
    <w:sdtContent>
      <w:sdt>
        <w:sdtPr>
          <w:rPr>
            <w:rFonts w:ascii="ITC Avant Garde" w:hAnsi="ITC Avant Garde"/>
            <w:sz w:val="14"/>
            <w:szCs w:val="14"/>
          </w:rPr>
          <w:id w:val="-1769616900"/>
          <w:docPartObj>
            <w:docPartGallery w:val="Page Numbers (Top of Page)"/>
            <w:docPartUnique/>
          </w:docPartObj>
        </w:sdtPr>
        <w:sdtEndPr/>
        <w:sdtContent>
          <w:p w14:paraId="3B6A9DC0" w14:textId="23BD1A16" w:rsidR="00052FBB" w:rsidRPr="00B96E94" w:rsidRDefault="00052FBB" w:rsidP="00980BBC">
            <w:pPr>
              <w:pStyle w:val="Piedepgina"/>
              <w:jc w:val="right"/>
              <w:rPr>
                <w:rFonts w:ascii="ITC Avant Garde" w:hAnsi="ITC Avant Garde"/>
                <w:sz w:val="14"/>
                <w:szCs w:val="14"/>
              </w:rPr>
            </w:pPr>
            <w:r w:rsidRPr="00B96E94">
              <w:rPr>
                <w:rFonts w:ascii="ITC Avant Garde" w:hAnsi="ITC Avant Garde"/>
                <w:sz w:val="14"/>
                <w:szCs w:val="14"/>
                <w:lang w:val="es-ES"/>
              </w:rPr>
              <w:t xml:space="preserve">Página </w:t>
            </w:r>
            <w:r w:rsidRPr="00B96E94">
              <w:rPr>
                <w:rFonts w:ascii="ITC Avant Garde" w:hAnsi="ITC Avant Garde"/>
                <w:b/>
                <w:bCs/>
                <w:sz w:val="14"/>
                <w:szCs w:val="14"/>
              </w:rPr>
              <w:fldChar w:fldCharType="begin"/>
            </w:r>
            <w:r w:rsidRPr="00B96E94">
              <w:rPr>
                <w:rFonts w:ascii="ITC Avant Garde" w:hAnsi="ITC Avant Garde"/>
                <w:b/>
                <w:bCs/>
                <w:sz w:val="14"/>
                <w:szCs w:val="14"/>
              </w:rPr>
              <w:instrText>PAGE</w:instrText>
            </w:r>
            <w:r w:rsidRPr="00B96E94">
              <w:rPr>
                <w:rFonts w:ascii="ITC Avant Garde" w:hAnsi="ITC Avant Garde"/>
                <w:b/>
                <w:bCs/>
                <w:sz w:val="14"/>
                <w:szCs w:val="14"/>
              </w:rPr>
              <w:fldChar w:fldCharType="separate"/>
            </w:r>
            <w:r w:rsidR="00C91BBF">
              <w:rPr>
                <w:rFonts w:ascii="ITC Avant Garde" w:hAnsi="ITC Avant Garde"/>
                <w:b/>
                <w:bCs/>
                <w:noProof/>
                <w:sz w:val="14"/>
                <w:szCs w:val="14"/>
              </w:rPr>
              <w:t>1</w:t>
            </w:r>
            <w:r w:rsidRPr="00B96E94">
              <w:rPr>
                <w:rFonts w:ascii="ITC Avant Garde" w:hAnsi="ITC Avant Garde"/>
                <w:b/>
                <w:bCs/>
                <w:sz w:val="14"/>
                <w:szCs w:val="14"/>
              </w:rPr>
              <w:fldChar w:fldCharType="end"/>
            </w:r>
            <w:r w:rsidRPr="00B96E94">
              <w:rPr>
                <w:rFonts w:ascii="ITC Avant Garde" w:hAnsi="ITC Avant Garde"/>
                <w:sz w:val="14"/>
                <w:szCs w:val="14"/>
                <w:lang w:val="es-ES"/>
              </w:rPr>
              <w:t xml:space="preserve"> de </w:t>
            </w:r>
            <w:r w:rsidRPr="00B96E94">
              <w:rPr>
                <w:rFonts w:ascii="ITC Avant Garde" w:hAnsi="ITC Avant Garde"/>
                <w:b/>
                <w:bCs/>
                <w:sz w:val="14"/>
                <w:szCs w:val="14"/>
              </w:rPr>
              <w:fldChar w:fldCharType="begin"/>
            </w:r>
            <w:r w:rsidRPr="00B96E94">
              <w:rPr>
                <w:rFonts w:ascii="ITC Avant Garde" w:hAnsi="ITC Avant Garde"/>
                <w:b/>
                <w:bCs/>
                <w:sz w:val="14"/>
                <w:szCs w:val="14"/>
              </w:rPr>
              <w:instrText>NUMPAGES</w:instrText>
            </w:r>
            <w:r w:rsidRPr="00B96E94">
              <w:rPr>
                <w:rFonts w:ascii="ITC Avant Garde" w:hAnsi="ITC Avant Garde"/>
                <w:b/>
                <w:bCs/>
                <w:sz w:val="14"/>
                <w:szCs w:val="14"/>
              </w:rPr>
              <w:fldChar w:fldCharType="separate"/>
            </w:r>
            <w:r w:rsidR="00C91BBF">
              <w:rPr>
                <w:rFonts w:ascii="ITC Avant Garde" w:hAnsi="ITC Avant Garde"/>
                <w:b/>
                <w:bCs/>
                <w:noProof/>
                <w:sz w:val="14"/>
                <w:szCs w:val="14"/>
              </w:rPr>
              <w:t>31</w:t>
            </w:r>
            <w:r w:rsidRPr="00B96E94">
              <w:rPr>
                <w:rFonts w:ascii="ITC Avant Garde" w:hAnsi="ITC Avant Garde"/>
                <w:b/>
                <w:bCs/>
                <w:sz w:val="14"/>
                <w:szCs w:val="14"/>
              </w:rPr>
              <w:fldChar w:fldCharType="end"/>
            </w:r>
          </w:p>
        </w:sdtContent>
      </w:sdt>
    </w:sdtContent>
  </w:sdt>
  <w:p w14:paraId="59E88CAD" w14:textId="77777777" w:rsidR="00052FBB" w:rsidRPr="00B96E94" w:rsidRDefault="00052FBB" w:rsidP="00BC0AB3">
    <w:pPr>
      <w:pStyle w:val="Piedepgina"/>
      <w:jc w:val="center"/>
      <w:rPr>
        <w:rFonts w:ascii="ITC Avant Garde" w:hAnsi="ITC Avant Gard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4D738" w14:textId="77777777" w:rsidR="00CD4E96" w:rsidRDefault="00CD4E96" w:rsidP="00EF1A37">
      <w:pPr>
        <w:spacing w:after="0" w:line="240" w:lineRule="auto"/>
      </w:pPr>
      <w:r>
        <w:separator/>
      </w:r>
    </w:p>
  </w:footnote>
  <w:footnote w:type="continuationSeparator" w:id="0">
    <w:p w14:paraId="21A24128" w14:textId="77777777" w:rsidR="00CD4E96" w:rsidRDefault="00CD4E96" w:rsidP="00EF1A37">
      <w:pPr>
        <w:spacing w:after="0" w:line="240" w:lineRule="auto"/>
      </w:pPr>
      <w:r>
        <w:continuationSeparator/>
      </w:r>
    </w:p>
  </w:footnote>
  <w:footnote w:type="continuationNotice" w:id="1">
    <w:p w14:paraId="68555504" w14:textId="77777777" w:rsidR="00CD4E96" w:rsidRDefault="00CD4E96">
      <w:pPr>
        <w:spacing w:after="0" w:line="240" w:lineRule="auto"/>
      </w:pPr>
    </w:p>
  </w:footnote>
  <w:footnote w:id="2">
    <w:p w14:paraId="1FCC67BC" w14:textId="77777777" w:rsidR="00052FBB" w:rsidRPr="004757EA" w:rsidRDefault="00052FBB" w:rsidP="00F37C4D">
      <w:pPr>
        <w:pStyle w:val="Textonotapie"/>
        <w:jc w:val="both"/>
        <w:rPr>
          <w:rFonts w:ascii="ITC Avant Garde" w:hAnsi="ITC Avant Garde"/>
          <w:sz w:val="16"/>
          <w:szCs w:val="16"/>
        </w:rPr>
      </w:pPr>
      <w:r w:rsidRPr="004757EA">
        <w:rPr>
          <w:rStyle w:val="Refdenotaalpie"/>
          <w:rFonts w:ascii="ITC Avant Garde" w:hAnsi="ITC Avant Garde"/>
          <w:sz w:val="16"/>
          <w:szCs w:val="16"/>
        </w:rPr>
        <w:footnoteRef/>
      </w:r>
      <w:r w:rsidRPr="004757EA">
        <w:rPr>
          <w:rFonts w:ascii="ITC Avant Garde" w:hAnsi="ITC Avant Garde"/>
          <w:sz w:val="16"/>
          <w:szCs w:val="16"/>
        </w:rPr>
        <w:t xml:space="preserve"> </w:t>
      </w:r>
      <w:r>
        <w:rPr>
          <w:rFonts w:ascii="ITC Avant Garde" w:hAnsi="ITC Avant Garde"/>
          <w:sz w:val="16"/>
          <w:szCs w:val="16"/>
        </w:rPr>
        <w:t xml:space="preserve">Cfr. </w:t>
      </w:r>
      <w:r w:rsidRPr="004757EA">
        <w:rPr>
          <w:rFonts w:ascii="ITC Avant Garde" w:hAnsi="ITC Avant Garde"/>
          <w:sz w:val="16"/>
          <w:szCs w:val="16"/>
        </w:rPr>
        <w:t>Gaceta Parlamentaria. Iniciativas del titular del Poder Ejecutivo, con proyecto de decreto, que reforma y adiciona diversas disposiciones de la Constitución Política de los Estados Unidos Mexicanos, en materia de telecomunicaciones. Anexo II Palacio Legislativo de San Lázaro, martes 12 de marzo de 2013, número 3726-I. Año XVI. Página 4.</w:t>
      </w:r>
    </w:p>
  </w:footnote>
  <w:footnote w:id="3">
    <w:p w14:paraId="69E38250" w14:textId="77777777" w:rsidR="00052FBB" w:rsidRPr="00087B32" w:rsidRDefault="00052FBB" w:rsidP="008A1A3A">
      <w:pPr>
        <w:pStyle w:val="Textonotapie"/>
        <w:rPr>
          <w:rFonts w:ascii="ITC Avant Garde" w:hAnsi="ITC Avant Garde"/>
          <w:sz w:val="16"/>
          <w:szCs w:val="16"/>
        </w:rPr>
      </w:pPr>
      <w:r w:rsidRPr="00087B32">
        <w:rPr>
          <w:rStyle w:val="Refdenotaalpie"/>
          <w:rFonts w:ascii="ITC Avant Garde" w:hAnsi="ITC Avant Garde"/>
          <w:sz w:val="18"/>
        </w:rPr>
        <w:footnoteRef/>
      </w:r>
      <w:r w:rsidRPr="00087B32">
        <w:rPr>
          <w:rFonts w:ascii="ITC Avant Garde" w:hAnsi="ITC Avant Garde"/>
          <w:sz w:val="18"/>
        </w:rPr>
        <w:t xml:space="preserve"> </w:t>
      </w:r>
      <w:r w:rsidRPr="00087B32">
        <w:rPr>
          <w:rFonts w:ascii="ITC Avant Garde" w:hAnsi="ITC Avant Garde"/>
          <w:sz w:val="16"/>
          <w:szCs w:val="16"/>
        </w:rPr>
        <w:t xml:space="preserve">Artículo 61 de la LFCE. </w:t>
      </w:r>
    </w:p>
  </w:footnote>
  <w:footnote w:id="4">
    <w:p w14:paraId="580B3996" w14:textId="77777777" w:rsidR="00052FBB" w:rsidRPr="00087B32" w:rsidRDefault="00052FBB" w:rsidP="008A1A3A">
      <w:pPr>
        <w:pStyle w:val="Textonotapie"/>
        <w:rPr>
          <w:rFonts w:ascii="ITC Avant Garde" w:hAnsi="ITC Avant Garde"/>
          <w:sz w:val="16"/>
          <w:szCs w:val="16"/>
        </w:rPr>
      </w:pPr>
      <w:r w:rsidRPr="00087B32">
        <w:rPr>
          <w:rStyle w:val="Refdenotaalpie"/>
          <w:rFonts w:ascii="ITC Avant Garde" w:hAnsi="ITC Avant Garde"/>
          <w:sz w:val="16"/>
          <w:szCs w:val="16"/>
        </w:rPr>
        <w:footnoteRef/>
      </w:r>
      <w:r w:rsidRPr="00087B32">
        <w:rPr>
          <w:rFonts w:ascii="ITC Avant Garde" w:hAnsi="ITC Avant Garde"/>
          <w:sz w:val="16"/>
          <w:szCs w:val="16"/>
        </w:rPr>
        <w:t xml:space="preserve"> Procedimiento previsto en el artículo 90 de la LFCE. </w:t>
      </w:r>
    </w:p>
  </w:footnote>
  <w:footnote w:id="5">
    <w:p w14:paraId="41AD195E" w14:textId="77777777" w:rsidR="00052FBB" w:rsidRPr="00087B32" w:rsidRDefault="00052FBB" w:rsidP="008A1A3A">
      <w:pPr>
        <w:pStyle w:val="Textonotapie"/>
        <w:rPr>
          <w:rFonts w:ascii="ITC Avant Garde" w:hAnsi="ITC Avant Garde"/>
          <w:sz w:val="16"/>
          <w:szCs w:val="16"/>
        </w:rPr>
      </w:pPr>
      <w:r w:rsidRPr="00087B32">
        <w:rPr>
          <w:rStyle w:val="Refdenotaalpie"/>
          <w:rFonts w:ascii="ITC Avant Garde" w:hAnsi="ITC Avant Garde"/>
          <w:sz w:val="16"/>
          <w:szCs w:val="16"/>
        </w:rPr>
        <w:footnoteRef/>
      </w:r>
      <w:r w:rsidRPr="00087B32">
        <w:rPr>
          <w:rFonts w:ascii="ITC Avant Garde" w:hAnsi="ITC Avant Garde"/>
          <w:sz w:val="16"/>
          <w:szCs w:val="16"/>
        </w:rPr>
        <w:t xml:space="preserve"> Artículo 86 de la LFCE. </w:t>
      </w:r>
    </w:p>
  </w:footnote>
  <w:footnote w:id="6">
    <w:p w14:paraId="0DB7047C" w14:textId="77777777" w:rsidR="00052FBB" w:rsidRPr="00087B32" w:rsidRDefault="00052FBB" w:rsidP="00335B16">
      <w:pPr>
        <w:pStyle w:val="Textonotapie"/>
        <w:rPr>
          <w:rFonts w:ascii="ITC Avant Garde" w:hAnsi="ITC Avant Garde"/>
          <w:sz w:val="16"/>
          <w:szCs w:val="16"/>
        </w:rPr>
      </w:pPr>
      <w:r w:rsidRPr="00087B32">
        <w:rPr>
          <w:rStyle w:val="Refdenotaalpie"/>
          <w:rFonts w:ascii="ITC Avant Garde" w:hAnsi="ITC Avant Garde"/>
          <w:sz w:val="16"/>
          <w:szCs w:val="16"/>
        </w:rPr>
        <w:footnoteRef/>
      </w:r>
      <w:r w:rsidRPr="00087B32">
        <w:rPr>
          <w:rFonts w:ascii="ITC Avant Garde" w:hAnsi="ITC Avant Garde"/>
          <w:sz w:val="16"/>
          <w:szCs w:val="16"/>
        </w:rPr>
        <w:t xml:space="preserve"> Artículo 7, quinto párrafo, de la Ley. </w:t>
      </w:r>
    </w:p>
  </w:footnote>
  <w:footnote w:id="7">
    <w:p w14:paraId="4133BCF9" w14:textId="15925EF2" w:rsidR="00052FBB" w:rsidRDefault="00052FBB" w:rsidP="00705EEB">
      <w:pPr>
        <w:pStyle w:val="Textonotapie"/>
        <w:jc w:val="both"/>
      </w:pPr>
      <w:r w:rsidRPr="00087B32">
        <w:rPr>
          <w:rStyle w:val="Refdenotaalpie"/>
          <w:rFonts w:ascii="ITC Avant Garde" w:hAnsi="ITC Avant Garde"/>
          <w:sz w:val="16"/>
          <w:szCs w:val="16"/>
        </w:rPr>
        <w:footnoteRef/>
      </w:r>
      <w:r w:rsidRPr="00087B32">
        <w:rPr>
          <w:rFonts w:ascii="ITC Avant Garde" w:hAnsi="ITC Avant Garde"/>
          <w:sz w:val="16"/>
          <w:szCs w:val="16"/>
        </w:rPr>
        <w:t xml:space="preserve"> Dictamen de las Comisiones Unidas de Puntos Constitucionales; de Comunicaciones y Transportes; de Radio, Televisión y Cinematografía y de Estudios Legislativos, con la opinión de las Comisiones de Gobernación y de Justicia, respecto de la Minuta con proyecto de decreto por el que se reforman y adicionan diversas disposiciones de los artículos 6</w:t>
      </w:r>
      <w:r>
        <w:rPr>
          <w:rFonts w:ascii="ITC Avant Garde" w:hAnsi="ITC Avant Garde"/>
          <w:sz w:val="16"/>
          <w:szCs w:val="16"/>
        </w:rPr>
        <w:t>o.</w:t>
      </w:r>
      <w:r w:rsidRPr="00087B32">
        <w:rPr>
          <w:rFonts w:ascii="ITC Avant Garde" w:hAnsi="ITC Avant Garde"/>
          <w:sz w:val="16"/>
          <w:szCs w:val="16"/>
        </w:rPr>
        <w:t>, 7</w:t>
      </w:r>
      <w:r>
        <w:rPr>
          <w:rFonts w:ascii="ITC Avant Garde" w:hAnsi="ITC Avant Garde"/>
          <w:sz w:val="16"/>
          <w:szCs w:val="16"/>
        </w:rPr>
        <w:t>o.</w:t>
      </w:r>
      <w:r w:rsidRPr="00087B32">
        <w:rPr>
          <w:rFonts w:ascii="ITC Avant Garde" w:hAnsi="ITC Avant Garde"/>
          <w:sz w:val="16"/>
          <w:szCs w:val="16"/>
        </w:rPr>
        <w:t>, 27, 28, 73, 78, 94 y 105 de la Constitución Política de los Estados Unidos Mexicanos en materia de telecomunicaciones, páginas 268 y 269.</w:t>
      </w:r>
      <w:r w:rsidRPr="00087B32">
        <w:rPr>
          <w:sz w:val="18"/>
        </w:rPr>
        <w:t xml:space="preserve"> </w:t>
      </w:r>
    </w:p>
  </w:footnote>
  <w:footnote w:id="8">
    <w:p w14:paraId="7FB45004" w14:textId="6F89BD46" w:rsidR="00052FBB" w:rsidRPr="004757EA" w:rsidRDefault="00052FBB" w:rsidP="00F37C4D">
      <w:pPr>
        <w:pStyle w:val="Textonotapie"/>
        <w:jc w:val="both"/>
        <w:rPr>
          <w:rFonts w:ascii="ITC Avant Garde" w:hAnsi="ITC Avant Garde"/>
          <w:sz w:val="16"/>
          <w:szCs w:val="16"/>
        </w:rPr>
      </w:pPr>
      <w:r w:rsidRPr="004757EA">
        <w:rPr>
          <w:rStyle w:val="Refdenotaalpie"/>
          <w:rFonts w:ascii="ITC Avant Garde" w:hAnsi="ITC Avant Garde"/>
          <w:sz w:val="16"/>
          <w:szCs w:val="16"/>
        </w:rPr>
        <w:footnoteRef/>
      </w:r>
      <w:r w:rsidRPr="004757EA">
        <w:rPr>
          <w:rFonts w:ascii="ITC Avant Garde" w:hAnsi="ITC Avant Garde"/>
          <w:sz w:val="16"/>
          <w:szCs w:val="16"/>
        </w:rPr>
        <w:t xml:space="preserve"> </w:t>
      </w:r>
      <w:r w:rsidRPr="004757EA">
        <w:rPr>
          <w:rFonts w:ascii="ITC Avant Garde" w:hAnsi="ITC Avant Garde"/>
          <w:i/>
          <w:sz w:val="16"/>
          <w:szCs w:val="16"/>
        </w:rPr>
        <w:t>Véase</w:t>
      </w:r>
      <w:r w:rsidRPr="004757EA">
        <w:rPr>
          <w:rFonts w:ascii="ITC Avant Garde" w:hAnsi="ITC Avant Garde"/>
          <w:sz w:val="16"/>
          <w:szCs w:val="16"/>
        </w:rPr>
        <w:t xml:space="preserve"> página 99 del Dictamen de las </w:t>
      </w:r>
      <w:r>
        <w:rPr>
          <w:rFonts w:ascii="ITC Avant Garde" w:hAnsi="ITC Avant Garde"/>
          <w:sz w:val="16"/>
          <w:szCs w:val="16"/>
        </w:rPr>
        <w:t>C</w:t>
      </w:r>
      <w:r w:rsidRPr="004757EA">
        <w:rPr>
          <w:rFonts w:ascii="ITC Avant Garde" w:hAnsi="ITC Avant Garde"/>
          <w:sz w:val="16"/>
          <w:szCs w:val="16"/>
        </w:rPr>
        <w:t xml:space="preserve">omisiones </w:t>
      </w:r>
      <w:r>
        <w:rPr>
          <w:rFonts w:ascii="ITC Avant Garde" w:hAnsi="ITC Avant Garde"/>
          <w:sz w:val="16"/>
          <w:szCs w:val="16"/>
        </w:rPr>
        <w:t>U</w:t>
      </w:r>
      <w:r w:rsidRPr="004757EA">
        <w:rPr>
          <w:rFonts w:ascii="ITC Avant Garde" w:hAnsi="ITC Avant Garde"/>
          <w:sz w:val="16"/>
          <w:szCs w:val="16"/>
        </w:rPr>
        <w:t xml:space="preserve">nidas de </w:t>
      </w:r>
      <w:r>
        <w:rPr>
          <w:rFonts w:ascii="ITC Avant Garde" w:hAnsi="ITC Avant Garde"/>
          <w:sz w:val="16"/>
          <w:szCs w:val="16"/>
        </w:rPr>
        <w:t>C</w:t>
      </w:r>
      <w:r w:rsidRPr="004757EA">
        <w:rPr>
          <w:rFonts w:ascii="ITC Avant Garde" w:hAnsi="ITC Avant Garde"/>
          <w:sz w:val="16"/>
          <w:szCs w:val="16"/>
        </w:rPr>
        <w:t xml:space="preserve">omunicaciones y de </w:t>
      </w:r>
      <w:r>
        <w:rPr>
          <w:rFonts w:ascii="ITC Avant Garde" w:hAnsi="ITC Avant Garde"/>
          <w:sz w:val="16"/>
          <w:szCs w:val="16"/>
        </w:rPr>
        <w:t>R</w:t>
      </w:r>
      <w:r w:rsidRPr="004757EA">
        <w:rPr>
          <w:rFonts w:ascii="ITC Avant Garde" w:hAnsi="ITC Avant Garde"/>
          <w:sz w:val="16"/>
          <w:szCs w:val="16"/>
        </w:rPr>
        <w:t xml:space="preserve">adio y </w:t>
      </w:r>
      <w:r>
        <w:rPr>
          <w:rFonts w:ascii="ITC Avant Garde" w:hAnsi="ITC Avant Garde"/>
          <w:sz w:val="16"/>
          <w:szCs w:val="16"/>
        </w:rPr>
        <w:t>T</w:t>
      </w:r>
      <w:r w:rsidRPr="004757EA">
        <w:rPr>
          <w:rFonts w:ascii="ITC Avant Garde" w:hAnsi="ITC Avant Garde"/>
          <w:sz w:val="16"/>
          <w:szCs w:val="16"/>
        </w:rPr>
        <w:t xml:space="preserve">elevisión </w:t>
      </w:r>
      <w:r>
        <w:rPr>
          <w:rFonts w:ascii="ITC Avant Garde" w:hAnsi="ITC Avant Garde"/>
          <w:sz w:val="16"/>
          <w:szCs w:val="16"/>
        </w:rPr>
        <w:t xml:space="preserve">de la Cámara de Diputados de la LXII Legislatura </w:t>
      </w:r>
      <w:r w:rsidRPr="004757EA">
        <w:rPr>
          <w:rFonts w:ascii="ITC Avant Garde" w:hAnsi="ITC Avant Garde"/>
          <w:sz w:val="16"/>
          <w:szCs w:val="16"/>
        </w:rPr>
        <w:t xml:space="preserve">sobre la </w:t>
      </w:r>
      <w:r>
        <w:rPr>
          <w:rFonts w:ascii="ITC Avant Garde" w:hAnsi="ITC Avant Garde"/>
          <w:sz w:val="16"/>
          <w:szCs w:val="16"/>
        </w:rPr>
        <w:t>M</w:t>
      </w:r>
      <w:r w:rsidRPr="004757EA">
        <w:rPr>
          <w:rFonts w:ascii="ITC Avant Garde" w:hAnsi="ITC Avant Garde"/>
          <w:sz w:val="16"/>
          <w:szCs w:val="16"/>
        </w:rPr>
        <w:t>inuta con proyecto de Decreto por el que se expiden la Ley Federal de Telecomunicaciones y Radiodifusión, y la Ley del Sistema Público de Radiodifusión del Estado Mexicano; y se reforman, adicionan y derogan diversas disposiciones en materia de telecomunicaciones y radiodifusión, publicado en la Gaceta Parlamentaria el 8 de julio de 2014.</w:t>
      </w:r>
    </w:p>
  </w:footnote>
  <w:footnote w:id="9">
    <w:p w14:paraId="7C6581D8" w14:textId="4F3D3D4F" w:rsidR="00052FBB" w:rsidRPr="00AE532D" w:rsidRDefault="00052FBB" w:rsidP="00942224">
      <w:pPr>
        <w:pStyle w:val="Textonotapie"/>
        <w:jc w:val="both"/>
        <w:rPr>
          <w:rFonts w:ascii="ITC Avant Garde" w:hAnsi="ITC Avant Garde"/>
          <w:sz w:val="16"/>
          <w:szCs w:val="16"/>
        </w:rPr>
      </w:pPr>
      <w:r>
        <w:rPr>
          <w:rStyle w:val="Refdenotaalpie"/>
        </w:rPr>
        <w:footnoteRef/>
      </w:r>
      <w:r>
        <w:t xml:space="preserve"> </w:t>
      </w:r>
      <w:r>
        <w:rPr>
          <w:rFonts w:ascii="ITC Avant Garde" w:hAnsi="ITC Avant Garde"/>
          <w:sz w:val="16"/>
          <w:szCs w:val="16"/>
        </w:rPr>
        <w:t>Ídem, pp. 19-20.</w:t>
      </w:r>
    </w:p>
    <w:p w14:paraId="5D332D5C" w14:textId="77777777" w:rsidR="00052FBB" w:rsidRDefault="00052FBB" w:rsidP="00942224">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8CAA" w14:textId="77777777" w:rsidR="00052FBB" w:rsidRDefault="00CD4E96">
    <w:pPr>
      <w:pStyle w:val="Encabezado"/>
    </w:pPr>
    <w:r>
      <w:rPr>
        <w:noProof/>
        <w:lang w:eastAsia="es-MX"/>
      </w:rPr>
      <w:pict w14:anchorId="59E8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8CAE" w14:textId="77777777" w:rsidR="00052FBB" w:rsidRDefault="00CD4E96">
    <w:pPr>
      <w:pStyle w:val="Encabezado"/>
    </w:pPr>
    <w:r>
      <w:rPr>
        <w:noProof/>
        <w:lang w:eastAsia="es-MX"/>
      </w:rPr>
      <w:pict w14:anchorId="59E88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793"/>
    <w:multiLevelType w:val="hybridMultilevel"/>
    <w:tmpl w:val="5F080E6C"/>
    <w:lvl w:ilvl="0" w:tplc="9DC87752">
      <w:start w:val="1"/>
      <w:numFmt w:val="low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6B169D0"/>
    <w:multiLevelType w:val="hybridMultilevel"/>
    <w:tmpl w:val="250A409C"/>
    <w:lvl w:ilvl="0" w:tplc="080A0015">
      <w:start w:val="1"/>
      <w:numFmt w:val="upperLetter"/>
      <w:lvlText w:val="%1."/>
      <w:lvlJc w:val="left"/>
      <w:pPr>
        <w:ind w:left="720" w:hanging="360"/>
      </w:pPr>
      <w:rPr>
        <w:rFonts w:hint="default"/>
      </w:rPr>
    </w:lvl>
    <w:lvl w:ilvl="1" w:tplc="59A0AB5A">
      <w:start w:val="1"/>
      <w:numFmt w:val="lowerLetter"/>
      <w:lvlText w:val="%2."/>
      <w:lvlJc w:val="left"/>
      <w:pPr>
        <w:ind w:left="1440" w:hanging="360"/>
      </w:pPr>
      <w:rPr>
        <w:b/>
      </w:rPr>
    </w:lvl>
    <w:lvl w:ilvl="2" w:tplc="EFC6051C">
      <w:start w:val="1"/>
      <w:numFmt w:val="lowerLetter"/>
      <w:lvlText w:val="%3."/>
      <w:lvlJc w:val="left"/>
      <w:pPr>
        <w:ind w:left="2340" w:hanging="360"/>
      </w:pPr>
      <w:rPr>
        <w:rFonts w:hint="default"/>
        <w:b/>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A44727"/>
    <w:multiLevelType w:val="hybridMultilevel"/>
    <w:tmpl w:val="DC60EDCA"/>
    <w:lvl w:ilvl="0" w:tplc="EF8C62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28079C"/>
    <w:multiLevelType w:val="hybridMultilevel"/>
    <w:tmpl w:val="F1922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891B43"/>
    <w:multiLevelType w:val="hybridMultilevel"/>
    <w:tmpl w:val="6EA4FC08"/>
    <w:lvl w:ilvl="0" w:tplc="6F7EB1AA">
      <w:start w:val="1"/>
      <w:numFmt w:val="upperRoman"/>
      <w:lvlText w:val="%1."/>
      <w:lvlJc w:val="left"/>
      <w:pPr>
        <w:ind w:left="780" w:hanging="720"/>
      </w:pPr>
      <w:rPr>
        <w:rFonts w:hint="default"/>
        <w:b/>
      </w:rPr>
    </w:lvl>
    <w:lvl w:ilvl="1" w:tplc="7968096E">
      <w:start w:val="1"/>
      <w:numFmt w:val="lowerLetter"/>
      <w:lvlText w:val="%2."/>
      <w:lvlJc w:val="left"/>
      <w:pPr>
        <w:ind w:left="1140" w:hanging="360"/>
      </w:pPr>
      <w:rPr>
        <w:b/>
      </w:r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0A882AD1"/>
    <w:multiLevelType w:val="hybridMultilevel"/>
    <w:tmpl w:val="2670FAE0"/>
    <w:lvl w:ilvl="0" w:tplc="1F86B0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5C18CD"/>
    <w:multiLevelType w:val="hybridMultilevel"/>
    <w:tmpl w:val="C93C9CE4"/>
    <w:lvl w:ilvl="0" w:tplc="57860FA6">
      <w:start w:val="1"/>
      <w:numFmt w:val="lowerLetter"/>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78341E"/>
    <w:multiLevelType w:val="hybridMultilevel"/>
    <w:tmpl w:val="6DB29EA2"/>
    <w:lvl w:ilvl="0" w:tplc="2CE2467E">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4278B2"/>
    <w:multiLevelType w:val="hybridMultilevel"/>
    <w:tmpl w:val="29924B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70640B"/>
    <w:multiLevelType w:val="hybridMultilevel"/>
    <w:tmpl w:val="AC94349E"/>
    <w:lvl w:ilvl="0" w:tplc="D91E0F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565623"/>
    <w:multiLevelType w:val="hybridMultilevel"/>
    <w:tmpl w:val="250A409C"/>
    <w:lvl w:ilvl="0" w:tplc="080A0015">
      <w:start w:val="1"/>
      <w:numFmt w:val="upperLetter"/>
      <w:lvlText w:val="%1."/>
      <w:lvlJc w:val="left"/>
      <w:pPr>
        <w:ind w:left="720" w:hanging="360"/>
      </w:pPr>
      <w:rPr>
        <w:rFonts w:hint="default"/>
      </w:rPr>
    </w:lvl>
    <w:lvl w:ilvl="1" w:tplc="59A0AB5A">
      <w:start w:val="1"/>
      <w:numFmt w:val="lowerLetter"/>
      <w:lvlText w:val="%2."/>
      <w:lvlJc w:val="left"/>
      <w:pPr>
        <w:ind w:left="1440" w:hanging="360"/>
      </w:pPr>
      <w:rPr>
        <w:b/>
      </w:rPr>
    </w:lvl>
    <w:lvl w:ilvl="2" w:tplc="EFC6051C">
      <w:start w:val="1"/>
      <w:numFmt w:val="lowerLetter"/>
      <w:lvlText w:val="%3."/>
      <w:lvlJc w:val="left"/>
      <w:pPr>
        <w:ind w:left="2340" w:hanging="360"/>
      </w:pPr>
      <w:rPr>
        <w:rFonts w:hint="default"/>
        <w:b/>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557B5E"/>
    <w:multiLevelType w:val="hybridMultilevel"/>
    <w:tmpl w:val="528ADAC2"/>
    <w:lvl w:ilvl="0" w:tplc="105E6864">
      <w:start w:val="1"/>
      <w:numFmt w:val="low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24045E21"/>
    <w:multiLevelType w:val="hybridMultilevel"/>
    <w:tmpl w:val="C752099C"/>
    <w:lvl w:ilvl="0" w:tplc="ECA4CFFE">
      <w:start w:val="1"/>
      <w:numFmt w:val="ordinalText"/>
      <w:lvlText w:val="%1."/>
      <w:lvlJc w:val="left"/>
      <w:pPr>
        <w:ind w:left="360" w:hanging="360"/>
      </w:pPr>
      <w:rPr>
        <w:rFonts w:ascii="ITC Avant Garde" w:hAnsi="ITC Avant Garde" w:hint="default"/>
        <w:b/>
        <w:i w:val="0"/>
        <w:caps/>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43F473E"/>
    <w:multiLevelType w:val="hybridMultilevel"/>
    <w:tmpl w:val="E95AC7DE"/>
    <w:lvl w:ilvl="0" w:tplc="15CC9BD0">
      <w:start w:val="1"/>
      <w:numFmt w:val="ordinalText"/>
      <w:lvlText w:val="%1."/>
      <w:lvlJc w:val="left"/>
      <w:pPr>
        <w:ind w:left="360" w:hanging="360"/>
      </w:pPr>
      <w:rPr>
        <w:rFonts w:ascii="ITC Avant Garde" w:hAnsi="ITC Avant Garde" w:hint="default"/>
        <w:b/>
        <w:i w:val="0"/>
        <w:caps/>
        <w:sz w:val="22"/>
        <w:szCs w:val="22"/>
      </w:rPr>
    </w:lvl>
    <w:lvl w:ilvl="1" w:tplc="080A0019" w:tentative="1">
      <w:start w:val="1"/>
      <w:numFmt w:val="lowerLetter"/>
      <w:lvlText w:val="%2."/>
      <w:lvlJc w:val="left"/>
      <w:pPr>
        <w:ind w:left="6260" w:hanging="360"/>
      </w:pPr>
    </w:lvl>
    <w:lvl w:ilvl="2" w:tplc="080A001B" w:tentative="1">
      <w:start w:val="1"/>
      <w:numFmt w:val="lowerRoman"/>
      <w:lvlText w:val="%3."/>
      <w:lvlJc w:val="right"/>
      <w:pPr>
        <w:ind w:left="6980" w:hanging="180"/>
      </w:pPr>
    </w:lvl>
    <w:lvl w:ilvl="3" w:tplc="080A000F" w:tentative="1">
      <w:start w:val="1"/>
      <w:numFmt w:val="decimal"/>
      <w:lvlText w:val="%4."/>
      <w:lvlJc w:val="left"/>
      <w:pPr>
        <w:ind w:left="7700" w:hanging="360"/>
      </w:pPr>
    </w:lvl>
    <w:lvl w:ilvl="4" w:tplc="080A0019" w:tentative="1">
      <w:start w:val="1"/>
      <w:numFmt w:val="lowerLetter"/>
      <w:lvlText w:val="%5."/>
      <w:lvlJc w:val="left"/>
      <w:pPr>
        <w:ind w:left="8420" w:hanging="360"/>
      </w:pPr>
    </w:lvl>
    <w:lvl w:ilvl="5" w:tplc="080A001B" w:tentative="1">
      <w:start w:val="1"/>
      <w:numFmt w:val="lowerRoman"/>
      <w:lvlText w:val="%6."/>
      <w:lvlJc w:val="right"/>
      <w:pPr>
        <w:ind w:left="9140" w:hanging="180"/>
      </w:pPr>
    </w:lvl>
    <w:lvl w:ilvl="6" w:tplc="080A000F" w:tentative="1">
      <w:start w:val="1"/>
      <w:numFmt w:val="decimal"/>
      <w:lvlText w:val="%7."/>
      <w:lvlJc w:val="left"/>
      <w:pPr>
        <w:ind w:left="9860" w:hanging="360"/>
      </w:pPr>
    </w:lvl>
    <w:lvl w:ilvl="7" w:tplc="080A0019" w:tentative="1">
      <w:start w:val="1"/>
      <w:numFmt w:val="lowerLetter"/>
      <w:lvlText w:val="%8."/>
      <w:lvlJc w:val="left"/>
      <w:pPr>
        <w:ind w:left="10580" w:hanging="360"/>
      </w:pPr>
    </w:lvl>
    <w:lvl w:ilvl="8" w:tplc="080A001B" w:tentative="1">
      <w:start w:val="1"/>
      <w:numFmt w:val="lowerRoman"/>
      <w:lvlText w:val="%9."/>
      <w:lvlJc w:val="right"/>
      <w:pPr>
        <w:ind w:left="11300" w:hanging="180"/>
      </w:pPr>
    </w:lvl>
  </w:abstractNum>
  <w:abstractNum w:abstractNumId="14" w15:restartNumberingAfterBreak="0">
    <w:nsid w:val="25706730"/>
    <w:multiLevelType w:val="hybridMultilevel"/>
    <w:tmpl w:val="EA3EF00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DC1D71"/>
    <w:multiLevelType w:val="hybridMultilevel"/>
    <w:tmpl w:val="0C768482"/>
    <w:lvl w:ilvl="0" w:tplc="D7B4B3FA">
      <w:start w:val="1"/>
      <w:numFmt w:val="lowerLetter"/>
      <w:lvlText w:val="%1)"/>
      <w:lvlJc w:val="left"/>
      <w:pPr>
        <w:ind w:left="720" w:hanging="36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7C7C28"/>
    <w:multiLevelType w:val="hybridMultilevel"/>
    <w:tmpl w:val="DEF63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B31F8E"/>
    <w:multiLevelType w:val="hybridMultilevel"/>
    <w:tmpl w:val="0C768482"/>
    <w:lvl w:ilvl="0" w:tplc="D7B4B3FA">
      <w:start w:val="1"/>
      <w:numFmt w:val="lowerLetter"/>
      <w:lvlText w:val="%1)"/>
      <w:lvlJc w:val="left"/>
      <w:pPr>
        <w:ind w:left="720" w:hanging="36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DF63C3"/>
    <w:multiLevelType w:val="hybridMultilevel"/>
    <w:tmpl w:val="C3EA6B36"/>
    <w:lvl w:ilvl="0" w:tplc="6AD29956">
      <w:start w:val="1"/>
      <w:numFmt w:val="decimal"/>
      <w:lvlText w:val="Artículo %1."/>
      <w:lvlJc w:val="left"/>
      <w:pPr>
        <w:ind w:left="7023"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32A642A8"/>
    <w:multiLevelType w:val="hybridMultilevel"/>
    <w:tmpl w:val="DF6E147C"/>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BC3852"/>
    <w:multiLevelType w:val="hybridMultilevel"/>
    <w:tmpl w:val="2728A24C"/>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04FEF"/>
    <w:multiLevelType w:val="hybridMultilevel"/>
    <w:tmpl w:val="D8FAA0A6"/>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4E6969"/>
    <w:multiLevelType w:val="hybridMultilevel"/>
    <w:tmpl w:val="9E1E69D4"/>
    <w:lvl w:ilvl="0" w:tplc="2D58F9B8">
      <w:start w:val="1"/>
      <w:numFmt w:val="low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428F2DD2"/>
    <w:multiLevelType w:val="hybridMultilevel"/>
    <w:tmpl w:val="54B86DF2"/>
    <w:lvl w:ilvl="0" w:tplc="7B226A1C">
      <w:start w:val="1"/>
      <w:numFmt w:val="lowerLetter"/>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EA3DA6"/>
    <w:multiLevelType w:val="hybridMultilevel"/>
    <w:tmpl w:val="2FAA08EE"/>
    <w:lvl w:ilvl="0" w:tplc="1982D5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E68E8C2">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4E2D"/>
    <w:multiLevelType w:val="hybridMultilevel"/>
    <w:tmpl w:val="0C768482"/>
    <w:lvl w:ilvl="0" w:tplc="D7B4B3FA">
      <w:start w:val="1"/>
      <w:numFmt w:val="lowerLetter"/>
      <w:lvlText w:val="%1)"/>
      <w:lvlJc w:val="left"/>
      <w:pPr>
        <w:ind w:left="720" w:hanging="36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B22C2C"/>
    <w:multiLevelType w:val="hybridMultilevel"/>
    <w:tmpl w:val="28B047B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6D3E83"/>
    <w:multiLevelType w:val="hybridMultilevel"/>
    <w:tmpl w:val="EA02155E"/>
    <w:lvl w:ilvl="0" w:tplc="1982D5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164C80"/>
    <w:multiLevelType w:val="hybridMultilevel"/>
    <w:tmpl w:val="B15EEDB2"/>
    <w:lvl w:ilvl="0" w:tplc="1814FBF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490A80"/>
    <w:multiLevelType w:val="hybridMultilevel"/>
    <w:tmpl w:val="C93C9CE4"/>
    <w:lvl w:ilvl="0" w:tplc="57860FA6">
      <w:start w:val="1"/>
      <w:numFmt w:val="lowerLetter"/>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EA55EE"/>
    <w:multiLevelType w:val="hybridMultilevel"/>
    <w:tmpl w:val="EA3EF00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E26237"/>
    <w:multiLevelType w:val="hybridMultilevel"/>
    <w:tmpl w:val="67A6E4BC"/>
    <w:lvl w:ilvl="0" w:tplc="9738DF54">
      <w:start w:val="1"/>
      <w:numFmt w:val="lowerLetter"/>
      <w:lvlText w:val="%1)"/>
      <w:lvlJc w:val="left"/>
      <w:pPr>
        <w:ind w:left="1440" w:hanging="360"/>
      </w:pPr>
      <w:rPr>
        <w:rFonts w:hint="default"/>
        <w:b/>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E55302F"/>
    <w:multiLevelType w:val="hybridMultilevel"/>
    <w:tmpl w:val="E82450D6"/>
    <w:lvl w:ilvl="0" w:tplc="AF20D592">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0518FF"/>
    <w:multiLevelType w:val="hybridMultilevel"/>
    <w:tmpl w:val="3C8C25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2E0BD8"/>
    <w:multiLevelType w:val="hybridMultilevel"/>
    <w:tmpl w:val="2E52646C"/>
    <w:lvl w:ilvl="0" w:tplc="022837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F672CD"/>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FC5BD0"/>
    <w:multiLevelType w:val="hybridMultilevel"/>
    <w:tmpl w:val="53DEF214"/>
    <w:lvl w:ilvl="0" w:tplc="ABF09A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025E2D"/>
    <w:multiLevelType w:val="hybridMultilevel"/>
    <w:tmpl w:val="01B262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CA4300"/>
    <w:multiLevelType w:val="hybridMultilevel"/>
    <w:tmpl w:val="F9B2C2F0"/>
    <w:lvl w:ilvl="0" w:tplc="0E644F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384941"/>
    <w:multiLevelType w:val="hybridMultilevel"/>
    <w:tmpl w:val="839C5B0C"/>
    <w:lvl w:ilvl="0" w:tplc="75C23048">
      <w:start w:val="1"/>
      <w:numFmt w:val="lowerRoman"/>
      <w:lvlText w:val="%1."/>
      <w:lvlJc w:val="left"/>
      <w:pPr>
        <w:ind w:left="1069" w:hanging="360"/>
      </w:pPr>
      <w:rPr>
        <w:rFonts w:ascii="ITC Avant Garde" w:eastAsia="Times New Roman" w:hAnsi="ITC Avant Garde" w:cs="Times New Roman"/>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621191D"/>
    <w:multiLevelType w:val="hybridMultilevel"/>
    <w:tmpl w:val="A3546A3E"/>
    <w:lvl w:ilvl="0" w:tplc="3C5E52E4">
      <w:start w:val="1"/>
      <w:numFmt w:val="lowerRoman"/>
      <w:lvlText w:val="%1."/>
      <w:lvlJc w:val="righ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B716F8E"/>
    <w:multiLevelType w:val="hybridMultilevel"/>
    <w:tmpl w:val="EFD8D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6F244A"/>
    <w:multiLevelType w:val="multilevel"/>
    <w:tmpl w:val="E55A2C56"/>
    <w:styleLink w:val="List6"/>
    <w:lvl w:ilvl="0">
      <w:start w:val="1"/>
      <w:numFmt w:val="lowerLetter"/>
      <w:lvlText w:val="%1)"/>
      <w:lvlJc w:val="left"/>
      <w:pPr>
        <w:tabs>
          <w:tab w:val="num" w:pos="720"/>
        </w:tabs>
        <w:ind w:left="720" w:hanging="360"/>
      </w:pPr>
      <w:rPr>
        <w:rFonts w:ascii="Century Gothic" w:eastAsia="Century Gothic" w:hAnsi="Century Gothic" w:cs="Century Gothic"/>
        <w:color w:val="000000"/>
        <w:position w:val="0"/>
        <w:sz w:val="22"/>
        <w:szCs w:val="22"/>
        <w:u w:color="000000"/>
      </w:rPr>
    </w:lvl>
    <w:lvl w:ilvl="1">
      <w:start w:val="1"/>
      <w:numFmt w:val="lowerLetter"/>
      <w:lvlText w:val="%2."/>
      <w:lvlJc w:val="left"/>
      <w:pPr>
        <w:tabs>
          <w:tab w:val="num" w:pos="1410"/>
        </w:tabs>
        <w:ind w:left="1410" w:hanging="330"/>
      </w:pPr>
      <w:rPr>
        <w:rFonts w:ascii="Century Gothic" w:eastAsia="Century Gothic" w:hAnsi="Century Gothic" w:cs="Century Gothic"/>
        <w:color w:val="000000"/>
        <w:position w:val="0"/>
        <w:sz w:val="22"/>
        <w:szCs w:val="22"/>
        <w:u w:color="000000"/>
      </w:rPr>
    </w:lvl>
    <w:lvl w:ilvl="2">
      <w:start w:val="1"/>
      <w:numFmt w:val="lowerRoman"/>
      <w:lvlText w:val="%3."/>
      <w:lvlJc w:val="left"/>
      <w:pPr>
        <w:tabs>
          <w:tab w:val="num" w:pos="2135"/>
        </w:tabs>
        <w:ind w:left="2135" w:hanging="271"/>
      </w:pPr>
      <w:rPr>
        <w:rFonts w:ascii="Century Gothic" w:eastAsia="Century Gothic" w:hAnsi="Century Gothic" w:cs="Century Gothic"/>
        <w:color w:val="000000"/>
        <w:position w:val="0"/>
        <w:sz w:val="22"/>
        <w:szCs w:val="22"/>
        <w:u w:color="000000"/>
      </w:rPr>
    </w:lvl>
    <w:lvl w:ilvl="3">
      <w:start w:val="1"/>
      <w:numFmt w:val="decimal"/>
      <w:lvlText w:val="%4."/>
      <w:lvlJc w:val="left"/>
      <w:pPr>
        <w:tabs>
          <w:tab w:val="num" w:pos="2850"/>
        </w:tabs>
        <w:ind w:left="2850" w:hanging="330"/>
      </w:pPr>
      <w:rPr>
        <w:rFonts w:ascii="Century Gothic" w:eastAsia="Century Gothic" w:hAnsi="Century Gothic" w:cs="Century Gothic"/>
        <w:color w:val="000000"/>
        <w:position w:val="0"/>
        <w:sz w:val="22"/>
        <w:szCs w:val="22"/>
        <w:u w:color="000000"/>
      </w:rPr>
    </w:lvl>
    <w:lvl w:ilvl="4">
      <w:start w:val="1"/>
      <w:numFmt w:val="lowerLetter"/>
      <w:lvlText w:val="%5."/>
      <w:lvlJc w:val="left"/>
      <w:pPr>
        <w:tabs>
          <w:tab w:val="num" w:pos="3570"/>
        </w:tabs>
        <w:ind w:left="3570" w:hanging="330"/>
      </w:pPr>
      <w:rPr>
        <w:rFonts w:ascii="Century Gothic" w:eastAsia="Century Gothic" w:hAnsi="Century Gothic" w:cs="Century Gothic"/>
        <w:color w:val="000000"/>
        <w:position w:val="0"/>
        <w:sz w:val="22"/>
        <w:szCs w:val="22"/>
        <w:u w:color="000000"/>
      </w:rPr>
    </w:lvl>
    <w:lvl w:ilvl="5">
      <w:start w:val="1"/>
      <w:numFmt w:val="lowerRoman"/>
      <w:lvlText w:val="%6."/>
      <w:lvlJc w:val="left"/>
      <w:pPr>
        <w:tabs>
          <w:tab w:val="num" w:pos="4295"/>
        </w:tabs>
        <w:ind w:left="4295" w:hanging="271"/>
      </w:pPr>
      <w:rPr>
        <w:rFonts w:ascii="Century Gothic" w:eastAsia="Century Gothic" w:hAnsi="Century Gothic" w:cs="Century Gothic"/>
        <w:color w:val="000000"/>
        <w:position w:val="0"/>
        <w:sz w:val="22"/>
        <w:szCs w:val="22"/>
        <w:u w:color="000000"/>
      </w:rPr>
    </w:lvl>
    <w:lvl w:ilvl="6">
      <w:start w:val="1"/>
      <w:numFmt w:val="decimal"/>
      <w:lvlText w:val="%7."/>
      <w:lvlJc w:val="left"/>
      <w:pPr>
        <w:tabs>
          <w:tab w:val="num" w:pos="5010"/>
        </w:tabs>
        <w:ind w:left="5010" w:hanging="330"/>
      </w:pPr>
      <w:rPr>
        <w:rFonts w:ascii="Century Gothic" w:eastAsia="Century Gothic" w:hAnsi="Century Gothic" w:cs="Century Gothic"/>
        <w:color w:val="000000"/>
        <w:position w:val="0"/>
        <w:sz w:val="22"/>
        <w:szCs w:val="22"/>
        <w:u w:color="000000"/>
      </w:rPr>
    </w:lvl>
    <w:lvl w:ilvl="7">
      <w:start w:val="1"/>
      <w:numFmt w:val="lowerLetter"/>
      <w:lvlText w:val="%8."/>
      <w:lvlJc w:val="left"/>
      <w:pPr>
        <w:tabs>
          <w:tab w:val="num" w:pos="5730"/>
        </w:tabs>
        <w:ind w:left="5730" w:hanging="330"/>
      </w:pPr>
      <w:rPr>
        <w:rFonts w:ascii="Century Gothic" w:eastAsia="Century Gothic" w:hAnsi="Century Gothic" w:cs="Century Gothic"/>
        <w:color w:val="000000"/>
        <w:position w:val="0"/>
        <w:sz w:val="22"/>
        <w:szCs w:val="22"/>
        <w:u w:color="000000"/>
      </w:rPr>
    </w:lvl>
    <w:lvl w:ilvl="8">
      <w:start w:val="1"/>
      <w:numFmt w:val="lowerRoman"/>
      <w:lvlText w:val="%9."/>
      <w:lvlJc w:val="left"/>
      <w:pPr>
        <w:tabs>
          <w:tab w:val="num" w:pos="6455"/>
        </w:tabs>
        <w:ind w:left="6455" w:hanging="271"/>
      </w:pPr>
      <w:rPr>
        <w:rFonts w:ascii="Century Gothic" w:eastAsia="Century Gothic" w:hAnsi="Century Gothic" w:cs="Century Gothic"/>
        <w:color w:val="000000"/>
        <w:position w:val="0"/>
        <w:sz w:val="22"/>
        <w:szCs w:val="22"/>
        <w:u w:color="000000"/>
      </w:rPr>
    </w:lvl>
  </w:abstractNum>
  <w:num w:numId="1">
    <w:abstractNumId w:val="9"/>
  </w:num>
  <w:num w:numId="2">
    <w:abstractNumId w:val="35"/>
  </w:num>
  <w:num w:numId="3">
    <w:abstractNumId w:val="13"/>
  </w:num>
  <w:num w:numId="4">
    <w:abstractNumId w:val="16"/>
  </w:num>
  <w:num w:numId="5">
    <w:abstractNumId w:val="21"/>
  </w:num>
  <w:num w:numId="6">
    <w:abstractNumId w:val="1"/>
  </w:num>
  <w:num w:numId="7">
    <w:abstractNumId w:val="30"/>
  </w:num>
  <w:num w:numId="8">
    <w:abstractNumId w:val="26"/>
  </w:num>
  <w:num w:numId="9">
    <w:abstractNumId w:val="3"/>
  </w:num>
  <w:num w:numId="10">
    <w:abstractNumId w:val="20"/>
  </w:num>
  <w:num w:numId="11">
    <w:abstractNumId w:val="36"/>
  </w:num>
  <w:num w:numId="12">
    <w:abstractNumId w:val="33"/>
  </w:num>
  <w:num w:numId="13">
    <w:abstractNumId w:val="41"/>
  </w:num>
  <w:num w:numId="14">
    <w:abstractNumId w:val="34"/>
  </w:num>
  <w:num w:numId="15">
    <w:abstractNumId w:val="19"/>
  </w:num>
  <w:num w:numId="16">
    <w:abstractNumId w:val="27"/>
  </w:num>
  <w:num w:numId="17">
    <w:abstractNumId w:val="12"/>
  </w:num>
  <w:num w:numId="18">
    <w:abstractNumId w:val="2"/>
  </w:num>
  <w:num w:numId="19">
    <w:abstractNumId w:val="24"/>
  </w:num>
  <w:num w:numId="20">
    <w:abstractNumId w:val="4"/>
  </w:num>
  <w:num w:numId="21">
    <w:abstractNumId w:val="32"/>
  </w:num>
  <w:num w:numId="22">
    <w:abstractNumId w:val="14"/>
  </w:num>
  <w:num w:numId="23">
    <w:abstractNumId w:val="10"/>
  </w:num>
  <w:num w:numId="24">
    <w:abstractNumId w:val="23"/>
  </w:num>
  <w:num w:numId="25">
    <w:abstractNumId w:val="6"/>
  </w:num>
  <w:num w:numId="26">
    <w:abstractNumId w:val="25"/>
  </w:num>
  <w:num w:numId="27">
    <w:abstractNumId w:val="17"/>
  </w:num>
  <w:num w:numId="28">
    <w:abstractNumId w:val="37"/>
  </w:num>
  <w:num w:numId="29">
    <w:abstractNumId w:val="38"/>
  </w:num>
  <w:num w:numId="30">
    <w:abstractNumId w:val="8"/>
  </w:num>
  <w:num w:numId="31">
    <w:abstractNumId w:val="39"/>
  </w:num>
  <w:num w:numId="32">
    <w:abstractNumId w:val="5"/>
  </w:num>
  <w:num w:numId="33">
    <w:abstractNumId w:val="22"/>
  </w:num>
  <w:num w:numId="34">
    <w:abstractNumId w:val="11"/>
  </w:num>
  <w:num w:numId="35">
    <w:abstractNumId w:val="0"/>
  </w:num>
  <w:num w:numId="36">
    <w:abstractNumId w:val="28"/>
  </w:num>
  <w:num w:numId="37">
    <w:abstractNumId w:val="40"/>
  </w:num>
  <w:num w:numId="38">
    <w:abstractNumId w:val="15"/>
  </w:num>
  <w:num w:numId="39">
    <w:abstractNumId w:val="29"/>
  </w:num>
  <w:num w:numId="40">
    <w:abstractNumId w:val="18"/>
  </w:num>
  <w:num w:numId="41">
    <w:abstractNumId w:val="31"/>
  </w:num>
  <w:num w:numId="42">
    <w:abstractNumId w:val="7"/>
  </w:num>
  <w:num w:numId="43">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37"/>
    <w:rsid w:val="00000B52"/>
    <w:rsid w:val="000021DF"/>
    <w:rsid w:val="000064C6"/>
    <w:rsid w:val="00011190"/>
    <w:rsid w:val="000133FA"/>
    <w:rsid w:val="000156D0"/>
    <w:rsid w:val="00015C58"/>
    <w:rsid w:val="000163EB"/>
    <w:rsid w:val="000167DB"/>
    <w:rsid w:val="00017187"/>
    <w:rsid w:val="00020EFE"/>
    <w:rsid w:val="00022314"/>
    <w:rsid w:val="00022339"/>
    <w:rsid w:val="00024D7C"/>
    <w:rsid w:val="00025FBD"/>
    <w:rsid w:val="0002666B"/>
    <w:rsid w:val="00026D77"/>
    <w:rsid w:val="00026DB7"/>
    <w:rsid w:val="000273BB"/>
    <w:rsid w:val="0002763D"/>
    <w:rsid w:val="00030F1E"/>
    <w:rsid w:val="000311D1"/>
    <w:rsid w:val="00033E3A"/>
    <w:rsid w:val="00036F86"/>
    <w:rsid w:val="0003715F"/>
    <w:rsid w:val="000401AA"/>
    <w:rsid w:val="000426FA"/>
    <w:rsid w:val="00042790"/>
    <w:rsid w:val="00044402"/>
    <w:rsid w:val="0004450D"/>
    <w:rsid w:val="00044FCF"/>
    <w:rsid w:val="000456C2"/>
    <w:rsid w:val="0005058F"/>
    <w:rsid w:val="000526C4"/>
    <w:rsid w:val="00052FBB"/>
    <w:rsid w:val="0005498E"/>
    <w:rsid w:val="00056844"/>
    <w:rsid w:val="000577C0"/>
    <w:rsid w:val="00057C6F"/>
    <w:rsid w:val="00064DE3"/>
    <w:rsid w:val="00064FEA"/>
    <w:rsid w:val="00067ECF"/>
    <w:rsid w:val="00071AB1"/>
    <w:rsid w:val="00071BB7"/>
    <w:rsid w:val="00073382"/>
    <w:rsid w:val="0007775A"/>
    <w:rsid w:val="00077F58"/>
    <w:rsid w:val="000808AB"/>
    <w:rsid w:val="00081C80"/>
    <w:rsid w:val="00081D64"/>
    <w:rsid w:val="0008230D"/>
    <w:rsid w:val="0008274E"/>
    <w:rsid w:val="00082A61"/>
    <w:rsid w:val="000845EB"/>
    <w:rsid w:val="0008469B"/>
    <w:rsid w:val="000855DE"/>
    <w:rsid w:val="00085672"/>
    <w:rsid w:val="00087175"/>
    <w:rsid w:val="000875FF"/>
    <w:rsid w:val="00087B32"/>
    <w:rsid w:val="000913C0"/>
    <w:rsid w:val="00092877"/>
    <w:rsid w:val="0009459E"/>
    <w:rsid w:val="00094C07"/>
    <w:rsid w:val="0009555E"/>
    <w:rsid w:val="000957F1"/>
    <w:rsid w:val="0009617B"/>
    <w:rsid w:val="0009769C"/>
    <w:rsid w:val="00097959"/>
    <w:rsid w:val="00097E60"/>
    <w:rsid w:val="000A1BC3"/>
    <w:rsid w:val="000A2781"/>
    <w:rsid w:val="000A459C"/>
    <w:rsid w:val="000A6553"/>
    <w:rsid w:val="000A678B"/>
    <w:rsid w:val="000A6A0F"/>
    <w:rsid w:val="000A75D7"/>
    <w:rsid w:val="000A7BA0"/>
    <w:rsid w:val="000B039F"/>
    <w:rsid w:val="000B0B88"/>
    <w:rsid w:val="000B3E37"/>
    <w:rsid w:val="000B4186"/>
    <w:rsid w:val="000B4D22"/>
    <w:rsid w:val="000B7284"/>
    <w:rsid w:val="000C0448"/>
    <w:rsid w:val="000C063F"/>
    <w:rsid w:val="000C19B7"/>
    <w:rsid w:val="000C2D1B"/>
    <w:rsid w:val="000C2F71"/>
    <w:rsid w:val="000C3AF8"/>
    <w:rsid w:val="000C3B4A"/>
    <w:rsid w:val="000C4989"/>
    <w:rsid w:val="000C4A53"/>
    <w:rsid w:val="000C5226"/>
    <w:rsid w:val="000C5570"/>
    <w:rsid w:val="000C58DB"/>
    <w:rsid w:val="000C5915"/>
    <w:rsid w:val="000D003B"/>
    <w:rsid w:val="000D346D"/>
    <w:rsid w:val="000E0905"/>
    <w:rsid w:val="000E2B2D"/>
    <w:rsid w:val="000E4432"/>
    <w:rsid w:val="000F0362"/>
    <w:rsid w:val="000F3805"/>
    <w:rsid w:val="000F549E"/>
    <w:rsid w:val="000F5B25"/>
    <w:rsid w:val="001038F6"/>
    <w:rsid w:val="00103BF4"/>
    <w:rsid w:val="001044F1"/>
    <w:rsid w:val="001044F6"/>
    <w:rsid w:val="001046AD"/>
    <w:rsid w:val="001047E3"/>
    <w:rsid w:val="00107170"/>
    <w:rsid w:val="001077E5"/>
    <w:rsid w:val="001104ED"/>
    <w:rsid w:val="00111D65"/>
    <w:rsid w:val="0011481B"/>
    <w:rsid w:val="0011519F"/>
    <w:rsid w:val="0012450E"/>
    <w:rsid w:val="0012481E"/>
    <w:rsid w:val="00125824"/>
    <w:rsid w:val="00125EF1"/>
    <w:rsid w:val="001267A2"/>
    <w:rsid w:val="001309A7"/>
    <w:rsid w:val="00130EE6"/>
    <w:rsid w:val="001324B6"/>
    <w:rsid w:val="00132BB1"/>
    <w:rsid w:val="001365B0"/>
    <w:rsid w:val="001375E0"/>
    <w:rsid w:val="00140001"/>
    <w:rsid w:val="00140703"/>
    <w:rsid w:val="00143FD3"/>
    <w:rsid w:val="001447B8"/>
    <w:rsid w:val="0014492C"/>
    <w:rsid w:val="00146D95"/>
    <w:rsid w:val="00147A16"/>
    <w:rsid w:val="001511A5"/>
    <w:rsid w:val="001519C4"/>
    <w:rsid w:val="00152098"/>
    <w:rsid w:val="00152C3A"/>
    <w:rsid w:val="0015577A"/>
    <w:rsid w:val="0015716B"/>
    <w:rsid w:val="0015761D"/>
    <w:rsid w:val="00157C37"/>
    <w:rsid w:val="00157CC0"/>
    <w:rsid w:val="00161333"/>
    <w:rsid w:val="0016162D"/>
    <w:rsid w:val="00164105"/>
    <w:rsid w:val="00167483"/>
    <w:rsid w:val="0016761C"/>
    <w:rsid w:val="001733FE"/>
    <w:rsid w:val="0017421B"/>
    <w:rsid w:val="00176274"/>
    <w:rsid w:val="001767C2"/>
    <w:rsid w:val="00176E97"/>
    <w:rsid w:val="001771A2"/>
    <w:rsid w:val="001772FA"/>
    <w:rsid w:val="00177347"/>
    <w:rsid w:val="00180AAF"/>
    <w:rsid w:val="001817A2"/>
    <w:rsid w:val="001818EF"/>
    <w:rsid w:val="0018528B"/>
    <w:rsid w:val="00185690"/>
    <w:rsid w:val="00186593"/>
    <w:rsid w:val="00187256"/>
    <w:rsid w:val="00187642"/>
    <w:rsid w:val="00193B3F"/>
    <w:rsid w:val="00194C97"/>
    <w:rsid w:val="00195CD0"/>
    <w:rsid w:val="001966ED"/>
    <w:rsid w:val="001A29B1"/>
    <w:rsid w:val="001A3497"/>
    <w:rsid w:val="001A4AE6"/>
    <w:rsid w:val="001A503A"/>
    <w:rsid w:val="001A621D"/>
    <w:rsid w:val="001B0F3E"/>
    <w:rsid w:val="001B162E"/>
    <w:rsid w:val="001B36B2"/>
    <w:rsid w:val="001B4299"/>
    <w:rsid w:val="001B4800"/>
    <w:rsid w:val="001B55C1"/>
    <w:rsid w:val="001B56B9"/>
    <w:rsid w:val="001B5823"/>
    <w:rsid w:val="001B6FCF"/>
    <w:rsid w:val="001C552C"/>
    <w:rsid w:val="001C6F53"/>
    <w:rsid w:val="001D0595"/>
    <w:rsid w:val="001D09A7"/>
    <w:rsid w:val="001D1D61"/>
    <w:rsid w:val="001D36D0"/>
    <w:rsid w:val="001D654B"/>
    <w:rsid w:val="001D7AA0"/>
    <w:rsid w:val="001E0A0F"/>
    <w:rsid w:val="001E29B2"/>
    <w:rsid w:val="001E4DF1"/>
    <w:rsid w:val="001E561A"/>
    <w:rsid w:val="001E5D94"/>
    <w:rsid w:val="001E6A40"/>
    <w:rsid w:val="001E7836"/>
    <w:rsid w:val="001E7C1E"/>
    <w:rsid w:val="001F1151"/>
    <w:rsid w:val="001F3322"/>
    <w:rsid w:val="001F36D2"/>
    <w:rsid w:val="001F7217"/>
    <w:rsid w:val="001F7961"/>
    <w:rsid w:val="0020395E"/>
    <w:rsid w:val="002044E0"/>
    <w:rsid w:val="00204661"/>
    <w:rsid w:val="00204735"/>
    <w:rsid w:val="0020556E"/>
    <w:rsid w:val="00211696"/>
    <w:rsid w:val="00213466"/>
    <w:rsid w:val="002147A3"/>
    <w:rsid w:val="00215C69"/>
    <w:rsid w:val="0021690C"/>
    <w:rsid w:val="002201E2"/>
    <w:rsid w:val="0022421D"/>
    <w:rsid w:val="0022425D"/>
    <w:rsid w:val="002245D0"/>
    <w:rsid w:val="00224F0F"/>
    <w:rsid w:val="00230F61"/>
    <w:rsid w:val="00231008"/>
    <w:rsid w:val="002320AE"/>
    <w:rsid w:val="00233F60"/>
    <w:rsid w:val="00234E9A"/>
    <w:rsid w:val="00235B17"/>
    <w:rsid w:val="00240D64"/>
    <w:rsid w:val="002418B1"/>
    <w:rsid w:val="0024207E"/>
    <w:rsid w:val="00245305"/>
    <w:rsid w:val="00246AB5"/>
    <w:rsid w:val="00246BA6"/>
    <w:rsid w:val="0025103B"/>
    <w:rsid w:val="002511DB"/>
    <w:rsid w:val="0025282E"/>
    <w:rsid w:val="0025307B"/>
    <w:rsid w:val="0025342C"/>
    <w:rsid w:val="00253629"/>
    <w:rsid w:val="00254794"/>
    <w:rsid w:val="00254CE8"/>
    <w:rsid w:val="00260247"/>
    <w:rsid w:val="00261E9C"/>
    <w:rsid w:val="00263805"/>
    <w:rsid w:val="00265673"/>
    <w:rsid w:val="00265B94"/>
    <w:rsid w:val="0026627D"/>
    <w:rsid w:val="002676CD"/>
    <w:rsid w:val="00267A3C"/>
    <w:rsid w:val="00267AFF"/>
    <w:rsid w:val="0027002A"/>
    <w:rsid w:val="00270E77"/>
    <w:rsid w:val="00270ED6"/>
    <w:rsid w:val="00273984"/>
    <w:rsid w:val="002746DF"/>
    <w:rsid w:val="002757D8"/>
    <w:rsid w:val="0027613E"/>
    <w:rsid w:val="0028121A"/>
    <w:rsid w:val="00282BE6"/>
    <w:rsid w:val="00283C18"/>
    <w:rsid w:val="0028438F"/>
    <w:rsid w:val="00285684"/>
    <w:rsid w:val="002858C5"/>
    <w:rsid w:val="00287ECA"/>
    <w:rsid w:val="002914FF"/>
    <w:rsid w:val="00291AE9"/>
    <w:rsid w:val="00293C8E"/>
    <w:rsid w:val="002944DD"/>
    <w:rsid w:val="00294ADC"/>
    <w:rsid w:val="002955B7"/>
    <w:rsid w:val="00297403"/>
    <w:rsid w:val="002976DD"/>
    <w:rsid w:val="002A39F8"/>
    <w:rsid w:val="002A3BEE"/>
    <w:rsid w:val="002B04C2"/>
    <w:rsid w:val="002B0F56"/>
    <w:rsid w:val="002B16C6"/>
    <w:rsid w:val="002B1F0C"/>
    <w:rsid w:val="002B2299"/>
    <w:rsid w:val="002B2EFD"/>
    <w:rsid w:val="002B64D7"/>
    <w:rsid w:val="002B77CF"/>
    <w:rsid w:val="002C121F"/>
    <w:rsid w:val="002C1939"/>
    <w:rsid w:val="002C199A"/>
    <w:rsid w:val="002C2B70"/>
    <w:rsid w:val="002C4404"/>
    <w:rsid w:val="002C5249"/>
    <w:rsid w:val="002C6462"/>
    <w:rsid w:val="002C7405"/>
    <w:rsid w:val="002C7EF5"/>
    <w:rsid w:val="002C7F5A"/>
    <w:rsid w:val="002D0E7B"/>
    <w:rsid w:val="002D1359"/>
    <w:rsid w:val="002D699C"/>
    <w:rsid w:val="002D69E0"/>
    <w:rsid w:val="002D7F79"/>
    <w:rsid w:val="002E1C20"/>
    <w:rsid w:val="002E2C15"/>
    <w:rsid w:val="002E31DB"/>
    <w:rsid w:val="002E3598"/>
    <w:rsid w:val="002E367E"/>
    <w:rsid w:val="002E4405"/>
    <w:rsid w:val="002E4A42"/>
    <w:rsid w:val="002E6ECA"/>
    <w:rsid w:val="002E7E1B"/>
    <w:rsid w:val="002F1E75"/>
    <w:rsid w:val="002F3F15"/>
    <w:rsid w:val="002F5E8E"/>
    <w:rsid w:val="002F683E"/>
    <w:rsid w:val="0030107C"/>
    <w:rsid w:val="00302651"/>
    <w:rsid w:val="003053B4"/>
    <w:rsid w:val="00305C92"/>
    <w:rsid w:val="00306418"/>
    <w:rsid w:val="003065F9"/>
    <w:rsid w:val="00306ACF"/>
    <w:rsid w:val="00307035"/>
    <w:rsid w:val="00307125"/>
    <w:rsid w:val="00307878"/>
    <w:rsid w:val="00312890"/>
    <w:rsid w:val="00312E8C"/>
    <w:rsid w:val="003204E6"/>
    <w:rsid w:val="00320711"/>
    <w:rsid w:val="00322B77"/>
    <w:rsid w:val="0032372C"/>
    <w:rsid w:val="0032450F"/>
    <w:rsid w:val="003247C1"/>
    <w:rsid w:val="00326E82"/>
    <w:rsid w:val="00330A24"/>
    <w:rsid w:val="00331145"/>
    <w:rsid w:val="00335B08"/>
    <w:rsid w:val="00335B16"/>
    <w:rsid w:val="00336B19"/>
    <w:rsid w:val="0034124B"/>
    <w:rsid w:val="00342A6C"/>
    <w:rsid w:val="00343C90"/>
    <w:rsid w:val="00343E08"/>
    <w:rsid w:val="00344AA0"/>
    <w:rsid w:val="003457FA"/>
    <w:rsid w:val="0034689B"/>
    <w:rsid w:val="003502EF"/>
    <w:rsid w:val="0035167C"/>
    <w:rsid w:val="00356A1E"/>
    <w:rsid w:val="0035792B"/>
    <w:rsid w:val="0036009F"/>
    <w:rsid w:val="00360F53"/>
    <w:rsid w:val="003627B5"/>
    <w:rsid w:val="00363219"/>
    <w:rsid w:val="003646A1"/>
    <w:rsid w:val="00365499"/>
    <w:rsid w:val="003738E1"/>
    <w:rsid w:val="003739EF"/>
    <w:rsid w:val="00374877"/>
    <w:rsid w:val="00380092"/>
    <w:rsid w:val="00380220"/>
    <w:rsid w:val="00380318"/>
    <w:rsid w:val="00382A82"/>
    <w:rsid w:val="00383516"/>
    <w:rsid w:val="003836A6"/>
    <w:rsid w:val="0038570E"/>
    <w:rsid w:val="00391F73"/>
    <w:rsid w:val="00393BFD"/>
    <w:rsid w:val="00394CA8"/>
    <w:rsid w:val="00395C1F"/>
    <w:rsid w:val="003965C7"/>
    <w:rsid w:val="003A09C9"/>
    <w:rsid w:val="003A280C"/>
    <w:rsid w:val="003A2BDB"/>
    <w:rsid w:val="003A37D6"/>
    <w:rsid w:val="003A4796"/>
    <w:rsid w:val="003A4AF0"/>
    <w:rsid w:val="003A51EB"/>
    <w:rsid w:val="003A5639"/>
    <w:rsid w:val="003A705E"/>
    <w:rsid w:val="003B1EBE"/>
    <w:rsid w:val="003B6063"/>
    <w:rsid w:val="003C05E6"/>
    <w:rsid w:val="003C1FD9"/>
    <w:rsid w:val="003C2570"/>
    <w:rsid w:val="003C2F19"/>
    <w:rsid w:val="003C377C"/>
    <w:rsid w:val="003C69F1"/>
    <w:rsid w:val="003D0758"/>
    <w:rsid w:val="003D169B"/>
    <w:rsid w:val="003D34A3"/>
    <w:rsid w:val="003D3737"/>
    <w:rsid w:val="003D37CE"/>
    <w:rsid w:val="003D4785"/>
    <w:rsid w:val="003D5E67"/>
    <w:rsid w:val="003E0953"/>
    <w:rsid w:val="003E1F5A"/>
    <w:rsid w:val="003E294A"/>
    <w:rsid w:val="003E3DC5"/>
    <w:rsid w:val="003E4A22"/>
    <w:rsid w:val="003E5935"/>
    <w:rsid w:val="003E76C8"/>
    <w:rsid w:val="003F017F"/>
    <w:rsid w:val="003F05E1"/>
    <w:rsid w:val="003F287F"/>
    <w:rsid w:val="003F464C"/>
    <w:rsid w:val="003F506F"/>
    <w:rsid w:val="003F6AE7"/>
    <w:rsid w:val="003F739F"/>
    <w:rsid w:val="003F7800"/>
    <w:rsid w:val="00401D55"/>
    <w:rsid w:val="00402405"/>
    <w:rsid w:val="0040243A"/>
    <w:rsid w:val="00403FFB"/>
    <w:rsid w:val="00404CD8"/>
    <w:rsid w:val="00407D0B"/>
    <w:rsid w:val="00411211"/>
    <w:rsid w:val="00411761"/>
    <w:rsid w:val="00412220"/>
    <w:rsid w:val="00412D8B"/>
    <w:rsid w:val="00414CDF"/>
    <w:rsid w:val="004155DF"/>
    <w:rsid w:val="00416D1E"/>
    <w:rsid w:val="0041746B"/>
    <w:rsid w:val="00420AC0"/>
    <w:rsid w:val="0042391A"/>
    <w:rsid w:val="00426C45"/>
    <w:rsid w:val="0043045D"/>
    <w:rsid w:val="00431448"/>
    <w:rsid w:val="004340C6"/>
    <w:rsid w:val="00435CB7"/>
    <w:rsid w:val="00437DF3"/>
    <w:rsid w:val="00440422"/>
    <w:rsid w:val="00440546"/>
    <w:rsid w:val="00441315"/>
    <w:rsid w:val="0044654D"/>
    <w:rsid w:val="00447531"/>
    <w:rsid w:val="00452445"/>
    <w:rsid w:val="00453FBF"/>
    <w:rsid w:val="00454394"/>
    <w:rsid w:val="004547A1"/>
    <w:rsid w:val="00455E04"/>
    <w:rsid w:val="00456E65"/>
    <w:rsid w:val="00461685"/>
    <w:rsid w:val="00461D38"/>
    <w:rsid w:val="00462D58"/>
    <w:rsid w:val="004658B4"/>
    <w:rsid w:val="0046695C"/>
    <w:rsid w:val="00467A73"/>
    <w:rsid w:val="00470C26"/>
    <w:rsid w:val="00470E70"/>
    <w:rsid w:val="00471512"/>
    <w:rsid w:val="004757EA"/>
    <w:rsid w:val="00475E62"/>
    <w:rsid w:val="0048002A"/>
    <w:rsid w:val="00481C91"/>
    <w:rsid w:val="00481E05"/>
    <w:rsid w:val="00482377"/>
    <w:rsid w:val="00483F84"/>
    <w:rsid w:val="004843AA"/>
    <w:rsid w:val="00485760"/>
    <w:rsid w:val="004867B6"/>
    <w:rsid w:val="00490890"/>
    <w:rsid w:val="00490E86"/>
    <w:rsid w:val="0049177D"/>
    <w:rsid w:val="00491F5F"/>
    <w:rsid w:val="00493204"/>
    <w:rsid w:val="004934D2"/>
    <w:rsid w:val="00493892"/>
    <w:rsid w:val="004944CF"/>
    <w:rsid w:val="00495A5E"/>
    <w:rsid w:val="00495F8F"/>
    <w:rsid w:val="004A028D"/>
    <w:rsid w:val="004A0C75"/>
    <w:rsid w:val="004A1869"/>
    <w:rsid w:val="004A27BF"/>
    <w:rsid w:val="004A29E7"/>
    <w:rsid w:val="004A40AF"/>
    <w:rsid w:val="004A60E0"/>
    <w:rsid w:val="004B0117"/>
    <w:rsid w:val="004B2361"/>
    <w:rsid w:val="004B2C86"/>
    <w:rsid w:val="004B4821"/>
    <w:rsid w:val="004B6E17"/>
    <w:rsid w:val="004C10E6"/>
    <w:rsid w:val="004C1A0C"/>
    <w:rsid w:val="004C1C7F"/>
    <w:rsid w:val="004C4EE3"/>
    <w:rsid w:val="004C53C6"/>
    <w:rsid w:val="004D08BD"/>
    <w:rsid w:val="004D1432"/>
    <w:rsid w:val="004D2877"/>
    <w:rsid w:val="004D2F51"/>
    <w:rsid w:val="004D3149"/>
    <w:rsid w:val="004D3CAA"/>
    <w:rsid w:val="004D3E24"/>
    <w:rsid w:val="004D41B8"/>
    <w:rsid w:val="004D474F"/>
    <w:rsid w:val="004D6AC7"/>
    <w:rsid w:val="004E050E"/>
    <w:rsid w:val="004E0B25"/>
    <w:rsid w:val="004E1AEB"/>
    <w:rsid w:val="004E281D"/>
    <w:rsid w:val="004E2B04"/>
    <w:rsid w:val="004E4B05"/>
    <w:rsid w:val="004E55EA"/>
    <w:rsid w:val="004E6762"/>
    <w:rsid w:val="004F07E9"/>
    <w:rsid w:val="004F2366"/>
    <w:rsid w:val="004F2834"/>
    <w:rsid w:val="004F4C94"/>
    <w:rsid w:val="004F7454"/>
    <w:rsid w:val="00500DB4"/>
    <w:rsid w:val="00500EEC"/>
    <w:rsid w:val="005021E0"/>
    <w:rsid w:val="0050428B"/>
    <w:rsid w:val="00504298"/>
    <w:rsid w:val="00512E9D"/>
    <w:rsid w:val="00513DB0"/>
    <w:rsid w:val="0051407B"/>
    <w:rsid w:val="00514D1B"/>
    <w:rsid w:val="005170B5"/>
    <w:rsid w:val="0052242D"/>
    <w:rsid w:val="005240F9"/>
    <w:rsid w:val="005243FC"/>
    <w:rsid w:val="005261B6"/>
    <w:rsid w:val="00527DE8"/>
    <w:rsid w:val="00535B7F"/>
    <w:rsid w:val="00537D94"/>
    <w:rsid w:val="00540AA5"/>
    <w:rsid w:val="00540E7F"/>
    <w:rsid w:val="00541DF9"/>
    <w:rsid w:val="0054249E"/>
    <w:rsid w:val="005435BF"/>
    <w:rsid w:val="005451E1"/>
    <w:rsid w:val="00545A5C"/>
    <w:rsid w:val="0054655D"/>
    <w:rsid w:val="00552D37"/>
    <w:rsid w:val="00553181"/>
    <w:rsid w:val="005539CB"/>
    <w:rsid w:val="005556F9"/>
    <w:rsid w:val="0055595D"/>
    <w:rsid w:val="005567A6"/>
    <w:rsid w:val="00560185"/>
    <w:rsid w:val="00562880"/>
    <w:rsid w:val="00563894"/>
    <w:rsid w:val="00563C14"/>
    <w:rsid w:val="00563CFD"/>
    <w:rsid w:val="00566113"/>
    <w:rsid w:val="005670DE"/>
    <w:rsid w:val="00570524"/>
    <w:rsid w:val="005753B5"/>
    <w:rsid w:val="0057629B"/>
    <w:rsid w:val="00581079"/>
    <w:rsid w:val="005813B2"/>
    <w:rsid w:val="005814C6"/>
    <w:rsid w:val="00582AF4"/>
    <w:rsid w:val="00582FF5"/>
    <w:rsid w:val="00583117"/>
    <w:rsid w:val="005854F3"/>
    <w:rsid w:val="005925A7"/>
    <w:rsid w:val="00592DCF"/>
    <w:rsid w:val="0059301C"/>
    <w:rsid w:val="00593174"/>
    <w:rsid w:val="00594FE5"/>
    <w:rsid w:val="00595746"/>
    <w:rsid w:val="00595908"/>
    <w:rsid w:val="00596614"/>
    <w:rsid w:val="0059739E"/>
    <w:rsid w:val="005A07F6"/>
    <w:rsid w:val="005A2A63"/>
    <w:rsid w:val="005A39B8"/>
    <w:rsid w:val="005B1957"/>
    <w:rsid w:val="005B1C17"/>
    <w:rsid w:val="005B3396"/>
    <w:rsid w:val="005B5547"/>
    <w:rsid w:val="005C1658"/>
    <w:rsid w:val="005C2807"/>
    <w:rsid w:val="005C3054"/>
    <w:rsid w:val="005C3B57"/>
    <w:rsid w:val="005C64CE"/>
    <w:rsid w:val="005C67DF"/>
    <w:rsid w:val="005D04AD"/>
    <w:rsid w:val="005D0BE2"/>
    <w:rsid w:val="005D2687"/>
    <w:rsid w:val="005D2C62"/>
    <w:rsid w:val="005D3BD0"/>
    <w:rsid w:val="005D4B43"/>
    <w:rsid w:val="005D5C9F"/>
    <w:rsid w:val="005D6C37"/>
    <w:rsid w:val="005E16F7"/>
    <w:rsid w:val="005E23E9"/>
    <w:rsid w:val="005E290B"/>
    <w:rsid w:val="005E2E9D"/>
    <w:rsid w:val="005E4B06"/>
    <w:rsid w:val="005E4F53"/>
    <w:rsid w:val="005E5D84"/>
    <w:rsid w:val="005E6DF1"/>
    <w:rsid w:val="005F004D"/>
    <w:rsid w:val="005F0377"/>
    <w:rsid w:val="005F1B6D"/>
    <w:rsid w:val="005F1C3C"/>
    <w:rsid w:val="005F4672"/>
    <w:rsid w:val="005F4C7B"/>
    <w:rsid w:val="005F503D"/>
    <w:rsid w:val="005F51A7"/>
    <w:rsid w:val="005F6B21"/>
    <w:rsid w:val="005F6D2C"/>
    <w:rsid w:val="005F7BEE"/>
    <w:rsid w:val="0060216A"/>
    <w:rsid w:val="00602AE4"/>
    <w:rsid w:val="006038EA"/>
    <w:rsid w:val="006043C5"/>
    <w:rsid w:val="00606AD3"/>
    <w:rsid w:val="00607A6F"/>
    <w:rsid w:val="00612862"/>
    <w:rsid w:val="00612AD2"/>
    <w:rsid w:val="006155EE"/>
    <w:rsid w:val="00616F2A"/>
    <w:rsid w:val="00617651"/>
    <w:rsid w:val="00617EAA"/>
    <w:rsid w:val="006203ED"/>
    <w:rsid w:val="00622068"/>
    <w:rsid w:val="00623DA4"/>
    <w:rsid w:val="00624644"/>
    <w:rsid w:val="00625593"/>
    <w:rsid w:val="00625A1C"/>
    <w:rsid w:val="00625C48"/>
    <w:rsid w:val="006309C7"/>
    <w:rsid w:val="0063713C"/>
    <w:rsid w:val="0064063E"/>
    <w:rsid w:val="00640CB3"/>
    <w:rsid w:val="0064529B"/>
    <w:rsid w:val="0064542F"/>
    <w:rsid w:val="00647D87"/>
    <w:rsid w:val="00651721"/>
    <w:rsid w:val="00655029"/>
    <w:rsid w:val="006560F0"/>
    <w:rsid w:val="00657118"/>
    <w:rsid w:val="00657368"/>
    <w:rsid w:val="006575A5"/>
    <w:rsid w:val="00661D4C"/>
    <w:rsid w:val="006660AE"/>
    <w:rsid w:val="00666EB2"/>
    <w:rsid w:val="00672C8B"/>
    <w:rsid w:val="0067440E"/>
    <w:rsid w:val="0067631C"/>
    <w:rsid w:val="006764E2"/>
    <w:rsid w:val="00676B96"/>
    <w:rsid w:val="00676DA4"/>
    <w:rsid w:val="006800DD"/>
    <w:rsid w:val="006819DF"/>
    <w:rsid w:val="00684B97"/>
    <w:rsid w:val="0068597A"/>
    <w:rsid w:val="00690D80"/>
    <w:rsid w:val="00690F47"/>
    <w:rsid w:val="00692226"/>
    <w:rsid w:val="00693970"/>
    <w:rsid w:val="006943B9"/>
    <w:rsid w:val="00694FB6"/>
    <w:rsid w:val="006953CB"/>
    <w:rsid w:val="00695F0D"/>
    <w:rsid w:val="006A0857"/>
    <w:rsid w:val="006A3C89"/>
    <w:rsid w:val="006A5929"/>
    <w:rsid w:val="006B2960"/>
    <w:rsid w:val="006B3AD0"/>
    <w:rsid w:val="006B3AD1"/>
    <w:rsid w:val="006B3FFF"/>
    <w:rsid w:val="006B5990"/>
    <w:rsid w:val="006B66D5"/>
    <w:rsid w:val="006C1C15"/>
    <w:rsid w:val="006C342D"/>
    <w:rsid w:val="006C3B38"/>
    <w:rsid w:val="006C41F4"/>
    <w:rsid w:val="006C4DE4"/>
    <w:rsid w:val="006C617E"/>
    <w:rsid w:val="006D0E4B"/>
    <w:rsid w:val="006D2C6A"/>
    <w:rsid w:val="006D6D6D"/>
    <w:rsid w:val="006D7BDE"/>
    <w:rsid w:val="006E101D"/>
    <w:rsid w:val="006E311E"/>
    <w:rsid w:val="006E5648"/>
    <w:rsid w:val="006E5E4C"/>
    <w:rsid w:val="006E6327"/>
    <w:rsid w:val="006E66FD"/>
    <w:rsid w:val="006E7D54"/>
    <w:rsid w:val="006F008D"/>
    <w:rsid w:val="006F016E"/>
    <w:rsid w:val="006F1C81"/>
    <w:rsid w:val="006F1D09"/>
    <w:rsid w:val="006F3A7E"/>
    <w:rsid w:val="006F49DC"/>
    <w:rsid w:val="006F5E6F"/>
    <w:rsid w:val="006F73F1"/>
    <w:rsid w:val="007017FD"/>
    <w:rsid w:val="00702285"/>
    <w:rsid w:val="00703960"/>
    <w:rsid w:val="0070513B"/>
    <w:rsid w:val="00705A2F"/>
    <w:rsid w:val="00705EEB"/>
    <w:rsid w:val="00706670"/>
    <w:rsid w:val="00706FBE"/>
    <w:rsid w:val="007070A9"/>
    <w:rsid w:val="00707312"/>
    <w:rsid w:val="007103D9"/>
    <w:rsid w:val="00710BF6"/>
    <w:rsid w:val="00710FF2"/>
    <w:rsid w:val="007110A6"/>
    <w:rsid w:val="007115E2"/>
    <w:rsid w:val="00713289"/>
    <w:rsid w:val="00713320"/>
    <w:rsid w:val="007139F6"/>
    <w:rsid w:val="007159E9"/>
    <w:rsid w:val="00715A07"/>
    <w:rsid w:val="00715B8C"/>
    <w:rsid w:val="00716B48"/>
    <w:rsid w:val="00716B70"/>
    <w:rsid w:val="0072069F"/>
    <w:rsid w:val="007210BB"/>
    <w:rsid w:val="007220A3"/>
    <w:rsid w:val="00722290"/>
    <w:rsid w:val="00722DA3"/>
    <w:rsid w:val="007244A1"/>
    <w:rsid w:val="00725BBF"/>
    <w:rsid w:val="00727955"/>
    <w:rsid w:val="0073136C"/>
    <w:rsid w:val="007329F7"/>
    <w:rsid w:val="007342C2"/>
    <w:rsid w:val="00736BB6"/>
    <w:rsid w:val="0074140D"/>
    <w:rsid w:val="00742219"/>
    <w:rsid w:val="00743398"/>
    <w:rsid w:val="00745006"/>
    <w:rsid w:val="007459F6"/>
    <w:rsid w:val="0074639B"/>
    <w:rsid w:val="00746E71"/>
    <w:rsid w:val="007472B2"/>
    <w:rsid w:val="00753626"/>
    <w:rsid w:val="00754431"/>
    <w:rsid w:val="00754CE3"/>
    <w:rsid w:val="00755622"/>
    <w:rsid w:val="00755EC7"/>
    <w:rsid w:val="007567DD"/>
    <w:rsid w:val="00756C4B"/>
    <w:rsid w:val="00760DF1"/>
    <w:rsid w:val="007610B3"/>
    <w:rsid w:val="007616C5"/>
    <w:rsid w:val="007628AB"/>
    <w:rsid w:val="00763C06"/>
    <w:rsid w:val="00764510"/>
    <w:rsid w:val="00764726"/>
    <w:rsid w:val="00765BDA"/>
    <w:rsid w:val="00766988"/>
    <w:rsid w:val="007676E0"/>
    <w:rsid w:val="00773AEA"/>
    <w:rsid w:val="00774238"/>
    <w:rsid w:val="00776F76"/>
    <w:rsid w:val="00780062"/>
    <w:rsid w:val="00781BD3"/>
    <w:rsid w:val="00782D18"/>
    <w:rsid w:val="00784243"/>
    <w:rsid w:val="00785B5C"/>
    <w:rsid w:val="00785FD8"/>
    <w:rsid w:val="00787FFA"/>
    <w:rsid w:val="007922EF"/>
    <w:rsid w:val="00792A05"/>
    <w:rsid w:val="007933E3"/>
    <w:rsid w:val="0079531C"/>
    <w:rsid w:val="007959F3"/>
    <w:rsid w:val="00797F8A"/>
    <w:rsid w:val="007A125D"/>
    <w:rsid w:val="007A2E36"/>
    <w:rsid w:val="007A3E9B"/>
    <w:rsid w:val="007A56B3"/>
    <w:rsid w:val="007A6E6F"/>
    <w:rsid w:val="007B01E0"/>
    <w:rsid w:val="007B282D"/>
    <w:rsid w:val="007B3ADA"/>
    <w:rsid w:val="007B3E41"/>
    <w:rsid w:val="007B4772"/>
    <w:rsid w:val="007B61BF"/>
    <w:rsid w:val="007C0528"/>
    <w:rsid w:val="007C0994"/>
    <w:rsid w:val="007C229E"/>
    <w:rsid w:val="007C50D4"/>
    <w:rsid w:val="007C51F9"/>
    <w:rsid w:val="007C711B"/>
    <w:rsid w:val="007C74E7"/>
    <w:rsid w:val="007C7530"/>
    <w:rsid w:val="007D054A"/>
    <w:rsid w:val="007D23C3"/>
    <w:rsid w:val="007D2790"/>
    <w:rsid w:val="007D2B2E"/>
    <w:rsid w:val="007D3E6F"/>
    <w:rsid w:val="007D5612"/>
    <w:rsid w:val="007D6ACC"/>
    <w:rsid w:val="007D71E4"/>
    <w:rsid w:val="007E0219"/>
    <w:rsid w:val="007E0A1D"/>
    <w:rsid w:val="007E2ADA"/>
    <w:rsid w:val="007E3C7F"/>
    <w:rsid w:val="007E43DE"/>
    <w:rsid w:val="007E556E"/>
    <w:rsid w:val="007E5B67"/>
    <w:rsid w:val="007F0357"/>
    <w:rsid w:val="007F2FD7"/>
    <w:rsid w:val="007F39B5"/>
    <w:rsid w:val="007F6615"/>
    <w:rsid w:val="007F7CCD"/>
    <w:rsid w:val="0080110F"/>
    <w:rsid w:val="00801D9A"/>
    <w:rsid w:val="00802F8E"/>
    <w:rsid w:val="008030C5"/>
    <w:rsid w:val="00805243"/>
    <w:rsid w:val="00806D6E"/>
    <w:rsid w:val="00807E16"/>
    <w:rsid w:val="00813DCA"/>
    <w:rsid w:val="00815BE9"/>
    <w:rsid w:val="00816036"/>
    <w:rsid w:val="00816EC1"/>
    <w:rsid w:val="008203E1"/>
    <w:rsid w:val="00821974"/>
    <w:rsid w:val="008221F8"/>
    <w:rsid w:val="00822683"/>
    <w:rsid w:val="00822BB7"/>
    <w:rsid w:val="00826245"/>
    <w:rsid w:val="00827EDE"/>
    <w:rsid w:val="00831BE9"/>
    <w:rsid w:val="008333CA"/>
    <w:rsid w:val="0083351C"/>
    <w:rsid w:val="008344B8"/>
    <w:rsid w:val="00834D14"/>
    <w:rsid w:val="0083556B"/>
    <w:rsid w:val="0083594D"/>
    <w:rsid w:val="00836120"/>
    <w:rsid w:val="00843412"/>
    <w:rsid w:val="008451DE"/>
    <w:rsid w:val="00845205"/>
    <w:rsid w:val="00847DF8"/>
    <w:rsid w:val="00850134"/>
    <w:rsid w:val="0085060D"/>
    <w:rsid w:val="00850B98"/>
    <w:rsid w:val="00850CDE"/>
    <w:rsid w:val="00852043"/>
    <w:rsid w:val="0085373C"/>
    <w:rsid w:val="0085576D"/>
    <w:rsid w:val="008565B8"/>
    <w:rsid w:val="00856ABB"/>
    <w:rsid w:val="0085760C"/>
    <w:rsid w:val="0086214E"/>
    <w:rsid w:val="008629BA"/>
    <w:rsid w:val="00863344"/>
    <w:rsid w:val="0086428E"/>
    <w:rsid w:val="00867B8F"/>
    <w:rsid w:val="00870118"/>
    <w:rsid w:val="00870ACE"/>
    <w:rsid w:val="00871879"/>
    <w:rsid w:val="008727FC"/>
    <w:rsid w:val="00872DF7"/>
    <w:rsid w:val="008730D0"/>
    <w:rsid w:val="00874A47"/>
    <w:rsid w:val="00876564"/>
    <w:rsid w:val="008779C9"/>
    <w:rsid w:val="00880C55"/>
    <w:rsid w:val="0088219D"/>
    <w:rsid w:val="00882FA4"/>
    <w:rsid w:val="00882FCE"/>
    <w:rsid w:val="008832F0"/>
    <w:rsid w:val="008844BD"/>
    <w:rsid w:val="00884853"/>
    <w:rsid w:val="008868B1"/>
    <w:rsid w:val="00890BE1"/>
    <w:rsid w:val="008916E7"/>
    <w:rsid w:val="00892B19"/>
    <w:rsid w:val="00892CB8"/>
    <w:rsid w:val="00892DD7"/>
    <w:rsid w:val="008945E3"/>
    <w:rsid w:val="00894A03"/>
    <w:rsid w:val="008952EB"/>
    <w:rsid w:val="008A0738"/>
    <w:rsid w:val="008A1A3A"/>
    <w:rsid w:val="008A4800"/>
    <w:rsid w:val="008A57F2"/>
    <w:rsid w:val="008A64DF"/>
    <w:rsid w:val="008A6998"/>
    <w:rsid w:val="008B00BC"/>
    <w:rsid w:val="008B189A"/>
    <w:rsid w:val="008B1B2F"/>
    <w:rsid w:val="008B1BFD"/>
    <w:rsid w:val="008B3050"/>
    <w:rsid w:val="008B45F4"/>
    <w:rsid w:val="008B5FE7"/>
    <w:rsid w:val="008B66A4"/>
    <w:rsid w:val="008C15A7"/>
    <w:rsid w:val="008C19C9"/>
    <w:rsid w:val="008C276D"/>
    <w:rsid w:val="008C423E"/>
    <w:rsid w:val="008C47D2"/>
    <w:rsid w:val="008C67BC"/>
    <w:rsid w:val="008C7095"/>
    <w:rsid w:val="008C7662"/>
    <w:rsid w:val="008C7B86"/>
    <w:rsid w:val="008D0D48"/>
    <w:rsid w:val="008D121A"/>
    <w:rsid w:val="008D3DC4"/>
    <w:rsid w:val="008D57D8"/>
    <w:rsid w:val="008D5EBB"/>
    <w:rsid w:val="008D62F4"/>
    <w:rsid w:val="008D63EF"/>
    <w:rsid w:val="008D6DE8"/>
    <w:rsid w:val="008E0CB8"/>
    <w:rsid w:val="008E0CCD"/>
    <w:rsid w:val="008E1707"/>
    <w:rsid w:val="008E2026"/>
    <w:rsid w:val="008E4A93"/>
    <w:rsid w:val="008E509A"/>
    <w:rsid w:val="008E6642"/>
    <w:rsid w:val="008E6748"/>
    <w:rsid w:val="008E7881"/>
    <w:rsid w:val="008F1054"/>
    <w:rsid w:val="008F2C4E"/>
    <w:rsid w:val="008F2F14"/>
    <w:rsid w:val="008F3B7A"/>
    <w:rsid w:val="008F7B43"/>
    <w:rsid w:val="00900804"/>
    <w:rsid w:val="009033FC"/>
    <w:rsid w:val="00905326"/>
    <w:rsid w:val="00906428"/>
    <w:rsid w:val="00906984"/>
    <w:rsid w:val="00907A4B"/>
    <w:rsid w:val="00911342"/>
    <w:rsid w:val="0091187F"/>
    <w:rsid w:val="0091229B"/>
    <w:rsid w:val="00912713"/>
    <w:rsid w:val="009128BA"/>
    <w:rsid w:val="00913343"/>
    <w:rsid w:val="0091445E"/>
    <w:rsid w:val="0091488D"/>
    <w:rsid w:val="00915037"/>
    <w:rsid w:val="00916D14"/>
    <w:rsid w:val="00921A4A"/>
    <w:rsid w:val="00922502"/>
    <w:rsid w:val="00922A4B"/>
    <w:rsid w:val="0092336B"/>
    <w:rsid w:val="009247D0"/>
    <w:rsid w:val="00924829"/>
    <w:rsid w:val="00924D02"/>
    <w:rsid w:val="00926F6E"/>
    <w:rsid w:val="00927743"/>
    <w:rsid w:val="00930627"/>
    <w:rsid w:val="0093067F"/>
    <w:rsid w:val="009306CE"/>
    <w:rsid w:val="00930766"/>
    <w:rsid w:val="00932347"/>
    <w:rsid w:val="00932B70"/>
    <w:rsid w:val="0093371B"/>
    <w:rsid w:val="00933D8D"/>
    <w:rsid w:val="00936994"/>
    <w:rsid w:val="00937B97"/>
    <w:rsid w:val="00937DB1"/>
    <w:rsid w:val="00940782"/>
    <w:rsid w:val="00942224"/>
    <w:rsid w:val="0094660D"/>
    <w:rsid w:val="009470D0"/>
    <w:rsid w:val="0094776F"/>
    <w:rsid w:val="00953DA0"/>
    <w:rsid w:val="00955442"/>
    <w:rsid w:val="00955AFF"/>
    <w:rsid w:val="00955D40"/>
    <w:rsid w:val="0095660E"/>
    <w:rsid w:val="00957C15"/>
    <w:rsid w:val="00960106"/>
    <w:rsid w:val="00960A57"/>
    <w:rsid w:val="00960B2F"/>
    <w:rsid w:val="00962336"/>
    <w:rsid w:val="00964AD6"/>
    <w:rsid w:val="00965118"/>
    <w:rsid w:val="00967ED1"/>
    <w:rsid w:val="00970824"/>
    <w:rsid w:val="009714BC"/>
    <w:rsid w:val="009718C4"/>
    <w:rsid w:val="009721FE"/>
    <w:rsid w:val="009729C6"/>
    <w:rsid w:val="00973566"/>
    <w:rsid w:val="00973BD7"/>
    <w:rsid w:val="00974C2D"/>
    <w:rsid w:val="00976CC6"/>
    <w:rsid w:val="0097790C"/>
    <w:rsid w:val="00980BBC"/>
    <w:rsid w:val="00980D9B"/>
    <w:rsid w:val="00981118"/>
    <w:rsid w:val="009866E0"/>
    <w:rsid w:val="00986CBA"/>
    <w:rsid w:val="0099069A"/>
    <w:rsid w:val="00993D3B"/>
    <w:rsid w:val="009953DF"/>
    <w:rsid w:val="00997DED"/>
    <w:rsid w:val="009A341B"/>
    <w:rsid w:val="009A61B0"/>
    <w:rsid w:val="009B07A2"/>
    <w:rsid w:val="009B174B"/>
    <w:rsid w:val="009B2099"/>
    <w:rsid w:val="009B4144"/>
    <w:rsid w:val="009B4384"/>
    <w:rsid w:val="009B50BE"/>
    <w:rsid w:val="009B5C69"/>
    <w:rsid w:val="009B6A3D"/>
    <w:rsid w:val="009B7028"/>
    <w:rsid w:val="009C0EF5"/>
    <w:rsid w:val="009C4971"/>
    <w:rsid w:val="009C5B0E"/>
    <w:rsid w:val="009C684D"/>
    <w:rsid w:val="009C6A10"/>
    <w:rsid w:val="009D2217"/>
    <w:rsid w:val="009D3086"/>
    <w:rsid w:val="009D63A7"/>
    <w:rsid w:val="009D672F"/>
    <w:rsid w:val="009D7F35"/>
    <w:rsid w:val="009E301B"/>
    <w:rsid w:val="009E3EE2"/>
    <w:rsid w:val="009E433F"/>
    <w:rsid w:val="009E7EFF"/>
    <w:rsid w:val="009F307A"/>
    <w:rsid w:val="009F34B9"/>
    <w:rsid w:val="009F39B6"/>
    <w:rsid w:val="009F4616"/>
    <w:rsid w:val="009F4617"/>
    <w:rsid w:val="009F53D5"/>
    <w:rsid w:val="00A00853"/>
    <w:rsid w:val="00A023F3"/>
    <w:rsid w:val="00A042EC"/>
    <w:rsid w:val="00A04CE5"/>
    <w:rsid w:val="00A06234"/>
    <w:rsid w:val="00A070C0"/>
    <w:rsid w:val="00A07829"/>
    <w:rsid w:val="00A10801"/>
    <w:rsid w:val="00A10C1A"/>
    <w:rsid w:val="00A2096D"/>
    <w:rsid w:val="00A20B97"/>
    <w:rsid w:val="00A21D42"/>
    <w:rsid w:val="00A22354"/>
    <w:rsid w:val="00A225D4"/>
    <w:rsid w:val="00A24642"/>
    <w:rsid w:val="00A24F6D"/>
    <w:rsid w:val="00A25796"/>
    <w:rsid w:val="00A2740B"/>
    <w:rsid w:val="00A27FC0"/>
    <w:rsid w:val="00A316A2"/>
    <w:rsid w:val="00A336D0"/>
    <w:rsid w:val="00A33AED"/>
    <w:rsid w:val="00A34356"/>
    <w:rsid w:val="00A34BF7"/>
    <w:rsid w:val="00A356FF"/>
    <w:rsid w:val="00A360B2"/>
    <w:rsid w:val="00A3692A"/>
    <w:rsid w:val="00A36960"/>
    <w:rsid w:val="00A36AA8"/>
    <w:rsid w:val="00A37BB0"/>
    <w:rsid w:val="00A37D70"/>
    <w:rsid w:val="00A37E71"/>
    <w:rsid w:val="00A405FD"/>
    <w:rsid w:val="00A4107A"/>
    <w:rsid w:val="00A41484"/>
    <w:rsid w:val="00A41698"/>
    <w:rsid w:val="00A4297C"/>
    <w:rsid w:val="00A42BE7"/>
    <w:rsid w:val="00A435DB"/>
    <w:rsid w:val="00A44427"/>
    <w:rsid w:val="00A4449F"/>
    <w:rsid w:val="00A45EF4"/>
    <w:rsid w:val="00A4720B"/>
    <w:rsid w:val="00A52732"/>
    <w:rsid w:val="00A528FA"/>
    <w:rsid w:val="00A55FE1"/>
    <w:rsid w:val="00A57336"/>
    <w:rsid w:val="00A629C7"/>
    <w:rsid w:val="00A6438E"/>
    <w:rsid w:val="00A648E1"/>
    <w:rsid w:val="00A668F3"/>
    <w:rsid w:val="00A729FF"/>
    <w:rsid w:val="00A7329F"/>
    <w:rsid w:val="00A80956"/>
    <w:rsid w:val="00A825BB"/>
    <w:rsid w:val="00A8404B"/>
    <w:rsid w:val="00A851E5"/>
    <w:rsid w:val="00A86940"/>
    <w:rsid w:val="00A904E6"/>
    <w:rsid w:val="00A904F8"/>
    <w:rsid w:val="00A90A29"/>
    <w:rsid w:val="00A91D5A"/>
    <w:rsid w:val="00A95266"/>
    <w:rsid w:val="00A9561F"/>
    <w:rsid w:val="00A95850"/>
    <w:rsid w:val="00AA41CB"/>
    <w:rsid w:val="00AA432E"/>
    <w:rsid w:val="00AA7581"/>
    <w:rsid w:val="00AA758E"/>
    <w:rsid w:val="00AB0EC4"/>
    <w:rsid w:val="00AB1200"/>
    <w:rsid w:val="00AB12F6"/>
    <w:rsid w:val="00AB185B"/>
    <w:rsid w:val="00AB6314"/>
    <w:rsid w:val="00AB6618"/>
    <w:rsid w:val="00AB7033"/>
    <w:rsid w:val="00AC1F89"/>
    <w:rsid w:val="00AC362C"/>
    <w:rsid w:val="00AC5367"/>
    <w:rsid w:val="00AC58E9"/>
    <w:rsid w:val="00AC700F"/>
    <w:rsid w:val="00AD2E09"/>
    <w:rsid w:val="00AD3B12"/>
    <w:rsid w:val="00AD5729"/>
    <w:rsid w:val="00AD6404"/>
    <w:rsid w:val="00AD64BF"/>
    <w:rsid w:val="00AD7B91"/>
    <w:rsid w:val="00AE00D7"/>
    <w:rsid w:val="00AE6368"/>
    <w:rsid w:val="00AF0058"/>
    <w:rsid w:val="00AF0135"/>
    <w:rsid w:val="00AF0CCF"/>
    <w:rsid w:val="00AF1D49"/>
    <w:rsid w:val="00AF2160"/>
    <w:rsid w:val="00AF2BBA"/>
    <w:rsid w:val="00AF2C3D"/>
    <w:rsid w:val="00AF4A2C"/>
    <w:rsid w:val="00AF55EE"/>
    <w:rsid w:val="00B00CF1"/>
    <w:rsid w:val="00B028D1"/>
    <w:rsid w:val="00B0334F"/>
    <w:rsid w:val="00B03352"/>
    <w:rsid w:val="00B051D1"/>
    <w:rsid w:val="00B05480"/>
    <w:rsid w:val="00B07E53"/>
    <w:rsid w:val="00B111CC"/>
    <w:rsid w:val="00B12644"/>
    <w:rsid w:val="00B134C4"/>
    <w:rsid w:val="00B1396A"/>
    <w:rsid w:val="00B13F9A"/>
    <w:rsid w:val="00B141BB"/>
    <w:rsid w:val="00B14C1E"/>
    <w:rsid w:val="00B171E9"/>
    <w:rsid w:val="00B20830"/>
    <w:rsid w:val="00B235CD"/>
    <w:rsid w:val="00B24852"/>
    <w:rsid w:val="00B252ED"/>
    <w:rsid w:val="00B255A4"/>
    <w:rsid w:val="00B26C5F"/>
    <w:rsid w:val="00B27949"/>
    <w:rsid w:val="00B27AE3"/>
    <w:rsid w:val="00B33D22"/>
    <w:rsid w:val="00B34C4F"/>
    <w:rsid w:val="00B353F0"/>
    <w:rsid w:val="00B36191"/>
    <w:rsid w:val="00B37ABC"/>
    <w:rsid w:val="00B37D43"/>
    <w:rsid w:val="00B4072E"/>
    <w:rsid w:val="00B40D7A"/>
    <w:rsid w:val="00B41506"/>
    <w:rsid w:val="00B42441"/>
    <w:rsid w:val="00B43DF0"/>
    <w:rsid w:val="00B45F3C"/>
    <w:rsid w:val="00B46786"/>
    <w:rsid w:val="00B46E2D"/>
    <w:rsid w:val="00B51BF9"/>
    <w:rsid w:val="00B52682"/>
    <w:rsid w:val="00B53202"/>
    <w:rsid w:val="00B546A6"/>
    <w:rsid w:val="00B5751F"/>
    <w:rsid w:val="00B62701"/>
    <w:rsid w:val="00B6325E"/>
    <w:rsid w:val="00B63B87"/>
    <w:rsid w:val="00B6417F"/>
    <w:rsid w:val="00B6712B"/>
    <w:rsid w:val="00B677E3"/>
    <w:rsid w:val="00B754A8"/>
    <w:rsid w:val="00B8047D"/>
    <w:rsid w:val="00B807C3"/>
    <w:rsid w:val="00B81716"/>
    <w:rsid w:val="00B83023"/>
    <w:rsid w:val="00B84247"/>
    <w:rsid w:val="00B85D62"/>
    <w:rsid w:val="00B864B5"/>
    <w:rsid w:val="00B86C69"/>
    <w:rsid w:val="00B911F1"/>
    <w:rsid w:val="00B91628"/>
    <w:rsid w:val="00B92EF2"/>
    <w:rsid w:val="00B94940"/>
    <w:rsid w:val="00B95AFF"/>
    <w:rsid w:val="00B96E94"/>
    <w:rsid w:val="00BA0D70"/>
    <w:rsid w:val="00BA624D"/>
    <w:rsid w:val="00BA6B7B"/>
    <w:rsid w:val="00BA7490"/>
    <w:rsid w:val="00BB0E88"/>
    <w:rsid w:val="00BB0EEA"/>
    <w:rsid w:val="00BB10AA"/>
    <w:rsid w:val="00BB6FA9"/>
    <w:rsid w:val="00BB7DF1"/>
    <w:rsid w:val="00BC0AB3"/>
    <w:rsid w:val="00BC3289"/>
    <w:rsid w:val="00BC50C3"/>
    <w:rsid w:val="00BD0D9B"/>
    <w:rsid w:val="00BD1F8B"/>
    <w:rsid w:val="00BD4326"/>
    <w:rsid w:val="00BD49E0"/>
    <w:rsid w:val="00BD6FFC"/>
    <w:rsid w:val="00BD72F4"/>
    <w:rsid w:val="00BE01FD"/>
    <w:rsid w:val="00BE0F2E"/>
    <w:rsid w:val="00BE305C"/>
    <w:rsid w:val="00BE58F6"/>
    <w:rsid w:val="00BE7846"/>
    <w:rsid w:val="00BE7937"/>
    <w:rsid w:val="00BF1B02"/>
    <w:rsid w:val="00BF3041"/>
    <w:rsid w:val="00BF3BAA"/>
    <w:rsid w:val="00BF56A7"/>
    <w:rsid w:val="00BF7670"/>
    <w:rsid w:val="00C0326B"/>
    <w:rsid w:val="00C10EF6"/>
    <w:rsid w:val="00C115AF"/>
    <w:rsid w:val="00C15877"/>
    <w:rsid w:val="00C20A00"/>
    <w:rsid w:val="00C21A63"/>
    <w:rsid w:val="00C21D6C"/>
    <w:rsid w:val="00C220D0"/>
    <w:rsid w:val="00C227BF"/>
    <w:rsid w:val="00C22E7F"/>
    <w:rsid w:val="00C27219"/>
    <w:rsid w:val="00C2760B"/>
    <w:rsid w:val="00C30A6B"/>
    <w:rsid w:val="00C32714"/>
    <w:rsid w:val="00C33B45"/>
    <w:rsid w:val="00C33D98"/>
    <w:rsid w:val="00C33FF8"/>
    <w:rsid w:val="00C35AAC"/>
    <w:rsid w:val="00C36472"/>
    <w:rsid w:val="00C422E3"/>
    <w:rsid w:val="00C42C54"/>
    <w:rsid w:val="00C43190"/>
    <w:rsid w:val="00C44F25"/>
    <w:rsid w:val="00C46FB6"/>
    <w:rsid w:val="00C47204"/>
    <w:rsid w:val="00C50261"/>
    <w:rsid w:val="00C50D3C"/>
    <w:rsid w:val="00C527B5"/>
    <w:rsid w:val="00C540A1"/>
    <w:rsid w:val="00C543BA"/>
    <w:rsid w:val="00C55735"/>
    <w:rsid w:val="00C56B70"/>
    <w:rsid w:val="00C579B4"/>
    <w:rsid w:val="00C6290A"/>
    <w:rsid w:val="00C646F2"/>
    <w:rsid w:val="00C662F4"/>
    <w:rsid w:val="00C7093F"/>
    <w:rsid w:val="00C717EE"/>
    <w:rsid w:val="00C7199B"/>
    <w:rsid w:val="00C72C0C"/>
    <w:rsid w:val="00C75DC9"/>
    <w:rsid w:val="00C800C2"/>
    <w:rsid w:val="00C80C99"/>
    <w:rsid w:val="00C816FD"/>
    <w:rsid w:val="00C83446"/>
    <w:rsid w:val="00C83C9A"/>
    <w:rsid w:val="00C83F42"/>
    <w:rsid w:val="00C84E9A"/>
    <w:rsid w:val="00C84F35"/>
    <w:rsid w:val="00C86761"/>
    <w:rsid w:val="00C9054F"/>
    <w:rsid w:val="00C90CCB"/>
    <w:rsid w:val="00C91BBF"/>
    <w:rsid w:val="00C92DAC"/>
    <w:rsid w:val="00C93307"/>
    <w:rsid w:val="00C93D53"/>
    <w:rsid w:val="00C97BA0"/>
    <w:rsid w:val="00CA20EA"/>
    <w:rsid w:val="00CA2206"/>
    <w:rsid w:val="00CA35F1"/>
    <w:rsid w:val="00CA3ADC"/>
    <w:rsid w:val="00CA3ADD"/>
    <w:rsid w:val="00CA50E7"/>
    <w:rsid w:val="00CA7A70"/>
    <w:rsid w:val="00CA7AE3"/>
    <w:rsid w:val="00CB00C4"/>
    <w:rsid w:val="00CB024E"/>
    <w:rsid w:val="00CB0285"/>
    <w:rsid w:val="00CB2215"/>
    <w:rsid w:val="00CB291C"/>
    <w:rsid w:val="00CB43D6"/>
    <w:rsid w:val="00CB4FBC"/>
    <w:rsid w:val="00CB58BB"/>
    <w:rsid w:val="00CB6DA7"/>
    <w:rsid w:val="00CC2051"/>
    <w:rsid w:val="00CC49B4"/>
    <w:rsid w:val="00CC5241"/>
    <w:rsid w:val="00CC63C9"/>
    <w:rsid w:val="00CC6E6B"/>
    <w:rsid w:val="00CC7A9E"/>
    <w:rsid w:val="00CD0292"/>
    <w:rsid w:val="00CD0F3D"/>
    <w:rsid w:val="00CD1BCC"/>
    <w:rsid w:val="00CD2436"/>
    <w:rsid w:val="00CD4DBE"/>
    <w:rsid w:val="00CD4E96"/>
    <w:rsid w:val="00CD6201"/>
    <w:rsid w:val="00CD6E62"/>
    <w:rsid w:val="00CD6FFB"/>
    <w:rsid w:val="00CE044B"/>
    <w:rsid w:val="00CE07DF"/>
    <w:rsid w:val="00CE1F83"/>
    <w:rsid w:val="00CE398E"/>
    <w:rsid w:val="00CE64E1"/>
    <w:rsid w:val="00CE76AD"/>
    <w:rsid w:val="00CF08A1"/>
    <w:rsid w:val="00CF0939"/>
    <w:rsid w:val="00CF2F11"/>
    <w:rsid w:val="00CF310E"/>
    <w:rsid w:val="00CF60BB"/>
    <w:rsid w:val="00CF6FC7"/>
    <w:rsid w:val="00D002BE"/>
    <w:rsid w:val="00D0263C"/>
    <w:rsid w:val="00D03711"/>
    <w:rsid w:val="00D03948"/>
    <w:rsid w:val="00D04E06"/>
    <w:rsid w:val="00D04EB2"/>
    <w:rsid w:val="00D05673"/>
    <w:rsid w:val="00D06495"/>
    <w:rsid w:val="00D13D1D"/>
    <w:rsid w:val="00D1446D"/>
    <w:rsid w:val="00D16157"/>
    <w:rsid w:val="00D20838"/>
    <w:rsid w:val="00D22743"/>
    <w:rsid w:val="00D22AB4"/>
    <w:rsid w:val="00D30C4A"/>
    <w:rsid w:val="00D34074"/>
    <w:rsid w:val="00D356EA"/>
    <w:rsid w:val="00D36F11"/>
    <w:rsid w:val="00D371F6"/>
    <w:rsid w:val="00D374EC"/>
    <w:rsid w:val="00D40D9E"/>
    <w:rsid w:val="00D40DD3"/>
    <w:rsid w:val="00D4101C"/>
    <w:rsid w:val="00D430A7"/>
    <w:rsid w:val="00D439F6"/>
    <w:rsid w:val="00D4559A"/>
    <w:rsid w:val="00D460AF"/>
    <w:rsid w:val="00D46DFA"/>
    <w:rsid w:val="00D50E60"/>
    <w:rsid w:val="00D51F95"/>
    <w:rsid w:val="00D526C4"/>
    <w:rsid w:val="00D542F4"/>
    <w:rsid w:val="00D55021"/>
    <w:rsid w:val="00D559A8"/>
    <w:rsid w:val="00D55CB5"/>
    <w:rsid w:val="00D572AB"/>
    <w:rsid w:val="00D57D9A"/>
    <w:rsid w:val="00D61896"/>
    <w:rsid w:val="00D61EDC"/>
    <w:rsid w:val="00D628C6"/>
    <w:rsid w:val="00D62C0D"/>
    <w:rsid w:val="00D633FF"/>
    <w:rsid w:val="00D642B6"/>
    <w:rsid w:val="00D67C9C"/>
    <w:rsid w:val="00D7022B"/>
    <w:rsid w:val="00D70631"/>
    <w:rsid w:val="00D719BD"/>
    <w:rsid w:val="00D71C7F"/>
    <w:rsid w:val="00D72B90"/>
    <w:rsid w:val="00D740B0"/>
    <w:rsid w:val="00D75B6E"/>
    <w:rsid w:val="00D763B3"/>
    <w:rsid w:val="00D81700"/>
    <w:rsid w:val="00D838A9"/>
    <w:rsid w:val="00D84F6D"/>
    <w:rsid w:val="00D864B3"/>
    <w:rsid w:val="00D86E39"/>
    <w:rsid w:val="00D873A3"/>
    <w:rsid w:val="00D9087D"/>
    <w:rsid w:val="00D91931"/>
    <w:rsid w:val="00D9397F"/>
    <w:rsid w:val="00D93E6D"/>
    <w:rsid w:val="00D94621"/>
    <w:rsid w:val="00DA0E71"/>
    <w:rsid w:val="00DA2D1F"/>
    <w:rsid w:val="00DA3410"/>
    <w:rsid w:val="00DA474E"/>
    <w:rsid w:val="00DA5323"/>
    <w:rsid w:val="00DA59B9"/>
    <w:rsid w:val="00DA7153"/>
    <w:rsid w:val="00DB073B"/>
    <w:rsid w:val="00DB14A9"/>
    <w:rsid w:val="00DB2322"/>
    <w:rsid w:val="00DB3E19"/>
    <w:rsid w:val="00DB5926"/>
    <w:rsid w:val="00DB5AEE"/>
    <w:rsid w:val="00DB6155"/>
    <w:rsid w:val="00DB6A79"/>
    <w:rsid w:val="00DB6F45"/>
    <w:rsid w:val="00DB7068"/>
    <w:rsid w:val="00DB72C4"/>
    <w:rsid w:val="00DC00DB"/>
    <w:rsid w:val="00DC5DDE"/>
    <w:rsid w:val="00DC7E80"/>
    <w:rsid w:val="00DD0ADC"/>
    <w:rsid w:val="00DD0E80"/>
    <w:rsid w:val="00DD0F2F"/>
    <w:rsid w:val="00DD2F34"/>
    <w:rsid w:val="00DD32EE"/>
    <w:rsid w:val="00DD3870"/>
    <w:rsid w:val="00DD4636"/>
    <w:rsid w:val="00DD499B"/>
    <w:rsid w:val="00DD73CC"/>
    <w:rsid w:val="00DE15FB"/>
    <w:rsid w:val="00DE6350"/>
    <w:rsid w:val="00DF0CAF"/>
    <w:rsid w:val="00DF1B26"/>
    <w:rsid w:val="00DF22E4"/>
    <w:rsid w:val="00DF2C7F"/>
    <w:rsid w:val="00DF3266"/>
    <w:rsid w:val="00DF414A"/>
    <w:rsid w:val="00DF4324"/>
    <w:rsid w:val="00DF52AA"/>
    <w:rsid w:val="00DF615B"/>
    <w:rsid w:val="00DF635F"/>
    <w:rsid w:val="00DF63DB"/>
    <w:rsid w:val="00E003EC"/>
    <w:rsid w:val="00E00B77"/>
    <w:rsid w:val="00E01812"/>
    <w:rsid w:val="00E037A3"/>
    <w:rsid w:val="00E04769"/>
    <w:rsid w:val="00E05899"/>
    <w:rsid w:val="00E11178"/>
    <w:rsid w:val="00E115F6"/>
    <w:rsid w:val="00E12F91"/>
    <w:rsid w:val="00E13235"/>
    <w:rsid w:val="00E13571"/>
    <w:rsid w:val="00E13926"/>
    <w:rsid w:val="00E13CA2"/>
    <w:rsid w:val="00E1581A"/>
    <w:rsid w:val="00E1700F"/>
    <w:rsid w:val="00E17A79"/>
    <w:rsid w:val="00E21558"/>
    <w:rsid w:val="00E21A94"/>
    <w:rsid w:val="00E23F95"/>
    <w:rsid w:val="00E24599"/>
    <w:rsid w:val="00E253FE"/>
    <w:rsid w:val="00E2645D"/>
    <w:rsid w:val="00E26886"/>
    <w:rsid w:val="00E275D0"/>
    <w:rsid w:val="00E30204"/>
    <w:rsid w:val="00E3093D"/>
    <w:rsid w:val="00E31DC0"/>
    <w:rsid w:val="00E341A7"/>
    <w:rsid w:val="00E35515"/>
    <w:rsid w:val="00E35A31"/>
    <w:rsid w:val="00E35C23"/>
    <w:rsid w:val="00E36B56"/>
    <w:rsid w:val="00E36D53"/>
    <w:rsid w:val="00E41641"/>
    <w:rsid w:val="00E4555F"/>
    <w:rsid w:val="00E52660"/>
    <w:rsid w:val="00E53779"/>
    <w:rsid w:val="00E56539"/>
    <w:rsid w:val="00E56F0B"/>
    <w:rsid w:val="00E621A2"/>
    <w:rsid w:val="00E63A20"/>
    <w:rsid w:val="00E63DD0"/>
    <w:rsid w:val="00E645CF"/>
    <w:rsid w:val="00E6663C"/>
    <w:rsid w:val="00E67A32"/>
    <w:rsid w:val="00E67C39"/>
    <w:rsid w:val="00E707DA"/>
    <w:rsid w:val="00E70E8B"/>
    <w:rsid w:val="00E72989"/>
    <w:rsid w:val="00E7327B"/>
    <w:rsid w:val="00E745A8"/>
    <w:rsid w:val="00E766BD"/>
    <w:rsid w:val="00E82208"/>
    <w:rsid w:val="00E84C1E"/>
    <w:rsid w:val="00E86391"/>
    <w:rsid w:val="00E906CE"/>
    <w:rsid w:val="00E91358"/>
    <w:rsid w:val="00E91A16"/>
    <w:rsid w:val="00E9387E"/>
    <w:rsid w:val="00E93B0F"/>
    <w:rsid w:val="00E9414E"/>
    <w:rsid w:val="00E96075"/>
    <w:rsid w:val="00E96920"/>
    <w:rsid w:val="00E9729D"/>
    <w:rsid w:val="00E97853"/>
    <w:rsid w:val="00EA0710"/>
    <w:rsid w:val="00EA38CA"/>
    <w:rsid w:val="00EA3D54"/>
    <w:rsid w:val="00EA4430"/>
    <w:rsid w:val="00EA79FE"/>
    <w:rsid w:val="00EB0386"/>
    <w:rsid w:val="00EB2A0A"/>
    <w:rsid w:val="00EB3B5D"/>
    <w:rsid w:val="00EB3D52"/>
    <w:rsid w:val="00EB45C9"/>
    <w:rsid w:val="00EB4F94"/>
    <w:rsid w:val="00EC210A"/>
    <w:rsid w:val="00EC6A90"/>
    <w:rsid w:val="00EC6E4D"/>
    <w:rsid w:val="00EC7E0D"/>
    <w:rsid w:val="00ED150E"/>
    <w:rsid w:val="00ED3904"/>
    <w:rsid w:val="00ED3C14"/>
    <w:rsid w:val="00ED47AC"/>
    <w:rsid w:val="00ED7056"/>
    <w:rsid w:val="00EE0CD4"/>
    <w:rsid w:val="00EE0D8D"/>
    <w:rsid w:val="00EE1616"/>
    <w:rsid w:val="00EE494B"/>
    <w:rsid w:val="00EE4C69"/>
    <w:rsid w:val="00EE5781"/>
    <w:rsid w:val="00EE6BA8"/>
    <w:rsid w:val="00EE78CE"/>
    <w:rsid w:val="00EE7D5F"/>
    <w:rsid w:val="00EF1A37"/>
    <w:rsid w:val="00EF2AF6"/>
    <w:rsid w:val="00EF2FCC"/>
    <w:rsid w:val="00EF4685"/>
    <w:rsid w:val="00EF62E1"/>
    <w:rsid w:val="00F003B2"/>
    <w:rsid w:val="00F0100F"/>
    <w:rsid w:val="00F032C3"/>
    <w:rsid w:val="00F03F9B"/>
    <w:rsid w:val="00F04449"/>
    <w:rsid w:val="00F05C59"/>
    <w:rsid w:val="00F07ED6"/>
    <w:rsid w:val="00F10313"/>
    <w:rsid w:val="00F12E32"/>
    <w:rsid w:val="00F14024"/>
    <w:rsid w:val="00F14BEF"/>
    <w:rsid w:val="00F14D91"/>
    <w:rsid w:val="00F170A0"/>
    <w:rsid w:val="00F177DA"/>
    <w:rsid w:val="00F17B24"/>
    <w:rsid w:val="00F205B8"/>
    <w:rsid w:val="00F229D2"/>
    <w:rsid w:val="00F22D77"/>
    <w:rsid w:val="00F234A6"/>
    <w:rsid w:val="00F256B9"/>
    <w:rsid w:val="00F27AA5"/>
    <w:rsid w:val="00F30BC0"/>
    <w:rsid w:val="00F31705"/>
    <w:rsid w:val="00F31ACA"/>
    <w:rsid w:val="00F31EF3"/>
    <w:rsid w:val="00F329CA"/>
    <w:rsid w:val="00F33C7B"/>
    <w:rsid w:val="00F34493"/>
    <w:rsid w:val="00F37024"/>
    <w:rsid w:val="00F37C4D"/>
    <w:rsid w:val="00F40554"/>
    <w:rsid w:val="00F40FA2"/>
    <w:rsid w:val="00F4279A"/>
    <w:rsid w:val="00F45263"/>
    <w:rsid w:val="00F45369"/>
    <w:rsid w:val="00F46008"/>
    <w:rsid w:val="00F512AC"/>
    <w:rsid w:val="00F569BA"/>
    <w:rsid w:val="00F61162"/>
    <w:rsid w:val="00F61411"/>
    <w:rsid w:val="00F61D3E"/>
    <w:rsid w:val="00F621E7"/>
    <w:rsid w:val="00F64B74"/>
    <w:rsid w:val="00F64F75"/>
    <w:rsid w:val="00F655AB"/>
    <w:rsid w:val="00F65862"/>
    <w:rsid w:val="00F65A9A"/>
    <w:rsid w:val="00F66359"/>
    <w:rsid w:val="00F667AE"/>
    <w:rsid w:val="00F670D9"/>
    <w:rsid w:val="00F67797"/>
    <w:rsid w:val="00F701D0"/>
    <w:rsid w:val="00F70C72"/>
    <w:rsid w:val="00F713BD"/>
    <w:rsid w:val="00F71D1A"/>
    <w:rsid w:val="00F7401C"/>
    <w:rsid w:val="00F7503F"/>
    <w:rsid w:val="00F753DE"/>
    <w:rsid w:val="00F76019"/>
    <w:rsid w:val="00F7655B"/>
    <w:rsid w:val="00F869B0"/>
    <w:rsid w:val="00F90140"/>
    <w:rsid w:val="00F91462"/>
    <w:rsid w:val="00F93191"/>
    <w:rsid w:val="00F94E7C"/>
    <w:rsid w:val="00F950C8"/>
    <w:rsid w:val="00F97655"/>
    <w:rsid w:val="00FA2437"/>
    <w:rsid w:val="00FA36B4"/>
    <w:rsid w:val="00FA4D16"/>
    <w:rsid w:val="00FA67BD"/>
    <w:rsid w:val="00FA7E31"/>
    <w:rsid w:val="00FB1F9F"/>
    <w:rsid w:val="00FB2E0A"/>
    <w:rsid w:val="00FB3435"/>
    <w:rsid w:val="00FB6688"/>
    <w:rsid w:val="00FB6A0D"/>
    <w:rsid w:val="00FB6C48"/>
    <w:rsid w:val="00FB6CA5"/>
    <w:rsid w:val="00FC0915"/>
    <w:rsid w:val="00FC14CE"/>
    <w:rsid w:val="00FC30F4"/>
    <w:rsid w:val="00FC37BB"/>
    <w:rsid w:val="00FC6202"/>
    <w:rsid w:val="00FC6A73"/>
    <w:rsid w:val="00FC785B"/>
    <w:rsid w:val="00FE1F30"/>
    <w:rsid w:val="00FE2721"/>
    <w:rsid w:val="00FE2F0F"/>
    <w:rsid w:val="00FE3E22"/>
    <w:rsid w:val="00FE496C"/>
    <w:rsid w:val="00FE67D5"/>
    <w:rsid w:val="00FE67F7"/>
    <w:rsid w:val="00FF004A"/>
    <w:rsid w:val="00FF0D44"/>
    <w:rsid w:val="00FF10CC"/>
    <w:rsid w:val="00FF27CA"/>
    <w:rsid w:val="00FF49FD"/>
    <w:rsid w:val="00FF62C5"/>
    <w:rsid w:val="00FF64A4"/>
    <w:rsid w:val="00FF6D58"/>
    <w:rsid w:val="00FF726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9E889E7"/>
  <w15:docId w15:val="{F8F7EDFF-04E6-488C-9E99-84B601DE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3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EF1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A37"/>
    <w:pPr>
      <w:keepNext/>
      <w:keepLines/>
      <w:spacing w:before="40" w:after="0" w:line="259" w:lineRule="auto"/>
      <w:jc w:val="center"/>
      <w:outlineLvl w:val="1"/>
    </w:pPr>
    <w:rPr>
      <w:rFonts w:ascii="ITC Avant Garde" w:eastAsiaTheme="majorEastAsia" w:hAnsi="ITC Avant Garde" w:cstheme="majorBidi"/>
      <w:b/>
      <w:color w:val="000000" w:themeColor="text1"/>
      <w:sz w:val="24"/>
      <w:szCs w:val="26"/>
    </w:rPr>
  </w:style>
  <w:style w:type="paragraph" w:styleId="Ttulo3">
    <w:name w:val="heading 3"/>
    <w:basedOn w:val="Normal"/>
    <w:next w:val="Normal"/>
    <w:link w:val="Ttulo3Car"/>
    <w:uiPriority w:val="9"/>
    <w:unhideWhenUsed/>
    <w:qFormat/>
    <w:rsid w:val="00EF1A37"/>
    <w:pPr>
      <w:keepNext/>
      <w:keepLines/>
      <w:spacing w:before="40" w:after="0" w:line="259" w:lineRule="auto"/>
      <w:jc w:val="center"/>
      <w:outlineLvl w:val="2"/>
    </w:pPr>
    <w:rPr>
      <w:rFonts w:ascii="ITC Avant Garde" w:eastAsiaTheme="majorEastAsia" w:hAnsi="ITC Avant Garde" w:cstheme="majorBidi"/>
      <w:b/>
      <w:color w:val="000000" w:themeColor="text1"/>
      <w:szCs w:val="24"/>
    </w:rPr>
  </w:style>
  <w:style w:type="paragraph" w:styleId="Ttulo4">
    <w:name w:val="heading 4"/>
    <w:basedOn w:val="Normal"/>
    <w:next w:val="Normal"/>
    <w:link w:val="Ttulo4Car"/>
    <w:uiPriority w:val="9"/>
    <w:unhideWhenUsed/>
    <w:qFormat/>
    <w:rsid w:val="00EF1A37"/>
    <w:pPr>
      <w:keepNext/>
      <w:keepLines/>
      <w:spacing w:before="40" w:after="0" w:line="259" w:lineRule="auto"/>
      <w:jc w:val="both"/>
      <w:outlineLvl w:val="3"/>
    </w:pPr>
    <w:rPr>
      <w:rFonts w:ascii="ITC Avant Garde" w:eastAsiaTheme="majorEastAsia" w:hAnsi="ITC Avant Garde" w:cstheme="majorBidi"/>
      <w:b/>
      <w:iCs/>
      <w:color w:val="000000" w:themeColor="text1"/>
    </w:rPr>
  </w:style>
  <w:style w:type="paragraph" w:styleId="Ttulo5">
    <w:name w:val="heading 5"/>
    <w:basedOn w:val="Normal"/>
    <w:next w:val="Normal"/>
    <w:link w:val="Ttulo5Car"/>
    <w:uiPriority w:val="9"/>
    <w:unhideWhenUsed/>
    <w:qFormat/>
    <w:rsid w:val="00EF1A37"/>
    <w:pPr>
      <w:keepNext/>
      <w:keepLines/>
      <w:spacing w:before="40" w:after="0" w:line="259" w:lineRule="auto"/>
      <w:outlineLvl w:val="4"/>
    </w:pPr>
    <w:rPr>
      <w:rFonts w:ascii="ITC Avant Garde" w:eastAsiaTheme="majorEastAsia" w:hAnsi="ITC Avant Garde" w:cstheme="majorBidi"/>
      <w:b/>
      <w:color w:val="000000" w:themeColor="text1"/>
    </w:rPr>
  </w:style>
  <w:style w:type="paragraph" w:styleId="Ttulo7">
    <w:name w:val="heading 7"/>
    <w:basedOn w:val="Normal"/>
    <w:next w:val="Normal"/>
    <w:link w:val="Ttulo7Car"/>
    <w:uiPriority w:val="9"/>
    <w:semiHidden/>
    <w:unhideWhenUsed/>
    <w:qFormat/>
    <w:rsid w:val="00071BB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A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A37"/>
    <w:rPr>
      <w:rFonts w:ascii="Calibri" w:eastAsia="Calibri" w:hAnsi="Calibri" w:cs="Times New Roman"/>
    </w:rPr>
  </w:style>
  <w:style w:type="paragraph" w:styleId="Piedepgina">
    <w:name w:val="footer"/>
    <w:basedOn w:val="Normal"/>
    <w:link w:val="PiedepginaCar"/>
    <w:uiPriority w:val="99"/>
    <w:unhideWhenUsed/>
    <w:rsid w:val="00EF1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A37"/>
    <w:rPr>
      <w:rFonts w:ascii="Calibri" w:eastAsia="Calibri" w:hAnsi="Calibri" w:cs="Times New Roman"/>
    </w:rPr>
  </w:style>
  <w:style w:type="paragraph" w:customStyle="1" w:styleId="Default">
    <w:name w:val="Default"/>
    <w:rsid w:val="00EF1A3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EF1A3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F1A37"/>
    <w:rPr>
      <w:rFonts w:ascii="Arial" w:eastAsia="Times New Roman" w:hAnsi="Arial" w:cs="Times New Roman"/>
      <w:sz w:val="24"/>
      <w:szCs w:val="20"/>
    </w:rPr>
  </w:style>
  <w:style w:type="paragraph" w:styleId="Textonotapie">
    <w:name w:val="footnote text"/>
    <w:basedOn w:val="Normal"/>
    <w:link w:val="TextonotapieCar"/>
    <w:uiPriority w:val="99"/>
    <w:unhideWhenUsed/>
    <w:rsid w:val="00EF1A37"/>
    <w:pPr>
      <w:spacing w:after="0" w:line="240" w:lineRule="auto"/>
    </w:pPr>
    <w:rPr>
      <w:sz w:val="20"/>
      <w:szCs w:val="20"/>
    </w:rPr>
  </w:style>
  <w:style w:type="character" w:customStyle="1" w:styleId="TextonotapieCar">
    <w:name w:val="Texto nota pie Car"/>
    <w:basedOn w:val="Fuentedeprrafopredeter"/>
    <w:link w:val="Textonotapie"/>
    <w:uiPriority w:val="99"/>
    <w:rsid w:val="00EF1A37"/>
    <w:rPr>
      <w:rFonts w:ascii="Calibri" w:eastAsia="Calibri" w:hAnsi="Calibri" w:cs="Times New Roman"/>
      <w:sz w:val="20"/>
      <w:szCs w:val="20"/>
    </w:rPr>
  </w:style>
  <w:style w:type="character" w:styleId="Refdenotaalpie">
    <w:name w:val="footnote reference"/>
    <w:basedOn w:val="Fuentedeprrafopredeter"/>
    <w:uiPriority w:val="99"/>
    <w:unhideWhenUsed/>
    <w:rsid w:val="00EF1A37"/>
    <w:rPr>
      <w:vertAlign w:val="superscript"/>
    </w:rPr>
  </w:style>
  <w:style w:type="paragraph" w:customStyle="1" w:styleId="Texto">
    <w:name w:val="Texto"/>
    <w:basedOn w:val="Normal"/>
    <w:link w:val="TextoCar"/>
    <w:rsid w:val="00EF1A3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EF1A37"/>
    <w:rPr>
      <w:rFonts w:ascii="Arial" w:eastAsia="Times New Roman" w:hAnsi="Arial" w:cs="Arial"/>
      <w:sz w:val="18"/>
      <w:szCs w:val="18"/>
      <w:lang w:val="es-ES" w:eastAsia="es-ES"/>
    </w:rPr>
  </w:style>
  <w:style w:type="character" w:styleId="Refdecomentario">
    <w:name w:val="annotation reference"/>
    <w:basedOn w:val="Fuentedeprrafopredeter"/>
    <w:uiPriority w:val="99"/>
    <w:semiHidden/>
    <w:unhideWhenUsed/>
    <w:rsid w:val="00EF1A37"/>
    <w:rPr>
      <w:sz w:val="16"/>
      <w:szCs w:val="16"/>
    </w:rPr>
  </w:style>
  <w:style w:type="character" w:customStyle="1" w:styleId="Ttulo1Car">
    <w:name w:val="Título 1 Car"/>
    <w:basedOn w:val="Fuentedeprrafopredeter"/>
    <w:link w:val="Ttulo1"/>
    <w:uiPriority w:val="9"/>
    <w:rsid w:val="00EF1A3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F1A37"/>
    <w:rPr>
      <w:rFonts w:ascii="ITC Avant Garde" w:eastAsiaTheme="majorEastAsia" w:hAnsi="ITC Avant Garde" w:cstheme="majorBidi"/>
      <w:b/>
      <w:color w:val="000000" w:themeColor="text1"/>
      <w:sz w:val="24"/>
      <w:szCs w:val="26"/>
    </w:rPr>
  </w:style>
  <w:style w:type="character" w:customStyle="1" w:styleId="Ttulo3Car">
    <w:name w:val="Título 3 Car"/>
    <w:basedOn w:val="Fuentedeprrafopredeter"/>
    <w:link w:val="Ttulo3"/>
    <w:uiPriority w:val="9"/>
    <w:rsid w:val="00EF1A37"/>
    <w:rPr>
      <w:rFonts w:ascii="ITC Avant Garde" w:eastAsiaTheme="majorEastAsia" w:hAnsi="ITC Avant Garde" w:cstheme="majorBidi"/>
      <w:b/>
      <w:color w:val="000000" w:themeColor="text1"/>
      <w:szCs w:val="24"/>
    </w:rPr>
  </w:style>
  <w:style w:type="character" w:customStyle="1" w:styleId="Ttulo4Car">
    <w:name w:val="Título 4 Car"/>
    <w:basedOn w:val="Fuentedeprrafopredeter"/>
    <w:link w:val="Ttulo4"/>
    <w:uiPriority w:val="9"/>
    <w:rsid w:val="00EF1A37"/>
    <w:rPr>
      <w:rFonts w:ascii="ITC Avant Garde" w:eastAsiaTheme="majorEastAsia" w:hAnsi="ITC Avant Garde" w:cstheme="majorBidi"/>
      <w:b/>
      <w:iCs/>
      <w:color w:val="000000" w:themeColor="text1"/>
    </w:rPr>
  </w:style>
  <w:style w:type="character" w:customStyle="1" w:styleId="Ttulo5Car">
    <w:name w:val="Título 5 Car"/>
    <w:basedOn w:val="Fuentedeprrafopredeter"/>
    <w:link w:val="Ttulo5"/>
    <w:uiPriority w:val="9"/>
    <w:rsid w:val="00EF1A37"/>
    <w:rPr>
      <w:rFonts w:ascii="ITC Avant Garde" w:eastAsiaTheme="majorEastAsia" w:hAnsi="ITC Avant Garde" w:cstheme="majorBidi"/>
      <w:b/>
      <w:color w:val="000000" w:themeColor="text1"/>
    </w:rPr>
  </w:style>
  <w:style w:type="paragraph" w:styleId="Textodeglobo">
    <w:name w:val="Balloon Text"/>
    <w:basedOn w:val="Normal"/>
    <w:link w:val="TextodegloboCar"/>
    <w:uiPriority w:val="99"/>
    <w:semiHidden/>
    <w:unhideWhenUsed/>
    <w:rsid w:val="00EF1A37"/>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EF1A37"/>
    <w:rPr>
      <w:rFonts w:ascii="Segoe UI" w:hAnsi="Segoe UI" w:cs="Segoe UI"/>
      <w:sz w:val="18"/>
      <w:szCs w:val="18"/>
    </w:rPr>
  </w:style>
  <w:style w:type="paragraph" w:styleId="Textocomentario">
    <w:name w:val="annotation text"/>
    <w:basedOn w:val="Normal"/>
    <w:link w:val="TextocomentarioCar"/>
    <w:uiPriority w:val="99"/>
    <w:unhideWhenUsed/>
    <w:rsid w:val="00EF1A37"/>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EF1A37"/>
    <w:rPr>
      <w:sz w:val="20"/>
      <w:szCs w:val="20"/>
    </w:rPr>
  </w:style>
  <w:style w:type="character" w:customStyle="1" w:styleId="AsuntodelcomentarioCar">
    <w:name w:val="Asunto del comentario Car"/>
    <w:basedOn w:val="TextocomentarioCar"/>
    <w:link w:val="Asuntodelcomentario"/>
    <w:uiPriority w:val="99"/>
    <w:semiHidden/>
    <w:rsid w:val="00EF1A37"/>
    <w:rPr>
      <w:b/>
      <w:bCs/>
      <w:sz w:val="20"/>
      <w:szCs w:val="20"/>
    </w:rPr>
  </w:style>
  <w:style w:type="paragraph" w:styleId="Asuntodelcomentario">
    <w:name w:val="annotation subject"/>
    <w:basedOn w:val="Textocomentario"/>
    <w:next w:val="Textocomentario"/>
    <w:link w:val="AsuntodelcomentarioCar"/>
    <w:uiPriority w:val="99"/>
    <w:semiHidden/>
    <w:unhideWhenUsed/>
    <w:rsid w:val="00EF1A37"/>
    <w:rPr>
      <w:b/>
      <w:bCs/>
    </w:rPr>
  </w:style>
  <w:style w:type="character" w:customStyle="1" w:styleId="AsuntodelcomentarioCar1">
    <w:name w:val="Asunto del comentario Car1"/>
    <w:basedOn w:val="TextocomentarioCar"/>
    <w:uiPriority w:val="99"/>
    <w:semiHidden/>
    <w:rsid w:val="00EF1A37"/>
    <w:rPr>
      <w:b/>
      <w:bCs/>
      <w:sz w:val="20"/>
      <w:szCs w:val="20"/>
    </w:rPr>
  </w:style>
  <w:style w:type="character" w:customStyle="1" w:styleId="apple-converted-space">
    <w:name w:val="apple-converted-space"/>
    <w:basedOn w:val="Fuentedeprrafopredeter"/>
    <w:rsid w:val="00EF1A37"/>
  </w:style>
  <w:style w:type="character" w:styleId="nfasis">
    <w:name w:val="Emphasis"/>
    <w:basedOn w:val="Fuentedeprrafopredeter"/>
    <w:qFormat/>
    <w:rsid w:val="00EF1A37"/>
    <w:rPr>
      <w:i/>
      <w:iCs/>
    </w:rPr>
  </w:style>
  <w:style w:type="paragraph" w:styleId="Revisin">
    <w:name w:val="Revision"/>
    <w:hidden/>
    <w:uiPriority w:val="99"/>
    <w:semiHidden/>
    <w:rsid w:val="00693970"/>
    <w:pPr>
      <w:spacing w:after="0" w:line="240" w:lineRule="auto"/>
    </w:pPr>
    <w:rPr>
      <w:rFonts w:ascii="Calibri" w:eastAsia="Calibri" w:hAnsi="Calibri" w:cs="Times New Roman"/>
    </w:rPr>
  </w:style>
  <w:style w:type="character" w:customStyle="1" w:styleId="j">
    <w:name w:val="j"/>
    <w:basedOn w:val="Fuentedeprrafopredeter"/>
    <w:rsid w:val="00DC00DB"/>
  </w:style>
  <w:style w:type="paragraph" w:styleId="TtulodeTDC">
    <w:name w:val="TOC Heading"/>
    <w:basedOn w:val="Ttulo1"/>
    <w:next w:val="Normal"/>
    <w:uiPriority w:val="39"/>
    <w:unhideWhenUsed/>
    <w:qFormat/>
    <w:rsid w:val="00DC00DB"/>
    <w:pPr>
      <w:spacing w:line="259" w:lineRule="auto"/>
      <w:outlineLvl w:val="9"/>
    </w:pPr>
    <w:rPr>
      <w:lang w:eastAsia="es-MX"/>
    </w:rPr>
  </w:style>
  <w:style w:type="paragraph" w:styleId="TDC1">
    <w:name w:val="toc 1"/>
    <w:basedOn w:val="Normal"/>
    <w:next w:val="Normal"/>
    <w:autoRedefine/>
    <w:uiPriority w:val="39"/>
    <w:unhideWhenUsed/>
    <w:rsid w:val="00DC00DB"/>
    <w:pPr>
      <w:spacing w:after="100" w:line="259" w:lineRule="auto"/>
    </w:pPr>
    <w:rPr>
      <w:rFonts w:asciiTheme="minorHAnsi" w:eastAsiaTheme="minorHAnsi" w:hAnsiTheme="minorHAnsi" w:cstheme="minorBidi"/>
    </w:rPr>
  </w:style>
  <w:style w:type="paragraph" w:styleId="TDC2">
    <w:name w:val="toc 2"/>
    <w:basedOn w:val="Normal"/>
    <w:next w:val="Normal"/>
    <w:autoRedefine/>
    <w:uiPriority w:val="39"/>
    <w:unhideWhenUsed/>
    <w:rsid w:val="00DC00DB"/>
    <w:pPr>
      <w:spacing w:after="100" w:line="259" w:lineRule="auto"/>
      <w:ind w:left="220"/>
    </w:pPr>
    <w:rPr>
      <w:rFonts w:asciiTheme="minorHAnsi" w:eastAsiaTheme="minorHAnsi" w:hAnsiTheme="minorHAnsi" w:cstheme="minorBidi"/>
    </w:rPr>
  </w:style>
  <w:style w:type="character" w:styleId="Hipervnculo">
    <w:name w:val="Hyperlink"/>
    <w:basedOn w:val="Fuentedeprrafopredeter"/>
    <w:uiPriority w:val="99"/>
    <w:unhideWhenUsed/>
    <w:rsid w:val="00DC00DB"/>
    <w:rPr>
      <w:color w:val="0563C1" w:themeColor="hyperlink"/>
      <w:u w:val="single"/>
    </w:rPr>
  </w:style>
  <w:style w:type="paragraph" w:customStyle="1" w:styleId="TextoNormal">
    <w:name w:val="Texto Normal"/>
    <w:basedOn w:val="Normal"/>
    <w:link w:val="TextoNormalCar"/>
    <w:qFormat/>
    <w:rsid w:val="00DC00DB"/>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DC00DB"/>
    <w:rPr>
      <w:rFonts w:ascii="Cambria" w:eastAsia="Arial Unicode MS" w:hAnsi="Cambria" w:cs="Arial Unicode MS"/>
      <w:color w:val="000000"/>
      <w:u w:color="000000"/>
      <w:bdr w:val="nil"/>
      <w:lang w:val="es-ES_tradnl"/>
    </w:rPr>
  </w:style>
  <w:style w:type="table" w:styleId="Tablaconcuadrcula">
    <w:name w:val="Table Grid"/>
    <w:basedOn w:val="Tablanormal"/>
    <w:uiPriority w:val="39"/>
    <w:rsid w:val="00DC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00DB"/>
    <w:pPr>
      <w:spacing w:after="160" w:line="256" w:lineRule="auto"/>
    </w:pPr>
    <w:rPr>
      <w:rFonts w:ascii="Times New Roman" w:eastAsiaTheme="minorHAnsi" w:hAnsi="Times New Roman"/>
      <w:sz w:val="24"/>
      <w:szCs w:val="24"/>
    </w:rPr>
  </w:style>
  <w:style w:type="paragraph" w:customStyle="1" w:styleId="p">
    <w:name w:val="p"/>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basedOn w:val="Fuentedeprrafopredeter"/>
    <w:rsid w:val="00DC00DB"/>
  </w:style>
  <w:style w:type="paragraph" w:customStyle="1" w:styleId="q">
    <w:name w:val="q"/>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d">
    <w:name w:val="d"/>
    <w:basedOn w:val="Fuentedeprrafopredeter"/>
    <w:rsid w:val="00DC00DB"/>
  </w:style>
  <w:style w:type="character" w:customStyle="1" w:styleId="b">
    <w:name w:val="b"/>
    <w:basedOn w:val="Fuentedeprrafopredeter"/>
    <w:rsid w:val="00DC00DB"/>
  </w:style>
  <w:style w:type="table" w:customStyle="1" w:styleId="Tablaconcuadrcula1">
    <w:name w:val="Tabla con cuadrícula1"/>
    <w:basedOn w:val="Tablanormal"/>
    <w:next w:val="Tablaconcuadrcula"/>
    <w:uiPriority w:val="39"/>
    <w:rsid w:val="00DC00DB"/>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937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visitado">
    <w:name w:val="FollowedHyperlink"/>
    <w:basedOn w:val="Fuentedeprrafopredeter"/>
    <w:uiPriority w:val="99"/>
    <w:semiHidden/>
    <w:unhideWhenUsed/>
    <w:rsid w:val="00E35C23"/>
    <w:rPr>
      <w:color w:val="954F72" w:themeColor="followedHyperlink"/>
      <w:u w:val="single"/>
    </w:rPr>
  </w:style>
  <w:style w:type="character" w:styleId="Textoennegrita">
    <w:name w:val="Strong"/>
    <w:basedOn w:val="Fuentedeprrafopredeter"/>
    <w:uiPriority w:val="22"/>
    <w:qFormat/>
    <w:rsid w:val="0083556B"/>
    <w:rPr>
      <w:rFonts w:ascii="Arial" w:hAnsi="Arial" w:cs="Arial" w:hint="default"/>
      <w:b/>
      <w:bCs/>
    </w:rPr>
  </w:style>
  <w:style w:type="character" w:customStyle="1" w:styleId="Ttulo7Car">
    <w:name w:val="Título 7 Car"/>
    <w:basedOn w:val="Fuentedeprrafopredeter"/>
    <w:link w:val="Ttulo7"/>
    <w:rsid w:val="00071BB7"/>
    <w:rPr>
      <w:rFonts w:asciiTheme="majorHAnsi" w:eastAsiaTheme="majorEastAsia" w:hAnsiTheme="majorHAnsi" w:cstheme="majorBidi"/>
      <w:i/>
      <w:iCs/>
      <w:color w:val="1F4D78" w:themeColor="accent1" w:themeShade="7F"/>
    </w:rPr>
  </w:style>
  <w:style w:type="paragraph" w:customStyle="1" w:styleId="Poromisin">
    <w:name w:val="Por omisión"/>
    <w:rsid w:val="00D50E60"/>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numbering" w:customStyle="1" w:styleId="List6">
    <w:name w:val="List 6"/>
    <w:basedOn w:val="Sinlista"/>
    <w:rsid w:val="00D50E60"/>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7518">
      <w:bodyDiv w:val="1"/>
      <w:marLeft w:val="0"/>
      <w:marRight w:val="0"/>
      <w:marTop w:val="0"/>
      <w:marBottom w:val="0"/>
      <w:divBdr>
        <w:top w:val="none" w:sz="0" w:space="0" w:color="auto"/>
        <w:left w:val="none" w:sz="0" w:space="0" w:color="auto"/>
        <w:bottom w:val="none" w:sz="0" w:space="0" w:color="auto"/>
        <w:right w:val="none" w:sz="0" w:space="0" w:color="auto"/>
      </w:divBdr>
      <w:divsChild>
        <w:div w:id="598222392">
          <w:marLeft w:val="0"/>
          <w:marRight w:val="0"/>
          <w:marTop w:val="0"/>
          <w:marBottom w:val="0"/>
          <w:divBdr>
            <w:top w:val="none" w:sz="0" w:space="0" w:color="auto"/>
            <w:left w:val="none" w:sz="0" w:space="0" w:color="auto"/>
            <w:bottom w:val="none" w:sz="0" w:space="0" w:color="auto"/>
            <w:right w:val="none" w:sz="0" w:space="0" w:color="auto"/>
          </w:divBdr>
          <w:divsChild>
            <w:div w:id="936905636">
              <w:marLeft w:val="240"/>
              <w:marRight w:val="0"/>
              <w:marTop w:val="0"/>
              <w:marBottom w:val="0"/>
              <w:divBdr>
                <w:top w:val="none" w:sz="0" w:space="0" w:color="auto"/>
                <w:left w:val="none" w:sz="0" w:space="0" w:color="auto"/>
                <w:bottom w:val="none" w:sz="0" w:space="0" w:color="auto"/>
                <w:right w:val="none" w:sz="0" w:space="0" w:color="auto"/>
              </w:divBdr>
              <w:divsChild>
                <w:div w:id="20085531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20542647">
          <w:marLeft w:val="0"/>
          <w:marRight w:val="0"/>
          <w:marTop w:val="0"/>
          <w:marBottom w:val="0"/>
          <w:divBdr>
            <w:top w:val="none" w:sz="0" w:space="0" w:color="auto"/>
            <w:left w:val="none" w:sz="0" w:space="0" w:color="auto"/>
            <w:bottom w:val="none" w:sz="0" w:space="0" w:color="auto"/>
            <w:right w:val="none" w:sz="0" w:space="0" w:color="auto"/>
          </w:divBdr>
        </w:div>
      </w:divsChild>
    </w:div>
    <w:div w:id="134445450">
      <w:bodyDiv w:val="1"/>
      <w:marLeft w:val="0"/>
      <w:marRight w:val="0"/>
      <w:marTop w:val="0"/>
      <w:marBottom w:val="0"/>
      <w:divBdr>
        <w:top w:val="none" w:sz="0" w:space="0" w:color="auto"/>
        <w:left w:val="none" w:sz="0" w:space="0" w:color="auto"/>
        <w:bottom w:val="none" w:sz="0" w:space="0" w:color="auto"/>
        <w:right w:val="none" w:sz="0" w:space="0" w:color="auto"/>
      </w:divBdr>
    </w:div>
    <w:div w:id="207424412">
      <w:bodyDiv w:val="1"/>
      <w:marLeft w:val="0"/>
      <w:marRight w:val="0"/>
      <w:marTop w:val="0"/>
      <w:marBottom w:val="0"/>
      <w:divBdr>
        <w:top w:val="none" w:sz="0" w:space="0" w:color="auto"/>
        <w:left w:val="none" w:sz="0" w:space="0" w:color="auto"/>
        <w:bottom w:val="none" w:sz="0" w:space="0" w:color="auto"/>
        <w:right w:val="none" w:sz="0" w:space="0" w:color="auto"/>
      </w:divBdr>
      <w:divsChild>
        <w:div w:id="1324313978">
          <w:marLeft w:val="0"/>
          <w:marRight w:val="0"/>
          <w:marTop w:val="0"/>
          <w:marBottom w:val="48"/>
          <w:divBdr>
            <w:top w:val="none" w:sz="0" w:space="0" w:color="auto"/>
            <w:left w:val="none" w:sz="0" w:space="0" w:color="auto"/>
            <w:bottom w:val="none" w:sz="0" w:space="0" w:color="auto"/>
            <w:right w:val="none" w:sz="0" w:space="0" w:color="auto"/>
          </w:divBdr>
        </w:div>
        <w:div w:id="2121485703">
          <w:marLeft w:val="0"/>
          <w:marRight w:val="0"/>
          <w:marTop w:val="0"/>
          <w:marBottom w:val="48"/>
          <w:divBdr>
            <w:top w:val="none" w:sz="0" w:space="0" w:color="auto"/>
            <w:left w:val="none" w:sz="0" w:space="0" w:color="auto"/>
            <w:bottom w:val="none" w:sz="0" w:space="0" w:color="auto"/>
            <w:right w:val="none" w:sz="0" w:space="0" w:color="auto"/>
          </w:divBdr>
        </w:div>
      </w:divsChild>
    </w:div>
    <w:div w:id="248584039">
      <w:bodyDiv w:val="1"/>
      <w:marLeft w:val="0"/>
      <w:marRight w:val="0"/>
      <w:marTop w:val="0"/>
      <w:marBottom w:val="0"/>
      <w:divBdr>
        <w:top w:val="none" w:sz="0" w:space="0" w:color="auto"/>
        <w:left w:val="none" w:sz="0" w:space="0" w:color="auto"/>
        <w:bottom w:val="none" w:sz="0" w:space="0" w:color="auto"/>
        <w:right w:val="none" w:sz="0" w:space="0" w:color="auto"/>
      </w:divBdr>
      <w:divsChild>
        <w:div w:id="157158245">
          <w:marLeft w:val="0"/>
          <w:marRight w:val="0"/>
          <w:marTop w:val="0"/>
          <w:marBottom w:val="0"/>
          <w:divBdr>
            <w:top w:val="none" w:sz="0" w:space="0" w:color="auto"/>
            <w:left w:val="none" w:sz="0" w:space="0" w:color="auto"/>
            <w:bottom w:val="none" w:sz="0" w:space="0" w:color="auto"/>
            <w:right w:val="none" w:sz="0" w:space="0" w:color="auto"/>
          </w:divBdr>
          <w:divsChild>
            <w:div w:id="696154237">
              <w:marLeft w:val="240"/>
              <w:marRight w:val="0"/>
              <w:marTop w:val="0"/>
              <w:marBottom w:val="0"/>
              <w:divBdr>
                <w:top w:val="none" w:sz="0" w:space="0" w:color="auto"/>
                <w:left w:val="none" w:sz="0" w:space="0" w:color="auto"/>
                <w:bottom w:val="none" w:sz="0" w:space="0" w:color="auto"/>
                <w:right w:val="none" w:sz="0" w:space="0" w:color="auto"/>
              </w:divBdr>
              <w:divsChild>
                <w:div w:id="134212448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699747981">
          <w:marLeft w:val="0"/>
          <w:marRight w:val="0"/>
          <w:marTop w:val="0"/>
          <w:marBottom w:val="0"/>
          <w:divBdr>
            <w:top w:val="none" w:sz="0" w:space="0" w:color="auto"/>
            <w:left w:val="none" w:sz="0" w:space="0" w:color="auto"/>
            <w:bottom w:val="none" w:sz="0" w:space="0" w:color="auto"/>
            <w:right w:val="none" w:sz="0" w:space="0" w:color="auto"/>
          </w:divBdr>
        </w:div>
      </w:divsChild>
    </w:div>
    <w:div w:id="11664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e03b37f4209ddfe238a9d5a7d6145df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48EA-A23C-4770-86EF-59A4EAD57B36}">
  <ds:schemaRefs>
    <ds:schemaRef ds:uri="http://schemas.microsoft.com/sharepoint/v3/contenttype/forms"/>
  </ds:schemaRefs>
</ds:datastoreItem>
</file>

<file path=customXml/itemProps2.xml><?xml version="1.0" encoding="utf-8"?>
<ds:datastoreItem xmlns:ds="http://schemas.openxmlformats.org/officeDocument/2006/customXml" ds:itemID="{48673A50-EA8F-454E-A0D0-B0BC032EC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E95CF7-2945-497D-B2E0-A9B0DF3AEC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DD5230-7D3E-4474-853C-9F385E75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12950</Words>
  <Characters>71230</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Mirian Amaro Lopez</cp:lastModifiedBy>
  <cp:revision>2</cp:revision>
  <dcterms:created xsi:type="dcterms:W3CDTF">2016-02-29T18:08:00Z</dcterms:created>
  <dcterms:modified xsi:type="dcterms:W3CDTF">2016-02-29T18:08:00Z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