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29" w:rsidRPr="009C6925" w:rsidRDefault="00C26729" w:rsidP="00C26729">
      <w:pPr>
        <w:spacing w:after="1" w:line="217" w:lineRule="auto"/>
        <w:rPr>
          <w:rFonts w:eastAsia="Times New Roman"/>
          <w:b/>
          <w:bCs/>
          <w:i/>
        </w:rPr>
      </w:pPr>
      <w:r w:rsidRPr="009C6925">
        <w:rPr>
          <w:b/>
        </w:rPr>
        <w:t xml:space="preserve">RESPUESTAS GENERALES QUE BRINDA EL INSTITUTO FEDERAL DE TELECOMUNICACIONES A LAS MANIFESTACIONES, OPINIONES, COMENTARIOS Y PROPUESTAS CONCRETAS, PRESENTADAS DURANTE LA CONSULTA PÚBLICA </w:t>
      </w:r>
      <w:r w:rsidR="00B7435F" w:rsidRPr="009C6925">
        <w:rPr>
          <w:b/>
        </w:rPr>
        <w:t>RESPECTO A LAS “PROPUESTAS DE OFERTAS DE REFERENCIA PRESENTADAS POR EL AGENTE ECONÓMICO PREPONDERANTE EN EL SECTOR DE LAS TELECOMUNICACIONES”</w:t>
      </w:r>
    </w:p>
    <w:p w:rsidR="00190B58" w:rsidRPr="009C6925" w:rsidRDefault="00190B58" w:rsidP="00190B58"/>
    <w:p w:rsidR="00190B58" w:rsidRPr="00C26729" w:rsidRDefault="00190B58" w:rsidP="00C475F3">
      <w:r w:rsidRPr="00C26729">
        <w:t xml:space="preserve">El Instituto </w:t>
      </w:r>
      <w:r w:rsidRPr="00C475F3">
        <w:t>Federal de Telecomunicaciones (en lo sucesivo el “Instituto”) en atención a lo establecido en el artículo 51 de la Ley Federal de Telecomunicaciones y Radiodifusión (en lo sucesivo, la “Ley”), que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sometió a consulta pública las “Propuestas de Ofertas de Referencia presentadas por el Agente Económico Preponderante en el sector de las telecomunicaciones” durante el periodo comprendido del 14 de julio al 12 de agosto de 2015 (30 días</w:t>
      </w:r>
      <w:r w:rsidRPr="00C26729">
        <w:t xml:space="preserve"> naturales).</w:t>
      </w:r>
    </w:p>
    <w:p w:rsidR="00190B58" w:rsidRDefault="00190B58" w:rsidP="00190B58">
      <w:pPr>
        <w:tabs>
          <w:tab w:val="left" w:pos="6765"/>
        </w:tabs>
        <w:rPr>
          <w:lang w:val="es-ES_tradnl"/>
        </w:rPr>
      </w:pPr>
    </w:p>
    <w:p w:rsidR="00190B58" w:rsidRPr="00190B58" w:rsidRDefault="00190B58" w:rsidP="00190B58">
      <w:pPr>
        <w:rPr>
          <w:lang w:val="es-ES_tradnl"/>
        </w:rPr>
      </w:pPr>
      <w:r w:rsidRPr="00BB6206">
        <w:rPr>
          <w:lang w:val="es-ES_tradnl"/>
        </w:rPr>
        <w:t xml:space="preserve">Con relación a las manifestaciones, opiniones, comentarios y propuestas concretas sobre </w:t>
      </w:r>
      <w:r w:rsidRPr="00C26729">
        <w:rPr>
          <w:lang w:val="es-ES_tradnl"/>
        </w:rPr>
        <w:t xml:space="preserve">el </w:t>
      </w:r>
      <w:r>
        <w:rPr>
          <w:lang w:val="es-ES_tradnl"/>
        </w:rPr>
        <w:t>“</w:t>
      </w:r>
      <w:r w:rsidRPr="00C26729">
        <w:rPr>
          <w:lang w:val="es-ES_tradnl"/>
        </w:rPr>
        <w:t xml:space="preserve">Convenio Marco de Interconexión de </w:t>
      </w:r>
      <w:r>
        <w:rPr>
          <w:lang w:val="es-ES_tradnl"/>
        </w:rPr>
        <w:t xml:space="preserve">Radiomóvil Dipsa, S.A. de C.V.” </w:t>
      </w:r>
      <w:r w:rsidRPr="00C26729">
        <w:rPr>
          <w:lang w:val="es-ES_tradnl"/>
        </w:rPr>
        <w:t xml:space="preserve"> </w:t>
      </w:r>
      <w:r>
        <w:rPr>
          <w:lang w:val="es-ES_tradnl"/>
        </w:rPr>
        <w:t>(</w:t>
      </w:r>
      <w:proofErr w:type="gramStart"/>
      <w:r>
        <w:rPr>
          <w:lang w:val="es-ES_tradnl"/>
        </w:rPr>
        <w:t>en</w:t>
      </w:r>
      <w:proofErr w:type="gramEnd"/>
      <w:r>
        <w:rPr>
          <w:lang w:val="es-ES_tradnl"/>
        </w:rPr>
        <w:t xml:space="preserve"> lo sucesivo, el “CMI de Telcel”) que forma parte</w:t>
      </w:r>
      <w:r w:rsidRPr="00BB6206">
        <w:rPr>
          <w:lang w:val="es-ES_tradnl"/>
        </w:rPr>
        <w:t xml:space="preserve"> de la consulta pública de mérito, se informa que el Instituto atendió los temas recibidos y que, todas las opiniones y pronunciamientos recibidos, se encuentran disponibles para su consulta en la página de internet del Instituto.</w:t>
      </w:r>
    </w:p>
    <w:p w:rsidR="00190B58" w:rsidRPr="00BB6206" w:rsidRDefault="00190B58" w:rsidP="00BB6206">
      <w:pPr>
        <w:rPr>
          <w:lang w:val="es-ES_tradnl"/>
        </w:rPr>
      </w:pPr>
      <w:r w:rsidRPr="00BB6206">
        <w:rPr>
          <w:lang w:val="es-ES_tradnl"/>
        </w:rPr>
        <w:t xml:space="preserve"> </w:t>
      </w:r>
    </w:p>
    <w:p w:rsidR="00C26729" w:rsidRPr="00BB6206" w:rsidRDefault="00C26729" w:rsidP="00BB6206">
      <w:pPr>
        <w:rPr>
          <w:lang w:val="es-ES_tradnl"/>
        </w:rPr>
      </w:pPr>
      <w:r w:rsidRPr="00BB6206">
        <w:rPr>
          <w:lang w:val="es-ES_tradnl"/>
        </w:rPr>
        <w:t xml:space="preserve">Durante el periodo de la consulta pública de mérito, se recibieron </w:t>
      </w:r>
      <w:r w:rsidR="00E83D3C">
        <w:rPr>
          <w:lang w:val="es-ES_tradnl"/>
        </w:rPr>
        <w:t>8</w:t>
      </w:r>
      <w:r w:rsidRPr="00BB6206">
        <w:rPr>
          <w:lang w:val="es-ES_tradnl"/>
        </w:rPr>
        <w:t xml:space="preserve"> participaciones</w:t>
      </w:r>
      <w:r w:rsidR="00C0560D" w:rsidRPr="00BB6206">
        <w:rPr>
          <w:lang w:val="es-ES_tradnl"/>
        </w:rPr>
        <w:t xml:space="preserve"> de</w:t>
      </w:r>
      <w:r w:rsidR="00190B58" w:rsidRPr="00BB6206">
        <w:rPr>
          <w:lang w:val="es-ES_tradnl"/>
        </w:rPr>
        <w:t xml:space="preserve"> las siguientes personas morales:</w:t>
      </w:r>
    </w:p>
    <w:p w:rsidR="00796DBE" w:rsidRPr="009C6925" w:rsidRDefault="00796DBE" w:rsidP="00190B58"/>
    <w:p w:rsidR="00796DBE" w:rsidRDefault="00796DBE" w:rsidP="00057D52">
      <w:pPr>
        <w:pStyle w:val="Prrafodelista"/>
        <w:numPr>
          <w:ilvl w:val="0"/>
          <w:numId w:val="13"/>
        </w:numPr>
      </w:pPr>
      <w:r>
        <w:t>Megacable Comunicaciones de México, S.A. de C.V. (“MCM”);</w:t>
      </w:r>
    </w:p>
    <w:p w:rsidR="00796DBE" w:rsidRDefault="00796DBE" w:rsidP="00057D52">
      <w:pPr>
        <w:pStyle w:val="Prrafodelista"/>
        <w:numPr>
          <w:ilvl w:val="0"/>
          <w:numId w:val="13"/>
        </w:numPr>
      </w:pPr>
      <w:r>
        <w:t>Alestra, S. de R.L. de C.V. (“Alestra”);</w:t>
      </w:r>
    </w:p>
    <w:p w:rsidR="00796DBE" w:rsidRDefault="00796DBE" w:rsidP="00057D52">
      <w:pPr>
        <w:pStyle w:val="Prrafodelista"/>
        <w:numPr>
          <w:ilvl w:val="0"/>
          <w:numId w:val="13"/>
        </w:numPr>
      </w:pPr>
      <w:r>
        <w:t>Cámara Nacional de la Industria Electrónica, de Telecomunicaciones y Tecnolo</w:t>
      </w:r>
      <w:r w:rsidR="00734984">
        <w:t>gías de la Información. (“CANIE</w:t>
      </w:r>
      <w:r>
        <w:t>TI);</w:t>
      </w:r>
    </w:p>
    <w:p w:rsidR="00796DBE" w:rsidRDefault="00796DBE" w:rsidP="00057D52">
      <w:pPr>
        <w:pStyle w:val="Prrafodelista"/>
        <w:numPr>
          <w:ilvl w:val="0"/>
          <w:numId w:val="13"/>
        </w:numPr>
      </w:pPr>
      <w:r w:rsidRPr="00796DBE">
        <w:t>Comunicaciones Celulares de Occidente, S.A. de C.V., Sistemas Telefónicos Portátiles Celulares, S.A. de C.V., Telecomunicaciones del Golfo, S.A. de C.V., Iusacell PCS, S.A. de C.V.,</w:t>
      </w:r>
      <w:r>
        <w:t xml:space="preserve"> </w:t>
      </w:r>
      <w:r w:rsidRPr="00796DBE">
        <w:t xml:space="preserve">Iusacell PCS de México, S.A. de C.V., SOS Telecomunicaciones S.A. de C.V., </w:t>
      </w:r>
      <w:proofErr w:type="spellStart"/>
      <w:r w:rsidRPr="00796DBE">
        <w:t>Portatel</w:t>
      </w:r>
      <w:proofErr w:type="spellEnd"/>
      <w:r w:rsidRPr="00796DBE">
        <w:t xml:space="preserve"> del Sureste, S.A. de C.V. y Operador</w:t>
      </w:r>
      <w:r>
        <w:t>a Unefon, S.A. de C.V. (“Iusacell”);</w:t>
      </w:r>
    </w:p>
    <w:p w:rsidR="00734984" w:rsidRPr="00734984" w:rsidRDefault="00734984" w:rsidP="00057D52">
      <w:pPr>
        <w:numPr>
          <w:ilvl w:val="0"/>
          <w:numId w:val="13"/>
        </w:numPr>
        <w:contextualSpacing/>
        <w:rPr>
          <w:lang w:val="es-ES_tradnl"/>
        </w:rPr>
      </w:pPr>
      <w:r w:rsidRPr="009C6DBD">
        <w:rPr>
          <w:lang w:val="es-ES_tradnl"/>
        </w:rPr>
        <w:t>Mega</w:t>
      </w:r>
      <w:r>
        <w:rPr>
          <w:lang w:val="es-ES_tradnl"/>
        </w:rPr>
        <w:t xml:space="preserve"> C</w:t>
      </w:r>
      <w:r w:rsidRPr="009C6DBD">
        <w:rPr>
          <w:lang w:val="es-ES_tradnl"/>
        </w:rPr>
        <w:t xml:space="preserve">able </w:t>
      </w:r>
      <w:r>
        <w:rPr>
          <w:lang w:val="es-ES_tradnl"/>
        </w:rPr>
        <w:t>S.A. de C.V. (“Megacable”);</w:t>
      </w:r>
    </w:p>
    <w:p w:rsidR="00796DBE" w:rsidRDefault="00796DBE" w:rsidP="00057D52">
      <w:pPr>
        <w:pStyle w:val="Prrafodelista"/>
        <w:numPr>
          <w:ilvl w:val="0"/>
          <w:numId w:val="13"/>
        </w:numPr>
      </w:pPr>
      <w:r>
        <w:t>NII Digital, S. de R.L. de C.V. (“Nextel”);</w:t>
      </w:r>
    </w:p>
    <w:p w:rsidR="00796DBE" w:rsidRDefault="00796DBE" w:rsidP="00057D52">
      <w:pPr>
        <w:pStyle w:val="Prrafodelista"/>
        <w:numPr>
          <w:ilvl w:val="0"/>
          <w:numId w:val="13"/>
        </w:numPr>
      </w:pPr>
      <w:proofErr w:type="spellStart"/>
      <w:r>
        <w:t>Operbes</w:t>
      </w:r>
      <w:proofErr w:type="spellEnd"/>
      <w:r>
        <w:t xml:space="preserve">, S.A. de C.V., </w:t>
      </w:r>
      <w:proofErr w:type="spellStart"/>
      <w:r>
        <w:t>Bestphone</w:t>
      </w:r>
      <w:proofErr w:type="spellEnd"/>
      <w:r>
        <w:t xml:space="preserve">, S.A. de C.V., Cablevisión, S.A. de C.V., </w:t>
      </w:r>
      <w:proofErr w:type="spellStart"/>
      <w:r>
        <w:t>Cablemás</w:t>
      </w:r>
      <w:proofErr w:type="spellEnd"/>
      <w:r>
        <w:t xml:space="preserve"> Telecomunicaciones, S.A. de C.V., Cable y Comunicación de Campeche, S.A. de C.V. y Cablevisión Red, S.A. de C.V. (“Televisa”);</w:t>
      </w:r>
    </w:p>
    <w:p w:rsidR="00796DBE" w:rsidRDefault="00C0560D" w:rsidP="00057D52">
      <w:pPr>
        <w:pStyle w:val="Prrafodelista"/>
        <w:numPr>
          <w:ilvl w:val="0"/>
          <w:numId w:val="13"/>
        </w:numPr>
      </w:pPr>
      <w:r>
        <w:t>Pegaso PCS, S.A. de C.V./Grupo de Telecomunicaciones Mexicanas, S.A. de C.V. (“GTM”);</w:t>
      </w:r>
    </w:p>
    <w:p w:rsidR="00C26729" w:rsidRPr="009C6925" w:rsidRDefault="00C26729" w:rsidP="00C0560D">
      <w:pPr>
        <w:spacing w:after="31"/>
      </w:pPr>
    </w:p>
    <w:p w:rsidR="00190B58" w:rsidRDefault="00190B58" w:rsidP="00190B58">
      <w:pPr>
        <w:rPr>
          <w:lang w:val="es-ES_tradnl"/>
        </w:rPr>
      </w:pPr>
      <w:bookmarkStart w:id="0" w:name="_Toc435609176"/>
      <w:bookmarkStart w:id="1" w:name="SectionReportBody"/>
      <w:bookmarkStart w:id="2" w:name="_Toc170555204"/>
      <w:bookmarkStart w:id="3" w:name="_Toc184809591"/>
      <w:r w:rsidRPr="00C26729">
        <w:rPr>
          <w:lang w:val="es-ES_tradnl"/>
        </w:rPr>
        <w:lastRenderedPageBreak/>
        <w:t xml:space="preserve">El presente informe presenta un análisis de los diferentes comentarios de la industria con base en la respuesta realizada por el Instituto en el documento de resolución que acompaña la oferta de referencia publicada. </w:t>
      </w:r>
    </w:p>
    <w:p w:rsidR="00190B58" w:rsidRPr="00C26729" w:rsidRDefault="00190B58" w:rsidP="00190B58">
      <w:pPr>
        <w:rPr>
          <w:lang w:val="es-ES_tradnl"/>
        </w:rPr>
      </w:pPr>
    </w:p>
    <w:p w:rsidR="00190B58" w:rsidRDefault="00190B58" w:rsidP="00190B58">
      <w:pPr>
        <w:rPr>
          <w:lang w:val="es-ES_tradnl"/>
        </w:rPr>
      </w:pPr>
      <w:r w:rsidRPr="00C26729">
        <w:rPr>
          <w:lang w:val="es-ES_tradnl"/>
        </w:rPr>
        <w:t>Con el fin de facilitar la lectura del documento se ha incluido un resumen de la Cláusula</w:t>
      </w:r>
      <w:r>
        <w:rPr>
          <w:lang w:val="es-ES_tradnl"/>
        </w:rPr>
        <w:t xml:space="preserve"> de la Oferta de Referencia</w:t>
      </w:r>
      <w:r w:rsidRPr="00C26729">
        <w:rPr>
          <w:lang w:val="es-ES_tradnl"/>
        </w:rPr>
        <w:t>, un resumen de los comentarios de la industria y la respuesta a los mismos según la repuesta en la resolución del Instituto.</w:t>
      </w:r>
    </w:p>
    <w:p w:rsidR="00190B58" w:rsidRPr="00C26729" w:rsidRDefault="00190B58" w:rsidP="00190B58">
      <w:pPr>
        <w:rPr>
          <w:lang w:val="es-ES_tradnl"/>
        </w:rPr>
      </w:pPr>
    </w:p>
    <w:p w:rsidR="00190B58" w:rsidRDefault="00190B58" w:rsidP="00190B58">
      <w:pPr>
        <w:rPr>
          <w:lang w:val="es-ES_tradnl"/>
        </w:rPr>
      </w:pPr>
      <w:r w:rsidRPr="00C26729">
        <w:rPr>
          <w:lang w:val="es-ES_tradnl"/>
        </w:rPr>
        <w:t>El presente documento está estructurado como sigue:</w:t>
      </w:r>
    </w:p>
    <w:p w:rsidR="00D600AB" w:rsidRDefault="00190B58" w:rsidP="00B22C32">
      <w:pPr>
        <w:pStyle w:val="II"/>
        <w:tabs>
          <w:tab w:val="num" w:pos="360"/>
        </w:tabs>
        <w:ind w:left="714" w:hanging="357"/>
        <w:rPr>
          <w:lang w:val="es-ES_tradnl"/>
        </w:rPr>
      </w:pPr>
      <w:r w:rsidRPr="00D600AB">
        <w:rPr>
          <w:lang w:val="es-ES_tradnl"/>
        </w:rPr>
        <w:t xml:space="preserve">La </w:t>
      </w:r>
      <w:r w:rsidRPr="00D600AB">
        <w:rPr>
          <w:i/>
          <w:lang w:val="es-ES_tradnl"/>
        </w:rPr>
        <w:t>Sección </w:t>
      </w:r>
      <w:r w:rsidR="000E043D" w:rsidRPr="00D600AB">
        <w:rPr>
          <w:i/>
          <w:lang w:val="es-ES_tradnl"/>
        </w:rPr>
        <w:t>1</w:t>
      </w:r>
      <w:r w:rsidRPr="00D600AB">
        <w:rPr>
          <w:lang w:val="es-ES_tradnl"/>
        </w:rPr>
        <w:t xml:space="preserve"> describe los comentarios realizados a las Cláusulas de la Oferta de Referencia CMI de Telcel. </w:t>
      </w:r>
    </w:p>
    <w:p w:rsidR="00F702E9" w:rsidRDefault="00190B58" w:rsidP="00D600AB">
      <w:pPr>
        <w:pStyle w:val="II"/>
        <w:tabs>
          <w:tab w:val="num" w:pos="360"/>
        </w:tabs>
        <w:ind w:left="714" w:hanging="357"/>
        <w:rPr>
          <w:lang w:val="es-ES_tradnl"/>
        </w:rPr>
      </w:pPr>
      <w:r w:rsidRPr="00D600AB">
        <w:rPr>
          <w:lang w:val="es-ES_tradnl"/>
        </w:rPr>
        <w:t xml:space="preserve">La </w:t>
      </w:r>
      <w:r w:rsidRPr="00D600AB">
        <w:rPr>
          <w:i/>
          <w:lang w:val="es-ES_tradnl"/>
        </w:rPr>
        <w:t>Sección </w:t>
      </w:r>
      <w:r w:rsidR="000E043D" w:rsidRPr="00D600AB">
        <w:rPr>
          <w:i/>
          <w:lang w:val="es-ES_tradnl"/>
        </w:rPr>
        <w:t>2</w:t>
      </w:r>
      <w:r w:rsidRPr="00D600AB">
        <w:rPr>
          <w:lang w:val="es-ES_tradnl"/>
        </w:rPr>
        <w:t xml:space="preserve"> describe los comentarios realizados a los Anexos de la Oferta de Referencia CMI de Telcel.</w:t>
      </w:r>
    </w:p>
    <w:p w:rsidR="00D600AB" w:rsidRDefault="00D600AB" w:rsidP="00D600AB">
      <w:pPr>
        <w:pStyle w:val="II"/>
        <w:numPr>
          <w:ilvl w:val="0"/>
          <w:numId w:val="0"/>
        </w:numPr>
        <w:rPr>
          <w:lang w:val="es-ES_tradnl"/>
        </w:rPr>
      </w:pPr>
      <w:bookmarkStart w:id="4" w:name="_GoBack"/>
      <w:bookmarkEnd w:id="4"/>
    </w:p>
    <w:p w:rsidR="00F702E9" w:rsidRDefault="00000EF0" w:rsidP="00396503">
      <w:pPr>
        <w:pStyle w:val="Ttulo1"/>
      </w:pPr>
      <w:r w:rsidRPr="00000EF0">
        <w:t xml:space="preserve">Comentarios a las Cláusulas </w:t>
      </w:r>
      <w:bookmarkEnd w:id="0"/>
    </w:p>
    <w:p w:rsidR="00396503" w:rsidRPr="00396503" w:rsidRDefault="00396503" w:rsidP="00396503">
      <w:pPr>
        <w:pStyle w:val="Texto"/>
      </w:pPr>
    </w:p>
    <w:p w:rsidR="004105F7" w:rsidRPr="00000EF0" w:rsidRDefault="00694FDB" w:rsidP="00000EF0">
      <w:pPr>
        <w:pStyle w:val="Ttulo2"/>
      </w:pPr>
      <w:bookmarkStart w:id="5" w:name="_Toc435609177"/>
      <w:r w:rsidRPr="00000EF0">
        <w:t xml:space="preserve">Cláusula </w:t>
      </w:r>
      <w:r w:rsidR="008536B7" w:rsidRPr="00000EF0">
        <w:t>P</w:t>
      </w:r>
      <w:r w:rsidR="000E043D" w:rsidRPr="00000EF0">
        <w:t xml:space="preserve">rimera. </w:t>
      </w:r>
      <w:r w:rsidRPr="00000EF0">
        <w:t>Definiciones</w:t>
      </w:r>
      <w:bookmarkEnd w:id="5"/>
      <w:r w:rsidR="000E043D" w:rsidRPr="00000EF0">
        <w:t>.</w:t>
      </w:r>
    </w:p>
    <w:p w:rsidR="0028265B" w:rsidRPr="00354FA3" w:rsidRDefault="0028265B" w:rsidP="00354FA3">
      <w:pPr>
        <w:pStyle w:val="Ttulo3"/>
      </w:pPr>
      <w:r w:rsidRPr="00354FA3">
        <w:t xml:space="preserve">Resumen de la </w:t>
      </w:r>
      <w:r w:rsidR="008B2CD2" w:rsidRPr="00354FA3">
        <w:t>Cláusula</w:t>
      </w:r>
    </w:p>
    <w:p w:rsidR="00477D51" w:rsidRDefault="00477D51" w:rsidP="00190B58">
      <w:pPr>
        <w:rPr>
          <w:lang w:val="es-SV"/>
        </w:rPr>
      </w:pPr>
      <w:r w:rsidRPr="00190B58">
        <w:rPr>
          <w:lang w:val="es-SV"/>
        </w:rPr>
        <w:t xml:space="preserve">La </w:t>
      </w:r>
      <w:r w:rsidR="008536B7" w:rsidRPr="00190B58">
        <w:rPr>
          <w:lang w:val="es-SV"/>
        </w:rPr>
        <w:t>C</w:t>
      </w:r>
      <w:r w:rsidRPr="00190B58">
        <w:rPr>
          <w:lang w:val="es-SV"/>
        </w:rPr>
        <w:t xml:space="preserve">láusula </w:t>
      </w:r>
      <w:r w:rsidR="008536B7" w:rsidRPr="00190B58">
        <w:rPr>
          <w:lang w:val="es-SV"/>
        </w:rPr>
        <w:t>P</w:t>
      </w:r>
      <w:r w:rsidRPr="00190B58">
        <w:rPr>
          <w:lang w:val="es-SV"/>
        </w:rPr>
        <w:t xml:space="preserve">rimera establece las definiciones, términos y acrónimos que se considerarán a lo largo </w:t>
      </w:r>
      <w:r w:rsidR="008536B7" w:rsidRPr="00190B58">
        <w:rPr>
          <w:lang w:val="es-SV"/>
        </w:rPr>
        <w:t>del Convenio</w:t>
      </w:r>
      <w:r w:rsidRPr="00190B58">
        <w:rPr>
          <w:lang w:val="es-SV"/>
        </w:rPr>
        <w:t>.</w:t>
      </w:r>
    </w:p>
    <w:p w:rsidR="00000EF0" w:rsidRPr="00190B58" w:rsidRDefault="00000EF0" w:rsidP="00190B58">
      <w:pPr>
        <w:rPr>
          <w:lang w:val="es-SV"/>
        </w:rPr>
      </w:pPr>
    </w:p>
    <w:p w:rsidR="0028265B" w:rsidRPr="00000EF0" w:rsidRDefault="0028265B" w:rsidP="00354FA3">
      <w:pPr>
        <w:pStyle w:val="Ttulo3"/>
      </w:pPr>
      <w:r w:rsidRPr="00000EF0">
        <w:t>Comentarios de la industria</w:t>
      </w:r>
    </w:p>
    <w:p w:rsidR="00B834B3" w:rsidRDefault="00B834B3" w:rsidP="00190B58">
      <w:pPr>
        <w:rPr>
          <w:lang w:val="es-ES_tradnl"/>
        </w:rPr>
      </w:pPr>
      <w:r w:rsidRPr="00190B58">
        <w:rPr>
          <w:lang w:val="es-ES_tradnl"/>
        </w:rPr>
        <w:t>Los operadores solicitan la modificación de las siguientes definiciones:</w:t>
      </w:r>
    </w:p>
    <w:p w:rsidR="00B834B3" w:rsidRPr="00190B58" w:rsidRDefault="00B834B3" w:rsidP="00265252">
      <w:pPr>
        <w:pStyle w:val="II"/>
        <w:ind w:left="714" w:hanging="357"/>
        <w:rPr>
          <w:lang w:val="es-SV"/>
        </w:rPr>
      </w:pPr>
      <w:r w:rsidRPr="00190B58">
        <w:rPr>
          <w:lang w:val="es-SV"/>
        </w:rPr>
        <w:t>Plan de Interconexión para el Plan de Señalización</w:t>
      </w:r>
    </w:p>
    <w:p w:rsidR="00B834B3" w:rsidRPr="00190B58" w:rsidRDefault="00B834B3" w:rsidP="00265252">
      <w:pPr>
        <w:pStyle w:val="II"/>
        <w:ind w:left="714" w:hanging="357"/>
        <w:rPr>
          <w:lang w:val="es-SV"/>
        </w:rPr>
      </w:pPr>
      <w:r w:rsidRPr="00190B58">
        <w:rPr>
          <w:lang w:val="es-SV"/>
        </w:rPr>
        <w:t>Servicios de Interconexión</w:t>
      </w:r>
    </w:p>
    <w:p w:rsidR="00B834B3" w:rsidRPr="00190B58" w:rsidRDefault="00B834B3" w:rsidP="00265252">
      <w:pPr>
        <w:pStyle w:val="II"/>
        <w:ind w:left="714" w:hanging="357"/>
        <w:rPr>
          <w:lang w:val="es-SV"/>
        </w:rPr>
      </w:pPr>
      <w:r w:rsidRPr="00190B58">
        <w:rPr>
          <w:lang w:val="es-SV"/>
        </w:rPr>
        <w:t>Trato No Discriminatorio</w:t>
      </w:r>
    </w:p>
    <w:p w:rsidR="00B834B3" w:rsidRPr="00190B58" w:rsidRDefault="00B834B3" w:rsidP="00265252">
      <w:pPr>
        <w:pStyle w:val="II"/>
        <w:ind w:left="714" w:hanging="357"/>
        <w:rPr>
          <w:lang w:val="es-SV"/>
        </w:rPr>
      </w:pPr>
      <w:r w:rsidRPr="00190B58">
        <w:rPr>
          <w:lang w:val="es-SV"/>
        </w:rPr>
        <w:t>ASL</w:t>
      </w:r>
      <w:r w:rsidR="008536B7" w:rsidRPr="00190B58">
        <w:rPr>
          <w:lang w:val="es-SV"/>
        </w:rPr>
        <w:t>.</w:t>
      </w:r>
    </w:p>
    <w:p w:rsidR="00853298" w:rsidRDefault="00853298" w:rsidP="00190B58">
      <w:pPr>
        <w:pStyle w:val="Listaconvietas"/>
        <w:numPr>
          <w:ilvl w:val="0"/>
          <w:numId w:val="0"/>
        </w:numPr>
        <w:rPr>
          <w:lang w:val="es-SV"/>
        </w:rPr>
      </w:pPr>
    </w:p>
    <w:p w:rsidR="00B834B3" w:rsidRDefault="00B834B3" w:rsidP="00190B58">
      <w:pPr>
        <w:pStyle w:val="Listaconvietas"/>
        <w:numPr>
          <w:ilvl w:val="0"/>
          <w:numId w:val="0"/>
        </w:numPr>
        <w:rPr>
          <w:lang w:val="es-SV"/>
        </w:rPr>
      </w:pPr>
      <w:r w:rsidRPr="00190B58">
        <w:rPr>
          <w:lang w:val="es-SV"/>
        </w:rPr>
        <w:t xml:space="preserve">Además, la industria propone agregar a la </w:t>
      </w:r>
      <w:r w:rsidR="008B2CD2" w:rsidRPr="00190B58">
        <w:rPr>
          <w:lang w:val="es-SV"/>
        </w:rPr>
        <w:t xml:space="preserve">Cláusula Primera </w:t>
      </w:r>
      <w:r w:rsidRPr="00190B58">
        <w:rPr>
          <w:lang w:val="es-SV"/>
        </w:rPr>
        <w:t>las siguientes definiciones:</w:t>
      </w:r>
    </w:p>
    <w:p w:rsidR="00B834B3" w:rsidRPr="00190B58" w:rsidRDefault="00B834B3" w:rsidP="00265252">
      <w:pPr>
        <w:pStyle w:val="II"/>
        <w:ind w:left="714" w:hanging="357"/>
        <w:rPr>
          <w:lang w:val="es-SV"/>
        </w:rPr>
      </w:pPr>
      <w:r w:rsidRPr="00190B58">
        <w:rPr>
          <w:lang w:val="es-SV"/>
        </w:rPr>
        <w:t>Interconexión IP</w:t>
      </w:r>
    </w:p>
    <w:p w:rsidR="00190B58" w:rsidRPr="00000EF0" w:rsidRDefault="00B834B3" w:rsidP="0055494B">
      <w:pPr>
        <w:pStyle w:val="II"/>
        <w:ind w:left="714" w:hanging="357"/>
        <w:rPr>
          <w:lang w:val="es-ES_tradnl"/>
        </w:rPr>
      </w:pPr>
      <w:r w:rsidRPr="00000EF0">
        <w:rPr>
          <w:lang w:val="es-SV"/>
        </w:rPr>
        <w:t>Puerto de Acceso Universal</w:t>
      </w:r>
      <w:r w:rsidR="008536B7" w:rsidRPr="00000EF0">
        <w:rPr>
          <w:lang w:val="es-SV"/>
        </w:rPr>
        <w:t>.</w:t>
      </w:r>
    </w:p>
    <w:p w:rsidR="00000EF0" w:rsidRPr="00000EF0" w:rsidRDefault="00000EF0" w:rsidP="00000EF0">
      <w:pPr>
        <w:pStyle w:val="II"/>
        <w:numPr>
          <w:ilvl w:val="0"/>
          <w:numId w:val="0"/>
        </w:numPr>
        <w:rPr>
          <w:lang w:val="es-ES_tradnl"/>
        </w:rPr>
      </w:pPr>
    </w:p>
    <w:p w:rsidR="0028265B" w:rsidRPr="000E043D" w:rsidRDefault="0028265B" w:rsidP="00354FA3">
      <w:pPr>
        <w:pStyle w:val="Ttulo3"/>
        <w:rPr>
          <w:i/>
        </w:rPr>
      </w:pPr>
      <w:r w:rsidRPr="000E043D">
        <w:t>Respuesta a los comentarios de la industria</w:t>
      </w:r>
    </w:p>
    <w:p w:rsidR="0028265B" w:rsidRPr="00190B58" w:rsidRDefault="005F1444" w:rsidP="00190B58">
      <w:pPr>
        <w:rPr>
          <w:lang w:val="es-ES_tradnl"/>
        </w:rPr>
      </w:pPr>
      <w:r w:rsidRPr="00190B58">
        <w:rPr>
          <w:lang w:val="es-ES_tradnl"/>
        </w:rPr>
        <w:t>Se modificaron las definiciones que no eran acordes con las Disposiciones Legales Vigente</w:t>
      </w:r>
      <w:r w:rsidR="00477D51" w:rsidRPr="00190B58">
        <w:rPr>
          <w:lang w:val="es-ES_tradnl"/>
        </w:rPr>
        <w:t>s</w:t>
      </w:r>
      <w:r w:rsidR="008536B7" w:rsidRPr="00190B58">
        <w:rPr>
          <w:lang w:val="es-ES_tradnl"/>
        </w:rPr>
        <w:t xml:space="preserve"> en el Convenio Marco de Interconexión de Telcel</w:t>
      </w:r>
      <w:r w:rsidR="00477D51" w:rsidRPr="00190B58">
        <w:rPr>
          <w:lang w:val="es-ES_tradnl"/>
        </w:rPr>
        <w:t>.</w:t>
      </w:r>
    </w:p>
    <w:p w:rsidR="00D263A1" w:rsidRPr="00190B58" w:rsidRDefault="00D263A1" w:rsidP="00190B58">
      <w:pPr>
        <w:rPr>
          <w:lang w:val="es-ES_tradnl"/>
        </w:rPr>
      </w:pPr>
    </w:p>
    <w:p w:rsidR="00ED1384" w:rsidRPr="00000EF0" w:rsidRDefault="00694FDB" w:rsidP="00000EF0">
      <w:pPr>
        <w:pStyle w:val="Ttulo2"/>
      </w:pPr>
      <w:bookmarkStart w:id="6" w:name="_Toc433296733"/>
      <w:bookmarkStart w:id="7" w:name="_Toc435609178"/>
      <w:r w:rsidRPr="00000EF0">
        <w:t xml:space="preserve">Cláusula </w:t>
      </w:r>
      <w:r w:rsidR="008536B7" w:rsidRPr="00000EF0">
        <w:t>S</w:t>
      </w:r>
      <w:r w:rsidRPr="00000EF0">
        <w:t>egunda</w:t>
      </w:r>
      <w:bookmarkEnd w:id="6"/>
      <w:r w:rsidR="000E043D" w:rsidRPr="00000EF0">
        <w:t xml:space="preserve">. </w:t>
      </w:r>
      <w:r w:rsidR="009F2291" w:rsidRPr="00000EF0">
        <w:t>Objeto</w:t>
      </w:r>
      <w:bookmarkEnd w:id="7"/>
      <w:r w:rsidR="000E043D" w:rsidRPr="00000EF0">
        <w:t>.</w:t>
      </w:r>
    </w:p>
    <w:p w:rsidR="00853298" w:rsidRPr="00354FA3" w:rsidRDefault="008B2CD2" w:rsidP="00354FA3">
      <w:pPr>
        <w:pStyle w:val="Ttulo3"/>
      </w:pPr>
      <w:r w:rsidRPr="000E043D">
        <w:t>Resumen de la Cláusula</w:t>
      </w:r>
    </w:p>
    <w:p w:rsidR="00853298" w:rsidRDefault="00477D51" w:rsidP="00000EF0">
      <w:pPr>
        <w:rPr>
          <w:lang w:val="es-SV"/>
        </w:rPr>
      </w:pPr>
      <w:r w:rsidRPr="00853298">
        <w:rPr>
          <w:lang w:val="es-SV"/>
        </w:rPr>
        <w:t xml:space="preserve">La </w:t>
      </w:r>
      <w:r w:rsidR="008536B7" w:rsidRPr="00853298">
        <w:rPr>
          <w:lang w:val="es-SV"/>
        </w:rPr>
        <w:t xml:space="preserve">Cláusula Segunda </w:t>
      </w:r>
      <w:r w:rsidRPr="00853298">
        <w:rPr>
          <w:lang w:val="es-SV"/>
        </w:rPr>
        <w:t xml:space="preserve">especifica el objeto y las generalidades del </w:t>
      </w:r>
      <w:r w:rsidR="008536B7" w:rsidRPr="00853298">
        <w:rPr>
          <w:lang w:val="es-SV"/>
        </w:rPr>
        <w:t>Convenio</w:t>
      </w:r>
      <w:r w:rsidRPr="00853298">
        <w:rPr>
          <w:lang w:val="es-SV"/>
        </w:rPr>
        <w:t xml:space="preserve">, provee la lista de los </w:t>
      </w:r>
      <w:r w:rsidR="008536B7" w:rsidRPr="00853298">
        <w:rPr>
          <w:lang w:val="es-SV"/>
        </w:rPr>
        <w:t xml:space="preserve">Anexos </w:t>
      </w:r>
      <w:r w:rsidRPr="00853298">
        <w:rPr>
          <w:lang w:val="es-SV"/>
        </w:rPr>
        <w:t xml:space="preserve">y de los servicios de interconexión y finalmente se refiere a las obligaciones de Telcel en cuanto a </w:t>
      </w:r>
      <w:r w:rsidR="008536B7" w:rsidRPr="00853298">
        <w:rPr>
          <w:lang w:val="es-SV"/>
        </w:rPr>
        <w:t xml:space="preserve">las </w:t>
      </w:r>
      <w:r w:rsidRPr="00853298">
        <w:rPr>
          <w:lang w:val="es-SV"/>
        </w:rPr>
        <w:t>solicitudes de servicio.</w:t>
      </w:r>
    </w:p>
    <w:p w:rsidR="00000EF0" w:rsidRPr="00000EF0" w:rsidRDefault="00000EF0" w:rsidP="00000EF0">
      <w:pPr>
        <w:rPr>
          <w:lang w:val="es-SV"/>
        </w:rPr>
      </w:pPr>
    </w:p>
    <w:p w:rsidR="00853298" w:rsidRPr="000E043D" w:rsidRDefault="0028265B" w:rsidP="00354FA3">
      <w:pPr>
        <w:pStyle w:val="Ttulo3"/>
        <w:rPr>
          <w:i/>
        </w:rPr>
      </w:pPr>
      <w:r w:rsidRPr="000E043D">
        <w:t>Comentarios de la industria</w:t>
      </w:r>
    </w:p>
    <w:p w:rsidR="0028265B" w:rsidRPr="00853298" w:rsidRDefault="003D3D8F" w:rsidP="00853298">
      <w:pPr>
        <w:rPr>
          <w:lang w:val="es-ES_tradnl"/>
        </w:rPr>
      </w:pPr>
      <w:r w:rsidRPr="00853298">
        <w:rPr>
          <w:lang w:val="es-ES_tradnl"/>
        </w:rPr>
        <w:t>Se recomienda una adición debido a que con la redacción propuesta, Telcel estaría rehusando proporcionar interconexión directa para originar tráfico hacia el Concesionario en caso de que éste así se lo solicite.</w:t>
      </w:r>
    </w:p>
    <w:p w:rsidR="00853298" w:rsidRDefault="00853298" w:rsidP="00853298">
      <w:pPr>
        <w:rPr>
          <w:lang w:val="es-ES_tradnl"/>
        </w:rPr>
      </w:pPr>
    </w:p>
    <w:p w:rsidR="0019372C" w:rsidRPr="00853298" w:rsidRDefault="003D3D8F" w:rsidP="00853298">
      <w:pPr>
        <w:rPr>
          <w:lang w:val="es-ES_tradnl"/>
        </w:rPr>
      </w:pPr>
      <w:r w:rsidRPr="00853298">
        <w:rPr>
          <w:lang w:val="es-ES_tradnl"/>
        </w:rPr>
        <w:t xml:space="preserve">Asimismo, </w:t>
      </w:r>
      <w:r w:rsidR="0019372C" w:rsidRPr="00853298">
        <w:rPr>
          <w:lang w:val="es-ES_tradnl"/>
        </w:rPr>
        <w:t>la industria recomienda modificar la redacción de la interpretación que se hará, en caso de ser necesario, de las obligaciones contenidas en el Convenio y sus Anexos.</w:t>
      </w:r>
    </w:p>
    <w:p w:rsidR="00853298" w:rsidRDefault="00853298" w:rsidP="00853298">
      <w:pPr>
        <w:rPr>
          <w:lang w:val="es-ES_tradnl"/>
        </w:rPr>
      </w:pPr>
    </w:p>
    <w:p w:rsidR="00853298" w:rsidRDefault="003D3D8F" w:rsidP="00000EF0">
      <w:pPr>
        <w:rPr>
          <w:lang w:val="es-ES_tradnl"/>
        </w:rPr>
      </w:pPr>
      <w:r w:rsidRPr="00853298">
        <w:rPr>
          <w:lang w:val="es-ES_tradnl"/>
        </w:rPr>
        <w:t xml:space="preserve">En lo relativo a los servicios de interconexión </w:t>
      </w:r>
      <w:r w:rsidR="008536B7" w:rsidRPr="00853298">
        <w:rPr>
          <w:lang w:val="es-ES_tradnl"/>
        </w:rPr>
        <w:t>se</w:t>
      </w:r>
      <w:r w:rsidRPr="00853298">
        <w:rPr>
          <w:lang w:val="es-ES_tradnl"/>
        </w:rPr>
        <w:t xml:space="preserve"> solicita tomar en cuenta los casos de operadores que manejen sólo tráfico de terminación en Telcel y números no geográficos.</w:t>
      </w:r>
      <w:r w:rsidR="0019372C" w:rsidRPr="00853298">
        <w:rPr>
          <w:lang w:val="es-ES_tradnl"/>
        </w:rPr>
        <w:t xml:space="preserve"> Del mismo modo, se sugiere eliminar la opción de interconexión indirecta pues equivale a una negativa de interconexión directa.</w:t>
      </w:r>
    </w:p>
    <w:p w:rsidR="00000EF0" w:rsidRPr="00BA5727" w:rsidRDefault="00000EF0" w:rsidP="00000EF0"/>
    <w:p w:rsidR="0028265B" w:rsidRPr="000E043D" w:rsidRDefault="0028265B" w:rsidP="00354FA3">
      <w:pPr>
        <w:pStyle w:val="Ttulo3"/>
        <w:rPr>
          <w:i/>
        </w:rPr>
      </w:pPr>
      <w:r w:rsidRPr="000E043D">
        <w:t>Respuesta a los comentarios de la industria</w:t>
      </w:r>
    </w:p>
    <w:p w:rsidR="003D3D8F" w:rsidRPr="00853298" w:rsidRDefault="0019372C" w:rsidP="00853298">
      <w:pPr>
        <w:rPr>
          <w:lang w:val="es-ES_tradnl"/>
        </w:rPr>
      </w:pPr>
      <w:r w:rsidRPr="00853298">
        <w:rPr>
          <w:lang w:val="es-ES_tradnl"/>
        </w:rPr>
        <w:t xml:space="preserve">Se modifica la redacción de la </w:t>
      </w:r>
      <w:r w:rsidR="008536B7" w:rsidRPr="00853298">
        <w:rPr>
          <w:lang w:val="es-ES_tradnl"/>
        </w:rPr>
        <w:t xml:space="preserve">interpretación </w:t>
      </w:r>
      <w:r w:rsidRPr="00853298">
        <w:rPr>
          <w:lang w:val="es-ES_tradnl"/>
        </w:rPr>
        <w:t>que se hará, en caso de ser necesario, de las obligaciones contenidas en el Convenio y sus Anexos.</w:t>
      </w:r>
    </w:p>
    <w:p w:rsidR="0019372C" w:rsidRPr="00853298" w:rsidRDefault="008536B7" w:rsidP="00853298">
      <w:pPr>
        <w:rPr>
          <w:lang w:val="es-SV"/>
        </w:rPr>
      </w:pPr>
      <w:r w:rsidRPr="00853298">
        <w:rPr>
          <w:lang w:val="es-SV"/>
        </w:rPr>
        <w:t>Atendiendo e</w:t>
      </w:r>
      <w:r w:rsidR="0019372C" w:rsidRPr="00853298">
        <w:rPr>
          <w:lang w:val="es-SV"/>
        </w:rPr>
        <w:t xml:space="preserve">l comentario de la industria </w:t>
      </w:r>
      <w:r w:rsidRPr="00853298">
        <w:rPr>
          <w:lang w:val="es-SV"/>
        </w:rPr>
        <w:t>se ha modificado la Cláusula Segunda</w:t>
      </w:r>
      <w:r w:rsidR="0019372C" w:rsidRPr="00853298">
        <w:rPr>
          <w:lang w:val="es-SV"/>
        </w:rPr>
        <w:t xml:space="preserve"> para incluir como primera solución alternativa la interconexión directa, </w:t>
      </w:r>
      <w:proofErr w:type="gramStart"/>
      <w:r w:rsidRPr="00853298">
        <w:rPr>
          <w:lang w:val="es-SV"/>
        </w:rPr>
        <w:t>asegurando ,</w:t>
      </w:r>
      <w:r w:rsidR="0019372C" w:rsidRPr="00853298">
        <w:rPr>
          <w:lang w:val="es-SV"/>
        </w:rPr>
        <w:t>de</w:t>
      </w:r>
      <w:proofErr w:type="gramEnd"/>
      <w:r w:rsidR="0019372C" w:rsidRPr="00853298">
        <w:rPr>
          <w:lang w:val="es-SV"/>
        </w:rPr>
        <w:t xml:space="preserve"> esta forma</w:t>
      </w:r>
      <w:r w:rsidRPr="00853298">
        <w:rPr>
          <w:lang w:val="es-SV"/>
        </w:rPr>
        <w:t>,</w:t>
      </w:r>
      <w:r w:rsidR="0019372C" w:rsidRPr="00853298">
        <w:rPr>
          <w:lang w:val="es-SV"/>
        </w:rPr>
        <w:t xml:space="preserve"> que en caso de ser técnicamente viable la interconexión directa será </w:t>
      </w:r>
      <w:r w:rsidRPr="00853298">
        <w:rPr>
          <w:lang w:val="es-SV"/>
        </w:rPr>
        <w:t xml:space="preserve">siempre </w:t>
      </w:r>
      <w:r w:rsidR="0019372C" w:rsidRPr="00853298">
        <w:rPr>
          <w:lang w:val="es-SV"/>
        </w:rPr>
        <w:t>la primera opción.</w:t>
      </w:r>
    </w:p>
    <w:p w:rsidR="00D263A1" w:rsidRPr="00853298" w:rsidRDefault="00D263A1" w:rsidP="00853298">
      <w:pPr>
        <w:rPr>
          <w:lang w:val="es-ES_tradnl"/>
        </w:rPr>
      </w:pPr>
    </w:p>
    <w:p w:rsidR="002A6365" w:rsidRPr="00DA48D5" w:rsidRDefault="00694FDB" w:rsidP="00000EF0">
      <w:pPr>
        <w:pStyle w:val="Ttulo2"/>
        <w:rPr>
          <w:i/>
        </w:rPr>
      </w:pPr>
      <w:bookmarkStart w:id="8" w:name="_Toc435609179"/>
      <w:r w:rsidRPr="00DA48D5">
        <w:t xml:space="preserve">Cláusula </w:t>
      </w:r>
      <w:r w:rsidR="00C67C36" w:rsidRPr="00DA48D5">
        <w:t>C</w:t>
      </w:r>
      <w:r w:rsidR="000E043D" w:rsidRPr="00DA48D5">
        <w:t xml:space="preserve">uarta. </w:t>
      </w:r>
      <w:r w:rsidRPr="00DA48D5">
        <w:t>Contraprestaciones</w:t>
      </w:r>
      <w:bookmarkEnd w:id="8"/>
      <w:r w:rsidR="000E043D" w:rsidRPr="00DA48D5">
        <w:t>.</w:t>
      </w:r>
    </w:p>
    <w:p w:rsidR="008B2CD2" w:rsidRPr="000E043D" w:rsidRDefault="008B2CD2" w:rsidP="00354FA3">
      <w:pPr>
        <w:pStyle w:val="Ttulo3"/>
        <w:rPr>
          <w:i/>
        </w:rPr>
      </w:pPr>
      <w:r w:rsidRPr="000E043D">
        <w:t>Resumen de la Cláusula</w:t>
      </w:r>
    </w:p>
    <w:p w:rsidR="00BE4079" w:rsidRPr="00853298" w:rsidRDefault="00BE4079" w:rsidP="00853298">
      <w:pPr>
        <w:rPr>
          <w:lang w:val="es-SV"/>
        </w:rPr>
      </w:pPr>
      <w:r w:rsidRPr="00853298">
        <w:rPr>
          <w:lang w:val="es-SV"/>
        </w:rPr>
        <w:t xml:space="preserve">La </w:t>
      </w:r>
      <w:r w:rsidR="008536B7" w:rsidRPr="00853298">
        <w:rPr>
          <w:lang w:val="es-SV"/>
        </w:rPr>
        <w:t xml:space="preserve">Cláusula Cuarta </w:t>
      </w:r>
      <w:r w:rsidRPr="00853298">
        <w:rPr>
          <w:lang w:val="es-SV"/>
        </w:rPr>
        <w:t>se refiere a las tarifas aplicables a los servicios de interconexión</w:t>
      </w:r>
      <w:r w:rsidR="008536B7" w:rsidRPr="00853298">
        <w:rPr>
          <w:lang w:val="es-SV"/>
        </w:rPr>
        <w:t xml:space="preserve">, </w:t>
      </w:r>
      <w:r w:rsidR="00C31CF4" w:rsidRPr="00853298">
        <w:rPr>
          <w:lang w:val="es-SV"/>
        </w:rPr>
        <w:t>especificándolas</w:t>
      </w:r>
      <w:r w:rsidRPr="00853298">
        <w:rPr>
          <w:lang w:val="es-SV"/>
        </w:rPr>
        <w:t xml:space="preserve"> contraprestaciones, las vigencias y las modificaciones. </w:t>
      </w:r>
    </w:p>
    <w:p w:rsidR="00853298" w:rsidRDefault="00853298" w:rsidP="00853298">
      <w:pPr>
        <w:rPr>
          <w:lang w:val="es-SV"/>
        </w:rPr>
      </w:pPr>
    </w:p>
    <w:p w:rsidR="00BE4079" w:rsidRDefault="00BE4079" w:rsidP="00853298">
      <w:pPr>
        <w:rPr>
          <w:lang w:val="es-SV"/>
        </w:rPr>
      </w:pPr>
      <w:r w:rsidRPr="00853298">
        <w:rPr>
          <w:lang w:val="es-SV"/>
        </w:rPr>
        <w:t xml:space="preserve">También se describen las diferentes modalidades de pago en términos de lugar y denominación así como de condiciones de pago y de revisión de los costos. En particular, las condiciones reguladas son: </w:t>
      </w:r>
    </w:p>
    <w:p w:rsidR="00BE4079" w:rsidRPr="00853298" w:rsidRDefault="00BE4079" w:rsidP="00265252">
      <w:pPr>
        <w:pStyle w:val="II"/>
        <w:ind w:left="714" w:hanging="357"/>
        <w:rPr>
          <w:lang w:val="es-SV"/>
        </w:rPr>
      </w:pPr>
      <w:r w:rsidRPr="00853298">
        <w:rPr>
          <w:lang w:val="es-SV"/>
        </w:rPr>
        <w:t>Facturas</w:t>
      </w:r>
    </w:p>
    <w:p w:rsidR="00BE4079" w:rsidRPr="00853298" w:rsidRDefault="00BE4079" w:rsidP="00265252">
      <w:pPr>
        <w:pStyle w:val="II"/>
        <w:ind w:left="714" w:hanging="357"/>
        <w:rPr>
          <w:lang w:val="es-SV"/>
        </w:rPr>
      </w:pPr>
      <w:r w:rsidRPr="00853298">
        <w:rPr>
          <w:lang w:val="es-SV"/>
        </w:rPr>
        <w:t>Época y forma de pago</w:t>
      </w:r>
    </w:p>
    <w:p w:rsidR="00BE4079" w:rsidRPr="00853298" w:rsidRDefault="00BE4079" w:rsidP="00265252">
      <w:pPr>
        <w:pStyle w:val="II"/>
        <w:ind w:left="714" w:hanging="357"/>
        <w:rPr>
          <w:lang w:val="es-SV"/>
        </w:rPr>
      </w:pPr>
      <w:r w:rsidRPr="00853298">
        <w:rPr>
          <w:lang w:val="es-SV"/>
        </w:rPr>
        <w:t>Facturas objetadas</w:t>
      </w:r>
    </w:p>
    <w:p w:rsidR="00BE4079" w:rsidRPr="00853298" w:rsidRDefault="00BE4079" w:rsidP="00265252">
      <w:pPr>
        <w:pStyle w:val="II"/>
        <w:ind w:left="714" w:hanging="357"/>
        <w:rPr>
          <w:lang w:val="es-SV"/>
        </w:rPr>
      </w:pPr>
      <w:r w:rsidRPr="00853298">
        <w:rPr>
          <w:lang w:val="es-SV"/>
        </w:rPr>
        <w:t>Interés base</w:t>
      </w:r>
    </w:p>
    <w:p w:rsidR="00BE4079" w:rsidRPr="00853298" w:rsidRDefault="00BE4079" w:rsidP="00265252">
      <w:pPr>
        <w:pStyle w:val="II"/>
        <w:ind w:left="714" w:hanging="357"/>
        <w:rPr>
          <w:lang w:val="es-SV"/>
        </w:rPr>
      </w:pPr>
      <w:r w:rsidRPr="00853298">
        <w:rPr>
          <w:lang w:val="es-SV"/>
        </w:rPr>
        <w:t>Interés alternativo</w:t>
      </w:r>
    </w:p>
    <w:p w:rsidR="00BE4079" w:rsidRPr="00853298" w:rsidRDefault="00BE4079" w:rsidP="00265252">
      <w:pPr>
        <w:pStyle w:val="II"/>
        <w:ind w:left="714" w:hanging="357"/>
        <w:rPr>
          <w:lang w:val="es-SV"/>
        </w:rPr>
      </w:pPr>
      <w:r w:rsidRPr="00853298">
        <w:rPr>
          <w:lang w:val="es-SV"/>
        </w:rPr>
        <w:t>Pagos recibidos en exceso</w:t>
      </w:r>
    </w:p>
    <w:p w:rsidR="00841389" w:rsidRPr="00265252" w:rsidRDefault="00BE4079" w:rsidP="00265252">
      <w:pPr>
        <w:pStyle w:val="II"/>
        <w:ind w:left="714" w:hanging="357"/>
        <w:rPr>
          <w:lang w:val="es-SV"/>
        </w:rPr>
      </w:pPr>
      <w:r w:rsidRPr="00853298">
        <w:rPr>
          <w:lang w:val="es-SV"/>
        </w:rPr>
        <w:t>Intereses moratorios</w:t>
      </w:r>
    </w:p>
    <w:p w:rsidR="0028265B" w:rsidRPr="00265252" w:rsidRDefault="00BE4079" w:rsidP="00265252">
      <w:pPr>
        <w:pStyle w:val="II"/>
        <w:ind w:left="714" w:hanging="357"/>
        <w:rPr>
          <w:lang w:val="es-SV"/>
        </w:rPr>
      </w:pPr>
      <w:r w:rsidRPr="00853298">
        <w:rPr>
          <w:lang w:val="es-SV"/>
        </w:rPr>
        <w:t>Refacturación y ajustes</w:t>
      </w:r>
    </w:p>
    <w:p w:rsidR="00853298" w:rsidRPr="00853298" w:rsidRDefault="00853298" w:rsidP="00853298">
      <w:pPr>
        <w:pStyle w:val="Prrafodelista"/>
        <w:rPr>
          <w:lang w:val="es-ES_tradnl"/>
        </w:rPr>
      </w:pPr>
    </w:p>
    <w:p w:rsidR="00793550" w:rsidRPr="00000EF0" w:rsidRDefault="009C6925" w:rsidP="00354FA3">
      <w:pPr>
        <w:pStyle w:val="Ttulo2"/>
      </w:pPr>
      <w:r w:rsidRPr="00000EF0">
        <w:lastRenderedPageBreak/>
        <w:t xml:space="preserve">4.1 </w:t>
      </w:r>
      <w:r w:rsidR="00793550" w:rsidRPr="00000EF0">
        <w:t>Tarifas y formas de pago</w:t>
      </w:r>
    </w:p>
    <w:p w:rsidR="0028265B" w:rsidRPr="00000EF0" w:rsidRDefault="0028265B" w:rsidP="00354FA3">
      <w:pPr>
        <w:pStyle w:val="Ttulo3"/>
      </w:pPr>
      <w:r w:rsidRPr="00000EF0">
        <w:t>Comentarios de la industria</w:t>
      </w:r>
    </w:p>
    <w:p w:rsidR="00793550" w:rsidRPr="00853298" w:rsidRDefault="00793550" w:rsidP="00853298">
      <w:pPr>
        <w:rPr>
          <w:lang w:val="es-ES_tradnl"/>
        </w:rPr>
      </w:pPr>
      <w:r w:rsidRPr="00853298">
        <w:rPr>
          <w:lang w:val="es-ES_tradnl"/>
        </w:rPr>
        <w:t>Los operadores afirman que es necesario dar claridad y contundencia a la preponderancia que ostenta Telcel. El proyecto incluye una redacción contenida en el artículo 131 de la LFTyR que sólo le aplica al preponderante, por lo que debe ser eliminada. En términos del inciso a) del Artículo 131 de la Ley, Telcel no cobrará a los demás Concesionarios por el tráfico que termine en su red, y el Concesionario podrá negociar libremente la tarifa de interconexión correspondiente.</w:t>
      </w:r>
    </w:p>
    <w:p w:rsidR="00853298" w:rsidRDefault="00853298" w:rsidP="00853298">
      <w:pPr>
        <w:rPr>
          <w:lang w:val="es-ES_tradnl"/>
        </w:rPr>
      </w:pPr>
    </w:p>
    <w:p w:rsidR="00793550" w:rsidRPr="00853298" w:rsidRDefault="00793550" w:rsidP="00853298">
      <w:pPr>
        <w:rPr>
          <w:lang w:val="es-ES_tradnl"/>
        </w:rPr>
      </w:pPr>
      <w:r w:rsidRPr="00853298">
        <w:rPr>
          <w:lang w:val="es-ES_tradnl"/>
        </w:rPr>
        <w:t xml:space="preserve">Además, se propone agregar la siguiente redacción: </w:t>
      </w:r>
    </w:p>
    <w:p w:rsidR="00853298" w:rsidRDefault="00793550" w:rsidP="00000EF0">
      <w:pPr>
        <w:rPr>
          <w:lang w:val="es-ES_tradnl"/>
        </w:rPr>
      </w:pPr>
      <w:r w:rsidRPr="00853298">
        <w:rPr>
          <w:lang w:val="es-ES_tradnl"/>
        </w:rPr>
        <w:t>“Permitir recuperar al menos el costo incremental de largo plazo puro conforme a la resolución publicada por el IFT el 18 de diciembre de 2014 en el Diario Oficial de la Federación.”</w:t>
      </w:r>
    </w:p>
    <w:p w:rsidR="00000EF0" w:rsidRPr="00BA5727" w:rsidRDefault="00000EF0" w:rsidP="00000EF0"/>
    <w:p w:rsidR="0028265B" w:rsidRPr="000E043D" w:rsidRDefault="0028265B" w:rsidP="00354FA3">
      <w:pPr>
        <w:pStyle w:val="Ttulo3"/>
        <w:rPr>
          <w:i/>
        </w:rPr>
      </w:pPr>
      <w:r w:rsidRPr="000E043D">
        <w:t>Respuesta a los comentarios de la industria</w:t>
      </w:r>
    </w:p>
    <w:p w:rsidR="002A6365" w:rsidRDefault="008536B7" w:rsidP="00853298">
      <w:pPr>
        <w:rPr>
          <w:lang w:val="es-ES_tradnl"/>
        </w:rPr>
      </w:pPr>
      <w:r w:rsidRPr="00853298">
        <w:rPr>
          <w:lang w:val="es-ES_tradnl"/>
        </w:rPr>
        <w:t xml:space="preserve">Los puntos expresados por la industria en el CMI de </w:t>
      </w:r>
      <w:r w:rsidR="00793550" w:rsidRPr="00853298">
        <w:rPr>
          <w:lang w:val="es-ES_tradnl"/>
        </w:rPr>
        <w:t>Telcel</w:t>
      </w:r>
      <w:r w:rsidRPr="00853298">
        <w:rPr>
          <w:lang w:val="es-ES_tradnl"/>
        </w:rPr>
        <w:t xml:space="preserve"> no son aplicables por lo que la </w:t>
      </w:r>
      <w:r w:rsidR="008B2CD2" w:rsidRPr="00853298">
        <w:rPr>
          <w:lang w:val="es-ES_tradnl"/>
        </w:rPr>
        <w:t>C</w:t>
      </w:r>
      <w:r w:rsidRPr="00853298">
        <w:rPr>
          <w:lang w:val="es-ES_tradnl"/>
        </w:rPr>
        <w:t>láusula queda redactada en los términos en los que estaba</w:t>
      </w:r>
      <w:r w:rsidR="00793550" w:rsidRPr="00853298">
        <w:rPr>
          <w:lang w:val="es-ES_tradnl"/>
        </w:rPr>
        <w:t>.</w:t>
      </w:r>
    </w:p>
    <w:p w:rsidR="00853298" w:rsidRPr="00853298" w:rsidRDefault="00853298" w:rsidP="00853298">
      <w:pPr>
        <w:rPr>
          <w:lang w:val="es-ES_tradnl"/>
        </w:rPr>
      </w:pPr>
    </w:p>
    <w:p w:rsidR="00793550" w:rsidRPr="001872DA" w:rsidRDefault="009C6925" w:rsidP="00354FA3">
      <w:pPr>
        <w:pStyle w:val="Ttulo2"/>
      </w:pPr>
      <w:r w:rsidRPr="001872DA">
        <w:t xml:space="preserve">4.2 </w:t>
      </w:r>
      <w:r w:rsidR="00793550" w:rsidRPr="001872DA">
        <w:t>Vigencia</w:t>
      </w:r>
    </w:p>
    <w:p w:rsidR="00793550" w:rsidRPr="000E043D" w:rsidRDefault="00793550" w:rsidP="00354FA3">
      <w:pPr>
        <w:pStyle w:val="Ttulo3"/>
        <w:rPr>
          <w:i/>
        </w:rPr>
      </w:pPr>
      <w:r w:rsidRPr="000E043D">
        <w:t>Comentarios de la industria</w:t>
      </w:r>
    </w:p>
    <w:p w:rsidR="00793550" w:rsidRDefault="008536B7" w:rsidP="00853298">
      <w:pPr>
        <w:rPr>
          <w:lang w:val="es-SV"/>
        </w:rPr>
      </w:pPr>
      <w:r w:rsidRPr="00853298">
        <w:rPr>
          <w:lang w:val="es-SV"/>
        </w:rPr>
        <w:t>En los comentarios de la industria se afirma</w:t>
      </w:r>
      <w:r w:rsidR="00793550" w:rsidRPr="00853298">
        <w:rPr>
          <w:lang w:val="es-SV"/>
        </w:rPr>
        <w:t xml:space="preserve"> que dicha </w:t>
      </w:r>
      <w:r w:rsidR="008B2CD2" w:rsidRPr="00853298">
        <w:rPr>
          <w:lang w:val="es-SV"/>
        </w:rPr>
        <w:t xml:space="preserve">Cláusula </w:t>
      </w:r>
      <w:r w:rsidR="00793550" w:rsidRPr="00853298">
        <w:rPr>
          <w:lang w:val="es-SV"/>
        </w:rPr>
        <w:t>contiene una retroactividad en las tarifas. Las nuevas tarifas acordadas deberán aplicarse a partir de que las mismas sean acordadas por las Partes o a partir de la fecha de la resolución administrativa o judicial que las determine.</w:t>
      </w:r>
    </w:p>
    <w:p w:rsidR="001872DA" w:rsidRPr="00853298" w:rsidRDefault="001872DA" w:rsidP="00853298">
      <w:pPr>
        <w:rPr>
          <w:lang w:val="es-SV"/>
        </w:rPr>
      </w:pPr>
    </w:p>
    <w:p w:rsidR="00793550" w:rsidRPr="000E043D" w:rsidRDefault="00793550" w:rsidP="00354FA3">
      <w:pPr>
        <w:pStyle w:val="Ttulo3"/>
        <w:rPr>
          <w:i/>
        </w:rPr>
      </w:pPr>
      <w:r w:rsidRPr="000E043D">
        <w:t>Respuesta a los comentarios de la industria</w:t>
      </w:r>
    </w:p>
    <w:p w:rsidR="00793550" w:rsidRDefault="00793550" w:rsidP="00853298">
      <w:pPr>
        <w:rPr>
          <w:lang w:val="es-ES_tradnl"/>
        </w:rPr>
      </w:pPr>
      <w:r w:rsidRPr="00853298">
        <w:rPr>
          <w:lang w:val="es-ES_tradnl"/>
        </w:rPr>
        <w:t>No se aplica ninguna modificación</w:t>
      </w:r>
      <w:r w:rsidR="008536B7" w:rsidRPr="00853298">
        <w:rPr>
          <w:lang w:val="es-ES_tradnl"/>
        </w:rPr>
        <w:t xml:space="preserve"> ya que se considera que las diferentes </w:t>
      </w:r>
      <w:r w:rsidR="008B2CD2" w:rsidRPr="00853298">
        <w:rPr>
          <w:lang w:val="es-ES_tradnl"/>
        </w:rPr>
        <w:t xml:space="preserve">Cláusulas </w:t>
      </w:r>
      <w:r w:rsidR="008536B7" w:rsidRPr="00853298">
        <w:rPr>
          <w:lang w:val="es-ES_tradnl"/>
        </w:rPr>
        <w:t>referidas a la Vigencia de la tarifas presentan certidumbre a los Concesionarios.</w:t>
      </w:r>
    </w:p>
    <w:p w:rsidR="00853298" w:rsidRPr="00853298" w:rsidRDefault="00853298" w:rsidP="00853298">
      <w:pPr>
        <w:rPr>
          <w:lang w:val="es-ES_tradnl"/>
        </w:rPr>
      </w:pPr>
    </w:p>
    <w:p w:rsidR="00A2625D" w:rsidRPr="00DA48D5" w:rsidRDefault="009C6925" w:rsidP="00354FA3">
      <w:pPr>
        <w:pStyle w:val="Ttulo2"/>
        <w:rPr>
          <w:i/>
        </w:rPr>
      </w:pPr>
      <w:r w:rsidRPr="00DA48D5">
        <w:t xml:space="preserve">4.3 </w:t>
      </w:r>
      <w:r w:rsidR="00A2625D" w:rsidRPr="00DA48D5">
        <w:t>Otras contraprestaciones</w:t>
      </w:r>
    </w:p>
    <w:p w:rsidR="00A2625D" w:rsidRPr="000E043D" w:rsidRDefault="00A2625D" w:rsidP="00354FA3">
      <w:pPr>
        <w:pStyle w:val="Ttulo3"/>
        <w:rPr>
          <w:i/>
        </w:rPr>
      </w:pPr>
      <w:r w:rsidRPr="000E043D">
        <w:t>Comentarios de la industria</w:t>
      </w:r>
    </w:p>
    <w:p w:rsidR="00853298" w:rsidRDefault="008536B7" w:rsidP="001872DA">
      <w:pPr>
        <w:rPr>
          <w:lang w:val="es-ES_tradnl"/>
        </w:rPr>
      </w:pPr>
      <w:r w:rsidRPr="00853298">
        <w:rPr>
          <w:lang w:val="es-ES_tradnl"/>
        </w:rPr>
        <w:t>La industria solicita</w:t>
      </w:r>
      <w:r w:rsidR="00A2625D" w:rsidRPr="00853298">
        <w:rPr>
          <w:lang w:val="es-ES_tradnl"/>
        </w:rPr>
        <w:t xml:space="preserve"> que se modifique el párrafo de esta </w:t>
      </w:r>
      <w:r w:rsidR="008B2CD2" w:rsidRPr="00853298">
        <w:rPr>
          <w:lang w:val="es-ES_tradnl"/>
        </w:rPr>
        <w:t xml:space="preserve">Cláusula </w:t>
      </w:r>
      <w:r w:rsidR="00A2625D" w:rsidRPr="00853298">
        <w:rPr>
          <w:lang w:val="es-ES_tradnl"/>
        </w:rPr>
        <w:t xml:space="preserve">en línea con la </w:t>
      </w:r>
      <w:r w:rsidR="008B2CD2" w:rsidRPr="00853298">
        <w:rPr>
          <w:lang w:val="es-ES_tradnl"/>
        </w:rPr>
        <w:t>C</w:t>
      </w:r>
      <w:r w:rsidR="00A2625D" w:rsidRPr="00853298">
        <w:rPr>
          <w:lang w:val="es-ES_tradnl"/>
        </w:rPr>
        <w:t xml:space="preserve">láusula 4.1.4 del CMI de </w:t>
      </w:r>
      <w:r w:rsidR="00BB46CE" w:rsidRPr="00853298">
        <w:rPr>
          <w:lang w:val="es-ES_tradnl"/>
        </w:rPr>
        <w:t>Telcel,</w:t>
      </w:r>
      <w:r w:rsidR="00A2625D" w:rsidRPr="00853298">
        <w:rPr>
          <w:lang w:val="es-ES_tradnl"/>
        </w:rPr>
        <w:t xml:space="preserve"> para que no obstante que el servicio solicitado no cuente con una tarifa establecida o pactada, Telcel esté obligado a prestar el servicio con independencia de que las Partes acuerden una contraprestación para </w:t>
      </w:r>
      <w:r w:rsidRPr="00853298">
        <w:rPr>
          <w:lang w:val="es-ES_tradnl"/>
        </w:rPr>
        <w:t>éstos</w:t>
      </w:r>
      <w:r w:rsidR="00A2625D" w:rsidRPr="00853298">
        <w:rPr>
          <w:lang w:val="es-ES_tradnl"/>
        </w:rPr>
        <w:t>, o de no ser el caso solicitar la determinación al Instituto.</w:t>
      </w:r>
      <w:r w:rsidR="00C31CF4" w:rsidRPr="00853298">
        <w:rPr>
          <w:lang w:val="es-ES_tradnl"/>
        </w:rPr>
        <w:t xml:space="preserve"> </w:t>
      </w:r>
    </w:p>
    <w:p w:rsidR="001872DA" w:rsidRPr="001872DA" w:rsidRDefault="001872DA" w:rsidP="001872DA">
      <w:pPr>
        <w:rPr>
          <w:lang w:val="es-ES_tradnl"/>
        </w:rPr>
      </w:pPr>
    </w:p>
    <w:p w:rsidR="00A2625D" w:rsidRPr="000E043D" w:rsidRDefault="00A2625D" w:rsidP="00354FA3">
      <w:pPr>
        <w:pStyle w:val="Ttulo3"/>
        <w:rPr>
          <w:i/>
        </w:rPr>
      </w:pPr>
      <w:r w:rsidRPr="000E043D">
        <w:t>Repuesta a los comentarios de la industria</w:t>
      </w:r>
    </w:p>
    <w:p w:rsidR="00A2625D" w:rsidRDefault="00BB46CE" w:rsidP="00853298">
      <w:pPr>
        <w:rPr>
          <w:lang w:val="es-ES_tradnl"/>
        </w:rPr>
      </w:pPr>
      <w:r w:rsidRPr="00853298">
        <w:rPr>
          <w:lang w:val="es-ES_tradnl"/>
        </w:rPr>
        <w:t>S</w:t>
      </w:r>
      <w:r w:rsidR="00A2625D" w:rsidRPr="00853298">
        <w:rPr>
          <w:lang w:val="es-ES_tradnl"/>
        </w:rPr>
        <w:t xml:space="preserve">e </w:t>
      </w:r>
      <w:r w:rsidR="008536B7" w:rsidRPr="00853298">
        <w:rPr>
          <w:lang w:val="es-ES_tradnl"/>
        </w:rPr>
        <w:t xml:space="preserve">considera </w:t>
      </w:r>
      <w:r w:rsidR="00A2625D" w:rsidRPr="00853298">
        <w:rPr>
          <w:lang w:val="es-ES_tradnl"/>
        </w:rPr>
        <w:t xml:space="preserve">que la </w:t>
      </w:r>
      <w:r w:rsidR="008B2CD2" w:rsidRPr="00853298">
        <w:rPr>
          <w:lang w:val="es-ES_tradnl"/>
        </w:rPr>
        <w:t>Cláusula</w:t>
      </w:r>
      <w:r w:rsidR="00DE00B7" w:rsidRPr="00853298">
        <w:rPr>
          <w:lang w:val="es-ES_tradnl"/>
        </w:rPr>
        <w:t>,</w:t>
      </w:r>
      <w:r w:rsidR="008536B7" w:rsidRPr="00853298">
        <w:rPr>
          <w:lang w:val="es-ES_tradnl"/>
        </w:rPr>
        <w:t xml:space="preserve"> </w:t>
      </w:r>
      <w:r w:rsidR="00A2625D" w:rsidRPr="00853298">
        <w:rPr>
          <w:lang w:val="es-ES_tradnl"/>
        </w:rPr>
        <w:t>tal y como está redactada en el presente Convenio</w:t>
      </w:r>
      <w:r w:rsidR="00DE00B7" w:rsidRPr="00853298">
        <w:rPr>
          <w:lang w:val="es-ES_tradnl"/>
        </w:rPr>
        <w:t>,</w:t>
      </w:r>
      <w:r w:rsidR="00A2625D" w:rsidRPr="00853298">
        <w:rPr>
          <w:lang w:val="es-ES_tradnl"/>
        </w:rPr>
        <w:t xml:space="preserve"> es lo suficientemente clara</w:t>
      </w:r>
      <w:r w:rsidRPr="00853298">
        <w:rPr>
          <w:lang w:val="es-ES_tradnl"/>
        </w:rPr>
        <w:t xml:space="preserve"> y ya contempla la obligación por parte de Telcel de </w:t>
      </w:r>
      <w:r w:rsidRPr="00853298">
        <w:rPr>
          <w:lang w:val="es-ES_tradnl"/>
        </w:rPr>
        <w:lastRenderedPageBreak/>
        <w:t>prestar los servicios con independencia de que se acuerde o no una contrap</w:t>
      </w:r>
      <w:r w:rsidR="00861E44" w:rsidRPr="00853298">
        <w:rPr>
          <w:lang w:val="es-ES_tradnl"/>
        </w:rPr>
        <w:t>restación para dichos servicios</w:t>
      </w:r>
      <w:r w:rsidR="00A2625D" w:rsidRPr="00853298">
        <w:rPr>
          <w:lang w:val="es-ES_tradnl"/>
        </w:rPr>
        <w:t>.</w:t>
      </w:r>
    </w:p>
    <w:p w:rsidR="00853298" w:rsidRPr="00853298" w:rsidRDefault="00853298" w:rsidP="00853298">
      <w:pPr>
        <w:rPr>
          <w:lang w:val="es-SV"/>
        </w:rPr>
      </w:pPr>
    </w:p>
    <w:p w:rsidR="00A2625D" w:rsidRPr="00DA48D5" w:rsidRDefault="009C6925" w:rsidP="00354FA3">
      <w:pPr>
        <w:pStyle w:val="Ttulo2"/>
        <w:rPr>
          <w:i/>
        </w:rPr>
      </w:pPr>
      <w:r w:rsidRPr="00DA48D5">
        <w:t xml:space="preserve">4.4 </w:t>
      </w:r>
      <w:r w:rsidR="00A2625D" w:rsidRPr="00DA48D5">
        <w:t>Facturas</w:t>
      </w:r>
    </w:p>
    <w:p w:rsidR="00A2625D" w:rsidRPr="000E043D" w:rsidRDefault="00A2625D" w:rsidP="00354FA3">
      <w:pPr>
        <w:pStyle w:val="Ttulo3"/>
        <w:rPr>
          <w:i/>
        </w:rPr>
      </w:pPr>
      <w:r w:rsidRPr="000E043D">
        <w:t>Comentarios de la industria</w:t>
      </w:r>
    </w:p>
    <w:p w:rsidR="00853298" w:rsidRDefault="00A2625D" w:rsidP="001872DA">
      <w:pPr>
        <w:rPr>
          <w:lang w:val="es-SV"/>
        </w:rPr>
      </w:pPr>
      <w:r w:rsidRPr="00853298">
        <w:rPr>
          <w:lang w:val="es-SV"/>
        </w:rPr>
        <w:t>Los operadores solicitan alternativas que faciliten el servicio de facturación entre concesionarios, contribuyendo al uso de medios electrónicos que agilicen dicho trámite.</w:t>
      </w:r>
    </w:p>
    <w:p w:rsidR="001872DA" w:rsidRPr="001872DA" w:rsidRDefault="001872DA" w:rsidP="001872DA">
      <w:pPr>
        <w:rPr>
          <w:lang w:val="es-SV"/>
        </w:rPr>
      </w:pPr>
    </w:p>
    <w:p w:rsidR="00853298" w:rsidRPr="00C870B1" w:rsidRDefault="00A2625D" w:rsidP="00354FA3">
      <w:pPr>
        <w:pStyle w:val="Ttulo3"/>
        <w:rPr>
          <w:i/>
        </w:rPr>
      </w:pPr>
      <w:r w:rsidRPr="000E043D">
        <w:t>Re</w:t>
      </w:r>
      <w:r w:rsidR="00853298" w:rsidRPr="000E043D">
        <w:t>s</w:t>
      </w:r>
      <w:r w:rsidRPr="000E043D">
        <w:t>puesta a los comentarios de la industria</w:t>
      </w:r>
    </w:p>
    <w:p w:rsidR="00A2625D" w:rsidRDefault="008536B7" w:rsidP="00853298">
      <w:pPr>
        <w:rPr>
          <w:lang w:val="es-ES_tradnl"/>
        </w:rPr>
      </w:pPr>
      <w:r w:rsidRPr="00853298">
        <w:rPr>
          <w:lang w:val="es-ES_tradnl"/>
        </w:rPr>
        <w:t xml:space="preserve">En el Convenio modificado se realizó </w:t>
      </w:r>
      <w:r w:rsidR="00DE00B7" w:rsidRPr="00853298">
        <w:rPr>
          <w:lang w:val="es-ES_tradnl"/>
        </w:rPr>
        <w:t>el cambio</w:t>
      </w:r>
      <w:r w:rsidR="00221BBF" w:rsidRPr="00853298">
        <w:rPr>
          <w:lang w:val="es-ES_tradnl"/>
        </w:rPr>
        <w:t xml:space="preserve"> </w:t>
      </w:r>
      <w:r w:rsidRPr="00853298">
        <w:rPr>
          <w:lang w:val="es-ES_tradnl"/>
        </w:rPr>
        <w:t xml:space="preserve">para añadir </w:t>
      </w:r>
      <w:r w:rsidR="00A2625D" w:rsidRPr="00853298">
        <w:rPr>
          <w:lang w:val="es-ES_tradnl"/>
        </w:rPr>
        <w:t>la posibilidad de entregar la factura a través de correo electrónico.</w:t>
      </w:r>
    </w:p>
    <w:p w:rsidR="00853298" w:rsidRPr="00853298" w:rsidRDefault="00853298" w:rsidP="00853298">
      <w:pPr>
        <w:rPr>
          <w:lang w:val="es-ES_tradnl"/>
        </w:rPr>
      </w:pPr>
    </w:p>
    <w:p w:rsidR="00694FDB" w:rsidRPr="00DA48D5" w:rsidRDefault="00694FDB" w:rsidP="001872DA">
      <w:pPr>
        <w:pStyle w:val="Ttulo2"/>
        <w:rPr>
          <w:i/>
        </w:rPr>
      </w:pPr>
      <w:bookmarkStart w:id="9" w:name="_Toc435609180"/>
      <w:r w:rsidRPr="00DA48D5">
        <w:t xml:space="preserve">Cláusula </w:t>
      </w:r>
      <w:r w:rsidR="00C67C36" w:rsidRPr="00DA48D5">
        <w:t>Q</w:t>
      </w:r>
      <w:r w:rsidR="000E043D" w:rsidRPr="00DA48D5">
        <w:t xml:space="preserve">uinta. </w:t>
      </w:r>
      <w:r w:rsidRPr="00DA48D5">
        <w:t>Aspectos técnicos</w:t>
      </w:r>
      <w:bookmarkEnd w:id="9"/>
      <w:r w:rsidR="000E043D" w:rsidRPr="00DA48D5">
        <w:t>.</w:t>
      </w:r>
    </w:p>
    <w:p w:rsidR="0028265B" w:rsidRPr="000E043D" w:rsidRDefault="0028265B" w:rsidP="00354FA3">
      <w:pPr>
        <w:pStyle w:val="Ttulo3"/>
        <w:rPr>
          <w:i/>
        </w:rPr>
      </w:pPr>
      <w:r w:rsidRPr="000E043D">
        <w:t xml:space="preserve">Resumen de la </w:t>
      </w:r>
      <w:r w:rsidR="008B2CD2" w:rsidRPr="000E043D">
        <w:t>C</w:t>
      </w:r>
      <w:r w:rsidRPr="000E043D">
        <w:t>láusula</w:t>
      </w:r>
    </w:p>
    <w:p w:rsidR="00BE4079" w:rsidRDefault="00BE4079" w:rsidP="00853298">
      <w:pPr>
        <w:rPr>
          <w:lang w:val="es-SV"/>
        </w:rPr>
      </w:pPr>
      <w:r w:rsidRPr="00853298">
        <w:rPr>
          <w:lang w:val="es-SV"/>
        </w:rPr>
        <w:t xml:space="preserve">La </w:t>
      </w:r>
      <w:r w:rsidR="008536B7" w:rsidRPr="00853298">
        <w:rPr>
          <w:lang w:val="es-SV"/>
        </w:rPr>
        <w:t xml:space="preserve">Cláusula Quinta </w:t>
      </w:r>
      <w:r w:rsidRPr="00853298">
        <w:rPr>
          <w:lang w:val="es-SV"/>
        </w:rPr>
        <w:t>determina que las partes establecerán procedimientos y especificaciones que se incluirán en los Acuerdos Técnicos, y que deberán  observar un número de principios determinados acerca de:</w:t>
      </w:r>
    </w:p>
    <w:p w:rsidR="00BE4079" w:rsidRPr="00265252" w:rsidRDefault="00BE4079" w:rsidP="00265252">
      <w:pPr>
        <w:pStyle w:val="II"/>
        <w:ind w:left="714" w:hanging="357"/>
        <w:rPr>
          <w:lang w:val="es-SV"/>
        </w:rPr>
      </w:pPr>
      <w:r w:rsidRPr="00265252">
        <w:rPr>
          <w:lang w:val="es-SV"/>
        </w:rPr>
        <w:t>Arquitectura abierta</w:t>
      </w:r>
    </w:p>
    <w:p w:rsidR="00BE4079" w:rsidRPr="00853298" w:rsidRDefault="00BE4079" w:rsidP="00265252">
      <w:pPr>
        <w:pStyle w:val="II"/>
        <w:ind w:left="714" w:hanging="357"/>
        <w:rPr>
          <w:lang w:val="es-SV"/>
        </w:rPr>
      </w:pPr>
      <w:proofErr w:type="spellStart"/>
      <w:r w:rsidRPr="00853298">
        <w:rPr>
          <w:lang w:val="es-SV"/>
        </w:rPr>
        <w:t>PDCIs</w:t>
      </w:r>
      <w:proofErr w:type="spellEnd"/>
      <w:r w:rsidRPr="00853298">
        <w:rPr>
          <w:lang w:val="es-SV"/>
        </w:rPr>
        <w:t xml:space="preserve"> y </w:t>
      </w:r>
      <w:proofErr w:type="spellStart"/>
      <w:r w:rsidRPr="00853298">
        <w:rPr>
          <w:lang w:val="es-SV"/>
        </w:rPr>
        <w:t>coubicaciones</w:t>
      </w:r>
      <w:proofErr w:type="spellEnd"/>
    </w:p>
    <w:p w:rsidR="00BE4079" w:rsidRPr="00853298" w:rsidRDefault="00BE4079" w:rsidP="00265252">
      <w:pPr>
        <w:pStyle w:val="II"/>
        <w:ind w:left="714" w:hanging="357"/>
        <w:rPr>
          <w:lang w:val="es-SV"/>
        </w:rPr>
      </w:pPr>
      <w:r w:rsidRPr="00853298">
        <w:rPr>
          <w:lang w:val="es-SV"/>
        </w:rPr>
        <w:t>Interconexión directa entre los concesionarios</w:t>
      </w:r>
    </w:p>
    <w:p w:rsidR="00BE4079" w:rsidRPr="00853298" w:rsidRDefault="00BE4079" w:rsidP="00265252">
      <w:pPr>
        <w:pStyle w:val="II"/>
        <w:ind w:left="714" w:hanging="357"/>
        <w:rPr>
          <w:lang w:val="es-SV"/>
        </w:rPr>
      </w:pPr>
      <w:r w:rsidRPr="00853298">
        <w:rPr>
          <w:lang w:val="es-SV"/>
        </w:rPr>
        <w:t>Puertos de acceso</w:t>
      </w:r>
    </w:p>
    <w:p w:rsidR="00BE4079" w:rsidRPr="00853298" w:rsidRDefault="00BE4079" w:rsidP="00265252">
      <w:pPr>
        <w:pStyle w:val="II"/>
        <w:ind w:left="714" w:hanging="357"/>
        <w:rPr>
          <w:lang w:val="es-SV"/>
        </w:rPr>
      </w:pPr>
      <w:r w:rsidRPr="00853298">
        <w:rPr>
          <w:lang w:val="es-SV"/>
        </w:rPr>
        <w:t>Enlaces de transmisión de interconexión</w:t>
      </w:r>
    </w:p>
    <w:p w:rsidR="00BE4079" w:rsidRPr="00853298" w:rsidRDefault="00BE4079" w:rsidP="00265252">
      <w:pPr>
        <w:pStyle w:val="II"/>
        <w:ind w:left="714" w:hanging="357"/>
        <w:rPr>
          <w:lang w:val="es-SV"/>
        </w:rPr>
      </w:pPr>
      <w:r w:rsidRPr="00853298">
        <w:rPr>
          <w:lang w:val="es-SV"/>
        </w:rPr>
        <w:t>Transito</w:t>
      </w:r>
    </w:p>
    <w:p w:rsidR="00BE4079" w:rsidRPr="00265252" w:rsidRDefault="00BE4079" w:rsidP="00265252">
      <w:pPr>
        <w:pStyle w:val="II"/>
        <w:ind w:left="714" w:hanging="357"/>
        <w:rPr>
          <w:lang w:val="es-SV"/>
        </w:rPr>
      </w:pPr>
      <w:r w:rsidRPr="00853298">
        <w:rPr>
          <w:lang w:val="es-SV"/>
        </w:rPr>
        <w:t>Realización física de la interconexión</w:t>
      </w:r>
    </w:p>
    <w:p w:rsidR="00853298" w:rsidRDefault="00BE4079" w:rsidP="001872DA">
      <w:pPr>
        <w:pStyle w:val="II"/>
        <w:ind w:left="714" w:hanging="357"/>
        <w:rPr>
          <w:lang w:val="es-SV"/>
        </w:rPr>
      </w:pPr>
      <w:r w:rsidRPr="00853298">
        <w:rPr>
          <w:lang w:val="es-SV"/>
        </w:rPr>
        <w:t>Cambios a la interconexión</w:t>
      </w:r>
    </w:p>
    <w:p w:rsidR="001872DA" w:rsidRPr="001872DA" w:rsidRDefault="001872DA" w:rsidP="001872DA">
      <w:pPr>
        <w:pStyle w:val="II"/>
        <w:numPr>
          <w:ilvl w:val="0"/>
          <w:numId w:val="0"/>
        </w:numPr>
        <w:rPr>
          <w:lang w:val="es-SV"/>
        </w:rPr>
      </w:pPr>
    </w:p>
    <w:p w:rsidR="00853298" w:rsidRPr="00C870B1" w:rsidRDefault="0028265B" w:rsidP="00354FA3">
      <w:pPr>
        <w:pStyle w:val="Ttulo3"/>
        <w:rPr>
          <w:i/>
        </w:rPr>
      </w:pPr>
      <w:r w:rsidRPr="000E043D">
        <w:t>Comentarios de la industria</w:t>
      </w:r>
    </w:p>
    <w:p w:rsidR="00335570" w:rsidRDefault="00335570" w:rsidP="00853298">
      <w:pPr>
        <w:rPr>
          <w:lang w:val="es-ES_tradnl"/>
        </w:rPr>
      </w:pPr>
      <w:r w:rsidRPr="00853298">
        <w:rPr>
          <w:lang w:val="es-ES_tradnl"/>
        </w:rPr>
        <w:t xml:space="preserve">Los operadores proponen modificar la redacción del segundo párrafo de la </w:t>
      </w:r>
      <w:r w:rsidR="008B2CD2" w:rsidRPr="00853298">
        <w:rPr>
          <w:lang w:val="es-ES_tradnl"/>
        </w:rPr>
        <w:t>C</w:t>
      </w:r>
      <w:r w:rsidRPr="00853298">
        <w:rPr>
          <w:lang w:val="es-ES_tradnl"/>
        </w:rPr>
        <w:t xml:space="preserve">láusula </w:t>
      </w:r>
      <w:r w:rsidR="008B2CD2" w:rsidRPr="00853298">
        <w:rPr>
          <w:lang w:val="es-ES_tradnl"/>
        </w:rPr>
        <w:t xml:space="preserve">Quinta </w:t>
      </w:r>
      <w:r w:rsidRPr="00853298">
        <w:rPr>
          <w:lang w:val="es-ES_tradnl"/>
        </w:rPr>
        <w:t xml:space="preserve">del CMI de Telcel en los siguientes términos: </w:t>
      </w:r>
    </w:p>
    <w:p w:rsidR="00853298" w:rsidRPr="00853298" w:rsidRDefault="00853298" w:rsidP="00853298">
      <w:pPr>
        <w:rPr>
          <w:lang w:val="es-ES_tradnl"/>
        </w:rPr>
      </w:pPr>
    </w:p>
    <w:p w:rsidR="00853298" w:rsidRDefault="00335570" w:rsidP="001872DA">
      <w:pPr>
        <w:rPr>
          <w:lang w:val="es-ES_tradnl"/>
        </w:rPr>
      </w:pPr>
      <w:r w:rsidRPr="00853298">
        <w:rPr>
          <w:lang w:val="es-ES_tradnl"/>
        </w:rPr>
        <w:t>“Las Partes establecerán procedimientos y especificaciones que se incluirán en los Acuerdos Técnicos, dichos Acuerdos Técnicos deberán permanecer invariables aún y cuando Telcel deje de ser considerado Agente Económico Preponderante, mismos que deberán observar al menos lo siguiente:”</w:t>
      </w:r>
    </w:p>
    <w:p w:rsidR="001872DA" w:rsidRPr="00BA5727" w:rsidRDefault="001872DA" w:rsidP="001872DA"/>
    <w:p w:rsidR="00853298" w:rsidRPr="00C870B1" w:rsidRDefault="0028265B" w:rsidP="00354FA3">
      <w:pPr>
        <w:pStyle w:val="Ttulo3"/>
        <w:rPr>
          <w:i/>
        </w:rPr>
      </w:pPr>
      <w:r w:rsidRPr="000E043D">
        <w:t>Respuesta a los comentarios de la industria</w:t>
      </w:r>
    </w:p>
    <w:p w:rsidR="002A6365" w:rsidRDefault="00335570" w:rsidP="00853298">
      <w:pPr>
        <w:rPr>
          <w:lang w:val="es-SV"/>
        </w:rPr>
      </w:pPr>
      <w:r w:rsidRPr="00853298">
        <w:rPr>
          <w:lang w:val="es-SV"/>
        </w:rPr>
        <w:t>No se puede considerar el comentario de la industria ya que las condiciones no se pueden mantener de facto una vez que Telcel ya no sea Agente Económico Preponderante.</w:t>
      </w:r>
    </w:p>
    <w:p w:rsidR="00853298" w:rsidRPr="00853298" w:rsidRDefault="00853298" w:rsidP="00853298">
      <w:pPr>
        <w:rPr>
          <w:lang w:val="es-SV"/>
        </w:rPr>
      </w:pPr>
    </w:p>
    <w:p w:rsidR="00335570" w:rsidRPr="00DA48D5" w:rsidRDefault="009C6925" w:rsidP="00354FA3">
      <w:pPr>
        <w:pStyle w:val="Ttulo2"/>
      </w:pPr>
      <w:r w:rsidRPr="00DA48D5">
        <w:lastRenderedPageBreak/>
        <w:t xml:space="preserve">5.1 </w:t>
      </w:r>
      <w:proofErr w:type="spellStart"/>
      <w:r w:rsidR="00335570" w:rsidRPr="00DA48D5">
        <w:t>PDIC’s</w:t>
      </w:r>
      <w:proofErr w:type="spellEnd"/>
      <w:r w:rsidR="00335570" w:rsidRPr="00DA48D5">
        <w:t xml:space="preserve"> y </w:t>
      </w:r>
      <w:proofErr w:type="spellStart"/>
      <w:r w:rsidR="00335570" w:rsidRPr="00DA48D5">
        <w:t>coubicaciones</w:t>
      </w:r>
      <w:proofErr w:type="spellEnd"/>
    </w:p>
    <w:p w:rsidR="00853298" w:rsidRPr="00C870B1" w:rsidRDefault="00335570" w:rsidP="00354FA3">
      <w:pPr>
        <w:pStyle w:val="Ttulo3"/>
        <w:rPr>
          <w:i/>
        </w:rPr>
      </w:pPr>
      <w:r w:rsidRPr="000E043D">
        <w:t>Comentarios de la industria</w:t>
      </w:r>
    </w:p>
    <w:p w:rsidR="00335570" w:rsidRDefault="00335570" w:rsidP="00853298">
      <w:pPr>
        <w:rPr>
          <w:lang w:val="es-ES_tradnl"/>
        </w:rPr>
      </w:pPr>
      <w:r w:rsidRPr="00853298">
        <w:rPr>
          <w:lang w:val="es-ES_tradnl"/>
        </w:rPr>
        <w:t>Los operadores apuntan a la necesidad de incluir la obligación para que Telcel sea responsable de la entrega de enlaces de interconexión en los tiempos ya definidos, aunque esta obligación se ejecute a través de Telmex.</w:t>
      </w:r>
    </w:p>
    <w:p w:rsidR="00853298" w:rsidRPr="00853298" w:rsidRDefault="00853298" w:rsidP="00853298">
      <w:pPr>
        <w:rPr>
          <w:lang w:val="es-ES_tradnl"/>
        </w:rPr>
      </w:pPr>
    </w:p>
    <w:p w:rsidR="00853298" w:rsidRDefault="00335570" w:rsidP="001872DA">
      <w:pPr>
        <w:rPr>
          <w:lang w:val="es-ES_tradnl"/>
        </w:rPr>
      </w:pPr>
      <w:r w:rsidRPr="00853298">
        <w:rPr>
          <w:lang w:val="es-ES_tradnl"/>
        </w:rPr>
        <w:t xml:space="preserve">Asimismo, por eficiencia, se requiere que a solicitud del Concesionario, Telcel también entregue tráfico al Concesionario, pero sólo en los </w:t>
      </w:r>
      <w:proofErr w:type="spellStart"/>
      <w:r w:rsidRPr="00853298">
        <w:rPr>
          <w:lang w:val="es-ES_tradnl"/>
        </w:rPr>
        <w:t>NIRs</w:t>
      </w:r>
      <w:proofErr w:type="spellEnd"/>
      <w:r w:rsidRPr="00853298">
        <w:rPr>
          <w:lang w:val="es-ES_tradnl"/>
        </w:rPr>
        <w:t xml:space="preserve"> que al efecto dicho Concesionario le indique.</w:t>
      </w:r>
    </w:p>
    <w:p w:rsidR="001872DA" w:rsidRPr="001872DA" w:rsidRDefault="001872DA" w:rsidP="001872DA">
      <w:pPr>
        <w:rPr>
          <w:lang w:val="es-ES_tradnl"/>
        </w:rPr>
      </w:pPr>
    </w:p>
    <w:p w:rsidR="00853298" w:rsidRPr="00C870B1" w:rsidRDefault="00335570" w:rsidP="00354FA3">
      <w:pPr>
        <w:pStyle w:val="Ttulo3"/>
        <w:rPr>
          <w:i/>
        </w:rPr>
      </w:pPr>
      <w:r w:rsidRPr="000E043D">
        <w:t>Respuesta a los comentarios de la industria</w:t>
      </w:r>
    </w:p>
    <w:p w:rsidR="008536B7" w:rsidRDefault="008536B7" w:rsidP="00853298">
      <w:pPr>
        <w:rPr>
          <w:lang w:val="es-ES_tradnl"/>
        </w:rPr>
      </w:pPr>
      <w:r w:rsidRPr="00853298">
        <w:rPr>
          <w:lang w:val="es-ES_tradnl"/>
        </w:rPr>
        <w:t>Con respecto a este numeral se han atendido los comentarios de la industria y, de tal forma, se ha modificado el Convenio para dar certidumbre en relación a la responsabilidad de Telcel en la entrega de enlaces de interconexión, aun cuando se ejecute a través de Telmex</w:t>
      </w:r>
    </w:p>
    <w:p w:rsidR="00853298" w:rsidRPr="00853298" w:rsidRDefault="00853298" w:rsidP="00853298">
      <w:pPr>
        <w:rPr>
          <w:lang w:val="es-ES_tradnl"/>
        </w:rPr>
      </w:pPr>
    </w:p>
    <w:p w:rsidR="00335570" w:rsidRPr="00DA48D5" w:rsidRDefault="009C6925" w:rsidP="00354FA3">
      <w:pPr>
        <w:pStyle w:val="Ttulo2"/>
        <w:rPr>
          <w:i/>
        </w:rPr>
      </w:pPr>
      <w:r w:rsidRPr="00DA48D5">
        <w:t xml:space="preserve">5.2 </w:t>
      </w:r>
      <w:r w:rsidR="00AD684C" w:rsidRPr="00DA48D5">
        <w:t>Puertos de acceso</w:t>
      </w:r>
    </w:p>
    <w:p w:rsidR="00853298" w:rsidRPr="00C870B1" w:rsidRDefault="00335570" w:rsidP="00354FA3">
      <w:pPr>
        <w:pStyle w:val="Ttulo3"/>
        <w:rPr>
          <w:i/>
        </w:rPr>
      </w:pPr>
      <w:r w:rsidRPr="000E043D">
        <w:t>Comentarios de la industria</w:t>
      </w:r>
    </w:p>
    <w:p w:rsidR="00AD684C" w:rsidRPr="00853298" w:rsidRDefault="00AD684C" w:rsidP="00853298">
      <w:pPr>
        <w:rPr>
          <w:lang w:val="es-SV"/>
        </w:rPr>
      </w:pPr>
      <w:r w:rsidRPr="00853298">
        <w:rPr>
          <w:lang w:val="es-SV"/>
        </w:rPr>
        <w:t xml:space="preserve">Los operadores proponen modificar la redacción de la </w:t>
      </w:r>
      <w:r w:rsidR="008B2CD2" w:rsidRPr="00853298">
        <w:rPr>
          <w:lang w:val="es-SV"/>
        </w:rPr>
        <w:t xml:space="preserve">Cláusula </w:t>
      </w:r>
      <w:r w:rsidRPr="00853298">
        <w:rPr>
          <w:lang w:val="es-SV"/>
        </w:rPr>
        <w:t xml:space="preserve">5.4 en los siguientes términos: </w:t>
      </w:r>
    </w:p>
    <w:p w:rsidR="00853298" w:rsidRDefault="00853298" w:rsidP="00853298">
      <w:pPr>
        <w:rPr>
          <w:spacing w:val="-4"/>
          <w:lang w:val="es-SV"/>
        </w:rPr>
      </w:pPr>
    </w:p>
    <w:p w:rsidR="001872DA" w:rsidRDefault="00AD684C" w:rsidP="001872DA">
      <w:pPr>
        <w:rPr>
          <w:spacing w:val="-4"/>
          <w:lang w:val="es-SV"/>
        </w:rPr>
      </w:pPr>
      <w:r w:rsidRPr="00853298">
        <w:rPr>
          <w:spacing w:val="-4"/>
          <w:lang w:val="es-SV"/>
        </w:rPr>
        <w:t>“5</w:t>
      </w:r>
      <w:r w:rsidRPr="00853298">
        <w:rPr>
          <w:i/>
          <w:spacing w:val="-4"/>
          <w:lang w:val="es-SV"/>
        </w:rPr>
        <w:t>.4 PUERTOS DE ACCESO UNIVERSAL. Los Puertos de Acceso Universal no generarán un costo adicional, pues éste ya está incluido en la tarifa de los Servicios Conmutados de Interconexión. Los Puertos de Acceso Universal que debe proporcionar Telcel deberán permitir el intercambio de Tráfico de cualquier origen, de cualquier tipo y con terminación en cualquier destino nacional</w:t>
      </w:r>
      <w:r w:rsidRPr="00853298">
        <w:rPr>
          <w:spacing w:val="-4"/>
          <w:lang w:val="es-SV"/>
        </w:rPr>
        <w:t>.”</w:t>
      </w:r>
    </w:p>
    <w:p w:rsidR="001872DA" w:rsidRPr="001872DA" w:rsidRDefault="001872DA" w:rsidP="001872DA">
      <w:pPr>
        <w:rPr>
          <w:lang w:val="es-ES_tradnl"/>
        </w:rPr>
      </w:pPr>
    </w:p>
    <w:p w:rsidR="00853298" w:rsidRPr="00C870B1" w:rsidRDefault="00335570" w:rsidP="00354FA3">
      <w:pPr>
        <w:pStyle w:val="Ttulo3"/>
        <w:rPr>
          <w:i/>
        </w:rPr>
      </w:pPr>
      <w:r w:rsidRPr="000E043D">
        <w:t>Respuesta a los comentarios de la industria</w:t>
      </w:r>
    </w:p>
    <w:p w:rsidR="00AD684C" w:rsidRDefault="00AD684C" w:rsidP="00853298">
      <w:pPr>
        <w:rPr>
          <w:lang w:val="es-SV"/>
        </w:rPr>
      </w:pPr>
      <w:r w:rsidRPr="00853298">
        <w:rPr>
          <w:lang w:val="es-SV"/>
        </w:rPr>
        <w:t xml:space="preserve">Se considera que </w:t>
      </w:r>
      <w:r w:rsidR="008536B7" w:rsidRPr="00853298">
        <w:rPr>
          <w:lang w:val="es-SV"/>
        </w:rPr>
        <w:t>el numeral</w:t>
      </w:r>
      <w:r w:rsidRPr="00853298">
        <w:rPr>
          <w:lang w:val="es-SV"/>
        </w:rPr>
        <w:t xml:space="preserve"> 5.4 sobre los puertos de acceso, tal y como está </w:t>
      </w:r>
      <w:r w:rsidR="008536B7" w:rsidRPr="00853298">
        <w:rPr>
          <w:lang w:val="es-SV"/>
        </w:rPr>
        <w:t>redactado</w:t>
      </w:r>
      <w:r w:rsidRPr="00853298">
        <w:rPr>
          <w:lang w:val="es-SV"/>
        </w:rPr>
        <w:t xml:space="preserve">, es lo suficientemente </w:t>
      </w:r>
      <w:r w:rsidR="008536B7" w:rsidRPr="00853298">
        <w:rPr>
          <w:lang w:val="es-SV"/>
        </w:rPr>
        <w:t xml:space="preserve">claro. Adicionalmente, </w:t>
      </w:r>
      <w:r w:rsidRPr="00853298">
        <w:rPr>
          <w:lang w:val="es-SV"/>
        </w:rPr>
        <w:t>Telcel proporcionará a los Concesionarios los puertos solicitados en cada caso concreto.</w:t>
      </w:r>
    </w:p>
    <w:p w:rsidR="00853298" w:rsidRPr="00853298" w:rsidRDefault="00853298" w:rsidP="00853298">
      <w:pPr>
        <w:rPr>
          <w:lang w:val="es-ES_tradnl"/>
        </w:rPr>
      </w:pPr>
    </w:p>
    <w:p w:rsidR="00AD684C" w:rsidRPr="00DA48D5" w:rsidRDefault="009C6925" w:rsidP="00354FA3">
      <w:pPr>
        <w:pStyle w:val="Ttulo2"/>
        <w:rPr>
          <w:i/>
        </w:rPr>
      </w:pPr>
      <w:r w:rsidRPr="00DA48D5">
        <w:t xml:space="preserve">5.3 </w:t>
      </w:r>
      <w:r w:rsidR="00AD684C" w:rsidRPr="00DA48D5">
        <w:t>Enlaces de transmisión de interconexión</w:t>
      </w:r>
    </w:p>
    <w:p w:rsidR="00853298" w:rsidRPr="00C870B1" w:rsidRDefault="00AD684C" w:rsidP="00354FA3">
      <w:pPr>
        <w:pStyle w:val="Ttulo3"/>
        <w:rPr>
          <w:i/>
        </w:rPr>
      </w:pPr>
      <w:r w:rsidRPr="000E043D">
        <w:t>Comentarios de la industria</w:t>
      </w:r>
    </w:p>
    <w:p w:rsidR="00853298" w:rsidRDefault="00AD684C" w:rsidP="001872DA">
      <w:pPr>
        <w:rPr>
          <w:lang w:val="es-SV"/>
        </w:rPr>
      </w:pPr>
      <w:r w:rsidRPr="00853298">
        <w:rPr>
          <w:lang w:val="es-SV"/>
        </w:rPr>
        <w:t xml:space="preserve">Los operadores solicitan que el AEP provea los siguientes tipos de enlaces de transmisión de interconexión: enlaces E1 y STM1 y sus múltiplos, así como Ethernet de 1 o 10Gbit/s configurando el ancho de banda adecuado para transportar la cantidad de tráfico necesaria, así como otras capacidades que resulten eficientes para satisfacer las necesidades de tráfico en la interconexión. Estos enlaces de transmisión de interconexión podrán ser utilizados para la conducción de tráfico de cualquier origen, cualquier tipo y con terminación en cualquier destino de la </w:t>
      </w:r>
      <w:r w:rsidRPr="00853298">
        <w:rPr>
          <w:lang w:val="es-SV"/>
        </w:rPr>
        <w:lastRenderedPageBreak/>
        <w:t>red pública de telecomunicaciones de Telcel, o a través del servicio de tránsito en las redes con las que Telcel tenga interconexión directa.</w:t>
      </w:r>
    </w:p>
    <w:p w:rsidR="001872DA" w:rsidRPr="001872DA" w:rsidRDefault="001872DA" w:rsidP="001872DA">
      <w:pPr>
        <w:rPr>
          <w:lang w:val="es-ES_tradnl"/>
        </w:rPr>
      </w:pPr>
    </w:p>
    <w:p w:rsidR="00AD684C" w:rsidRPr="000E043D" w:rsidRDefault="00AD684C" w:rsidP="00354FA3">
      <w:pPr>
        <w:pStyle w:val="Ttulo3"/>
        <w:rPr>
          <w:i/>
        </w:rPr>
      </w:pPr>
      <w:r w:rsidRPr="000E043D">
        <w:t>Respuesta a los comentarios de la industria</w:t>
      </w:r>
    </w:p>
    <w:p w:rsidR="00C12C55" w:rsidRDefault="007F029A" w:rsidP="00853298">
      <w:pPr>
        <w:rPr>
          <w:lang w:val="es-ES_tradnl"/>
        </w:rPr>
      </w:pPr>
      <w:r w:rsidRPr="00853298">
        <w:rPr>
          <w:lang w:val="es-ES_tradnl"/>
        </w:rPr>
        <w:t>Con respecto a esta Cláusula, en aras de atender el comentario de la industria, se considera correcto el hecho que se dé cumplimiento a la Medida Séptima de las Medidas Móviles a través del miembro del Agente Económico Preponderante que cuenta con la infraestructura para la provisión de enlaces dedicado para interconexión.</w:t>
      </w:r>
    </w:p>
    <w:p w:rsidR="00853298" w:rsidRPr="00853298" w:rsidRDefault="00853298" w:rsidP="00853298">
      <w:pPr>
        <w:rPr>
          <w:lang w:val="es-ES_tradnl"/>
        </w:rPr>
      </w:pPr>
    </w:p>
    <w:p w:rsidR="00AD684C" w:rsidRPr="00DA48D5" w:rsidRDefault="009C6925" w:rsidP="00354FA3">
      <w:pPr>
        <w:pStyle w:val="Ttulo2"/>
      </w:pPr>
      <w:r w:rsidRPr="00DA48D5">
        <w:t xml:space="preserve">5.4 </w:t>
      </w:r>
      <w:r w:rsidR="005F3BA6" w:rsidRPr="00DA48D5">
        <w:t>Especificaciones técnicas de los enlaces de transmisión de interconexión</w:t>
      </w:r>
      <w:r w:rsidR="00DA48D5">
        <w:t>.</w:t>
      </w:r>
    </w:p>
    <w:p w:rsidR="00853298" w:rsidRPr="00C870B1" w:rsidRDefault="00AD684C" w:rsidP="00354FA3">
      <w:pPr>
        <w:pStyle w:val="Ttulo3"/>
        <w:rPr>
          <w:i/>
        </w:rPr>
      </w:pPr>
      <w:r w:rsidRPr="000E043D">
        <w:t>Comentarios de la industria</w:t>
      </w:r>
    </w:p>
    <w:p w:rsidR="00853298" w:rsidRDefault="005F3BA6" w:rsidP="001872DA">
      <w:pPr>
        <w:rPr>
          <w:lang w:val="es-SV"/>
        </w:rPr>
      </w:pPr>
      <w:r w:rsidRPr="00853298">
        <w:rPr>
          <w:lang w:val="es-SV"/>
        </w:rPr>
        <w:t xml:space="preserve">Se propone modificar el cuarto párrafo de la </w:t>
      </w:r>
      <w:r w:rsidR="00DE00B7" w:rsidRPr="00853298">
        <w:rPr>
          <w:lang w:val="es-SV"/>
        </w:rPr>
        <w:t xml:space="preserve">Cláusula </w:t>
      </w:r>
      <w:r w:rsidRPr="00853298">
        <w:rPr>
          <w:lang w:val="es-SV"/>
        </w:rPr>
        <w:t>5.7.3</w:t>
      </w:r>
      <w:r w:rsidR="007F029A" w:rsidRPr="00853298">
        <w:rPr>
          <w:lang w:val="es-SV"/>
        </w:rPr>
        <w:t xml:space="preserve"> así como solicita </w:t>
      </w:r>
      <w:r w:rsidRPr="00853298">
        <w:rPr>
          <w:lang w:val="es-SV"/>
        </w:rPr>
        <w:t>que los codificadores de voz tanto para terminar tráfico en la red de Telcel como para hacer servicio de tránsito hacia otros Concesionarios por medio de la red de Telcel utilicen codificadores G.729.</w:t>
      </w:r>
    </w:p>
    <w:p w:rsidR="001872DA" w:rsidRPr="001872DA" w:rsidRDefault="001872DA" w:rsidP="001872DA">
      <w:pPr>
        <w:rPr>
          <w:lang w:val="es-SV"/>
        </w:rPr>
      </w:pPr>
    </w:p>
    <w:p w:rsidR="00853298" w:rsidRPr="00C870B1" w:rsidRDefault="00AD684C" w:rsidP="00354FA3">
      <w:pPr>
        <w:pStyle w:val="Ttulo3"/>
        <w:rPr>
          <w:i/>
        </w:rPr>
      </w:pPr>
      <w:r w:rsidRPr="000E043D">
        <w:t>Respuesta a los comentarios de la industria</w:t>
      </w:r>
    </w:p>
    <w:p w:rsidR="00A96279" w:rsidRDefault="007F029A" w:rsidP="00853298">
      <w:pPr>
        <w:rPr>
          <w:lang w:val="es-SV"/>
        </w:rPr>
      </w:pPr>
      <w:r w:rsidRPr="00853298">
        <w:rPr>
          <w:lang w:val="es-SV"/>
        </w:rPr>
        <w:t>Con respecto a este numeral la oferta de referencia modificada se ha redactado para dar cumplimiento al Acuerdo de Condiciones Técnicas Mínimas, aprobado el 23 de octubre de 2015 por el Pleno del Instituto, que estará vigente durante 2016</w:t>
      </w:r>
      <w:r w:rsidR="00DA48D5">
        <w:rPr>
          <w:lang w:val="es-SV"/>
        </w:rPr>
        <w:t>.</w:t>
      </w:r>
    </w:p>
    <w:p w:rsidR="00853298" w:rsidRPr="00853298" w:rsidRDefault="00853298" w:rsidP="00853298">
      <w:pPr>
        <w:rPr>
          <w:lang w:val="es-SV"/>
        </w:rPr>
      </w:pPr>
    </w:p>
    <w:p w:rsidR="00694FDB" w:rsidRPr="00DA48D5" w:rsidRDefault="00694FDB" w:rsidP="001872DA">
      <w:pPr>
        <w:pStyle w:val="Ttulo2"/>
        <w:rPr>
          <w:i/>
        </w:rPr>
      </w:pPr>
      <w:bookmarkStart w:id="10" w:name="_Toc435609181"/>
      <w:r w:rsidRPr="00DA48D5">
        <w:t xml:space="preserve">Cláusula </w:t>
      </w:r>
      <w:r w:rsidR="00C67C36" w:rsidRPr="00DA48D5">
        <w:t>S</w:t>
      </w:r>
      <w:r w:rsidR="000E043D" w:rsidRPr="00DA48D5">
        <w:t xml:space="preserve">exta. </w:t>
      </w:r>
      <w:r w:rsidRPr="00DA48D5">
        <w:t>Responsabilidades</w:t>
      </w:r>
      <w:bookmarkEnd w:id="10"/>
      <w:r w:rsidR="000E043D" w:rsidRPr="00DA48D5">
        <w:t>.</w:t>
      </w:r>
    </w:p>
    <w:p w:rsidR="00853298" w:rsidRPr="00C870B1"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La </w:t>
      </w:r>
      <w:r w:rsidR="00DE00B7" w:rsidRPr="00853298">
        <w:rPr>
          <w:lang w:val="es-SV"/>
        </w:rPr>
        <w:t>C</w:t>
      </w:r>
      <w:r w:rsidRPr="00853298">
        <w:rPr>
          <w:lang w:val="es-SV"/>
        </w:rPr>
        <w:t xml:space="preserve">láusula </w:t>
      </w:r>
      <w:r w:rsidR="00DE00B7" w:rsidRPr="00853298">
        <w:rPr>
          <w:lang w:val="es-SV"/>
        </w:rPr>
        <w:t>S</w:t>
      </w:r>
      <w:r w:rsidRPr="00853298">
        <w:rPr>
          <w:lang w:val="es-SV"/>
        </w:rPr>
        <w:t>exta contiene informaciones sobre las responsabilidades generales en el convenio y sobre las responsabilidades de Telcel con respecto a la calidad de los servicios de interconexión.</w:t>
      </w:r>
    </w:p>
    <w:p w:rsidR="001872DA" w:rsidRPr="001872DA" w:rsidRDefault="001872DA" w:rsidP="001872DA">
      <w:pPr>
        <w:rPr>
          <w:lang w:val="es-ES_tradnl"/>
        </w:rPr>
      </w:pPr>
    </w:p>
    <w:p w:rsidR="00853298" w:rsidRPr="00C870B1" w:rsidRDefault="0028265B" w:rsidP="00354FA3">
      <w:pPr>
        <w:pStyle w:val="Ttulo3"/>
        <w:rPr>
          <w:i/>
        </w:rPr>
      </w:pPr>
      <w:r w:rsidRPr="000E043D">
        <w:t>Comentarios de la industria</w:t>
      </w:r>
    </w:p>
    <w:p w:rsidR="00853298" w:rsidRDefault="007A2CEA" w:rsidP="001872DA">
      <w:pPr>
        <w:rPr>
          <w:lang w:val="es-SV"/>
        </w:rPr>
      </w:pPr>
      <w:r w:rsidRPr="00853298">
        <w:rPr>
          <w:lang w:val="es-SV"/>
        </w:rPr>
        <w:t>Para evitar problemas de calidad en la prestación de los servicios, los operadores piden que Telcel se obligue a mantener la capacidad suficiente para satisfacer la demanda de servicios de interconexión, previa solicitud del Concesionario</w:t>
      </w:r>
      <w:r w:rsidR="00EE2DFE" w:rsidRPr="00853298">
        <w:rPr>
          <w:lang w:val="es-SV"/>
        </w:rPr>
        <w:t>.</w:t>
      </w:r>
    </w:p>
    <w:p w:rsidR="001872DA" w:rsidRPr="001872DA" w:rsidRDefault="001872DA" w:rsidP="001872DA">
      <w:pPr>
        <w:rPr>
          <w:lang w:val="es-ES_tradnl"/>
        </w:rPr>
      </w:pPr>
    </w:p>
    <w:p w:rsidR="00853298" w:rsidRPr="00C870B1" w:rsidRDefault="0028265B" w:rsidP="00354FA3">
      <w:pPr>
        <w:pStyle w:val="Ttulo3"/>
        <w:rPr>
          <w:i/>
        </w:rPr>
      </w:pPr>
      <w:r w:rsidRPr="000E043D">
        <w:t>Respuesta a los comentarios de la industria</w:t>
      </w:r>
    </w:p>
    <w:p w:rsidR="002A6365" w:rsidRDefault="003B3C2D" w:rsidP="00853298">
      <w:pPr>
        <w:rPr>
          <w:lang w:val="es-ES_tradnl"/>
        </w:rPr>
      </w:pPr>
      <w:r w:rsidRPr="00853298">
        <w:rPr>
          <w:lang w:val="es-ES_tradnl"/>
        </w:rPr>
        <w:t xml:space="preserve">Con respecto a esta </w:t>
      </w:r>
      <w:r w:rsidR="008B2CD2" w:rsidRPr="00853298">
        <w:rPr>
          <w:lang w:val="es-ES_tradnl"/>
        </w:rPr>
        <w:t>C</w:t>
      </w:r>
      <w:r w:rsidRPr="00853298">
        <w:rPr>
          <w:lang w:val="es-ES_tradnl"/>
        </w:rPr>
        <w:t>láusula, se observa que una capacidad de los servicios de interconexión que soporte el 85% de la demanda durante la hora pico asegura que la red de Telcel estará dimensionada para contar con la capacidad suficiente para el intercambio de la totalidad del tráfico de interconexión aún en el periodo de tiempo en que el tráfico cursado sea máximo por lo que</w:t>
      </w:r>
      <w:r w:rsidR="00613290" w:rsidRPr="00853298">
        <w:rPr>
          <w:lang w:val="es-ES_tradnl"/>
        </w:rPr>
        <w:t xml:space="preserve"> se ha atendido la solicitud de la industria</w:t>
      </w:r>
      <w:r w:rsidR="00861E44" w:rsidRPr="00853298">
        <w:rPr>
          <w:lang w:val="es-ES_tradnl"/>
        </w:rPr>
        <w:t>.</w:t>
      </w:r>
    </w:p>
    <w:p w:rsidR="00853298" w:rsidRPr="00853298" w:rsidRDefault="00853298" w:rsidP="00853298">
      <w:pPr>
        <w:rPr>
          <w:lang w:val="es-ES_tradnl"/>
        </w:rPr>
      </w:pPr>
    </w:p>
    <w:p w:rsidR="00694FDB" w:rsidRPr="00DA48D5" w:rsidRDefault="00694FDB" w:rsidP="001872DA">
      <w:pPr>
        <w:pStyle w:val="Ttulo2"/>
        <w:rPr>
          <w:i/>
        </w:rPr>
      </w:pPr>
      <w:bookmarkStart w:id="11" w:name="_Toc435609182"/>
      <w:r w:rsidRPr="00DA48D5">
        <w:lastRenderedPageBreak/>
        <w:t>Cl</w:t>
      </w:r>
      <w:r w:rsidR="00EE2DFE" w:rsidRPr="00DA48D5">
        <w:t>á</w:t>
      </w:r>
      <w:r w:rsidRPr="00DA48D5">
        <w:t xml:space="preserve">usula </w:t>
      </w:r>
      <w:r w:rsidR="00C67C36" w:rsidRPr="00DA48D5">
        <w:t>S</w:t>
      </w:r>
      <w:r w:rsidR="000E043D" w:rsidRPr="00DA48D5">
        <w:t xml:space="preserve">éptima. </w:t>
      </w:r>
      <w:r w:rsidRPr="00DA48D5">
        <w:t>Garantías del Convenio</w:t>
      </w:r>
      <w:bookmarkEnd w:id="11"/>
      <w:r w:rsidR="000E043D" w:rsidRPr="00DA48D5">
        <w:t>.</w:t>
      </w:r>
    </w:p>
    <w:p w:rsidR="00853298" w:rsidRPr="00C870B1" w:rsidRDefault="008B2CD2" w:rsidP="00354FA3">
      <w:pPr>
        <w:pStyle w:val="Ttulo3"/>
        <w:rPr>
          <w:i/>
        </w:rPr>
      </w:pPr>
      <w:r w:rsidRPr="000E043D">
        <w:t>Resumen de la Cláusula</w:t>
      </w:r>
    </w:p>
    <w:p w:rsidR="00BE4079" w:rsidRDefault="00BE4079" w:rsidP="00853298">
      <w:pPr>
        <w:rPr>
          <w:lang w:val="es-SV"/>
        </w:rPr>
      </w:pPr>
      <w:r w:rsidRPr="00853298">
        <w:rPr>
          <w:lang w:val="es-SV"/>
        </w:rPr>
        <w:t xml:space="preserve">La </w:t>
      </w:r>
      <w:r w:rsidR="00DE00B7" w:rsidRPr="00853298">
        <w:rPr>
          <w:lang w:val="es-SV"/>
        </w:rPr>
        <w:t xml:space="preserve">Cláusula Séptima </w:t>
      </w:r>
      <w:r w:rsidRPr="00853298">
        <w:rPr>
          <w:lang w:val="es-SV"/>
        </w:rPr>
        <w:t>explica el procedimiento y la entidad de la garantía para el pago de contraprestaciones así como el procedimiento de modificación de la misma.</w:t>
      </w:r>
    </w:p>
    <w:p w:rsidR="001872DA" w:rsidRPr="00853298" w:rsidRDefault="001872DA" w:rsidP="00853298">
      <w:pPr>
        <w:rPr>
          <w:lang w:val="es-SV"/>
        </w:rPr>
      </w:pPr>
    </w:p>
    <w:p w:rsidR="00853298" w:rsidRPr="00C870B1" w:rsidRDefault="0028265B" w:rsidP="00354FA3">
      <w:pPr>
        <w:pStyle w:val="Ttulo3"/>
        <w:rPr>
          <w:i/>
        </w:rPr>
      </w:pPr>
      <w:r w:rsidRPr="000E043D">
        <w:t>Comentarios de la industria</w:t>
      </w:r>
    </w:p>
    <w:p w:rsidR="00861E44" w:rsidRDefault="00EE2DFE" w:rsidP="00853298">
      <w:pPr>
        <w:rPr>
          <w:lang w:val="es-SV"/>
        </w:rPr>
      </w:pPr>
      <w:r w:rsidRPr="00853298">
        <w:rPr>
          <w:lang w:val="es-SV"/>
        </w:rPr>
        <w:t>Los operadores proponen eliminar el cuarto párrafo de la Cláusula 7.1</w:t>
      </w:r>
      <w:r w:rsidR="00613290" w:rsidRPr="00853298">
        <w:rPr>
          <w:lang w:val="es-SV"/>
        </w:rPr>
        <w:t xml:space="preserve"> referido a la garantía del primer año y de los años subsecuentes, al considerar que éste aplica al primer párrafo de dicha </w:t>
      </w:r>
      <w:r w:rsidR="008B2CD2" w:rsidRPr="00853298">
        <w:rPr>
          <w:lang w:val="es-SV"/>
        </w:rPr>
        <w:t>C</w:t>
      </w:r>
      <w:r w:rsidR="00613290" w:rsidRPr="00853298">
        <w:rPr>
          <w:lang w:val="es-SV"/>
        </w:rPr>
        <w:t>láusula</w:t>
      </w:r>
      <w:r w:rsidRPr="00853298">
        <w:rPr>
          <w:lang w:val="es-SV"/>
        </w:rPr>
        <w:t>.</w:t>
      </w:r>
      <w:r w:rsidR="00716616" w:rsidRPr="00853298">
        <w:rPr>
          <w:lang w:val="es-SV"/>
        </w:rPr>
        <w:t xml:space="preserve"> </w:t>
      </w:r>
    </w:p>
    <w:p w:rsidR="001872DA" w:rsidRPr="00853298" w:rsidRDefault="001872DA" w:rsidP="00853298">
      <w:pPr>
        <w:rPr>
          <w:lang w:val="es-SV"/>
        </w:rPr>
      </w:pPr>
    </w:p>
    <w:p w:rsidR="00853298" w:rsidRPr="00C870B1" w:rsidRDefault="0028265B" w:rsidP="00354FA3">
      <w:pPr>
        <w:pStyle w:val="Ttulo3"/>
        <w:rPr>
          <w:i/>
        </w:rPr>
      </w:pPr>
      <w:r w:rsidRPr="000E043D">
        <w:t>Respuesta a los comentarios de la industria</w:t>
      </w:r>
    </w:p>
    <w:p w:rsidR="002A6365" w:rsidRDefault="00EE2DFE" w:rsidP="00853298">
      <w:pPr>
        <w:rPr>
          <w:lang w:val="es-ES_tradnl"/>
        </w:rPr>
      </w:pPr>
      <w:r w:rsidRPr="00853298">
        <w:rPr>
          <w:lang w:val="es-ES_tradnl"/>
        </w:rPr>
        <w:t xml:space="preserve">Telcel eliminó </w:t>
      </w:r>
      <w:r w:rsidR="00613290" w:rsidRPr="00853298">
        <w:rPr>
          <w:lang w:val="es-ES_tradnl"/>
        </w:rPr>
        <w:t xml:space="preserve">dicho párrafo </w:t>
      </w:r>
      <w:r w:rsidR="00221BBF" w:rsidRPr="00853298">
        <w:rPr>
          <w:lang w:val="es-ES_tradnl"/>
        </w:rPr>
        <w:t>y, adicionalmente</w:t>
      </w:r>
      <w:r w:rsidRPr="00853298">
        <w:rPr>
          <w:lang w:val="es-ES_tradnl"/>
        </w:rPr>
        <w:t xml:space="preserve">, a efecto de no alterar mayormente la numeración del Convenio, en dicha </w:t>
      </w:r>
      <w:r w:rsidR="008B2CD2" w:rsidRPr="00853298">
        <w:rPr>
          <w:lang w:val="es-ES_tradnl"/>
        </w:rPr>
        <w:t xml:space="preserve">Cláusula </w:t>
      </w:r>
      <w:r w:rsidRPr="00853298">
        <w:rPr>
          <w:lang w:val="es-ES_tradnl"/>
        </w:rPr>
        <w:t>Telcel incorporó el texto de la sección relativa a Propiedad Intelectual, que antes se encontraba en el numeral 19.9 del Convenio.</w:t>
      </w:r>
    </w:p>
    <w:p w:rsidR="00853298" w:rsidRPr="00853298" w:rsidRDefault="00853298" w:rsidP="00853298">
      <w:pPr>
        <w:rPr>
          <w:lang w:val="es-ES_tradnl"/>
        </w:rPr>
      </w:pPr>
    </w:p>
    <w:p w:rsidR="0028265B" w:rsidRPr="00DA48D5" w:rsidRDefault="00694FDB" w:rsidP="001872DA">
      <w:pPr>
        <w:pStyle w:val="Ttulo2"/>
        <w:rPr>
          <w:i/>
        </w:rPr>
      </w:pPr>
      <w:bookmarkStart w:id="12" w:name="_Toc435609183"/>
      <w:r w:rsidRPr="00DA48D5">
        <w:t xml:space="preserve">Cláusula </w:t>
      </w:r>
      <w:r w:rsidR="00C67C36" w:rsidRPr="00DA48D5">
        <w:t>Octava</w:t>
      </w:r>
      <w:r w:rsidR="000E043D" w:rsidRPr="00DA48D5">
        <w:t xml:space="preserve">. </w:t>
      </w:r>
      <w:r w:rsidR="00C67C36" w:rsidRPr="00DA48D5">
        <w:t>Suspensión temporal</w:t>
      </w:r>
      <w:bookmarkEnd w:id="12"/>
      <w:r w:rsidR="000E043D" w:rsidRPr="00DA48D5">
        <w:t>.</w:t>
      </w:r>
    </w:p>
    <w:p w:rsidR="00853298" w:rsidRPr="00C870B1"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La </w:t>
      </w:r>
      <w:r w:rsidR="00DE00B7" w:rsidRPr="00853298">
        <w:rPr>
          <w:lang w:val="es-SV"/>
        </w:rPr>
        <w:t xml:space="preserve">Cláusula Octava </w:t>
      </w:r>
      <w:r w:rsidRPr="00853298">
        <w:rPr>
          <w:lang w:val="es-SV"/>
        </w:rPr>
        <w:t>se refiere a los procedimientos de suspensión temporal de los servicios de interconexión y de la continuidad de los mismos en ventanas de mantenimiento.</w:t>
      </w:r>
    </w:p>
    <w:p w:rsidR="001872DA" w:rsidRPr="001872DA" w:rsidRDefault="001872DA" w:rsidP="001872DA">
      <w:pPr>
        <w:rPr>
          <w:lang w:val="es-ES_tradnl"/>
        </w:rPr>
      </w:pPr>
    </w:p>
    <w:p w:rsidR="00853298" w:rsidRPr="00C870B1" w:rsidRDefault="0028265B" w:rsidP="00354FA3">
      <w:pPr>
        <w:pStyle w:val="Ttulo3"/>
        <w:rPr>
          <w:i/>
        </w:rPr>
      </w:pPr>
      <w:r w:rsidRPr="000E043D">
        <w:t>Comentarios de la industria</w:t>
      </w:r>
    </w:p>
    <w:p w:rsidR="00853298" w:rsidRDefault="00EE2DFE" w:rsidP="001872DA">
      <w:pPr>
        <w:rPr>
          <w:lang w:val="es-ES_tradnl"/>
        </w:rPr>
      </w:pPr>
      <w:r w:rsidRPr="00853298">
        <w:rPr>
          <w:lang w:val="es-ES_tradnl"/>
        </w:rPr>
        <w:t xml:space="preserve">Se solicita eliminar el párrafo tercero de la </w:t>
      </w:r>
      <w:r w:rsidR="00DE00B7" w:rsidRPr="00853298">
        <w:rPr>
          <w:lang w:val="es-ES_tradnl"/>
        </w:rPr>
        <w:t xml:space="preserve">Cláusula </w:t>
      </w:r>
      <w:r w:rsidRPr="00853298">
        <w:rPr>
          <w:lang w:val="es-ES_tradnl"/>
        </w:rPr>
        <w:t>8.1 porque se presta a ambigüedades y podría permitir que los plazos se alarguen de forma innecesaria.</w:t>
      </w:r>
    </w:p>
    <w:p w:rsidR="001872DA" w:rsidRPr="001872DA" w:rsidRDefault="001872DA" w:rsidP="001872DA">
      <w:pPr>
        <w:rPr>
          <w:lang w:val="es-ES_tradnl"/>
        </w:rPr>
      </w:pPr>
    </w:p>
    <w:p w:rsidR="00853298" w:rsidRPr="00C870B1" w:rsidRDefault="0028265B" w:rsidP="00354FA3">
      <w:pPr>
        <w:pStyle w:val="Ttulo3"/>
        <w:rPr>
          <w:i/>
        </w:rPr>
      </w:pPr>
      <w:r w:rsidRPr="000E043D">
        <w:t>Respuesta a los comentarios de la industria</w:t>
      </w:r>
    </w:p>
    <w:p w:rsidR="009C7CDA" w:rsidRPr="00853298" w:rsidRDefault="003B3C2D" w:rsidP="00853298">
      <w:pPr>
        <w:rPr>
          <w:lang w:val="es-ES_tradnl"/>
        </w:rPr>
      </w:pPr>
      <w:r w:rsidRPr="00853298">
        <w:rPr>
          <w:lang w:val="es-ES_tradnl"/>
        </w:rPr>
        <w:t>El hecho de incluir los conceptos de Fuerza Mayor y Caso Fortuito dentro de los tiempos de atención en caso de suspensión temporal del servicio no es usual en otras oferta</w:t>
      </w:r>
      <w:r w:rsidR="00DE781B" w:rsidRPr="00853298">
        <w:rPr>
          <w:lang w:val="es-ES_tradnl"/>
        </w:rPr>
        <w:t>s</w:t>
      </w:r>
      <w:r w:rsidRPr="00853298">
        <w:rPr>
          <w:lang w:val="es-ES_tradnl"/>
        </w:rPr>
        <w:t xml:space="preserve"> de referencia como se observa al analizar las ofertas de España, Francia y Portugal. Este hecho, unido a que los tiempos de resolución de incidencias definidos en las Medidas son exigentes </w:t>
      </w:r>
      <w:r w:rsidR="00716616" w:rsidRPr="00853298">
        <w:rPr>
          <w:lang w:val="es-ES_tradnl"/>
        </w:rPr>
        <w:t xml:space="preserve">en comparación </w:t>
      </w:r>
      <w:r w:rsidRPr="00853298">
        <w:rPr>
          <w:lang w:val="es-ES_tradnl"/>
        </w:rPr>
        <w:t xml:space="preserve">con referencias internacionales, </w:t>
      </w:r>
      <w:r w:rsidR="009C7CDA" w:rsidRPr="00853298">
        <w:rPr>
          <w:lang w:val="es-ES_tradnl"/>
        </w:rPr>
        <w:t xml:space="preserve">hace que </w:t>
      </w:r>
      <w:r w:rsidRPr="00853298">
        <w:rPr>
          <w:lang w:val="es-ES_tradnl"/>
        </w:rPr>
        <w:t xml:space="preserve">se </w:t>
      </w:r>
      <w:r w:rsidR="009C7CDA" w:rsidRPr="00853298">
        <w:rPr>
          <w:lang w:val="es-ES_tradnl"/>
        </w:rPr>
        <w:t xml:space="preserve">considere </w:t>
      </w:r>
      <w:r w:rsidRPr="00853298">
        <w:rPr>
          <w:lang w:val="es-ES_tradnl"/>
        </w:rPr>
        <w:t xml:space="preserve">procedente la descripción de la </w:t>
      </w:r>
      <w:r w:rsidR="008B2CD2" w:rsidRPr="00853298">
        <w:rPr>
          <w:lang w:val="es-ES_tradnl"/>
        </w:rPr>
        <w:t>Cláusula</w:t>
      </w:r>
      <w:r w:rsidRPr="00853298">
        <w:rPr>
          <w:lang w:val="es-ES_tradnl"/>
        </w:rPr>
        <w:t xml:space="preserve">, en tanto sea técnicamente factible, las Partes deberán proveer soluciones para el restablecimiento de los servicios en plazos </w:t>
      </w:r>
      <w:r w:rsidR="009C7CDA" w:rsidRPr="00853298">
        <w:rPr>
          <w:lang w:val="es-ES_tradnl"/>
        </w:rPr>
        <w:t xml:space="preserve">inferiores a 1 (una) hora </w:t>
      </w:r>
      <w:r w:rsidRPr="00853298">
        <w:rPr>
          <w:lang w:val="es-ES_tradnl"/>
        </w:rPr>
        <w:t>y</w:t>
      </w:r>
      <w:r w:rsidR="009C7CDA" w:rsidRPr="00853298">
        <w:rPr>
          <w:lang w:val="es-ES_tradnl"/>
        </w:rPr>
        <w:t>, si</w:t>
      </w:r>
      <w:r w:rsidR="00221BBF" w:rsidRPr="00853298">
        <w:rPr>
          <w:lang w:val="es-ES_tradnl"/>
        </w:rPr>
        <w:t xml:space="preserve"> </w:t>
      </w:r>
      <w:r w:rsidRPr="00853298">
        <w:rPr>
          <w:lang w:val="es-ES_tradnl"/>
        </w:rPr>
        <w:t xml:space="preserve">la afectación </w:t>
      </w:r>
      <w:r w:rsidR="009C7CDA" w:rsidRPr="00853298">
        <w:rPr>
          <w:lang w:val="es-ES_tradnl"/>
        </w:rPr>
        <w:t xml:space="preserve">es </w:t>
      </w:r>
      <w:r w:rsidRPr="00853298">
        <w:rPr>
          <w:lang w:val="es-ES_tradnl"/>
        </w:rPr>
        <w:t>parcial</w:t>
      </w:r>
      <w:r w:rsidR="00221BBF" w:rsidRPr="00853298">
        <w:rPr>
          <w:lang w:val="es-ES_tradnl"/>
        </w:rPr>
        <w:t>, el plazo es de</w:t>
      </w:r>
      <w:r w:rsidRPr="00853298">
        <w:rPr>
          <w:lang w:val="es-ES_tradnl"/>
        </w:rPr>
        <w:t xml:space="preserve"> 3 (tres) horas</w:t>
      </w:r>
      <w:r w:rsidR="009C7CDA" w:rsidRPr="00853298">
        <w:rPr>
          <w:lang w:val="es-ES_tradnl"/>
        </w:rPr>
        <w:t xml:space="preserve">. </w:t>
      </w:r>
    </w:p>
    <w:p w:rsidR="00853298" w:rsidRDefault="00853298" w:rsidP="00853298">
      <w:pPr>
        <w:rPr>
          <w:lang w:val="es-ES_tradnl"/>
        </w:rPr>
      </w:pPr>
    </w:p>
    <w:p w:rsidR="0028265B" w:rsidRDefault="009C7CDA" w:rsidP="00853298">
      <w:pPr>
        <w:rPr>
          <w:lang w:val="es-ES_tradnl"/>
        </w:rPr>
      </w:pPr>
      <w:r w:rsidRPr="00853298">
        <w:rPr>
          <w:lang w:val="es-ES_tradnl"/>
        </w:rPr>
        <w:t xml:space="preserve">En relación con otras ofertas, </w:t>
      </w:r>
      <w:r w:rsidR="003B3C2D" w:rsidRPr="00853298">
        <w:rPr>
          <w:lang w:val="es-ES_tradnl"/>
        </w:rPr>
        <w:t xml:space="preserve">por ejemplo, </w:t>
      </w:r>
      <w:r w:rsidRPr="00853298">
        <w:rPr>
          <w:lang w:val="es-ES_tradnl"/>
        </w:rPr>
        <w:t xml:space="preserve">en España </w:t>
      </w:r>
      <w:r w:rsidR="003B3C2D" w:rsidRPr="00853298">
        <w:rPr>
          <w:lang w:val="es-ES_tradnl"/>
        </w:rPr>
        <w:t xml:space="preserve">3 horas es el tiempo </w:t>
      </w:r>
      <w:r w:rsidRPr="00853298">
        <w:rPr>
          <w:lang w:val="es-ES_tradnl"/>
        </w:rPr>
        <w:t>de reparación establecido para solucionar incidencias muy urgentes</w:t>
      </w:r>
      <w:r w:rsidR="002F711C" w:rsidRPr="00853298">
        <w:rPr>
          <w:lang w:val="es-ES_tradnl"/>
        </w:rPr>
        <w:t xml:space="preserve"> en horario </w:t>
      </w:r>
      <w:r w:rsidR="002F711C" w:rsidRPr="00853298">
        <w:rPr>
          <w:lang w:val="es-ES_tradnl"/>
        </w:rPr>
        <w:lastRenderedPageBreak/>
        <w:t>laboral, el cual es el tiempo más exigente con respecto a otros horarios y/o tipos de incidencia</w:t>
      </w:r>
      <w:r w:rsidRPr="00853298">
        <w:rPr>
          <w:lang w:val="es-ES_tradnl"/>
        </w:rPr>
        <w:t>.</w:t>
      </w:r>
    </w:p>
    <w:p w:rsidR="00853298" w:rsidRPr="00853298" w:rsidRDefault="00853298" w:rsidP="00853298">
      <w:pPr>
        <w:rPr>
          <w:lang w:val="es-ES_tradnl"/>
        </w:rPr>
      </w:pPr>
    </w:p>
    <w:p w:rsidR="00694FDB" w:rsidRPr="001872DA" w:rsidRDefault="00694FDB" w:rsidP="001872DA">
      <w:pPr>
        <w:pStyle w:val="Ttulo2"/>
      </w:pPr>
      <w:bookmarkStart w:id="13" w:name="_Toc435609184"/>
      <w:r w:rsidRPr="001872DA">
        <w:t xml:space="preserve">Cláusula </w:t>
      </w:r>
      <w:r w:rsidR="003B3C2D" w:rsidRPr="001872DA">
        <w:t>N</w:t>
      </w:r>
      <w:r w:rsidR="000E043D" w:rsidRPr="001872DA">
        <w:t xml:space="preserve">ovena. </w:t>
      </w:r>
      <w:r w:rsidRPr="001872DA">
        <w:t>Cesión y adhesión</w:t>
      </w:r>
      <w:bookmarkEnd w:id="13"/>
      <w:r w:rsidR="000E043D" w:rsidRPr="001872DA">
        <w:t>.</w:t>
      </w:r>
    </w:p>
    <w:p w:rsidR="00853298" w:rsidRPr="00C870B1"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La </w:t>
      </w:r>
      <w:r w:rsidR="00DE00B7" w:rsidRPr="00853298">
        <w:rPr>
          <w:lang w:val="es-SV"/>
        </w:rPr>
        <w:t>Cláusula N</w:t>
      </w:r>
      <w:r w:rsidRPr="00853298">
        <w:rPr>
          <w:lang w:val="es-SV"/>
        </w:rPr>
        <w:t>ovena se refiere a los procedimientos de cesión y adhesión, que no pueden ser actuados sin autorización de la otra parte, excepto en el caso de cesión y adhesión a subsidiarias.</w:t>
      </w:r>
    </w:p>
    <w:p w:rsidR="001872DA" w:rsidRPr="00BA5727" w:rsidRDefault="001872DA" w:rsidP="001872DA"/>
    <w:p w:rsidR="00853298" w:rsidRPr="00C870B1" w:rsidRDefault="0028265B" w:rsidP="00354FA3">
      <w:pPr>
        <w:pStyle w:val="Ttulo3"/>
        <w:rPr>
          <w:i/>
        </w:rPr>
      </w:pPr>
      <w:r w:rsidRPr="000E043D">
        <w:t>Comentarios de la industria</w:t>
      </w:r>
    </w:p>
    <w:p w:rsidR="00853298" w:rsidRDefault="00515D18" w:rsidP="001872DA">
      <w:pPr>
        <w:rPr>
          <w:lang w:val="es-ES_tradnl"/>
        </w:rPr>
      </w:pPr>
      <w:r w:rsidRPr="00853298">
        <w:rPr>
          <w:lang w:val="es-ES_tradnl"/>
        </w:rPr>
        <w:t xml:space="preserve">Se recomienda modificar la </w:t>
      </w:r>
      <w:r w:rsidR="00DE00B7" w:rsidRPr="00853298">
        <w:rPr>
          <w:lang w:val="es-ES_tradnl"/>
        </w:rPr>
        <w:t>C</w:t>
      </w:r>
      <w:r w:rsidRPr="00853298">
        <w:rPr>
          <w:lang w:val="es-ES_tradnl"/>
        </w:rPr>
        <w:t>láusula 9, a fin de hacerla más inclusiva y facilitar movimientos corporativos de los concesionarios.</w:t>
      </w:r>
    </w:p>
    <w:p w:rsidR="001872DA" w:rsidRPr="00BA5727" w:rsidRDefault="001872DA" w:rsidP="001872DA"/>
    <w:p w:rsidR="00853298" w:rsidRPr="00C870B1" w:rsidRDefault="0028265B" w:rsidP="00354FA3">
      <w:pPr>
        <w:pStyle w:val="Ttulo3"/>
        <w:rPr>
          <w:i/>
        </w:rPr>
      </w:pPr>
      <w:r w:rsidRPr="000E043D">
        <w:t>Respuesta a los comentarios de la industria</w:t>
      </w:r>
    </w:p>
    <w:p w:rsidR="0028265B" w:rsidRDefault="00515D18" w:rsidP="00853298">
      <w:pPr>
        <w:rPr>
          <w:lang w:val="es-ES_tradnl"/>
        </w:rPr>
      </w:pPr>
      <w:r w:rsidRPr="00853298">
        <w:rPr>
          <w:lang w:val="es-ES_tradnl"/>
        </w:rPr>
        <w:t xml:space="preserve">No se realiza modificación alguna </w:t>
      </w:r>
      <w:r w:rsidR="003B3C2D" w:rsidRPr="00853298">
        <w:rPr>
          <w:lang w:val="es-ES_tradnl"/>
        </w:rPr>
        <w:t>ya que dicha Cláusula proporciona claridad en el supuesto de que alguna de las Partes requiera ceder los derechos de su operación,  y que es una Cláusula común en los convenios de interconexión entre los distintos concesionarios de la industria y registrados ante el Instituto.</w:t>
      </w:r>
    </w:p>
    <w:p w:rsidR="00853298" w:rsidRPr="00DA48D5" w:rsidRDefault="00853298" w:rsidP="00853298">
      <w:pPr>
        <w:rPr>
          <w:u w:val="single"/>
          <w:lang w:val="es-ES_tradnl"/>
        </w:rPr>
      </w:pPr>
    </w:p>
    <w:p w:rsidR="00694FDB" w:rsidRPr="00DA48D5" w:rsidRDefault="00694FDB" w:rsidP="001872DA">
      <w:pPr>
        <w:pStyle w:val="Ttulo2"/>
        <w:rPr>
          <w:i/>
        </w:rPr>
      </w:pPr>
      <w:bookmarkStart w:id="14" w:name="_Toc435609185"/>
      <w:r w:rsidRPr="00DA48D5">
        <w:t xml:space="preserve">Cláusula </w:t>
      </w:r>
      <w:r w:rsidR="003B3C2D" w:rsidRPr="00DA48D5">
        <w:t>Decimotercera</w:t>
      </w:r>
      <w:r w:rsidR="000E043D" w:rsidRPr="00DA48D5">
        <w:t xml:space="preserve">. </w:t>
      </w:r>
      <w:r w:rsidR="00C67C36" w:rsidRPr="00DA48D5">
        <w:t>Trato no discriminatorio</w:t>
      </w:r>
      <w:bookmarkEnd w:id="14"/>
      <w:r w:rsidR="000E043D" w:rsidRPr="00DA48D5">
        <w:t>.</w:t>
      </w:r>
    </w:p>
    <w:p w:rsidR="00853298" w:rsidRPr="00453485"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La </w:t>
      </w:r>
      <w:r w:rsidR="003B3C2D" w:rsidRPr="00853298">
        <w:rPr>
          <w:lang w:val="es-SV"/>
        </w:rPr>
        <w:t>C</w:t>
      </w:r>
      <w:r w:rsidRPr="00853298">
        <w:rPr>
          <w:lang w:val="es-SV"/>
        </w:rPr>
        <w:t xml:space="preserve">láusula </w:t>
      </w:r>
      <w:r w:rsidR="003B3C2D" w:rsidRPr="00853298">
        <w:rPr>
          <w:lang w:val="es-SV"/>
        </w:rPr>
        <w:t>Decimotercera</w:t>
      </w:r>
      <w:r w:rsidRPr="00853298">
        <w:rPr>
          <w:lang w:val="es-SV"/>
        </w:rPr>
        <w:t xml:space="preserve"> se refiere al trato no discriminatorio entre Telcel y los concesio</w:t>
      </w:r>
      <w:r w:rsidR="00262638" w:rsidRPr="00853298">
        <w:rPr>
          <w:lang w:val="es-SV"/>
        </w:rPr>
        <w:t>narios.</w:t>
      </w:r>
    </w:p>
    <w:p w:rsidR="001872DA" w:rsidRPr="001872DA" w:rsidRDefault="001872DA" w:rsidP="001872DA">
      <w:pPr>
        <w:rPr>
          <w:lang w:val="es-ES_tradnl"/>
        </w:rPr>
      </w:pPr>
    </w:p>
    <w:p w:rsidR="00853298" w:rsidRPr="00C870B1" w:rsidRDefault="0028265B" w:rsidP="00354FA3">
      <w:pPr>
        <w:pStyle w:val="Ttulo3"/>
        <w:rPr>
          <w:i/>
        </w:rPr>
      </w:pPr>
      <w:r w:rsidRPr="000E043D">
        <w:t>Comentarios de la industria</w:t>
      </w:r>
    </w:p>
    <w:p w:rsidR="00262638" w:rsidRDefault="00262638" w:rsidP="00853298">
      <w:pPr>
        <w:rPr>
          <w:lang w:val="es-SV"/>
        </w:rPr>
      </w:pPr>
      <w:r w:rsidRPr="00853298">
        <w:rPr>
          <w:lang w:val="es-SV"/>
        </w:rPr>
        <w:t>Los operadores señalan la necesidad de aclarar que en caso de que el Concesionario firmante otorgue diversas condiciones a un tercero, Telcel no puede solicitar dicho trato en virtud de su calidad de preponderante, toda vez que eso lo coloca en estado desigual frente a los demás Concesionarios.</w:t>
      </w:r>
    </w:p>
    <w:p w:rsidR="001872DA" w:rsidRPr="00853298" w:rsidRDefault="001872DA" w:rsidP="00853298">
      <w:pPr>
        <w:rPr>
          <w:lang w:val="es-ES_tradnl"/>
        </w:rPr>
      </w:pPr>
    </w:p>
    <w:p w:rsidR="0028265B" w:rsidRPr="00853298" w:rsidRDefault="0028265B" w:rsidP="00354FA3">
      <w:pPr>
        <w:pStyle w:val="Ttulo3"/>
      </w:pPr>
      <w:r w:rsidRPr="00853298">
        <w:t>Respuesta a los comentarios de la industria</w:t>
      </w:r>
    </w:p>
    <w:p w:rsidR="00853298" w:rsidRDefault="00853298" w:rsidP="00853298">
      <w:pPr>
        <w:rPr>
          <w:lang w:val="es-ES_tradnl"/>
        </w:rPr>
      </w:pPr>
    </w:p>
    <w:p w:rsidR="002A6365" w:rsidRDefault="00D52B9F" w:rsidP="00853298">
      <w:pPr>
        <w:rPr>
          <w:lang w:val="es-ES_tradnl"/>
        </w:rPr>
      </w:pPr>
      <w:r w:rsidRPr="00853298">
        <w:rPr>
          <w:lang w:val="es-ES_tradnl"/>
        </w:rPr>
        <w:t xml:space="preserve">Se ha atendido al comentario de la industria y Telcel </w:t>
      </w:r>
      <w:r w:rsidR="003B3C2D" w:rsidRPr="00853298">
        <w:rPr>
          <w:lang w:val="es-ES_tradnl"/>
        </w:rPr>
        <w:t>ha modificado la Cláusula</w:t>
      </w:r>
      <w:r w:rsidRPr="00853298">
        <w:rPr>
          <w:lang w:val="es-ES_tradnl"/>
        </w:rPr>
        <w:t xml:space="preserve"> incluyendo en derecho de las Partes de la intervención del Instituto</w:t>
      </w:r>
      <w:r w:rsidR="003B3C2D" w:rsidRPr="00853298">
        <w:rPr>
          <w:lang w:val="es-ES_tradnl"/>
        </w:rPr>
        <w:t>, lo cual</w:t>
      </w:r>
      <w:r w:rsidR="00716616" w:rsidRPr="00853298">
        <w:rPr>
          <w:lang w:val="es-ES_tradnl"/>
        </w:rPr>
        <w:t xml:space="preserve"> </w:t>
      </w:r>
      <w:r w:rsidRPr="00853298">
        <w:rPr>
          <w:lang w:val="es-ES_tradnl"/>
        </w:rPr>
        <w:t>ofrece certidumbre a los Concesionario.</w:t>
      </w:r>
    </w:p>
    <w:p w:rsidR="00853298" w:rsidRPr="00853298" w:rsidRDefault="00853298" w:rsidP="00853298">
      <w:pPr>
        <w:rPr>
          <w:lang w:val="es-ES_tradnl"/>
        </w:rPr>
      </w:pPr>
    </w:p>
    <w:p w:rsidR="00694FDB" w:rsidRPr="00853298" w:rsidRDefault="00694FDB" w:rsidP="001872DA">
      <w:pPr>
        <w:pStyle w:val="Ttulo2"/>
      </w:pPr>
      <w:bookmarkStart w:id="15" w:name="_Toc435609186"/>
      <w:r w:rsidRPr="00DA48D5">
        <w:t xml:space="preserve">Cláusula </w:t>
      </w:r>
      <w:r w:rsidR="003B3C2D" w:rsidRPr="00DA48D5">
        <w:t>Decimocuarta</w:t>
      </w:r>
      <w:r w:rsidR="000E043D" w:rsidRPr="00DA48D5">
        <w:t xml:space="preserve">. </w:t>
      </w:r>
      <w:r w:rsidR="00C67C36" w:rsidRPr="00DA48D5">
        <w:t>Uso compartido de infraestructura</w:t>
      </w:r>
      <w:bookmarkEnd w:id="15"/>
      <w:r w:rsidR="000E043D" w:rsidRPr="00DA48D5">
        <w:t>.</w:t>
      </w:r>
    </w:p>
    <w:p w:rsidR="00853298" w:rsidRPr="00C870B1" w:rsidRDefault="008B2CD2" w:rsidP="00354FA3">
      <w:pPr>
        <w:pStyle w:val="Ttulo3"/>
        <w:rPr>
          <w:i/>
        </w:rPr>
      </w:pPr>
      <w:r w:rsidRPr="000E043D">
        <w:t>Resumen de la Cláusula</w:t>
      </w:r>
    </w:p>
    <w:p w:rsidR="00853298" w:rsidRDefault="00262638" w:rsidP="001872DA">
      <w:pPr>
        <w:rPr>
          <w:lang w:val="es-SV"/>
        </w:rPr>
      </w:pPr>
      <w:r w:rsidRPr="00853298">
        <w:rPr>
          <w:lang w:val="es-SV"/>
        </w:rPr>
        <w:t xml:space="preserve">En la </w:t>
      </w:r>
      <w:r w:rsidR="00DE00B7" w:rsidRPr="00853298">
        <w:rPr>
          <w:lang w:val="es-SV"/>
        </w:rPr>
        <w:t xml:space="preserve">Cláusula </w:t>
      </w:r>
      <w:r w:rsidR="003B3C2D" w:rsidRPr="00853298">
        <w:rPr>
          <w:lang w:val="es-SV"/>
        </w:rPr>
        <w:t xml:space="preserve">Decimocuarta </w:t>
      </w:r>
      <w:r w:rsidR="00BE4079" w:rsidRPr="00853298">
        <w:rPr>
          <w:lang w:val="es-SV"/>
        </w:rPr>
        <w:t>se define el acceso irrestricto.</w:t>
      </w:r>
    </w:p>
    <w:p w:rsidR="001872DA" w:rsidRPr="001872DA" w:rsidRDefault="001872DA" w:rsidP="001872DA">
      <w:pPr>
        <w:rPr>
          <w:lang w:val="es-ES_tradnl"/>
        </w:rPr>
      </w:pPr>
    </w:p>
    <w:p w:rsidR="00853298" w:rsidRPr="00C870B1" w:rsidRDefault="0028265B" w:rsidP="00354FA3">
      <w:pPr>
        <w:pStyle w:val="Ttulo3"/>
        <w:rPr>
          <w:i/>
        </w:rPr>
      </w:pPr>
      <w:r w:rsidRPr="000E043D">
        <w:lastRenderedPageBreak/>
        <w:t>Comentarios de la industria</w:t>
      </w:r>
    </w:p>
    <w:p w:rsidR="00853298" w:rsidRDefault="00262638" w:rsidP="001872DA">
      <w:pPr>
        <w:rPr>
          <w:lang w:val="es-SV"/>
        </w:rPr>
      </w:pPr>
      <w:r w:rsidRPr="00853298">
        <w:rPr>
          <w:lang w:val="es-SV"/>
        </w:rPr>
        <w:t xml:space="preserve">Los operadores afirman que es necesario que el IFT solicite aclarar con Telcel el alcance de este punto, en el escenario de compartición de </w:t>
      </w:r>
      <w:proofErr w:type="spellStart"/>
      <w:r w:rsidRPr="00853298">
        <w:rPr>
          <w:lang w:val="es-SV"/>
        </w:rPr>
        <w:t>coubicaciones</w:t>
      </w:r>
      <w:proofErr w:type="spellEnd"/>
      <w:r w:rsidRPr="00853298">
        <w:rPr>
          <w:lang w:val="es-SV"/>
        </w:rPr>
        <w:t xml:space="preserve"> con otros </w:t>
      </w:r>
      <w:proofErr w:type="spellStart"/>
      <w:r w:rsidRPr="00853298">
        <w:rPr>
          <w:i/>
          <w:lang w:val="es-SV"/>
        </w:rPr>
        <w:t>carriers</w:t>
      </w:r>
      <w:proofErr w:type="spellEnd"/>
      <w:r w:rsidRPr="00853298">
        <w:rPr>
          <w:lang w:val="es-SV"/>
        </w:rPr>
        <w:t xml:space="preserve"> y </w:t>
      </w:r>
      <w:proofErr w:type="spellStart"/>
      <w:r w:rsidRPr="00853298">
        <w:rPr>
          <w:lang w:val="es-SV"/>
        </w:rPr>
        <w:t>cross</w:t>
      </w:r>
      <w:proofErr w:type="spellEnd"/>
      <w:r w:rsidRPr="00853298">
        <w:rPr>
          <w:lang w:val="es-SV"/>
        </w:rPr>
        <w:t>-conexiones.</w:t>
      </w:r>
    </w:p>
    <w:p w:rsidR="001872DA" w:rsidRPr="00BA5727" w:rsidRDefault="001872DA" w:rsidP="001872DA"/>
    <w:p w:rsidR="00853298" w:rsidRPr="00C870B1" w:rsidRDefault="0028265B" w:rsidP="00354FA3">
      <w:pPr>
        <w:pStyle w:val="Ttulo3"/>
        <w:rPr>
          <w:i/>
        </w:rPr>
      </w:pPr>
      <w:r w:rsidRPr="000E043D">
        <w:t>Respuesta a los comentarios de la industria</w:t>
      </w:r>
    </w:p>
    <w:p w:rsidR="002A6365" w:rsidRDefault="00262638" w:rsidP="00853298">
      <w:pPr>
        <w:rPr>
          <w:lang w:val="es-SV"/>
        </w:rPr>
      </w:pPr>
      <w:r w:rsidRPr="00853298">
        <w:rPr>
          <w:lang w:val="es-SV"/>
        </w:rPr>
        <w:t>Se considera que la clarificación del punto mencionado no es necesaria dentro de la oferta pero que será un tema que se tendrá en cuenta en el modelo de costos.</w:t>
      </w:r>
    </w:p>
    <w:p w:rsidR="00853298" w:rsidRPr="00853298" w:rsidRDefault="00853298" w:rsidP="00853298">
      <w:pPr>
        <w:rPr>
          <w:lang w:val="es-SV"/>
        </w:rPr>
      </w:pPr>
    </w:p>
    <w:p w:rsidR="00694FDB" w:rsidRPr="00DA48D5" w:rsidRDefault="00694FDB" w:rsidP="001872DA">
      <w:pPr>
        <w:pStyle w:val="Ttulo2"/>
        <w:rPr>
          <w:i/>
        </w:rPr>
      </w:pPr>
      <w:bookmarkStart w:id="16" w:name="_Toc435543220"/>
      <w:bookmarkStart w:id="17" w:name="_Toc435609187"/>
      <w:bookmarkEnd w:id="16"/>
      <w:r w:rsidRPr="00DA48D5">
        <w:t xml:space="preserve">Cláusula </w:t>
      </w:r>
      <w:r w:rsidR="003B3C2D" w:rsidRPr="00DA48D5">
        <w:t>D</w:t>
      </w:r>
      <w:r w:rsidR="000E043D" w:rsidRPr="00DA48D5">
        <w:t xml:space="preserve">ecimosexta. </w:t>
      </w:r>
      <w:r w:rsidRPr="00DA48D5">
        <w:t>Vigencia</w:t>
      </w:r>
      <w:bookmarkEnd w:id="17"/>
      <w:r w:rsidR="000E043D" w:rsidRPr="00DA48D5">
        <w:t>.</w:t>
      </w:r>
    </w:p>
    <w:p w:rsidR="00853298" w:rsidRPr="00C870B1"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La </w:t>
      </w:r>
      <w:r w:rsidR="00DE00B7" w:rsidRPr="00853298">
        <w:rPr>
          <w:lang w:val="es-SV"/>
        </w:rPr>
        <w:t xml:space="preserve">Cláusula </w:t>
      </w:r>
      <w:r w:rsidR="003B3C2D" w:rsidRPr="00853298">
        <w:rPr>
          <w:lang w:val="es-SV"/>
        </w:rPr>
        <w:t>Decimo</w:t>
      </w:r>
      <w:r w:rsidRPr="00853298">
        <w:rPr>
          <w:lang w:val="es-SV"/>
        </w:rPr>
        <w:t>sexta se refiere a la vigencia del convenio y la revisión de</w:t>
      </w:r>
      <w:r w:rsidR="003B3C2D" w:rsidRPr="00853298">
        <w:rPr>
          <w:lang w:val="es-SV"/>
        </w:rPr>
        <w:t>l</w:t>
      </w:r>
      <w:r w:rsidR="00716616" w:rsidRPr="00853298">
        <w:rPr>
          <w:lang w:val="es-SV"/>
        </w:rPr>
        <w:t xml:space="preserve"> </w:t>
      </w:r>
      <w:r w:rsidRPr="00853298">
        <w:rPr>
          <w:lang w:val="es-SV"/>
        </w:rPr>
        <w:t>mismo. En particular, se afirma que el convenio tendrá una vigencia hasta el 31 de diciembre de 2016, salvo que sea modificado, terminado anticipadamente o rescindido conforme a lo previsto en el presente convenio y demás disposiciones aplicables.</w:t>
      </w:r>
    </w:p>
    <w:p w:rsidR="001872DA" w:rsidRPr="00BA5727" w:rsidRDefault="001872DA" w:rsidP="001872DA"/>
    <w:p w:rsidR="00853298" w:rsidRPr="00C870B1" w:rsidRDefault="0028265B" w:rsidP="00354FA3">
      <w:pPr>
        <w:pStyle w:val="Ttulo3"/>
        <w:rPr>
          <w:i/>
        </w:rPr>
      </w:pPr>
      <w:r w:rsidRPr="000E043D">
        <w:t>Comentarios de la industria</w:t>
      </w:r>
    </w:p>
    <w:p w:rsidR="0028265B" w:rsidRPr="00853298" w:rsidRDefault="008449EE" w:rsidP="00853298">
      <w:pPr>
        <w:rPr>
          <w:lang w:val="es-SV"/>
        </w:rPr>
      </w:pPr>
      <w:r w:rsidRPr="00853298">
        <w:rPr>
          <w:lang w:val="es-SV"/>
        </w:rPr>
        <w:t xml:space="preserve">Los operadores comentan que resulta innecesaria, en la </w:t>
      </w:r>
      <w:r w:rsidR="008B2CD2" w:rsidRPr="00853298">
        <w:rPr>
          <w:lang w:val="es-SV"/>
        </w:rPr>
        <w:t xml:space="preserve">Cláusula </w:t>
      </w:r>
      <w:r w:rsidRPr="00853298">
        <w:rPr>
          <w:lang w:val="es-SV"/>
        </w:rPr>
        <w:t>16.1, la mención de las negociaciones para un nuevo convenio si las condiciones de éste serán determinadas por el Instituto en caso de que continúe la preponderancia. En caso contrario, el derecho de negociar debe existir en cualquier momento al cambiar las circunstancias y no al final de la vigencia de un año.</w:t>
      </w:r>
    </w:p>
    <w:p w:rsidR="00853298" w:rsidRDefault="00853298" w:rsidP="00853298">
      <w:pPr>
        <w:rPr>
          <w:lang w:val="es-ES_tradnl"/>
        </w:rPr>
      </w:pPr>
    </w:p>
    <w:p w:rsidR="008449EE" w:rsidRDefault="008449EE" w:rsidP="00853298">
      <w:pPr>
        <w:rPr>
          <w:lang w:val="es-ES_tradnl"/>
        </w:rPr>
      </w:pPr>
      <w:r w:rsidRPr="00853298">
        <w:rPr>
          <w:lang w:val="es-ES_tradnl"/>
        </w:rPr>
        <w:t xml:space="preserve">Asimismo, los operadores proponen modificar la redacción de la </w:t>
      </w:r>
      <w:r w:rsidR="008B2CD2" w:rsidRPr="00853298">
        <w:rPr>
          <w:lang w:val="es-ES_tradnl"/>
        </w:rPr>
        <w:t xml:space="preserve">Cláusula </w:t>
      </w:r>
      <w:r w:rsidRPr="00853298">
        <w:rPr>
          <w:lang w:val="es-ES_tradnl"/>
        </w:rPr>
        <w:t>16.2.</w:t>
      </w:r>
    </w:p>
    <w:p w:rsidR="00853298" w:rsidRDefault="00853298" w:rsidP="00853298">
      <w:pPr>
        <w:rPr>
          <w:color w:val="000000" w:themeColor="text1"/>
          <w:lang w:val="es-SV"/>
        </w:rPr>
      </w:pPr>
    </w:p>
    <w:p w:rsidR="00392A89" w:rsidRPr="00C870B1" w:rsidRDefault="00392A89" w:rsidP="00354FA3">
      <w:pPr>
        <w:pStyle w:val="Ttulo3"/>
        <w:rPr>
          <w:i/>
        </w:rPr>
      </w:pPr>
      <w:r w:rsidRPr="000E043D">
        <w:t>Respuesta a los comentarios de la industria</w:t>
      </w:r>
    </w:p>
    <w:p w:rsidR="008449EE" w:rsidRDefault="008449EE" w:rsidP="00853298">
      <w:pPr>
        <w:rPr>
          <w:color w:val="000000" w:themeColor="text1"/>
          <w:lang w:val="es-SV"/>
        </w:rPr>
      </w:pPr>
      <w:r w:rsidRPr="00853298">
        <w:rPr>
          <w:color w:val="000000" w:themeColor="text1"/>
          <w:lang w:val="es-SV"/>
        </w:rPr>
        <w:t xml:space="preserve">Se considera que la definición de la </w:t>
      </w:r>
      <w:r w:rsidR="008B2CD2" w:rsidRPr="00853298">
        <w:rPr>
          <w:color w:val="000000" w:themeColor="text1"/>
          <w:lang w:val="es-SV"/>
        </w:rPr>
        <w:t>Cláusula</w:t>
      </w:r>
      <w:r w:rsidR="008B2CD2" w:rsidRPr="00853298">
        <w:rPr>
          <w:lang w:val="es-ES_tradnl"/>
        </w:rPr>
        <w:t xml:space="preserve"> </w:t>
      </w:r>
      <w:r w:rsidRPr="00853298">
        <w:rPr>
          <w:color w:val="000000" w:themeColor="text1"/>
          <w:lang w:val="es-SV"/>
        </w:rPr>
        <w:t xml:space="preserve">16.1 ayuda a dar certeza por lo que se observa que es conveniente </w:t>
      </w:r>
      <w:r w:rsidR="003B3C2D" w:rsidRPr="00853298">
        <w:rPr>
          <w:color w:val="000000" w:themeColor="text1"/>
          <w:lang w:val="es-SV"/>
        </w:rPr>
        <w:t>no modificarla</w:t>
      </w:r>
      <w:r w:rsidRPr="00853298">
        <w:rPr>
          <w:color w:val="000000" w:themeColor="text1"/>
          <w:lang w:val="es-SV"/>
        </w:rPr>
        <w:t>.</w:t>
      </w:r>
    </w:p>
    <w:p w:rsidR="00853298" w:rsidRPr="00853298" w:rsidRDefault="00853298" w:rsidP="00853298">
      <w:pPr>
        <w:rPr>
          <w:color w:val="000000" w:themeColor="text1"/>
          <w:lang w:val="es-SV"/>
        </w:rPr>
      </w:pPr>
    </w:p>
    <w:p w:rsidR="008449EE" w:rsidRDefault="008449EE" w:rsidP="00853298">
      <w:pPr>
        <w:rPr>
          <w:color w:val="000000" w:themeColor="text1"/>
          <w:lang w:val="es-SV"/>
        </w:rPr>
      </w:pPr>
      <w:r w:rsidRPr="00853298">
        <w:rPr>
          <w:color w:val="000000" w:themeColor="text1"/>
          <w:lang w:val="es-SV"/>
        </w:rPr>
        <w:t xml:space="preserve">Se considera que no se debe modificar la redacción de la </w:t>
      </w:r>
      <w:r w:rsidR="008B2CD2" w:rsidRPr="00853298">
        <w:rPr>
          <w:color w:val="000000" w:themeColor="text1"/>
          <w:lang w:val="es-SV"/>
        </w:rPr>
        <w:t xml:space="preserve">Cláusula </w:t>
      </w:r>
      <w:r w:rsidRPr="00853298">
        <w:rPr>
          <w:color w:val="000000" w:themeColor="text1"/>
          <w:lang w:val="es-SV"/>
        </w:rPr>
        <w:t xml:space="preserve">16.2 en los términos sugeridos por la industria ya que actualmente dicha </w:t>
      </w:r>
      <w:r w:rsidR="008B2CD2" w:rsidRPr="00853298">
        <w:rPr>
          <w:color w:val="000000" w:themeColor="text1"/>
          <w:lang w:val="es-SV"/>
        </w:rPr>
        <w:t xml:space="preserve">Cláusula </w:t>
      </w:r>
      <w:r w:rsidRPr="00853298">
        <w:rPr>
          <w:color w:val="000000" w:themeColor="text1"/>
          <w:lang w:val="es-SV"/>
        </w:rPr>
        <w:t>es consistente con el artículo 128 fracción 2 de la LFTyR.</w:t>
      </w:r>
    </w:p>
    <w:p w:rsidR="00853298" w:rsidRPr="00853298" w:rsidRDefault="00853298" w:rsidP="00853298">
      <w:pPr>
        <w:rPr>
          <w:color w:val="000000" w:themeColor="text1"/>
          <w:lang w:val="es-SV"/>
        </w:rPr>
      </w:pPr>
    </w:p>
    <w:p w:rsidR="00694FDB" w:rsidRPr="00DA48D5" w:rsidRDefault="00694FDB" w:rsidP="001872DA">
      <w:pPr>
        <w:pStyle w:val="Ttulo2"/>
        <w:rPr>
          <w:i/>
        </w:rPr>
      </w:pPr>
      <w:bookmarkStart w:id="18" w:name="_Toc435609188"/>
      <w:r w:rsidRPr="00DA48D5">
        <w:t xml:space="preserve">Cláusula </w:t>
      </w:r>
      <w:r w:rsidR="003B3C2D" w:rsidRPr="00DA48D5">
        <w:t>D</w:t>
      </w:r>
      <w:r w:rsidR="000E043D" w:rsidRPr="00DA48D5">
        <w:t xml:space="preserve">ecimonovena. </w:t>
      </w:r>
      <w:r w:rsidRPr="00DA48D5">
        <w:t>Jurisdicción, derecho aplicable y diversos</w:t>
      </w:r>
      <w:bookmarkEnd w:id="18"/>
      <w:r w:rsidR="000E043D" w:rsidRPr="00DA48D5">
        <w:t>.</w:t>
      </w:r>
    </w:p>
    <w:p w:rsidR="00853298" w:rsidRPr="00C870B1" w:rsidRDefault="008B2CD2" w:rsidP="00354FA3">
      <w:pPr>
        <w:pStyle w:val="Ttulo3"/>
        <w:rPr>
          <w:i/>
        </w:rPr>
      </w:pPr>
      <w:r w:rsidRPr="000E043D">
        <w:t>Resumen de la Cláusula</w:t>
      </w:r>
    </w:p>
    <w:p w:rsidR="00853298" w:rsidRDefault="00BE4079" w:rsidP="001872DA">
      <w:pPr>
        <w:rPr>
          <w:lang w:val="es-SV"/>
        </w:rPr>
      </w:pPr>
      <w:r w:rsidRPr="00853298">
        <w:rPr>
          <w:lang w:val="es-SV"/>
        </w:rPr>
        <w:t xml:space="preserve">En la </w:t>
      </w:r>
      <w:r w:rsidR="00DE00B7" w:rsidRPr="00853298">
        <w:rPr>
          <w:lang w:val="es-SV"/>
        </w:rPr>
        <w:t xml:space="preserve">Cláusula </w:t>
      </w:r>
      <w:r w:rsidR="003B3C2D" w:rsidRPr="00853298">
        <w:rPr>
          <w:lang w:val="es-SV"/>
        </w:rPr>
        <w:t>Decimonovena</w:t>
      </w:r>
      <w:r w:rsidRPr="00853298">
        <w:rPr>
          <w:lang w:val="es-SV"/>
        </w:rPr>
        <w:t xml:space="preserve"> se declara que la jurisdicción por lo que concierne el convenio es de los Tribunales Federales con residencia en la Ciudad de México, Distrito Federal. También se precisa el procedimiento por el arreglo amistoso de diferencias.</w:t>
      </w:r>
    </w:p>
    <w:p w:rsidR="001872DA" w:rsidRPr="00BA5727" w:rsidRDefault="001872DA" w:rsidP="001872DA"/>
    <w:p w:rsidR="00853298" w:rsidRPr="00C870B1" w:rsidRDefault="0028265B" w:rsidP="00354FA3">
      <w:pPr>
        <w:pStyle w:val="Ttulo3"/>
        <w:rPr>
          <w:i/>
        </w:rPr>
      </w:pPr>
      <w:r w:rsidRPr="000E043D">
        <w:t>Comentarios de la industria</w:t>
      </w:r>
    </w:p>
    <w:p w:rsidR="008449EE" w:rsidRPr="00853298" w:rsidRDefault="008449EE" w:rsidP="00853298">
      <w:pPr>
        <w:rPr>
          <w:lang w:val="es-ES_tradnl"/>
        </w:rPr>
      </w:pPr>
      <w:r w:rsidRPr="00853298">
        <w:rPr>
          <w:lang w:val="es-ES_tradnl"/>
        </w:rPr>
        <w:t xml:space="preserve">Los operadores proponen modificar la redacción de la </w:t>
      </w:r>
      <w:r w:rsidR="008B2CD2" w:rsidRPr="00853298">
        <w:rPr>
          <w:lang w:val="es-ES_tradnl"/>
        </w:rPr>
        <w:t>C</w:t>
      </w:r>
      <w:r w:rsidRPr="00853298">
        <w:rPr>
          <w:lang w:val="es-ES_tradnl"/>
        </w:rPr>
        <w:t>láusula 19.1</w:t>
      </w:r>
      <w:r w:rsidR="00E2771E" w:rsidRPr="00853298">
        <w:rPr>
          <w:lang w:val="es-ES_tradnl"/>
        </w:rPr>
        <w:t xml:space="preserve"> </w:t>
      </w:r>
      <w:r w:rsidR="00E2771E" w:rsidRPr="00853298">
        <w:rPr>
          <w:lang w:val="es-SV"/>
        </w:rPr>
        <w:t>(Jurisdicción)</w:t>
      </w:r>
      <w:r w:rsidRPr="00853298">
        <w:rPr>
          <w:lang w:val="es-ES_tradnl"/>
        </w:rPr>
        <w:t>.</w:t>
      </w:r>
    </w:p>
    <w:p w:rsidR="00853298" w:rsidRDefault="00E2771E" w:rsidP="00396503">
      <w:pPr>
        <w:pStyle w:val="Texto"/>
      </w:pPr>
      <w:r w:rsidRPr="00853298">
        <w:t xml:space="preserve">Asimismo, los operadores señalan que en caso de que exista un desacuerdo entre las Partes, no hay razón para alargar la resolución de éste más allá de los tiempos contemplados en la Ley para tal efecto (artículo 129). Por ello, resulta innecesaria la contemplación en la </w:t>
      </w:r>
      <w:r w:rsidR="008B2CD2" w:rsidRPr="00853298">
        <w:t>C</w:t>
      </w:r>
      <w:r w:rsidRPr="00853298">
        <w:t>láusula 19.2 de un arreglo amistoso obligatorio, previo al inicio de negociaciones contemplado por la ley.</w:t>
      </w:r>
    </w:p>
    <w:p w:rsidR="001872DA" w:rsidRPr="00BA5727" w:rsidRDefault="001872DA" w:rsidP="001872DA"/>
    <w:p w:rsidR="00853298" w:rsidRPr="00C870B1" w:rsidRDefault="0028265B" w:rsidP="00354FA3">
      <w:pPr>
        <w:pStyle w:val="Ttulo3"/>
        <w:rPr>
          <w:i/>
        </w:rPr>
      </w:pPr>
      <w:r w:rsidRPr="000E043D">
        <w:t>Respuesta a los comentarios de la industria</w:t>
      </w:r>
    </w:p>
    <w:p w:rsidR="00E2771E" w:rsidRDefault="00E2771E" w:rsidP="00853298">
      <w:pPr>
        <w:rPr>
          <w:lang w:val="es-ES_tradnl"/>
        </w:rPr>
      </w:pPr>
      <w:r w:rsidRPr="00853298">
        <w:rPr>
          <w:lang w:val="es-ES_tradnl"/>
        </w:rPr>
        <w:t xml:space="preserve">Tras considerar los comentarios de la industria y los requerimientos del IFT, </w:t>
      </w:r>
      <w:r w:rsidR="003B3C2D" w:rsidRPr="00853298">
        <w:rPr>
          <w:lang w:val="es-ES_tradnl"/>
        </w:rPr>
        <w:t xml:space="preserve">se </w:t>
      </w:r>
      <w:r w:rsidRPr="00853298">
        <w:rPr>
          <w:lang w:val="es-ES_tradnl"/>
        </w:rPr>
        <w:t xml:space="preserve">modificó la </w:t>
      </w:r>
      <w:r w:rsidR="00DE00B7" w:rsidRPr="00853298">
        <w:rPr>
          <w:lang w:val="es-ES_tradnl"/>
        </w:rPr>
        <w:t xml:space="preserve">Cláusula </w:t>
      </w:r>
      <w:r w:rsidRPr="00853298">
        <w:rPr>
          <w:lang w:val="es-ES_tradnl"/>
        </w:rPr>
        <w:t>19.1 de confirmada con los términos que determina la Ley</w:t>
      </w:r>
      <w:r w:rsidR="003B3C2D" w:rsidRPr="00853298">
        <w:rPr>
          <w:lang w:val="es-ES_tradnl"/>
        </w:rPr>
        <w:t xml:space="preserve"> y se</w:t>
      </w:r>
      <w:r w:rsidR="002308F6" w:rsidRPr="00853298">
        <w:rPr>
          <w:lang w:val="es-ES_tradnl"/>
        </w:rPr>
        <w:t xml:space="preserve"> </w:t>
      </w:r>
      <w:r w:rsidRPr="00853298">
        <w:rPr>
          <w:lang w:val="es-ES_tradnl"/>
        </w:rPr>
        <w:t xml:space="preserve">eliminó la </w:t>
      </w:r>
      <w:r w:rsidR="00DE00B7" w:rsidRPr="00853298">
        <w:rPr>
          <w:lang w:val="es-ES_tradnl"/>
        </w:rPr>
        <w:t xml:space="preserve">Cláusula </w:t>
      </w:r>
      <w:r w:rsidRPr="00853298">
        <w:rPr>
          <w:lang w:val="es-ES_tradnl"/>
        </w:rPr>
        <w:t>19.2.</w:t>
      </w:r>
    </w:p>
    <w:p w:rsidR="00326C3A" w:rsidRDefault="00326C3A" w:rsidP="00DA3345">
      <w:pPr>
        <w:rPr>
          <w:lang w:val="es-ES_tradnl"/>
        </w:rPr>
      </w:pPr>
    </w:p>
    <w:p w:rsidR="001872DA" w:rsidRDefault="001872DA" w:rsidP="00DA3345">
      <w:pPr>
        <w:rPr>
          <w:lang w:val="es-ES_tradnl"/>
        </w:rPr>
      </w:pPr>
    </w:p>
    <w:p w:rsidR="00326C3A" w:rsidRDefault="00326C3A" w:rsidP="001872DA">
      <w:pPr>
        <w:pStyle w:val="Ttulo1"/>
      </w:pPr>
      <w:r w:rsidRPr="00326C3A">
        <w:t>Comentarios a los Anexos.</w:t>
      </w:r>
    </w:p>
    <w:p w:rsidR="00396503" w:rsidRPr="00396503" w:rsidRDefault="00396503" w:rsidP="00396503">
      <w:pPr>
        <w:pStyle w:val="Texto"/>
      </w:pPr>
    </w:p>
    <w:p w:rsidR="00853298" w:rsidRPr="00DA48D5" w:rsidRDefault="00853298" w:rsidP="001872DA">
      <w:pPr>
        <w:pStyle w:val="Ttulo2"/>
        <w:rPr>
          <w:i/>
        </w:rPr>
      </w:pPr>
      <w:r w:rsidRPr="00DA48D5">
        <w:t>Anexo A. Acuerdos Técnicos</w:t>
      </w:r>
    </w:p>
    <w:p w:rsidR="00853298" w:rsidRPr="00C870B1" w:rsidRDefault="00853298" w:rsidP="00354FA3">
      <w:pPr>
        <w:pStyle w:val="Ttulo3"/>
        <w:rPr>
          <w:i/>
        </w:rPr>
      </w:pPr>
      <w:r w:rsidRPr="000E043D">
        <w:t>Resumen del Anexo</w:t>
      </w:r>
    </w:p>
    <w:p w:rsidR="00853298" w:rsidRDefault="00853298" w:rsidP="001872DA">
      <w:pPr>
        <w:rPr>
          <w:lang w:val="es-SV"/>
        </w:rPr>
      </w:pPr>
      <w:r w:rsidRPr="00853298">
        <w:rPr>
          <w:lang w:val="es-SV"/>
        </w:rPr>
        <w:t>El Anexo A se refiere a los acuerdos técnicos que conciernen el convenio. En particular se describen dos aspectos: los acuerdos técnicos para la señalización PAUSI-MX y los acuerdos técnicos de interconexión para señalización SIP.</w:t>
      </w:r>
    </w:p>
    <w:p w:rsidR="001872DA" w:rsidRPr="00BA5727" w:rsidRDefault="001872DA" w:rsidP="001872DA"/>
    <w:p w:rsidR="00853298" w:rsidRPr="000E043D" w:rsidRDefault="00853298" w:rsidP="00354FA3">
      <w:pPr>
        <w:pStyle w:val="Ttulo3"/>
        <w:rPr>
          <w:i/>
        </w:rPr>
      </w:pPr>
      <w:r w:rsidRPr="000E043D">
        <w:t>Comentarios de la industria</w:t>
      </w:r>
    </w:p>
    <w:p w:rsidR="00853298" w:rsidRPr="00853298" w:rsidRDefault="00853298" w:rsidP="00853298">
      <w:pPr>
        <w:rPr>
          <w:lang w:val="es-SV"/>
        </w:rPr>
      </w:pPr>
      <w:r w:rsidRPr="00853298">
        <w:rPr>
          <w:lang w:val="es-ES_tradnl"/>
        </w:rPr>
        <w:t>La industria solicita que p</w:t>
      </w:r>
      <w:r w:rsidRPr="00853298">
        <w:rPr>
          <w:lang w:val="es-SV"/>
        </w:rPr>
        <w:t xml:space="preserve">ara el caso en que el Concesionario maneje números no geográficos, el formato debe incluir: NNG 800 o 900 01 + ABC + IDO + NNG (7 dígitos). </w:t>
      </w:r>
    </w:p>
    <w:p w:rsidR="00853298" w:rsidRDefault="00853298" w:rsidP="00853298">
      <w:pPr>
        <w:pStyle w:val="Listaconvietas"/>
        <w:numPr>
          <w:ilvl w:val="0"/>
          <w:numId w:val="0"/>
        </w:numPr>
        <w:rPr>
          <w:lang w:val="es-SV"/>
        </w:rPr>
      </w:pPr>
    </w:p>
    <w:p w:rsidR="00853298" w:rsidRDefault="00853298" w:rsidP="00853298">
      <w:pPr>
        <w:pStyle w:val="Listaconvietas"/>
        <w:numPr>
          <w:ilvl w:val="0"/>
          <w:numId w:val="0"/>
        </w:numPr>
        <w:rPr>
          <w:lang w:val="es-SV"/>
        </w:rPr>
      </w:pPr>
      <w:r w:rsidRPr="00853298">
        <w:rPr>
          <w:lang w:val="es-SV"/>
        </w:rPr>
        <w:t>Respecto al tiempo para la realización de las pruebas, se sugiere que a partir del año próximo se reduzca de 90 a 60 días, dado que la experiencia adquirida durante 2015 permitirá abreviar el calendario. Ambas Partes realizarán pruebas de interoperabilidad entre las redes, conforme al calendario y al protocolo de aceptación que ambas acuerden para ello, y que en ningún caso podrá demorarse más de 60 (sesenta) días naturales.</w:t>
      </w:r>
    </w:p>
    <w:p w:rsidR="00853298" w:rsidRPr="00853298" w:rsidRDefault="00853298" w:rsidP="00853298">
      <w:pPr>
        <w:pStyle w:val="Listaconvietas"/>
        <w:numPr>
          <w:ilvl w:val="0"/>
          <w:numId w:val="0"/>
        </w:numPr>
        <w:rPr>
          <w:lang w:val="es-SV"/>
        </w:rPr>
      </w:pPr>
    </w:p>
    <w:p w:rsidR="00853298" w:rsidRDefault="00853298" w:rsidP="00853298">
      <w:pPr>
        <w:pStyle w:val="Listaconvietas"/>
        <w:numPr>
          <w:ilvl w:val="0"/>
          <w:numId w:val="0"/>
        </w:numPr>
        <w:rPr>
          <w:lang w:val="es-SV"/>
        </w:rPr>
      </w:pPr>
      <w:r w:rsidRPr="00853298">
        <w:rPr>
          <w:lang w:val="es-SV"/>
        </w:rPr>
        <w:t xml:space="preserve">Los formatos de los puntos de interconexión deben ser compatibles con lo que se establezca en la Oferta de CMI Telmex y Telnor, ya que no es posible manejar diferentes formatos en la misma central y sobre todo para temas de tránsito. En relación a los términos de la granularidad de los crecimientos dentro de la interfaz activa de 1GE, se requiere que se aclaren  dichas condiciones. </w:t>
      </w:r>
    </w:p>
    <w:p w:rsidR="00853298" w:rsidRPr="00853298" w:rsidRDefault="00853298" w:rsidP="00853298">
      <w:pPr>
        <w:pStyle w:val="Listaconvietas"/>
        <w:numPr>
          <w:ilvl w:val="0"/>
          <w:numId w:val="0"/>
        </w:numPr>
        <w:rPr>
          <w:lang w:val="es-SV"/>
        </w:rPr>
      </w:pPr>
    </w:p>
    <w:p w:rsidR="00853298" w:rsidRDefault="00853298" w:rsidP="00853298">
      <w:pPr>
        <w:rPr>
          <w:lang w:val="es-SV"/>
        </w:rPr>
      </w:pPr>
      <w:r w:rsidRPr="00853298">
        <w:rPr>
          <w:lang w:val="es-SV"/>
        </w:rPr>
        <w:lastRenderedPageBreak/>
        <w:t>Por último, la industria solicita incluir un nuevo párrafo que establezca la forma en que se medirá la ocupación de los enlaces, empleando el percentil 90% en relación al día pico del mes. Las Partes están de acuerdo en que por ‘día pico’ se entenderá el día de mayor ocupación de tráfico medido entre las 8:00 y las 20:00 horas.</w:t>
      </w:r>
    </w:p>
    <w:p w:rsidR="00853298" w:rsidRPr="00853298" w:rsidRDefault="00853298" w:rsidP="00853298">
      <w:pPr>
        <w:rPr>
          <w:lang w:val="es-ES_tradnl"/>
        </w:rPr>
      </w:pPr>
    </w:p>
    <w:p w:rsidR="00853298" w:rsidRPr="00C870B1" w:rsidRDefault="00853298" w:rsidP="00354FA3">
      <w:pPr>
        <w:pStyle w:val="Ttulo3"/>
        <w:rPr>
          <w:i/>
        </w:rPr>
      </w:pPr>
      <w:r w:rsidRPr="000E043D">
        <w:t>Respuesta a los comentarios de la industria</w:t>
      </w:r>
    </w:p>
    <w:p w:rsidR="00853298" w:rsidRDefault="00853298" w:rsidP="00853298">
      <w:pPr>
        <w:rPr>
          <w:lang w:val="es-ES_tradnl"/>
        </w:rPr>
      </w:pPr>
      <w:r w:rsidRPr="00853298">
        <w:rPr>
          <w:lang w:val="es-ES_tradnl"/>
        </w:rPr>
        <w:t>Con respecto al Anexo A se ha modificado para que esté sujeto a lo establecido en el Acuerdo de Condiciones Técnicas Mínimas.</w:t>
      </w:r>
    </w:p>
    <w:p w:rsidR="00C870B1" w:rsidRPr="00853298" w:rsidRDefault="00C870B1" w:rsidP="00853298">
      <w:pPr>
        <w:rPr>
          <w:lang w:val="es-ES_tradnl"/>
        </w:rPr>
      </w:pPr>
    </w:p>
    <w:p w:rsidR="00853298" w:rsidRPr="00DA48D5" w:rsidRDefault="000E043D" w:rsidP="001872DA">
      <w:pPr>
        <w:pStyle w:val="Ttulo2"/>
        <w:rPr>
          <w:i/>
        </w:rPr>
      </w:pPr>
      <w:r w:rsidRPr="00DA48D5">
        <w:t xml:space="preserve">Anexo B. </w:t>
      </w:r>
      <w:r w:rsidR="00853298" w:rsidRPr="00DA48D5">
        <w:t>Precios y tarifa</w:t>
      </w:r>
      <w:r w:rsidRPr="00DA48D5">
        <w:t>s.</w:t>
      </w:r>
    </w:p>
    <w:p w:rsidR="00853298" w:rsidRPr="00C870B1" w:rsidRDefault="00853298" w:rsidP="00354FA3">
      <w:pPr>
        <w:pStyle w:val="Ttulo3"/>
        <w:rPr>
          <w:i/>
        </w:rPr>
      </w:pPr>
      <w:r w:rsidRPr="000E043D">
        <w:t>Resumen del Anexo</w:t>
      </w:r>
    </w:p>
    <w:p w:rsidR="00853298" w:rsidRDefault="00853298" w:rsidP="001872DA">
      <w:pPr>
        <w:rPr>
          <w:lang w:val="es-SV"/>
        </w:rPr>
      </w:pPr>
      <w:r w:rsidRPr="00853298">
        <w:rPr>
          <w:lang w:val="es-SV"/>
        </w:rPr>
        <w:t xml:space="preserve">El Anexo B especifica los precios y las tarifas para los servicios conmutados de interconexión, los servicios de enlaces de transmisión de interconexión, los servicios de señalización, los servicios de </w:t>
      </w:r>
      <w:r w:rsidR="00DA3345" w:rsidRPr="00853298">
        <w:rPr>
          <w:lang w:val="es-SV"/>
        </w:rPr>
        <w:t>coubicación</w:t>
      </w:r>
      <w:r w:rsidRPr="00853298">
        <w:rPr>
          <w:lang w:val="es-SV"/>
        </w:rPr>
        <w:t xml:space="preserve"> y se detalla el proceso de facturación y cobranza.</w:t>
      </w:r>
    </w:p>
    <w:p w:rsidR="001872DA" w:rsidRPr="00BA5727" w:rsidRDefault="001872DA" w:rsidP="001872DA"/>
    <w:p w:rsidR="00853298" w:rsidRPr="00C870B1" w:rsidRDefault="00853298" w:rsidP="00354FA3">
      <w:pPr>
        <w:pStyle w:val="Ttulo3"/>
        <w:rPr>
          <w:i/>
        </w:rPr>
      </w:pPr>
      <w:r w:rsidRPr="000E043D">
        <w:t>Comentarios de la industria</w:t>
      </w:r>
    </w:p>
    <w:p w:rsidR="00853298" w:rsidRPr="00853298" w:rsidRDefault="00853298" w:rsidP="00853298">
      <w:pPr>
        <w:rPr>
          <w:color w:val="000000" w:themeColor="text1"/>
          <w:lang w:val="es-SV"/>
        </w:rPr>
      </w:pPr>
      <w:r w:rsidRPr="00853298">
        <w:rPr>
          <w:color w:val="000000" w:themeColor="text1"/>
          <w:lang w:val="es-SV"/>
        </w:rPr>
        <w:t>Los operadores solicitan incluir las tarifas correspondientes, tomando en consideración los argumentos mencionados para el mismo punto en el CMI de Telmex.</w:t>
      </w:r>
    </w:p>
    <w:p w:rsidR="00853298" w:rsidRDefault="00853298" w:rsidP="00853298">
      <w:pPr>
        <w:pStyle w:val="Listaconvietas"/>
        <w:numPr>
          <w:ilvl w:val="0"/>
          <w:numId w:val="0"/>
        </w:numPr>
        <w:rPr>
          <w:lang w:val="es-SV"/>
        </w:rPr>
      </w:pPr>
    </w:p>
    <w:p w:rsidR="00853298" w:rsidRPr="00853298" w:rsidRDefault="00853298" w:rsidP="00853298">
      <w:pPr>
        <w:pStyle w:val="Listaconvietas"/>
        <w:numPr>
          <w:ilvl w:val="0"/>
          <w:numId w:val="0"/>
        </w:numPr>
        <w:rPr>
          <w:lang w:val="es-SV"/>
        </w:rPr>
      </w:pPr>
      <w:r w:rsidRPr="00853298">
        <w:rPr>
          <w:lang w:val="es-SV"/>
        </w:rPr>
        <w:t>Requieren eliminar el numeral referido a las “</w:t>
      </w:r>
      <w:r w:rsidRPr="00853298">
        <w:rPr>
          <w:i/>
          <w:lang w:val="es-SV"/>
        </w:rPr>
        <w:t>Tarifas aplicables para los Servicios de Terminación Conmutada en Usuarios Móviles de TELCEL del tipo ‘El que llama paga’ y/o ‘El que llama paga nacional’”</w:t>
      </w:r>
      <w:r w:rsidRPr="00853298">
        <w:rPr>
          <w:lang w:val="es-SV"/>
        </w:rPr>
        <w:t xml:space="preserve"> en su totalidad y en su lugar incluir lo siguiente: “</w:t>
      </w:r>
      <w:r w:rsidRPr="00853298">
        <w:rPr>
          <w:i/>
          <w:lang w:val="es-SV"/>
        </w:rPr>
        <w:t>TELCEL, en términos del inciso a) del Artículo 131 de la Ley no cobrará a los demás concesionarios por el tráfico que termine en su red</w:t>
      </w:r>
      <w:r w:rsidRPr="00853298">
        <w:rPr>
          <w:lang w:val="es-SV"/>
        </w:rPr>
        <w:t>.”</w:t>
      </w:r>
    </w:p>
    <w:p w:rsidR="00853298" w:rsidRDefault="00853298" w:rsidP="00853298">
      <w:pPr>
        <w:pStyle w:val="Listaconvietas"/>
        <w:numPr>
          <w:ilvl w:val="0"/>
          <w:numId w:val="0"/>
        </w:numPr>
        <w:rPr>
          <w:lang w:val="es-SV"/>
        </w:rPr>
      </w:pPr>
    </w:p>
    <w:p w:rsidR="00853298" w:rsidRPr="00853298" w:rsidRDefault="00853298" w:rsidP="00853298">
      <w:pPr>
        <w:pStyle w:val="Listaconvietas"/>
        <w:numPr>
          <w:ilvl w:val="0"/>
          <w:numId w:val="0"/>
        </w:numPr>
        <w:rPr>
          <w:lang w:val="es-SV"/>
        </w:rPr>
      </w:pPr>
      <w:r w:rsidRPr="00853298">
        <w:rPr>
          <w:lang w:val="es-SV"/>
        </w:rPr>
        <w:t>Por otro lado, solicitan que el Instituto defina la tarifa que Telcel pagará al Concesionario “</w:t>
      </w:r>
      <w:r w:rsidRPr="00853298">
        <w:rPr>
          <w:i/>
          <w:lang w:val="es-SV"/>
        </w:rPr>
        <w:t>para los Servicios Conmutados de Interconexión aplicables a la red móvil del concesionario”</w:t>
      </w:r>
      <w:r w:rsidRPr="00853298">
        <w:rPr>
          <w:lang w:val="es-SV"/>
        </w:rPr>
        <w:t xml:space="preserve"> y ésta deberá ser mayor a la que ha definido para el resto de los Concesionarios.</w:t>
      </w:r>
    </w:p>
    <w:p w:rsidR="00853298" w:rsidRDefault="00853298" w:rsidP="00853298">
      <w:pPr>
        <w:pStyle w:val="Listaconvietas"/>
        <w:numPr>
          <w:ilvl w:val="0"/>
          <w:numId w:val="0"/>
        </w:numPr>
        <w:rPr>
          <w:lang w:val="es-SV"/>
        </w:rPr>
      </w:pPr>
    </w:p>
    <w:p w:rsidR="00853298" w:rsidRDefault="00853298" w:rsidP="00DA3345">
      <w:pPr>
        <w:pStyle w:val="Listaconvietas"/>
        <w:numPr>
          <w:ilvl w:val="0"/>
          <w:numId w:val="0"/>
        </w:numPr>
        <w:rPr>
          <w:lang w:val="es-SV"/>
        </w:rPr>
      </w:pPr>
      <w:r w:rsidRPr="00853298">
        <w:rPr>
          <w:lang w:val="es-SV"/>
        </w:rPr>
        <w:t>Adicionalmente, se solicita añadir la siguiente Cláusula al citado apartado: “</w:t>
      </w:r>
      <w:r w:rsidRPr="00853298">
        <w:rPr>
          <w:i/>
          <w:lang w:val="es-SV"/>
        </w:rPr>
        <w:t>Las Partes están de acuerdo en que no se generará cargo alguno por las llamadas de voz que se originen en los usuarios de Telcel con destino a la red del Concesionario mediante la marcación de números 800</w:t>
      </w:r>
      <w:r w:rsidRPr="00853298">
        <w:rPr>
          <w:lang w:val="es-SV"/>
        </w:rPr>
        <w:t>.”</w:t>
      </w:r>
    </w:p>
    <w:p w:rsidR="00DA3345" w:rsidRPr="00DA3345" w:rsidRDefault="00DA3345" w:rsidP="00DA3345">
      <w:pPr>
        <w:pStyle w:val="Listaconvietas"/>
        <w:numPr>
          <w:ilvl w:val="0"/>
          <w:numId w:val="0"/>
        </w:numPr>
        <w:rPr>
          <w:lang w:val="es-SV"/>
        </w:rPr>
      </w:pPr>
    </w:p>
    <w:p w:rsidR="00853298" w:rsidRPr="000E043D" w:rsidRDefault="00853298" w:rsidP="00354FA3">
      <w:pPr>
        <w:pStyle w:val="Ttulo3"/>
        <w:rPr>
          <w:i/>
        </w:rPr>
      </w:pPr>
      <w:r w:rsidRPr="000E043D">
        <w:t>Respuesta a los comentarios de la industria</w:t>
      </w:r>
    </w:p>
    <w:p w:rsidR="00853298" w:rsidRDefault="00853298" w:rsidP="00853298">
      <w:pPr>
        <w:rPr>
          <w:lang w:val="es-ES_tradnl"/>
        </w:rPr>
      </w:pPr>
      <w:r w:rsidRPr="00853298">
        <w:rPr>
          <w:lang w:val="es-ES_tradnl"/>
        </w:rPr>
        <w:t>En relación al Anexo B se eliminaron los párrafos relacionados con la reserva de derechos, se considera procedente que dicho párrafo forme parte de las declaraciones unilaterales de Telcel pero no de este Anexo.</w:t>
      </w:r>
    </w:p>
    <w:p w:rsidR="00853298" w:rsidRPr="00853298" w:rsidRDefault="00853298" w:rsidP="00853298">
      <w:pPr>
        <w:rPr>
          <w:lang w:val="es-ES_tradnl"/>
        </w:rPr>
      </w:pPr>
    </w:p>
    <w:p w:rsidR="00853298" w:rsidRPr="00DA48D5" w:rsidRDefault="000E043D" w:rsidP="001872DA">
      <w:pPr>
        <w:pStyle w:val="Ttulo2"/>
        <w:rPr>
          <w:i/>
        </w:rPr>
      </w:pPr>
      <w:r w:rsidRPr="00DA48D5">
        <w:t xml:space="preserve">Anexo F. </w:t>
      </w:r>
      <w:r w:rsidR="00853298" w:rsidRPr="00DA48D5">
        <w:t>Form</w:t>
      </w:r>
      <w:r w:rsidRPr="00DA48D5">
        <w:t>ato de pronósticos de servicios.</w:t>
      </w:r>
    </w:p>
    <w:p w:rsidR="00853298" w:rsidRPr="00C870B1" w:rsidRDefault="00853298" w:rsidP="00354FA3">
      <w:pPr>
        <w:pStyle w:val="Ttulo3"/>
        <w:rPr>
          <w:i/>
        </w:rPr>
      </w:pPr>
      <w:r w:rsidRPr="000E043D">
        <w:t>Resumen del Anexo</w:t>
      </w:r>
    </w:p>
    <w:p w:rsidR="00DA3345" w:rsidRDefault="00853298" w:rsidP="00DA3345">
      <w:pPr>
        <w:rPr>
          <w:lang w:val="es-SV"/>
        </w:rPr>
      </w:pPr>
      <w:r w:rsidRPr="00853298">
        <w:rPr>
          <w:lang w:val="es-SV"/>
        </w:rPr>
        <w:t>El Anexo F contiene el formato de los pronósticos de servicio.</w:t>
      </w:r>
    </w:p>
    <w:p w:rsidR="00DA3345" w:rsidRDefault="00DA3345" w:rsidP="00DA3345">
      <w:pPr>
        <w:rPr>
          <w:lang w:val="es-ES_tradnl"/>
        </w:rPr>
      </w:pPr>
    </w:p>
    <w:p w:rsidR="00853298" w:rsidRPr="00DA3345" w:rsidRDefault="00853298" w:rsidP="00354FA3">
      <w:pPr>
        <w:pStyle w:val="Ttulo3"/>
        <w:rPr>
          <w:i/>
        </w:rPr>
      </w:pPr>
      <w:r w:rsidRPr="00DA3345">
        <w:t>Comentarios de la industria</w:t>
      </w:r>
    </w:p>
    <w:p w:rsidR="00DA3345" w:rsidRDefault="00853298" w:rsidP="00DA3345">
      <w:pPr>
        <w:rPr>
          <w:lang w:val="es-ES_tradnl"/>
        </w:rPr>
      </w:pPr>
      <w:r w:rsidRPr="00853298">
        <w:rPr>
          <w:lang w:val="es-ES_tradnl"/>
        </w:rPr>
        <w:t>La industria propone eliminar la obligatoriedad de presentar pronósticos de servicios, y se solicita que sean opcionales.</w:t>
      </w:r>
    </w:p>
    <w:p w:rsidR="00DA3345" w:rsidRPr="00DA3345" w:rsidRDefault="00DA3345" w:rsidP="00DA3345">
      <w:pPr>
        <w:rPr>
          <w:lang w:val="es-ES_tradnl"/>
        </w:rPr>
      </w:pPr>
    </w:p>
    <w:p w:rsidR="00853298" w:rsidRPr="00C870B1" w:rsidRDefault="00853298" w:rsidP="00354FA3">
      <w:pPr>
        <w:pStyle w:val="Ttulo3"/>
        <w:rPr>
          <w:i/>
        </w:rPr>
      </w:pPr>
      <w:r w:rsidRPr="000E043D">
        <w:t>Respuesta a los comentarios de la industria</w:t>
      </w:r>
    </w:p>
    <w:p w:rsidR="00853298" w:rsidRDefault="00853298" w:rsidP="00853298">
      <w:pPr>
        <w:rPr>
          <w:lang w:val="es-ES_tradnl"/>
        </w:rPr>
      </w:pPr>
      <w:r w:rsidRPr="00853298">
        <w:rPr>
          <w:lang w:val="es-ES_tradnl"/>
        </w:rPr>
        <w:t>Si bien la industria solicita eliminar la obligatoriedad de presentar pronósticos de servicios, esta obligación aparece recogida en todas las referencias internacionales analizadas y consideramos que es necesaria para que Telcel se pueda proveer de capacidad suficiente para atender la demanda.</w:t>
      </w:r>
      <w:bookmarkEnd w:id="1"/>
      <w:bookmarkEnd w:id="2"/>
      <w:bookmarkEnd w:id="3"/>
    </w:p>
    <w:sectPr w:rsidR="00853298" w:rsidSect="000D58EF">
      <w:headerReference w:type="even" r:id="rId8"/>
      <w:headerReference w:type="first" r:id="rId9"/>
      <w:footerReference w:type="first" r:id="rId10"/>
      <w:pgSz w:w="11906" w:h="16838" w:code="9"/>
      <w:pgMar w:top="1418" w:right="1588" w:bottom="1418" w:left="1588" w:header="567" w:footer="567" w:gutter="0"/>
      <w:paperSrc w:first="15" w:other="15"/>
      <w:pgNumType w:start="1"/>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2A" w:rsidRDefault="00AD412A">
      <w:pPr>
        <w:spacing w:line="240" w:lineRule="auto"/>
      </w:pPr>
      <w:r>
        <w:separator/>
      </w:r>
    </w:p>
  </w:endnote>
  <w:endnote w:type="continuationSeparator" w:id="0">
    <w:p w:rsidR="00AD412A" w:rsidRDefault="00AD4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Default="0049671E">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2A" w:rsidRDefault="00AD412A">
      <w:pPr>
        <w:spacing w:after="180" w:line="180" w:lineRule="exact"/>
        <w:ind w:left="-499"/>
      </w:pPr>
      <w:r>
        <w:separator/>
      </w:r>
    </w:p>
  </w:footnote>
  <w:footnote w:type="continuationSeparator" w:id="0">
    <w:p w:rsidR="00AD412A" w:rsidRDefault="00AD412A">
      <w:pPr>
        <w:spacing w:after="180" w:line="180" w:lineRule="exac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Pr="000D58EF" w:rsidRDefault="0049671E">
    <w:pPr>
      <w:pStyle w:val="Encabezado"/>
      <w:rPr>
        <w:lang w:val="es-ES"/>
      </w:rPr>
    </w:pPr>
    <w:r w:rsidRPr="000D58E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EF" w:rsidRPr="000D58EF" w:rsidRDefault="000D58EF" w:rsidP="000D58EF">
    <w:pPr>
      <w:pStyle w:val="Encabezado"/>
      <w:ind w:left="0"/>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59522D3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 w15:restartNumberingAfterBreak="0">
    <w:nsid w:val="0D6D517F"/>
    <w:multiLevelType w:val="hybridMultilevel"/>
    <w:tmpl w:val="D7BE3D18"/>
    <w:lvl w:ilvl="0" w:tplc="18C23A24">
      <w:start w:val="1"/>
      <w:numFmt w:val="decimal"/>
      <w:pStyle w:val="Titu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46D462C"/>
    <w:multiLevelType w:val="hybridMultilevel"/>
    <w:tmpl w:val="995C0E0E"/>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5B6CC796"/>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E3735F4"/>
    <w:multiLevelType w:val="multilevel"/>
    <w:tmpl w:val="A39E6A8A"/>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sz w:val="22"/>
        <w:szCs w:val="22"/>
      </w:rPr>
    </w:lvl>
    <w:lvl w:ilvl="2">
      <w:start w:val="1"/>
      <w:numFmt w:val="decimal"/>
      <w:lvlText w:val="%1.%2.%3"/>
      <w:lvlJc w:val="left"/>
      <w:pPr>
        <w:ind w:left="0" w:hanging="499"/>
      </w:pPr>
      <w:rPr>
        <w:rFonts w:ascii="ITC Avant Garde" w:hAnsi="ITC Avant Garde"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59124C12"/>
    <w:multiLevelType w:val="hybridMultilevel"/>
    <w:tmpl w:val="F8FC9C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83BBE"/>
    <w:multiLevelType w:val="hybridMultilevel"/>
    <w:tmpl w:val="D7464418"/>
    <w:lvl w:ilvl="0" w:tplc="5ABC7098">
      <w:start w:val="1"/>
      <w:numFmt w:val="bullet"/>
      <w:pStyle w:val="MCLBullet1"/>
      <w:lvlText w:val=""/>
      <w:lvlJc w:val="left"/>
      <w:pPr>
        <w:tabs>
          <w:tab w:val="num" w:pos="720"/>
        </w:tabs>
        <w:ind w:left="720" w:hanging="360"/>
      </w:pPr>
      <w:rPr>
        <w:rFonts w:ascii="Symbol" w:hAnsi="Symbol" w:hint="default"/>
        <w:sz w:val="24"/>
      </w:rPr>
    </w:lvl>
    <w:lvl w:ilvl="1" w:tplc="F9D86360" w:tentative="1">
      <w:start w:val="1"/>
      <w:numFmt w:val="bullet"/>
      <w:lvlText w:val="o"/>
      <w:lvlJc w:val="left"/>
      <w:pPr>
        <w:tabs>
          <w:tab w:val="num" w:pos="1440"/>
        </w:tabs>
        <w:ind w:left="1440" w:hanging="360"/>
      </w:pPr>
      <w:rPr>
        <w:rFonts w:ascii="Courier New" w:hAnsi="Courier New" w:hint="default"/>
      </w:rPr>
    </w:lvl>
    <w:lvl w:ilvl="2" w:tplc="D0AE4038" w:tentative="1">
      <w:start w:val="1"/>
      <w:numFmt w:val="bullet"/>
      <w:lvlText w:val=""/>
      <w:lvlJc w:val="left"/>
      <w:pPr>
        <w:tabs>
          <w:tab w:val="num" w:pos="2160"/>
        </w:tabs>
        <w:ind w:left="2160" w:hanging="360"/>
      </w:pPr>
      <w:rPr>
        <w:rFonts w:ascii="Wingdings" w:hAnsi="Wingdings" w:hint="default"/>
      </w:rPr>
    </w:lvl>
    <w:lvl w:ilvl="3" w:tplc="08D64D4C" w:tentative="1">
      <w:start w:val="1"/>
      <w:numFmt w:val="bullet"/>
      <w:lvlText w:val=""/>
      <w:lvlJc w:val="left"/>
      <w:pPr>
        <w:tabs>
          <w:tab w:val="num" w:pos="2880"/>
        </w:tabs>
        <w:ind w:left="2880" w:hanging="360"/>
      </w:pPr>
      <w:rPr>
        <w:rFonts w:ascii="Symbol" w:hAnsi="Symbol" w:hint="default"/>
      </w:rPr>
    </w:lvl>
    <w:lvl w:ilvl="4" w:tplc="CB7AC07C" w:tentative="1">
      <w:start w:val="1"/>
      <w:numFmt w:val="bullet"/>
      <w:lvlText w:val="o"/>
      <w:lvlJc w:val="left"/>
      <w:pPr>
        <w:tabs>
          <w:tab w:val="num" w:pos="3600"/>
        </w:tabs>
        <w:ind w:left="3600" w:hanging="360"/>
      </w:pPr>
      <w:rPr>
        <w:rFonts w:ascii="Courier New" w:hAnsi="Courier New" w:hint="default"/>
      </w:rPr>
    </w:lvl>
    <w:lvl w:ilvl="5" w:tplc="DE30862A" w:tentative="1">
      <w:start w:val="1"/>
      <w:numFmt w:val="bullet"/>
      <w:lvlText w:val=""/>
      <w:lvlJc w:val="left"/>
      <w:pPr>
        <w:tabs>
          <w:tab w:val="num" w:pos="4320"/>
        </w:tabs>
        <w:ind w:left="4320" w:hanging="360"/>
      </w:pPr>
      <w:rPr>
        <w:rFonts w:ascii="Wingdings" w:hAnsi="Wingdings" w:hint="default"/>
      </w:rPr>
    </w:lvl>
    <w:lvl w:ilvl="6" w:tplc="592C7D92" w:tentative="1">
      <w:start w:val="1"/>
      <w:numFmt w:val="bullet"/>
      <w:lvlText w:val=""/>
      <w:lvlJc w:val="left"/>
      <w:pPr>
        <w:tabs>
          <w:tab w:val="num" w:pos="5040"/>
        </w:tabs>
        <w:ind w:left="5040" w:hanging="360"/>
      </w:pPr>
      <w:rPr>
        <w:rFonts w:ascii="Symbol" w:hAnsi="Symbol" w:hint="default"/>
      </w:rPr>
    </w:lvl>
    <w:lvl w:ilvl="7" w:tplc="D0B8A1A0" w:tentative="1">
      <w:start w:val="1"/>
      <w:numFmt w:val="bullet"/>
      <w:lvlText w:val="o"/>
      <w:lvlJc w:val="left"/>
      <w:pPr>
        <w:tabs>
          <w:tab w:val="num" w:pos="5760"/>
        </w:tabs>
        <w:ind w:left="5760" w:hanging="360"/>
      </w:pPr>
      <w:rPr>
        <w:rFonts w:ascii="Courier New" w:hAnsi="Courier New" w:hint="default"/>
      </w:rPr>
    </w:lvl>
    <w:lvl w:ilvl="8" w:tplc="EB8628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F1F3A"/>
    <w:multiLevelType w:val="multilevel"/>
    <w:tmpl w:val="4686F136"/>
    <w:lvl w:ilvl="0">
      <w:start w:val="1"/>
      <w:numFmt w:val="decimal"/>
      <w:lvlText w:val="%1"/>
      <w:lvlJc w:val="left"/>
      <w:pPr>
        <w:tabs>
          <w:tab w:val="num" w:pos="-67"/>
        </w:tabs>
        <w:ind w:left="-67" w:hanging="432"/>
      </w:pPr>
    </w:lvl>
    <w:lvl w:ilvl="1">
      <w:start w:val="1"/>
      <w:numFmt w:val="decimal"/>
      <w:lvlText w:val="%1.%2"/>
      <w:lvlJc w:val="left"/>
      <w:pPr>
        <w:tabs>
          <w:tab w:val="num" w:pos="77"/>
        </w:tabs>
        <w:ind w:left="77" w:hanging="576"/>
      </w:pPr>
    </w:lvl>
    <w:lvl w:ilvl="2">
      <w:start w:val="1"/>
      <w:numFmt w:val="decimal"/>
      <w:lvlText w:val="%1.%2.%3"/>
      <w:lvlJc w:val="left"/>
      <w:pPr>
        <w:tabs>
          <w:tab w:val="num" w:pos="221"/>
        </w:tabs>
        <w:ind w:left="221" w:hanging="720"/>
      </w:pPr>
    </w:lvl>
    <w:lvl w:ilvl="3">
      <w:start w:val="1"/>
      <w:numFmt w:val="decimal"/>
      <w:lvlText w:val="%1.%2.%3.%4"/>
      <w:lvlJc w:val="left"/>
      <w:pPr>
        <w:tabs>
          <w:tab w:val="num" w:pos="365"/>
        </w:tabs>
        <w:ind w:left="365" w:hanging="864"/>
      </w:pPr>
    </w:lvl>
    <w:lvl w:ilvl="4">
      <w:start w:val="1"/>
      <w:numFmt w:val="decimal"/>
      <w:pStyle w:val="Ttulo5"/>
      <w:lvlText w:val="%1.%2.%3.%4.%5"/>
      <w:lvlJc w:val="left"/>
      <w:pPr>
        <w:tabs>
          <w:tab w:val="num" w:pos="509"/>
        </w:tabs>
        <w:ind w:left="509" w:hanging="1008"/>
      </w:pPr>
    </w:lvl>
    <w:lvl w:ilvl="5">
      <w:start w:val="1"/>
      <w:numFmt w:val="decimal"/>
      <w:pStyle w:val="Ttulo6"/>
      <w:lvlText w:val="%1.%2.%3.%4.%5.%6"/>
      <w:lvlJc w:val="left"/>
      <w:pPr>
        <w:tabs>
          <w:tab w:val="num" w:pos="653"/>
        </w:tabs>
        <w:ind w:left="653" w:hanging="1152"/>
      </w:pPr>
    </w:lvl>
    <w:lvl w:ilvl="6">
      <w:start w:val="1"/>
      <w:numFmt w:val="decimal"/>
      <w:pStyle w:val="Ttulo7"/>
      <w:lvlText w:val="%1.%2.%3.%4.%5.%6.%7"/>
      <w:lvlJc w:val="left"/>
      <w:pPr>
        <w:tabs>
          <w:tab w:val="num" w:pos="797"/>
        </w:tabs>
        <w:ind w:left="797" w:hanging="1296"/>
      </w:pPr>
    </w:lvl>
    <w:lvl w:ilvl="7">
      <w:start w:val="1"/>
      <w:numFmt w:val="decimal"/>
      <w:pStyle w:val="Ttulo8"/>
      <w:lvlText w:val="%1.%2.%3.%4.%5.%6.%7.%8"/>
      <w:lvlJc w:val="left"/>
      <w:pPr>
        <w:tabs>
          <w:tab w:val="num" w:pos="941"/>
        </w:tabs>
        <w:ind w:left="941" w:hanging="1440"/>
      </w:pPr>
    </w:lvl>
    <w:lvl w:ilvl="8">
      <w:start w:val="1"/>
      <w:numFmt w:val="decimal"/>
      <w:pStyle w:val="Ttulo9"/>
      <w:lvlText w:val="%1.%2.%3.%4.%5.%6.%7.%8.%9"/>
      <w:lvlJc w:val="left"/>
      <w:pPr>
        <w:tabs>
          <w:tab w:val="num" w:pos="1085"/>
        </w:tabs>
        <w:ind w:left="1085" w:hanging="1584"/>
      </w:pPr>
    </w:lvl>
  </w:abstractNum>
  <w:num w:numId="1">
    <w:abstractNumId w:val="2"/>
  </w:num>
  <w:num w:numId="2">
    <w:abstractNumId w:val="14"/>
  </w:num>
  <w:num w:numId="3">
    <w:abstractNumId w:val="13"/>
  </w:num>
  <w:num w:numId="4">
    <w:abstractNumId w:val="1"/>
  </w:num>
  <w:num w:numId="5">
    <w:abstractNumId w:val="4"/>
  </w:num>
  <w:num w:numId="6">
    <w:abstractNumId w:val="0"/>
  </w:num>
  <w:num w:numId="7">
    <w:abstractNumId w:val="9"/>
  </w:num>
  <w:num w:numId="8">
    <w:abstractNumId w:val="6"/>
  </w:num>
  <w:num w:numId="9">
    <w:abstractNumId w:val="8"/>
  </w:num>
  <w:num w:numId="10">
    <w:abstractNumId w:val="12"/>
  </w:num>
  <w:num w:numId="11">
    <w:abstractNumId w:val="10"/>
  </w:num>
  <w:num w:numId="12">
    <w:abstractNumId w:val="7"/>
  </w:num>
  <w:num w:numId="13">
    <w:abstractNumId w:val="11"/>
  </w:num>
  <w:num w:numId="14">
    <w:abstractNumId w:val="5"/>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GB" w:vendorID="8" w:dllVersion="513"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65"/>
  <w:drawingGridVerticalSpacing w:val="112"/>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D"/>
    <w:rsid w:val="00000EF0"/>
    <w:rsid w:val="000318EF"/>
    <w:rsid w:val="00046348"/>
    <w:rsid w:val="00057D52"/>
    <w:rsid w:val="00090106"/>
    <w:rsid w:val="000A257C"/>
    <w:rsid w:val="000C147D"/>
    <w:rsid w:val="000D58EF"/>
    <w:rsid w:val="000E043D"/>
    <w:rsid w:val="000E52A3"/>
    <w:rsid w:val="00101FFE"/>
    <w:rsid w:val="0013141B"/>
    <w:rsid w:val="00153A00"/>
    <w:rsid w:val="0015610D"/>
    <w:rsid w:val="00157C75"/>
    <w:rsid w:val="00177B5C"/>
    <w:rsid w:val="0018379D"/>
    <w:rsid w:val="001872DA"/>
    <w:rsid w:val="00190B58"/>
    <w:rsid w:val="0019372C"/>
    <w:rsid w:val="001F2E61"/>
    <w:rsid w:val="002063B5"/>
    <w:rsid w:val="00217670"/>
    <w:rsid w:val="00221BBF"/>
    <w:rsid w:val="00221FDE"/>
    <w:rsid w:val="002308F6"/>
    <w:rsid w:val="00243D10"/>
    <w:rsid w:val="00262638"/>
    <w:rsid w:val="00265252"/>
    <w:rsid w:val="0028265B"/>
    <w:rsid w:val="00284F93"/>
    <w:rsid w:val="002A6365"/>
    <w:rsid w:val="002B4DC6"/>
    <w:rsid w:val="002F1B81"/>
    <w:rsid w:val="002F711C"/>
    <w:rsid w:val="00300BC7"/>
    <w:rsid w:val="00326C3A"/>
    <w:rsid w:val="00335570"/>
    <w:rsid w:val="00354FA3"/>
    <w:rsid w:val="00392A89"/>
    <w:rsid w:val="00396503"/>
    <w:rsid w:val="003A422D"/>
    <w:rsid w:val="003B3C2D"/>
    <w:rsid w:val="003D3D8F"/>
    <w:rsid w:val="003E4A8B"/>
    <w:rsid w:val="003F0137"/>
    <w:rsid w:val="00401003"/>
    <w:rsid w:val="004105F7"/>
    <w:rsid w:val="00423E0E"/>
    <w:rsid w:val="0044194A"/>
    <w:rsid w:val="00453485"/>
    <w:rsid w:val="00461AB9"/>
    <w:rsid w:val="00477D51"/>
    <w:rsid w:val="0049671E"/>
    <w:rsid w:val="004A597C"/>
    <w:rsid w:val="004B594C"/>
    <w:rsid w:val="00504D9A"/>
    <w:rsid w:val="00515D18"/>
    <w:rsid w:val="005845AC"/>
    <w:rsid w:val="00594AE5"/>
    <w:rsid w:val="0059677E"/>
    <w:rsid w:val="00597A58"/>
    <w:rsid w:val="005C5516"/>
    <w:rsid w:val="005E196C"/>
    <w:rsid w:val="005F1444"/>
    <w:rsid w:val="005F3BA6"/>
    <w:rsid w:val="00603B6C"/>
    <w:rsid w:val="00613290"/>
    <w:rsid w:val="0064130A"/>
    <w:rsid w:val="006519F4"/>
    <w:rsid w:val="00682C49"/>
    <w:rsid w:val="00686A81"/>
    <w:rsid w:val="00694FDB"/>
    <w:rsid w:val="006B5AF6"/>
    <w:rsid w:val="006E268F"/>
    <w:rsid w:val="006E3C40"/>
    <w:rsid w:val="006F07C4"/>
    <w:rsid w:val="00701007"/>
    <w:rsid w:val="007027D1"/>
    <w:rsid w:val="00716616"/>
    <w:rsid w:val="00731868"/>
    <w:rsid w:val="00734984"/>
    <w:rsid w:val="00785434"/>
    <w:rsid w:val="00793550"/>
    <w:rsid w:val="00796DBE"/>
    <w:rsid w:val="007A2CEA"/>
    <w:rsid w:val="007B3DF8"/>
    <w:rsid w:val="007C5E0C"/>
    <w:rsid w:val="007D441F"/>
    <w:rsid w:val="007D7AA3"/>
    <w:rsid w:val="007E4BF6"/>
    <w:rsid w:val="007E5B2F"/>
    <w:rsid w:val="007F029A"/>
    <w:rsid w:val="00813B50"/>
    <w:rsid w:val="0082489C"/>
    <w:rsid w:val="00841389"/>
    <w:rsid w:val="008449EE"/>
    <w:rsid w:val="00853298"/>
    <w:rsid w:val="008536B7"/>
    <w:rsid w:val="00861E44"/>
    <w:rsid w:val="008B2CD2"/>
    <w:rsid w:val="00947BB3"/>
    <w:rsid w:val="00952085"/>
    <w:rsid w:val="009779DE"/>
    <w:rsid w:val="009C6925"/>
    <w:rsid w:val="009C7CDA"/>
    <w:rsid w:val="009E01C7"/>
    <w:rsid w:val="009F2291"/>
    <w:rsid w:val="009F6E5D"/>
    <w:rsid w:val="00A2625D"/>
    <w:rsid w:val="00A828C0"/>
    <w:rsid w:val="00A96279"/>
    <w:rsid w:val="00AC36E2"/>
    <w:rsid w:val="00AD412A"/>
    <w:rsid w:val="00AD684C"/>
    <w:rsid w:val="00B37914"/>
    <w:rsid w:val="00B7435F"/>
    <w:rsid w:val="00B834B3"/>
    <w:rsid w:val="00BA5727"/>
    <w:rsid w:val="00BB46CE"/>
    <w:rsid w:val="00BB528A"/>
    <w:rsid w:val="00BB6206"/>
    <w:rsid w:val="00BE4079"/>
    <w:rsid w:val="00BE55E1"/>
    <w:rsid w:val="00BF5DAC"/>
    <w:rsid w:val="00BF79B3"/>
    <w:rsid w:val="00C0560D"/>
    <w:rsid w:val="00C12C55"/>
    <w:rsid w:val="00C1370F"/>
    <w:rsid w:val="00C24E0A"/>
    <w:rsid w:val="00C26729"/>
    <w:rsid w:val="00C31CF4"/>
    <w:rsid w:val="00C33F7F"/>
    <w:rsid w:val="00C41ABD"/>
    <w:rsid w:val="00C474F8"/>
    <w:rsid w:val="00C475F3"/>
    <w:rsid w:val="00C47EA4"/>
    <w:rsid w:val="00C67C36"/>
    <w:rsid w:val="00C870B1"/>
    <w:rsid w:val="00C94978"/>
    <w:rsid w:val="00CA66CA"/>
    <w:rsid w:val="00CD3DCC"/>
    <w:rsid w:val="00CD63DE"/>
    <w:rsid w:val="00CE4DA6"/>
    <w:rsid w:val="00CF2A1D"/>
    <w:rsid w:val="00D263A1"/>
    <w:rsid w:val="00D52B9F"/>
    <w:rsid w:val="00D600AB"/>
    <w:rsid w:val="00D7050C"/>
    <w:rsid w:val="00D72A4D"/>
    <w:rsid w:val="00DA3345"/>
    <w:rsid w:val="00DA48D5"/>
    <w:rsid w:val="00DE00B7"/>
    <w:rsid w:val="00DE781B"/>
    <w:rsid w:val="00E00CB2"/>
    <w:rsid w:val="00E16318"/>
    <w:rsid w:val="00E2771E"/>
    <w:rsid w:val="00E2785B"/>
    <w:rsid w:val="00E27E8A"/>
    <w:rsid w:val="00E50BE4"/>
    <w:rsid w:val="00E83D3C"/>
    <w:rsid w:val="00ED1384"/>
    <w:rsid w:val="00EE2DFE"/>
    <w:rsid w:val="00EF0EDA"/>
    <w:rsid w:val="00EF3C56"/>
    <w:rsid w:val="00EF4F15"/>
    <w:rsid w:val="00F0637E"/>
    <w:rsid w:val="00F16598"/>
    <w:rsid w:val="00F53512"/>
    <w:rsid w:val="00F702E9"/>
    <w:rsid w:val="00F70C0F"/>
    <w:rsid w:val="00F85B2E"/>
    <w:rsid w:val="00FA043B"/>
    <w:rsid w:val="00FA5DC5"/>
    <w:rsid w:val="00FB0B61"/>
    <w:rsid w:val="00FC38E4"/>
    <w:rsid w:val="00FD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86E1D-7904-439F-81E6-CF7B5DA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C475F3"/>
    <w:pPr>
      <w:spacing w:line="276" w:lineRule="auto"/>
      <w:jc w:val="both"/>
    </w:pPr>
    <w:rPr>
      <w:rFonts w:ascii="ITC Avant Garde" w:eastAsia="Calibri" w:hAnsi="ITC Avant Garde"/>
      <w:sz w:val="22"/>
      <w:szCs w:val="22"/>
      <w:lang w:val="es-MX" w:eastAsia="en-US"/>
    </w:rPr>
  </w:style>
  <w:style w:type="paragraph" w:styleId="Ttulo1">
    <w:name w:val="heading 1"/>
    <w:aliases w:val="h1"/>
    <w:basedOn w:val="Titulo1"/>
    <w:next w:val="Texto"/>
    <w:link w:val="Ttulo1Car"/>
    <w:uiPriority w:val="9"/>
    <w:qFormat/>
    <w:rsid w:val="00000EF0"/>
    <w:pPr>
      <w:outlineLvl w:val="0"/>
    </w:pPr>
  </w:style>
  <w:style w:type="paragraph" w:styleId="Ttulo2">
    <w:name w:val="heading 2"/>
    <w:aliases w:val="h2"/>
    <w:basedOn w:val="Ttulo4"/>
    <w:next w:val="Normal"/>
    <w:link w:val="Ttulo2Car"/>
    <w:uiPriority w:val="9"/>
    <w:unhideWhenUsed/>
    <w:qFormat/>
    <w:rsid w:val="00000EF0"/>
    <w:pPr>
      <w:outlineLvl w:val="1"/>
    </w:pPr>
    <w:rPr>
      <w:u w:val="single"/>
    </w:rPr>
  </w:style>
  <w:style w:type="paragraph" w:styleId="Ttulo3">
    <w:name w:val="heading 3"/>
    <w:aliases w:val="h3"/>
    <w:basedOn w:val="Ttulo4"/>
    <w:next w:val="Normal"/>
    <w:link w:val="Ttulo3Car"/>
    <w:uiPriority w:val="9"/>
    <w:unhideWhenUsed/>
    <w:qFormat/>
    <w:rsid w:val="00354FA3"/>
    <w:pPr>
      <w:outlineLvl w:val="2"/>
    </w:pPr>
  </w:style>
  <w:style w:type="paragraph" w:styleId="Ttulo4">
    <w:name w:val="heading 4"/>
    <w:aliases w:val="h4"/>
    <w:basedOn w:val="Normal"/>
    <w:next w:val="Normal"/>
    <w:link w:val="Ttulo4Car"/>
    <w:uiPriority w:val="9"/>
    <w:unhideWhenUsed/>
    <w:qFormat/>
    <w:rsid w:val="00000EF0"/>
    <w:pPr>
      <w:keepNext/>
      <w:keepLines/>
      <w:numPr>
        <w:ilvl w:val="3"/>
        <w:numId w:val="9"/>
      </w:numPr>
      <w:spacing w:after="120"/>
      <w:outlineLvl w:val="3"/>
    </w:pPr>
    <w:rPr>
      <w:rFonts w:eastAsia="Times New Roman"/>
      <w:b/>
      <w:bCs/>
      <w:iCs/>
      <w:lang w:val="es-ES_tradnl"/>
    </w:rPr>
  </w:style>
  <w:style w:type="paragraph" w:styleId="Ttulo5">
    <w:name w:val="heading 5"/>
    <w:basedOn w:val="Ttulo4"/>
    <w:next w:val="Normal"/>
    <w:pPr>
      <w:numPr>
        <w:ilvl w:val="4"/>
        <w:numId w:val="2"/>
      </w:numPr>
      <w:spacing w:before="80"/>
      <w:outlineLvl w:val="4"/>
    </w:pPr>
  </w:style>
  <w:style w:type="paragraph" w:styleId="Ttulo6">
    <w:name w:val="heading 6"/>
    <w:basedOn w:val="Normal"/>
    <w:next w:val="Normal"/>
    <w:pPr>
      <w:numPr>
        <w:ilvl w:val="5"/>
        <w:numId w:val="2"/>
      </w:numPr>
      <w:spacing w:before="240" w:after="60"/>
      <w:outlineLvl w:val="5"/>
    </w:pPr>
    <w:rPr>
      <w:i/>
    </w:rPr>
  </w:style>
  <w:style w:type="paragraph" w:styleId="Ttulo7">
    <w:name w:val="heading 7"/>
    <w:basedOn w:val="Normal"/>
    <w:next w:val="Normal"/>
    <w:pPr>
      <w:numPr>
        <w:ilvl w:val="6"/>
        <w:numId w:val="2"/>
      </w:numPr>
      <w:spacing w:before="240" w:after="60"/>
      <w:outlineLvl w:val="6"/>
    </w:pPr>
    <w:rPr>
      <w:rFonts w:ascii="Arial" w:hAnsi="Arial"/>
      <w:sz w:val="20"/>
    </w:rPr>
  </w:style>
  <w:style w:type="paragraph" w:styleId="Ttulo8">
    <w:name w:val="heading 8"/>
    <w:basedOn w:val="Normal"/>
    <w:next w:val="Normal"/>
    <w:pPr>
      <w:numPr>
        <w:ilvl w:val="7"/>
        <w:numId w:val="2"/>
      </w:numPr>
      <w:spacing w:before="240" w:after="60"/>
      <w:outlineLvl w:val="7"/>
    </w:pPr>
    <w:rPr>
      <w:rFonts w:ascii="Arial" w:hAnsi="Arial"/>
      <w:i/>
      <w:sz w:val="20"/>
    </w:rPr>
  </w:style>
  <w:style w:type="paragraph" w:styleId="Ttulo9">
    <w:name w:val="heading 9"/>
    <w:basedOn w:val="Normal"/>
    <w:next w:val="Normal"/>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unhideWhenUsed/>
    <w:rsid w:val="005C5516"/>
    <w:pPr>
      <w:tabs>
        <w:tab w:val="center" w:pos="4394"/>
        <w:tab w:val="right" w:pos="9214"/>
      </w:tabs>
      <w:spacing w:line="260" w:lineRule="atLeast"/>
      <w:ind w:left="-499" w:right="-499"/>
    </w:pPr>
    <w:rPr>
      <w:rFonts w:ascii="Arial" w:eastAsia="Calibri" w:hAnsi="Arial"/>
      <w:sz w:val="16"/>
      <w:szCs w:val="22"/>
      <w:lang w:eastAsia="en-US"/>
    </w:rPr>
  </w:style>
  <w:style w:type="paragraph" w:styleId="Encabezado">
    <w:name w:val="header"/>
    <w:link w:val="EncabezadoCar"/>
    <w:uiPriority w:val="99"/>
    <w:unhideWhenUsed/>
    <w:rsid w:val="005C5516"/>
    <w:pPr>
      <w:tabs>
        <w:tab w:val="right" w:pos="9214"/>
      </w:tabs>
      <w:spacing w:line="260" w:lineRule="atLeast"/>
      <w:ind w:left="-499" w:right="-499"/>
      <w:jc w:val="right"/>
    </w:pPr>
    <w:rPr>
      <w:rFonts w:ascii="Arial" w:eastAsia="Calibri" w:hAnsi="Arial"/>
      <w:sz w:val="16"/>
      <w:szCs w:val="22"/>
      <w:lang w:eastAsia="en-US"/>
    </w:rPr>
  </w:style>
  <w:style w:type="paragraph" w:styleId="Textonotapie">
    <w:name w:val="footnote text"/>
    <w:link w:val="TextonotapieCar"/>
    <w:uiPriority w:val="99"/>
    <w:unhideWhenUsed/>
    <w:rsid w:val="005C5516"/>
    <w:pPr>
      <w:spacing w:after="100"/>
      <w:ind w:left="499" w:hanging="499"/>
      <w:jc w:val="both"/>
    </w:pPr>
    <w:rPr>
      <w:rFonts w:ascii="Arial" w:eastAsia="Calibri" w:hAnsi="Arial"/>
      <w:sz w:val="16"/>
      <w:lang w:eastAsia="en-US"/>
    </w:rPr>
  </w:style>
  <w:style w:type="paragraph" w:customStyle="1" w:styleId="I1">
    <w:name w:val="I1"/>
    <w:basedOn w:val="Listaconvietas"/>
    <w:rsid w:val="005C5516"/>
  </w:style>
  <w:style w:type="paragraph" w:customStyle="1" w:styleId="B1">
    <w:name w:val="B1"/>
    <w:basedOn w:val="Emphasised"/>
    <w:rsid w:val="005C5516"/>
  </w:style>
  <w:style w:type="paragraph" w:customStyle="1" w:styleId="E1">
    <w:name w:val="E1"/>
    <w:basedOn w:val="Normal"/>
    <w:next w:val="Border"/>
    <w:pPr>
      <w:keepNext/>
      <w:tabs>
        <w:tab w:val="left" w:pos="2160"/>
      </w:tabs>
      <w:spacing w:before="300" w:after="120"/>
      <w:ind w:left="2160" w:hanging="2160"/>
      <w:jc w:val="left"/>
    </w:pPr>
    <w:rPr>
      <w:i/>
    </w:rPr>
  </w:style>
  <w:style w:type="paragraph" w:customStyle="1" w:styleId="Border">
    <w:name w:val="Border"/>
    <w:next w:val="Descripcin"/>
    <w:rsid w:val="005C5516"/>
    <w:pPr>
      <w:spacing w:after="600" w:line="320" w:lineRule="atLeast"/>
      <w:jc w:val="center"/>
    </w:pPr>
    <w:rPr>
      <w:rFonts w:eastAsia="Calibri"/>
      <w:sz w:val="22"/>
      <w:szCs w:val="22"/>
      <w:lang w:eastAsia="en-US"/>
    </w:rPr>
  </w:style>
  <w:style w:type="paragraph" w:styleId="Descripcin">
    <w:name w:val="caption"/>
    <w:next w:val="Normal"/>
    <w:uiPriority w:val="35"/>
    <w:rsid w:val="005C5516"/>
    <w:pPr>
      <w:keepNext/>
      <w:tabs>
        <w:tab w:val="left" w:pos="2041"/>
      </w:tabs>
      <w:spacing w:after="160" w:line="280" w:lineRule="atLeast"/>
    </w:pPr>
    <w:rPr>
      <w:rFonts w:ascii="Arial" w:eastAsia="Calibri" w:hAnsi="Arial" w:cs="Arial"/>
      <w:bCs/>
      <w:i/>
      <w:sz w:val="18"/>
      <w:szCs w:val="18"/>
      <w:lang w:eastAsia="en-US"/>
    </w:rPr>
  </w:style>
  <w:style w:type="paragraph" w:customStyle="1" w:styleId="01">
    <w:name w:val="01"/>
    <w:basedOn w:val="Normal"/>
    <w:rsid w:val="005C5516"/>
  </w:style>
  <w:style w:type="character" w:styleId="Refdenotaalpie">
    <w:name w:val="footnote reference"/>
    <w:uiPriority w:val="99"/>
    <w:unhideWhenUsed/>
    <w:rsid w:val="005C5516"/>
    <w:rPr>
      <w:rFonts w:ascii="Arial" w:hAnsi="Arial"/>
      <w:b w:val="0"/>
      <w:i w:val="0"/>
      <w:sz w:val="20"/>
      <w:vertAlign w:val="superscript"/>
    </w:rPr>
  </w:style>
  <w:style w:type="paragraph" w:customStyle="1" w:styleId="I">
    <w:name w:val="I"/>
    <w:basedOn w:val="Normal"/>
    <w:pPr>
      <w:jc w:val="left"/>
    </w:pPr>
    <w:rPr>
      <w:i/>
    </w:rPr>
  </w:style>
  <w:style w:type="paragraph" w:customStyle="1" w:styleId="E2">
    <w:name w:val="E2"/>
    <w:basedOn w:val="Normal"/>
    <w:next w:val="Border"/>
    <w:pPr>
      <w:keepNext/>
      <w:widowControl w:val="0"/>
      <w:tabs>
        <w:tab w:val="left" w:pos="2160"/>
      </w:tabs>
      <w:spacing w:before="300" w:after="120"/>
      <w:ind w:left="4320" w:hanging="2160"/>
    </w:pPr>
    <w:rPr>
      <w:i/>
    </w:rPr>
  </w:style>
  <w:style w:type="paragraph" w:customStyle="1" w:styleId="L1">
    <w:name w:val="L1"/>
    <w:basedOn w:val="ListBulletCompact"/>
    <w:rsid w:val="005C5516"/>
  </w:style>
  <w:style w:type="paragraph" w:customStyle="1" w:styleId="B2">
    <w:name w:val="B2"/>
    <w:basedOn w:val="B1"/>
    <w:pPr>
      <w:tabs>
        <w:tab w:val="right" w:pos="8280"/>
      </w:tabs>
      <w:ind w:left="2275"/>
    </w:pPr>
  </w:style>
  <w:style w:type="paragraph" w:customStyle="1" w:styleId="P2">
    <w:name w:val="P2"/>
    <w:basedOn w:val="Normal"/>
    <w:pPr>
      <w:tabs>
        <w:tab w:val="left" w:pos="2160"/>
      </w:tabs>
      <w:ind w:left="2041"/>
    </w:pPr>
  </w:style>
  <w:style w:type="character" w:styleId="Hipervnculo">
    <w:name w:val="Hyperlink"/>
    <w:uiPriority w:val="99"/>
    <w:unhideWhenUsed/>
    <w:rsid w:val="005C5516"/>
    <w:rPr>
      <w:color w:val="auto"/>
      <w:u w:val="none"/>
    </w:rPr>
  </w:style>
  <w:style w:type="paragraph" w:customStyle="1" w:styleId="L2">
    <w:name w:val="L2"/>
    <w:basedOn w:val="L1"/>
    <w:pPr>
      <w:tabs>
        <w:tab w:val="left" w:pos="2398"/>
      </w:tabs>
      <w:ind w:left="2398"/>
    </w:pPr>
  </w:style>
  <w:style w:type="character" w:styleId="Nmerodepgina">
    <w:name w:val="page number"/>
    <w:unhideWhenUsed/>
    <w:rsid w:val="005C5516"/>
  </w:style>
  <w:style w:type="paragraph" w:customStyle="1" w:styleId="E">
    <w:name w:val="E"/>
    <w:basedOn w:val="Normal"/>
    <w:next w:val="Normal"/>
    <w:pPr>
      <w:spacing w:after="150" w:line="240" w:lineRule="auto"/>
      <w:jc w:val="center"/>
    </w:pPr>
  </w:style>
  <w:style w:type="paragraph" w:styleId="TDC1">
    <w:name w:val="toc 1"/>
    <w:basedOn w:val="Normal"/>
    <w:next w:val="Normal"/>
    <w:autoRedefine/>
    <w:uiPriority w:val="39"/>
    <w:unhideWhenUsed/>
    <w:rsid w:val="005C5516"/>
    <w:pPr>
      <w:keepNext/>
      <w:tabs>
        <w:tab w:val="left" w:pos="635"/>
        <w:tab w:val="right" w:pos="8789"/>
      </w:tabs>
      <w:spacing w:before="240"/>
    </w:pPr>
    <w:rPr>
      <w:b/>
    </w:rPr>
  </w:style>
  <w:style w:type="paragraph" w:styleId="TDC2">
    <w:name w:val="toc 2"/>
    <w:basedOn w:val="TDC1"/>
    <w:next w:val="Normal"/>
    <w:autoRedefine/>
    <w:uiPriority w:val="39"/>
    <w:unhideWhenUsed/>
    <w:rsid w:val="005C5516"/>
    <w:pPr>
      <w:keepNext w:val="0"/>
      <w:spacing w:before="0"/>
    </w:pPr>
    <w:rPr>
      <w:b w:val="0"/>
      <w:noProof/>
    </w:rPr>
  </w:style>
  <w:style w:type="paragraph" w:styleId="TDC3">
    <w:name w:val="toc 3"/>
    <w:basedOn w:val="TDC2"/>
    <w:next w:val="Normal"/>
    <w:autoRedefine/>
    <w:uiPriority w:val="39"/>
    <w:unhideWhenUsed/>
    <w:rsid w:val="005C5516"/>
    <w:rPr>
      <w:sz w:val="20"/>
    </w:rPr>
  </w:style>
  <w:style w:type="paragraph" w:styleId="TDC4">
    <w:name w:val="toc 4"/>
    <w:basedOn w:val="TDC3"/>
    <w:next w:val="Normal"/>
    <w:autoRedefine/>
    <w:uiPriority w:val="39"/>
    <w:unhideWhenUsed/>
    <w:rsid w:val="005C5516"/>
  </w:style>
  <w:style w:type="paragraph" w:customStyle="1" w:styleId="LL">
    <w:name w:val="LL"/>
    <w:basedOn w:val="ListBullet2Compact"/>
    <w:rsid w:val="005C5516"/>
  </w:style>
  <w:style w:type="paragraph" w:customStyle="1" w:styleId="II">
    <w:name w:val="II"/>
    <w:basedOn w:val="Listaconvietas2"/>
    <w:link w:val="IIChar"/>
    <w:rsid w:val="005C5516"/>
  </w:style>
  <w:style w:type="character" w:styleId="Nmerodelnea">
    <w:name w:val="line number"/>
    <w:basedOn w:val="Fuentedeprrafopredeter"/>
    <w:semiHidden/>
  </w:style>
  <w:style w:type="paragraph" w:customStyle="1" w:styleId="sig">
    <w:name w:val="sig"/>
    <w:basedOn w:val="Normal"/>
    <w:pPr>
      <w:spacing w:line="240" w:lineRule="auto"/>
    </w:p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uiPriority w:val="99"/>
    <w:semiHidden/>
    <w:unhideWhenUsed/>
    <w:rsid w:val="005C5516"/>
    <w:pPr>
      <w:spacing w:line="240" w:lineRule="auto"/>
    </w:pPr>
    <w:rPr>
      <w:sz w:val="20"/>
      <w:szCs w:val="20"/>
    </w:rPr>
  </w:style>
  <w:style w:type="paragraph" w:customStyle="1" w:styleId="Annex1">
    <w:name w:val="Annex 1"/>
    <w:next w:val="Normal"/>
    <w:rsid w:val="005E196C"/>
    <w:pPr>
      <w:keepNext/>
      <w:pageBreakBefore/>
      <w:numPr>
        <w:numId w:val="12"/>
      </w:numPr>
      <w:tabs>
        <w:tab w:val="clear" w:pos="1633"/>
        <w:tab w:val="num" w:pos="1021"/>
      </w:tabs>
      <w:spacing w:after="600" w:line="560" w:lineRule="exact"/>
      <w:ind w:left="0"/>
      <w:outlineLvl w:val="0"/>
    </w:pPr>
    <w:rPr>
      <w:rFonts w:eastAsiaTheme="minorHAnsi" w:cstheme="minorBidi"/>
      <w:sz w:val="36"/>
      <w:szCs w:val="22"/>
      <w:lang w:eastAsia="en-US"/>
    </w:rPr>
  </w:style>
  <w:style w:type="paragraph" w:customStyle="1" w:styleId="cvhead">
    <w:name w:val="cvhead"/>
    <w:basedOn w:val="Normal"/>
    <w:next w:val="Normal"/>
    <w:rsid w:val="005C5516"/>
    <w:pPr>
      <w:keepNext/>
      <w:spacing w:after="400" w:line="400" w:lineRule="exact"/>
      <w:ind w:left="-499"/>
    </w:pPr>
    <w:rPr>
      <w:b/>
      <w:sz w:val="30"/>
    </w:rPr>
  </w:style>
  <w:style w:type="paragraph" w:customStyle="1" w:styleId="cvsec">
    <w:name w:val="cvsec"/>
    <w:basedOn w:val="Normal"/>
    <w:next w:val="Normal"/>
    <w:rsid w:val="005C5516"/>
    <w:pPr>
      <w:keepNext/>
      <w:spacing w:before="240"/>
      <w:ind w:left="-499"/>
    </w:pPr>
    <w:rPr>
      <w:b/>
    </w:rPr>
  </w:style>
  <w:style w:type="paragraph" w:styleId="Firma">
    <w:name w:val="Signature"/>
    <w:basedOn w:val="Normal"/>
    <w:semiHidden/>
    <w:pPr>
      <w:ind w:left="4252"/>
    </w:pPr>
  </w:style>
  <w:style w:type="paragraph" w:customStyle="1" w:styleId="cvcont">
    <w:name w:val="cvcont"/>
    <w:basedOn w:val="Normal"/>
    <w:next w:val="Normal"/>
    <w:rsid w:val="005C5516"/>
    <w:pPr>
      <w:spacing w:before="300" w:line="240" w:lineRule="exact"/>
      <w:ind w:left="-499" w:right="-499"/>
      <w:jc w:val="left"/>
    </w:pPr>
    <w:rPr>
      <w:b/>
      <w:sz w:val="18"/>
    </w:rPr>
  </w:style>
  <w:style w:type="paragraph" w:customStyle="1" w:styleId="Annex2">
    <w:name w:val="Annex 2"/>
    <w:basedOn w:val="Ttulo2"/>
    <w:next w:val="Normal"/>
    <w:rsid w:val="005E196C"/>
    <w:pPr>
      <w:numPr>
        <w:ilvl w:val="0"/>
        <w:numId w:val="0"/>
      </w:numPr>
    </w:pPr>
    <w:rPr>
      <w:rFonts w:eastAsiaTheme="majorEastAsia" w:cstheme="majorBidi"/>
    </w:rPr>
  </w:style>
  <w:style w:type="paragraph" w:customStyle="1" w:styleId="Annex3">
    <w:name w:val="Annex 3"/>
    <w:basedOn w:val="Ttulo3"/>
    <w:next w:val="Normal"/>
    <w:rsid w:val="005E196C"/>
    <w:pPr>
      <w:numPr>
        <w:ilvl w:val="0"/>
        <w:numId w:val="0"/>
      </w:numPr>
    </w:pPr>
    <w:rPr>
      <w:rFonts w:eastAsiaTheme="majorEastAsia" w:cstheme="majorBidi"/>
    </w:rPr>
  </w:style>
  <w:style w:type="paragraph" w:customStyle="1" w:styleId="Annex4">
    <w:name w:val="Annex 4"/>
    <w:next w:val="Normal"/>
    <w:rsid w:val="005C5516"/>
    <w:pPr>
      <w:keepNext/>
      <w:numPr>
        <w:ilvl w:val="3"/>
        <w:numId w:val="12"/>
      </w:numPr>
      <w:spacing w:before="360" w:after="240" w:line="320" w:lineRule="atLeast"/>
    </w:pPr>
    <w:rPr>
      <w:rFonts w:eastAsia="Calibri"/>
      <w:i/>
      <w:sz w:val="22"/>
      <w:szCs w:val="22"/>
      <w:lang w:eastAsia="en-US"/>
    </w:rPr>
  </w:style>
  <w:style w:type="paragraph" w:customStyle="1" w:styleId="Tablenote">
    <w:name w:val="Table: note"/>
    <w:basedOn w:val="Tablecells"/>
    <w:rsid w:val="005C5516"/>
    <w:pPr>
      <w:pBdr>
        <w:bottom w:val="single" w:sz="4" w:space="9" w:color="auto"/>
      </w:pBdr>
      <w:spacing w:before="100" w:after="0"/>
      <w:ind w:left="357" w:right="0" w:hanging="357"/>
    </w:pPr>
  </w:style>
  <w:style w:type="paragraph" w:customStyle="1" w:styleId="SBSheader">
    <w:name w:val="SBS: header"/>
    <w:basedOn w:val="Normal"/>
    <w:rsid w:val="005C5516"/>
    <w:pPr>
      <w:jc w:val="left"/>
    </w:pPr>
    <w:rPr>
      <w:i/>
    </w:rPr>
  </w:style>
  <w:style w:type="paragraph" w:customStyle="1" w:styleId="I2">
    <w:name w:val="I2"/>
    <w:basedOn w:val="I1"/>
    <w:pPr>
      <w:numPr>
        <w:numId w:val="1"/>
      </w:numPr>
      <w:tabs>
        <w:tab w:val="left" w:pos="2398"/>
      </w:tabs>
      <w:ind w:left="2398" w:hanging="357"/>
    </w:pPr>
  </w:style>
  <w:style w:type="paragraph" w:customStyle="1" w:styleId="Bordersmall">
    <w:name w:val="Border: small"/>
    <w:basedOn w:val="Border"/>
    <w:rsid w:val="005C5516"/>
    <w:pPr>
      <w:spacing w:after="0"/>
    </w:pPr>
  </w:style>
  <w:style w:type="paragraph" w:customStyle="1" w:styleId="Titleaddress">
    <w:name w:val="Title: address"/>
    <w:basedOn w:val="01"/>
    <w:rsid w:val="005C5516"/>
    <w:pPr>
      <w:ind w:left="567"/>
    </w:pPr>
  </w:style>
  <w:style w:type="paragraph" w:customStyle="1" w:styleId="TitleID">
    <w:name w:val="Title: ID"/>
    <w:basedOn w:val="Normal"/>
    <w:pPr>
      <w:spacing w:line="280" w:lineRule="exact"/>
      <w:ind w:left="-567"/>
      <w:jc w:val="center"/>
    </w:pPr>
  </w:style>
  <w:style w:type="paragraph" w:customStyle="1" w:styleId="Titlelogo">
    <w:name w:val="Title: logo"/>
    <w:basedOn w:val="Normal"/>
    <w:pPr>
      <w:spacing w:line="240" w:lineRule="atLeast"/>
      <w:jc w:val="center"/>
    </w:pPr>
    <w:rPr>
      <w:sz w:val="24"/>
    </w:rPr>
  </w:style>
  <w:style w:type="paragraph" w:customStyle="1" w:styleId="Titlemain">
    <w:name w:val="Title: main"/>
    <w:next w:val="Titleauthor"/>
    <w:link w:val="TitlemainCar"/>
    <w:rsid w:val="005C5516"/>
    <w:pPr>
      <w:spacing w:after="40" w:line="510" w:lineRule="exact"/>
      <w:ind w:left="5103" w:right="-397"/>
    </w:pPr>
    <w:rPr>
      <w:rFonts w:ascii="Arial" w:hAnsi="Arial"/>
      <w:bCs/>
      <w:spacing w:val="8"/>
      <w:sz w:val="34"/>
      <w:szCs w:val="34"/>
      <w:lang w:eastAsia="en-US"/>
    </w:rPr>
  </w:style>
  <w:style w:type="paragraph" w:customStyle="1" w:styleId="TitleRefNo">
    <w:name w:val="Title: RefNo"/>
    <w:basedOn w:val="Titledate"/>
    <w:next w:val="Normal"/>
    <w:rsid w:val="005C5516"/>
    <w:rPr>
      <w:b/>
      <w:i w:val="0"/>
      <w:sz w:val="18"/>
      <w:szCs w:val="18"/>
    </w:rPr>
  </w:style>
  <w:style w:type="paragraph" w:customStyle="1" w:styleId="Contentstitle">
    <w:name w:val="Contents: title"/>
    <w:basedOn w:val="Normal"/>
    <w:pPr>
      <w:spacing w:before="200" w:line="600" w:lineRule="exact"/>
      <w:ind w:left="567" w:right="567"/>
      <w:jc w:val="center"/>
    </w:pPr>
    <w:rPr>
      <w:sz w:val="38"/>
    </w:rPr>
  </w:style>
  <w:style w:type="paragraph" w:customStyle="1" w:styleId="Contentssubtitle">
    <w:name w:val="Contents: subtitle"/>
    <w:basedOn w:val="Contentstitle"/>
    <w:pPr>
      <w:pBdr>
        <w:bottom w:val="single" w:sz="2" w:space="0" w:color="auto"/>
      </w:pBdr>
      <w:spacing w:before="280" w:line="320" w:lineRule="exact"/>
      <w:ind w:left="0" w:right="0"/>
    </w:pPr>
    <w:rPr>
      <w:sz w:val="26"/>
    </w:rPr>
  </w:style>
  <w:style w:type="paragraph" w:customStyle="1" w:styleId="Contentsheading">
    <w:name w:val="Contents: heading"/>
    <w:basedOn w:val="Normal"/>
    <w:next w:val="TDC1"/>
    <w:rsid w:val="005C5516"/>
    <w:pPr>
      <w:spacing w:after="560" w:line="720" w:lineRule="exact"/>
    </w:pPr>
    <w:rPr>
      <w:sz w:val="40"/>
    </w:rPr>
  </w:style>
  <w:style w:type="paragraph" w:customStyle="1" w:styleId="Contentssubsection">
    <w:name w:val="Contents: subsection"/>
    <w:basedOn w:val="Normal"/>
    <w:next w:val="TDC1"/>
    <w:rsid w:val="005C5516"/>
    <w:pPr>
      <w:spacing w:before="360"/>
    </w:pPr>
    <w:rPr>
      <w:b/>
      <w:sz w:val="26"/>
    </w:rPr>
  </w:style>
  <w:style w:type="paragraph" w:customStyle="1" w:styleId="Captionsmall">
    <w:name w:val="Caption: small"/>
    <w:basedOn w:val="Descripcin"/>
    <w:next w:val="Normal"/>
    <w:rsid w:val="005C5516"/>
    <w:pPr>
      <w:spacing w:after="0"/>
      <w:ind w:left="113" w:right="113"/>
    </w:pPr>
  </w:style>
  <w:style w:type="paragraph" w:customStyle="1" w:styleId="Tableheading">
    <w:name w:val="Table: heading"/>
    <w:basedOn w:val="Tablecells"/>
    <w:next w:val="Tablecells"/>
    <w:rsid w:val="005C5516"/>
    <w:pPr>
      <w:keepNext/>
    </w:pPr>
    <w:rPr>
      <w:b/>
      <w:color w:val="FFFFFF"/>
    </w:rPr>
  </w:style>
  <w:style w:type="paragraph" w:customStyle="1" w:styleId="Tablecells">
    <w:name w:val="Table: cells"/>
    <w:rsid w:val="005C5516"/>
    <w:pPr>
      <w:spacing w:before="40" w:after="40" w:line="240" w:lineRule="exact"/>
      <w:ind w:right="113"/>
    </w:pPr>
    <w:rPr>
      <w:rFonts w:ascii="Arial" w:eastAsia="Calibri" w:hAnsi="Arial"/>
      <w:sz w:val="18"/>
      <w:szCs w:val="22"/>
      <w:lang w:eastAsia="en-US"/>
    </w:rPr>
  </w:style>
  <w:style w:type="paragraph" w:customStyle="1" w:styleId="01-address">
    <w:name w:val="01-address"/>
    <w:basedOn w:val="01"/>
    <w:pPr>
      <w:spacing w:line="300" w:lineRule="atLeast"/>
    </w:pPr>
  </w:style>
  <w:style w:type="paragraph" w:customStyle="1" w:styleId="Titlesubtitle">
    <w:name w:val="Title: subtitle"/>
    <w:basedOn w:val="Normal"/>
    <w:pPr>
      <w:spacing w:before="600"/>
      <w:ind w:left="-567"/>
      <w:jc w:val="center"/>
    </w:pPr>
    <w:rPr>
      <w:spacing w:val="8"/>
      <w:sz w:val="24"/>
    </w:rPr>
  </w:style>
  <w:style w:type="paragraph" w:customStyle="1" w:styleId="H5">
    <w:name w:val="H5"/>
    <w:basedOn w:val="Normal"/>
    <w:next w:val="Normal"/>
    <w:link w:val="H5Char"/>
    <w:rsid w:val="005C5516"/>
    <w:pPr>
      <w:keepNext/>
      <w:numPr>
        <w:numId w:val="10"/>
      </w:numPr>
      <w:spacing w:after="200"/>
      <w:ind w:left="357" w:hanging="357"/>
    </w:pPr>
    <w:rPr>
      <w:i/>
    </w:rPr>
  </w:style>
  <w:style w:type="paragraph" w:customStyle="1" w:styleId="Titletype">
    <w:name w:val="Title: type"/>
    <w:next w:val="Titlemain"/>
    <w:rsid w:val="005C5516"/>
    <w:pPr>
      <w:spacing w:before="2240" w:after="240" w:line="510" w:lineRule="exact"/>
      <w:ind w:left="5103" w:right="-340"/>
    </w:pPr>
    <w:rPr>
      <w:rFonts w:ascii="Arial" w:hAnsi="Arial"/>
      <w:b/>
      <w:bCs/>
      <w:color w:val="003352"/>
      <w:spacing w:val="8"/>
      <w:sz w:val="24"/>
      <w:szCs w:val="24"/>
      <w:lang w:eastAsia="en-US"/>
    </w:rPr>
  </w:style>
  <w:style w:type="paragraph" w:customStyle="1" w:styleId="Titleversion">
    <w:name w:val="Title: version"/>
    <w:basedOn w:val="Normal"/>
    <w:pPr>
      <w:jc w:val="center"/>
    </w:pPr>
  </w:style>
  <w:style w:type="paragraph" w:customStyle="1" w:styleId="Title-Amain">
    <w:name w:val="Title-A: main"/>
    <w:basedOn w:val="Titlemain"/>
  </w:style>
  <w:style w:type="paragraph" w:customStyle="1" w:styleId="Title-Atype">
    <w:name w:val="Title-A: type"/>
    <w:basedOn w:val="Titletype"/>
  </w:style>
  <w:style w:type="paragraph" w:customStyle="1" w:styleId="Titledate">
    <w:name w:val="Title: date"/>
    <w:basedOn w:val="Titlemain"/>
    <w:next w:val="TitleRefNo"/>
    <w:rsid w:val="005C5516"/>
    <w:pPr>
      <w:spacing w:after="160"/>
    </w:pPr>
    <w:rPr>
      <w:i/>
      <w:color w:val="003352"/>
      <w:sz w:val="24"/>
      <w:szCs w:val="24"/>
    </w:rPr>
  </w:style>
  <w:style w:type="paragraph" w:customStyle="1" w:styleId="Title-ARefNo">
    <w:name w:val="Title-A: RefNo"/>
    <w:basedOn w:val="TitleRefNo"/>
  </w:style>
  <w:style w:type="paragraph" w:customStyle="1" w:styleId="Confidential">
    <w:name w:val="Confidential"/>
    <w:basedOn w:val="Normal"/>
    <w:pPr>
      <w:jc w:val="center"/>
    </w:pPr>
    <w:rPr>
      <w:sz w:val="20"/>
    </w:rPr>
  </w:style>
  <w:style w:type="paragraph" w:customStyle="1" w:styleId="Tablebullet">
    <w:name w:val="Table: bullet"/>
    <w:basedOn w:val="Tablecells"/>
    <w:rsid w:val="005C5516"/>
    <w:pPr>
      <w:numPr>
        <w:numId w:val="8"/>
      </w:numPr>
      <w:ind w:left="227" w:hanging="227"/>
    </w:pPr>
  </w:style>
  <w:style w:type="paragraph" w:customStyle="1" w:styleId="01-reference">
    <w:name w:val="01-reference"/>
    <w:basedOn w:val="TitleRefNo"/>
    <w:pPr>
      <w:jc w:val="right"/>
    </w:pPr>
    <w:rPr>
      <w:rFonts w:ascii="Times New Roman" w:hAnsi="Times New Roman"/>
    </w:rPr>
  </w:style>
  <w:style w:type="paragraph" w:customStyle="1" w:styleId="01-date">
    <w:name w:val="01-date"/>
    <w:basedOn w:val="01-address"/>
    <w:pPr>
      <w:jc w:val="center"/>
    </w:pPr>
  </w:style>
  <w:style w:type="paragraph" w:customStyle="1" w:styleId="MCLBullet1">
    <w:name w:val="MCL Bullet 1"/>
    <w:basedOn w:val="Normal"/>
    <w:pPr>
      <w:numPr>
        <w:numId w:val="3"/>
      </w:numPr>
      <w:overflowPunct w:val="0"/>
      <w:autoSpaceDE w:val="0"/>
      <w:autoSpaceDN w:val="0"/>
      <w:adjustRightInd w:val="0"/>
      <w:spacing w:line="360" w:lineRule="atLeast"/>
      <w:ind w:left="1426" w:hanging="432"/>
      <w:textAlignment w:val="baseline"/>
    </w:pPr>
    <w:rPr>
      <w:color w:val="000000"/>
    </w:rPr>
  </w:style>
  <w:style w:type="paragraph" w:customStyle="1" w:styleId="MCLNormal">
    <w:name w:val="MCL Normal"/>
    <w:basedOn w:val="Normal"/>
    <w:pPr>
      <w:overflowPunct w:val="0"/>
      <w:autoSpaceDE w:val="0"/>
      <w:autoSpaceDN w:val="0"/>
      <w:adjustRightInd w:val="0"/>
      <w:spacing w:line="240" w:lineRule="auto"/>
      <w:jc w:val="left"/>
      <w:textAlignment w:val="baseline"/>
    </w:pPr>
    <w:rPr>
      <w:rFonts w:eastAsia="Arial Unicode MS"/>
      <w:sz w:val="24"/>
    </w:rPr>
  </w:style>
  <w:style w:type="paragraph" w:customStyle="1" w:styleId="Titleauthor">
    <w:name w:val="Title: author"/>
    <w:basedOn w:val="Titletype"/>
    <w:next w:val="Titledate"/>
    <w:rsid w:val="005C5516"/>
    <w:pPr>
      <w:spacing w:before="0" w:after="40" w:line="280" w:lineRule="exact"/>
    </w:pPr>
    <w:rPr>
      <w:b w:val="0"/>
      <w:sz w:val="19"/>
      <w:szCs w:val="19"/>
    </w:rPr>
  </w:style>
  <w:style w:type="paragraph" w:customStyle="1" w:styleId="Part">
    <w:name w:val="Part"/>
    <w:pPr>
      <w:spacing w:before="4800" w:after="240"/>
      <w:jc w:val="center"/>
    </w:pPr>
    <w:rPr>
      <w:b/>
      <w:sz w:val="36"/>
      <w:lang w:eastAsia="en-US"/>
    </w:rPr>
  </w:style>
  <w:style w:type="paragraph" w:styleId="Listaconvietas2">
    <w:name w:val="List Bullet 2"/>
    <w:basedOn w:val="Listaconvietas"/>
    <w:next w:val="Listaconvietas"/>
    <w:link w:val="Listaconvietas2Car"/>
    <w:uiPriority w:val="99"/>
    <w:unhideWhenUsed/>
    <w:rsid w:val="005C5516"/>
    <w:pPr>
      <w:keepLines/>
      <w:numPr>
        <w:numId w:val="5"/>
      </w:numPr>
    </w:pPr>
  </w:style>
  <w:style w:type="character" w:customStyle="1" w:styleId="EncabezadoCar">
    <w:name w:val="Encabezado Car"/>
    <w:link w:val="Encabezado"/>
    <w:uiPriority w:val="99"/>
    <w:rsid w:val="005C5516"/>
    <w:rPr>
      <w:rFonts w:ascii="Arial" w:eastAsia="Calibri" w:hAnsi="Arial"/>
      <w:sz w:val="16"/>
      <w:szCs w:val="22"/>
      <w:lang w:eastAsia="en-US"/>
    </w:rPr>
  </w:style>
  <w:style w:type="paragraph" w:customStyle="1" w:styleId="Emphasised">
    <w:name w:val="Emphasised"/>
    <w:basedOn w:val="Normal"/>
    <w:rsid w:val="005C5516"/>
    <w:pPr>
      <w:keepLines/>
      <w:pBdr>
        <w:top w:val="single" w:sz="2" w:space="2" w:color="auto"/>
        <w:bottom w:val="single" w:sz="2" w:space="5" w:color="auto"/>
      </w:pBdr>
      <w:ind w:left="284" w:right="284"/>
    </w:pPr>
  </w:style>
  <w:style w:type="character" w:customStyle="1" w:styleId="HeaderChar">
    <w:name w:val="Header Char"/>
    <w:uiPriority w:val="99"/>
    <w:semiHidden/>
    <w:rsid w:val="005C5516"/>
    <w:rPr>
      <w:rFonts w:ascii="Arial" w:hAnsi="Arial"/>
      <w:sz w:val="16"/>
    </w:rPr>
  </w:style>
  <w:style w:type="character" w:customStyle="1" w:styleId="Listaconvietas2Car">
    <w:name w:val="Lista con viñetas 2 Car"/>
    <w:link w:val="Listaconvietas2"/>
    <w:uiPriority w:val="99"/>
    <w:rsid w:val="005C5516"/>
    <w:rPr>
      <w:rFonts w:eastAsia="Calibri"/>
      <w:sz w:val="22"/>
      <w:szCs w:val="22"/>
      <w:lang w:eastAsia="en-US"/>
    </w:rPr>
  </w:style>
  <w:style w:type="character" w:customStyle="1" w:styleId="FooterChar">
    <w:name w:val="Footer Char"/>
    <w:uiPriority w:val="99"/>
    <w:rsid w:val="005C5516"/>
    <w:rPr>
      <w:rFonts w:ascii="Arial" w:hAnsi="Arial"/>
      <w:sz w:val="16"/>
    </w:rPr>
  </w:style>
  <w:style w:type="character" w:styleId="Hipervnculovisitado">
    <w:name w:val="FollowedHyperlink"/>
    <w:uiPriority w:val="99"/>
    <w:semiHidden/>
    <w:unhideWhenUsed/>
    <w:rsid w:val="005C5516"/>
    <w:rPr>
      <w:color w:val="800080"/>
      <w:u w:val="single"/>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5C5516"/>
    <w:pPr>
      <w:numPr>
        <w:numId w:val="4"/>
      </w:numPr>
    </w:pPr>
  </w:style>
  <w:style w:type="paragraph" w:customStyle="1" w:styleId="ListBulletCompact">
    <w:name w:val="List Bullet Compact"/>
    <w:basedOn w:val="Listaconvietas"/>
    <w:rsid w:val="005C5516"/>
  </w:style>
  <w:style w:type="paragraph" w:customStyle="1" w:styleId="ListBullet2Compact">
    <w:name w:val="List Bullet 2 Compact"/>
    <w:basedOn w:val="Listaconvietas2"/>
    <w:rsid w:val="005C5516"/>
    <w:pPr>
      <w:numPr>
        <w:numId w:val="11"/>
      </w:numPr>
      <w:ind w:left="714" w:hanging="357"/>
    </w:pPr>
  </w:style>
  <w:style w:type="paragraph" w:styleId="Listaconnmeros">
    <w:name w:val="List Number"/>
    <w:basedOn w:val="Normal"/>
    <w:uiPriority w:val="99"/>
    <w:semiHidden/>
    <w:unhideWhenUsed/>
    <w:rsid w:val="005C5516"/>
    <w:pPr>
      <w:numPr>
        <w:numId w:val="6"/>
      </w:numPr>
      <w:contextualSpacing/>
    </w:pPr>
  </w:style>
  <w:style w:type="paragraph" w:styleId="Sangradetextonormal">
    <w:name w:val="Body Text Indent"/>
    <w:basedOn w:val="Normal"/>
    <w:link w:val="SangradetextonormalCar"/>
    <w:uiPriority w:val="99"/>
    <w:semiHidden/>
    <w:unhideWhenUsed/>
    <w:rsid w:val="005C5516"/>
    <w:pPr>
      <w:spacing w:after="120"/>
      <w:ind w:left="283"/>
    </w:pPr>
  </w:style>
  <w:style w:type="character" w:customStyle="1" w:styleId="SangradetextonormalCar">
    <w:name w:val="Sangría de texto normal Car"/>
    <w:link w:val="Sangradetextonormal"/>
    <w:uiPriority w:val="99"/>
    <w:semiHidden/>
    <w:rsid w:val="005C5516"/>
    <w:rPr>
      <w:rFonts w:eastAsia="Calibri"/>
      <w:sz w:val="22"/>
      <w:szCs w:val="22"/>
      <w:lang w:eastAsia="en-US"/>
    </w:rPr>
  </w:style>
  <w:style w:type="character" w:customStyle="1" w:styleId="Ttulo1Car">
    <w:name w:val="Título 1 Car"/>
    <w:aliases w:val="h1 Car"/>
    <w:link w:val="Ttulo1"/>
    <w:uiPriority w:val="9"/>
    <w:rsid w:val="00000EF0"/>
    <w:rPr>
      <w:rFonts w:ascii="ITC Avant Garde" w:hAnsi="ITC Avant Garde"/>
      <w:b/>
      <w:bCs/>
      <w:spacing w:val="8"/>
      <w:sz w:val="24"/>
      <w:szCs w:val="24"/>
      <w:lang w:val="es-ES_tradnl" w:eastAsia="en-US"/>
    </w:rPr>
  </w:style>
  <w:style w:type="character" w:customStyle="1" w:styleId="Ttulo2Car">
    <w:name w:val="Título 2 Car"/>
    <w:aliases w:val="h2 Car"/>
    <w:link w:val="Ttulo2"/>
    <w:uiPriority w:val="9"/>
    <w:rsid w:val="00000EF0"/>
    <w:rPr>
      <w:rFonts w:ascii="ITC Avant Garde" w:hAnsi="ITC Avant Garde"/>
      <w:b/>
      <w:bCs/>
      <w:iCs/>
      <w:sz w:val="22"/>
      <w:szCs w:val="22"/>
      <w:u w:val="single"/>
      <w:lang w:val="es-ES_tradnl" w:eastAsia="en-US"/>
    </w:rPr>
  </w:style>
  <w:style w:type="character" w:customStyle="1" w:styleId="Ttulo3Car">
    <w:name w:val="Título 3 Car"/>
    <w:aliases w:val="h3 Car"/>
    <w:link w:val="Ttulo3"/>
    <w:uiPriority w:val="9"/>
    <w:rsid w:val="00354FA3"/>
    <w:rPr>
      <w:rFonts w:ascii="ITC Avant Garde" w:hAnsi="ITC Avant Garde"/>
      <w:b/>
      <w:bCs/>
      <w:iCs/>
      <w:sz w:val="22"/>
      <w:szCs w:val="22"/>
      <w:lang w:val="es-ES_tradnl" w:eastAsia="en-US"/>
    </w:rPr>
  </w:style>
  <w:style w:type="numbering" w:styleId="1ai">
    <w:name w:val="Outline List 1"/>
    <w:basedOn w:val="Sinlista"/>
    <w:uiPriority w:val="99"/>
    <w:semiHidden/>
    <w:unhideWhenUsed/>
    <w:rsid w:val="005C5516"/>
    <w:pPr>
      <w:numPr>
        <w:numId w:val="7"/>
      </w:numPr>
    </w:pPr>
  </w:style>
  <w:style w:type="character" w:customStyle="1" w:styleId="TextonotapieCar">
    <w:name w:val="Texto nota pie Car"/>
    <w:link w:val="Textonotapie"/>
    <w:uiPriority w:val="99"/>
    <w:rsid w:val="005C5516"/>
    <w:rPr>
      <w:rFonts w:ascii="Arial" w:eastAsia="Calibri" w:hAnsi="Arial"/>
      <w:sz w:val="16"/>
      <w:lang w:eastAsia="en-US"/>
    </w:rPr>
  </w:style>
  <w:style w:type="character" w:customStyle="1" w:styleId="PiedepginaCar">
    <w:name w:val="Pie de página Car"/>
    <w:link w:val="Piedepgina"/>
    <w:uiPriority w:val="99"/>
    <w:rsid w:val="005C5516"/>
    <w:rPr>
      <w:rFonts w:ascii="Arial" w:eastAsia="Calibri" w:hAnsi="Arial"/>
      <w:sz w:val="16"/>
      <w:szCs w:val="22"/>
      <w:lang w:eastAsia="en-US"/>
    </w:rPr>
  </w:style>
  <w:style w:type="character" w:customStyle="1" w:styleId="IIChar">
    <w:name w:val="II Char"/>
    <w:link w:val="II"/>
    <w:rsid w:val="005C5516"/>
    <w:rPr>
      <w:rFonts w:eastAsia="Calibri"/>
      <w:sz w:val="22"/>
      <w:szCs w:val="22"/>
      <w:lang w:eastAsia="en-US"/>
    </w:rPr>
  </w:style>
  <w:style w:type="character" w:customStyle="1" w:styleId="TextocomentarioCar">
    <w:name w:val="Texto comentario Car"/>
    <w:link w:val="Textocomentario"/>
    <w:uiPriority w:val="99"/>
    <w:semiHidden/>
    <w:rsid w:val="005C5516"/>
    <w:rPr>
      <w:rFonts w:eastAsia="Calibri"/>
      <w:lang w:eastAsia="en-US"/>
    </w:rPr>
  </w:style>
  <w:style w:type="character" w:customStyle="1" w:styleId="ConfidentialFooter">
    <w:name w:val="ConfidentialFooter"/>
    <w:rsid w:val="005C5516"/>
    <w:rPr>
      <w:color w:val="FFFFFF"/>
      <w:sz w:val="2"/>
    </w:rPr>
  </w:style>
  <w:style w:type="paragraph" w:customStyle="1" w:styleId="ConfidentialFront">
    <w:name w:val="ConfidentialFront"/>
    <w:basedOn w:val="Normal"/>
    <w:rsid w:val="005C5516"/>
    <w:pPr>
      <w:spacing w:before="960"/>
      <w:ind w:left="-227"/>
    </w:pPr>
    <w:rPr>
      <w:rFonts w:ascii="Arial" w:hAnsi="Arial"/>
      <w:color w:val="FFFFFF"/>
      <w:sz w:val="2"/>
    </w:rPr>
  </w:style>
  <w:style w:type="character" w:customStyle="1" w:styleId="H5Char">
    <w:name w:val="H5 Char"/>
    <w:link w:val="H5"/>
    <w:rsid w:val="005C5516"/>
    <w:rPr>
      <w:rFonts w:eastAsia="Calibri"/>
      <w:i/>
      <w:sz w:val="22"/>
      <w:szCs w:val="22"/>
      <w:lang w:eastAsia="en-US"/>
    </w:rPr>
  </w:style>
  <w:style w:type="character" w:customStyle="1" w:styleId="Ttulo4Car">
    <w:name w:val="Título 4 Car"/>
    <w:aliases w:val="h4 Car"/>
    <w:link w:val="Ttulo4"/>
    <w:uiPriority w:val="9"/>
    <w:rsid w:val="00000EF0"/>
    <w:rPr>
      <w:rFonts w:ascii="ITC Avant Garde" w:hAnsi="ITC Avant Garde"/>
      <w:b/>
      <w:bCs/>
      <w:iCs/>
      <w:sz w:val="22"/>
      <w:szCs w:val="22"/>
      <w:lang w:val="es-ES_tradnl" w:eastAsia="en-US"/>
    </w:rPr>
  </w:style>
  <w:style w:type="table" w:styleId="Tablaconcuadrcula">
    <w:name w:val="Table Grid"/>
    <w:basedOn w:val="Tablanormal"/>
    <w:uiPriority w:val="59"/>
    <w:rsid w:val="005C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5C55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10">
    <w:name w:val="I1"/>
    <w:basedOn w:val="Listaconvietas"/>
    <w:next w:val="I1"/>
    <w:rsid w:val="005C5516"/>
  </w:style>
  <w:style w:type="paragraph" w:styleId="Textodeglobo">
    <w:name w:val="Balloon Text"/>
    <w:basedOn w:val="Normal"/>
    <w:link w:val="TextodegloboCar"/>
    <w:uiPriority w:val="99"/>
    <w:semiHidden/>
    <w:unhideWhenUsed/>
    <w:rsid w:val="00694F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DB"/>
    <w:rPr>
      <w:rFonts w:ascii="Tahoma" w:eastAsia="Calibri" w:hAnsi="Tahoma" w:cs="Tahoma"/>
      <w:sz w:val="16"/>
      <w:szCs w:val="16"/>
      <w:lang w:eastAsia="en-US"/>
    </w:rPr>
  </w:style>
  <w:style w:type="paragraph" w:styleId="Prrafodelista">
    <w:name w:val="List Paragraph"/>
    <w:basedOn w:val="Normal"/>
    <w:link w:val="PrrafodelistaCar"/>
    <w:uiPriority w:val="34"/>
    <w:rsid w:val="00BE4079"/>
    <w:pPr>
      <w:ind w:left="720"/>
      <w:contextualSpacing/>
    </w:pPr>
    <w:rPr>
      <w:rFonts w:eastAsiaTheme="minorHAnsi" w:cstheme="minorBidi"/>
      <w:lang w:val="es-ES"/>
    </w:rPr>
  </w:style>
  <w:style w:type="character" w:customStyle="1" w:styleId="PrrafodelistaCar">
    <w:name w:val="Párrafo de lista Car"/>
    <w:basedOn w:val="Fuentedeprrafopredeter"/>
    <w:link w:val="Prrafodelista"/>
    <w:uiPriority w:val="34"/>
    <w:rsid w:val="00C26729"/>
    <w:rPr>
      <w:rFonts w:eastAsiaTheme="minorHAnsi" w:cstheme="minorBidi"/>
      <w:sz w:val="22"/>
      <w:szCs w:val="22"/>
      <w:lang w:val="es-ES" w:eastAsia="en-US"/>
    </w:rPr>
  </w:style>
  <w:style w:type="paragraph" w:customStyle="1" w:styleId="Titulo1">
    <w:name w:val="Titulo 1"/>
    <w:basedOn w:val="Titlemain"/>
    <w:link w:val="Titulo1Car"/>
    <w:rsid w:val="00000EF0"/>
    <w:pPr>
      <w:numPr>
        <w:numId w:val="15"/>
      </w:numPr>
      <w:tabs>
        <w:tab w:val="left" w:pos="284"/>
        <w:tab w:val="num" w:pos="360"/>
      </w:tabs>
      <w:spacing w:line="276" w:lineRule="auto"/>
      <w:ind w:left="284" w:hanging="284"/>
    </w:pPr>
    <w:rPr>
      <w:rFonts w:ascii="ITC Avant Garde" w:hAnsi="ITC Avant Garde"/>
      <w:b/>
      <w:sz w:val="24"/>
      <w:szCs w:val="24"/>
      <w:lang w:val="es-ES_tradnl"/>
    </w:rPr>
  </w:style>
  <w:style w:type="paragraph" w:customStyle="1" w:styleId="Texto">
    <w:name w:val="Texto"/>
    <w:basedOn w:val="Normal"/>
    <w:link w:val="TextoCar"/>
    <w:rsid w:val="00396503"/>
    <w:rPr>
      <w:lang w:val="es-ES_tradnl"/>
    </w:rPr>
  </w:style>
  <w:style w:type="character" w:customStyle="1" w:styleId="TitlemainCar">
    <w:name w:val="Title: main Car"/>
    <w:basedOn w:val="Fuentedeprrafopredeter"/>
    <w:link w:val="Titlemain"/>
    <w:rsid w:val="00000EF0"/>
    <w:rPr>
      <w:rFonts w:ascii="Arial" w:hAnsi="Arial"/>
      <w:bCs/>
      <w:spacing w:val="8"/>
      <w:sz w:val="34"/>
      <w:szCs w:val="34"/>
      <w:lang w:eastAsia="en-US"/>
    </w:rPr>
  </w:style>
  <w:style w:type="character" w:customStyle="1" w:styleId="Titulo1Car">
    <w:name w:val="Titulo 1 Car"/>
    <w:basedOn w:val="TitlemainCar"/>
    <w:link w:val="Titulo1"/>
    <w:rsid w:val="00000EF0"/>
    <w:rPr>
      <w:rFonts w:ascii="ITC Avant Garde" w:hAnsi="ITC Avant Garde"/>
      <w:b/>
      <w:bCs/>
      <w:spacing w:val="8"/>
      <w:sz w:val="24"/>
      <w:szCs w:val="24"/>
      <w:lang w:val="es-ES_tradnl" w:eastAsia="en-US"/>
    </w:rPr>
  </w:style>
  <w:style w:type="paragraph" w:styleId="Sinespaciado">
    <w:name w:val="No Spacing"/>
    <w:uiPriority w:val="1"/>
    <w:rsid w:val="001872DA"/>
    <w:pPr>
      <w:jc w:val="both"/>
    </w:pPr>
    <w:rPr>
      <w:rFonts w:eastAsia="Calibri"/>
      <w:sz w:val="22"/>
      <w:szCs w:val="22"/>
      <w:lang w:eastAsia="en-US"/>
    </w:rPr>
  </w:style>
  <w:style w:type="paragraph" w:styleId="Textoindependiente">
    <w:name w:val="Body Text"/>
    <w:basedOn w:val="Normal"/>
    <w:link w:val="TextoindependienteCar"/>
    <w:uiPriority w:val="99"/>
    <w:semiHidden/>
    <w:unhideWhenUsed/>
    <w:rsid w:val="001872DA"/>
    <w:pPr>
      <w:spacing w:after="120"/>
    </w:pPr>
  </w:style>
  <w:style w:type="character" w:customStyle="1" w:styleId="TextoindependienteCar">
    <w:name w:val="Texto independiente Car"/>
    <w:basedOn w:val="Fuentedeprrafopredeter"/>
    <w:link w:val="Textoindependiente"/>
    <w:uiPriority w:val="99"/>
    <w:semiHidden/>
    <w:rsid w:val="001872DA"/>
    <w:rPr>
      <w:rFonts w:eastAsia="Calibri"/>
      <w:sz w:val="22"/>
      <w:szCs w:val="22"/>
      <w:lang w:eastAsia="en-US"/>
    </w:rPr>
  </w:style>
  <w:style w:type="character" w:customStyle="1" w:styleId="TextoCar">
    <w:name w:val="Texto Car"/>
    <w:basedOn w:val="Fuentedeprrafopredeter"/>
    <w:link w:val="Texto"/>
    <w:rsid w:val="00396503"/>
    <w:rPr>
      <w:rFonts w:ascii="ITC Avant Garde" w:eastAsia="Calibri" w:hAnsi="ITC Avant Garde"/>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Lar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BF58-89FE-4EAE-BA54-DB7E94CF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ReportLargeA4</Template>
  <TotalTime>84</TotalTime>
  <Pages>13</Pages>
  <Words>3847</Words>
  <Characters>21159</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Pedro Meza Quintanilla</cp:lastModifiedBy>
  <cp:revision>22</cp:revision>
  <cp:lastPrinted>2008-04-18T11:20:00Z</cp:lastPrinted>
  <dcterms:created xsi:type="dcterms:W3CDTF">2016-01-13T21:06:00Z</dcterms:created>
  <dcterms:modified xsi:type="dcterms:W3CDTF">2016-01-14T22:11:00Z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