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46" w:rsidRDefault="00DA4646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1"/>
          <w:szCs w:val="21"/>
        </w:rPr>
      </w:pP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INSTITUTO FEDERAL DE TELECOMUNICACIONES</w:t>
      </w: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COORDINACIÓN GENERAL DE MEJORA REGULATORIA</w:t>
      </w:r>
    </w:p>
    <w:p w:rsidR="00DD32EB" w:rsidRPr="00C84965" w:rsidRDefault="003B57CD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IFT/211/CGMR/</w:t>
      </w:r>
      <w:r w:rsidR="00DA4646">
        <w:rPr>
          <w:rFonts w:ascii="ITC Avant Garde Std Bk" w:hAnsi="ITC Avant Garde Std Bk"/>
          <w:b/>
          <w:bCs/>
          <w:color w:val="000000"/>
          <w:sz w:val="21"/>
          <w:szCs w:val="21"/>
        </w:rPr>
        <w:t>144</w:t>
      </w:r>
      <w:r w:rsidR="00DD32EB"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/2015</w:t>
      </w:r>
    </w:p>
    <w:p w:rsidR="00AA4B7C" w:rsidRPr="00C84965" w:rsidRDefault="00AA4B7C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1"/>
          <w:szCs w:val="21"/>
        </w:rPr>
      </w:pP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Cs/>
          <w:color w:val="000000"/>
          <w:sz w:val="21"/>
          <w:szCs w:val="21"/>
        </w:rPr>
        <w:t xml:space="preserve">México, Distrito Federal, a </w:t>
      </w:r>
      <w:r w:rsidR="00DA4646">
        <w:rPr>
          <w:rFonts w:ascii="ITC Avant Garde Std Bk" w:hAnsi="ITC Avant Garde Std Bk"/>
          <w:bCs/>
          <w:color w:val="000000"/>
          <w:sz w:val="21"/>
          <w:szCs w:val="21"/>
        </w:rPr>
        <w:t>11</w:t>
      </w:r>
      <w:r w:rsidRPr="00C84965">
        <w:rPr>
          <w:rFonts w:ascii="ITC Avant Garde Std Bk" w:hAnsi="ITC Avant Garde Std Bk"/>
          <w:bCs/>
          <w:color w:val="000000"/>
          <w:sz w:val="21"/>
          <w:szCs w:val="21"/>
        </w:rPr>
        <w:t xml:space="preserve"> de </w:t>
      </w:r>
      <w:r w:rsidR="00D409CE" w:rsidRPr="00C84965">
        <w:rPr>
          <w:rFonts w:ascii="ITC Avant Garde Std Bk" w:hAnsi="ITC Avant Garde Std Bk"/>
          <w:bCs/>
          <w:color w:val="000000"/>
          <w:sz w:val="21"/>
          <w:szCs w:val="21"/>
        </w:rPr>
        <w:t>noviembre</w:t>
      </w:r>
      <w:r w:rsidRPr="00C84965">
        <w:rPr>
          <w:rFonts w:ascii="ITC Avant Garde Std Bk" w:hAnsi="ITC Avant Garde Std Bk"/>
          <w:bCs/>
          <w:color w:val="000000"/>
          <w:sz w:val="21"/>
          <w:szCs w:val="21"/>
        </w:rPr>
        <w:t xml:space="preserve"> de 2015</w:t>
      </w:r>
      <w:r w:rsidR="00BF5EFD" w:rsidRPr="00C84965">
        <w:rPr>
          <w:rFonts w:ascii="ITC Avant Garde Std Bk" w:hAnsi="ITC Avant Garde Std Bk"/>
          <w:bCs/>
          <w:color w:val="000000"/>
          <w:sz w:val="21"/>
          <w:szCs w:val="21"/>
        </w:rPr>
        <w:t>.</w:t>
      </w:r>
    </w:p>
    <w:p w:rsidR="00CD391B" w:rsidRPr="00C84965" w:rsidRDefault="00CD391B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</w:p>
    <w:p w:rsidR="00DA4646" w:rsidRDefault="00DA4646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</w:p>
    <w:p w:rsidR="00DD32EB" w:rsidRPr="00C84965" w:rsidRDefault="00574806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>
        <w:rPr>
          <w:rFonts w:ascii="ITC Avant Garde Std Bk" w:hAnsi="ITC Avant Garde Std Bk"/>
          <w:b/>
          <w:bCs/>
          <w:color w:val="000000"/>
          <w:sz w:val="21"/>
          <w:szCs w:val="21"/>
        </w:rPr>
        <w:t>VÍ</w:t>
      </w: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 xml:space="preserve">CTOR </w:t>
      </w:r>
      <w:r w:rsidR="00AA4B7C"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MANUEL RODRÍGUEZ HILARIO</w:t>
      </w:r>
    </w:p>
    <w:p w:rsidR="00AA4B7C" w:rsidRPr="00C84965" w:rsidRDefault="00AA4B7C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 xml:space="preserve">DIRECTOR GENERAL DE </w:t>
      </w:r>
      <w:r w:rsidRPr="00C84965">
        <w:rPr>
          <w:rFonts w:ascii="ITC Avant Garde Std Bk" w:hAnsi="ITC Avant Garde Std Bk"/>
          <w:b/>
          <w:bCs/>
          <w:sz w:val="21"/>
          <w:szCs w:val="21"/>
        </w:rPr>
        <w:t>DESARROLLO</w:t>
      </w:r>
      <w:r w:rsidR="00C84965">
        <w:rPr>
          <w:rFonts w:ascii="ITC Avant Garde Std Bk" w:hAnsi="ITC Avant Garde Std Bk"/>
          <w:b/>
          <w:bCs/>
          <w:sz w:val="21"/>
          <w:szCs w:val="21"/>
        </w:rPr>
        <w:t xml:space="preserve"> DE LAS TELECOMUNICACIONES Y LA </w:t>
      </w:r>
      <w:r w:rsidRPr="00C84965">
        <w:rPr>
          <w:rFonts w:ascii="ITC Avant Garde Std Bk" w:hAnsi="ITC Avant Garde Std Bk"/>
          <w:b/>
          <w:bCs/>
          <w:sz w:val="21"/>
          <w:szCs w:val="21"/>
        </w:rPr>
        <w:t>RADIODIFUSIÓN</w:t>
      </w: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>INSTITUTO FEDERAL DE TELECOMUNICACIONES</w:t>
      </w: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</w:rPr>
        <w:t xml:space="preserve">P R E S E N T E </w:t>
      </w:r>
    </w:p>
    <w:p w:rsidR="00500305" w:rsidRPr="00C84965" w:rsidRDefault="00500305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</w:rPr>
      </w:pPr>
    </w:p>
    <w:p w:rsidR="00CD391B" w:rsidRPr="00C84965" w:rsidRDefault="00384A88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Me refiero a su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oficio número IFT/221/UPR/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DG-</w:t>
      </w:r>
      <w:r>
        <w:rPr>
          <w:rFonts w:ascii="ITC Avant Garde Std Bk" w:hAnsi="ITC Avant Garde Std Bk"/>
          <w:bCs/>
          <w:sz w:val="21"/>
          <w:szCs w:val="21"/>
        </w:rPr>
        <w:t>DTR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/</w:t>
      </w:r>
      <w:r w:rsidR="00C84965">
        <w:rPr>
          <w:rFonts w:ascii="ITC Avant Garde Std Bk" w:hAnsi="ITC Avant Garde Std Bk"/>
          <w:bCs/>
          <w:sz w:val="21"/>
          <w:szCs w:val="21"/>
        </w:rPr>
        <w:t>179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/2015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707FAF" w:rsidRPr="00C84965">
        <w:rPr>
          <w:rFonts w:ascii="ITC Avant Garde Std Bk" w:hAnsi="ITC Avant Garde Std Bk"/>
          <w:bCs/>
          <w:sz w:val="21"/>
          <w:szCs w:val="21"/>
        </w:rPr>
        <w:t xml:space="preserve">de fecha </w:t>
      </w:r>
      <w:r w:rsidR="00C84965">
        <w:rPr>
          <w:rFonts w:ascii="ITC Avant Garde Std Bk" w:hAnsi="ITC Avant Garde Std Bk"/>
          <w:bCs/>
          <w:sz w:val="21"/>
          <w:szCs w:val="21"/>
        </w:rPr>
        <w:t xml:space="preserve">6 </w:t>
      </w:r>
      <w:r w:rsidR="00707FAF" w:rsidRPr="00C84965">
        <w:rPr>
          <w:rFonts w:ascii="ITC Avant Garde Std Bk" w:hAnsi="ITC Avant Garde Std Bk"/>
          <w:bCs/>
          <w:sz w:val="21"/>
          <w:szCs w:val="21"/>
        </w:rPr>
        <w:t xml:space="preserve">de </w:t>
      </w:r>
      <w:r w:rsidR="00D409CE" w:rsidRPr="00C84965">
        <w:rPr>
          <w:rFonts w:ascii="ITC Avant Garde Std Bk" w:hAnsi="ITC Avant Garde Std Bk"/>
          <w:bCs/>
          <w:sz w:val="21"/>
          <w:szCs w:val="21"/>
        </w:rPr>
        <w:t>noviembre</w:t>
      </w:r>
      <w:r w:rsidR="00707FAF" w:rsidRPr="00C84965">
        <w:rPr>
          <w:rFonts w:ascii="ITC Avant Garde Std Bk" w:hAnsi="ITC Avant Garde Std Bk"/>
          <w:bCs/>
          <w:sz w:val="21"/>
          <w:szCs w:val="21"/>
        </w:rPr>
        <w:t xml:space="preserve"> de 2015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 xml:space="preserve">, el cual fue 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recibido </w:t>
      </w:r>
      <w:r w:rsidR="00707FAF" w:rsidRPr="00C84965">
        <w:rPr>
          <w:rFonts w:ascii="ITC Avant Garde Std Bk" w:hAnsi="ITC Avant Garde Std Bk"/>
          <w:bCs/>
          <w:sz w:val="21"/>
          <w:szCs w:val="21"/>
        </w:rPr>
        <w:t>en esta Coordinación General de Mejora Regulatoria (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>en lo sucesivo, la “</w:t>
      </w:r>
      <w:r>
        <w:rPr>
          <w:rFonts w:ascii="ITC Avant Garde Std Bk" w:hAnsi="ITC Avant Garde Std Bk"/>
          <w:bCs/>
          <w:sz w:val="21"/>
          <w:szCs w:val="21"/>
        </w:rPr>
        <w:t>Coordinación General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>”</w:t>
      </w:r>
      <w:r w:rsidR="00707FAF" w:rsidRPr="00C84965">
        <w:rPr>
          <w:rFonts w:ascii="ITC Avant Garde Std Bk" w:hAnsi="ITC Avant Garde Std Bk"/>
          <w:bCs/>
          <w:sz w:val="21"/>
          <w:szCs w:val="21"/>
        </w:rPr>
        <w:t xml:space="preserve">) </w:t>
      </w:r>
      <w:r>
        <w:rPr>
          <w:rFonts w:ascii="ITC Avant Garde Std Bk" w:hAnsi="ITC Avant Garde Std Bk"/>
          <w:bCs/>
          <w:sz w:val="21"/>
          <w:szCs w:val="21"/>
        </w:rPr>
        <w:t>ese</w:t>
      </w:r>
      <w:r w:rsidR="009E0C72" w:rsidRPr="00C84965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C84965">
        <w:rPr>
          <w:rFonts w:ascii="ITC Avant Garde Std Bk" w:hAnsi="ITC Avant Garde Std Bk"/>
          <w:bCs/>
          <w:sz w:val="21"/>
          <w:szCs w:val="21"/>
        </w:rPr>
        <w:t xml:space="preserve">mismo </w:t>
      </w:r>
      <w:r w:rsidR="009E0C72" w:rsidRPr="00C84965">
        <w:rPr>
          <w:rFonts w:ascii="ITC Avant Garde Std Bk" w:hAnsi="ITC Avant Garde Std Bk"/>
          <w:bCs/>
          <w:sz w:val="21"/>
          <w:szCs w:val="21"/>
        </w:rPr>
        <w:t>día</w:t>
      </w:r>
      <w:r>
        <w:rPr>
          <w:rFonts w:ascii="ITC Avant Garde Std Bk" w:hAnsi="ITC Avant Garde Std Bk"/>
          <w:bCs/>
          <w:sz w:val="21"/>
          <w:szCs w:val="21"/>
        </w:rPr>
        <w:t>,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mediante el cual 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 xml:space="preserve">la Dirección General de </w:t>
      </w:r>
      <w:r w:rsidR="00AA4B7C" w:rsidRPr="00C84965">
        <w:rPr>
          <w:rFonts w:ascii="ITC Avant Garde Std Bk" w:hAnsi="ITC Avant Garde Std Bk"/>
          <w:bCs/>
          <w:sz w:val="21"/>
          <w:szCs w:val="21"/>
        </w:rPr>
        <w:t xml:space="preserve">Desarrollo de las Telecomunicaciones y la Radiodifusión </w:t>
      </w:r>
      <w:r w:rsidR="00574806">
        <w:rPr>
          <w:rFonts w:ascii="ITC Avant Garde Std Bk" w:hAnsi="ITC Avant Garde Std Bk"/>
          <w:bCs/>
          <w:sz w:val="21"/>
          <w:szCs w:val="21"/>
        </w:rPr>
        <w:t xml:space="preserve">perteneciente a 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la Unidad de Política Regulatoria (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>en lo sucesivo, la “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UPR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>”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) remite el anteproyecto de</w:t>
      </w:r>
      <w:r w:rsidR="00574806">
        <w:rPr>
          <w:rFonts w:ascii="ITC Avant Garde Std Bk" w:hAnsi="ITC Avant Garde Std Bk"/>
          <w:bCs/>
          <w:sz w:val="21"/>
          <w:szCs w:val="21"/>
        </w:rPr>
        <w:t>nominado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CD391B" w:rsidRPr="00384A88">
        <w:rPr>
          <w:rFonts w:ascii="ITC Avant Garde Std Bk" w:hAnsi="ITC Avant Garde Std Bk"/>
          <w:b/>
          <w:bCs/>
          <w:sz w:val="21"/>
          <w:szCs w:val="21"/>
        </w:rPr>
        <w:t>“</w:t>
      </w:r>
      <w:r w:rsidR="00AA4B7C" w:rsidRPr="00C84965">
        <w:rPr>
          <w:rFonts w:ascii="ITC Avant Garde Std Bk" w:hAnsi="ITC Avant Garde Std Bk"/>
          <w:b/>
          <w:bCs/>
          <w:sz w:val="21"/>
          <w:szCs w:val="21"/>
        </w:rPr>
        <w:t>Acuerdo mediante el cual el Pleno del Instituto Federal de Telecomunicaciones aprueba y emite los Lineamientos para la comercialización de servicios móviles por parte de Operadores Móviles Virtuales</w:t>
      </w:r>
      <w:r w:rsidR="00CD391B" w:rsidRPr="00384A88">
        <w:rPr>
          <w:rFonts w:ascii="ITC Avant Garde Std Bk" w:hAnsi="ITC Avant Garde Std Bk"/>
          <w:b/>
          <w:bCs/>
          <w:sz w:val="21"/>
          <w:szCs w:val="21"/>
        </w:rPr>
        <w:t>”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 xml:space="preserve"> (</w:t>
      </w:r>
      <w:r w:rsidR="0065774F" w:rsidRPr="00C84965">
        <w:rPr>
          <w:rFonts w:ascii="ITC Avant Garde Std Bk" w:hAnsi="ITC Avant Garde Std Bk"/>
          <w:bCs/>
          <w:sz w:val="21"/>
          <w:szCs w:val="21"/>
        </w:rPr>
        <w:t xml:space="preserve">en lo sucesivo, </w:t>
      </w:r>
      <w:r w:rsidR="00500305" w:rsidRPr="00C84965">
        <w:rPr>
          <w:rFonts w:ascii="ITC Avant Garde Std Bk" w:hAnsi="ITC Avant Garde Std Bk"/>
          <w:bCs/>
          <w:sz w:val="21"/>
          <w:szCs w:val="21"/>
        </w:rPr>
        <w:t xml:space="preserve">el </w:t>
      </w:r>
      <w:r w:rsidR="0065774F" w:rsidRPr="00C84965">
        <w:rPr>
          <w:rFonts w:ascii="ITC Avant Garde Std Bk" w:hAnsi="ITC Avant Garde Std Bk"/>
          <w:bCs/>
          <w:sz w:val="21"/>
          <w:szCs w:val="21"/>
        </w:rPr>
        <w:t>“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Anteproyecto</w:t>
      </w:r>
      <w:r w:rsidR="0065774F" w:rsidRPr="00C84965">
        <w:rPr>
          <w:rFonts w:ascii="ITC Avant Garde Std Bk" w:hAnsi="ITC Avant Garde Std Bk"/>
          <w:bCs/>
          <w:sz w:val="21"/>
          <w:szCs w:val="21"/>
        </w:rPr>
        <w:t>”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)</w:t>
      </w:r>
      <w:r w:rsidR="00500305" w:rsidRPr="00C84965">
        <w:rPr>
          <w:rFonts w:ascii="ITC Avant Garde Std Bk" w:hAnsi="ITC Avant Garde Std Bk"/>
          <w:bCs/>
          <w:sz w:val="21"/>
          <w:szCs w:val="21"/>
        </w:rPr>
        <w:t xml:space="preserve">, acompañado de </w:t>
      </w:r>
      <w:r>
        <w:rPr>
          <w:rFonts w:ascii="ITC Avant Garde Std Bk" w:hAnsi="ITC Avant Garde Std Bk"/>
          <w:bCs/>
          <w:sz w:val="21"/>
          <w:szCs w:val="21"/>
        </w:rPr>
        <w:t>su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 xml:space="preserve">respectivo 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Análisis de Impacto Regulatorio (</w:t>
      </w:r>
      <w:r>
        <w:rPr>
          <w:rFonts w:ascii="ITC Avant Garde Std Bk" w:hAnsi="ITC Avant Garde Std Bk"/>
          <w:bCs/>
          <w:sz w:val="21"/>
          <w:szCs w:val="21"/>
        </w:rPr>
        <w:t>en lo sucesivo, el “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AIR</w:t>
      </w:r>
      <w:r>
        <w:rPr>
          <w:rFonts w:ascii="ITC Avant Garde Std Bk" w:hAnsi="ITC Avant Garde Std Bk"/>
          <w:bCs/>
          <w:sz w:val="21"/>
          <w:szCs w:val="21"/>
        </w:rPr>
        <w:t>”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)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 xml:space="preserve"> a </w:t>
      </w:r>
      <w:r>
        <w:rPr>
          <w:rFonts w:ascii="ITC Avant Garde Std Bk" w:hAnsi="ITC Avant Garde Std Bk"/>
          <w:bCs/>
          <w:sz w:val="21"/>
          <w:szCs w:val="21"/>
        </w:rPr>
        <w:t>efecto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de dar cumplimiento a lo señalado en el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 xml:space="preserve"> artículo 51, segundo párrafo, de la Ley Federal de Telecomunicaciones y Radiodifusión (en lo sucesivo, la “LFTR”)</w:t>
      </w:r>
      <w:r w:rsidR="00CD391B" w:rsidRPr="00C84965">
        <w:rPr>
          <w:rFonts w:ascii="ITC Avant Garde Std Bk" w:hAnsi="ITC Avant Garde Std Bk"/>
          <w:bCs/>
          <w:sz w:val="21"/>
          <w:szCs w:val="21"/>
        </w:rPr>
        <w:t>.</w:t>
      </w:r>
    </w:p>
    <w:p w:rsidR="00194398" w:rsidRPr="00C84965" w:rsidRDefault="00194398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DD32EB" w:rsidRPr="00C84965" w:rsidRDefault="00BF5EFD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 w:rsidRPr="00C84965">
        <w:rPr>
          <w:rFonts w:ascii="ITC Avant Garde Std Bk" w:hAnsi="ITC Avant Garde Std Bk"/>
          <w:bCs/>
          <w:sz w:val="21"/>
          <w:szCs w:val="21"/>
        </w:rPr>
        <w:t xml:space="preserve">Al respecto, 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con fundamento en los artículos 51 de la </w:t>
      </w:r>
      <w:r w:rsidR="0038566B" w:rsidRPr="00C84965">
        <w:rPr>
          <w:rFonts w:ascii="ITC Avant Garde Std Bk" w:hAnsi="ITC Avant Garde Std Bk"/>
          <w:bCs/>
          <w:sz w:val="21"/>
          <w:szCs w:val="21"/>
        </w:rPr>
        <w:t>LFTR</w:t>
      </w:r>
      <w:r w:rsidR="00747ADE" w:rsidRPr="00C84965">
        <w:rPr>
          <w:rFonts w:ascii="ITC Avant Garde Std Bk" w:hAnsi="ITC Avant Garde Std Bk"/>
          <w:bCs/>
          <w:sz w:val="21"/>
          <w:szCs w:val="21"/>
        </w:rPr>
        <w:t>,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4, fracción VIII, inciso iv)</w:t>
      </w:r>
      <w:r w:rsidR="00384A88">
        <w:rPr>
          <w:rFonts w:ascii="ITC Avant Garde Std Bk" w:hAnsi="ITC Avant Garde Std Bk"/>
          <w:bCs/>
          <w:sz w:val="21"/>
          <w:szCs w:val="21"/>
        </w:rPr>
        <w:t>,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y 75, fracción II</w:t>
      </w:r>
      <w:r w:rsidR="00384A88">
        <w:rPr>
          <w:rFonts w:ascii="ITC Avant Garde Std Bk" w:hAnsi="ITC Avant Garde Std Bk"/>
          <w:bCs/>
          <w:sz w:val="21"/>
          <w:szCs w:val="21"/>
        </w:rPr>
        <w:t>,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del Estatuto Orgánico del Instituto Federal de Telecomunicaciones, </w:t>
      </w:r>
      <w:r w:rsidR="00384A88">
        <w:rPr>
          <w:rFonts w:ascii="ITC Avant Garde Std Bk" w:hAnsi="ITC Avant Garde Std Bk"/>
          <w:bCs/>
          <w:sz w:val="21"/>
          <w:szCs w:val="21"/>
        </w:rPr>
        <w:t>esta Coordinación General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 xml:space="preserve"> emite la presente </w:t>
      </w:r>
      <w:r w:rsidR="00DD32EB" w:rsidRPr="00C84965">
        <w:rPr>
          <w:rFonts w:ascii="ITC Avant Garde Std Bk" w:hAnsi="ITC Avant Garde Std Bk"/>
          <w:b/>
          <w:bCs/>
          <w:sz w:val="21"/>
          <w:szCs w:val="21"/>
        </w:rPr>
        <w:t>opinión no vinculante</w:t>
      </w:r>
      <w:r w:rsidR="009E0C72" w:rsidRPr="00C84965">
        <w:rPr>
          <w:rFonts w:ascii="ITC Avant Garde Std Bk" w:hAnsi="ITC Avant Garde Std Bk"/>
          <w:bCs/>
          <w:sz w:val="21"/>
          <w:szCs w:val="21"/>
        </w:rPr>
        <w:t xml:space="preserve"> sobre el A</w:t>
      </w:r>
      <w:r w:rsidR="00DD32EB" w:rsidRPr="00C84965">
        <w:rPr>
          <w:rFonts w:ascii="ITC Avant Garde Std Bk" w:hAnsi="ITC Avant Garde Std Bk"/>
          <w:bCs/>
          <w:sz w:val="21"/>
          <w:szCs w:val="21"/>
        </w:rPr>
        <w:t>IR del Anteproyecto:</w:t>
      </w:r>
    </w:p>
    <w:p w:rsidR="00120DBA" w:rsidRDefault="00120DBA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677A5F" w:rsidRDefault="00D92A41" w:rsidP="00C8707C">
      <w:pPr>
        <w:pStyle w:val="Default"/>
        <w:numPr>
          <w:ilvl w:val="0"/>
          <w:numId w:val="10"/>
        </w:numPr>
        <w:jc w:val="both"/>
        <w:rPr>
          <w:rFonts w:ascii="ITC Avant Garde Std Bk" w:hAnsi="ITC Avant Garde Std Bk"/>
          <w:bCs/>
          <w:sz w:val="21"/>
          <w:szCs w:val="21"/>
        </w:rPr>
      </w:pPr>
      <w:r w:rsidRPr="00C84965">
        <w:rPr>
          <w:rFonts w:ascii="ITC Avant Garde Std Bk" w:hAnsi="ITC Avant Garde Std Bk"/>
          <w:bCs/>
          <w:sz w:val="21"/>
          <w:szCs w:val="21"/>
        </w:rPr>
        <w:t>En el numeral 13</w:t>
      </w:r>
      <w:r w:rsidR="00C84965">
        <w:rPr>
          <w:rFonts w:ascii="ITC Avant Garde Std Bk" w:hAnsi="ITC Avant Garde Std Bk"/>
          <w:bCs/>
          <w:sz w:val="21"/>
          <w:szCs w:val="21"/>
        </w:rPr>
        <w:t xml:space="preserve"> del AIR</w:t>
      </w:r>
      <w:r w:rsidRPr="00C84965"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E11B6D" w:rsidRPr="00C84965">
        <w:rPr>
          <w:rFonts w:ascii="ITC Avant Garde Std Bk" w:hAnsi="ITC Avant Garde Std Bk"/>
          <w:bCs/>
          <w:sz w:val="21"/>
          <w:szCs w:val="21"/>
        </w:rPr>
        <w:t xml:space="preserve">referente a </w:t>
      </w:r>
      <w:r w:rsidRPr="00C84965">
        <w:rPr>
          <w:rFonts w:ascii="ITC Avant Garde Std Bk" w:hAnsi="ITC Avant Garde Std Bk"/>
          <w:bCs/>
          <w:sz w:val="21"/>
          <w:szCs w:val="21"/>
        </w:rPr>
        <w:t>la estimación de los costos en los que podría incurrir cada particular, grupo de particulares o industria en ra</w:t>
      </w:r>
      <w:r w:rsidR="00EE2169">
        <w:rPr>
          <w:rFonts w:ascii="ITC Avant Garde Std Bk" w:hAnsi="ITC Avant Garde Std Bk"/>
          <w:bCs/>
          <w:sz w:val="21"/>
          <w:szCs w:val="21"/>
        </w:rPr>
        <w:t xml:space="preserve">zón de la entrada en vigor del </w:t>
      </w:r>
      <w:r w:rsidR="001C47C0">
        <w:rPr>
          <w:rFonts w:ascii="ITC Avant Garde Std Bk" w:hAnsi="ITC Avant Garde Std Bk"/>
          <w:bCs/>
          <w:sz w:val="21"/>
          <w:szCs w:val="21"/>
        </w:rPr>
        <w:t>A</w:t>
      </w:r>
      <w:r w:rsidRPr="00C84965">
        <w:rPr>
          <w:rFonts w:ascii="ITC Avant Garde Std Bk" w:hAnsi="ITC Avant Garde Std Bk"/>
          <w:bCs/>
          <w:sz w:val="21"/>
          <w:szCs w:val="21"/>
        </w:rPr>
        <w:t>nteproyecto, se observa</w:t>
      </w:r>
      <w:r w:rsidR="001C47C0">
        <w:rPr>
          <w:rFonts w:ascii="ITC Avant Garde Std Bk" w:hAnsi="ITC Avant Garde Std Bk"/>
          <w:bCs/>
          <w:sz w:val="21"/>
          <w:szCs w:val="21"/>
        </w:rPr>
        <w:t xml:space="preserve"> que</w:t>
      </w:r>
      <w:r w:rsidRPr="00C84965">
        <w:rPr>
          <w:rFonts w:ascii="ITC Avant Garde Std Bk" w:hAnsi="ITC Avant Garde Std Bk"/>
          <w:bCs/>
          <w:sz w:val="21"/>
          <w:szCs w:val="21"/>
        </w:rPr>
        <w:t>:</w:t>
      </w:r>
    </w:p>
    <w:p w:rsidR="00677A5F" w:rsidRDefault="00677A5F" w:rsidP="00C8707C">
      <w:pPr>
        <w:pStyle w:val="Default"/>
        <w:ind w:left="36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1C47C0" w:rsidRDefault="001C47C0" w:rsidP="00C8707C">
      <w:pPr>
        <w:pStyle w:val="Default"/>
        <w:numPr>
          <w:ilvl w:val="0"/>
          <w:numId w:val="12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En lo tocante a</w:t>
      </w:r>
      <w:r w:rsidR="00B36F35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la proyección </w:t>
      </w:r>
      <w:r>
        <w:rPr>
          <w:rFonts w:ascii="ITC Avant Garde Std Bk" w:hAnsi="ITC Avant Garde Std Bk"/>
          <w:bCs/>
          <w:sz w:val="21"/>
          <w:szCs w:val="21"/>
        </w:rPr>
        <w:t>que realizó la UPR sobre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 la cuota de mercado de Operado</w:t>
      </w:r>
      <w:r w:rsidR="00B36F35">
        <w:rPr>
          <w:rFonts w:ascii="ITC Avant Garde Std Bk" w:hAnsi="ITC Avant Garde Std Bk"/>
          <w:bCs/>
          <w:sz w:val="21"/>
          <w:szCs w:val="21"/>
        </w:rPr>
        <w:t>res Móviles Virtuales en México</w:t>
      </w:r>
      <w:r w:rsidR="00DD1CCC">
        <w:rPr>
          <w:rFonts w:ascii="ITC Avant Garde Std Bk" w:hAnsi="ITC Avant Garde Std Bk"/>
          <w:bCs/>
          <w:sz w:val="21"/>
          <w:szCs w:val="21"/>
        </w:rPr>
        <w:t xml:space="preserve"> y</w:t>
      </w:r>
      <w:r>
        <w:rPr>
          <w:rFonts w:ascii="ITC Avant Garde Std Bk" w:hAnsi="ITC Avant Garde Std Bk"/>
          <w:bCs/>
          <w:sz w:val="21"/>
          <w:szCs w:val="21"/>
        </w:rPr>
        <w:t xml:space="preserve"> para la determinación del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 número </w:t>
      </w:r>
      <w:r w:rsidR="00B36F35">
        <w:rPr>
          <w:rFonts w:ascii="ITC Avant Garde Std Bk" w:hAnsi="ITC Avant Garde Std Bk"/>
          <w:bCs/>
          <w:sz w:val="21"/>
          <w:szCs w:val="21"/>
        </w:rPr>
        <w:t>de suscriptores,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 xml:space="preserve">esa unidad administrativa </w:t>
      </w:r>
      <w:r w:rsidR="00652C2A">
        <w:rPr>
          <w:rFonts w:ascii="ITC Avant Garde Std Bk" w:hAnsi="ITC Avant Garde Std Bk"/>
          <w:bCs/>
          <w:sz w:val="21"/>
          <w:szCs w:val="21"/>
        </w:rPr>
        <w:t xml:space="preserve">indicó las cuotas de mercado, en el periodo 2015 a 2023, de la oferta mayorista de la Red Pública Compartida de Telecomunicaciones, y 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>calculó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 una tasa de crecimiento anual compuesta</w:t>
      </w:r>
      <w:r w:rsidR="00652C2A">
        <w:rPr>
          <w:rFonts w:ascii="ITC Avant Garde Std Bk" w:hAnsi="ITC Avant Garde Std Bk"/>
          <w:bCs/>
          <w:sz w:val="21"/>
          <w:szCs w:val="21"/>
        </w:rPr>
        <w:t xml:space="preserve"> para la oferta mayorista independiente de dicha Red</w:t>
      </w:r>
      <w:r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677A5F">
        <w:rPr>
          <w:rFonts w:ascii="ITC Avant Garde Std Bk" w:hAnsi="ITC Avant Garde Std Bk"/>
          <w:bCs/>
          <w:sz w:val="21"/>
          <w:szCs w:val="21"/>
        </w:rPr>
        <w:t xml:space="preserve">correspondiente al 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>36 por ciento para un periodo de 8 años</w:t>
      </w:r>
      <w:r>
        <w:rPr>
          <w:rFonts w:ascii="ITC Avant Garde Std Bk" w:hAnsi="ITC Avant Garde Std Bk"/>
          <w:bCs/>
          <w:sz w:val="21"/>
          <w:szCs w:val="21"/>
        </w:rPr>
        <w:t>,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misma que</w:t>
      </w:r>
      <w:r w:rsidR="00574806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determinó</w:t>
      </w:r>
      <w:r w:rsidR="00677A5F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a partir de 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 xml:space="preserve">la información contenida en </w:t>
      </w:r>
      <w:r>
        <w:rPr>
          <w:rFonts w:ascii="ITC Avant Garde Std Bk" w:hAnsi="ITC Avant Garde Std Bk"/>
          <w:bCs/>
          <w:sz w:val="21"/>
          <w:szCs w:val="21"/>
        </w:rPr>
        <w:t xml:space="preserve">los tres últimos 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>Informe</w:t>
      </w:r>
      <w:r>
        <w:rPr>
          <w:rFonts w:ascii="ITC Avant Garde Std Bk" w:hAnsi="ITC Avant Garde Std Bk"/>
          <w:bCs/>
          <w:sz w:val="21"/>
          <w:szCs w:val="21"/>
        </w:rPr>
        <w:t>s</w:t>
      </w:r>
      <w:r w:rsidR="00B36F35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Trimestrales E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>stadístico</w:t>
      </w:r>
      <w:r>
        <w:rPr>
          <w:rFonts w:ascii="ITC Avant Garde Std Bk" w:hAnsi="ITC Avant Garde Std Bk"/>
          <w:bCs/>
          <w:sz w:val="21"/>
          <w:szCs w:val="21"/>
        </w:rPr>
        <w:t>s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677A5F">
        <w:rPr>
          <w:rFonts w:ascii="ITC Avant Garde Std Bk" w:hAnsi="ITC Avant Garde Std Bk"/>
          <w:bCs/>
          <w:sz w:val="21"/>
          <w:szCs w:val="21"/>
        </w:rPr>
        <w:t xml:space="preserve">del </w:t>
      </w:r>
      <w:r w:rsidR="00EE2169" w:rsidRPr="00677A5F">
        <w:rPr>
          <w:rFonts w:ascii="ITC Avant Garde Std Bk" w:hAnsi="ITC Avant Garde Std Bk"/>
          <w:bCs/>
          <w:sz w:val="21"/>
          <w:szCs w:val="21"/>
        </w:rPr>
        <w:t>Instituto Federal de Telecomunicaciones</w:t>
      </w:r>
      <w:r w:rsidR="001A7E02">
        <w:rPr>
          <w:rFonts w:ascii="ITC Avant Garde Std Bk" w:hAnsi="ITC Avant Garde Std Bk"/>
          <w:bCs/>
          <w:sz w:val="21"/>
          <w:szCs w:val="21"/>
        </w:rPr>
        <w:t xml:space="preserve"> (en lo sucesivo, el “Instituto”)</w:t>
      </w:r>
      <w:r w:rsidR="00DD1CCC">
        <w:rPr>
          <w:rFonts w:ascii="ITC Avant Garde Std Bk" w:hAnsi="ITC Avant Garde Std Bk"/>
          <w:bCs/>
          <w:sz w:val="21"/>
          <w:szCs w:val="21"/>
        </w:rPr>
        <w:t>. A este respecto,</w:t>
      </w:r>
      <w:r>
        <w:rPr>
          <w:rFonts w:ascii="ITC Avant Garde Std Bk" w:hAnsi="ITC Avant Garde Std Bk"/>
          <w:bCs/>
          <w:sz w:val="21"/>
          <w:szCs w:val="21"/>
        </w:rPr>
        <w:t xml:space="preserve">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>
        <w:rPr>
          <w:rFonts w:ascii="ITC Avant Garde Std Bk" w:hAnsi="ITC Avant Garde Std Bk"/>
          <w:bCs/>
          <w:sz w:val="21"/>
          <w:szCs w:val="21"/>
        </w:rPr>
        <w:t xml:space="preserve">Coordinación General recomienda a la UPR </w:t>
      </w:r>
      <w:r w:rsidRPr="00B36F35">
        <w:rPr>
          <w:rFonts w:ascii="ITC Avant Garde Std Bk" w:hAnsi="ITC Avant Garde Std Bk"/>
          <w:bCs/>
          <w:sz w:val="21"/>
          <w:szCs w:val="21"/>
        </w:rPr>
        <w:t xml:space="preserve">incluir en </w:t>
      </w:r>
      <w:r>
        <w:rPr>
          <w:rFonts w:ascii="ITC Avant Garde Std Bk" w:hAnsi="ITC Avant Garde Std Bk"/>
          <w:bCs/>
          <w:sz w:val="21"/>
          <w:szCs w:val="21"/>
        </w:rPr>
        <w:t>dicho apartado del</w:t>
      </w:r>
      <w:r w:rsidRPr="00B36F35">
        <w:rPr>
          <w:rFonts w:ascii="ITC Avant Garde Std Bk" w:hAnsi="ITC Avant Garde Std Bk"/>
          <w:bCs/>
          <w:sz w:val="21"/>
          <w:szCs w:val="21"/>
        </w:rPr>
        <w:t xml:space="preserve"> AIR</w:t>
      </w:r>
      <w:r w:rsidR="00DD1CCC">
        <w:rPr>
          <w:rFonts w:ascii="ITC Avant Garde Std Bk" w:hAnsi="ITC Avant Garde Std Bk"/>
          <w:bCs/>
          <w:sz w:val="21"/>
          <w:szCs w:val="21"/>
        </w:rPr>
        <w:t>,</w:t>
      </w:r>
      <w:r w:rsidRPr="00B36F35">
        <w:rPr>
          <w:rFonts w:ascii="ITC Avant Garde Std Bk" w:hAnsi="ITC Avant Garde Std Bk"/>
          <w:bCs/>
          <w:sz w:val="21"/>
          <w:szCs w:val="21"/>
        </w:rPr>
        <w:t xml:space="preserve"> el método de cálculo </w:t>
      </w:r>
      <w:r w:rsidRPr="00B36F35">
        <w:rPr>
          <w:rFonts w:ascii="ITC Avant Garde Std Bk" w:hAnsi="ITC Avant Garde Std Bk"/>
          <w:bCs/>
          <w:sz w:val="21"/>
          <w:szCs w:val="21"/>
        </w:rPr>
        <w:lastRenderedPageBreak/>
        <w:t xml:space="preserve">ocupado para </w:t>
      </w:r>
      <w:r>
        <w:rPr>
          <w:rFonts w:ascii="ITC Avant Garde Std Bk" w:hAnsi="ITC Avant Garde Std Bk"/>
          <w:bCs/>
          <w:sz w:val="21"/>
          <w:szCs w:val="21"/>
        </w:rPr>
        <w:t>la determinación de</w:t>
      </w:r>
      <w:r w:rsidRPr="00B36F35">
        <w:rPr>
          <w:rFonts w:ascii="ITC Avant Garde Std Bk" w:hAnsi="ITC Avant Garde Std Bk"/>
          <w:bCs/>
          <w:sz w:val="21"/>
          <w:szCs w:val="21"/>
        </w:rPr>
        <w:t xml:space="preserve"> dicha tasa</w:t>
      </w:r>
      <w:r>
        <w:rPr>
          <w:rFonts w:ascii="ITC Avant Garde Std Bk" w:hAnsi="ITC Avant Garde Std Bk"/>
          <w:bCs/>
          <w:sz w:val="21"/>
          <w:szCs w:val="21"/>
        </w:rPr>
        <w:t>,</w:t>
      </w:r>
      <w:r w:rsidRPr="00B36F35">
        <w:rPr>
          <w:rFonts w:ascii="ITC Avant Garde Std Bk" w:hAnsi="ITC Avant Garde Std Bk"/>
          <w:bCs/>
          <w:sz w:val="21"/>
          <w:szCs w:val="21"/>
        </w:rPr>
        <w:t xml:space="preserve"> así como el conjunto de valores</w:t>
      </w:r>
      <w:r>
        <w:rPr>
          <w:rFonts w:ascii="ITC Avant Garde Std Bk" w:hAnsi="ITC Avant Garde Std Bk"/>
          <w:bCs/>
          <w:sz w:val="21"/>
          <w:szCs w:val="21"/>
        </w:rPr>
        <w:t xml:space="preserve"> empleados. Con lo anterior,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>
        <w:rPr>
          <w:rFonts w:ascii="ITC Avant Garde Std Bk" w:hAnsi="ITC Avant Garde Std Bk"/>
          <w:bCs/>
          <w:sz w:val="21"/>
          <w:szCs w:val="21"/>
        </w:rPr>
        <w:t xml:space="preserve">Coordinación General considera que se podría complementar el ejercicio realizado por la UPR en la determinación de los posibles costos que se </w:t>
      </w:r>
      <w:r w:rsidR="00DD1CCC">
        <w:rPr>
          <w:rFonts w:ascii="ITC Avant Garde Std Bk" w:hAnsi="ITC Avant Garde Std Bk"/>
          <w:bCs/>
          <w:sz w:val="21"/>
          <w:szCs w:val="21"/>
        </w:rPr>
        <w:t>generará</w:t>
      </w:r>
      <w:r>
        <w:rPr>
          <w:rFonts w:ascii="ITC Avant Garde Std Bk" w:hAnsi="ITC Avant Garde Std Bk"/>
          <w:bCs/>
          <w:sz w:val="21"/>
          <w:szCs w:val="21"/>
        </w:rPr>
        <w:t>n a razón de la entrada en vigor del Anteproyecto.</w:t>
      </w:r>
    </w:p>
    <w:p w:rsidR="00994B79" w:rsidRPr="00994B79" w:rsidRDefault="00994B79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994B79" w:rsidRDefault="001C47C0" w:rsidP="00C8707C">
      <w:pPr>
        <w:pStyle w:val="Default"/>
        <w:numPr>
          <w:ilvl w:val="0"/>
          <w:numId w:val="12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A propósito de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9B3890">
        <w:rPr>
          <w:rFonts w:ascii="ITC Avant Garde Std Bk" w:hAnsi="ITC Avant Garde Std Bk"/>
          <w:bCs/>
          <w:sz w:val="21"/>
          <w:szCs w:val="21"/>
        </w:rPr>
        <w:t>la estimación realizada por la UPR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9B3890">
        <w:rPr>
          <w:rFonts w:ascii="ITC Avant Garde Std Bk" w:hAnsi="ITC Avant Garde Std Bk"/>
          <w:bCs/>
          <w:sz w:val="21"/>
          <w:szCs w:val="21"/>
        </w:rPr>
        <w:t>con relación al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número de Operadores Móviles Virtuales en el mercado mexicano,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>
        <w:rPr>
          <w:rFonts w:ascii="ITC Avant Garde Std Bk" w:hAnsi="ITC Avant Garde Std Bk"/>
          <w:bCs/>
          <w:sz w:val="21"/>
          <w:szCs w:val="21"/>
        </w:rPr>
        <w:t xml:space="preserve">Coordinación General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recomienda a </w:t>
      </w:r>
      <w:r w:rsidR="009B3890">
        <w:rPr>
          <w:rFonts w:ascii="ITC Avant Garde Std Bk" w:hAnsi="ITC Avant Garde Std Bk"/>
          <w:bCs/>
          <w:sz w:val="21"/>
          <w:szCs w:val="21"/>
        </w:rPr>
        <w:t>esa unidad administrativa valorar la pertinencia de emplear</w:t>
      </w:r>
      <w:r w:rsidR="00DA4646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el mismo número de operadores activos </w:t>
      </w:r>
      <w:r w:rsidR="00B36F35">
        <w:rPr>
          <w:rFonts w:ascii="ITC Avant Garde Std Bk" w:hAnsi="ITC Avant Garde Std Bk"/>
          <w:bCs/>
          <w:sz w:val="21"/>
          <w:szCs w:val="21"/>
        </w:rPr>
        <w:t xml:space="preserve">usado </w:t>
      </w:r>
      <w:r w:rsidR="009B3890">
        <w:rPr>
          <w:rFonts w:ascii="ITC Avant Garde Std Bk" w:hAnsi="ITC Avant Garde Std Bk"/>
          <w:bCs/>
          <w:sz w:val="21"/>
          <w:szCs w:val="21"/>
        </w:rPr>
        <w:t>en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la pr</w:t>
      </w:r>
      <w:r w:rsidR="00DA4646">
        <w:rPr>
          <w:rFonts w:ascii="ITC Avant Garde Std Bk" w:hAnsi="ITC Avant Garde Std Bk"/>
          <w:bCs/>
          <w:sz w:val="21"/>
          <w:szCs w:val="21"/>
        </w:rPr>
        <w:t>oyección de la cuota de mercado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B36F35">
        <w:rPr>
          <w:rFonts w:ascii="ITC Avant Garde Std Bk" w:hAnsi="ITC Avant Garde Std Bk"/>
          <w:bCs/>
          <w:sz w:val="21"/>
          <w:szCs w:val="21"/>
        </w:rPr>
        <w:t>(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i.e. </w:t>
      </w:r>
      <w:r w:rsidR="004B55E5" w:rsidRPr="00994B79">
        <w:rPr>
          <w:rFonts w:ascii="ITC Avant Garde Std Bk" w:hAnsi="ITC Avant Garde Std Bk"/>
          <w:bCs/>
          <w:sz w:val="21"/>
          <w:szCs w:val="21"/>
        </w:rPr>
        <w:t>4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 operadores</w:t>
      </w:r>
      <w:r w:rsidR="004B55E5" w:rsidRPr="00994B79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>para el año 2015</w:t>
      </w:r>
      <w:r w:rsidR="00B36F35">
        <w:rPr>
          <w:rFonts w:ascii="ITC Avant Garde Std Bk" w:hAnsi="ITC Avant Garde Std Bk"/>
          <w:bCs/>
          <w:sz w:val="21"/>
          <w:szCs w:val="21"/>
        </w:rPr>
        <w:t>)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de acuerdo con el Segundo Informe Trimestral Estadístico 2015 del </w:t>
      </w:r>
      <w:r w:rsidR="00A633D8">
        <w:rPr>
          <w:rFonts w:ascii="ITC Avant Garde Std Bk" w:hAnsi="ITC Avant Garde Std Bk"/>
          <w:bCs/>
          <w:sz w:val="21"/>
          <w:szCs w:val="21"/>
        </w:rPr>
        <w:t>Instituto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>.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 De hacerlo, se considera que se </w:t>
      </w:r>
      <w:r w:rsidR="00BA2AE9">
        <w:rPr>
          <w:rFonts w:ascii="ITC Avant Garde Std Bk" w:hAnsi="ITC Avant Garde Std Bk"/>
          <w:bCs/>
          <w:sz w:val="21"/>
          <w:szCs w:val="21"/>
        </w:rPr>
        <w:t>podría dotar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 de mayor consistencia y comparabilidad a la información ahí prevista.</w:t>
      </w:r>
    </w:p>
    <w:p w:rsidR="00994B79" w:rsidRDefault="00994B79" w:rsidP="00C8707C">
      <w:pPr>
        <w:pStyle w:val="Default"/>
        <w:ind w:left="72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D92A41" w:rsidRPr="00994B79" w:rsidRDefault="00A633D8" w:rsidP="00C8707C">
      <w:pPr>
        <w:pStyle w:val="Default"/>
        <w:ind w:left="720"/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Asimismo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, </w:t>
      </w:r>
      <w:r>
        <w:rPr>
          <w:rFonts w:ascii="ITC Avant Garde Std Bk" w:hAnsi="ITC Avant Garde Std Bk"/>
          <w:bCs/>
          <w:sz w:val="21"/>
          <w:szCs w:val="21"/>
        </w:rPr>
        <w:t xml:space="preserve">en dicho apartado del AIR también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se observa que </w:t>
      </w:r>
      <w:r w:rsidR="00DA4646">
        <w:rPr>
          <w:rFonts w:ascii="ITC Avant Garde Std Bk" w:hAnsi="ITC Avant Garde Std Bk"/>
          <w:bCs/>
          <w:sz w:val="21"/>
          <w:szCs w:val="21"/>
        </w:rPr>
        <w:t xml:space="preserve">la UPR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estimó una tasa </w:t>
      </w:r>
      <w:r>
        <w:rPr>
          <w:rFonts w:ascii="ITC Avant Garde Std Bk" w:hAnsi="ITC Avant Garde Std Bk"/>
          <w:bCs/>
          <w:sz w:val="21"/>
          <w:szCs w:val="21"/>
        </w:rPr>
        <w:t xml:space="preserve">anual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de crecimiento de los Operadores Móviles Virtuales </w:t>
      </w:r>
      <w:r>
        <w:rPr>
          <w:rFonts w:ascii="ITC Avant Garde Std Bk" w:hAnsi="ITC Avant Garde Std Bk"/>
          <w:bCs/>
          <w:sz w:val="21"/>
          <w:szCs w:val="21"/>
        </w:rPr>
        <w:t xml:space="preserve">en México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>de</w:t>
      </w:r>
      <w:r>
        <w:rPr>
          <w:rFonts w:ascii="ITC Avant Garde Std Bk" w:hAnsi="ITC Avant Garde Std Bk"/>
          <w:bCs/>
          <w:sz w:val="21"/>
          <w:szCs w:val="21"/>
        </w:rPr>
        <w:t>l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36 por ciento, lo cual </w:t>
      </w:r>
      <w:r>
        <w:rPr>
          <w:rFonts w:ascii="ITC Avant Garde Std Bk" w:hAnsi="ITC Avant Garde Std Bk"/>
          <w:bCs/>
          <w:sz w:val="21"/>
          <w:szCs w:val="21"/>
        </w:rPr>
        <w:t>pareciera diferir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con el contexto descrito de 5 operadores potenciales </w:t>
      </w:r>
      <w:r>
        <w:rPr>
          <w:rFonts w:ascii="ITC Avant Garde Std Bk" w:hAnsi="ITC Avant Garde Std Bk"/>
          <w:bCs/>
          <w:sz w:val="21"/>
          <w:szCs w:val="21"/>
        </w:rPr>
        <w:t>a ingresar en el mercado mexicano, en el corto plazo, a partir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del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</w:t>
      </w:r>
      <w:r>
        <w:rPr>
          <w:rFonts w:ascii="ITC Avant Garde Std Bk" w:hAnsi="ITC Avant Garde Std Bk"/>
          <w:bCs/>
          <w:sz w:val="21"/>
          <w:szCs w:val="21"/>
        </w:rPr>
        <w:t>total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 de </w:t>
      </w:r>
      <w:r>
        <w:rPr>
          <w:rFonts w:ascii="ITC Avant Garde Std Bk" w:hAnsi="ITC Avant Garde Std Bk"/>
          <w:bCs/>
          <w:sz w:val="21"/>
          <w:szCs w:val="21"/>
        </w:rPr>
        <w:t xml:space="preserve">los 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 xml:space="preserve">7 operadores activos </w:t>
      </w:r>
      <w:r>
        <w:rPr>
          <w:rFonts w:ascii="ITC Avant Garde Std Bk" w:hAnsi="ITC Avant Garde Std Bk"/>
          <w:bCs/>
          <w:sz w:val="21"/>
          <w:szCs w:val="21"/>
        </w:rPr>
        <w:t xml:space="preserve">ahí señalados </w:t>
      </w:r>
      <w:r w:rsidRPr="00994B79">
        <w:rPr>
          <w:rFonts w:ascii="ITC Avant Garde Std Bk" w:hAnsi="ITC Avant Garde Std Bk"/>
          <w:bCs/>
          <w:sz w:val="21"/>
          <w:szCs w:val="21"/>
        </w:rPr>
        <w:t>(</w:t>
      </w:r>
      <w:r>
        <w:rPr>
          <w:rFonts w:ascii="ITC Avant Garde Std Bk" w:hAnsi="ITC Avant Garde Std Bk"/>
          <w:bCs/>
          <w:sz w:val="21"/>
          <w:szCs w:val="21"/>
        </w:rPr>
        <w:t xml:space="preserve">i.e. el </w:t>
      </w:r>
      <w:r w:rsidRPr="00994B79">
        <w:rPr>
          <w:rFonts w:ascii="ITC Avant Garde Std Bk" w:hAnsi="ITC Avant Garde Std Bk"/>
          <w:bCs/>
          <w:sz w:val="21"/>
          <w:szCs w:val="21"/>
        </w:rPr>
        <w:t>71 por ciento)</w:t>
      </w:r>
      <w:r w:rsidR="00D92A41" w:rsidRPr="00994B79">
        <w:rPr>
          <w:rFonts w:ascii="ITC Avant Garde Std Bk" w:hAnsi="ITC Avant Garde Std Bk"/>
          <w:bCs/>
          <w:sz w:val="21"/>
          <w:szCs w:val="21"/>
        </w:rPr>
        <w:t>.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 En esta lógica, se </w:t>
      </w:r>
      <w:r>
        <w:rPr>
          <w:rFonts w:ascii="ITC Avant Garde Std Bk" w:hAnsi="ITC Avant Garde Std Bk"/>
          <w:bCs/>
          <w:sz w:val="21"/>
          <w:szCs w:val="21"/>
        </w:rPr>
        <w:t xml:space="preserve">le sugiere a la UPR analizar y valorar lo antes expuesto y, en caso de considerarlo procedente, 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homologar el número de Operadores Móviles Virtuales captado </w:t>
      </w:r>
      <w:r>
        <w:rPr>
          <w:rFonts w:ascii="ITC Avant Garde Std Bk" w:hAnsi="ITC Avant Garde Std Bk"/>
          <w:bCs/>
          <w:sz w:val="21"/>
          <w:szCs w:val="21"/>
        </w:rPr>
        <w:t>para el año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 2015, </w:t>
      </w:r>
      <w:r>
        <w:rPr>
          <w:rFonts w:ascii="ITC Avant Garde Std Bk" w:hAnsi="ITC Avant Garde Std Bk"/>
          <w:bCs/>
          <w:sz w:val="21"/>
          <w:szCs w:val="21"/>
        </w:rPr>
        <w:t>en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 el cálculo de las estimaciones futuras</w:t>
      </w:r>
      <w:r>
        <w:rPr>
          <w:rFonts w:ascii="ITC Avant Garde Std Bk" w:hAnsi="ITC Avant Garde Std Bk"/>
          <w:bCs/>
          <w:sz w:val="21"/>
          <w:szCs w:val="21"/>
        </w:rPr>
        <w:t xml:space="preserve"> que se realicen a propósito de este tema</w:t>
      </w:r>
      <w:r w:rsidR="00994B79">
        <w:rPr>
          <w:rFonts w:ascii="ITC Avant Garde Std Bk" w:hAnsi="ITC Avant Garde Std Bk"/>
          <w:bCs/>
          <w:sz w:val="21"/>
          <w:szCs w:val="21"/>
        </w:rPr>
        <w:t>.</w:t>
      </w:r>
    </w:p>
    <w:p w:rsidR="00D92A41" w:rsidRPr="00C84965" w:rsidRDefault="00D92A41" w:rsidP="00C8707C">
      <w:pPr>
        <w:pStyle w:val="Default"/>
        <w:ind w:left="36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EC0888" w:rsidRDefault="00D92A41" w:rsidP="00C8707C">
      <w:pPr>
        <w:pStyle w:val="Default"/>
        <w:numPr>
          <w:ilvl w:val="0"/>
          <w:numId w:val="10"/>
        </w:numPr>
        <w:jc w:val="both"/>
        <w:rPr>
          <w:rFonts w:ascii="ITC Avant Garde Std Bk" w:hAnsi="ITC Avant Garde Std Bk"/>
          <w:bCs/>
          <w:sz w:val="21"/>
          <w:szCs w:val="21"/>
        </w:rPr>
      </w:pPr>
      <w:r w:rsidRPr="00C84965">
        <w:rPr>
          <w:rFonts w:ascii="ITC Avant Garde Std Bk" w:hAnsi="ITC Avant Garde Std Bk"/>
          <w:bCs/>
          <w:sz w:val="21"/>
          <w:szCs w:val="21"/>
        </w:rPr>
        <w:t>En el numeral 14</w:t>
      </w:r>
      <w:r w:rsidR="00994B79">
        <w:rPr>
          <w:rFonts w:ascii="ITC Avant Garde Std Bk" w:hAnsi="ITC Avant Garde Std Bk"/>
          <w:bCs/>
          <w:sz w:val="21"/>
          <w:szCs w:val="21"/>
        </w:rPr>
        <w:t xml:space="preserve"> del AIR</w:t>
      </w:r>
      <w:r w:rsidRPr="00C84965">
        <w:rPr>
          <w:rFonts w:ascii="ITC Avant Garde Std Bk" w:hAnsi="ITC Avant Garde Std Bk"/>
          <w:bCs/>
          <w:sz w:val="21"/>
          <w:szCs w:val="21"/>
        </w:rPr>
        <w:t xml:space="preserve">, relativo a la estimación de los beneficios que se podrían generar para cada particular, grupo de particulares o industria a razón de la entrada en vigor del </w:t>
      </w:r>
      <w:r w:rsidR="008A18E2">
        <w:rPr>
          <w:rFonts w:ascii="ITC Avant Garde Std Bk" w:hAnsi="ITC Avant Garde Std Bk"/>
          <w:bCs/>
          <w:sz w:val="21"/>
          <w:szCs w:val="21"/>
        </w:rPr>
        <w:t>A</w:t>
      </w:r>
      <w:r w:rsidRPr="00C84965">
        <w:rPr>
          <w:rFonts w:ascii="ITC Avant Garde Std Bk" w:hAnsi="ITC Avant Garde Std Bk"/>
          <w:bCs/>
          <w:sz w:val="21"/>
          <w:szCs w:val="21"/>
        </w:rPr>
        <w:t xml:space="preserve">nteproyecto, </w:t>
      </w:r>
      <w:r w:rsidR="00EC0888">
        <w:rPr>
          <w:rFonts w:ascii="ITC Avant Garde Std Bk" w:hAnsi="ITC Avant Garde Std Bk"/>
          <w:bCs/>
          <w:sz w:val="21"/>
          <w:szCs w:val="21"/>
        </w:rPr>
        <w:t xml:space="preserve">esta </w:t>
      </w:r>
      <w:r w:rsidR="008A18E2">
        <w:rPr>
          <w:rFonts w:ascii="ITC Avant Garde Std Bk" w:hAnsi="ITC Avant Garde Std Bk"/>
          <w:bCs/>
          <w:sz w:val="21"/>
          <w:szCs w:val="21"/>
        </w:rPr>
        <w:t>Coordinación General hace del conocimiento de la UPR las siguientes consideraciones:</w:t>
      </w:r>
    </w:p>
    <w:p w:rsidR="00EC0888" w:rsidRDefault="00EC0888" w:rsidP="00C8707C">
      <w:pPr>
        <w:pStyle w:val="Default"/>
        <w:ind w:left="36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EC0888" w:rsidRDefault="008A18E2" w:rsidP="00C8707C">
      <w:pPr>
        <w:pStyle w:val="Default"/>
        <w:numPr>
          <w:ilvl w:val="0"/>
          <w:numId w:val="13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En lo tocante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al cálculo de los Ingresos Medios por Usuario (</w:t>
      </w:r>
      <w:r w:rsidR="00D92A41" w:rsidRPr="00DA4646">
        <w:rPr>
          <w:rFonts w:ascii="ITC Avant Garde Std Bk" w:hAnsi="ITC Avant Garde Std Bk"/>
          <w:bCs/>
          <w:sz w:val="21"/>
          <w:szCs w:val="21"/>
        </w:rPr>
        <w:t>ARPU</w:t>
      </w:r>
      <w:r w:rsidR="00213D92">
        <w:rPr>
          <w:rStyle w:val="Refdenotaalpie"/>
          <w:rFonts w:ascii="ITC Avant Garde Std Bk" w:hAnsi="ITC Avant Garde Std Bk"/>
          <w:bCs/>
          <w:i/>
          <w:sz w:val="21"/>
          <w:szCs w:val="21"/>
        </w:rPr>
        <w:footnoteReference w:id="1"/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, por sus siglas en inglés), la UPR utiliza el </w:t>
      </w:r>
      <w:r w:rsidR="00EC0888">
        <w:rPr>
          <w:rFonts w:ascii="ITC Avant Garde Std Bk" w:hAnsi="ITC Avant Garde Std Bk"/>
          <w:bCs/>
          <w:sz w:val="21"/>
          <w:szCs w:val="21"/>
        </w:rPr>
        <w:t xml:space="preserve">número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total de las suscripciones móviles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 xml:space="preserve"> en lugar de las suscripciones activas</w:t>
      </w:r>
      <w:r w:rsidR="00EC0888">
        <w:rPr>
          <w:rFonts w:ascii="ITC Avant Garde Std Bk" w:hAnsi="ITC Avant Garde Std Bk"/>
          <w:bCs/>
          <w:sz w:val="21"/>
          <w:szCs w:val="21"/>
        </w:rPr>
        <w:t>. En este sentido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, </w:t>
      </w:r>
      <w:r>
        <w:rPr>
          <w:rFonts w:ascii="ITC Avant Garde Std Bk" w:hAnsi="ITC Avant Garde Std Bk"/>
          <w:bCs/>
          <w:sz w:val="21"/>
          <w:szCs w:val="21"/>
        </w:rPr>
        <w:t xml:space="preserve">a juicio de esta Coordinación General </w:t>
      </w:r>
      <w:r w:rsidR="00EC0888">
        <w:rPr>
          <w:rFonts w:ascii="ITC Avant Garde Std Bk" w:hAnsi="ITC Avant Garde Std Bk"/>
          <w:bCs/>
          <w:sz w:val="21"/>
          <w:szCs w:val="21"/>
        </w:rPr>
        <w:t xml:space="preserve">el cálculo 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 xml:space="preserve">pudiera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genera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>r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inconsistenc</w:t>
      </w:r>
      <w:r w:rsidR="00EC0888">
        <w:rPr>
          <w:rFonts w:ascii="ITC Avant Garde Std Bk" w:hAnsi="ITC Avant Garde Std Bk"/>
          <w:bCs/>
          <w:sz w:val="21"/>
          <w:szCs w:val="21"/>
        </w:rPr>
        <w:t xml:space="preserve">ias en las variables estimadas.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Por lo tanto, </w:t>
      </w:r>
      <w:r>
        <w:rPr>
          <w:rFonts w:ascii="ITC Avant Garde Std Bk" w:hAnsi="ITC Avant Garde Std Bk"/>
          <w:bCs/>
          <w:sz w:val="21"/>
          <w:szCs w:val="21"/>
        </w:rPr>
        <w:t>esta unidad administrativa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sugiere </w:t>
      </w:r>
      <w:r>
        <w:rPr>
          <w:rFonts w:ascii="ITC Avant Garde Std Bk" w:hAnsi="ITC Avant Garde Std Bk"/>
          <w:bCs/>
          <w:sz w:val="21"/>
          <w:szCs w:val="21"/>
        </w:rPr>
        <w:t xml:space="preserve">a </w:t>
      </w:r>
      <w:r w:rsidR="001A7E02">
        <w:rPr>
          <w:rFonts w:ascii="ITC Avant Garde Std Bk" w:hAnsi="ITC Avant Garde Std Bk"/>
          <w:bCs/>
          <w:sz w:val="21"/>
          <w:szCs w:val="21"/>
        </w:rPr>
        <w:t xml:space="preserve">la </w:t>
      </w:r>
      <w:r>
        <w:rPr>
          <w:rFonts w:ascii="ITC Avant Garde Std Bk" w:hAnsi="ITC Avant Garde Std Bk"/>
          <w:bCs/>
          <w:sz w:val="21"/>
          <w:szCs w:val="21"/>
        </w:rPr>
        <w:t xml:space="preserve">UPR 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>ajustar el cálculo del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DA4646">
        <w:rPr>
          <w:rFonts w:ascii="ITC Avant Garde Std Bk" w:hAnsi="ITC Avant Garde Std Bk"/>
          <w:bCs/>
          <w:sz w:val="21"/>
          <w:szCs w:val="21"/>
        </w:rPr>
        <w:t>ARPU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>a las suscripciones activas, las cuales, de acuerdo con las mejores prácticas internacionales</w:t>
      </w:r>
      <w:r w:rsidR="009D7DF1" w:rsidRPr="00EC0888">
        <w:rPr>
          <w:rFonts w:ascii="ITC Avant Garde Std Bk" w:hAnsi="ITC Avant Garde Std Bk"/>
          <w:bCs/>
          <w:sz w:val="21"/>
          <w:szCs w:val="21"/>
        </w:rPr>
        <w:t xml:space="preserve">, consisten </w:t>
      </w:r>
      <w:r w:rsidR="00C446DE" w:rsidRPr="00EC0888">
        <w:rPr>
          <w:rFonts w:ascii="ITC Avant Garde Std Bk" w:hAnsi="ITC Avant Garde Std Bk"/>
          <w:bCs/>
          <w:sz w:val="21"/>
          <w:szCs w:val="21"/>
        </w:rPr>
        <w:t xml:space="preserve">en </w:t>
      </w:r>
      <w:r w:rsidR="00FC407A" w:rsidRPr="00EC0888">
        <w:rPr>
          <w:rFonts w:ascii="ITC Avant Garde Std Bk" w:hAnsi="ITC Avant Garde Std Bk"/>
          <w:bCs/>
          <w:sz w:val="21"/>
          <w:szCs w:val="21"/>
        </w:rPr>
        <w:t>las tarjetas SIM</w:t>
      </w:r>
      <w:r w:rsidR="00247351" w:rsidRPr="00EC0888">
        <w:rPr>
          <w:rFonts w:ascii="ITC Avant Garde Std Bk" w:hAnsi="ITC Avant Garde Std Bk"/>
          <w:bCs/>
          <w:sz w:val="21"/>
          <w:szCs w:val="21"/>
        </w:rPr>
        <w:t xml:space="preserve"> que hayan tenido uso al menos una vez en los 3 meses previos,</w:t>
      </w:r>
      <w:r w:rsidR="00DA4646">
        <w:rPr>
          <w:rFonts w:ascii="ITC Avant Garde Std Bk" w:hAnsi="ITC Avant Garde Std Bk"/>
          <w:bCs/>
          <w:sz w:val="21"/>
          <w:szCs w:val="21"/>
        </w:rPr>
        <w:t xml:space="preserve"> en el caso de prepago</w:t>
      </w:r>
      <w:r w:rsidR="009D7DF1" w:rsidRP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247351" w:rsidRPr="00EC0888">
        <w:rPr>
          <w:rFonts w:ascii="ITC Avant Garde Std Bk" w:hAnsi="ITC Avant Garde Std Bk"/>
          <w:bCs/>
          <w:sz w:val="21"/>
          <w:szCs w:val="21"/>
        </w:rPr>
        <w:t>y a la existencia de un contrato válido</w:t>
      </w:r>
      <w:r w:rsidR="009D7DF1" w:rsidRPr="00EC0888">
        <w:rPr>
          <w:rFonts w:ascii="ITC Avant Garde Std Bk" w:hAnsi="ITC Avant Garde Std Bk"/>
          <w:bCs/>
          <w:sz w:val="21"/>
          <w:szCs w:val="21"/>
        </w:rPr>
        <w:t>, en cuanto a la modalidad de post pago</w:t>
      </w:r>
      <w:r w:rsidR="0021349B" w:rsidRPr="00C84965">
        <w:rPr>
          <w:rStyle w:val="Refdenotaalpie"/>
          <w:rFonts w:ascii="ITC Avant Garde Std Bk" w:hAnsi="ITC Avant Garde Std Bk"/>
          <w:bCs/>
          <w:sz w:val="21"/>
          <w:szCs w:val="21"/>
        </w:rPr>
        <w:footnoteReference w:id="2"/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.</w:t>
      </w:r>
    </w:p>
    <w:p w:rsidR="00EC0888" w:rsidRDefault="00EC0888" w:rsidP="00C8707C">
      <w:pPr>
        <w:pStyle w:val="Default"/>
        <w:ind w:left="72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D92A41" w:rsidRPr="00EC0888" w:rsidRDefault="00213D92" w:rsidP="00C8707C">
      <w:pPr>
        <w:pStyle w:val="Default"/>
        <w:numPr>
          <w:ilvl w:val="0"/>
          <w:numId w:val="13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lastRenderedPageBreak/>
        <w:t xml:space="preserve">Asimismo, 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se observa que </w:t>
      </w:r>
      <w:r>
        <w:rPr>
          <w:rFonts w:ascii="ITC Avant Garde Std Bk" w:hAnsi="ITC Avant Garde Std Bk"/>
          <w:bCs/>
          <w:sz w:val="21"/>
          <w:szCs w:val="21"/>
        </w:rPr>
        <w:t xml:space="preserve">la </w:t>
      </w:r>
      <w:r w:rsidR="00A633D8">
        <w:rPr>
          <w:rFonts w:ascii="ITC Avant Garde Std Bk" w:hAnsi="ITC Avant Garde Std Bk"/>
          <w:bCs/>
          <w:sz w:val="21"/>
          <w:szCs w:val="21"/>
        </w:rPr>
        <w:t>UPR utilizó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en dicho apartado del AIR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la figura 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de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“Caída del ARPU con la entrada de Operadores Móviles Virtuales” a fin de dimensionar los 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posibles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beneficios </w:t>
      </w:r>
      <w:r w:rsidR="00A633D8">
        <w:rPr>
          <w:rFonts w:ascii="ITC Avant Garde Std Bk" w:hAnsi="ITC Avant Garde Std Bk"/>
          <w:bCs/>
          <w:sz w:val="21"/>
          <w:szCs w:val="21"/>
        </w:rPr>
        <w:t xml:space="preserve">potenciales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del </w:t>
      </w:r>
      <w:r w:rsidR="008A18E2">
        <w:rPr>
          <w:rFonts w:ascii="ITC Avant Garde Std Bk" w:hAnsi="ITC Avant Garde Std Bk"/>
          <w:bCs/>
          <w:sz w:val="21"/>
          <w:szCs w:val="21"/>
        </w:rPr>
        <w:t>A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nteproyecto</w:t>
      </w:r>
      <w:r w:rsidR="008A18E2">
        <w:rPr>
          <w:rFonts w:ascii="ITC Avant Garde Std Bk" w:hAnsi="ITC Avant Garde Std Bk"/>
          <w:bCs/>
          <w:sz w:val="21"/>
          <w:szCs w:val="21"/>
        </w:rPr>
        <w:t>.</w:t>
      </w:r>
      <w:r>
        <w:rPr>
          <w:rFonts w:ascii="ITC Avant Garde Std Bk" w:hAnsi="ITC Avant Garde Std Bk"/>
          <w:bCs/>
          <w:sz w:val="21"/>
          <w:szCs w:val="21"/>
        </w:rPr>
        <w:t xml:space="preserve"> </w:t>
      </w:r>
      <w:r w:rsidR="008A18E2">
        <w:rPr>
          <w:rFonts w:ascii="ITC Avant Garde Std Bk" w:hAnsi="ITC Avant Garde Std Bk"/>
          <w:bCs/>
          <w:sz w:val="21"/>
          <w:szCs w:val="21"/>
        </w:rPr>
        <w:t xml:space="preserve">A este respecto,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 w:rsidR="008A18E2">
        <w:rPr>
          <w:rFonts w:ascii="ITC Avant Garde Std Bk" w:hAnsi="ITC Avant Garde Std Bk"/>
          <w:bCs/>
          <w:sz w:val="21"/>
          <w:szCs w:val="21"/>
        </w:rPr>
        <w:t xml:space="preserve">Coordinación General sugiere a la UPR </w:t>
      </w:r>
      <w:r w:rsidR="00A633D8">
        <w:rPr>
          <w:rFonts w:ascii="ITC Avant Garde Std Bk" w:hAnsi="ITC Avant Garde Std Bk"/>
          <w:bCs/>
          <w:sz w:val="21"/>
          <w:szCs w:val="21"/>
        </w:rPr>
        <w:t>analizar y, en su caso, realizar las adecuaciones y ajustes que consideren al AIR a partir de la valoración que se le realice</w:t>
      </w:r>
      <w:r w:rsidR="008A18E2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A633D8">
        <w:rPr>
          <w:rFonts w:ascii="ITC Avant Garde Std Bk" w:hAnsi="ITC Avant Garde Std Bk"/>
          <w:bCs/>
          <w:sz w:val="21"/>
          <w:szCs w:val="21"/>
        </w:rPr>
        <w:t>a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l trabajo de </w:t>
      </w:r>
      <w:proofErr w:type="spellStart"/>
      <w:r w:rsidR="00D92A41" w:rsidRPr="00EC0888">
        <w:rPr>
          <w:rFonts w:ascii="ITC Avant Garde Std Bk" w:hAnsi="ITC Avant Garde Std Bk"/>
          <w:bCs/>
          <w:i/>
          <w:sz w:val="21"/>
          <w:szCs w:val="21"/>
        </w:rPr>
        <w:t>Kuscu</w:t>
      </w:r>
      <w:proofErr w:type="spellEnd"/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(2009)</w:t>
      </w:r>
      <w:r w:rsidR="00D92A41" w:rsidRPr="00C84965">
        <w:rPr>
          <w:rStyle w:val="Refdenotaalpie"/>
          <w:rFonts w:ascii="ITC Avant Garde Std Bk" w:hAnsi="ITC Avant Garde Std Bk"/>
          <w:bCs/>
          <w:sz w:val="21"/>
          <w:szCs w:val="21"/>
        </w:rPr>
        <w:footnoteReference w:id="3"/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, el cual consiste en </w:t>
      </w:r>
      <w:r w:rsidR="009D7DF1" w:rsidRPr="00EC0888">
        <w:rPr>
          <w:rFonts w:ascii="ITC Avant Garde Std Bk" w:hAnsi="ITC Avant Garde Std Bk"/>
          <w:bCs/>
          <w:sz w:val="21"/>
          <w:szCs w:val="21"/>
        </w:rPr>
        <w:t>un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 análisis </w:t>
      </w:r>
      <w:r w:rsidR="006F5D03">
        <w:rPr>
          <w:rFonts w:ascii="ITC Avant Garde Std Bk" w:hAnsi="ITC Avant Garde Std Bk"/>
          <w:bCs/>
          <w:sz w:val="21"/>
          <w:szCs w:val="21"/>
        </w:rPr>
        <w:t>-</w:t>
      </w:r>
      <w:r w:rsidR="006F5D03" w:rsidRPr="00EC0888">
        <w:rPr>
          <w:rFonts w:ascii="ITC Avant Garde Std Bk" w:hAnsi="ITC Avant Garde Std Bk"/>
          <w:bCs/>
          <w:sz w:val="21"/>
          <w:szCs w:val="21"/>
        </w:rPr>
        <w:t xml:space="preserve">a través de una regresión de </w:t>
      </w:r>
      <w:r w:rsidR="006F5D03">
        <w:rPr>
          <w:rFonts w:ascii="ITC Avant Garde Std Bk" w:hAnsi="ITC Avant Garde Std Bk"/>
          <w:bCs/>
          <w:sz w:val="21"/>
          <w:szCs w:val="21"/>
        </w:rPr>
        <w:t>mínimos cuadrados ordinarios (</w:t>
      </w:r>
      <w:r w:rsidR="006F5D03" w:rsidRPr="00EC0888">
        <w:rPr>
          <w:rFonts w:ascii="ITC Avant Garde Std Bk" w:hAnsi="ITC Avant Garde Std Bk"/>
          <w:bCs/>
          <w:sz w:val="21"/>
          <w:szCs w:val="21"/>
        </w:rPr>
        <w:t>MCO</w:t>
      </w:r>
      <w:r w:rsidR="006F5D03">
        <w:rPr>
          <w:rFonts w:ascii="ITC Avant Garde Std Bk" w:hAnsi="ITC Avant Garde Std Bk"/>
          <w:bCs/>
          <w:sz w:val="21"/>
          <w:szCs w:val="21"/>
        </w:rPr>
        <w:t>)-</w:t>
      </w:r>
      <w:r w:rsidR="006F5D03" w:rsidRPr="00EC0888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de los indicadores de los precios móviles de 29 países </w:t>
      </w:r>
      <w:r w:rsidR="00A633D8">
        <w:rPr>
          <w:rFonts w:ascii="ITC Avant Garde Std Bk" w:hAnsi="ITC Avant Garde Std Bk"/>
          <w:bCs/>
          <w:sz w:val="21"/>
          <w:szCs w:val="21"/>
        </w:rPr>
        <w:t>m</w:t>
      </w:r>
      <w:r w:rsidR="00DA4646">
        <w:rPr>
          <w:rFonts w:ascii="ITC Avant Garde Std Bk" w:hAnsi="ITC Avant Garde Std Bk"/>
          <w:bCs/>
          <w:sz w:val="21"/>
          <w:szCs w:val="21"/>
        </w:rPr>
        <w:t xml:space="preserve">iembros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de la </w:t>
      </w:r>
      <w:r w:rsidRPr="00213D92">
        <w:rPr>
          <w:rFonts w:ascii="ITC Avant Garde Std Bk" w:hAnsi="ITC Avant Garde Std Bk"/>
          <w:bCs/>
          <w:sz w:val="21"/>
          <w:szCs w:val="21"/>
        </w:rPr>
        <w:t>Organización para la Cooperación y el Desarrollo Económicos (OCDE)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8A18E2">
        <w:rPr>
          <w:rFonts w:ascii="ITC Avant Garde Std Bk" w:hAnsi="ITC Avant Garde Std Bk"/>
          <w:bCs/>
          <w:sz w:val="21"/>
          <w:szCs w:val="21"/>
        </w:rPr>
        <w:t>del que determina</w:t>
      </w:r>
      <w:r w:rsidR="006F5D03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que el número de Operadores Móviles Virtuales no tiene un impacto esta</w:t>
      </w:r>
      <w:r w:rsidR="008A18E2">
        <w:rPr>
          <w:rFonts w:ascii="ITC Avant Garde Std Bk" w:hAnsi="ITC Avant Garde Std Bk"/>
          <w:bCs/>
          <w:sz w:val="21"/>
          <w:szCs w:val="21"/>
        </w:rPr>
        <w:t>dísticamente significativo en la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s </w:t>
      </w:r>
      <w:r w:rsidR="008A18E2">
        <w:rPr>
          <w:rFonts w:ascii="ITC Avant Garde Std Bk" w:hAnsi="ITC Avant Garde Std Bk"/>
          <w:bCs/>
          <w:sz w:val="21"/>
          <w:szCs w:val="21"/>
        </w:rPr>
        <w:t xml:space="preserve">variaciones de los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 xml:space="preserve">precios </w:t>
      </w:r>
      <w:r w:rsidR="009D7DF1" w:rsidRPr="00EC0888">
        <w:rPr>
          <w:rFonts w:ascii="ITC Avant Garde Std Bk" w:hAnsi="ITC Avant Garde Std Bk"/>
          <w:bCs/>
          <w:sz w:val="21"/>
          <w:szCs w:val="21"/>
        </w:rPr>
        <w:t xml:space="preserve">de los servicios </w:t>
      </w:r>
      <w:r w:rsidR="00D92A41" w:rsidRPr="00EC0888">
        <w:rPr>
          <w:rFonts w:ascii="ITC Avant Garde Std Bk" w:hAnsi="ITC Avant Garde Std Bk"/>
          <w:bCs/>
          <w:sz w:val="21"/>
          <w:szCs w:val="21"/>
        </w:rPr>
        <w:t>móviles.</w:t>
      </w:r>
    </w:p>
    <w:p w:rsidR="006562B3" w:rsidRPr="00C84965" w:rsidRDefault="006562B3" w:rsidP="00C8707C">
      <w:pPr>
        <w:pStyle w:val="Default"/>
        <w:ind w:left="36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90164C" w:rsidRDefault="00D92A41" w:rsidP="00C8707C">
      <w:pPr>
        <w:pStyle w:val="Default"/>
        <w:numPr>
          <w:ilvl w:val="0"/>
          <w:numId w:val="10"/>
        </w:numPr>
        <w:jc w:val="both"/>
        <w:rPr>
          <w:rFonts w:ascii="ITC Avant Garde Std Bk" w:hAnsi="ITC Avant Garde Std Bk"/>
          <w:bCs/>
          <w:sz w:val="21"/>
          <w:szCs w:val="21"/>
        </w:rPr>
      </w:pPr>
      <w:r w:rsidRPr="00C84965">
        <w:rPr>
          <w:rFonts w:ascii="ITC Avant Garde Std Bk" w:hAnsi="ITC Avant Garde Std Bk"/>
          <w:bCs/>
          <w:sz w:val="21"/>
          <w:szCs w:val="21"/>
        </w:rPr>
        <w:t xml:space="preserve">En </w:t>
      </w:r>
      <w:r w:rsidR="0090164C">
        <w:rPr>
          <w:rFonts w:ascii="ITC Avant Garde Std Bk" w:hAnsi="ITC Avant Garde Std Bk"/>
          <w:bCs/>
          <w:sz w:val="21"/>
          <w:szCs w:val="21"/>
        </w:rPr>
        <w:t xml:space="preserve">los </w:t>
      </w:r>
      <w:r w:rsidRPr="00C84965">
        <w:rPr>
          <w:rFonts w:ascii="ITC Avant Garde Std Bk" w:hAnsi="ITC Avant Garde Std Bk"/>
          <w:bCs/>
          <w:sz w:val="21"/>
          <w:szCs w:val="21"/>
        </w:rPr>
        <w:t>numeral</w:t>
      </w:r>
      <w:r w:rsidR="0090164C">
        <w:rPr>
          <w:rFonts w:ascii="ITC Avant Garde Std Bk" w:hAnsi="ITC Avant Garde Std Bk"/>
          <w:bCs/>
          <w:sz w:val="21"/>
          <w:szCs w:val="21"/>
        </w:rPr>
        <w:t>es</w:t>
      </w:r>
      <w:r w:rsidRPr="00C84965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90164C">
        <w:rPr>
          <w:rFonts w:ascii="ITC Avant Garde Std Bk" w:hAnsi="ITC Avant Garde Std Bk"/>
          <w:bCs/>
          <w:sz w:val="21"/>
          <w:szCs w:val="21"/>
        </w:rPr>
        <w:t>13 a 14</w:t>
      </w:r>
      <w:r w:rsidR="0056707E">
        <w:rPr>
          <w:rFonts w:ascii="ITC Avant Garde Std Bk" w:hAnsi="ITC Avant Garde Std Bk"/>
          <w:bCs/>
          <w:sz w:val="21"/>
          <w:szCs w:val="21"/>
        </w:rPr>
        <w:t xml:space="preserve"> del AIR</w:t>
      </w:r>
      <w:r w:rsidRPr="00C84965"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90164C">
        <w:rPr>
          <w:rFonts w:ascii="ITC Avant Garde Std Bk" w:hAnsi="ITC Avant Garde Std Bk"/>
          <w:bCs/>
          <w:sz w:val="21"/>
          <w:szCs w:val="21"/>
        </w:rPr>
        <w:t xml:space="preserve">la UPR hace referencia a distintas estimaciones anuales de suscriptores de servicios móviles, la primera relacionada al año 2016, en donde precisa 672,100 de </w:t>
      </w:r>
      <w:r w:rsidR="00BA2AE9">
        <w:rPr>
          <w:rFonts w:ascii="ITC Avant Garde Std Bk" w:hAnsi="ITC Avant Garde Std Bk"/>
          <w:bCs/>
          <w:sz w:val="21"/>
          <w:szCs w:val="21"/>
        </w:rPr>
        <w:t>é</w:t>
      </w:r>
      <w:r w:rsidR="009F7C43">
        <w:rPr>
          <w:rFonts w:ascii="ITC Avant Garde Std Bk" w:hAnsi="ITC Avant Garde Std Bk"/>
          <w:bCs/>
          <w:sz w:val="21"/>
          <w:szCs w:val="21"/>
        </w:rPr>
        <w:t>stos;</w:t>
      </w:r>
      <w:r w:rsidR="0090164C">
        <w:rPr>
          <w:rFonts w:ascii="ITC Avant Garde Std Bk" w:hAnsi="ITC Avant Garde Std Bk"/>
          <w:bCs/>
          <w:sz w:val="21"/>
          <w:szCs w:val="21"/>
        </w:rPr>
        <w:t xml:space="preserve"> la segunda, para calcular el agregado de beneficios, 103.4 millones de suscriptores por cada cuatro años</w:t>
      </w:r>
      <w:r w:rsidR="001A7E02">
        <w:rPr>
          <w:rFonts w:ascii="ITC Avant Garde Std Bk" w:hAnsi="ITC Avant Garde Std Bk"/>
          <w:bCs/>
          <w:sz w:val="21"/>
          <w:szCs w:val="21"/>
        </w:rPr>
        <w:t xml:space="preserve"> y</w:t>
      </w:r>
      <w:r w:rsidR="009F7C43">
        <w:rPr>
          <w:rFonts w:ascii="ITC Avant Garde Std Bk" w:hAnsi="ITC Avant Garde Std Bk"/>
          <w:bCs/>
          <w:sz w:val="21"/>
          <w:szCs w:val="21"/>
        </w:rPr>
        <w:t xml:space="preserve">, </w:t>
      </w:r>
      <w:r w:rsidR="0090164C">
        <w:rPr>
          <w:rFonts w:ascii="ITC Avant Garde Std Bk" w:hAnsi="ITC Avant Garde Std Bk"/>
          <w:bCs/>
          <w:sz w:val="21"/>
          <w:szCs w:val="21"/>
        </w:rPr>
        <w:t xml:space="preserve">posteriormente, para el cálculo del ARPU utilizó un margen de suscriptores de los </w:t>
      </w:r>
      <w:r w:rsidR="0090164C" w:rsidRPr="0090164C">
        <w:rPr>
          <w:rFonts w:ascii="ITC Avant Garde Std Bk" w:hAnsi="ITC Avant Garde Std Bk"/>
          <w:bCs/>
          <w:sz w:val="21"/>
          <w:szCs w:val="21"/>
        </w:rPr>
        <w:t>países de Brasil, Chile y Colombia</w:t>
      </w:r>
      <w:r w:rsidR="0090164C">
        <w:rPr>
          <w:rFonts w:ascii="ITC Avant Garde Std Bk" w:hAnsi="ITC Avant Garde Std Bk"/>
          <w:bCs/>
          <w:sz w:val="21"/>
          <w:szCs w:val="21"/>
        </w:rPr>
        <w:t xml:space="preserve">, en el período </w:t>
      </w:r>
      <w:r w:rsidR="001A7E02">
        <w:rPr>
          <w:rFonts w:ascii="ITC Avant Garde Std Bk" w:hAnsi="ITC Avant Garde Std Bk"/>
          <w:bCs/>
          <w:sz w:val="21"/>
          <w:szCs w:val="21"/>
        </w:rPr>
        <w:t xml:space="preserve">de </w:t>
      </w:r>
      <w:r w:rsidR="0090164C" w:rsidRPr="0090164C">
        <w:rPr>
          <w:rFonts w:ascii="ITC Avant Garde Std Bk" w:hAnsi="ITC Avant Garde Std Bk"/>
          <w:bCs/>
          <w:sz w:val="21"/>
          <w:szCs w:val="21"/>
        </w:rPr>
        <w:t>2010 a 2014</w:t>
      </w:r>
      <w:r w:rsidR="0090164C">
        <w:rPr>
          <w:rFonts w:ascii="ITC Avant Garde Std Bk" w:hAnsi="ITC Avant Garde Std Bk"/>
          <w:bCs/>
          <w:sz w:val="21"/>
          <w:szCs w:val="21"/>
        </w:rPr>
        <w:t>.</w:t>
      </w:r>
      <w:r w:rsidR="009F7C43">
        <w:rPr>
          <w:rFonts w:ascii="ITC Avant Garde Std Bk" w:hAnsi="ITC Avant Garde Std Bk"/>
          <w:bCs/>
          <w:sz w:val="21"/>
          <w:szCs w:val="21"/>
        </w:rPr>
        <w:t xml:space="preserve"> A este respecto,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 w:rsidR="009F7C43">
        <w:rPr>
          <w:rFonts w:ascii="ITC Avant Garde Std Bk" w:hAnsi="ITC Avant Garde Std Bk"/>
          <w:bCs/>
          <w:sz w:val="21"/>
          <w:szCs w:val="21"/>
        </w:rPr>
        <w:t xml:space="preserve">Coordinación General recomienda a la UPR analizar la conveniencia de emplear un sólo escenario base para el cálculo del número de suscriptores de servicios móviles a efecto de dotar de mayor consistencia y comparabilidad a los datos ahí referidos. </w:t>
      </w:r>
    </w:p>
    <w:p w:rsidR="008A18E2" w:rsidRDefault="008A18E2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8A18E2" w:rsidRDefault="00A6383E" w:rsidP="00C8707C">
      <w:pPr>
        <w:pStyle w:val="Default"/>
        <w:numPr>
          <w:ilvl w:val="0"/>
          <w:numId w:val="10"/>
        </w:numPr>
        <w:jc w:val="both"/>
        <w:rPr>
          <w:rFonts w:ascii="ITC Avant Garde Std Bk" w:hAnsi="ITC Avant Garde Std Bk"/>
          <w:bCs/>
          <w:sz w:val="21"/>
          <w:szCs w:val="21"/>
        </w:rPr>
      </w:pPr>
      <w:r w:rsidRPr="00A6383E">
        <w:rPr>
          <w:rFonts w:ascii="ITC Avant Garde Std Bk" w:hAnsi="ITC Avant Garde Std Bk"/>
          <w:bCs/>
          <w:sz w:val="21"/>
          <w:szCs w:val="21"/>
        </w:rPr>
        <w:t>Con el propósito de robustecer y mejorar algunas de las disposiciones del Anteproyecto, se hace del conocimiento de la U</w:t>
      </w:r>
      <w:r w:rsidR="009F7C43">
        <w:rPr>
          <w:rFonts w:ascii="ITC Avant Garde Std Bk" w:hAnsi="ITC Avant Garde Std Bk"/>
          <w:bCs/>
          <w:sz w:val="21"/>
          <w:szCs w:val="21"/>
        </w:rPr>
        <w:t>PR</w:t>
      </w:r>
      <w:r w:rsidRPr="00A6383E">
        <w:rPr>
          <w:rFonts w:ascii="ITC Avant Garde Std Bk" w:hAnsi="ITC Avant Garde Std Bk"/>
          <w:bCs/>
          <w:sz w:val="21"/>
          <w:szCs w:val="21"/>
        </w:rPr>
        <w:t>, las siguientes consideraciones:</w:t>
      </w:r>
    </w:p>
    <w:p w:rsidR="00A6383E" w:rsidRDefault="00A6383E" w:rsidP="00C8707C">
      <w:pPr>
        <w:pStyle w:val="Default"/>
        <w:jc w:val="both"/>
        <w:rPr>
          <w:rFonts w:ascii="ITC Avant Garde Std Bk" w:hAnsi="ITC Avant Garde Std Bk" w:cs="Times New Roman"/>
          <w:bCs/>
          <w:color w:val="auto"/>
          <w:sz w:val="21"/>
          <w:szCs w:val="21"/>
          <w:lang w:eastAsia="en-US"/>
        </w:rPr>
      </w:pPr>
    </w:p>
    <w:p w:rsidR="00A6383E" w:rsidRDefault="009F7C43" w:rsidP="00C8707C">
      <w:pPr>
        <w:pStyle w:val="Default"/>
        <w:numPr>
          <w:ilvl w:val="0"/>
          <w:numId w:val="14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 xml:space="preserve">El artículo Segundo Transitorio del Anteproyecto, precisa las formalidades y términos  </w:t>
      </w:r>
      <w:r w:rsidR="007B74EC">
        <w:rPr>
          <w:rFonts w:ascii="ITC Avant Garde Std Bk" w:hAnsi="ITC Avant Garde Std Bk"/>
          <w:bCs/>
          <w:sz w:val="21"/>
          <w:szCs w:val="21"/>
        </w:rPr>
        <w:t xml:space="preserve">que deberán observarse -de manera transitoria- en el </w:t>
      </w:r>
      <w:r>
        <w:rPr>
          <w:rFonts w:ascii="ITC Avant Garde Std Bk" w:hAnsi="ITC Avant Garde Std Bk"/>
          <w:bCs/>
          <w:sz w:val="21"/>
          <w:szCs w:val="21"/>
        </w:rPr>
        <w:t>trámite de “Solicitud para la asignación del código de red móvil”</w:t>
      </w:r>
      <w:r w:rsidR="007B74EC">
        <w:rPr>
          <w:rFonts w:ascii="ITC Avant Garde Std Bk" w:hAnsi="ITC Avant Garde Std Bk"/>
          <w:bCs/>
          <w:sz w:val="21"/>
          <w:szCs w:val="21"/>
        </w:rPr>
        <w:t>,</w:t>
      </w:r>
      <w:r>
        <w:rPr>
          <w:rFonts w:ascii="ITC Avant Garde Std Bk" w:hAnsi="ITC Avant Garde Std Bk"/>
          <w:bCs/>
          <w:sz w:val="21"/>
          <w:szCs w:val="21"/>
        </w:rPr>
        <w:t xml:space="preserve"> </w:t>
      </w:r>
      <w:r w:rsidR="007B74EC">
        <w:rPr>
          <w:rFonts w:ascii="ITC Avant Garde Std Bk" w:hAnsi="ITC Avant Garde Std Bk"/>
          <w:bCs/>
          <w:sz w:val="21"/>
          <w:szCs w:val="21"/>
        </w:rPr>
        <w:t>en tanto</w:t>
      </w:r>
      <w:r>
        <w:rPr>
          <w:rFonts w:ascii="ITC Avant Garde Std Bk" w:hAnsi="ITC Avant Garde Std Bk"/>
          <w:bCs/>
          <w:sz w:val="21"/>
          <w:szCs w:val="21"/>
        </w:rPr>
        <w:t xml:space="preserve"> el Instituto</w:t>
      </w:r>
      <w:r w:rsidR="007B74EC">
        <w:rPr>
          <w:rFonts w:ascii="ITC Avant Garde Std Bk" w:hAnsi="ITC Avant Garde Std Bk"/>
          <w:bCs/>
          <w:sz w:val="21"/>
          <w:szCs w:val="21"/>
        </w:rPr>
        <w:t xml:space="preserve"> expida un instrumento regulatorio relativo y específico para dicha materia. Por ello,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 w:rsidR="007B74EC">
        <w:rPr>
          <w:rFonts w:ascii="ITC Avant Garde Std Bk" w:hAnsi="ITC Avant Garde Std Bk"/>
          <w:bCs/>
          <w:sz w:val="21"/>
          <w:szCs w:val="21"/>
        </w:rPr>
        <w:t xml:space="preserve">Coordinación General recomienda a la UPR valorar la pertinencia y conveniencia de establecer en dicho apartado del Anteproyecto un término determinado en el que </w:t>
      </w:r>
      <w:r w:rsidR="005565B7">
        <w:rPr>
          <w:rFonts w:ascii="ITC Avant Garde Std Bk" w:hAnsi="ITC Avant Garde Std Bk"/>
          <w:bCs/>
          <w:sz w:val="21"/>
          <w:szCs w:val="21"/>
        </w:rPr>
        <w:t xml:space="preserve">el </w:t>
      </w:r>
      <w:r w:rsidR="007B74EC">
        <w:rPr>
          <w:rFonts w:ascii="ITC Avant Garde Std Bk" w:hAnsi="ITC Avant Garde Std Bk"/>
          <w:bCs/>
          <w:sz w:val="21"/>
          <w:szCs w:val="21"/>
        </w:rPr>
        <w:t xml:space="preserve">Instituto prevea la expedición de la disposición normativa ahí señalada y, con ello, preservar la naturaleza transitoria de dicho apartado del Anteproyecto. </w:t>
      </w:r>
    </w:p>
    <w:p w:rsidR="007B74EC" w:rsidRDefault="007B74EC" w:rsidP="00C8707C">
      <w:pPr>
        <w:pStyle w:val="Default"/>
        <w:ind w:left="720"/>
        <w:jc w:val="both"/>
        <w:rPr>
          <w:rFonts w:ascii="ITC Avant Garde Std Bk" w:hAnsi="ITC Avant Garde Std Bk"/>
          <w:bCs/>
          <w:sz w:val="21"/>
          <w:szCs w:val="21"/>
        </w:rPr>
      </w:pPr>
    </w:p>
    <w:p w:rsidR="007B74EC" w:rsidRPr="007B74EC" w:rsidRDefault="007B74EC" w:rsidP="00C8707C">
      <w:pPr>
        <w:pStyle w:val="Default"/>
        <w:numPr>
          <w:ilvl w:val="0"/>
          <w:numId w:val="14"/>
        </w:numPr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Para el Anexo I del Anteproyecto, relacionado con el Formato de Solicitud de asignación de Códigos de Red Móvil para Operadores M</w:t>
      </w:r>
      <w:r w:rsidR="00A249A5">
        <w:rPr>
          <w:rFonts w:ascii="ITC Avant Garde Std Bk" w:hAnsi="ITC Avant Garde Std Bk"/>
          <w:bCs/>
          <w:sz w:val="21"/>
          <w:szCs w:val="21"/>
        </w:rPr>
        <w:t xml:space="preserve">óviles Virtuales, </w:t>
      </w:r>
      <w:r w:rsidR="00A71286">
        <w:rPr>
          <w:rFonts w:ascii="ITC Avant Garde Std Bk" w:hAnsi="ITC Avant Garde Std Bk"/>
          <w:bCs/>
          <w:sz w:val="21"/>
          <w:szCs w:val="21"/>
        </w:rPr>
        <w:t xml:space="preserve">la </w:t>
      </w:r>
      <w:r>
        <w:rPr>
          <w:rFonts w:ascii="ITC Avant Garde Std Bk" w:hAnsi="ITC Avant Garde Std Bk"/>
          <w:bCs/>
          <w:sz w:val="21"/>
          <w:szCs w:val="21"/>
        </w:rPr>
        <w:t xml:space="preserve">Coordinación General sugiere a la UPR valorar la posibilidad de incluir en el mismo los siguientes rubros: i) </w:t>
      </w:r>
      <w:r w:rsidR="00A71286">
        <w:rPr>
          <w:rFonts w:ascii="ITC Avant Garde Std Bk" w:hAnsi="ITC Avant Garde Std Bk"/>
          <w:bCs/>
          <w:sz w:val="21"/>
          <w:szCs w:val="21"/>
        </w:rPr>
        <w:t>l</w:t>
      </w:r>
      <w:r w:rsidRPr="007B74EC">
        <w:rPr>
          <w:rFonts w:ascii="ITC Avant Garde Std Bk" w:hAnsi="ITC Avant Garde Std Bk"/>
          <w:bCs/>
          <w:sz w:val="21"/>
          <w:szCs w:val="21"/>
        </w:rPr>
        <w:t xml:space="preserve">as instrucciones previas a su llenado; </w:t>
      </w:r>
      <w:r>
        <w:rPr>
          <w:rFonts w:ascii="ITC Avant Garde Std Bk" w:hAnsi="ITC Avant Garde Std Bk"/>
          <w:bCs/>
          <w:sz w:val="21"/>
          <w:szCs w:val="21"/>
        </w:rPr>
        <w:t xml:space="preserve">ii) </w:t>
      </w:r>
      <w:r w:rsidR="00A71286">
        <w:rPr>
          <w:rFonts w:ascii="ITC Avant Garde Std Bk" w:hAnsi="ITC Avant Garde Std Bk"/>
          <w:bCs/>
          <w:sz w:val="21"/>
          <w:szCs w:val="21"/>
        </w:rPr>
        <w:t>l</w:t>
      </w:r>
      <w:r w:rsidRPr="007B74EC">
        <w:rPr>
          <w:rFonts w:ascii="ITC Avant Garde Std Bk" w:hAnsi="ITC Avant Garde Std Bk"/>
          <w:bCs/>
          <w:sz w:val="21"/>
          <w:szCs w:val="21"/>
        </w:rPr>
        <w:t xml:space="preserve">as consideraciones generales para su llenado; </w:t>
      </w:r>
      <w:r>
        <w:rPr>
          <w:rFonts w:ascii="ITC Avant Garde Std Bk" w:hAnsi="ITC Avant Garde Std Bk"/>
          <w:bCs/>
          <w:sz w:val="21"/>
          <w:szCs w:val="21"/>
        </w:rPr>
        <w:t>iii)</w:t>
      </w:r>
      <w:r w:rsidR="00A71286">
        <w:rPr>
          <w:rFonts w:ascii="ITC Avant Garde Std Bk" w:hAnsi="ITC Avant Garde Std Bk"/>
          <w:bCs/>
          <w:sz w:val="21"/>
          <w:szCs w:val="21"/>
        </w:rPr>
        <w:t>l</w:t>
      </w:r>
      <w:r w:rsidRPr="007B74EC">
        <w:rPr>
          <w:rFonts w:ascii="ITC Avant Garde Std Bk" w:hAnsi="ITC Avant Garde Std Bk"/>
          <w:bCs/>
          <w:sz w:val="21"/>
          <w:szCs w:val="21"/>
        </w:rPr>
        <w:t>as consideraciones en materia de protección de datos personales, transparencia y acceso a la información pública previstas en la legislación aplicable;</w:t>
      </w:r>
      <w:r>
        <w:rPr>
          <w:rFonts w:ascii="ITC Avant Garde Std Bk" w:hAnsi="ITC Avant Garde Std Bk"/>
          <w:bCs/>
          <w:sz w:val="21"/>
          <w:szCs w:val="21"/>
        </w:rPr>
        <w:t xml:space="preserve"> iv) </w:t>
      </w:r>
      <w:r w:rsidR="00A71286">
        <w:rPr>
          <w:rFonts w:ascii="ITC Avant Garde Std Bk" w:hAnsi="ITC Avant Garde Std Bk"/>
          <w:bCs/>
          <w:sz w:val="21"/>
          <w:szCs w:val="21"/>
        </w:rPr>
        <w:t>e</w:t>
      </w:r>
      <w:r>
        <w:rPr>
          <w:rFonts w:ascii="ITC Avant Garde Std Bk" w:hAnsi="ITC Avant Garde Std Bk"/>
          <w:bCs/>
          <w:sz w:val="21"/>
          <w:szCs w:val="21"/>
        </w:rPr>
        <w:t>l fundamento jurídico del trámite</w:t>
      </w:r>
      <w:r w:rsidRPr="007B74EC">
        <w:rPr>
          <w:rFonts w:ascii="ITC Avant Garde Std Bk" w:hAnsi="ITC Avant Garde Std Bk"/>
          <w:bCs/>
          <w:sz w:val="21"/>
          <w:szCs w:val="21"/>
        </w:rPr>
        <w:t>;</w:t>
      </w:r>
      <w:r>
        <w:rPr>
          <w:rFonts w:ascii="ITC Avant Garde Std Bk" w:hAnsi="ITC Avant Garde Std Bk"/>
          <w:bCs/>
          <w:sz w:val="21"/>
          <w:szCs w:val="21"/>
        </w:rPr>
        <w:t xml:space="preserve"> iv) </w:t>
      </w:r>
      <w:r w:rsidR="00A71286">
        <w:rPr>
          <w:rFonts w:ascii="ITC Avant Garde Std Bk" w:hAnsi="ITC Avant Garde Std Bk"/>
          <w:bCs/>
          <w:sz w:val="21"/>
          <w:szCs w:val="21"/>
        </w:rPr>
        <w:t>l</w:t>
      </w:r>
      <w:r w:rsidRPr="007B74EC">
        <w:rPr>
          <w:rFonts w:ascii="ITC Avant Garde Std Bk" w:hAnsi="ITC Avant Garde Std Bk"/>
          <w:bCs/>
          <w:sz w:val="21"/>
          <w:szCs w:val="21"/>
        </w:rPr>
        <w:t>os documentos que se deberán adjuntar al formato;</w:t>
      </w:r>
      <w:r>
        <w:rPr>
          <w:rFonts w:ascii="ITC Avant Garde Std Bk" w:hAnsi="ITC Avant Garde Std Bk"/>
          <w:bCs/>
          <w:sz w:val="21"/>
          <w:szCs w:val="21"/>
        </w:rPr>
        <w:t xml:space="preserve"> v) </w:t>
      </w:r>
      <w:r w:rsidR="00A71286">
        <w:rPr>
          <w:rFonts w:ascii="ITC Avant Garde Std Bk" w:hAnsi="ITC Avant Garde Std Bk"/>
          <w:bCs/>
          <w:sz w:val="21"/>
          <w:szCs w:val="21"/>
        </w:rPr>
        <w:t>e</w:t>
      </w:r>
      <w:r w:rsidRPr="007B74EC">
        <w:rPr>
          <w:rFonts w:ascii="ITC Avant Garde Std Bk" w:hAnsi="ITC Avant Garde Std Bk"/>
          <w:bCs/>
          <w:sz w:val="21"/>
          <w:szCs w:val="21"/>
        </w:rPr>
        <w:t xml:space="preserve">l plazo máximo de respuesta y de prevención de la </w:t>
      </w:r>
      <w:r w:rsidRPr="007B74EC">
        <w:rPr>
          <w:rFonts w:ascii="ITC Avant Garde Std Bk" w:hAnsi="ITC Avant Garde Std Bk"/>
          <w:bCs/>
          <w:sz w:val="21"/>
          <w:szCs w:val="21"/>
        </w:rPr>
        <w:lastRenderedPageBreak/>
        <w:t>información a cargo del Instituto;</w:t>
      </w:r>
      <w:r>
        <w:rPr>
          <w:rFonts w:ascii="ITC Avant Garde Std Bk" w:hAnsi="ITC Avant Garde Std Bk"/>
          <w:bCs/>
          <w:sz w:val="21"/>
          <w:szCs w:val="21"/>
        </w:rPr>
        <w:t xml:space="preserve"> vi) </w:t>
      </w:r>
      <w:r w:rsidR="00A71286">
        <w:rPr>
          <w:rFonts w:ascii="ITC Avant Garde Std Bk" w:hAnsi="ITC Avant Garde Std Bk"/>
          <w:bCs/>
          <w:sz w:val="21"/>
          <w:szCs w:val="21"/>
        </w:rPr>
        <w:t>e</w:t>
      </w:r>
      <w:r w:rsidRPr="007B74EC">
        <w:rPr>
          <w:rFonts w:ascii="ITC Avant Garde Std Bk" w:hAnsi="ITC Avant Garde Std Bk"/>
          <w:bCs/>
          <w:sz w:val="21"/>
          <w:szCs w:val="21"/>
        </w:rPr>
        <w:t>l plazo máximo del solicitante para atender el requerimiento de prevención de la información solicitada por el Instituto;</w:t>
      </w:r>
      <w:r>
        <w:rPr>
          <w:rFonts w:ascii="ITC Avant Garde Std Bk" w:hAnsi="ITC Avant Garde Std Bk"/>
          <w:bCs/>
          <w:sz w:val="21"/>
          <w:szCs w:val="21"/>
        </w:rPr>
        <w:t xml:space="preserve"> vii)</w:t>
      </w:r>
      <w:r w:rsidRPr="007B74EC">
        <w:rPr>
          <w:rFonts w:ascii="ITC Avant Garde Std Bk" w:hAnsi="ITC Avant Garde Std Bk"/>
          <w:bCs/>
          <w:sz w:val="21"/>
          <w:szCs w:val="21"/>
        </w:rPr>
        <w:t xml:space="preserve"> </w:t>
      </w:r>
      <w:r w:rsidR="00652C2A">
        <w:rPr>
          <w:rFonts w:ascii="ITC Avant Garde Std Bk" w:hAnsi="ITC Avant Garde Std Bk"/>
          <w:bCs/>
          <w:sz w:val="21"/>
          <w:szCs w:val="21"/>
        </w:rPr>
        <w:t>e</w:t>
      </w:r>
      <w:r w:rsidRPr="007B74EC">
        <w:rPr>
          <w:rFonts w:ascii="ITC Avant Garde Std Bk" w:hAnsi="ITC Avant Garde Std Bk"/>
          <w:bCs/>
          <w:sz w:val="21"/>
          <w:szCs w:val="21"/>
        </w:rPr>
        <w:t>n su caso, señalar cuando aplique la negativa o afirmativa ficta;</w:t>
      </w:r>
      <w:r>
        <w:rPr>
          <w:rFonts w:ascii="ITC Avant Garde Std Bk" w:hAnsi="ITC Avant Garde Std Bk"/>
          <w:bCs/>
          <w:sz w:val="21"/>
          <w:szCs w:val="21"/>
        </w:rPr>
        <w:t xml:space="preserve"> viii) </w:t>
      </w:r>
      <w:r w:rsidR="00652C2A">
        <w:rPr>
          <w:rFonts w:ascii="ITC Avant Garde Std Bk" w:hAnsi="ITC Avant Garde Std Bk"/>
          <w:bCs/>
          <w:sz w:val="21"/>
          <w:szCs w:val="21"/>
        </w:rPr>
        <w:t>u</w:t>
      </w:r>
      <w:r w:rsidRPr="007B74EC">
        <w:rPr>
          <w:rFonts w:ascii="ITC Avant Garde Std Bk" w:hAnsi="ITC Avant Garde Std Bk"/>
          <w:bCs/>
          <w:sz w:val="21"/>
          <w:szCs w:val="21"/>
        </w:rPr>
        <w:t>n punto de contacto en caso de dudas, quejas y</w:t>
      </w:r>
      <w:r w:rsidR="005565B7">
        <w:rPr>
          <w:rFonts w:ascii="ITC Avant Garde Std Bk" w:hAnsi="ITC Avant Garde Std Bk"/>
          <w:bCs/>
          <w:sz w:val="21"/>
          <w:szCs w:val="21"/>
        </w:rPr>
        <w:t>/o</w:t>
      </w:r>
      <w:r w:rsidRPr="007B74EC">
        <w:rPr>
          <w:rFonts w:ascii="ITC Avant Garde Std Bk" w:hAnsi="ITC Avant Garde Std Bk"/>
          <w:bCs/>
          <w:sz w:val="21"/>
          <w:szCs w:val="21"/>
        </w:rPr>
        <w:t xml:space="preserve"> sugerencias, y</w:t>
      </w:r>
      <w:r>
        <w:rPr>
          <w:rFonts w:ascii="ITC Avant Garde Std Bk" w:hAnsi="ITC Avant Garde Std Bk"/>
          <w:bCs/>
          <w:sz w:val="21"/>
          <w:szCs w:val="21"/>
        </w:rPr>
        <w:t xml:space="preserve"> ix) </w:t>
      </w:r>
      <w:r w:rsidR="00652C2A">
        <w:rPr>
          <w:rFonts w:ascii="ITC Avant Garde Std Bk" w:hAnsi="ITC Avant Garde Std Bk"/>
          <w:bCs/>
          <w:sz w:val="21"/>
          <w:szCs w:val="21"/>
        </w:rPr>
        <w:t>c</w:t>
      </w:r>
      <w:r w:rsidRPr="007B74EC">
        <w:rPr>
          <w:rFonts w:ascii="ITC Avant Garde Std Bk" w:hAnsi="ITC Avant Garde Std Bk"/>
          <w:bCs/>
          <w:sz w:val="21"/>
          <w:szCs w:val="21"/>
        </w:rPr>
        <w:t>ualquier otra información que ayude y oriente a los particulares respecto d</w:t>
      </w:r>
      <w:r>
        <w:rPr>
          <w:rFonts w:ascii="ITC Avant Garde Std Bk" w:hAnsi="ITC Avant Garde Std Bk"/>
          <w:bCs/>
          <w:sz w:val="21"/>
          <w:szCs w:val="21"/>
        </w:rPr>
        <w:t>e cómo y en dónde presentar el t</w:t>
      </w:r>
      <w:r w:rsidRPr="007B74EC">
        <w:rPr>
          <w:rFonts w:ascii="ITC Avant Garde Std Bk" w:hAnsi="ITC Avant Garde Std Bk"/>
          <w:bCs/>
          <w:sz w:val="21"/>
          <w:szCs w:val="21"/>
        </w:rPr>
        <w:t>rámite correspondiente</w:t>
      </w:r>
      <w:r>
        <w:rPr>
          <w:rFonts w:ascii="ITC Avant Garde Std Bk" w:hAnsi="ITC Avant Garde Std Bk"/>
          <w:bCs/>
          <w:sz w:val="21"/>
          <w:szCs w:val="21"/>
        </w:rPr>
        <w:t>.</w:t>
      </w:r>
      <w:r w:rsidR="00BA2AE9">
        <w:rPr>
          <w:rFonts w:ascii="ITC Avant Garde Std Bk" w:hAnsi="ITC Avant Garde Std Bk"/>
          <w:bCs/>
          <w:sz w:val="21"/>
          <w:szCs w:val="21"/>
        </w:rPr>
        <w:t xml:space="preserve"> Lo anterior, brindará de mayor información y certeza jurídica a los particulares que realicen ante el Instituto el trámite en comento.</w:t>
      </w:r>
      <w:bookmarkStart w:id="0" w:name="_GoBack"/>
      <w:bookmarkEnd w:id="0"/>
    </w:p>
    <w:p w:rsidR="00F00BCC" w:rsidRPr="00C84965" w:rsidRDefault="00F00BCC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120DBA" w:rsidRDefault="00652C2A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 xml:space="preserve">La </w:t>
      </w:r>
      <w:r w:rsidR="00120DBA">
        <w:rPr>
          <w:rFonts w:ascii="ITC Avant Garde Std Bk" w:hAnsi="ITC Avant Garde Std Bk"/>
          <w:bCs/>
          <w:sz w:val="21"/>
          <w:szCs w:val="21"/>
        </w:rPr>
        <w:t>Coordinación General considera que el AIR del Anteproyecto presentado por la UPR fue elaborado satisfactoriamente, al presentar información detallada que permit</w:t>
      </w:r>
      <w:r w:rsidR="005565B7">
        <w:rPr>
          <w:rFonts w:ascii="ITC Avant Garde Std Bk" w:hAnsi="ITC Avant Garde Std Bk"/>
          <w:bCs/>
          <w:sz w:val="21"/>
          <w:szCs w:val="21"/>
        </w:rPr>
        <w:t>e</w:t>
      </w:r>
      <w:r w:rsidR="00120DBA">
        <w:rPr>
          <w:rFonts w:ascii="ITC Avant Garde Std Bk" w:hAnsi="ITC Avant Garde Std Bk"/>
          <w:bCs/>
          <w:sz w:val="21"/>
          <w:szCs w:val="21"/>
        </w:rPr>
        <w:t xml:space="preserve"> conocer a todo interesado sobre la problemática que da origen al Anteproyecto</w:t>
      </w:r>
      <w:r>
        <w:rPr>
          <w:rFonts w:ascii="ITC Avant Garde Std Bk" w:hAnsi="ITC Avant Garde Std Bk"/>
          <w:bCs/>
          <w:sz w:val="21"/>
          <w:szCs w:val="21"/>
        </w:rPr>
        <w:t xml:space="preserve"> y </w:t>
      </w:r>
      <w:r w:rsidR="00120DBA">
        <w:rPr>
          <w:rFonts w:ascii="ITC Avant Garde Std Bk" w:hAnsi="ITC Avant Garde Std Bk"/>
          <w:bCs/>
          <w:sz w:val="21"/>
          <w:szCs w:val="21"/>
        </w:rPr>
        <w:t xml:space="preserve"> las alternativas de solución valoradas por el Instituto, así como la estimación de los impactos que se pudieran desprender a razón de su implementación</w:t>
      </w:r>
      <w:r w:rsidR="00A70899">
        <w:rPr>
          <w:rFonts w:ascii="ITC Avant Garde Std Bk" w:hAnsi="ITC Avant Garde Std Bk"/>
          <w:bCs/>
          <w:sz w:val="21"/>
          <w:szCs w:val="21"/>
        </w:rPr>
        <w:t>, con lo que se asegura plena transparencia en el proceso de elaboración de nuevas regulaciones de este órgano constitucional autónomo.</w:t>
      </w:r>
    </w:p>
    <w:p w:rsidR="00120DBA" w:rsidRDefault="00120DBA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574806" w:rsidRPr="00420E6A" w:rsidRDefault="00A70899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>
        <w:rPr>
          <w:rFonts w:ascii="ITC Avant Garde Std Bk" w:hAnsi="ITC Avant Garde Std Bk"/>
          <w:bCs/>
          <w:sz w:val="21"/>
          <w:szCs w:val="21"/>
        </w:rPr>
        <w:t>S</w:t>
      </w:r>
      <w:r w:rsidR="00574806" w:rsidRPr="00420E6A">
        <w:rPr>
          <w:rFonts w:ascii="ITC Avant Garde Std Bk" w:hAnsi="ITC Avant Garde Std Bk"/>
          <w:bCs/>
          <w:sz w:val="21"/>
          <w:szCs w:val="21"/>
        </w:rPr>
        <w:t xml:space="preserve">e le informa que, una vez que entre </w:t>
      </w:r>
      <w:r w:rsidR="00574806">
        <w:rPr>
          <w:rFonts w:ascii="ITC Avant Garde Std Bk" w:hAnsi="ITC Avant Garde Std Bk"/>
          <w:bCs/>
          <w:sz w:val="21"/>
          <w:szCs w:val="21"/>
        </w:rPr>
        <w:t xml:space="preserve">en vigor el Anteproyecto, la UPR deberá remitir a </w:t>
      </w:r>
      <w:r w:rsidR="00652C2A">
        <w:rPr>
          <w:rFonts w:ascii="ITC Avant Garde Std Bk" w:hAnsi="ITC Avant Garde Std Bk"/>
          <w:bCs/>
          <w:sz w:val="21"/>
          <w:szCs w:val="21"/>
        </w:rPr>
        <w:t>l</w:t>
      </w:r>
      <w:r w:rsidR="00574806">
        <w:rPr>
          <w:rFonts w:ascii="ITC Avant Garde Std Bk" w:hAnsi="ITC Avant Garde Std Bk"/>
          <w:bCs/>
          <w:sz w:val="21"/>
          <w:szCs w:val="21"/>
        </w:rPr>
        <w:t>a Coordinación General</w:t>
      </w:r>
      <w:r w:rsidR="00574806" w:rsidRPr="00420E6A">
        <w:rPr>
          <w:rFonts w:ascii="ITC Avant Garde Std Bk" w:hAnsi="ITC Avant Garde Std Bk"/>
          <w:bCs/>
          <w:sz w:val="21"/>
          <w:szCs w:val="21"/>
        </w:rPr>
        <w:t xml:space="preserve"> la información correspondiente a los trámites que deberán ser inscritos en el Inventario de Trámites y Servicios del Instituto Federal de Telecomunicaciones.</w:t>
      </w:r>
    </w:p>
    <w:p w:rsidR="00574806" w:rsidRDefault="00574806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574806" w:rsidRDefault="00574806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 w:rsidRPr="00420E6A">
        <w:rPr>
          <w:rFonts w:ascii="ITC Avant Garde Std Bk" w:hAnsi="ITC Avant Garde Std Bk"/>
          <w:bCs/>
          <w:sz w:val="21"/>
          <w:szCs w:val="21"/>
        </w:rPr>
        <w:t>Esperando que la presente opinión no vinculante le sea de utilidad, quedo a sus órdenes para cualquier comentario o duda que exista sobre el particular.</w:t>
      </w:r>
    </w:p>
    <w:p w:rsidR="00574806" w:rsidRDefault="00574806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</w:p>
    <w:p w:rsidR="00DD32EB" w:rsidRPr="00C84965" w:rsidRDefault="00DD32EB" w:rsidP="00C8707C">
      <w:pPr>
        <w:pStyle w:val="Default"/>
        <w:jc w:val="both"/>
        <w:rPr>
          <w:rFonts w:ascii="ITC Avant Garde Std Bk" w:hAnsi="ITC Avant Garde Std Bk"/>
          <w:bCs/>
          <w:sz w:val="21"/>
          <w:szCs w:val="21"/>
        </w:rPr>
      </w:pPr>
      <w:r w:rsidRPr="00C84965">
        <w:rPr>
          <w:rFonts w:ascii="ITC Avant Garde Std Bk" w:hAnsi="ITC Avant Garde Std Bk"/>
          <w:bCs/>
          <w:sz w:val="21"/>
          <w:szCs w:val="21"/>
        </w:rPr>
        <w:t>Sin otro particular, reciba un cordial saludo.</w:t>
      </w:r>
    </w:p>
    <w:p w:rsidR="00C70CD7" w:rsidRDefault="00C70CD7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</w:p>
    <w:p w:rsidR="00C8707C" w:rsidRPr="00C84965" w:rsidRDefault="00C8707C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jc w:val="center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  <w:t>A T E N T A M E N T E</w:t>
      </w: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</w:p>
    <w:p w:rsidR="00344059" w:rsidRDefault="00344059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</w:p>
    <w:p w:rsidR="00DA4646" w:rsidRPr="00C84965" w:rsidRDefault="00DA4646" w:rsidP="00C84965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</w:p>
    <w:p w:rsidR="00DD32EB" w:rsidRPr="00C84965" w:rsidRDefault="00DD32EB" w:rsidP="00C84965">
      <w:pPr>
        <w:pStyle w:val="estilo30"/>
        <w:spacing w:before="0" w:beforeAutospacing="0" w:after="0" w:afterAutospacing="0" w:line="276" w:lineRule="auto"/>
        <w:jc w:val="center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  <w:t>LUIS FERNANDO ROSAS YÁÑEZ</w:t>
      </w:r>
    </w:p>
    <w:p w:rsidR="00DD32EB" w:rsidRPr="00C84965" w:rsidRDefault="00DD32EB" w:rsidP="00C84965">
      <w:pPr>
        <w:spacing w:after="0"/>
        <w:jc w:val="center"/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</w:pPr>
      <w:r w:rsidRPr="00C84965">
        <w:rPr>
          <w:rFonts w:ascii="ITC Avant Garde Std Bk" w:hAnsi="ITC Avant Garde Std Bk"/>
          <w:b/>
          <w:bCs/>
          <w:color w:val="000000"/>
          <w:sz w:val="21"/>
          <w:szCs w:val="21"/>
          <w:lang w:val="pt-BR"/>
        </w:rPr>
        <w:t>EL COORDINADOR GENERAL</w:t>
      </w:r>
    </w:p>
    <w:p w:rsidR="00DD32EB" w:rsidRDefault="00DD32EB" w:rsidP="00C84965">
      <w:pPr>
        <w:spacing w:after="0"/>
        <w:jc w:val="center"/>
        <w:rPr>
          <w:rFonts w:ascii="ITC Avant Garde Std Bk" w:hAnsi="ITC Avant Garde Std Bk" w:cs="Arial"/>
          <w:b/>
          <w:sz w:val="21"/>
          <w:szCs w:val="21"/>
          <w:shd w:val="clear" w:color="auto" w:fill="FFFFFF"/>
        </w:rPr>
      </w:pPr>
    </w:p>
    <w:p w:rsidR="00C8707C" w:rsidRPr="00C84965" w:rsidRDefault="00C8707C" w:rsidP="00C84965">
      <w:pPr>
        <w:spacing w:after="0"/>
        <w:jc w:val="center"/>
        <w:rPr>
          <w:rFonts w:ascii="ITC Avant Garde Std Bk" w:hAnsi="ITC Avant Garde Std Bk" w:cs="Arial"/>
          <w:b/>
          <w:sz w:val="21"/>
          <w:szCs w:val="21"/>
          <w:shd w:val="clear" w:color="auto" w:fill="FFFFFF"/>
        </w:rPr>
      </w:pPr>
    </w:p>
    <w:p w:rsidR="00574806" w:rsidRPr="00574806" w:rsidRDefault="00574806" w:rsidP="00574806">
      <w:pPr>
        <w:spacing w:after="0"/>
        <w:ind w:left="851" w:hanging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proofErr w:type="spellStart"/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C.c.p</w:t>
      </w:r>
      <w:proofErr w:type="spellEnd"/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. 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ab/>
      </w: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Javier Juárez Mojica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Titular de la Unidad de Política Regulatoria del Instituto Federal de Telecomunicaciones (IFT).- Para su conocimiento.</w:t>
      </w:r>
    </w:p>
    <w:p w:rsidR="00574806" w:rsidRPr="00574806" w:rsidRDefault="00574806" w:rsidP="00574806">
      <w:pPr>
        <w:spacing w:after="0"/>
        <w:ind w:left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Juan José Crispín Borbolla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Secretario Técnico del Pleno del IFT.- Mismo fin.</w:t>
      </w:r>
    </w:p>
    <w:p w:rsidR="00574806" w:rsidRPr="00574806" w:rsidRDefault="00574806" w:rsidP="00574806">
      <w:pPr>
        <w:spacing w:after="0"/>
        <w:ind w:left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Luis Fernando Peláez Espinosa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Coordinador Ejecutivo del IFT.- Mismo fin.</w:t>
      </w:r>
    </w:p>
    <w:p w:rsidR="003C116E" w:rsidRPr="00C84965" w:rsidRDefault="00574806" w:rsidP="00574806">
      <w:pPr>
        <w:spacing w:after="0"/>
        <w:ind w:left="851"/>
        <w:jc w:val="both"/>
        <w:rPr>
          <w:rFonts w:ascii="ITC Avant Garde Std Bk" w:hAnsi="ITC Avant Garde Std Bk"/>
          <w:sz w:val="16"/>
          <w:szCs w:val="21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Sonia Alejandra Celada Ramírez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Secretaria Particular del Comisionado Presidente del IFT.- Mismo fin.</w:t>
      </w:r>
    </w:p>
    <w:sectPr w:rsidR="003C116E" w:rsidRPr="00C84965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F6" w:rsidRDefault="00AF5CF6" w:rsidP="00D07698">
      <w:pPr>
        <w:spacing w:after="0" w:line="240" w:lineRule="auto"/>
      </w:pPr>
      <w:r>
        <w:separator/>
      </w:r>
    </w:p>
  </w:endnote>
  <w:endnote w:type="continuationSeparator" w:id="0">
    <w:p w:rsidR="00AF5CF6" w:rsidRDefault="00AF5CF6" w:rsidP="00D0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1" w:rsidRPr="00A26829" w:rsidRDefault="00B13F61" w:rsidP="00B13F61">
    <w:pPr>
      <w:pStyle w:val="Piedepgina"/>
      <w:jc w:val="right"/>
      <w:rPr>
        <w:rFonts w:ascii="ITC Avant Garde" w:hAnsi="ITC Avant Garde"/>
        <w:sz w:val="16"/>
      </w:rPr>
    </w:pPr>
    <w:r w:rsidRPr="00A26829">
      <w:rPr>
        <w:rFonts w:ascii="ITC Avant Garde" w:hAnsi="ITC Avant Garde"/>
        <w:sz w:val="16"/>
        <w:lang w:val="es-ES"/>
      </w:rPr>
      <w:t xml:space="preserve">Página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PAGE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BA2AE9" w:rsidRPr="00BA2AE9">
      <w:rPr>
        <w:rFonts w:ascii="ITC Avant Garde" w:hAnsi="ITC Avant Garde"/>
        <w:noProof/>
        <w:sz w:val="16"/>
        <w:lang w:val="es-ES"/>
      </w:rPr>
      <w:t>4</w:t>
    </w:r>
    <w:r w:rsidRPr="00A26829">
      <w:rPr>
        <w:rFonts w:ascii="ITC Avant Garde" w:hAnsi="ITC Avant Garde"/>
        <w:sz w:val="16"/>
      </w:rPr>
      <w:fldChar w:fldCharType="end"/>
    </w:r>
    <w:r w:rsidRPr="00A26829">
      <w:rPr>
        <w:rFonts w:ascii="ITC Avant Garde" w:hAnsi="ITC Avant Garde"/>
        <w:sz w:val="16"/>
        <w:lang w:val="es-ES"/>
      </w:rPr>
      <w:t xml:space="preserve"> de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NUMPAGES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BA2AE9" w:rsidRPr="00BA2AE9">
      <w:rPr>
        <w:rFonts w:ascii="ITC Avant Garde" w:hAnsi="ITC Avant Garde"/>
        <w:noProof/>
        <w:sz w:val="16"/>
        <w:lang w:val="es-ES"/>
      </w:rPr>
      <w:t>4</w:t>
    </w:r>
    <w:r w:rsidRPr="00A26829">
      <w:rPr>
        <w:rFonts w:ascii="ITC Avant Garde" w:hAnsi="ITC Avant Garde"/>
        <w:sz w:val="16"/>
      </w:rPr>
      <w:fldChar w:fldCharType="end"/>
    </w:r>
  </w:p>
  <w:p w:rsidR="00B13F61" w:rsidRDefault="00B13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F6" w:rsidRDefault="00AF5CF6" w:rsidP="00D07698">
      <w:pPr>
        <w:spacing w:after="0" w:line="240" w:lineRule="auto"/>
      </w:pPr>
      <w:r>
        <w:separator/>
      </w:r>
    </w:p>
  </w:footnote>
  <w:footnote w:type="continuationSeparator" w:id="0">
    <w:p w:rsidR="00AF5CF6" w:rsidRDefault="00AF5CF6" w:rsidP="00D07698">
      <w:pPr>
        <w:spacing w:after="0" w:line="240" w:lineRule="auto"/>
      </w:pPr>
      <w:r>
        <w:continuationSeparator/>
      </w:r>
    </w:p>
  </w:footnote>
  <w:footnote w:id="1">
    <w:p w:rsidR="00213D92" w:rsidRPr="00B36F35" w:rsidRDefault="00213D92" w:rsidP="00DD1CCC">
      <w:pPr>
        <w:pStyle w:val="Textonotapie"/>
        <w:jc w:val="both"/>
        <w:rPr>
          <w:rFonts w:ascii="ITC Avant Garde Std Bk" w:hAnsi="ITC Avant Garde Std Bk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Average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Revenue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 Per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User</w:t>
      </w:r>
      <w:proofErr w:type="spellEnd"/>
      <w:r w:rsidR="00B36F35">
        <w:rPr>
          <w:rFonts w:ascii="ITC Avant Garde Std Bk" w:hAnsi="ITC Avant Garde Std Bk"/>
          <w:sz w:val="16"/>
          <w:szCs w:val="16"/>
        </w:rPr>
        <w:t>.</w:t>
      </w:r>
    </w:p>
  </w:footnote>
  <w:footnote w:id="2">
    <w:p w:rsidR="00B36F35" w:rsidRPr="00B36F35" w:rsidRDefault="0021349B" w:rsidP="00DD1CCC">
      <w:pPr>
        <w:pStyle w:val="Textonotapie"/>
        <w:jc w:val="both"/>
        <w:rPr>
          <w:rFonts w:ascii="ITC Avant Garde Std Bk" w:hAnsi="ITC Avant Garde Std Bk"/>
          <w:sz w:val="16"/>
          <w:szCs w:val="16"/>
        </w:rPr>
      </w:pPr>
      <w:r w:rsidRPr="00B36F35">
        <w:rPr>
          <w:rStyle w:val="Refdenotaalpie"/>
          <w:rFonts w:ascii="ITC Avant Garde Std Bk" w:hAnsi="ITC Avant Garde Std Bk"/>
          <w:sz w:val="16"/>
          <w:szCs w:val="16"/>
        </w:rPr>
        <w:footnoteRef/>
      </w:r>
      <w:r w:rsidRPr="00B36F35">
        <w:rPr>
          <w:rFonts w:ascii="ITC Avant Garde Std Bk" w:hAnsi="ITC Avant Garde Std Bk"/>
          <w:sz w:val="16"/>
          <w:szCs w:val="16"/>
        </w:rPr>
        <w:t xml:space="preserve"> </w:t>
      </w:r>
      <w:r w:rsidR="00247351" w:rsidRPr="00B36F35">
        <w:rPr>
          <w:rFonts w:ascii="ITC Avant Garde Std Bk" w:hAnsi="ITC Avant Garde Std Bk"/>
          <w:sz w:val="16"/>
          <w:szCs w:val="16"/>
        </w:rPr>
        <w:t xml:space="preserve">Digital Agenda </w:t>
      </w:r>
      <w:proofErr w:type="spellStart"/>
      <w:r w:rsidR="00247351" w:rsidRPr="00B36F35">
        <w:rPr>
          <w:rFonts w:ascii="ITC Avant Garde Std Bk" w:hAnsi="ITC Avant Garde Std Bk"/>
          <w:sz w:val="16"/>
          <w:szCs w:val="16"/>
        </w:rPr>
        <w:t>Scoreboard</w:t>
      </w:r>
      <w:proofErr w:type="spellEnd"/>
      <w:r w:rsidR="00247351" w:rsidRPr="00B36F35">
        <w:rPr>
          <w:rFonts w:ascii="ITC Avant Garde Std Bk" w:hAnsi="ITC Avant Garde Std Bk"/>
          <w:sz w:val="16"/>
          <w:szCs w:val="16"/>
        </w:rPr>
        <w:t xml:space="preserve"> 2014.</w:t>
      </w:r>
      <w:r w:rsidR="00247351" w:rsidRPr="00B36F35">
        <w:rPr>
          <w:rFonts w:ascii="ITC Avant Garde Std Bk" w:hAnsi="ITC Avant Garde Std Bk"/>
          <w:i/>
          <w:sz w:val="16"/>
          <w:szCs w:val="16"/>
        </w:rPr>
        <w:t xml:space="preserve"> </w:t>
      </w:r>
      <w:r w:rsidR="00247351" w:rsidRPr="00B36F35">
        <w:rPr>
          <w:rFonts w:ascii="ITC Avant Garde Std Bk" w:hAnsi="ITC Avant Garde Std Bk"/>
          <w:sz w:val="16"/>
          <w:szCs w:val="16"/>
        </w:rPr>
        <w:t>Comisión Europea.</w:t>
      </w:r>
      <w:r w:rsidR="00EC0888" w:rsidRPr="00B36F35">
        <w:rPr>
          <w:rFonts w:ascii="ITC Avant Garde Std Bk" w:hAnsi="ITC Avant Garde Std Bk"/>
          <w:sz w:val="16"/>
          <w:szCs w:val="16"/>
        </w:rPr>
        <w:t xml:space="preserve"> </w:t>
      </w:r>
      <w:r w:rsidR="00B36F35" w:rsidRPr="00B36F35">
        <w:rPr>
          <w:rFonts w:ascii="ITC Avant Garde Std Bk" w:hAnsi="ITC Avant Garde Std Bk"/>
          <w:sz w:val="16"/>
          <w:szCs w:val="16"/>
        </w:rPr>
        <w:t>El cual puede ser consultado en el siguiente vínculo electrónico</w:t>
      </w:r>
      <w:r w:rsidR="00247351" w:rsidRPr="00B36F35">
        <w:rPr>
          <w:rFonts w:ascii="ITC Avant Garde Std Bk" w:hAnsi="ITC Avant Garde Std Bk"/>
          <w:sz w:val="16"/>
          <w:szCs w:val="16"/>
        </w:rPr>
        <w:t xml:space="preserve">: </w:t>
      </w:r>
      <w:hyperlink r:id="rId1" w:history="1">
        <w:r w:rsidR="00247351" w:rsidRPr="00B36F35">
          <w:rPr>
            <w:rFonts w:ascii="ITC Avant Garde Std Bk" w:hAnsi="ITC Avant Garde Std Bk" w:cs="Arial"/>
            <w:sz w:val="16"/>
            <w:szCs w:val="16"/>
          </w:rPr>
          <w:t>http://ec.europa.eu/information_society/newsroom/cf/dae/document.cfm?doc_id=5938</w:t>
        </w:r>
      </w:hyperlink>
      <w:r w:rsidR="00247351" w:rsidRPr="00B36F35">
        <w:rPr>
          <w:rFonts w:ascii="ITC Avant Garde Std Bk" w:hAnsi="ITC Avant Garde Std Bk" w:cs="Arial"/>
          <w:sz w:val="16"/>
          <w:szCs w:val="16"/>
        </w:rPr>
        <w:t>.</w:t>
      </w:r>
    </w:p>
    <w:p w:rsidR="00FC407A" w:rsidRPr="00B36F35" w:rsidRDefault="00FC407A" w:rsidP="00DD1CCC">
      <w:pPr>
        <w:pStyle w:val="Textonotapie"/>
        <w:jc w:val="both"/>
        <w:rPr>
          <w:rFonts w:ascii="ITC Avant Garde Std Bk" w:hAnsi="ITC Avant Garde Std Bk"/>
          <w:sz w:val="16"/>
          <w:szCs w:val="16"/>
        </w:rPr>
      </w:pPr>
      <w:r w:rsidRPr="00B36F35">
        <w:rPr>
          <w:rFonts w:ascii="ITC Avant Garde Std Bk" w:hAnsi="ITC Avant Garde Std Bk"/>
          <w:sz w:val="16"/>
          <w:szCs w:val="16"/>
        </w:rPr>
        <w:t xml:space="preserve">Digital Agenda Key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Indicators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>. Comisión Europea.</w:t>
      </w:r>
      <w:r w:rsidR="00EC0888" w:rsidRPr="00B36F35">
        <w:rPr>
          <w:rFonts w:ascii="ITC Avant Garde Std Bk" w:hAnsi="ITC Avant Garde Std Bk"/>
          <w:sz w:val="16"/>
          <w:szCs w:val="16"/>
        </w:rPr>
        <w:t xml:space="preserve"> </w:t>
      </w:r>
      <w:r w:rsidRPr="00B36F35">
        <w:rPr>
          <w:rFonts w:ascii="ITC Avant Garde Std Bk" w:hAnsi="ITC Avant Garde Std Bk"/>
          <w:sz w:val="16"/>
          <w:szCs w:val="16"/>
        </w:rPr>
        <w:t>Disponible en</w:t>
      </w:r>
      <w:r w:rsidR="00B36F35" w:rsidRPr="00B36F35">
        <w:rPr>
          <w:rFonts w:ascii="ITC Avant Garde Std Bk" w:hAnsi="ITC Avant Garde Std Bk"/>
          <w:sz w:val="16"/>
          <w:szCs w:val="16"/>
        </w:rPr>
        <w:t xml:space="preserve"> el siguiente vínculo electrónico</w:t>
      </w:r>
      <w:r w:rsidRPr="00B36F35">
        <w:rPr>
          <w:rFonts w:ascii="ITC Avant Garde Std Bk" w:hAnsi="ITC Avant Garde Std Bk"/>
          <w:sz w:val="16"/>
          <w:szCs w:val="16"/>
        </w:rPr>
        <w:t>: http://digital-agenda-data.eu/datasets/digital_agenda_scoreboard_key_indicators/indicators#mobile-market</w:t>
      </w:r>
    </w:p>
    <w:p w:rsidR="00247351" w:rsidRPr="008A18E2" w:rsidRDefault="00247351" w:rsidP="008A18E2">
      <w:pPr>
        <w:pStyle w:val="Textonotapie"/>
        <w:jc w:val="both"/>
        <w:rPr>
          <w:rFonts w:ascii="ITC Avant Garde Std Bk" w:hAnsi="ITC Avant Garde Std Bk"/>
          <w:sz w:val="16"/>
          <w:szCs w:val="16"/>
        </w:rPr>
      </w:pPr>
      <w:proofErr w:type="spellStart"/>
      <w:r w:rsidRPr="00B36F35">
        <w:rPr>
          <w:rFonts w:ascii="ITC Avant Garde Std Bk" w:hAnsi="ITC Avant Garde Std Bk"/>
          <w:sz w:val="16"/>
          <w:szCs w:val="16"/>
        </w:rPr>
        <w:t>Definitions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 of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World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Telecommunication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/ICT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Indicators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, </w:t>
      </w:r>
      <w:proofErr w:type="spellStart"/>
      <w:r w:rsidRPr="00B36F35">
        <w:rPr>
          <w:rFonts w:ascii="ITC Avant Garde Std Bk" w:hAnsi="ITC Avant Garde Std Bk"/>
          <w:sz w:val="16"/>
          <w:szCs w:val="16"/>
        </w:rPr>
        <w:t>March</w:t>
      </w:r>
      <w:proofErr w:type="spellEnd"/>
      <w:r w:rsidRPr="00B36F35">
        <w:rPr>
          <w:rFonts w:ascii="ITC Avant Garde Std Bk" w:hAnsi="ITC Avant Garde Std Bk"/>
          <w:sz w:val="16"/>
          <w:szCs w:val="16"/>
        </w:rPr>
        <w:t xml:space="preserve"> 2010. </w:t>
      </w:r>
      <w:r w:rsidR="00B36F35" w:rsidRPr="00B36F35">
        <w:rPr>
          <w:rFonts w:ascii="ITC Avant Garde Std Bk" w:hAnsi="ITC Avant Garde Std Bk"/>
          <w:sz w:val="16"/>
          <w:szCs w:val="16"/>
        </w:rPr>
        <w:t>Unión Internacional de Telecomunicaciones (UIT)</w:t>
      </w:r>
      <w:r w:rsidRPr="00B36F35">
        <w:rPr>
          <w:rFonts w:ascii="ITC Avant Garde Std Bk" w:hAnsi="ITC Avant Garde Std Bk"/>
          <w:sz w:val="16"/>
          <w:szCs w:val="16"/>
        </w:rPr>
        <w:t>.</w:t>
      </w:r>
      <w:r w:rsidR="00EC0888" w:rsidRPr="00B36F35">
        <w:rPr>
          <w:rFonts w:ascii="ITC Avant Garde Std Bk" w:hAnsi="ITC Avant Garde Std Bk"/>
          <w:sz w:val="16"/>
          <w:szCs w:val="16"/>
        </w:rPr>
        <w:t xml:space="preserve"> </w:t>
      </w:r>
      <w:r w:rsidRPr="00B36F35">
        <w:rPr>
          <w:rFonts w:ascii="ITC Avant Garde Std Bk" w:hAnsi="ITC Avant Garde Std Bk"/>
          <w:sz w:val="16"/>
          <w:szCs w:val="16"/>
        </w:rPr>
        <w:t>Disponible en</w:t>
      </w:r>
      <w:r w:rsidR="00B36F35" w:rsidRPr="00B36F35">
        <w:rPr>
          <w:rFonts w:ascii="ITC Avant Garde Std Bk" w:hAnsi="ITC Avant Garde Std Bk"/>
          <w:sz w:val="16"/>
          <w:szCs w:val="16"/>
        </w:rPr>
        <w:t xml:space="preserve"> el siguiente vínculo electrónico</w:t>
      </w:r>
      <w:r w:rsidRPr="00B36F35">
        <w:rPr>
          <w:rFonts w:ascii="ITC Avant Garde Std Bk" w:hAnsi="ITC Avant Garde Std Bk"/>
          <w:sz w:val="16"/>
          <w:szCs w:val="16"/>
        </w:rPr>
        <w:t xml:space="preserve">: </w:t>
      </w:r>
      <w:hyperlink r:id="rId2" w:history="1">
        <w:r w:rsidRPr="00B36F35">
          <w:rPr>
            <w:rStyle w:val="Hipervnculo"/>
            <w:rFonts w:ascii="ITC Avant Garde Std Bk" w:hAnsi="ITC Avant Garde Std Bk"/>
            <w:color w:val="auto"/>
            <w:sz w:val="16"/>
            <w:szCs w:val="16"/>
            <w:u w:val="none"/>
          </w:rPr>
          <w:t>http://www.itu.int/en/ITU-D/Statistics/Documents/publications/handbook/2010/TelecomICT_Indicators_Definition_March2010_for_web_E.pdf</w:t>
        </w:r>
      </w:hyperlink>
    </w:p>
  </w:footnote>
  <w:footnote w:id="3">
    <w:p w:rsidR="00D92A41" w:rsidRPr="0056707E" w:rsidRDefault="00D92A41" w:rsidP="009E11F1">
      <w:pPr>
        <w:spacing w:after="0" w:line="240" w:lineRule="auto"/>
        <w:jc w:val="both"/>
        <w:rPr>
          <w:rFonts w:ascii="ITC Avant Garde Std Bk" w:hAnsi="ITC Avant Garde Std Bk"/>
          <w:sz w:val="16"/>
          <w:szCs w:val="16"/>
        </w:rPr>
      </w:pPr>
      <w:r w:rsidRPr="00FC407A">
        <w:rPr>
          <w:rStyle w:val="Refdenotaalpie"/>
          <w:rFonts w:ascii="ITC Avant Garde" w:hAnsi="ITC Avant Garde"/>
          <w:sz w:val="16"/>
          <w:szCs w:val="16"/>
        </w:rPr>
        <w:footnoteRef/>
      </w:r>
      <w:r w:rsidRPr="00FC407A">
        <w:rPr>
          <w:rFonts w:ascii="ITC Avant Garde" w:hAnsi="ITC Avant Garde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Kuscu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, B. (2009).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How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should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regulators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approach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to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the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relationship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between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“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mobile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network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operators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>” and “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mobile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virtual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network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operators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>”</w:t>
      </w:r>
      <w:proofErr w:type="gramStart"/>
      <w:r w:rsidRPr="009E11F1">
        <w:rPr>
          <w:rFonts w:ascii="ITC Avant Garde Std Bk" w:hAnsi="ITC Avant Garde Std Bk"/>
          <w:sz w:val="16"/>
          <w:szCs w:val="16"/>
        </w:rPr>
        <w:t>?</w:t>
      </w:r>
      <w:proofErr w:type="gram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An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assessment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for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the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case of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turkish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mobile</w:t>
      </w:r>
      <w:proofErr w:type="spellEnd"/>
      <w:r w:rsidRPr="009E11F1">
        <w:rPr>
          <w:rFonts w:ascii="ITC Avant Garde Std Bk" w:hAnsi="ITC Avant Garde Std Bk"/>
          <w:sz w:val="16"/>
          <w:szCs w:val="16"/>
        </w:rPr>
        <w:t xml:space="preserve"> </w:t>
      </w:r>
      <w:proofErr w:type="spellStart"/>
      <w:r w:rsidRPr="009E11F1">
        <w:rPr>
          <w:rFonts w:ascii="ITC Avant Garde Std Bk" w:hAnsi="ITC Avant Garde Std Bk"/>
          <w:sz w:val="16"/>
          <w:szCs w:val="16"/>
        </w:rPr>
        <w:t>market</w:t>
      </w:r>
      <w:proofErr w:type="spellEnd"/>
      <w:r w:rsidR="0056707E" w:rsidRPr="009E11F1">
        <w:rPr>
          <w:rFonts w:ascii="ITC Avant Garde Std Bk" w:hAnsi="ITC Avant Garde Std Bk"/>
          <w:sz w:val="16"/>
          <w:szCs w:val="16"/>
        </w:rPr>
        <w:t xml:space="preserve">. Recuperado de: </w:t>
      </w:r>
      <w:hyperlink r:id="rId3" w:history="1">
        <w:r w:rsidR="00FC407A" w:rsidRPr="009E11F1">
          <w:rPr>
            <w:rStyle w:val="Hipervnculo"/>
            <w:rFonts w:ascii="ITC Avant Garde Std Bk" w:hAnsi="ITC Avant Garde Std Bk"/>
            <w:color w:val="auto"/>
            <w:sz w:val="16"/>
            <w:szCs w:val="16"/>
            <w:u w:val="none"/>
          </w:rPr>
          <w:t>http://btk.gov.tr/File/?path=ROOT%2F1%2FDocuments%2FTez%2FBeytullah_KUSCU.PDF</w:t>
        </w:r>
      </w:hyperlink>
      <w:r w:rsidR="00FC407A" w:rsidRPr="0056707E">
        <w:rPr>
          <w:rFonts w:ascii="ITC Avant Garde Std Bk" w:hAnsi="ITC Avant Garde Std Bk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AF5C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AF5C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51" type="#_x0000_t75" style="position:absolute;margin-left:-70.9pt;margin-top:-114.5pt;width:612pt;height:11in;z-index:-251655168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AF5C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7FD"/>
    <w:multiLevelType w:val="hybridMultilevel"/>
    <w:tmpl w:val="064CD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DFD"/>
    <w:multiLevelType w:val="hybridMultilevel"/>
    <w:tmpl w:val="BD365A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B53FC"/>
    <w:multiLevelType w:val="hybridMultilevel"/>
    <w:tmpl w:val="F61048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56B3"/>
    <w:multiLevelType w:val="hybridMultilevel"/>
    <w:tmpl w:val="84BC9FFE"/>
    <w:lvl w:ilvl="0" w:tplc="1C6CBAB0">
      <w:start w:val="1"/>
      <w:numFmt w:val="bullet"/>
      <w:lvlText w:val="-"/>
      <w:lvlJc w:val="left"/>
      <w:pPr>
        <w:ind w:left="1778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F780570"/>
    <w:multiLevelType w:val="hybridMultilevel"/>
    <w:tmpl w:val="4E4631EC"/>
    <w:lvl w:ilvl="0" w:tplc="9920DF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BDA"/>
    <w:multiLevelType w:val="hybridMultilevel"/>
    <w:tmpl w:val="44386D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D0FE7"/>
    <w:multiLevelType w:val="hybridMultilevel"/>
    <w:tmpl w:val="24645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A0F"/>
    <w:multiLevelType w:val="hybridMultilevel"/>
    <w:tmpl w:val="4DA07E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2A9A"/>
    <w:multiLevelType w:val="hybridMultilevel"/>
    <w:tmpl w:val="04B4E4A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9C4DFD"/>
    <w:multiLevelType w:val="hybridMultilevel"/>
    <w:tmpl w:val="67326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6807"/>
    <w:multiLevelType w:val="hybridMultilevel"/>
    <w:tmpl w:val="BEDC76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47311"/>
    <w:multiLevelType w:val="hybridMultilevel"/>
    <w:tmpl w:val="7480DB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07C81"/>
    <w:multiLevelType w:val="hybridMultilevel"/>
    <w:tmpl w:val="58D672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799E"/>
    <w:multiLevelType w:val="hybridMultilevel"/>
    <w:tmpl w:val="E30CE43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E"/>
    <w:rsid w:val="00022123"/>
    <w:rsid w:val="000B61BE"/>
    <w:rsid w:val="000D307C"/>
    <w:rsid w:val="000E0510"/>
    <w:rsid w:val="00120DBA"/>
    <w:rsid w:val="00140D56"/>
    <w:rsid w:val="00147F3D"/>
    <w:rsid w:val="001708BA"/>
    <w:rsid w:val="00194398"/>
    <w:rsid w:val="001A7E02"/>
    <w:rsid w:val="001B4264"/>
    <w:rsid w:val="001C47C0"/>
    <w:rsid w:val="00206D11"/>
    <w:rsid w:val="00213414"/>
    <w:rsid w:val="0021349B"/>
    <w:rsid w:val="00213D92"/>
    <w:rsid w:val="002171DD"/>
    <w:rsid w:val="00231CF2"/>
    <w:rsid w:val="00247351"/>
    <w:rsid w:val="00266332"/>
    <w:rsid w:val="0029002F"/>
    <w:rsid w:val="002B07D5"/>
    <w:rsid w:val="002E3A85"/>
    <w:rsid w:val="002F662A"/>
    <w:rsid w:val="0030357C"/>
    <w:rsid w:val="00344059"/>
    <w:rsid w:val="003616B6"/>
    <w:rsid w:val="00374C49"/>
    <w:rsid w:val="00384A88"/>
    <w:rsid w:val="0038566B"/>
    <w:rsid w:val="003B57CD"/>
    <w:rsid w:val="003C116E"/>
    <w:rsid w:val="003D42EC"/>
    <w:rsid w:val="003F4A59"/>
    <w:rsid w:val="00415B18"/>
    <w:rsid w:val="00421850"/>
    <w:rsid w:val="00457AE5"/>
    <w:rsid w:val="00490B54"/>
    <w:rsid w:val="004B55E5"/>
    <w:rsid w:val="004E23F1"/>
    <w:rsid w:val="00500305"/>
    <w:rsid w:val="00534D77"/>
    <w:rsid w:val="005565B7"/>
    <w:rsid w:val="00556F94"/>
    <w:rsid w:val="00562CEC"/>
    <w:rsid w:val="0056707E"/>
    <w:rsid w:val="0057161F"/>
    <w:rsid w:val="00574806"/>
    <w:rsid w:val="005A3877"/>
    <w:rsid w:val="005C1366"/>
    <w:rsid w:val="00602B83"/>
    <w:rsid w:val="00612227"/>
    <w:rsid w:val="0061571F"/>
    <w:rsid w:val="00622624"/>
    <w:rsid w:val="006256E3"/>
    <w:rsid w:val="006367D5"/>
    <w:rsid w:val="00652C2A"/>
    <w:rsid w:val="006562B3"/>
    <w:rsid w:val="0065774F"/>
    <w:rsid w:val="00657A80"/>
    <w:rsid w:val="006772FE"/>
    <w:rsid w:val="00677A5F"/>
    <w:rsid w:val="00686EFD"/>
    <w:rsid w:val="00692254"/>
    <w:rsid w:val="006C378A"/>
    <w:rsid w:val="006E109C"/>
    <w:rsid w:val="006F5D03"/>
    <w:rsid w:val="00703E15"/>
    <w:rsid w:val="00707FAF"/>
    <w:rsid w:val="00716CAF"/>
    <w:rsid w:val="0074512C"/>
    <w:rsid w:val="00747ADE"/>
    <w:rsid w:val="00787A1D"/>
    <w:rsid w:val="007B1BEA"/>
    <w:rsid w:val="007B74EC"/>
    <w:rsid w:val="007D6FCC"/>
    <w:rsid w:val="008422BF"/>
    <w:rsid w:val="00842BA5"/>
    <w:rsid w:val="0086607E"/>
    <w:rsid w:val="00890868"/>
    <w:rsid w:val="008A18E2"/>
    <w:rsid w:val="008A2C5F"/>
    <w:rsid w:val="008B1D44"/>
    <w:rsid w:val="008E7670"/>
    <w:rsid w:val="008F18BD"/>
    <w:rsid w:val="0090164C"/>
    <w:rsid w:val="009159D4"/>
    <w:rsid w:val="009237F9"/>
    <w:rsid w:val="0095339E"/>
    <w:rsid w:val="00967B56"/>
    <w:rsid w:val="00980388"/>
    <w:rsid w:val="00994B79"/>
    <w:rsid w:val="009B3890"/>
    <w:rsid w:val="009D7DF1"/>
    <w:rsid w:val="009E0C72"/>
    <w:rsid w:val="009E11F1"/>
    <w:rsid w:val="009F227C"/>
    <w:rsid w:val="009F73DC"/>
    <w:rsid w:val="009F7C43"/>
    <w:rsid w:val="00A052B6"/>
    <w:rsid w:val="00A146AE"/>
    <w:rsid w:val="00A249A5"/>
    <w:rsid w:val="00A26829"/>
    <w:rsid w:val="00A4544C"/>
    <w:rsid w:val="00A633D8"/>
    <w:rsid w:val="00A6383E"/>
    <w:rsid w:val="00A70899"/>
    <w:rsid w:val="00A71286"/>
    <w:rsid w:val="00A8304A"/>
    <w:rsid w:val="00A94943"/>
    <w:rsid w:val="00AA2535"/>
    <w:rsid w:val="00AA4B7C"/>
    <w:rsid w:val="00AD3ADD"/>
    <w:rsid w:val="00AE3D28"/>
    <w:rsid w:val="00AF5CF6"/>
    <w:rsid w:val="00AF783D"/>
    <w:rsid w:val="00B0020E"/>
    <w:rsid w:val="00B13F61"/>
    <w:rsid w:val="00B357FB"/>
    <w:rsid w:val="00B36F35"/>
    <w:rsid w:val="00B73589"/>
    <w:rsid w:val="00BA2AE9"/>
    <w:rsid w:val="00BE2F9A"/>
    <w:rsid w:val="00BF1873"/>
    <w:rsid w:val="00BF5EFD"/>
    <w:rsid w:val="00C13689"/>
    <w:rsid w:val="00C13699"/>
    <w:rsid w:val="00C215D5"/>
    <w:rsid w:val="00C446DE"/>
    <w:rsid w:val="00C508C3"/>
    <w:rsid w:val="00C70CD7"/>
    <w:rsid w:val="00C757F2"/>
    <w:rsid w:val="00C80E2D"/>
    <w:rsid w:val="00C84965"/>
    <w:rsid w:val="00C84B9D"/>
    <w:rsid w:val="00C8707C"/>
    <w:rsid w:val="00CD391B"/>
    <w:rsid w:val="00CF7D57"/>
    <w:rsid w:val="00D07698"/>
    <w:rsid w:val="00D409CE"/>
    <w:rsid w:val="00D42ED1"/>
    <w:rsid w:val="00D53FF0"/>
    <w:rsid w:val="00D92A41"/>
    <w:rsid w:val="00DA4646"/>
    <w:rsid w:val="00DC4881"/>
    <w:rsid w:val="00DD1CCC"/>
    <w:rsid w:val="00DD32EB"/>
    <w:rsid w:val="00E1089A"/>
    <w:rsid w:val="00E11B6D"/>
    <w:rsid w:val="00E30DD7"/>
    <w:rsid w:val="00E7427A"/>
    <w:rsid w:val="00EA15DA"/>
    <w:rsid w:val="00EC0888"/>
    <w:rsid w:val="00EE2169"/>
    <w:rsid w:val="00F00BCC"/>
    <w:rsid w:val="00F75E4F"/>
    <w:rsid w:val="00F77736"/>
    <w:rsid w:val="00F9174C"/>
    <w:rsid w:val="00FC407A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E7A4D8-BCEA-4BD8-B24E-5F3E747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16E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3C11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D076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76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6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3D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6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F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43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4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3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tk.gov.tr/File/?path=ROOT%2F1%2FDocuments%2FTez%2FBeytullah_KUSCU.PDF" TargetMode="External"/><Relationship Id="rId2" Type="http://schemas.openxmlformats.org/officeDocument/2006/relationships/hyperlink" Target="http://www.itu.int/en/ITU-D/Statistics/Documents/publications/handbook/2010/TelecomICT_Indicators_Definition_March2010_for_web_E.pdf" TargetMode="External"/><Relationship Id="rId1" Type="http://schemas.openxmlformats.org/officeDocument/2006/relationships/hyperlink" Target="http://ec.europa.eu/information_society/newsroom/cf/dae/document.cfm?doc_id=59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0BDB-A044-472E-BB81-FBACA5D2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Luis Fernando Rosas Yanez</cp:lastModifiedBy>
  <cp:revision>4</cp:revision>
  <cp:lastPrinted>2015-06-25T17:41:00Z</cp:lastPrinted>
  <dcterms:created xsi:type="dcterms:W3CDTF">2015-11-13T21:23:00Z</dcterms:created>
  <dcterms:modified xsi:type="dcterms:W3CDTF">2015-11-13T22:32:00Z</dcterms:modified>
</cp:coreProperties>
</file>