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C45375" w14:textId="77777777" w:rsidR="00E96257" w:rsidRPr="001F206B" w:rsidRDefault="00E96257" w:rsidP="00E96257">
      <w:pPr>
        <w:rPr>
          <w:rFonts w:ascii="ITC Avant Garde" w:hAnsi="ITC Avant Garde"/>
          <w:b/>
          <w:sz w:val="32"/>
        </w:rPr>
      </w:pPr>
    </w:p>
    <w:p w14:paraId="38C29003" w14:textId="77777777" w:rsidR="00AE11F0" w:rsidRPr="0086242B" w:rsidRDefault="00AE11F0" w:rsidP="002E2D8C">
      <w:pPr>
        <w:spacing w:line="276" w:lineRule="auto"/>
        <w:ind w:right="-57"/>
        <w:jc w:val="both"/>
        <w:rPr>
          <w:rFonts w:ascii="ITC Avant Garde" w:hAnsi="ITC Avant Garde"/>
          <w:b/>
          <w:color w:val="000000"/>
          <w:sz w:val="22"/>
          <w:szCs w:val="22"/>
        </w:rPr>
      </w:pPr>
      <w:r w:rsidRPr="0086242B">
        <w:rPr>
          <w:rFonts w:ascii="ITC Avant Garde" w:hAnsi="ITC Avant Garde" w:cs="Tahoma"/>
          <w:b/>
          <w:bCs/>
          <w:color w:val="000000"/>
          <w:sz w:val="22"/>
          <w:szCs w:val="22"/>
        </w:rPr>
        <w:t xml:space="preserve">ACUERDO MEDIANTE EL CUAL EL PLENO DEL INSTITUTO FEDERAL DE TELECOMUNICACIONES </w:t>
      </w:r>
      <w:r w:rsidR="00DD7701">
        <w:rPr>
          <w:rFonts w:ascii="ITC Avant Garde" w:hAnsi="ITC Avant Garde" w:cs="Tahoma"/>
          <w:b/>
          <w:bCs/>
          <w:color w:val="000000"/>
          <w:sz w:val="22"/>
          <w:szCs w:val="22"/>
        </w:rPr>
        <w:t>DETERMINA</w:t>
      </w:r>
      <w:r w:rsidR="00DD7701" w:rsidRPr="0086242B">
        <w:rPr>
          <w:rFonts w:ascii="ITC Avant Garde" w:hAnsi="ITC Avant Garde" w:cs="Tahoma"/>
          <w:b/>
          <w:bCs/>
          <w:color w:val="000000"/>
          <w:sz w:val="22"/>
          <w:szCs w:val="22"/>
        </w:rPr>
        <w:t xml:space="preserve"> </w:t>
      </w:r>
      <w:r w:rsidRPr="0086242B">
        <w:rPr>
          <w:rFonts w:ascii="ITC Avant Garde" w:hAnsi="ITC Avant Garde" w:cs="Tahoma"/>
          <w:b/>
          <w:bCs/>
          <w:color w:val="000000"/>
          <w:sz w:val="22"/>
          <w:szCs w:val="22"/>
        </w:rPr>
        <w:t xml:space="preserve">SOMETER A CONSULTA PÚBLICA EL </w:t>
      </w:r>
      <w:r w:rsidRPr="0086242B">
        <w:rPr>
          <w:rFonts w:ascii="ITC Avant Garde" w:hAnsi="ITC Avant Garde"/>
          <w:b/>
          <w:color w:val="000000"/>
          <w:sz w:val="22"/>
          <w:szCs w:val="22"/>
        </w:rPr>
        <w:t xml:space="preserve">“ANTEPROYECTO DE </w:t>
      </w:r>
      <w:r w:rsidR="00DD7701">
        <w:rPr>
          <w:rFonts w:ascii="ITC Avant Garde" w:hAnsi="ITC Avant Garde"/>
          <w:b/>
          <w:color w:val="000000"/>
          <w:sz w:val="22"/>
          <w:szCs w:val="22"/>
        </w:rPr>
        <w:t xml:space="preserve">ACUERDO MEDIANTE EL CUAL SE EXPIDE LA </w:t>
      </w:r>
      <w:r w:rsidRPr="0086242B">
        <w:rPr>
          <w:rFonts w:ascii="ITC Avant Garde" w:hAnsi="ITC Avant Garde"/>
          <w:b/>
          <w:color w:val="000000"/>
          <w:sz w:val="22"/>
          <w:szCs w:val="22"/>
        </w:rPr>
        <w:t>DISPOSICIÓN TÉCNICA IFT-</w:t>
      </w:r>
      <w:r w:rsidR="003E1F40" w:rsidRPr="0086242B">
        <w:rPr>
          <w:rFonts w:ascii="ITC Avant Garde" w:hAnsi="ITC Avant Garde"/>
          <w:b/>
          <w:color w:val="000000"/>
          <w:sz w:val="22"/>
          <w:szCs w:val="22"/>
        </w:rPr>
        <w:t>007</w:t>
      </w:r>
      <w:r w:rsidRPr="0086242B">
        <w:rPr>
          <w:rFonts w:ascii="ITC Avant Garde" w:hAnsi="ITC Avant Garde"/>
          <w:b/>
          <w:color w:val="000000"/>
          <w:sz w:val="22"/>
          <w:szCs w:val="22"/>
        </w:rPr>
        <w:t>-2015: MEDIDAS DE OPERACIÓN PARA EL CUMPLIMIENTO DE LOS LÍMITES DE EXPOSICIÓN MÁXIMA PARA SERES HUMANOS A RADIACIONES ELECTROMAGNÉTICAS DE RADIOFRECUENCIA NO IONIZANTES EN EL INTERVALO DE 100 kHz A 300 GHz EN EL ENTORNO DE EMISORES DE RADIOCOMUNICACIONES”</w:t>
      </w:r>
    </w:p>
    <w:p w14:paraId="352D4462" w14:textId="77777777" w:rsidR="00B74C4D" w:rsidRPr="0086242B" w:rsidRDefault="00B74C4D" w:rsidP="00AE11F0">
      <w:pPr>
        <w:spacing w:line="360" w:lineRule="auto"/>
        <w:ind w:right="-58"/>
        <w:jc w:val="both"/>
        <w:rPr>
          <w:rFonts w:ascii="ITC Avant Garde" w:hAnsi="ITC Avant Garde"/>
          <w:b/>
          <w:color w:val="000000"/>
        </w:rPr>
      </w:pPr>
    </w:p>
    <w:p w14:paraId="0D1B2B3D" w14:textId="77777777" w:rsidR="00AE11F0" w:rsidRDefault="00AE11F0" w:rsidP="00AE11F0">
      <w:pPr>
        <w:pStyle w:val="Default"/>
        <w:spacing w:line="360" w:lineRule="auto"/>
        <w:jc w:val="center"/>
        <w:rPr>
          <w:rFonts w:ascii="ITC Avant Garde" w:hAnsi="ITC Avant Garde"/>
          <w:b/>
          <w:bCs/>
          <w:sz w:val="22"/>
          <w:szCs w:val="22"/>
          <w:lang w:val="es-ES_tradnl"/>
        </w:rPr>
      </w:pPr>
      <w:r w:rsidRPr="0086242B">
        <w:rPr>
          <w:rFonts w:ascii="ITC Avant Garde" w:hAnsi="ITC Avant Garde"/>
          <w:b/>
          <w:bCs/>
          <w:sz w:val="22"/>
          <w:szCs w:val="22"/>
          <w:lang w:val="es-ES_tradnl"/>
        </w:rPr>
        <w:t>A N T E C E D E N T E S</w:t>
      </w:r>
    </w:p>
    <w:p w14:paraId="2560DB38" w14:textId="77777777" w:rsidR="00B74C4D" w:rsidRPr="0086242B" w:rsidRDefault="00B74C4D" w:rsidP="00AE11F0">
      <w:pPr>
        <w:pStyle w:val="Default"/>
        <w:spacing w:line="360" w:lineRule="auto"/>
        <w:jc w:val="center"/>
        <w:rPr>
          <w:rFonts w:ascii="ITC Avant Garde" w:hAnsi="ITC Avant Garde"/>
          <w:b/>
          <w:bCs/>
          <w:sz w:val="22"/>
          <w:szCs w:val="22"/>
          <w:lang w:val="es-ES_tradnl"/>
        </w:rPr>
      </w:pPr>
    </w:p>
    <w:p w14:paraId="66568C5D" w14:textId="77777777" w:rsidR="00AE11F0" w:rsidRPr="0086242B" w:rsidRDefault="00AE11F0" w:rsidP="00AE11F0">
      <w:pPr>
        <w:spacing w:line="360" w:lineRule="auto"/>
        <w:jc w:val="both"/>
        <w:rPr>
          <w:rFonts w:ascii="ITC Avant Garde" w:hAnsi="ITC Avant Garde"/>
          <w:sz w:val="20"/>
          <w:szCs w:val="20"/>
        </w:rPr>
      </w:pPr>
      <w:r w:rsidRPr="0086242B">
        <w:rPr>
          <w:rFonts w:ascii="ITC Avant Garde" w:hAnsi="ITC Avant Garde"/>
          <w:b/>
          <w:sz w:val="20"/>
          <w:szCs w:val="20"/>
        </w:rPr>
        <w:t>I.-</w:t>
      </w:r>
      <w:r w:rsidRPr="0086242B">
        <w:rPr>
          <w:rFonts w:ascii="ITC Avant Garde" w:hAnsi="ITC Avant Garde"/>
          <w:sz w:val="20"/>
          <w:szCs w:val="20"/>
        </w:rPr>
        <w:t xml:space="preserve"> El 11 de junio de 2013, se creó el Instituto Federal de Telecomunicaciones (en lo sucesivo, el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w:t>
      </w:r>
      <w:r w:rsidRPr="0086242B">
        <w:rPr>
          <w:rFonts w:ascii="ITC Avant Garde" w:hAnsi="ITC Avant Garde"/>
          <w:i/>
          <w:sz w:val="20"/>
          <w:szCs w:val="20"/>
        </w:rPr>
        <w:t>“Decreto por el que se reforman y adicionan diversas disposiciones de los artículos 6o., 7o., 27, 28, 73, 78, 94 y 105 de la Constitución Política de los Estados Unidos Mexicanos, en materia de telecomunicaciones”</w:t>
      </w:r>
      <w:r w:rsidRPr="0086242B">
        <w:rPr>
          <w:rFonts w:ascii="ITC Avant Garde" w:hAnsi="ITC Avant Garde"/>
          <w:sz w:val="20"/>
          <w:szCs w:val="20"/>
        </w:rPr>
        <w:t xml:space="preserve"> (en lo sucesivo, el “Decreto”).</w:t>
      </w:r>
    </w:p>
    <w:p w14:paraId="2153B762" w14:textId="77777777" w:rsidR="00AE11F0" w:rsidRPr="0086242B" w:rsidRDefault="00AE11F0" w:rsidP="00AE11F0">
      <w:pPr>
        <w:spacing w:line="360" w:lineRule="auto"/>
        <w:jc w:val="both"/>
        <w:rPr>
          <w:rFonts w:ascii="ITC Avant Garde" w:hAnsi="ITC Avant Garde"/>
          <w:sz w:val="20"/>
          <w:szCs w:val="20"/>
        </w:rPr>
      </w:pPr>
    </w:p>
    <w:p w14:paraId="0B58BF97" w14:textId="77777777" w:rsidR="00AE11F0" w:rsidRPr="0086242B" w:rsidRDefault="00AE11F0" w:rsidP="00AE11F0">
      <w:pPr>
        <w:spacing w:line="360" w:lineRule="auto"/>
        <w:jc w:val="both"/>
        <w:rPr>
          <w:rFonts w:ascii="ITC Avant Garde" w:hAnsi="ITC Avant Garde"/>
          <w:sz w:val="20"/>
          <w:szCs w:val="20"/>
        </w:rPr>
      </w:pPr>
    </w:p>
    <w:p w14:paraId="66BAB7C7" w14:textId="0C77F3D5" w:rsidR="00E45A96" w:rsidRPr="0086242B" w:rsidRDefault="007E29C9" w:rsidP="00E45A96">
      <w:pPr>
        <w:spacing w:line="360" w:lineRule="auto"/>
        <w:jc w:val="both"/>
        <w:rPr>
          <w:rFonts w:ascii="ITC Avant Garde" w:hAnsi="ITC Avant Garde"/>
          <w:sz w:val="20"/>
          <w:szCs w:val="20"/>
        </w:rPr>
      </w:pPr>
      <w:r>
        <w:rPr>
          <w:rFonts w:ascii="ITC Avant Garde" w:hAnsi="ITC Avant Garde"/>
          <w:b/>
          <w:sz w:val="20"/>
          <w:szCs w:val="20"/>
        </w:rPr>
        <w:t>II</w:t>
      </w:r>
      <w:r w:rsidR="00E45A96" w:rsidRPr="0086242B">
        <w:rPr>
          <w:rFonts w:ascii="ITC Avant Garde" w:hAnsi="ITC Avant Garde"/>
          <w:b/>
          <w:sz w:val="20"/>
          <w:szCs w:val="20"/>
        </w:rPr>
        <w:t>.-</w:t>
      </w:r>
      <w:r w:rsidR="00E45A96" w:rsidRPr="0086242B">
        <w:rPr>
          <w:rFonts w:ascii="ITC Avant Garde" w:hAnsi="ITC Avant Garde"/>
          <w:sz w:val="20"/>
          <w:szCs w:val="20"/>
        </w:rPr>
        <w:t xml:space="preserve"> El 14 de julio de 2014, se publicó en el Diario Oficial de la Federación (en lo sucesivo, DOF), el </w:t>
      </w:r>
      <w:r w:rsidR="00E45A96" w:rsidRPr="0086242B">
        <w:rPr>
          <w:rFonts w:ascii="ITC Avant Garde" w:hAnsi="ITC Avant Garde"/>
          <w:i/>
          <w:sz w:val="20"/>
          <w:szCs w:val="20"/>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00E45A96" w:rsidRPr="0086242B">
        <w:rPr>
          <w:rFonts w:ascii="ITC Avant Garde" w:hAnsi="ITC Avant Garde"/>
          <w:sz w:val="20"/>
          <w:szCs w:val="20"/>
        </w:rPr>
        <w:t xml:space="preserve"> ordenamientos que entraron en vigor treinta días naturales siguientes a su publicación, es decir, el 13 de agosto de 2014.</w:t>
      </w:r>
    </w:p>
    <w:p w14:paraId="41CC4247" w14:textId="77777777" w:rsidR="00B74C4D" w:rsidRPr="0086242B" w:rsidRDefault="00B74C4D" w:rsidP="00AE11F0">
      <w:pPr>
        <w:spacing w:line="360" w:lineRule="auto"/>
        <w:jc w:val="both"/>
        <w:rPr>
          <w:rFonts w:ascii="ITC Avant Garde" w:hAnsi="ITC Avant Garde"/>
          <w:sz w:val="20"/>
          <w:szCs w:val="20"/>
        </w:rPr>
      </w:pPr>
    </w:p>
    <w:p w14:paraId="5ED9BAF4" w14:textId="70D1EB66" w:rsidR="00C0253D" w:rsidRPr="0086242B" w:rsidRDefault="007E29C9" w:rsidP="00AE11F0">
      <w:pPr>
        <w:spacing w:line="360" w:lineRule="auto"/>
        <w:jc w:val="both"/>
        <w:rPr>
          <w:rFonts w:ascii="ITC Avant Garde" w:hAnsi="ITC Avant Garde"/>
          <w:sz w:val="20"/>
          <w:szCs w:val="20"/>
        </w:rPr>
      </w:pPr>
      <w:r>
        <w:rPr>
          <w:rFonts w:ascii="ITC Avant Garde" w:hAnsi="ITC Avant Garde"/>
          <w:b/>
          <w:sz w:val="20"/>
          <w:szCs w:val="20"/>
        </w:rPr>
        <w:t>III</w:t>
      </w:r>
      <w:r w:rsidR="00C0253D" w:rsidRPr="0086242B">
        <w:rPr>
          <w:rFonts w:ascii="ITC Avant Garde" w:hAnsi="ITC Avant Garde"/>
          <w:b/>
          <w:sz w:val="20"/>
          <w:szCs w:val="20"/>
        </w:rPr>
        <w:t>.</w:t>
      </w:r>
      <w:r>
        <w:rPr>
          <w:rFonts w:ascii="ITC Avant Garde" w:hAnsi="ITC Avant Garde"/>
          <w:b/>
          <w:sz w:val="20"/>
          <w:szCs w:val="20"/>
        </w:rPr>
        <w:t>-</w:t>
      </w:r>
      <w:r w:rsidR="00C0253D" w:rsidRPr="0086242B">
        <w:rPr>
          <w:rFonts w:ascii="ITC Avant Garde" w:hAnsi="ITC Avant Garde"/>
          <w:b/>
          <w:sz w:val="20"/>
          <w:szCs w:val="20"/>
        </w:rPr>
        <w:t xml:space="preserve"> </w:t>
      </w:r>
      <w:r w:rsidR="00C0253D" w:rsidRPr="0086242B">
        <w:rPr>
          <w:rFonts w:ascii="ITC Avant Garde" w:eastAsiaTheme="minorHAnsi" w:hAnsi="ITC Avant Garde" w:cstheme="minorBidi"/>
          <w:sz w:val="20"/>
          <w:szCs w:val="20"/>
        </w:rPr>
        <w:t>El 4 de septiembre de 2014, se publicó en el DOF el Estatuto Orgánico del Instituto</w:t>
      </w:r>
      <w:r w:rsidR="00A00ECC" w:rsidRPr="0086242B">
        <w:rPr>
          <w:rFonts w:ascii="ITC Avant Garde" w:eastAsiaTheme="minorHAnsi" w:hAnsi="ITC Avant Garde" w:cstheme="minorBidi"/>
          <w:sz w:val="20"/>
          <w:szCs w:val="20"/>
        </w:rPr>
        <w:t xml:space="preserve"> </w:t>
      </w:r>
      <w:r w:rsidR="00AA1564" w:rsidRPr="0086242B">
        <w:rPr>
          <w:rFonts w:ascii="ITC Avant Garde" w:eastAsiaTheme="minorHAnsi" w:hAnsi="ITC Avant Garde" w:cstheme="minorBidi"/>
          <w:sz w:val="20"/>
          <w:szCs w:val="20"/>
        </w:rPr>
        <w:t>(en lo sucesivo, el “Estatuto”)</w:t>
      </w:r>
      <w:r w:rsidR="00C0253D" w:rsidRPr="0086242B">
        <w:rPr>
          <w:rFonts w:ascii="ITC Avant Garde" w:eastAsiaTheme="minorHAnsi" w:hAnsi="ITC Avant Garde" w:cstheme="minorBidi"/>
          <w:sz w:val="20"/>
          <w:szCs w:val="20"/>
        </w:rPr>
        <w:t>, mismo que entró en vigor el 26 de septiembre de 2014.</w:t>
      </w:r>
    </w:p>
    <w:p w14:paraId="61E6197A" w14:textId="77777777" w:rsidR="00AE11F0" w:rsidRDefault="00AE11F0" w:rsidP="00AE11F0">
      <w:pPr>
        <w:pStyle w:val="Default"/>
        <w:tabs>
          <w:tab w:val="left" w:pos="0"/>
        </w:tabs>
        <w:spacing w:line="360" w:lineRule="auto"/>
        <w:rPr>
          <w:rFonts w:ascii="ITC Avant Garde" w:hAnsi="ITC Avant Garde"/>
          <w:bCs/>
          <w:sz w:val="22"/>
          <w:szCs w:val="22"/>
          <w:lang w:val="es-ES_tradnl"/>
        </w:rPr>
      </w:pPr>
    </w:p>
    <w:p w14:paraId="41546220" w14:textId="77777777" w:rsidR="00A57F58" w:rsidRDefault="00A57F58" w:rsidP="00AE11F0">
      <w:pPr>
        <w:pStyle w:val="Default"/>
        <w:tabs>
          <w:tab w:val="left" w:pos="0"/>
        </w:tabs>
        <w:spacing w:line="360" w:lineRule="auto"/>
        <w:rPr>
          <w:rFonts w:ascii="ITC Avant Garde" w:hAnsi="ITC Avant Garde"/>
          <w:bCs/>
          <w:sz w:val="22"/>
          <w:szCs w:val="22"/>
          <w:lang w:val="es-ES_tradnl"/>
        </w:rPr>
      </w:pPr>
    </w:p>
    <w:p w14:paraId="62A223C7" w14:textId="77777777" w:rsidR="00A57F58" w:rsidRPr="0086242B" w:rsidRDefault="00A57F58" w:rsidP="00AE11F0">
      <w:pPr>
        <w:pStyle w:val="Default"/>
        <w:tabs>
          <w:tab w:val="left" w:pos="0"/>
        </w:tabs>
        <w:spacing w:line="360" w:lineRule="auto"/>
        <w:rPr>
          <w:rFonts w:ascii="ITC Avant Garde" w:hAnsi="ITC Avant Garde"/>
          <w:bCs/>
          <w:sz w:val="22"/>
          <w:szCs w:val="22"/>
          <w:lang w:val="es-ES_tradnl"/>
        </w:rPr>
      </w:pPr>
    </w:p>
    <w:p w14:paraId="536C3A4E" w14:textId="77777777" w:rsidR="00AE11F0" w:rsidRPr="0086242B" w:rsidRDefault="00AE11F0" w:rsidP="00AE11F0">
      <w:pPr>
        <w:pStyle w:val="Default"/>
        <w:tabs>
          <w:tab w:val="left" w:pos="0"/>
        </w:tabs>
        <w:spacing w:line="360" w:lineRule="auto"/>
        <w:rPr>
          <w:rFonts w:ascii="ITC Avant Garde" w:hAnsi="ITC Avant Garde"/>
          <w:bCs/>
          <w:sz w:val="20"/>
          <w:szCs w:val="20"/>
          <w:lang w:val="es-ES_tradnl"/>
        </w:rPr>
      </w:pPr>
      <w:r w:rsidRPr="0086242B">
        <w:rPr>
          <w:rFonts w:ascii="ITC Avant Garde" w:hAnsi="ITC Avant Garde"/>
          <w:bCs/>
          <w:sz w:val="20"/>
          <w:szCs w:val="20"/>
          <w:lang w:val="es-ES_tradnl"/>
        </w:rPr>
        <w:t xml:space="preserve">Derivado de lo anterior y </w:t>
      </w:r>
    </w:p>
    <w:p w14:paraId="46A98079" w14:textId="77777777" w:rsidR="00AE11F0" w:rsidRPr="0086242B" w:rsidRDefault="00AE11F0" w:rsidP="00AE11F0">
      <w:pPr>
        <w:pStyle w:val="Default"/>
        <w:tabs>
          <w:tab w:val="left" w:pos="0"/>
        </w:tabs>
        <w:spacing w:line="360" w:lineRule="auto"/>
        <w:rPr>
          <w:rFonts w:ascii="ITC Avant Garde" w:hAnsi="ITC Avant Garde"/>
          <w:bCs/>
          <w:sz w:val="22"/>
          <w:szCs w:val="22"/>
          <w:lang w:val="es-ES_tradnl"/>
        </w:rPr>
      </w:pPr>
    </w:p>
    <w:p w14:paraId="6FB27FFD" w14:textId="77777777" w:rsidR="00E45A96" w:rsidRPr="0086242B" w:rsidRDefault="00E45A96" w:rsidP="00E45A96">
      <w:pPr>
        <w:pStyle w:val="Default"/>
        <w:tabs>
          <w:tab w:val="left" w:pos="0"/>
        </w:tabs>
        <w:spacing w:line="360" w:lineRule="auto"/>
        <w:jc w:val="center"/>
        <w:rPr>
          <w:rFonts w:ascii="ITC Avant Garde" w:hAnsi="ITC Avant Garde"/>
          <w:b/>
          <w:bCs/>
          <w:sz w:val="22"/>
          <w:szCs w:val="22"/>
          <w:lang w:val="es-ES_tradnl"/>
        </w:rPr>
      </w:pPr>
      <w:r w:rsidRPr="0086242B">
        <w:rPr>
          <w:rFonts w:ascii="ITC Avant Garde" w:hAnsi="ITC Avant Garde"/>
          <w:b/>
          <w:bCs/>
          <w:sz w:val="22"/>
          <w:szCs w:val="22"/>
          <w:lang w:val="es-ES_tradnl"/>
        </w:rPr>
        <w:t xml:space="preserve">C O N S I D E R A N D O </w:t>
      </w:r>
    </w:p>
    <w:p w14:paraId="2DE50B8A" w14:textId="77777777" w:rsidR="00AE11F0" w:rsidRPr="0086242B" w:rsidRDefault="00AE11F0" w:rsidP="00AE11F0">
      <w:pPr>
        <w:pStyle w:val="Default"/>
        <w:tabs>
          <w:tab w:val="left" w:pos="0"/>
        </w:tabs>
        <w:spacing w:line="360" w:lineRule="auto"/>
        <w:jc w:val="center"/>
        <w:rPr>
          <w:rFonts w:ascii="ITC Avant Garde" w:hAnsi="ITC Avant Garde"/>
          <w:b/>
          <w:bCs/>
          <w:sz w:val="22"/>
          <w:szCs w:val="22"/>
          <w:lang w:val="es-ES_tradnl"/>
        </w:rPr>
      </w:pPr>
    </w:p>
    <w:p w14:paraId="46F88613" w14:textId="4040A1A7" w:rsidR="00AE11F0" w:rsidRPr="00CC294F" w:rsidRDefault="00AE11F0" w:rsidP="00CC294F">
      <w:pPr>
        <w:pStyle w:val="Default"/>
        <w:tabs>
          <w:tab w:val="left" w:pos="0"/>
        </w:tabs>
        <w:spacing w:line="360" w:lineRule="auto"/>
        <w:jc w:val="both"/>
        <w:rPr>
          <w:rFonts w:ascii="ITC Avant Garde" w:hAnsi="ITC Avant Garde"/>
          <w:bCs/>
          <w:sz w:val="20"/>
          <w:szCs w:val="20"/>
          <w:lang w:val="es-ES_tradnl"/>
        </w:rPr>
      </w:pPr>
      <w:r w:rsidRPr="0086242B">
        <w:rPr>
          <w:rFonts w:ascii="ITC Avant Garde" w:hAnsi="ITC Avant Garde"/>
          <w:b/>
          <w:sz w:val="20"/>
          <w:szCs w:val="20"/>
        </w:rPr>
        <w:t>Primero.-</w:t>
      </w:r>
      <w:r w:rsidRPr="0086242B">
        <w:rPr>
          <w:rFonts w:ascii="ITC Avant Garde" w:hAnsi="ITC Avant Garde"/>
          <w:sz w:val="20"/>
          <w:szCs w:val="20"/>
        </w:rPr>
        <w:t xml:space="preserve"> Que de conformidad con lo establecido en los artículos 28, párrafo vigésimo, fracción IV de la Constitución Política de los Estados Unidos Mexicanos (en lo sucesivo, la “Constitución”), así como en los diversos 1, </w:t>
      </w:r>
      <w:r w:rsidRPr="0086242B">
        <w:rPr>
          <w:rFonts w:ascii="ITC Avant Garde" w:hAnsi="ITC Avant Garde"/>
          <w:bCs/>
          <w:sz w:val="20"/>
          <w:szCs w:val="20"/>
        </w:rPr>
        <w:t xml:space="preserve">2, 7, </w:t>
      </w:r>
      <w:r w:rsidR="002E2D8C" w:rsidRPr="0086242B">
        <w:rPr>
          <w:rFonts w:ascii="ITC Avant Garde" w:hAnsi="ITC Avant Garde"/>
          <w:bCs/>
          <w:sz w:val="20"/>
          <w:szCs w:val="20"/>
        </w:rPr>
        <w:t>51</w:t>
      </w:r>
      <w:r w:rsidR="00AA1564" w:rsidRPr="0086242B">
        <w:rPr>
          <w:rFonts w:ascii="ITC Avant Garde" w:hAnsi="ITC Avant Garde"/>
          <w:bCs/>
          <w:sz w:val="20"/>
          <w:szCs w:val="20"/>
        </w:rPr>
        <w:t>,</w:t>
      </w:r>
      <w:r w:rsidR="002E2D8C" w:rsidRPr="0086242B">
        <w:rPr>
          <w:rFonts w:ascii="ITC Avant Garde" w:hAnsi="ITC Avant Garde"/>
          <w:bCs/>
          <w:sz w:val="20"/>
          <w:szCs w:val="20"/>
        </w:rPr>
        <w:t xml:space="preserve"> 52</w:t>
      </w:r>
      <w:r w:rsidRPr="0086242B">
        <w:rPr>
          <w:rFonts w:ascii="ITC Avant Garde" w:hAnsi="ITC Avant Garde"/>
          <w:bCs/>
          <w:sz w:val="20"/>
          <w:szCs w:val="20"/>
        </w:rPr>
        <w:t>,</w:t>
      </w:r>
      <w:r w:rsidR="00AA1564" w:rsidRPr="0086242B">
        <w:rPr>
          <w:rFonts w:ascii="ITC Avant Garde" w:hAnsi="ITC Avant Garde"/>
          <w:bCs/>
          <w:sz w:val="20"/>
          <w:szCs w:val="20"/>
        </w:rPr>
        <w:t xml:space="preserve"> y 65, </w:t>
      </w:r>
      <w:r w:rsidRPr="0086242B">
        <w:rPr>
          <w:rFonts w:ascii="ITC Avant Garde" w:hAnsi="ITC Avant Garde"/>
          <w:sz w:val="20"/>
          <w:szCs w:val="20"/>
        </w:rPr>
        <w:t>de la Ley Federal de Telecomunicaciones y Radiodifusión (en lo sucesivo, la “Ley”),</w:t>
      </w:r>
      <w:r w:rsidR="00DE4283">
        <w:rPr>
          <w:rFonts w:ascii="ITC Avant Garde" w:hAnsi="ITC Avant Garde"/>
          <w:sz w:val="20"/>
          <w:szCs w:val="20"/>
        </w:rPr>
        <w:t xml:space="preserve"> </w:t>
      </w:r>
      <w:r w:rsidR="00DE4283" w:rsidRPr="0086242B">
        <w:rPr>
          <w:rFonts w:ascii="ITC Avant Garde" w:eastAsia="Times New Roman" w:hAnsi="ITC Avant Garde" w:cs="Times New Roman"/>
          <w:color w:val="auto"/>
          <w:sz w:val="20"/>
          <w:szCs w:val="20"/>
          <w:lang w:val="es-ES" w:eastAsia="es-ES"/>
        </w:rPr>
        <w:t>el Instituto es la autoridad en materia de lineamientos técnicos relativos a la infraestructura y los equipos que se conecten a las redes de telecomunicaciones, así como en materia de homologación y evaluación de la conformidad de dicha infraestructura y equipos</w:t>
      </w:r>
      <w:r w:rsidR="00DE4283">
        <w:rPr>
          <w:rFonts w:ascii="ITC Avant Garde" w:eastAsia="Times New Roman" w:hAnsi="ITC Avant Garde" w:cs="Times New Roman"/>
          <w:color w:val="auto"/>
          <w:sz w:val="20"/>
          <w:szCs w:val="20"/>
          <w:lang w:val="es-ES" w:eastAsia="es-ES"/>
        </w:rPr>
        <w:t xml:space="preserve">, </w:t>
      </w:r>
      <w:r w:rsidR="00DE4283">
        <w:rPr>
          <w:rFonts w:ascii="ITC Avant Garde" w:hAnsi="ITC Avant Garde"/>
          <w:sz w:val="20"/>
          <w:szCs w:val="20"/>
        </w:rPr>
        <w:t xml:space="preserve">y que </w:t>
      </w:r>
      <w:r w:rsidRPr="0086242B">
        <w:rPr>
          <w:rFonts w:ascii="ITC Avant Garde" w:hAnsi="ITC Avant Garde"/>
          <w:sz w:val="20"/>
          <w:szCs w:val="20"/>
        </w:rPr>
        <w:t xml:space="preserve"> </w:t>
      </w:r>
      <w:r w:rsidR="004F3ADA">
        <w:rPr>
          <w:rFonts w:ascii="ITC Avant Garde" w:hAnsi="ITC Avant Garde"/>
          <w:sz w:val="20"/>
          <w:szCs w:val="20"/>
        </w:rPr>
        <w:t xml:space="preserve"> el Instituto </w:t>
      </w:r>
      <w:r w:rsidRPr="0086242B">
        <w:rPr>
          <w:rFonts w:ascii="ITC Avant Garde" w:hAnsi="ITC Avant Garde"/>
          <w:sz w:val="20"/>
          <w:szCs w:val="20"/>
        </w:rPr>
        <w:t xml:space="preserve">en su carácter de órgano autónomo, tiene por objeto regular y promover la competencia y el desarrollo eficiente y la prestación de los servicios públicos de radiodifusión y telecomunicaciones mediante la regulación, promoción y supervisión del uso, aprovechamiento y explotación del espectro radioeléctrico y de las redes y el acceso a infraestructura activa, pasiva y otros insumos esenciales, a fin de garantizar lo establecido en los artículos 6o. y 7o. de la Constitución. </w:t>
      </w:r>
    </w:p>
    <w:p w14:paraId="473C51AE" w14:textId="77777777" w:rsidR="00AE11F0" w:rsidRPr="0086242B" w:rsidRDefault="00AE11F0" w:rsidP="00AE11F0">
      <w:pPr>
        <w:spacing w:line="360" w:lineRule="auto"/>
        <w:jc w:val="both"/>
        <w:rPr>
          <w:rFonts w:ascii="ITC Avant Garde" w:hAnsi="ITC Avant Garde"/>
          <w:sz w:val="20"/>
          <w:szCs w:val="20"/>
        </w:rPr>
      </w:pPr>
    </w:p>
    <w:p w14:paraId="701664B0" w14:textId="77777777" w:rsidR="00AE11F0" w:rsidRPr="0086242B" w:rsidRDefault="00AE11F0" w:rsidP="00AE11F0">
      <w:pPr>
        <w:spacing w:line="360" w:lineRule="auto"/>
        <w:jc w:val="both"/>
        <w:rPr>
          <w:rFonts w:ascii="ITC Avant Garde" w:hAnsi="ITC Avant Garde"/>
          <w:bCs/>
          <w:sz w:val="20"/>
          <w:szCs w:val="20"/>
        </w:rPr>
      </w:pPr>
      <w:r w:rsidRPr="0086242B">
        <w:rPr>
          <w:rFonts w:ascii="ITC Avant Garde" w:hAnsi="ITC Avant Garde"/>
          <w:sz w:val="20"/>
          <w:szCs w:val="20"/>
        </w:rPr>
        <w:t xml:space="preserve">Asimismo, cuenta con facultades y atribuciones para emitir el presente Acuerdo y realizar una consulta pública respecto del “ANTEPROYECTO </w:t>
      </w:r>
      <w:r w:rsidR="002E2D8C" w:rsidRPr="0086242B">
        <w:rPr>
          <w:rFonts w:ascii="ITC Avant Garde" w:hAnsi="ITC Avant Garde"/>
          <w:bCs/>
          <w:sz w:val="20"/>
          <w:szCs w:val="20"/>
        </w:rPr>
        <w:t>DE</w:t>
      </w:r>
      <w:r w:rsidR="00C36F1D">
        <w:rPr>
          <w:rFonts w:ascii="ITC Avant Garde" w:hAnsi="ITC Avant Garde"/>
          <w:bCs/>
          <w:sz w:val="20"/>
          <w:szCs w:val="20"/>
        </w:rPr>
        <w:t xml:space="preserve"> </w:t>
      </w:r>
      <w:r w:rsidR="00C36F1D" w:rsidRPr="00C36F1D">
        <w:rPr>
          <w:rFonts w:ascii="ITC Avant Garde" w:hAnsi="ITC Avant Garde"/>
          <w:bCs/>
          <w:sz w:val="20"/>
          <w:szCs w:val="20"/>
        </w:rPr>
        <w:t>ACUERDO MEDIAN</w:t>
      </w:r>
      <w:r w:rsidR="00C36F1D">
        <w:rPr>
          <w:rFonts w:ascii="ITC Avant Garde" w:hAnsi="ITC Avant Garde"/>
          <w:bCs/>
          <w:sz w:val="20"/>
          <w:szCs w:val="20"/>
        </w:rPr>
        <w:t>TE EL CUAL SE EXPIDE</w:t>
      </w:r>
      <w:r w:rsidR="002E2D8C" w:rsidRPr="0086242B">
        <w:rPr>
          <w:rFonts w:ascii="ITC Avant Garde" w:hAnsi="ITC Avant Garde"/>
          <w:bCs/>
          <w:sz w:val="20"/>
          <w:szCs w:val="20"/>
        </w:rPr>
        <w:t xml:space="preserve"> LA</w:t>
      </w:r>
      <w:r w:rsidRPr="0086242B">
        <w:rPr>
          <w:rFonts w:ascii="ITC Avant Garde" w:hAnsi="ITC Avant Garde"/>
          <w:bCs/>
          <w:sz w:val="20"/>
          <w:szCs w:val="20"/>
        </w:rPr>
        <w:t xml:space="preserve"> </w:t>
      </w:r>
      <w:r w:rsidR="00A5423B" w:rsidRPr="0086242B">
        <w:rPr>
          <w:rFonts w:ascii="ITC Avant Garde" w:hAnsi="ITC Avant Garde"/>
          <w:color w:val="000000"/>
          <w:sz w:val="20"/>
          <w:szCs w:val="20"/>
        </w:rPr>
        <w:t>DISPOSICIÓN TÉCNICA IFT-</w:t>
      </w:r>
      <w:r w:rsidR="00063DEA" w:rsidRPr="0086242B">
        <w:rPr>
          <w:rFonts w:ascii="ITC Avant Garde" w:hAnsi="ITC Avant Garde"/>
          <w:color w:val="000000"/>
          <w:sz w:val="20"/>
          <w:szCs w:val="20"/>
        </w:rPr>
        <w:t>007</w:t>
      </w:r>
      <w:r w:rsidR="00A5423B" w:rsidRPr="0086242B">
        <w:rPr>
          <w:rFonts w:ascii="ITC Avant Garde" w:hAnsi="ITC Avant Garde"/>
          <w:color w:val="000000"/>
          <w:sz w:val="20"/>
          <w:szCs w:val="20"/>
        </w:rPr>
        <w:t xml:space="preserve">-2015: MEDIDAS DE OPERACIÓN PARA EL CUMPLIMIENTO DE LOS LÍMITES DE EXPOSICIÓN MÁXIMA PARA SERES HUMANOS A </w:t>
      </w:r>
      <w:r w:rsidR="00D5702A" w:rsidRPr="0086242B">
        <w:rPr>
          <w:rFonts w:ascii="ITC Avant Garde" w:hAnsi="ITC Avant Garde"/>
          <w:color w:val="000000"/>
          <w:sz w:val="20"/>
          <w:szCs w:val="20"/>
        </w:rPr>
        <w:t xml:space="preserve">RADIACIONES </w:t>
      </w:r>
      <w:r w:rsidR="00A5423B" w:rsidRPr="0086242B">
        <w:rPr>
          <w:rFonts w:ascii="ITC Avant Garde" w:hAnsi="ITC Avant Garde"/>
          <w:color w:val="000000"/>
          <w:sz w:val="20"/>
          <w:szCs w:val="20"/>
        </w:rPr>
        <w:t>ELECTROMAGNÉTICAS DE RADIOFRECUENCIA NO IONIZANTES EN EL INTERVALO DE 100 kHz A 300 GHz EN EL ENTORNO DE EMISORES DE  RADIOCOMUNICACIONES</w:t>
      </w:r>
      <w:r w:rsidRPr="0086242B">
        <w:rPr>
          <w:rFonts w:ascii="ITC Avant Garde" w:hAnsi="ITC Avant Garde"/>
          <w:bCs/>
          <w:sz w:val="20"/>
          <w:szCs w:val="20"/>
        </w:rPr>
        <w:t xml:space="preserve">” (en lo sucesivo, el “Anteproyecto de </w:t>
      </w:r>
      <w:r w:rsidR="00A5423B" w:rsidRPr="0086242B">
        <w:rPr>
          <w:rFonts w:ascii="ITC Avant Garde" w:hAnsi="ITC Avant Garde"/>
          <w:bCs/>
          <w:sz w:val="20"/>
          <w:szCs w:val="20"/>
        </w:rPr>
        <w:t>Disposición Técnica</w:t>
      </w:r>
      <w:r w:rsidRPr="0086242B">
        <w:rPr>
          <w:rFonts w:ascii="ITC Avant Garde" w:hAnsi="ITC Avant Garde"/>
          <w:bCs/>
          <w:sz w:val="20"/>
          <w:szCs w:val="20"/>
        </w:rPr>
        <w:t>”), propuesto por la Unidad de Política Regulatoria, conforme las atribuciones conferidas en los artículos 2</w:t>
      </w:r>
      <w:r w:rsidR="00AA1564" w:rsidRPr="0086242B">
        <w:rPr>
          <w:rFonts w:ascii="ITC Avant Garde" w:hAnsi="ITC Avant Garde"/>
          <w:bCs/>
          <w:sz w:val="20"/>
          <w:szCs w:val="20"/>
        </w:rPr>
        <w:t>1</w:t>
      </w:r>
      <w:r w:rsidRPr="0086242B">
        <w:rPr>
          <w:rFonts w:ascii="ITC Avant Garde" w:hAnsi="ITC Avant Garde"/>
          <w:bCs/>
          <w:sz w:val="20"/>
          <w:szCs w:val="20"/>
        </w:rPr>
        <w:t xml:space="preserve"> y 23, fracción </w:t>
      </w:r>
      <w:r w:rsidR="00ED2859" w:rsidRPr="0086242B">
        <w:rPr>
          <w:rFonts w:ascii="ITC Avant Garde" w:hAnsi="ITC Avant Garde"/>
          <w:bCs/>
          <w:sz w:val="20"/>
          <w:szCs w:val="20"/>
        </w:rPr>
        <w:t xml:space="preserve">IX </w:t>
      </w:r>
      <w:r w:rsidRPr="0086242B">
        <w:rPr>
          <w:rFonts w:ascii="ITC Avant Garde" w:hAnsi="ITC Avant Garde"/>
          <w:bCs/>
          <w:sz w:val="20"/>
          <w:szCs w:val="20"/>
        </w:rPr>
        <w:t>del Estatuto</w:t>
      </w:r>
      <w:r w:rsidRPr="0086242B">
        <w:rPr>
          <w:rFonts w:ascii="ITC Avant Garde" w:hAnsi="ITC Avant Garde"/>
          <w:sz w:val="20"/>
          <w:szCs w:val="20"/>
        </w:rPr>
        <w:t xml:space="preserve">. </w:t>
      </w:r>
    </w:p>
    <w:p w14:paraId="2621A408" w14:textId="77777777" w:rsidR="00AE11F0" w:rsidRPr="0086242B" w:rsidRDefault="00AE11F0" w:rsidP="00AE11F0">
      <w:pPr>
        <w:spacing w:line="360" w:lineRule="auto"/>
        <w:jc w:val="both"/>
        <w:rPr>
          <w:rFonts w:ascii="ITC Avant Garde" w:hAnsi="ITC Avant Garde"/>
          <w:sz w:val="20"/>
          <w:szCs w:val="20"/>
        </w:rPr>
      </w:pPr>
    </w:p>
    <w:p w14:paraId="739E968D" w14:textId="77777777" w:rsidR="00AE11F0" w:rsidRDefault="00AE11F0" w:rsidP="00AE11F0">
      <w:pPr>
        <w:spacing w:line="360" w:lineRule="auto"/>
        <w:jc w:val="both"/>
        <w:rPr>
          <w:rFonts w:ascii="ITC Avant Garde" w:hAnsi="ITC Avant Garde"/>
          <w:sz w:val="20"/>
          <w:szCs w:val="20"/>
        </w:rPr>
      </w:pPr>
      <w:r w:rsidRPr="0086242B">
        <w:rPr>
          <w:rFonts w:ascii="ITC Avant Garde" w:hAnsi="ITC Avant Garde"/>
          <w:sz w:val="20"/>
          <w:szCs w:val="20"/>
        </w:rPr>
        <w:t xml:space="preserve">Por su parte, de conformidad con el artículo 15, fracción I de la Ley, el Instituto a través de su Órgano de Gobierno, resulta competente para conocer del presente asunto, al estar facultado para emitir disposiciones administrativas de carácter general, planes técnicos fundamentales, lineamientos, modelos de costos, procedimientos de evaluación de la conformidad, </w:t>
      </w:r>
      <w:r w:rsidRPr="0086242B">
        <w:rPr>
          <w:rFonts w:ascii="ITC Avant Garde" w:hAnsi="ITC Avant Garde"/>
          <w:sz w:val="20"/>
          <w:szCs w:val="20"/>
        </w:rPr>
        <w:lastRenderedPageBreak/>
        <w:t xml:space="preserve">procedimientos de homologación y certificación y ordenamientos técnicos en materia de telecomunicaciones y radiodifusión; así como demás disposiciones para el cumplimiento de su función regulatoria en el sector de su competencia. </w:t>
      </w:r>
    </w:p>
    <w:p w14:paraId="2602A2A6" w14:textId="77777777" w:rsidR="00CE1CE2" w:rsidRDefault="00CE1CE2" w:rsidP="00AE11F0">
      <w:pPr>
        <w:spacing w:line="360" w:lineRule="auto"/>
        <w:jc w:val="both"/>
        <w:rPr>
          <w:rFonts w:ascii="ITC Avant Garde" w:hAnsi="ITC Avant Garde"/>
          <w:sz w:val="20"/>
          <w:szCs w:val="20"/>
        </w:rPr>
      </w:pPr>
    </w:p>
    <w:p w14:paraId="36C3BB7F" w14:textId="411E9982" w:rsidR="00AE11F0" w:rsidRPr="00B74C4D" w:rsidRDefault="00CE1CE2" w:rsidP="00B74C4D">
      <w:pPr>
        <w:pStyle w:val="Textocomentario"/>
        <w:spacing w:line="360" w:lineRule="auto"/>
        <w:jc w:val="both"/>
        <w:rPr>
          <w:rFonts w:ascii="ITC Avant Garde" w:hAnsi="ITC Avant Garde"/>
        </w:rPr>
      </w:pPr>
      <w:r w:rsidRPr="00CC294F">
        <w:rPr>
          <w:rFonts w:ascii="ITC Avant Garde" w:eastAsia="Times New Roman" w:hAnsi="ITC Avant Garde"/>
          <w:b/>
        </w:rPr>
        <w:t>Segundo</w:t>
      </w:r>
      <w:r w:rsidRPr="00CE1CE2">
        <w:rPr>
          <w:rFonts w:ascii="ITC Avant Garde" w:eastAsia="Times New Roman" w:hAnsi="ITC Avant Garde"/>
        </w:rPr>
        <w:t xml:space="preserve">.- Que de conformidad con lo establecido en </w:t>
      </w:r>
      <w:r w:rsidRPr="00CC294F">
        <w:rPr>
          <w:rFonts w:ascii="ITC Avant Garde" w:eastAsia="Times New Roman" w:hAnsi="ITC Avant Garde"/>
        </w:rPr>
        <w:t>el artículo</w:t>
      </w:r>
      <w:r w:rsidRPr="00CE1CE2">
        <w:rPr>
          <w:rFonts w:ascii="ITC Avant Garde" w:eastAsia="Times New Roman" w:hAnsi="ITC Avant Garde"/>
        </w:rPr>
        <w:t xml:space="preserve"> 4</w:t>
      </w:r>
      <w:r w:rsidRPr="00CC294F">
        <w:rPr>
          <w:rFonts w:ascii="ITC Avant Garde" w:eastAsia="Times New Roman" w:hAnsi="ITC Avant Garde"/>
        </w:rPr>
        <w:t xml:space="preserve"> de la Constitución,</w:t>
      </w:r>
      <w:r w:rsidRPr="00CE1CE2">
        <w:rPr>
          <w:rFonts w:ascii="ITC Avant Garde" w:eastAsia="Times New Roman" w:hAnsi="ITC Avant Garde"/>
        </w:rPr>
        <w:t xml:space="preserve"> </w:t>
      </w:r>
      <w:r w:rsidR="00581FA3">
        <w:rPr>
          <w:rFonts w:ascii="ITC Avant Garde" w:eastAsia="Times New Roman" w:hAnsi="ITC Avant Garde"/>
        </w:rPr>
        <w:t>“</w:t>
      </w:r>
      <w:r w:rsidRPr="00CC294F">
        <w:rPr>
          <w:rFonts w:ascii="ITC Avant Garde" w:eastAsia="Times New Roman" w:hAnsi="ITC Avant Garde"/>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w:t>
      </w:r>
      <w:r w:rsidR="007E29C9" w:rsidRPr="00CC294F">
        <w:rPr>
          <w:rFonts w:ascii="ITC Avant Garde" w:eastAsia="Times New Roman" w:hAnsi="ITC Avant Garde"/>
        </w:rPr>
        <w:t xml:space="preserve">rtículo 73 de esta Constitución, y </w:t>
      </w:r>
      <w:r>
        <w:rPr>
          <w:rFonts w:ascii="ITC Avant Garde" w:eastAsia="Times New Roman" w:hAnsi="ITC Avant Garde"/>
        </w:rPr>
        <w:t xml:space="preserve">que </w:t>
      </w:r>
      <w:r>
        <w:rPr>
          <w:rFonts w:ascii="ITC Avant Garde" w:hAnsi="ITC Avant Garde"/>
        </w:rPr>
        <w:t>t</w:t>
      </w:r>
      <w:r w:rsidRPr="00CE1CE2">
        <w:rPr>
          <w:rFonts w:ascii="ITC Avant Garde" w:hAnsi="ITC Avant Garde"/>
        </w:rPr>
        <w:t>oda persona tiene derecho a un medio ambiente sano para su desarrollo y bienestar. El Estado garantizará el respeto a este derecho. El daño y deterioro ambiental generará responsabilidad para quien lo provoque en términos de lo dispuesto por la ley.”</w:t>
      </w:r>
    </w:p>
    <w:p w14:paraId="365A1EF6" w14:textId="771DF921" w:rsidR="00AE11F0" w:rsidRPr="0086242B" w:rsidRDefault="00AE11F0" w:rsidP="00AE11F0">
      <w:pPr>
        <w:pStyle w:val="Default"/>
        <w:tabs>
          <w:tab w:val="left" w:pos="0"/>
        </w:tabs>
        <w:spacing w:line="360" w:lineRule="auto"/>
        <w:jc w:val="both"/>
        <w:rPr>
          <w:rFonts w:ascii="ITC Avant Garde" w:hAnsi="ITC Avant Garde"/>
          <w:bCs/>
          <w:sz w:val="20"/>
          <w:szCs w:val="20"/>
          <w:lang w:val="es-ES_tradnl"/>
        </w:rPr>
      </w:pPr>
    </w:p>
    <w:p w14:paraId="3A6284A1" w14:textId="3EAFBD73" w:rsidR="00AE11F0" w:rsidRDefault="00B74C4D" w:rsidP="00AE11F0">
      <w:pPr>
        <w:pStyle w:val="Default"/>
        <w:tabs>
          <w:tab w:val="left" w:pos="0"/>
        </w:tabs>
        <w:spacing w:line="360" w:lineRule="auto"/>
        <w:jc w:val="both"/>
        <w:rPr>
          <w:rFonts w:ascii="ITC Avant Garde" w:eastAsia="Times New Roman" w:hAnsi="ITC Avant Garde" w:cs="Times New Roman"/>
          <w:color w:val="auto"/>
          <w:sz w:val="20"/>
          <w:szCs w:val="20"/>
          <w:lang w:val="es-ES" w:eastAsia="es-ES"/>
        </w:rPr>
      </w:pPr>
      <w:r>
        <w:rPr>
          <w:rFonts w:ascii="ITC Avant Garde" w:hAnsi="ITC Avant Garde"/>
          <w:b/>
          <w:bCs/>
          <w:color w:val="auto"/>
          <w:sz w:val="20"/>
          <w:szCs w:val="20"/>
          <w:lang w:val="es-ES_tradnl"/>
        </w:rPr>
        <w:t>Tercer</w:t>
      </w:r>
      <w:r w:rsidR="004F3ADA">
        <w:rPr>
          <w:rFonts w:ascii="ITC Avant Garde" w:hAnsi="ITC Avant Garde"/>
          <w:b/>
          <w:bCs/>
          <w:color w:val="auto"/>
          <w:sz w:val="20"/>
          <w:szCs w:val="20"/>
          <w:lang w:val="es-ES_tradnl"/>
        </w:rPr>
        <w:t>o</w:t>
      </w:r>
      <w:r w:rsidR="00AE11F0" w:rsidRPr="0086242B">
        <w:rPr>
          <w:rFonts w:ascii="ITC Avant Garde" w:eastAsia="Times New Roman" w:hAnsi="ITC Avant Garde" w:cs="Times New Roman"/>
          <w:color w:val="auto"/>
          <w:sz w:val="20"/>
          <w:szCs w:val="20"/>
          <w:lang w:val="es-ES" w:eastAsia="es-ES"/>
        </w:rPr>
        <w:t xml:space="preserve">.- </w:t>
      </w:r>
      <w:r w:rsidR="00E45A96" w:rsidRPr="0086242B">
        <w:rPr>
          <w:rFonts w:ascii="ITC Avant Garde" w:eastAsia="Times New Roman" w:hAnsi="ITC Avant Garde" w:cs="Times New Roman"/>
          <w:color w:val="auto"/>
          <w:sz w:val="20"/>
          <w:szCs w:val="20"/>
          <w:lang w:val="es-ES" w:eastAsia="es-ES"/>
        </w:rPr>
        <w:t xml:space="preserve">Que el artículo 65 de la Ley establece que, en el despliegue y operación de infraestructura inalámbrica se deberá observar el cumplimiento de los límites de exposición máxima para seres humanos a radiaciones electromagnéticas de radiofrecuencia no ionizantes, que el Instituto defina en colaboración con otras autoridades competentes. </w:t>
      </w:r>
    </w:p>
    <w:p w14:paraId="7086F658" w14:textId="77777777" w:rsidR="007E29C9" w:rsidRDefault="007E29C9" w:rsidP="00AE11F0">
      <w:pPr>
        <w:pStyle w:val="Default"/>
        <w:tabs>
          <w:tab w:val="left" w:pos="0"/>
        </w:tabs>
        <w:spacing w:line="360" w:lineRule="auto"/>
        <w:jc w:val="both"/>
        <w:rPr>
          <w:rFonts w:ascii="ITC Avant Garde" w:eastAsia="Times New Roman" w:hAnsi="ITC Avant Garde" w:cs="Times New Roman"/>
          <w:color w:val="auto"/>
          <w:sz w:val="20"/>
          <w:szCs w:val="20"/>
          <w:lang w:val="es-ES" w:eastAsia="es-ES"/>
        </w:rPr>
      </w:pPr>
    </w:p>
    <w:p w14:paraId="04A5705B" w14:textId="5C6EAEDF" w:rsidR="007E29C9" w:rsidRDefault="00581FA3" w:rsidP="007E29C9">
      <w:pPr>
        <w:tabs>
          <w:tab w:val="left" w:pos="720"/>
          <w:tab w:val="left" w:pos="1134"/>
        </w:tabs>
        <w:spacing w:line="360" w:lineRule="auto"/>
        <w:jc w:val="both"/>
        <w:rPr>
          <w:rFonts w:ascii="ITC Avant Garde" w:hAnsi="ITC Avant Garde" w:cs="Tahoma"/>
          <w:bCs/>
          <w:color w:val="000000"/>
          <w:sz w:val="20"/>
          <w:szCs w:val="20"/>
          <w:lang w:eastAsia="es-MX"/>
        </w:rPr>
      </w:pPr>
      <w:r>
        <w:rPr>
          <w:rFonts w:ascii="ITC Avant Garde" w:hAnsi="ITC Avant Garde" w:cs="Tahoma"/>
          <w:bCs/>
          <w:color w:val="000000"/>
          <w:sz w:val="20"/>
          <w:szCs w:val="20"/>
          <w:lang w:eastAsia="es-MX"/>
        </w:rPr>
        <w:t xml:space="preserve">Por </w:t>
      </w:r>
      <w:r w:rsidR="004F3ADA">
        <w:rPr>
          <w:rFonts w:ascii="ITC Avant Garde" w:hAnsi="ITC Avant Garde" w:cs="Tahoma"/>
          <w:bCs/>
          <w:color w:val="000000"/>
          <w:sz w:val="20"/>
          <w:szCs w:val="20"/>
          <w:lang w:eastAsia="es-MX"/>
        </w:rPr>
        <w:t>otra parte</w:t>
      </w:r>
      <w:r w:rsidR="00CC294F">
        <w:rPr>
          <w:rFonts w:ascii="ITC Avant Garde" w:hAnsi="ITC Avant Garde" w:cs="Tahoma"/>
          <w:bCs/>
          <w:color w:val="000000"/>
          <w:sz w:val="20"/>
          <w:szCs w:val="20"/>
          <w:lang w:eastAsia="es-MX"/>
        </w:rPr>
        <w:t>,</w:t>
      </w:r>
      <w:r w:rsidR="004F3ADA">
        <w:rPr>
          <w:rFonts w:ascii="ITC Avant Garde" w:hAnsi="ITC Avant Garde" w:cs="Tahoma"/>
          <w:bCs/>
          <w:color w:val="000000"/>
          <w:sz w:val="20"/>
          <w:szCs w:val="20"/>
          <w:lang w:eastAsia="es-MX"/>
        </w:rPr>
        <w:t xml:space="preserve"> la</w:t>
      </w:r>
      <w:r w:rsidR="007E29C9" w:rsidRPr="0086242B">
        <w:rPr>
          <w:rFonts w:ascii="ITC Avant Garde" w:hAnsi="ITC Avant Garde" w:cs="Tahoma"/>
          <w:bCs/>
          <w:color w:val="000000"/>
          <w:sz w:val="20"/>
          <w:szCs w:val="20"/>
          <w:lang w:eastAsia="es-MX"/>
        </w:rPr>
        <w:t xml:space="preserve"> instalación </w:t>
      </w:r>
      <w:r w:rsidR="00CC294F">
        <w:rPr>
          <w:rFonts w:ascii="ITC Avant Garde" w:hAnsi="ITC Avant Garde" w:cs="Tahoma"/>
          <w:bCs/>
          <w:color w:val="000000"/>
          <w:sz w:val="20"/>
          <w:szCs w:val="20"/>
          <w:lang w:eastAsia="es-MX"/>
        </w:rPr>
        <w:t xml:space="preserve">y operación </w:t>
      </w:r>
      <w:r w:rsidR="007E29C9" w:rsidRPr="0086242B">
        <w:rPr>
          <w:rFonts w:ascii="ITC Avant Garde" w:hAnsi="ITC Avant Garde" w:cs="Tahoma"/>
          <w:bCs/>
          <w:color w:val="000000"/>
          <w:sz w:val="20"/>
          <w:szCs w:val="20"/>
          <w:lang w:eastAsia="es-MX"/>
        </w:rPr>
        <w:t>de infraestructura de radiocomunicaciones ha generado preocupación en los usuar</w:t>
      </w:r>
      <w:r w:rsidR="007E29C9">
        <w:rPr>
          <w:rFonts w:ascii="ITC Avant Garde" w:hAnsi="ITC Avant Garde" w:cs="Tahoma"/>
          <w:bCs/>
          <w:color w:val="000000"/>
          <w:sz w:val="20"/>
          <w:szCs w:val="20"/>
          <w:lang w:eastAsia="es-MX"/>
        </w:rPr>
        <w:t>i</w:t>
      </w:r>
      <w:r w:rsidR="007E29C9" w:rsidRPr="0086242B">
        <w:rPr>
          <w:rFonts w:ascii="ITC Avant Garde" w:hAnsi="ITC Avant Garde" w:cs="Tahoma"/>
          <w:bCs/>
          <w:color w:val="000000"/>
          <w:sz w:val="20"/>
          <w:szCs w:val="20"/>
          <w:lang w:eastAsia="es-MX"/>
        </w:rPr>
        <w:t xml:space="preserve">os y en la población en general; misma que se ha manifestado con frecuencia ante las dependencias de la administración pública federal del sector de Comunicaciones y de Salud. Situaciones similares se han presentado en otros países y ello ha motivado la emisión de la regulación técnica correspondiente, tomando como base las recomendaciones y límites de exposición de los seres humanos a la radiación no ionizante de la Comisión Internacional para la Protección contra las Radiaciones No Ionizantes (ICNIRP) organización científica independiente no gubernamental reconocida por la Organización Mundial de la Salud (OMS). Misma que, además de respaldar las recomendaciones de la ICNIRP, alienta a los Estados Miembros a adoptar estas directrices internacionales. </w:t>
      </w:r>
    </w:p>
    <w:p w14:paraId="59D3F334" w14:textId="77777777" w:rsidR="00CD0041" w:rsidRDefault="00CD0041" w:rsidP="003B3186">
      <w:pPr>
        <w:tabs>
          <w:tab w:val="left" w:pos="720"/>
          <w:tab w:val="left" w:pos="1134"/>
        </w:tabs>
        <w:spacing w:line="360" w:lineRule="auto"/>
        <w:jc w:val="both"/>
        <w:rPr>
          <w:rFonts w:ascii="ITC Avant Garde" w:hAnsi="ITC Avant Garde" w:cs="Tahoma"/>
          <w:bCs/>
          <w:sz w:val="20"/>
          <w:szCs w:val="20"/>
        </w:rPr>
      </w:pPr>
    </w:p>
    <w:p w14:paraId="6A3A7317" w14:textId="77777777" w:rsidR="00B74C4D" w:rsidRDefault="00B74C4D" w:rsidP="003B3186">
      <w:pPr>
        <w:tabs>
          <w:tab w:val="left" w:pos="720"/>
          <w:tab w:val="left" w:pos="1134"/>
        </w:tabs>
        <w:spacing w:line="360" w:lineRule="auto"/>
        <w:jc w:val="both"/>
        <w:rPr>
          <w:rFonts w:ascii="ITC Avant Garde" w:hAnsi="ITC Avant Garde" w:cs="Tahoma"/>
          <w:bCs/>
          <w:sz w:val="20"/>
          <w:szCs w:val="20"/>
        </w:rPr>
      </w:pPr>
    </w:p>
    <w:p w14:paraId="3325E8CF" w14:textId="771CF016" w:rsidR="003B3186" w:rsidRDefault="00581FA3" w:rsidP="00B37B65">
      <w:pPr>
        <w:tabs>
          <w:tab w:val="left" w:pos="720"/>
          <w:tab w:val="left" w:pos="1134"/>
        </w:tabs>
        <w:spacing w:line="360" w:lineRule="auto"/>
        <w:jc w:val="both"/>
        <w:rPr>
          <w:rFonts w:ascii="ITC Avant Garde" w:hAnsi="ITC Avant Garde" w:cs="Tahoma"/>
          <w:bCs/>
          <w:color w:val="000000"/>
          <w:sz w:val="20"/>
          <w:szCs w:val="20"/>
          <w:lang w:eastAsia="es-MX"/>
        </w:rPr>
      </w:pPr>
      <w:r>
        <w:rPr>
          <w:rFonts w:ascii="ITC Avant Garde" w:hAnsi="ITC Avant Garde" w:cs="Tahoma"/>
          <w:bCs/>
          <w:color w:val="000000"/>
          <w:sz w:val="20"/>
          <w:szCs w:val="20"/>
          <w:lang w:eastAsia="es-MX"/>
        </w:rPr>
        <w:lastRenderedPageBreak/>
        <w:t xml:space="preserve">Derivado de lo anterior, en cumplimiento del mandato legal del artículo 65 de la Ley y previa opinión de la Unidad de Asuntos Jurídicos </w:t>
      </w:r>
      <w:r w:rsidR="004F3ADA">
        <w:rPr>
          <w:rFonts w:ascii="ITC Avant Garde" w:hAnsi="ITC Avant Garde" w:cs="Tahoma"/>
          <w:bCs/>
          <w:color w:val="000000"/>
          <w:sz w:val="20"/>
          <w:szCs w:val="20"/>
          <w:lang w:eastAsia="es-MX"/>
        </w:rPr>
        <w:t>del Instituto</w:t>
      </w:r>
      <w:r w:rsidR="00CD0041">
        <w:rPr>
          <w:rFonts w:ascii="ITC Avant Garde" w:hAnsi="ITC Avant Garde" w:cs="Tahoma"/>
          <w:bCs/>
          <w:color w:val="000000"/>
          <w:sz w:val="20"/>
          <w:szCs w:val="20"/>
          <w:lang w:eastAsia="es-MX"/>
        </w:rPr>
        <w:t xml:space="preserve"> </w:t>
      </w:r>
      <w:r>
        <w:rPr>
          <w:rFonts w:ascii="ITC Avant Garde" w:hAnsi="ITC Avant Garde" w:cs="Tahoma"/>
          <w:bCs/>
          <w:color w:val="000000"/>
          <w:sz w:val="20"/>
          <w:szCs w:val="20"/>
          <w:lang w:eastAsia="es-MX"/>
        </w:rPr>
        <w:t xml:space="preserve">sobre </w:t>
      </w:r>
      <w:r w:rsidR="00CD0041">
        <w:rPr>
          <w:rFonts w:ascii="ITC Avant Garde" w:hAnsi="ITC Avant Garde" w:cs="Tahoma"/>
          <w:bCs/>
          <w:color w:val="000000"/>
          <w:sz w:val="20"/>
          <w:szCs w:val="20"/>
          <w:lang w:eastAsia="es-MX"/>
        </w:rPr>
        <w:t xml:space="preserve">las autoridades competentes </w:t>
      </w:r>
      <w:r w:rsidR="003B3186">
        <w:rPr>
          <w:rFonts w:ascii="ITC Avant Garde" w:hAnsi="ITC Avant Garde" w:cs="Tahoma"/>
          <w:bCs/>
          <w:color w:val="000000"/>
          <w:sz w:val="20"/>
          <w:szCs w:val="20"/>
          <w:lang w:eastAsia="es-MX"/>
        </w:rPr>
        <w:t xml:space="preserve">que deberían </w:t>
      </w:r>
      <w:r w:rsidR="003B3186">
        <w:rPr>
          <w:rFonts w:ascii="ITC Avant Garde" w:hAnsi="ITC Avant Garde"/>
          <w:sz w:val="20"/>
          <w:szCs w:val="20"/>
        </w:rPr>
        <w:t xml:space="preserve">colaborar en la definición de </w:t>
      </w:r>
      <w:r w:rsidR="003B3186" w:rsidRPr="0086242B">
        <w:rPr>
          <w:rFonts w:ascii="ITC Avant Garde" w:hAnsi="ITC Avant Garde"/>
          <w:sz w:val="20"/>
          <w:szCs w:val="20"/>
        </w:rPr>
        <w:t>los límites de exposición máxima para seres humanos a radiaciones electromagnéticas de radiofrecuencia no ionizantes</w:t>
      </w:r>
      <w:r w:rsidR="00CD0041">
        <w:rPr>
          <w:rFonts w:ascii="ITC Avant Garde" w:hAnsi="ITC Avant Garde" w:cs="Tahoma"/>
          <w:bCs/>
          <w:color w:val="000000"/>
          <w:sz w:val="20"/>
          <w:szCs w:val="20"/>
          <w:lang w:eastAsia="es-MX"/>
        </w:rPr>
        <w:t xml:space="preserve">, </w:t>
      </w:r>
      <w:r w:rsidR="000C1625">
        <w:rPr>
          <w:rFonts w:ascii="ITC Avant Garde" w:hAnsi="ITC Avant Garde" w:cs="Tahoma"/>
          <w:bCs/>
          <w:color w:val="000000"/>
          <w:sz w:val="20"/>
          <w:szCs w:val="20"/>
          <w:lang w:eastAsia="es-MX"/>
        </w:rPr>
        <w:t>para tal efecto</w:t>
      </w:r>
      <w:r>
        <w:rPr>
          <w:rFonts w:ascii="ITC Avant Garde" w:hAnsi="ITC Avant Garde" w:cs="Tahoma"/>
          <w:bCs/>
          <w:color w:val="000000"/>
          <w:sz w:val="20"/>
          <w:szCs w:val="20"/>
          <w:lang w:eastAsia="es-MX"/>
        </w:rPr>
        <w:t xml:space="preserve"> se realizaron diversas reuniones de trabajo con la Comisión Federal para la Protección Contra </w:t>
      </w:r>
      <w:r w:rsidR="003B3186">
        <w:rPr>
          <w:rFonts w:ascii="ITC Avant Garde" w:hAnsi="ITC Avant Garde" w:cs="Tahoma"/>
          <w:bCs/>
          <w:color w:val="000000"/>
          <w:sz w:val="20"/>
          <w:szCs w:val="20"/>
          <w:lang w:eastAsia="es-MX"/>
        </w:rPr>
        <w:t>R</w:t>
      </w:r>
      <w:r>
        <w:rPr>
          <w:rFonts w:ascii="ITC Avant Garde" w:hAnsi="ITC Avant Garde" w:cs="Tahoma"/>
          <w:bCs/>
          <w:color w:val="000000"/>
          <w:sz w:val="20"/>
          <w:szCs w:val="20"/>
          <w:lang w:eastAsia="es-MX"/>
        </w:rPr>
        <w:t>iesgos Sanitarios (“COFEPRIS”), la Secretaria de Trabajo y Previsión Social</w:t>
      </w:r>
      <w:r w:rsidR="004F3ADA">
        <w:rPr>
          <w:rFonts w:ascii="ITC Avant Garde" w:hAnsi="ITC Avant Garde" w:cs="Tahoma"/>
          <w:bCs/>
          <w:color w:val="000000"/>
          <w:sz w:val="20"/>
          <w:szCs w:val="20"/>
          <w:lang w:eastAsia="es-MX"/>
        </w:rPr>
        <w:t xml:space="preserve"> (STPS) y la Secretaria del Medio Ambiente y Recursos Naturales (SEMARNAT), </w:t>
      </w:r>
      <w:r w:rsidR="000C1625">
        <w:rPr>
          <w:rFonts w:ascii="ITC Avant Garde" w:hAnsi="ITC Avant Garde" w:cs="Tahoma"/>
          <w:bCs/>
          <w:color w:val="000000"/>
          <w:sz w:val="20"/>
          <w:szCs w:val="20"/>
          <w:lang w:eastAsia="es-MX"/>
        </w:rPr>
        <w:t xml:space="preserve">para la definición de dichos límites. </w:t>
      </w:r>
    </w:p>
    <w:p w14:paraId="50611BA6" w14:textId="77777777" w:rsidR="003B3186" w:rsidRDefault="003B3186" w:rsidP="00B37B65">
      <w:pPr>
        <w:tabs>
          <w:tab w:val="left" w:pos="720"/>
          <w:tab w:val="left" w:pos="1134"/>
        </w:tabs>
        <w:spacing w:line="360" w:lineRule="auto"/>
        <w:jc w:val="both"/>
        <w:rPr>
          <w:rFonts w:ascii="ITC Avant Garde" w:hAnsi="ITC Avant Garde" w:cs="Tahoma"/>
          <w:bCs/>
          <w:color w:val="000000"/>
          <w:sz w:val="20"/>
          <w:szCs w:val="20"/>
          <w:lang w:eastAsia="es-MX"/>
        </w:rPr>
      </w:pPr>
    </w:p>
    <w:p w14:paraId="386E8FF7" w14:textId="1A4976F7" w:rsidR="000C1625" w:rsidRDefault="000C1625" w:rsidP="003B3186">
      <w:pPr>
        <w:tabs>
          <w:tab w:val="left" w:pos="720"/>
          <w:tab w:val="left" w:pos="1134"/>
        </w:tabs>
        <w:spacing w:line="360" w:lineRule="auto"/>
        <w:jc w:val="both"/>
        <w:rPr>
          <w:rFonts w:ascii="ITC Avant Garde" w:hAnsi="ITC Avant Garde" w:cs="Tahoma"/>
          <w:bCs/>
          <w:color w:val="000000"/>
          <w:sz w:val="20"/>
          <w:szCs w:val="20"/>
          <w:lang w:eastAsia="es-MX"/>
        </w:rPr>
      </w:pPr>
      <w:r>
        <w:rPr>
          <w:rFonts w:ascii="ITC Avant Garde" w:hAnsi="ITC Avant Garde" w:cs="Tahoma"/>
          <w:bCs/>
          <w:color w:val="000000"/>
          <w:sz w:val="20"/>
          <w:szCs w:val="20"/>
          <w:lang w:eastAsia="es-MX"/>
        </w:rPr>
        <w:t xml:space="preserve">Al respecto, </w:t>
      </w:r>
      <w:r w:rsidR="0088391C">
        <w:rPr>
          <w:rFonts w:ascii="ITC Avant Garde" w:hAnsi="ITC Avant Garde" w:cs="Tahoma"/>
          <w:bCs/>
          <w:color w:val="000000"/>
          <w:sz w:val="20"/>
          <w:szCs w:val="20"/>
          <w:lang w:eastAsia="es-MX"/>
        </w:rPr>
        <w:t>COFEPRIS</w:t>
      </w:r>
      <w:r w:rsidR="004F3ADA">
        <w:rPr>
          <w:rFonts w:ascii="ITC Avant Garde" w:hAnsi="ITC Avant Garde" w:cs="Tahoma"/>
          <w:bCs/>
          <w:color w:val="000000"/>
          <w:sz w:val="20"/>
          <w:szCs w:val="20"/>
          <w:lang w:eastAsia="es-MX"/>
        </w:rPr>
        <w:t xml:space="preserve"> </w:t>
      </w:r>
      <w:r w:rsidR="0088391C">
        <w:rPr>
          <w:rFonts w:ascii="ITC Avant Garde" w:hAnsi="ITC Avant Garde" w:cs="Tahoma"/>
          <w:bCs/>
          <w:color w:val="000000"/>
          <w:sz w:val="20"/>
          <w:szCs w:val="20"/>
          <w:lang w:eastAsia="es-MX"/>
        </w:rPr>
        <w:t xml:space="preserve">manifestó </w:t>
      </w:r>
      <w:r w:rsidR="00CD0041">
        <w:rPr>
          <w:rFonts w:ascii="ITC Avant Garde" w:hAnsi="ITC Avant Garde" w:cs="Tahoma"/>
          <w:bCs/>
          <w:color w:val="000000"/>
          <w:sz w:val="20"/>
          <w:szCs w:val="20"/>
          <w:lang w:eastAsia="es-MX"/>
        </w:rPr>
        <w:t xml:space="preserve">que </w:t>
      </w:r>
      <w:r>
        <w:rPr>
          <w:rFonts w:ascii="ITC Avant Garde" w:hAnsi="ITC Avant Garde" w:cs="Tahoma"/>
          <w:bCs/>
          <w:color w:val="000000"/>
          <w:sz w:val="20"/>
          <w:szCs w:val="20"/>
          <w:lang w:eastAsia="es-MX"/>
        </w:rPr>
        <w:t>“l</w:t>
      </w:r>
      <w:r w:rsidR="00DE4283" w:rsidRPr="003B3186">
        <w:rPr>
          <w:rFonts w:ascii="ITC Avant Garde" w:hAnsi="ITC Avant Garde" w:cs="Tahoma"/>
          <w:bCs/>
          <w:color w:val="000000"/>
          <w:sz w:val="20"/>
          <w:szCs w:val="20"/>
          <w:lang w:eastAsia="es-MX"/>
        </w:rPr>
        <w:t xml:space="preserve">a información contenida en el Anteproyecto de Disposición Técnica IFT-007-2015 referente a los límites de exposición máxima para seres humanos a radiaciones electromagnéticas de radiofrecuencia no ionizantes en el intervalo de 100 kHz a 300 GHz, corresponde a los valores que la International </w:t>
      </w:r>
      <w:proofErr w:type="spellStart"/>
      <w:r w:rsidR="00DE4283" w:rsidRPr="003B3186">
        <w:rPr>
          <w:rFonts w:ascii="ITC Avant Garde" w:hAnsi="ITC Avant Garde" w:cs="Tahoma"/>
          <w:bCs/>
          <w:color w:val="000000"/>
          <w:sz w:val="20"/>
          <w:szCs w:val="20"/>
          <w:lang w:eastAsia="es-MX"/>
        </w:rPr>
        <w:t>Com</w:t>
      </w:r>
      <w:r w:rsidR="00992611">
        <w:rPr>
          <w:rFonts w:ascii="ITC Avant Garde" w:hAnsi="ITC Avant Garde" w:cs="Tahoma"/>
          <w:bCs/>
          <w:color w:val="000000"/>
          <w:sz w:val="20"/>
          <w:szCs w:val="20"/>
          <w:lang w:eastAsia="es-MX"/>
        </w:rPr>
        <w:t>m</w:t>
      </w:r>
      <w:r w:rsidR="00DE4283" w:rsidRPr="003B3186">
        <w:rPr>
          <w:rFonts w:ascii="ITC Avant Garde" w:hAnsi="ITC Avant Garde" w:cs="Tahoma"/>
          <w:bCs/>
          <w:color w:val="000000"/>
          <w:sz w:val="20"/>
          <w:szCs w:val="20"/>
          <w:lang w:eastAsia="es-MX"/>
        </w:rPr>
        <w:t>ission</w:t>
      </w:r>
      <w:proofErr w:type="spellEnd"/>
      <w:r w:rsidR="00DE4283" w:rsidRPr="003B3186">
        <w:rPr>
          <w:rFonts w:ascii="ITC Avant Garde" w:hAnsi="ITC Avant Garde" w:cs="Tahoma"/>
          <w:bCs/>
          <w:color w:val="000000"/>
          <w:sz w:val="20"/>
          <w:szCs w:val="20"/>
          <w:lang w:eastAsia="es-MX"/>
        </w:rPr>
        <w:t xml:space="preserve"> Non-</w:t>
      </w:r>
      <w:proofErr w:type="spellStart"/>
      <w:r w:rsidR="00DE4283" w:rsidRPr="003B3186">
        <w:rPr>
          <w:rFonts w:ascii="ITC Avant Garde" w:hAnsi="ITC Avant Garde" w:cs="Tahoma"/>
          <w:bCs/>
          <w:color w:val="000000"/>
          <w:sz w:val="20"/>
          <w:szCs w:val="20"/>
          <w:lang w:eastAsia="es-MX"/>
        </w:rPr>
        <w:t>Ionizing</w:t>
      </w:r>
      <w:proofErr w:type="spellEnd"/>
      <w:r w:rsidR="00DE4283" w:rsidRPr="003B3186">
        <w:rPr>
          <w:rFonts w:ascii="ITC Avant Garde" w:hAnsi="ITC Avant Garde" w:cs="Tahoma"/>
          <w:bCs/>
          <w:color w:val="000000"/>
          <w:sz w:val="20"/>
          <w:szCs w:val="20"/>
          <w:lang w:eastAsia="es-MX"/>
        </w:rPr>
        <w:t xml:space="preserve"> </w:t>
      </w:r>
      <w:proofErr w:type="spellStart"/>
      <w:r w:rsidR="00DE4283" w:rsidRPr="003B3186">
        <w:rPr>
          <w:rFonts w:ascii="ITC Avant Garde" w:hAnsi="ITC Avant Garde" w:cs="Tahoma"/>
          <w:bCs/>
          <w:color w:val="000000"/>
          <w:sz w:val="20"/>
          <w:szCs w:val="20"/>
          <w:lang w:eastAsia="es-MX"/>
        </w:rPr>
        <w:t>Radiation</w:t>
      </w:r>
      <w:proofErr w:type="spellEnd"/>
      <w:r w:rsidR="00DE4283" w:rsidRPr="003B3186">
        <w:rPr>
          <w:rFonts w:ascii="ITC Avant Garde" w:hAnsi="ITC Avant Garde" w:cs="Tahoma"/>
          <w:bCs/>
          <w:color w:val="000000"/>
          <w:sz w:val="20"/>
          <w:szCs w:val="20"/>
          <w:lang w:eastAsia="es-MX"/>
        </w:rPr>
        <w:t xml:space="preserve"> </w:t>
      </w:r>
      <w:proofErr w:type="spellStart"/>
      <w:r w:rsidR="00DE4283" w:rsidRPr="003B3186">
        <w:rPr>
          <w:rFonts w:ascii="ITC Avant Garde" w:hAnsi="ITC Avant Garde" w:cs="Tahoma"/>
          <w:bCs/>
          <w:color w:val="000000"/>
          <w:sz w:val="20"/>
          <w:szCs w:val="20"/>
          <w:lang w:eastAsia="es-MX"/>
        </w:rPr>
        <w:t>Protection</w:t>
      </w:r>
      <w:proofErr w:type="spellEnd"/>
      <w:r w:rsidR="00DE4283" w:rsidRPr="003B3186">
        <w:rPr>
          <w:rFonts w:ascii="ITC Avant Garde" w:hAnsi="ITC Avant Garde" w:cs="Tahoma"/>
          <w:bCs/>
          <w:color w:val="000000"/>
          <w:sz w:val="20"/>
          <w:szCs w:val="20"/>
          <w:lang w:eastAsia="es-MX"/>
        </w:rPr>
        <w:t xml:space="preserve"> (ICNIRP), propone para la población general y son los límites correctos que deben ser considerados en la Disposición Técnica en comento</w:t>
      </w:r>
      <w:r>
        <w:rPr>
          <w:rFonts w:ascii="ITC Avant Garde" w:hAnsi="ITC Avant Garde" w:cs="Tahoma"/>
          <w:bCs/>
          <w:color w:val="000000"/>
          <w:sz w:val="20"/>
          <w:szCs w:val="20"/>
          <w:lang w:eastAsia="es-MX"/>
        </w:rPr>
        <w:t>.</w:t>
      </w:r>
    </w:p>
    <w:p w14:paraId="0495B659" w14:textId="77777777" w:rsidR="000C1625" w:rsidRDefault="000C1625" w:rsidP="003B3186">
      <w:pPr>
        <w:tabs>
          <w:tab w:val="left" w:pos="720"/>
          <w:tab w:val="left" w:pos="1134"/>
        </w:tabs>
        <w:spacing w:line="360" w:lineRule="auto"/>
        <w:jc w:val="both"/>
        <w:rPr>
          <w:rFonts w:ascii="ITC Avant Garde" w:hAnsi="ITC Avant Garde" w:cs="Tahoma"/>
          <w:bCs/>
          <w:color w:val="000000"/>
          <w:sz w:val="20"/>
          <w:szCs w:val="20"/>
          <w:lang w:eastAsia="es-MX"/>
        </w:rPr>
      </w:pPr>
    </w:p>
    <w:p w14:paraId="68EC34CE" w14:textId="6EF19F93" w:rsidR="00DE4283" w:rsidRPr="00B74C4D" w:rsidRDefault="000C1625" w:rsidP="00B74C4D">
      <w:pPr>
        <w:tabs>
          <w:tab w:val="left" w:pos="720"/>
          <w:tab w:val="left" w:pos="1134"/>
        </w:tabs>
        <w:spacing w:line="360" w:lineRule="auto"/>
        <w:jc w:val="both"/>
        <w:rPr>
          <w:rFonts w:ascii="ITC Avant Garde" w:hAnsi="ITC Avant Garde" w:cs="Tahoma"/>
          <w:bCs/>
          <w:sz w:val="20"/>
          <w:szCs w:val="20"/>
        </w:rPr>
      </w:pPr>
      <w:r>
        <w:rPr>
          <w:rFonts w:ascii="ITC Avant Garde" w:hAnsi="ITC Avant Garde" w:cs="Tahoma"/>
          <w:bCs/>
          <w:color w:val="000000"/>
          <w:sz w:val="20"/>
          <w:szCs w:val="20"/>
          <w:lang w:eastAsia="es-MX"/>
        </w:rPr>
        <w:t>A</w:t>
      </w:r>
      <w:r w:rsidR="0088391C">
        <w:rPr>
          <w:rFonts w:ascii="ITC Avant Garde" w:hAnsi="ITC Avant Garde" w:cs="Tahoma"/>
          <w:bCs/>
          <w:color w:val="000000"/>
          <w:sz w:val="20"/>
          <w:szCs w:val="20"/>
          <w:lang w:eastAsia="es-MX"/>
        </w:rPr>
        <w:t xml:space="preserve">sí mismo la Secretaria del Trabajo y Previsión Social, hizo del conocimiento del Instituto que </w:t>
      </w:r>
      <w:r>
        <w:rPr>
          <w:rFonts w:ascii="ITC Avant Garde" w:hAnsi="ITC Avant Garde" w:cs="Tahoma"/>
          <w:bCs/>
          <w:color w:val="000000"/>
          <w:sz w:val="20"/>
          <w:szCs w:val="20"/>
          <w:lang w:eastAsia="es-MX"/>
        </w:rPr>
        <w:t>“</w:t>
      </w:r>
      <w:r w:rsidR="0088391C">
        <w:rPr>
          <w:rFonts w:ascii="ITC Avant Garde" w:hAnsi="ITC Avant Garde" w:cs="Tahoma"/>
          <w:bCs/>
          <w:color w:val="000000"/>
          <w:sz w:val="20"/>
          <w:szCs w:val="20"/>
          <w:lang w:eastAsia="es-MX"/>
        </w:rPr>
        <w:t xml:space="preserve">en virtud de que el proyecto en mención no invade las Atribuciones de la </w:t>
      </w:r>
      <w:proofErr w:type="gramStart"/>
      <w:r w:rsidR="0088391C">
        <w:rPr>
          <w:rFonts w:ascii="ITC Avant Garde" w:hAnsi="ITC Avant Garde" w:cs="Tahoma"/>
          <w:bCs/>
          <w:color w:val="000000"/>
          <w:sz w:val="20"/>
          <w:szCs w:val="20"/>
          <w:lang w:eastAsia="es-MX"/>
        </w:rPr>
        <w:t>Secretaria  del</w:t>
      </w:r>
      <w:proofErr w:type="gramEnd"/>
      <w:r w:rsidR="0088391C">
        <w:rPr>
          <w:rFonts w:ascii="ITC Avant Garde" w:hAnsi="ITC Avant Garde" w:cs="Tahoma"/>
          <w:bCs/>
          <w:color w:val="000000"/>
          <w:sz w:val="20"/>
          <w:szCs w:val="20"/>
          <w:lang w:eastAsia="es-MX"/>
        </w:rPr>
        <w:t xml:space="preserve"> Trabajo y Previsión Social  en materia de normalización de seguridad y salud en el trabajo sobre radiaciones no ionizantes</w:t>
      </w:r>
      <w:r w:rsidR="00005307">
        <w:rPr>
          <w:rFonts w:ascii="ITC Avant Garde" w:hAnsi="ITC Avant Garde" w:cs="Tahoma"/>
          <w:bCs/>
          <w:color w:val="000000"/>
          <w:sz w:val="20"/>
          <w:szCs w:val="20"/>
          <w:lang w:eastAsia="es-MX"/>
        </w:rPr>
        <w:t xml:space="preserve"> y que</w:t>
      </w:r>
      <w:r w:rsidR="0088391C">
        <w:rPr>
          <w:rFonts w:ascii="ITC Avant Garde" w:hAnsi="ITC Avant Garde" w:cs="Tahoma"/>
          <w:bCs/>
          <w:color w:val="000000"/>
          <w:sz w:val="20"/>
          <w:szCs w:val="20"/>
          <w:lang w:eastAsia="es-MX"/>
        </w:rPr>
        <w:t>, no tiene inconveniente  para que el Instituto continúe con las gestiones necesarias para que el proyecto sea sometido al pleno para su aprobación para consulta pública.</w:t>
      </w:r>
      <w:r>
        <w:rPr>
          <w:rFonts w:ascii="ITC Avant Garde" w:hAnsi="ITC Avant Garde" w:cs="Tahoma"/>
          <w:bCs/>
          <w:color w:val="000000"/>
          <w:sz w:val="20"/>
          <w:szCs w:val="20"/>
          <w:lang w:eastAsia="es-MX"/>
        </w:rPr>
        <w:t>”</w:t>
      </w:r>
      <w:r w:rsidR="00410311">
        <w:rPr>
          <w:rFonts w:ascii="ITC Avant Garde" w:hAnsi="ITC Avant Garde" w:cs="Tahoma"/>
          <w:bCs/>
          <w:sz w:val="20"/>
          <w:szCs w:val="20"/>
        </w:rPr>
        <w:t xml:space="preserve"> </w:t>
      </w:r>
      <w:r w:rsidR="0088391C">
        <w:rPr>
          <w:rFonts w:ascii="ITC Avant Garde" w:hAnsi="ITC Avant Garde" w:cs="Tahoma"/>
          <w:bCs/>
          <w:color w:val="000000"/>
          <w:sz w:val="20"/>
          <w:szCs w:val="20"/>
          <w:lang w:eastAsia="es-MX"/>
        </w:rPr>
        <w:t xml:space="preserve">Por su parte la Secretaria del Medio Ambiente y Recursos Naturales manifestó su </w:t>
      </w:r>
      <w:r>
        <w:rPr>
          <w:rFonts w:ascii="ITC Avant Garde" w:hAnsi="ITC Avant Garde" w:cs="Tahoma"/>
          <w:bCs/>
          <w:color w:val="000000"/>
          <w:sz w:val="20"/>
          <w:szCs w:val="20"/>
          <w:lang w:eastAsia="es-MX"/>
        </w:rPr>
        <w:t xml:space="preserve">interés de </w:t>
      </w:r>
      <w:r w:rsidR="0088391C">
        <w:rPr>
          <w:rFonts w:ascii="ITC Avant Garde" w:hAnsi="ITC Avant Garde" w:cs="Tahoma"/>
          <w:bCs/>
          <w:color w:val="000000"/>
          <w:sz w:val="20"/>
          <w:szCs w:val="20"/>
          <w:lang w:eastAsia="es-MX"/>
        </w:rPr>
        <w:t>colabora</w:t>
      </w:r>
      <w:r>
        <w:rPr>
          <w:rFonts w:ascii="ITC Avant Garde" w:hAnsi="ITC Avant Garde" w:cs="Tahoma"/>
          <w:bCs/>
          <w:color w:val="000000"/>
          <w:sz w:val="20"/>
          <w:szCs w:val="20"/>
          <w:lang w:eastAsia="es-MX"/>
        </w:rPr>
        <w:t>r</w:t>
      </w:r>
      <w:r w:rsidR="0088391C">
        <w:rPr>
          <w:rFonts w:ascii="ITC Avant Garde" w:hAnsi="ITC Avant Garde" w:cs="Tahoma"/>
          <w:bCs/>
          <w:color w:val="000000"/>
          <w:sz w:val="20"/>
          <w:szCs w:val="20"/>
          <w:lang w:eastAsia="es-MX"/>
        </w:rPr>
        <w:t xml:space="preserve"> en los términos del marco legal aplicable.</w:t>
      </w:r>
      <w:r w:rsidR="0088391C" w:rsidRPr="000C1625">
        <w:rPr>
          <w:rFonts w:ascii="ITC Avant Garde" w:hAnsi="ITC Avant Garde" w:cs="Tahoma"/>
          <w:bCs/>
          <w:color w:val="000000"/>
          <w:sz w:val="20"/>
          <w:szCs w:val="20"/>
          <w:lang w:eastAsia="es-MX"/>
        </w:rPr>
        <w:t xml:space="preserve"> </w:t>
      </w:r>
    </w:p>
    <w:p w14:paraId="48B2A0A5" w14:textId="77777777" w:rsidR="00AE11F0" w:rsidRPr="0086242B" w:rsidRDefault="00AE11F0" w:rsidP="00AE11F0">
      <w:pPr>
        <w:pStyle w:val="Default"/>
        <w:tabs>
          <w:tab w:val="left" w:pos="0"/>
        </w:tabs>
        <w:spacing w:line="360" w:lineRule="auto"/>
        <w:jc w:val="both"/>
        <w:rPr>
          <w:rFonts w:ascii="ITC Avant Garde" w:hAnsi="ITC Avant Garde"/>
          <w:b/>
          <w:sz w:val="20"/>
          <w:szCs w:val="20"/>
          <w:lang w:val="es-ES_tradnl"/>
        </w:rPr>
      </w:pPr>
    </w:p>
    <w:p w14:paraId="07C9C3AB" w14:textId="50E7FD6A" w:rsidR="00AE11F0" w:rsidRPr="0086242B" w:rsidRDefault="00B74C4D" w:rsidP="00AE11F0">
      <w:pPr>
        <w:pStyle w:val="Default"/>
        <w:tabs>
          <w:tab w:val="left" w:pos="0"/>
        </w:tabs>
        <w:spacing w:line="360" w:lineRule="auto"/>
        <w:jc w:val="both"/>
        <w:rPr>
          <w:rFonts w:ascii="ITC Avant Garde" w:hAnsi="ITC Avant Garde"/>
          <w:sz w:val="20"/>
          <w:szCs w:val="20"/>
          <w:lang w:val="es-ES_tradnl"/>
        </w:rPr>
      </w:pPr>
      <w:r>
        <w:rPr>
          <w:rFonts w:ascii="ITC Avant Garde" w:hAnsi="ITC Avant Garde"/>
          <w:b/>
          <w:sz w:val="20"/>
          <w:szCs w:val="20"/>
          <w:lang w:val="es-ES_tradnl"/>
        </w:rPr>
        <w:t>Cuarto</w:t>
      </w:r>
      <w:r w:rsidR="00AE11F0" w:rsidRPr="0086242B">
        <w:rPr>
          <w:rFonts w:ascii="ITC Avant Garde" w:hAnsi="ITC Avant Garde"/>
          <w:b/>
          <w:sz w:val="20"/>
          <w:szCs w:val="20"/>
          <w:lang w:val="es-ES_tradnl"/>
        </w:rPr>
        <w:t xml:space="preserve">.- </w:t>
      </w:r>
      <w:r w:rsidR="00AE11F0" w:rsidRPr="0086242B">
        <w:rPr>
          <w:rFonts w:ascii="ITC Avant Garde" w:hAnsi="ITC Avant Garde"/>
          <w:sz w:val="20"/>
          <w:szCs w:val="20"/>
          <w:lang w:val="es-ES_tradnl"/>
        </w:rPr>
        <w:t xml:space="preserve">Que conforme a lo dispuesto en el artículo </w:t>
      </w:r>
      <w:r w:rsidR="00E21C65" w:rsidRPr="0086242B">
        <w:rPr>
          <w:rFonts w:ascii="ITC Avant Garde" w:hAnsi="ITC Avant Garde"/>
          <w:sz w:val="20"/>
          <w:szCs w:val="20"/>
          <w:lang w:val="es-ES_tradnl"/>
        </w:rPr>
        <w:t xml:space="preserve">23, fracción IX del Estatuto, corresponde a la </w:t>
      </w:r>
      <w:r w:rsidR="00DA22CF">
        <w:rPr>
          <w:rFonts w:ascii="ITC Avant Garde" w:hAnsi="ITC Avant Garde"/>
          <w:sz w:val="20"/>
          <w:szCs w:val="20"/>
          <w:lang w:val="es-ES_tradnl"/>
        </w:rPr>
        <w:t xml:space="preserve">Unidad de Política Regulatoria a través de la </w:t>
      </w:r>
      <w:r w:rsidR="00E21C65" w:rsidRPr="0086242B">
        <w:rPr>
          <w:rFonts w:ascii="ITC Avant Garde" w:hAnsi="ITC Avant Garde"/>
          <w:sz w:val="20"/>
          <w:szCs w:val="20"/>
          <w:lang w:val="es-ES_tradnl"/>
        </w:rPr>
        <w:t>Dirección General de Regulación Técnica proponer</w:t>
      </w:r>
      <w:r w:rsidR="009B0D35" w:rsidRPr="0086242B">
        <w:rPr>
          <w:rFonts w:ascii="ITC Avant Garde" w:hAnsi="ITC Avant Garde"/>
          <w:sz w:val="20"/>
          <w:szCs w:val="20"/>
          <w:lang w:val="es-ES_tradnl"/>
        </w:rPr>
        <w:t xml:space="preserve"> al Pleno del Instituto la definición de los límites de exposición m</w:t>
      </w:r>
      <w:r w:rsidR="00E21C65" w:rsidRPr="0086242B">
        <w:rPr>
          <w:rFonts w:ascii="ITC Avant Garde" w:hAnsi="ITC Avant Garde"/>
          <w:sz w:val="20"/>
          <w:szCs w:val="20"/>
          <w:lang w:val="es-ES_tradnl"/>
        </w:rPr>
        <w:t>áxima para seres humano</w:t>
      </w:r>
      <w:r w:rsidR="009B0D35" w:rsidRPr="0086242B">
        <w:rPr>
          <w:rFonts w:ascii="ITC Avant Garde" w:hAnsi="ITC Avant Garde"/>
          <w:sz w:val="20"/>
          <w:szCs w:val="20"/>
          <w:lang w:val="es-ES_tradnl"/>
        </w:rPr>
        <w:t>s a radiaciones electromagnéticas de radiofrecuencia no ionizantes, mismos que se deberán cumplir en el despliegue y operación de infraestructura inalámbrica.</w:t>
      </w:r>
    </w:p>
    <w:p w14:paraId="3D87E735" w14:textId="592CF940" w:rsidR="00AE11F0" w:rsidRDefault="00AE11F0" w:rsidP="00AE11F0">
      <w:pPr>
        <w:pStyle w:val="Default"/>
        <w:tabs>
          <w:tab w:val="left" w:pos="0"/>
        </w:tabs>
        <w:spacing w:line="360" w:lineRule="auto"/>
        <w:jc w:val="both"/>
        <w:rPr>
          <w:rFonts w:ascii="ITC Avant Garde" w:hAnsi="ITC Avant Garde"/>
          <w:sz w:val="20"/>
          <w:szCs w:val="20"/>
          <w:lang w:val="es-ES_tradnl"/>
        </w:rPr>
      </w:pPr>
    </w:p>
    <w:p w14:paraId="676D8450" w14:textId="77777777" w:rsidR="00B74C4D" w:rsidRPr="0086242B" w:rsidRDefault="00B74C4D" w:rsidP="00AE11F0">
      <w:pPr>
        <w:pStyle w:val="Default"/>
        <w:tabs>
          <w:tab w:val="left" w:pos="0"/>
        </w:tabs>
        <w:spacing w:line="360" w:lineRule="auto"/>
        <w:jc w:val="both"/>
        <w:rPr>
          <w:rFonts w:ascii="ITC Avant Garde" w:hAnsi="ITC Avant Garde"/>
          <w:sz w:val="20"/>
          <w:szCs w:val="20"/>
          <w:lang w:val="es-ES_tradnl"/>
        </w:rPr>
      </w:pPr>
    </w:p>
    <w:p w14:paraId="314A952C" w14:textId="13971CD2" w:rsidR="00E45A96" w:rsidRPr="0086242B" w:rsidRDefault="00B74C4D" w:rsidP="00E45A96">
      <w:pPr>
        <w:pStyle w:val="Default"/>
        <w:tabs>
          <w:tab w:val="left" w:pos="0"/>
        </w:tabs>
        <w:spacing w:line="360" w:lineRule="auto"/>
        <w:jc w:val="both"/>
        <w:rPr>
          <w:rFonts w:ascii="ITC Avant Garde" w:hAnsi="ITC Avant Garde"/>
          <w:bCs/>
          <w:sz w:val="20"/>
          <w:szCs w:val="20"/>
          <w:lang w:val="es-ES_tradnl"/>
        </w:rPr>
      </w:pPr>
      <w:r>
        <w:rPr>
          <w:rFonts w:ascii="ITC Avant Garde" w:hAnsi="ITC Avant Garde"/>
          <w:b/>
          <w:sz w:val="20"/>
          <w:szCs w:val="20"/>
          <w:lang w:val="es-ES_tradnl"/>
        </w:rPr>
        <w:t>Quinto</w:t>
      </w:r>
      <w:r w:rsidR="00E45A96" w:rsidRPr="0086242B">
        <w:rPr>
          <w:rFonts w:ascii="ITC Avant Garde" w:hAnsi="ITC Avant Garde"/>
          <w:b/>
          <w:bCs/>
          <w:sz w:val="20"/>
          <w:szCs w:val="20"/>
          <w:lang w:val="es-ES_tradnl"/>
        </w:rPr>
        <w:t>.-</w:t>
      </w:r>
      <w:r w:rsidR="00E45A96" w:rsidRPr="0086242B">
        <w:rPr>
          <w:rFonts w:ascii="ITC Avant Garde" w:hAnsi="ITC Avant Garde"/>
          <w:bCs/>
          <w:sz w:val="20"/>
          <w:szCs w:val="20"/>
          <w:lang w:val="es-ES_tradnl"/>
        </w:rPr>
        <w:t xml:space="preserve"> Que el artículo 51 de la Ley establece que para la emisión y modificación de reglas, lineamientos o disposiciones administrativas de carácter general, así como en cualquier caso que determine el Pleno, el Instituto deberá realizar consultas públicas bajo los principios de transparencia y participación ciudadana.</w:t>
      </w:r>
    </w:p>
    <w:p w14:paraId="15497E85" w14:textId="77777777" w:rsidR="00E45A96" w:rsidRPr="0086242B" w:rsidRDefault="00E45A96" w:rsidP="00E45A96">
      <w:pPr>
        <w:pStyle w:val="Default"/>
        <w:tabs>
          <w:tab w:val="left" w:pos="0"/>
        </w:tabs>
        <w:spacing w:line="360" w:lineRule="auto"/>
        <w:jc w:val="both"/>
        <w:rPr>
          <w:rFonts w:ascii="ITC Avant Garde" w:hAnsi="ITC Avant Garde"/>
          <w:bCs/>
          <w:sz w:val="20"/>
          <w:szCs w:val="20"/>
          <w:lang w:val="es-ES_tradnl"/>
        </w:rPr>
      </w:pPr>
    </w:p>
    <w:p w14:paraId="3F877D5F" w14:textId="77777777" w:rsidR="00E45A96" w:rsidRPr="0086242B" w:rsidRDefault="00E45A96" w:rsidP="00E45A96">
      <w:pPr>
        <w:pStyle w:val="Default"/>
        <w:tabs>
          <w:tab w:val="left" w:pos="0"/>
        </w:tabs>
        <w:spacing w:line="360" w:lineRule="auto"/>
        <w:jc w:val="both"/>
        <w:rPr>
          <w:rFonts w:ascii="ITC Avant Garde" w:hAnsi="ITC Avant Garde"/>
          <w:bCs/>
          <w:sz w:val="20"/>
          <w:szCs w:val="20"/>
        </w:rPr>
      </w:pPr>
      <w:r w:rsidRPr="0086242B">
        <w:rPr>
          <w:rFonts w:ascii="ITC Avant Garde" w:hAnsi="ITC Avant Garde"/>
          <w:bCs/>
          <w:sz w:val="20"/>
          <w:szCs w:val="20"/>
          <w:lang w:val="es-ES_tradnl"/>
        </w:rPr>
        <w:t>En este sentido, el Pleno del Instituto estima conveniente someter a consulta pública el Anteproyecto de Disposición Técnica que a su vez le fue propuesto por la Unidad de Política Regulatoria. Anteproyecto de Disposición Técnica que se adjunta al presente Acuerdo como Anexo Único y forma parte integral de éste; a</w:t>
      </w:r>
      <w:r w:rsidRPr="0086242B">
        <w:rPr>
          <w:rFonts w:ascii="ITC Avant Garde" w:hAnsi="ITC Avant Garde"/>
          <w:bCs/>
          <w:sz w:val="20"/>
          <w:szCs w:val="20"/>
        </w:rPr>
        <w:t xml:space="preserve">l efecto, una vez concluido el plazo de consulta respectivo, se publicaran en el portal de Internet del Instituto todos y cada uno de los comentarios, opiniones y propuestas recibidas. </w:t>
      </w:r>
    </w:p>
    <w:p w14:paraId="231414F7" w14:textId="0E7C28CB" w:rsidR="00AE11F0" w:rsidRPr="00B74C4D" w:rsidRDefault="00E45A96" w:rsidP="00AE11F0">
      <w:pPr>
        <w:pStyle w:val="Default"/>
        <w:tabs>
          <w:tab w:val="left" w:pos="0"/>
        </w:tabs>
        <w:spacing w:line="360" w:lineRule="auto"/>
        <w:jc w:val="both"/>
        <w:rPr>
          <w:rFonts w:ascii="ITC Avant Garde" w:hAnsi="ITC Avant Garde"/>
          <w:bCs/>
          <w:sz w:val="20"/>
          <w:szCs w:val="20"/>
        </w:rPr>
      </w:pPr>
      <w:r w:rsidRPr="0086242B">
        <w:rPr>
          <w:rFonts w:ascii="ITC Avant Garde" w:hAnsi="ITC Avant Garde"/>
          <w:bCs/>
          <w:sz w:val="20"/>
          <w:szCs w:val="20"/>
        </w:rPr>
        <w:t xml:space="preserve"> </w:t>
      </w:r>
    </w:p>
    <w:p w14:paraId="547502B3" w14:textId="77777777" w:rsidR="00D87B3D" w:rsidRPr="0086242B" w:rsidRDefault="00D87B3D" w:rsidP="00D87B3D">
      <w:pPr>
        <w:pStyle w:val="Default"/>
        <w:tabs>
          <w:tab w:val="left" w:pos="0"/>
        </w:tabs>
        <w:spacing w:line="360" w:lineRule="auto"/>
        <w:jc w:val="both"/>
        <w:rPr>
          <w:rFonts w:ascii="ITC Avant Garde" w:hAnsi="ITC Avant Garde"/>
          <w:sz w:val="20"/>
          <w:szCs w:val="20"/>
          <w:lang w:val="es-ES_tradnl"/>
        </w:rPr>
      </w:pPr>
      <w:r>
        <w:rPr>
          <w:rFonts w:ascii="ITC Avant Garde" w:hAnsi="ITC Avant Garde"/>
          <w:sz w:val="20"/>
          <w:szCs w:val="20"/>
          <w:lang w:val="es-ES_tradnl"/>
        </w:rPr>
        <w:t>Derivado de lo anterior con</w:t>
      </w:r>
      <w:r w:rsidRPr="0086242B">
        <w:rPr>
          <w:rFonts w:ascii="ITC Avant Garde" w:hAnsi="ITC Avant Garde"/>
          <w:sz w:val="20"/>
          <w:szCs w:val="20"/>
          <w:lang w:val="es-ES_tradnl"/>
        </w:rPr>
        <w:t xml:space="preserve"> la emisión de la consulta pública del Anteproyecto de Disposición Técnica se alcanzar</w:t>
      </w:r>
      <w:r w:rsidR="00566188">
        <w:rPr>
          <w:rFonts w:ascii="ITC Avant Garde" w:hAnsi="ITC Avant Garde"/>
          <w:sz w:val="20"/>
          <w:szCs w:val="20"/>
          <w:lang w:val="es-ES_tradnl"/>
        </w:rPr>
        <w:t>án</w:t>
      </w:r>
      <w:r w:rsidRPr="0086242B">
        <w:rPr>
          <w:rFonts w:ascii="ITC Avant Garde" w:hAnsi="ITC Avant Garde"/>
          <w:sz w:val="20"/>
          <w:szCs w:val="20"/>
          <w:lang w:val="es-ES_tradnl"/>
        </w:rPr>
        <w:t xml:space="preserve"> los siguientes objetivos: </w:t>
      </w:r>
    </w:p>
    <w:p w14:paraId="27F564FF" w14:textId="77777777" w:rsidR="00D87B3D" w:rsidRPr="0086242B" w:rsidRDefault="00D87B3D" w:rsidP="00D87B3D">
      <w:pPr>
        <w:pStyle w:val="Default"/>
        <w:tabs>
          <w:tab w:val="left" w:pos="0"/>
        </w:tabs>
        <w:spacing w:line="360" w:lineRule="auto"/>
        <w:jc w:val="both"/>
        <w:rPr>
          <w:rFonts w:ascii="ITC Avant Garde" w:hAnsi="ITC Avant Garde"/>
          <w:sz w:val="20"/>
          <w:szCs w:val="20"/>
          <w:lang w:val="es-ES_tradnl"/>
        </w:rPr>
      </w:pPr>
    </w:p>
    <w:p w14:paraId="0C30478F" w14:textId="77777777" w:rsidR="00566188" w:rsidRDefault="00D87B3D" w:rsidP="000C1625">
      <w:pPr>
        <w:pStyle w:val="Default"/>
        <w:numPr>
          <w:ilvl w:val="0"/>
          <w:numId w:val="64"/>
        </w:numPr>
        <w:tabs>
          <w:tab w:val="left" w:pos="0"/>
        </w:tabs>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Fortalecer el principio de transparencia en la emisión de una disposición administrativa de carácter general que impacta a todo el sector de las telecomunicaciones y radiodifusión,</w:t>
      </w:r>
    </w:p>
    <w:p w14:paraId="3335DFEA" w14:textId="77777777" w:rsidR="00566188" w:rsidRPr="000C1625" w:rsidRDefault="00566188" w:rsidP="000C1625">
      <w:pPr>
        <w:pStyle w:val="Default"/>
        <w:tabs>
          <w:tab w:val="left" w:pos="0"/>
        </w:tabs>
        <w:spacing w:line="360" w:lineRule="auto"/>
        <w:ind w:left="720"/>
        <w:jc w:val="both"/>
        <w:rPr>
          <w:rFonts w:ascii="ITC Avant Garde" w:hAnsi="ITC Avant Garde"/>
          <w:sz w:val="20"/>
          <w:szCs w:val="20"/>
          <w:lang w:val="es-ES_tradnl"/>
        </w:rPr>
      </w:pPr>
    </w:p>
    <w:p w14:paraId="711B93B6" w14:textId="7373F4BD" w:rsidR="00D87B3D" w:rsidRPr="00B74C4D" w:rsidRDefault="00D87B3D" w:rsidP="00D87B3D">
      <w:pPr>
        <w:pStyle w:val="Default"/>
        <w:numPr>
          <w:ilvl w:val="0"/>
          <w:numId w:val="64"/>
        </w:numPr>
        <w:tabs>
          <w:tab w:val="left" w:pos="0"/>
        </w:tabs>
        <w:spacing w:line="360" w:lineRule="auto"/>
        <w:jc w:val="both"/>
        <w:rPr>
          <w:rFonts w:ascii="ITC Avant Garde" w:hAnsi="ITC Avant Garde"/>
          <w:sz w:val="20"/>
          <w:szCs w:val="20"/>
          <w:lang w:val="es-ES_tradnl"/>
        </w:rPr>
      </w:pPr>
      <w:r w:rsidRPr="00566188">
        <w:rPr>
          <w:rFonts w:ascii="ITC Avant Garde" w:hAnsi="ITC Avant Garde"/>
          <w:sz w:val="20"/>
          <w:szCs w:val="20"/>
          <w:lang w:val="es-ES_tradnl"/>
        </w:rPr>
        <w:t>Fortalecer los planteamientos expuestos en el Anteproyecto, mediante la participación ciudadana, generando así un documento más robusto y eficiente que busque brindar una cobertura optima a las necesidades y sugerencias en beneficio de todo el sector.</w:t>
      </w:r>
    </w:p>
    <w:p w14:paraId="49FEAFDE" w14:textId="77777777" w:rsidR="00D87B3D" w:rsidRDefault="00D87B3D" w:rsidP="00D87B3D">
      <w:pPr>
        <w:pStyle w:val="Default"/>
        <w:tabs>
          <w:tab w:val="left" w:pos="0"/>
        </w:tabs>
        <w:spacing w:line="360" w:lineRule="auto"/>
        <w:jc w:val="both"/>
        <w:rPr>
          <w:rFonts w:ascii="ITC Avant Garde" w:hAnsi="ITC Avant Garde"/>
          <w:sz w:val="20"/>
          <w:szCs w:val="20"/>
          <w:lang w:val="es-ES_tradnl"/>
        </w:rPr>
      </w:pPr>
    </w:p>
    <w:p w14:paraId="4AADB023" w14:textId="77777777" w:rsidR="00D87B3D" w:rsidRPr="0086242B" w:rsidRDefault="00D87B3D" w:rsidP="00D87B3D">
      <w:pPr>
        <w:pStyle w:val="Default"/>
        <w:tabs>
          <w:tab w:val="left" w:pos="0"/>
        </w:tabs>
        <w:spacing w:line="360" w:lineRule="auto"/>
        <w:jc w:val="both"/>
        <w:rPr>
          <w:rFonts w:ascii="ITC Avant Garde" w:hAnsi="ITC Avant Garde"/>
          <w:bCs/>
          <w:sz w:val="20"/>
          <w:szCs w:val="20"/>
          <w:lang w:val="es-ES_tradnl"/>
        </w:rPr>
      </w:pPr>
      <w:r w:rsidRPr="0086242B">
        <w:rPr>
          <w:rFonts w:ascii="ITC Avant Garde" w:hAnsi="ITC Avant Garde"/>
          <w:bCs/>
          <w:sz w:val="20"/>
          <w:szCs w:val="20"/>
          <w:lang w:val="es-ES_tradnl"/>
        </w:rPr>
        <w:t xml:space="preserve">Lo anterior sin perjuicio de que, en su momento, el Instituto realice y haga público el correspondiente análisis de impacto regulatorio, conforme a lo dispuesto en el segundo párrafo del artículo 51 de la Ley. </w:t>
      </w:r>
    </w:p>
    <w:p w14:paraId="044B1C6A" w14:textId="77777777" w:rsidR="00D87B3D" w:rsidRPr="0086242B" w:rsidRDefault="00D87B3D" w:rsidP="00D87B3D">
      <w:pPr>
        <w:pStyle w:val="Default"/>
        <w:tabs>
          <w:tab w:val="left" w:pos="0"/>
        </w:tabs>
        <w:spacing w:line="360" w:lineRule="auto"/>
        <w:jc w:val="both"/>
        <w:rPr>
          <w:rFonts w:ascii="ITC Avant Garde" w:hAnsi="ITC Avant Garde"/>
          <w:b/>
          <w:bCs/>
          <w:color w:val="auto"/>
          <w:sz w:val="20"/>
          <w:szCs w:val="20"/>
          <w:lang w:val="es-ES_tradnl"/>
        </w:rPr>
      </w:pPr>
    </w:p>
    <w:p w14:paraId="508DBEFC" w14:textId="6370ECD5" w:rsidR="00AE11F0" w:rsidRPr="0086242B" w:rsidRDefault="00B74C4D" w:rsidP="00AE11F0">
      <w:pPr>
        <w:pStyle w:val="Default"/>
        <w:tabs>
          <w:tab w:val="left" w:pos="0"/>
        </w:tabs>
        <w:spacing w:line="360" w:lineRule="auto"/>
        <w:jc w:val="both"/>
        <w:rPr>
          <w:rFonts w:ascii="ITC Avant Garde" w:hAnsi="ITC Avant Garde"/>
          <w:bCs/>
          <w:color w:val="auto"/>
          <w:sz w:val="20"/>
          <w:szCs w:val="20"/>
          <w:lang w:val="es-ES_tradnl"/>
        </w:rPr>
      </w:pPr>
      <w:r>
        <w:rPr>
          <w:rFonts w:ascii="ITC Avant Garde" w:hAnsi="ITC Avant Garde"/>
          <w:b/>
          <w:bCs/>
          <w:color w:val="auto"/>
          <w:sz w:val="20"/>
          <w:szCs w:val="20"/>
          <w:lang w:val="es-ES_tradnl"/>
        </w:rPr>
        <w:t>Sexto</w:t>
      </w:r>
      <w:r w:rsidR="00AE11F0" w:rsidRPr="0086242B">
        <w:rPr>
          <w:rFonts w:ascii="ITC Avant Garde" w:hAnsi="ITC Avant Garde"/>
          <w:b/>
          <w:bCs/>
          <w:color w:val="auto"/>
          <w:sz w:val="20"/>
          <w:szCs w:val="20"/>
          <w:lang w:val="es-ES_tradnl"/>
        </w:rPr>
        <w:t xml:space="preserve">.- </w:t>
      </w:r>
      <w:r w:rsidR="000B51F3">
        <w:rPr>
          <w:rFonts w:ascii="ITC Avant Garde" w:hAnsi="ITC Avant Garde"/>
          <w:bCs/>
          <w:color w:val="auto"/>
          <w:sz w:val="20"/>
          <w:szCs w:val="20"/>
          <w:lang w:val="es-ES_tradnl"/>
        </w:rPr>
        <w:t>Que l</w:t>
      </w:r>
      <w:r w:rsidR="00C744B8" w:rsidRPr="0086242B">
        <w:rPr>
          <w:rFonts w:ascii="ITC Avant Garde" w:hAnsi="ITC Avant Garde"/>
          <w:bCs/>
          <w:color w:val="auto"/>
          <w:sz w:val="20"/>
          <w:szCs w:val="20"/>
          <w:lang w:val="es-ES_tradnl"/>
        </w:rPr>
        <w:t>a Disposición Técnica</w:t>
      </w:r>
      <w:r w:rsidR="00AE11F0" w:rsidRPr="0086242B">
        <w:rPr>
          <w:rFonts w:ascii="ITC Avant Garde" w:hAnsi="ITC Avant Garde"/>
          <w:bCs/>
          <w:color w:val="auto"/>
          <w:sz w:val="20"/>
          <w:szCs w:val="20"/>
          <w:lang w:val="es-ES_tradnl"/>
        </w:rPr>
        <w:t>, como disposición administrativa de carácter general pretende</w:t>
      </w:r>
      <w:r w:rsidR="00F12AF8" w:rsidRPr="0086242B">
        <w:rPr>
          <w:rFonts w:ascii="ITC Avant Garde" w:hAnsi="ITC Avant Garde"/>
          <w:bCs/>
          <w:color w:val="auto"/>
          <w:sz w:val="20"/>
          <w:szCs w:val="20"/>
          <w:lang w:val="es-ES_tradnl"/>
        </w:rPr>
        <w:t xml:space="preserve"> </w:t>
      </w:r>
      <w:r w:rsidR="00AE11F0" w:rsidRPr="0086242B">
        <w:rPr>
          <w:rFonts w:ascii="ITC Avant Garde" w:hAnsi="ITC Avant Garde"/>
          <w:bCs/>
          <w:color w:val="auto"/>
          <w:sz w:val="20"/>
          <w:szCs w:val="20"/>
          <w:lang w:val="es-ES_tradnl"/>
        </w:rPr>
        <w:t xml:space="preserve">dar cabal cumplimiento a la obligación legal </w:t>
      </w:r>
      <w:r w:rsidR="00E45A96" w:rsidRPr="0086242B">
        <w:rPr>
          <w:rFonts w:ascii="ITC Avant Garde" w:hAnsi="ITC Avant Garde"/>
          <w:bCs/>
          <w:color w:val="auto"/>
          <w:sz w:val="20"/>
          <w:szCs w:val="20"/>
          <w:lang w:val="es-ES_tradnl"/>
        </w:rPr>
        <w:t xml:space="preserve">que compete al Instituto de definir en colaboración con otras autoridades competentes los límites de exposición </w:t>
      </w:r>
      <w:r w:rsidR="00C744B8" w:rsidRPr="0086242B">
        <w:rPr>
          <w:rFonts w:ascii="ITC Avant Garde" w:hAnsi="ITC Avant Garde"/>
          <w:bCs/>
          <w:color w:val="auto"/>
          <w:sz w:val="20"/>
          <w:szCs w:val="20"/>
          <w:lang w:val="es-ES_tradnl"/>
        </w:rPr>
        <w:t>para seres humanos a radiaciones electromagnéticas de radiofrecuencia no ionizantes.</w:t>
      </w:r>
    </w:p>
    <w:p w14:paraId="68E4B764" w14:textId="77777777" w:rsidR="00AE11F0" w:rsidRPr="0086242B" w:rsidRDefault="00AE11F0" w:rsidP="00AE11F0">
      <w:pPr>
        <w:pStyle w:val="Default"/>
        <w:tabs>
          <w:tab w:val="left" w:pos="0"/>
        </w:tabs>
        <w:spacing w:line="360" w:lineRule="auto"/>
        <w:jc w:val="both"/>
        <w:rPr>
          <w:rFonts w:ascii="ITC Avant Garde" w:hAnsi="ITC Avant Garde"/>
          <w:bCs/>
          <w:sz w:val="20"/>
          <w:szCs w:val="20"/>
          <w:lang w:val="es-ES_tradnl"/>
        </w:rPr>
      </w:pPr>
    </w:p>
    <w:p w14:paraId="295C5C1C" w14:textId="2D685366" w:rsidR="00AE11F0" w:rsidRPr="0086242B" w:rsidRDefault="00AE11F0" w:rsidP="00AE11F0">
      <w:pPr>
        <w:pStyle w:val="Default"/>
        <w:tabs>
          <w:tab w:val="left" w:pos="0"/>
        </w:tabs>
        <w:spacing w:line="360" w:lineRule="auto"/>
        <w:jc w:val="both"/>
        <w:rPr>
          <w:rFonts w:ascii="ITC Avant Garde" w:hAnsi="ITC Avant Garde"/>
          <w:bCs/>
          <w:color w:val="auto"/>
          <w:sz w:val="20"/>
          <w:szCs w:val="20"/>
          <w:lang w:val="es-ES_tradnl"/>
        </w:rPr>
      </w:pPr>
      <w:r w:rsidRPr="0086242B">
        <w:rPr>
          <w:rFonts w:ascii="ITC Avant Garde" w:hAnsi="ITC Avant Garde"/>
          <w:bCs/>
          <w:sz w:val="20"/>
          <w:szCs w:val="20"/>
          <w:lang w:val="es-ES_tradnl"/>
        </w:rPr>
        <w:t xml:space="preserve">Por lo anterior, el Anteproyecto de </w:t>
      </w:r>
      <w:r w:rsidR="0021428A" w:rsidRPr="0086242B">
        <w:rPr>
          <w:rFonts w:ascii="ITC Avant Garde" w:hAnsi="ITC Avant Garde"/>
          <w:bCs/>
          <w:sz w:val="20"/>
          <w:szCs w:val="20"/>
          <w:lang w:val="es-ES_tradnl"/>
        </w:rPr>
        <w:t>Disposición Técnica</w:t>
      </w:r>
      <w:r w:rsidRPr="0086242B">
        <w:rPr>
          <w:rFonts w:ascii="ITC Avant Garde" w:hAnsi="ITC Avant Garde"/>
          <w:bCs/>
          <w:sz w:val="20"/>
          <w:szCs w:val="20"/>
          <w:lang w:val="es-ES_tradnl"/>
        </w:rPr>
        <w:t xml:space="preserve"> propuesto por la Unidad de Política Regulatoria debe estar sujeto a un proceso de consulta pública por un periodo</w:t>
      </w:r>
      <w:r w:rsidR="0061163D" w:rsidRPr="0086242B">
        <w:rPr>
          <w:rFonts w:ascii="ITC Avant Garde" w:hAnsi="ITC Avant Garde"/>
          <w:bCs/>
          <w:sz w:val="20"/>
          <w:szCs w:val="20"/>
          <w:lang w:val="es-ES_tradnl"/>
        </w:rPr>
        <w:t xml:space="preserve"> </w:t>
      </w:r>
      <w:r w:rsidR="00C36F1D">
        <w:rPr>
          <w:rFonts w:ascii="ITC Avant Garde" w:hAnsi="ITC Avant Garde"/>
          <w:bCs/>
          <w:sz w:val="20"/>
          <w:szCs w:val="20"/>
          <w:lang w:val="es-ES_tradnl"/>
        </w:rPr>
        <w:t xml:space="preserve">de veinte días hábiles </w:t>
      </w:r>
      <w:r w:rsidRPr="0086242B">
        <w:rPr>
          <w:rFonts w:ascii="ITC Avant Garde" w:hAnsi="ITC Avant Garde"/>
          <w:bCs/>
          <w:sz w:val="20"/>
          <w:szCs w:val="20"/>
          <w:lang w:val="es-ES_tradnl"/>
        </w:rPr>
        <w:t xml:space="preserve">a fin de transparentar y promover la participación ciudadana en los procesos de emisión de disposiciones de carácter general que genere el Instituto, a efecto </w:t>
      </w:r>
      <w:r w:rsidRPr="0086242B">
        <w:rPr>
          <w:rFonts w:ascii="ITC Avant Garde" w:hAnsi="ITC Avant Garde"/>
          <w:bCs/>
          <w:color w:val="auto"/>
          <w:sz w:val="20"/>
          <w:szCs w:val="20"/>
          <w:lang w:val="es-ES_tradnl"/>
        </w:rPr>
        <w:t xml:space="preserve">de dar cabal cumplimiento a lo establecido en el dispositivo legal señalado. </w:t>
      </w:r>
    </w:p>
    <w:p w14:paraId="57465D69" w14:textId="77777777" w:rsidR="00AE11F0" w:rsidRPr="0086242B" w:rsidRDefault="00AE11F0" w:rsidP="00AE11F0">
      <w:pPr>
        <w:pStyle w:val="Default"/>
        <w:tabs>
          <w:tab w:val="left" w:pos="0"/>
        </w:tabs>
        <w:spacing w:line="360" w:lineRule="auto"/>
        <w:jc w:val="both"/>
        <w:rPr>
          <w:rFonts w:ascii="ITC Avant Garde" w:hAnsi="ITC Avant Garde"/>
          <w:bCs/>
          <w:sz w:val="20"/>
          <w:szCs w:val="20"/>
          <w:lang w:val="es-ES_tradnl"/>
        </w:rPr>
      </w:pPr>
    </w:p>
    <w:p w14:paraId="417A6AAC" w14:textId="77777777" w:rsidR="00AE11F0" w:rsidRPr="0086242B" w:rsidRDefault="00AE11F0" w:rsidP="00AE11F0">
      <w:pPr>
        <w:pStyle w:val="Default"/>
        <w:tabs>
          <w:tab w:val="left" w:pos="0"/>
        </w:tabs>
        <w:spacing w:line="360" w:lineRule="auto"/>
        <w:jc w:val="both"/>
        <w:rPr>
          <w:rFonts w:ascii="ITC Avant Garde" w:hAnsi="ITC Avant Garde"/>
          <w:bCs/>
          <w:sz w:val="20"/>
          <w:szCs w:val="20"/>
          <w:lang w:val="es-ES_tradnl"/>
        </w:rPr>
      </w:pPr>
      <w:r w:rsidRPr="0086242B">
        <w:rPr>
          <w:rFonts w:ascii="ITC Avant Garde" w:hAnsi="ITC Avant Garde"/>
          <w:bCs/>
          <w:sz w:val="20"/>
          <w:szCs w:val="20"/>
          <w:lang w:val="es-ES_tradnl"/>
        </w:rPr>
        <w:t>Por las razones antes expuestas, con fundamento en lo dispuesto por los artículos 28, párrafo</w:t>
      </w:r>
      <w:r w:rsidR="00B57210" w:rsidRPr="0086242B">
        <w:rPr>
          <w:rFonts w:ascii="ITC Avant Garde" w:hAnsi="ITC Avant Garde"/>
          <w:bCs/>
          <w:sz w:val="20"/>
          <w:szCs w:val="20"/>
          <w:lang w:val="es-ES_tradnl"/>
        </w:rPr>
        <w:t xml:space="preserve"> décimo quinto y</w:t>
      </w:r>
      <w:r w:rsidRPr="0086242B">
        <w:rPr>
          <w:rFonts w:ascii="ITC Avant Garde" w:hAnsi="ITC Avant Garde"/>
          <w:bCs/>
          <w:sz w:val="20"/>
          <w:szCs w:val="20"/>
          <w:lang w:val="es-ES_tradnl"/>
        </w:rPr>
        <w:t xml:space="preserve"> vigésimo, fracción IV, de la Constitución Política de los Estados Unidos Mexicanos; 1, 2, 7, </w:t>
      </w:r>
      <w:r w:rsidR="00E735C1" w:rsidRPr="0086242B">
        <w:rPr>
          <w:rFonts w:ascii="ITC Avant Garde" w:hAnsi="ITC Avant Garde"/>
          <w:bCs/>
          <w:sz w:val="20"/>
          <w:szCs w:val="20"/>
          <w:lang w:val="es-ES_tradnl"/>
        </w:rPr>
        <w:t>51</w:t>
      </w:r>
      <w:r w:rsidR="00B57210" w:rsidRPr="0086242B">
        <w:rPr>
          <w:rFonts w:ascii="ITC Avant Garde" w:hAnsi="ITC Avant Garde"/>
          <w:bCs/>
          <w:sz w:val="20"/>
          <w:szCs w:val="20"/>
          <w:lang w:val="es-ES_tradnl"/>
        </w:rPr>
        <w:t>,</w:t>
      </w:r>
      <w:r w:rsidR="00E735C1" w:rsidRPr="0086242B">
        <w:rPr>
          <w:rFonts w:ascii="ITC Avant Garde" w:hAnsi="ITC Avant Garde"/>
          <w:bCs/>
          <w:sz w:val="20"/>
          <w:szCs w:val="20"/>
          <w:lang w:val="es-ES_tradnl"/>
        </w:rPr>
        <w:t xml:space="preserve"> </w:t>
      </w:r>
      <w:r w:rsidRPr="0086242B">
        <w:rPr>
          <w:rFonts w:ascii="ITC Avant Garde" w:hAnsi="ITC Avant Garde"/>
          <w:bCs/>
          <w:sz w:val="20"/>
          <w:szCs w:val="20"/>
          <w:lang w:val="es-ES_tradnl"/>
        </w:rPr>
        <w:t>52</w:t>
      </w:r>
      <w:r w:rsidR="00B57210" w:rsidRPr="0086242B">
        <w:rPr>
          <w:rFonts w:ascii="ITC Avant Garde" w:hAnsi="ITC Avant Garde"/>
          <w:bCs/>
          <w:sz w:val="20"/>
          <w:szCs w:val="20"/>
          <w:lang w:val="es-ES_tradnl"/>
        </w:rPr>
        <w:t xml:space="preserve"> y 65</w:t>
      </w:r>
      <w:r w:rsidRPr="0086242B">
        <w:rPr>
          <w:rFonts w:ascii="ITC Avant Garde" w:hAnsi="ITC Avant Garde"/>
          <w:bCs/>
          <w:sz w:val="20"/>
          <w:szCs w:val="20"/>
          <w:lang w:val="es-ES_tradnl"/>
        </w:rPr>
        <w:t>, de la Ley Federal de Telecomunicaciones y Radiodifusión; así como 1</w:t>
      </w:r>
      <w:r w:rsidR="00B143A8" w:rsidRPr="0086242B">
        <w:rPr>
          <w:rFonts w:ascii="ITC Avant Garde" w:hAnsi="ITC Avant Garde"/>
          <w:bCs/>
          <w:sz w:val="20"/>
          <w:szCs w:val="20"/>
          <w:lang w:val="es-ES_tradnl"/>
        </w:rPr>
        <w:t>, 15</w:t>
      </w:r>
      <w:r w:rsidR="003E1F40" w:rsidRPr="0086242B">
        <w:rPr>
          <w:rFonts w:ascii="ITC Avant Garde" w:hAnsi="ITC Avant Garde"/>
          <w:bCs/>
          <w:sz w:val="20"/>
          <w:szCs w:val="20"/>
          <w:lang w:val="es-ES_tradnl"/>
        </w:rPr>
        <w:t>, 40</w:t>
      </w:r>
      <w:r w:rsidR="00B143A8" w:rsidRPr="0086242B">
        <w:rPr>
          <w:rFonts w:ascii="ITC Avant Garde" w:hAnsi="ITC Avant Garde"/>
          <w:bCs/>
          <w:sz w:val="20"/>
          <w:szCs w:val="20"/>
          <w:lang w:val="es-ES_tradnl"/>
        </w:rPr>
        <w:t xml:space="preserve"> y</w:t>
      </w:r>
      <w:r w:rsidR="003E1F40" w:rsidRPr="0086242B">
        <w:rPr>
          <w:rFonts w:ascii="ITC Avant Garde" w:hAnsi="ITC Avant Garde"/>
          <w:bCs/>
          <w:sz w:val="20"/>
          <w:szCs w:val="20"/>
          <w:lang w:val="es-ES_tradnl"/>
        </w:rPr>
        <w:t xml:space="preserve"> </w:t>
      </w:r>
      <w:r w:rsidR="00B143A8" w:rsidRPr="0086242B">
        <w:rPr>
          <w:rFonts w:ascii="ITC Avant Garde" w:hAnsi="ITC Avant Garde"/>
          <w:bCs/>
          <w:sz w:val="20"/>
          <w:szCs w:val="20"/>
          <w:lang w:val="es-ES_tradnl"/>
        </w:rPr>
        <w:t>23</w:t>
      </w:r>
      <w:r w:rsidR="003E1F40" w:rsidRPr="0086242B">
        <w:rPr>
          <w:rFonts w:ascii="ITC Avant Garde" w:hAnsi="ITC Avant Garde"/>
          <w:bCs/>
          <w:sz w:val="20"/>
          <w:szCs w:val="20"/>
          <w:lang w:val="es-ES_tradnl"/>
        </w:rPr>
        <w:t xml:space="preserve"> f</w:t>
      </w:r>
      <w:r w:rsidRPr="0086242B">
        <w:rPr>
          <w:rFonts w:ascii="ITC Avant Garde" w:hAnsi="ITC Avant Garde"/>
          <w:bCs/>
          <w:color w:val="auto"/>
          <w:sz w:val="20"/>
          <w:szCs w:val="20"/>
          <w:lang w:val="es-ES_tradnl"/>
        </w:rPr>
        <w:t xml:space="preserve">racción IX del Estatuto </w:t>
      </w:r>
      <w:r w:rsidRPr="0086242B">
        <w:rPr>
          <w:rFonts w:ascii="ITC Avant Garde" w:hAnsi="ITC Avant Garde"/>
          <w:bCs/>
          <w:sz w:val="20"/>
          <w:szCs w:val="20"/>
          <w:lang w:val="es-ES_tradnl"/>
        </w:rPr>
        <w:t>Orgánico del Instituto Federal de Telecomunicaciones, el Pleno del Instituto expide el siguiente:</w:t>
      </w:r>
    </w:p>
    <w:p w14:paraId="13F5B3AE" w14:textId="77777777" w:rsidR="005C30C8" w:rsidRPr="0086242B" w:rsidRDefault="005C30C8" w:rsidP="00063883">
      <w:pPr>
        <w:autoSpaceDE w:val="0"/>
        <w:autoSpaceDN w:val="0"/>
        <w:adjustRightInd w:val="0"/>
        <w:spacing w:line="360" w:lineRule="auto"/>
        <w:rPr>
          <w:rFonts w:ascii="ITC Avant Garde" w:hAnsi="ITC Avant Garde" w:cs="Tahoma"/>
          <w:b/>
          <w:bCs/>
          <w:color w:val="000000"/>
          <w:sz w:val="22"/>
          <w:szCs w:val="22"/>
          <w:lang w:eastAsia="es-MX"/>
        </w:rPr>
      </w:pPr>
    </w:p>
    <w:p w14:paraId="53FAD627" w14:textId="77777777" w:rsidR="00AE11F0" w:rsidRPr="0086242B" w:rsidRDefault="00AE11F0" w:rsidP="00AE11F0">
      <w:pPr>
        <w:autoSpaceDE w:val="0"/>
        <w:autoSpaceDN w:val="0"/>
        <w:adjustRightInd w:val="0"/>
        <w:spacing w:line="360" w:lineRule="auto"/>
        <w:jc w:val="center"/>
        <w:rPr>
          <w:rFonts w:ascii="ITC Avant Garde" w:hAnsi="ITC Avant Garde" w:cs="Tahoma"/>
          <w:b/>
          <w:bCs/>
          <w:color w:val="000000"/>
          <w:lang w:eastAsia="es-MX"/>
        </w:rPr>
      </w:pPr>
      <w:r w:rsidRPr="0086242B">
        <w:rPr>
          <w:rFonts w:ascii="ITC Avant Garde" w:hAnsi="ITC Avant Garde" w:cs="Tahoma"/>
          <w:b/>
          <w:bCs/>
          <w:color w:val="000000"/>
          <w:sz w:val="22"/>
          <w:szCs w:val="22"/>
          <w:lang w:eastAsia="es-MX"/>
        </w:rPr>
        <w:t>ACUERDO</w:t>
      </w:r>
    </w:p>
    <w:p w14:paraId="58F67BFF" w14:textId="77777777" w:rsidR="00AE11F0" w:rsidRPr="0086242B" w:rsidRDefault="00AE11F0" w:rsidP="00AE11F0">
      <w:pPr>
        <w:autoSpaceDE w:val="0"/>
        <w:autoSpaceDN w:val="0"/>
        <w:adjustRightInd w:val="0"/>
        <w:spacing w:line="360" w:lineRule="auto"/>
        <w:jc w:val="both"/>
        <w:rPr>
          <w:rFonts w:ascii="ITC Avant Garde" w:hAnsi="ITC Avant Garde" w:cs="Tahoma"/>
          <w:bCs/>
          <w:color w:val="000000"/>
          <w:lang w:eastAsia="es-MX"/>
        </w:rPr>
      </w:pPr>
    </w:p>
    <w:p w14:paraId="02FFB9B6" w14:textId="6D6CF3AF" w:rsidR="00AE11F0" w:rsidRPr="0086242B" w:rsidRDefault="00AE11F0" w:rsidP="00AE11F0">
      <w:pPr>
        <w:autoSpaceDE w:val="0"/>
        <w:autoSpaceDN w:val="0"/>
        <w:adjustRightInd w:val="0"/>
        <w:spacing w:line="360" w:lineRule="auto"/>
        <w:jc w:val="both"/>
        <w:rPr>
          <w:rFonts w:ascii="ITC Avant Garde" w:hAnsi="ITC Avant Garde" w:cs="Tahoma"/>
          <w:bCs/>
          <w:color w:val="000000"/>
          <w:sz w:val="20"/>
          <w:szCs w:val="20"/>
          <w:lang w:eastAsia="es-MX"/>
        </w:rPr>
      </w:pPr>
      <w:r w:rsidRPr="0086242B">
        <w:rPr>
          <w:rFonts w:ascii="ITC Avant Garde" w:hAnsi="ITC Avant Garde" w:cs="Tahoma"/>
          <w:b/>
          <w:bCs/>
          <w:color w:val="000000"/>
          <w:sz w:val="20"/>
          <w:szCs w:val="20"/>
          <w:lang w:eastAsia="es-MX"/>
        </w:rPr>
        <w:t>PRIMERO</w:t>
      </w:r>
      <w:r w:rsidR="00236695">
        <w:rPr>
          <w:rFonts w:ascii="ITC Avant Garde" w:hAnsi="ITC Avant Garde" w:cs="Tahoma"/>
          <w:bCs/>
          <w:color w:val="000000"/>
          <w:sz w:val="20"/>
          <w:szCs w:val="20"/>
          <w:lang w:eastAsia="es-MX"/>
        </w:rPr>
        <w:t>.- Se determina</w:t>
      </w:r>
      <w:r w:rsidRPr="0086242B">
        <w:rPr>
          <w:rFonts w:ascii="ITC Avant Garde" w:hAnsi="ITC Avant Garde" w:cs="Tahoma"/>
          <w:bCs/>
          <w:color w:val="000000"/>
          <w:sz w:val="20"/>
          <w:szCs w:val="20"/>
          <w:lang w:eastAsia="es-MX"/>
        </w:rPr>
        <w:t xml:space="preserve"> someter a consulta pública el ANTEPROYECTO</w:t>
      </w:r>
      <w:r w:rsidR="00C36F1D" w:rsidRPr="00C36F1D">
        <w:t xml:space="preserve"> </w:t>
      </w:r>
      <w:r w:rsidR="00C36F1D">
        <w:rPr>
          <w:rFonts w:ascii="ITC Avant Garde" w:hAnsi="ITC Avant Garde" w:cs="Tahoma"/>
          <w:bCs/>
          <w:color w:val="000000"/>
          <w:sz w:val="20"/>
          <w:szCs w:val="20"/>
          <w:lang w:eastAsia="es-MX"/>
        </w:rPr>
        <w:t>DE A</w:t>
      </w:r>
      <w:r w:rsidR="00C36F1D" w:rsidRPr="00C36F1D">
        <w:rPr>
          <w:rFonts w:ascii="ITC Avant Garde" w:hAnsi="ITC Avant Garde" w:cs="Tahoma"/>
          <w:bCs/>
          <w:color w:val="000000"/>
          <w:sz w:val="20"/>
          <w:szCs w:val="20"/>
          <w:lang w:eastAsia="es-MX"/>
        </w:rPr>
        <w:t>CUERDO MEDIANTE EL CUAL SE EXPIDE LA</w:t>
      </w:r>
      <w:r w:rsidRPr="0086242B">
        <w:rPr>
          <w:rFonts w:ascii="ITC Avant Garde" w:hAnsi="ITC Avant Garde" w:cs="Tahoma"/>
          <w:bCs/>
          <w:color w:val="000000"/>
          <w:sz w:val="20"/>
          <w:szCs w:val="20"/>
          <w:lang w:eastAsia="es-MX"/>
        </w:rPr>
        <w:t xml:space="preserve"> </w:t>
      </w:r>
      <w:r w:rsidR="00E139C6" w:rsidRPr="0086242B">
        <w:rPr>
          <w:rFonts w:ascii="ITC Avant Garde" w:hAnsi="ITC Avant Garde" w:cs="Tahoma"/>
          <w:bCs/>
          <w:color w:val="000000"/>
          <w:sz w:val="20"/>
          <w:szCs w:val="20"/>
          <w:lang w:eastAsia="es-MX"/>
        </w:rPr>
        <w:t>DISPOSICIÓN TÉCNICA IFT-</w:t>
      </w:r>
      <w:r w:rsidR="003E1F40" w:rsidRPr="0086242B">
        <w:rPr>
          <w:rFonts w:ascii="ITC Avant Garde" w:hAnsi="ITC Avant Garde" w:cs="Tahoma"/>
          <w:bCs/>
          <w:color w:val="000000"/>
          <w:sz w:val="20"/>
          <w:szCs w:val="20"/>
          <w:lang w:eastAsia="es-MX"/>
        </w:rPr>
        <w:t>007</w:t>
      </w:r>
      <w:r w:rsidR="00E139C6" w:rsidRPr="0086242B">
        <w:rPr>
          <w:rFonts w:ascii="ITC Avant Garde" w:hAnsi="ITC Avant Garde" w:cs="Tahoma"/>
          <w:bCs/>
          <w:color w:val="000000"/>
          <w:sz w:val="20"/>
          <w:szCs w:val="20"/>
          <w:lang w:eastAsia="es-MX"/>
        </w:rPr>
        <w:t>-2015</w:t>
      </w:r>
      <w:r w:rsidR="00063DEA" w:rsidRPr="0086242B">
        <w:rPr>
          <w:rFonts w:ascii="ITC Avant Garde" w:hAnsi="ITC Avant Garde" w:cs="Tahoma"/>
          <w:bCs/>
          <w:color w:val="000000"/>
          <w:sz w:val="20"/>
          <w:szCs w:val="20"/>
          <w:lang w:eastAsia="es-MX"/>
        </w:rPr>
        <w:t>.</w:t>
      </w:r>
      <w:r w:rsidR="00E139C6" w:rsidRPr="0086242B">
        <w:rPr>
          <w:rFonts w:ascii="ITC Avant Garde" w:hAnsi="ITC Avant Garde" w:cs="Tahoma"/>
          <w:bCs/>
          <w:color w:val="000000"/>
          <w:sz w:val="20"/>
          <w:szCs w:val="20"/>
          <w:lang w:eastAsia="es-MX"/>
        </w:rPr>
        <w:t xml:space="preserve"> MEDIDAS DE OPERACIÓN PARA EL CUMPLIMIENTO DE LOS LÍMITES DE EXPOSICIÓN MÁXIMA PARA SERES HUMANOS A </w:t>
      </w:r>
      <w:r w:rsidR="00F237B5" w:rsidRPr="00F237B5">
        <w:rPr>
          <w:rFonts w:ascii="ITC Avant Garde" w:hAnsi="ITC Avant Garde" w:cs="Tahoma"/>
          <w:bCs/>
          <w:color w:val="000000"/>
          <w:sz w:val="20"/>
          <w:szCs w:val="20"/>
          <w:lang w:eastAsia="es-MX"/>
        </w:rPr>
        <w:t xml:space="preserve">RADIACIONES </w:t>
      </w:r>
      <w:r w:rsidR="00E139C6" w:rsidRPr="0086242B">
        <w:rPr>
          <w:rFonts w:ascii="ITC Avant Garde" w:hAnsi="ITC Avant Garde" w:cs="Tahoma"/>
          <w:bCs/>
          <w:color w:val="000000"/>
          <w:sz w:val="20"/>
          <w:szCs w:val="20"/>
          <w:lang w:eastAsia="es-MX"/>
        </w:rPr>
        <w:t>ELECTROMAGNÉTICAS DE RADIOFRECUENCIA NO IONIZANTES EN EL INTERVALO DE 100 kHz A 300 GHz EN EL ENTORNO DE EMISORES DE  RADIOCOMUNICACIONES</w:t>
      </w:r>
      <w:r w:rsidRPr="0086242B">
        <w:rPr>
          <w:rFonts w:ascii="ITC Avant Garde" w:hAnsi="ITC Avant Garde" w:cs="Tahoma"/>
          <w:bCs/>
          <w:color w:val="000000"/>
          <w:sz w:val="20"/>
          <w:szCs w:val="20"/>
          <w:lang w:eastAsia="es-MX"/>
        </w:rPr>
        <w:t xml:space="preserve">, el cual se adjunta al presente como Anexo Único. Dicha consulta pública se realizará durante veinte días hábiles, del </w:t>
      </w:r>
      <w:r w:rsidR="00005307">
        <w:rPr>
          <w:rFonts w:ascii="ITC Avant Garde" w:hAnsi="ITC Avant Garde" w:cs="Tahoma"/>
          <w:bCs/>
          <w:color w:val="000000"/>
          <w:sz w:val="20"/>
          <w:szCs w:val="20"/>
          <w:lang w:eastAsia="es-MX"/>
        </w:rPr>
        <w:t>10</w:t>
      </w:r>
      <w:r w:rsidR="00292AA5" w:rsidRPr="0086242B">
        <w:rPr>
          <w:rFonts w:ascii="ITC Avant Garde" w:hAnsi="ITC Avant Garde" w:cs="Tahoma"/>
          <w:bCs/>
          <w:color w:val="000000"/>
          <w:sz w:val="20"/>
          <w:szCs w:val="20"/>
          <w:lang w:eastAsia="es-MX"/>
        </w:rPr>
        <w:t xml:space="preserve"> </w:t>
      </w:r>
      <w:r w:rsidR="00005307">
        <w:rPr>
          <w:rFonts w:ascii="ITC Avant Garde" w:hAnsi="ITC Avant Garde" w:cs="Tahoma"/>
          <w:bCs/>
          <w:color w:val="000000"/>
          <w:sz w:val="20"/>
          <w:szCs w:val="20"/>
          <w:lang w:eastAsia="es-MX"/>
        </w:rPr>
        <w:t xml:space="preserve">al 17 </w:t>
      </w:r>
      <w:r w:rsidR="00292AA5" w:rsidRPr="0086242B">
        <w:rPr>
          <w:rFonts w:ascii="ITC Avant Garde" w:hAnsi="ITC Avant Garde" w:cs="Tahoma"/>
          <w:bCs/>
          <w:color w:val="000000"/>
          <w:sz w:val="20"/>
          <w:szCs w:val="20"/>
          <w:lang w:eastAsia="es-MX"/>
        </w:rPr>
        <w:t xml:space="preserve">de julio </w:t>
      </w:r>
      <w:r w:rsidR="00005307">
        <w:rPr>
          <w:rFonts w:ascii="ITC Avant Garde" w:hAnsi="ITC Avant Garde" w:cs="Tahoma"/>
          <w:bCs/>
          <w:color w:val="000000"/>
          <w:sz w:val="20"/>
          <w:szCs w:val="20"/>
          <w:lang w:eastAsia="es-MX"/>
        </w:rPr>
        <w:t xml:space="preserve">y del 3 </w:t>
      </w:r>
      <w:r w:rsidRPr="0086242B">
        <w:rPr>
          <w:rFonts w:ascii="ITC Avant Garde" w:hAnsi="ITC Avant Garde" w:cs="Tahoma"/>
          <w:bCs/>
          <w:color w:val="000000"/>
          <w:sz w:val="20"/>
          <w:szCs w:val="20"/>
          <w:lang w:eastAsia="es-MX"/>
        </w:rPr>
        <w:t xml:space="preserve">al </w:t>
      </w:r>
      <w:r w:rsidR="00A92A0D">
        <w:rPr>
          <w:rFonts w:ascii="ITC Avant Garde" w:hAnsi="ITC Avant Garde" w:cs="Tahoma"/>
          <w:bCs/>
          <w:color w:val="000000"/>
          <w:sz w:val="20"/>
          <w:szCs w:val="20"/>
          <w:lang w:eastAsia="es-MX"/>
        </w:rPr>
        <w:t>20</w:t>
      </w:r>
      <w:r w:rsidR="00292AA5" w:rsidRPr="0086242B">
        <w:rPr>
          <w:rFonts w:ascii="ITC Avant Garde" w:hAnsi="ITC Avant Garde" w:cs="Tahoma"/>
          <w:bCs/>
          <w:color w:val="000000"/>
          <w:sz w:val="20"/>
          <w:szCs w:val="20"/>
          <w:lang w:eastAsia="es-MX"/>
        </w:rPr>
        <w:t xml:space="preserve"> </w:t>
      </w:r>
      <w:r w:rsidRPr="0086242B">
        <w:rPr>
          <w:rFonts w:ascii="ITC Avant Garde" w:hAnsi="ITC Avant Garde" w:cs="Tahoma"/>
          <w:bCs/>
          <w:color w:val="000000"/>
          <w:sz w:val="20"/>
          <w:szCs w:val="20"/>
          <w:lang w:eastAsia="es-MX"/>
        </w:rPr>
        <w:t xml:space="preserve">de </w:t>
      </w:r>
      <w:r w:rsidR="00292AA5" w:rsidRPr="0086242B">
        <w:rPr>
          <w:rFonts w:ascii="ITC Avant Garde" w:hAnsi="ITC Avant Garde" w:cs="Tahoma"/>
          <w:bCs/>
          <w:color w:val="000000"/>
          <w:sz w:val="20"/>
          <w:szCs w:val="20"/>
          <w:lang w:eastAsia="es-MX"/>
        </w:rPr>
        <w:t>agosto</w:t>
      </w:r>
      <w:r w:rsidR="0076109C" w:rsidRPr="0086242B">
        <w:rPr>
          <w:rFonts w:ascii="ITC Avant Garde" w:hAnsi="ITC Avant Garde" w:cs="Tahoma"/>
          <w:bCs/>
          <w:color w:val="000000"/>
          <w:sz w:val="20"/>
          <w:szCs w:val="20"/>
          <w:lang w:eastAsia="es-MX"/>
        </w:rPr>
        <w:t xml:space="preserve"> de </w:t>
      </w:r>
      <w:r w:rsidRPr="0086242B">
        <w:rPr>
          <w:rFonts w:ascii="ITC Avant Garde" w:hAnsi="ITC Avant Garde" w:cs="Tahoma"/>
          <w:bCs/>
          <w:color w:val="000000"/>
          <w:sz w:val="20"/>
          <w:szCs w:val="20"/>
          <w:lang w:eastAsia="es-MX"/>
        </w:rPr>
        <w:t>dos mil quince.</w:t>
      </w:r>
    </w:p>
    <w:p w14:paraId="278426F4" w14:textId="77777777" w:rsidR="00AE11F0" w:rsidRPr="0086242B" w:rsidRDefault="00AE11F0" w:rsidP="00AE11F0">
      <w:pPr>
        <w:autoSpaceDE w:val="0"/>
        <w:autoSpaceDN w:val="0"/>
        <w:adjustRightInd w:val="0"/>
        <w:spacing w:line="360" w:lineRule="auto"/>
        <w:jc w:val="both"/>
        <w:rPr>
          <w:rFonts w:ascii="ITC Avant Garde" w:hAnsi="ITC Avant Garde" w:cs="Tahoma"/>
          <w:bCs/>
          <w:color w:val="000000"/>
          <w:sz w:val="20"/>
          <w:szCs w:val="20"/>
          <w:lang w:eastAsia="es-MX"/>
        </w:rPr>
      </w:pPr>
    </w:p>
    <w:p w14:paraId="13D71C16" w14:textId="29D91668" w:rsidR="00AE11F0" w:rsidRDefault="00AE11F0" w:rsidP="00AE11F0">
      <w:pPr>
        <w:autoSpaceDE w:val="0"/>
        <w:autoSpaceDN w:val="0"/>
        <w:adjustRightInd w:val="0"/>
        <w:spacing w:line="360" w:lineRule="auto"/>
        <w:jc w:val="both"/>
        <w:rPr>
          <w:rFonts w:ascii="ITC Avant Garde" w:hAnsi="ITC Avant Garde" w:cs="Tahoma"/>
          <w:bCs/>
          <w:color w:val="000000"/>
          <w:sz w:val="20"/>
          <w:szCs w:val="20"/>
          <w:lang w:eastAsia="es-MX"/>
        </w:rPr>
      </w:pPr>
      <w:r w:rsidRPr="0086242B">
        <w:rPr>
          <w:rFonts w:ascii="ITC Avant Garde" w:hAnsi="ITC Avant Garde" w:cs="Tahoma"/>
          <w:b/>
          <w:bCs/>
          <w:color w:val="000000"/>
          <w:sz w:val="20"/>
          <w:szCs w:val="20"/>
          <w:lang w:eastAsia="es-MX"/>
        </w:rPr>
        <w:t>SEGUNDO.</w:t>
      </w:r>
      <w:r w:rsidRPr="0086242B">
        <w:rPr>
          <w:rFonts w:ascii="ITC Avant Garde" w:hAnsi="ITC Avant Garde" w:cs="Tahoma"/>
          <w:bCs/>
          <w:color w:val="000000"/>
          <w:sz w:val="20"/>
          <w:szCs w:val="20"/>
          <w:lang w:eastAsia="es-MX"/>
        </w:rPr>
        <w:t xml:space="preserve">- Se instruye a la Unidad de Política Regulatoria, por conducto de la Dirección General de Regulación Técnica, en su calidad de área proponente, </w:t>
      </w:r>
      <w:r w:rsidR="00C81E02">
        <w:rPr>
          <w:rFonts w:ascii="ITC Avant Garde" w:hAnsi="ITC Avant Garde" w:cs="Tahoma"/>
          <w:bCs/>
          <w:color w:val="000000"/>
          <w:sz w:val="20"/>
          <w:szCs w:val="20"/>
          <w:lang w:eastAsia="es-MX"/>
        </w:rPr>
        <w:t xml:space="preserve">ejecute </w:t>
      </w:r>
      <w:r w:rsidRPr="0086242B">
        <w:rPr>
          <w:rFonts w:ascii="ITC Avant Garde" w:hAnsi="ITC Avant Garde" w:cs="Tahoma"/>
          <w:bCs/>
          <w:color w:val="000000"/>
          <w:sz w:val="20"/>
          <w:szCs w:val="20"/>
          <w:lang w:eastAsia="es-MX"/>
        </w:rPr>
        <w:t>la consulta pública materia del presente Acuerdo</w:t>
      </w:r>
      <w:r w:rsidR="00C81E02">
        <w:rPr>
          <w:rFonts w:ascii="ITC Avant Garde" w:hAnsi="ITC Avant Garde" w:cs="Tahoma"/>
          <w:bCs/>
          <w:color w:val="000000"/>
          <w:sz w:val="20"/>
          <w:szCs w:val="20"/>
          <w:lang w:eastAsia="es-MX"/>
        </w:rPr>
        <w:t>, incluyendo la recepción y atención que corresponda a las opiniones que sean vertidas con motivo de la misma</w:t>
      </w:r>
      <w:r w:rsidR="00B74C4D">
        <w:rPr>
          <w:rFonts w:ascii="ITC Avant Garde" w:hAnsi="ITC Avant Garde" w:cs="Tahoma"/>
          <w:bCs/>
          <w:color w:val="000000"/>
          <w:sz w:val="20"/>
          <w:szCs w:val="20"/>
          <w:lang w:eastAsia="es-MX"/>
        </w:rPr>
        <w:t>.</w:t>
      </w:r>
    </w:p>
    <w:p w14:paraId="0CB57F16" w14:textId="77777777" w:rsidR="00B74C4D" w:rsidRDefault="00B74C4D" w:rsidP="00AE11F0">
      <w:pPr>
        <w:autoSpaceDE w:val="0"/>
        <w:autoSpaceDN w:val="0"/>
        <w:adjustRightInd w:val="0"/>
        <w:spacing w:line="360" w:lineRule="auto"/>
        <w:jc w:val="both"/>
        <w:rPr>
          <w:rFonts w:ascii="ITC Avant Garde" w:hAnsi="ITC Avant Garde" w:cs="Tahoma"/>
          <w:bCs/>
          <w:color w:val="000000"/>
          <w:sz w:val="20"/>
          <w:szCs w:val="20"/>
          <w:lang w:eastAsia="es-MX"/>
        </w:rPr>
      </w:pPr>
    </w:p>
    <w:p w14:paraId="0B4DB2FF" w14:textId="77777777" w:rsidR="00B74C4D" w:rsidRDefault="00B74C4D" w:rsidP="00AE11F0">
      <w:pPr>
        <w:autoSpaceDE w:val="0"/>
        <w:autoSpaceDN w:val="0"/>
        <w:adjustRightInd w:val="0"/>
        <w:spacing w:line="360" w:lineRule="auto"/>
        <w:jc w:val="both"/>
        <w:rPr>
          <w:rFonts w:ascii="ITC Avant Garde" w:hAnsi="ITC Avant Garde" w:cs="Tahoma"/>
          <w:bCs/>
          <w:color w:val="000000"/>
          <w:sz w:val="20"/>
          <w:szCs w:val="20"/>
          <w:lang w:eastAsia="es-MX"/>
        </w:rPr>
      </w:pPr>
    </w:p>
    <w:p w14:paraId="33BB27EE" w14:textId="77777777" w:rsidR="00B74C4D" w:rsidRDefault="00B74C4D" w:rsidP="00AE11F0">
      <w:pPr>
        <w:autoSpaceDE w:val="0"/>
        <w:autoSpaceDN w:val="0"/>
        <w:adjustRightInd w:val="0"/>
        <w:spacing w:line="360" w:lineRule="auto"/>
        <w:jc w:val="both"/>
        <w:rPr>
          <w:rFonts w:ascii="ITC Avant Garde" w:hAnsi="ITC Avant Garde" w:cs="Tahoma"/>
          <w:bCs/>
          <w:color w:val="000000"/>
          <w:sz w:val="20"/>
          <w:szCs w:val="20"/>
          <w:lang w:eastAsia="es-MX"/>
        </w:rPr>
      </w:pPr>
    </w:p>
    <w:p w14:paraId="0A60AE3E" w14:textId="77777777" w:rsidR="00992611" w:rsidRPr="0086242B" w:rsidRDefault="00992611" w:rsidP="00AE11F0">
      <w:pPr>
        <w:autoSpaceDE w:val="0"/>
        <w:autoSpaceDN w:val="0"/>
        <w:adjustRightInd w:val="0"/>
        <w:spacing w:line="360" w:lineRule="auto"/>
        <w:jc w:val="both"/>
        <w:rPr>
          <w:rFonts w:ascii="ITC Avant Garde" w:hAnsi="ITC Avant Garde" w:cs="Tahoma"/>
          <w:bCs/>
          <w:color w:val="000000"/>
          <w:sz w:val="20"/>
          <w:szCs w:val="20"/>
          <w:lang w:eastAsia="es-MX"/>
        </w:rPr>
      </w:pPr>
    </w:p>
    <w:p w14:paraId="3E5D4060" w14:textId="77777777" w:rsidR="00AE11F0" w:rsidRPr="0086242B" w:rsidRDefault="00AE11F0" w:rsidP="00AE11F0">
      <w:pPr>
        <w:autoSpaceDE w:val="0"/>
        <w:autoSpaceDN w:val="0"/>
        <w:adjustRightInd w:val="0"/>
        <w:spacing w:line="360" w:lineRule="auto"/>
        <w:jc w:val="both"/>
        <w:rPr>
          <w:rFonts w:ascii="ITC Avant Garde" w:hAnsi="ITC Avant Garde" w:cs="Tahoma"/>
          <w:bCs/>
          <w:color w:val="000000"/>
          <w:sz w:val="20"/>
          <w:szCs w:val="20"/>
          <w:lang w:eastAsia="es-MX"/>
        </w:rPr>
      </w:pPr>
    </w:p>
    <w:p w14:paraId="1A7B6830" w14:textId="77777777" w:rsidR="00AE11F0" w:rsidRPr="0086242B" w:rsidRDefault="00AE11F0" w:rsidP="00AE11F0">
      <w:pPr>
        <w:autoSpaceDE w:val="0"/>
        <w:autoSpaceDN w:val="0"/>
        <w:adjustRightInd w:val="0"/>
        <w:spacing w:line="360" w:lineRule="auto"/>
        <w:jc w:val="both"/>
        <w:rPr>
          <w:rFonts w:ascii="ITC Avant Garde" w:hAnsi="ITC Avant Garde" w:cs="Tahoma"/>
          <w:bCs/>
          <w:color w:val="000000"/>
          <w:sz w:val="20"/>
          <w:szCs w:val="20"/>
          <w:lang w:eastAsia="es-MX"/>
        </w:rPr>
      </w:pPr>
      <w:r w:rsidRPr="0086242B">
        <w:rPr>
          <w:rFonts w:ascii="ITC Avant Garde" w:hAnsi="ITC Avant Garde" w:cs="Tahoma"/>
          <w:bCs/>
          <w:color w:val="000000"/>
          <w:sz w:val="20"/>
          <w:szCs w:val="20"/>
          <w:lang w:eastAsia="es-MX"/>
        </w:rPr>
        <w:t>T</w:t>
      </w:r>
      <w:r w:rsidRPr="0086242B">
        <w:rPr>
          <w:rFonts w:ascii="ITC Avant Garde" w:hAnsi="ITC Avant Garde" w:cs="Tahoma"/>
          <w:b/>
          <w:bCs/>
          <w:color w:val="000000"/>
          <w:sz w:val="20"/>
          <w:szCs w:val="20"/>
          <w:lang w:eastAsia="es-MX"/>
        </w:rPr>
        <w:t>ERCERO.-</w:t>
      </w:r>
      <w:r w:rsidRPr="0086242B">
        <w:rPr>
          <w:rFonts w:ascii="ITC Avant Garde" w:hAnsi="ITC Avant Garde" w:cs="Tahoma"/>
          <w:bCs/>
          <w:color w:val="000000"/>
          <w:sz w:val="20"/>
          <w:szCs w:val="20"/>
          <w:lang w:eastAsia="es-MX"/>
        </w:rPr>
        <w:t xml:space="preserve"> Publíquese en el portal de Internet del Instituto Federal de Telecomunicaciones.  </w:t>
      </w:r>
    </w:p>
    <w:tbl>
      <w:tblPr>
        <w:tblW w:w="8884" w:type="dxa"/>
        <w:tblCellMar>
          <w:left w:w="70" w:type="dxa"/>
          <w:right w:w="70" w:type="dxa"/>
        </w:tblCellMar>
        <w:tblLook w:val="0000" w:firstRow="0" w:lastRow="0" w:firstColumn="0" w:lastColumn="0" w:noHBand="0" w:noVBand="0"/>
      </w:tblPr>
      <w:tblGrid>
        <w:gridCol w:w="2480"/>
        <w:gridCol w:w="1843"/>
        <w:gridCol w:w="283"/>
        <w:gridCol w:w="2127"/>
        <w:gridCol w:w="2151"/>
      </w:tblGrid>
      <w:tr w:rsidR="00AE11F0" w:rsidRPr="0086242B" w14:paraId="708C3DFE" w14:textId="77777777" w:rsidTr="00E21C65">
        <w:tc>
          <w:tcPr>
            <w:tcW w:w="2480" w:type="dxa"/>
          </w:tcPr>
          <w:p w14:paraId="0B58AD97" w14:textId="77777777" w:rsidR="00AE11F0" w:rsidRPr="0086242B" w:rsidRDefault="00AE11F0" w:rsidP="00E21C65">
            <w:pPr>
              <w:spacing w:line="360" w:lineRule="auto"/>
              <w:ind w:right="-14"/>
              <w:jc w:val="center"/>
              <w:rPr>
                <w:rFonts w:ascii="ITC Avant Garde" w:hAnsi="ITC Avant Garde"/>
                <w:b/>
                <w:bCs/>
                <w:sz w:val="20"/>
                <w:szCs w:val="20"/>
              </w:rPr>
            </w:pPr>
          </w:p>
        </w:tc>
        <w:tc>
          <w:tcPr>
            <w:tcW w:w="4253" w:type="dxa"/>
            <w:gridSpan w:val="3"/>
          </w:tcPr>
          <w:p w14:paraId="64083D84" w14:textId="77777777" w:rsidR="00AE11F0" w:rsidRPr="0086242B" w:rsidRDefault="00AE11F0" w:rsidP="00E21C65">
            <w:pPr>
              <w:spacing w:line="360" w:lineRule="auto"/>
              <w:ind w:right="-14"/>
              <w:jc w:val="center"/>
              <w:rPr>
                <w:rFonts w:ascii="ITC Avant Garde" w:hAnsi="ITC Avant Garde"/>
                <w:b/>
                <w:bCs/>
                <w:sz w:val="20"/>
                <w:szCs w:val="20"/>
              </w:rPr>
            </w:pPr>
          </w:p>
        </w:tc>
        <w:tc>
          <w:tcPr>
            <w:tcW w:w="2151" w:type="dxa"/>
          </w:tcPr>
          <w:p w14:paraId="2B2CCB9E" w14:textId="77777777" w:rsidR="00AE11F0" w:rsidRPr="0086242B" w:rsidRDefault="00AE11F0" w:rsidP="00E21C65">
            <w:pPr>
              <w:spacing w:line="360" w:lineRule="auto"/>
              <w:ind w:right="-14"/>
              <w:jc w:val="center"/>
              <w:rPr>
                <w:rFonts w:ascii="ITC Avant Garde" w:hAnsi="ITC Avant Garde"/>
                <w:b/>
                <w:bCs/>
                <w:sz w:val="20"/>
                <w:szCs w:val="20"/>
              </w:rPr>
            </w:pPr>
          </w:p>
        </w:tc>
      </w:tr>
      <w:tr w:rsidR="00AE11F0" w:rsidRPr="0086242B" w14:paraId="381FA70F" w14:textId="77777777" w:rsidTr="00E21C65">
        <w:tc>
          <w:tcPr>
            <w:tcW w:w="2480" w:type="dxa"/>
          </w:tcPr>
          <w:p w14:paraId="4F33320F" w14:textId="77777777" w:rsidR="00AE11F0" w:rsidRPr="0086242B" w:rsidRDefault="00AE11F0" w:rsidP="00E21C65">
            <w:pPr>
              <w:spacing w:line="360" w:lineRule="auto"/>
              <w:ind w:right="-14"/>
              <w:jc w:val="center"/>
              <w:rPr>
                <w:rFonts w:ascii="ITC Avant Garde" w:hAnsi="ITC Avant Garde"/>
                <w:b/>
                <w:bCs/>
              </w:rPr>
            </w:pPr>
          </w:p>
        </w:tc>
        <w:tc>
          <w:tcPr>
            <w:tcW w:w="4253" w:type="dxa"/>
            <w:gridSpan w:val="3"/>
          </w:tcPr>
          <w:p w14:paraId="7A143BCB" w14:textId="77777777" w:rsidR="00AE11F0" w:rsidRPr="0086242B" w:rsidRDefault="00AE11F0" w:rsidP="00E21C65">
            <w:pPr>
              <w:spacing w:line="360" w:lineRule="auto"/>
              <w:ind w:right="-14"/>
              <w:jc w:val="center"/>
              <w:rPr>
                <w:rFonts w:ascii="ITC Avant Garde" w:hAnsi="ITC Avant Garde"/>
                <w:b/>
                <w:bCs/>
              </w:rPr>
            </w:pPr>
          </w:p>
        </w:tc>
        <w:tc>
          <w:tcPr>
            <w:tcW w:w="2151" w:type="dxa"/>
          </w:tcPr>
          <w:p w14:paraId="7546CC7C" w14:textId="77777777" w:rsidR="00AE11F0" w:rsidRPr="0086242B" w:rsidRDefault="00AE11F0" w:rsidP="00E21C65">
            <w:pPr>
              <w:spacing w:line="360" w:lineRule="auto"/>
              <w:ind w:right="-14"/>
              <w:jc w:val="center"/>
              <w:rPr>
                <w:rFonts w:ascii="ITC Avant Garde" w:hAnsi="ITC Avant Garde"/>
                <w:b/>
                <w:bCs/>
              </w:rPr>
            </w:pPr>
          </w:p>
        </w:tc>
      </w:tr>
      <w:tr w:rsidR="00AE11F0" w:rsidRPr="0086242B" w14:paraId="785EA9F7" w14:textId="77777777" w:rsidTr="00E21C65">
        <w:tc>
          <w:tcPr>
            <w:tcW w:w="2480" w:type="dxa"/>
          </w:tcPr>
          <w:p w14:paraId="3158C796" w14:textId="77777777" w:rsidR="00AE11F0" w:rsidRPr="0086242B" w:rsidRDefault="00AE11F0" w:rsidP="00E21C65">
            <w:pPr>
              <w:spacing w:line="360" w:lineRule="auto"/>
              <w:ind w:right="-14"/>
              <w:jc w:val="center"/>
              <w:rPr>
                <w:rFonts w:ascii="ITC Avant Garde" w:hAnsi="ITC Avant Garde"/>
                <w:b/>
                <w:bCs/>
              </w:rPr>
            </w:pPr>
          </w:p>
        </w:tc>
        <w:tc>
          <w:tcPr>
            <w:tcW w:w="4253" w:type="dxa"/>
            <w:gridSpan w:val="3"/>
          </w:tcPr>
          <w:p w14:paraId="35ED96DE" w14:textId="77777777" w:rsidR="00AE11F0" w:rsidRPr="0086242B" w:rsidRDefault="00AE11F0" w:rsidP="00E21C65">
            <w:pPr>
              <w:spacing w:line="360" w:lineRule="auto"/>
              <w:ind w:right="-14"/>
              <w:jc w:val="center"/>
              <w:rPr>
                <w:rFonts w:ascii="ITC Avant Garde" w:hAnsi="ITC Avant Garde"/>
                <w:b/>
                <w:bCs/>
              </w:rPr>
            </w:pPr>
          </w:p>
        </w:tc>
        <w:tc>
          <w:tcPr>
            <w:tcW w:w="2151" w:type="dxa"/>
          </w:tcPr>
          <w:p w14:paraId="76C18029" w14:textId="77777777" w:rsidR="00AE11F0" w:rsidRPr="0086242B" w:rsidRDefault="00AE11F0" w:rsidP="00E21C65">
            <w:pPr>
              <w:spacing w:line="360" w:lineRule="auto"/>
              <w:ind w:right="-14"/>
              <w:jc w:val="center"/>
              <w:rPr>
                <w:rFonts w:ascii="ITC Avant Garde" w:hAnsi="ITC Avant Garde"/>
                <w:b/>
                <w:bCs/>
              </w:rPr>
            </w:pPr>
          </w:p>
        </w:tc>
      </w:tr>
      <w:tr w:rsidR="00AE11F0" w:rsidRPr="0086242B" w14:paraId="4C181918" w14:textId="77777777" w:rsidTr="00E21C65">
        <w:tc>
          <w:tcPr>
            <w:tcW w:w="2480" w:type="dxa"/>
          </w:tcPr>
          <w:p w14:paraId="62AB5959" w14:textId="77777777" w:rsidR="00AE11F0" w:rsidRPr="0086242B" w:rsidRDefault="00AE11F0" w:rsidP="00B74C4D">
            <w:pPr>
              <w:ind w:right="-14"/>
              <w:jc w:val="center"/>
              <w:rPr>
                <w:rFonts w:ascii="ITC Avant Garde" w:hAnsi="ITC Avant Garde"/>
                <w:b/>
                <w:bCs/>
              </w:rPr>
            </w:pPr>
          </w:p>
        </w:tc>
        <w:tc>
          <w:tcPr>
            <w:tcW w:w="4253" w:type="dxa"/>
            <w:gridSpan w:val="3"/>
          </w:tcPr>
          <w:p w14:paraId="1410D34C" w14:textId="77777777" w:rsidR="00DA2FE1" w:rsidRDefault="00DA2FE1" w:rsidP="00B74C4D">
            <w:pPr>
              <w:ind w:right="-14"/>
              <w:rPr>
                <w:rFonts w:ascii="ITC Avant Garde" w:hAnsi="ITC Avant Garde"/>
                <w:b/>
                <w:bCs/>
              </w:rPr>
            </w:pPr>
          </w:p>
          <w:p w14:paraId="1EC33FFC" w14:textId="77777777" w:rsidR="00A14FC5" w:rsidRPr="0086242B" w:rsidRDefault="00A14FC5" w:rsidP="00B74C4D">
            <w:pPr>
              <w:ind w:right="-14"/>
              <w:rPr>
                <w:rFonts w:ascii="ITC Avant Garde" w:hAnsi="ITC Avant Garde"/>
                <w:b/>
                <w:bCs/>
              </w:rPr>
            </w:pPr>
          </w:p>
        </w:tc>
        <w:tc>
          <w:tcPr>
            <w:tcW w:w="2151" w:type="dxa"/>
          </w:tcPr>
          <w:p w14:paraId="437A7645" w14:textId="77777777" w:rsidR="00AE11F0" w:rsidRPr="0086242B" w:rsidRDefault="00AE11F0" w:rsidP="00B74C4D">
            <w:pPr>
              <w:ind w:right="-14"/>
              <w:jc w:val="center"/>
              <w:rPr>
                <w:rFonts w:ascii="ITC Avant Garde" w:hAnsi="ITC Avant Garde"/>
                <w:b/>
                <w:bCs/>
              </w:rPr>
            </w:pPr>
          </w:p>
        </w:tc>
      </w:tr>
      <w:tr w:rsidR="00AE11F0" w:rsidRPr="0086242B" w14:paraId="046A3C4B" w14:textId="77777777" w:rsidTr="00E21C65">
        <w:tc>
          <w:tcPr>
            <w:tcW w:w="2480" w:type="dxa"/>
          </w:tcPr>
          <w:p w14:paraId="53879A5D" w14:textId="77777777" w:rsidR="00AE11F0" w:rsidRPr="0086242B" w:rsidRDefault="00AE11F0" w:rsidP="00B74C4D">
            <w:pPr>
              <w:ind w:right="-14"/>
              <w:jc w:val="center"/>
              <w:rPr>
                <w:rFonts w:ascii="ITC Avant Garde" w:hAnsi="ITC Avant Garde"/>
                <w:b/>
                <w:bCs/>
              </w:rPr>
            </w:pPr>
          </w:p>
        </w:tc>
        <w:tc>
          <w:tcPr>
            <w:tcW w:w="4253" w:type="dxa"/>
            <w:gridSpan w:val="3"/>
          </w:tcPr>
          <w:p w14:paraId="1439CA2A" w14:textId="77777777" w:rsidR="00AE11F0" w:rsidRPr="0086242B" w:rsidRDefault="00AE11F0" w:rsidP="00B74C4D">
            <w:pPr>
              <w:ind w:right="-14"/>
              <w:jc w:val="center"/>
              <w:rPr>
                <w:rFonts w:ascii="ITC Avant Garde" w:hAnsi="ITC Avant Garde"/>
                <w:b/>
                <w:bCs/>
                <w:sz w:val="20"/>
                <w:szCs w:val="20"/>
              </w:rPr>
            </w:pPr>
            <w:r w:rsidRPr="0086242B">
              <w:rPr>
                <w:rFonts w:ascii="ITC Avant Garde" w:hAnsi="ITC Avant Garde"/>
                <w:b/>
                <w:bCs/>
                <w:sz w:val="20"/>
                <w:szCs w:val="20"/>
              </w:rPr>
              <w:t>Gabriel Oswaldo Contreras Saldívar</w:t>
            </w:r>
          </w:p>
        </w:tc>
        <w:tc>
          <w:tcPr>
            <w:tcW w:w="2151" w:type="dxa"/>
          </w:tcPr>
          <w:p w14:paraId="080D61B6" w14:textId="77777777" w:rsidR="00AE11F0" w:rsidRPr="0086242B" w:rsidRDefault="00AE11F0" w:rsidP="00B74C4D">
            <w:pPr>
              <w:ind w:right="-14"/>
              <w:jc w:val="center"/>
              <w:rPr>
                <w:rFonts w:ascii="ITC Avant Garde" w:hAnsi="ITC Avant Garde"/>
                <w:b/>
                <w:bCs/>
                <w:sz w:val="20"/>
                <w:szCs w:val="20"/>
              </w:rPr>
            </w:pPr>
          </w:p>
        </w:tc>
      </w:tr>
      <w:tr w:rsidR="00AE11F0" w:rsidRPr="0086242B" w14:paraId="4DC4D8B5" w14:textId="77777777" w:rsidTr="00E21C65">
        <w:tc>
          <w:tcPr>
            <w:tcW w:w="2480" w:type="dxa"/>
          </w:tcPr>
          <w:p w14:paraId="7A97AD0F" w14:textId="77777777" w:rsidR="00AE11F0" w:rsidRPr="0086242B" w:rsidRDefault="00AE11F0" w:rsidP="00B74C4D">
            <w:pPr>
              <w:ind w:right="-14"/>
              <w:jc w:val="center"/>
              <w:rPr>
                <w:rFonts w:ascii="ITC Avant Garde" w:hAnsi="ITC Avant Garde"/>
                <w:b/>
                <w:bCs/>
              </w:rPr>
            </w:pPr>
          </w:p>
        </w:tc>
        <w:tc>
          <w:tcPr>
            <w:tcW w:w="4253" w:type="dxa"/>
            <w:gridSpan w:val="3"/>
          </w:tcPr>
          <w:p w14:paraId="5CD27B44" w14:textId="77777777" w:rsidR="00AE11F0" w:rsidRDefault="00B74C4D" w:rsidP="00B74C4D">
            <w:pPr>
              <w:ind w:right="-14"/>
              <w:jc w:val="center"/>
              <w:rPr>
                <w:rFonts w:ascii="ITC Avant Garde" w:hAnsi="ITC Avant Garde"/>
                <w:b/>
                <w:bCs/>
                <w:sz w:val="20"/>
                <w:szCs w:val="20"/>
              </w:rPr>
            </w:pPr>
            <w:r>
              <w:rPr>
                <w:rFonts w:ascii="ITC Avant Garde" w:hAnsi="ITC Avant Garde"/>
                <w:b/>
                <w:bCs/>
                <w:sz w:val="20"/>
                <w:szCs w:val="20"/>
              </w:rPr>
              <w:t xml:space="preserve">Comisionado </w:t>
            </w:r>
            <w:r w:rsidR="00AE11F0" w:rsidRPr="0086242B">
              <w:rPr>
                <w:rFonts w:ascii="ITC Avant Garde" w:hAnsi="ITC Avant Garde"/>
                <w:b/>
                <w:bCs/>
                <w:sz w:val="20"/>
                <w:szCs w:val="20"/>
              </w:rPr>
              <w:t>Presidente</w:t>
            </w:r>
          </w:p>
          <w:p w14:paraId="27D711E9" w14:textId="5847FD6F" w:rsidR="00B74C4D" w:rsidRPr="0086242B" w:rsidRDefault="00B74C4D" w:rsidP="00B74C4D">
            <w:pPr>
              <w:ind w:right="-14"/>
              <w:jc w:val="center"/>
              <w:rPr>
                <w:rFonts w:ascii="ITC Avant Garde" w:hAnsi="ITC Avant Garde"/>
                <w:b/>
                <w:bCs/>
                <w:sz w:val="20"/>
                <w:szCs w:val="20"/>
              </w:rPr>
            </w:pPr>
          </w:p>
        </w:tc>
        <w:tc>
          <w:tcPr>
            <w:tcW w:w="2151" w:type="dxa"/>
          </w:tcPr>
          <w:p w14:paraId="00D6DC0F" w14:textId="77777777" w:rsidR="00AE11F0" w:rsidRPr="0086242B" w:rsidRDefault="00AE11F0" w:rsidP="00B74C4D">
            <w:pPr>
              <w:ind w:right="-14"/>
              <w:jc w:val="center"/>
              <w:rPr>
                <w:rFonts w:ascii="ITC Avant Garde" w:hAnsi="ITC Avant Garde"/>
                <w:b/>
                <w:bCs/>
                <w:sz w:val="20"/>
                <w:szCs w:val="20"/>
              </w:rPr>
            </w:pPr>
          </w:p>
        </w:tc>
      </w:tr>
      <w:tr w:rsidR="00AE11F0" w:rsidRPr="0086242B" w14:paraId="4DD3ADD3" w14:textId="77777777" w:rsidTr="00E21C65">
        <w:tc>
          <w:tcPr>
            <w:tcW w:w="4323" w:type="dxa"/>
            <w:gridSpan w:val="2"/>
          </w:tcPr>
          <w:p w14:paraId="6A13515B" w14:textId="77777777" w:rsidR="00AE11F0" w:rsidRPr="0086242B" w:rsidRDefault="00AE11F0" w:rsidP="00B74C4D">
            <w:pPr>
              <w:ind w:right="-14"/>
              <w:jc w:val="center"/>
              <w:rPr>
                <w:rFonts w:ascii="ITC Avant Garde" w:hAnsi="ITC Avant Garde"/>
                <w:b/>
                <w:bCs/>
                <w:sz w:val="20"/>
                <w:szCs w:val="20"/>
              </w:rPr>
            </w:pPr>
          </w:p>
        </w:tc>
        <w:tc>
          <w:tcPr>
            <w:tcW w:w="283" w:type="dxa"/>
          </w:tcPr>
          <w:p w14:paraId="0224EFD2" w14:textId="77777777" w:rsidR="00AE11F0" w:rsidRPr="0086242B" w:rsidRDefault="00AE11F0" w:rsidP="00B74C4D">
            <w:pPr>
              <w:ind w:right="-14"/>
              <w:jc w:val="center"/>
              <w:rPr>
                <w:rFonts w:ascii="ITC Avant Garde" w:hAnsi="ITC Avant Garde"/>
                <w:b/>
                <w:bCs/>
                <w:sz w:val="20"/>
                <w:szCs w:val="20"/>
              </w:rPr>
            </w:pPr>
          </w:p>
        </w:tc>
        <w:tc>
          <w:tcPr>
            <w:tcW w:w="4278" w:type="dxa"/>
            <w:gridSpan w:val="2"/>
          </w:tcPr>
          <w:p w14:paraId="693F8BE0" w14:textId="77777777" w:rsidR="00AE11F0" w:rsidRDefault="00AE11F0" w:rsidP="00B74C4D">
            <w:pPr>
              <w:ind w:right="-14"/>
              <w:jc w:val="center"/>
              <w:rPr>
                <w:rFonts w:ascii="ITC Avant Garde" w:hAnsi="ITC Avant Garde"/>
                <w:b/>
                <w:bCs/>
                <w:sz w:val="20"/>
                <w:szCs w:val="20"/>
              </w:rPr>
            </w:pPr>
          </w:p>
          <w:p w14:paraId="5E110402" w14:textId="77777777" w:rsidR="00B74C4D" w:rsidRPr="0086242B" w:rsidRDefault="00B74C4D" w:rsidP="00B74C4D">
            <w:pPr>
              <w:ind w:right="-14"/>
              <w:jc w:val="center"/>
              <w:rPr>
                <w:rFonts w:ascii="ITC Avant Garde" w:hAnsi="ITC Avant Garde"/>
                <w:b/>
                <w:bCs/>
                <w:sz w:val="20"/>
                <w:szCs w:val="20"/>
              </w:rPr>
            </w:pPr>
          </w:p>
        </w:tc>
      </w:tr>
      <w:tr w:rsidR="00AE11F0" w:rsidRPr="0086242B" w14:paraId="1BE23A29" w14:textId="77777777" w:rsidTr="00E21C65">
        <w:tc>
          <w:tcPr>
            <w:tcW w:w="4323" w:type="dxa"/>
            <w:gridSpan w:val="2"/>
          </w:tcPr>
          <w:p w14:paraId="4CC0541D" w14:textId="77777777" w:rsidR="00AE11F0" w:rsidRPr="0086242B" w:rsidRDefault="00AE11F0" w:rsidP="00B74C4D">
            <w:pPr>
              <w:ind w:right="-70"/>
              <w:jc w:val="center"/>
              <w:rPr>
                <w:rFonts w:ascii="ITC Avant Garde" w:hAnsi="ITC Avant Garde"/>
                <w:b/>
                <w:bCs/>
                <w:sz w:val="20"/>
                <w:szCs w:val="20"/>
              </w:rPr>
            </w:pPr>
          </w:p>
        </w:tc>
        <w:tc>
          <w:tcPr>
            <w:tcW w:w="283" w:type="dxa"/>
          </w:tcPr>
          <w:p w14:paraId="0967BBEC" w14:textId="77777777" w:rsidR="00AE11F0" w:rsidRPr="0086242B" w:rsidRDefault="00AE11F0" w:rsidP="00B74C4D">
            <w:pPr>
              <w:ind w:right="-14"/>
              <w:jc w:val="center"/>
              <w:rPr>
                <w:rFonts w:ascii="ITC Avant Garde" w:hAnsi="ITC Avant Garde"/>
                <w:b/>
                <w:bCs/>
                <w:sz w:val="20"/>
                <w:szCs w:val="20"/>
              </w:rPr>
            </w:pPr>
          </w:p>
        </w:tc>
        <w:tc>
          <w:tcPr>
            <w:tcW w:w="4278" w:type="dxa"/>
            <w:gridSpan w:val="2"/>
          </w:tcPr>
          <w:p w14:paraId="6BA108F9" w14:textId="77777777" w:rsidR="00AE11F0" w:rsidRPr="0086242B" w:rsidRDefault="00AE11F0" w:rsidP="00B74C4D">
            <w:pPr>
              <w:ind w:right="-14"/>
              <w:jc w:val="center"/>
              <w:rPr>
                <w:rFonts w:ascii="ITC Avant Garde" w:hAnsi="ITC Avant Garde"/>
                <w:b/>
                <w:bCs/>
                <w:sz w:val="20"/>
                <w:szCs w:val="20"/>
              </w:rPr>
            </w:pPr>
          </w:p>
        </w:tc>
      </w:tr>
      <w:tr w:rsidR="00AE11F0" w:rsidRPr="0086242B" w14:paraId="324DB354" w14:textId="77777777" w:rsidTr="00E21C65">
        <w:tc>
          <w:tcPr>
            <w:tcW w:w="4323" w:type="dxa"/>
            <w:gridSpan w:val="2"/>
          </w:tcPr>
          <w:p w14:paraId="50DDFA8E" w14:textId="77777777" w:rsidR="00AE11F0" w:rsidRPr="0086242B" w:rsidRDefault="00AE11F0" w:rsidP="00B74C4D">
            <w:pPr>
              <w:ind w:right="72"/>
              <w:jc w:val="center"/>
              <w:rPr>
                <w:rFonts w:ascii="ITC Avant Garde" w:hAnsi="ITC Avant Garde"/>
                <w:b/>
                <w:bCs/>
                <w:sz w:val="20"/>
                <w:szCs w:val="20"/>
              </w:rPr>
            </w:pPr>
            <w:r w:rsidRPr="0086242B">
              <w:rPr>
                <w:rFonts w:ascii="ITC Avant Garde" w:hAnsi="ITC Avant Garde"/>
                <w:b/>
                <w:bCs/>
                <w:sz w:val="20"/>
                <w:szCs w:val="20"/>
              </w:rPr>
              <w:t>Luis Fernando Borjón Figueroa</w:t>
            </w:r>
          </w:p>
        </w:tc>
        <w:tc>
          <w:tcPr>
            <w:tcW w:w="283" w:type="dxa"/>
          </w:tcPr>
          <w:p w14:paraId="6EE1F43F" w14:textId="77777777" w:rsidR="00AE11F0" w:rsidRPr="0086242B" w:rsidRDefault="00AE11F0" w:rsidP="00B74C4D">
            <w:pPr>
              <w:ind w:right="-14"/>
              <w:jc w:val="center"/>
              <w:rPr>
                <w:rFonts w:ascii="ITC Avant Garde" w:hAnsi="ITC Avant Garde"/>
                <w:b/>
                <w:bCs/>
                <w:sz w:val="20"/>
                <w:szCs w:val="20"/>
              </w:rPr>
            </w:pPr>
          </w:p>
        </w:tc>
        <w:tc>
          <w:tcPr>
            <w:tcW w:w="4278" w:type="dxa"/>
            <w:gridSpan w:val="2"/>
          </w:tcPr>
          <w:p w14:paraId="6D640CD8" w14:textId="77777777" w:rsidR="00AE11F0" w:rsidRPr="0086242B" w:rsidRDefault="00AE11F0" w:rsidP="00B74C4D">
            <w:pPr>
              <w:ind w:right="-14"/>
              <w:jc w:val="center"/>
              <w:rPr>
                <w:rFonts w:ascii="ITC Avant Garde" w:hAnsi="ITC Avant Garde"/>
                <w:b/>
                <w:bCs/>
                <w:sz w:val="20"/>
                <w:szCs w:val="20"/>
              </w:rPr>
            </w:pPr>
            <w:r w:rsidRPr="0086242B">
              <w:rPr>
                <w:rFonts w:ascii="ITC Avant Garde" w:hAnsi="ITC Avant Garde"/>
                <w:b/>
                <w:bCs/>
                <w:sz w:val="20"/>
                <w:szCs w:val="20"/>
              </w:rPr>
              <w:t>Ernesto Estrada González</w:t>
            </w:r>
          </w:p>
        </w:tc>
      </w:tr>
      <w:tr w:rsidR="00AE11F0" w:rsidRPr="0086242B" w14:paraId="3D1EC729" w14:textId="77777777" w:rsidTr="00E21C65">
        <w:tc>
          <w:tcPr>
            <w:tcW w:w="4323" w:type="dxa"/>
            <w:gridSpan w:val="2"/>
          </w:tcPr>
          <w:p w14:paraId="69E576E7" w14:textId="77777777" w:rsidR="00AE11F0" w:rsidRPr="0086242B" w:rsidRDefault="00AE11F0" w:rsidP="00B74C4D">
            <w:pPr>
              <w:ind w:right="72"/>
              <w:jc w:val="center"/>
              <w:rPr>
                <w:rFonts w:ascii="ITC Avant Garde" w:hAnsi="ITC Avant Garde"/>
                <w:b/>
                <w:bCs/>
                <w:sz w:val="20"/>
                <w:szCs w:val="20"/>
              </w:rPr>
            </w:pPr>
            <w:r w:rsidRPr="0086242B">
              <w:rPr>
                <w:rFonts w:ascii="ITC Avant Garde" w:hAnsi="ITC Avant Garde"/>
                <w:b/>
                <w:bCs/>
                <w:sz w:val="20"/>
                <w:szCs w:val="20"/>
              </w:rPr>
              <w:t>Comisionado</w:t>
            </w:r>
          </w:p>
        </w:tc>
        <w:tc>
          <w:tcPr>
            <w:tcW w:w="283" w:type="dxa"/>
          </w:tcPr>
          <w:p w14:paraId="230F7082" w14:textId="77777777" w:rsidR="00AE11F0" w:rsidRPr="0086242B" w:rsidRDefault="00AE11F0" w:rsidP="00B74C4D">
            <w:pPr>
              <w:ind w:right="-14"/>
              <w:jc w:val="center"/>
              <w:rPr>
                <w:rFonts w:ascii="ITC Avant Garde" w:hAnsi="ITC Avant Garde"/>
                <w:b/>
                <w:bCs/>
                <w:sz w:val="20"/>
                <w:szCs w:val="20"/>
              </w:rPr>
            </w:pPr>
          </w:p>
        </w:tc>
        <w:tc>
          <w:tcPr>
            <w:tcW w:w="4278" w:type="dxa"/>
            <w:gridSpan w:val="2"/>
          </w:tcPr>
          <w:p w14:paraId="37717890" w14:textId="77777777" w:rsidR="00AE11F0" w:rsidRDefault="00AE11F0" w:rsidP="00B74C4D">
            <w:pPr>
              <w:ind w:right="-14"/>
              <w:jc w:val="center"/>
              <w:rPr>
                <w:rFonts w:ascii="ITC Avant Garde" w:hAnsi="ITC Avant Garde"/>
                <w:b/>
                <w:bCs/>
                <w:sz w:val="20"/>
                <w:szCs w:val="20"/>
              </w:rPr>
            </w:pPr>
            <w:r w:rsidRPr="0086242B">
              <w:rPr>
                <w:rFonts w:ascii="ITC Avant Garde" w:hAnsi="ITC Avant Garde"/>
                <w:b/>
                <w:bCs/>
                <w:sz w:val="20"/>
                <w:szCs w:val="20"/>
              </w:rPr>
              <w:t>Comisionado</w:t>
            </w:r>
          </w:p>
          <w:p w14:paraId="74092A76" w14:textId="77777777" w:rsidR="00B74C4D" w:rsidRDefault="00B74C4D" w:rsidP="00B74C4D">
            <w:pPr>
              <w:ind w:right="-14"/>
              <w:jc w:val="center"/>
              <w:rPr>
                <w:rFonts w:ascii="ITC Avant Garde" w:hAnsi="ITC Avant Garde"/>
                <w:b/>
                <w:bCs/>
                <w:sz w:val="20"/>
                <w:szCs w:val="20"/>
              </w:rPr>
            </w:pPr>
          </w:p>
          <w:p w14:paraId="240BB8C4" w14:textId="77777777" w:rsidR="00B74C4D" w:rsidRDefault="00B74C4D" w:rsidP="00B74C4D">
            <w:pPr>
              <w:ind w:right="-14"/>
              <w:jc w:val="center"/>
              <w:rPr>
                <w:rFonts w:ascii="ITC Avant Garde" w:hAnsi="ITC Avant Garde"/>
                <w:b/>
                <w:bCs/>
                <w:sz w:val="20"/>
                <w:szCs w:val="20"/>
              </w:rPr>
            </w:pPr>
          </w:p>
          <w:p w14:paraId="225BF6FB" w14:textId="77777777" w:rsidR="00B74C4D" w:rsidRPr="0086242B" w:rsidRDefault="00B74C4D" w:rsidP="00B74C4D">
            <w:pPr>
              <w:ind w:right="-14"/>
              <w:jc w:val="center"/>
              <w:rPr>
                <w:rFonts w:ascii="ITC Avant Garde" w:hAnsi="ITC Avant Garde"/>
                <w:b/>
                <w:bCs/>
                <w:sz w:val="20"/>
                <w:szCs w:val="20"/>
              </w:rPr>
            </w:pPr>
          </w:p>
        </w:tc>
      </w:tr>
      <w:tr w:rsidR="00AE11F0" w:rsidRPr="0086242B" w14:paraId="57B9FF68" w14:textId="77777777" w:rsidTr="00E21C65">
        <w:tc>
          <w:tcPr>
            <w:tcW w:w="4323" w:type="dxa"/>
            <w:gridSpan w:val="2"/>
          </w:tcPr>
          <w:p w14:paraId="60CB50C6" w14:textId="77777777" w:rsidR="00AE11F0" w:rsidRPr="0086242B" w:rsidRDefault="00AE11F0" w:rsidP="00B74C4D">
            <w:pPr>
              <w:ind w:right="-14"/>
              <w:jc w:val="center"/>
              <w:rPr>
                <w:rFonts w:ascii="ITC Avant Garde" w:hAnsi="ITC Avant Garde"/>
                <w:b/>
                <w:bCs/>
                <w:sz w:val="20"/>
                <w:szCs w:val="20"/>
              </w:rPr>
            </w:pPr>
          </w:p>
        </w:tc>
        <w:tc>
          <w:tcPr>
            <w:tcW w:w="283" w:type="dxa"/>
          </w:tcPr>
          <w:p w14:paraId="72E6B6CF" w14:textId="77777777" w:rsidR="00AE11F0" w:rsidRPr="0086242B" w:rsidRDefault="00AE11F0" w:rsidP="00B74C4D">
            <w:pPr>
              <w:ind w:right="-14"/>
              <w:jc w:val="center"/>
              <w:rPr>
                <w:rFonts w:ascii="ITC Avant Garde" w:hAnsi="ITC Avant Garde"/>
                <w:b/>
                <w:bCs/>
                <w:sz w:val="20"/>
                <w:szCs w:val="20"/>
              </w:rPr>
            </w:pPr>
          </w:p>
        </w:tc>
        <w:tc>
          <w:tcPr>
            <w:tcW w:w="4278" w:type="dxa"/>
            <w:gridSpan w:val="2"/>
          </w:tcPr>
          <w:p w14:paraId="18001F35" w14:textId="77777777" w:rsidR="00AE11F0" w:rsidRPr="0086242B" w:rsidRDefault="00AE11F0" w:rsidP="00B74C4D">
            <w:pPr>
              <w:ind w:right="-14"/>
              <w:jc w:val="center"/>
              <w:rPr>
                <w:rFonts w:ascii="ITC Avant Garde" w:hAnsi="ITC Avant Garde"/>
                <w:b/>
                <w:bCs/>
                <w:sz w:val="20"/>
                <w:szCs w:val="20"/>
              </w:rPr>
            </w:pPr>
          </w:p>
        </w:tc>
      </w:tr>
      <w:tr w:rsidR="00AE11F0" w:rsidRPr="0086242B" w14:paraId="3F905132" w14:textId="77777777" w:rsidTr="00E21C65">
        <w:tc>
          <w:tcPr>
            <w:tcW w:w="4323" w:type="dxa"/>
            <w:gridSpan w:val="2"/>
          </w:tcPr>
          <w:p w14:paraId="7B5B531A" w14:textId="77777777" w:rsidR="00AE11F0" w:rsidRPr="0086242B" w:rsidRDefault="00AE11F0" w:rsidP="00B74C4D">
            <w:pPr>
              <w:ind w:right="-70"/>
              <w:jc w:val="center"/>
              <w:rPr>
                <w:rFonts w:ascii="ITC Avant Garde" w:hAnsi="ITC Avant Garde"/>
                <w:b/>
                <w:bCs/>
                <w:sz w:val="20"/>
                <w:szCs w:val="20"/>
              </w:rPr>
            </w:pPr>
          </w:p>
        </w:tc>
        <w:tc>
          <w:tcPr>
            <w:tcW w:w="283" w:type="dxa"/>
          </w:tcPr>
          <w:p w14:paraId="799005AD" w14:textId="77777777" w:rsidR="00AE11F0" w:rsidRPr="0086242B" w:rsidRDefault="00AE11F0" w:rsidP="00B74C4D">
            <w:pPr>
              <w:ind w:right="-14"/>
              <w:jc w:val="center"/>
              <w:rPr>
                <w:rFonts w:ascii="ITC Avant Garde" w:hAnsi="ITC Avant Garde"/>
                <w:b/>
                <w:bCs/>
                <w:sz w:val="20"/>
                <w:szCs w:val="20"/>
              </w:rPr>
            </w:pPr>
          </w:p>
        </w:tc>
        <w:tc>
          <w:tcPr>
            <w:tcW w:w="4278" w:type="dxa"/>
            <w:gridSpan w:val="2"/>
          </w:tcPr>
          <w:p w14:paraId="2536BA28" w14:textId="77777777" w:rsidR="00AE11F0" w:rsidRPr="0086242B" w:rsidRDefault="00AE11F0" w:rsidP="00B74C4D">
            <w:pPr>
              <w:ind w:right="-14"/>
              <w:jc w:val="center"/>
              <w:rPr>
                <w:rFonts w:ascii="ITC Avant Garde" w:hAnsi="ITC Avant Garde"/>
                <w:b/>
                <w:bCs/>
                <w:sz w:val="20"/>
                <w:szCs w:val="20"/>
              </w:rPr>
            </w:pPr>
          </w:p>
        </w:tc>
      </w:tr>
      <w:tr w:rsidR="00AE11F0" w:rsidRPr="0086242B" w14:paraId="504CB346" w14:textId="77777777" w:rsidTr="00E21C65">
        <w:tc>
          <w:tcPr>
            <w:tcW w:w="4323" w:type="dxa"/>
            <w:gridSpan w:val="2"/>
          </w:tcPr>
          <w:p w14:paraId="1E87BBA4" w14:textId="77777777" w:rsidR="00AE11F0" w:rsidRPr="0086242B" w:rsidRDefault="00AE11F0" w:rsidP="00B74C4D">
            <w:pPr>
              <w:ind w:right="72"/>
              <w:jc w:val="center"/>
              <w:rPr>
                <w:rFonts w:ascii="ITC Avant Garde" w:hAnsi="ITC Avant Garde"/>
                <w:b/>
                <w:bCs/>
                <w:sz w:val="20"/>
                <w:szCs w:val="20"/>
              </w:rPr>
            </w:pPr>
            <w:r w:rsidRPr="0086242B">
              <w:rPr>
                <w:rFonts w:ascii="ITC Avant Garde" w:hAnsi="ITC Avant Garde"/>
                <w:b/>
                <w:bCs/>
                <w:sz w:val="20"/>
                <w:szCs w:val="20"/>
              </w:rPr>
              <w:t>Adriana Sofía Labardini Inzunza</w:t>
            </w:r>
          </w:p>
        </w:tc>
        <w:tc>
          <w:tcPr>
            <w:tcW w:w="283" w:type="dxa"/>
          </w:tcPr>
          <w:p w14:paraId="58363933" w14:textId="77777777" w:rsidR="00AE11F0" w:rsidRPr="0086242B" w:rsidRDefault="00AE11F0" w:rsidP="00B74C4D">
            <w:pPr>
              <w:ind w:right="-14"/>
              <w:jc w:val="center"/>
              <w:rPr>
                <w:rFonts w:ascii="ITC Avant Garde" w:hAnsi="ITC Avant Garde"/>
                <w:b/>
                <w:bCs/>
                <w:sz w:val="20"/>
                <w:szCs w:val="20"/>
              </w:rPr>
            </w:pPr>
          </w:p>
        </w:tc>
        <w:tc>
          <w:tcPr>
            <w:tcW w:w="4278" w:type="dxa"/>
            <w:gridSpan w:val="2"/>
          </w:tcPr>
          <w:p w14:paraId="333D4354" w14:textId="77777777" w:rsidR="00AE11F0" w:rsidRPr="0086242B" w:rsidRDefault="00AE11F0" w:rsidP="00B74C4D">
            <w:pPr>
              <w:ind w:right="-14"/>
              <w:jc w:val="center"/>
              <w:rPr>
                <w:rFonts w:ascii="ITC Avant Garde" w:hAnsi="ITC Avant Garde"/>
                <w:b/>
                <w:bCs/>
                <w:sz w:val="20"/>
                <w:szCs w:val="20"/>
              </w:rPr>
            </w:pPr>
            <w:r w:rsidRPr="0086242B">
              <w:rPr>
                <w:rFonts w:ascii="ITC Avant Garde" w:hAnsi="ITC Avant Garde"/>
                <w:b/>
                <w:bCs/>
                <w:sz w:val="20"/>
                <w:szCs w:val="20"/>
              </w:rPr>
              <w:t>María Elena Estavillo Flores</w:t>
            </w:r>
          </w:p>
        </w:tc>
      </w:tr>
      <w:tr w:rsidR="00AE11F0" w:rsidRPr="0086242B" w14:paraId="43B7361A" w14:textId="77777777" w:rsidTr="00E21C65">
        <w:tc>
          <w:tcPr>
            <w:tcW w:w="4323" w:type="dxa"/>
            <w:gridSpan w:val="2"/>
          </w:tcPr>
          <w:p w14:paraId="29866264" w14:textId="77777777" w:rsidR="00AE11F0" w:rsidRPr="0086242B" w:rsidRDefault="00AE11F0" w:rsidP="00B74C4D">
            <w:pPr>
              <w:ind w:right="72"/>
              <w:jc w:val="center"/>
              <w:rPr>
                <w:rFonts w:ascii="ITC Avant Garde" w:hAnsi="ITC Avant Garde"/>
                <w:b/>
                <w:bCs/>
                <w:sz w:val="20"/>
                <w:szCs w:val="20"/>
              </w:rPr>
            </w:pPr>
            <w:r w:rsidRPr="0086242B">
              <w:rPr>
                <w:rFonts w:ascii="ITC Avant Garde" w:hAnsi="ITC Avant Garde"/>
                <w:b/>
                <w:bCs/>
                <w:sz w:val="20"/>
                <w:szCs w:val="20"/>
              </w:rPr>
              <w:t>Comisionada</w:t>
            </w:r>
          </w:p>
        </w:tc>
        <w:tc>
          <w:tcPr>
            <w:tcW w:w="283" w:type="dxa"/>
          </w:tcPr>
          <w:p w14:paraId="237967A1" w14:textId="77777777" w:rsidR="00AE11F0" w:rsidRPr="0086242B" w:rsidRDefault="00AE11F0" w:rsidP="00B74C4D">
            <w:pPr>
              <w:ind w:right="-14"/>
              <w:jc w:val="center"/>
              <w:rPr>
                <w:rFonts w:ascii="ITC Avant Garde" w:hAnsi="ITC Avant Garde"/>
                <w:b/>
                <w:bCs/>
                <w:sz w:val="20"/>
                <w:szCs w:val="20"/>
              </w:rPr>
            </w:pPr>
          </w:p>
        </w:tc>
        <w:tc>
          <w:tcPr>
            <w:tcW w:w="4278" w:type="dxa"/>
            <w:gridSpan w:val="2"/>
          </w:tcPr>
          <w:p w14:paraId="3146B92D" w14:textId="77777777" w:rsidR="00AE11F0" w:rsidRDefault="00AE11F0" w:rsidP="00B74C4D">
            <w:pPr>
              <w:ind w:right="-14"/>
              <w:jc w:val="center"/>
              <w:rPr>
                <w:rFonts w:ascii="ITC Avant Garde" w:hAnsi="ITC Avant Garde"/>
                <w:b/>
                <w:bCs/>
                <w:sz w:val="20"/>
                <w:szCs w:val="20"/>
              </w:rPr>
            </w:pPr>
            <w:r w:rsidRPr="0086242B">
              <w:rPr>
                <w:rFonts w:ascii="ITC Avant Garde" w:hAnsi="ITC Avant Garde"/>
                <w:b/>
                <w:bCs/>
                <w:sz w:val="20"/>
                <w:szCs w:val="20"/>
              </w:rPr>
              <w:t>Comisionada</w:t>
            </w:r>
          </w:p>
          <w:p w14:paraId="0389420A" w14:textId="77777777" w:rsidR="00B74C4D" w:rsidRPr="0086242B" w:rsidRDefault="00B74C4D" w:rsidP="00B74C4D">
            <w:pPr>
              <w:ind w:right="-14"/>
              <w:jc w:val="center"/>
              <w:rPr>
                <w:rFonts w:ascii="ITC Avant Garde" w:hAnsi="ITC Avant Garde"/>
                <w:b/>
                <w:bCs/>
                <w:sz w:val="20"/>
                <w:szCs w:val="20"/>
              </w:rPr>
            </w:pPr>
          </w:p>
        </w:tc>
      </w:tr>
      <w:tr w:rsidR="00AE11F0" w:rsidRPr="0086242B" w14:paraId="08EB5AD7" w14:textId="77777777" w:rsidTr="00E21C65">
        <w:tc>
          <w:tcPr>
            <w:tcW w:w="4323" w:type="dxa"/>
            <w:gridSpan w:val="2"/>
          </w:tcPr>
          <w:p w14:paraId="66A34D53" w14:textId="77777777" w:rsidR="00AE11F0" w:rsidRPr="0086242B" w:rsidRDefault="00AE11F0" w:rsidP="00B74C4D">
            <w:pPr>
              <w:ind w:right="-14"/>
              <w:jc w:val="center"/>
              <w:rPr>
                <w:rFonts w:ascii="ITC Avant Garde" w:hAnsi="ITC Avant Garde"/>
                <w:b/>
                <w:bCs/>
                <w:sz w:val="20"/>
                <w:szCs w:val="20"/>
              </w:rPr>
            </w:pPr>
          </w:p>
        </w:tc>
        <w:tc>
          <w:tcPr>
            <w:tcW w:w="283" w:type="dxa"/>
          </w:tcPr>
          <w:p w14:paraId="21DA46BD" w14:textId="77777777" w:rsidR="00AE11F0" w:rsidRPr="0086242B" w:rsidRDefault="00AE11F0" w:rsidP="00B74C4D">
            <w:pPr>
              <w:ind w:right="-14"/>
              <w:jc w:val="center"/>
              <w:rPr>
                <w:rFonts w:ascii="ITC Avant Garde" w:hAnsi="ITC Avant Garde"/>
                <w:b/>
                <w:bCs/>
                <w:sz w:val="20"/>
                <w:szCs w:val="20"/>
              </w:rPr>
            </w:pPr>
          </w:p>
        </w:tc>
        <w:tc>
          <w:tcPr>
            <w:tcW w:w="4278" w:type="dxa"/>
            <w:gridSpan w:val="2"/>
          </w:tcPr>
          <w:p w14:paraId="5E5F63ED" w14:textId="77777777" w:rsidR="00AE11F0" w:rsidRDefault="00AE11F0" w:rsidP="00B74C4D">
            <w:pPr>
              <w:ind w:right="-14"/>
              <w:jc w:val="center"/>
              <w:rPr>
                <w:rFonts w:ascii="ITC Avant Garde" w:hAnsi="ITC Avant Garde"/>
                <w:b/>
                <w:bCs/>
                <w:sz w:val="20"/>
                <w:szCs w:val="20"/>
              </w:rPr>
            </w:pPr>
          </w:p>
          <w:p w14:paraId="45E31924" w14:textId="77777777" w:rsidR="00B74C4D" w:rsidRDefault="00B74C4D" w:rsidP="00B74C4D">
            <w:pPr>
              <w:ind w:right="-14"/>
              <w:jc w:val="center"/>
              <w:rPr>
                <w:rFonts w:ascii="ITC Avant Garde" w:hAnsi="ITC Avant Garde"/>
                <w:b/>
                <w:bCs/>
                <w:sz w:val="20"/>
                <w:szCs w:val="20"/>
              </w:rPr>
            </w:pPr>
          </w:p>
          <w:p w14:paraId="4DD8957A" w14:textId="77777777" w:rsidR="00B74C4D" w:rsidRPr="0086242B" w:rsidRDefault="00B74C4D" w:rsidP="00B74C4D">
            <w:pPr>
              <w:ind w:right="-14"/>
              <w:jc w:val="center"/>
              <w:rPr>
                <w:rFonts w:ascii="ITC Avant Garde" w:hAnsi="ITC Avant Garde"/>
                <w:b/>
                <w:bCs/>
                <w:sz w:val="20"/>
                <w:szCs w:val="20"/>
              </w:rPr>
            </w:pPr>
          </w:p>
        </w:tc>
      </w:tr>
      <w:tr w:rsidR="00AE11F0" w:rsidRPr="0086242B" w14:paraId="59F8001E" w14:textId="77777777" w:rsidTr="00E21C65">
        <w:tc>
          <w:tcPr>
            <w:tcW w:w="4323" w:type="dxa"/>
            <w:gridSpan w:val="2"/>
          </w:tcPr>
          <w:p w14:paraId="5EB1DE00" w14:textId="77777777" w:rsidR="00AE11F0" w:rsidRPr="0086242B" w:rsidRDefault="00AE11F0" w:rsidP="00B74C4D">
            <w:pPr>
              <w:ind w:right="-70"/>
              <w:jc w:val="center"/>
              <w:rPr>
                <w:rFonts w:ascii="ITC Avant Garde" w:hAnsi="ITC Avant Garde"/>
                <w:b/>
                <w:bCs/>
                <w:sz w:val="20"/>
                <w:szCs w:val="20"/>
              </w:rPr>
            </w:pPr>
          </w:p>
        </w:tc>
        <w:tc>
          <w:tcPr>
            <w:tcW w:w="283" w:type="dxa"/>
          </w:tcPr>
          <w:p w14:paraId="689E7F8A" w14:textId="77777777" w:rsidR="00AE11F0" w:rsidRPr="0086242B" w:rsidRDefault="00AE11F0" w:rsidP="00B74C4D">
            <w:pPr>
              <w:ind w:right="-14"/>
              <w:jc w:val="center"/>
              <w:rPr>
                <w:rFonts w:ascii="ITC Avant Garde" w:hAnsi="ITC Avant Garde"/>
                <w:b/>
                <w:bCs/>
                <w:sz w:val="20"/>
                <w:szCs w:val="20"/>
              </w:rPr>
            </w:pPr>
          </w:p>
        </w:tc>
        <w:tc>
          <w:tcPr>
            <w:tcW w:w="4278" w:type="dxa"/>
            <w:gridSpan w:val="2"/>
          </w:tcPr>
          <w:p w14:paraId="238FAD4C" w14:textId="77777777" w:rsidR="00AE11F0" w:rsidRPr="0086242B" w:rsidRDefault="00AE11F0" w:rsidP="00B74C4D">
            <w:pPr>
              <w:ind w:right="-14"/>
              <w:jc w:val="center"/>
              <w:rPr>
                <w:rFonts w:ascii="ITC Avant Garde" w:hAnsi="ITC Avant Garde"/>
                <w:b/>
                <w:bCs/>
                <w:sz w:val="20"/>
                <w:szCs w:val="20"/>
              </w:rPr>
            </w:pPr>
          </w:p>
        </w:tc>
      </w:tr>
      <w:tr w:rsidR="00AE11F0" w:rsidRPr="0086242B" w14:paraId="7D8C339F" w14:textId="77777777" w:rsidTr="00E21C65">
        <w:tc>
          <w:tcPr>
            <w:tcW w:w="4323" w:type="dxa"/>
            <w:gridSpan w:val="2"/>
          </w:tcPr>
          <w:p w14:paraId="1A2971FE" w14:textId="77777777" w:rsidR="00AE11F0" w:rsidRPr="0086242B" w:rsidRDefault="00AE11F0" w:rsidP="00B74C4D">
            <w:pPr>
              <w:ind w:right="72"/>
              <w:jc w:val="center"/>
              <w:rPr>
                <w:rFonts w:ascii="ITC Avant Garde" w:hAnsi="ITC Avant Garde"/>
                <w:b/>
                <w:bCs/>
                <w:sz w:val="20"/>
                <w:szCs w:val="20"/>
              </w:rPr>
            </w:pPr>
            <w:r w:rsidRPr="0086242B">
              <w:rPr>
                <w:rFonts w:ascii="ITC Avant Garde" w:hAnsi="ITC Avant Garde"/>
                <w:b/>
                <w:bCs/>
                <w:sz w:val="20"/>
                <w:szCs w:val="20"/>
              </w:rPr>
              <w:t>Mario Germán Fromow Rangel</w:t>
            </w:r>
          </w:p>
        </w:tc>
        <w:tc>
          <w:tcPr>
            <w:tcW w:w="283" w:type="dxa"/>
          </w:tcPr>
          <w:p w14:paraId="4306D0C0" w14:textId="77777777" w:rsidR="00AE11F0" w:rsidRPr="0086242B" w:rsidRDefault="00AE11F0" w:rsidP="00B74C4D">
            <w:pPr>
              <w:ind w:right="-14"/>
              <w:jc w:val="center"/>
              <w:rPr>
                <w:rFonts w:ascii="ITC Avant Garde" w:hAnsi="ITC Avant Garde"/>
                <w:b/>
                <w:bCs/>
                <w:sz w:val="20"/>
                <w:szCs w:val="20"/>
              </w:rPr>
            </w:pPr>
          </w:p>
        </w:tc>
        <w:tc>
          <w:tcPr>
            <w:tcW w:w="4278" w:type="dxa"/>
            <w:gridSpan w:val="2"/>
          </w:tcPr>
          <w:p w14:paraId="7783276B" w14:textId="77777777" w:rsidR="00AE11F0" w:rsidRPr="0086242B" w:rsidRDefault="00AE11F0" w:rsidP="00B74C4D">
            <w:pPr>
              <w:ind w:right="-14"/>
              <w:jc w:val="center"/>
              <w:rPr>
                <w:rFonts w:ascii="ITC Avant Garde" w:hAnsi="ITC Avant Garde"/>
                <w:b/>
                <w:bCs/>
                <w:sz w:val="20"/>
                <w:szCs w:val="20"/>
              </w:rPr>
            </w:pPr>
            <w:r w:rsidRPr="0086242B">
              <w:rPr>
                <w:rFonts w:ascii="ITC Avant Garde" w:hAnsi="ITC Avant Garde"/>
                <w:b/>
                <w:bCs/>
                <w:sz w:val="20"/>
                <w:szCs w:val="20"/>
              </w:rPr>
              <w:t>Adolfo Cuevas Teja</w:t>
            </w:r>
          </w:p>
        </w:tc>
      </w:tr>
      <w:tr w:rsidR="00AE11F0" w:rsidRPr="0086242B" w14:paraId="266C2517" w14:textId="77777777" w:rsidTr="00E21C65">
        <w:trPr>
          <w:trHeight w:val="70"/>
        </w:trPr>
        <w:tc>
          <w:tcPr>
            <w:tcW w:w="4323" w:type="dxa"/>
            <w:gridSpan w:val="2"/>
          </w:tcPr>
          <w:p w14:paraId="06A54F6E" w14:textId="77777777" w:rsidR="00AE11F0" w:rsidRPr="0086242B" w:rsidRDefault="00AE11F0" w:rsidP="00772E7C">
            <w:pPr>
              <w:ind w:right="72"/>
              <w:jc w:val="center"/>
              <w:rPr>
                <w:rFonts w:ascii="ITC Avant Garde" w:hAnsi="ITC Avant Garde"/>
                <w:b/>
                <w:bCs/>
                <w:sz w:val="20"/>
                <w:szCs w:val="20"/>
              </w:rPr>
            </w:pPr>
            <w:r w:rsidRPr="0086242B">
              <w:rPr>
                <w:rFonts w:ascii="ITC Avant Garde" w:hAnsi="ITC Avant Garde"/>
                <w:b/>
                <w:bCs/>
                <w:sz w:val="20"/>
                <w:szCs w:val="20"/>
              </w:rPr>
              <w:t>Comisionado</w:t>
            </w:r>
          </w:p>
        </w:tc>
        <w:tc>
          <w:tcPr>
            <w:tcW w:w="283" w:type="dxa"/>
          </w:tcPr>
          <w:p w14:paraId="0EE4DB66" w14:textId="77777777" w:rsidR="00AE11F0" w:rsidRPr="0086242B" w:rsidRDefault="00AE11F0" w:rsidP="00772E7C">
            <w:pPr>
              <w:ind w:right="-14"/>
              <w:jc w:val="center"/>
              <w:rPr>
                <w:rFonts w:ascii="ITC Avant Garde" w:hAnsi="ITC Avant Garde"/>
                <w:b/>
                <w:bCs/>
                <w:sz w:val="20"/>
                <w:szCs w:val="20"/>
              </w:rPr>
            </w:pPr>
          </w:p>
        </w:tc>
        <w:tc>
          <w:tcPr>
            <w:tcW w:w="4278" w:type="dxa"/>
            <w:gridSpan w:val="2"/>
          </w:tcPr>
          <w:p w14:paraId="7173BD7C" w14:textId="6E521914" w:rsidR="00AE11F0" w:rsidRDefault="00AE11F0" w:rsidP="00772E7C">
            <w:pPr>
              <w:tabs>
                <w:tab w:val="center" w:pos="2076"/>
              </w:tabs>
              <w:ind w:right="-14"/>
              <w:jc w:val="center"/>
              <w:rPr>
                <w:rFonts w:ascii="ITC Avant Garde" w:hAnsi="ITC Avant Garde"/>
                <w:b/>
                <w:bCs/>
                <w:sz w:val="20"/>
                <w:szCs w:val="20"/>
              </w:rPr>
            </w:pPr>
            <w:r w:rsidRPr="0086242B">
              <w:rPr>
                <w:rFonts w:ascii="ITC Avant Garde" w:hAnsi="ITC Avant Garde"/>
                <w:b/>
                <w:bCs/>
                <w:sz w:val="20"/>
                <w:szCs w:val="20"/>
              </w:rPr>
              <w:t>Comisionado</w:t>
            </w:r>
          </w:p>
          <w:p w14:paraId="7CC18083" w14:textId="77777777" w:rsidR="00772E7C" w:rsidRPr="0086242B" w:rsidRDefault="00772E7C" w:rsidP="00772E7C">
            <w:pPr>
              <w:tabs>
                <w:tab w:val="center" w:pos="2076"/>
              </w:tabs>
              <w:ind w:right="-14"/>
              <w:jc w:val="center"/>
              <w:rPr>
                <w:rFonts w:ascii="ITC Avant Garde" w:hAnsi="ITC Avant Garde"/>
                <w:b/>
                <w:bCs/>
                <w:sz w:val="20"/>
                <w:szCs w:val="20"/>
              </w:rPr>
            </w:pPr>
          </w:p>
        </w:tc>
      </w:tr>
    </w:tbl>
    <w:p w14:paraId="79C651B8" w14:textId="77777777" w:rsidR="00772E7C" w:rsidRDefault="00772E7C" w:rsidP="00AE11F0">
      <w:pPr>
        <w:rPr>
          <w:rFonts w:ascii="ITC Avant Garde" w:hAnsi="ITC Avant Garde" w:cs="Tahoma"/>
          <w:b/>
          <w:bCs/>
          <w:color w:val="000000"/>
          <w:lang w:eastAsia="es-MX"/>
        </w:rPr>
      </w:pPr>
    </w:p>
    <w:p w14:paraId="229AC77B" w14:textId="77777777" w:rsidR="00772E7C" w:rsidRDefault="00772E7C" w:rsidP="00AE11F0">
      <w:pPr>
        <w:rPr>
          <w:rFonts w:ascii="ITC Avant Garde" w:hAnsi="ITC Avant Garde" w:cs="Tahoma"/>
          <w:b/>
          <w:bCs/>
          <w:color w:val="000000"/>
          <w:lang w:eastAsia="es-MX"/>
        </w:rPr>
      </w:pPr>
    </w:p>
    <w:p w14:paraId="26E386DD" w14:textId="77777777" w:rsidR="00772E7C" w:rsidRDefault="00772E7C" w:rsidP="00AE11F0">
      <w:pPr>
        <w:rPr>
          <w:rFonts w:ascii="ITC Avant Garde" w:hAnsi="ITC Avant Garde" w:cs="Tahoma"/>
          <w:b/>
          <w:bCs/>
          <w:color w:val="000000"/>
          <w:lang w:eastAsia="es-MX"/>
        </w:rPr>
      </w:pPr>
    </w:p>
    <w:p w14:paraId="01B98336" w14:textId="77777777" w:rsidR="00772E7C" w:rsidRDefault="00772E7C" w:rsidP="00AE11F0">
      <w:pPr>
        <w:rPr>
          <w:rFonts w:ascii="ITC Avant Garde" w:hAnsi="ITC Avant Garde" w:cs="Tahoma"/>
          <w:b/>
          <w:bCs/>
          <w:color w:val="000000"/>
          <w:lang w:eastAsia="es-MX"/>
        </w:rPr>
      </w:pPr>
    </w:p>
    <w:p w14:paraId="05A68B35" w14:textId="77777777" w:rsidR="00772E7C" w:rsidRPr="00772E7C" w:rsidRDefault="00772E7C" w:rsidP="00772E7C">
      <w:pPr>
        <w:jc w:val="both"/>
        <w:rPr>
          <w:rFonts w:ascii="ITC Avant Garde" w:hAnsi="ITC Avant Garde"/>
          <w:color w:val="000000"/>
          <w:sz w:val="16"/>
          <w:szCs w:val="16"/>
        </w:rPr>
      </w:pPr>
      <w:r w:rsidRPr="00772E7C">
        <w:rPr>
          <w:rFonts w:ascii="ITC Avant Garde" w:hAnsi="ITC Avant Garde"/>
          <w:color w:val="000000"/>
          <w:sz w:val="16"/>
          <w:szCs w:val="16"/>
        </w:rPr>
        <w:t>El presente Acuerdo fue aprobado por el Pleno del Instituto Federal de Telecomunicaciones en su XIV Sesión Ordinaria celebrada el 8 de julio de 2015, por unanimidad de votos de los Comisionados Gabriel Oswaldo Contreras Saldívar, Luis Fernando Borjón Figueroa,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P/IFT/080715/210.</w:t>
      </w:r>
    </w:p>
    <w:p w14:paraId="61371737" w14:textId="77777777" w:rsidR="00772E7C" w:rsidRPr="00772E7C" w:rsidRDefault="00772E7C" w:rsidP="00772E7C">
      <w:pPr>
        <w:jc w:val="both"/>
        <w:rPr>
          <w:color w:val="000000"/>
          <w:sz w:val="16"/>
          <w:szCs w:val="16"/>
        </w:rPr>
      </w:pPr>
    </w:p>
    <w:p w14:paraId="19828435" w14:textId="77777777" w:rsidR="00772E7C" w:rsidRPr="00772E7C" w:rsidRDefault="00772E7C" w:rsidP="00772E7C">
      <w:pPr>
        <w:jc w:val="both"/>
        <w:rPr>
          <w:rFonts w:ascii="ITC Avant Garde" w:hAnsi="ITC Avant Garde"/>
          <w:sz w:val="16"/>
          <w:szCs w:val="16"/>
        </w:rPr>
      </w:pPr>
      <w:r w:rsidRPr="00772E7C">
        <w:rPr>
          <w:rFonts w:ascii="ITC Avant Garde" w:hAnsi="ITC Avant Garde"/>
          <w:color w:val="000000"/>
          <w:sz w:val="16"/>
          <w:szCs w:val="16"/>
        </w:rPr>
        <w:t>El Comisionado Adolfo Cuevas Teja previendo su ausencia justificada a la sesión, emitió su voto razonado por escrito, de conformidad con el artículo 45 tercer párrafo de la Ley Federal de Telecomunicaciones y Radiodifusión.</w:t>
      </w:r>
    </w:p>
    <w:p w14:paraId="3BA673FC" w14:textId="77777777" w:rsidR="00772E7C" w:rsidRDefault="00772E7C" w:rsidP="00AE11F0">
      <w:pPr>
        <w:rPr>
          <w:rFonts w:ascii="ITC Avant Garde" w:hAnsi="ITC Avant Garde" w:cs="Tahoma"/>
          <w:b/>
          <w:bCs/>
          <w:color w:val="000000"/>
          <w:lang w:eastAsia="es-MX"/>
        </w:rPr>
      </w:pPr>
    </w:p>
    <w:p w14:paraId="7BE00451" w14:textId="77777777" w:rsidR="00772E7C" w:rsidRDefault="00772E7C" w:rsidP="00AE11F0">
      <w:pPr>
        <w:rPr>
          <w:rFonts w:ascii="ITC Avant Garde" w:hAnsi="ITC Avant Garde" w:cs="Tahoma"/>
          <w:b/>
          <w:bCs/>
          <w:color w:val="000000"/>
          <w:lang w:eastAsia="es-MX"/>
        </w:rPr>
      </w:pPr>
      <w:bookmarkStart w:id="0" w:name="_GoBack"/>
      <w:bookmarkEnd w:id="0"/>
    </w:p>
    <w:p w14:paraId="49339DC6" w14:textId="77777777" w:rsidR="00772E7C" w:rsidRPr="0086242B" w:rsidRDefault="00772E7C" w:rsidP="00AE11F0">
      <w:pPr>
        <w:rPr>
          <w:rFonts w:ascii="ITC Avant Garde" w:hAnsi="ITC Avant Garde" w:cs="Tahoma"/>
          <w:b/>
          <w:bCs/>
          <w:color w:val="000000"/>
          <w:lang w:eastAsia="es-MX"/>
        </w:rPr>
        <w:sectPr w:rsidR="00772E7C" w:rsidRPr="0086242B" w:rsidSect="00B74C4D">
          <w:footerReference w:type="default" r:id="rId8"/>
          <w:pgSz w:w="12240" w:h="15840"/>
          <w:pgMar w:top="2268" w:right="1418" w:bottom="1843" w:left="1418" w:header="709" w:footer="890" w:gutter="0"/>
          <w:pgNumType w:start="1"/>
          <w:cols w:space="708"/>
          <w:docGrid w:linePitch="360"/>
        </w:sectPr>
      </w:pPr>
    </w:p>
    <w:p w14:paraId="77400751" w14:textId="77777777" w:rsidR="006B595F" w:rsidRPr="0086242B" w:rsidRDefault="006B595F" w:rsidP="006B595F">
      <w:pPr>
        <w:jc w:val="center"/>
        <w:rPr>
          <w:rFonts w:ascii="ITC Avant Garde" w:hAnsi="ITC Avant Garde" w:cs="Tahoma"/>
          <w:b/>
          <w:bCs/>
          <w:color w:val="000000"/>
          <w:sz w:val="22"/>
          <w:szCs w:val="22"/>
          <w:lang w:eastAsia="es-MX"/>
        </w:rPr>
      </w:pPr>
      <w:r w:rsidRPr="0086242B">
        <w:rPr>
          <w:rFonts w:ascii="ITC Avant Garde" w:hAnsi="ITC Avant Garde" w:cs="Tahoma"/>
          <w:b/>
          <w:bCs/>
          <w:color w:val="000000"/>
          <w:sz w:val="22"/>
          <w:szCs w:val="22"/>
          <w:lang w:eastAsia="es-MX"/>
        </w:rPr>
        <w:t>ANEXO ÚNICO</w:t>
      </w:r>
    </w:p>
    <w:p w14:paraId="6E65AF60" w14:textId="77777777" w:rsidR="006B595F" w:rsidRPr="0086242B" w:rsidRDefault="006B595F" w:rsidP="006B595F">
      <w:pPr>
        <w:rPr>
          <w:rFonts w:ascii="ITC Avant Garde" w:hAnsi="ITC Avant Garde" w:cs="Tahoma"/>
          <w:b/>
          <w:bCs/>
          <w:color w:val="000000"/>
          <w:sz w:val="22"/>
          <w:szCs w:val="22"/>
          <w:lang w:eastAsia="es-MX"/>
        </w:rPr>
      </w:pPr>
    </w:p>
    <w:p w14:paraId="4E05E6F1" w14:textId="77777777" w:rsidR="006B595F" w:rsidRPr="0086242B" w:rsidRDefault="006B595F" w:rsidP="006B595F">
      <w:pPr>
        <w:jc w:val="center"/>
        <w:rPr>
          <w:rFonts w:ascii="ITC Avant Garde" w:hAnsi="ITC Avant Garde"/>
          <w:b/>
          <w:sz w:val="22"/>
          <w:szCs w:val="22"/>
        </w:rPr>
      </w:pPr>
    </w:p>
    <w:p w14:paraId="53798923" w14:textId="7E5415BF" w:rsidR="006B595F" w:rsidRPr="0086242B" w:rsidRDefault="006B595F" w:rsidP="006B595F">
      <w:pPr>
        <w:tabs>
          <w:tab w:val="left" w:pos="720"/>
          <w:tab w:val="left" w:pos="1134"/>
        </w:tabs>
        <w:spacing w:line="360" w:lineRule="auto"/>
        <w:jc w:val="both"/>
        <w:rPr>
          <w:rFonts w:ascii="ITC Avant Garde" w:hAnsi="ITC Avant Garde" w:cs="Tahoma"/>
          <w:b/>
          <w:bCs/>
          <w:color w:val="000000"/>
          <w:sz w:val="22"/>
          <w:szCs w:val="22"/>
          <w:lang w:eastAsia="es-MX"/>
        </w:rPr>
      </w:pPr>
      <w:r w:rsidRPr="0086242B">
        <w:rPr>
          <w:rFonts w:ascii="ITC Avant Garde" w:hAnsi="ITC Avant Garde" w:cs="Tahoma"/>
          <w:b/>
          <w:bCs/>
          <w:color w:val="000000"/>
          <w:sz w:val="22"/>
          <w:szCs w:val="22"/>
          <w:lang w:eastAsia="es-MX"/>
        </w:rPr>
        <w:t xml:space="preserve">DISPOSICIÓN TÉCNICA IFT-007-2015: MEDIDAS DE OPERACIÓN PARA EL CUMPLIMIENTO DE LOS LÍMITES DE EXPOSICIÓN MÁXIMA PARA SERES HUMANOS A </w:t>
      </w:r>
      <w:r w:rsidR="00F237B5" w:rsidRPr="0086242B">
        <w:rPr>
          <w:rFonts w:ascii="ITC Avant Garde" w:hAnsi="ITC Avant Garde"/>
          <w:b/>
          <w:color w:val="000000"/>
          <w:sz w:val="22"/>
          <w:szCs w:val="22"/>
        </w:rPr>
        <w:t xml:space="preserve">RADIACIONES </w:t>
      </w:r>
      <w:r w:rsidRPr="0086242B">
        <w:rPr>
          <w:rFonts w:ascii="ITC Avant Garde" w:hAnsi="ITC Avant Garde" w:cs="Tahoma"/>
          <w:b/>
          <w:bCs/>
          <w:color w:val="000000"/>
          <w:sz w:val="22"/>
          <w:szCs w:val="22"/>
          <w:lang w:eastAsia="es-MX"/>
        </w:rPr>
        <w:t>ELECTROMAGNÉTICAS DE RADIOFRECUENCIA NO IONIZANTES EN EL INTERVALO DE 100 kHz A 300 GHz EN EL ENTORNO DE EMISORES DE  RADIOCOMUNICACIONES.</w:t>
      </w:r>
    </w:p>
    <w:p w14:paraId="788ED888" w14:textId="77777777" w:rsidR="008C5E1B" w:rsidRPr="0086242B" w:rsidRDefault="008C5E1B" w:rsidP="006B595F">
      <w:pPr>
        <w:tabs>
          <w:tab w:val="left" w:pos="720"/>
          <w:tab w:val="left" w:pos="1134"/>
        </w:tabs>
        <w:spacing w:line="360" w:lineRule="auto"/>
        <w:jc w:val="both"/>
        <w:rPr>
          <w:rFonts w:ascii="ITC Avant Garde" w:hAnsi="ITC Avant Garde" w:cs="Tahoma"/>
          <w:b/>
          <w:bCs/>
          <w:color w:val="000000"/>
          <w:sz w:val="22"/>
          <w:szCs w:val="22"/>
          <w:lang w:eastAsia="es-MX"/>
        </w:rPr>
      </w:pPr>
    </w:p>
    <w:p w14:paraId="1B15CAED" w14:textId="77777777" w:rsidR="008C5E1B" w:rsidRPr="0086242B" w:rsidRDefault="008C5E1B" w:rsidP="0086242B">
      <w:pPr>
        <w:tabs>
          <w:tab w:val="left" w:pos="720"/>
          <w:tab w:val="left" w:pos="1134"/>
        </w:tabs>
        <w:spacing w:line="360" w:lineRule="auto"/>
        <w:jc w:val="center"/>
        <w:rPr>
          <w:rFonts w:ascii="ITC Avant Garde" w:hAnsi="ITC Avant Garde" w:cs="Tahoma"/>
          <w:b/>
          <w:bCs/>
          <w:color w:val="000000"/>
          <w:sz w:val="22"/>
          <w:szCs w:val="22"/>
          <w:lang w:eastAsia="es-MX"/>
        </w:rPr>
      </w:pPr>
      <w:r w:rsidRPr="0086242B">
        <w:rPr>
          <w:rFonts w:ascii="ITC Avant Garde" w:hAnsi="ITC Avant Garde" w:cs="Tahoma"/>
          <w:b/>
          <w:bCs/>
          <w:color w:val="000000"/>
          <w:sz w:val="22"/>
          <w:szCs w:val="22"/>
          <w:lang w:eastAsia="es-MX"/>
        </w:rPr>
        <w:t>CONSIDERACIONES PRELIMINARES</w:t>
      </w:r>
    </w:p>
    <w:p w14:paraId="2E16A0C5" w14:textId="5DB0F9B4" w:rsidR="00CD0041" w:rsidRPr="00F02808" w:rsidRDefault="00B37B65" w:rsidP="00CD0041">
      <w:pPr>
        <w:tabs>
          <w:tab w:val="left" w:pos="720"/>
          <w:tab w:val="left" w:pos="1134"/>
        </w:tabs>
        <w:spacing w:line="360" w:lineRule="auto"/>
        <w:jc w:val="both"/>
        <w:rPr>
          <w:rFonts w:ascii="ITC Avant Garde" w:hAnsi="ITC Avant Garde" w:cs="Tahoma"/>
          <w:bCs/>
          <w:color w:val="000000"/>
          <w:sz w:val="20"/>
          <w:szCs w:val="20"/>
          <w:lang w:eastAsia="es-MX"/>
        </w:rPr>
      </w:pPr>
      <w:r>
        <w:rPr>
          <w:rFonts w:ascii="ITC Avant Garde" w:hAnsi="ITC Avant Garde" w:cs="Tahoma"/>
          <w:bCs/>
          <w:color w:val="000000"/>
          <w:sz w:val="20"/>
          <w:szCs w:val="20"/>
          <w:lang w:eastAsia="es-MX"/>
        </w:rPr>
        <w:t>Derivado del</w:t>
      </w:r>
      <w:r w:rsidRPr="00F02808">
        <w:rPr>
          <w:rFonts w:ascii="ITC Avant Garde" w:hAnsi="ITC Avant Garde" w:cs="Tahoma"/>
          <w:bCs/>
          <w:color w:val="000000"/>
          <w:sz w:val="20"/>
          <w:szCs w:val="20"/>
          <w:lang w:eastAsia="es-MX"/>
        </w:rPr>
        <w:t xml:space="preserve"> </w:t>
      </w:r>
      <w:r w:rsidR="00CD0041" w:rsidRPr="00F02808">
        <w:rPr>
          <w:rFonts w:ascii="ITC Avant Garde" w:hAnsi="ITC Avant Garde" w:cs="Tahoma"/>
          <w:bCs/>
          <w:color w:val="000000"/>
          <w:sz w:val="20"/>
          <w:szCs w:val="20"/>
          <w:lang w:eastAsia="es-MX"/>
        </w:rPr>
        <w:t>rápido crecimiento de los servicios de telecomunicaciones y de</w:t>
      </w:r>
      <w:r w:rsidR="00F237B5">
        <w:rPr>
          <w:rFonts w:ascii="ITC Avant Garde" w:hAnsi="ITC Avant Garde" w:cs="Tahoma"/>
          <w:bCs/>
          <w:color w:val="000000"/>
          <w:sz w:val="20"/>
          <w:szCs w:val="20"/>
          <w:lang w:eastAsia="es-MX"/>
        </w:rPr>
        <w:t xml:space="preserve"> </w:t>
      </w:r>
      <w:proofErr w:type="gramStart"/>
      <w:r w:rsidR="00F237B5">
        <w:rPr>
          <w:rFonts w:ascii="ITC Avant Garde" w:hAnsi="ITC Avant Garde" w:cs="Tahoma"/>
          <w:bCs/>
          <w:color w:val="000000"/>
          <w:sz w:val="20"/>
          <w:szCs w:val="20"/>
          <w:lang w:eastAsia="es-MX"/>
        </w:rPr>
        <w:t xml:space="preserve">la </w:t>
      </w:r>
      <w:r w:rsidR="00CD0041" w:rsidRPr="00F02808">
        <w:rPr>
          <w:rFonts w:ascii="ITC Avant Garde" w:hAnsi="ITC Avant Garde" w:cs="Tahoma"/>
          <w:bCs/>
          <w:color w:val="000000"/>
          <w:sz w:val="20"/>
          <w:szCs w:val="20"/>
          <w:lang w:eastAsia="es-MX"/>
        </w:rPr>
        <w:t xml:space="preserve"> radiodifusión</w:t>
      </w:r>
      <w:proofErr w:type="gramEnd"/>
      <w:r w:rsidR="00CD0041" w:rsidRPr="00F02808">
        <w:rPr>
          <w:rFonts w:ascii="ITC Avant Garde" w:hAnsi="ITC Avant Garde" w:cs="Tahoma"/>
          <w:bCs/>
          <w:color w:val="000000"/>
          <w:sz w:val="20"/>
          <w:szCs w:val="20"/>
          <w:lang w:eastAsia="es-MX"/>
        </w:rPr>
        <w:t xml:space="preserve"> en el país, </w:t>
      </w:r>
      <w:r>
        <w:rPr>
          <w:rFonts w:ascii="ITC Avant Garde" w:hAnsi="ITC Avant Garde" w:cs="Tahoma"/>
          <w:bCs/>
          <w:color w:val="000000"/>
          <w:sz w:val="20"/>
          <w:szCs w:val="20"/>
          <w:lang w:eastAsia="es-MX"/>
        </w:rPr>
        <w:t xml:space="preserve">se </w:t>
      </w:r>
      <w:r w:rsidR="001A204C">
        <w:rPr>
          <w:rFonts w:ascii="ITC Avant Garde" w:hAnsi="ITC Avant Garde" w:cs="Tahoma"/>
          <w:bCs/>
          <w:color w:val="000000"/>
          <w:sz w:val="20"/>
          <w:szCs w:val="20"/>
          <w:lang w:eastAsia="es-MX"/>
        </w:rPr>
        <w:t>ha</w:t>
      </w:r>
      <w:r w:rsidR="00CD0041" w:rsidRPr="00F02808">
        <w:rPr>
          <w:rFonts w:ascii="ITC Avant Garde" w:hAnsi="ITC Avant Garde" w:cs="Tahoma"/>
          <w:bCs/>
          <w:color w:val="000000"/>
          <w:sz w:val="20"/>
          <w:szCs w:val="20"/>
          <w:lang w:eastAsia="es-MX"/>
        </w:rPr>
        <w:t xml:space="preserve"> </w:t>
      </w:r>
      <w:r w:rsidR="001A204C">
        <w:rPr>
          <w:rFonts w:ascii="ITC Avant Garde" w:hAnsi="ITC Avant Garde" w:cs="Tahoma"/>
          <w:bCs/>
          <w:color w:val="000000"/>
          <w:sz w:val="20"/>
          <w:szCs w:val="20"/>
          <w:lang w:eastAsia="es-MX"/>
        </w:rPr>
        <w:t>llevado a cabo</w:t>
      </w:r>
      <w:r w:rsidR="001A204C" w:rsidRPr="00F02808">
        <w:rPr>
          <w:rFonts w:ascii="ITC Avant Garde" w:hAnsi="ITC Avant Garde" w:cs="Tahoma"/>
          <w:bCs/>
          <w:color w:val="000000"/>
          <w:sz w:val="20"/>
          <w:szCs w:val="20"/>
          <w:lang w:eastAsia="es-MX"/>
        </w:rPr>
        <w:t xml:space="preserve"> </w:t>
      </w:r>
      <w:r w:rsidR="00CD0041" w:rsidRPr="00F02808">
        <w:rPr>
          <w:rFonts w:ascii="ITC Avant Garde" w:hAnsi="ITC Avant Garde" w:cs="Tahoma"/>
          <w:bCs/>
          <w:color w:val="000000"/>
          <w:sz w:val="20"/>
          <w:szCs w:val="20"/>
          <w:lang w:eastAsia="es-MX"/>
        </w:rPr>
        <w:t>con igual celeridad el despliegue de instalaciones y equipos</w:t>
      </w:r>
      <w:r>
        <w:rPr>
          <w:rFonts w:ascii="ITC Avant Garde" w:hAnsi="ITC Avant Garde" w:cs="Tahoma"/>
          <w:bCs/>
          <w:color w:val="000000"/>
          <w:sz w:val="20"/>
          <w:szCs w:val="20"/>
          <w:lang w:eastAsia="es-MX"/>
        </w:rPr>
        <w:t xml:space="preserve"> de telecomunicaciones</w:t>
      </w:r>
      <w:r w:rsidR="00CD0041" w:rsidRPr="00F02808">
        <w:rPr>
          <w:rFonts w:ascii="ITC Avant Garde" w:hAnsi="ITC Avant Garde" w:cs="Tahoma"/>
          <w:bCs/>
          <w:color w:val="000000"/>
          <w:sz w:val="20"/>
          <w:szCs w:val="20"/>
          <w:lang w:eastAsia="es-MX"/>
        </w:rPr>
        <w:t xml:space="preserve"> </w:t>
      </w:r>
      <w:r w:rsidR="00F237B5">
        <w:rPr>
          <w:rFonts w:ascii="ITC Avant Garde" w:hAnsi="ITC Avant Garde" w:cs="Tahoma"/>
          <w:bCs/>
          <w:color w:val="000000"/>
          <w:sz w:val="20"/>
          <w:szCs w:val="20"/>
          <w:lang w:eastAsia="es-MX"/>
        </w:rPr>
        <w:t xml:space="preserve">y radiodifusión </w:t>
      </w:r>
      <w:r w:rsidR="00CD0041" w:rsidRPr="00F02808">
        <w:rPr>
          <w:rFonts w:ascii="ITC Avant Garde" w:hAnsi="ITC Avant Garde" w:cs="Tahoma"/>
          <w:bCs/>
          <w:color w:val="000000"/>
          <w:sz w:val="20"/>
          <w:szCs w:val="20"/>
          <w:lang w:eastAsia="es-MX"/>
        </w:rPr>
        <w:t>en todo el territorio nacional</w:t>
      </w:r>
      <w:r w:rsidR="005F393C">
        <w:rPr>
          <w:rFonts w:ascii="ITC Avant Garde" w:hAnsi="ITC Avant Garde" w:cs="Tahoma"/>
          <w:bCs/>
          <w:color w:val="000000"/>
          <w:sz w:val="20"/>
          <w:szCs w:val="20"/>
          <w:lang w:eastAsia="es-MX"/>
        </w:rPr>
        <w:t>. E</w:t>
      </w:r>
      <w:r w:rsidR="00CD0041" w:rsidRPr="00F02808">
        <w:rPr>
          <w:rFonts w:ascii="ITC Avant Garde" w:hAnsi="ITC Avant Garde" w:cs="Tahoma"/>
          <w:bCs/>
          <w:color w:val="000000"/>
          <w:sz w:val="20"/>
          <w:szCs w:val="20"/>
          <w:lang w:eastAsia="es-MX"/>
        </w:rPr>
        <w:t xml:space="preserve">ste desarrollo tecnológico </w:t>
      </w:r>
      <w:r w:rsidR="005F393C">
        <w:rPr>
          <w:rFonts w:ascii="ITC Avant Garde" w:hAnsi="ITC Avant Garde" w:cs="Tahoma"/>
          <w:bCs/>
          <w:color w:val="000000"/>
          <w:sz w:val="20"/>
          <w:szCs w:val="20"/>
          <w:lang w:eastAsia="es-MX"/>
        </w:rPr>
        <w:t>conlleva a</w:t>
      </w:r>
      <w:r w:rsidR="005F393C" w:rsidRPr="00F02808">
        <w:rPr>
          <w:rFonts w:ascii="ITC Avant Garde" w:hAnsi="ITC Avant Garde" w:cs="Tahoma"/>
          <w:bCs/>
          <w:color w:val="000000"/>
          <w:sz w:val="20"/>
          <w:szCs w:val="20"/>
          <w:lang w:eastAsia="es-MX"/>
        </w:rPr>
        <w:t xml:space="preserve"> </w:t>
      </w:r>
      <w:r w:rsidR="005F393C">
        <w:rPr>
          <w:rFonts w:ascii="ITC Avant Garde" w:hAnsi="ITC Avant Garde" w:cs="Tahoma"/>
          <w:bCs/>
          <w:color w:val="000000"/>
          <w:sz w:val="20"/>
          <w:szCs w:val="20"/>
          <w:lang w:eastAsia="es-MX"/>
        </w:rPr>
        <w:t xml:space="preserve">la </w:t>
      </w:r>
      <w:r w:rsidR="005F393C" w:rsidRPr="00F02808">
        <w:rPr>
          <w:rFonts w:ascii="ITC Avant Garde" w:hAnsi="ITC Avant Garde" w:cs="Tahoma"/>
          <w:bCs/>
          <w:color w:val="000000"/>
          <w:sz w:val="20"/>
          <w:szCs w:val="20"/>
          <w:lang w:eastAsia="es-MX"/>
        </w:rPr>
        <w:t>incorpora</w:t>
      </w:r>
      <w:r w:rsidR="005F393C">
        <w:rPr>
          <w:rFonts w:ascii="ITC Avant Garde" w:hAnsi="ITC Avant Garde" w:cs="Tahoma"/>
          <w:bCs/>
          <w:color w:val="000000"/>
          <w:sz w:val="20"/>
          <w:szCs w:val="20"/>
          <w:lang w:eastAsia="es-MX"/>
        </w:rPr>
        <w:t>ción</w:t>
      </w:r>
      <w:r w:rsidR="00CD0041" w:rsidRPr="00F02808">
        <w:rPr>
          <w:rFonts w:ascii="ITC Avant Garde" w:hAnsi="ITC Avant Garde" w:cs="Tahoma"/>
          <w:bCs/>
          <w:color w:val="000000"/>
          <w:sz w:val="20"/>
          <w:szCs w:val="20"/>
          <w:lang w:eastAsia="es-MX"/>
        </w:rPr>
        <w:t xml:space="preserve"> </w:t>
      </w:r>
      <w:r w:rsidR="005F393C">
        <w:rPr>
          <w:rFonts w:ascii="ITC Avant Garde" w:hAnsi="ITC Avant Garde" w:cs="Tahoma"/>
          <w:bCs/>
          <w:color w:val="000000"/>
          <w:sz w:val="20"/>
          <w:szCs w:val="20"/>
          <w:lang w:eastAsia="es-MX"/>
        </w:rPr>
        <w:t xml:space="preserve">de </w:t>
      </w:r>
      <w:r w:rsidR="00CD0041" w:rsidRPr="00F02808">
        <w:rPr>
          <w:rFonts w:ascii="ITC Avant Garde" w:hAnsi="ITC Avant Garde" w:cs="Tahoma"/>
          <w:bCs/>
          <w:color w:val="000000"/>
          <w:sz w:val="20"/>
          <w:szCs w:val="20"/>
          <w:lang w:eastAsia="es-MX"/>
        </w:rPr>
        <w:t xml:space="preserve">energía electromagnética (radiaciones no ionizantes) al medio ambiente que rodea al ser humano. </w:t>
      </w:r>
    </w:p>
    <w:p w14:paraId="352261A9" w14:textId="77777777" w:rsidR="008C5E1B" w:rsidRPr="0086242B" w:rsidRDefault="008C5E1B" w:rsidP="0086242B">
      <w:pPr>
        <w:tabs>
          <w:tab w:val="left" w:pos="720"/>
          <w:tab w:val="left" w:pos="1134"/>
        </w:tabs>
        <w:spacing w:line="360" w:lineRule="auto"/>
        <w:jc w:val="both"/>
        <w:rPr>
          <w:rFonts w:ascii="ITC Avant Garde" w:hAnsi="ITC Avant Garde" w:cs="Tahoma"/>
          <w:bCs/>
          <w:color w:val="000000"/>
          <w:sz w:val="20"/>
          <w:szCs w:val="20"/>
          <w:lang w:eastAsia="es-MX"/>
        </w:rPr>
      </w:pPr>
    </w:p>
    <w:p w14:paraId="03095DCD" w14:textId="77777777" w:rsidR="008C5E1B" w:rsidRPr="0086242B" w:rsidRDefault="008C5E1B" w:rsidP="006B595F">
      <w:pPr>
        <w:tabs>
          <w:tab w:val="left" w:pos="720"/>
          <w:tab w:val="left" w:pos="1134"/>
        </w:tabs>
        <w:spacing w:line="360" w:lineRule="auto"/>
        <w:jc w:val="both"/>
        <w:rPr>
          <w:rFonts w:ascii="ITC Avant Garde" w:hAnsi="ITC Avant Garde" w:cs="Tahoma"/>
          <w:b/>
          <w:bCs/>
          <w:color w:val="000000"/>
          <w:sz w:val="22"/>
          <w:szCs w:val="22"/>
          <w:lang w:eastAsia="es-MX"/>
        </w:rPr>
      </w:pPr>
    </w:p>
    <w:p w14:paraId="196026F1" w14:textId="6505FECC" w:rsidR="00E45A96" w:rsidRPr="0086242B" w:rsidRDefault="00E45A96" w:rsidP="00E45A96">
      <w:pPr>
        <w:tabs>
          <w:tab w:val="left" w:pos="720"/>
          <w:tab w:val="left" w:pos="1134"/>
        </w:tabs>
        <w:spacing w:line="360" w:lineRule="auto"/>
        <w:jc w:val="both"/>
        <w:rPr>
          <w:rFonts w:ascii="ITC Avant Garde" w:hAnsi="ITC Avant Garde" w:cs="Tahoma"/>
          <w:bCs/>
          <w:color w:val="000000"/>
          <w:sz w:val="20"/>
          <w:szCs w:val="20"/>
          <w:lang w:eastAsia="es-MX"/>
        </w:rPr>
      </w:pPr>
      <w:r w:rsidRPr="0086242B">
        <w:rPr>
          <w:rFonts w:ascii="ITC Avant Garde" w:hAnsi="ITC Avant Garde" w:cs="Tahoma"/>
          <w:bCs/>
          <w:color w:val="000000"/>
          <w:sz w:val="20"/>
          <w:szCs w:val="20"/>
          <w:lang w:eastAsia="es-MX"/>
        </w:rPr>
        <w:t xml:space="preserve"> </w:t>
      </w:r>
      <w:r w:rsidR="00F237B5">
        <w:rPr>
          <w:rFonts w:ascii="ITC Avant Garde" w:hAnsi="ITC Avant Garde" w:cs="Tahoma"/>
          <w:bCs/>
          <w:color w:val="000000"/>
          <w:sz w:val="20"/>
          <w:szCs w:val="20"/>
          <w:lang w:eastAsia="es-MX"/>
        </w:rPr>
        <w:t>E</w:t>
      </w:r>
      <w:r w:rsidRPr="0086242B">
        <w:rPr>
          <w:rFonts w:ascii="ITC Avant Garde" w:hAnsi="ITC Avant Garde" w:cs="Tahoma"/>
          <w:bCs/>
          <w:color w:val="000000"/>
          <w:sz w:val="20"/>
          <w:szCs w:val="20"/>
          <w:lang w:eastAsia="es-MX"/>
        </w:rPr>
        <w:t xml:space="preserve">l presente Anteproyecto de Disposición Técnica coadyuvaría al establecimiento de límites de exposición máxima para seres humanos cercanos a emisores de radiaciones electromagnéticas de radiofrecuencia no ionizantes, así como a los métodos de prueba requeridos para evaluar su cumplimiento en el intervalo de frecuencias de 100 kHz a 300 GHz; así como que los equipos terminales de radiocomunicaciones utilizados cerca del oído no excedan los límites básicos de exposición máxima, particularmente los valores del índice de absorción específica (SAR, por sus siglas en inglés) establecidos en la presente Disposición Técnica.  </w:t>
      </w:r>
    </w:p>
    <w:p w14:paraId="18C29823" w14:textId="77777777" w:rsidR="004549E6" w:rsidRPr="0086242B" w:rsidRDefault="004549E6" w:rsidP="006B595F">
      <w:pPr>
        <w:tabs>
          <w:tab w:val="left" w:pos="720"/>
          <w:tab w:val="left" w:pos="1134"/>
        </w:tabs>
        <w:spacing w:line="360" w:lineRule="auto"/>
        <w:jc w:val="both"/>
        <w:rPr>
          <w:rFonts w:ascii="ITC Avant Garde" w:hAnsi="ITC Avant Garde" w:cs="Tahoma"/>
          <w:bCs/>
          <w:color w:val="000000"/>
          <w:sz w:val="20"/>
          <w:szCs w:val="20"/>
          <w:lang w:eastAsia="es-MX"/>
        </w:rPr>
      </w:pPr>
    </w:p>
    <w:p w14:paraId="7C53441D" w14:textId="77777777" w:rsidR="00936D4A" w:rsidRPr="0086242B" w:rsidRDefault="00936D4A" w:rsidP="00270823">
      <w:pPr>
        <w:tabs>
          <w:tab w:val="left" w:pos="720"/>
          <w:tab w:val="left" w:pos="1134"/>
        </w:tabs>
        <w:spacing w:line="360" w:lineRule="auto"/>
        <w:jc w:val="both"/>
        <w:rPr>
          <w:rFonts w:ascii="ITC Avant Garde" w:hAnsi="ITC Avant Garde" w:cs="Tahoma"/>
          <w:bCs/>
          <w:color w:val="000000"/>
          <w:sz w:val="20"/>
          <w:szCs w:val="20"/>
          <w:lang w:eastAsia="es-MX"/>
        </w:rPr>
      </w:pPr>
    </w:p>
    <w:p w14:paraId="2168FEBA" w14:textId="77777777" w:rsidR="00270823" w:rsidRPr="0086242B" w:rsidRDefault="00244494" w:rsidP="00270823">
      <w:pPr>
        <w:tabs>
          <w:tab w:val="left" w:pos="720"/>
          <w:tab w:val="left" w:pos="1134"/>
        </w:tabs>
        <w:spacing w:line="360" w:lineRule="auto"/>
        <w:jc w:val="both"/>
        <w:rPr>
          <w:rFonts w:ascii="ITC Avant Garde" w:hAnsi="ITC Avant Garde" w:cs="Tahoma"/>
          <w:bCs/>
          <w:color w:val="000000"/>
          <w:sz w:val="20"/>
          <w:szCs w:val="20"/>
          <w:lang w:eastAsia="es-MX"/>
        </w:rPr>
      </w:pPr>
      <w:r w:rsidRPr="0086242B">
        <w:rPr>
          <w:rFonts w:ascii="ITC Avant Garde" w:hAnsi="ITC Avant Garde" w:cs="Tahoma"/>
          <w:bCs/>
          <w:color w:val="000000"/>
          <w:sz w:val="20"/>
          <w:szCs w:val="20"/>
          <w:lang w:eastAsia="es-MX"/>
        </w:rPr>
        <w:t>En el caso de</w:t>
      </w:r>
      <w:r w:rsidR="00270823" w:rsidRPr="0086242B">
        <w:rPr>
          <w:rFonts w:ascii="ITC Avant Garde" w:hAnsi="ITC Avant Garde" w:cs="Tahoma"/>
          <w:bCs/>
          <w:color w:val="000000"/>
          <w:sz w:val="20"/>
          <w:szCs w:val="20"/>
          <w:lang w:eastAsia="es-MX"/>
        </w:rPr>
        <w:t xml:space="preserve"> la emisión y entrada en vigor de</w:t>
      </w:r>
      <w:r w:rsidR="00936D4A" w:rsidRPr="0086242B">
        <w:rPr>
          <w:rFonts w:ascii="ITC Avant Garde" w:hAnsi="ITC Avant Garde" w:cs="Tahoma"/>
          <w:bCs/>
          <w:color w:val="000000"/>
          <w:sz w:val="20"/>
          <w:szCs w:val="20"/>
          <w:lang w:eastAsia="es-MX"/>
        </w:rPr>
        <w:t xml:space="preserve">l presente anteproyecto </w:t>
      </w:r>
      <w:r w:rsidR="00270823" w:rsidRPr="0086242B">
        <w:rPr>
          <w:rFonts w:ascii="ITC Avant Garde" w:hAnsi="ITC Avant Garde" w:cs="Tahoma"/>
          <w:bCs/>
          <w:color w:val="000000"/>
          <w:sz w:val="20"/>
          <w:szCs w:val="20"/>
          <w:lang w:eastAsia="es-MX"/>
        </w:rPr>
        <w:t xml:space="preserve">Disposición </w:t>
      </w:r>
      <w:proofErr w:type="gramStart"/>
      <w:r w:rsidR="00270823" w:rsidRPr="0086242B">
        <w:rPr>
          <w:rFonts w:ascii="ITC Avant Garde" w:hAnsi="ITC Avant Garde" w:cs="Tahoma"/>
          <w:bCs/>
          <w:color w:val="000000"/>
          <w:sz w:val="20"/>
          <w:szCs w:val="20"/>
          <w:lang w:eastAsia="es-MX"/>
        </w:rPr>
        <w:t>Técnica  se</w:t>
      </w:r>
      <w:proofErr w:type="gramEnd"/>
      <w:r w:rsidR="00270823" w:rsidRPr="0086242B">
        <w:rPr>
          <w:rFonts w:ascii="ITC Avant Garde" w:hAnsi="ITC Avant Garde" w:cs="Tahoma"/>
          <w:bCs/>
          <w:color w:val="000000"/>
          <w:sz w:val="20"/>
          <w:szCs w:val="20"/>
          <w:lang w:eastAsia="es-MX"/>
        </w:rPr>
        <w:t xml:space="preserve"> alcanzarían los siguientes objetivos:</w:t>
      </w:r>
    </w:p>
    <w:p w14:paraId="5400F884" w14:textId="77777777" w:rsidR="00270823" w:rsidRPr="0086242B" w:rsidRDefault="00270823" w:rsidP="00270823">
      <w:pPr>
        <w:tabs>
          <w:tab w:val="left" w:pos="720"/>
          <w:tab w:val="left" w:pos="1134"/>
        </w:tabs>
        <w:spacing w:line="360" w:lineRule="auto"/>
        <w:jc w:val="both"/>
        <w:rPr>
          <w:rFonts w:ascii="ITC Avant Garde" w:hAnsi="ITC Avant Garde" w:cs="Tahoma"/>
          <w:bCs/>
          <w:color w:val="000000"/>
          <w:sz w:val="20"/>
          <w:szCs w:val="20"/>
          <w:lang w:eastAsia="es-MX"/>
        </w:rPr>
      </w:pPr>
    </w:p>
    <w:p w14:paraId="444ABCB7" w14:textId="77777777" w:rsidR="00270823" w:rsidRPr="0086242B" w:rsidRDefault="00270823" w:rsidP="00F237B5">
      <w:pPr>
        <w:tabs>
          <w:tab w:val="left" w:pos="1134"/>
        </w:tabs>
        <w:spacing w:line="360" w:lineRule="auto"/>
        <w:ind w:left="426" w:hanging="426"/>
        <w:jc w:val="both"/>
        <w:rPr>
          <w:rFonts w:ascii="ITC Avant Garde" w:hAnsi="ITC Avant Garde" w:cs="Tahoma"/>
          <w:bCs/>
          <w:color w:val="000000"/>
          <w:sz w:val="20"/>
          <w:szCs w:val="20"/>
          <w:lang w:eastAsia="es-MX"/>
        </w:rPr>
      </w:pPr>
      <w:r w:rsidRPr="0086242B">
        <w:rPr>
          <w:rFonts w:ascii="ITC Avant Garde" w:hAnsi="ITC Avant Garde" w:cs="Tahoma"/>
          <w:bCs/>
          <w:color w:val="000000"/>
          <w:sz w:val="20"/>
          <w:szCs w:val="20"/>
          <w:lang w:eastAsia="es-MX"/>
        </w:rPr>
        <w:t>a)</w:t>
      </w:r>
      <w:r w:rsidRPr="0086242B">
        <w:rPr>
          <w:rFonts w:ascii="ITC Avant Garde" w:hAnsi="ITC Avant Garde" w:cs="Tahoma"/>
          <w:bCs/>
          <w:color w:val="000000"/>
          <w:sz w:val="20"/>
          <w:szCs w:val="20"/>
          <w:lang w:eastAsia="es-MX"/>
        </w:rPr>
        <w:tab/>
        <w:t xml:space="preserve">Establecer los límites máximos de exposición para seres humanos cercanos a emisores de </w:t>
      </w:r>
      <w:r w:rsidR="005B7654" w:rsidRPr="0086242B">
        <w:rPr>
          <w:rFonts w:ascii="ITC Avant Garde" w:hAnsi="ITC Avant Garde" w:cs="Tahoma"/>
          <w:bCs/>
          <w:color w:val="000000"/>
          <w:sz w:val="20"/>
          <w:szCs w:val="20"/>
          <w:lang w:eastAsia="es-MX"/>
        </w:rPr>
        <w:t>radiaciones electromagnéticas de radiofrecuencia no ionizantes</w:t>
      </w:r>
      <w:r w:rsidRPr="0086242B">
        <w:rPr>
          <w:rFonts w:ascii="ITC Avant Garde" w:hAnsi="ITC Avant Garde" w:cs="Tahoma"/>
          <w:bCs/>
          <w:color w:val="000000"/>
          <w:sz w:val="20"/>
          <w:szCs w:val="20"/>
          <w:lang w:eastAsia="es-MX"/>
        </w:rPr>
        <w:t xml:space="preserve">, </w:t>
      </w:r>
    </w:p>
    <w:p w14:paraId="02368D61" w14:textId="77777777" w:rsidR="00936D4A" w:rsidRPr="0086242B" w:rsidRDefault="00936D4A" w:rsidP="00F237B5">
      <w:pPr>
        <w:tabs>
          <w:tab w:val="left" w:pos="1134"/>
        </w:tabs>
        <w:spacing w:line="360" w:lineRule="auto"/>
        <w:ind w:left="426" w:hanging="426"/>
        <w:jc w:val="both"/>
        <w:rPr>
          <w:rFonts w:ascii="ITC Avant Garde" w:hAnsi="ITC Avant Garde" w:cs="Tahoma"/>
          <w:bCs/>
          <w:color w:val="000000"/>
          <w:sz w:val="20"/>
          <w:szCs w:val="20"/>
          <w:lang w:eastAsia="es-MX"/>
        </w:rPr>
      </w:pPr>
    </w:p>
    <w:p w14:paraId="01DA6E00" w14:textId="77777777" w:rsidR="00270823" w:rsidRPr="0086242B" w:rsidRDefault="00270823" w:rsidP="00F237B5">
      <w:pPr>
        <w:tabs>
          <w:tab w:val="left" w:pos="1134"/>
        </w:tabs>
        <w:spacing w:line="360" w:lineRule="auto"/>
        <w:ind w:left="426" w:hanging="426"/>
        <w:jc w:val="both"/>
        <w:rPr>
          <w:rFonts w:ascii="ITC Avant Garde" w:hAnsi="ITC Avant Garde" w:cs="Tahoma"/>
          <w:bCs/>
          <w:color w:val="000000"/>
          <w:sz w:val="20"/>
          <w:szCs w:val="20"/>
          <w:lang w:eastAsia="es-MX"/>
        </w:rPr>
      </w:pPr>
      <w:r w:rsidRPr="0086242B">
        <w:rPr>
          <w:rFonts w:ascii="ITC Avant Garde" w:hAnsi="ITC Avant Garde" w:cs="Tahoma"/>
          <w:bCs/>
          <w:color w:val="000000"/>
          <w:sz w:val="20"/>
          <w:szCs w:val="20"/>
          <w:lang w:eastAsia="es-MX"/>
        </w:rPr>
        <w:t>b)</w:t>
      </w:r>
      <w:r w:rsidRPr="0086242B">
        <w:rPr>
          <w:rFonts w:ascii="ITC Avant Garde" w:hAnsi="ITC Avant Garde" w:cs="Tahoma"/>
          <w:bCs/>
          <w:color w:val="000000"/>
          <w:sz w:val="20"/>
          <w:szCs w:val="20"/>
          <w:lang w:eastAsia="es-MX"/>
        </w:rPr>
        <w:tab/>
        <w:t>Establecer los métodos de prueba requeridos para evaluar la conformidad de los límites a los cuales se encuentra expuesta la población a esos campos electromagnéticos.</w:t>
      </w:r>
    </w:p>
    <w:p w14:paraId="33BAAC7A" w14:textId="77777777" w:rsidR="00270823" w:rsidRPr="0086242B" w:rsidRDefault="00270823" w:rsidP="00270823">
      <w:pPr>
        <w:tabs>
          <w:tab w:val="left" w:pos="720"/>
          <w:tab w:val="left" w:pos="1134"/>
        </w:tabs>
        <w:spacing w:line="360" w:lineRule="auto"/>
        <w:jc w:val="both"/>
        <w:rPr>
          <w:rFonts w:ascii="ITC Avant Garde" w:hAnsi="ITC Avant Garde" w:cs="Tahoma"/>
          <w:bCs/>
          <w:color w:val="000000"/>
          <w:sz w:val="20"/>
          <w:szCs w:val="20"/>
          <w:lang w:eastAsia="es-MX"/>
        </w:rPr>
      </w:pPr>
    </w:p>
    <w:p w14:paraId="1B7790D2" w14:textId="77777777" w:rsidR="00270823" w:rsidRPr="0086242B" w:rsidRDefault="00270823" w:rsidP="00270823">
      <w:pPr>
        <w:tabs>
          <w:tab w:val="left" w:pos="720"/>
          <w:tab w:val="left" w:pos="1134"/>
        </w:tabs>
        <w:spacing w:line="360" w:lineRule="auto"/>
        <w:jc w:val="both"/>
        <w:rPr>
          <w:rFonts w:ascii="ITC Avant Garde" w:hAnsi="ITC Avant Garde" w:cs="Tahoma"/>
          <w:bCs/>
          <w:color w:val="000000"/>
          <w:sz w:val="20"/>
          <w:szCs w:val="20"/>
          <w:lang w:eastAsia="es-MX"/>
        </w:rPr>
      </w:pPr>
    </w:p>
    <w:p w14:paraId="54FB8594" w14:textId="77777777" w:rsidR="00270823" w:rsidRPr="0086242B" w:rsidRDefault="005B7654" w:rsidP="00270823">
      <w:pPr>
        <w:tabs>
          <w:tab w:val="left" w:pos="720"/>
          <w:tab w:val="left" w:pos="1134"/>
        </w:tabs>
        <w:spacing w:line="360" w:lineRule="auto"/>
        <w:jc w:val="both"/>
        <w:rPr>
          <w:rFonts w:ascii="ITC Avant Garde" w:hAnsi="ITC Avant Garde" w:cs="Tahoma"/>
          <w:bCs/>
          <w:color w:val="000000"/>
          <w:sz w:val="20"/>
          <w:szCs w:val="20"/>
          <w:lang w:eastAsia="es-MX"/>
        </w:rPr>
      </w:pPr>
      <w:r w:rsidRPr="0086242B">
        <w:rPr>
          <w:rFonts w:ascii="ITC Avant Garde" w:hAnsi="ITC Avant Garde" w:cs="Tahoma"/>
          <w:bCs/>
          <w:color w:val="000000"/>
          <w:sz w:val="20"/>
          <w:szCs w:val="20"/>
          <w:lang w:eastAsia="es-MX"/>
        </w:rPr>
        <w:t>A su vez, e</w:t>
      </w:r>
      <w:r w:rsidR="00270823" w:rsidRPr="0086242B">
        <w:rPr>
          <w:rFonts w:ascii="ITC Avant Garde" w:hAnsi="ITC Avant Garde" w:cs="Tahoma"/>
          <w:bCs/>
          <w:color w:val="000000"/>
          <w:sz w:val="20"/>
          <w:szCs w:val="20"/>
          <w:lang w:eastAsia="es-MX"/>
        </w:rPr>
        <w:t>n el caso de la entrada en vigor de</w:t>
      </w:r>
      <w:r w:rsidRPr="0086242B">
        <w:rPr>
          <w:rFonts w:ascii="ITC Avant Garde" w:hAnsi="ITC Avant Garde" w:cs="Tahoma"/>
          <w:bCs/>
          <w:color w:val="000000"/>
          <w:sz w:val="20"/>
          <w:szCs w:val="20"/>
          <w:lang w:eastAsia="es-MX"/>
        </w:rPr>
        <w:t xml:space="preserve">l presente anteproyecto de Disposición Técnica, </w:t>
      </w:r>
      <w:r w:rsidR="00270823" w:rsidRPr="0086242B">
        <w:rPr>
          <w:rFonts w:ascii="ITC Avant Garde" w:hAnsi="ITC Avant Garde" w:cs="Tahoma"/>
          <w:bCs/>
          <w:color w:val="000000"/>
          <w:sz w:val="20"/>
          <w:szCs w:val="20"/>
          <w:lang w:eastAsia="es-MX"/>
        </w:rPr>
        <w:t>se alcanzarían los siguientes beneficios:</w:t>
      </w:r>
    </w:p>
    <w:p w14:paraId="50406EEF" w14:textId="77777777" w:rsidR="00270823" w:rsidRPr="0086242B" w:rsidRDefault="00270823" w:rsidP="00270823">
      <w:pPr>
        <w:tabs>
          <w:tab w:val="left" w:pos="720"/>
          <w:tab w:val="left" w:pos="1134"/>
        </w:tabs>
        <w:spacing w:line="360" w:lineRule="auto"/>
        <w:jc w:val="both"/>
        <w:rPr>
          <w:rFonts w:ascii="ITC Avant Garde" w:hAnsi="ITC Avant Garde" w:cs="Tahoma"/>
          <w:bCs/>
          <w:color w:val="000000"/>
          <w:sz w:val="20"/>
          <w:szCs w:val="20"/>
          <w:lang w:eastAsia="es-MX"/>
        </w:rPr>
      </w:pPr>
    </w:p>
    <w:p w14:paraId="52EC9D71" w14:textId="77777777" w:rsidR="00270823" w:rsidRPr="0086242B" w:rsidRDefault="00270823" w:rsidP="00F237B5">
      <w:pPr>
        <w:tabs>
          <w:tab w:val="left" w:pos="1134"/>
        </w:tabs>
        <w:spacing w:line="360" w:lineRule="auto"/>
        <w:ind w:left="426" w:hanging="426"/>
        <w:jc w:val="both"/>
        <w:rPr>
          <w:rFonts w:ascii="ITC Avant Garde" w:hAnsi="ITC Avant Garde" w:cs="Tahoma"/>
          <w:bCs/>
          <w:color w:val="000000"/>
          <w:sz w:val="20"/>
          <w:szCs w:val="20"/>
          <w:lang w:eastAsia="es-MX"/>
        </w:rPr>
      </w:pPr>
      <w:r w:rsidRPr="0086242B">
        <w:rPr>
          <w:rFonts w:ascii="ITC Avant Garde" w:hAnsi="ITC Avant Garde" w:cs="Tahoma"/>
          <w:bCs/>
          <w:color w:val="000000"/>
          <w:sz w:val="20"/>
          <w:szCs w:val="20"/>
          <w:lang w:eastAsia="es-MX"/>
        </w:rPr>
        <w:t>a)</w:t>
      </w:r>
      <w:r w:rsidRPr="0086242B">
        <w:rPr>
          <w:rFonts w:ascii="ITC Avant Garde" w:hAnsi="ITC Avant Garde" w:cs="Tahoma"/>
          <w:bCs/>
          <w:color w:val="000000"/>
          <w:sz w:val="20"/>
          <w:szCs w:val="20"/>
          <w:lang w:eastAsia="es-MX"/>
        </w:rPr>
        <w:tab/>
        <w:t xml:space="preserve">Asegurar que en las zonas de exposición de campos electromagnéticos en donde se encuentre presente el público en general, no excedan los niveles de exposición máxima establecidos en la Disposición Técnica.  </w:t>
      </w:r>
    </w:p>
    <w:p w14:paraId="5A60D0FD" w14:textId="320CB9AB" w:rsidR="00270823" w:rsidRPr="0086242B" w:rsidRDefault="00270823" w:rsidP="00F237B5">
      <w:pPr>
        <w:tabs>
          <w:tab w:val="left" w:pos="1134"/>
        </w:tabs>
        <w:spacing w:line="360" w:lineRule="auto"/>
        <w:ind w:left="426" w:hanging="426"/>
        <w:jc w:val="both"/>
        <w:rPr>
          <w:rFonts w:ascii="ITC Avant Garde" w:hAnsi="ITC Avant Garde" w:cs="Tahoma"/>
          <w:bCs/>
          <w:color w:val="000000"/>
          <w:sz w:val="20"/>
          <w:szCs w:val="20"/>
          <w:lang w:eastAsia="es-MX"/>
        </w:rPr>
      </w:pPr>
      <w:r w:rsidRPr="0086242B">
        <w:rPr>
          <w:rFonts w:ascii="ITC Avant Garde" w:hAnsi="ITC Avant Garde" w:cs="Tahoma"/>
          <w:bCs/>
          <w:color w:val="000000"/>
          <w:sz w:val="20"/>
          <w:szCs w:val="20"/>
          <w:lang w:eastAsia="es-MX"/>
        </w:rPr>
        <w:t>b)</w:t>
      </w:r>
      <w:r w:rsidRPr="0086242B">
        <w:rPr>
          <w:rFonts w:ascii="ITC Avant Garde" w:hAnsi="ITC Avant Garde" w:cs="Tahoma"/>
          <w:bCs/>
          <w:color w:val="000000"/>
          <w:sz w:val="20"/>
          <w:szCs w:val="20"/>
          <w:lang w:eastAsia="es-MX"/>
        </w:rPr>
        <w:tab/>
        <w:t xml:space="preserve">Asegurar que la exposición </w:t>
      </w:r>
      <w:r w:rsidR="00543A27" w:rsidRPr="0086242B">
        <w:rPr>
          <w:rFonts w:ascii="ITC Avant Garde" w:hAnsi="ITC Avant Garde" w:cs="Tahoma"/>
          <w:bCs/>
          <w:color w:val="000000"/>
          <w:sz w:val="20"/>
          <w:szCs w:val="20"/>
          <w:lang w:eastAsia="es-MX"/>
        </w:rPr>
        <w:t>a</w:t>
      </w:r>
      <w:r w:rsidRPr="0086242B">
        <w:rPr>
          <w:rFonts w:ascii="ITC Avant Garde" w:hAnsi="ITC Avant Garde" w:cs="Tahoma"/>
          <w:bCs/>
          <w:color w:val="000000"/>
          <w:sz w:val="20"/>
          <w:szCs w:val="20"/>
          <w:lang w:eastAsia="es-MX"/>
        </w:rPr>
        <w:t xml:space="preserve"> los equipos terminales de radiocomunicaciones </w:t>
      </w:r>
      <w:r w:rsidR="0058356B">
        <w:rPr>
          <w:rFonts w:ascii="ITC Avant Garde" w:hAnsi="ITC Avant Garde" w:cs="Tahoma"/>
          <w:bCs/>
          <w:color w:val="000000"/>
          <w:sz w:val="20"/>
          <w:szCs w:val="20"/>
          <w:lang w:eastAsia="es-MX"/>
        </w:rPr>
        <w:t>utilizados</w:t>
      </w:r>
      <w:r w:rsidR="0058356B" w:rsidRPr="0086242B">
        <w:rPr>
          <w:rFonts w:ascii="ITC Avant Garde" w:hAnsi="ITC Avant Garde" w:cs="Tahoma"/>
          <w:bCs/>
          <w:color w:val="000000"/>
          <w:sz w:val="20"/>
          <w:szCs w:val="20"/>
          <w:lang w:eastAsia="es-MX"/>
        </w:rPr>
        <w:t xml:space="preserve"> </w:t>
      </w:r>
      <w:r w:rsidR="00543A27" w:rsidRPr="0086242B">
        <w:rPr>
          <w:rFonts w:ascii="ITC Avant Garde" w:hAnsi="ITC Avant Garde" w:cs="Tahoma"/>
          <w:bCs/>
          <w:color w:val="000000"/>
          <w:sz w:val="20"/>
          <w:szCs w:val="20"/>
          <w:lang w:eastAsia="es-MX"/>
        </w:rPr>
        <w:t>cerca de</w:t>
      </w:r>
      <w:r w:rsidRPr="0086242B">
        <w:rPr>
          <w:rFonts w:ascii="ITC Avant Garde" w:hAnsi="ITC Avant Garde" w:cs="Tahoma"/>
          <w:bCs/>
          <w:color w:val="000000"/>
          <w:sz w:val="20"/>
          <w:szCs w:val="20"/>
          <w:lang w:eastAsia="es-MX"/>
        </w:rPr>
        <w:t xml:space="preserve"> la cabeza de los seres humanos, no exceda los niveles de exposición máxima establecidos en la Disposición Técnica.  </w:t>
      </w:r>
    </w:p>
    <w:p w14:paraId="4F3E6B0D" w14:textId="77777777" w:rsidR="00270823" w:rsidRPr="0086242B" w:rsidRDefault="00270823" w:rsidP="00F237B5">
      <w:pPr>
        <w:tabs>
          <w:tab w:val="left" w:pos="1134"/>
        </w:tabs>
        <w:spacing w:line="360" w:lineRule="auto"/>
        <w:ind w:left="426" w:hanging="426"/>
        <w:jc w:val="both"/>
        <w:rPr>
          <w:rFonts w:ascii="ITC Avant Garde" w:hAnsi="ITC Avant Garde" w:cs="Tahoma"/>
          <w:bCs/>
          <w:color w:val="000000"/>
          <w:sz w:val="20"/>
          <w:szCs w:val="20"/>
          <w:lang w:eastAsia="es-MX"/>
        </w:rPr>
      </w:pPr>
      <w:r w:rsidRPr="0086242B">
        <w:rPr>
          <w:rFonts w:ascii="ITC Avant Garde" w:hAnsi="ITC Avant Garde" w:cs="Tahoma"/>
          <w:bCs/>
          <w:color w:val="000000"/>
          <w:sz w:val="20"/>
          <w:szCs w:val="20"/>
          <w:lang w:eastAsia="es-MX"/>
        </w:rPr>
        <w:t>c)</w:t>
      </w:r>
      <w:r w:rsidRPr="0086242B">
        <w:rPr>
          <w:rFonts w:ascii="ITC Avant Garde" w:hAnsi="ITC Avant Garde" w:cs="Tahoma"/>
          <w:bCs/>
          <w:color w:val="000000"/>
          <w:sz w:val="20"/>
          <w:szCs w:val="20"/>
          <w:lang w:eastAsia="es-MX"/>
        </w:rPr>
        <w:tab/>
        <w:t xml:space="preserve">Dar certeza jurídica a todos los involucrados y respuesta a las frecuentes demandas </w:t>
      </w:r>
      <w:r w:rsidR="00543A27" w:rsidRPr="0086242B">
        <w:rPr>
          <w:rFonts w:ascii="ITC Avant Garde" w:hAnsi="ITC Avant Garde" w:cs="Tahoma"/>
          <w:bCs/>
          <w:color w:val="000000"/>
          <w:sz w:val="20"/>
          <w:szCs w:val="20"/>
          <w:lang w:eastAsia="es-MX"/>
        </w:rPr>
        <w:t>ciudadanas</w:t>
      </w:r>
      <w:r w:rsidRPr="0086242B">
        <w:rPr>
          <w:rFonts w:ascii="ITC Avant Garde" w:hAnsi="ITC Avant Garde" w:cs="Tahoma"/>
          <w:bCs/>
          <w:color w:val="000000"/>
          <w:sz w:val="20"/>
          <w:szCs w:val="20"/>
          <w:lang w:eastAsia="es-MX"/>
        </w:rPr>
        <w:t xml:space="preserve"> al respecto.</w:t>
      </w:r>
    </w:p>
    <w:p w14:paraId="289DB634" w14:textId="77777777" w:rsidR="00270823" w:rsidRPr="0086242B" w:rsidRDefault="00270823" w:rsidP="00F237B5">
      <w:pPr>
        <w:tabs>
          <w:tab w:val="left" w:pos="1134"/>
        </w:tabs>
        <w:spacing w:line="360" w:lineRule="auto"/>
        <w:ind w:left="426" w:hanging="426"/>
        <w:jc w:val="both"/>
        <w:rPr>
          <w:rFonts w:ascii="ITC Avant Garde" w:hAnsi="ITC Avant Garde" w:cs="Tahoma"/>
          <w:bCs/>
          <w:color w:val="000000"/>
          <w:sz w:val="20"/>
          <w:szCs w:val="20"/>
          <w:lang w:eastAsia="es-MX"/>
        </w:rPr>
      </w:pPr>
      <w:r w:rsidRPr="0086242B">
        <w:rPr>
          <w:rFonts w:ascii="ITC Avant Garde" w:hAnsi="ITC Avant Garde" w:cs="Tahoma"/>
          <w:bCs/>
          <w:color w:val="000000"/>
          <w:sz w:val="20"/>
          <w:szCs w:val="20"/>
          <w:lang w:eastAsia="es-MX"/>
        </w:rPr>
        <w:t>d)</w:t>
      </w:r>
      <w:r w:rsidRPr="0086242B">
        <w:rPr>
          <w:rFonts w:ascii="ITC Avant Garde" w:hAnsi="ITC Avant Garde" w:cs="Tahoma"/>
          <w:bCs/>
          <w:color w:val="000000"/>
          <w:sz w:val="20"/>
          <w:szCs w:val="20"/>
          <w:lang w:eastAsia="es-MX"/>
        </w:rPr>
        <w:tab/>
        <w:t>Brindar un marco de referencia con relación a las radiaciones no ionizantes emitidas por estaciones de radiocomunicaciones que presten servicios de telecomunicaciones y de radiodifusión.</w:t>
      </w:r>
    </w:p>
    <w:p w14:paraId="4563B29F" w14:textId="77777777" w:rsidR="00270823" w:rsidRPr="0086242B" w:rsidRDefault="00270823" w:rsidP="00F237B5">
      <w:pPr>
        <w:tabs>
          <w:tab w:val="left" w:pos="1134"/>
        </w:tabs>
        <w:spacing w:line="360" w:lineRule="auto"/>
        <w:ind w:left="426" w:hanging="426"/>
        <w:jc w:val="both"/>
        <w:rPr>
          <w:rFonts w:ascii="ITC Avant Garde" w:hAnsi="ITC Avant Garde" w:cs="Tahoma"/>
          <w:bCs/>
          <w:color w:val="000000"/>
          <w:sz w:val="20"/>
          <w:szCs w:val="20"/>
          <w:lang w:eastAsia="es-MX"/>
        </w:rPr>
      </w:pPr>
      <w:r w:rsidRPr="0086242B">
        <w:rPr>
          <w:rFonts w:ascii="ITC Avant Garde" w:hAnsi="ITC Avant Garde" w:cs="Tahoma"/>
          <w:bCs/>
          <w:color w:val="000000"/>
          <w:sz w:val="20"/>
          <w:szCs w:val="20"/>
          <w:lang w:eastAsia="es-MX"/>
        </w:rPr>
        <w:t>e)</w:t>
      </w:r>
      <w:r w:rsidRPr="0086242B">
        <w:rPr>
          <w:rFonts w:ascii="ITC Avant Garde" w:hAnsi="ITC Avant Garde" w:cs="Tahoma"/>
          <w:bCs/>
          <w:color w:val="000000"/>
          <w:sz w:val="20"/>
          <w:szCs w:val="20"/>
          <w:lang w:eastAsia="es-MX"/>
        </w:rPr>
        <w:tab/>
      </w:r>
      <w:r w:rsidR="00543A27" w:rsidRPr="0086242B">
        <w:rPr>
          <w:rFonts w:ascii="ITC Avant Garde" w:hAnsi="ITC Avant Garde" w:cs="Tahoma"/>
          <w:bCs/>
          <w:color w:val="000000"/>
          <w:sz w:val="20"/>
          <w:szCs w:val="20"/>
          <w:lang w:eastAsia="es-MX"/>
        </w:rPr>
        <w:t>Proveer un referente</w:t>
      </w:r>
      <w:r w:rsidR="00607183" w:rsidRPr="0086242B">
        <w:rPr>
          <w:rFonts w:ascii="ITC Avant Garde" w:hAnsi="ITC Avant Garde" w:cs="Tahoma"/>
          <w:bCs/>
          <w:color w:val="000000"/>
          <w:sz w:val="20"/>
          <w:szCs w:val="20"/>
          <w:lang w:eastAsia="es-MX"/>
        </w:rPr>
        <w:t xml:space="preserve">, tanto </w:t>
      </w:r>
      <w:proofErr w:type="gramStart"/>
      <w:r w:rsidR="00607183" w:rsidRPr="0086242B">
        <w:rPr>
          <w:rFonts w:ascii="ITC Avant Garde" w:hAnsi="ITC Avant Garde" w:cs="Tahoma"/>
          <w:bCs/>
          <w:color w:val="000000"/>
          <w:sz w:val="20"/>
          <w:szCs w:val="20"/>
          <w:lang w:eastAsia="es-MX"/>
        </w:rPr>
        <w:t xml:space="preserve">a </w:t>
      </w:r>
      <w:r w:rsidRPr="0086242B">
        <w:rPr>
          <w:rFonts w:ascii="ITC Avant Garde" w:hAnsi="ITC Avant Garde" w:cs="Tahoma"/>
          <w:bCs/>
          <w:color w:val="000000"/>
          <w:sz w:val="20"/>
          <w:szCs w:val="20"/>
          <w:lang w:eastAsia="es-MX"/>
        </w:rPr>
        <w:t xml:space="preserve"> los</w:t>
      </w:r>
      <w:proofErr w:type="gramEnd"/>
      <w:r w:rsidRPr="0086242B">
        <w:rPr>
          <w:rFonts w:ascii="ITC Avant Garde" w:hAnsi="ITC Avant Garde" w:cs="Tahoma"/>
          <w:bCs/>
          <w:color w:val="000000"/>
          <w:sz w:val="20"/>
          <w:szCs w:val="20"/>
          <w:lang w:eastAsia="es-MX"/>
        </w:rPr>
        <w:t xml:space="preserve"> concesionarios </w:t>
      </w:r>
      <w:r w:rsidR="00607183" w:rsidRPr="0086242B">
        <w:rPr>
          <w:rFonts w:ascii="ITC Avant Garde" w:hAnsi="ITC Avant Garde" w:cs="Tahoma"/>
          <w:bCs/>
          <w:color w:val="000000"/>
          <w:sz w:val="20"/>
          <w:szCs w:val="20"/>
          <w:lang w:eastAsia="es-MX"/>
        </w:rPr>
        <w:t xml:space="preserve">como a las autoridades correspondientes, </w:t>
      </w:r>
      <w:r w:rsidR="00543A27" w:rsidRPr="0086242B">
        <w:rPr>
          <w:rFonts w:ascii="ITC Avant Garde" w:hAnsi="ITC Avant Garde" w:cs="Tahoma"/>
          <w:bCs/>
          <w:color w:val="000000"/>
          <w:sz w:val="20"/>
          <w:szCs w:val="20"/>
          <w:lang w:eastAsia="es-MX"/>
        </w:rPr>
        <w:t xml:space="preserve">que pudiera facilitar los trámites </w:t>
      </w:r>
      <w:r w:rsidRPr="0086242B">
        <w:rPr>
          <w:rFonts w:ascii="ITC Avant Garde" w:hAnsi="ITC Avant Garde" w:cs="Tahoma"/>
          <w:bCs/>
          <w:color w:val="000000"/>
          <w:sz w:val="20"/>
          <w:szCs w:val="20"/>
          <w:lang w:eastAsia="es-MX"/>
        </w:rPr>
        <w:t xml:space="preserve">para la instalación y despliegue de infraestructura </w:t>
      </w:r>
      <w:r w:rsidR="00543A27" w:rsidRPr="0086242B">
        <w:rPr>
          <w:rFonts w:ascii="ITC Avant Garde" w:hAnsi="ITC Avant Garde" w:cs="Tahoma"/>
          <w:bCs/>
          <w:color w:val="000000"/>
          <w:sz w:val="20"/>
          <w:szCs w:val="20"/>
          <w:lang w:eastAsia="es-MX"/>
        </w:rPr>
        <w:t>de telecomunicaciones y radiodifusión</w:t>
      </w:r>
      <w:r w:rsidRPr="0086242B">
        <w:rPr>
          <w:rFonts w:ascii="ITC Avant Garde" w:hAnsi="ITC Avant Garde" w:cs="Tahoma"/>
          <w:bCs/>
          <w:color w:val="000000"/>
          <w:sz w:val="20"/>
          <w:szCs w:val="20"/>
          <w:lang w:eastAsia="es-MX"/>
        </w:rPr>
        <w:t>.</w:t>
      </w:r>
    </w:p>
    <w:p w14:paraId="1CC84D6A" w14:textId="77777777" w:rsidR="001C5763" w:rsidRPr="0086242B" w:rsidRDefault="001C5763" w:rsidP="00270823">
      <w:pPr>
        <w:tabs>
          <w:tab w:val="left" w:pos="720"/>
          <w:tab w:val="left" w:pos="1134"/>
        </w:tabs>
        <w:spacing w:line="360" w:lineRule="auto"/>
        <w:jc w:val="both"/>
        <w:rPr>
          <w:rFonts w:ascii="ITC Avant Garde" w:hAnsi="ITC Avant Garde" w:cs="Tahoma"/>
          <w:bCs/>
          <w:color w:val="000000"/>
          <w:sz w:val="20"/>
          <w:szCs w:val="20"/>
          <w:lang w:eastAsia="es-MX"/>
        </w:rPr>
      </w:pPr>
    </w:p>
    <w:p w14:paraId="4B4E9235" w14:textId="77777777" w:rsidR="00EF11CD" w:rsidRDefault="00EF11CD">
      <w:pPr>
        <w:spacing w:after="160" w:line="259" w:lineRule="auto"/>
        <w:rPr>
          <w:rFonts w:ascii="ITC Avant Garde" w:hAnsi="ITC Avant Garde"/>
          <w:b/>
          <w:sz w:val="20"/>
          <w:szCs w:val="20"/>
        </w:rPr>
      </w:pPr>
      <w:r>
        <w:rPr>
          <w:rFonts w:ascii="ITC Avant Garde" w:hAnsi="ITC Avant Garde"/>
          <w:b/>
          <w:sz w:val="20"/>
          <w:szCs w:val="20"/>
        </w:rPr>
        <w:br w:type="page"/>
      </w:r>
    </w:p>
    <w:p w14:paraId="204BC5A9" w14:textId="77777777" w:rsidR="006B595F" w:rsidRPr="0086242B" w:rsidRDefault="006B595F" w:rsidP="006B595F">
      <w:pPr>
        <w:tabs>
          <w:tab w:val="left" w:pos="720"/>
          <w:tab w:val="left" w:pos="1134"/>
        </w:tabs>
        <w:jc w:val="center"/>
        <w:rPr>
          <w:rFonts w:ascii="ITC Avant Garde" w:hAnsi="ITC Avant Garde"/>
          <w:b/>
          <w:sz w:val="20"/>
          <w:szCs w:val="20"/>
        </w:rPr>
      </w:pPr>
    </w:p>
    <w:p w14:paraId="15EAA609" w14:textId="77777777" w:rsidR="006B595F" w:rsidRPr="0086242B" w:rsidRDefault="006B595F" w:rsidP="006B595F">
      <w:pPr>
        <w:tabs>
          <w:tab w:val="left" w:pos="720"/>
          <w:tab w:val="left" w:pos="1134"/>
        </w:tabs>
        <w:rPr>
          <w:rFonts w:ascii="ITC Avant Garde" w:hAnsi="ITC Avant Garde"/>
          <w:b/>
          <w:sz w:val="20"/>
          <w:szCs w:val="20"/>
        </w:rPr>
      </w:pPr>
      <w:r w:rsidRPr="0086242B">
        <w:rPr>
          <w:rFonts w:ascii="ITC Avant Garde" w:hAnsi="ITC Avant Garde"/>
          <w:b/>
          <w:sz w:val="20"/>
          <w:szCs w:val="20"/>
        </w:rPr>
        <w:t xml:space="preserve">ÍNDICE </w:t>
      </w:r>
    </w:p>
    <w:p w14:paraId="65F05F3D" w14:textId="77777777" w:rsidR="006B595F" w:rsidRPr="0086242B" w:rsidRDefault="006B595F" w:rsidP="006B595F">
      <w:pPr>
        <w:tabs>
          <w:tab w:val="left" w:pos="720"/>
          <w:tab w:val="left" w:pos="1134"/>
        </w:tabs>
        <w:jc w:val="center"/>
        <w:rPr>
          <w:rFonts w:ascii="ITC Avant Garde" w:hAnsi="ITC Avant Garde"/>
          <w:b/>
          <w:sz w:val="20"/>
          <w:szCs w:val="20"/>
        </w:rPr>
      </w:pPr>
    </w:p>
    <w:p w14:paraId="51829B4C" w14:textId="77777777" w:rsidR="006B595F" w:rsidRPr="0086242B" w:rsidRDefault="006B595F" w:rsidP="006B595F">
      <w:pPr>
        <w:pStyle w:val="TDC1"/>
        <w:tabs>
          <w:tab w:val="left" w:pos="480"/>
          <w:tab w:val="right" w:leader="dot" w:pos="9394"/>
        </w:tabs>
        <w:spacing w:line="360" w:lineRule="auto"/>
        <w:rPr>
          <w:rFonts w:asciiTheme="minorHAnsi" w:eastAsiaTheme="minorEastAsia" w:hAnsiTheme="minorHAnsi" w:cstheme="minorBidi"/>
          <w:b w:val="0"/>
          <w:bCs w:val="0"/>
          <w:caps w:val="0"/>
          <w:noProof/>
          <w:lang w:val="es-MX" w:eastAsia="es-MX"/>
        </w:rPr>
      </w:pPr>
      <w:r w:rsidRPr="0086242B">
        <w:rPr>
          <w:rFonts w:ascii="ITC Avant Garde" w:hAnsi="ITC Avant Garde" w:cs="Arial"/>
          <w:b w:val="0"/>
        </w:rPr>
        <w:fldChar w:fldCharType="begin"/>
      </w:r>
      <w:r w:rsidRPr="0086242B">
        <w:rPr>
          <w:rFonts w:ascii="ITC Avant Garde" w:hAnsi="ITC Avant Garde" w:cs="Arial"/>
          <w:b w:val="0"/>
        </w:rPr>
        <w:instrText xml:space="preserve"> TOC \o "1-3" \n \p " " \u </w:instrText>
      </w:r>
      <w:r w:rsidRPr="0086242B">
        <w:rPr>
          <w:rFonts w:ascii="ITC Avant Garde" w:hAnsi="ITC Avant Garde" w:cs="Arial"/>
          <w:b w:val="0"/>
        </w:rPr>
        <w:fldChar w:fldCharType="separate"/>
      </w:r>
      <w:r w:rsidRPr="0086242B">
        <w:rPr>
          <w:rFonts w:ascii="ITC Avant Garde" w:hAnsi="ITC Avant Garde"/>
          <w:noProof/>
          <w:lang w:val="es-MX"/>
        </w:rPr>
        <w:t>1</w:t>
      </w:r>
      <w:r w:rsidRPr="0086242B">
        <w:rPr>
          <w:rFonts w:asciiTheme="minorHAnsi" w:eastAsiaTheme="minorEastAsia" w:hAnsiTheme="minorHAnsi" w:cstheme="minorBidi"/>
          <w:b w:val="0"/>
          <w:bCs w:val="0"/>
          <w:caps w:val="0"/>
          <w:noProof/>
          <w:lang w:val="es-MX" w:eastAsia="es-MX"/>
        </w:rPr>
        <w:tab/>
      </w:r>
      <w:r w:rsidRPr="0086242B">
        <w:rPr>
          <w:rFonts w:ascii="ITC Avant Garde" w:hAnsi="ITC Avant Garde"/>
          <w:noProof/>
        </w:rPr>
        <w:t>Introducción</w:t>
      </w:r>
    </w:p>
    <w:p w14:paraId="1A8CA148" w14:textId="77777777" w:rsidR="006B595F" w:rsidRPr="0086242B" w:rsidRDefault="006B595F" w:rsidP="006B595F">
      <w:pPr>
        <w:pStyle w:val="TDC1"/>
        <w:tabs>
          <w:tab w:val="left" w:pos="480"/>
          <w:tab w:val="right" w:leader="dot" w:pos="9394"/>
        </w:tabs>
        <w:spacing w:line="360" w:lineRule="auto"/>
        <w:rPr>
          <w:rFonts w:asciiTheme="minorHAnsi" w:eastAsiaTheme="minorEastAsia" w:hAnsiTheme="minorHAnsi" w:cstheme="minorBidi"/>
          <w:b w:val="0"/>
          <w:bCs w:val="0"/>
          <w:caps w:val="0"/>
          <w:noProof/>
          <w:lang w:val="es-MX" w:eastAsia="es-MX"/>
        </w:rPr>
      </w:pPr>
      <w:r w:rsidRPr="0086242B">
        <w:rPr>
          <w:rFonts w:ascii="ITC Avant Garde" w:hAnsi="ITC Avant Garde"/>
          <w:noProof/>
          <w:lang w:val="es-MX"/>
        </w:rPr>
        <w:t>2</w:t>
      </w:r>
      <w:r w:rsidRPr="0086242B">
        <w:rPr>
          <w:rFonts w:asciiTheme="minorHAnsi" w:eastAsiaTheme="minorEastAsia" w:hAnsiTheme="minorHAnsi" w:cstheme="minorBidi"/>
          <w:b w:val="0"/>
          <w:bCs w:val="0"/>
          <w:caps w:val="0"/>
          <w:noProof/>
          <w:lang w:val="es-MX" w:eastAsia="es-MX"/>
        </w:rPr>
        <w:tab/>
      </w:r>
      <w:r w:rsidRPr="0086242B">
        <w:rPr>
          <w:rFonts w:ascii="ITC Avant Garde" w:hAnsi="ITC Avant Garde"/>
          <w:noProof/>
        </w:rPr>
        <w:t>Objetivo y Campo de Aplicación</w:t>
      </w:r>
    </w:p>
    <w:p w14:paraId="20140580" w14:textId="77777777" w:rsidR="006B595F" w:rsidRPr="0086242B" w:rsidRDefault="006B595F" w:rsidP="006B595F">
      <w:pPr>
        <w:pStyle w:val="TDC1"/>
        <w:tabs>
          <w:tab w:val="left" w:pos="480"/>
          <w:tab w:val="right" w:leader="dot" w:pos="9394"/>
        </w:tabs>
        <w:spacing w:line="360" w:lineRule="auto"/>
        <w:rPr>
          <w:rFonts w:asciiTheme="minorHAnsi" w:eastAsiaTheme="minorEastAsia" w:hAnsiTheme="minorHAnsi" w:cstheme="minorBidi"/>
          <w:b w:val="0"/>
          <w:bCs w:val="0"/>
          <w:caps w:val="0"/>
          <w:noProof/>
          <w:lang w:val="es-MX" w:eastAsia="es-MX"/>
        </w:rPr>
      </w:pPr>
      <w:r w:rsidRPr="0086242B">
        <w:rPr>
          <w:rFonts w:ascii="ITC Avant Garde" w:hAnsi="ITC Avant Garde"/>
          <w:noProof/>
          <w:lang w:val="es-MX"/>
        </w:rPr>
        <w:t>3</w:t>
      </w:r>
      <w:r w:rsidRPr="0086242B">
        <w:rPr>
          <w:rFonts w:asciiTheme="minorHAnsi" w:eastAsiaTheme="minorEastAsia" w:hAnsiTheme="minorHAnsi" w:cstheme="minorBidi"/>
          <w:b w:val="0"/>
          <w:bCs w:val="0"/>
          <w:caps w:val="0"/>
          <w:noProof/>
          <w:lang w:val="es-MX" w:eastAsia="es-MX"/>
        </w:rPr>
        <w:tab/>
      </w:r>
      <w:r w:rsidRPr="0086242B">
        <w:rPr>
          <w:rFonts w:ascii="ITC Avant Garde" w:hAnsi="ITC Avant Garde"/>
          <w:noProof/>
        </w:rPr>
        <w:t>Definiciones</w:t>
      </w:r>
    </w:p>
    <w:p w14:paraId="3B23B7C6" w14:textId="77777777" w:rsidR="006B595F" w:rsidRPr="0086242B" w:rsidRDefault="006B595F" w:rsidP="006B595F">
      <w:pPr>
        <w:pStyle w:val="TDC1"/>
        <w:tabs>
          <w:tab w:val="left" w:pos="480"/>
          <w:tab w:val="right" w:leader="dot" w:pos="9394"/>
        </w:tabs>
        <w:spacing w:line="360" w:lineRule="auto"/>
        <w:rPr>
          <w:rFonts w:asciiTheme="minorHAnsi" w:eastAsiaTheme="minorEastAsia" w:hAnsiTheme="minorHAnsi" w:cstheme="minorBidi"/>
          <w:b w:val="0"/>
          <w:bCs w:val="0"/>
          <w:caps w:val="0"/>
          <w:noProof/>
          <w:lang w:val="es-MX" w:eastAsia="es-MX"/>
        </w:rPr>
      </w:pPr>
      <w:r w:rsidRPr="0086242B">
        <w:rPr>
          <w:rFonts w:ascii="ITC Avant Garde" w:hAnsi="ITC Avant Garde"/>
          <w:noProof/>
          <w:lang w:val="es-MX"/>
        </w:rPr>
        <w:t>4</w:t>
      </w:r>
      <w:r w:rsidRPr="0086242B">
        <w:rPr>
          <w:rFonts w:asciiTheme="minorHAnsi" w:eastAsiaTheme="minorEastAsia" w:hAnsiTheme="minorHAnsi" w:cstheme="minorBidi"/>
          <w:b w:val="0"/>
          <w:bCs w:val="0"/>
          <w:caps w:val="0"/>
          <w:noProof/>
          <w:lang w:val="es-MX" w:eastAsia="es-MX"/>
        </w:rPr>
        <w:tab/>
      </w:r>
      <w:r w:rsidRPr="0086242B">
        <w:rPr>
          <w:rFonts w:ascii="ITC Avant Garde" w:hAnsi="ITC Avant Garde"/>
          <w:noProof/>
        </w:rPr>
        <w:t>Abreviaturas</w:t>
      </w:r>
    </w:p>
    <w:p w14:paraId="644DEA37" w14:textId="77777777" w:rsidR="006B595F" w:rsidRPr="0086242B" w:rsidRDefault="006B595F" w:rsidP="006B595F">
      <w:pPr>
        <w:pStyle w:val="TDC1"/>
        <w:tabs>
          <w:tab w:val="left" w:pos="480"/>
          <w:tab w:val="right" w:leader="dot" w:pos="9394"/>
        </w:tabs>
        <w:spacing w:line="360" w:lineRule="auto"/>
        <w:rPr>
          <w:rFonts w:asciiTheme="minorHAnsi" w:eastAsiaTheme="minorEastAsia" w:hAnsiTheme="minorHAnsi" w:cstheme="minorBidi"/>
          <w:b w:val="0"/>
          <w:bCs w:val="0"/>
          <w:caps w:val="0"/>
          <w:noProof/>
          <w:lang w:val="es-MX" w:eastAsia="es-MX"/>
        </w:rPr>
      </w:pPr>
      <w:r w:rsidRPr="0086242B">
        <w:rPr>
          <w:rFonts w:ascii="ITC Avant Garde" w:hAnsi="ITC Avant Garde"/>
          <w:noProof/>
          <w:lang w:val="es-MX"/>
        </w:rPr>
        <w:t>5</w:t>
      </w:r>
      <w:r w:rsidRPr="0086242B">
        <w:rPr>
          <w:rFonts w:asciiTheme="minorHAnsi" w:eastAsiaTheme="minorEastAsia" w:hAnsiTheme="minorHAnsi" w:cstheme="minorBidi"/>
          <w:b w:val="0"/>
          <w:bCs w:val="0"/>
          <w:caps w:val="0"/>
          <w:noProof/>
          <w:lang w:val="es-MX" w:eastAsia="es-MX"/>
        </w:rPr>
        <w:tab/>
      </w:r>
      <w:r w:rsidRPr="0086242B">
        <w:rPr>
          <w:rFonts w:ascii="ITC Avant Garde" w:hAnsi="ITC Avant Garde"/>
          <w:noProof/>
        </w:rPr>
        <w:t>Especificaciones</w:t>
      </w:r>
    </w:p>
    <w:p w14:paraId="1C1F1E2B" w14:textId="77777777" w:rsidR="006B595F" w:rsidRPr="0086242B" w:rsidRDefault="006B595F" w:rsidP="006B595F">
      <w:pPr>
        <w:pStyle w:val="TDC2"/>
        <w:tabs>
          <w:tab w:val="left" w:pos="960"/>
          <w:tab w:val="right" w:leader="dot" w:pos="9394"/>
        </w:tabs>
        <w:spacing w:line="360" w:lineRule="auto"/>
        <w:rPr>
          <w:rFonts w:asciiTheme="minorHAnsi" w:eastAsiaTheme="minorEastAsia" w:hAnsiTheme="minorHAnsi" w:cstheme="minorBidi"/>
          <w:smallCaps w:val="0"/>
          <w:noProof/>
          <w:lang w:val="es-MX" w:eastAsia="es-MX"/>
        </w:rPr>
      </w:pPr>
      <w:r w:rsidRPr="0086242B">
        <w:rPr>
          <w:rFonts w:ascii="ITC Avant Garde" w:hAnsi="ITC Avant Garde"/>
          <w:noProof/>
        </w:rPr>
        <w:t>5.1</w:t>
      </w:r>
      <w:r w:rsidRPr="0086242B">
        <w:rPr>
          <w:rFonts w:asciiTheme="minorHAnsi" w:eastAsiaTheme="minorEastAsia" w:hAnsiTheme="minorHAnsi" w:cstheme="minorBidi"/>
          <w:smallCaps w:val="0"/>
          <w:noProof/>
          <w:lang w:val="es-MX" w:eastAsia="es-MX"/>
        </w:rPr>
        <w:tab/>
      </w:r>
      <w:r w:rsidRPr="0086242B">
        <w:rPr>
          <w:rFonts w:ascii="ITC Avant Garde" w:hAnsi="ITC Avant Garde"/>
          <w:noProof/>
        </w:rPr>
        <w:t>Límites de exposición máxima.</w:t>
      </w:r>
    </w:p>
    <w:p w14:paraId="70D51775"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5.1.1</w:t>
      </w:r>
      <w:r w:rsidRPr="0086242B">
        <w:rPr>
          <w:rFonts w:asciiTheme="minorHAnsi" w:eastAsiaTheme="minorEastAsia" w:hAnsiTheme="minorHAnsi" w:cstheme="minorBidi"/>
          <w:noProof/>
          <w:lang w:val="es-MX" w:eastAsia="es-MX"/>
        </w:rPr>
        <w:tab/>
      </w:r>
      <w:r w:rsidRPr="0086242B">
        <w:rPr>
          <w:noProof/>
        </w:rPr>
        <w:t>Limites básicos de exposición máxima.</w:t>
      </w:r>
    </w:p>
    <w:p w14:paraId="39F1DA6A"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5.1.2</w:t>
      </w:r>
      <w:r w:rsidRPr="0086242B">
        <w:rPr>
          <w:rFonts w:asciiTheme="minorHAnsi" w:eastAsiaTheme="minorEastAsia" w:hAnsiTheme="minorHAnsi" w:cstheme="minorBidi"/>
          <w:noProof/>
          <w:lang w:val="es-MX" w:eastAsia="es-MX"/>
        </w:rPr>
        <w:tab/>
      </w:r>
      <w:r w:rsidRPr="0086242B">
        <w:rPr>
          <w:noProof/>
        </w:rPr>
        <w:t>Límites de referencia de exposición máxima.</w:t>
      </w:r>
    </w:p>
    <w:p w14:paraId="0E54F88A" w14:textId="77777777" w:rsidR="006B595F" w:rsidRPr="0086242B" w:rsidRDefault="006B595F" w:rsidP="006B595F">
      <w:pPr>
        <w:pStyle w:val="TDC1"/>
        <w:tabs>
          <w:tab w:val="left" w:pos="480"/>
          <w:tab w:val="right" w:leader="dot" w:pos="9394"/>
        </w:tabs>
        <w:spacing w:line="360" w:lineRule="auto"/>
        <w:rPr>
          <w:rFonts w:asciiTheme="minorHAnsi" w:eastAsiaTheme="minorEastAsia" w:hAnsiTheme="minorHAnsi" w:cstheme="minorBidi"/>
          <w:b w:val="0"/>
          <w:bCs w:val="0"/>
          <w:caps w:val="0"/>
          <w:noProof/>
          <w:lang w:val="es-MX" w:eastAsia="es-MX"/>
        </w:rPr>
      </w:pPr>
      <w:r w:rsidRPr="0086242B">
        <w:rPr>
          <w:rFonts w:ascii="ITC Avant Garde" w:hAnsi="ITC Avant Garde"/>
          <w:noProof/>
        </w:rPr>
        <w:t>6</w:t>
      </w:r>
      <w:r w:rsidRPr="0086242B">
        <w:rPr>
          <w:rFonts w:asciiTheme="minorHAnsi" w:eastAsiaTheme="minorEastAsia" w:hAnsiTheme="minorHAnsi" w:cstheme="minorBidi"/>
          <w:b w:val="0"/>
          <w:bCs w:val="0"/>
          <w:caps w:val="0"/>
          <w:noProof/>
          <w:lang w:val="es-MX" w:eastAsia="es-MX"/>
        </w:rPr>
        <w:tab/>
      </w:r>
      <w:r w:rsidRPr="0086242B">
        <w:rPr>
          <w:rFonts w:ascii="ITC Avant Garde" w:hAnsi="ITC Avant Garde"/>
          <w:noProof/>
        </w:rPr>
        <w:t>Métodos de prueba.</w:t>
      </w:r>
    </w:p>
    <w:p w14:paraId="6CCF8C6A" w14:textId="77777777" w:rsidR="006B595F" w:rsidRPr="0086242B" w:rsidRDefault="006B595F" w:rsidP="006B595F">
      <w:pPr>
        <w:pStyle w:val="TDC2"/>
        <w:tabs>
          <w:tab w:val="left" w:pos="960"/>
          <w:tab w:val="right" w:leader="dot" w:pos="9394"/>
        </w:tabs>
        <w:spacing w:line="360" w:lineRule="auto"/>
        <w:rPr>
          <w:rFonts w:asciiTheme="minorHAnsi" w:eastAsiaTheme="minorEastAsia" w:hAnsiTheme="minorHAnsi" w:cstheme="minorBidi"/>
          <w:smallCaps w:val="0"/>
          <w:noProof/>
          <w:lang w:val="es-MX" w:eastAsia="es-MX"/>
        </w:rPr>
      </w:pPr>
      <w:r w:rsidRPr="0086242B">
        <w:rPr>
          <w:rFonts w:ascii="ITC Avant Garde" w:hAnsi="ITC Avant Garde"/>
          <w:noProof/>
        </w:rPr>
        <w:t>6.1</w:t>
      </w:r>
      <w:r w:rsidRPr="0086242B">
        <w:rPr>
          <w:rFonts w:asciiTheme="minorHAnsi" w:eastAsiaTheme="minorEastAsia" w:hAnsiTheme="minorHAnsi" w:cstheme="minorBidi"/>
          <w:smallCaps w:val="0"/>
          <w:noProof/>
          <w:lang w:val="es-MX" w:eastAsia="es-MX"/>
        </w:rPr>
        <w:tab/>
      </w:r>
      <w:r w:rsidRPr="0086242B">
        <w:rPr>
          <w:rFonts w:ascii="ITC Avant Garde" w:hAnsi="ITC Avant Garde"/>
          <w:noProof/>
        </w:rPr>
        <w:t>Cálculo de los niveles de exposición.</w:t>
      </w:r>
    </w:p>
    <w:p w14:paraId="714AA6E1"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6.1.1</w:t>
      </w:r>
      <w:r w:rsidRPr="0086242B">
        <w:rPr>
          <w:rFonts w:asciiTheme="minorHAnsi" w:eastAsiaTheme="minorEastAsia" w:hAnsiTheme="minorHAnsi" w:cstheme="minorBidi"/>
          <w:noProof/>
          <w:lang w:val="es-MX" w:eastAsia="es-MX"/>
        </w:rPr>
        <w:tab/>
      </w:r>
      <w:r w:rsidRPr="0086242B">
        <w:rPr>
          <w:noProof/>
        </w:rPr>
        <w:t>Características de la fuente emisora y las condiciones de propagación.</w:t>
      </w:r>
    </w:p>
    <w:p w14:paraId="57F106FD"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6.1.2</w:t>
      </w:r>
      <w:r w:rsidRPr="0086242B">
        <w:rPr>
          <w:rFonts w:asciiTheme="minorHAnsi" w:eastAsiaTheme="minorEastAsia" w:hAnsiTheme="minorHAnsi" w:cstheme="minorBidi"/>
          <w:noProof/>
          <w:lang w:val="es-MX" w:eastAsia="es-MX"/>
        </w:rPr>
        <w:tab/>
      </w:r>
      <w:r w:rsidRPr="0086242B">
        <w:rPr>
          <w:noProof/>
        </w:rPr>
        <w:t>Cálculo</w:t>
      </w:r>
      <w:r w:rsidRPr="0086242B">
        <w:rPr>
          <w:noProof/>
          <w:lang w:val="es-MX"/>
        </w:rPr>
        <w:t>.</w:t>
      </w:r>
    </w:p>
    <w:p w14:paraId="54A5FE7C" w14:textId="77777777" w:rsidR="006B595F" w:rsidRPr="0086242B" w:rsidRDefault="006B595F" w:rsidP="006B595F">
      <w:pPr>
        <w:pStyle w:val="TDC2"/>
        <w:tabs>
          <w:tab w:val="left" w:pos="960"/>
          <w:tab w:val="right" w:leader="dot" w:pos="9394"/>
        </w:tabs>
        <w:spacing w:line="360" w:lineRule="auto"/>
        <w:rPr>
          <w:rFonts w:asciiTheme="minorHAnsi" w:eastAsiaTheme="minorEastAsia" w:hAnsiTheme="minorHAnsi" w:cstheme="minorBidi"/>
          <w:smallCaps w:val="0"/>
          <w:noProof/>
          <w:lang w:val="es-MX" w:eastAsia="es-MX"/>
        </w:rPr>
      </w:pPr>
      <w:r w:rsidRPr="0086242B">
        <w:rPr>
          <w:rFonts w:ascii="ITC Avant Garde" w:hAnsi="ITC Avant Garde"/>
          <w:noProof/>
        </w:rPr>
        <w:t>6.2</w:t>
      </w:r>
      <w:r w:rsidRPr="0086242B">
        <w:rPr>
          <w:rFonts w:asciiTheme="minorHAnsi" w:eastAsiaTheme="minorEastAsia" w:hAnsiTheme="minorHAnsi" w:cstheme="minorBidi"/>
          <w:smallCaps w:val="0"/>
          <w:noProof/>
          <w:lang w:val="es-MX" w:eastAsia="es-MX"/>
        </w:rPr>
        <w:tab/>
      </w:r>
      <w:r w:rsidRPr="0086242B">
        <w:rPr>
          <w:rFonts w:ascii="ITC Avant Garde" w:hAnsi="ITC Avant Garde"/>
          <w:noProof/>
        </w:rPr>
        <w:t>Sistema de Medición de Campos Electromagnéticos.</w:t>
      </w:r>
    </w:p>
    <w:p w14:paraId="7F20CE6F"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6.2.1</w:t>
      </w:r>
      <w:r w:rsidRPr="0086242B">
        <w:rPr>
          <w:rFonts w:asciiTheme="minorHAnsi" w:eastAsiaTheme="minorEastAsia" w:hAnsiTheme="minorHAnsi" w:cstheme="minorBidi"/>
          <w:noProof/>
          <w:lang w:val="es-MX" w:eastAsia="es-MX"/>
        </w:rPr>
        <w:tab/>
      </w:r>
      <w:r w:rsidRPr="0086242B">
        <w:rPr>
          <w:noProof/>
        </w:rPr>
        <w:t>Instrumentación.</w:t>
      </w:r>
    </w:p>
    <w:p w14:paraId="289C6E0A"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6.2.2</w:t>
      </w:r>
      <w:r w:rsidRPr="0086242B">
        <w:rPr>
          <w:rFonts w:asciiTheme="minorHAnsi" w:eastAsiaTheme="minorEastAsia" w:hAnsiTheme="minorHAnsi" w:cstheme="minorBidi"/>
          <w:noProof/>
          <w:lang w:val="es-MX" w:eastAsia="es-MX"/>
        </w:rPr>
        <w:tab/>
      </w:r>
      <w:r w:rsidRPr="0086242B">
        <w:rPr>
          <w:noProof/>
        </w:rPr>
        <w:t>Requisitos técnicos del sistema de medición de campos electromagnéticos.</w:t>
      </w:r>
    </w:p>
    <w:p w14:paraId="143636E6"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6.2.3</w:t>
      </w:r>
      <w:r w:rsidRPr="0086242B">
        <w:rPr>
          <w:rFonts w:asciiTheme="minorHAnsi" w:eastAsiaTheme="minorEastAsia" w:hAnsiTheme="minorHAnsi" w:cstheme="minorBidi"/>
          <w:noProof/>
          <w:lang w:val="es-MX" w:eastAsia="es-MX"/>
        </w:rPr>
        <w:tab/>
      </w:r>
      <w:r w:rsidRPr="0086242B">
        <w:rPr>
          <w:noProof/>
        </w:rPr>
        <w:t>Características del sistema de medición de banda ancha y de banda angosta.</w:t>
      </w:r>
    </w:p>
    <w:p w14:paraId="7EE4D10B"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6.2.4</w:t>
      </w:r>
      <w:r w:rsidRPr="0086242B">
        <w:rPr>
          <w:rFonts w:asciiTheme="minorHAnsi" w:eastAsiaTheme="minorEastAsia" w:hAnsiTheme="minorHAnsi" w:cstheme="minorBidi"/>
          <w:noProof/>
          <w:lang w:val="es-MX" w:eastAsia="es-MX"/>
        </w:rPr>
        <w:tab/>
      </w:r>
      <w:r w:rsidRPr="0086242B">
        <w:rPr>
          <w:noProof/>
        </w:rPr>
        <w:t>Características de los sistemas que miden campo</w:t>
      </w:r>
      <w:r w:rsidRPr="0086242B">
        <w:rPr>
          <w:noProof/>
          <w:lang w:val="es-MX"/>
        </w:rPr>
        <w:t xml:space="preserve"> eléctrico</w:t>
      </w:r>
      <w:r w:rsidRPr="0086242B">
        <w:rPr>
          <w:noProof/>
        </w:rPr>
        <w:t xml:space="preserve"> </w:t>
      </w:r>
      <w:r w:rsidRPr="0086242B">
        <w:rPr>
          <w:noProof/>
          <w:lang w:val="es-MX"/>
        </w:rPr>
        <w:t>(</w:t>
      </w:r>
      <w:r w:rsidRPr="0086242B">
        <w:rPr>
          <w:noProof/>
        </w:rPr>
        <w:t>E</w:t>
      </w:r>
      <w:r w:rsidRPr="0086242B">
        <w:rPr>
          <w:noProof/>
          <w:lang w:val="es-MX"/>
        </w:rPr>
        <w:t>)</w:t>
      </w:r>
      <w:r w:rsidRPr="0086242B">
        <w:rPr>
          <w:noProof/>
        </w:rPr>
        <w:t xml:space="preserve"> y </w:t>
      </w:r>
      <w:r w:rsidRPr="0086242B">
        <w:rPr>
          <w:noProof/>
          <w:lang w:val="es-MX"/>
        </w:rPr>
        <w:t>campo magnético (</w:t>
      </w:r>
      <w:r w:rsidRPr="0086242B">
        <w:rPr>
          <w:noProof/>
        </w:rPr>
        <w:t>H</w:t>
      </w:r>
      <w:r w:rsidRPr="0086242B">
        <w:rPr>
          <w:noProof/>
          <w:lang w:val="es-MX"/>
        </w:rPr>
        <w:t>)</w:t>
      </w:r>
      <w:r w:rsidRPr="0086242B">
        <w:rPr>
          <w:noProof/>
        </w:rPr>
        <w:t xml:space="preserve"> de forma simultánea.</w:t>
      </w:r>
    </w:p>
    <w:p w14:paraId="2B349BBE"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6.2.5</w:t>
      </w:r>
      <w:r w:rsidRPr="0086242B">
        <w:rPr>
          <w:rFonts w:asciiTheme="minorHAnsi" w:eastAsiaTheme="minorEastAsia" w:hAnsiTheme="minorHAnsi" w:cstheme="minorBidi"/>
          <w:noProof/>
          <w:lang w:val="es-MX" w:eastAsia="es-MX"/>
        </w:rPr>
        <w:tab/>
      </w:r>
      <w:r w:rsidRPr="0086242B">
        <w:rPr>
          <w:noProof/>
        </w:rPr>
        <w:t>Sensores.- Tipos de antenas utilizados para mediciones a diferentes intervalos de frecuencia.</w:t>
      </w:r>
    </w:p>
    <w:p w14:paraId="1C478E89" w14:textId="77777777" w:rsidR="006B595F" w:rsidRPr="0086242B" w:rsidRDefault="006B595F" w:rsidP="006B595F">
      <w:pPr>
        <w:pStyle w:val="TDC2"/>
        <w:tabs>
          <w:tab w:val="left" w:pos="960"/>
          <w:tab w:val="right" w:leader="dot" w:pos="9394"/>
        </w:tabs>
        <w:spacing w:line="360" w:lineRule="auto"/>
        <w:rPr>
          <w:rFonts w:asciiTheme="minorHAnsi" w:eastAsiaTheme="minorEastAsia" w:hAnsiTheme="minorHAnsi" w:cstheme="minorBidi"/>
          <w:smallCaps w:val="0"/>
          <w:noProof/>
          <w:lang w:val="es-MX" w:eastAsia="es-MX"/>
        </w:rPr>
      </w:pPr>
      <w:r w:rsidRPr="0086242B">
        <w:rPr>
          <w:rFonts w:ascii="ITC Avant Garde" w:hAnsi="ITC Avant Garde"/>
          <w:noProof/>
        </w:rPr>
        <w:t>6.3</w:t>
      </w:r>
      <w:r w:rsidRPr="0086242B">
        <w:rPr>
          <w:rFonts w:asciiTheme="minorHAnsi" w:eastAsiaTheme="minorEastAsia" w:hAnsiTheme="minorHAnsi" w:cstheme="minorBidi"/>
          <w:smallCaps w:val="0"/>
          <w:noProof/>
          <w:lang w:val="es-MX" w:eastAsia="es-MX"/>
        </w:rPr>
        <w:tab/>
      </w:r>
      <w:r w:rsidRPr="0086242B">
        <w:rPr>
          <w:rFonts w:ascii="ITC Avant Garde" w:hAnsi="ITC Avant Garde"/>
          <w:noProof/>
        </w:rPr>
        <w:t>Medición de los niveles de exposición.</w:t>
      </w:r>
    </w:p>
    <w:p w14:paraId="0033CE54"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6.3.1</w:t>
      </w:r>
      <w:r w:rsidRPr="0086242B">
        <w:rPr>
          <w:rFonts w:asciiTheme="minorHAnsi" w:eastAsiaTheme="minorEastAsia" w:hAnsiTheme="minorHAnsi" w:cstheme="minorBidi"/>
          <w:noProof/>
          <w:lang w:val="es-MX" w:eastAsia="es-MX"/>
        </w:rPr>
        <w:tab/>
      </w:r>
      <w:r w:rsidRPr="0086242B">
        <w:rPr>
          <w:noProof/>
        </w:rPr>
        <w:t>Consideraciones preliminares a la medición de campos electromagnéticos.</w:t>
      </w:r>
    </w:p>
    <w:p w14:paraId="5E7F149A"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6.3.2</w:t>
      </w:r>
      <w:r w:rsidRPr="0086242B">
        <w:rPr>
          <w:rFonts w:asciiTheme="minorHAnsi" w:eastAsiaTheme="minorEastAsia" w:hAnsiTheme="minorHAnsi" w:cstheme="minorBidi"/>
          <w:noProof/>
          <w:lang w:val="es-MX" w:eastAsia="es-MX"/>
        </w:rPr>
        <w:tab/>
      </w:r>
      <w:r w:rsidRPr="0086242B">
        <w:rPr>
          <w:noProof/>
        </w:rPr>
        <w:t>Consideraciones de seguridad.</w:t>
      </w:r>
    </w:p>
    <w:p w14:paraId="4C46389B"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6.3.3</w:t>
      </w:r>
      <w:r w:rsidRPr="0086242B">
        <w:rPr>
          <w:rFonts w:asciiTheme="minorHAnsi" w:eastAsiaTheme="minorEastAsia" w:hAnsiTheme="minorHAnsi" w:cstheme="minorBidi"/>
          <w:noProof/>
          <w:lang w:val="es-MX" w:eastAsia="es-MX"/>
        </w:rPr>
        <w:tab/>
      </w:r>
      <w:r w:rsidRPr="0086242B">
        <w:rPr>
          <w:noProof/>
        </w:rPr>
        <w:t>Procedimientos de medición</w:t>
      </w:r>
    </w:p>
    <w:p w14:paraId="3CF6604F" w14:textId="77777777" w:rsidR="006B595F" w:rsidRPr="0086242B" w:rsidRDefault="006B595F" w:rsidP="006B595F">
      <w:pPr>
        <w:pStyle w:val="TDC2"/>
        <w:tabs>
          <w:tab w:val="left" w:pos="960"/>
          <w:tab w:val="right" w:leader="dot" w:pos="9394"/>
        </w:tabs>
        <w:spacing w:line="360" w:lineRule="auto"/>
        <w:rPr>
          <w:rFonts w:asciiTheme="minorHAnsi" w:eastAsiaTheme="minorEastAsia" w:hAnsiTheme="minorHAnsi" w:cstheme="minorBidi"/>
          <w:smallCaps w:val="0"/>
          <w:noProof/>
          <w:lang w:val="es-MX" w:eastAsia="es-MX"/>
        </w:rPr>
      </w:pPr>
      <w:r w:rsidRPr="0086242B">
        <w:rPr>
          <w:rFonts w:ascii="ITC Avant Garde" w:hAnsi="ITC Avant Garde"/>
          <w:noProof/>
        </w:rPr>
        <w:t>6.4</w:t>
      </w:r>
      <w:r w:rsidRPr="0086242B">
        <w:rPr>
          <w:rFonts w:asciiTheme="minorHAnsi" w:eastAsiaTheme="minorEastAsia" w:hAnsiTheme="minorHAnsi" w:cstheme="minorBidi"/>
          <w:smallCaps w:val="0"/>
          <w:noProof/>
          <w:lang w:val="es-MX" w:eastAsia="es-MX"/>
        </w:rPr>
        <w:tab/>
      </w:r>
      <w:r w:rsidRPr="0086242B">
        <w:rPr>
          <w:rFonts w:ascii="ITC Avant Garde" w:hAnsi="ITC Avant Garde"/>
          <w:noProof/>
        </w:rPr>
        <w:t>Medición del índice de absorción específica (SAR).</w:t>
      </w:r>
    </w:p>
    <w:p w14:paraId="52D993E9"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6.4.1</w:t>
      </w:r>
      <w:r w:rsidRPr="0086242B">
        <w:rPr>
          <w:rFonts w:asciiTheme="minorHAnsi" w:eastAsiaTheme="minorEastAsia" w:hAnsiTheme="minorHAnsi" w:cstheme="minorBidi"/>
          <w:noProof/>
          <w:lang w:val="es-MX" w:eastAsia="es-MX"/>
        </w:rPr>
        <w:tab/>
      </w:r>
      <w:r w:rsidRPr="0086242B">
        <w:rPr>
          <w:noProof/>
        </w:rPr>
        <w:t>Instrumentación utilizada para la medición del SAR.</w:t>
      </w:r>
    </w:p>
    <w:p w14:paraId="000C29FD"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6.4.2</w:t>
      </w:r>
      <w:r w:rsidRPr="0086242B">
        <w:rPr>
          <w:rFonts w:asciiTheme="minorHAnsi" w:eastAsiaTheme="minorEastAsia" w:hAnsiTheme="minorHAnsi" w:cstheme="minorBidi"/>
          <w:noProof/>
          <w:lang w:val="es-MX" w:eastAsia="es-MX"/>
        </w:rPr>
        <w:tab/>
      </w:r>
      <w:r w:rsidRPr="0086242B">
        <w:rPr>
          <w:noProof/>
        </w:rPr>
        <w:t>Modelo antropométrico de la cabeza humana para la medición del SAR.</w:t>
      </w:r>
    </w:p>
    <w:p w14:paraId="6DB3884E"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6.4.3</w:t>
      </w:r>
      <w:r w:rsidRPr="0086242B">
        <w:rPr>
          <w:rFonts w:asciiTheme="minorHAnsi" w:eastAsiaTheme="minorEastAsia" w:hAnsiTheme="minorHAnsi" w:cstheme="minorBidi"/>
          <w:noProof/>
          <w:lang w:val="es-MX" w:eastAsia="es-MX"/>
        </w:rPr>
        <w:tab/>
      </w:r>
      <w:r w:rsidRPr="0086242B">
        <w:rPr>
          <w:noProof/>
        </w:rPr>
        <w:t>Posicionamiento del teléfono móvil relativo al modelo de la cabeza.</w:t>
      </w:r>
    </w:p>
    <w:p w14:paraId="1B80F76D"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6.4.4</w:t>
      </w:r>
      <w:r w:rsidRPr="0086242B">
        <w:rPr>
          <w:rFonts w:asciiTheme="minorHAnsi" w:eastAsiaTheme="minorEastAsia" w:hAnsiTheme="minorHAnsi" w:cstheme="minorBidi"/>
          <w:noProof/>
          <w:lang w:val="es-MX" w:eastAsia="es-MX"/>
        </w:rPr>
        <w:tab/>
      </w:r>
      <w:r w:rsidRPr="0086242B">
        <w:rPr>
          <w:noProof/>
        </w:rPr>
        <w:t>Modos de operación del teléfono móvil para la medición del SAR.</w:t>
      </w:r>
    </w:p>
    <w:p w14:paraId="3DA0BEAE"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6.4.5</w:t>
      </w:r>
      <w:r w:rsidRPr="0086242B">
        <w:rPr>
          <w:rFonts w:asciiTheme="minorHAnsi" w:eastAsiaTheme="minorEastAsia" w:hAnsiTheme="minorHAnsi" w:cstheme="minorBidi"/>
          <w:noProof/>
          <w:lang w:val="es-MX" w:eastAsia="es-MX"/>
        </w:rPr>
        <w:tab/>
      </w:r>
      <w:r w:rsidRPr="0086242B">
        <w:rPr>
          <w:noProof/>
        </w:rPr>
        <w:t>Procedimiento de medición</w:t>
      </w:r>
    </w:p>
    <w:p w14:paraId="5ABFE7E2"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6.4.6</w:t>
      </w:r>
      <w:r w:rsidRPr="0086242B">
        <w:rPr>
          <w:rFonts w:asciiTheme="minorHAnsi" w:eastAsiaTheme="minorEastAsia" w:hAnsiTheme="minorHAnsi" w:cstheme="minorBidi"/>
          <w:noProof/>
          <w:lang w:val="es-MX" w:eastAsia="es-MX"/>
        </w:rPr>
        <w:tab/>
      </w:r>
      <w:r w:rsidRPr="0086242B">
        <w:rPr>
          <w:noProof/>
        </w:rPr>
        <w:t>Evaluación de la incertidumbre de las mediciones</w:t>
      </w:r>
    </w:p>
    <w:p w14:paraId="0F2FBEAB"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6.4.7</w:t>
      </w:r>
      <w:r w:rsidRPr="0086242B">
        <w:rPr>
          <w:rFonts w:asciiTheme="minorHAnsi" w:eastAsiaTheme="minorEastAsia" w:hAnsiTheme="minorHAnsi" w:cstheme="minorBidi"/>
          <w:noProof/>
          <w:lang w:val="es-MX" w:eastAsia="es-MX"/>
        </w:rPr>
        <w:tab/>
      </w:r>
      <w:r w:rsidRPr="0086242B">
        <w:rPr>
          <w:noProof/>
        </w:rPr>
        <w:t>Reporte de medición del SAR</w:t>
      </w:r>
    </w:p>
    <w:p w14:paraId="35B2595F" w14:textId="77777777" w:rsidR="006B595F" w:rsidRPr="0086242B" w:rsidRDefault="006B595F" w:rsidP="006B595F">
      <w:pPr>
        <w:pStyle w:val="TDC2"/>
        <w:tabs>
          <w:tab w:val="right" w:leader="dot" w:pos="9394"/>
        </w:tabs>
        <w:spacing w:line="360" w:lineRule="auto"/>
        <w:rPr>
          <w:rFonts w:asciiTheme="minorHAnsi" w:eastAsiaTheme="minorEastAsia" w:hAnsiTheme="minorHAnsi" w:cstheme="minorBidi"/>
          <w:smallCaps w:val="0"/>
          <w:noProof/>
          <w:lang w:val="es-MX" w:eastAsia="es-MX"/>
        </w:rPr>
      </w:pPr>
      <w:r w:rsidRPr="0086242B">
        <w:rPr>
          <w:rFonts w:ascii="ITC Avant Garde" w:hAnsi="ITC Avant Garde"/>
          <w:noProof/>
        </w:rPr>
        <w:t>APENDICE A (INFORMATIVO)</w:t>
      </w:r>
    </w:p>
    <w:p w14:paraId="161B74A5"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 xml:space="preserve">Ejemplo de cálculo </w:t>
      </w:r>
      <w:r w:rsidRPr="0086242B">
        <w:rPr>
          <w:noProof/>
          <w:lang w:val="es-MX"/>
        </w:rPr>
        <w:t xml:space="preserve">considerando </w:t>
      </w:r>
      <w:r w:rsidRPr="0086242B">
        <w:rPr>
          <w:noProof/>
        </w:rPr>
        <w:t>un solo emisor de RF</w:t>
      </w:r>
    </w:p>
    <w:p w14:paraId="36569D55"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 xml:space="preserve">Ejemplo de cálculo </w:t>
      </w:r>
      <w:r w:rsidRPr="0086242B">
        <w:rPr>
          <w:noProof/>
          <w:lang w:val="es-MX"/>
        </w:rPr>
        <w:t xml:space="preserve">considerando </w:t>
      </w:r>
      <w:r w:rsidRPr="0086242B">
        <w:rPr>
          <w:noProof/>
        </w:rPr>
        <w:t>múltiples emisores de RF</w:t>
      </w:r>
    </w:p>
    <w:p w14:paraId="33DE92FB" w14:textId="77777777" w:rsidR="006B595F" w:rsidRPr="0086242B" w:rsidRDefault="006B595F" w:rsidP="006B595F">
      <w:pPr>
        <w:pStyle w:val="TDC2"/>
        <w:tabs>
          <w:tab w:val="right" w:leader="dot" w:pos="9394"/>
        </w:tabs>
        <w:spacing w:line="360" w:lineRule="auto"/>
        <w:rPr>
          <w:rFonts w:asciiTheme="minorHAnsi" w:eastAsiaTheme="minorEastAsia" w:hAnsiTheme="minorHAnsi" w:cstheme="minorBidi"/>
          <w:smallCaps w:val="0"/>
          <w:noProof/>
          <w:lang w:val="es-MX" w:eastAsia="es-MX"/>
        </w:rPr>
      </w:pPr>
      <w:r w:rsidRPr="0086242B">
        <w:rPr>
          <w:rFonts w:ascii="ITC Avant Garde" w:hAnsi="ITC Avant Garde"/>
          <w:noProof/>
        </w:rPr>
        <w:t>APENDICE B (INFORMATIVO)</w:t>
      </w:r>
    </w:p>
    <w:p w14:paraId="7CB97D7F"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 xml:space="preserve">Consideraciones </w:t>
      </w:r>
      <w:r w:rsidRPr="0086242B">
        <w:rPr>
          <w:noProof/>
          <w:lang w:val="es-MX"/>
        </w:rPr>
        <w:t>d</w:t>
      </w:r>
      <w:r w:rsidRPr="0086242B">
        <w:rPr>
          <w:noProof/>
        </w:rPr>
        <w:t>e Seguridad</w:t>
      </w:r>
    </w:p>
    <w:p w14:paraId="73107AED" w14:textId="77777777" w:rsidR="006B595F" w:rsidRPr="0086242B" w:rsidRDefault="006B595F" w:rsidP="006B595F">
      <w:pPr>
        <w:pStyle w:val="TDC2"/>
        <w:tabs>
          <w:tab w:val="right" w:leader="dot" w:pos="9394"/>
        </w:tabs>
        <w:spacing w:line="360" w:lineRule="auto"/>
        <w:rPr>
          <w:rFonts w:ascii="ITC Avant Garde" w:hAnsi="ITC Avant Garde"/>
          <w:noProof/>
        </w:rPr>
      </w:pPr>
      <w:r w:rsidRPr="0086242B">
        <w:rPr>
          <w:rFonts w:ascii="ITC Avant Garde" w:hAnsi="ITC Avant Garde"/>
          <w:noProof/>
        </w:rPr>
        <w:t>APENDICE C (NORMATIVO)</w:t>
      </w:r>
    </w:p>
    <w:p w14:paraId="5A48D7CC" w14:textId="77777777" w:rsidR="006B595F" w:rsidRPr="0086242B" w:rsidRDefault="006B595F">
      <w:pPr>
        <w:pStyle w:val="TDC3"/>
        <w:rPr>
          <w:rFonts w:asciiTheme="minorHAnsi" w:eastAsiaTheme="minorEastAsia" w:hAnsiTheme="minorHAnsi" w:cstheme="minorBidi"/>
          <w:noProof/>
          <w:lang w:val="es-MX" w:eastAsia="es-MX"/>
        </w:rPr>
      </w:pPr>
      <w:r w:rsidRPr="0086242B">
        <w:rPr>
          <w:noProof/>
        </w:rPr>
        <w:t>Procedimi</w:t>
      </w:r>
      <w:r w:rsidR="0076109C" w:rsidRPr="0086242B">
        <w:rPr>
          <w:noProof/>
        </w:rPr>
        <w:t>e</w:t>
      </w:r>
      <w:r w:rsidRPr="0086242B">
        <w:rPr>
          <w:noProof/>
        </w:rPr>
        <w:t>n</w:t>
      </w:r>
      <w:r w:rsidR="0076109C" w:rsidRPr="0086242B">
        <w:rPr>
          <w:noProof/>
        </w:rPr>
        <w:t>t</w:t>
      </w:r>
      <w:r w:rsidRPr="0086242B">
        <w:rPr>
          <w:noProof/>
        </w:rPr>
        <w:t>o para Evaluar la Conformidad</w:t>
      </w:r>
    </w:p>
    <w:p w14:paraId="378B9722" w14:textId="77777777" w:rsidR="006B595F" w:rsidRPr="0086242B" w:rsidRDefault="006B595F" w:rsidP="006B595F">
      <w:pPr>
        <w:rPr>
          <w:rFonts w:eastAsiaTheme="minorEastAsia"/>
        </w:rPr>
      </w:pPr>
    </w:p>
    <w:p w14:paraId="0131CE05" w14:textId="77777777" w:rsidR="002A4CA3" w:rsidRPr="002A4CA3" w:rsidRDefault="006B595F" w:rsidP="002A4CA3">
      <w:pPr>
        <w:pStyle w:val="TDC1"/>
        <w:tabs>
          <w:tab w:val="left" w:pos="480"/>
          <w:tab w:val="right" w:leader="dot" w:pos="9394"/>
        </w:tabs>
        <w:spacing w:line="360" w:lineRule="auto"/>
        <w:rPr>
          <w:rFonts w:ascii="ITC Avant Garde" w:hAnsi="ITC Avant Garde"/>
          <w:noProof/>
        </w:rPr>
      </w:pPr>
      <w:r w:rsidRPr="002A4CA3">
        <w:rPr>
          <w:rFonts w:ascii="ITC Avant Garde" w:hAnsi="ITC Avant Garde"/>
          <w:b w:val="0"/>
          <w:bCs w:val="0"/>
          <w:caps w:val="0"/>
          <w:noProof/>
          <w:sz w:val="24"/>
          <w:szCs w:val="24"/>
        </w:rPr>
        <w:t>7</w:t>
      </w:r>
      <w:r w:rsidRPr="002A4CA3">
        <w:rPr>
          <w:rFonts w:ascii="ITC Avant Garde" w:hAnsi="ITC Avant Garde"/>
          <w:b w:val="0"/>
          <w:bCs w:val="0"/>
          <w:caps w:val="0"/>
          <w:noProof/>
          <w:sz w:val="24"/>
          <w:szCs w:val="24"/>
        </w:rPr>
        <w:tab/>
      </w:r>
      <w:r w:rsidR="002A4CA3" w:rsidRPr="002A4CA3">
        <w:rPr>
          <w:rFonts w:ascii="ITC Avant Garde" w:hAnsi="ITC Avant Garde"/>
          <w:noProof/>
        </w:rPr>
        <w:t>VIGILANCIA DEL CUMPLIMIENTO</w:t>
      </w:r>
    </w:p>
    <w:p w14:paraId="6EB9410C" w14:textId="77777777" w:rsidR="006B595F" w:rsidRPr="0086242B" w:rsidRDefault="002A4CA3" w:rsidP="006B595F">
      <w:pPr>
        <w:pStyle w:val="TDC1"/>
        <w:tabs>
          <w:tab w:val="left" w:pos="480"/>
          <w:tab w:val="right" w:leader="dot" w:pos="9394"/>
        </w:tabs>
        <w:spacing w:line="360" w:lineRule="auto"/>
        <w:rPr>
          <w:rFonts w:asciiTheme="minorHAnsi" w:eastAsiaTheme="minorEastAsia" w:hAnsiTheme="minorHAnsi" w:cstheme="minorBidi"/>
          <w:b w:val="0"/>
          <w:bCs w:val="0"/>
          <w:caps w:val="0"/>
          <w:noProof/>
          <w:lang w:val="es-MX" w:eastAsia="es-MX"/>
        </w:rPr>
      </w:pPr>
      <w:r w:rsidRPr="002A4CA3">
        <w:rPr>
          <w:rFonts w:ascii="ITC Avant Garde" w:hAnsi="ITC Avant Garde"/>
          <w:b w:val="0"/>
          <w:bCs w:val="0"/>
          <w:caps w:val="0"/>
          <w:noProof/>
          <w:sz w:val="24"/>
          <w:szCs w:val="24"/>
        </w:rPr>
        <w:t>8</w:t>
      </w:r>
      <w:r>
        <w:rPr>
          <w:rFonts w:asciiTheme="minorHAnsi" w:eastAsiaTheme="minorEastAsia" w:hAnsiTheme="minorHAnsi" w:cstheme="minorBidi"/>
          <w:b w:val="0"/>
          <w:bCs w:val="0"/>
          <w:caps w:val="0"/>
          <w:noProof/>
          <w:lang w:val="es-MX" w:eastAsia="es-MX"/>
        </w:rPr>
        <w:t xml:space="preserve">     </w:t>
      </w:r>
      <w:r w:rsidR="006B595F" w:rsidRPr="0086242B">
        <w:rPr>
          <w:rFonts w:ascii="ITC Avant Garde" w:hAnsi="ITC Avant Garde"/>
          <w:noProof/>
        </w:rPr>
        <w:t>Bibliografía</w:t>
      </w:r>
    </w:p>
    <w:p w14:paraId="54016225" w14:textId="62CE4667" w:rsidR="006B595F" w:rsidRPr="0086242B" w:rsidRDefault="002A4CA3" w:rsidP="006B595F">
      <w:pPr>
        <w:pStyle w:val="TDC1"/>
        <w:tabs>
          <w:tab w:val="left" w:pos="480"/>
          <w:tab w:val="right" w:leader="dot" w:pos="9394"/>
        </w:tabs>
        <w:spacing w:line="360" w:lineRule="auto"/>
        <w:rPr>
          <w:rFonts w:asciiTheme="minorHAnsi" w:eastAsiaTheme="minorEastAsia" w:hAnsiTheme="minorHAnsi" w:cstheme="minorBidi"/>
          <w:b w:val="0"/>
          <w:bCs w:val="0"/>
          <w:caps w:val="0"/>
          <w:noProof/>
          <w:lang w:val="es-MX" w:eastAsia="es-MX"/>
        </w:rPr>
      </w:pPr>
      <w:r w:rsidRPr="002A4CA3">
        <w:rPr>
          <w:rFonts w:ascii="ITC Avant Garde" w:hAnsi="ITC Avant Garde"/>
          <w:b w:val="0"/>
          <w:bCs w:val="0"/>
          <w:caps w:val="0"/>
          <w:noProof/>
          <w:sz w:val="24"/>
          <w:szCs w:val="24"/>
        </w:rPr>
        <w:t>9</w:t>
      </w:r>
      <w:r w:rsidR="006B595F" w:rsidRPr="0086242B">
        <w:rPr>
          <w:rFonts w:ascii="ITC Avant Garde" w:hAnsi="ITC Avant Garde"/>
          <w:noProof/>
        </w:rPr>
        <w:t>Concordancia con normas internacionales</w:t>
      </w:r>
    </w:p>
    <w:p w14:paraId="541F0353" w14:textId="7C3E28E2" w:rsidR="006B595F" w:rsidRPr="0086242B" w:rsidRDefault="006B595F" w:rsidP="006B595F">
      <w:pPr>
        <w:spacing w:line="360" w:lineRule="auto"/>
        <w:rPr>
          <w:noProof/>
        </w:rPr>
      </w:pPr>
      <w:r w:rsidRPr="0086242B">
        <w:rPr>
          <w:rFonts w:ascii="ITC Avant Garde" w:hAnsi="ITC Avant Garde" w:cs="Arial"/>
          <w:sz w:val="20"/>
          <w:szCs w:val="20"/>
        </w:rPr>
        <w:fldChar w:fldCharType="end"/>
      </w:r>
      <w:r w:rsidRPr="0086242B">
        <w:rPr>
          <w:rFonts w:ascii="ITC Avant Garde" w:hAnsi="ITC Avant Garde"/>
          <w:noProof/>
          <w:sz w:val="20"/>
          <w:szCs w:val="20"/>
        </w:rPr>
        <w:t xml:space="preserve"> </w:t>
      </w:r>
    </w:p>
    <w:p w14:paraId="44CF77D8" w14:textId="77777777" w:rsidR="00EF11CD" w:rsidRPr="00912175" w:rsidRDefault="006B595F" w:rsidP="00912175">
      <w:pPr>
        <w:pStyle w:val="TDC1"/>
        <w:tabs>
          <w:tab w:val="left" w:pos="480"/>
          <w:tab w:val="right" w:leader="dot" w:pos="9394"/>
        </w:tabs>
        <w:spacing w:line="360" w:lineRule="auto"/>
        <w:rPr>
          <w:rFonts w:ascii="ITC Avant Garde" w:hAnsi="ITC Avant Garde"/>
          <w:noProof/>
        </w:rPr>
      </w:pPr>
      <w:r w:rsidRPr="0086242B">
        <w:rPr>
          <w:rFonts w:ascii="ITC Avant Garde" w:hAnsi="ITC Avant Garde"/>
          <w:noProof/>
        </w:rPr>
        <w:t>10</w:t>
      </w:r>
      <w:r w:rsidRPr="0086242B">
        <w:rPr>
          <w:rFonts w:ascii="ITC Avant Garde" w:hAnsi="ITC Avant Garde"/>
          <w:noProof/>
        </w:rPr>
        <w:tab/>
        <w:t>DISPOSICIONES TRANSITORIAS</w:t>
      </w:r>
      <w:bookmarkStart w:id="1" w:name="_Toc414444586"/>
    </w:p>
    <w:p w14:paraId="66357A80" w14:textId="77777777" w:rsidR="00912175" w:rsidRDefault="00912175">
      <w:pPr>
        <w:spacing w:after="160" w:line="259" w:lineRule="auto"/>
        <w:rPr>
          <w:rFonts w:ascii="ITC Avant Garde" w:hAnsi="ITC Avant Garde"/>
          <w:sz w:val="22"/>
          <w:szCs w:val="22"/>
        </w:rPr>
      </w:pPr>
      <w:r>
        <w:rPr>
          <w:rFonts w:ascii="ITC Avant Garde" w:hAnsi="ITC Avant Garde"/>
          <w:sz w:val="22"/>
          <w:szCs w:val="22"/>
        </w:rPr>
        <w:br w:type="page"/>
      </w:r>
    </w:p>
    <w:p w14:paraId="2CA962F5" w14:textId="77777777" w:rsidR="00EF11CD" w:rsidRPr="0086242B" w:rsidRDefault="00EF11CD" w:rsidP="006B595F">
      <w:pPr>
        <w:tabs>
          <w:tab w:val="left" w:pos="567"/>
        </w:tabs>
        <w:rPr>
          <w:rFonts w:ascii="ITC Avant Garde" w:hAnsi="ITC Avant Garde"/>
          <w:sz w:val="22"/>
          <w:szCs w:val="22"/>
        </w:rPr>
      </w:pPr>
    </w:p>
    <w:p w14:paraId="79461E67" w14:textId="77777777" w:rsidR="006B595F" w:rsidRPr="0086242B" w:rsidRDefault="006B595F" w:rsidP="006B595F">
      <w:pPr>
        <w:pStyle w:val="Prrafodelista"/>
        <w:numPr>
          <w:ilvl w:val="0"/>
          <w:numId w:val="49"/>
        </w:numPr>
        <w:tabs>
          <w:tab w:val="left" w:pos="567"/>
        </w:tabs>
        <w:rPr>
          <w:rFonts w:ascii="ITC Avant Garde" w:hAnsi="ITC Avant Garde"/>
          <w:b/>
          <w:sz w:val="22"/>
          <w:szCs w:val="22"/>
          <w:lang w:val="es-MX"/>
        </w:rPr>
      </w:pPr>
      <w:r w:rsidRPr="0086242B">
        <w:rPr>
          <w:rFonts w:ascii="ITC Avant Garde" w:hAnsi="ITC Avant Garde"/>
          <w:b/>
          <w:sz w:val="22"/>
          <w:szCs w:val="22"/>
        </w:rPr>
        <w:t>Introducción</w:t>
      </w:r>
      <w:bookmarkEnd w:id="1"/>
    </w:p>
    <w:p w14:paraId="1209479D" w14:textId="77777777" w:rsidR="006B595F" w:rsidRPr="0086242B" w:rsidRDefault="006B595F" w:rsidP="006B595F">
      <w:pPr>
        <w:rPr>
          <w:rFonts w:ascii="ITC Avant Garde" w:hAnsi="ITC Avant Garde"/>
          <w:lang w:val="es-MX"/>
        </w:rPr>
      </w:pPr>
    </w:p>
    <w:p w14:paraId="090CFE9F"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El avance tecnológico que la industria electrónica ha registrado en las últimas décadas ha hecho cada vez más frecuente el uso de dispositivos que emiten señales de </w:t>
      </w:r>
      <w:r w:rsidRPr="0086242B">
        <w:rPr>
          <w:rFonts w:ascii="ITC Avant Garde" w:hAnsi="ITC Avant Garde"/>
          <w:sz w:val="20"/>
          <w:szCs w:val="20"/>
          <w:lang w:val="es-MX"/>
        </w:rPr>
        <w:t>radiofrecuencia</w:t>
      </w:r>
      <w:r w:rsidRPr="0086242B">
        <w:rPr>
          <w:rFonts w:ascii="ITC Avant Garde" w:hAnsi="ITC Avant Garde"/>
          <w:sz w:val="20"/>
          <w:szCs w:val="20"/>
        </w:rPr>
        <w:t xml:space="preserve"> en aplicaciones tan diversas como la radiodifusión sonora modulada en amplitud y en frecuencia, la radiodifusión de la televisión, la radiocomunicación móvil especializada de flotillas, la telefonía inalámbrica móvil, la instrumentación industrial, científica y médica, así como los electrodomésticos, entre otros, los cuales han ofrecido a la humanidad grandes beneficios.</w:t>
      </w:r>
    </w:p>
    <w:p w14:paraId="5290D029" w14:textId="77777777" w:rsidR="006B595F" w:rsidRPr="0086242B" w:rsidRDefault="006B595F" w:rsidP="006B595F">
      <w:pPr>
        <w:spacing w:line="360" w:lineRule="auto"/>
        <w:jc w:val="both"/>
        <w:rPr>
          <w:rFonts w:ascii="ITC Avant Garde" w:hAnsi="ITC Avant Garde"/>
          <w:sz w:val="20"/>
          <w:szCs w:val="20"/>
        </w:rPr>
      </w:pPr>
    </w:p>
    <w:p w14:paraId="188E89CB"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Como consecuencia de este desarrollo tecnológico, </w:t>
      </w:r>
      <w:r w:rsidR="003B36E9" w:rsidRPr="0086242B">
        <w:rPr>
          <w:rFonts w:ascii="ITC Avant Garde" w:hAnsi="ITC Avant Garde"/>
          <w:sz w:val="20"/>
          <w:szCs w:val="20"/>
        </w:rPr>
        <w:t>se</w:t>
      </w:r>
      <w:r w:rsidRPr="0086242B">
        <w:rPr>
          <w:rFonts w:ascii="ITC Avant Garde" w:hAnsi="ITC Avant Garde"/>
          <w:sz w:val="20"/>
          <w:szCs w:val="20"/>
        </w:rPr>
        <w:t xml:space="preserve"> incorpora energía electromagnética en </w:t>
      </w:r>
      <w:r w:rsidR="003B36E9" w:rsidRPr="0086242B">
        <w:rPr>
          <w:rFonts w:ascii="ITC Avant Garde" w:hAnsi="ITC Avant Garde"/>
          <w:sz w:val="20"/>
          <w:szCs w:val="20"/>
        </w:rPr>
        <w:t xml:space="preserve">el </w:t>
      </w:r>
      <w:r w:rsidRPr="0086242B">
        <w:rPr>
          <w:rFonts w:ascii="ITC Avant Garde" w:hAnsi="ITC Avant Garde"/>
          <w:sz w:val="20"/>
          <w:szCs w:val="20"/>
        </w:rPr>
        <w:t>entorno cercano</w:t>
      </w:r>
      <w:r w:rsidR="003B36E9" w:rsidRPr="0086242B">
        <w:rPr>
          <w:rFonts w:ascii="ITC Avant Garde" w:hAnsi="ITC Avant Garde"/>
          <w:sz w:val="20"/>
          <w:szCs w:val="20"/>
        </w:rPr>
        <w:t xml:space="preserve"> del ambiente que rodea al ser humano</w:t>
      </w:r>
      <w:r w:rsidRPr="0086242B">
        <w:rPr>
          <w:rFonts w:ascii="ITC Avant Garde" w:hAnsi="ITC Avant Garde"/>
          <w:sz w:val="20"/>
          <w:szCs w:val="20"/>
        </w:rPr>
        <w:t>. Esto ha motivado la realización de múltiples estudios científicos encaminados a determinar el grado de afectación que pudiera representar la exposición de seres humanos a cierta cantidad de energía electromagnética.</w:t>
      </w:r>
    </w:p>
    <w:p w14:paraId="2F48DC81" w14:textId="77777777" w:rsidR="006B595F" w:rsidRPr="0086242B" w:rsidRDefault="006B595F" w:rsidP="006B595F">
      <w:pPr>
        <w:spacing w:line="360" w:lineRule="auto"/>
        <w:jc w:val="both"/>
        <w:rPr>
          <w:rFonts w:ascii="ITC Avant Garde" w:hAnsi="ITC Avant Garde"/>
          <w:sz w:val="20"/>
          <w:szCs w:val="20"/>
        </w:rPr>
      </w:pPr>
    </w:p>
    <w:p w14:paraId="19401DB4"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Los primeros estudios de estas posibles afectaciones se remontan a la década </w:t>
      </w:r>
      <w:proofErr w:type="gramStart"/>
      <w:r w:rsidRPr="0086242B">
        <w:rPr>
          <w:rFonts w:ascii="ITC Avant Garde" w:hAnsi="ITC Avant Garde"/>
          <w:sz w:val="20"/>
          <w:szCs w:val="20"/>
        </w:rPr>
        <w:t xml:space="preserve">de </w:t>
      </w:r>
      <w:r w:rsidR="00E14243" w:rsidRPr="00F02808">
        <w:rPr>
          <w:rFonts w:ascii="ITC Avant Garde" w:hAnsi="ITC Avant Garde"/>
          <w:sz w:val="20"/>
          <w:szCs w:val="20"/>
        </w:rPr>
        <w:t xml:space="preserve"> 1930</w:t>
      </w:r>
      <w:proofErr w:type="gramEnd"/>
      <w:r w:rsidR="004A6089">
        <w:rPr>
          <w:rStyle w:val="Refdenotaalpie"/>
          <w:rFonts w:ascii="ITC Avant Garde" w:hAnsi="ITC Avant Garde"/>
          <w:sz w:val="20"/>
          <w:szCs w:val="20"/>
        </w:rPr>
        <w:footnoteReference w:id="1"/>
      </w:r>
      <w:r w:rsidR="00E14243">
        <w:rPr>
          <w:rFonts w:ascii="ITC Avant Garde" w:hAnsi="ITC Avant Garde"/>
          <w:sz w:val="20"/>
          <w:szCs w:val="20"/>
        </w:rPr>
        <w:t xml:space="preserve"> </w:t>
      </w:r>
      <w:r w:rsidRPr="0086242B">
        <w:rPr>
          <w:rFonts w:ascii="ITC Avant Garde" w:hAnsi="ITC Avant Garde"/>
          <w:sz w:val="20"/>
          <w:szCs w:val="20"/>
        </w:rPr>
        <w:t xml:space="preserve">Posteriormente, con el desarrollo de nuevos equipos de microondas durante la segunda guerra mundial, </w:t>
      </w:r>
      <w:r w:rsidR="004A6ACD" w:rsidRPr="0086242B">
        <w:rPr>
          <w:rFonts w:ascii="ITC Avant Garde" w:hAnsi="ITC Avant Garde"/>
          <w:sz w:val="20"/>
          <w:szCs w:val="20"/>
        </w:rPr>
        <w:t xml:space="preserve">Estados Unidos y Rusia </w:t>
      </w:r>
      <w:r w:rsidRPr="0086242B">
        <w:rPr>
          <w:rFonts w:ascii="ITC Avant Garde" w:hAnsi="ITC Avant Garde"/>
          <w:sz w:val="20"/>
          <w:szCs w:val="20"/>
        </w:rPr>
        <w:t xml:space="preserve">intensificaron </w:t>
      </w:r>
      <w:r w:rsidR="004A6ACD" w:rsidRPr="0086242B">
        <w:rPr>
          <w:rFonts w:ascii="ITC Avant Garde" w:hAnsi="ITC Avant Garde"/>
          <w:sz w:val="20"/>
          <w:szCs w:val="20"/>
        </w:rPr>
        <w:t xml:space="preserve">las investigaciones </w:t>
      </w:r>
      <w:r w:rsidRPr="0086242B">
        <w:rPr>
          <w:rFonts w:ascii="ITC Avant Garde" w:hAnsi="ITC Avant Garde"/>
          <w:sz w:val="20"/>
          <w:szCs w:val="20"/>
        </w:rPr>
        <w:t>para determinar las posibles afectaciones a la salud</w:t>
      </w:r>
      <w:r w:rsidR="008134CF" w:rsidRPr="0086242B">
        <w:rPr>
          <w:rFonts w:ascii="ITC Avant Garde" w:hAnsi="ITC Avant Garde"/>
          <w:sz w:val="20"/>
          <w:szCs w:val="20"/>
        </w:rPr>
        <w:t>,</w:t>
      </w:r>
      <w:r w:rsidRPr="0086242B">
        <w:rPr>
          <w:rFonts w:ascii="ITC Avant Garde" w:hAnsi="ITC Avant Garde"/>
          <w:sz w:val="20"/>
          <w:szCs w:val="20"/>
        </w:rPr>
        <w:t xml:space="preserve"> sobre todo</w:t>
      </w:r>
      <w:r w:rsidR="008134CF" w:rsidRPr="0086242B">
        <w:rPr>
          <w:rFonts w:ascii="ITC Avant Garde" w:hAnsi="ITC Avant Garde"/>
          <w:sz w:val="20"/>
          <w:szCs w:val="20"/>
        </w:rPr>
        <w:t>,</w:t>
      </w:r>
      <w:r w:rsidRPr="0086242B">
        <w:rPr>
          <w:rFonts w:ascii="ITC Avant Garde" w:hAnsi="ITC Avant Garde"/>
          <w:sz w:val="20"/>
          <w:szCs w:val="20"/>
        </w:rPr>
        <w:t xml:space="preserve"> de los operadores de </w:t>
      </w:r>
      <w:r w:rsidR="009C2C30" w:rsidRPr="0086242B">
        <w:rPr>
          <w:rFonts w:ascii="ITC Avant Garde" w:hAnsi="ITC Avant Garde"/>
          <w:sz w:val="20"/>
          <w:szCs w:val="20"/>
        </w:rPr>
        <w:t>dichos</w:t>
      </w:r>
      <w:r w:rsidRPr="0086242B">
        <w:rPr>
          <w:rFonts w:ascii="ITC Avant Garde" w:hAnsi="ITC Avant Garde"/>
          <w:sz w:val="20"/>
          <w:szCs w:val="20"/>
        </w:rPr>
        <w:t xml:space="preserve"> equipos. Tomando como base los resultados obtenidos </w:t>
      </w:r>
      <w:r w:rsidR="00610306" w:rsidRPr="0086242B">
        <w:rPr>
          <w:rFonts w:ascii="ITC Avant Garde" w:hAnsi="ITC Avant Garde"/>
          <w:sz w:val="20"/>
          <w:szCs w:val="20"/>
        </w:rPr>
        <w:t xml:space="preserve">de la investigación continua </w:t>
      </w:r>
      <w:r w:rsidR="00DE7E77" w:rsidRPr="0086242B">
        <w:rPr>
          <w:rFonts w:ascii="ITC Avant Garde" w:hAnsi="ITC Avant Garde"/>
          <w:sz w:val="20"/>
          <w:szCs w:val="20"/>
        </w:rPr>
        <w:t>en este tema</w:t>
      </w:r>
      <w:r w:rsidRPr="0086242B">
        <w:rPr>
          <w:rFonts w:ascii="ITC Avant Garde" w:hAnsi="ITC Avant Garde"/>
          <w:sz w:val="20"/>
          <w:szCs w:val="20"/>
        </w:rPr>
        <w:t xml:space="preserve">, en varios países se han </w:t>
      </w:r>
      <w:r w:rsidR="00DE7E77" w:rsidRPr="0086242B">
        <w:rPr>
          <w:rFonts w:ascii="ITC Avant Garde" w:hAnsi="ITC Avant Garde"/>
          <w:sz w:val="20"/>
          <w:szCs w:val="20"/>
        </w:rPr>
        <w:t>desarrollado</w:t>
      </w:r>
      <w:r w:rsidRPr="0086242B">
        <w:rPr>
          <w:rFonts w:ascii="ITC Avant Garde" w:hAnsi="ITC Avant Garde"/>
          <w:sz w:val="20"/>
          <w:szCs w:val="20"/>
        </w:rPr>
        <w:t xml:space="preserve"> estándares, guías u otros documentos normativos que establecen límites de exposición máxima a campos electromagnéticos. </w:t>
      </w:r>
    </w:p>
    <w:p w14:paraId="4BC037E4" w14:textId="77777777" w:rsidR="006B595F" w:rsidRPr="0086242B" w:rsidRDefault="006B595F" w:rsidP="006B595F">
      <w:pPr>
        <w:spacing w:line="360" w:lineRule="auto"/>
        <w:jc w:val="both"/>
        <w:rPr>
          <w:rFonts w:ascii="ITC Avant Garde" w:hAnsi="ITC Avant Garde"/>
          <w:sz w:val="20"/>
          <w:szCs w:val="20"/>
        </w:rPr>
      </w:pPr>
    </w:p>
    <w:p w14:paraId="282CF3D5"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La presente Disposición Técnica (DT) tiene como propósito regular los niveles de energía electromagnética de radiofrecuencias que son producidos por la operación de estaciones y equipos terminales de radiocomunicaciones que se emplean para servicios de telecomunicaciones en lugares donde esté habitualmente presente público en general. </w:t>
      </w:r>
    </w:p>
    <w:p w14:paraId="5F92E93A" w14:textId="77777777" w:rsidR="006B595F" w:rsidRPr="0086242B" w:rsidRDefault="006B595F" w:rsidP="006B595F">
      <w:pPr>
        <w:jc w:val="both"/>
        <w:rPr>
          <w:rFonts w:ascii="ITC Avant Garde" w:hAnsi="ITC Avant Garde"/>
        </w:rPr>
      </w:pPr>
    </w:p>
    <w:p w14:paraId="220A2E6A"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Por ello, los límites de exposición máxima a energía electromagnética que se adoptan son los especificados en la recomendación internacional sobre límites de exposición a campos eléctricos, magnéticos y electromagnéticos (hasta 300 GHz), publicada en 1998 por la Comisión Internacional para la Protección contra las Radiaciones No Ionizantes (ICNIRP), organización científica independiente no gubernamental reconocida formalmente por la Organización Mundial de la Salud (OMS). </w:t>
      </w:r>
    </w:p>
    <w:p w14:paraId="7BA351E6" w14:textId="77777777" w:rsidR="006B595F" w:rsidRPr="0086242B" w:rsidRDefault="006B595F" w:rsidP="006B595F">
      <w:pPr>
        <w:spacing w:line="360" w:lineRule="auto"/>
        <w:rPr>
          <w:rFonts w:ascii="ITC Avant Garde" w:hAnsi="ITC Avant Garde"/>
          <w:sz w:val="20"/>
          <w:szCs w:val="20"/>
        </w:rPr>
      </w:pPr>
    </w:p>
    <w:p w14:paraId="4389EA01"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Adicionalmente y con el fin de </w:t>
      </w:r>
      <w:r w:rsidR="009C2C30" w:rsidRPr="0086242B">
        <w:rPr>
          <w:rFonts w:ascii="ITC Avant Garde" w:hAnsi="ITC Avant Garde"/>
          <w:sz w:val="20"/>
          <w:szCs w:val="20"/>
        </w:rPr>
        <w:t xml:space="preserve">validar </w:t>
      </w:r>
      <w:r w:rsidRPr="0086242B">
        <w:rPr>
          <w:rFonts w:ascii="ITC Avant Garde" w:hAnsi="ITC Avant Garde"/>
          <w:sz w:val="20"/>
          <w:szCs w:val="20"/>
        </w:rPr>
        <w:t xml:space="preserve">el cumplimiento de los límites de exposición de esta Disposición Técnica, se incorporan métodos de prueba que proporcionan los requerimientos fundamentales a seguir para calcular y/o medir los niveles de campos electromagnéticos emitidos por diversos emisores de energía electromagnética. Dichos métodos de prueba son consistentes con las especificaciones del estándar C95.3 publicado en el año </w:t>
      </w:r>
      <w:r w:rsidR="00E14243" w:rsidRPr="00F02808">
        <w:rPr>
          <w:rFonts w:ascii="ITC Avant Garde" w:hAnsi="ITC Avant Garde"/>
          <w:sz w:val="20"/>
          <w:szCs w:val="20"/>
        </w:rPr>
        <w:t>2002</w:t>
      </w:r>
      <w:r w:rsidR="00F237B5">
        <w:rPr>
          <w:rFonts w:ascii="ITC Avant Garde" w:hAnsi="ITC Avant Garde"/>
          <w:sz w:val="20"/>
          <w:szCs w:val="20"/>
        </w:rPr>
        <w:t xml:space="preserve"> </w:t>
      </w:r>
      <w:r w:rsidRPr="0086242B">
        <w:rPr>
          <w:rFonts w:ascii="ITC Avant Garde" w:hAnsi="ITC Avant Garde"/>
          <w:sz w:val="20"/>
          <w:szCs w:val="20"/>
        </w:rPr>
        <w:t>por el Instituto de Ingenieros Eléctricos y Electrónicos (IEEE) referente a mediciones y cálculos de campos electromagnéticos de radiofrecuencia con respecto a la exposición humana a dichos campos, en las frecuencias de 100 kHz a 300 GHz. Los métodos de prueba en comento también incluyen la medición del índice de absorción específica (SAR) producido por teléfonos móviles portátiles, de forma compatible con las especificaciones de la Norma Internacional 62209-1 publicada en el año 2005 por parte del Comité Electrotécnico Internacional (IEC), referente a los procedimientos para determinar el SAR producido por dispositivos de comunicaciones inalámbricos portátiles utilizados cerca del oído, en el intervalo de frecuencias de 300 MHz a 3 GHz.</w:t>
      </w:r>
    </w:p>
    <w:p w14:paraId="1CE2EF2C" w14:textId="77777777" w:rsidR="006B595F" w:rsidRPr="0086242B" w:rsidRDefault="006B595F" w:rsidP="006B595F">
      <w:pPr>
        <w:spacing w:line="360" w:lineRule="auto"/>
        <w:rPr>
          <w:rFonts w:ascii="ITC Avant Garde" w:hAnsi="ITC Avant Garde"/>
          <w:sz w:val="20"/>
          <w:szCs w:val="20"/>
        </w:rPr>
      </w:pPr>
    </w:p>
    <w:p w14:paraId="48FE3769" w14:textId="77777777" w:rsidR="006B595F"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La presente Disposición Técnica responde a la creciente preocupación de la población acerca de la proliferación de instalaciones y equipos generadores de campos electromagnéticos como consecuencia del acelerado desarrollo tecnológico en el ámbito de las telecomunicaciones y radiodifusión.</w:t>
      </w:r>
    </w:p>
    <w:p w14:paraId="5BA09B79" w14:textId="77777777" w:rsidR="00912175" w:rsidRDefault="00912175">
      <w:pPr>
        <w:spacing w:after="160" w:line="259" w:lineRule="auto"/>
        <w:rPr>
          <w:rFonts w:ascii="ITC Avant Garde" w:hAnsi="ITC Avant Garde"/>
          <w:sz w:val="20"/>
          <w:szCs w:val="20"/>
        </w:rPr>
      </w:pPr>
      <w:r>
        <w:rPr>
          <w:rFonts w:ascii="ITC Avant Garde" w:hAnsi="ITC Avant Garde"/>
          <w:sz w:val="20"/>
          <w:szCs w:val="20"/>
        </w:rPr>
        <w:br w:type="page"/>
      </w:r>
    </w:p>
    <w:p w14:paraId="3B79531D" w14:textId="77777777" w:rsidR="00912175" w:rsidRPr="0086242B" w:rsidRDefault="00912175" w:rsidP="006B595F">
      <w:pPr>
        <w:spacing w:line="360" w:lineRule="auto"/>
        <w:jc w:val="both"/>
        <w:rPr>
          <w:rFonts w:ascii="ITC Avant Garde" w:hAnsi="ITC Avant Garde"/>
          <w:sz w:val="20"/>
          <w:szCs w:val="20"/>
        </w:rPr>
      </w:pPr>
    </w:p>
    <w:p w14:paraId="3876576D" w14:textId="77777777" w:rsidR="006B595F" w:rsidRPr="0086242B" w:rsidRDefault="006B595F" w:rsidP="006B595F">
      <w:pPr>
        <w:rPr>
          <w:rFonts w:ascii="ITC Avant Garde" w:hAnsi="ITC Avant Garde"/>
        </w:rPr>
      </w:pPr>
    </w:p>
    <w:p w14:paraId="2F04CCE9" w14:textId="77777777" w:rsidR="006B595F" w:rsidRPr="0086242B" w:rsidRDefault="006B595F" w:rsidP="006B595F">
      <w:pPr>
        <w:pStyle w:val="Prrafodelista"/>
        <w:numPr>
          <w:ilvl w:val="0"/>
          <w:numId w:val="49"/>
        </w:numPr>
        <w:tabs>
          <w:tab w:val="left" w:pos="567"/>
        </w:tabs>
        <w:rPr>
          <w:rFonts w:ascii="ITC Avant Garde" w:hAnsi="ITC Avant Garde"/>
          <w:sz w:val="22"/>
          <w:szCs w:val="22"/>
        </w:rPr>
      </w:pPr>
      <w:bookmarkStart w:id="3" w:name="_Toc414444587"/>
      <w:r w:rsidRPr="0086242B">
        <w:rPr>
          <w:rFonts w:ascii="ITC Avant Garde" w:hAnsi="ITC Avant Garde"/>
          <w:b/>
          <w:sz w:val="22"/>
          <w:szCs w:val="22"/>
        </w:rPr>
        <w:t xml:space="preserve"> Objetivo y Campo de Aplicación</w:t>
      </w:r>
      <w:bookmarkEnd w:id="3"/>
    </w:p>
    <w:p w14:paraId="6635D817" w14:textId="77777777" w:rsidR="006B595F" w:rsidRPr="0086242B" w:rsidRDefault="006B595F" w:rsidP="006B595F">
      <w:pPr>
        <w:rPr>
          <w:rFonts w:ascii="ITC Avant Garde" w:hAnsi="ITC Avant Garde"/>
          <w:lang w:val="es-MX"/>
        </w:rPr>
      </w:pPr>
    </w:p>
    <w:p w14:paraId="3AAFD534" w14:textId="77777777" w:rsidR="006B595F" w:rsidRPr="0086242B" w:rsidRDefault="00A7522A"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rPr>
        <w:t xml:space="preserve">La presente </w:t>
      </w:r>
      <w:r w:rsidR="006B595F" w:rsidRPr="0086242B">
        <w:rPr>
          <w:rFonts w:ascii="ITC Avant Garde" w:hAnsi="ITC Avant Garde"/>
          <w:sz w:val="20"/>
          <w:szCs w:val="20"/>
        </w:rPr>
        <w:t>Disposición Técnica establece límites de exposición máxima para seres humanos cercanos a emisores de campos electromagnéticos en el entorno de radiocomunicaciones; así como los métodos de prueba requeridos para evaluar su cumplimiento</w:t>
      </w:r>
      <w:r w:rsidRPr="0086242B">
        <w:rPr>
          <w:rFonts w:ascii="ITC Avant Garde" w:hAnsi="ITC Avant Garde"/>
          <w:sz w:val="20"/>
          <w:szCs w:val="20"/>
          <w:lang w:val="es-ES_tradnl"/>
        </w:rPr>
        <w:t xml:space="preserve"> y, </w:t>
      </w:r>
      <w:proofErr w:type="gramStart"/>
      <w:r w:rsidR="006B595F" w:rsidRPr="0086242B">
        <w:rPr>
          <w:rFonts w:ascii="ITC Avant Garde" w:hAnsi="ITC Avant Garde"/>
          <w:sz w:val="20"/>
          <w:szCs w:val="20"/>
          <w:lang w:val="es-ES_tradnl"/>
        </w:rPr>
        <w:t>cubre  los</w:t>
      </w:r>
      <w:proofErr w:type="gramEnd"/>
      <w:r w:rsidR="006B595F" w:rsidRPr="0086242B">
        <w:rPr>
          <w:rFonts w:ascii="ITC Avant Garde" w:hAnsi="ITC Avant Garde"/>
          <w:sz w:val="20"/>
          <w:szCs w:val="20"/>
          <w:lang w:val="es-ES_tradnl"/>
        </w:rPr>
        <w:t xml:space="preserve"> siguientes aspectos:</w:t>
      </w:r>
    </w:p>
    <w:p w14:paraId="0693067C" w14:textId="77777777" w:rsidR="006B595F" w:rsidRPr="0086242B" w:rsidRDefault="006B595F" w:rsidP="006B595F">
      <w:pPr>
        <w:spacing w:line="360" w:lineRule="auto"/>
        <w:jc w:val="both"/>
        <w:rPr>
          <w:rFonts w:ascii="ITC Avant Garde" w:hAnsi="ITC Avant Garde"/>
          <w:sz w:val="20"/>
          <w:szCs w:val="20"/>
          <w:lang w:val="es-ES_tradnl"/>
        </w:rPr>
      </w:pPr>
    </w:p>
    <w:p w14:paraId="516C6750" w14:textId="77777777" w:rsidR="006B595F" w:rsidRPr="0086242B" w:rsidRDefault="006B595F" w:rsidP="006B595F">
      <w:pPr>
        <w:spacing w:line="360" w:lineRule="auto"/>
        <w:ind w:left="567" w:hanging="567"/>
        <w:jc w:val="both"/>
        <w:rPr>
          <w:rFonts w:ascii="ITC Avant Garde" w:hAnsi="ITC Avant Garde"/>
          <w:sz w:val="20"/>
          <w:szCs w:val="20"/>
          <w:lang w:val="es-ES_tradnl"/>
        </w:rPr>
      </w:pPr>
      <w:r w:rsidRPr="0086242B">
        <w:rPr>
          <w:rFonts w:ascii="ITC Avant Garde" w:hAnsi="ITC Avant Garde"/>
          <w:sz w:val="20"/>
          <w:szCs w:val="20"/>
          <w:lang w:val="es-ES_tradnl"/>
        </w:rPr>
        <w:t>a)</w:t>
      </w:r>
      <w:r w:rsidRPr="0086242B">
        <w:rPr>
          <w:rFonts w:ascii="ITC Avant Garde" w:hAnsi="ITC Avant Garde"/>
          <w:sz w:val="20"/>
          <w:szCs w:val="20"/>
          <w:lang w:val="es-ES_tradnl"/>
        </w:rPr>
        <w:tab/>
        <w:t xml:space="preserve">Asegurar que en las zonas de exposición a campos electromagnéticos producidos por la operación de estaciones de radiocomunicaciones en donde habitualmente  se encuentre público en general, no se excedan los niveles de exposición máxima establecidos </w:t>
      </w:r>
      <w:r w:rsidRPr="0086242B">
        <w:rPr>
          <w:rFonts w:ascii="ITC Avant Garde" w:hAnsi="ITC Avant Garde"/>
          <w:sz w:val="20"/>
          <w:szCs w:val="20"/>
        </w:rPr>
        <w:t>en el intervalo de frecuencias de 100 kHz a 300 GHz</w:t>
      </w:r>
      <w:r w:rsidRPr="0086242B">
        <w:rPr>
          <w:rFonts w:ascii="ITC Avant Garde" w:hAnsi="ITC Avant Garde"/>
          <w:sz w:val="20"/>
          <w:szCs w:val="20"/>
          <w:lang w:val="es-ES_tradnl"/>
        </w:rPr>
        <w:t xml:space="preserve">.  </w:t>
      </w:r>
    </w:p>
    <w:p w14:paraId="46C43E9B" w14:textId="77777777" w:rsidR="006B595F" w:rsidRPr="0086242B" w:rsidRDefault="006B595F" w:rsidP="006B595F">
      <w:pPr>
        <w:spacing w:line="360" w:lineRule="auto"/>
        <w:ind w:left="567" w:hanging="567"/>
        <w:jc w:val="both"/>
        <w:rPr>
          <w:rFonts w:ascii="ITC Avant Garde" w:hAnsi="ITC Avant Garde"/>
          <w:sz w:val="20"/>
          <w:szCs w:val="20"/>
          <w:lang w:val="es-ES_tradnl"/>
        </w:rPr>
      </w:pPr>
    </w:p>
    <w:p w14:paraId="71A29247" w14:textId="77777777" w:rsidR="006B595F" w:rsidRPr="0086242B" w:rsidRDefault="006B595F" w:rsidP="006B595F">
      <w:pPr>
        <w:spacing w:line="360" w:lineRule="auto"/>
        <w:ind w:left="567" w:hanging="567"/>
        <w:jc w:val="both"/>
        <w:rPr>
          <w:rFonts w:ascii="ITC Avant Garde" w:hAnsi="ITC Avant Garde"/>
          <w:sz w:val="20"/>
          <w:szCs w:val="20"/>
          <w:lang w:val="es-ES_tradnl"/>
        </w:rPr>
      </w:pPr>
      <w:r w:rsidRPr="0086242B">
        <w:rPr>
          <w:rFonts w:ascii="ITC Avant Garde" w:hAnsi="ITC Avant Garde"/>
          <w:sz w:val="20"/>
          <w:szCs w:val="20"/>
          <w:lang w:val="es-ES_tradnl"/>
        </w:rPr>
        <w:t>b)</w:t>
      </w:r>
      <w:r w:rsidRPr="0086242B">
        <w:rPr>
          <w:rFonts w:ascii="ITC Avant Garde" w:hAnsi="ITC Avant Garde"/>
          <w:sz w:val="20"/>
          <w:szCs w:val="20"/>
          <w:lang w:val="es-ES_tradnl"/>
        </w:rPr>
        <w:tab/>
        <w:t xml:space="preserve">Asegurar que los equipos terminales de radiocomunicaciones utilizados cerca del oído no excedan los límites básicos de exposición máxima, </w:t>
      </w:r>
      <w:r w:rsidRPr="0086242B">
        <w:rPr>
          <w:rFonts w:ascii="ITC Avant Garde" w:hAnsi="ITC Avant Garde"/>
          <w:sz w:val="20"/>
          <w:szCs w:val="20"/>
        </w:rPr>
        <w:t xml:space="preserve">específicamente los valores del SAR localizado en la cabeza y el tronco </w:t>
      </w:r>
      <w:r w:rsidRPr="0086242B">
        <w:rPr>
          <w:rFonts w:ascii="ITC Avant Garde" w:hAnsi="ITC Avant Garde"/>
          <w:sz w:val="20"/>
          <w:szCs w:val="20"/>
          <w:lang w:val="es-ES_tradnl"/>
        </w:rPr>
        <w:t xml:space="preserve">en el intervalo de frecuencias de 300 MHz a 3 GHz.  </w:t>
      </w:r>
    </w:p>
    <w:p w14:paraId="04D2A30F" w14:textId="77777777" w:rsidR="006B595F" w:rsidRPr="0086242B" w:rsidRDefault="006B595F" w:rsidP="006B595F">
      <w:pPr>
        <w:spacing w:line="360" w:lineRule="auto"/>
        <w:jc w:val="both"/>
        <w:rPr>
          <w:rFonts w:ascii="ITC Avant Garde" w:hAnsi="ITC Avant Garde"/>
          <w:sz w:val="20"/>
          <w:szCs w:val="20"/>
          <w:lang w:val="es-ES_tradnl"/>
        </w:rPr>
      </w:pPr>
    </w:p>
    <w:p w14:paraId="1FC63444"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La Disposición Técnica es aplicable a:</w:t>
      </w:r>
    </w:p>
    <w:p w14:paraId="11CFE8ED" w14:textId="77777777" w:rsidR="006B595F" w:rsidRPr="0086242B" w:rsidRDefault="006B595F" w:rsidP="006B595F">
      <w:pPr>
        <w:spacing w:line="360" w:lineRule="auto"/>
        <w:jc w:val="both"/>
        <w:rPr>
          <w:rFonts w:ascii="ITC Avant Garde" w:hAnsi="ITC Avant Garde"/>
          <w:sz w:val="20"/>
          <w:szCs w:val="20"/>
        </w:rPr>
      </w:pPr>
    </w:p>
    <w:p w14:paraId="702785DD" w14:textId="77777777" w:rsidR="006B595F" w:rsidRPr="0086242B" w:rsidRDefault="006B595F" w:rsidP="006B595F">
      <w:pPr>
        <w:numPr>
          <w:ilvl w:val="0"/>
          <w:numId w:val="23"/>
        </w:numPr>
        <w:spacing w:line="360" w:lineRule="auto"/>
        <w:jc w:val="both"/>
        <w:rPr>
          <w:rFonts w:ascii="ITC Avant Garde" w:hAnsi="ITC Avant Garde"/>
          <w:sz w:val="20"/>
          <w:szCs w:val="20"/>
        </w:rPr>
      </w:pPr>
      <w:r w:rsidRPr="0086242B">
        <w:rPr>
          <w:rFonts w:ascii="ITC Avant Garde" w:hAnsi="ITC Avant Garde"/>
          <w:sz w:val="20"/>
          <w:szCs w:val="20"/>
        </w:rPr>
        <w:t xml:space="preserve">Los concesionarios </w:t>
      </w:r>
      <w:r w:rsidR="006A1E45" w:rsidRPr="0086242B">
        <w:rPr>
          <w:rFonts w:ascii="ITC Avant Garde" w:hAnsi="ITC Avant Garde"/>
          <w:sz w:val="20"/>
          <w:szCs w:val="20"/>
        </w:rPr>
        <w:t xml:space="preserve">y autorizados </w:t>
      </w:r>
      <w:r w:rsidRPr="0086242B">
        <w:rPr>
          <w:rFonts w:ascii="ITC Avant Garde" w:hAnsi="ITC Avant Garde"/>
          <w:sz w:val="20"/>
          <w:szCs w:val="20"/>
        </w:rPr>
        <w:t>que cuenten con estaciones de radiocomunicaciones que estén operando o a ser puestas en operación para la prestación de servicios de telecomunicaciones y de radiodifusión en el intervalo que va de 100 kHz a 300 GHz.</w:t>
      </w:r>
    </w:p>
    <w:p w14:paraId="37477136" w14:textId="77777777" w:rsidR="006B595F" w:rsidRPr="0086242B" w:rsidRDefault="006B595F" w:rsidP="006B595F">
      <w:pPr>
        <w:spacing w:line="360" w:lineRule="auto"/>
        <w:ind w:left="720"/>
        <w:jc w:val="both"/>
        <w:rPr>
          <w:rFonts w:ascii="ITC Avant Garde" w:hAnsi="ITC Avant Garde"/>
          <w:sz w:val="20"/>
          <w:szCs w:val="20"/>
        </w:rPr>
      </w:pPr>
    </w:p>
    <w:p w14:paraId="4ACEFD42" w14:textId="77777777" w:rsidR="006B595F" w:rsidRPr="0086242B" w:rsidRDefault="006B595F" w:rsidP="006B595F">
      <w:pPr>
        <w:numPr>
          <w:ilvl w:val="0"/>
          <w:numId w:val="23"/>
        </w:numPr>
        <w:spacing w:line="360" w:lineRule="auto"/>
        <w:jc w:val="both"/>
        <w:rPr>
          <w:rFonts w:ascii="ITC Avant Garde" w:hAnsi="ITC Avant Garde"/>
          <w:sz w:val="20"/>
          <w:szCs w:val="20"/>
        </w:rPr>
      </w:pPr>
      <w:r w:rsidRPr="0086242B">
        <w:rPr>
          <w:rFonts w:ascii="ITC Avant Garde" w:hAnsi="ITC Avant Garde"/>
          <w:sz w:val="20"/>
          <w:szCs w:val="20"/>
        </w:rPr>
        <w:t>Las personas físicas o morales que importen, fabriquen y/o comercialicen equipos terminales de radiocomunicaciones que se conecten a través de un acceso inalámbrico a una red pública de telecomunicaciones.</w:t>
      </w:r>
    </w:p>
    <w:p w14:paraId="01D6A240" w14:textId="77777777" w:rsidR="006B595F" w:rsidRPr="0086242B" w:rsidRDefault="006B595F" w:rsidP="006B595F">
      <w:pPr>
        <w:jc w:val="both"/>
        <w:rPr>
          <w:rFonts w:ascii="ITC Avant Garde" w:hAnsi="ITC Avant Garde"/>
        </w:rPr>
      </w:pPr>
    </w:p>
    <w:p w14:paraId="221B197D" w14:textId="68FF84D4" w:rsidR="006B595F" w:rsidRPr="0086242B" w:rsidRDefault="006B595F" w:rsidP="006B595F">
      <w:pPr>
        <w:pStyle w:val="Prrafodelista"/>
        <w:numPr>
          <w:ilvl w:val="0"/>
          <w:numId w:val="49"/>
        </w:numPr>
        <w:tabs>
          <w:tab w:val="left" w:pos="567"/>
        </w:tabs>
        <w:rPr>
          <w:rFonts w:ascii="ITC Avant Garde" w:hAnsi="ITC Avant Garde"/>
          <w:sz w:val="22"/>
          <w:szCs w:val="22"/>
        </w:rPr>
      </w:pPr>
      <w:bookmarkStart w:id="4" w:name="_Toc414444588"/>
      <w:r w:rsidRPr="0086242B">
        <w:rPr>
          <w:rFonts w:ascii="ITC Avant Garde" w:hAnsi="ITC Avant Garde"/>
          <w:b/>
          <w:sz w:val="22"/>
          <w:szCs w:val="22"/>
        </w:rPr>
        <w:t xml:space="preserve">  </w:t>
      </w:r>
      <w:bookmarkEnd w:id="4"/>
      <w:r w:rsidR="00E14243" w:rsidRPr="00F02808">
        <w:rPr>
          <w:rFonts w:ascii="ITC Avant Garde" w:hAnsi="ITC Avant Garde"/>
          <w:b/>
          <w:sz w:val="22"/>
          <w:szCs w:val="22"/>
        </w:rPr>
        <w:t>Definiciones</w:t>
      </w:r>
    </w:p>
    <w:p w14:paraId="04AD98A6" w14:textId="77777777" w:rsidR="006B595F" w:rsidRPr="0086242B" w:rsidRDefault="006B595F" w:rsidP="006B595F">
      <w:pPr>
        <w:pStyle w:val="Prrafodelista"/>
        <w:tabs>
          <w:tab w:val="left" w:pos="567"/>
        </w:tabs>
        <w:rPr>
          <w:rFonts w:ascii="ITC Avant Garde" w:hAnsi="ITC Avant Garde"/>
          <w:sz w:val="22"/>
          <w:szCs w:val="22"/>
        </w:rPr>
      </w:pPr>
    </w:p>
    <w:p w14:paraId="12C5C052" w14:textId="77777777" w:rsidR="006B595F" w:rsidRPr="0086242B" w:rsidRDefault="006B595F" w:rsidP="006B595F">
      <w:pPr>
        <w:spacing w:line="360" w:lineRule="auto"/>
        <w:rPr>
          <w:rFonts w:ascii="ITC Avant Garde" w:hAnsi="ITC Avant Garde"/>
          <w:sz w:val="20"/>
          <w:szCs w:val="20"/>
          <w:lang w:val="es-MX"/>
        </w:rPr>
      </w:pPr>
      <w:r w:rsidRPr="0086242B">
        <w:rPr>
          <w:rFonts w:ascii="ITC Avant Garde" w:hAnsi="ITC Avant Garde"/>
          <w:sz w:val="20"/>
          <w:szCs w:val="20"/>
          <w:lang w:val="es-MX"/>
        </w:rPr>
        <w:t>Para los efectos de la presente Disposición Técnica, además de las definiciones previstas en la Ley Federal de Telecomunicaciones y Radiodifusión, se entenderá por:</w:t>
      </w:r>
    </w:p>
    <w:p w14:paraId="476FBD1D" w14:textId="77777777" w:rsidR="006B595F" w:rsidRPr="0086242B" w:rsidRDefault="006B595F" w:rsidP="006B595F">
      <w:pPr>
        <w:spacing w:line="360" w:lineRule="auto"/>
        <w:rPr>
          <w:rFonts w:ascii="ITC Avant Garde" w:hAnsi="ITC Avant Garde"/>
          <w:sz w:val="20"/>
          <w:szCs w:val="20"/>
          <w:lang w:val="es-MX"/>
        </w:rPr>
      </w:pPr>
    </w:p>
    <w:p w14:paraId="24B6EBA3" w14:textId="77777777" w:rsidR="006B595F" w:rsidRPr="0086242B" w:rsidRDefault="006B595F" w:rsidP="006B595F">
      <w:pPr>
        <w:pStyle w:val="Prrafodelista"/>
        <w:numPr>
          <w:ilvl w:val="0"/>
          <w:numId w:val="51"/>
        </w:numPr>
        <w:spacing w:line="360" w:lineRule="auto"/>
        <w:jc w:val="both"/>
        <w:rPr>
          <w:rFonts w:ascii="ITC Avant Garde" w:hAnsi="ITC Avant Garde"/>
          <w:sz w:val="20"/>
          <w:szCs w:val="20"/>
          <w:lang w:val="es-MX"/>
        </w:rPr>
      </w:pPr>
      <w:r w:rsidRPr="0086242B">
        <w:rPr>
          <w:rFonts w:ascii="ITC Avant Garde" w:hAnsi="ITC Avant Garde"/>
          <w:b/>
          <w:sz w:val="20"/>
          <w:szCs w:val="20"/>
          <w:lang w:val="es-MX"/>
        </w:rPr>
        <w:t xml:space="preserve">Absorción específica de energía (SA).- </w:t>
      </w:r>
      <w:r w:rsidRPr="0086242B">
        <w:rPr>
          <w:rFonts w:ascii="ITC Avant Garde" w:hAnsi="ITC Avant Garde"/>
          <w:sz w:val="20"/>
          <w:szCs w:val="20"/>
          <w:lang w:val="es-MX"/>
        </w:rPr>
        <w:t xml:space="preserve">Es la energía absorbida por unidad de masa del tejido biológico expresada en </w:t>
      </w:r>
      <w:proofErr w:type="spellStart"/>
      <w:r w:rsidRPr="0086242B">
        <w:rPr>
          <w:rFonts w:ascii="ITC Avant Garde" w:hAnsi="ITC Avant Garde"/>
          <w:sz w:val="20"/>
          <w:szCs w:val="20"/>
          <w:lang w:val="es-MX"/>
        </w:rPr>
        <w:t>joules</w:t>
      </w:r>
      <w:proofErr w:type="spellEnd"/>
      <w:r w:rsidRPr="0086242B">
        <w:rPr>
          <w:rFonts w:ascii="ITC Avant Garde" w:hAnsi="ITC Avant Garde"/>
          <w:sz w:val="20"/>
          <w:szCs w:val="20"/>
          <w:lang w:val="es-MX"/>
        </w:rPr>
        <w:t xml:space="preserve"> por kilogramo [J/kg]. La absorción específica de energía es igual a la integral en el tiempo del índice de absorción específica.</w:t>
      </w:r>
    </w:p>
    <w:p w14:paraId="187A877C" w14:textId="77777777" w:rsidR="006B595F" w:rsidRPr="0086242B" w:rsidRDefault="006B595F" w:rsidP="006B595F">
      <w:pPr>
        <w:spacing w:line="360" w:lineRule="auto"/>
        <w:jc w:val="both"/>
        <w:rPr>
          <w:rFonts w:ascii="ITC Avant Garde" w:hAnsi="ITC Avant Garde"/>
          <w:b/>
          <w:sz w:val="20"/>
          <w:szCs w:val="20"/>
          <w:lang w:val="es-MX"/>
        </w:rPr>
      </w:pPr>
    </w:p>
    <w:p w14:paraId="2FAC6D86" w14:textId="77777777" w:rsidR="006B595F" w:rsidRPr="0086242B" w:rsidRDefault="006B595F" w:rsidP="006B595F">
      <w:pPr>
        <w:pStyle w:val="Prrafodelista"/>
        <w:numPr>
          <w:ilvl w:val="0"/>
          <w:numId w:val="51"/>
        </w:numPr>
        <w:spacing w:line="360" w:lineRule="auto"/>
        <w:jc w:val="both"/>
        <w:rPr>
          <w:rFonts w:ascii="ITC Avant Garde" w:hAnsi="ITC Avant Garde"/>
          <w:sz w:val="20"/>
          <w:szCs w:val="20"/>
          <w:lang w:val="es-MX"/>
        </w:rPr>
      </w:pPr>
      <w:r w:rsidRPr="0086242B">
        <w:rPr>
          <w:rFonts w:ascii="ITC Avant Garde" w:hAnsi="ITC Avant Garde"/>
          <w:b/>
          <w:sz w:val="20"/>
          <w:szCs w:val="20"/>
          <w:lang w:val="es-MX"/>
        </w:rPr>
        <w:t xml:space="preserve">Ciclo de trabajo.- </w:t>
      </w:r>
      <w:r w:rsidRPr="0086242B">
        <w:rPr>
          <w:rFonts w:ascii="ITC Avant Garde" w:hAnsi="ITC Avant Garde"/>
          <w:sz w:val="20"/>
          <w:szCs w:val="20"/>
          <w:lang w:val="es-MX"/>
        </w:rPr>
        <w:t>La razón entre la duración de un pulso y el periodo de un tren de pulsos.</w:t>
      </w:r>
    </w:p>
    <w:p w14:paraId="04F2807B" w14:textId="77777777" w:rsidR="006B595F" w:rsidRPr="0086242B" w:rsidRDefault="006B595F" w:rsidP="006B595F">
      <w:pPr>
        <w:spacing w:line="360" w:lineRule="auto"/>
        <w:jc w:val="both"/>
        <w:rPr>
          <w:rFonts w:ascii="ITC Avant Garde" w:hAnsi="ITC Avant Garde"/>
          <w:b/>
          <w:sz w:val="20"/>
          <w:szCs w:val="20"/>
          <w:lang w:val="es-MX"/>
        </w:rPr>
      </w:pPr>
    </w:p>
    <w:p w14:paraId="66379725" w14:textId="77777777" w:rsidR="006B595F" w:rsidRPr="0086242B" w:rsidRDefault="006B595F" w:rsidP="006B595F">
      <w:pPr>
        <w:pStyle w:val="Prrafodelista"/>
        <w:numPr>
          <w:ilvl w:val="0"/>
          <w:numId w:val="51"/>
        </w:numPr>
        <w:spacing w:line="360" w:lineRule="auto"/>
        <w:jc w:val="both"/>
        <w:rPr>
          <w:rFonts w:ascii="ITC Avant Garde" w:hAnsi="ITC Avant Garde"/>
          <w:sz w:val="20"/>
          <w:szCs w:val="20"/>
          <w:lang w:val="es-MX"/>
        </w:rPr>
      </w:pPr>
      <w:r w:rsidRPr="0086242B">
        <w:rPr>
          <w:rFonts w:ascii="ITC Avant Garde" w:hAnsi="ITC Avant Garde"/>
          <w:b/>
          <w:sz w:val="20"/>
          <w:szCs w:val="20"/>
          <w:lang w:val="es-MX"/>
        </w:rPr>
        <w:t xml:space="preserve">Compatibilidad electromagnética (EMC).- </w:t>
      </w:r>
      <w:r w:rsidRPr="0086242B">
        <w:rPr>
          <w:rFonts w:ascii="ITC Avant Garde" w:hAnsi="ITC Avant Garde"/>
          <w:sz w:val="20"/>
          <w:szCs w:val="20"/>
          <w:lang w:val="es-MX"/>
        </w:rPr>
        <w:t>Es la capacidad de un equipo o sistema para funcionar de manera satisfactoria en un ambiente electromagnético sin generar interferencias significativas a otros equipos o sistemas.</w:t>
      </w:r>
    </w:p>
    <w:p w14:paraId="7DAE4393" w14:textId="77777777" w:rsidR="006B595F" w:rsidRPr="0086242B" w:rsidRDefault="006B595F" w:rsidP="006B595F">
      <w:pPr>
        <w:spacing w:line="360" w:lineRule="auto"/>
        <w:jc w:val="both"/>
        <w:rPr>
          <w:rFonts w:ascii="ITC Avant Garde" w:hAnsi="ITC Avant Garde"/>
          <w:b/>
          <w:sz w:val="20"/>
          <w:szCs w:val="20"/>
          <w:lang w:val="es-MX"/>
        </w:rPr>
      </w:pPr>
    </w:p>
    <w:p w14:paraId="21635624" w14:textId="77777777" w:rsidR="006B595F" w:rsidRPr="0086242B" w:rsidRDefault="006B595F" w:rsidP="006B595F">
      <w:pPr>
        <w:pStyle w:val="Prrafodelista"/>
        <w:numPr>
          <w:ilvl w:val="0"/>
          <w:numId w:val="51"/>
        </w:numPr>
        <w:spacing w:line="360" w:lineRule="auto"/>
        <w:jc w:val="both"/>
        <w:rPr>
          <w:rFonts w:ascii="ITC Avant Garde" w:hAnsi="ITC Avant Garde"/>
          <w:sz w:val="20"/>
          <w:szCs w:val="20"/>
          <w:lang w:val="es-MX"/>
        </w:rPr>
      </w:pPr>
      <w:r w:rsidRPr="0086242B">
        <w:rPr>
          <w:rFonts w:ascii="ITC Avant Garde" w:hAnsi="ITC Avant Garde"/>
          <w:b/>
          <w:sz w:val="20"/>
          <w:szCs w:val="20"/>
          <w:lang w:val="es-MX"/>
        </w:rPr>
        <w:t>Densidad de corriente.-</w:t>
      </w:r>
      <w:r w:rsidRPr="0086242B">
        <w:rPr>
          <w:rFonts w:ascii="ITC Avant Garde" w:hAnsi="ITC Avant Garde"/>
          <w:sz w:val="20"/>
          <w:szCs w:val="20"/>
          <w:lang w:val="es-MX"/>
        </w:rPr>
        <w:t xml:space="preserve"> Es igual a la corriente eléctrica por unidad de superficie. Se expresa en amperes por metro cuadrado [A/m</w:t>
      </w:r>
      <w:r w:rsidRPr="0086242B">
        <w:rPr>
          <w:rFonts w:ascii="ITC Avant Garde" w:hAnsi="ITC Avant Garde"/>
          <w:sz w:val="20"/>
          <w:szCs w:val="20"/>
          <w:vertAlign w:val="superscript"/>
          <w:lang w:val="es-MX"/>
        </w:rPr>
        <w:t>2</w:t>
      </w:r>
      <w:r w:rsidRPr="0086242B">
        <w:rPr>
          <w:rFonts w:ascii="ITC Avant Garde" w:hAnsi="ITC Avant Garde"/>
          <w:sz w:val="20"/>
          <w:szCs w:val="20"/>
          <w:lang w:val="es-MX"/>
        </w:rPr>
        <w:t>].</w:t>
      </w:r>
    </w:p>
    <w:p w14:paraId="7AEC60BE" w14:textId="77777777" w:rsidR="006B595F" w:rsidRPr="0086242B" w:rsidRDefault="006B595F" w:rsidP="006B595F">
      <w:pPr>
        <w:spacing w:line="360" w:lineRule="auto"/>
        <w:jc w:val="both"/>
        <w:rPr>
          <w:rFonts w:ascii="ITC Avant Garde" w:hAnsi="ITC Avant Garde"/>
          <w:sz w:val="20"/>
          <w:szCs w:val="20"/>
          <w:lang w:val="es-MX"/>
        </w:rPr>
      </w:pPr>
    </w:p>
    <w:p w14:paraId="594845AB" w14:textId="77777777" w:rsidR="006B595F" w:rsidRPr="0086242B" w:rsidRDefault="006B595F" w:rsidP="006B595F">
      <w:pPr>
        <w:pStyle w:val="Prrafodelista"/>
        <w:numPr>
          <w:ilvl w:val="0"/>
          <w:numId w:val="51"/>
        </w:numPr>
        <w:spacing w:line="360" w:lineRule="auto"/>
        <w:jc w:val="both"/>
        <w:rPr>
          <w:rFonts w:ascii="ITC Avant Garde" w:hAnsi="ITC Avant Garde"/>
          <w:sz w:val="20"/>
          <w:szCs w:val="20"/>
          <w:lang w:val="es-MX"/>
        </w:rPr>
      </w:pPr>
      <w:r w:rsidRPr="0086242B">
        <w:rPr>
          <w:rFonts w:ascii="ITC Avant Garde" w:hAnsi="ITC Avant Garde"/>
          <w:b/>
          <w:sz w:val="20"/>
          <w:szCs w:val="20"/>
          <w:lang w:val="es-MX"/>
        </w:rPr>
        <w:t>Densidad de flujo magnético.-</w:t>
      </w:r>
      <w:r w:rsidRPr="0086242B">
        <w:rPr>
          <w:rFonts w:ascii="ITC Avant Garde" w:hAnsi="ITC Avant Garde"/>
          <w:sz w:val="20"/>
          <w:szCs w:val="20"/>
          <w:lang w:val="es-MX"/>
        </w:rPr>
        <w:t xml:space="preserve"> Es un campo vectorial que ejerce una fuerza sobre una carga o cargas que se mueven a determinada velocidad y se expresa en teslas [T].</w:t>
      </w:r>
    </w:p>
    <w:p w14:paraId="44A599A5" w14:textId="77777777" w:rsidR="006B595F" w:rsidRPr="0086242B" w:rsidRDefault="006B595F" w:rsidP="006B595F">
      <w:pPr>
        <w:spacing w:line="360" w:lineRule="auto"/>
        <w:jc w:val="both"/>
        <w:rPr>
          <w:rFonts w:ascii="ITC Avant Garde" w:hAnsi="ITC Avant Garde"/>
          <w:sz w:val="20"/>
          <w:szCs w:val="20"/>
          <w:lang w:val="es-MX"/>
        </w:rPr>
      </w:pPr>
    </w:p>
    <w:p w14:paraId="200437B2" w14:textId="77777777" w:rsidR="006B595F" w:rsidRPr="0086242B" w:rsidRDefault="006B595F" w:rsidP="006B595F">
      <w:pPr>
        <w:pStyle w:val="Prrafodelista"/>
        <w:numPr>
          <w:ilvl w:val="0"/>
          <w:numId w:val="51"/>
        </w:numPr>
        <w:spacing w:line="360" w:lineRule="auto"/>
        <w:jc w:val="both"/>
        <w:rPr>
          <w:rFonts w:ascii="ITC Avant Garde" w:hAnsi="ITC Avant Garde"/>
          <w:sz w:val="20"/>
          <w:szCs w:val="20"/>
          <w:lang w:val="es-MX"/>
        </w:rPr>
      </w:pPr>
      <w:r w:rsidRPr="0086242B">
        <w:rPr>
          <w:rFonts w:ascii="ITC Avant Garde" w:hAnsi="ITC Avant Garde"/>
          <w:b/>
          <w:sz w:val="20"/>
          <w:szCs w:val="20"/>
          <w:lang w:val="es-MX"/>
        </w:rPr>
        <w:t>Densidad de potencia (S).-</w:t>
      </w:r>
      <w:r w:rsidRPr="0086242B">
        <w:rPr>
          <w:rFonts w:ascii="ITC Avant Garde" w:hAnsi="ITC Avant Garde"/>
          <w:sz w:val="20"/>
          <w:szCs w:val="20"/>
          <w:lang w:val="es-MX"/>
        </w:rPr>
        <w:t xml:space="preserve"> Potencia por unidad de área, normal a la dirección de propagación, expresada en watts por metro cuadrado [W/m</w:t>
      </w:r>
      <w:r w:rsidRPr="0086242B">
        <w:rPr>
          <w:rFonts w:ascii="ITC Avant Garde" w:hAnsi="ITC Avant Garde"/>
          <w:sz w:val="20"/>
          <w:szCs w:val="20"/>
          <w:vertAlign w:val="superscript"/>
          <w:lang w:val="es-MX"/>
        </w:rPr>
        <w:t>2</w:t>
      </w:r>
      <w:r w:rsidRPr="0086242B">
        <w:rPr>
          <w:rFonts w:ascii="ITC Avant Garde" w:hAnsi="ITC Avant Garde"/>
          <w:sz w:val="20"/>
          <w:szCs w:val="20"/>
          <w:lang w:val="es-MX"/>
        </w:rPr>
        <w:t>]. Para ondas planas, la densidad de potencia (</w:t>
      </w:r>
      <w:r w:rsidRPr="0086242B">
        <w:rPr>
          <w:rFonts w:ascii="ITC Avant Garde" w:hAnsi="ITC Avant Garde"/>
          <w:i/>
          <w:sz w:val="20"/>
          <w:szCs w:val="20"/>
          <w:lang w:val="es-MX"/>
        </w:rPr>
        <w:t>S</w:t>
      </w:r>
      <w:r w:rsidRPr="0086242B">
        <w:rPr>
          <w:rFonts w:ascii="ITC Avant Garde" w:hAnsi="ITC Avant Garde"/>
          <w:sz w:val="20"/>
          <w:szCs w:val="20"/>
          <w:lang w:val="es-MX"/>
        </w:rPr>
        <w:t>), la intensidad de campo eléctrico (</w:t>
      </w:r>
      <w:r w:rsidRPr="0086242B">
        <w:rPr>
          <w:rFonts w:ascii="ITC Avant Garde" w:hAnsi="ITC Avant Garde"/>
          <w:i/>
          <w:sz w:val="20"/>
          <w:szCs w:val="20"/>
          <w:lang w:val="es-MX"/>
        </w:rPr>
        <w:t>E</w:t>
      </w:r>
      <w:r w:rsidRPr="0086242B">
        <w:rPr>
          <w:rFonts w:ascii="ITC Avant Garde" w:hAnsi="ITC Avant Garde"/>
          <w:sz w:val="20"/>
          <w:szCs w:val="20"/>
          <w:lang w:val="es-MX"/>
        </w:rPr>
        <w:t>) y la intensidad de campo magnético (</w:t>
      </w:r>
      <w:r w:rsidRPr="0086242B">
        <w:rPr>
          <w:rFonts w:ascii="ITC Avant Garde" w:hAnsi="ITC Avant Garde"/>
          <w:i/>
          <w:sz w:val="20"/>
          <w:szCs w:val="20"/>
          <w:lang w:val="es-MX"/>
        </w:rPr>
        <w:t>H</w:t>
      </w:r>
      <w:r w:rsidRPr="0086242B">
        <w:rPr>
          <w:rFonts w:ascii="ITC Avant Garde" w:hAnsi="ITC Avant Garde"/>
          <w:sz w:val="20"/>
          <w:szCs w:val="20"/>
          <w:lang w:val="es-MX"/>
        </w:rPr>
        <w:t xml:space="preserve">), están relacionadas por la impedancia del espacio libre, 377 </w:t>
      </w:r>
      <w:proofErr w:type="spellStart"/>
      <w:r w:rsidRPr="0086242B">
        <w:rPr>
          <w:rFonts w:ascii="ITC Avant Garde" w:hAnsi="ITC Avant Garde"/>
          <w:sz w:val="20"/>
          <w:szCs w:val="20"/>
          <w:lang w:val="es-MX"/>
        </w:rPr>
        <w:t>Ohms</w:t>
      </w:r>
      <w:proofErr w:type="spellEnd"/>
      <w:r w:rsidRPr="0086242B">
        <w:rPr>
          <w:rFonts w:ascii="ITC Avant Garde" w:hAnsi="ITC Avant Garde"/>
          <w:sz w:val="20"/>
          <w:szCs w:val="20"/>
          <w:lang w:val="es-MX"/>
        </w:rPr>
        <w:t>, como sigue</w:t>
      </w:r>
      <w:proofErr w:type="gramStart"/>
      <w:r w:rsidRPr="0086242B">
        <w:rPr>
          <w:rFonts w:ascii="ITC Avant Garde" w:hAnsi="ITC Avant Garde"/>
          <w:sz w:val="20"/>
          <w:szCs w:val="20"/>
          <w:lang w:val="es-MX"/>
        </w:rPr>
        <w:t xml:space="preserve">: </w:t>
      </w:r>
      <w:r w:rsidRPr="0086242B">
        <w:rPr>
          <w:noProof/>
          <w:position w:val="-24"/>
          <w:lang w:val="es-MX" w:eastAsia="es-MX"/>
        </w:rPr>
        <w:drawing>
          <wp:inline distT="0" distB="0" distL="0" distR="0" wp14:anchorId="1CA25340" wp14:editId="1A60861C">
            <wp:extent cx="1144905" cy="429260"/>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4905" cy="429260"/>
                    </a:xfrm>
                    <a:prstGeom prst="rect">
                      <a:avLst/>
                    </a:prstGeom>
                    <a:noFill/>
                    <a:ln>
                      <a:noFill/>
                    </a:ln>
                  </pic:spPr>
                </pic:pic>
              </a:graphicData>
            </a:graphic>
          </wp:inline>
        </w:drawing>
      </w:r>
      <w:r w:rsidRPr="0086242B">
        <w:rPr>
          <w:rFonts w:ascii="ITC Avant Garde" w:hAnsi="ITC Avant Garde"/>
          <w:sz w:val="20"/>
          <w:szCs w:val="20"/>
          <w:lang w:val="es-MX"/>
        </w:rPr>
        <w:t>.</w:t>
      </w:r>
      <w:proofErr w:type="gramEnd"/>
    </w:p>
    <w:p w14:paraId="5CD95897" w14:textId="77777777" w:rsidR="006B595F" w:rsidRPr="0086242B" w:rsidRDefault="006B595F" w:rsidP="006B595F">
      <w:pPr>
        <w:spacing w:line="360" w:lineRule="auto"/>
        <w:jc w:val="both"/>
        <w:rPr>
          <w:rFonts w:ascii="ITC Avant Garde" w:hAnsi="ITC Avant Garde"/>
          <w:sz w:val="20"/>
          <w:szCs w:val="20"/>
          <w:lang w:val="es-MX"/>
        </w:rPr>
      </w:pPr>
    </w:p>
    <w:p w14:paraId="19288A26" w14:textId="77777777" w:rsidR="006B595F" w:rsidRPr="0086242B" w:rsidRDefault="006B595F" w:rsidP="006B595F">
      <w:pPr>
        <w:pStyle w:val="Prrafodelista"/>
        <w:numPr>
          <w:ilvl w:val="0"/>
          <w:numId w:val="51"/>
        </w:numPr>
        <w:spacing w:line="360" w:lineRule="auto"/>
        <w:jc w:val="both"/>
        <w:rPr>
          <w:rFonts w:ascii="ITC Avant Garde" w:hAnsi="ITC Avant Garde"/>
          <w:b/>
          <w:sz w:val="20"/>
          <w:szCs w:val="20"/>
          <w:lang w:val="es-MX"/>
        </w:rPr>
      </w:pPr>
      <w:r w:rsidRPr="0086242B">
        <w:rPr>
          <w:rFonts w:ascii="ITC Avant Garde" w:hAnsi="ITC Avant Garde"/>
          <w:b/>
          <w:sz w:val="20"/>
          <w:szCs w:val="20"/>
          <w:lang w:val="es-MX"/>
        </w:rPr>
        <w:t>Disposición Técnica (DT).-</w:t>
      </w:r>
      <w:r w:rsidRPr="0086242B">
        <w:t xml:space="preserve"> </w:t>
      </w:r>
      <w:r w:rsidRPr="0086242B">
        <w:rPr>
          <w:rFonts w:ascii="ITC Avant Garde" w:hAnsi="ITC Avant Garde"/>
          <w:sz w:val="20"/>
          <w:szCs w:val="20"/>
          <w:lang w:val="es-MX"/>
        </w:rPr>
        <w:t>Ordenamiento técnico de observancia obligatoria emitido por el Instituto Federal de Telecomunicaciones.</w:t>
      </w:r>
    </w:p>
    <w:p w14:paraId="43489FDB" w14:textId="77777777" w:rsidR="006B595F" w:rsidRPr="0086242B" w:rsidRDefault="006B595F" w:rsidP="006B595F">
      <w:pPr>
        <w:pStyle w:val="Prrafodelista"/>
        <w:rPr>
          <w:rFonts w:ascii="ITC Avant Garde" w:hAnsi="ITC Avant Garde"/>
          <w:b/>
          <w:sz w:val="20"/>
          <w:szCs w:val="20"/>
          <w:lang w:val="es-MX"/>
        </w:rPr>
      </w:pPr>
    </w:p>
    <w:p w14:paraId="54297C69" w14:textId="77777777" w:rsidR="006B595F" w:rsidRPr="0086242B" w:rsidRDefault="006B595F" w:rsidP="006B595F">
      <w:pPr>
        <w:pStyle w:val="Prrafodelista"/>
        <w:numPr>
          <w:ilvl w:val="0"/>
          <w:numId w:val="51"/>
        </w:numPr>
        <w:spacing w:line="360" w:lineRule="auto"/>
        <w:jc w:val="both"/>
        <w:rPr>
          <w:rFonts w:ascii="ITC Avant Garde" w:hAnsi="ITC Avant Garde"/>
          <w:sz w:val="20"/>
          <w:szCs w:val="20"/>
          <w:lang w:val="es-MX"/>
        </w:rPr>
      </w:pPr>
      <w:r w:rsidRPr="0086242B">
        <w:rPr>
          <w:rFonts w:ascii="ITC Avant Garde" w:hAnsi="ITC Avant Garde"/>
          <w:b/>
          <w:sz w:val="20"/>
          <w:szCs w:val="20"/>
          <w:lang w:val="es-MX"/>
        </w:rPr>
        <w:t>Equipos terminales de radiocomunicaciones</w:t>
      </w:r>
      <w:r w:rsidRPr="0086242B">
        <w:rPr>
          <w:rFonts w:ascii="ITC Avant Garde" w:hAnsi="ITC Avant Garde"/>
          <w:sz w:val="20"/>
          <w:szCs w:val="20"/>
          <w:lang w:val="es-MX"/>
        </w:rPr>
        <w:t xml:space="preserve">.- Equipos de radiocomunicaciones destinados a usuarios, que se conecte más allá del punto de conexión terminal de una red pública con el propósito de tener acceso a servicios de telecomunicaciones  y que se utilizan muy próximos a la cabeza y particularmente al oído. </w:t>
      </w:r>
    </w:p>
    <w:p w14:paraId="5696988B" w14:textId="77777777" w:rsidR="006B595F" w:rsidRPr="0086242B" w:rsidRDefault="006B595F" w:rsidP="006B595F">
      <w:pPr>
        <w:spacing w:line="360" w:lineRule="auto"/>
        <w:jc w:val="both"/>
        <w:rPr>
          <w:rFonts w:ascii="ITC Avant Garde" w:hAnsi="ITC Avant Garde"/>
          <w:sz w:val="20"/>
          <w:szCs w:val="20"/>
          <w:lang w:val="es-MX"/>
        </w:rPr>
      </w:pPr>
    </w:p>
    <w:p w14:paraId="6A66E283" w14:textId="77777777" w:rsidR="006B595F" w:rsidRPr="0086242B" w:rsidRDefault="006B595F" w:rsidP="006B595F">
      <w:pPr>
        <w:pStyle w:val="Prrafodelista"/>
        <w:numPr>
          <w:ilvl w:val="0"/>
          <w:numId w:val="51"/>
        </w:numPr>
        <w:spacing w:line="360" w:lineRule="auto"/>
        <w:jc w:val="both"/>
        <w:rPr>
          <w:rFonts w:ascii="ITC Avant Garde" w:hAnsi="ITC Avant Garde"/>
          <w:sz w:val="20"/>
          <w:szCs w:val="20"/>
          <w:lang w:val="es-MX"/>
        </w:rPr>
      </w:pPr>
      <w:r w:rsidRPr="0086242B">
        <w:rPr>
          <w:rFonts w:ascii="ITC Avant Garde" w:hAnsi="ITC Avant Garde"/>
          <w:b/>
          <w:sz w:val="20"/>
          <w:szCs w:val="20"/>
          <w:lang w:val="es-MX"/>
        </w:rPr>
        <w:t xml:space="preserve">Estación de radiocomunicaciones.- </w:t>
      </w:r>
      <w:r w:rsidRPr="0086242B">
        <w:rPr>
          <w:rFonts w:ascii="ITC Avant Garde" w:hAnsi="ITC Avant Garde"/>
          <w:sz w:val="20"/>
          <w:szCs w:val="20"/>
          <w:lang w:val="es-MX"/>
        </w:rPr>
        <w:t>Uno o más transmisores o una combinación de transmisores y en su caso receptores, incluyendo elementos radiadores, las instalaciones y equipos de soporte necesarios para asegurar un servicio de telecomunicaciones o radiodifusión en el intervalo de frecuencias de 100 kHz a 300 GHz.</w:t>
      </w:r>
    </w:p>
    <w:p w14:paraId="080CA983" w14:textId="77777777" w:rsidR="00C4275A" w:rsidRPr="0086242B" w:rsidRDefault="00C4275A" w:rsidP="0086242B">
      <w:pPr>
        <w:spacing w:line="360" w:lineRule="auto"/>
        <w:jc w:val="both"/>
        <w:rPr>
          <w:rFonts w:ascii="ITC Avant Garde" w:hAnsi="ITC Avant Garde"/>
          <w:sz w:val="20"/>
          <w:szCs w:val="20"/>
          <w:lang w:val="es-MX"/>
        </w:rPr>
      </w:pPr>
    </w:p>
    <w:p w14:paraId="68CFCBF9" w14:textId="77777777" w:rsidR="006B595F" w:rsidRPr="0086242B" w:rsidRDefault="006B595F" w:rsidP="006B595F">
      <w:pPr>
        <w:pStyle w:val="Prrafodelista"/>
        <w:numPr>
          <w:ilvl w:val="0"/>
          <w:numId w:val="51"/>
        </w:numPr>
        <w:spacing w:line="360" w:lineRule="auto"/>
        <w:jc w:val="both"/>
        <w:rPr>
          <w:rFonts w:ascii="ITC Avant Garde" w:hAnsi="ITC Avant Garde"/>
          <w:b/>
          <w:sz w:val="20"/>
          <w:szCs w:val="20"/>
          <w:lang w:val="es-MX"/>
        </w:rPr>
      </w:pPr>
      <w:r w:rsidRPr="0086242B">
        <w:rPr>
          <w:rFonts w:ascii="ITC Avant Garde" w:hAnsi="ITC Avant Garde"/>
          <w:b/>
          <w:sz w:val="20"/>
          <w:szCs w:val="20"/>
          <w:lang w:val="es-MX"/>
        </w:rPr>
        <w:t xml:space="preserve">Exposición al público en general.- </w:t>
      </w:r>
      <w:r w:rsidRPr="0086242B">
        <w:rPr>
          <w:rFonts w:ascii="ITC Avant Garde" w:hAnsi="ITC Avant Garde"/>
          <w:sz w:val="20"/>
          <w:szCs w:val="20"/>
          <w:lang w:val="es-MX"/>
        </w:rPr>
        <w:t>Exposición a la radiación de RF que recibe una persona del público en general y que no es consecuencia directa de la actividad que desempeña en el transcurso de sus labores de trabajo.</w:t>
      </w:r>
    </w:p>
    <w:p w14:paraId="06D0F0F1" w14:textId="77777777" w:rsidR="006B595F" w:rsidRPr="0086242B" w:rsidRDefault="006B595F" w:rsidP="006B595F">
      <w:pPr>
        <w:spacing w:line="360" w:lineRule="auto"/>
        <w:jc w:val="both"/>
        <w:rPr>
          <w:rFonts w:ascii="ITC Avant Garde" w:hAnsi="ITC Avant Garde"/>
          <w:sz w:val="20"/>
          <w:szCs w:val="20"/>
          <w:lang w:val="es-MX"/>
        </w:rPr>
      </w:pPr>
    </w:p>
    <w:p w14:paraId="18B80D18" w14:textId="77777777" w:rsidR="006B595F" w:rsidRPr="0086242B" w:rsidRDefault="006B595F" w:rsidP="006B595F">
      <w:pPr>
        <w:pStyle w:val="Prrafodelista"/>
        <w:numPr>
          <w:ilvl w:val="0"/>
          <w:numId w:val="51"/>
        </w:numPr>
        <w:spacing w:line="360" w:lineRule="auto"/>
        <w:jc w:val="both"/>
        <w:rPr>
          <w:rFonts w:ascii="ITC Avant Garde" w:hAnsi="ITC Avant Garde"/>
          <w:sz w:val="20"/>
          <w:szCs w:val="20"/>
          <w:lang w:val="es-MX"/>
        </w:rPr>
      </w:pPr>
      <w:r w:rsidRPr="0086242B">
        <w:rPr>
          <w:rFonts w:ascii="ITC Avant Garde" w:hAnsi="ITC Avant Garde"/>
          <w:b/>
          <w:sz w:val="20"/>
          <w:szCs w:val="20"/>
          <w:lang w:val="es-MX"/>
        </w:rPr>
        <w:t xml:space="preserve">Índice de absorción específica (SAR).- </w:t>
      </w:r>
      <w:r w:rsidRPr="0086242B">
        <w:rPr>
          <w:rFonts w:ascii="ITC Avant Garde" w:hAnsi="ITC Avant Garde"/>
          <w:sz w:val="20"/>
          <w:szCs w:val="20"/>
          <w:lang w:val="es-MX"/>
        </w:rPr>
        <w:t>Es la derivada respecto al tiempo del incremento de energía (</w:t>
      </w:r>
      <w:r w:rsidRPr="0086242B">
        <w:rPr>
          <w:noProof/>
          <w:position w:val="-6"/>
          <w:lang w:val="es-MX" w:eastAsia="es-MX"/>
        </w:rPr>
        <w:drawing>
          <wp:inline distT="0" distB="0" distL="0" distR="0" wp14:anchorId="04059B12" wp14:editId="661AAC2C">
            <wp:extent cx="254635" cy="17462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635" cy="174625"/>
                    </a:xfrm>
                    <a:prstGeom prst="rect">
                      <a:avLst/>
                    </a:prstGeom>
                    <a:noFill/>
                    <a:ln>
                      <a:noFill/>
                    </a:ln>
                  </pic:spPr>
                </pic:pic>
              </a:graphicData>
            </a:graphic>
          </wp:inline>
        </w:drawing>
      </w:r>
      <w:r w:rsidRPr="0086242B">
        <w:rPr>
          <w:rFonts w:ascii="ITC Avant Garde" w:hAnsi="ITC Avant Garde"/>
          <w:sz w:val="20"/>
          <w:szCs w:val="20"/>
          <w:lang w:val="es-MX"/>
        </w:rPr>
        <w:t>) absorbida (disipada) en un incremental de masa (</w:t>
      </w:r>
      <w:r w:rsidRPr="0086242B">
        <w:rPr>
          <w:noProof/>
          <w:position w:val="-6"/>
          <w:lang w:val="es-MX" w:eastAsia="es-MX"/>
        </w:rPr>
        <w:drawing>
          <wp:inline distT="0" distB="0" distL="0" distR="0" wp14:anchorId="284BFB63" wp14:editId="05F7D1EC">
            <wp:extent cx="238760" cy="1746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60" cy="174625"/>
                    </a:xfrm>
                    <a:prstGeom prst="rect">
                      <a:avLst/>
                    </a:prstGeom>
                    <a:noFill/>
                    <a:ln>
                      <a:noFill/>
                    </a:ln>
                  </pic:spPr>
                </pic:pic>
              </a:graphicData>
            </a:graphic>
          </wp:inline>
        </w:drawing>
      </w:r>
      <w:r w:rsidRPr="0086242B">
        <w:rPr>
          <w:rFonts w:ascii="ITC Avant Garde" w:hAnsi="ITC Avant Garde"/>
          <w:sz w:val="20"/>
          <w:szCs w:val="20"/>
          <w:lang w:val="es-MX"/>
        </w:rPr>
        <w:t>), que está contenida en un elemento de volumen (</w:t>
      </w:r>
      <w:r w:rsidRPr="0086242B">
        <w:rPr>
          <w:noProof/>
          <w:position w:val="-6"/>
          <w:lang w:val="es-MX" w:eastAsia="es-MX"/>
        </w:rPr>
        <w:drawing>
          <wp:inline distT="0" distB="0" distL="0" distR="0" wp14:anchorId="0F3CECC1" wp14:editId="2F536D6C">
            <wp:extent cx="238760" cy="17462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760" cy="174625"/>
                    </a:xfrm>
                    <a:prstGeom prst="rect">
                      <a:avLst/>
                    </a:prstGeom>
                    <a:noFill/>
                    <a:ln>
                      <a:noFill/>
                    </a:ln>
                  </pic:spPr>
                </pic:pic>
              </a:graphicData>
            </a:graphic>
          </wp:inline>
        </w:drawing>
      </w:r>
      <w:r w:rsidRPr="0086242B">
        <w:rPr>
          <w:rFonts w:ascii="ITC Avant Garde" w:hAnsi="ITC Avant Garde"/>
          <w:sz w:val="20"/>
          <w:szCs w:val="20"/>
          <w:lang w:val="es-MX"/>
        </w:rPr>
        <w:t>) con densidad de masa</w:t>
      </w:r>
      <w:r w:rsidRPr="0086242B">
        <w:rPr>
          <w:noProof/>
          <w:position w:val="-10"/>
          <w:lang w:val="es-MX" w:eastAsia="es-MX"/>
        </w:rPr>
        <w:drawing>
          <wp:inline distT="0" distB="0" distL="0" distR="0" wp14:anchorId="2E99A2C0" wp14:editId="57056369">
            <wp:extent cx="151130" cy="167005"/>
            <wp:effectExtent l="0" t="0" r="1270" b="10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r w:rsidRPr="0086242B">
        <w:rPr>
          <w:rFonts w:ascii="ITC Avant Garde" w:hAnsi="ITC Avant Garde"/>
          <w:sz w:val="20"/>
          <w:szCs w:val="20"/>
          <w:lang w:val="es-MX"/>
        </w:rPr>
        <w:t>:</w:t>
      </w:r>
    </w:p>
    <w:p w14:paraId="67DB0664" w14:textId="77777777" w:rsidR="006B595F" w:rsidRPr="0086242B" w:rsidRDefault="006B595F" w:rsidP="006B595F">
      <w:pPr>
        <w:spacing w:line="360" w:lineRule="auto"/>
        <w:jc w:val="both"/>
        <w:rPr>
          <w:rFonts w:ascii="ITC Avant Garde" w:hAnsi="ITC Avant Garde"/>
          <w:sz w:val="20"/>
          <w:szCs w:val="20"/>
          <w:lang w:val="es-MX"/>
        </w:rPr>
      </w:pPr>
      <w:r w:rsidRPr="0086242B">
        <w:rPr>
          <w:rFonts w:ascii="ITC Avant Garde" w:hAnsi="ITC Avant Garde"/>
          <w:noProof/>
          <w:position w:val="-30"/>
          <w:sz w:val="20"/>
          <w:szCs w:val="20"/>
          <w:lang w:val="es-MX" w:eastAsia="es-MX"/>
        </w:rPr>
        <w:drawing>
          <wp:anchor distT="0" distB="0" distL="114300" distR="114300" simplePos="0" relativeHeight="251657216" behindDoc="0" locked="0" layoutInCell="1" allowOverlap="1" wp14:anchorId="04C38DD0" wp14:editId="5D240FCB">
            <wp:simplePos x="0" y="0"/>
            <wp:positionH relativeFrom="column">
              <wp:posOffset>1994025</wp:posOffset>
            </wp:positionH>
            <wp:positionV relativeFrom="paragraph">
              <wp:posOffset>66047</wp:posOffset>
            </wp:positionV>
            <wp:extent cx="2345690" cy="51689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5690" cy="516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11EC4" w14:textId="77777777" w:rsidR="006B595F" w:rsidRPr="0086242B" w:rsidRDefault="006B595F" w:rsidP="006B595F">
      <w:pPr>
        <w:spacing w:line="360" w:lineRule="auto"/>
        <w:jc w:val="both"/>
        <w:rPr>
          <w:rFonts w:ascii="ITC Avant Garde" w:hAnsi="ITC Avant Garde"/>
          <w:sz w:val="20"/>
          <w:szCs w:val="20"/>
          <w:lang w:val="es-MX"/>
        </w:rPr>
      </w:pPr>
    </w:p>
    <w:p w14:paraId="52562962" w14:textId="77777777" w:rsidR="006B595F" w:rsidRPr="0086242B" w:rsidRDefault="006B595F" w:rsidP="006B595F">
      <w:pPr>
        <w:spacing w:line="360" w:lineRule="auto"/>
        <w:jc w:val="both"/>
        <w:rPr>
          <w:rFonts w:ascii="ITC Avant Garde" w:hAnsi="ITC Avant Garde"/>
          <w:sz w:val="20"/>
          <w:szCs w:val="20"/>
          <w:lang w:val="es-MX"/>
        </w:rPr>
      </w:pPr>
    </w:p>
    <w:p w14:paraId="4E7E68D2" w14:textId="77777777" w:rsidR="006B595F" w:rsidRPr="0086242B" w:rsidRDefault="006B595F" w:rsidP="006B595F">
      <w:pPr>
        <w:spacing w:line="360" w:lineRule="auto"/>
        <w:ind w:left="372" w:firstLine="708"/>
        <w:jc w:val="both"/>
        <w:rPr>
          <w:rFonts w:ascii="ITC Avant Garde" w:hAnsi="ITC Avant Garde"/>
          <w:sz w:val="20"/>
          <w:szCs w:val="20"/>
          <w:lang w:val="es-MX"/>
        </w:rPr>
      </w:pPr>
      <w:r w:rsidRPr="0086242B">
        <w:rPr>
          <w:rFonts w:ascii="ITC Avant Garde" w:hAnsi="ITC Avant Garde"/>
          <w:sz w:val="20"/>
          <w:szCs w:val="20"/>
          <w:lang w:val="es-MX"/>
        </w:rPr>
        <w:t xml:space="preserve">En donde: </w:t>
      </w:r>
    </w:p>
    <w:p w14:paraId="6288206C" w14:textId="77777777" w:rsidR="006B595F" w:rsidRPr="0086242B" w:rsidRDefault="006B595F" w:rsidP="006B595F">
      <w:pPr>
        <w:tabs>
          <w:tab w:val="left" w:pos="709"/>
          <w:tab w:val="left" w:pos="992"/>
          <w:tab w:val="left" w:pos="1276"/>
        </w:tabs>
        <w:spacing w:line="360" w:lineRule="auto"/>
        <w:ind w:left="2127"/>
        <w:jc w:val="both"/>
        <w:rPr>
          <w:rFonts w:ascii="ITC Avant Garde" w:hAnsi="ITC Avant Garde"/>
          <w:sz w:val="20"/>
          <w:szCs w:val="20"/>
          <w:lang w:val="es-MX"/>
        </w:rPr>
      </w:pPr>
      <w:r w:rsidRPr="0086242B">
        <w:rPr>
          <w:rFonts w:ascii="ITC Avant Garde" w:hAnsi="ITC Avant Garde"/>
          <w:sz w:val="20"/>
          <w:szCs w:val="20"/>
          <w:lang w:val="es-MX"/>
        </w:rPr>
        <w:tab/>
      </w:r>
      <w:r w:rsidRPr="0086242B">
        <w:rPr>
          <w:rFonts w:ascii="ITC Avant Garde" w:hAnsi="ITC Avant Garde"/>
          <w:noProof/>
          <w:position w:val="-6"/>
          <w:sz w:val="20"/>
          <w:szCs w:val="20"/>
          <w:lang w:val="es-MX" w:eastAsia="es-MX"/>
        </w:rPr>
        <w:drawing>
          <wp:inline distT="0" distB="0" distL="0" distR="0" wp14:anchorId="4B7ED788" wp14:editId="5C1F4EC0">
            <wp:extent cx="151130" cy="142875"/>
            <wp:effectExtent l="0" t="0" r="127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86242B">
        <w:rPr>
          <w:rFonts w:ascii="ITC Avant Garde" w:hAnsi="ITC Avant Garde"/>
          <w:position w:val="-6"/>
          <w:sz w:val="20"/>
          <w:szCs w:val="20"/>
          <w:lang w:val="es-MX"/>
        </w:rPr>
        <w:tab/>
      </w:r>
      <w:r w:rsidRPr="0086242B">
        <w:rPr>
          <w:rFonts w:ascii="ITC Avant Garde" w:hAnsi="ITC Avant Garde"/>
          <w:sz w:val="20"/>
          <w:szCs w:val="20"/>
          <w:lang w:val="es-MX"/>
        </w:rPr>
        <w:t>=</w:t>
      </w:r>
      <w:r w:rsidRPr="0086242B">
        <w:rPr>
          <w:rFonts w:ascii="ITC Avant Garde" w:hAnsi="ITC Avant Garde"/>
          <w:sz w:val="20"/>
          <w:szCs w:val="20"/>
          <w:lang w:val="es-MX"/>
        </w:rPr>
        <w:tab/>
        <w:t>Conductividad del tejido [S/m].</w:t>
      </w:r>
    </w:p>
    <w:p w14:paraId="1B50AACD" w14:textId="77777777" w:rsidR="006B595F" w:rsidRPr="0086242B" w:rsidRDefault="006B595F" w:rsidP="006B595F">
      <w:pPr>
        <w:tabs>
          <w:tab w:val="left" w:pos="709"/>
          <w:tab w:val="left" w:pos="992"/>
          <w:tab w:val="left" w:pos="1276"/>
        </w:tabs>
        <w:spacing w:line="360" w:lineRule="auto"/>
        <w:ind w:left="2127"/>
        <w:jc w:val="both"/>
        <w:rPr>
          <w:rFonts w:ascii="ITC Avant Garde" w:hAnsi="ITC Avant Garde"/>
          <w:sz w:val="20"/>
          <w:szCs w:val="20"/>
          <w:lang w:val="es-MX"/>
        </w:rPr>
      </w:pPr>
      <w:r w:rsidRPr="0086242B">
        <w:rPr>
          <w:rFonts w:ascii="ITC Avant Garde" w:hAnsi="ITC Avant Garde"/>
          <w:sz w:val="20"/>
          <w:szCs w:val="20"/>
          <w:lang w:val="es-MX"/>
        </w:rPr>
        <w:tab/>
      </w:r>
      <w:r w:rsidRPr="0086242B">
        <w:rPr>
          <w:rFonts w:ascii="ITC Avant Garde" w:hAnsi="ITC Avant Garde"/>
          <w:noProof/>
          <w:position w:val="-10"/>
          <w:sz w:val="20"/>
          <w:szCs w:val="20"/>
          <w:lang w:val="es-MX" w:eastAsia="es-MX"/>
        </w:rPr>
        <w:drawing>
          <wp:inline distT="0" distB="0" distL="0" distR="0" wp14:anchorId="381D0D7E" wp14:editId="4D9B6A46">
            <wp:extent cx="151130" cy="167005"/>
            <wp:effectExtent l="0" t="0" r="1270" b="107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r w:rsidRPr="0086242B">
        <w:rPr>
          <w:rFonts w:ascii="ITC Avant Garde" w:hAnsi="ITC Avant Garde"/>
          <w:position w:val="-10"/>
          <w:sz w:val="20"/>
          <w:szCs w:val="20"/>
          <w:lang w:val="es-MX"/>
        </w:rPr>
        <w:tab/>
      </w:r>
      <w:r w:rsidRPr="0086242B">
        <w:rPr>
          <w:rFonts w:ascii="ITC Avant Garde" w:hAnsi="ITC Avant Garde"/>
          <w:sz w:val="20"/>
          <w:szCs w:val="20"/>
          <w:lang w:val="es-MX"/>
        </w:rPr>
        <w:t>=</w:t>
      </w:r>
      <w:r w:rsidRPr="0086242B">
        <w:rPr>
          <w:rFonts w:ascii="ITC Avant Garde" w:hAnsi="ITC Avant Garde"/>
          <w:sz w:val="20"/>
          <w:szCs w:val="20"/>
          <w:lang w:val="es-MX"/>
        </w:rPr>
        <w:tab/>
        <w:t>Densidad de masa [kg/m</w:t>
      </w:r>
      <w:r w:rsidRPr="0086242B">
        <w:rPr>
          <w:rFonts w:ascii="ITC Avant Garde" w:hAnsi="ITC Avant Garde"/>
          <w:sz w:val="20"/>
          <w:szCs w:val="20"/>
          <w:vertAlign w:val="superscript"/>
          <w:lang w:val="es-MX"/>
        </w:rPr>
        <w:t>3</w:t>
      </w:r>
      <w:r w:rsidRPr="0086242B">
        <w:rPr>
          <w:rFonts w:ascii="ITC Avant Garde" w:hAnsi="ITC Avant Garde"/>
          <w:sz w:val="20"/>
          <w:szCs w:val="20"/>
          <w:lang w:val="es-MX"/>
        </w:rPr>
        <w:t>].</w:t>
      </w:r>
    </w:p>
    <w:p w14:paraId="00B52C9B" w14:textId="77777777" w:rsidR="006B595F" w:rsidRPr="0086242B" w:rsidRDefault="006B595F" w:rsidP="006B595F">
      <w:pPr>
        <w:tabs>
          <w:tab w:val="left" w:pos="709"/>
          <w:tab w:val="left" w:pos="992"/>
          <w:tab w:val="left" w:pos="1276"/>
        </w:tabs>
        <w:spacing w:line="360" w:lineRule="auto"/>
        <w:ind w:left="2127" w:firstLine="708"/>
        <w:jc w:val="both"/>
        <w:rPr>
          <w:rFonts w:ascii="ITC Avant Garde" w:hAnsi="ITC Avant Garde"/>
          <w:sz w:val="20"/>
          <w:szCs w:val="20"/>
          <w:lang w:val="es-MX"/>
        </w:rPr>
      </w:pPr>
      <w:r w:rsidRPr="0086242B">
        <w:rPr>
          <w:rFonts w:ascii="ITC Avant Garde" w:hAnsi="ITC Avant Garde"/>
          <w:noProof/>
          <w:position w:val="-4"/>
          <w:sz w:val="20"/>
          <w:szCs w:val="20"/>
          <w:lang w:val="es-MX" w:eastAsia="es-MX"/>
        </w:rPr>
        <w:drawing>
          <wp:inline distT="0" distB="0" distL="0" distR="0" wp14:anchorId="5E48CE8D" wp14:editId="2A28F03C">
            <wp:extent cx="151130" cy="167005"/>
            <wp:effectExtent l="0" t="0" r="1270" b="107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r w:rsidRPr="0086242B">
        <w:rPr>
          <w:rFonts w:ascii="ITC Avant Garde" w:hAnsi="ITC Avant Garde"/>
          <w:position w:val="-4"/>
          <w:sz w:val="20"/>
          <w:szCs w:val="20"/>
          <w:lang w:val="es-MX"/>
        </w:rPr>
        <w:tab/>
      </w:r>
      <w:r w:rsidRPr="0086242B">
        <w:rPr>
          <w:rFonts w:ascii="ITC Avant Garde" w:hAnsi="ITC Avant Garde"/>
          <w:sz w:val="20"/>
          <w:szCs w:val="20"/>
          <w:lang w:val="es-MX"/>
        </w:rPr>
        <w:t>=</w:t>
      </w:r>
      <w:r w:rsidRPr="0086242B">
        <w:rPr>
          <w:rFonts w:ascii="ITC Avant Garde" w:hAnsi="ITC Avant Garde"/>
          <w:sz w:val="20"/>
          <w:szCs w:val="20"/>
          <w:lang w:val="es-MX"/>
        </w:rPr>
        <w:tab/>
        <w:t>Intensidad de campo eléctrico [V/m].</w:t>
      </w:r>
    </w:p>
    <w:p w14:paraId="417CD747" w14:textId="77777777" w:rsidR="006B595F" w:rsidRPr="0086242B" w:rsidRDefault="006B595F" w:rsidP="006B595F">
      <w:pPr>
        <w:spacing w:line="360" w:lineRule="auto"/>
        <w:jc w:val="both"/>
        <w:rPr>
          <w:rFonts w:ascii="ITC Avant Garde" w:hAnsi="ITC Avant Garde"/>
          <w:sz w:val="20"/>
          <w:szCs w:val="20"/>
          <w:lang w:val="es-MX"/>
        </w:rPr>
      </w:pPr>
    </w:p>
    <w:p w14:paraId="6D5B95A2" w14:textId="77777777" w:rsidR="006B595F" w:rsidRPr="0086242B" w:rsidRDefault="006B595F" w:rsidP="006B595F">
      <w:pPr>
        <w:spacing w:line="360" w:lineRule="auto"/>
        <w:ind w:left="1134"/>
        <w:jc w:val="both"/>
        <w:rPr>
          <w:rFonts w:ascii="ITC Avant Garde" w:hAnsi="ITC Avant Garde"/>
          <w:sz w:val="20"/>
          <w:szCs w:val="20"/>
          <w:lang w:val="es-MX"/>
        </w:rPr>
      </w:pPr>
      <w:r w:rsidRPr="0086242B">
        <w:rPr>
          <w:rFonts w:ascii="ITC Avant Garde" w:hAnsi="ITC Avant Garde"/>
          <w:sz w:val="20"/>
          <w:szCs w:val="20"/>
          <w:lang w:val="es-MX"/>
        </w:rPr>
        <w:t>El SAR es el índice con el cual la energía electromagnética se absorbe en los tejidos del cuerpo y está expresado en Watts por kilogramo [W/kg].</w:t>
      </w:r>
    </w:p>
    <w:p w14:paraId="6D886128" w14:textId="77777777" w:rsidR="006B595F" w:rsidRPr="0086242B" w:rsidRDefault="006B595F" w:rsidP="006B595F">
      <w:pPr>
        <w:spacing w:line="360" w:lineRule="auto"/>
        <w:ind w:firstLine="708"/>
        <w:jc w:val="both"/>
        <w:rPr>
          <w:rFonts w:ascii="ITC Avant Garde" w:hAnsi="ITC Avant Garde"/>
          <w:sz w:val="20"/>
          <w:szCs w:val="20"/>
          <w:lang w:val="es-MX"/>
        </w:rPr>
      </w:pPr>
    </w:p>
    <w:p w14:paraId="24043EBC" w14:textId="77777777" w:rsidR="006B595F" w:rsidRPr="0086242B" w:rsidRDefault="006B595F" w:rsidP="006B595F">
      <w:pPr>
        <w:pStyle w:val="Prrafodelista"/>
        <w:numPr>
          <w:ilvl w:val="0"/>
          <w:numId w:val="51"/>
        </w:numPr>
        <w:spacing w:line="360" w:lineRule="auto"/>
        <w:jc w:val="both"/>
        <w:rPr>
          <w:rFonts w:ascii="ITC Avant Garde" w:hAnsi="ITC Avant Garde"/>
          <w:b/>
          <w:sz w:val="20"/>
          <w:szCs w:val="20"/>
          <w:lang w:val="es-MX"/>
        </w:rPr>
      </w:pPr>
      <w:r w:rsidRPr="0086242B">
        <w:rPr>
          <w:rFonts w:ascii="ITC Avant Garde" w:hAnsi="ITC Avant Garde"/>
          <w:b/>
          <w:sz w:val="20"/>
          <w:szCs w:val="20"/>
          <w:lang w:val="es-MX"/>
        </w:rPr>
        <w:t xml:space="preserve">Instituto: </w:t>
      </w:r>
      <w:r w:rsidRPr="0086242B">
        <w:rPr>
          <w:rFonts w:ascii="ITC Avant Garde" w:hAnsi="ITC Avant Garde"/>
          <w:sz w:val="20"/>
          <w:szCs w:val="20"/>
          <w:lang w:val="es-MX"/>
        </w:rPr>
        <w:t>Instituto Federal de Telecomunicaciones.</w:t>
      </w:r>
    </w:p>
    <w:p w14:paraId="51E767DF" w14:textId="77777777" w:rsidR="006B595F" w:rsidRPr="0086242B" w:rsidRDefault="006B595F" w:rsidP="006B595F">
      <w:pPr>
        <w:spacing w:line="360" w:lineRule="auto"/>
        <w:jc w:val="both"/>
        <w:rPr>
          <w:rFonts w:ascii="ITC Avant Garde" w:hAnsi="ITC Avant Garde"/>
          <w:b/>
          <w:sz w:val="20"/>
          <w:szCs w:val="20"/>
          <w:lang w:val="es-MX"/>
        </w:rPr>
      </w:pPr>
    </w:p>
    <w:p w14:paraId="3588AAFB" w14:textId="77777777" w:rsidR="006B595F" w:rsidRPr="0086242B" w:rsidRDefault="006B595F" w:rsidP="006B595F">
      <w:pPr>
        <w:pStyle w:val="Prrafodelista"/>
        <w:numPr>
          <w:ilvl w:val="0"/>
          <w:numId w:val="51"/>
        </w:numPr>
        <w:spacing w:line="360" w:lineRule="auto"/>
        <w:jc w:val="both"/>
        <w:rPr>
          <w:rFonts w:ascii="ITC Avant Garde" w:hAnsi="ITC Avant Garde"/>
          <w:sz w:val="20"/>
          <w:szCs w:val="20"/>
          <w:lang w:val="es-MX"/>
        </w:rPr>
      </w:pPr>
      <w:r w:rsidRPr="0086242B">
        <w:rPr>
          <w:rFonts w:ascii="ITC Avant Garde" w:hAnsi="ITC Avant Garde"/>
          <w:b/>
          <w:sz w:val="20"/>
          <w:szCs w:val="20"/>
          <w:lang w:val="es-MX"/>
        </w:rPr>
        <w:t xml:space="preserve">Intensidad de campo eléctrico.- </w:t>
      </w:r>
      <w:r w:rsidRPr="0086242B">
        <w:rPr>
          <w:rFonts w:ascii="ITC Avant Garde" w:hAnsi="ITC Avant Garde"/>
          <w:sz w:val="20"/>
          <w:szCs w:val="20"/>
          <w:lang w:val="es-MX"/>
        </w:rPr>
        <w:t>Es la magnitud de la fuerza eléctrica que experimentaría una carga positiva estacionaria en un punto de un campo eléctrico y está medido en volts por metro [V/m].</w:t>
      </w:r>
    </w:p>
    <w:p w14:paraId="57143846" w14:textId="77777777" w:rsidR="00C4275A" w:rsidRPr="0086242B" w:rsidRDefault="00C4275A" w:rsidP="0086242B">
      <w:pPr>
        <w:spacing w:line="360" w:lineRule="auto"/>
        <w:jc w:val="both"/>
        <w:rPr>
          <w:rFonts w:ascii="ITC Avant Garde" w:hAnsi="ITC Avant Garde"/>
          <w:sz w:val="20"/>
          <w:szCs w:val="20"/>
          <w:lang w:val="es-MX"/>
        </w:rPr>
      </w:pPr>
    </w:p>
    <w:p w14:paraId="3DBFAE25" w14:textId="77777777" w:rsidR="00C4275A" w:rsidRPr="0086242B" w:rsidRDefault="00C4275A" w:rsidP="0086242B">
      <w:pPr>
        <w:pStyle w:val="Prrafodelista"/>
        <w:spacing w:line="360" w:lineRule="auto"/>
        <w:ind w:left="1080"/>
        <w:jc w:val="both"/>
        <w:rPr>
          <w:rFonts w:ascii="ITC Avant Garde" w:hAnsi="ITC Avant Garde"/>
          <w:sz w:val="20"/>
          <w:szCs w:val="20"/>
          <w:lang w:val="es-MX"/>
        </w:rPr>
      </w:pPr>
    </w:p>
    <w:p w14:paraId="7D889DAD" w14:textId="77777777" w:rsidR="006B595F" w:rsidRPr="0086242B" w:rsidRDefault="006B595F" w:rsidP="006B595F">
      <w:pPr>
        <w:pStyle w:val="Prrafodelista"/>
        <w:numPr>
          <w:ilvl w:val="0"/>
          <w:numId w:val="51"/>
        </w:numPr>
        <w:spacing w:line="360" w:lineRule="auto"/>
        <w:jc w:val="both"/>
        <w:rPr>
          <w:rFonts w:ascii="ITC Avant Garde" w:hAnsi="ITC Avant Garde"/>
          <w:sz w:val="20"/>
          <w:szCs w:val="20"/>
          <w:lang w:val="es-MX"/>
        </w:rPr>
      </w:pPr>
      <w:r w:rsidRPr="0086242B">
        <w:rPr>
          <w:rFonts w:ascii="ITC Avant Garde" w:hAnsi="ITC Avant Garde"/>
          <w:b/>
          <w:sz w:val="20"/>
          <w:szCs w:val="20"/>
          <w:lang w:val="es-MX"/>
        </w:rPr>
        <w:t xml:space="preserve">Intensidad de campo magnético.- </w:t>
      </w:r>
      <w:r w:rsidRPr="0086242B">
        <w:rPr>
          <w:rFonts w:ascii="ITC Avant Garde" w:hAnsi="ITC Avant Garde"/>
          <w:sz w:val="20"/>
          <w:szCs w:val="20"/>
          <w:lang w:val="es-MX"/>
        </w:rPr>
        <w:t xml:space="preserve">Es la magnitud de la densidad de flujo magnético entre la constante de permeabilidad magnética </w:t>
      </w:r>
      <w:r w:rsidRPr="0086242B">
        <w:rPr>
          <w:rFonts w:ascii="Calibri" w:hAnsi="Calibri" w:cs="Calibri"/>
          <w:i/>
          <w:sz w:val="20"/>
          <w:szCs w:val="20"/>
          <w:lang w:val="es-MX"/>
        </w:rPr>
        <w:t>μ</w:t>
      </w:r>
      <w:r w:rsidRPr="0086242B">
        <w:rPr>
          <w:rFonts w:ascii="ITC Avant Garde" w:hAnsi="ITC Avant Garde"/>
          <w:sz w:val="20"/>
          <w:szCs w:val="20"/>
          <w:lang w:val="es-MX"/>
        </w:rPr>
        <w:t xml:space="preserve"> y está expresado en amperes por metro [A/m].</w:t>
      </w:r>
    </w:p>
    <w:p w14:paraId="7D15E6B0" w14:textId="77777777" w:rsidR="006B595F" w:rsidRPr="0086242B" w:rsidRDefault="006B595F" w:rsidP="006B595F">
      <w:pPr>
        <w:spacing w:line="360" w:lineRule="auto"/>
        <w:jc w:val="both"/>
        <w:rPr>
          <w:rFonts w:ascii="ITC Avant Garde" w:hAnsi="ITC Avant Garde"/>
          <w:sz w:val="20"/>
          <w:szCs w:val="20"/>
          <w:lang w:val="es-MX"/>
        </w:rPr>
      </w:pPr>
    </w:p>
    <w:p w14:paraId="4C3FDD0E" w14:textId="77777777" w:rsidR="006B595F" w:rsidRDefault="006B595F" w:rsidP="006B595F">
      <w:pPr>
        <w:pStyle w:val="Prrafodelista"/>
        <w:numPr>
          <w:ilvl w:val="0"/>
          <w:numId w:val="51"/>
        </w:numPr>
        <w:spacing w:line="360" w:lineRule="auto"/>
        <w:jc w:val="both"/>
        <w:rPr>
          <w:rFonts w:ascii="ITC Avant Garde" w:hAnsi="ITC Avant Garde"/>
          <w:sz w:val="20"/>
          <w:szCs w:val="20"/>
          <w:lang w:val="es-MX"/>
        </w:rPr>
      </w:pPr>
      <w:r w:rsidRPr="0086242B">
        <w:rPr>
          <w:rFonts w:ascii="ITC Avant Garde" w:hAnsi="ITC Avant Garde"/>
          <w:b/>
          <w:sz w:val="20"/>
          <w:szCs w:val="20"/>
          <w:lang w:val="es-MX"/>
        </w:rPr>
        <w:t>Longitud de onda (</w:t>
      </w:r>
      <w:r w:rsidRPr="0086242B">
        <w:rPr>
          <w:rFonts w:ascii="Calibri" w:hAnsi="Calibri" w:cs="Calibri"/>
          <w:b/>
          <w:i/>
          <w:sz w:val="20"/>
          <w:szCs w:val="20"/>
          <w:lang w:val="es-MX"/>
        </w:rPr>
        <w:t>λ</w:t>
      </w:r>
      <w:r w:rsidRPr="0086242B">
        <w:rPr>
          <w:rFonts w:ascii="ITC Avant Garde" w:hAnsi="ITC Avant Garde"/>
          <w:b/>
          <w:sz w:val="20"/>
          <w:szCs w:val="20"/>
          <w:lang w:val="es-MX"/>
        </w:rPr>
        <w:t>).-</w:t>
      </w:r>
      <w:r w:rsidRPr="0086242B">
        <w:rPr>
          <w:rFonts w:ascii="ITC Avant Garde" w:hAnsi="ITC Avant Garde"/>
          <w:sz w:val="20"/>
          <w:szCs w:val="20"/>
          <w:lang w:val="es-MX"/>
        </w:rPr>
        <w:t xml:space="preserve"> Es la distancia entre dos puntos consecutivos de una onda periódica en la dirección de propagación donde se tiene la misma fase de la onda.</w:t>
      </w:r>
    </w:p>
    <w:p w14:paraId="49104A50" w14:textId="77777777" w:rsidR="00D9613A" w:rsidRPr="005B725D" w:rsidRDefault="00D9613A" w:rsidP="005B725D">
      <w:pPr>
        <w:pStyle w:val="Prrafodelista"/>
        <w:rPr>
          <w:rFonts w:ascii="ITC Avant Garde" w:hAnsi="ITC Avant Garde"/>
          <w:sz w:val="20"/>
          <w:szCs w:val="20"/>
          <w:lang w:val="es-MX"/>
        </w:rPr>
      </w:pPr>
    </w:p>
    <w:p w14:paraId="3B73FDF7" w14:textId="77777777" w:rsidR="006B595F" w:rsidRPr="0086242B" w:rsidRDefault="006B595F" w:rsidP="006B595F">
      <w:pPr>
        <w:spacing w:line="360" w:lineRule="auto"/>
        <w:jc w:val="both"/>
        <w:rPr>
          <w:rFonts w:ascii="ITC Avant Garde" w:hAnsi="ITC Avant Garde"/>
          <w:sz w:val="20"/>
          <w:szCs w:val="20"/>
          <w:lang w:val="es-MX"/>
        </w:rPr>
      </w:pPr>
    </w:p>
    <w:p w14:paraId="6BE2B628" w14:textId="77777777" w:rsidR="006B595F" w:rsidRPr="0086242B" w:rsidRDefault="006B595F" w:rsidP="006B595F">
      <w:pPr>
        <w:pStyle w:val="Prrafodelista"/>
        <w:numPr>
          <w:ilvl w:val="0"/>
          <w:numId w:val="51"/>
        </w:numPr>
        <w:spacing w:line="360" w:lineRule="auto"/>
        <w:jc w:val="both"/>
        <w:rPr>
          <w:rFonts w:ascii="ITC Avant Garde" w:hAnsi="ITC Avant Garde"/>
          <w:sz w:val="20"/>
          <w:szCs w:val="20"/>
          <w:lang w:val="es-MX"/>
        </w:rPr>
      </w:pPr>
      <w:r w:rsidRPr="0086242B">
        <w:rPr>
          <w:rFonts w:ascii="ITC Avant Garde" w:hAnsi="ITC Avant Garde"/>
          <w:b/>
          <w:sz w:val="20"/>
          <w:szCs w:val="20"/>
          <w:lang w:val="es-MX"/>
        </w:rPr>
        <w:t>Patrón de radiación de potencia.-</w:t>
      </w:r>
      <w:r w:rsidRPr="0086242B">
        <w:rPr>
          <w:rFonts w:ascii="ITC Avant Garde" w:hAnsi="ITC Avant Garde"/>
          <w:sz w:val="20"/>
          <w:szCs w:val="20"/>
          <w:lang w:val="es-MX"/>
        </w:rPr>
        <w:t xml:space="preserve"> Es la representación matemática o gráfica de la variación de la densidad de potencia de una antena, como función de las coordenadas espaciales, </w:t>
      </w:r>
      <w:r w:rsidR="00E14243" w:rsidRPr="00F02808">
        <w:rPr>
          <w:rFonts w:ascii="ITC Avant Garde" w:hAnsi="ITC Avant Garde"/>
          <w:sz w:val="20"/>
          <w:szCs w:val="20"/>
          <w:lang w:val="es-MX"/>
        </w:rPr>
        <w:t>manteniendo una distancia fija a la antena</w:t>
      </w:r>
      <w:r w:rsidR="00A73080">
        <w:rPr>
          <w:rFonts w:ascii="ITC Avant Garde" w:hAnsi="ITC Avant Garde"/>
          <w:sz w:val="20"/>
          <w:szCs w:val="20"/>
          <w:lang w:val="es-MX"/>
        </w:rPr>
        <w:t xml:space="preserve"> en condiciones de campo lejano o campo cercano</w:t>
      </w:r>
      <w:r w:rsidR="005B725D">
        <w:rPr>
          <w:rFonts w:ascii="ITC Avant Garde" w:hAnsi="ITC Avant Garde"/>
          <w:sz w:val="20"/>
          <w:szCs w:val="20"/>
          <w:lang w:val="es-MX"/>
        </w:rPr>
        <w:t>, según corresponda</w:t>
      </w:r>
      <w:r w:rsidRPr="0086242B">
        <w:rPr>
          <w:rFonts w:ascii="ITC Avant Garde" w:hAnsi="ITC Avant Garde"/>
          <w:sz w:val="20"/>
          <w:szCs w:val="20"/>
          <w:lang w:val="es-MX"/>
        </w:rPr>
        <w:t>.</w:t>
      </w:r>
    </w:p>
    <w:p w14:paraId="73731D08" w14:textId="77777777" w:rsidR="006B595F" w:rsidRPr="0086242B" w:rsidRDefault="006B595F" w:rsidP="006B595F">
      <w:pPr>
        <w:spacing w:line="360" w:lineRule="auto"/>
        <w:jc w:val="both"/>
        <w:rPr>
          <w:rFonts w:ascii="ITC Avant Garde" w:hAnsi="ITC Avant Garde"/>
          <w:sz w:val="20"/>
          <w:szCs w:val="20"/>
          <w:lang w:val="es-MX"/>
        </w:rPr>
      </w:pPr>
    </w:p>
    <w:p w14:paraId="222DA987" w14:textId="77777777" w:rsidR="00A40332" w:rsidRPr="00F36C2B" w:rsidRDefault="0065242F" w:rsidP="00F36C2B">
      <w:pPr>
        <w:pStyle w:val="Prrafodelista"/>
        <w:numPr>
          <w:ilvl w:val="0"/>
          <w:numId w:val="51"/>
        </w:numPr>
        <w:spacing w:line="360" w:lineRule="auto"/>
        <w:jc w:val="both"/>
        <w:rPr>
          <w:rFonts w:ascii="ITC Avant Garde" w:hAnsi="ITC Avant Garde"/>
          <w:b/>
          <w:sz w:val="20"/>
          <w:szCs w:val="20"/>
          <w:lang w:val="es-MX"/>
        </w:rPr>
      </w:pPr>
      <w:proofErr w:type="spellStart"/>
      <w:r w:rsidRPr="0065242F">
        <w:rPr>
          <w:rFonts w:ascii="ITC Avant Garde" w:hAnsi="ITC Avant Garde"/>
          <w:b/>
          <w:sz w:val="20"/>
          <w:szCs w:val="20"/>
          <w:lang w:val="es-MX"/>
        </w:rPr>
        <w:t>Permitiv</w:t>
      </w:r>
      <w:r w:rsidR="00736520">
        <w:rPr>
          <w:rFonts w:ascii="ITC Avant Garde" w:hAnsi="ITC Avant Garde"/>
          <w:b/>
          <w:sz w:val="20"/>
          <w:szCs w:val="20"/>
          <w:lang w:val="es-MX"/>
        </w:rPr>
        <w:t>idad</w:t>
      </w:r>
      <w:proofErr w:type="spellEnd"/>
      <w:r w:rsidRPr="0065242F">
        <w:rPr>
          <w:rFonts w:ascii="ITC Avant Garde" w:hAnsi="ITC Avant Garde"/>
          <w:b/>
          <w:sz w:val="20"/>
          <w:szCs w:val="20"/>
          <w:lang w:val="es-MX"/>
        </w:rPr>
        <w:t xml:space="preserve"> compleja</w:t>
      </w:r>
      <w:r w:rsidRPr="0065242F">
        <w:rPr>
          <w:rFonts w:ascii="ITC Avant Garde" w:hAnsi="ITC Avant Garde"/>
          <w:sz w:val="20"/>
          <w:szCs w:val="20"/>
          <w:lang w:val="es-MX"/>
        </w:rPr>
        <w:t>.-</w:t>
      </w:r>
      <w:r w:rsidRPr="0065242F">
        <w:t xml:space="preserve"> </w:t>
      </w:r>
      <w:r w:rsidRPr="0065242F">
        <w:rPr>
          <w:rFonts w:ascii="ITC Avant Garde" w:hAnsi="ITC Avant Garde"/>
          <w:sz w:val="20"/>
          <w:szCs w:val="20"/>
          <w:lang w:val="es-MX"/>
        </w:rPr>
        <w:t xml:space="preserve">Es la relación  de la densidad de flujo eléctrico en un medio con respecto </w:t>
      </w:r>
      <w:r>
        <w:rPr>
          <w:rFonts w:ascii="ITC Avant Garde" w:hAnsi="ITC Avant Garde"/>
          <w:sz w:val="20"/>
          <w:szCs w:val="20"/>
          <w:lang w:val="es-MX"/>
        </w:rPr>
        <w:t xml:space="preserve"> a la</w:t>
      </w:r>
      <w:r w:rsidRPr="0065242F">
        <w:rPr>
          <w:rFonts w:ascii="ITC Avant Garde" w:hAnsi="ITC Avant Garde"/>
          <w:sz w:val="20"/>
          <w:szCs w:val="20"/>
          <w:lang w:val="es-MX"/>
        </w:rPr>
        <w:t xml:space="preserve"> intensidad de campo eléctrico en un punto  determinado, la </w:t>
      </w:r>
      <w:proofErr w:type="spellStart"/>
      <w:r w:rsidRPr="0065242F">
        <w:rPr>
          <w:rFonts w:ascii="ITC Avant Garde" w:hAnsi="ITC Avant Garde"/>
          <w:sz w:val="20"/>
          <w:szCs w:val="20"/>
          <w:lang w:val="es-MX"/>
        </w:rPr>
        <w:t>permitiv</w:t>
      </w:r>
      <w:r>
        <w:rPr>
          <w:rFonts w:ascii="ITC Avant Garde" w:hAnsi="ITC Avant Garde"/>
          <w:sz w:val="20"/>
          <w:szCs w:val="20"/>
          <w:lang w:val="es-MX"/>
        </w:rPr>
        <w:t>ida</w:t>
      </w:r>
      <w:r w:rsidRPr="0065242F">
        <w:rPr>
          <w:rFonts w:ascii="ITC Avant Garde" w:hAnsi="ITC Avant Garde"/>
          <w:sz w:val="20"/>
          <w:szCs w:val="20"/>
          <w:lang w:val="es-MX"/>
        </w:rPr>
        <w:t>d</w:t>
      </w:r>
      <w:proofErr w:type="spellEnd"/>
      <w:r w:rsidRPr="0065242F">
        <w:rPr>
          <w:rFonts w:ascii="ITC Avant Garde" w:hAnsi="ITC Avant Garde"/>
          <w:sz w:val="20"/>
          <w:szCs w:val="20"/>
          <w:lang w:val="es-MX"/>
        </w:rPr>
        <w:t xml:space="preserve"> compleja (</w:t>
      </w:r>
      <m:oMath>
        <m:sSup>
          <m:sSupPr>
            <m:ctrlPr>
              <w:rPr>
                <w:rFonts w:ascii="Cambria Math" w:hAnsi="Cambria Math"/>
                <w:i/>
                <w:sz w:val="20"/>
                <w:szCs w:val="20"/>
                <w:lang w:val="es-MX"/>
              </w:rPr>
            </m:ctrlPr>
          </m:sSupPr>
          <m:e>
            <m:r>
              <w:rPr>
                <w:rFonts w:ascii="Cambria Math" w:hAnsi="Cambria Math"/>
                <w:sz w:val="20"/>
                <w:szCs w:val="20"/>
                <w:lang w:val="es-MX"/>
              </w:rPr>
              <m:t>ε</m:t>
            </m:r>
          </m:e>
          <m:sup>
            <m:r>
              <w:rPr>
                <w:rFonts w:ascii="Cambria Math" w:hAnsi="Cambria Math"/>
                <w:sz w:val="20"/>
                <w:szCs w:val="20"/>
                <w:lang w:val="es-MX"/>
              </w:rPr>
              <m:t>*</m:t>
            </m:r>
          </m:sup>
        </m:sSup>
      </m:oMath>
      <w:r w:rsidRPr="0065242F">
        <w:rPr>
          <w:rFonts w:ascii="ITC Avant Garde" w:hAnsi="ITC Avant Garde"/>
          <w:sz w:val="20"/>
          <w:szCs w:val="20"/>
          <w:lang w:val="es-MX"/>
        </w:rPr>
        <w:t>) se expresa como</w:t>
      </w:r>
      <w:r w:rsidR="00A40332">
        <w:rPr>
          <w:rFonts w:ascii="ITC Avant Garde" w:hAnsi="ITC Avant Garde"/>
          <w:sz w:val="20"/>
          <w:szCs w:val="20"/>
          <w:lang w:val="es-MX"/>
        </w:rPr>
        <w:t>:</w:t>
      </w:r>
    </w:p>
    <w:p w14:paraId="4CCD6FFE" w14:textId="77777777" w:rsidR="00F36C2B" w:rsidRPr="00F36C2B" w:rsidRDefault="00F36C2B" w:rsidP="00F36C2B">
      <w:pPr>
        <w:pStyle w:val="Prrafodelista"/>
        <w:jc w:val="both"/>
        <w:rPr>
          <w:rFonts w:ascii="ITC Avant Garde" w:hAnsi="ITC Avant Garde"/>
          <w:b/>
          <w:sz w:val="20"/>
          <w:szCs w:val="20"/>
          <w:lang w:val="es-MX"/>
        </w:rPr>
      </w:pPr>
    </w:p>
    <w:p w14:paraId="004E35D9" w14:textId="77777777" w:rsidR="00F36C2B" w:rsidRPr="00A40332" w:rsidRDefault="00772E7C" w:rsidP="00F36C2B">
      <w:pPr>
        <w:pStyle w:val="Prrafodelista"/>
        <w:spacing w:line="360" w:lineRule="auto"/>
        <w:ind w:left="1080"/>
        <w:jc w:val="both"/>
        <w:rPr>
          <w:rFonts w:ascii="ITC Avant Garde" w:hAnsi="ITC Avant Garde"/>
          <w:b/>
          <w:sz w:val="20"/>
          <w:szCs w:val="20"/>
          <w:lang w:val="es-MX"/>
        </w:rPr>
      </w:pPr>
      <m:oMathPara>
        <m:oMath>
          <m:sSup>
            <m:sSupPr>
              <m:ctrlPr>
                <w:rPr>
                  <w:rFonts w:ascii="Cambria Math" w:hAnsi="Cambria Math"/>
                  <w:b/>
                  <w:i/>
                  <w:sz w:val="20"/>
                  <w:szCs w:val="20"/>
                  <w:lang w:val="es-MX"/>
                </w:rPr>
              </m:ctrlPr>
            </m:sSupPr>
            <m:e>
              <m:r>
                <m:rPr>
                  <m:sty m:val="bi"/>
                </m:rPr>
                <w:rPr>
                  <w:rFonts w:ascii="Cambria Math" w:hAnsi="Cambria Math"/>
                  <w:sz w:val="20"/>
                  <w:szCs w:val="20"/>
                  <w:lang w:val="es-MX"/>
                </w:rPr>
                <m:t>ε</m:t>
              </m:r>
            </m:e>
            <m:sup>
              <m:r>
                <m:rPr>
                  <m:sty m:val="bi"/>
                </m:rPr>
                <w:rPr>
                  <w:rFonts w:ascii="Cambria Math" w:hAnsi="Cambria Math"/>
                  <w:sz w:val="20"/>
                  <w:szCs w:val="20"/>
                  <w:lang w:val="es-MX"/>
                </w:rPr>
                <m:t>*</m:t>
              </m:r>
            </m:sup>
          </m:sSup>
          <m:r>
            <m:rPr>
              <m:sty m:val="bi"/>
            </m:rPr>
            <w:rPr>
              <w:rFonts w:ascii="Cambria Math" w:hAnsi="Cambria Math"/>
              <w:sz w:val="20"/>
              <w:szCs w:val="20"/>
              <w:lang w:val="es-MX"/>
            </w:rPr>
            <m:t>=</m:t>
          </m:r>
          <m:sSub>
            <m:sSubPr>
              <m:ctrlPr>
                <w:rPr>
                  <w:rFonts w:ascii="Cambria Math" w:hAnsi="Cambria Math"/>
                  <w:b/>
                  <w:i/>
                  <w:sz w:val="20"/>
                  <w:szCs w:val="20"/>
                  <w:lang w:val="es-MX"/>
                </w:rPr>
              </m:ctrlPr>
            </m:sSubPr>
            <m:e>
              <m:r>
                <m:rPr>
                  <m:sty m:val="bi"/>
                </m:rPr>
                <w:rPr>
                  <w:rFonts w:ascii="Cambria Math" w:hAnsi="Cambria Math"/>
                  <w:sz w:val="20"/>
                  <w:szCs w:val="20"/>
                  <w:lang w:val="es-MX"/>
                </w:rPr>
                <m:t>ε</m:t>
              </m:r>
            </m:e>
            <m:sub>
              <m:r>
                <m:rPr>
                  <m:sty m:val="bi"/>
                </m:rPr>
                <w:rPr>
                  <w:rFonts w:ascii="Cambria Math" w:hAnsi="Cambria Math"/>
                  <w:sz w:val="20"/>
                  <w:szCs w:val="20"/>
                  <w:lang w:val="es-MX"/>
                </w:rPr>
                <m:t>0</m:t>
              </m:r>
            </m:sub>
          </m:sSub>
          <m:d>
            <m:dPr>
              <m:ctrlPr>
                <w:rPr>
                  <w:rFonts w:ascii="Cambria Math" w:hAnsi="Cambria Math"/>
                  <w:b/>
                  <w:i/>
                  <w:sz w:val="20"/>
                  <w:szCs w:val="20"/>
                  <w:lang w:val="es-MX"/>
                </w:rPr>
              </m:ctrlPr>
            </m:dPr>
            <m:e>
              <m:sSup>
                <m:sSupPr>
                  <m:ctrlPr>
                    <w:rPr>
                      <w:rFonts w:ascii="Cambria Math" w:hAnsi="Cambria Math"/>
                      <w:b/>
                      <w:i/>
                      <w:sz w:val="20"/>
                      <w:szCs w:val="20"/>
                      <w:lang w:val="es-MX"/>
                    </w:rPr>
                  </m:ctrlPr>
                </m:sSupPr>
                <m:e>
                  <m:r>
                    <m:rPr>
                      <m:sty m:val="bi"/>
                    </m:rPr>
                    <w:rPr>
                      <w:rFonts w:ascii="Cambria Math" w:hAnsi="Cambria Math"/>
                      <w:sz w:val="20"/>
                      <w:szCs w:val="20"/>
                      <w:lang w:val="es-MX"/>
                    </w:rPr>
                    <m:t>ϵ</m:t>
                  </m:r>
                </m:e>
                <m:sup>
                  <m:r>
                    <m:rPr>
                      <m:sty m:val="bi"/>
                    </m:rPr>
                    <w:rPr>
                      <w:rFonts w:ascii="Cambria Math" w:hAnsi="Cambria Math"/>
                      <w:sz w:val="20"/>
                      <w:szCs w:val="20"/>
                      <w:lang w:val="es-MX"/>
                    </w:rPr>
                    <m:t>'</m:t>
                  </m:r>
                </m:sup>
              </m:sSup>
              <m:r>
                <m:rPr>
                  <m:sty m:val="bi"/>
                </m:rPr>
                <w:rPr>
                  <w:rFonts w:ascii="Cambria Math" w:hAnsi="Cambria Math"/>
                  <w:sz w:val="20"/>
                  <w:szCs w:val="20"/>
                  <w:lang w:val="es-MX"/>
                </w:rPr>
                <m:t>-j</m:t>
              </m:r>
              <m:sSup>
                <m:sSupPr>
                  <m:ctrlPr>
                    <w:rPr>
                      <w:rFonts w:ascii="Cambria Math" w:hAnsi="Cambria Math"/>
                      <w:b/>
                      <w:i/>
                      <w:sz w:val="20"/>
                      <w:szCs w:val="20"/>
                      <w:lang w:val="es-MX"/>
                    </w:rPr>
                  </m:ctrlPr>
                </m:sSupPr>
                <m:e>
                  <m:r>
                    <m:rPr>
                      <m:sty m:val="bi"/>
                    </m:rPr>
                    <w:rPr>
                      <w:rFonts w:ascii="Cambria Math" w:hAnsi="Cambria Math"/>
                      <w:sz w:val="20"/>
                      <w:szCs w:val="20"/>
                      <w:lang w:val="es-MX"/>
                    </w:rPr>
                    <m:t>ε</m:t>
                  </m:r>
                </m:e>
                <m:sup>
                  <m:r>
                    <m:rPr>
                      <m:sty m:val="bi"/>
                    </m:rPr>
                    <w:rPr>
                      <w:rFonts w:ascii="Cambria Math" w:hAnsi="Cambria Math"/>
                      <w:sz w:val="20"/>
                      <w:szCs w:val="20"/>
                      <w:lang w:val="es-MX"/>
                    </w:rPr>
                    <m:t>''</m:t>
                  </m:r>
                </m:sup>
              </m:sSup>
            </m:e>
          </m:d>
          <m:r>
            <m:rPr>
              <m:sty m:val="bi"/>
            </m:rPr>
            <w:rPr>
              <w:rFonts w:ascii="Cambria Math" w:hAnsi="Cambria Math"/>
              <w:sz w:val="20"/>
              <w:szCs w:val="20"/>
              <w:lang w:val="es-MX"/>
            </w:rPr>
            <m:t>=</m:t>
          </m:r>
          <m:sSub>
            <m:sSubPr>
              <m:ctrlPr>
                <w:rPr>
                  <w:rFonts w:ascii="Cambria Math" w:hAnsi="Cambria Math"/>
                  <w:b/>
                  <w:i/>
                  <w:sz w:val="20"/>
                  <w:szCs w:val="20"/>
                  <w:lang w:val="es-MX"/>
                </w:rPr>
              </m:ctrlPr>
            </m:sSubPr>
            <m:e>
              <m:r>
                <m:rPr>
                  <m:sty m:val="bi"/>
                </m:rPr>
                <w:rPr>
                  <w:rFonts w:ascii="Cambria Math" w:hAnsi="Cambria Math"/>
                  <w:sz w:val="20"/>
                  <w:szCs w:val="20"/>
                  <w:lang w:val="es-MX"/>
                </w:rPr>
                <m:t>ε</m:t>
              </m:r>
            </m:e>
            <m:sub>
              <m:r>
                <m:rPr>
                  <m:sty m:val="bi"/>
                </m:rPr>
                <w:rPr>
                  <w:rFonts w:ascii="Cambria Math" w:hAnsi="Cambria Math"/>
                  <w:sz w:val="20"/>
                  <w:szCs w:val="20"/>
                  <w:lang w:val="es-MX"/>
                </w:rPr>
                <m:t>0</m:t>
              </m:r>
            </m:sub>
          </m:sSub>
          <m:d>
            <m:dPr>
              <m:ctrlPr>
                <w:rPr>
                  <w:rFonts w:ascii="Cambria Math" w:hAnsi="Cambria Math"/>
                  <w:b/>
                  <w:i/>
                  <w:sz w:val="20"/>
                  <w:szCs w:val="20"/>
                  <w:lang w:val="es-MX"/>
                </w:rPr>
              </m:ctrlPr>
            </m:dPr>
            <m:e>
              <m:sSup>
                <m:sSupPr>
                  <m:ctrlPr>
                    <w:rPr>
                      <w:rFonts w:ascii="Cambria Math" w:hAnsi="Cambria Math"/>
                      <w:b/>
                      <w:i/>
                      <w:sz w:val="20"/>
                      <w:szCs w:val="20"/>
                      <w:lang w:val="es-MX"/>
                    </w:rPr>
                  </m:ctrlPr>
                </m:sSupPr>
                <m:e>
                  <m:r>
                    <m:rPr>
                      <m:sty m:val="bi"/>
                    </m:rPr>
                    <w:rPr>
                      <w:rFonts w:ascii="Cambria Math" w:hAnsi="Cambria Math"/>
                      <w:sz w:val="20"/>
                      <w:szCs w:val="20"/>
                      <w:lang w:val="es-MX"/>
                    </w:rPr>
                    <m:t>ϵ</m:t>
                  </m:r>
                </m:e>
                <m:sup>
                  <m:r>
                    <m:rPr>
                      <m:sty m:val="bi"/>
                    </m:rPr>
                    <w:rPr>
                      <w:rFonts w:ascii="Cambria Math" w:hAnsi="Cambria Math"/>
                      <w:sz w:val="20"/>
                      <w:szCs w:val="20"/>
                      <w:lang w:val="es-MX"/>
                    </w:rPr>
                    <m:t>'</m:t>
                  </m:r>
                </m:sup>
              </m:sSup>
              <m:r>
                <m:rPr>
                  <m:sty m:val="bi"/>
                </m:rPr>
                <w:rPr>
                  <w:rFonts w:ascii="Cambria Math" w:hAnsi="Cambria Math"/>
                  <w:sz w:val="20"/>
                  <w:szCs w:val="20"/>
                  <w:lang w:val="es-MX"/>
                </w:rPr>
                <m:t>-j</m:t>
              </m:r>
              <m:f>
                <m:fPr>
                  <m:ctrlPr>
                    <w:rPr>
                      <w:rFonts w:ascii="Cambria Math" w:hAnsi="Cambria Math"/>
                      <w:b/>
                      <w:i/>
                      <w:sz w:val="20"/>
                      <w:szCs w:val="20"/>
                      <w:lang w:val="es-MX"/>
                    </w:rPr>
                  </m:ctrlPr>
                </m:fPr>
                <m:num>
                  <m:r>
                    <m:rPr>
                      <m:sty m:val="bi"/>
                    </m:rPr>
                    <w:rPr>
                      <w:rFonts w:ascii="Cambria Math" w:hAnsi="Cambria Math"/>
                      <w:sz w:val="20"/>
                      <w:szCs w:val="20"/>
                      <w:lang w:val="es-MX"/>
                    </w:rPr>
                    <m:t>σ</m:t>
                  </m:r>
                </m:num>
                <m:den>
                  <m:r>
                    <m:rPr>
                      <m:sty m:val="bi"/>
                    </m:rPr>
                    <w:rPr>
                      <w:rFonts w:ascii="Cambria Math" w:hAnsi="Cambria Math"/>
                      <w:sz w:val="20"/>
                      <w:szCs w:val="20"/>
                      <w:lang w:val="es-MX"/>
                    </w:rPr>
                    <m:t>ω</m:t>
                  </m:r>
                  <m:sSub>
                    <m:sSubPr>
                      <m:ctrlPr>
                        <w:rPr>
                          <w:rFonts w:ascii="Cambria Math" w:hAnsi="Cambria Math"/>
                          <w:b/>
                          <w:i/>
                          <w:sz w:val="20"/>
                          <w:szCs w:val="20"/>
                          <w:lang w:val="es-MX"/>
                        </w:rPr>
                      </m:ctrlPr>
                    </m:sSubPr>
                    <m:e>
                      <m:r>
                        <m:rPr>
                          <m:sty m:val="bi"/>
                        </m:rPr>
                        <w:rPr>
                          <w:rFonts w:ascii="Cambria Math" w:hAnsi="Cambria Math"/>
                          <w:sz w:val="20"/>
                          <w:szCs w:val="20"/>
                          <w:lang w:val="es-MX"/>
                        </w:rPr>
                        <m:t>ε</m:t>
                      </m:r>
                    </m:e>
                    <m:sub>
                      <m:r>
                        <m:rPr>
                          <m:sty m:val="bi"/>
                        </m:rPr>
                        <w:rPr>
                          <w:rFonts w:ascii="Cambria Math" w:hAnsi="Cambria Math"/>
                          <w:sz w:val="20"/>
                          <w:szCs w:val="20"/>
                          <w:lang w:val="es-MX"/>
                        </w:rPr>
                        <m:t>0</m:t>
                      </m:r>
                    </m:sub>
                  </m:sSub>
                </m:den>
              </m:f>
            </m:e>
          </m:d>
        </m:oMath>
      </m:oMathPara>
    </w:p>
    <w:p w14:paraId="53747FC0" w14:textId="77777777" w:rsidR="00A40332" w:rsidRPr="00A40332" w:rsidRDefault="00A40332" w:rsidP="00F36C2B">
      <w:pPr>
        <w:pStyle w:val="Prrafodelista"/>
        <w:jc w:val="both"/>
        <w:rPr>
          <w:rFonts w:ascii="ITC Avant Garde" w:hAnsi="ITC Avant Garde"/>
        </w:rPr>
      </w:pPr>
    </w:p>
    <w:p w14:paraId="3755D240" w14:textId="77777777" w:rsidR="004A6089" w:rsidRPr="00F36C2B" w:rsidRDefault="00A73080" w:rsidP="00F36C2B">
      <w:pPr>
        <w:pStyle w:val="Prrafodelista"/>
        <w:spacing w:line="360" w:lineRule="auto"/>
        <w:ind w:left="1080"/>
        <w:jc w:val="both"/>
        <w:rPr>
          <w:rFonts w:ascii="ITC Avant Garde" w:hAnsi="ITC Avant Garde"/>
          <w:sz w:val="20"/>
          <w:szCs w:val="20"/>
          <w:lang w:val="es-MX"/>
        </w:rPr>
      </w:pPr>
      <w:r>
        <w:rPr>
          <w:rFonts w:ascii="ITC Avant Garde" w:hAnsi="ITC Avant Garde"/>
          <w:sz w:val="20"/>
          <w:szCs w:val="20"/>
          <w:lang w:val="es-MX"/>
        </w:rPr>
        <w:t>Donde</w:t>
      </w:r>
      <w:r w:rsidR="00F36C2B" w:rsidRPr="00F36C2B">
        <w:rPr>
          <w:rFonts w:ascii="ITC Avant Garde" w:hAnsi="ITC Avant Garde"/>
          <w:sz w:val="20"/>
          <w:szCs w:val="20"/>
          <w:lang w:val="es-MX"/>
        </w:rPr>
        <w:t xml:space="preserve"> </w:t>
      </w:r>
      <m:oMath>
        <m:sSub>
          <m:sSubPr>
            <m:ctrlPr>
              <w:rPr>
                <w:rFonts w:ascii="Cambria Math" w:hAnsi="Cambria Math"/>
                <w:b/>
                <w:i/>
                <w:sz w:val="20"/>
                <w:szCs w:val="20"/>
                <w:lang w:val="es-MX"/>
              </w:rPr>
            </m:ctrlPr>
          </m:sSubPr>
          <m:e>
            <m:r>
              <m:rPr>
                <m:sty m:val="bi"/>
              </m:rPr>
              <w:rPr>
                <w:rFonts w:ascii="Cambria Math" w:hAnsi="Cambria Math"/>
                <w:sz w:val="20"/>
                <w:szCs w:val="20"/>
                <w:lang w:val="es-MX"/>
              </w:rPr>
              <m:t>ε</m:t>
            </m:r>
          </m:e>
          <m:sub>
            <m:r>
              <m:rPr>
                <m:sty m:val="bi"/>
              </m:rPr>
              <w:rPr>
                <w:rFonts w:ascii="Cambria Math" w:hAnsi="Cambria Math"/>
                <w:sz w:val="20"/>
                <w:szCs w:val="20"/>
                <w:lang w:val="es-MX"/>
              </w:rPr>
              <m:t>0</m:t>
            </m:r>
          </m:sub>
        </m:sSub>
      </m:oMath>
      <w:r w:rsidR="00F36C2B">
        <w:rPr>
          <w:rFonts w:ascii="ITC Avant Garde" w:hAnsi="ITC Avant Garde"/>
          <w:sz w:val="20"/>
          <w:szCs w:val="20"/>
          <w:lang w:val="es-MX"/>
        </w:rPr>
        <w:t xml:space="preserve">  es la permitividad en el espacio libre </w:t>
      </w:r>
      <w:r w:rsidR="00F36C2B" w:rsidRPr="00F36C2B">
        <w:rPr>
          <w:rFonts w:ascii="ITC Avant Garde" w:hAnsi="ITC Avant Garde"/>
          <w:sz w:val="20"/>
          <w:szCs w:val="20"/>
          <w:lang w:val="es-MX"/>
        </w:rPr>
        <w:t>(8.854</w:t>
      </w:r>
      <w:r w:rsidR="00F36C2B">
        <w:rPr>
          <w:rFonts w:ascii="ITC Avant Garde" w:hAnsi="ITC Avant Garde"/>
          <w:sz w:val="20"/>
          <w:szCs w:val="20"/>
          <w:lang w:val="es-MX"/>
        </w:rPr>
        <w:t>X</w:t>
      </w:r>
      <w:r w:rsidR="00F36C2B" w:rsidRPr="00F36C2B">
        <w:rPr>
          <w:rFonts w:ascii="ITC Avant Garde" w:hAnsi="ITC Avant Garde"/>
          <w:sz w:val="20"/>
          <w:szCs w:val="20"/>
          <w:lang w:val="es-MX"/>
        </w:rPr>
        <w:t xml:space="preserve"> </w:t>
      </w:r>
      <m:oMath>
        <m:sSup>
          <m:sSupPr>
            <m:ctrlPr>
              <w:rPr>
                <w:rFonts w:ascii="Cambria Math" w:hAnsi="Cambria Math"/>
                <w:b/>
                <w:i/>
                <w:sz w:val="20"/>
                <w:szCs w:val="20"/>
                <w:lang w:val="es-MX"/>
              </w:rPr>
            </m:ctrlPr>
          </m:sSupPr>
          <m:e>
            <m:r>
              <m:rPr>
                <m:sty m:val="bi"/>
              </m:rPr>
              <w:rPr>
                <w:rFonts w:ascii="Cambria Math" w:hAnsi="Cambria Math"/>
                <w:sz w:val="20"/>
                <w:szCs w:val="20"/>
                <w:lang w:val="es-MX"/>
              </w:rPr>
              <m:t>10</m:t>
            </m:r>
          </m:e>
          <m:sup>
            <m:r>
              <m:rPr>
                <m:sty m:val="bi"/>
              </m:rPr>
              <w:rPr>
                <w:rFonts w:ascii="Cambria Math" w:hAnsi="Cambria Math"/>
                <w:sz w:val="20"/>
                <w:szCs w:val="20"/>
                <w:lang w:val="es-MX"/>
              </w:rPr>
              <m:t>-12</m:t>
            </m:r>
          </m:sup>
        </m:sSup>
      </m:oMath>
      <w:r w:rsidR="00F36C2B" w:rsidRPr="00F36C2B">
        <w:rPr>
          <w:rFonts w:ascii="ITC Avant Garde" w:hAnsi="ITC Avant Garde"/>
          <w:sz w:val="20"/>
          <w:szCs w:val="20"/>
          <w:lang w:val="es-MX"/>
        </w:rPr>
        <w:t xml:space="preserve"> farad</w:t>
      </w:r>
      <w:proofErr w:type="spellStart"/>
      <w:r w:rsidR="00F36C2B">
        <w:rPr>
          <w:rFonts w:ascii="ITC Avant Garde" w:hAnsi="ITC Avant Garde"/>
          <w:sz w:val="20"/>
          <w:szCs w:val="20"/>
          <w:lang w:val="es-MX"/>
        </w:rPr>
        <w:t>io</w:t>
      </w:r>
      <w:r w:rsidR="00F36C2B" w:rsidRPr="00F36C2B">
        <w:rPr>
          <w:rFonts w:ascii="ITC Avant Garde" w:hAnsi="ITC Avant Garde"/>
          <w:sz w:val="20"/>
          <w:szCs w:val="20"/>
          <w:lang w:val="es-MX"/>
        </w:rPr>
        <w:t>s</w:t>
      </w:r>
      <w:proofErr w:type="spellEnd"/>
      <w:r w:rsidR="00F36C2B" w:rsidRPr="00F36C2B">
        <w:rPr>
          <w:rFonts w:ascii="ITC Avant Garde" w:hAnsi="ITC Avant Garde"/>
          <w:sz w:val="20"/>
          <w:szCs w:val="20"/>
          <w:lang w:val="es-MX"/>
        </w:rPr>
        <w:t xml:space="preserve"> p</w:t>
      </w:r>
      <w:r w:rsidR="00F36C2B">
        <w:rPr>
          <w:rFonts w:ascii="ITC Avant Garde" w:hAnsi="ITC Avant Garde"/>
          <w:sz w:val="20"/>
          <w:szCs w:val="20"/>
          <w:lang w:val="es-MX"/>
        </w:rPr>
        <w:t>or metro</w:t>
      </w:r>
      <w:r w:rsidR="00F36C2B" w:rsidRPr="00F36C2B">
        <w:rPr>
          <w:rFonts w:ascii="ITC Avant Garde" w:hAnsi="ITC Avant Garde"/>
          <w:sz w:val="20"/>
          <w:szCs w:val="20"/>
          <w:lang w:val="es-MX"/>
        </w:rPr>
        <w:t xml:space="preserve">), </w:t>
      </w:r>
      <m:oMath>
        <m:sSup>
          <m:sSupPr>
            <m:ctrlPr>
              <w:rPr>
                <w:rFonts w:ascii="Cambria Math" w:hAnsi="Cambria Math"/>
                <w:b/>
                <w:i/>
                <w:sz w:val="20"/>
                <w:szCs w:val="20"/>
                <w:lang w:val="es-MX"/>
              </w:rPr>
            </m:ctrlPr>
          </m:sSupPr>
          <m:e>
            <m:r>
              <m:rPr>
                <m:sty m:val="bi"/>
              </m:rPr>
              <w:rPr>
                <w:rFonts w:ascii="Cambria Math" w:hAnsi="Cambria Math"/>
                <w:sz w:val="20"/>
                <w:szCs w:val="20"/>
                <w:lang w:val="es-MX"/>
              </w:rPr>
              <m:t>ϵ</m:t>
            </m:r>
          </m:e>
          <m:sup>
            <m:r>
              <m:rPr>
                <m:sty m:val="bi"/>
              </m:rPr>
              <w:rPr>
                <w:rFonts w:ascii="Cambria Math" w:hAnsi="Cambria Math"/>
                <w:sz w:val="20"/>
                <w:szCs w:val="20"/>
                <w:lang w:val="es-MX"/>
              </w:rPr>
              <m:t>'</m:t>
            </m:r>
          </m:sup>
        </m:sSup>
      </m:oMath>
      <w:r w:rsidR="00F36C2B" w:rsidRPr="00F36C2B">
        <w:rPr>
          <w:rFonts w:ascii="ITC Avant Garde" w:hAnsi="ITC Avant Garde"/>
          <w:sz w:val="20"/>
          <w:szCs w:val="20"/>
          <w:lang w:val="es-MX"/>
        </w:rPr>
        <w:t xml:space="preserve"> </w:t>
      </w:r>
      <w:r w:rsidR="00F36C2B">
        <w:rPr>
          <w:rFonts w:ascii="ITC Avant Garde" w:hAnsi="ITC Avant Garde"/>
          <w:sz w:val="20"/>
          <w:szCs w:val="20"/>
          <w:lang w:val="es-MX"/>
        </w:rPr>
        <w:t xml:space="preserve"> es la constante </w:t>
      </w:r>
      <w:r>
        <w:rPr>
          <w:rFonts w:ascii="ITC Avant Garde" w:hAnsi="ITC Avant Garde"/>
          <w:sz w:val="20"/>
          <w:szCs w:val="20"/>
          <w:lang w:val="es-MX"/>
        </w:rPr>
        <w:t>dieléctrica</w:t>
      </w:r>
      <w:r w:rsidR="00F36C2B">
        <w:rPr>
          <w:rFonts w:ascii="ITC Avant Garde" w:hAnsi="ITC Avant Garde"/>
          <w:sz w:val="20"/>
          <w:szCs w:val="20"/>
          <w:lang w:val="es-MX"/>
        </w:rPr>
        <w:t xml:space="preserve">, o la parte real de la </w:t>
      </w:r>
      <w:proofErr w:type="spellStart"/>
      <w:r w:rsidR="00F36C2B">
        <w:rPr>
          <w:rFonts w:ascii="ITC Avant Garde" w:hAnsi="ITC Avant Garde"/>
          <w:sz w:val="20"/>
          <w:szCs w:val="20"/>
          <w:lang w:val="es-MX"/>
        </w:rPr>
        <w:t>permitividad</w:t>
      </w:r>
      <w:proofErr w:type="spellEnd"/>
      <w:r w:rsidR="00F36C2B">
        <w:rPr>
          <w:rFonts w:ascii="ITC Avant Garde" w:hAnsi="ITC Avant Garde"/>
          <w:sz w:val="20"/>
          <w:szCs w:val="20"/>
          <w:lang w:val="es-MX"/>
        </w:rPr>
        <w:t xml:space="preserve"> compleja, </w:t>
      </w:r>
      <m:oMath>
        <m:sSup>
          <m:sSupPr>
            <m:ctrlPr>
              <w:rPr>
                <w:rFonts w:ascii="Cambria Math" w:hAnsi="Cambria Math"/>
                <w:b/>
                <w:i/>
                <w:sz w:val="20"/>
                <w:szCs w:val="20"/>
                <w:lang w:val="es-MX"/>
              </w:rPr>
            </m:ctrlPr>
          </m:sSupPr>
          <m:e>
            <m:r>
              <m:rPr>
                <m:sty m:val="bi"/>
              </m:rPr>
              <w:rPr>
                <w:rFonts w:ascii="Cambria Math" w:hAnsi="Cambria Math"/>
                <w:sz w:val="20"/>
                <w:szCs w:val="20"/>
                <w:lang w:val="es-MX"/>
              </w:rPr>
              <m:t>ε</m:t>
            </m:r>
          </m:e>
          <m:sup>
            <m:r>
              <m:rPr>
                <m:sty m:val="bi"/>
              </m:rPr>
              <w:rPr>
                <w:rFonts w:ascii="Cambria Math" w:hAnsi="Cambria Math"/>
                <w:sz w:val="20"/>
                <w:szCs w:val="20"/>
                <w:lang w:val="es-MX"/>
              </w:rPr>
              <m:t>''</m:t>
            </m:r>
          </m:sup>
        </m:sSup>
      </m:oMath>
      <w:r w:rsidR="00F36C2B">
        <w:rPr>
          <w:rFonts w:ascii="ITC Avant Garde" w:hAnsi="ITC Avant Garde"/>
          <w:sz w:val="20"/>
          <w:szCs w:val="20"/>
          <w:lang w:val="es-MX"/>
        </w:rPr>
        <w:t xml:space="preserve"> e</w:t>
      </w:r>
      <w:r w:rsidR="00F36C2B" w:rsidRPr="00F36C2B">
        <w:rPr>
          <w:rFonts w:ascii="ITC Avant Garde" w:hAnsi="ITC Avant Garde"/>
          <w:sz w:val="20"/>
          <w:szCs w:val="20"/>
          <w:lang w:val="es-MX"/>
        </w:rPr>
        <w:t>s</w:t>
      </w:r>
      <w:r w:rsidR="00F36C2B">
        <w:rPr>
          <w:rFonts w:ascii="ITC Avant Garde" w:hAnsi="ITC Avant Garde"/>
          <w:sz w:val="20"/>
          <w:szCs w:val="20"/>
          <w:lang w:val="es-MX"/>
        </w:rPr>
        <w:t xml:space="preserve"> la parte imaginaria de la </w:t>
      </w:r>
      <w:proofErr w:type="spellStart"/>
      <w:proofErr w:type="gramStart"/>
      <w:r w:rsidR="00F36C2B">
        <w:rPr>
          <w:rFonts w:ascii="ITC Avant Garde" w:hAnsi="ITC Avant Garde"/>
          <w:sz w:val="20"/>
          <w:szCs w:val="20"/>
          <w:lang w:val="es-MX"/>
        </w:rPr>
        <w:t>permitiv</w:t>
      </w:r>
      <w:r>
        <w:rPr>
          <w:rFonts w:ascii="ITC Avant Garde" w:hAnsi="ITC Avant Garde"/>
          <w:sz w:val="20"/>
          <w:szCs w:val="20"/>
          <w:lang w:val="es-MX"/>
        </w:rPr>
        <w:t>idad</w:t>
      </w:r>
      <w:proofErr w:type="spellEnd"/>
      <w:r w:rsidR="00F36C2B">
        <w:rPr>
          <w:rFonts w:ascii="ITC Avant Garde" w:hAnsi="ITC Avant Garde"/>
          <w:sz w:val="20"/>
          <w:szCs w:val="20"/>
          <w:lang w:val="es-MX"/>
        </w:rPr>
        <w:t xml:space="preserve">  relativa</w:t>
      </w:r>
      <w:proofErr w:type="gramEnd"/>
      <w:r w:rsidR="00F36C2B">
        <w:rPr>
          <w:rFonts w:ascii="ITC Avant Garde" w:hAnsi="ITC Avant Garde"/>
          <w:sz w:val="20"/>
          <w:szCs w:val="20"/>
          <w:lang w:val="es-MX"/>
        </w:rPr>
        <w:t xml:space="preserve"> compleja, </w:t>
      </w:r>
      <m:oMath>
        <m:r>
          <m:rPr>
            <m:sty m:val="bi"/>
          </m:rPr>
          <w:rPr>
            <w:rFonts w:ascii="Cambria Math" w:hAnsi="Cambria Math"/>
            <w:sz w:val="20"/>
            <w:szCs w:val="20"/>
            <w:lang w:val="es-MX"/>
          </w:rPr>
          <m:t>σ</m:t>
        </m:r>
      </m:oMath>
      <w:r w:rsidR="00F36C2B">
        <w:rPr>
          <w:rFonts w:ascii="ITC Avant Garde" w:hAnsi="ITC Avant Garde"/>
          <w:sz w:val="20"/>
          <w:szCs w:val="20"/>
          <w:lang w:val="es-MX"/>
        </w:rPr>
        <w:t xml:space="preserve"> e</w:t>
      </w:r>
      <w:r w:rsidR="00F36C2B" w:rsidRPr="00F36C2B">
        <w:rPr>
          <w:rFonts w:ascii="ITC Avant Garde" w:hAnsi="ITC Avant Garde"/>
          <w:sz w:val="20"/>
          <w:szCs w:val="20"/>
          <w:lang w:val="es-MX"/>
        </w:rPr>
        <w:t xml:space="preserve">s </w:t>
      </w:r>
      <w:r w:rsidR="00F36C2B">
        <w:rPr>
          <w:rFonts w:ascii="ITC Avant Garde" w:hAnsi="ITC Avant Garde"/>
          <w:sz w:val="20"/>
          <w:szCs w:val="20"/>
          <w:lang w:val="es-MX"/>
        </w:rPr>
        <w:t>la conductividad el medio</w:t>
      </w:r>
      <w:r w:rsidR="00F36C2B" w:rsidRPr="00F36C2B">
        <w:rPr>
          <w:rFonts w:ascii="ITC Avant Garde" w:hAnsi="ITC Avant Garde"/>
          <w:sz w:val="20"/>
          <w:szCs w:val="20"/>
          <w:lang w:val="es-MX"/>
        </w:rPr>
        <w:t xml:space="preserve">, </w:t>
      </w:r>
      <w:r w:rsidR="00F36C2B">
        <w:rPr>
          <w:rFonts w:ascii="ITC Avant Garde" w:hAnsi="ITC Avant Garde"/>
          <w:sz w:val="20"/>
          <w:szCs w:val="20"/>
          <w:lang w:val="es-MX"/>
        </w:rPr>
        <w:t xml:space="preserve">y </w:t>
      </w:r>
      <m:oMath>
        <m:r>
          <m:rPr>
            <m:sty m:val="bi"/>
          </m:rPr>
          <w:rPr>
            <w:rFonts w:ascii="Cambria Math" w:hAnsi="Cambria Math"/>
            <w:sz w:val="20"/>
            <w:szCs w:val="20"/>
            <w:lang w:val="es-MX"/>
          </w:rPr>
          <m:t>ω</m:t>
        </m:r>
      </m:oMath>
      <w:r w:rsidR="00F36C2B" w:rsidRPr="00F36C2B">
        <w:rPr>
          <w:rFonts w:ascii="ITC Avant Garde" w:hAnsi="ITC Avant Garde"/>
          <w:sz w:val="20"/>
          <w:szCs w:val="20"/>
          <w:lang w:val="es-MX"/>
        </w:rPr>
        <w:t xml:space="preserve"> </w:t>
      </w:r>
      <w:r w:rsidR="00F36C2B">
        <w:rPr>
          <w:rFonts w:ascii="ITC Avant Garde" w:hAnsi="ITC Avant Garde"/>
          <w:sz w:val="20"/>
          <w:szCs w:val="20"/>
          <w:lang w:val="es-MX"/>
        </w:rPr>
        <w:t>es la frecuencia angular en radianes</w:t>
      </w:r>
    </w:p>
    <w:p w14:paraId="726FBFE2" w14:textId="77777777" w:rsidR="0065242F" w:rsidRPr="0065242F" w:rsidRDefault="0065242F" w:rsidP="0065242F">
      <w:pPr>
        <w:pStyle w:val="Prrafodelista"/>
        <w:rPr>
          <w:rFonts w:ascii="ITC Avant Garde" w:hAnsi="ITC Avant Garde"/>
          <w:b/>
          <w:sz w:val="20"/>
          <w:szCs w:val="20"/>
          <w:lang w:val="es-MX"/>
        </w:rPr>
      </w:pPr>
    </w:p>
    <w:p w14:paraId="44212AC0" w14:textId="77777777" w:rsidR="0065242F" w:rsidRPr="005B725D" w:rsidRDefault="0065242F" w:rsidP="00A73080">
      <w:pPr>
        <w:spacing w:line="360" w:lineRule="auto"/>
        <w:rPr>
          <w:rFonts w:ascii="ITC Avant Garde" w:hAnsi="ITC Avant Garde"/>
          <w:b/>
          <w:sz w:val="20"/>
          <w:szCs w:val="20"/>
          <w:lang w:val="es-MX"/>
        </w:rPr>
      </w:pPr>
    </w:p>
    <w:p w14:paraId="4771E616" w14:textId="77777777" w:rsidR="006B595F" w:rsidRPr="0086242B" w:rsidRDefault="006B595F" w:rsidP="006B595F">
      <w:pPr>
        <w:pStyle w:val="Prrafodelista"/>
        <w:numPr>
          <w:ilvl w:val="0"/>
          <w:numId w:val="51"/>
        </w:numPr>
        <w:spacing w:line="360" w:lineRule="auto"/>
        <w:jc w:val="both"/>
        <w:rPr>
          <w:rFonts w:ascii="ITC Avant Garde" w:hAnsi="ITC Avant Garde"/>
          <w:sz w:val="20"/>
          <w:szCs w:val="20"/>
          <w:lang w:val="es-MX"/>
        </w:rPr>
      </w:pPr>
      <w:proofErr w:type="spellStart"/>
      <w:r w:rsidRPr="0086242B">
        <w:rPr>
          <w:rFonts w:ascii="ITC Avant Garde" w:hAnsi="ITC Avant Garde"/>
          <w:b/>
          <w:sz w:val="20"/>
          <w:szCs w:val="20"/>
          <w:lang w:val="es-MX"/>
        </w:rPr>
        <w:t>Permitividad</w:t>
      </w:r>
      <w:proofErr w:type="spellEnd"/>
      <w:r w:rsidRPr="0086242B">
        <w:rPr>
          <w:rFonts w:ascii="ITC Avant Garde" w:hAnsi="ITC Avant Garde"/>
          <w:b/>
          <w:sz w:val="20"/>
          <w:szCs w:val="20"/>
          <w:lang w:val="es-MX"/>
        </w:rPr>
        <w:t xml:space="preserve"> relativa.-</w:t>
      </w:r>
      <w:r w:rsidRPr="0086242B">
        <w:rPr>
          <w:rFonts w:ascii="ITC Avant Garde" w:hAnsi="ITC Avant Garde"/>
          <w:sz w:val="20"/>
          <w:szCs w:val="20"/>
          <w:lang w:val="es-MX"/>
        </w:rPr>
        <w:t xml:space="preserve"> Es la razón entre la </w:t>
      </w:r>
      <w:proofErr w:type="spellStart"/>
      <w:r w:rsidR="00E14243" w:rsidRPr="00F02808">
        <w:rPr>
          <w:rFonts w:ascii="ITC Avant Garde" w:hAnsi="ITC Avant Garde"/>
          <w:sz w:val="20"/>
          <w:szCs w:val="20"/>
          <w:lang w:val="es-MX"/>
        </w:rPr>
        <w:t>permitividad</w:t>
      </w:r>
      <w:proofErr w:type="spellEnd"/>
      <w:r w:rsidR="00E14243" w:rsidRPr="00F02808">
        <w:rPr>
          <w:rFonts w:ascii="ITC Avant Garde" w:hAnsi="ITC Avant Garde"/>
          <w:sz w:val="20"/>
          <w:szCs w:val="20"/>
          <w:lang w:val="es-MX"/>
        </w:rPr>
        <w:t xml:space="preserve"> compleja </w:t>
      </w:r>
      <w:r w:rsidRPr="0086242B">
        <w:rPr>
          <w:rFonts w:ascii="ITC Avant Garde" w:hAnsi="ITC Avant Garde"/>
          <w:sz w:val="20"/>
          <w:szCs w:val="20"/>
          <w:lang w:val="es-MX"/>
        </w:rPr>
        <w:t xml:space="preserve">y la </w:t>
      </w:r>
      <w:proofErr w:type="spellStart"/>
      <w:r w:rsidRPr="0086242B">
        <w:rPr>
          <w:rFonts w:ascii="ITC Avant Garde" w:hAnsi="ITC Avant Garde"/>
          <w:sz w:val="20"/>
          <w:szCs w:val="20"/>
          <w:lang w:val="es-MX"/>
        </w:rPr>
        <w:t>permitividad</w:t>
      </w:r>
      <w:proofErr w:type="spellEnd"/>
      <w:r w:rsidRPr="0086242B">
        <w:rPr>
          <w:rFonts w:ascii="ITC Avant Garde" w:hAnsi="ITC Avant Garde"/>
          <w:sz w:val="20"/>
          <w:szCs w:val="20"/>
          <w:lang w:val="es-MX"/>
        </w:rPr>
        <w:t xml:space="preserve"> del espacio libre.</w:t>
      </w:r>
    </w:p>
    <w:p w14:paraId="7794A7C4" w14:textId="77777777" w:rsidR="006B595F" w:rsidRPr="0086242B" w:rsidRDefault="006B595F" w:rsidP="006B595F">
      <w:pPr>
        <w:spacing w:line="360" w:lineRule="auto"/>
        <w:jc w:val="both"/>
        <w:rPr>
          <w:rFonts w:ascii="ITC Avant Garde" w:hAnsi="ITC Avant Garde"/>
          <w:b/>
          <w:sz w:val="20"/>
          <w:szCs w:val="20"/>
          <w:lang w:val="es-MX"/>
        </w:rPr>
      </w:pPr>
    </w:p>
    <w:p w14:paraId="1CF4F8E0" w14:textId="77777777" w:rsidR="006B595F" w:rsidRPr="0086242B" w:rsidRDefault="006B595F" w:rsidP="006B595F">
      <w:pPr>
        <w:pStyle w:val="Prrafodelista"/>
        <w:numPr>
          <w:ilvl w:val="0"/>
          <w:numId w:val="51"/>
        </w:numPr>
        <w:spacing w:line="360" w:lineRule="auto"/>
        <w:jc w:val="both"/>
        <w:rPr>
          <w:rFonts w:ascii="ITC Avant Garde" w:hAnsi="ITC Avant Garde"/>
          <w:sz w:val="20"/>
          <w:szCs w:val="20"/>
          <w:lang w:val="es-MX"/>
        </w:rPr>
      </w:pPr>
      <w:r w:rsidRPr="0086242B">
        <w:rPr>
          <w:rFonts w:ascii="ITC Avant Garde" w:hAnsi="ITC Avant Garde"/>
          <w:b/>
          <w:sz w:val="20"/>
          <w:szCs w:val="20"/>
          <w:lang w:val="es-MX"/>
        </w:rPr>
        <w:t>Potencia isotrópica radiada equivalente (PIRE).-</w:t>
      </w:r>
      <w:r w:rsidRPr="0086242B">
        <w:rPr>
          <w:rFonts w:ascii="ITC Avant Garde" w:hAnsi="ITC Avant Garde"/>
          <w:sz w:val="20"/>
          <w:szCs w:val="20"/>
          <w:lang w:val="es-MX"/>
        </w:rPr>
        <w:t xml:space="preserve"> Producto de la potencia suministrada a una antena por su ganancia con relación a una antena isotrópica en una dirección dada. </w:t>
      </w:r>
    </w:p>
    <w:p w14:paraId="7CFC67C9" w14:textId="77777777" w:rsidR="006B595F" w:rsidRPr="0086242B" w:rsidRDefault="006B595F" w:rsidP="006B595F">
      <w:pPr>
        <w:spacing w:line="360" w:lineRule="auto"/>
        <w:jc w:val="both"/>
        <w:rPr>
          <w:rFonts w:ascii="ITC Avant Garde" w:hAnsi="ITC Avant Garde"/>
          <w:sz w:val="20"/>
          <w:szCs w:val="20"/>
          <w:lang w:val="es-MX"/>
        </w:rPr>
      </w:pPr>
    </w:p>
    <w:p w14:paraId="7A2695FB" w14:textId="77777777" w:rsidR="006B595F" w:rsidRPr="0086242B" w:rsidRDefault="006B595F" w:rsidP="006B595F">
      <w:pPr>
        <w:pStyle w:val="Prrafodelista"/>
        <w:numPr>
          <w:ilvl w:val="0"/>
          <w:numId w:val="51"/>
        </w:numPr>
        <w:spacing w:line="360" w:lineRule="auto"/>
        <w:jc w:val="both"/>
        <w:rPr>
          <w:rFonts w:ascii="ITC Avant Garde" w:hAnsi="ITC Avant Garde"/>
          <w:sz w:val="20"/>
          <w:szCs w:val="20"/>
          <w:lang w:val="es-MX"/>
        </w:rPr>
      </w:pPr>
      <w:r w:rsidRPr="0086242B">
        <w:rPr>
          <w:rFonts w:ascii="ITC Avant Garde" w:hAnsi="ITC Avant Garde"/>
          <w:b/>
          <w:sz w:val="20"/>
          <w:szCs w:val="20"/>
          <w:lang w:val="es-MX"/>
        </w:rPr>
        <w:t>Radiación electromagnética.-</w:t>
      </w:r>
      <w:r w:rsidRPr="0086242B">
        <w:rPr>
          <w:rFonts w:ascii="ITC Avant Garde" w:hAnsi="ITC Avant Garde"/>
          <w:sz w:val="20"/>
          <w:szCs w:val="20"/>
          <w:lang w:val="es-MX"/>
        </w:rPr>
        <w:t xml:space="preserve"> Flujo saliente de energía de una fuente cualquiera en forma de ondas electromagnéticas.</w:t>
      </w:r>
    </w:p>
    <w:p w14:paraId="3554CA13" w14:textId="77777777" w:rsidR="006B595F" w:rsidRPr="0086242B" w:rsidRDefault="006B595F" w:rsidP="006B595F">
      <w:pPr>
        <w:spacing w:line="360" w:lineRule="auto"/>
        <w:jc w:val="both"/>
        <w:rPr>
          <w:rFonts w:ascii="ITC Avant Garde" w:hAnsi="ITC Avant Garde"/>
          <w:sz w:val="20"/>
          <w:szCs w:val="20"/>
          <w:lang w:val="es-MX"/>
        </w:rPr>
      </w:pPr>
    </w:p>
    <w:p w14:paraId="10D9198A" w14:textId="77777777" w:rsidR="006B595F" w:rsidRPr="0086242B" w:rsidRDefault="006B595F" w:rsidP="006B595F">
      <w:pPr>
        <w:pStyle w:val="Prrafodelista"/>
        <w:numPr>
          <w:ilvl w:val="0"/>
          <w:numId w:val="51"/>
        </w:numPr>
        <w:spacing w:line="360" w:lineRule="auto"/>
        <w:jc w:val="both"/>
        <w:rPr>
          <w:rFonts w:ascii="ITC Avant Garde" w:hAnsi="ITC Avant Garde"/>
          <w:sz w:val="20"/>
          <w:szCs w:val="20"/>
          <w:lang w:val="es-MX"/>
        </w:rPr>
      </w:pPr>
      <w:r w:rsidRPr="0086242B">
        <w:rPr>
          <w:rFonts w:ascii="ITC Avant Garde" w:hAnsi="ITC Avant Garde"/>
          <w:b/>
          <w:sz w:val="20"/>
          <w:szCs w:val="20"/>
          <w:lang w:val="es-MX"/>
        </w:rPr>
        <w:t>Radiofrecuencia (RF).-</w:t>
      </w:r>
      <w:r w:rsidRPr="0086242B">
        <w:rPr>
          <w:rFonts w:ascii="ITC Avant Garde" w:hAnsi="ITC Avant Garde"/>
          <w:sz w:val="20"/>
          <w:szCs w:val="20"/>
          <w:lang w:val="es-MX"/>
        </w:rPr>
        <w:t xml:space="preserve"> Frecuencia de ondas electromagnéticas, por debajo de los 3000 GHz que se propagan en el espacio sin guía artificial.</w:t>
      </w:r>
    </w:p>
    <w:p w14:paraId="73B5866A" w14:textId="77777777" w:rsidR="006B595F" w:rsidRPr="0086242B" w:rsidRDefault="006B595F" w:rsidP="006B595F">
      <w:pPr>
        <w:spacing w:line="360" w:lineRule="auto"/>
        <w:jc w:val="both"/>
        <w:rPr>
          <w:rFonts w:ascii="ITC Avant Garde" w:hAnsi="ITC Avant Garde"/>
          <w:sz w:val="20"/>
          <w:szCs w:val="20"/>
          <w:lang w:val="es-MX"/>
        </w:rPr>
      </w:pPr>
    </w:p>
    <w:p w14:paraId="15F2950F" w14:textId="77777777" w:rsidR="006B595F" w:rsidRPr="0086242B" w:rsidRDefault="00E14243" w:rsidP="006B595F">
      <w:pPr>
        <w:pStyle w:val="Prrafodelista"/>
        <w:numPr>
          <w:ilvl w:val="0"/>
          <w:numId w:val="51"/>
        </w:numPr>
        <w:spacing w:line="360" w:lineRule="auto"/>
        <w:jc w:val="both"/>
        <w:rPr>
          <w:rFonts w:ascii="ITC Avant Garde" w:hAnsi="ITC Avant Garde"/>
          <w:sz w:val="20"/>
          <w:szCs w:val="20"/>
          <w:lang w:val="es-MX"/>
        </w:rPr>
      </w:pPr>
      <w:r w:rsidRPr="00F02808">
        <w:rPr>
          <w:rFonts w:ascii="ITC Avant Garde" w:hAnsi="ITC Avant Garde"/>
          <w:b/>
          <w:sz w:val="20"/>
          <w:szCs w:val="20"/>
          <w:lang w:val="es-MX"/>
        </w:rPr>
        <w:t>Región de campo cercano</w:t>
      </w:r>
      <w:r w:rsidR="006B595F" w:rsidRPr="0086242B">
        <w:rPr>
          <w:rFonts w:ascii="ITC Avant Garde" w:hAnsi="ITC Avant Garde"/>
          <w:b/>
          <w:sz w:val="20"/>
          <w:szCs w:val="20"/>
          <w:lang w:val="es-MX"/>
        </w:rPr>
        <w:t>.-</w:t>
      </w:r>
      <w:r w:rsidR="006B595F" w:rsidRPr="0086242B">
        <w:rPr>
          <w:rFonts w:ascii="ITC Avant Garde" w:hAnsi="ITC Avant Garde"/>
          <w:sz w:val="20"/>
          <w:szCs w:val="20"/>
          <w:lang w:val="es-MX"/>
        </w:rPr>
        <w:t xml:space="preserve"> Generalmente es la región en la proximidad de una antena u otra estructura radiante, en la cual los campos magnéticos y eléctricos no tienen un carácter substancialmente de </w:t>
      </w:r>
      <w:r w:rsidRPr="00F02808">
        <w:rPr>
          <w:rFonts w:ascii="ITC Avant Garde" w:hAnsi="ITC Avant Garde"/>
          <w:sz w:val="20"/>
          <w:szCs w:val="20"/>
          <w:lang w:val="es-MX"/>
        </w:rPr>
        <w:t xml:space="preserve">onda plana </w:t>
      </w:r>
      <w:r w:rsidR="006B595F" w:rsidRPr="0086242B">
        <w:rPr>
          <w:rFonts w:ascii="ITC Avant Garde" w:hAnsi="ITC Avant Garde"/>
          <w:sz w:val="20"/>
          <w:szCs w:val="20"/>
          <w:lang w:val="es-MX"/>
        </w:rPr>
        <w:t xml:space="preserve">y varían considerablemente de punto a punto. La región de campo cercano está subdividida en la llamada “región de campo cercano reactivo”, la cual es más cercana a la estructura radiante y que contiene la mayor parte de la energía reactiva almacenada, y la “región de campo cercano radiante” donde el campo de radiación predomina sobre el campo reactivo pero carece substancialmente del carácter de onda plana y es complicado en su estructura. </w:t>
      </w:r>
    </w:p>
    <w:p w14:paraId="164D205E" w14:textId="77777777" w:rsidR="006B595F" w:rsidRPr="0086242B" w:rsidRDefault="006B595F" w:rsidP="006B595F">
      <w:pPr>
        <w:spacing w:line="360" w:lineRule="auto"/>
        <w:ind w:left="567"/>
        <w:jc w:val="both"/>
        <w:rPr>
          <w:rFonts w:ascii="ITC Avant Garde" w:hAnsi="ITC Avant Garde"/>
          <w:b/>
          <w:sz w:val="20"/>
          <w:szCs w:val="20"/>
          <w:lang w:val="es-MX"/>
        </w:rPr>
      </w:pPr>
    </w:p>
    <w:p w14:paraId="27DF674E" w14:textId="77777777" w:rsidR="006B595F" w:rsidRPr="0086242B" w:rsidRDefault="006B595F" w:rsidP="005B725D">
      <w:pPr>
        <w:spacing w:line="360" w:lineRule="auto"/>
        <w:ind w:left="708" w:hanging="141"/>
        <w:jc w:val="both"/>
        <w:rPr>
          <w:rFonts w:ascii="ITC Avant Garde" w:hAnsi="ITC Avant Garde"/>
          <w:sz w:val="20"/>
          <w:szCs w:val="20"/>
        </w:rPr>
      </w:pPr>
      <w:r w:rsidRPr="0086242B">
        <w:rPr>
          <w:rFonts w:ascii="ITC Avant Garde" w:hAnsi="ITC Avant Garde"/>
          <w:b/>
          <w:sz w:val="20"/>
          <w:szCs w:val="20"/>
          <w:lang w:val="es-MX"/>
        </w:rPr>
        <w:t>NOTA:</w:t>
      </w:r>
      <w:r w:rsidRPr="0086242B">
        <w:rPr>
          <w:rFonts w:ascii="ITC Avant Garde" w:hAnsi="ITC Avant Garde"/>
          <w:sz w:val="20"/>
          <w:szCs w:val="20"/>
          <w:lang w:val="es-MX"/>
        </w:rPr>
        <w:t xml:space="preserve"> Para la mayoría de las antenas, la frontera exterior de la región de campo cercano reactiva se toma comúnmente a una distancia de media longitud de onda de la superficie de la antena.</w:t>
      </w:r>
    </w:p>
    <w:p w14:paraId="408AD4CE" w14:textId="77777777" w:rsidR="006B595F" w:rsidRPr="0086242B" w:rsidRDefault="006B595F" w:rsidP="006B595F">
      <w:pPr>
        <w:spacing w:line="360" w:lineRule="auto"/>
        <w:jc w:val="both"/>
        <w:rPr>
          <w:rFonts w:ascii="ITC Avant Garde" w:hAnsi="ITC Avant Garde"/>
          <w:sz w:val="20"/>
          <w:szCs w:val="20"/>
        </w:rPr>
      </w:pPr>
    </w:p>
    <w:p w14:paraId="2912C8E4" w14:textId="77777777" w:rsidR="00E14243" w:rsidRPr="00F02808" w:rsidRDefault="00E14243" w:rsidP="00E14243">
      <w:pPr>
        <w:pStyle w:val="Prrafodelista"/>
        <w:numPr>
          <w:ilvl w:val="0"/>
          <w:numId w:val="51"/>
        </w:numPr>
        <w:spacing w:line="360" w:lineRule="auto"/>
        <w:jc w:val="both"/>
        <w:rPr>
          <w:rFonts w:ascii="ITC Avant Garde" w:hAnsi="ITC Avant Garde"/>
          <w:sz w:val="20"/>
          <w:szCs w:val="20"/>
          <w:lang w:val="es-MX"/>
        </w:rPr>
      </w:pPr>
      <w:r w:rsidRPr="00F02808">
        <w:rPr>
          <w:rFonts w:ascii="ITC Avant Garde" w:hAnsi="ITC Avant Garde"/>
          <w:b/>
          <w:sz w:val="20"/>
          <w:szCs w:val="20"/>
          <w:lang w:val="es-MX"/>
        </w:rPr>
        <w:t>Región de campo lejano.-</w:t>
      </w:r>
      <w:r w:rsidRPr="00F02808">
        <w:rPr>
          <w:rFonts w:ascii="ITC Avant Garde" w:hAnsi="ITC Avant Garde"/>
          <w:sz w:val="20"/>
          <w:szCs w:val="20"/>
          <w:lang w:val="es-MX"/>
        </w:rPr>
        <w:t xml:space="preserve"> Es aquella región del campo de una antena, donde la distribución angular del campo es esencialmente independiente de la distancia de la antena. En esta región (también llamada la región de espacio libre), los campos electromagnéticos tiene un carácter predominante de onda plana. </w:t>
      </w:r>
    </w:p>
    <w:p w14:paraId="50B19570" w14:textId="77777777" w:rsidR="006B595F" w:rsidRPr="00473D68" w:rsidRDefault="00854A7B" w:rsidP="00473D68">
      <w:pPr>
        <w:spacing w:line="360" w:lineRule="auto"/>
        <w:jc w:val="center"/>
        <w:rPr>
          <w:rFonts w:ascii="ITC Avant Garde" w:hAnsi="ITC Avant Garde"/>
          <w:noProof/>
          <w:sz w:val="20"/>
          <w:szCs w:val="20"/>
          <w:lang w:val="es-MX"/>
        </w:rPr>
      </w:pPr>
      <w:r>
        <w:rPr>
          <w:rFonts w:ascii="ITC Avant Garde" w:hAnsi="ITC Avant Garde"/>
          <w:sz w:val="20"/>
          <w:szCs w:val="20"/>
          <w:lang w:val="es-MX"/>
        </w:rPr>
        <w:t>Regió</w:t>
      </w:r>
      <w:r w:rsidR="00AA1DAF">
        <w:rPr>
          <w:rFonts w:ascii="ITC Avant Garde" w:hAnsi="ITC Avant Garde"/>
          <w:sz w:val="20"/>
          <w:szCs w:val="20"/>
          <w:lang w:val="es-MX"/>
        </w:rPr>
        <w:t>n de campo lejano</w:t>
      </w:r>
      <m:oMath>
        <m:r>
          <w:rPr>
            <w:rFonts w:ascii="Cambria Math" w:hAnsi="Cambria Math"/>
            <w:sz w:val="20"/>
            <w:szCs w:val="20"/>
            <w:lang w:val="es-MX"/>
          </w:rPr>
          <m:t>≥</m:t>
        </m:r>
      </m:oMath>
      <w:r w:rsidRPr="00473D68">
        <w:rPr>
          <w:rFonts w:ascii="ITC Avant Garde" w:hAnsi="ITC Avant Garde"/>
          <w:noProof/>
          <w:position w:val="-24"/>
          <w:sz w:val="20"/>
          <w:szCs w:val="20"/>
          <w:lang w:val="es-MX" w:eastAsia="es-MX"/>
        </w:rPr>
        <w:drawing>
          <wp:inline distT="0" distB="0" distL="0" distR="0" wp14:anchorId="7F94EEAE" wp14:editId="0F9594F5">
            <wp:extent cx="358140" cy="432435"/>
            <wp:effectExtent l="0" t="0" r="3810" b="5715"/>
            <wp:docPr id="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 cy="432435"/>
                    </a:xfrm>
                    <a:prstGeom prst="rect">
                      <a:avLst/>
                    </a:prstGeom>
                    <a:noFill/>
                    <a:ln>
                      <a:noFill/>
                    </a:ln>
                  </pic:spPr>
                </pic:pic>
              </a:graphicData>
            </a:graphic>
          </wp:inline>
        </w:drawing>
      </w:r>
    </w:p>
    <w:p w14:paraId="47BED5E2" w14:textId="77777777" w:rsidR="00854A7B" w:rsidRPr="00473D68" w:rsidRDefault="00854A7B" w:rsidP="00473D68">
      <w:pPr>
        <w:spacing w:line="360" w:lineRule="auto"/>
        <w:ind w:left="372" w:firstLine="708"/>
        <w:rPr>
          <w:rFonts w:ascii="ITC Avant Garde" w:hAnsi="ITC Avant Garde"/>
          <w:noProof/>
          <w:sz w:val="20"/>
          <w:szCs w:val="20"/>
          <w:lang w:val="es-MX"/>
        </w:rPr>
      </w:pPr>
      <w:r>
        <w:rPr>
          <w:rFonts w:ascii="ITC Avant Garde" w:hAnsi="ITC Avant Garde"/>
          <w:noProof/>
          <w:sz w:val="20"/>
          <w:szCs w:val="20"/>
          <w:lang w:val="es-MX"/>
        </w:rPr>
        <w:t xml:space="preserve">Donde </w:t>
      </w:r>
      <w:r w:rsidR="004E72B6" w:rsidRPr="0086242B">
        <w:rPr>
          <w:rFonts w:ascii="ITC Avant Garde" w:hAnsi="ITC Avant Garde"/>
          <w:i/>
          <w:sz w:val="20"/>
          <w:szCs w:val="20"/>
        </w:rPr>
        <w:t>D</w:t>
      </w:r>
      <w:r w:rsidR="004E72B6" w:rsidRPr="0086242B">
        <w:rPr>
          <w:rFonts w:ascii="ITC Avant Garde" w:hAnsi="ITC Avant Garde"/>
          <w:sz w:val="20"/>
          <w:szCs w:val="20"/>
        </w:rPr>
        <w:t xml:space="preserve"> es la dimensión más grande de la antena y </w:t>
      </w:r>
      <w:r w:rsidR="004E72B6" w:rsidRPr="0086242B">
        <w:rPr>
          <w:rFonts w:ascii="Calibri" w:hAnsi="Calibri" w:cs="Calibri"/>
          <w:i/>
          <w:sz w:val="20"/>
          <w:szCs w:val="20"/>
        </w:rPr>
        <w:t>λ</w:t>
      </w:r>
      <w:r w:rsidR="004E72B6" w:rsidRPr="0086242B">
        <w:rPr>
          <w:rFonts w:ascii="ITC Avant Garde" w:hAnsi="ITC Avant Garde"/>
          <w:sz w:val="20"/>
          <w:szCs w:val="20"/>
        </w:rPr>
        <w:t xml:space="preserve"> es la longitud de onda.</w:t>
      </w:r>
    </w:p>
    <w:p w14:paraId="7F202407" w14:textId="77777777" w:rsidR="00AA1DAF" w:rsidRPr="0086242B" w:rsidRDefault="00AA1DAF" w:rsidP="006B595F">
      <w:pPr>
        <w:spacing w:line="360" w:lineRule="auto"/>
        <w:jc w:val="both"/>
        <w:rPr>
          <w:rFonts w:ascii="ITC Avant Garde" w:hAnsi="ITC Avant Garde"/>
          <w:sz w:val="20"/>
          <w:szCs w:val="20"/>
          <w:lang w:val="es-MX"/>
        </w:rPr>
      </w:pPr>
    </w:p>
    <w:p w14:paraId="0F131416" w14:textId="77777777" w:rsidR="006B595F" w:rsidRPr="0086242B" w:rsidRDefault="006B595F" w:rsidP="006B595F">
      <w:pPr>
        <w:spacing w:line="360" w:lineRule="auto"/>
        <w:jc w:val="both"/>
        <w:rPr>
          <w:rFonts w:ascii="ITC Avant Garde" w:hAnsi="ITC Avant Garde"/>
          <w:sz w:val="20"/>
          <w:szCs w:val="20"/>
          <w:lang w:val="es-MX"/>
        </w:rPr>
      </w:pPr>
    </w:p>
    <w:p w14:paraId="69F64710" w14:textId="77777777" w:rsidR="00E14243" w:rsidRPr="00F02808" w:rsidRDefault="00E14243" w:rsidP="00E14243">
      <w:pPr>
        <w:pStyle w:val="Prrafodelista"/>
        <w:numPr>
          <w:ilvl w:val="0"/>
          <w:numId w:val="51"/>
        </w:numPr>
        <w:spacing w:line="360" w:lineRule="auto"/>
        <w:jc w:val="both"/>
        <w:rPr>
          <w:rFonts w:ascii="ITC Avant Garde" w:hAnsi="ITC Avant Garde"/>
          <w:b/>
          <w:sz w:val="20"/>
          <w:szCs w:val="20"/>
          <w:lang w:val="es-MX"/>
        </w:rPr>
      </w:pPr>
      <w:r w:rsidRPr="00F02808">
        <w:rPr>
          <w:rFonts w:ascii="ITC Avant Garde" w:hAnsi="ITC Avant Garde"/>
          <w:b/>
          <w:sz w:val="20"/>
          <w:szCs w:val="20"/>
          <w:lang w:val="es-MX"/>
        </w:rPr>
        <w:t xml:space="preserve">Tangente de pérdidas.- </w:t>
      </w:r>
      <w:r w:rsidRPr="00F02808">
        <w:rPr>
          <w:rFonts w:ascii="ITC Avant Garde" w:hAnsi="ITC Avant Garde"/>
          <w:sz w:val="20"/>
          <w:szCs w:val="20"/>
          <w:lang w:val="es-MX"/>
        </w:rPr>
        <w:t xml:space="preserve">Es la razón entre las partes real e imaginaria de la </w:t>
      </w:r>
      <w:proofErr w:type="spellStart"/>
      <w:r w:rsidRPr="00F02808">
        <w:rPr>
          <w:rFonts w:ascii="ITC Avant Garde" w:hAnsi="ITC Avant Garde"/>
          <w:sz w:val="20"/>
          <w:szCs w:val="20"/>
          <w:lang w:val="es-MX"/>
        </w:rPr>
        <w:t>permitividad</w:t>
      </w:r>
      <w:proofErr w:type="spellEnd"/>
      <w:r w:rsidRPr="00F02808">
        <w:rPr>
          <w:rFonts w:ascii="ITC Avant Garde" w:hAnsi="ITC Avant Garde"/>
          <w:sz w:val="20"/>
          <w:szCs w:val="20"/>
          <w:lang w:val="es-MX"/>
        </w:rPr>
        <w:t xml:space="preserve"> relativa compleja de un material.</w:t>
      </w:r>
    </w:p>
    <w:p w14:paraId="28111E0F" w14:textId="77777777" w:rsidR="006B595F" w:rsidRPr="0086242B" w:rsidRDefault="006B595F" w:rsidP="006B595F">
      <w:pPr>
        <w:spacing w:line="360" w:lineRule="auto"/>
        <w:jc w:val="both"/>
        <w:rPr>
          <w:rFonts w:ascii="ITC Avant Garde" w:hAnsi="ITC Avant Garde"/>
          <w:sz w:val="20"/>
          <w:szCs w:val="20"/>
          <w:lang w:val="es-MX"/>
        </w:rPr>
      </w:pPr>
    </w:p>
    <w:p w14:paraId="33BAF8D8" w14:textId="77777777" w:rsidR="00E14243" w:rsidRPr="00F02808" w:rsidRDefault="00E14243" w:rsidP="00E14243">
      <w:pPr>
        <w:pStyle w:val="Prrafodelista"/>
        <w:numPr>
          <w:ilvl w:val="0"/>
          <w:numId w:val="51"/>
        </w:numPr>
        <w:spacing w:line="360" w:lineRule="auto"/>
        <w:jc w:val="both"/>
        <w:rPr>
          <w:rFonts w:ascii="ITC Avant Garde" w:hAnsi="ITC Avant Garde"/>
          <w:sz w:val="20"/>
          <w:szCs w:val="20"/>
          <w:lang w:val="es-MX"/>
        </w:rPr>
      </w:pPr>
      <w:r w:rsidRPr="00F02808">
        <w:rPr>
          <w:rFonts w:ascii="ITC Avant Garde" w:hAnsi="ITC Avant Garde"/>
          <w:b/>
          <w:sz w:val="20"/>
          <w:szCs w:val="20"/>
          <w:lang w:val="es-MX"/>
        </w:rPr>
        <w:t xml:space="preserve">Valor </w:t>
      </w:r>
      <w:proofErr w:type="spellStart"/>
      <w:r w:rsidRPr="00F02808">
        <w:rPr>
          <w:rFonts w:ascii="ITC Avant Garde" w:hAnsi="ITC Avant Garde"/>
          <w:b/>
          <w:sz w:val="20"/>
          <w:szCs w:val="20"/>
          <w:lang w:val="es-MX"/>
        </w:rPr>
        <w:t>rms</w:t>
      </w:r>
      <w:proofErr w:type="spellEnd"/>
      <w:r w:rsidRPr="00F02808">
        <w:rPr>
          <w:rFonts w:ascii="ITC Avant Garde" w:hAnsi="ITC Avant Garde"/>
          <w:b/>
          <w:sz w:val="20"/>
          <w:szCs w:val="20"/>
          <w:lang w:val="es-MX"/>
        </w:rPr>
        <w:t>.-</w:t>
      </w:r>
      <w:r w:rsidRPr="00F02808">
        <w:rPr>
          <w:rFonts w:ascii="ITC Avant Garde" w:hAnsi="ITC Avant Garde"/>
          <w:sz w:val="20"/>
          <w:szCs w:val="20"/>
          <w:lang w:val="es-MX"/>
        </w:rPr>
        <w:t xml:space="preserve"> Es el valor que se obtiene al tomar la raíz cuadrada del valor medio (promedio) de una función elevada al cuadrado.</w:t>
      </w:r>
    </w:p>
    <w:p w14:paraId="26E956AE" w14:textId="77777777" w:rsidR="006B595F" w:rsidRPr="0086242B" w:rsidRDefault="006B595F" w:rsidP="006B595F">
      <w:pPr>
        <w:rPr>
          <w:rFonts w:ascii="ITC Avant Garde" w:hAnsi="ITC Avant Garde"/>
          <w:sz w:val="22"/>
          <w:szCs w:val="22"/>
          <w:lang w:val="es-MX"/>
        </w:rPr>
      </w:pPr>
    </w:p>
    <w:p w14:paraId="60AF0D60" w14:textId="77777777" w:rsidR="006B595F" w:rsidRPr="0086242B" w:rsidRDefault="006B595F" w:rsidP="006B595F">
      <w:pPr>
        <w:rPr>
          <w:rFonts w:ascii="ITC Avant Garde" w:hAnsi="ITC Avant Garde"/>
          <w:lang w:val="es-MX"/>
        </w:rPr>
      </w:pPr>
    </w:p>
    <w:p w14:paraId="36A1169C" w14:textId="77777777" w:rsidR="006B595F" w:rsidRPr="0086242B" w:rsidRDefault="006B595F" w:rsidP="006B595F">
      <w:pPr>
        <w:pStyle w:val="Prrafodelista"/>
        <w:numPr>
          <w:ilvl w:val="0"/>
          <w:numId w:val="49"/>
        </w:numPr>
        <w:tabs>
          <w:tab w:val="left" w:pos="567"/>
        </w:tabs>
        <w:rPr>
          <w:rFonts w:ascii="ITC Avant Garde" w:hAnsi="ITC Avant Garde"/>
          <w:sz w:val="22"/>
          <w:szCs w:val="22"/>
        </w:rPr>
      </w:pPr>
      <w:bookmarkStart w:id="5" w:name="_Toc414444589"/>
      <w:r w:rsidRPr="0086242B">
        <w:rPr>
          <w:rFonts w:ascii="ITC Avant Garde" w:hAnsi="ITC Avant Garde"/>
          <w:b/>
          <w:sz w:val="22"/>
          <w:szCs w:val="22"/>
        </w:rPr>
        <w:t xml:space="preserve">  Abreviaturas</w:t>
      </w:r>
      <w:bookmarkEnd w:id="5"/>
    </w:p>
    <w:p w14:paraId="5CED2660" w14:textId="77777777" w:rsidR="006B595F" w:rsidRPr="0086242B" w:rsidRDefault="006B595F" w:rsidP="006B595F">
      <w:pPr>
        <w:rPr>
          <w:rFonts w:ascii="ITC Avant Garde" w:hAnsi="ITC Avant Garde"/>
          <w:lang w:val="es-MX"/>
        </w:rPr>
      </w:pPr>
    </w:p>
    <w:p w14:paraId="10E62A90" w14:textId="77777777" w:rsidR="006B595F" w:rsidRPr="0086242B" w:rsidRDefault="006B595F" w:rsidP="006B595F">
      <w:pPr>
        <w:spacing w:line="360" w:lineRule="auto"/>
        <w:jc w:val="both"/>
        <w:rPr>
          <w:rFonts w:ascii="ITC Avant Garde" w:hAnsi="ITC Avant Garde"/>
          <w:sz w:val="20"/>
          <w:szCs w:val="20"/>
          <w:lang w:val="es-MX"/>
        </w:rPr>
      </w:pPr>
      <w:r w:rsidRPr="0086242B">
        <w:rPr>
          <w:rFonts w:ascii="ITC Avant Garde" w:hAnsi="ITC Avant Garde"/>
          <w:sz w:val="20"/>
          <w:szCs w:val="20"/>
          <w:lang w:val="es-MX"/>
        </w:rPr>
        <w:t>En este Disposición Técnica se emplean las siguientes abreviaturas.</w:t>
      </w:r>
    </w:p>
    <w:p w14:paraId="68FB8930" w14:textId="77777777" w:rsidR="006B595F" w:rsidRPr="0086242B" w:rsidRDefault="006B595F" w:rsidP="006B595F">
      <w:pPr>
        <w:spacing w:line="360" w:lineRule="auto"/>
        <w:ind w:left="720" w:hanging="720"/>
        <w:jc w:val="both"/>
        <w:rPr>
          <w:rFonts w:ascii="ITC Avant Garde" w:hAnsi="ITC Avant Garde"/>
          <w:sz w:val="20"/>
          <w:szCs w:val="20"/>
          <w:lang w:val="es-MX"/>
        </w:rPr>
      </w:pPr>
    </w:p>
    <w:p w14:paraId="14CADD18" w14:textId="77777777" w:rsidR="006B595F" w:rsidRPr="0086242B" w:rsidRDefault="006B595F" w:rsidP="006B595F">
      <w:pPr>
        <w:spacing w:line="360" w:lineRule="auto"/>
        <w:ind w:left="720" w:hanging="720"/>
        <w:jc w:val="both"/>
        <w:rPr>
          <w:rFonts w:ascii="ITC Avant Garde" w:hAnsi="ITC Avant Garde"/>
          <w:sz w:val="20"/>
          <w:szCs w:val="20"/>
          <w:lang w:val="es-MX"/>
        </w:rPr>
      </w:pPr>
      <w:r w:rsidRPr="0086242B">
        <w:rPr>
          <w:rFonts w:ascii="ITC Avant Garde" w:hAnsi="ITC Avant Garde"/>
          <w:b/>
          <w:sz w:val="20"/>
          <w:szCs w:val="20"/>
          <w:lang w:val="es-MX"/>
        </w:rPr>
        <w:t>EMC</w:t>
      </w:r>
      <w:r w:rsidRPr="0086242B">
        <w:rPr>
          <w:rFonts w:ascii="ITC Avant Garde" w:hAnsi="ITC Avant Garde"/>
          <w:sz w:val="20"/>
          <w:szCs w:val="20"/>
          <w:lang w:val="es-MX"/>
        </w:rPr>
        <w:t xml:space="preserve"> </w:t>
      </w:r>
      <w:r w:rsidRPr="0086242B">
        <w:rPr>
          <w:rFonts w:ascii="ITC Avant Garde" w:hAnsi="ITC Avant Garde"/>
          <w:sz w:val="20"/>
          <w:szCs w:val="20"/>
          <w:lang w:val="es-MX"/>
        </w:rPr>
        <w:tab/>
        <w:t>Compatibilidad electromagnética (por sus siglas en inglés “</w:t>
      </w:r>
      <w:proofErr w:type="spellStart"/>
      <w:r w:rsidRPr="0086242B">
        <w:rPr>
          <w:rFonts w:ascii="ITC Avant Garde" w:hAnsi="ITC Avant Garde"/>
          <w:sz w:val="20"/>
          <w:szCs w:val="20"/>
          <w:lang w:val="es-MX"/>
        </w:rPr>
        <w:t>Electromagnetic</w:t>
      </w:r>
      <w:proofErr w:type="spellEnd"/>
      <w:r w:rsidRPr="0086242B">
        <w:rPr>
          <w:rFonts w:ascii="ITC Avant Garde" w:hAnsi="ITC Avant Garde"/>
          <w:sz w:val="20"/>
          <w:szCs w:val="20"/>
          <w:lang w:val="es-MX"/>
        </w:rPr>
        <w:t xml:space="preserve"> </w:t>
      </w:r>
      <w:proofErr w:type="spellStart"/>
      <w:r w:rsidRPr="0086242B">
        <w:rPr>
          <w:rFonts w:ascii="ITC Avant Garde" w:hAnsi="ITC Avant Garde"/>
          <w:sz w:val="20"/>
          <w:szCs w:val="20"/>
          <w:lang w:val="es-MX"/>
        </w:rPr>
        <w:t>Compatibility</w:t>
      </w:r>
      <w:proofErr w:type="spellEnd"/>
      <w:r w:rsidRPr="0086242B">
        <w:rPr>
          <w:rFonts w:ascii="ITC Avant Garde" w:hAnsi="ITC Avant Garde"/>
          <w:sz w:val="20"/>
          <w:szCs w:val="20"/>
          <w:lang w:val="es-MX"/>
        </w:rPr>
        <w:t>”.</w:t>
      </w:r>
    </w:p>
    <w:p w14:paraId="45908F5A" w14:textId="77777777" w:rsidR="006B595F" w:rsidRPr="0086242B" w:rsidRDefault="006B595F" w:rsidP="006B595F">
      <w:pPr>
        <w:spacing w:line="360" w:lineRule="auto"/>
        <w:ind w:left="720" w:hanging="720"/>
        <w:jc w:val="both"/>
        <w:rPr>
          <w:rFonts w:ascii="ITC Avant Garde" w:hAnsi="ITC Avant Garde"/>
          <w:sz w:val="20"/>
          <w:szCs w:val="20"/>
          <w:lang w:val="es-MX"/>
        </w:rPr>
      </w:pPr>
      <w:r w:rsidRPr="0086242B">
        <w:rPr>
          <w:rFonts w:ascii="ITC Avant Garde" w:hAnsi="ITC Avant Garde"/>
          <w:b/>
          <w:sz w:val="20"/>
          <w:szCs w:val="20"/>
          <w:lang w:val="es-MX"/>
        </w:rPr>
        <w:t>EMF</w:t>
      </w:r>
      <w:r w:rsidRPr="0086242B">
        <w:rPr>
          <w:rFonts w:ascii="ITC Avant Garde" w:hAnsi="ITC Avant Garde"/>
          <w:sz w:val="20"/>
          <w:szCs w:val="20"/>
          <w:lang w:val="es-MX"/>
        </w:rPr>
        <w:tab/>
        <w:t>Campo electromagnético (por sus siglas en idioma inglés de “</w:t>
      </w:r>
      <w:proofErr w:type="spellStart"/>
      <w:r w:rsidRPr="0086242B">
        <w:rPr>
          <w:rFonts w:ascii="ITC Avant Garde" w:hAnsi="ITC Avant Garde"/>
          <w:sz w:val="20"/>
          <w:szCs w:val="20"/>
          <w:lang w:val="es-MX"/>
        </w:rPr>
        <w:t>Electromagnetic</w:t>
      </w:r>
      <w:proofErr w:type="spellEnd"/>
      <w:r w:rsidRPr="0086242B">
        <w:rPr>
          <w:rFonts w:ascii="ITC Avant Garde" w:hAnsi="ITC Avant Garde"/>
          <w:sz w:val="20"/>
          <w:szCs w:val="20"/>
          <w:lang w:val="es-MX"/>
        </w:rPr>
        <w:t xml:space="preserve"> Field”).</w:t>
      </w:r>
    </w:p>
    <w:p w14:paraId="55D83AEC" w14:textId="77777777" w:rsidR="006B595F" w:rsidRPr="0086242B" w:rsidRDefault="006B595F" w:rsidP="006B595F">
      <w:pPr>
        <w:spacing w:line="360" w:lineRule="auto"/>
        <w:ind w:left="720" w:hanging="720"/>
        <w:jc w:val="both"/>
        <w:rPr>
          <w:rFonts w:ascii="ITC Avant Garde" w:hAnsi="ITC Avant Garde"/>
          <w:sz w:val="20"/>
          <w:szCs w:val="20"/>
          <w:lang w:val="es-MX"/>
        </w:rPr>
      </w:pPr>
      <w:r w:rsidRPr="0086242B">
        <w:rPr>
          <w:rFonts w:ascii="ITC Avant Garde" w:hAnsi="ITC Avant Garde"/>
          <w:b/>
          <w:sz w:val="20"/>
          <w:szCs w:val="20"/>
          <w:lang w:val="es-MX"/>
        </w:rPr>
        <w:t>PIRE</w:t>
      </w:r>
      <w:r w:rsidRPr="0086242B">
        <w:rPr>
          <w:rFonts w:ascii="ITC Avant Garde" w:hAnsi="ITC Avant Garde"/>
          <w:sz w:val="20"/>
          <w:szCs w:val="20"/>
          <w:lang w:val="es-MX"/>
        </w:rPr>
        <w:tab/>
        <w:t>Potencia isotrópica radiada equivalente.</w:t>
      </w:r>
    </w:p>
    <w:p w14:paraId="635957A8" w14:textId="77777777" w:rsidR="006B595F" w:rsidRPr="0086242B" w:rsidRDefault="006B595F" w:rsidP="006B595F">
      <w:pPr>
        <w:spacing w:line="360" w:lineRule="auto"/>
        <w:ind w:left="720" w:hanging="720"/>
        <w:jc w:val="both"/>
        <w:rPr>
          <w:rFonts w:ascii="ITC Avant Garde" w:hAnsi="ITC Avant Garde"/>
          <w:sz w:val="20"/>
          <w:szCs w:val="20"/>
          <w:lang w:val="es-MX"/>
        </w:rPr>
      </w:pPr>
      <w:r w:rsidRPr="0086242B">
        <w:rPr>
          <w:rFonts w:ascii="ITC Avant Garde" w:hAnsi="ITC Avant Garde"/>
          <w:b/>
          <w:sz w:val="20"/>
          <w:szCs w:val="20"/>
          <w:lang w:val="es-MX"/>
        </w:rPr>
        <w:t>RF</w:t>
      </w:r>
      <w:r w:rsidRPr="0086242B">
        <w:rPr>
          <w:rFonts w:ascii="ITC Avant Garde" w:hAnsi="ITC Avant Garde"/>
          <w:sz w:val="20"/>
          <w:szCs w:val="20"/>
          <w:lang w:val="es-MX"/>
        </w:rPr>
        <w:tab/>
        <w:t>Radiofrecuencia.</w:t>
      </w:r>
    </w:p>
    <w:p w14:paraId="7584C5C2" w14:textId="77777777" w:rsidR="006B595F" w:rsidRPr="0086242B" w:rsidRDefault="006B595F" w:rsidP="006B595F">
      <w:pPr>
        <w:spacing w:line="360" w:lineRule="auto"/>
        <w:ind w:left="720" w:hanging="720"/>
        <w:jc w:val="both"/>
        <w:rPr>
          <w:rFonts w:ascii="ITC Avant Garde" w:hAnsi="ITC Avant Garde"/>
          <w:sz w:val="20"/>
          <w:szCs w:val="20"/>
          <w:lang w:val="es-MX"/>
        </w:rPr>
      </w:pPr>
      <w:r w:rsidRPr="0086242B">
        <w:rPr>
          <w:rFonts w:ascii="ITC Avant Garde" w:hAnsi="ITC Avant Garde"/>
          <w:b/>
          <w:sz w:val="20"/>
          <w:szCs w:val="20"/>
          <w:lang w:val="es-MX"/>
        </w:rPr>
        <w:t>S</w:t>
      </w:r>
      <w:r w:rsidRPr="0086242B">
        <w:rPr>
          <w:rFonts w:ascii="ITC Avant Garde" w:hAnsi="ITC Avant Garde"/>
          <w:sz w:val="20"/>
          <w:szCs w:val="20"/>
          <w:lang w:val="es-MX"/>
        </w:rPr>
        <w:t xml:space="preserve"> </w:t>
      </w:r>
      <w:r w:rsidRPr="0086242B">
        <w:rPr>
          <w:rFonts w:ascii="ITC Avant Garde" w:hAnsi="ITC Avant Garde"/>
          <w:sz w:val="20"/>
          <w:szCs w:val="20"/>
          <w:lang w:val="es-MX"/>
        </w:rPr>
        <w:tab/>
        <w:t>Densidad de potencia.</w:t>
      </w:r>
    </w:p>
    <w:p w14:paraId="01A39BBE" w14:textId="77777777" w:rsidR="006B595F" w:rsidRPr="0086242B" w:rsidRDefault="006B595F" w:rsidP="006B595F">
      <w:pPr>
        <w:spacing w:line="360" w:lineRule="auto"/>
        <w:ind w:left="720" w:hanging="720"/>
        <w:jc w:val="both"/>
        <w:rPr>
          <w:rFonts w:ascii="ITC Avant Garde" w:hAnsi="ITC Avant Garde"/>
          <w:sz w:val="20"/>
          <w:szCs w:val="20"/>
          <w:lang w:val="es-MX"/>
        </w:rPr>
      </w:pPr>
      <w:r w:rsidRPr="0086242B">
        <w:rPr>
          <w:rFonts w:ascii="ITC Avant Garde" w:hAnsi="ITC Avant Garde"/>
          <w:b/>
          <w:sz w:val="20"/>
          <w:szCs w:val="20"/>
          <w:lang w:val="es-MX"/>
        </w:rPr>
        <w:t>SA</w:t>
      </w:r>
      <w:r w:rsidRPr="0086242B">
        <w:rPr>
          <w:rFonts w:ascii="ITC Avant Garde" w:hAnsi="ITC Avant Garde"/>
          <w:sz w:val="20"/>
          <w:szCs w:val="20"/>
          <w:lang w:val="es-MX"/>
        </w:rPr>
        <w:tab/>
        <w:t>Absorción específica de energía (por sus siglas en idioma inglés de “</w:t>
      </w:r>
      <w:proofErr w:type="spellStart"/>
      <w:r w:rsidRPr="0086242B">
        <w:rPr>
          <w:rFonts w:ascii="ITC Avant Garde" w:hAnsi="ITC Avant Garde"/>
          <w:sz w:val="20"/>
          <w:szCs w:val="20"/>
          <w:lang w:val="es-MX"/>
        </w:rPr>
        <w:t>Specific</w:t>
      </w:r>
      <w:proofErr w:type="spellEnd"/>
      <w:r w:rsidRPr="0086242B">
        <w:rPr>
          <w:rFonts w:ascii="ITC Avant Garde" w:hAnsi="ITC Avant Garde"/>
          <w:sz w:val="20"/>
          <w:szCs w:val="20"/>
          <w:lang w:val="es-MX"/>
        </w:rPr>
        <w:t xml:space="preserve"> </w:t>
      </w:r>
      <w:proofErr w:type="spellStart"/>
      <w:r w:rsidRPr="0086242B">
        <w:rPr>
          <w:rFonts w:ascii="ITC Avant Garde" w:hAnsi="ITC Avant Garde"/>
          <w:sz w:val="20"/>
          <w:szCs w:val="20"/>
          <w:lang w:val="es-MX"/>
        </w:rPr>
        <w:t>Absorption</w:t>
      </w:r>
      <w:proofErr w:type="spellEnd"/>
      <w:r w:rsidRPr="0086242B">
        <w:rPr>
          <w:rFonts w:ascii="ITC Avant Garde" w:hAnsi="ITC Avant Garde"/>
          <w:sz w:val="20"/>
          <w:szCs w:val="20"/>
          <w:lang w:val="es-MX"/>
        </w:rPr>
        <w:t>”).</w:t>
      </w:r>
    </w:p>
    <w:p w14:paraId="7C9A69AA" w14:textId="77777777" w:rsidR="006B595F" w:rsidRPr="0086242B" w:rsidRDefault="006B595F" w:rsidP="006B595F">
      <w:pPr>
        <w:spacing w:line="360" w:lineRule="auto"/>
        <w:ind w:left="720" w:hanging="720"/>
        <w:jc w:val="both"/>
        <w:rPr>
          <w:rFonts w:ascii="ITC Avant Garde" w:hAnsi="ITC Avant Garde"/>
          <w:sz w:val="20"/>
          <w:szCs w:val="20"/>
          <w:lang w:val="es-MX"/>
        </w:rPr>
      </w:pPr>
      <w:r w:rsidRPr="0086242B">
        <w:rPr>
          <w:rFonts w:ascii="ITC Avant Garde" w:hAnsi="ITC Avant Garde"/>
          <w:b/>
          <w:sz w:val="20"/>
          <w:szCs w:val="20"/>
          <w:lang w:val="es-MX"/>
        </w:rPr>
        <w:t>SAR</w:t>
      </w:r>
      <w:r w:rsidRPr="0086242B">
        <w:rPr>
          <w:rFonts w:ascii="ITC Avant Garde" w:hAnsi="ITC Avant Garde"/>
          <w:sz w:val="20"/>
          <w:szCs w:val="20"/>
          <w:lang w:val="es-MX"/>
        </w:rPr>
        <w:tab/>
        <w:t>Índice de absorción específica (por sus siglas en inglés de “</w:t>
      </w:r>
      <w:proofErr w:type="spellStart"/>
      <w:r w:rsidRPr="0086242B">
        <w:rPr>
          <w:rFonts w:ascii="ITC Avant Garde" w:hAnsi="ITC Avant Garde"/>
          <w:sz w:val="20"/>
          <w:szCs w:val="20"/>
          <w:lang w:val="es-MX"/>
        </w:rPr>
        <w:t>Specific</w:t>
      </w:r>
      <w:proofErr w:type="spellEnd"/>
      <w:r w:rsidRPr="0086242B">
        <w:rPr>
          <w:rFonts w:ascii="ITC Avant Garde" w:hAnsi="ITC Avant Garde"/>
          <w:sz w:val="20"/>
          <w:szCs w:val="20"/>
          <w:lang w:val="es-MX"/>
        </w:rPr>
        <w:t xml:space="preserve"> </w:t>
      </w:r>
      <w:proofErr w:type="spellStart"/>
      <w:r w:rsidRPr="0086242B">
        <w:rPr>
          <w:rFonts w:ascii="ITC Avant Garde" w:hAnsi="ITC Avant Garde"/>
          <w:sz w:val="20"/>
          <w:szCs w:val="20"/>
          <w:lang w:val="es-MX"/>
        </w:rPr>
        <w:t>Absorption</w:t>
      </w:r>
      <w:proofErr w:type="spellEnd"/>
      <w:r w:rsidRPr="0086242B">
        <w:rPr>
          <w:rFonts w:ascii="ITC Avant Garde" w:hAnsi="ITC Avant Garde"/>
          <w:sz w:val="20"/>
          <w:szCs w:val="20"/>
          <w:lang w:val="es-MX"/>
        </w:rPr>
        <w:t xml:space="preserve"> </w:t>
      </w:r>
      <w:proofErr w:type="spellStart"/>
      <w:r w:rsidRPr="0086242B">
        <w:rPr>
          <w:rFonts w:ascii="ITC Avant Garde" w:hAnsi="ITC Avant Garde"/>
          <w:sz w:val="20"/>
          <w:szCs w:val="20"/>
          <w:lang w:val="es-MX"/>
        </w:rPr>
        <w:t>Rate</w:t>
      </w:r>
      <w:proofErr w:type="spellEnd"/>
      <w:r w:rsidRPr="0086242B">
        <w:rPr>
          <w:rFonts w:ascii="ITC Avant Garde" w:hAnsi="ITC Avant Garde"/>
          <w:sz w:val="20"/>
          <w:szCs w:val="20"/>
          <w:lang w:val="es-MX"/>
        </w:rPr>
        <w:t>”).</w:t>
      </w:r>
    </w:p>
    <w:p w14:paraId="4AD48DF4" w14:textId="77777777" w:rsidR="006B595F" w:rsidRDefault="006B595F" w:rsidP="006B595F">
      <w:pPr>
        <w:rPr>
          <w:rFonts w:ascii="ITC Avant Garde" w:hAnsi="ITC Avant Garde"/>
          <w:b/>
          <w:sz w:val="22"/>
          <w:szCs w:val="22"/>
        </w:rPr>
      </w:pPr>
      <w:bookmarkStart w:id="6" w:name="_Ref119387172"/>
      <w:bookmarkStart w:id="7" w:name="_Toc414444590"/>
    </w:p>
    <w:p w14:paraId="57569DEF" w14:textId="77777777" w:rsidR="001432B1" w:rsidRDefault="001432B1" w:rsidP="006B595F">
      <w:pPr>
        <w:rPr>
          <w:rFonts w:ascii="ITC Avant Garde" w:hAnsi="ITC Avant Garde"/>
          <w:b/>
          <w:sz w:val="22"/>
          <w:szCs w:val="22"/>
        </w:rPr>
      </w:pPr>
    </w:p>
    <w:p w14:paraId="30F5C0ED" w14:textId="77777777" w:rsidR="001432B1" w:rsidRDefault="001432B1" w:rsidP="006B595F">
      <w:pPr>
        <w:rPr>
          <w:rFonts w:ascii="ITC Avant Garde" w:hAnsi="ITC Avant Garde"/>
          <w:b/>
          <w:sz w:val="22"/>
          <w:szCs w:val="22"/>
        </w:rPr>
      </w:pPr>
    </w:p>
    <w:p w14:paraId="5EF71B8A" w14:textId="77777777" w:rsidR="001432B1" w:rsidRPr="0086242B" w:rsidRDefault="001432B1" w:rsidP="006B595F">
      <w:pPr>
        <w:rPr>
          <w:rFonts w:ascii="ITC Avant Garde" w:hAnsi="ITC Avant Garde"/>
          <w:b/>
          <w:sz w:val="22"/>
          <w:szCs w:val="22"/>
        </w:rPr>
      </w:pPr>
    </w:p>
    <w:p w14:paraId="48E855FF" w14:textId="77777777" w:rsidR="006B595F" w:rsidRPr="0086242B" w:rsidRDefault="006B595F" w:rsidP="006B595F">
      <w:pPr>
        <w:pStyle w:val="Prrafodelista"/>
        <w:numPr>
          <w:ilvl w:val="0"/>
          <w:numId w:val="49"/>
        </w:numPr>
        <w:rPr>
          <w:rFonts w:ascii="ITC Avant Garde" w:hAnsi="ITC Avant Garde"/>
          <w:sz w:val="22"/>
          <w:szCs w:val="22"/>
        </w:rPr>
      </w:pPr>
      <w:r w:rsidRPr="0086242B">
        <w:rPr>
          <w:rFonts w:ascii="ITC Avant Garde" w:hAnsi="ITC Avant Garde"/>
          <w:b/>
          <w:sz w:val="22"/>
          <w:szCs w:val="22"/>
        </w:rPr>
        <w:t>Especificaciones</w:t>
      </w:r>
      <w:bookmarkEnd w:id="6"/>
      <w:bookmarkEnd w:id="7"/>
    </w:p>
    <w:p w14:paraId="143801D0" w14:textId="77777777" w:rsidR="006B595F" w:rsidRPr="0086242B" w:rsidRDefault="006B595F" w:rsidP="006B595F">
      <w:pPr>
        <w:rPr>
          <w:rFonts w:ascii="ITC Avant Garde" w:hAnsi="ITC Avant Garde"/>
          <w:lang w:val="es-MX"/>
        </w:rPr>
      </w:pPr>
    </w:p>
    <w:p w14:paraId="43AA4ACD" w14:textId="77777777" w:rsidR="006B595F" w:rsidRPr="0086242B" w:rsidRDefault="006B595F" w:rsidP="006B595F">
      <w:pPr>
        <w:pStyle w:val="Ttulo2"/>
        <w:numPr>
          <w:ilvl w:val="1"/>
          <w:numId w:val="49"/>
        </w:numPr>
        <w:spacing w:before="120"/>
        <w:jc w:val="both"/>
        <w:rPr>
          <w:rFonts w:ascii="ITC Avant Garde" w:hAnsi="ITC Avant Garde"/>
          <w:i w:val="0"/>
          <w:sz w:val="22"/>
          <w:szCs w:val="22"/>
        </w:rPr>
      </w:pPr>
      <w:bookmarkStart w:id="8" w:name="_Toc414444591"/>
      <w:r w:rsidRPr="0086242B">
        <w:rPr>
          <w:rFonts w:ascii="ITC Avant Garde" w:hAnsi="ITC Avant Garde"/>
          <w:i w:val="0"/>
          <w:sz w:val="22"/>
          <w:szCs w:val="22"/>
        </w:rPr>
        <w:t>Límites de exposición máxima.</w:t>
      </w:r>
      <w:bookmarkEnd w:id="8"/>
    </w:p>
    <w:p w14:paraId="770463D3"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Exposición al público en general.- Estos límites aplican para los individuos de cualquier edad y condición de salud que habitualmente se encuentren cerca de una fuente emisora de campos electromagnéticos. </w:t>
      </w:r>
    </w:p>
    <w:p w14:paraId="7E768F2F" w14:textId="77777777" w:rsidR="006B595F" w:rsidRPr="0086242B" w:rsidRDefault="006B595F" w:rsidP="006B595F">
      <w:pPr>
        <w:pStyle w:val="Ttulo3"/>
        <w:keepLines w:val="0"/>
        <w:numPr>
          <w:ilvl w:val="2"/>
          <w:numId w:val="49"/>
        </w:numPr>
        <w:spacing w:before="240" w:after="60" w:line="240" w:lineRule="auto"/>
        <w:rPr>
          <w:rFonts w:ascii="ITC Avant Garde" w:hAnsi="ITC Avant Garde"/>
          <w:color w:val="auto"/>
          <w:sz w:val="22"/>
          <w:szCs w:val="22"/>
        </w:rPr>
      </w:pPr>
      <w:bookmarkStart w:id="9" w:name="_Toc414444592"/>
      <w:r w:rsidRPr="0086242B">
        <w:rPr>
          <w:rFonts w:ascii="ITC Avant Garde" w:hAnsi="ITC Avant Garde"/>
          <w:color w:val="auto"/>
          <w:sz w:val="22"/>
          <w:szCs w:val="22"/>
        </w:rPr>
        <w:t>Limites básicos de exposición máxima.</w:t>
      </w:r>
      <w:bookmarkEnd w:id="9"/>
    </w:p>
    <w:p w14:paraId="255FEFE4"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Los límites básicos de exposición máxima se definen en términos de diferentes cantidades físicas y tienen su fundamento en </w:t>
      </w:r>
      <w:r w:rsidR="00A21645">
        <w:rPr>
          <w:rFonts w:ascii="ITC Avant Garde" w:hAnsi="ITC Avant Garde"/>
          <w:sz w:val="20"/>
          <w:szCs w:val="20"/>
        </w:rPr>
        <w:t xml:space="preserve">posibles </w:t>
      </w:r>
      <w:r w:rsidRPr="0086242B">
        <w:rPr>
          <w:rFonts w:ascii="ITC Avant Garde" w:hAnsi="ITC Avant Garde"/>
          <w:sz w:val="20"/>
          <w:szCs w:val="20"/>
        </w:rPr>
        <w:t>efectos sobre la salud establecidos de acuerdo a intervalos de frecuencias siguientes:</w:t>
      </w:r>
    </w:p>
    <w:p w14:paraId="6C82D45E" w14:textId="77777777" w:rsidR="006B595F" w:rsidRPr="0086242B" w:rsidRDefault="006B595F" w:rsidP="006B595F">
      <w:pPr>
        <w:spacing w:line="360" w:lineRule="auto"/>
        <w:jc w:val="both"/>
        <w:rPr>
          <w:rFonts w:ascii="ITC Avant Garde" w:hAnsi="ITC Avant Garde"/>
          <w:sz w:val="20"/>
          <w:szCs w:val="20"/>
        </w:rPr>
      </w:pPr>
    </w:p>
    <w:p w14:paraId="721A127B" w14:textId="77777777" w:rsidR="006B595F" w:rsidRPr="0086242B" w:rsidRDefault="006B595F" w:rsidP="006B595F">
      <w:pPr>
        <w:numPr>
          <w:ilvl w:val="0"/>
          <w:numId w:val="2"/>
        </w:numPr>
        <w:spacing w:line="360" w:lineRule="auto"/>
        <w:jc w:val="both"/>
        <w:rPr>
          <w:rFonts w:ascii="ITC Avant Garde" w:hAnsi="ITC Avant Garde"/>
          <w:sz w:val="20"/>
          <w:szCs w:val="20"/>
        </w:rPr>
      </w:pPr>
      <w:r w:rsidRPr="0086242B">
        <w:rPr>
          <w:rFonts w:ascii="ITC Avant Garde" w:hAnsi="ITC Avant Garde"/>
          <w:sz w:val="20"/>
          <w:szCs w:val="20"/>
        </w:rPr>
        <w:t>Entre 100 kHz y 10 MHz, se establecen límites básicos en términos de la densidad de corriente para prevenir efectos en las funciones del sistema nervioso.</w:t>
      </w:r>
    </w:p>
    <w:p w14:paraId="6D43EE18" w14:textId="2D97B180" w:rsidR="006B595F" w:rsidRPr="0086242B" w:rsidRDefault="00E45A96" w:rsidP="006B595F">
      <w:pPr>
        <w:numPr>
          <w:ilvl w:val="0"/>
          <w:numId w:val="2"/>
        </w:numPr>
        <w:spacing w:line="360" w:lineRule="auto"/>
        <w:jc w:val="both"/>
        <w:rPr>
          <w:rFonts w:ascii="ITC Avant Garde" w:hAnsi="ITC Avant Garde"/>
          <w:sz w:val="20"/>
          <w:szCs w:val="20"/>
        </w:rPr>
      </w:pPr>
      <w:r w:rsidRPr="0086242B">
        <w:rPr>
          <w:rFonts w:ascii="ITC Avant Garde" w:hAnsi="ITC Avant Garde"/>
          <w:sz w:val="20"/>
          <w:szCs w:val="20"/>
        </w:rPr>
        <w:t>Entre 100 kHz y 10 GHz,</w:t>
      </w:r>
      <w:r w:rsidR="006B595F" w:rsidRPr="0086242B">
        <w:rPr>
          <w:rFonts w:ascii="ITC Avant Garde" w:hAnsi="ITC Avant Garde"/>
          <w:sz w:val="20"/>
          <w:szCs w:val="20"/>
        </w:rPr>
        <w:t xml:space="preserve"> se establecen límites básicos expresados en términos del índice de absorción específica (SAR) para prevenir un determinado calentamiento en los tejidos de todo el cuerpo o de partes localizadas del cuerpo.</w:t>
      </w:r>
    </w:p>
    <w:p w14:paraId="621200D5" w14:textId="77777777" w:rsidR="006B595F" w:rsidRPr="0086242B" w:rsidRDefault="006B595F" w:rsidP="006B595F">
      <w:pPr>
        <w:numPr>
          <w:ilvl w:val="0"/>
          <w:numId w:val="2"/>
        </w:numPr>
        <w:spacing w:line="360" w:lineRule="auto"/>
        <w:jc w:val="both"/>
        <w:rPr>
          <w:rFonts w:ascii="ITC Avant Garde" w:hAnsi="ITC Avant Garde"/>
        </w:rPr>
      </w:pPr>
      <w:r w:rsidRPr="0086242B">
        <w:rPr>
          <w:rFonts w:ascii="ITC Avant Garde" w:hAnsi="ITC Avant Garde"/>
          <w:sz w:val="20"/>
          <w:szCs w:val="20"/>
        </w:rPr>
        <w:t>Entre 10 GHz y 300 GHz, los límites básicos están dados en términos de la densidad de potencia para prevenir el calentamiento excesivo en los tejidos cercanos a la superficie del cuerpo</w:t>
      </w:r>
      <w:r w:rsidRPr="0086242B">
        <w:rPr>
          <w:rFonts w:ascii="ITC Avant Garde" w:hAnsi="ITC Avant Garde"/>
        </w:rPr>
        <w:t>.</w:t>
      </w:r>
    </w:p>
    <w:p w14:paraId="67B6DDCB" w14:textId="77777777" w:rsidR="006B595F" w:rsidRPr="0086242B" w:rsidRDefault="006B595F" w:rsidP="006B595F">
      <w:pPr>
        <w:ind w:left="720"/>
        <w:jc w:val="both"/>
        <w:rPr>
          <w:rFonts w:ascii="ITC Avant Garde" w:hAnsi="ITC Avant Garde"/>
        </w:rPr>
      </w:pPr>
    </w:p>
    <w:p w14:paraId="6D679C98" w14:textId="77777777" w:rsidR="006B595F" w:rsidRPr="0086242B" w:rsidRDefault="006B595F" w:rsidP="006B595F">
      <w:pPr>
        <w:spacing w:line="360" w:lineRule="auto"/>
        <w:jc w:val="both"/>
        <w:rPr>
          <w:rFonts w:ascii="ITC Avant Garde" w:hAnsi="ITC Avant Garde"/>
          <w:sz w:val="22"/>
          <w:szCs w:val="22"/>
        </w:rPr>
      </w:pPr>
      <w:r w:rsidRPr="0086242B">
        <w:rPr>
          <w:rFonts w:ascii="ITC Avant Garde" w:hAnsi="ITC Avant Garde"/>
          <w:sz w:val="20"/>
          <w:szCs w:val="20"/>
        </w:rPr>
        <w:t>En el intervalo de frecuencias de 100 kHz a 10 MHz, los límites máximos para la densidad de corriente se han establecido con el propósito de evitar que los umbrales para cambios agudos en la excitabilidad del sistema nervioso central sean excedidos. A medida que aumenta la frecuencia, este umbral en el que se detecta una determinada estimulación del sistema nervioso, aumenta proporcionalmente</w:t>
      </w:r>
      <w:r w:rsidRPr="0086242B">
        <w:rPr>
          <w:rFonts w:ascii="ITC Avant Garde" w:hAnsi="ITC Avant Garde"/>
          <w:sz w:val="22"/>
          <w:szCs w:val="22"/>
        </w:rPr>
        <w:t>.</w:t>
      </w:r>
    </w:p>
    <w:p w14:paraId="3AEF69FB" w14:textId="77777777" w:rsidR="006B595F" w:rsidRPr="0086242B" w:rsidRDefault="006B595F" w:rsidP="006B595F">
      <w:pPr>
        <w:jc w:val="both"/>
        <w:rPr>
          <w:rFonts w:ascii="ITC Avant Garde" w:hAnsi="ITC Avant Garde"/>
        </w:rPr>
      </w:pPr>
    </w:p>
    <w:p w14:paraId="0DC19848"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En el intervalo de frecuencias de 10 MHz a 10 GHz, los efectos al organismo que se pueden detectar se relacionan con el incremento de temperatura del cuerpo en más de 1°C. Este nivel de incremento de temperatura resulta de la exposición de personas bajo condiciones ambientales moderadas a un SAR de cuerpo entero de 4 W/kg por cerca de 30 minutos. Basado en este efecto, se ha seleccionado como límite básico un SAR de cuerpo entero de 0.08 W/kg como la restricción que proporciona una adecuada protección para la exposición al público en general.</w:t>
      </w:r>
    </w:p>
    <w:p w14:paraId="56FBAA51" w14:textId="77777777" w:rsidR="006B595F" w:rsidRPr="0086242B" w:rsidRDefault="006B595F" w:rsidP="006B595F">
      <w:pPr>
        <w:jc w:val="both"/>
        <w:rPr>
          <w:rFonts w:ascii="ITC Avant Garde" w:hAnsi="ITC Avant Garde"/>
        </w:rPr>
      </w:pPr>
    </w:p>
    <w:p w14:paraId="0FC1CD0E"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A frecuencias mayores de 10 GHz, el criterio más adecuado para establecer un límite básico es la densidad de potencia debido a que los campos electromagnéticos penetran cada vez menos los tejidos a medida que crece la frecuencia. De esta forma, el comportamiento de los campos se acerca más al de la luz visible que solamente tiene un efecto superficial. Este efecto superficial también es causante de un incremento de temperatura en los tejidos externos, por lo cual, los límites de exposición a estas frecuencias buscan prevenir un calentamiento moderado. El límite básico que se ha establecido para el público en general es de 10 W/m</w:t>
      </w:r>
      <w:r w:rsidRPr="0086242B">
        <w:rPr>
          <w:rFonts w:ascii="ITC Avant Garde" w:hAnsi="ITC Avant Garde"/>
          <w:sz w:val="20"/>
          <w:szCs w:val="20"/>
          <w:vertAlign w:val="superscript"/>
        </w:rPr>
        <w:t>2</w:t>
      </w:r>
      <w:r w:rsidRPr="0086242B">
        <w:rPr>
          <w:rFonts w:ascii="ITC Avant Garde" w:hAnsi="ITC Avant Garde"/>
          <w:sz w:val="20"/>
          <w:szCs w:val="20"/>
        </w:rPr>
        <w:t xml:space="preserve">. </w:t>
      </w:r>
    </w:p>
    <w:p w14:paraId="18E44D95" w14:textId="77777777" w:rsidR="006B595F" w:rsidRPr="0086242B" w:rsidRDefault="006B595F" w:rsidP="006B595F">
      <w:pPr>
        <w:jc w:val="both"/>
        <w:rPr>
          <w:rFonts w:ascii="ITC Avant Garde" w:hAnsi="ITC Avant Garde"/>
        </w:rPr>
      </w:pPr>
    </w:p>
    <w:p w14:paraId="09810926" w14:textId="77777777" w:rsidR="006B595F" w:rsidRPr="0086242B" w:rsidRDefault="006B595F" w:rsidP="006B595F">
      <w:pPr>
        <w:jc w:val="both"/>
        <w:rPr>
          <w:rFonts w:ascii="ITC Avant Garde" w:hAnsi="ITC Avant Garde"/>
          <w:sz w:val="20"/>
          <w:szCs w:val="20"/>
        </w:rPr>
      </w:pPr>
      <w:r w:rsidRPr="0086242B">
        <w:rPr>
          <w:rFonts w:ascii="ITC Avant Garde" w:hAnsi="ITC Avant Garde"/>
          <w:sz w:val="20"/>
          <w:szCs w:val="20"/>
        </w:rPr>
        <w:t xml:space="preserve">En la </w:t>
      </w:r>
      <w:r w:rsidRPr="0086242B">
        <w:rPr>
          <w:rFonts w:ascii="ITC Avant Garde" w:hAnsi="ITC Avant Garde"/>
          <w:sz w:val="20"/>
          <w:szCs w:val="20"/>
        </w:rPr>
        <w:fldChar w:fldCharType="begin"/>
      </w:r>
      <w:r w:rsidRPr="0086242B">
        <w:rPr>
          <w:rFonts w:ascii="ITC Avant Garde" w:hAnsi="ITC Avant Garde"/>
          <w:sz w:val="20"/>
          <w:szCs w:val="20"/>
        </w:rPr>
        <w:instrText xml:space="preserve"> REF _Ref119387975 \h  \* MERGEFORMAT </w:instrText>
      </w:r>
      <w:r w:rsidRPr="0086242B">
        <w:rPr>
          <w:rFonts w:ascii="ITC Avant Garde" w:hAnsi="ITC Avant Garde"/>
          <w:sz w:val="20"/>
          <w:szCs w:val="20"/>
        </w:rPr>
      </w:r>
      <w:r w:rsidRPr="0086242B">
        <w:rPr>
          <w:rFonts w:ascii="ITC Avant Garde" w:hAnsi="ITC Avant Garde"/>
          <w:sz w:val="20"/>
          <w:szCs w:val="20"/>
        </w:rPr>
        <w:fldChar w:fldCharType="separate"/>
      </w:r>
      <w:r w:rsidR="00992611" w:rsidRPr="00992611">
        <w:rPr>
          <w:rFonts w:ascii="ITC Avant Garde" w:hAnsi="ITC Avant Garde"/>
          <w:sz w:val="20"/>
          <w:szCs w:val="20"/>
        </w:rPr>
        <w:t>Tabla 1</w:t>
      </w:r>
      <w:r w:rsidRPr="0086242B">
        <w:rPr>
          <w:rFonts w:ascii="ITC Avant Garde" w:hAnsi="ITC Avant Garde"/>
          <w:sz w:val="20"/>
          <w:szCs w:val="20"/>
        </w:rPr>
        <w:fldChar w:fldCharType="end"/>
      </w:r>
      <w:r w:rsidRPr="0086242B">
        <w:rPr>
          <w:rFonts w:ascii="ITC Avant Garde" w:hAnsi="ITC Avant Garde"/>
          <w:sz w:val="20"/>
          <w:szCs w:val="20"/>
        </w:rPr>
        <w:t xml:space="preserve"> se muestran los límites básicos.</w:t>
      </w:r>
    </w:p>
    <w:p w14:paraId="3648BD3D" w14:textId="77777777" w:rsidR="006B595F" w:rsidRPr="0086242B" w:rsidRDefault="006B595F" w:rsidP="006B595F">
      <w:pPr>
        <w:jc w:val="right"/>
        <w:rPr>
          <w:rFonts w:ascii="ITC Avant Garde" w:hAnsi="ITC Avant Garde"/>
        </w:rPr>
      </w:pPr>
    </w:p>
    <w:p w14:paraId="1F909D1C" w14:textId="77777777" w:rsidR="006B595F" w:rsidRPr="0086242B" w:rsidRDefault="006B595F" w:rsidP="006B595F">
      <w:pPr>
        <w:pStyle w:val="Descripcin"/>
        <w:jc w:val="center"/>
        <w:rPr>
          <w:rFonts w:ascii="ITC Avant Garde" w:hAnsi="ITC Avant Garde"/>
          <w:sz w:val="22"/>
          <w:szCs w:val="22"/>
        </w:rPr>
      </w:pPr>
      <w:bookmarkStart w:id="10" w:name="_Ref119387975"/>
      <w:r w:rsidRPr="0086242B">
        <w:rPr>
          <w:rFonts w:ascii="ITC Avant Garde" w:hAnsi="ITC Avant Garde"/>
          <w:sz w:val="22"/>
          <w:szCs w:val="22"/>
        </w:rPr>
        <w:t xml:space="preserve">Tabla </w:t>
      </w:r>
      <w:r w:rsidRPr="0086242B">
        <w:rPr>
          <w:rFonts w:ascii="ITC Avant Garde" w:hAnsi="ITC Avant Garde"/>
          <w:sz w:val="22"/>
          <w:szCs w:val="22"/>
        </w:rPr>
        <w:fldChar w:fldCharType="begin"/>
      </w:r>
      <w:r w:rsidRPr="0086242B">
        <w:rPr>
          <w:rFonts w:ascii="ITC Avant Garde" w:hAnsi="ITC Avant Garde"/>
          <w:sz w:val="22"/>
          <w:szCs w:val="22"/>
        </w:rPr>
        <w:instrText xml:space="preserve"> SEQ Tabla \* ARABIC </w:instrText>
      </w:r>
      <w:r w:rsidRPr="0086242B">
        <w:rPr>
          <w:rFonts w:ascii="ITC Avant Garde" w:hAnsi="ITC Avant Garde"/>
          <w:sz w:val="22"/>
          <w:szCs w:val="22"/>
        </w:rPr>
        <w:fldChar w:fldCharType="separate"/>
      </w:r>
      <w:r w:rsidR="00992611">
        <w:rPr>
          <w:rFonts w:ascii="ITC Avant Garde" w:hAnsi="ITC Avant Garde"/>
          <w:noProof/>
          <w:sz w:val="22"/>
          <w:szCs w:val="22"/>
        </w:rPr>
        <w:t>1</w:t>
      </w:r>
      <w:r w:rsidRPr="0086242B">
        <w:rPr>
          <w:rFonts w:ascii="ITC Avant Garde" w:hAnsi="ITC Avant Garde"/>
          <w:sz w:val="22"/>
          <w:szCs w:val="22"/>
        </w:rPr>
        <w:fldChar w:fldCharType="end"/>
      </w:r>
      <w:bookmarkEnd w:id="10"/>
      <w:r w:rsidRPr="0086242B">
        <w:rPr>
          <w:rFonts w:ascii="ITC Avant Garde" w:hAnsi="ITC Avant Garde"/>
          <w:sz w:val="22"/>
          <w:szCs w:val="22"/>
        </w:rPr>
        <w:t>.- Límites básicos de exposición máxima.</w:t>
      </w:r>
    </w:p>
    <w:tbl>
      <w:tblPr>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8" w:type="dxa"/>
          <w:bottom w:w="14" w:type="dxa"/>
          <w:right w:w="28" w:type="dxa"/>
        </w:tblCellMar>
        <w:tblLook w:val="01E0" w:firstRow="1" w:lastRow="1" w:firstColumn="1" w:lastColumn="1" w:noHBand="0" w:noVBand="0"/>
      </w:tblPr>
      <w:tblGrid>
        <w:gridCol w:w="1108"/>
        <w:gridCol w:w="1620"/>
        <w:gridCol w:w="1153"/>
        <w:gridCol w:w="1007"/>
        <w:gridCol w:w="1260"/>
        <w:gridCol w:w="1260"/>
        <w:gridCol w:w="1080"/>
      </w:tblGrid>
      <w:tr w:rsidR="006B595F" w:rsidRPr="0086242B" w14:paraId="58D8DAD0" w14:textId="77777777" w:rsidTr="008109C1">
        <w:trPr>
          <w:jc w:val="center"/>
        </w:trPr>
        <w:tc>
          <w:tcPr>
            <w:tcW w:w="1108" w:type="dxa"/>
            <w:vAlign w:val="center"/>
          </w:tcPr>
          <w:p w14:paraId="09E80DBF" w14:textId="77777777" w:rsidR="006B595F" w:rsidRPr="0086242B" w:rsidRDefault="006B595F" w:rsidP="008109C1">
            <w:pPr>
              <w:jc w:val="center"/>
              <w:rPr>
                <w:rFonts w:ascii="ITC Avant Garde" w:hAnsi="ITC Avant Garde"/>
                <w:b/>
                <w:sz w:val="18"/>
                <w:szCs w:val="18"/>
              </w:rPr>
            </w:pPr>
            <w:r w:rsidRPr="0086242B">
              <w:rPr>
                <w:rFonts w:ascii="ITC Avant Garde" w:hAnsi="ITC Avant Garde"/>
                <w:b/>
                <w:sz w:val="18"/>
                <w:szCs w:val="18"/>
              </w:rPr>
              <w:t>Tipo de exposición</w:t>
            </w:r>
          </w:p>
        </w:tc>
        <w:tc>
          <w:tcPr>
            <w:tcW w:w="1620" w:type="dxa"/>
            <w:vAlign w:val="center"/>
          </w:tcPr>
          <w:p w14:paraId="2664124F" w14:textId="77777777" w:rsidR="006B595F" w:rsidRPr="0086242B" w:rsidRDefault="006B595F" w:rsidP="008109C1">
            <w:pPr>
              <w:jc w:val="center"/>
              <w:rPr>
                <w:rFonts w:ascii="ITC Avant Garde" w:hAnsi="ITC Avant Garde"/>
                <w:b/>
                <w:sz w:val="18"/>
                <w:szCs w:val="18"/>
              </w:rPr>
            </w:pPr>
            <w:r w:rsidRPr="0086242B">
              <w:rPr>
                <w:rFonts w:ascii="ITC Avant Garde" w:hAnsi="ITC Avant Garde"/>
                <w:b/>
                <w:sz w:val="18"/>
                <w:szCs w:val="18"/>
              </w:rPr>
              <w:t>Intervalo de frecuencias</w:t>
            </w:r>
          </w:p>
        </w:tc>
        <w:tc>
          <w:tcPr>
            <w:tcW w:w="1153" w:type="dxa"/>
            <w:vAlign w:val="center"/>
          </w:tcPr>
          <w:p w14:paraId="681F23D5" w14:textId="77777777" w:rsidR="006B595F" w:rsidRPr="0086242B" w:rsidRDefault="006B595F" w:rsidP="008109C1">
            <w:pPr>
              <w:jc w:val="center"/>
              <w:rPr>
                <w:rFonts w:ascii="ITC Avant Garde" w:hAnsi="ITC Avant Garde"/>
                <w:b/>
                <w:sz w:val="18"/>
                <w:szCs w:val="18"/>
              </w:rPr>
            </w:pPr>
            <w:r w:rsidRPr="0086242B">
              <w:rPr>
                <w:rFonts w:ascii="ITC Avant Garde" w:hAnsi="ITC Avant Garde"/>
                <w:b/>
                <w:sz w:val="18"/>
                <w:szCs w:val="18"/>
              </w:rPr>
              <w:t>Densidad de corriente en la cabeza y el tronco [</w:t>
            </w:r>
            <w:proofErr w:type="spellStart"/>
            <w:r w:rsidRPr="0086242B">
              <w:rPr>
                <w:rFonts w:ascii="ITC Avant Garde" w:hAnsi="ITC Avant Garde"/>
                <w:b/>
                <w:sz w:val="18"/>
                <w:szCs w:val="18"/>
              </w:rPr>
              <w:t>mA</w:t>
            </w:r>
            <w:proofErr w:type="spellEnd"/>
            <w:r w:rsidRPr="0086242B">
              <w:rPr>
                <w:rFonts w:ascii="ITC Avant Garde" w:hAnsi="ITC Avant Garde"/>
                <w:b/>
                <w:sz w:val="18"/>
                <w:szCs w:val="18"/>
              </w:rPr>
              <w:t>/m</w:t>
            </w:r>
            <w:r w:rsidRPr="0086242B">
              <w:rPr>
                <w:rFonts w:ascii="ITC Avant Garde" w:hAnsi="ITC Avant Garde"/>
                <w:b/>
                <w:sz w:val="18"/>
                <w:szCs w:val="18"/>
                <w:vertAlign w:val="superscript"/>
              </w:rPr>
              <w:t>2</w:t>
            </w:r>
            <w:r w:rsidRPr="0086242B">
              <w:rPr>
                <w:rFonts w:ascii="ITC Avant Garde" w:hAnsi="ITC Avant Garde"/>
                <w:b/>
                <w:sz w:val="18"/>
                <w:szCs w:val="18"/>
              </w:rPr>
              <w:t>]</w:t>
            </w:r>
          </w:p>
        </w:tc>
        <w:tc>
          <w:tcPr>
            <w:tcW w:w="1007" w:type="dxa"/>
            <w:vAlign w:val="center"/>
          </w:tcPr>
          <w:p w14:paraId="0DAE98FE" w14:textId="77777777" w:rsidR="006B595F" w:rsidRPr="0086242B" w:rsidRDefault="006B595F" w:rsidP="008109C1">
            <w:pPr>
              <w:jc w:val="center"/>
              <w:rPr>
                <w:rFonts w:ascii="ITC Avant Garde" w:hAnsi="ITC Avant Garde"/>
                <w:b/>
                <w:sz w:val="18"/>
                <w:szCs w:val="18"/>
              </w:rPr>
            </w:pPr>
            <w:r w:rsidRPr="0086242B">
              <w:rPr>
                <w:rFonts w:ascii="ITC Avant Garde" w:hAnsi="ITC Avant Garde"/>
                <w:b/>
                <w:sz w:val="18"/>
                <w:szCs w:val="18"/>
              </w:rPr>
              <w:t>SAR promedio en todo el cuerpo [W/kg]</w:t>
            </w:r>
          </w:p>
        </w:tc>
        <w:tc>
          <w:tcPr>
            <w:tcW w:w="1260" w:type="dxa"/>
            <w:vAlign w:val="center"/>
          </w:tcPr>
          <w:p w14:paraId="7E30105A" w14:textId="77777777" w:rsidR="006B595F" w:rsidRPr="0086242B" w:rsidRDefault="006B595F" w:rsidP="008109C1">
            <w:pPr>
              <w:jc w:val="center"/>
              <w:rPr>
                <w:rFonts w:ascii="ITC Avant Garde" w:hAnsi="ITC Avant Garde"/>
                <w:sz w:val="18"/>
                <w:szCs w:val="18"/>
              </w:rPr>
            </w:pPr>
            <w:r w:rsidRPr="0086242B">
              <w:rPr>
                <w:rFonts w:ascii="ITC Avant Garde" w:hAnsi="ITC Avant Garde"/>
                <w:b/>
                <w:sz w:val="18"/>
                <w:szCs w:val="18"/>
              </w:rPr>
              <w:t>SAR localizado en la cabeza y el tronco [W/kg]</w:t>
            </w:r>
          </w:p>
        </w:tc>
        <w:tc>
          <w:tcPr>
            <w:tcW w:w="1260" w:type="dxa"/>
            <w:vAlign w:val="center"/>
          </w:tcPr>
          <w:p w14:paraId="14F042DC" w14:textId="77777777" w:rsidR="006B595F" w:rsidRPr="0086242B" w:rsidRDefault="006B595F" w:rsidP="008109C1">
            <w:pPr>
              <w:jc w:val="center"/>
              <w:rPr>
                <w:rFonts w:ascii="ITC Avant Garde" w:hAnsi="ITC Avant Garde"/>
                <w:b/>
                <w:sz w:val="18"/>
                <w:szCs w:val="18"/>
              </w:rPr>
            </w:pPr>
            <w:r w:rsidRPr="0086242B">
              <w:rPr>
                <w:rFonts w:ascii="ITC Avant Garde" w:hAnsi="ITC Avant Garde"/>
                <w:b/>
                <w:sz w:val="18"/>
                <w:szCs w:val="18"/>
              </w:rPr>
              <w:t>SAR localizado</w:t>
            </w:r>
          </w:p>
          <w:p w14:paraId="6041B6A1" w14:textId="77777777" w:rsidR="006B595F" w:rsidRPr="0086242B" w:rsidRDefault="006B595F" w:rsidP="008109C1">
            <w:pPr>
              <w:jc w:val="center"/>
              <w:rPr>
                <w:rFonts w:ascii="ITC Avant Garde" w:hAnsi="ITC Avant Garde"/>
                <w:b/>
                <w:sz w:val="18"/>
                <w:szCs w:val="18"/>
              </w:rPr>
            </w:pPr>
            <w:r w:rsidRPr="0086242B">
              <w:rPr>
                <w:rFonts w:ascii="ITC Avant Garde" w:hAnsi="ITC Avant Garde"/>
                <w:b/>
                <w:sz w:val="18"/>
                <w:szCs w:val="18"/>
              </w:rPr>
              <w:t>en las extremidades [W/kg]</w:t>
            </w:r>
          </w:p>
        </w:tc>
        <w:tc>
          <w:tcPr>
            <w:tcW w:w="1080" w:type="dxa"/>
            <w:vAlign w:val="center"/>
          </w:tcPr>
          <w:p w14:paraId="54082DFB" w14:textId="77777777" w:rsidR="006B595F" w:rsidRPr="0086242B" w:rsidRDefault="006B595F" w:rsidP="008109C1">
            <w:pPr>
              <w:jc w:val="center"/>
              <w:rPr>
                <w:rFonts w:ascii="ITC Avant Garde" w:hAnsi="ITC Avant Garde"/>
                <w:b/>
                <w:sz w:val="18"/>
                <w:szCs w:val="18"/>
              </w:rPr>
            </w:pPr>
            <w:r w:rsidRPr="0086242B">
              <w:rPr>
                <w:rFonts w:ascii="ITC Avant Garde" w:hAnsi="ITC Avant Garde"/>
                <w:b/>
                <w:sz w:val="18"/>
                <w:szCs w:val="18"/>
              </w:rPr>
              <w:t>Densidad de potencia [W/m</w:t>
            </w:r>
            <w:r w:rsidRPr="0086242B">
              <w:rPr>
                <w:rFonts w:ascii="ITC Avant Garde" w:hAnsi="ITC Avant Garde"/>
                <w:b/>
                <w:sz w:val="18"/>
                <w:szCs w:val="18"/>
                <w:vertAlign w:val="superscript"/>
              </w:rPr>
              <w:t>2</w:t>
            </w:r>
            <w:r w:rsidRPr="0086242B">
              <w:rPr>
                <w:rFonts w:ascii="ITC Avant Garde" w:hAnsi="ITC Avant Garde"/>
                <w:b/>
                <w:sz w:val="18"/>
                <w:szCs w:val="18"/>
              </w:rPr>
              <w:t>]</w:t>
            </w:r>
          </w:p>
        </w:tc>
      </w:tr>
      <w:tr w:rsidR="006B595F" w:rsidRPr="0086242B" w14:paraId="7E44CAF4" w14:textId="77777777" w:rsidTr="008109C1">
        <w:trPr>
          <w:jc w:val="center"/>
        </w:trPr>
        <w:tc>
          <w:tcPr>
            <w:tcW w:w="1108" w:type="dxa"/>
            <w:vMerge w:val="restart"/>
            <w:vAlign w:val="center"/>
          </w:tcPr>
          <w:p w14:paraId="124F353B" w14:textId="77777777" w:rsidR="006B595F" w:rsidRPr="0086242B" w:rsidRDefault="006B595F" w:rsidP="008109C1">
            <w:pPr>
              <w:jc w:val="center"/>
              <w:rPr>
                <w:rFonts w:ascii="ITC Avant Garde" w:hAnsi="ITC Avant Garde"/>
                <w:sz w:val="18"/>
                <w:szCs w:val="18"/>
              </w:rPr>
            </w:pPr>
            <w:r w:rsidRPr="0086242B">
              <w:rPr>
                <w:rFonts w:ascii="ITC Avant Garde" w:hAnsi="ITC Avant Garde"/>
                <w:sz w:val="18"/>
                <w:szCs w:val="18"/>
              </w:rPr>
              <w:t>Público en general</w:t>
            </w:r>
          </w:p>
        </w:tc>
        <w:tc>
          <w:tcPr>
            <w:tcW w:w="1620" w:type="dxa"/>
            <w:vAlign w:val="center"/>
          </w:tcPr>
          <w:p w14:paraId="03B9DFD8" w14:textId="77777777" w:rsidR="006B595F" w:rsidRPr="0086242B" w:rsidRDefault="006B595F" w:rsidP="008109C1">
            <w:pPr>
              <w:rPr>
                <w:rFonts w:ascii="ITC Avant Garde" w:hAnsi="ITC Avant Garde"/>
                <w:sz w:val="18"/>
                <w:szCs w:val="18"/>
              </w:rPr>
            </w:pPr>
            <w:r w:rsidRPr="0086242B">
              <w:rPr>
                <w:rFonts w:ascii="ITC Avant Garde" w:hAnsi="ITC Avant Garde"/>
                <w:sz w:val="18"/>
                <w:szCs w:val="18"/>
              </w:rPr>
              <w:t>100 kHz-10 MHz</w:t>
            </w:r>
          </w:p>
        </w:tc>
        <w:tc>
          <w:tcPr>
            <w:tcW w:w="1153" w:type="dxa"/>
            <w:vAlign w:val="center"/>
          </w:tcPr>
          <w:p w14:paraId="0CCD18EB" w14:textId="77777777" w:rsidR="006B595F" w:rsidRPr="0086242B" w:rsidRDefault="006B595F" w:rsidP="008109C1">
            <w:pPr>
              <w:jc w:val="center"/>
              <w:rPr>
                <w:rFonts w:ascii="ITC Avant Garde" w:hAnsi="ITC Avant Garde"/>
                <w:sz w:val="18"/>
                <w:szCs w:val="18"/>
              </w:rPr>
            </w:pPr>
            <w:r w:rsidRPr="0086242B">
              <w:rPr>
                <w:rFonts w:ascii="ITC Avant Garde" w:hAnsi="ITC Avant Garde"/>
                <w:i/>
                <w:sz w:val="18"/>
                <w:szCs w:val="18"/>
              </w:rPr>
              <w:t xml:space="preserve">f </w:t>
            </w:r>
            <w:r w:rsidRPr="0086242B">
              <w:rPr>
                <w:rFonts w:ascii="ITC Avant Garde" w:hAnsi="ITC Avant Garde"/>
                <w:sz w:val="18"/>
                <w:szCs w:val="18"/>
              </w:rPr>
              <w:t>/ 500</w:t>
            </w:r>
          </w:p>
        </w:tc>
        <w:tc>
          <w:tcPr>
            <w:tcW w:w="1007" w:type="dxa"/>
            <w:vAlign w:val="center"/>
          </w:tcPr>
          <w:p w14:paraId="3341B2BC" w14:textId="77777777" w:rsidR="006B595F" w:rsidRPr="0086242B" w:rsidRDefault="006B595F" w:rsidP="008109C1">
            <w:pPr>
              <w:jc w:val="center"/>
              <w:rPr>
                <w:rFonts w:ascii="ITC Avant Garde" w:hAnsi="ITC Avant Garde"/>
                <w:sz w:val="18"/>
                <w:szCs w:val="18"/>
              </w:rPr>
            </w:pPr>
            <w:r w:rsidRPr="0086242B">
              <w:rPr>
                <w:rFonts w:ascii="ITC Avant Garde" w:hAnsi="ITC Avant Garde"/>
                <w:sz w:val="18"/>
                <w:szCs w:val="18"/>
              </w:rPr>
              <w:t>0.08</w:t>
            </w:r>
          </w:p>
        </w:tc>
        <w:tc>
          <w:tcPr>
            <w:tcW w:w="1260" w:type="dxa"/>
            <w:vAlign w:val="center"/>
          </w:tcPr>
          <w:p w14:paraId="7A729515" w14:textId="77777777" w:rsidR="006B595F" w:rsidRPr="0086242B" w:rsidRDefault="006B595F" w:rsidP="008109C1">
            <w:pPr>
              <w:jc w:val="center"/>
              <w:rPr>
                <w:rFonts w:ascii="ITC Avant Garde" w:hAnsi="ITC Avant Garde"/>
                <w:sz w:val="18"/>
                <w:szCs w:val="18"/>
              </w:rPr>
            </w:pPr>
            <w:r w:rsidRPr="0086242B">
              <w:rPr>
                <w:rFonts w:ascii="ITC Avant Garde" w:hAnsi="ITC Avant Garde"/>
                <w:sz w:val="18"/>
                <w:szCs w:val="18"/>
              </w:rPr>
              <w:t>2</w:t>
            </w:r>
          </w:p>
        </w:tc>
        <w:tc>
          <w:tcPr>
            <w:tcW w:w="1260" w:type="dxa"/>
            <w:vAlign w:val="center"/>
          </w:tcPr>
          <w:p w14:paraId="18CE4F13" w14:textId="77777777" w:rsidR="006B595F" w:rsidRPr="0086242B" w:rsidRDefault="006B595F" w:rsidP="008109C1">
            <w:pPr>
              <w:jc w:val="center"/>
              <w:rPr>
                <w:rFonts w:ascii="ITC Avant Garde" w:hAnsi="ITC Avant Garde"/>
                <w:sz w:val="18"/>
                <w:szCs w:val="18"/>
              </w:rPr>
            </w:pPr>
            <w:r w:rsidRPr="0086242B">
              <w:rPr>
                <w:rFonts w:ascii="ITC Avant Garde" w:hAnsi="ITC Avant Garde"/>
                <w:sz w:val="18"/>
                <w:szCs w:val="18"/>
              </w:rPr>
              <w:t>4</w:t>
            </w:r>
          </w:p>
        </w:tc>
        <w:tc>
          <w:tcPr>
            <w:tcW w:w="1080" w:type="dxa"/>
            <w:vAlign w:val="center"/>
          </w:tcPr>
          <w:p w14:paraId="3DBC5CE6" w14:textId="77777777" w:rsidR="006B595F" w:rsidRPr="0086242B" w:rsidRDefault="006B595F" w:rsidP="008109C1">
            <w:pPr>
              <w:jc w:val="center"/>
              <w:rPr>
                <w:rFonts w:ascii="ITC Avant Garde" w:hAnsi="ITC Avant Garde"/>
                <w:sz w:val="18"/>
                <w:szCs w:val="18"/>
              </w:rPr>
            </w:pPr>
            <w:r w:rsidRPr="0086242B">
              <w:rPr>
                <w:rFonts w:ascii="ITC Avant Garde" w:hAnsi="ITC Avant Garde"/>
                <w:sz w:val="18"/>
                <w:szCs w:val="18"/>
              </w:rPr>
              <w:sym w:font="Symbol" w:char="F02D"/>
            </w:r>
          </w:p>
        </w:tc>
      </w:tr>
      <w:tr w:rsidR="006B595F" w:rsidRPr="0086242B" w14:paraId="2C35013F" w14:textId="77777777" w:rsidTr="008109C1">
        <w:trPr>
          <w:jc w:val="center"/>
        </w:trPr>
        <w:tc>
          <w:tcPr>
            <w:tcW w:w="1108" w:type="dxa"/>
            <w:vMerge/>
            <w:vAlign w:val="center"/>
          </w:tcPr>
          <w:p w14:paraId="302AE5F5" w14:textId="77777777" w:rsidR="006B595F" w:rsidRPr="0086242B" w:rsidRDefault="006B595F" w:rsidP="008109C1">
            <w:pPr>
              <w:jc w:val="both"/>
              <w:rPr>
                <w:rFonts w:ascii="ITC Avant Garde" w:hAnsi="ITC Avant Garde"/>
                <w:sz w:val="18"/>
                <w:szCs w:val="18"/>
              </w:rPr>
            </w:pPr>
          </w:p>
        </w:tc>
        <w:tc>
          <w:tcPr>
            <w:tcW w:w="1620" w:type="dxa"/>
            <w:vAlign w:val="center"/>
          </w:tcPr>
          <w:p w14:paraId="78C4B075" w14:textId="77777777" w:rsidR="006B595F" w:rsidRPr="0086242B" w:rsidRDefault="006B595F" w:rsidP="008109C1">
            <w:pPr>
              <w:rPr>
                <w:rFonts w:ascii="ITC Avant Garde" w:hAnsi="ITC Avant Garde"/>
                <w:sz w:val="18"/>
                <w:szCs w:val="18"/>
              </w:rPr>
            </w:pPr>
            <w:r w:rsidRPr="0086242B">
              <w:rPr>
                <w:rFonts w:ascii="ITC Avant Garde" w:hAnsi="ITC Avant Garde"/>
                <w:sz w:val="18"/>
                <w:szCs w:val="18"/>
              </w:rPr>
              <w:t>10 MHz-10 GHz</w:t>
            </w:r>
          </w:p>
        </w:tc>
        <w:tc>
          <w:tcPr>
            <w:tcW w:w="1153" w:type="dxa"/>
            <w:vAlign w:val="center"/>
          </w:tcPr>
          <w:p w14:paraId="2CB26B25" w14:textId="77777777" w:rsidR="006B595F" w:rsidRPr="0086242B" w:rsidRDefault="006B595F" w:rsidP="008109C1">
            <w:pPr>
              <w:jc w:val="center"/>
              <w:rPr>
                <w:rFonts w:ascii="ITC Avant Garde" w:hAnsi="ITC Avant Garde"/>
                <w:sz w:val="18"/>
                <w:szCs w:val="18"/>
              </w:rPr>
            </w:pPr>
            <w:r w:rsidRPr="0086242B">
              <w:rPr>
                <w:rFonts w:ascii="ITC Avant Garde" w:hAnsi="ITC Avant Garde"/>
                <w:sz w:val="18"/>
                <w:szCs w:val="18"/>
              </w:rPr>
              <w:sym w:font="Symbol" w:char="F02D"/>
            </w:r>
          </w:p>
        </w:tc>
        <w:tc>
          <w:tcPr>
            <w:tcW w:w="1007" w:type="dxa"/>
            <w:vAlign w:val="center"/>
          </w:tcPr>
          <w:p w14:paraId="53C540FC" w14:textId="77777777" w:rsidR="006B595F" w:rsidRPr="0086242B" w:rsidRDefault="006B595F" w:rsidP="008109C1">
            <w:pPr>
              <w:jc w:val="center"/>
              <w:rPr>
                <w:rFonts w:ascii="ITC Avant Garde" w:hAnsi="ITC Avant Garde"/>
                <w:sz w:val="18"/>
                <w:szCs w:val="18"/>
              </w:rPr>
            </w:pPr>
            <w:r w:rsidRPr="0086242B">
              <w:rPr>
                <w:rFonts w:ascii="ITC Avant Garde" w:hAnsi="ITC Avant Garde"/>
                <w:sz w:val="18"/>
                <w:szCs w:val="18"/>
              </w:rPr>
              <w:t>0.08</w:t>
            </w:r>
          </w:p>
        </w:tc>
        <w:tc>
          <w:tcPr>
            <w:tcW w:w="1260" w:type="dxa"/>
            <w:vAlign w:val="center"/>
          </w:tcPr>
          <w:p w14:paraId="515AD585" w14:textId="77777777" w:rsidR="006B595F" w:rsidRPr="0086242B" w:rsidRDefault="006B595F" w:rsidP="008109C1">
            <w:pPr>
              <w:jc w:val="center"/>
              <w:rPr>
                <w:rFonts w:ascii="ITC Avant Garde" w:hAnsi="ITC Avant Garde"/>
                <w:sz w:val="18"/>
                <w:szCs w:val="18"/>
              </w:rPr>
            </w:pPr>
            <w:r w:rsidRPr="0086242B">
              <w:rPr>
                <w:rFonts w:ascii="ITC Avant Garde" w:hAnsi="ITC Avant Garde"/>
                <w:sz w:val="18"/>
                <w:szCs w:val="18"/>
              </w:rPr>
              <w:t>2</w:t>
            </w:r>
          </w:p>
        </w:tc>
        <w:tc>
          <w:tcPr>
            <w:tcW w:w="1260" w:type="dxa"/>
            <w:vAlign w:val="center"/>
          </w:tcPr>
          <w:p w14:paraId="24BE1E38" w14:textId="77777777" w:rsidR="006B595F" w:rsidRPr="0086242B" w:rsidRDefault="006B595F" w:rsidP="008109C1">
            <w:pPr>
              <w:jc w:val="center"/>
              <w:rPr>
                <w:rFonts w:ascii="ITC Avant Garde" w:hAnsi="ITC Avant Garde"/>
                <w:sz w:val="18"/>
                <w:szCs w:val="18"/>
              </w:rPr>
            </w:pPr>
            <w:r w:rsidRPr="0086242B">
              <w:rPr>
                <w:rFonts w:ascii="ITC Avant Garde" w:hAnsi="ITC Avant Garde"/>
                <w:sz w:val="18"/>
                <w:szCs w:val="18"/>
              </w:rPr>
              <w:t>4</w:t>
            </w:r>
          </w:p>
        </w:tc>
        <w:tc>
          <w:tcPr>
            <w:tcW w:w="1080" w:type="dxa"/>
            <w:vAlign w:val="center"/>
          </w:tcPr>
          <w:p w14:paraId="2C9A0816" w14:textId="77777777" w:rsidR="006B595F" w:rsidRPr="0086242B" w:rsidRDefault="006B595F" w:rsidP="008109C1">
            <w:pPr>
              <w:jc w:val="center"/>
              <w:rPr>
                <w:rFonts w:ascii="ITC Avant Garde" w:hAnsi="ITC Avant Garde"/>
                <w:sz w:val="18"/>
                <w:szCs w:val="18"/>
              </w:rPr>
            </w:pPr>
            <w:r w:rsidRPr="0086242B">
              <w:rPr>
                <w:rFonts w:ascii="ITC Avant Garde" w:hAnsi="ITC Avant Garde"/>
                <w:sz w:val="18"/>
                <w:szCs w:val="18"/>
              </w:rPr>
              <w:sym w:font="Symbol" w:char="F02D"/>
            </w:r>
          </w:p>
        </w:tc>
      </w:tr>
      <w:tr w:rsidR="006B595F" w:rsidRPr="0086242B" w14:paraId="1C2A6159" w14:textId="77777777" w:rsidTr="008109C1">
        <w:trPr>
          <w:jc w:val="center"/>
        </w:trPr>
        <w:tc>
          <w:tcPr>
            <w:tcW w:w="1108" w:type="dxa"/>
            <w:vMerge/>
            <w:vAlign w:val="center"/>
          </w:tcPr>
          <w:p w14:paraId="087D8BC8" w14:textId="77777777" w:rsidR="006B595F" w:rsidRPr="0086242B" w:rsidRDefault="006B595F" w:rsidP="008109C1">
            <w:pPr>
              <w:jc w:val="both"/>
              <w:rPr>
                <w:rFonts w:ascii="ITC Avant Garde" w:hAnsi="ITC Avant Garde"/>
                <w:sz w:val="18"/>
                <w:szCs w:val="18"/>
              </w:rPr>
            </w:pPr>
          </w:p>
        </w:tc>
        <w:tc>
          <w:tcPr>
            <w:tcW w:w="1620" w:type="dxa"/>
            <w:vAlign w:val="center"/>
          </w:tcPr>
          <w:p w14:paraId="53682C7B" w14:textId="77777777" w:rsidR="006B595F" w:rsidRPr="0086242B" w:rsidRDefault="006B595F" w:rsidP="008109C1">
            <w:pPr>
              <w:rPr>
                <w:rFonts w:ascii="ITC Avant Garde" w:hAnsi="ITC Avant Garde"/>
                <w:sz w:val="18"/>
                <w:szCs w:val="18"/>
              </w:rPr>
            </w:pPr>
            <w:r w:rsidRPr="0086242B">
              <w:rPr>
                <w:rFonts w:ascii="ITC Avant Garde" w:hAnsi="ITC Avant Garde"/>
                <w:sz w:val="18"/>
                <w:szCs w:val="18"/>
              </w:rPr>
              <w:t>10-300 GHz</w:t>
            </w:r>
          </w:p>
        </w:tc>
        <w:tc>
          <w:tcPr>
            <w:tcW w:w="1153" w:type="dxa"/>
            <w:vAlign w:val="center"/>
          </w:tcPr>
          <w:p w14:paraId="5E7F46B2" w14:textId="77777777" w:rsidR="006B595F" w:rsidRPr="0086242B" w:rsidRDefault="006B595F" w:rsidP="008109C1">
            <w:pPr>
              <w:jc w:val="center"/>
              <w:rPr>
                <w:rFonts w:ascii="ITC Avant Garde" w:hAnsi="ITC Avant Garde"/>
                <w:sz w:val="18"/>
                <w:szCs w:val="18"/>
              </w:rPr>
            </w:pPr>
            <w:r w:rsidRPr="0086242B">
              <w:rPr>
                <w:rFonts w:ascii="ITC Avant Garde" w:hAnsi="ITC Avant Garde"/>
                <w:sz w:val="18"/>
                <w:szCs w:val="18"/>
              </w:rPr>
              <w:sym w:font="Symbol" w:char="F02D"/>
            </w:r>
          </w:p>
        </w:tc>
        <w:tc>
          <w:tcPr>
            <w:tcW w:w="1007" w:type="dxa"/>
            <w:vAlign w:val="center"/>
          </w:tcPr>
          <w:p w14:paraId="53C7F69A" w14:textId="77777777" w:rsidR="006B595F" w:rsidRPr="0086242B" w:rsidRDefault="006B595F" w:rsidP="008109C1">
            <w:pPr>
              <w:jc w:val="center"/>
              <w:rPr>
                <w:rFonts w:ascii="ITC Avant Garde" w:hAnsi="ITC Avant Garde"/>
                <w:sz w:val="18"/>
                <w:szCs w:val="18"/>
              </w:rPr>
            </w:pPr>
            <w:r w:rsidRPr="0086242B">
              <w:rPr>
                <w:rFonts w:ascii="ITC Avant Garde" w:hAnsi="ITC Avant Garde"/>
                <w:sz w:val="18"/>
                <w:szCs w:val="18"/>
              </w:rPr>
              <w:sym w:font="Symbol" w:char="F02D"/>
            </w:r>
          </w:p>
        </w:tc>
        <w:tc>
          <w:tcPr>
            <w:tcW w:w="1260" w:type="dxa"/>
            <w:vAlign w:val="center"/>
          </w:tcPr>
          <w:p w14:paraId="394C46EA" w14:textId="77777777" w:rsidR="006B595F" w:rsidRPr="0086242B" w:rsidRDefault="006B595F" w:rsidP="008109C1">
            <w:pPr>
              <w:jc w:val="center"/>
              <w:rPr>
                <w:rFonts w:ascii="ITC Avant Garde" w:hAnsi="ITC Avant Garde"/>
                <w:sz w:val="18"/>
                <w:szCs w:val="18"/>
              </w:rPr>
            </w:pPr>
            <w:r w:rsidRPr="0086242B">
              <w:rPr>
                <w:rFonts w:ascii="ITC Avant Garde" w:hAnsi="ITC Avant Garde"/>
                <w:sz w:val="18"/>
                <w:szCs w:val="18"/>
              </w:rPr>
              <w:sym w:font="Symbol" w:char="F02D"/>
            </w:r>
          </w:p>
        </w:tc>
        <w:tc>
          <w:tcPr>
            <w:tcW w:w="1260" w:type="dxa"/>
            <w:vAlign w:val="center"/>
          </w:tcPr>
          <w:p w14:paraId="3E495819" w14:textId="77777777" w:rsidR="006B595F" w:rsidRPr="0086242B" w:rsidRDefault="006B595F" w:rsidP="008109C1">
            <w:pPr>
              <w:jc w:val="center"/>
              <w:rPr>
                <w:rFonts w:ascii="ITC Avant Garde" w:hAnsi="ITC Avant Garde"/>
                <w:sz w:val="18"/>
                <w:szCs w:val="18"/>
              </w:rPr>
            </w:pPr>
            <w:r w:rsidRPr="0086242B">
              <w:rPr>
                <w:rFonts w:ascii="ITC Avant Garde" w:hAnsi="ITC Avant Garde"/>
                <w:sz w:val="18"/>
                <w:szCs w:val="18"/>
              </w:rPr>
              <w:sym w:font="Symbol" w:char="F02D"/>
            </w:r>
          </w:p>
        </w:tc>
        <w:tc>
          <w:tcPr>
            <w:tcW w:w="1080" w:type="dxa"/>
            <w:vAlign w:val="center"/>
          </w:tcPr>
          <w:p w14:paraId="1EC58FCD" w14:textId="77777777" w:rsidR="006B595F" w:rsidRPr="0086242B" w:rsidRDefault="006B595F" w:rsidP="008109C1">
            <w:pPr>
              <w:jc w:val="center"/>
              <w:rPr>
                <w:rFonts w:ascii="ITC Avant Garde" w:hAnsi="ITC Avant Garde"/>
                <w:sz w:val="18"/>
                <w:szCs w:val="18"/>
              </w:rPr>
            </w:pPr>
            <w:r w:rsidRPr="0086242B">
              <w:rPr>
                <w:rFonts w:ascii="ITC Avant Garde" w:hAnsi="ITC Avant Garde"/>
                <w:sz w:val="18"/>
                <w:szCs w:val="18"/>
              </w:rPr>
              <w:t>10</w:t>
            </w:r>
          </w:p>
        </w:tc>
      </w:tr>
    </w:tbl>
    <w:p w14:paraId="20E55DD0" w14:textId="77777777" w:rsidR="006B595F" w:rsidRPr="0086242B" w:rsidRDefault="006B595F" w:rsidP="006B595F">
      <w:pPr>
        <w:jc w:val="both"/>
        <w:rPr>
          <w:rFonts w:ascii="ITC Avant Garde" w:hAnsi="ITC Avant Garde"/>
          <w:sz w:val="20"/>
          <w:szCs w:val="20"/>
        </w:rPr>
      </w:pPr>
    </w:p>
    <w:p w14:paraId="1A4CBD2C" w14:textId="77777777" w:rsidR="006B595F" w:rsidRPr="0086242B" w:rsidRDefault="006B595F" w:rsidP="006B595F">
      <w:pPr>
        <w:jc w:val="both"/>
        <w:rPr>
          <w:rFonts w:ascii="ITC Avant Garde" w:hAnsi="ITC Avant Garde"/>
          <w:sz w:val="14"/>
          <w:szCs w:val="14"/>
        </w:rPr>
      </w:pPr>
      <w:r w:rsidRPr="0086242B">
        <w:rPr>
          <w:rFonts w:ascii="ITC Avant Garde" w:hAnsi="ITC Avant Garde"/>
          <w:sz w:val="14"/>
          <w:szCs w:val="14"/>
        </w:rPr>
        <w:t>Notas:</w:t>
      </w:r>
    </w:p>
    <w:p w14:paraId="0D01F4D7" w14:textId="77777777" w:rsidR="006B595F" w:rsidRPr="0086242B" w:rsidRDefault="006B595F" w:rsidP="006B595F">
      <w:pPr>
        <w:numPr>
          <w:ilvl w:val="0"/>
          <w:numId w:val="3"/>
        </w:numPr>
        <w:spacing w:line="276" w:lineRule="auto"/>
        <w:jc w:val="both"/>
        <w:rPr>
          <w:rFonts w:ascii="ITC Avant Garde" w:hAnsi="ITC Avant Garde"/>
          <w:sz w:val="14"/>
          <w:szCs w:val="14"/>
        </w:rPr>
      </w:pPr>
      <w:r w:rsidRPr="0086242B">
        <w:rPr>
          <w:rFonts w:ascii="ITC Avant Garde" w:hAnsi="ITC Avant Garde"/>
          <w:i/>
          <w:sz w:val="14"/>
          <w:szCs w:val="14"/>
        </w:rPr>
        <w:t>f</w:t>
      </w:r>
      <w:r w:rsidRPr="0086242B">
        <w:rPr>
          <w:rFonts w:ascii="ITC Avant Garde" w:hAnsi="ITC Avant Garde"/>
          <w:sz w:val="14"/>
          <w:szCs w:val="14"/>
        </w:rPr>
        <w:t xml:space="preserve"> es la frecuencia en Hz.</w:t>
      </w:r>
    </w:p>
    <w:p w14:paraId="1F1A83E5" w14:textId="77777777" w:rsidR="006B595F" w:rsidRPr="0086242B" w:rsidRDefault="006B595F" w:rsidP="006B595F">
      <w:pPr>
        <w:numPr>
          <w:ilvl w:val="0"/>
          <w:numId w:val="3"/>
        </w:numPr>
        <w:spacing w:line="276" w:lineRule="auto"/>
        <w:jc w:val="both"/>
        <w:rPr>
          <w:rFonts w:ascii="ITC Avant Garde" w:hAnsi="ITC Avant Garde"/>
          <w:sz w:val="14"/>
          <w:szCs w:val="14"/>
        </w:rPr>
      </w:pPr>
      <w:r w:rsidRPr="0086242B">
        <w:rPr>
          <w:rFonts w:ascii="ITC Avant Garde" w:hAnsi="ITC Avant Garde"/>
          <w:sz w:val="14"/>
          <w:szCs w:val="14"/>
        </w:rPr>
        <w:t>Debido a que el cuerpo humano no es homogéneo, las densidades de corriente deben ser promediadas sobre una sección transversal de 1 cm</w:t>
      </w:r>
      <w:r w:rsidRPr="0086242B">
        <w:rPr>
          <w:rFonts w:ascii="ITC Avant Garde" w:hAnsi="ITC Avant Garde"/>
          <w:sz w:val="14"/>
          <w:szCs w:val="14"/>
          <w:vertAlign w:val="superscript"/>
        </w:rPr>
        <w:t>2</w:t>
      </w:r>
      <w:r w:rsidRPr="0086242B">
        <w:rPr>
          <w:rFonts w:ascii="ITC Avant Garde" w:hAnsi="ITC Avant Garde"/>
          <w:sz w:val="14"/>
          <w:szCs w:val="14"/>
        </w:rPr>
        <w:t>, perpendicular a la dirección de la corriente.</w:t>
      </w:r>
    </w:p>
    <w:p w14:paraId="5742ACF9" w14:textId="77777777" w:rsidR="006B595F" w:rsidRPr="0086242B" w:rsidRDefault="006B595F" w:rsidP="006B595F">
      <w:pPr>
        <w:numPr>
          <w:ilvl w:val="0"/>
          <w:numId w:val="3"/>
        </w:numPr>
        <w:spacing w:line="276" w:lineRule="auto"/>
        <w:jc w:val="both"/>
        <w:rPr>
          <w:rFonts w:ascii="ITC Avant Garde" w:hAnsi="ITC Avant Garde"/>
          <w:sz w:val="14"/>
          <w:szCs w:val="14"/>
        </w:rPr>
      </w:pPr>
      <w:r w:rsidRPr="0086242B">
        <w:rPr>
          <w:rFonts w:ascii="ITC Avant Garde" w:hAnsi="ITC Avant Garde"/>
          <w:sz w:val="14"/>
          <w:szCs w:val="14"/>
        </w:rPr>
        <w:t xml:space="preserve">Para frecuencias de 100 kHz, los valores de la densidad de corriente pico permitidos se obtienen multiplicando los valores </w:t>
      </w:r>
      <w:proofErr w:type="spellStart"/>
      <w:r w:rsidRPr="0086242B">
        <w:rPr>
          <w:rFonts w:ascii="ITC Avant Garde" w:hAnsi="ITC Avant Garde"/>
          <w:sz w:val="14"/>
          <w:szCs w:val="14"/>
        </w:rPr>
        <w:t>rms</w:t>
      </w:r>
      <w:proofErr w:type="spellEnd"/>
      <w:r w:rsidRPr="0086242B">
        <w:rPr>
          <w:rFonts w:ascii="ITC Avant Garde" w:hAnsi="ITC Avant Garde"/>
          <w:sz w:val="14"/>
          <w:szCs w:val="14"/>
        </w:rPr>
        <w:t xml:space="preserve"> que aparecen en la tabla por √2 (~ 1.414). </w:t>
      </w:r>
    </w:p>
    <w:p w14:paraId="33F2C2EB" w14:textId="77777777" w:rsidR="006B595F" w:rsidRPr="0086242B" w:rsidRDefault="006B595F" w:rsidP="006B595F">
      <w:pPr>
        <w:numPr>
          <w:ilvl w:val="0"/>
          <w:numId w:val="3"/>
        </w:numPr>
        <w:spacing w:line="276" w:lineRule="auto"/>
        <w:jc w:val="both"/>
        <w:rPr>
          <w:rFonts w:ascii="ITC Avant Garde" w:hAnsi="ITC Avant Garde"/>
          <w:sz w:val="14"/>
          <w:szCs w:val="14"/>
        </w:rPr>
      </w:pPr>
      <w:r w:rsidRPr="0086242B">
        <w:rPr>
          <w:rFonts w:ascii="ITC Avant Garde" w:hAnsi="ITC Avant Garde"/>
          <w:sz w:val="14"/>
          <w:szCs w:val="14"/>
        </w:rPr>
        <w:t>Todos los valores del SAR deben ser promediados sobre cualquier periodo de 6 minutos.</w:t>
      </w:r>
    </w:p>
    <w:p w14:paraId="032C91E2" w14:textId="77777777" w:rsidR="006B595F" w:rsidRPr="0086242B" w:rsidRDefault="006B595F" w:rsidP="006B595F">
      <w:pPr>
        <w:numPr>
          <w:ilvl w:val="0"/>
          <w:numId w:val="3"/>
        </w:numPr>
        <w:spacing w:line="276" w:lineRule="auto"/>
        <w:jc w:val="both"/>
        <w:rPr>
          <w:rFonts w:ascii="ITC Avant Garde" w:hAnsi="ITC Avant Garde"/>
          <w:sz w:val="14"/>
          <w:szCs w:val="14"/>
        </w:rPr>
      </w:pPr>
      <w:r w:rsidRPr="0086242B">
        <w:rPr>
          <w:rFonts w:ascii="ITC Avant Garde" w:hAnsi="ITC Avant Garde"/>
          <w:sz w:val="14"/>
          <w:szCs w:val="14"/>
        </w:rPr>
        <w:t>El SAR localizado se promedia sobre un volumen de tejido continuo que contenga 10 gramos de masa. El máximo valor del SAR que se obtenga de esta forma en cualquier zona de la cabeza, el tronco y las extremidades, es el que se utiliza para determinar si se exceden los límites de la tabla.</w:t>
      </w:r>
    </w:p>
    <w:p w14:paraId="5FE53CC7" w14:textId="77777777" w:rsidR="006B595F" w:rsidRPr="0086242B" w:rsidRDefault="006B595F" w:rsidP="006B595F">
      <w:pPr>
        <w:numPr>
          <w:ilvl w:val="0"/>
          <w:numId w:val="3"/>
        </w:numPr>
        <w:spacing w:line="276" w:lineRule="auto"/>
        <w:jc w:val="both"/>
        <w:rPr>
          <w:rFonts w:ascii="ITC Avant Garde" w:hAnsi="ITC Avant Garde"/>
          <w:sz w:val="14"/>
          <w:szCs w:val="14"/>
        </w:rPr>
      </w:pPr>
      <w:r w:rsidRPr="0086242B">
        <w:rPr>
          <w:rFonts w:ascii="ITC Avant Garde" w:hAnsi="ITC Avant Garde"/>
          <w:sz w:val="14"/>
          <w:szCs w:val="14"/>
        </w:rPr>
        <w:t xml:space="preserve">En el intervalo de frecuencias de 0.3 a 10 GHz, para exposición localizada en la cabeza, se adiciona un límite más en donde la absorción específica (SA) promediada sobre 10 gramos de tejido no debe exceder de 2 </w:t>
      </w:r>
      <w:proofErr w:type="spellStart"/>
      <w:r w:rsidRPr="0086242B">
        <w:rPr>
          <w:rFonts w:ascii="ITC Avant Garde" w:hAnsi="ITC Avant Garde"/>
          <w:sz w:val="14"/>
          <w:szCs w:val="14"/>
        </w:rPr>
        <w:t>mJ</w:t>
      </w:r>
      <w:proofErr w:type="spellEnd"/>
      <w:r w:rsidRPr="0086242B">
        <w:rPr>
          <w:rFonts w:ascii="ITC Avant Garde" w:hAnsi="ITC Avant Garde"/>
          <w:sz w:val="14"/>
          <w:szCs w:val="14"/>
        </w:rPr>
        <w:t>/kg para exposición del público en general.  Esto es con el fin de evitar un efecto auditivo causado por la expansión de cierto tejido cerebral debido a pequeños y rápidos cambios de temperatura, los cuales producen una onda que se transmite al oído interno.</w:t>
      </w:r>
    </w:p>
    <w:p w14:paraId="7859888A" w14:textId="77777777" w:rsidR="006B595F" w:rsidRPr="0086242B" w:rsidRDefault="006B595F" w:rsidP="006B595F">
      <w:pPr>
        <w:jc w:val="both"/>
        <w:rPr>
          <w:rFonts w:ascii="ITC Avant Garde" w:hAnsi="ITC Avant Garde"/>
          <w:szCs w:val="20"/>
        </w:rPr>
      </w:pPr>
    </w:p>
    <w:p w14:paraId="1DD81CB5" w14:textId="77777777" w:rsidR="006B595F" w:rsidRPr="0086242B" w:rsidRDefault="006B595F" w:rsidP="006B595F">
      <w:pPr>
        <w:spacing w:line="360" w:lineRule="auto"/>
        <w:jc w:val="both"/>
        <w:rPr>
          <w:rFonts w:ascii="ITC Avant Garde" w:hAnsi="ITC Avant Garde"/>
          <w:sz w:val="22"/>
          <w:szCs w:val="22"/>
        </w:rPr>
      </w:pPr>
      <w:r w:rsidRPr="0086242B">
        <w:rPr>
          <w:rFonts w:ascii="ITC Avant Garde" w:hAnsi="ITC Avant Garde"/>
          <w:sz w:val="20"/>
          <w:szCs w:val="20"/>
        </w:rPr>
        <w:t>Los equipos terminales de radiocomunicaciones deberán cumplir con los límites básicos de exposición máxima, específicamente con los valores del SAR localizado en la cabeza y el tronco</w:t>
      </w:r>
      <w:r w:rsidRPr="0086242B">
        <w:rPr>
          <w:rFonts w:ascii="ITC Avant Garde" w:hAnsi="ITC Avant Garde"/>
          <w:sz w:val="22"/>
          <w:szCs w:val="22"/>
        </w:rPr>
        <w:t>.</w:t>
      </w:r>
    </w:p>
    <w:p w14:paraId="06D207ED" w14:textId="77777777" w:rsidR="006B595F" w:rsidRPr="0086242B" w:rsidRDefault="006B595F" w:rsidP="006B595F">
      <w:pPr>
        <w:pStyle w:val="Ttulo3"/>
        <w:keepLines w:val="0"/>
        <w:numPr>
          <w:ilvl w:val="2"/>
          <w:numId w:val="49"/>
        </w:numPr>
        <w:spacing w:before="240" w:after="60" w:line="240" w:lineRule="auto"/>
        <w:rPr>
          <w:rFonts w:ascii="ITC Avant Garde" w:hAnsi="ITC Avant Garde"/>
          <w:color w:val="auto"/>
          <w:sz w:val="22"/>
          <w:szCs w:val="22"/>
        </w:rPr>
      </w:pPr>
      <w:bookmarkStart w:id="11" w:name="_Toc414444593"/>
      <w:r w:rsidRPr="0086242B">
        <w:rPr>
          <w:rFonts w:ascii="ITC Avant Garde" w:hAnsi="ITC Avant Garde"/>
          <w:color w:val="auto"/>
          <w:sz w:val="22"/>
          <w:szCs w:val="22"/>
        </w:rPr>
        <w:t>Límites de referencia de exposición máxima.</w:t>
      </w:r>
      <w:bookmarkEnd w:id="11"/>
    </w:p>
    <w:p w14:paraId="4286BD1B"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Los límites básicos incorporan cantidades físicas que normalmente son difíciles de medir puesto que se requiere equipo especializado de laboratorio y en la mayor parte de los casos no se pueden colocar instrumentos de medición invasivos en los tejidos internos del cuerpo humano para detectar cambios de temperatura o densidades de corriente. Debido a esto, se han derivado a partir de los límites básicos un conjunto de límites de referencia de exposición más fáciles de medir y que están expresados en términos de intensidad de campo eléctrico, intensidad de campo magnético y densidad de potencia. </w:t>
      </w:r>
    </w:p>
    <w:p w14:paraId="46117C84" w14:textId="77777777" w:rsidR="006B595F" w:rsidRPr="0086242B" w:rsidRDefault="006B595F" w:rsidP="006B595F">
      <w:pPr>
        <w:spacing w:line="360" w:lineRule="auto"/>
        <w:jc w:val="both"/>
        <w:rPr>
          <w:rFonts w:ascii="ITC Avant Garde" w:hAnsi="ITC Avant Garde"/>
          <w:sz w:val="20"/>
          <w:szCs w:val="20"/>
        </w:rPr>
      </w:pPr>
    </w:p>
    <w:p w14:paraId="27E2A746"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Los límites de referencia se obtienen a partir de los límites básicos mediante el uso de modelos matemáticos y por extrapolación de los resultados de las investigaciones de laboratorio en frecuencias específicas. Este procedimiento se ha realizado para que el cumplimiento de los límites de referencia asegure el cumplimiento de los límites básicos.</w:t>
      </w:r>
    </w:p>
    <w:p w14:paraId="3D3801AB" w14:textId="77777777" w:rsidR="006B595F" w:rsidRPr="0086242B" w:rsidRDefault="006B595F" w:rsidP="006B595F">
      <w:pPr>
        <w:spacing w:line="360" w:lineRule="auto"/>
        <w:jc w:val="both"/>
        <w:rPr>
          <w:rFonts w:ascii="ITC Avant Garde" w:hAnsi="ITC Avant Garde"/>
          <w:sz w:val="20"/>
          <w:szCs w:val="20"/>
        </w:rPr>
      </w:pPr>
    </w:p>
    <w:p w14:paraId="28A4E3C6" w14:textId="77777777" w:rsidR="006B595F" w:rsidRPr="0086242B" w:rsidRDefault="006B595F" w:rsidP="006B595F">
      <w:pPr>
        <w:spacing w:line="360" w:lineRule="auto"/>
        <w:jc w:val="both"/>
        <w:rPr>
          <w:rFonts w:ascii="ITC Avant Garde" w:hAnsi="ITC Avant Garde"/>
        </w:rPr>
      </w:pPr>
      <w:r w:rsidRPr="0086242B">
        <w:rPr>
          <w:rFonts w:ascii="ITC Avant Garde" w:hAnsi="ITC Avant Garde"/>
          <w:sz w:val="20"/>
          <w:szCs w:val="20"/>
        </w:rPr>
        <w:t xml:space="preserve">Los límites de referencia se muestran en la </w:t>
      </w:r>
      <w:r w:rsidRPr="0086242B">
        <w:rPr>
          <w:rFonts w:ascii="ITC Avant Garde" w:hAnsi="ITC Avant Garde"/>
          <w:sz w:val="20"/>
          <w:szCs w:val="20"/>
        </w:rPr>
        <w:fldChar w:fldCharType="begin"/>
      </w:r>
      <w:r w:rsidRPr="0086242B">
        <w:rPr>
          <w:rFonts w:ascii="ITC Avant Garde" w:hAnsi="ITC Avant Garde"/>
          <w:sz w:val="20"/>
          <w:szCs w:val="20"/>
        </w:rPr>
        <w:instrText xml:space="preserve"> REF _Ref119388040 \h  \* MERGEFORMAT </w:instrText>
      </w:r>
      <w:r w:rsidRPr="0086242B">
        <w:rPr>
          <w:rFonts w:ascii="ITC Avant Garde" w:hAnsi="ITC Avant Garde"/>
          <w:sz w:val="20"/>
          <w:szCs w:val="20"/>
        </w:rPr>
      </w:r>
      <w:r w:rsidRPr="0086242B">
        <w:rPr>
          <w:rFonts w:ascii="ITC Avant Garde" w:hAnsi="ITC Avant Garde"/>
          <w:sz w:val="20"/>
          <w:szCs w:val="20"/>
        </w:rPr>
        <w:fldChar w:fldCharType="separate"/>
      </w:r>
      <w:r w:rsidR="00992611" w:rsidRPr="00992611">
        <w:rPr>
          <w:rFonts w:ascii="ITC Avant Garde" w:hAnsi="ITC Avant Garde"/>
          <w:sz w:val="20"/>
          <w:szCs w:val="20"/>
        </w:rPr>
        <w:t>Tabla 2</w:t>
      </w:r>
      <w:r w:rsidRPr="0086242B">
        <w:rPr>
          <w:rFonts w:ascii="ITC Avant Garde" w:hAnsi="ITC Avant Garde"/>
          <w:sz w:val="20"/>
          <w:szCs w:val="20"/>
        </w:rPr>
        <w:fldChar w:fldCharType="end"/>
      </w:r>
      <w:r w:rsidRPr="0086242B">
        <w:rPr>
          <w:rFonts w:ascii="ITC Avant Garde" w:hAnsi="ITC Avant Garde"/>
        </w:rPr>
        <w:t>.</w:t>
      </w:r>
    </w:p>
    <w:p w14:paraId="58C2F6EC" w14:textId="77777777" w:rsidR="006B595F" w:rsidRPr="0086242B" w:rsidRDefault="006B595F" w:rsidP="006B595F">
      <w:pPr>
        <w:jc w:val="both"/>
        <w:rPr>
          <w:rFonts w:ascii="ITC Avant Garde" w:hAnsi="ITC Avant Garde"/>
        </w:rPr>
      </w:pPr>
    </w:p>
    <w:p w14:paraId="4A87AD53" w14:textId="77777777" w:rsidR="006B595F" w:rsidRPr="0086242B" w:rsidRDefault="006B595F" w:rsidP="006B595F">
      <w:pPr>
        <w:pStyle w:val="Descripcin"/>
        <w:jc w:val="center"/>
        <w:rPr>
          <w:rFonts w:ascii="ITC Avant Garde" w:hAnsi="ITC Avant Garde"/>
        </w:rPr>
      </w:pPr>
      <w:bookmarkStart w:id="12" w:name="_Ref119388040"/>
      <w:r w:rsidRPr="0086242B">
        <w:rPr>
          <w:rFonts w:ascii="ITC Avant Garde" w:hAnsi="ITC Avant Garde"/>
        </w:rPr>
        <w:t xml:space="preserve">Tabla </w:t>
      </w:r>
      <w:r w:rsidRPr="0086242B">
        <w:rPr>
          <w:rFonts w:ascii="ITC Avant Garde" w:hAnsi="ITC Avant Garde"/>
        </w:rPr>
        <w:fldChar w:fldCharType="begin"/>
      </w:r>
      <w:r w:rsidRPr="0086242B">
        <w:rPr>
          <w:rFonts w:ascii="ITC Avant Garde" w:hAnsi="ITC Avant Garde"/>
        </w:rPr>
        <w:instrText xml:space="preserve"> SEQ Tabla \* ARABIC </w:instrText>
      </w:r>
      <w:r w:rsidRPr="0086242B">
        <w:rPr>
          <w:rFonts w:ascii="ITC Avant Garde" w:hAnsi="ITC Avant Garde"/>
        </w:rPr>
        <w:fldChar w:fldCharType="separate"/>
      </w:r>
      <w:r w:rsidR="00992611">
        <w:rPr>
          <w:rFonts w:ascii="ITC Avant Garde" w:hAnsi="ITC Avant Garde"/>
          <w:noProof/>
        </w:rPr>
        <w:t>2</w:t>
      </w:r>
      <w:r w:rsidRPr="0086242B">
        <w:rPr>
          <w:rFonts w:ascii="ITC Avant Garde" w:hAnsi="ITC Avant Garde"/>
        </w:rPr>
        <w:fldChar w:fldCharType="end"/>
      </w:r>
      <w:bookmarkEnd w:id="12"/>
      <w:r w:rsidRPr="0086242B">
        <w:rPr>
          <w:rFonts w:ascii="ITC Avant Garde" w:hAnsi="ITC Avant Garde"/>
        </w:rPr>
        <w:t>.- Límites de referencia de exposición máxima.</w:t>
      </w:r>
    </w:p>
    <w:tbl>
      <w:tblPr>
        <w:tblW w:w="7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8" w:type="dxa"/>
          <w:bottom w:w="14" w:type="dxa"/>
          <w:right w:w="28" w:type="dxa"/>
        </w:tblCellMar>
        <w:tblLook w:val="01E0" w:firstRow="1" w:lastRow="1" w:firstColumn="1" w:lastColumn="1" w:noHBand="0" w:noVBand="0"/>
      </w:tblPr>
      <w:tblGrid>
        <w:gridCol w:w="1108"/>
        <w:gridCol w:w="1620"/>
        <w:gridCol w:w="1743"/>
        <w:gridCol w:w="1928"/>
        <w:gridCol w:w="1558"/>
      </w:tblGrid>
      <w:tr w:rsidR="006B595F" w:rsidRPr="0086242B" w14:paraId="23DAFD40" w14:textId="77777777" w:rsidTr="008109C1">
        <w:trPr>
          <w:jc w:val="center"/>
        </w:trPr>
        <w:tc>
          <w:tcPr>
            <w:tcW w:w="1108" w:type="dxa"/>
            <w:vAlign w:val="center"/>
          </w:tcPr>
          <w:p w14:paraId="52113114" w14:textId="77777777" w:rsidR="006B595F" w:rsidRPr="0086242B" w:rsidRDefault="006B595F" w:rsidP="008109C1">
            <w:pPr>
              <w:jc w:val="center"/>
              <w:rPr>
                <w:rFonts w:ascii="ITC Avant Garde" w:hAnsi="ITC Avant Garde"/>
                <w:b/>
                <w:sz w:val="20"/>
                <w:szCs w:val="20"/>
              </w:rPr>
            </w:pPr>
            <w:r w:rsidRPr="0086242B">
              <w:rPr>
                <w:rFonts w:ascii="ITC Avant Garde" w:hAnsi="ITC Avant Garde"/>
                <w:b/>
                <w:sz w:val="20"/>
                <w:szCs w:val="20"/>
              </w:rPr>
              <w:t>Tipo de exposición</w:t>
            </w:r>
          </w:p>
        </w:tc>
        <w:tc>
          <w:tcPr>
            <w:tcW w:w="1620" w:type="dxa"/>
            <w:vAlign w:val="center"/>
          </w:tcPr>
          <w:p w14:paraId="7894A3A1" w14:textId="77777777" w:rsidR="006B595F" w:rsidRPr="0086242B" w:rsidRDefault="006B595F" w:rsidP="008109C1">
            <w:pPr>
              <w:jc w:val="center"/>
              <w:rPr>
                <w:rFonts w:ascii="ITC Avant Garde" w:hAnsi="ITC Avant Garde"/>
                <w:b/>
                <w:sz w:val="20"/>
                <w:szCs w:val="20"/>
              </w:rPr>
            </w:pPr>
            <w:r w:rsidRPr="0086242B">
              <w:rPr>
                <w:rFonts w:ascii="ITC Avant Garde" w:hAnsi="ITC Avant Garde"/>
                <w:b/>
                <w:sz w:val="20"/>
                <w:szCs w:val="20"/>
              </w:rPr>
              <w:t>Intervalo de frecuencias</w:t>
            </w:r>
          </w:p>
        </w:tc>
        <w:tc>
          <w:tcPr>
            <w:tcW w:w="1743" w:type="dxa"/>
            <w:vAlign w:val="center"/>
          </w:tcPr>
          <w:p w14:paraId="79564FBF" w14:textId="77777777" w:rsidR="006B595F" w:rsidRPr="0086242B" w:rsidRDefault="006B595F" w:rsidP="008109C1">
            <w:pPr>
              <w:jc w:val="center"/>
              <w:rPr>
                <w:rFonts w:ascii="ITC Avant Garde" w:hAnsi="ITC Avant Garde"/>
                <w:b/>
                <w:sz w:val="20"/>
                <w:szCs w:val="20"/>
              </w:rPr>
            </w:pPr>
            <w:r w:rsidRPr="0086242B">
              <w:rPr>
                <w:rFonts w:ascii="ITC Avant Garde" w:hAnsi="ITC Avant Garde"/>
                <w:b/>
                <w:sz w:val="20"/>
                <w:szCs w:val="20"/>
              </w:rPr>
              <w:t>Intensidad de campo eléctrico (E) [V/m]</w:t>
            </w:r>
          </w:p>
        </w:tc>
        <w:tc>
          <w:tcPr>
            <w:tcW w:w="1928" w:type="dxa"/>
            <w:vAlign w:val="center"/>
          </w:tcPr>
          <w:p w14:paraId="7F3E40C1" w14:textId="77777777" w:rsidR="006B595F" w:rsidRPr="0086242B" w:rsidRDefault="006B595F" w:rsidP="008109C1">
            <w:pPr>
              <w:jc w:val="center"/>
              <w:rPr>
                <w:rFonts w:ascii="ITC Avant Garde" w:hAnsi="ITC Avant Garde"/>
                <w:b/>
                <w:sz w:val="20"/>
                <w:szCs w:val="20"/>
              </w:rPr>
            </w:pPr>
            <w:r w:rsidRPr="0086242B">
              <w:rPr>
                <w:rFonts w:ascii="ITC Avant Garde" w:hAnsi="ITC Avant Garde"/>
                <w:b/>
                <w:sz w:val="20"/>
                <w:szCs w:val="20"/>
              </w:rPr>
              <w:t>Intensidad de campo magnético (H)</w:t>
            </w:r>
          </w:p>
          <w:p w14:paraId="12471B63" w14:textId="77777777" w:rsidR="006B595F" w:rsidRPr="0086242B" w:rsidRDefault="006B595F" w:rsidP="008109C1">
            <w:pPr>
              <w:jc w:val="center"/>
              <w:rPr>
                <w:rFonts w:ascii="ITC Avant Garde" w:hAnsi="ITC Avant Garde"/>
                <w:b/>
                <w:sz w:val="20"/>
                <w:szCs w:val="20"/>
              </w:rPr>
            </w:pPr>
            <w:r w:rsidRPr="0086242B">
              <w:rPr>
                <w:rFonts w:ascii="ITC Avant Garde" w:hAnsi="ITC Avant Garde"/>
                <w:b/>
                <w:sz w:val="20"/>
                <w:szCs w:val="20"/>
              </w:rPr>
              <w:t>[A/m]</w:t>
            </w:r>
          </w:p>
        </w:tc>
        <w:tc>
          <w:tcPr>
            <w:tcW w:w="1558" w:type="dxa"/>
            <w:vAlign w:val="center"/>
          </w:tcPr>
          <w:p w14:paraId="4CF24E66" w14:textId="77777777" w:rsidR="006B595F" w:rsidRPr="0086242B" w:rsidRDefault="006B595F" w:rsidP="008109C1">
            <w:pPr>
              <w:jc w:val="center"/>
              <w:rPr>
                <w:rFonts w:ascii="ITC Avant Garde" w:hAnsi="ITC Avant Garde"/>
                <w:b/>
                <w:sz w:val="20"/>
                <w:szCs w:val="20"/>
              </w:rPr>
            </w:pPr>
            <w:r w:rsidRPr="0086242B">
              <w:rPr>
                <w:rFonts w:ascii="ITC Avant Garde" w:hAnsi="ITC Avant Garde"/>
                <w:b/>
                <w:sz w:val="20"/>
                <w:szCs w:val="20"/>
              </w:rPr>
              <w:t>Densidad de potencia (S)</w:t>
            </w:r>
          </w:p>
          <w:p w14:paraId="06B68A0E" w14:textId="77777777" w:rsidR="006B595F" w:rsidRPr="0086242B" w:rsidRDefault="006B595F" w:rsidP="008109C1">
            <w:pPr>
              <w:jc w:val="center"/>
              <w:rPr>
                <w:rFonts w:ascii="ITC Avant Garde" w:hAnsi="ITC Avant Garde"/>
                <w:b/>
                <w:sz w:val="20"/>
                <w:szCs w:val="20"/>
              </w:rPr>
            </w:pPr>
            <w:r w:rsidRPr="0086242B">
              <w:rPr>
                <w:rFonts w:ascii="ITC Avant Garde" w:hAnsi="ITC Avant Garde"/>
                <w:b/>
                <w:sz w:val="20"/>
                <w:szCs w:val="20"/>
              </w:rPr>
              <w:t>[W/m</w:t>
            </w:r>
            <w:r w:rsidRPr="0086242B">
              <w:rPr>
                <w:rFonts w:ascii="ITC Avant Garde" w:hAnsi="ITC Avant Garde"/>
                <w:b/>
                <w:sz w:val="20"/>
                <w:szCs w:val="20"/>
                <w:vertAlign w:val="superscript"/>
              </w:rPr>
              <w:t>2</w:t>
            </w:r>
            <w:r w:rsidRPr="0086242B">
              <w:rPr>
                <w:rFonts w:ascii="ITC Avant Garde" w:hAnsi="ITC Avant Garde"/>
                <w:b/>
                <w:sz w:val="20"/>
                <w:szCs w:val="20"/>
              </w:rPr>
              <w:t>]</w:t>
            </w:r>
          </w:p>
        </w:tc>
      </w:tr>
      <w:tr w:rsidR="006B595F" w:rsidRPr="0086242B" w14:paraId="7ABF5273" w14:textId="77777777" w:rsidTr="008109C1">
        <w:trPr>
          <w:jc w:val="center"/>
        </w:trPr>
        <w:tc>
          <w:tcPr>
            <w:tcW w:w="1108" w:type="dxa"/>
            <w:vMerge w:val="restart"/>
            <w:vAlign w:val="center"/>
          </w:tcPr>
          <w:p w14:paraId="233242A3"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Público en general</w:t>
            </w:r>
          </w:p>
        </w:tc>
        <w:tc>
          <w:tcPr>
            <w:tcW w:w="1620" w:type="dxa"/>
            <w:vAlign w:val="center"/>
          </w:tcPr>
          <w:p w14:paraId="5A333E81" w14:textId="77777777" w:rsidR="006B595F" w:rsidRPr="0086242B" w:rsidRDefault="006B595F" w:rsidP="008109C1">
            <w:pPr>
              <w:rPr>
                <w:rFonts w:ascii="ITC Avant Garde" w:hAnsi="ITC Avant Garde"/>
                <w:sz w:val="20"/>
                <w:szCs w:val="20"/>
              </w:rPr>
            </w:pPr>
            <w:r w:rsidRPr="0086242B">
              <w:rPr>
                <w:rFonts w:ascii="ITC Avant Garde" w:hAnsi="ITC Avant Garde"/>
                <w:sz w:val="20"/>
                <w:szCs w:val="20"/>
              </w:rPr>
              <w:t>100-150 kHz</w:t>
            </w:r>
          </w:p>
        </w:tc>
        <w:tc>
          <w:tcPr>
            <w:tcW w:w="1743" w:type="dxa"/>
            <w:vAlign w:val="center"/>
          </w:tcPr>
          <w:p w14:paraId="7AF1CC27"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87</w:t>
            </w:r>
          </w:p>
        </w:tc>
        <w:tc>
          <w:tcPr>
            <w:tcW w:w="1928" w:type="dxa"/>
            <w:vAlign w:val="center"/>
          </w:tcPr>
          <w:p w14:paraId="2931E696"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5</w:t>
            </w:r>
          </w:p>
        </w:tc>
        <w:tc>
          <w:tcPr>
            <w:tcW w:w="1558" w:type="dxa"/>
            <w:vAlign w:val="center"/>
          </w:tcPr>
          <w:p w14:paraId="7A67CA0D"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sym w:font="Symbol" w:char="F02D"/>
            </w:r>
          </w:p>
        </w:tc>
      </w:tr>
      <w:tr w:rsidR="006B595F" w:rsidRPr="0086242B" w14:paraId="52647B79" w14:textId="77777777" w:rsidTr="008109C1">
        <w:trPr>
          <w:jc w:val="center"/>
        </w:trPr>
        <w:tc>
          <w:tcPr>
            <w:tcW w:w="1108" w:type="dxa"/>
            <w:vMerge/>
            <w:vAlign w:val="center"/>
          </w:tcPr>
          <w:p w14:paraId="18CAFE31" w14:textId="77777777" w:rsidR="006B595F" w:rsidRPr="0086242B" w:rsidRDefault="006B595F" w:rsidP="008109C1">
            <w:pPr>
              <w:jc w:val="center"/>
              <w:rPr>
                <w:rFonts w:ascii="ITC Avant Garde" w:hAnsi="ITC Avant Garde"/>
                <w:sz w:val="20"/>
                <w:szCs w:val="20"/>
              </w:rPr>
            </w:pPr>
          </w:p>
        </w:tc>
        <w:tc>
          <w:tcPr>
            <w:tcW w:w="1620" w:type="dxa"/>
            <w:vAlign w:val="center"/>
          </w:tcPr>
          <w:p w14:paraId="3E864D61" w14:textId="77777777" w:rsidR="006B595F" w:rsidRPr="0086242B" w:rsidRDefault="006B595F" w:rsidP="008109C1">
            <w:pPr>
              <w:rPr>
                <w:rFonts w:ascii="ITC Avant Garde" w:hAnsi="ITC Avant Garde"/>
                <w:sz w:val="20"/>
                <w:szCs w:val="20"/>
              </w:rPr>
            </w:pPr>
            <w:r w:rsidRPr="0086242B">
              <w:rPr>
                <w:rFonts w:ascii="ITC Avant Garde" w:hAnsi="ITC Avant Garde"/>
                <w:sz w:val="20"/>
                <w:szCs w:val="20"/>
              </w:rPr>
              <w:t>0.15-1 MHz</w:t>
            </w:r>
          </w:p>
        </w:tc>
        <w:tc>
          <w:tcPr>
            <w:tcW w:w="1743" w:type="dxa"/>
            <w:vAlign w:val="center"/>
          </w:tcPr>
          <w:p w14:paraId="41536931"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87</w:t>
            </w:r>
          </w:p>
        </w:tc>
        <w:tc>
          <w:tcPr>
            <w:tcW w:w="1928" w:type="dxa"/>
            <w:vAlign w:val="center"/>
          </w:tcPr>
          <w:p w14:paraId="37F7464E"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 xml:space="preserve">0.73 / </w:t>
            </w:r>
            <w:r w:rsidRPr="0086242B">
              <w:rPr>
                <w:rFonts w:ascii="ITC Avant Garde" w:hAnsi="ITC Avant Garde"/>
                <w:i/>
                <w:sz w:val="20"/>
                <w:szCs w:val="20"/>
              </w:rPr>
              <w:t>f</w:t>
            </w:r>
          </w:p>
        </w:tc>
        <w:tc>
          <w:tcPr>
            <w:tcW w:w="1558" w:type="dxa"/>
            <w:vAlign w:val="center"/>
          </w:tcPr>
          <w:p w14:paraId="2450FF72"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sym w:font="Symbol" w:char="F02D"/>
            </w:r>
          </w:p>
        </w:tc>
      </w:tr>
      <w:tr w:rsidR="006B595F" w:rsidRPr="0086242B" w14:paraId="10E741EB" w14:textId="77777777" w:rsidTr="008109C1">
        <w:trPr>
          <w:jc w:val="center"/>
        </w:trPr>
        <w:tc>
          <w:tcPr>
            <w:tcW w:w="1108" w:type="dxa"/>
            <w:vMerge/>
            <w:vAlign w:val="center"/>
          </w:tcPr>
          <w:p w14:paraId="73E1C099" w14:textId="77777777" w:rsidR="006B595F" w:rsidRPr="0086242B" w:rsidRDefault="006B595F" w:rsidP="008109C1">
            <w:pPr>
              <w:jc w:val="center"/>
              <w:rPr>
                <w:rFonts w:ascii="ITC Avant Garde" w:hAnsi="ITC Avant Garde"/>
                <w:sz w:val="20"/>
                <w:szCs w:val="20"/>
              </w:rPr>
            </w:pPr>
          </w:p>
        </w:tc>
        <w:tc>
          <w:tcPr>
            <w:tcW w:w="1620" w:type="dxa"/>
            <w:vAlign w:val="center"/>
          </w:tcPr>
          <w:p w14:paraId="36A6A026" w14:textId="77777777" w:rsidR="006B595F" w:rsidRPr="0086242B" w:rsidRDefault="006B595F" w:rsidP="008109C1">
            <w:pPr>
              <w:rPr>
                <w:rFonts w:ascii="ITC Avant Garde" w:hAnsi="ITC Avant Garde"/>
                <w:sz w:val="20"/>
                <w:szCs w:val="20"/>
              </w:rPr>
            </w:pPr>
            <w:r w:rsidRPr="0086242B">
              <w:rPr>
                <w:rFonts w:ascii="ITC Avant Garde" w:hAnsi="ITC Avant Garde"/>
                <w:sz w:val="20"/>
                <w:szCs w:val="20"/>
              </w:rPr>
              <w:t>1-10 MHz</w:t>
            </w:r>
          </w:p>
        </w:tc>
        <w:tc>
          <w:tcPr>
            <w:tcW w:w="1743" w:type="dxa"/>
            <w:vAlign w:val="center"/>
          </w:tcPr>
          <w:p w14:paraId="315AA14E"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 xml:space="preserve">87 / </w:t>
            </w:r>
            <w:r w:rsidRPr="0086242B">
              <w:rPr>
                <w:rFonts w:ascii="ITC Avant Garde" w:hAnsi="ITC Avant Garde"/>
                <w:i/>
                <w:sz w:val="20"/>
                <w:szCs w:val="20"/>
              </w:rPr>
              <w:t xml:space="preserve">f </w:t>
            </w:r>
            <w:r w:rsidRPr="0086242B">
              <w:rPr>
                <w:rFonts w:ascii="ITC Avant Garde" w:hAnsi="ITC Avant Garde"/>
                <w:sz w:val="20"/>
                <w:szCs w:val="20"/>
                <w:vertAlign w:val="superscript"/>
              </w:rPr>
              <w:t>0.5</w:t>
            </w:r>
          </w:p>
        </w:tc>
        <w:tc>
          <w:tcPr>
            <w:tcW w:w="1928" w:type="dxa"/>
            <w:vAlign w:val="center"/>
          </w:tcPr>
          <w:p w14:paraId="7CEAFC75"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 xml:space="preserve">0.73 / </w:t>
            </w:r>
            <w:r w:rsidRPr="0086242B">
              <w:rPr>
                <w:rFonts w:ascii="ITC Avant Garde" w:hAnsi="ITC Avant Garde"/>
                <w:i/>
                <w:sz w:val="20"/>
                <w:szCs w:val="20"/>
              </w:rPr>
              <w:t>f</w:t>
            </w:r>
          </w:p>
        </w:tc>
        <w:tc>
          <w:tcPr>
            <w:tcW w:w="1558" w:type="dxa"/>
            <w:vAlign w:val="center"/>
          </w:tcPr>
          <w:p w14:paraId="5DE40D83"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sym w:font="Symbol" w:char="F02D"/>
            </w:r>
          </w:p>
        </w:tc>
      </w:tr>
      <w:tr w:rsidR="006B595F" w:rsidRPr="0086242B" w14:paraId="1CC082AA" w14:textId="77777777" w:rsidTr="008109C1">
        <w:trPr>
          <w:jc w:val="center"/>
        </w:trPr>
        <w:tc>
          <w:tcPr>
            <w:tcW w:w="1108" w:type="dxa"/>
            <w:vMerge/>
            <w:vAlign w:val="center"/>
          </w:tcPr>
          <w:p w14:paraId="12D89A5B" w14:textId="77777777" w:rsidR="006B595F" w:rsidRPr="0086242B" w:rsidRDefault="006B595F" w:rsidP="008109C1">
            <w:pPr>
              <w:jc w:val="center"/>
              <w:rPr>
                <w:rFonts w:ascii="ITC Avant Garde" w:hAnsi="ITC Avant Garde"/>
                <w:sz w:val="20"/>
                <w:szCs w:val="20"/>
              </w:rPr>
            </w:pPr>
          </w:p>
        </w:tc>
        <w:tc>
          <w:tcPr>
            <w:tcW w:w="1620" w:type="dxa"/>
            <w:vAlign w:val="center"/>
          </w:tcPr>
          <w:p w14:paraId="1AA66190" w14:textId="77777777" w:rsidR="006B595F" w:rsidRPr="0086242B" w:rsidRDefault="006B595F" w:rsidP="008109C1">
            <w:pPr>
              <w:rPr>
                <w:rFonts w:ascii="ITC Avant Garde" w:hAnsi="ITC Avant Garde"/>
                <w:sz w:val="20"/>
                <w:szCs w:val="20"/>
              </w:rPr>
            </w:pPr>
            <w:r w:rsidRPr="0086242B">
              <w:rPr>
                <w:rFonts w:ascii="ITC Avant Garde" w:hAnsi="ITC Avant Garde"/>
                <w:sz w:val="20"/>
                <w:szCs w:val="20"/>
              </w:rPr>
              <w:t>10-400 MHz</w:t>
            </w:r>
          </w:p>
        </w:tc>
        <w:tc>
          <w:tcPr>
            <w:tcW w:w="1743" w:type="dxa"/>
            <w:vAlign w:val="center"/>
          </w:tcPr>
          <w:p w14:paraId="7BF9963E"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28</w:t>
            </w:r>
          </w:p>
        </w:tc>
        <w:tc>
          <w:tcPr>
            <w:tcW w:w="1928" w:type="dxa"/>
            <w:vAlign w:val="center"/>
          </w:tcPr>
          <w:p w14:paraId="3105CCEC"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0.073</w:t>
            </w:r>
          </w:p>
        </w:tc>
        <w:tc>
          <w:tcPr>
            <w:tcW w:w="1558" w:type="dxa"/>
            <w:vAlign w:val="center"/>
          </w:tcPr>
          <w:p w14:paraId="46935213"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2</w:t>
            </w:r>
          </w:p>
        </w:tc>
      </w:tr>
      <w:tr w:rsidR="006B595F" w:rsidRPr="0086242B" w14:paraId="1216E301" w14:textId="77777777" w:rsidTr="008109C1">
        <w:trPr>
          <w:jc w:val="center"/>
        </w:trPr>
        <w:tc>
          <w:tcPr>
            <w:tcW w:w="1108" w:type="dxa"/>
            <w:vMerge/>
            <w:vAlign w:val="center"/>
          </w:tcPr>
          <w:p w14:paraId="20616C7B" w14:textId="77777777" w:rsidR="006B595F" w:rsidRPr="0086242B" w:rsidRDefault="006B595F" w:rsidP="008109C1">
            <w:pPr>
              <w:jc w:val="center"/>
              <w:rPr>
                <w:rFonts w:ascii="ITC Avant Garde" w:hAnsi="ITC Avant Garde"/>
                <w:sz w:val="20"/>
                <w:szCs w:val="20"/>
              </w:rPr>
            </w:pPr>
          </w:p>
        </w:tc>
        <w:tc>
          <w:tcPr>
            <w:tcW w:w="1620" w:type="dxa"/>
            <w:vAlign w:val="center"/>
          </w:tcPr>
          <w:p w14:paraId="548B716A" w14:textId="77777777" w:rsidR="006B595F" w:rsidRPr="0086242B" w:rsidRDefault="006B595F" w:rsidP="008109C1">
            <w:pPr>
              <w:rPr>
                <w:rFonts w:ascii="ITC Avant Garde" w:hAnsi="ITC Avant Garde"/>
                <w:sz w:val="20"/>
                <w:szCs w:val="20"/>
              </w:rPr>
            </w:pPr>
            <w:r w:rsidRPr="0086242B">
              <w:rPr>
                <w:rFonts w:ascii="ITC Avant Garde" w:hAnsi="ITC Avant Garde"/>
                <w:sz w:val="20"/>
                <w:szCs w:val="20"/>
              </w:rPr>
              <w:t>400-2000 MHz</w:t>
            </w:r>
          </w:p>
        </w:tc>
        <w:tc>
          <w:tcPr>
            <w:tcW w:w="1743" w:type="dxa"/>
            <w:vAlign w:val="center"/>
          </w:tcPr>
          <w:p w14:paraId="048ADB55"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 xml:space="preserve">1.375 </w:t>
            </w:r>
            <w:r w:rsidRPr="0086242B">
              <w:rPr>
                <w:rFonts w:ascii="ITC Avant Garde" w:hAnsi="ITC Avant Garde"/>
                <w:i/>
                <w:sz w:val="20"/>
                <w:szCs w:val="20"/>
              </w:rPr>
              <w:t xml:space="preserve">f </w:t>
            </w:r>
            <w:r w:rsidRPr="0086242B">
              <w:rPr>
                <w:rFonts w:ascii="ITC Avant Garde" w:hAnsi="ITC Avant Garde"/>
                <w:sz w:val="20"/>
                <w:szCs w:val="20"/>
                <w:vertAlign w:val="superscript"/>
              </w:rPr>
              <w:t>0.5</w:t>
            </w:r>
          </w:p>
        </w:tc>
        <w:tc>
          <w:tcPr>
            <w:tcW w:w="1928" w:type="dxa"/>
            <w:vAlign w:val="center"/>
          </w:tcPr>
          <w:p w14:paraId="5E0D0DF7"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 xml:space="preserve">0.0037 </w:t>
            </w:r>
            <w:r w:rsidRPr="0086242B">
              <w:rPr>
                <w:rFonts w:ascii="ITC Avant Garde" w:hAnsi="ITC Avant Garde"/>
                <w:i/>
                <w:sz w:val="20"/>
                <w:szCs w:val="20"/>
              </w:rPr>
              <w:t xml:space="preserve">f </w:t>
            </w:r>
            <w:r w:rsidRPr="0086242B">
              <w:rPr>
                <w:rFonts w:ascii="ITC Avant Garde" w:hAnsi="ITC Avant Garde"/>
                <w:sz w:val="20"/>
                <w:szCs w:val="20"/>
                <w:vertAlign w:val="superscript"/>
              </w:rPr>
              <w:t>0.5</w:t>
            </w:r>
          </w:p>
        </w:tc>
        <w:tc>
          <w:tcPr>
            <w:tcW w:w="1558" w:type="dxa"/>
            <w:vAlign w:val="center"/>
          </w:tcPr>
          <w:p w14:paraId="35DD9E83" w14:textId="77777777" w:rsidR="006B595F" w:rsidRPr="0086242B" w:rsidRDefault="006B595F" w:rsidP="008109C1">
            <w:pPr>
              <w:jc w:val="center"/>
              <w:rPr>
                <w:rFonts w:ascii="ITC Avant Garde" w:hAnsi="ITC Avant Garde"/>
                <w:sz w:val="20"/>
                <w:szCs w:val="20"/>
              </w:rPr>
            </w:pPr>
            <w:r w:rsidRPr="0086242B">
              <w:rPr>
                <w:rFonts w:ascii="ITC Avant Garde" w:hAnsi="ITC Avant Garde"/>
                <w:i/>
                <w:sz w:val="20"/>
                <w:szCs w:val="20"/>
              </w:rPr>
              <w:t xml:space="preserve">f </w:t>
            </w:r>
            <w:r w:rsidRPr="0086242B">
              <w:rPr>
                <w:rFonts w:ascii="ITC Avant Garde" w:hAnsi="ITC Avant Garde"/>
                <w:sz w:val="20"/>
                <w:szCs w:val="20"/>
              </w:rPr>
              <w:t>/ 200</w:t>
            </w:r>
          </w:p>
        </w:tc>
      </w:tr>
      <w:tr w:rsidR="006B595F" w:rsidRPr="0086242B" w14:paraId="66122F3B" w14:textId="77777777" w:rsidTr="008109C1">
        <w:trPr>
          <w:jc w:val="center"/>
        </w:trPr>
        <w:tc>
          <w:tcPr>
            <w:tcW w:w="1108" w:type="dxa"/>
            <w:vMerge/>
            <w:vAlign w:val="center"/>
          </w:tcPr>
          <w:p w14:paraId="130F67EC" w14:textId="77777777" w:rsidR="006B595F" w:rsidRPr="0086242B" w:rsidRDefault="006B595F" w:rsidP="008109C1">
            <w:pPr>
              <w:jc w:val="center"/>
              <w:rPr>
                <w:rFonts w:ascii="ITC Avant Garde" w:hAnsi="ITC Avant Garde"/>
                <w:sz w:val="20"/>
                <w:szCs w:val="20"/>
              </w:rPr>
            </w:pPr>
          </w:p>
        </w:tc>
        <w:tc>
          <w:tcPr>
            <w:tcW w:w="1620" w:type="dxa"/>
            <w:vAlign w:val="center"/>
          </w:tcPr>
          <w:p w14:paraId="511271F2" w14:textId="77777777" w:rsidR="006B595F" w:rsidRPr="0086242B" w:rsidRDefault="006B595F" w:rsidP="008109C1">
            <w:pPr>
              <w:rPr>
                <w:rFonts w:ascii="ITC Avant Garde" w:hAnsi="ITC Avant Garde"/>
                <w:sz w:val="20"/>
                <w:szCs w:val="20"/>
              </w:rPr>
            </w:pPr>
            <w:r w:rsidRPr="0086242B">
              <w:rPr>
                <w:rFonts w:ascii="ITC Avant Garde" w:hAnsi="ITC Avant Garde"/>
                <w:sz w:val="20"/>
                <w:szCs w:val="20"/>
              </w:rPr>
              <w:t>2-300 GHz</w:t>
            </w:r>
          </w:p>
        </w:tc>
        <w:tc>
          <w:tcPr>
            <w:tcW w:w="1743" w:type="dxa"/>
            <w:vAlign w:val="center"/>
          </w:tcPr>
          <w:p w14:paraId="4BAA2702"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61</w:t>
            </w:r>
          </w:p>
        </w:tc>
        <w:tc>
          <w:tcPr>
            <w:tcW w:w="1928" w:type="dxa"/>
            <w:vAlign w:val="center"/>
          </w:tcPr>
          <w:p w14:paraId="59A74640"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0.16</w:t>
            </w:r>
          </w:p>
        </w:tc>
        <w:tc>
          <w:tcPr>
            <w:tcW w:w="1558" w:type="dxa"/>
            <w:vAlign w:val="center"/>
          </w:tcPr>
          <w:p w14:paraId="013EECE1"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10</w:t>
            </w:r>
          </w:p>
        </w:tc>
      </w:tr>
    </w:tbl>
    <w:p w14:paraId="62AACCD0" w14:textId="77777777" w:rsidR="006B595F" w:rsidRPr="0086242B" w:rsidRDefault="006B595F" w:rsidP="006B595F">
      <w:pPr>
        <w:jc w:val="both"/>
        <w:rPr>
          <w:rFonts w:ascii="ITC Avant Garde" w:hAnsi="ITC Avant Garde"/>
          <w:sz w:val="20"/>
          <w:szCs w:val="20"/>
        </w:rPr>
      </w:pPr>
    </w:p>
    <w:p w14:paraId="4D803FD2" w14:textId="77777777" w:rsidR="006B595F" w:rsidRPr="0086242B" w:rsidRDefault="006B595F" w:rsidP="006B595F">
      <w:pPr>
        <w:jc w:val="both"/>
        <w:rPr>
          <w:rFonts w:ascii="ITC Avant Garde" w:hAnsi="ITC Avant Garde"/>
          <w:sz w:val="14"/>
          <w:szCs w:val="14"/>
        </w:rPr>
      </w:pPr>
      <w:r w:rsidRPr="0086242B">
        <w:rPr>
          <w:rFonts w:ascii="ITC Avant Garde" w:hAnsi="ITC Avant Garde"/>
          <w:sz w:val="14"/>
          <w:szCs w:val="14"/>
        </w:rPr>
        <w:t>Notas:</w:t>
      </w:r>
    </w:p>
    <w:p w14:paraId="4C1D4995" w14:textId="77777777" w:rsidR="006B595F" w:rsidRPr="0086242B" w:rsidRDefault="006B595F" w:rsidP="006B595F">
      <w:pPr>
        <w:numPr>
          <w:ilvl w:val="0"/>
          <w:numId w:val="4"/>
        </w:numPr>
        <w:spacing w:line="276" w:lineRule="auto"/>
        <w:jc w:val="both"/>
        <w:rPr>
          <w:rFonts w:ascii="ITC Avant Garde" w:hAnsi="ITC Avant Garde"/>
          <w:sz w:val="14"/>
          <w:szCs w:val="14"/>
        </w:rPr>
      </w:pPr>
      <w:r w:rsidRPr="0086242B">
        <w:rPr>
          <w:rFonts w:ascii="ITC Avant Garde" w:hAnsi="ITC Avant Garde"/>
          <w:i/>
          <w:sz w:val="14"/>
          <w:szCs w:val="14"/>
        </w:rPr>
        <w:t>f</w:t>
      </w:r>
      <w:r w:rsidRPr="0086242B">
        <w:rPr>
          <w:rFonts w:ascii="ITC Avant Garde" w:hAnsi="ITC Avant Garde"/>
          <w:sz w:val="14"/>
          <w:szCs w:val="14"/>
        </w:rPr>
        <w:t xml:space="preserve"> es la frecuencia expresada en las unidades indicadas en la columna de intervalo de frecuencias.</w:t>
      </w:r>
    </w:p>
    <w:p w14:paraId="1A9CC15B" w14:textId="77777777" w:rsidR="006B595F" w:rsidRPr="0086242B" w:rsidRDefault="006B595F" w:rsidP="006B595F">
      <w:pPr>
        <w:numPr>
          <w:ilvl w:val="0"/>
          <w:numId w:val="4"/>
        </w:numPr>
        <w:spacing w:line="276" w:lineRule="auto"/>
        <w:jc w:val="both"/>
        <w:rPr>
          <w:rFonts w:ascii="ITC Avant Garde" w:hAnsi="ITC Avant Garde"/>
          <w:sz w:val="14"/>
          <w:szCs w:val="14"/>
        </w:rPr>
      </w:pPr>
      <w:r w:rsidRPr="0086242B">
        <w:rPr>
          <w:rFonts w:ascii="ITC Avant Garde" w:hAnsi="ITC Avant Garde"/>
          <w:sz w:val="14"/>
          <w:szCs w:val="14"/>
        </w:rPr>
        <w:t>Asumiendo que se cumplen los límites básicos y que se pueden excluir los efectos indirectos adversos, los valores de las intensidades de campo pueden ser excedidos.</w:t>
      </w:r>
    </w:p>
    <w:p w14:paraId="0AB28CF0" w14:textId="77777777" w:rsidR="006B595F" w:rsidRPr="0086242B" w:rsidRDefault="006B595F" w:rsidP="006B595F">
      <w:pPr>
        <w:numPr>
          <w:ilvl w:val="0"/>
          <w:numId w:val="4"/>
        </w:numPr>
        <w:spacing w:line="276" w:lineRule="auto"/>
        <w:jc w:val="both"/>
        <w:rPr>
          <w:rFonts w:ascii="ITC Avant Garde" w:hAnsi="ITC Avant Garde"/>
          <w:sz w:val="14"/>
          <w:szCs w:val="14"/>
        </w:rPr>
      </w:pPr>
      <w:r w:rsidRPr="0086242B">
        <w:rPr>
          <w:rFonts w:ascii="ITC Avant Garde" w:hAnsi="ITC Avant Garde"/>
          <w:sz w:val="14"/>
          <w:szCs w:val="14"/>
        </w:rPr>
        <w:t>Para frecuencias entre 100 kHz y 10 GHz, los valores de E</w:t>
      </w:r>
      <w:r w:rsidRPr="0086242B">
        <w:rPr>
          <w:rFonts w:ascii="ITC Avant Garde" w:hAnsi="ITC Avant Garde"/>
          <w:sz w:val="14"/>
          <w:szCs w:val="14"/>
          <w:vertAlign w:val="superscript"/>
        </w:rPr>
        <w:t>2</w:t>
      </w:r>
      <w:r w:rsidRPr="0086242B">
        <w:rPr>
          <w:rFonts w:ascii="ITC Avant Garde" w:hAnsi="ITC Avant Garde"/>
          <w:sz w:val="14"/>
          <w:szCs w:val="14"/>
        </w:rPr>
        <w:t>, H</w:t>
      </w:r>
      <w:r w:rsidRPr="0086242B">
        <w:rPr>
          <w:rFonts w:ascii="ITC Avant Garde" w:hAnsi="ITC Avant Garde"/>
          <w:sz w:val="14"/>
          <w:szCs w:val="14"/>
          <w:vertAlign w:val="superscript"/>
        </w:rPr>
        <w:t>2</w:t>
      </w:r>
      <w:r w:rsidRPr="0086242B">
        <w:rPr>
          <w:rFonts w:ascii="ITC Avant Garde" w:hAnsi="ITC Avant Garde"/>
          <w:sz w:val="14"/>
          <w:szCs w:val="14"/>
        </w:rPr>
        <w:t xml:space="preserve"> y de la densidad de potencia equivalente de onda plana (S) deben ser promediados sobre cualquier periodo de 6 minutos.</w:t>
      </w:r>
    </w:p>
    <w:p w14:paraId="7ED59499" w14:textId="77777777" w:rsidR="006B595F" w:rsidRPr="0086242B" w:rsidRDefault="006B595F" w:rsidP="006B595F">
      <w:pPr>
        <w:numPr>
          <w:ilvl w:val="0"/>
          <w:numId w:val="4"/>
        </w:numPr>
        <w:spacing w:line="276" w:lineRule="auto"/>
        <w:jc w:val="both"/>
        <w:rPr>
          <w:rFonts w:ascii="ITC Avant Garde" w:hAnsi="ITC Avant Garde"/>
          <w:sz w:val="14"/>
          <w:szCs w:val="14"/>
        </w:rPr>
      </w:pPr>
      <w:r w:rsidRPr="0086242B">
        <w:rPr>
          <w:rFonts w:ascii="ITC Avant Garde" w:hAnsi="ITC Avant Garde"/>
          <w:sz w:val="14"/>
          <w:szCs w:val="14"/>
        </w:rPr>
        <w:t xml:space="preserve">Todos los valores de la tabla son valores </w:t>
      </w:r>
      <w:proofErr w:type="spellStart"/>
      <w:r w:rsidRPr="0086242B">
        <w:rPr>
          <w:rFonts w:ascii="ITC Avant Garde" w:hAnsi="ITC Avant Garde"/>
          <w:sz w:val="14"/>
          <w:szCs w:val="14"/>
        </w:rPr>
        <w:t>rms</w:t>
      </w:r>
      <w:proofErr w:type="spellEnd"/>
      <w:r w:rsidRPr="0086242B">
        <w:rPr>
          <w:rFonts w:ascii="ITC Avant Garde" w:hAnsi="ITC Avant Garde"/>
          <w:sz w:val="14"/>
          <w:szCs w:val="14"/>
        </w:rPr>
        <w:t>.</w:t>
      </w:r>
    </w:p>
    <w:p w14:paraId="62B2A160" w14:textId="77777777" w:rsidR="006B595F" w:rsidRPr="0086242B" w:rsidRDefault="006B595F" w:rsidP="006B595F">
      <w:pPr>
        <w:numPr>
          <w:ilvl w:val="0"/>
          <w:numId w:val="4"/>
        </w:numPr>
        <w:spacing w:line="276" w:lineRule="auto"/>
        <w:jc w:val="both"/>
        <w:rPr>
          <w:rFonts w:ascii="ITC Avant Garde" w:hAnsi="ITC Avant Garde"/>
          <w:sz w:val="14"/>
          <w:szCs w:val="14"/>
        </w:rPr>
      </w:pPr>
      <w:r w:rsidRPr="0086242B">
        <w:rPr>
          <w:rFonts w:ascii="ITC Avant Garde" w:hAnsi="ITC Avant Garde"/>
          <w:sz w:val="14"/>
          <w:szCs w:val="14"/>
        </w:rPr>
        <w:t xml:space="preserve">Para frecuencias de 100 kHz, los valores pico permitidos son los que resultan de multiplicar los valores </w:t>
      </w:r>
      <w:proofErr w:type="spellStart"/>
      <w:r w:rsidRPr="0086242B">
        <w:rPr>
          <w:rFonts w:ascii="ITC Avant Garde" w:hAnsi="ITC Avant Garde"/>
          <w:sz w:val="14"/>
          <w:szCs w:val="14"/>
        </w:rPr>
        <w:t>rms</w:t>
      </w:r>
      <w:proofErr w:type="spellEnd"/>
      <w:r w:rsidRPr="0086242B">
        <w:rPr>
          <w:rFonts w:ascii="ITC Avant Garde" w:hAnsi="ITC Avant Garde"/>
          <w:sz w:val="14"/>
          <w:szCs w:val="14"/>
        </w:rPr>
        <w:t xml:space="preserve"> que aparecen en la tabla por √2 (~ 1.414).</w:t>
      </w:r>
    </w:p>
    <w:p w14:paraId="79E5BA03" w14:textId="77777777" w:rsidR="006B595F" w:rsidRPr="0086242B" w:rsidRDefault="006B595F" w:rsidP="006B595F">
      <w:pPr>
        <w:numPr>
          <w:ilvl w:val="0"/>
          <w:numId w:val="4"/>
        </w:numPr>
        <w:spacing w:line="276" w:lineRule="auto"/>
        <w:jc w:val="both"/>
        <w:rPr>
          <w:rFonts w:ascii="ITC Avant Garde" w:hAnsi="ITC Avant Garde"/>
          <w:sz w:val="14"/>
          <w:szCs w:val="14"/>
        </w:rPr>
      </w:pPr>
      <w:r w:rsidRPr="0086242B">
        <w:rPr>
          <w:rFonts w:ascii="ITC Avant Garde" w:hAnsi="ITC Avant Garde"/>
          <w:sz w:val="14"/>
          <w:szCs w:val="14"/>
        </w:rPr>
        <w:t xml:space="preserve">Para frecuencias superiores a los 100 kHz y hasta 10 MHz los valores pico permitidos de las intensidades de campo son obtenidos mediante la interpolación lineal que va desde 1.5 veces el valor </w:t>
      </w:r>
      <w:proofErr w:type="spellStart"/>
      <w:r w:rsidRPr="0086242B">
        <w:rPr>
          <w:rFonts w:ascii="ITC Avant Garde" w:hAnsi="ITC Avant Garde"/>
          <w:sz w:val="14"/>
          <w:szCs w:val="14"/>
        </w:rPr>
        <w:t>rms</w:t>
      </w:r>
      <w:proofErr w:type="spellEnd"/>
      <w:r w:rsidRPr="0086242B">
        <w:rPr>
          <w:rFonts w:ascii="ITC Avant Garde" w:hAnsi="ITC Avant Garde"/>
          <w:sz w:val="14"/>
          <w:szCs w:val="14"/>
        </w:rPr>
        <w:t xml:space="preserve"> en 100 kHz, hasta 32 veces el valor </w:t>
      </w:r>
      <w:proofErr w:type="spellStart"/>
      <w:r w:rsidRPr="0086242B">
        <w:rPr>
          <w:rFonts w:ascii="ITC Avant Garde" w:hAnsi="ITC Avant Garde"/>
          <w:sz w:val="14"/>
          <w:szCs w:val="14"/>
        </w:rPr>
        <w:t>rms</w:t>
      </w:r>
      <w:proofErr w:type="spellEnd"/>
      <w:r w:rsidRPr="0086242B">
        <w:rPr>
          <w:rFonts w:ascii="ITC Avant Garde" w:hAnsi="ITC Avant Garde"/>
          <w:sz w:val="14"/>
          <w:szCs w:val="14"/>
        </w:rPr>
        <w:t xml:space="preserve"> en 10 MHz. Para frecuencias mayores a 10 MHz, los valores pico permitidos no deben exceder 1,000 veces la densidad de potencia equivalente o 32 veces los niveles de las intensidades de campo.</w:t>
      </w:r>
    </w:p>
    <w:p w14:paraId="7D1DF2A2" w14:textId="77777777" w:rsidR="006B595F" w:rsidRPr="0086242B" w:rsidRDefault="006B595F" w:rsidP="006B595F">
      <w:pPr>
        <w:numPr>
          <w:ilvl w:val="0"/>
          <w:numId w:val="4"/>
        </w:numPr>
        <w:spacing w:line="276" w:lineRule="auto"/>
        <w:jc w:val="both"/>
        <w:rPr>
          <w:rFonts w:ascii="ITC Avant Garde" w:hAnsi="ITC Avant Garde"/>
          <w:sz w:val="14"/>
          <w:szCs w:val="14"/>
        </w:rPr>
      </w:pPr>
      <w:r w:rsidRPr="0086242B">
        <w:rPr>
          <w:rFonts w:ascii="ITC Avant Garde" w:hAnsi="ITC Avant Garde"/>
          <w:sz w:val="14"/>
          <w:szCs w:val="14"/>
        </w:rPr>
        <w:t>Para frecuencias mayores a 10 GHz, los valores de E</w:t>
      </w:r>
      <w:r w:rsidRPr="0086242B">
        <w:rPr>
          <w:rFonts w:ascii="ITC Avant Garde" w:hAnsi="ITC Avant Garde"/>
          <w:sz w:val="14"/>
          <w:szCs w:val="14"/>
          <w:vertAlign w:val="superscript"/>
        </w:rPr>
        <w:t>2</w:t>
      </w:r>
      <w:r w:rsidRPr="0086242B">
        <w:rPr>
          <w:rFonts w:ascii="ITC Avant Garde" w:hAnsi="ITC Avant Garde"/>
          <w:sz w:val="14"/>
          <w:szCs w:val="14"/>
        </w:rPr>
        <w:t>, H</w:t>
      </w:r>
      <w:r w:rsidRPr="0086242B">
        <w:rPr>
          <w:rFonts w:ascii="ITC Avant Garde" w:hAnsi="ITC Avant Garde"/>
          <w:sz w:val="14"/>
          <w:szCs w:val="14"/>
          <w:vertAlign w:val="superscript"/>
        </w:rPr>
        <w:t>2</w:t>
      </w:r>
      <w:r w:rsidRPr="0086242B">
        <w:rPr>
          <w:rFonts w:ascii="ITC Avant Garde" w:hAnsi="ITC Avant Garde"/>
          <w:sz w:val="14"/>
          <w:szCs w:val="14"/>
        </w:rPr>
        <w:t xml:space="preserve"> y de la densidad de potencia equivalente de onda plana (S) deben ser promediados sobre cualquier periodo de 68 / </w:t>
      </w:r>
      <w:r w:rsidRPr="0086242B">
        <w:rPr>
          <w:rFonts w:ascii="ITC Avant Garde" w:hAnsi="ITC Avant Garde"/>
          <w:i/>
          <w:sz w:val="14"/>
          <w:szCs w:val="14"/>
        </w:rPr>
        <w:t xml:space="preserve">f </w:t>
      </w:r>
      <w:r w:rsidRPr="0086242B">
        <w:rPr>
          <w:rFonts w:ascii="ITC Avant Garde" w:hAnsi="ITC Avant Garde"/>
          <w:sz w:val="14"/>
          <w:szCs w:val="14"/>
          <w:vertAlign w:val="superscript"/>
        </w:rPr>
        <w:t>1.05</w:t>
      </w:r>
      <w:r w:rsidRPr="0086242B">
        <w:rPr>
          <w:rFonts w:ascii="ITC Avant Garde" w:hAnsi="ITC Avant Garde"/>
          <w:sz w:val="14"/>
          <w:szCs w:val="14"/>
        </w:rPr>
        <w:t>.</w:t>
      </w:r>
    </w:p>
    <w:p w14:paraId="00F22046" w14:textId="77777777" w:rsidR="006B595F" w:rsidRPr="0086242B" w:rsidRDefault="006B595F" w:rsidP="006B595F">
      <w:pPr>
        <w:jc w:val="both"/>
        <w:rPr>
          <w:rFonts w:ascii="ITC Avant Garde" w:hAnsi="ITC Avant Garde"/>
          <w:sz w:val="20"/>
          <w:szCs w:val="20"/>
        </w:rPr>
      </w:pPr>
    </w:p>
    <w:p w14:paraId="63CCD4CD" w14:textId="77777777" w:rsidR="006B595F" w:rsidRPr="0086242B" w:rsidRDefault="006B595F" w:rsidP="006B595F">
      <w:pPr>
        <w:jc w:val="both"/>
        <w:rPr>
          <w:rFonts w:ascii="ITC Avant Garde" w:hAnsi="ITC Avant Garde"/>
          <w:sz w:val="20"/>
          <w:szCs w:val="20"/>
        </w:rPr>
      </w:pPr>
      <w:r w:rsidRPr="0086242B">
        <w:rPr>
          <w:rFonts w:ascii="ITC Avant Garde" w:hAnsi="ITC Avant Garde"/>
          <w:sz w:val="20"/>
          <w:szCs w:val="20"/>
        </w:rPr>
        <w:t>Los límites de referencia de exposición máxima se muestran gráficamente en la Figura 1.</w:t>
      </w:r>
    </w:p>
    <w:p w14:paraId="440C9F3B" w14:textId="77777777" w:rsidR="006B595F" w:rsidRPr="0086242B" w:rsidRDefault="006B595F" w:rsidP="006B595F">
      <w:pPr>
        <w:jc w:val="both"/>
        <w:rPr>
          <w:rFonts w:ascii="ITC Avant Garde" w:hAnsi="ITC Avant Garde"/>
        </w:rPr>
      </w:pPr>
    </w:p>
    <w:p w14:paraId="334568CF" w14:textId="77777777" w:rsidR="006B595F" w:rsidRPr="0086242B" w:rsidRDefault="006B595F" w:rsidP="006B595F">
      <w:pPr>
        <w:jc w:val="center"/>
        <w:rPr>
          <w:rFonts w:ascii="ITC Avant Garde" w:hAnsi="ITC Avant Garde"/>
        </w:rPr>
      </w:pPr>
      <w:r w:rsidRPr="0086242B">
        <w:rPr>
          <w:rFonts w:ascii="ITC Avant Garde" w:hAnsi="ITC Avant Garde"/>
          <w:noProof/>
          <w:lang w:val="es-MX" w:eastAsia="es-MX"/>
        </w:rPr>
        <w:drawing>
          <wp:inline distT="0" distB="0" distL="0" distR="0" wp14:anchorId="78802556" wp14:editId="67254622">
            <wp:extent cx="5033010" cy="2536190"/>
            <wp:effectExtent l="0" t="0" r="0" b="3810"/>
            <wp:docPr id="30" name="Imagen 30" descr="ICNI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NIRP4"/>
                    <pic:cNvPicPr>
                      <a:picLocks noChangeAspect="1" noChangeArrowheads="1"/>
                    </pic:cNvPicPr>
                  </pic:nvPicPr>
                  <pic:blipFill>
                    <a:blip r:embed="rId19" cstate="print">
                      <a:extLst>
                        <a:ext uri="{28A0092B-C50C-407E-A947-70E740481C1C}">
                          <a14:useLocalDpi xmlns:a14="http://schemas.microsoft.com/office/drawing/2010/main" val="0"/>
                        </a:ext>
                      </a:extLst>
                    </a:blip>
                    <a:srcRect l="5167" t="4590" r="5905" b="3061"/>
                    <a:stretch>
                      <a:fillRect/>
                    </a:stretch>
                  </pic:blipFill>
                  <pic:spPr bwMode="auto">
                    <a:xfrm>
                      <a:off x="0" y="0"/>
                      <a:ext cx="5033010" cy="2536190"/>
                    </a:xfrm>
                    <a:prstGeom prst="rect">
                      <a:avLst/>
                    </a:prstGeom>
                    <a:noFill/>
                    <a:ln>
                      <a:noFill/>
                    </a:ln>
                  </pic:spPr>
                </pic:pic>
              </a:graphicData>
            </a:graphic>
          </wp:inline>
        </w:drawing>
      </w:r>
    </w:p>
    <w:p w14:paraId="08D2A6E4" w14:textId="77777777" w:rsidR="006B595F" w:rsidRPr="0086242B" w:rsidRDefault="006B595F" w:rsidP="006B595F">
      <w:pPr>
        <w:pStyle w:val="Descripcin"/>
        <w:jc w:val="center"/>
        <w:rPr>
          <w:rFonts w:ascii="ITC Avant Garde" w:hAnsi="ITC Avant Garde"/>
        </w:rPr>
      </w:pPr>
      <w:r w:rsidRPr="0086242B">
        <w:rPr>
          <w:rFonts w:ascii="ITC Avant Garde" w:hAnsi="ITC Avant Garde"/>
        </w:rPr>
        <w:t>Figura 1.- Límites de referencia de exposición máxima para público en general.</w:t>
      </w:r>
    </w:p>
    <w:p w14:paraId="14593C91" w14:textId="77777777" w:rsidR="006B595F" w:rsidRPr="0086242B" w:rsidRDefault="006B595F" w:rsidP="006B595F">
      <w:pPr>
        <w:jc w:val="both"/>
        <w:rPr>
          <w:rFonts w:ascii="ITC Avant Garde" w:hAnsi="ITC Avant Garde"/>
        </w:rPr>
      </w:pPr>
    </w:p>
    <w:p w14:paraId="3E7541F2"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Cada estación de radiocomunicaciones </w:t>
      </w:r>
      <w:r w:rsidR="006521B5" w:rsidRPr="0086242B">
        <w:rPr>
          <w:rFonts w:ascii="ITC Avant Garde" w:hAnsi="ITC Avant Garde"/>
          <w:sz w:val="20"/>
          <w:szCs w:val="20"/>
        </w:rPr>
        <w:t xml:space="preserve">que esté operando o que vaya a ser puesta en operación </w:t>
      </w:r>
      <w:r w:rsidRPr="0086242B">
        <w:rPr>
          <w:rFonts w:ascii="ITC Avant Garde" w:hAnsi="ITC Avant Garde"/>
          <w:sz w:val="20"/>
          <w:szCs w:val="20"/>
        </w:rPr>
        <w:t>deberá cumplir con los límites de referencia de exposición máxima para el público en general en las zonas en donde habitualmente esté presente público en general.</w:t>
      </w:r>
    </w:p>
    <w:p w14:paraId="336FAE64" w14:textId="77777777" w:rsidR="005E4EF7" w:rsidRPr="0086242B" w:rsidRDefault="005E4EF7" w:rsidP="006B595F">
      <w:pPr>
        <w:spacing w:line="360" w:lineRule="auto"/>
        <w:jc w:val="both"/>
        <w:rPr>
          <w:rFonts w:ascii="ITC Avant Garde" w:hAnsi="ITC Avant Garde"/>
          <w:sz w:val="20"/>
          <w:szCs w:val="20"/>
        </w:rPr>
      </w:pPr>
    </w:p>
    <w:p w14:paraId="5E82051F"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Las estaciones de radiocomunicaciones que cuenten con transmisores con una PIRE de 2 Watts o menos se consideran inherentemente conformes, por lo tanto no se requieren precauciones particulares. En este caso, dichas estaciones de radiocomunicaciones no están obligadas a demostrar cumplimiento con los límites de referencia de exposición máxima.</w:t>
      </w:r>
    </w:p>
    <w:p w14:paraId="3D0B6B73" w14:textId="77777777" w:rsidR="006B595F" w:rsidRPr="0086242B" w:rsidRDefault="006B595F" w:rsidP="006B595F">
      <w:pPr>
        <w:spacing w:line="360" w:lineRule="auto"/>
        <w:jc w:val="both"/>
        <w:rPr>
          <w:rFonts w:ascii="ITC Avant Garde" w:hAnsi="ITC Avant Garde"/>
          <w:sz w:val="20"/>
          <w:szCs w:val="20"/>
        </w:rPr>
      </w:pPr>
    </w:p>
    <w:p w14:paraId="1DA49D62" w14:textId="2F815856" w:rsidR="006B595F" w:rsidRPr="0086242B" w:rsidRDefault="006B595F" w:rsidP="006B595F">
      <w:pPr>
        <w:spacing w:line="360" w:lineRule="auto"/>
        <w:jc w:val="both"/>
        <w:rPr>
          <w:rFonts w:ascii="ITC Avant Garde" w:hAnsi="ITC Avant Garde"/>
          <w:sz w:val="20"/>
          <w:szCs w:val="20"/>
        </w:rPr>
      </w:pPr>
    </w:p>
    <w:p w14:paraId="4F367644" w14:textId="77777777" w:rsidR="006B595F"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Para considerar los efectos de múltiples emisores se requiere que éstos se consideren en una suma ponderada en la que cada emisor de forma individual se pondere de acuerdo con el límite aplicable a su frecuencia. Por lo tanto, el cumplimiento de los límites de exposición en el caso de múltiples emisores se llevará a cabo aplicando las relaciones 2, 3 y 4 mostradas en el numeral 6.1.2. </w:t>
      </w:r>
    </w:p>
    <w:p w14:paraId="7763FB59" w14:textId="77777777" w:rsidR="006F6913" w:rsidRDefault="006F6913" w:rsidP="006F6913">
      <w:pPr>
        <w:spacing w:line="360" w:lineRule="auto"/>
        <w:jc w:val="both"/>
        <w:rPr>
          <w:rFonts w:ascii="ITC Avant Garde" w:hAnsi="ITC Avant Garde"/>
          <w:sz w:val="20"/>
          <w:szCs w:val="20"/>
        </w:rPr>
      </w:pPr>
    </w:p>
    <w:p w14:paraId="51AE6DB5" w14:textId="77777777" w:rsidR="006F6913" w:rsidRPr="00F02808" w:rsidRDefault="006F6913" w:rsidP="006F6913">
      <w:pPr>
        <w:spacing w:line="360" w:lineRule="auto"/>
        <w:jc w:val="both"/>
        <w:rPr>
          <w:rFonts w:ascii="ITC Avant Garde" w:hAnsi="ITC Avant Garde"/>
          <w:sz w:val="20"/>
          <w:szCs w:val="20"/>
        </w:rPr>
      </w:pPr>
      <w:r w:rsidRPr="00F02808">
        <w:rPr>
          <w:rFonts w:ascii="ITC Avant Garde" w:hAnsi="ITC Avant Garde"/>
          <w:sz w:val="20"/>
          <w:szCs w:val="20"/>
        </w:rPr>
        <w:t>En la exposición simultánea a múltiples emisores con distintas frecuencias, el nivel de exposición porcentual calculado o medido en la región de campo lejano en las zonas cercanas a múltiples estaciones de radiocomunicaciones donde habitualmente esté presente público en general deberá ser ≤1.</w:t>
      </w:r>
    </w:p>
    <w:p w14:paraId="2BB393A5" w14:textId="77777777" w:rsidR="006F6913" w:rsidRPr="0086242B" w:rsidRDefault="006F6913" w:rsidP="006B595F">
      <w:pPr>
        <w:spacing w:line="360" w:lineRule="auto"/>
        <w:jc w:val="both"/>
        <w:rPr>
          <w:rFonts w:ascii="ITC Avant Garde" w:hAnsi="ITC Avant Garde"/>
          <w:sz w:val="20"/>
          <w:szCs w:val="20"/>
        </w:rPr>
      </w:pPr>
    </w:p>
    <w:p w14:paraId="2333E115" w14:textId="77777777" w:rsidR="006B595F" w:rsidRPr="0086242B" w:rsidRDefault="006B595F" w:rsidP="006B595F">
      <w:pPr>
        <w:spacing w:line="360" w:lineRule="auto"/>
        <w:jc w:val="both"/>
        <w:rPr>
          <w:rFonts w:ascii="ITC Avant Garde" w:hAnsi="ITC Avant Garde"/>
          <w:sz w:val="20"/>
          <w:szCs w:val="20"/>
        </w:rPr>
      </w:pPr>
    </w:p>
    <w:p w14:paraId="184EA8B1" w14:textId="77777777" w:rsidR="00597E9C" w:rsidRPr="0086242B" w:rsidRDefault="00597E9C" w:rsidP="00597E9C">
      <w:pPr>
        <w:spacing w:line="360" w:lineRule="auto"/>
        <w:jc w:val="both"/>
        <w:rPr>
          <w:rFonts w:ascii="ITC Avant Garde" w:hAnsi="ITC Avant Garde"/>
          <w:sz w:val="20"/>
          <w:szCs w:val="20"/>
        </w:rPr>
      </w:pPr>
      <w:r w:rsidRPr="0086242B">
        <w:rPr>
          <w:rFonts w:ascii="ITC Avant Garde" w:hAnsi="ITC Avant Garde"/>
          <w:sz w:val="20"/>
          <w:szCs w:val="20"/>
        </w:rPr>
        <w:t>Si el nivel de exposición porcentual calculado o medido en la región de campo lejano en zonas cercanas a múltiples emisores, donde habitualmente esté presente público en general es mayor a la unidad; el Instituto convocará a los  involucrados que contribuyen al nivel de exposición porcentual, para resolver dicho incumplimiento.</w:t>
      </w:r>
      <w:r w:rsidR="000660C7" w:rsidRPr="0086242B" w:rsidDel="000660C7">
        <w:rPr>
          <w:rFonts w:ascii="ITC Avant Garde" w:hAnsi="ITC Avant Garde"/>
          <w:sz w:val="20"/>
          <w:szCs w:val="20"/>
        </w:rPr>
        <w:t xml:space="preserve"> </w:t>
      </w:r>
    </w:p>
    <w:p w14:paraId="1CAA3B69" w14:textId="77777777" w:rsidR="006B595F" w:rsidRPr="0086242B" w:rsidRDefault="006B595F" w:rsidP="006B595F">
      <w:pPr>
        <w:spacing w:line="360" w:lineRule="auto"/>
        <w:jc w:val="both"/>
        <w:rPr>
          <w:rFonts w:ascii="ITC Avant Garde" w:hAnsi="ITC Avant Garde"/>
          <w:sz w:val="20"/>
          <w:szCs w:val="20"/>
        </w:rPr>
      </w:pPr>
    </w:p>
    <w:p w14:paraId="49B5EBF5" w14:textId="77777777" w:rsidR="00F47D8A" w:rsidRPr="0086242B" w:rsidRDefault="00A02907" w:rsidP="006B595F">
      <w:pPr>
        <w:spacing w:line="360" w:lineRule="auto"/>
        <w:jc w:val="both"/>
        <w:rPr>
          <w:rFonts w:ascii="ITC Avant Garde" w:hAnsi="ITC Avant Garde"/>
          <w:sz w:val="20"/>
          <w:szCs w:val="20"/>
        </w:rPr>
      </w:pPr>
      <w:r w:rsidRPr="0086242B">
        <w:rPr>
          <w:rFonts w:ascii="ITC Avant Garde" w:hAnsi="ITC Avant Garde"/>
          <w:sz w:val="20"/>
          <w:szCs w:val="20"/>
        </w:rPr>
        <w:t>Para la</w:t>
      </w:r>
      <w:r w:rsidR="00F47D8A" w:rsidRPr="0086242B">
        <w:rPr>
          <w:rFonts w:ascii="ITC Avant Garde" w:hAnsi="ITC Avant Garde"/>
          <w:sz w:val="20"/>
          <w:szCs w:val="20"/>
        </w:rPr>
        <w:t xml:space="preserve"> resolución </w:t>
      </w:r>
      <w:r w:rsidRPr="0086242B">
        <w:rPr>
          <w:rFonts w:ascii="ITC Avant Garde" w:hAnsi="ITC Avant Garde"/>
          <w:sz w:val="20"/>
          <w:szCs w:val="20"/>
        </w:rPr>
        <w:t>de</w:t>
      </w:r>
      <w:r w:rsidR="00F47D8A" w:rsidRPr="0086242B">
        <w:rPr>
          <w:rFonts w:ascii="ITC Avant Garde" w:hAnsi="ITC Avant Garde"/>
          <w:sz w:val="20"/>
          <w:szCs w:val="20"/>
        </w:rPr>
        <w:t xml:space="preserve">l Instituto, se </w:t>
      </w:r>
      <w:r w:rsidRPr="0086242B">
        <w:rPr>
          <w:rFonts w:ascii="ITC Avant Garde" w:hAnsi="ITC Avant Garde"/>
          <w:sz w:val="20"/>
          <w:szCs w:val="20"/>
        </w:rPr>
        <w:t>considerará</w:t>
      </w:r>
      <w:r w:rsidR="00F47D8A" w:rsidRPr="0086242B">
        <w:rPr>
          <w:rFonts w:ascii="ITC Avant Garde" w:hAnsi="ITC Avant Garde"/>
          <w:sz w:val="20"/>
          <w:szCs w:val="20"/>
        </w:rPr>
        <w:t xml:space="preserve"> lo siguiente:</w:t>
      </w:r>
    </w:p>
    <w:p w14:paraId="6329F469" w14:textId="77777777" w:rsidR="003068D5" w:rsidRPr="0086242B" w:rsidRDefault="003068D5" w:rsidP="006B595F">
      <w:pPr>
        <w:spacing w:line="360" w:lineRule="auto"/>
        <w:jc w:val="both"/>
        <w:rPr>
          <w:rFonts w:ascii="ITC Avant Garde" w:hAnsi="ITC Avant Garde"/>
          <w:sz w:val="20"/>
          <w:szCs w:val="20"/>
        </w:rPr>
      </w:pPr>
    </w:p>
    <w:p w14:paraId="5B925B40" w14:textId="77777777" w:rsidR="003068D5" w:rsidRPr="0086242B" w:rsidRDefault="006C4F48" w:rsidP="0086242B">
      <w:pPr>
        <w:numPr>
          <w:ilvl w:val="1"/>
          <w:numId w:val="46"/>
        </w:numPr>
        <w:spacing w:line="360" w:lineRule="auto"/>
        <w:ind w:left="426"/>
        <w:jc w:val="both"/>
        <w:rPr>
          <w:rFonts w:ascii="ITC Avant Garde" w:hAnsi="ITC Avant Garde"/>
          <w:sz w:val="20"/>
          <w:szCs w:val="20"/>
        </w:rPr>
      </w:pPr>
      <w:r w:rsidRPr="0086242B">
        <w:rPr>
          <w:rFonts w:ascii="ITC Avant Garde" w:hAnsi="ITC Avant Garde"/>
          <w:sz w:val="20"/>
          <w:szCs w:val="20"/>
        </w:rPr>
        <w:t>I</w:t>
      </w:r>
      <w:r w:rsidR="00F47D8A" w:rsidRPr="0086242B">
        <w:rPr>
          <w:rFonts w:ascii="ITC Avant Garde" w:hAnsi="ITC Avant Garde"/>
          <w:sz w:val="20"/>
          <w:szCs w:val="20"/>
        </w:rPr>
        <w:t>dentifica</w:t>
      </w:r>
      <w:r w:rsidRPr="0086242B">
        <w:rPr>
          <w:rFonts w:ascii="ITC Avant Garde" w:hAnsi="ITC Avant Garde"/>
          <w:sz w:val="20"/>
          <w:szCs w:val="20"/>
        </w:rPr>
        <w:t>ción de</w:t>
      </w:r>
      <w:r w:rsidR="00C606ED" w:rsidRPr="0086242B">
        <w:rPr>
          <w:rFonts w:ascii="ITC Avant Garde" w:hAnsi="ITC Avant Garde"/>
          <w:sz w:val="20"/>
          <w:szCs w:val="20"/>
        </w:rPr>
        <w:t xml:space="preserve"> la fuente</w:t>
      </w:r>
      <w:r w:rsidR="003068D5" w:rsidRPr="0086242B">
        <w:rPr>
          <w:rFonts w:ascii="ITC Avant Garde" w:hAnsi="ITC Avant Garde"/>
          <w:sz w:val="20"/>
          <w:szCs w:val="20"/>
        </w:rPr>
        <w:t xml:space="preserve"> o fuentes </w:t>
      </w:r>
      <w:r w:rsidR="00C606ED" w:rsidRPr="0086242B">
        <w:rPr>
          <w:rFonts w:ascii="ITC Avant Garde" w:hAnsi="ITC Avant Garde"/>
          <w:sz w:val="20"/>
          <w:szCs w:val="20"/>
        </w:rPr>
        <w:t xml:space="preserve"> emisoras no autorizadas, </w:t>
      </w:r>
      <w:r w:rsidRPr="0086242B">
        <w:rPr>
          <w:rFonts w:ascii="ITC Avant Garde" w:hAnsi="ITC Avant Garde"/>
          <w:sz w:val="20"/>
          <w:szCs w:val="20"/>
        </w:rPr>
        <w:t>a fin</w:t>
      </w:r>
      <w:r w:rsidR="00C606ED" w:rsidRPr="0086242B">
        <w:rPr>
          <w:rFonts w:ascii="ITC Avant Garde" w:hAnsi="ITC Avant Garde"/>
          <w:sz w:val="20"/>
          <w:szCs w:val="20"/>
        </w:rPr>
        <w:t xml:space="preserve"> </w:t>
      </w:r>
      <w:r w:rsidRPr="0086242B">
        <w:rPr>
          <w:rFonts w:ascii="ITC Avant Garde" w:hAnsi="ITC Avant Garde"/>
          <w:sz w:val="20"/>
          <w:szCs w:val="20"/>
        </w:rPr>
        <w:t xml:space="preserve">de </w:t>
      </w:r>
      <w:r w:rsidR="00C606ED" w:rsidRPr="0086242B">
        <w:rPr>
          <w:rFonts w:ascii="ITC Avant Garde" w:hAnsi="ITC Avant Garde"/>
          <w:sz w:val="20"/>
          <w:szCs w:val="20"/>
        </w:rPr>
        <w:t xml:space="preserve">proceder a </w:t>
      </w:r>
      <w:r w:rsidR="003068D5" w:rsidRPr="0086242B">
        <w:rPr>
          <w:rFonts w:ascii="ITC Avant Garde" w:hAnsi="ITC Avant Garde"/>
          <w:sz w:val="20"/>
          <w:szCs w:val="20"/>
        </w:rPr>
        <w:t>la</w:t>
      </w:r>
      <w:r w:rsidR="00C606ED" w:rsidRPr="0086242B">
        <w:rPr>
          <w:rFonts w:ascii="ITC Avant Garde" w:hAnsi="ITC Avant Garde"/>
          <w:sz w:val="20"/>
          <w:szCs w:val="20"/>
        </w:rPr>
        <w:t xml:space="preserve"> cancelación de </w:t>
      </w:r>
      <w:r w:rsidRPr="0086242B">
        <w:rPr>
          <w:rFonts w:ascii="ITC Avant Garde" w:hAnsi="ITC Avant Garde"/>
          <w:sz w:val="20"/>
          <w:szCs w:val="20"/>
        </w:rPr>
        <w:t>las mismas</w:t>
      </w:r>
      <w:r w:rsidR="00A21645">
        <w:rPr>
          <w:rFonts w:ascii="ITC Avant Garde" w:hAnsi="ITC Avant Garde"/>
          <w:sz w:val="20"/>
          <w:szCs w:val="20"/>
        </w:rPr>
        <w:t xml:space="preserve">, así como a la </w:t>
      </w:r>
      <w:r w:rsidR="00A02907" w:rsidRPr="0086242B">
        <w:rPr>
          <w:rFonts w:ascii="ITC Avant Garde" w:hAnsi="ITC Avant Garde"/>
          <w:sz w:val="20"/>
          <w:szCs w:val="20"/>
        </w:rPr>
        <w:t>identificación de l</w:t>
      </w:r>
      <w:r w:rsidR="00F47D8A" w:rsidRPr="0086242B">
        <w:rPr>
          <w:rFonts w:ascii="ITC Avant Garde" w:hAnsi="ITC Avant Garde"/>
          <w:sz w:val="20"/>
          <w:szCs w:val="20"/>
        </w:rPr>
        <w:t>as</w:t>
      </w:r>
      <w:r w:rsidR="006B595F" w:rsidRPr="0086242B">
        <w:rPr>
          <w:rFonts w:ascii="ITC Avant Garde" w:hAnsi="ITC Avant Garde"/>
          <w:sz w:val="20"/>
          <w:szCs w:val="20"/>
        </w:rPr>
        <w:t xml:space="preserve"> estaciones de radiocomunicaciones</w:t>
      </w:r>
      <w:r w:rsidR="003068D5" w:rsidRPr="0086242B">
        <w:rPr>
          <w:rFonts w:ascii="ITC Avant Garde" w:hAnsi="ITC Avant Garde"/>
          <w:sz w:val="20"/>
          <w:szCs w:val="20"/>
        </w:rPr>
        <w:t xml:space="preserve"> que</w:t>
      </w:r>
      <w:r w:rsidR="006B595F" w:rsidRPr="0086242B">
        <w:rPr>
          <w:rFonts w:ascii="ITC Avant Garde" w:hAnsi="ITC Avant Garde"/>
          <w:sz w:val="20"/>
          <w:szCs w:val="20"/>
        </w:rPr>
        <w:t xml:space="preserve"> </w:t>
      </w:r>
      <w:r w:rsidR="003068D5" w:rsidRPr="0086242B">
        <w:rPr>
          <w:rFonts w:ascii="ITC Avant Garde" w:hAnsi="ITC Avant Garde"/>
          <w:sz w:val="20"/>
          <w:szCs w:val="20"/>
        </w:rPr>
        <w:t xml:space="preserve">en lo individual </w:t>
      </w:r>
      <w:r w:rsidR="006B595F" w:rsidRPr="0086242B">
        <w:rPr>
          <w:rFonts w:ascii="ITC Avant Garde" w:hAnsi="ITC Avant Garde"/>
          <w:sz w:val="20"/>
          <w:szCs w:val="20"/>
        </w:rPr>
        <w:t>excedan los límites de exposición máxima correspondientes a su frecuencia de operación</w:t>
      </w:r>
      <w:r w:rsidR="00F47D8A" w:rsidRPr="0086242B">
        <w:rPr>
          <w:rFonts w:ascii="ITC Avant Garde" w:hAnsi="ITC Avant Garde"/>
          <w:sz w:val="20"/>
          <w:szCs w:val="20"/>
        </w:rPr>
        <w:t>,</w:t>
      </w:r>
      <w:r w:rsidR="006B595F" w:rsidRPr="0086242B">
        <w:rPr>
          <w:rFonts w:ascii="ITC Avant Garde" w:hAnsi="ITC Avant Garde"/>
          <w:sz w:val="20"/>
          <w:szCs w:val="20"/>
        </w:rPr>
        <w:t xml:space="preserve"> </w:t>
      </w:r>
      <w:r w:rsidR="00A02907" w:rsidRPr="0086242B">
        <w:rPr>
          <w:rFonts w:ascii="ITC Avant Garde" w:hAnsi="ITC Avant Garde"/>
          <w:sz w:val="20"/>
          <w:szCs w:val="20"/>
        </w:rPr>
        <w:t xml:space="preserve">las cuales </w:t>
      </w:r>
      <w:r w:rsidRPr="0086242B">
        <w:rPr>
          <w:rFonts w:ascii="ITC Avant Garde" w:hAnsi="ITC Avant Garde"/>
          <w:sz w:val="20"/>
          <w:szCs w:val="20"/>
        </w:rPr>
        <w:t>deberán</w:t>
      </w:r>
      <w:r w:rsidR="006B595F" w:rsidRPr="0086242B">
        <w:rPr>
          <w:rFonts w:ascii="ITC Avant Garde" w:hAnsi="ITC Avant Garde"/>
          <w:sz w:val="20"/>
          <w:szCs w:val="20"/>
        </w:rPr>
        <w:t xml:space="preserve"> reducir sus emisiones hasta alcanzar los valores de cumplimiento </w:t>
      </w:r>
      <w:r w:rsidR="00CD55E2" w:rsidRPr="0086242B">
        <w:rPr>
          <w:rFonts w:ascii="ITC Avant Garde" w:hAnsi="ITC Avant Garde"/>
          <w:sz w:val="20"/>
          <w:szCs w:val="20"/>
        </w:rPr>
        <w:t>establecidos en la presente disposición</w:t>
      </w:r>
      <w:r w:rsidR="0047383F" w:rsidRPr="0086242B">
        <w:rPr>
          <w:rFonts w:ascii="ITC Avant Garde" w:hAnsi="ITC Avant Garde"/>
          <w:sz w:val="20"/>
          <w:szCs w:val="20"/>
        </w:rPr>
        <w:t>, para lo cual contar</w:t>
      </w:r>
      <w:r w:rsidR="00A02907" w:rsidRPr="0086242B">
        <w:rPr>
          <w:rFonts w:ascii="ITC Avant Garde" w:hAnsi="ITC Avant Garde"/>
          <w:sz w:val="20"/>
          <w:szCs w:val="20"/>
        </w:rPr>
        <w:t>á</w:t>
      </w:r>
      <w:r w:rsidR="0047383F" w:rsidRPr="0086242B">
        <w:rPr>
          <w:rFonts w:ascii="ITC Avant Garde" w:hAnsi="ITC Avant Garde"/>
          <w:sz w:val="20"/>
          <w:szCs w:val="20"/>
        </w:rPr>
        <w:t xml:space="preserve">n con un plazo de 10 días hábiles, </w:t>
      </w:r>
      <w:r w:rsidR="00A02907" w:rsidRPr="0086242B">
        <w:rPr>
          <w:rFonts w:ascii="ITC Avant Garde" w:hAnsi="ITC Avant Garde"/>
          <w:sz w:val="20"/>
          <w:szCs w:val="20"/>
        </w:rPr>
        <w:t xml:space="preserve">a partir de que se los </w:t>
      </w:r>
      <w:r w:rsidR="0047383F" w:rsidRPr="0086242B">
        <w:rPr>
          <w:rFonts w:ascii="ITC Avant Garde" w:hAnsi="ITC Avant Garde"/>
          <w:sz w:val="20"/>
          <w:szCs w:val="20"/>
        </w:rPr>
        <w:t xml:space="preserve"> notifi</w:t>
      </w:r>
      <w:r w:rsidR="00A02907" w:rsidRPr="0086242B">
        <w:rPr>
          <w:rFonts w:ascii="ITC Avant Garde" w:hAnsi="ITC Avant Garde"/>
          <w:sz w:val="20"/>
          <w:szCs w:val="20"/>
        </w:rPr>
        <w:t>que</w:t>
      </w:r>
      <w:r w:rsidR="0047383F" w:rsidRPr="0086242B">
        <w:rPr>
          <w:rFonts w:ascii="ITC Avant Garde" w:hAnsi="ITC Avant Garde"/>
          <w:sz w:val="20"/>
          <w:szCs w:val="20"/>
        </w:rPr>
        <w:t xml:space="preserve"> el Instituto.</w:t>
      </w:r>
    </w:p>
    <w:p w14:paraId="2196C731" w14:textId="1026B71C" w:rsidR="00A24162" w:rsidRPr="0086242B" w:rsidRDefault="00597E9C" w:rsidP="00597E9C">
      <w:pPr>
        <w:numPr>
          <w:ilvl w:val="1"/>
          <w:numId w:val="46"/>
        </w:numPr>
        <w:spacing w:line="360" w:lineRule="auto"/>
        <w:ind w:left="426"/>
        <w:jc w:val="both"/>
        <w:rPr>
          <w:rFonts w:ascii="ITC Avant Garde" w:hAnsi="ITC Avant Garde"/>
          <w:sz w:val="20"/>
          <w:szCs w:val="20"/>
        </w:rPr>
      </w:pPr>
      <w:r w:rsidRPr="0086242B">
        <w:rPr>
          <w:rFonts w:ascii="ITC Avant Garde" w:hAnsi="ITC Avant Garde"/>
          <w:sz w:val="20"/>
          <w:szCs w:val="20"/>
        </w:rPr>
        <w:t>Si después de la cancelación de emisores no autorizados, en caso de existir, y de que las estaciones de radiocomunicaciones que excedían los límites de exposición máxima correspondiente a su frecuencia de operación cumplan con dichos límites,</w:t>
      </w:r>
      <w:r w:rsidR="00136324" w:rsidRPr="0086242B">
        <w:rPr>
          <w:rFonts w:ascii="ITC Avant Garde" w:hAnsi="ITC Avant Garde"/>
          <w:sz w:val="20"/>
          <w:szCs w:val="20"/>
        </w:rPr>
        <w:t xml:space="preserve"> y</w:t>
      </w:r>
      <w:r w:rsidRPr="0086242B">
        <w:rPr>
          <w:rFonts w:ascii="ITC Avant Garde" w:hAnsi="ITC Avant Garde"/>
          <w:sz w:val="20"/>
          <w:szCs w:val="20"/>
        </w:rPr>
        <w:t xml:space="preserve"> se sigue incumpliendo con el parámetro de la exposición simultánea a múltiples emisores; el Instituto convocará a los involucrados que contribuyen al nivel de exposición porcentual, para que lleguen a un acuerdo y resuelvan dicho incumplimiento, </w:t>
      </w:r>
      <w:r w:rsidR="00B9211C" w:rsidRPr="0086242B">
        <w:rPr>
          <w:rFonts w:ascii="ITC Avant Garde" w:hAnsi="ITC Avant Garde"/>
          <w:sz w:val="20"/>
          <w:szCs w:val="20"/>
        </w:rPr>
        <w:t>en un plazo de 20 días hábiles a partir de la primera reunión convocada por el Instituto.</w:t>
      </w:r>
    </w:p>
    <w:p w14:paraId="3064578D" w14:textId="384B54CF" w:rsidR="00A24162" w:rsidRPr="00E7360E" w:rsidRDefault="003068D5" w:rsidP="00473D68">
      <w:pPr>
        <w:numPr>
          <w:ilvl w:val="1"/>
          <w:numId w:val="46"/>
        </w:numPr>
        <w:spacing w:line="360" w:lineRule="auto"/>
        <w:ind w:left="426"/>
        <w:jc w:val="both"/>
        <w:rPr>
          <w:rFonts w:ascii="ITC Avant Garde" w:hAnsi="ITC Avant Garde"/>
          <w:sz w:val="20"/>
          <w:szCs w:val="20"/>
          <w:lang w:val="es-MX" w:eastAsia="en-US"/>
        </w:rPr>
      </w:pPr>
      <w:r w:rsidRPr="00473D68">
        <w:rPr>
          <w:rFonts w:ascii="ITC Avant Garde" w:hAnsi="ITC Avant Garde"/>
          <w:sz w:val="20"/>
          <w:szCs w:val="20"/>
        </w:rPr>
        <w:t xml:space="preserve">Si </w:t>
      </w:r>
      <w:r w:rsidR="00B9211C" w:rsidRPr="00473D68">
        <w:rPr>
          <w:rFonts w:ascii="ITC Avant Garde" w:hAnsi="ITC Avant Garde"/>
          <w:sz w:val="20"/>
          <w:szCs w:val="20"/>
        </w:rPr>
        <w:t>las acciones enlistadas en los incisos a)</w:t>
      </w:r>
      <w:r w:rsidR="002A7200" w:rsidRPr="00473D68">
        <w:rPr>
          <w:rFonts w:ascii="ITC Avant Garde" w:hAnsi="ITC Avant Garde"/>
          <w:sz w:val="20"/>
          <w:szCs w:val="20"/>
        </w:rPr>
        <w:t xml:space="preserve"> y</w:t>
      </w:r>
      <w:r w:rsidR="00B9211C" w:rsidRPr="00473D68">
        <w:rPr>
          <w:rFonts w:ascii="ITC Avant Garde" w:hAnsi="ITC Avant Garde"/>
          <w:sz w:val="20"/>
          <w:szCs w:val="20"/>
        </w:rPr>
        <w:t xml:space="preserve"> b) no resuelven</w:t>
      </w:r>
      <w:r w:rsidRPr="00473D68">
        <w:rPr>
          <w:rFonts w:ascii="ITC Avant Garde" w:hAnsi="ITC Avant Garde"/>
          <w:sz w:val="20"/>
          <w:szCs w:val="20"/>
        </w:rPr>
        <w:t xml:space="preserve"> el incumplimiento del nivel de exposición simultánea a múltiples emisores con distintas frecuencias, el Instituto </w:t>
      </w:r>
      <w:r w:rsidR="00B9211C" w:rsidRPr="00473D68">
        <w:rPr>
          <w:rFonts w:ascii="ITC Avant Garde" w:hAnsi="ITC Avant Garde"/>
          <w:sz w:val="20"/>
          <w:szCs w:val="20"/>
        </w:rPr>
        <w:t>resolverá al respecto</w:t>
      </w:r>
      <w:r w:rsidRPr="00473D68">
        <w:rPr>
          <w:rFonts w:ascii="ITC Avant Garde" w:hAnsi="ITC Avant Garde"/>
          <w:sz w:val="20"/>
          <w:szCs w:val="20"/>
        </w:rPr>
        <w:t xml:space="preserve">, </w:t>
      </w:r>
      <w:r w:rsidR="00B9211C" w:rsidRPr="00473D68">
        <w:rPr>
          <w:rFonts w:ascii="ITC Avant Garde" w:hAnsi="ITC Avant Garde"/>
          <w:sz w:val="20"/>
          <w:szCs w:val="20"/>
        </w:rPr>
        <w:t xml:space="preserve">en un plazo de 20 días hábiles, contados a partir del término del plazo establecido en el inciso </w:t>
      </w:r>
      <w:r w:rsidR="002A7200" w:rsidRPr="00473D68">
        <w:rPr>
          <w:rFonts w:ascii="ITC Avant Garde" w:hAnsi="ITC Avant Garde"/>
          <w:sz w:val="20"/>
          <w:szCs w:val="20"/>
        </w:rPr>
        <w:t>b</w:t>
      </w:r>
      <w:r w:rsidR="00B9211C" w:rsidRPr="00E7360E">
        <w:rPr>
          <w:rFonts w:ascii="ITC Avant Garde" w:hAnsi="ITC Avant Garde"/>
          <w:sz w:val="20"/>
          <w:szCs w:val="20"/>
        </w:rPr>
        <w:t>)</w:t>
      </w:r>
      <w:r w:rsidR="00E36B36" w:rsidRPr="00E7360E">
        <w:rPr>
          <w:rFonts w:ascii="ITC Avant Garde" w:hAnsi="ITC Avant Garde"/>
          <w:sz w:val="20"/>
          <w:szCs w:val="20"/>
        </w:rPr>
        <w:t>.</w:t>
      </w:r>
      <w:r w:rsidR="00A24162" w:rsidRPr="00E7360E">
        <w:rPr>
          <w:rFonts w:ascii="ITC Avant Garde" w:hAnsi="ITC Avant Garde"/>
          <w:sz w:val="20"/>
          <w:szCs w:val="20"/>
        </w:rPr>
        <w:t xml:space="preserve"> </w:t>
      </w:r>
      <w:r w:rsidR="00E36B36" w:rsidRPr="00E7360E">
        <w:rPr>
          <w:rFonts w:ascii="ITC Avant Garde" w:hAnsi="ITC Avant Garde"/>
          <w:sz w:val="20"/>
          <w:szCs w:val="20"/>
        </w:rPr>
        <w:t>E</w:t>
      </w:r>
      <w:r w:rsidR="00A24162" w:rsidRPr="00E7360E">
        <w:rPr>
          <w:rFonts w:ascii="ITC Avant Garde" w:hAnsi="ITC Avant Garde"/>
          <w:sz w:val="20"/>
          <w:szCs w:val="20"/>
        </w:rPr>
        <w:t xml:space="preserve">n tal sentido, el Instituto podrá establecer, entre otros parámetros técnicos de operación, las disminuciones porcentuales de la potencia que deberá observar cada </w:t>
      </w:r>
      <w:r w:rsidR="00844CE4" w:rsidRPr="00E7360E">
        <w:rPr>
          <w:rFonts w:ascii="ITC Avant Garde" w:hAnsi="ITC Avant Garde"/>
          <w:sz w:val="20"/>
          <w:szCs w:val="20"/>
        </w:rPr>
        <w:t>estación de radiocomunicación.</w:t>
      </w:r>
      <w:r w:rsidR="00A24162" w:rsidRPr="00E7360E">
        <w:rPr>
          <w:rFonts w:ascii="ITC Avant Garde" w:hAnsi="ITC Avant Garde"/>
          <w:sz w:val="20"/>
          <w:szCs w:val="20"/>
        </w:rPr>
        <w:t xml:space="preserve"> </w:t>
      </w:r>
    </w:p>
    <w:p w14:paraId="5420B66F" w14:textId="77777777" w:rsidR="006521B5" w:rsidRPr="0086242B" w:rsidRDefault="006521B5" w:rsidP="00473D68">
      <w:pPr>
        <w:spacing w:line="360" w:lineRule="auto"/>
        <w:ind w:left="426"/>
        <w:jc w:val="both"/>
        <w:rPr>
          <w:rFonts w:ascii="ITC Avant Garde" w:hAnsi="ITC Avant Garde"/>
          <w:sz w:val="20"/>
          <w:szCs w:val="20"/>
        </w:rPr>
      </w:pPr>
    </w:p>
    <w:p w14:paraId="06039D04" w14:textId="77777777" w:rsidR="00185236" w:rsidRPr="0086242B" w:rsidRDefault="00185236" w:rsidP="003068D5">
      <w:pPr>
        <w:spacing w:line="360" w:lineRule="auto"/>
        <w:jc w:val="both"/>
        <w:rPr>
          <w:rFonts w:ascii="ITC Avant Garde" w:hAnsi="ITC Avant Garde"/>
          <w:sz w:val="20"/>
          <w:szCs w:val="20"/>
        </w:rPr>
      </w:pPr>
    </w:p>
    <w:p w14:paraId="53AB4A04" w14:textId="77777777" w:rsidR="00185236" w:rsidRPr="0086242B" w:rsidRDefault="00185236" w:rsidP="003068D5">
      <w:pPr>
        <w:spacing w:line="360" w:lineRule="auto"/>
        <w:jc w:val="both"/>
        <w:rPr>
          <w:rFonts w:ascii="ITC Avant Garde" w:hAnsi="ITC Avant Garde"/>
          <w:sz w:val="20"/>
          <w:szCs w:val="20"/>
        </w:rPr>
      </w:pPr>
    </w:p>
    <w:p w14:paraId="6D4351B1" w14:textId="77777777" w:rsidR="006B595F" w:rsidRPr="0086242B" w:rsidRDefault="006B595F" w:rsidP="006B595F">
      <w:pPr>
        <w:pStyle w:val="Ttulo1"/>
        <w:keepLines w:val="0"/>
        <w:numPr>
          <w:ilvl w:val="0"/>
          <w:numId w:val="49"/>
        </w:numPr>
        <w:spacing w:before="120" w:after="60" w:line="240" w:lineRule="auto"/>
        <w:jc w:val="both"/>
        <w:rPr>
          <w:rFonts w:ascii="ITC Avant Garde" w:hAnsi="ITC Avant Garde"/>
          <w:color w:val="auto"/>
          <w:sz w:val="22"/>
          <w:szCs w:val="22"/>
        </w:rPr>
      </w:pPr>
      <w:bookmarkStart w:id="13" w:name="_Ref119388018"/>
      <w:bookmarkStart w:id="14" w:name="_Toc414444594"/>
      <w:bookmarkEnd w:id="13"/>
      <w:r w:rsidRPr="0086242B">
        <w:rPr>
          <w:rFonts w:ascii="ITC Avant Garde" w:hAnsi="ITC Avant Garde"/>
          <w:color w:val="auto"/>
          <w:sz w:val="22"/>
          <w:szCs w:val="22"/>
        </w:rPr>
        <w:t>Métodos de prueba.</w:t>
      </w:r>
      <w:bookmarkEnd w:id="14"/>
    </w:p>
    <w:p w14:paraId="4AA1F620" w14:textId="77777777" w:rsidR="006B595F" w:rsidRPr="0086242B" w:rsidRDefault="006B595F" w:rsidP="006B595F">
      <w:pPr>
        <w:rPr>
          <w:rFonts w:ascii="ITC Avant Garde" w:hAnsi="ITC Avant Garde"/>
        </w:rPr>
      </w:pPr>
    </w:p>
    <w:p w14:paraId="426C0929"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Los métodos de prueba permiten evaluar y comprobar los </w:t>
      </w:r>
      <w:r w:rsidRPr="0086242B">
        <w:rPr>
          <w:rFonts w:ascii="ITC Avant Garde" w:hAnsi="ITC Avant Garde"/>
          <w:sz w:val="20"/>
          <w:szCs w:val="20"/>
          <w:lang w:val="es-ES_tradnl"/>
        </w:rPr>
        <w:t xml:space="preserve">niveles de exposición </w:t>
      </w:r>
      <w:proofErr w:type="gramStart"/>
      <w:r w:rsidRPr="0086242B">
        <w:rPr>
          <w:rFonts w:ascii="ITC Avant Garde" w:hAnsi="ITC Avant Garde"/>
          <w:sz w:val="20"/>
          <w:szCs w:val="20"/>
          <w:lang w:val="es-ES_tradnl"/>
        </w:rPr>
        <w:t xml:space="preserve">máxima  </w:t>
      </w:r>
      <w:r w:rsidRPr="0086242B">
        <w:rPr>
          <w:rFonts w:ascii="ITC Avant Garde" w:hAnsi="ITC Avant Garde"/>
          <w:sz w:val="20"/>
          <w:szCs w:val="20"/>
        </w:rPr>
        <w:t>en</w:t>
      </w:r>
      <w:proofErr w:type="gramEnd"/>
      <w:r w:rsidRPr="0086242B">
        <w:rPr>
          <w:rFonts w:ascii="ITC Avant Garde" w:hAnsi="ITC Avant Garde"/>
          <w:sz w:val="20"/>
          <w:szCs w:val="20"/>
        </w:rPr>
        <w:t xml:space="preserve"> el entorno próximo que rodea a la estación de radiocomunicaciones que se emplea para servicios de telecomunicaciones y de radiodifusión en donde habitualmente esté presente público en general. </w:t>
      </w:r>
      <w:r w:rsidRPr="0086242B" w:rsidDel="0049117F">
        <w:rPr>
          <w:rFonts w:ascii="ITC Avant Garde" w:hAnsi="ITC Avant Garde"/>
          <w:sz w:val="20"/>
          <w:szCs w:val="20"/>
        </w:rPr>
        <w:t xml:space="preserve"> </w:t>
      </w:r>
    </w:p>
    <w:p w14:paraId="45A83413" w14:textId="77777777" w:rsidR="006B595F" w:rsidRPr="0086242B" w:rsidRDefault="006B595F" w:rsidP="006B595F">
      <w:pPr>
        <w:spacing w:line="360" w:lineRule="auto"/>
        <w:jc w:val="both"/>
        <w:rPr>
          <w:rFonts w:ascii="ITC Avant Garde" w:hAnsi="ITC Avant Garde"/>
          <w:sz w:val="20"/>
          <w:szCs w:val="20"/>
        </w:rPr>
      </w:pPr>
    </w:p>
    <w:p w14:paraId="60E28FFF"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La evaluación de los niveles de exposición máxima en el entorno próximo que rodea a la estación de radiocomunicaciones debe realizarse mediante cálculo y/o mediciones.</w:t>
      </w:r>
    </w:p>
    <w:p w14:paraId="6EBB1455" w14:textId="77777777" w:rsidR="006B595F" w:rsidRPr="0086242B" w:rsidRDefault="006B595F" w:rsidP="006B595F">
      <w:pPr>
        <w:spacing w:line="360" w:lineRule="auto"/>
        <w:jc w:val="both"/>
        <w:rPr>
          <w:rFonts w:ascii="ITC Avant Garde" w:hAnsi="ITC Avant Garde"/>
          <w:sz w:val="20"/>
          <w:szCs w:val="20"/>
        </w:rPr>
      </w:pPr>
    </w:p>
    <w:p w14:paraId="1A07F3E5" w14:textId="77777777" w:rsidR="006B595F" w:rsidRPr="0086242B" w:rsidRDefault="006B595F" w:rsidP="006B595F">
      <w:pPr>
        <w:pStyle w:val="Prrafodelista"/>
        <w:numPr>
          <w:ilvl w:val="0"/>
          <w:numId w:val="53"/>
        </w:numPr>
        <w:spacing w:line="360" w:lineRule="auto"/>
        <w:jc w:val="both"/>
        <w:rPr>
          <w:rFonts w:ascii="ITC Avant Garde" w:hAnsi="ITC Avant Garde"/>
          <w:sz w:val="20"/>
          <w:szCs w:val="20"/>
        </w:rPr>
      </w:pPr>
      <w:r w:rsidRPr="0086242B">
        <w:rPr>
          <w:rFonts w:ascii="ITC Avant Garde" w:hAnsi="ITC Avant Garde"/>
          <w:b/>
          <w:sz w:val="20"/>
          <w:szCs w:val="20"/>
        </w:rPr>
        <w:t>El cálculo</w:t>
      </w:r>
      <w:r w:rsidRPr="0086242B">
        <w:rPr>
          <w:rFonts w:ascii="ITC Avant Garde" w:hAnsi="ITC Avant Garde"/>
          <w:sz w:val="20"/>
          <w:szCs w:val="20"/>
        </w:rPr>
        <w:t xml:space="preserve"> de los niveles de exposición máxima se debe realizar cuando en el entorno próximo que rodea a cada estación de radiocomunicaciones esté habitualmente presente público en general y dicho entorno pertenezca a la región de campo lejano. En este caso, se deberán considerar las características básicas del emisor y las condiciones bajo las cuales se tendría un nivel máximo de exposición, es decir, las condiciones de emisión más desfavorables. </w:t>
      </w:r>
    </w:p>
    <w:p w14:paraId="3E246B23" w14:textId="77777777" w:rsidR="006B595F" w:rsidRPr="0086242B" w:rsidRDefault="006B595F" w:rsidP="006B595F">
      <w:pPr>
        <w:spacing w:line="360" w:lineRule="auto"/>
        <w:jc w:val="both"/>
        <w:rPr>
          <w:rFonts w:ascii="ITC Avant Garde" w:hAnsi="ITC Avant Garde"/>
          <w:sz w:val="20"/>
          <w:szCs w:val="20"/>
        </w:rPr>
      </w:pPr>
    </w:p>
    <w:p w14:paraId="162EFA7B" w14:textId="77777777" w:rsidR="006B595F" w:rsidRPr="0086242B" w:rsidRDefault="006B595F" w:rsidP="006B595F">
      <w:pPr>
        <w:pStyle w:val="Prrafodelista"/>
        <w:numPr>
          <w:ilvl w:val="0"/>
          <w:numId w:val="53"/>
        </w:numPr>
        <w:spacing w:line="360" w:lineRule="auto"/>
        <w:jc w:val="both"/>
        <w:rPr>
          <w:rFonts w:ascii="ITC Avant Garde" w:hAnsi="ITC Avant Garde"/>
          <w:sz w:val="20"/>
          <w:szCs w:val="20"/>
        </w:rPr>
      </w:pPr>
      <w:r w:rsidRPr="0086242B">
        <w:rPr>
          <w:rFonts w:ascii="ITC Avant Garde" w:hAnsi="ITC Avant Garde"/>
          <w:b/>
          <w:sz w:val="20"/>
          <w:szCs w:val="20"/>
        </w:rPr>
        <w:t>La medición</w:t>
      </w:r>
      <w:r w:rsidRPr="0086242B">
        <w:rPr>
          <w:rFonts w:ascii="ITC Avant Garde" w:hAnsi="ITC Avant Garde"/>
          <w:sz w:val="20"/>
          <w:szCs w:val="20"/>
        </w:rPr>
        <w:t xml:space="preserve"> de los niveles de exposición máxima se debe realizar cuando: </w:t>
      </w:r>
    </w:p>
    <w:p w14:paraId="234BEF37" w14:textId="77777777" w:rsidR="006B595F" w:rsidRPr="0086242B" w:rsidRDefault="006B595F" w:rsidP="006B595F">
      <w:pPr>
        <w:spacing w:line="360" w:lineRule="auto"/>
        <w:jc w:val="both"/>
        <w:rPr>
          <w:rFonts w:ascii="ITC Avant Garde" w:hAnsi="ITC Avant Garde"/>
          <w:sz w:val="20"/>
          <w:szCs w:val="20"/>
        </w:rPr>
      </w:pPr>
    </w:p>
    <w:p w14:paraId="3324E31A" w14:textId="77777777" w:rsidR="006B595F" w:rsidRPr="0086242B" w:rsidRDefault="006B595F" w:rsidP="006B595F">
      <w:pPr>
        <w:numPr>
          <w:ilvl w:val="0"/>
          <w:numId w:val="24"/>
        </w:numPr>
        <w:spacing w:line="360" w:lineRule="auto"/>
        <w:jc w:val="both"/>
        <w:rPr>
          <w:rFonts w:ascii="ITC Avant Garde" w:hAnsi="ITC Avant Garde"/>
          <w:sz w:val="20"/>
          <w:szCs w:val="20"/>
        </w:rPr>
      </w:pPr>
      <w:r w:rsidRPr="0086242B">
        <w:rPr>
          <w:rFonts w:ascii="ITC Avant Garde" w:hAnsi="ITC Avant Garde"/>
          <w:sz w:val="20"/>
          <w:szCs w:val="20"/>
        </w:rPr>
        <w:t>En el entorno próximo que rodea a la estación de radiocomunicaciones esté habitualmente presente público en general y dicho entorno pertenezca a la región de campo cercano</w:t>
      </w:r>
      <w:r w:rsidR="00B75E81">
        <w:rPr>
          <w:rFonts w:ascii="ITC Avant Garde" w:hAnsi="ITC Avant Garde"/>
          <w:sz w:val="20"/>
          <w:szCs w:val="20"/>
        </w:rPr>
        <w:t>.</w:t>
      </w:r>
      <w:r w:rsidRPr="0086242B">
        <w:rPr>
          <w:rFonts w:ascii="ITC Avant Garde" w:hAnsi="ITC Avant Garde"/>
          <w:sz w:val="20"/>
          <w:szCs w:val="20"/>
        </w:rPr>
        <w:t xml:space="preserve"> </w:t>
      </w:r>
    </w:p>
    <w:p w14:paraId="29293948" w14:textId="77777777" w:rsidR="006B595F" w:rsidRPr="0086242B" w:rsidRDefault="006B595F" w:rsidP="006B595F">
      <w:pPr>
        <w:spacing w:line="360" w:lineRule="auto"/>
        <w:ind w:left="720"/>
        <w:jc w:val="both"/>
        <w:rPr>
          <w:rFonts w:ascii="ITC Avant Garde" w:hAnsi="ITC Avant Garde"/>
          <w:sz w:val="20"/>
          <w:szCs w:val="20"/>
        </w:rPr>
      </w:pPr>
    </w:p>
    <w:p w14:paraId="2D875B05" w14:textId="77777777" w:rsidR="006B595F" w:rsidRPr="0086242B" w:rsidRDefault="006B595F" w:rsidP="006B595F">
      <w:pPr>
        <w:numPr>
          <w:ilvl w:val="0"/>
          <w:numId w:val="24"/>
        </w:numPr>
        <w:spacing w:line="360" w:lineRule="auto"/>
        <w:jc w:val="both"/>
        <w:rPr>
          <w:rFonts w:ascii="ITC Avant Garde" w:hAnsi="ITC Avant Garde"/>
          <w:sz w:val="20"/>
          <w:szCs w:val="20"/>
        </w:rPr>
      </w:pPr>
      <w:r w:rsidRPr="0086242B">
        <w:rPr>
          <w:rFonts w:ascii="ITC Avant Garde" w:hAnsi="ITC Avant Garde"/>
          <w:sz w:val="20"/>
          <w:szCs w:val="20"/>
        </w:rPr>
        <w:t>En el entorno próximo que rodea a la estación de radiocomunicaciones en donde esté habitualmente presente público en general y los valores obtenidos con el cálculo en la región de campo lejano rebasen los límites de exposición máxima</w:t>
      </w:r>
      <w:r w:rsidR="00B75E81">
        <w:rPr>
          <w:rFonts w:ascii="ITC Avant Garde" w:hAnsi="ITC Avant Garde"/>
          <w:sz w:val="20"/>
          <w:szCs w:val="20"/>
        </w:rPr>
        <w:t>.</w:t>
      </w:r>
    </w:p>
    <w:p w14:paraId="3CBB9CD1" w14:textId="77777777" w:rsidR="006B595F" w:rsidRPr="0086242B" w:rsidRDefault="006B595F" w:rsidP="006B595F">
      <w:pPr>
        <w:spacing w:line="360" w:lineRule="auto"/>
        <w:jc w:val="both"/>
        <w:rPr>
          <w:rFonts w:ascii="ITC Avant Garde" w:hAnsi="ITC Avant Garde"/>
          <w:sz w:val="20"/>
          <w:szCs w:val="20"/>
        </w:rPr>
      </w:pPr>
    </w:p>
    <w:p w14:paraId="047BDB24" w14:textId="77777777" w:rsidR="006B595F" w:rsidRPr="0086242B" w:rsidRDefault="006B595F" w:rsidP="006B595F">
      <w:pPr>
        <w:numPr>
          <w:ilvl w:val="0"/>
          <w:numId w:val="24"/>
        </w:numPr>
        <w:spacing w:line="360" w:lineRule="auto"/>
        <w:jc w:val="both"/>
        <w:rPr>
          <w:rFonts w:ascii="ITC Avant Garde" w:hAnsi="ITC Avant Garde"/>
          <w:sz w:val="20"/>
          <w:szCs w:val="20"/>
        </w:rPr>
      </w:pPr>
      <w:r w:rsidRPr="0086242B">
        <w:rPr>
          <w:rFonts w:ascii="ITC Avant Garde" w:hAnsi="ITC Avant Garde"/>
          <w:sz w:val="20"/>
          <w:szCs w:val="20"/>
        </w:rPr>
        <w:t>El nivel de exposición porcentual calculado o medido en la región de campo lejano en zonas cercanas a múltiples emisores donde esté habitualmente presente público en general llegue a ser mayor a la unidad. En este caso, se deben realizar mediciones de los niveles de exposición de cada emisor involucrado en la zona cercana a múltiples emisiones con el fin de verificar el cumplimiento con los niveles de exposición máxima correspondientes a su frecuencia de operación.</w:t>
      </w:r>
    </w:p>
    <w:p w14:paraId="1E92A60F" w14:textId="77777777" w:rsidR="006B595F" w:rsidRPr="0086242B" w:rsidRDefault="006B595F" w:rsidP="006B595F">
      <w:pPr>
        <w:spacing w:line="360" w:lineRule="auto"/>
        <w:jc w:val="both"/>
        <w:rPr>
          <w:rFonts w:ascii="ITC Avant Garde" w:hAnsi="ITC Avant Garde"/>
          <w:sz w:val="20"/>
          <w:szCs w:val="20"/>
        </w:rPr>
      </w:pPr>
    </w:p>
    <w:p w14:paraId="7AF946D7" w14:textId="77777777" w:rsidR="00E14243" w:rsidRPr="00F02808" w:rsidRDefault="00E14243" w:rsidP="00E14243">
      <w:pPr>
        <w:spacing w:line="360" w:lineRule="auto"/>
        <w:jc w:val="both"/>
        <w:rPr>
          <w:rFonts w:ascii="ITC Avant Garde" w:hAnsi="ITC Avant Garde"/>
          <w:sz w:val="20"/>
          <w:szCs w:val="20"/>
        </w:rPr>
      </w:pPr>
      <w:r w:rsidRPr="00F02808">
        <w:rPr>
          <w:rFonts w:ascii="ITC Avant Garde" w:hAnsi="ITC Avant Garde"/>
          <w:sz w:val="20"/>
          <w:szCs w:val="20"/>
        </w:rPr>
        <w:t xml:space="preserve">Así mismo, los métodos de prueba permiten determinar los límites básicos de exposición máxima, específicamente los valores del SAR localizado en la cabeza y el tronco producidos por los </w:t>
      </w:r>
      <w:r w:rsidRPr="00F02808">
        <w:rPr>
          <w:rFonts w:ascii="ITC Avant Garde" w:hAnsi="ITC Avant Garde"/>
          <w:sz w:val="20"/>
          <w:szCs w:val="20"/>
          <w:lang w:val="es-ES_tradnl"/>
        </w:rPr>
        <w:t>equipos terminales de radiocomunicaciones.</w:t>
      </w:r>
    </w:p>
    <w:p w14:paraId="481FAB8D" w14:textId="77777777" w:rsidR="006B595F" w:rsidRPr="0086242B" w:rsidRDefault="006B595F" w:rsidP="006B595F">
      <w:pPr>
        <w:jc w:val="both"/>
        <w:rPr>
          <w:rFonts w:ascii="ITC Avant Garde" w:hAnsi="ITC Avant Garde"/>
        </w:rPr>
      </w:pPr>
    </w:p>
    <w:p w14:paraId="02052D66" w14:textId="77777777" w:rsidR="006B595F" w:rsidRPr="0086242B" w:rsidRDefault="006B595F" w:rsidP="006B595F">
      <w:pPr>
        <w:pStyle w:val="Ttulo2"/>
        <w:numPr>
          <w:ilvl w:val="1"/>
          <w:numId w:val="49"/>
        </w:numPr>
        <w:spacing w:before="120"/>
        <w:jc w:val="both"/>
        <w:rPr>
          <w:rFonts w:ascii="ITC Avant Garde" w:hAnsi="ITC Avant Garde"/>
          <w:i w:val="0"/>
          <w:sz w:val="22"/>
          <w:szCs w:val="22"/>
        </w:rPr>
      </w:pPr>
      <w:bookmarkStart w:id="15" w:name="_Toc414444595"/>
      <w:r w:rsidRPr="0086242B">
        <w:rPr>
          <w:rFonts w:ascii="ITC Avant Garde" w:hAnsi="ITC Avant Garde"/>
          <w:i w:val="0"/>
          <w:sz w:val="22"/>
          <w:szCs w:val="22"/>
        </w:rPr>
        <w:t>Cálculo de los niveles de exposición.</w:t>
      </w:r>
      <w:bookmarkEnd w:id="15"/>
    </w:p>
    <w:p w14:paraId="1BAB481F" w14:textId="77777777" w:rsidR="006B595F" w:rsidRPr="0086242B" w:rsidRDefault="006B595F" w:rsidP="006B595F">
      <w:pPr>
        <w:pStyle w:val="Ttulo3"/>
        <w:keepLines w:val="0"/>
        <w:numPr>
          <w:ilvl w:val="2"/>
          <w:numId w:val="49"/>
        </w:numPr>
        <w:spacing w:before="240" w:after="60" w:line="240" w:lineRule="auto"/>
        <w:rPr>
          <w:rFonts w:ascii="ITC Avant Garde" w:hAnsi="ITC Avant Garde"/>
          <w:color w:val="auto"/>
          <w:sz w:val="22"/>
          <w:szCs w:val="22"/>
        </w:rPr>
      </w:pPr>
      <w:bookmarkStart w:id="16" w:name="_Toc414444596"/>
      <w:r w:rsidRPr="0086242B">
        <w:rPr>
          <w:rFonts w:ascii="ITC Avant Garde" w:hAnsi="ITC Avant Garde"/>
          <w:color w:val="auto"/>
          <w:sz w:val="22"/>
          <w:szCs w:val="22"/>
        </w:rPr>
        <w:t>Características de la fuente emisora y las condiciones de propagación.</w:t>
      </w:r>
      <w:bookmarkEnd w:id="16"/>
    </w:p>
    <w:p w14:paraId="14FA8B3C"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Se deben identificar </w:t>
      </w:r>
      <w:r w:rsidRPr="0086242B">
        <w:rPr>
          <w:rFonts w:ascii="ITC Avant Garde" w:hAnsi="ITC Avant Garde"/>
          <w:sz w:val="20"/>
          <w:szCs w:val="20"/>
          <w:lang w:val="es-ES_tradnl"/>
        </w:rPr>
        <w:t>las características propias de cada fue</w:t>
      </w:r>
      <w:proofErr w:type="spellStart"/>
      <w:r w:rsidRPr="0086242B">
        <w:rPr>
          <w:rFonts w:ascii="ITC Avant Garde" w:hAnsi="ITC Avant Garde"/>
          <w:sz w:val="20"/>
          <w:szCs w:val="20"/>
        </w:rPr>
        <w:t>nte</w:t>
      </w:r>
      <w:proofErr w:type="spellEnd"/>
      <w:r w:rsidRPr="0086242B">
        <w:rPr>
          <w:rFonts w:ascii="ITC Avant Garde" w:hAnsi="ITC Avant Garde"/>
          <w:sz w:val="20"/>
          <w:szCs w:val="20"/>
        </w:rPr>
        <w:t xml:space="preserve"> emisora de campos electromagnéticos y las condiciones de propagación en el entorno en donde se evaluar</w:t>
      </w:r>
      <w:r w:rsidR="000B7FFE" w:rsidRPr="0086242B">
        <w:rPr>
          <w:rFonts w:ascii="ITC Avant Garde" w:hAnsi="ITC Avant Garde"/>
          <w:sz w:val="20"/>
          <w:szCs w:val="20"/>
        </w:rPr>
        <w:t>an</w:t>
      </w:r>
      <w:r w:rsidRPr="0086242B">
        <w:rPr>
          <w:rFonts w:ascii="ITC Avant Garde" w:hAnsi="ITC Avant Garde"/>
          <w:sz w:val="20"/>
          <w:szCs w:val="20"/>
        </w:rPr>
        <w:t xml:space="preserve"> los niveles de exposición; por lo tanto se debe contar al menos </w:t>
      </w:r>
      <w:proofErr w:type="gramStart"/>
      <w:r w:rsidRPr="0086242B">
        <w:rPr>
          <w:rFonts w:ascii="ITC Avant Garde" w:hAnsi="ITC Avant Garde"/>
          <w:sz w:val="20"/>
          <w:szCs w:val="20"/>
        </w:rPr>
        <w:t>con  la</w:t>
      </w:r>
      <w:proofErr w:type="gramEnd"/>
      <w:r w:rsidRPr="0086242B">
        <w:rPr>
          <w:rFonts w:ascii="ITC Avant Garde" w:hAnsi="ITC Avant Garde"/>
          <w:sz w:val="20"/>
          <w:szCs w:val="20"/>
        </w:rPr>
        <w:t xml:space="preserve"> siguiente información:</w:t>
      </w:r>
    </w:p>
    <w:p w14:paraId="6ABC293A" w14:textId="77777777" w:rsidR="006B595F" w:rsidRPr="0086242B" w:rsidRDefault="006B595F" w:rsidP="006B595F">
      <w:pPr>
        <w:spacing w:line="360" w:lineRule="auto"/>
        <w:jc w:val="both"/>
        <w:rPr>
          <w:rFonts w:ascii="ITC Avant Garde" w:hAnsi="ITC Avant Garde"/>
          <w:sz w:val="20"/>
          <w:szCs w:val="20"/>
        </w:rPr>
      </w:pPr>
    </w:p>
    <w:p w14:paraId="4F868B42" w14:textId="77777777" w:rsidR="006B595F" w:rsidRPr="0086242B" w:rsidRDefault="006B595F" w:rsidP="006B595F">
      <w:pPr>
        <w:pStyle w:val="Prrafodelista"/>
        <w:numPr>
          <w:ilvl w:val="0"/>
          <w:numId w:val="6"/>
        </w:numPr>
        <w:spacing w:line="360" w:lineRule="auto"/>
        <w:jc w:val="both"/>
        <w:rPr>
          <w:rFonts w:ascii="ITC Avant Garde" w:hAnsi="ITC Avant Garde"/>
          <w:sz w:val="20"/>
          <w:szCs w:val="20"/>
        </w:rPr>
      </w:pPr>
      <w:r w:rsidRPr="0086242B">
        <w:rPr>
          <w:rFonts w:ascii="ITC Avant Garde" w:hAnsi="ITC Avant Garde"/>
          <w:sz w:val="20"/>
          <w:szCs w:val="20"/>
        </w:rPr>
        <w:t>Tipo de emisor e intervalo de potencia</w:t>
      </w:r>
      <w:r w:rsidR="00B75E81">
        <w:rPr>
          <w:rFonts w:ascii="ITC Avant Garde" w:hAnsi="ITC Avant Garde"/>
          <w:sz w:val="20"/>
          <w:szCs w:val="20"/>
        </w:rPr>
        <w:t>.</w:t>
      </w:r>
    </w:p>
    <w:p w14:paraId="7799401C" w14:textId="77777777" w:rsidR="006B595F" w:rsidRPr="0086242B" w:rsidRDefault="006B595F" w:rsidP="006B595F">
      <w:pPr>
        <w:numPr>
          <w:ilvl w:val="0"/>
          <w:numId w:val="6"/>
        </w:numPr>
        <w:spacing w:line="360" w:lineRule="auto"/>
        <w:jc w:val="both"/>
        <w:rPr>
          <w:rFonts w:ascii="ITC Avant Garde" w:hAnsi="ITC Avant Garde"/>
          <w:sz w:val="20"/>
          <w:szCs w:val="20"/>
        </w:rPr>
      </w:pPr>
      <w:r w:rsidRPr="0086242B">
        <w:rPr>
          <w:rFonts w:ascii="ITC Avant Garde" w:hAnsi="ITC Avant Garde"/>
          <w:sz w:val="20"/>
          <w:szCs w:val="20"/>
        </w:rPr>
        <w:t>Frecuencia de la señal portadora (en su caso) y ciclo de trabajo (en su caso).</w:t>
      </w:r>
    </w:p>
    <w:p w14:paraId="4D3D69E8" w14:textId="77777777" w:rsidR="006B595F" w:rsidRPr="0086242B" w:rsidRDefault="006B595F" w:rsidP="006B595F">
      <w:pPr>
        <w:numPr>
          <w:ilvl w:val="0"/>
          <w:numId w:val="6"/>
        </w:numPr>
        <w:spacing w:line="360" w:lineRule="auto"/>
        <w:jc w:val="both"/>
        <w:rPr>
          <w:rFonts w:ascii="ITC Avant Garde" w:hAnsi="ITC Avant Garde"/>
          <w:sz w:val="20"/>
          <w:szCs w:val="20"/>
        </w:rPr>
      </w:pPr>
      <w:r w:rsidRPr="0086242B">
        <w:rPr>
          <w:rFonts w:ascii="ITC Avant Garde" w:hAnsi="ITC Avant Garde"/>
          <w:sz w:val="20"/>
          <w:szCs w:val="20"/>
        </w:rPr>
        <w:t>Características de modulación, valor pico, valor promedio y forma de onda.</w:t>
      </w:r>
    </w:p>
    <w:p w14:paraId="4814CD4F" w14:textId="77777777" w:rsidR="006B595F" w:rsidRPr="0086242B" w:rsidRDefault="006B595F" w:rsidP="006B595F">
      <w:pPr>
        <w:numPr>
          <w:ilvl w:val="0"/>
          <w:numId w:val="6"/>
        </w:numPr>
        <w:spacing w:line="360" w:lineRule="auto"/>
        <w:jc w:val="both"/>
        <w:rPr>
          <w:rFonts w:ascii="ITC Avant Garde" w:hAnsi="ITC Avant Garde"/>
          <w:sz w:val="20"/>
          <w:szCs w:val="20"/>
        </w:rPr>
      </w:pPr>
      <w:r w:rsidRPr="0086242B">
        <w:rPr>
          <w:rFonts w:ascii="ITC Avant Garde" w:hAnsi="ITC Avant Garde"/>
          <w:sz w:val="20"/>
          <w:szCs w:val="20"/>
        </w:rPr>
        <w:t>Número de emisores, sus características y probabilidad de que sus intensidades de campo se sumen linealmente o puedan crear patrones de interferencia, ondas estacionarias, etc.</w:t>
      </w:r>
    </w:p>
    <w:p w14:paraId="61153C58" w14:textId="77777777" w:rsidR="006B595F" w:rsidRPr="0086242B" w:rsidRDefault="006B595F" w:rsidP="006B595F">
      <w:pPr>
        <w:numPr>
          <w:ilvl w:val="0"/>
          <w:numId w:val="6"/>
        </w:numPr>
        <w:spacing w:line="360" w:lineRule="auto"/>
        <w:jc w:val="both"/>
        <w:rPr>
          <w:rFonts w:ascii="ITC Avant Garde" w:hAnsi="ITC Avant Garde"/>
          <w:sz w:val="20"/>
          <w:szCs w:val="20"/>
        </w:rPr>
      </w:pPr>
      <w:r w:rsidRPr="0086242B">
        <w:rPr>
          <w:rFonts w:ascii="ITC Avant Garde" w:hAnsi="ITC Avant Garde"/>
          <w:sz w:val="20"/>
          <w:szCs w:val="20"/>
        </w:rPr>
        <w:t>Generación de frecuencias no deseadas, incluyendo armónicos y productos de intermodulación que se transmitan al espacio.</w:t>
      </w:r>
    </w:p>
    <w:p w14:paraId="06B8E459" w14:textId="77777777" w:rsidR="006B595F" w:rsidRPr="0086242B" w:rsidRDefault="006B595F" w:rsidP="006B595F">
      <w:pPr>
        <w:numPr>
          <w:ilvl w:val="0"/>
          <w:numId w:val="6"/>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Dimensiones físicas y eléctricas de la antena (anexar esquema con medidas)</w:t>
      </w:r>
      <w:r w:rsidR="00B75E81">
        <w:rPr>
          <w:rFonts w:ascii="ITC Avant Garde" w:hAnsi="ITC Avant Garde"/>
          <w:sz w:val="20"/>
          <w:szCs w:val="20"/>
        </w:rPr>
        <w:t>.</w:t>
      </w:r>
    </w:p>
    <w:p w14:paraId="7E1CDEC7" w14:textId="77777777" w:rsidR="006B595F" w:rsidRPr="0086242B" w:rsidRDefault="006B595F" w:rsidP="006B595F">
      <w:pPr>
        <w:numPr>
          <w:ilvl w:val="0"/>
          <w:numId w:val="6"/>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Ganancia de la antena (respecto a una antena isótropa)</w:t>
      </w:r>
      <w:r w:rsidR="00B75E81">
        <w:rPr>
          <w:rFonts w:ascii="ITC Avant Garde" w:hAnsi="ITC Avant Garde"/>
          <w:sz w:val="20"/>
          <w:szCs w:val="20"/>
        </w:rPr>
        <w:t>.</w:t>
      </w:r>
    </w:p>
    <w:p w14:paraId="349B7E31" w14:textId="77777777" w:rsidR="006B595F" w:rsidRPr="0086242B" w:rsidRDefault="006B595F" w:rsidP="006B595F">
      <w:pPr>
        <w:numPr>
          <w:ilvl w:val="0"/>
          <w:numId w:val="6"/>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Polarización de la antena (vertical, horizontal, elíptica, etc.)</w:t>
      </w:r>
      <w:r w:rsidR="00B75E81">
        <w:rPr>
          <w:rFonts w:ascii="ITC Avant Garde" w:hAnsi="ITC Avant Garde"/>
          <w:sz w:val="20"/>
          <w:szCs w:val="20"/>
        </w:rPr>
        <w:t>.</w:t>
      </w:r>
    </w:p>
    <w:p w14:paraId="4C44E80E" w14:textId="77777777" w:rsidR="006B595F" w:rsidRPr="0086242B" w:rsidRDefault="006B595F" w:rsidP="006B595F">
      <w:pPr>
        <w:numPr>
          <w:ilvl w:val="0"/>
          <w:numId w:val="6"/>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Altura de la antena respecto al nivel del piso</w:t>
      </w:r>
      <w:r w:rsidR="00B75E81">
        <w:rPr>
          <w:rFonts w:ascii="ITC Avant Garde" w:hAnsi="ITC Avant Garde"/>
          <w:sz w:val="20"/>
          <w:szCs w:val="20"/>
        </w:rPr>
        <w:t>.</w:t>
      </w:r>
    </w:p>
    <w:p w14:paraId="0A873B27" w14:textId="77777777" w:rsidR="006B595F" w:rsidRPr="0086242B" w:rsidRDefault="006B595F" w:rsidP="006B595F">
      <w:pPr>
        <w:numPr>
          <w:ilvl w:val="0"/>
          <w:numId w:val="6"/>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Coordenadas geográficas (grados, minutos, segundos y altura sobre el nivel del mar)</w:t>
      </w:r>
      <w:r w:rsidR="00B75E81">
        <w:rPr>
          <w:rFonts w:ascii="ITC Avant Garde" w:hAnsi="ITC Avant Garde"/>
          <w:sz w:val="20"/>
          <w:szCs w:val="20"/>
        </w:rPr>
        <w:t>.</w:t>
      </w:r>
    </w:p>
    <w:p w14:paraId="00F50763" w14:textId="77777777" w:rsidR="006B595F" w:rsidRPr="0086242B" w:rsidRDefault="006B595F" w:rsidP="006B595F">
      <w:pPr>
        <w:numPr>
          <w:ilvl w:val="0"/>
          <w:numId w:val="6"/>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Planos, esquemas o fotografías donde se muestre el entorno que rodea a la estación, incluyendo las distancias entre la estación y edificios, montañas y otros objetos cercanos, morfología y tipo de suelo,</w:t>
      </w:r>
      <w:r w:rsidRPr="0086242B" w:rsidDel="00D47D70">
        <w:rPr>
          <w:rFonts w:ascii="ITC Avant Garde" w:hAnsi="ITC Avant Garde"/>
          <w:sz w:val="20"/>
          <w:szCs w:val="20"/>
        </w:rPr>
        <w:t xml:space="preserve"> </w:t>
      </w:r>
      <w:r w:rsidRPr="0086242B">
        <w:rPr>
          <w:rFonts w:ascii="ITC Avant Garde" w:hAnsi="ITC Avant Garde"/>
          <w:sz w:val="20"/>
          <w:szCs w:val="20"/>
        </w:rPr>
        <w:t xml:space="preserve">etc. De igual forma, se deberán mostrar el entorno próximo que rodea a la estación de radiocomunicaciones que se encuentra en operación y que se emplea para transmitir servicios de telecomunicaciones y/o de radiodifusión en donde </w:t>
      </w:r>
      <w:proofErr w:type="gramStart"/>
      <w:r w:rsidRPr="0086242B">
        <w:rPr>
          <w:rFonts w:ascii="ITC Avant Garde" w:hAnsi="ITC Avant Garde"/>
          <w:sz w:val="20"/>
          <w:szCs w:val="20"/>
        </w:rPr>
        <w:t>esté  habitualmente</w:t>
      </w:r>
      <w:proofErr w:type="gramEnd"/>
      <w:r w:rsidRPr="0086242B">
        <w:rPr>
          <w:rFonts w:ascii="ITC Avant Garde" w:hAnsi="ITC Avant Garde"/>
          <w:sz w:val="20"/>
          <w:szCs w:val="20"/>
        </w:rPr>
        <w:t xml:space="preserve"> presente público en general. Se debe identificar la zona y especificar la distancia respecto a la antena o la base de la torre que soporta a la antena.</w:t>
      </w:r>
    </w:p>
    <w:p w14:paraId="532907A1" w14:textId="77777777" w:rsidR="006B595F" w:rsidRPr="0086242B" w:rsidRDefault="006B595F" w:rsidP="006B595F">
      <w:pPr>
        <w:numPr>
          <w:ilvl w:val="0"/>
          <w:numId w:val="6"/>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Ángulo de elevación de la(s) antena(s</w:t>
      </w:r>
      <w:proofErr w:type="gramStart"/>
      <w:r w:rsidRPr="0086242B">
        <w:rPr>
          <w:rFonts w:ascii="ITC Avant Garde" w:hAnsi="ITC Avant Garde"/>
          <w:sz w:val="20"/>
          <w:szCs w:val="20"/>
        </w:rPr>
        <w:t>)  (</w:t>
      </w:r>
      <w:proofErr w:type="spellStart"/>
      <w:proofErr w:type="gramEnd"/>
      <w:r w:rsidRPr="0086242B">
        <w:rPr>
          <w:rFonts w:ascii="ITC Avant Garde" w:hAnsi="ITC Avant Garde"/>
          <w:sz w:val="20"/>
          <w:szCs w:val="20"/>
        </w:rPr>
        <w:t>Tilt</w:t>
      </w:r>
      <w:proofErr w:type="spellEnd"/>
      <w:r w:rsidRPr="0086242B">
        <w:rPr>
          <w:rFonts w:ascii="ITC Avant Garde" w:hAnsi="ITC Avant Garde"/>
          <w:sz w:val="20"/>
          <w:szCs w:val="20"/>
        </w:rPr>
        <w:t xml:space="preserve"> eléctrico y mecánico)</w:t>
      </w:r>
      <w:r w:rsidR="00B75E81">
        <w:rPr>
          <w:rFonts w:ascii="ITC Avant Garde" w:hAnsi="ITC Avant Garde"/>
          <w:sz w:val="20"/>
          <w:szCs w:val="20"/>
        </w:rPr>
        <w:t>.</w:t>
      </w:r>
    </w:p>
    <w:p w14:paraId="68167AD6" w14:textId="77777777" w:rsidR="006B595F" w:rsidRPr="0086242B" w:rsidRDefault="006B595F" w:rsidP="006B595F">
      <w:pPr>
        <w:numPr>
          <w:ilvl w:val="0"/>
          <w:numId w:val="6"/>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Distancia entre el emisor y el sitio a evaluar.</w:t>
      </w:r>
    </w:p>
    <w:p w14:paraId="417356C2" w14:textId="77777777" w:rsidR="006B595F" w:rsidRPr="0086242B" w:rsidRDefault="006B595F" w:rsidP="006B595F">
      <w:pPr>
        <w:numPr>
          <w:ilvl w:val="0"/>
          <w:numId w:val="6"/>
        </w:numPr>
        <w:spacing w:line="360" w:lineRule="auto"/>
        <w:jc w:val="both"/>
        <w:rPr>
          <w:rFonts w:ascii="ITC Avant Garde" w:hAnsi="ITC Avant Garde"/>
          <w:sz w:val="20"/>
          <w:szCs w:val="20"/>
        </w:rPr>
      </w:pPr>
      <w:r w:rsidRPr="0086242B">
        <w:rPr>
          <w:rFonts w:ascii="ITC Avant Garde" w:hAnsi="ITC Avant Garde"/>
          <w:sz w:val="20"/>
          <w:szCs w:val="20"/>
        </w:rPr>
        <w:t>Existencia de objetos absorbentes o que dispersan la energía de RF y que puedan influir en la distribución del campo en el sitio a evaluar.</w:t>
      </w:r>
    </w:p>
    <w:p w14:paraId="00D4235A" w14:textId="77777777" w:rsidR="006B595F" w:rsidRPr="0086242B" w:rsidRDefault="006B595F" w:rsidP="006B595F">
      <w:pPr>
        <w:spacing w:line="360" w:lineRule="auto"/>
        <w:ind w:left="720"/>
        <w:jc w:val="both"/>
        <w:rPr>
          <w:rFonts w:ascii="ITC Avant Garde" w:hAnsi="ITC Avant Garde"/>
          <w:sz w:val="20"/>
          <w:szCs w:val="20"/>
        </w:rPr>
      </w:pPr>
    </w:p>
    <w:p w14:paraId="655CE31F"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Una vez conocidas las características propias de cada fuente emisora de campos electromagnéticos y las condiciones de propagación en el entorno en donde se van a evaluar los niveles de exposición</w:t>
      </w:r>
      <w:proofErr w:type="gramStart"/>
      <w:r w:rsidRPr="0086242B">
        <w:rPr>
          <w:rFonts w:ascii="ITC Avant Garde" w:hAnsi="ITC Avant Garde"/>
          <w:sz w:val="20"/>
          <w:szCs w:val="20"/>
        </w:rPr>
        <w:t>,  se</w:t>
      </w:r>
      <w:proofErr w:type="gramEnd"/>
      <w:r w:rsidRPr="0086242B">
        <w:rPr>
          <w:rFonts w:ascii="ITC Avant Garde" w:hAnsi="ITC Avant Garde"/>
          <w:sz w:val="20"/>
          <w:szCs w:val="20"/>
        </w:rPr>
        <w:t xml:space="preserve"> debe  realizar el cálculo  de los niveles de exposición.</w:t>
      </w:r>
    </w:p>
    <w:p w14:paraId="37821BA4" w14:textId="77777777" w:rsidR="006B595F" w:rsidRPr="0086242B" w:rsidRDefault="006B595F" w:rsidP="006B595F">
      <w:pPr>
        <w:pStyle w:val="Ttulo3"/>
        <w:keepLines w:val="0"/>
        <w:numPr>
          <w:ilvl w:val="2"/>
          <w:numId w:val="49"/>
        </w:numPr>
        <w:spacing w:before="240" w:after="60" w:line="240" w:lineRule="auto"/>
        <w:rPr>
          <w:rFonts w:ascii="ITC Avant Garde" w:hAnsi="ITC Avant Garde"/>
          <w:color w:val="auto"/>
          <w:sz w:val="24"/>
          <w:szCs w:val="24"/>
        </w:rPr>
      </w:pPr>
      <w:bookmarkStart w:id="17" w:name="_Toc414444597"/>
      <w:r w:rsidRPr="0086242B">
        <w:rPr>
          <w:rFonts w:ascii="ITC Avant Garde" w:hAnsi="ITC Avant Garde"/>
          <w:color w:val="auto"/>
          <w:sz w:val="22"/>
          <w:szCs w:val="22"/>
        </w:rPr>
        <w:t>Cálculo</w:t>
      </w:r>
      <w:r w:rsidRPr="0086242B">
        <w:rPr>
          <w:rFonts w:ascii="ITC Avant Garde" w:hAnsi="ITC Avant Garde"/>
          <w:color w:val="auto"/>
          <w:sz w:val="24"/>
          <w:szCs w:val="24"/>
          <w:lang w:val="es-MX"/>
        </w:rPr>
        <w:t>.</w:t>
      </w:r>
      <w:bookmarkEnd w:id="17"/>
      <w:r w:rsidRPr="0086242B">
        <w:rPr>
          <w:rFonts w:ascii="ITC Avant Garde" w:hAnsi="ITC Avant Garde"/>
          <w:color w:val="auto"/>
          <w:sz w:val="24"/>
          <w:szCs w:val="24"/>
        </w:rPr>
        <w:t xml:space="preserve"> </w:t>
      </w:r>
    </w:p>
    <w:p w14:paraId="156B3FCB"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Determinar si la zona que rodea a la estación de radiocomunicaciones donde esté habitualmente presente público en general y en donde se va a evaluar el nivel de exposición pertenece a la región de campo cercano o de campo lejano.</w:t>
      </w:r>
    </w:p>
    <w:p w14:paraId="4E7B00B9" w14:textId="77777777" w:rsidR="006B595F" w:rsidRPr="0086242B" w:rsidRDefault="006B595F" w:rsidP="006B595F">
      <w:pPr>
        <w:spacing w:line="360" w:lineRule="auto"/>
        <w:jc w:val="both"/>
        <w:rPr>
          <w:rFonts w:ascii="ITC Avant Garde" w:hAnsi="ITC Avant Garde"/>
          <w:sz w:val="20"/>
          <w:szCs w:val="20"/>
        </w:rPr>
      </w:pPr>
    </w:p>
    <w:p w14:paraId="5FD798F7"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La región que rodea a una antena emisora es de campo cercano cuando la distancia entre cualquier punto de esa región y la antena es </w:t>
      </w:r>
      <w:proofErr w:type="gramStart"/>
      <w:r w:rsidRPr="0086242B">
        <w:rPr>
          <w:rFonts w:ascii="ITC Avant Garde" w:hAnsi="ITC Avant Garde"/>
          <w:sz w:val="20"/>
          <w:szCs w:val="20"/>
        </w:rPr>
        <w:t xml:space="preserve">menor </w:t>
      </w:r>
      <w:r w:rsidR="00C666D0">
        <w:rPr>
          <w:rFonts w:ascii="ITC Avant Garde" w:hAnsi="ITC Avant Garde"/>
          <w:sz w:val="20"/>
          <w:szCs w:val="20"/>
        </w:rPr>
        <w:t xml:space="preserve"> </w:t>
      </w:r>
      <w:r w:rsidRPr="0086242B">
        <w:rPr>
          <w:rFonts w:ascii="ITC Avant Garde" w:hAnsi="ITC Avant Garde"/>
          <w:sz w:val="20"/>
          <w:szCs w:val="20"/>
        </w:rPr>
        <w:t>a</w:t>
      </w:r>
      <w:proofErr w:type="gramEnd"/>
      <w:r w:rsidRPr="0086242B">
        <w:rPr>
          <w:rFonts w:ascii="ITC Avant Garde" w:hAnsi="ITC Avant Garde"/>
          <w:sz w:val="20"/>
          <w:szCs w:val="20"/>
        </w:rPr>
        <w:t xml:space="preserve"> </w:t>
      </w:r>
      <w:r w:rsidR="00672004">
        <w:rPr>
          <w:rFonts w:ascii="ITC Avant Garde" w:hAnsi="ITC Avant Garde"/>
          <w:noProof/>
          <w:position w:val="-24"/>
          <w:sz w:val="20"/>
          <w:szCs w:val="20"/>
          <w:lang w:val="es-MX" w:eastAsia="es-MX"/>
        </w:rPr>
        <w:drawing>
          <wp:inline distT="0" distB="0" distL="0" distR="0" wp14:anchorId="1C0063CA" wp14:editId="56010344">
            <wp:extent cx="358140" cy="432435"/>
            <wp:effectExtent l="0" t="0" r="3810" b="5715"/>
            <wp:docPr id="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 cy="432435"/>
                    </a:xfrm>
                    <a:prstGeom prst="rect">
                      <a:avLst/>
                    </a:prstGeom>
                    <a:noFill/>
                    <a:ln>
                      <a:noFill/>
                    </a:ln>
                  </pic:spPr>
                </pic:pic>
              </a:graphicData>
            </a:graphic>
          </wp:inline>
        </w:drawing>
      </w:r>
      <w:r w:rsidRPr="0086242B">
        <w:rPr>
          <w:rFonts w:ascii="ITC Avant Garde" w:hAnsi="ITC Avant Garde"/>
          <w:sz w:val="20"/>
          <w:szCs w:val="20"/>
        </w:rPr>
        <w:t xml:space="preserve">, donde </w:t>
      </w:r>
      <w:r w:rsidRPr="0086242B">
        <w:rPr>
          <w:rFonts w:ascii="ITC Avant Garde" w:hAnsi="ITC Avant Garde"/>
          <w:i/>
          <w:sz w:val="20"/>
          <w:szCs w:val="20"/>
        </w:rPr>
        <w:t>D</w:t>
      </w:r>
      <w:r w:rsidRPr="0086242B">
        <w:rPr>
          <w:rFonts w:ascii="ITC Avant Garde" w:hAnsi="ITC Avant Garde"/>
          <w:sz w:val="20"/>
          <w:szCs w:val="20"/>
        </w:rPr>
        <w:t xml:space="preserve"> es la dimensión más grande de la antena y </w:t>
      </w:r>
      <w:r w:rsidRPr="0086242B">
        <w:rPr>
          <w:rFonts w:ascii="Calibri" w:hAnsi="Calibri" w:cs="Calibri"/>
          <w:i/>
          <w:sz w:val="20"/>
          <w:szCs w:val="20"/>
        </w:rPr>
        <w:t>λ</w:t>
      </w:r>
      <w:r w:rsidRPr="0086242B">
        <w:rPr>
          <w:rFonts w:ascii="ITC Avant Garde" w:hAnsi="ITC Avant Garde"/>
          <w:sz w:val="20"/>
          <w:szCs w:val="20"/>
        </w:rPr>
        <w:t xml:space="preserve"> es la longitud de onda. Esta región se subdivide a su vez en campo cercano reactivo que abarca la zona más próxima a la antena, donde está contenida la mayor parte de la energía almacenada asociada a la antena, y campo cercano radiante donde predominan los campos de radiación que tienen en esta región una distribución angular que varía en función de la distancia hacia la antena. </w:t>
      </w:r>
    </w:p>
    <w:p w14:paraId="6D141AD0" w14:textId="77777777" w:rsidR="006B595F" w:rsidRPr="0086242B" w:rsidRDefault="006B595F" w:rsidP="006B595F">
      <w:pPr>
        <w:jc w:val="both"/>
        <w:rPr>
          <w:rFonts w:ascii="ITC Avant Garde" w:hAnsi="ITC Avant Garde"/>
        </w:rPr>
      </w:pPr>
    </w:p>
    <w:p w14:paraId="37558AA9"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A distancias mayores a </w:t>
      </w:r>
      <w:r w:rsidR="00672004">
        <w:rPr>
          <w:rFonts w:ascii="ITC Avant Garde" w:hAnsi="ITC Avant Garde"/>
          <w:noProof/>
          <w:position w:val="-24"/>
          <w:sz w:val="20"/>
          <w:szCs w:val="20"/>
          <w:lang w:val="es-MX" w:eastAsia="es-MX"/>
        </w:rPr>
        <w:drawing>
          <wp:inline distT="0" distB="0" distL="0" distR="0" wp14:anchorId="7FE71B18" wp14:editId="60076E4A">
            <wp:extent cx="358140" cy="432435"/>
            <wp:effectExtent l="0" t="0" r="3810" b="5715"/>
            <wp:docPr id="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 cy="432435"/>
                    </a:xfrm>
                    <a:prstGeom prst="rect">
                      <a:avLst/>
                    </a:prstGeom>
                    <a:noFill/>
                    <a:ln>
                      <a:noFill/>
                    </a:ln>
                  </pic:spPr>
                </pic:pic>
              </a:graphicData>
            </a:graphic>
          </wp:inline>
        </w:drawing>
      </w:r>
      <w:r w:rsidRPr="0086242B">
        <w:rPr>
          <w:rFonts w:ascii="ITC Avant Garde" w:hAnsi="ITC Avant Garde"/>
          <w:sz w:val="20"/>
          <w:szCs w:val="20"/>
        </w:rPr>
        <w:t>se tiene la región de campo lejano en donde los campos radiados tienen una distribución angular que es aproximadamente independiente de la distancia hacia la antena y las componentes del campo eléctrico y magnético son transversales entre sí, formando de esta manera lo que se conoce como una onda plana.</w:t>
      </w:r>
    </w:p>
    <w:p w14:paraId="67B53ADA" w14:textId="77777777" w:rsidR="006B595F" w:rsidRPr="0086242B" w:rsidRDefault="006B595F" w:rsidP="006B595F">
      <w:pPr>
        <w:spacing w:line="360" w:lineRule="auto"/>
        <w:jc w:val="both"/>
        <w:rPr>
          <w:rFonts w:ascii="ITC Avant Garde" w:hAnsi="ITC Avant Garde"/>
          <w:sz w:val="20"/>
          <w:szCs w:val="20"/>
        </w:rPr>
      </w:pPr>
    </w:p>
    <w:p w14:paraId="2E9FA5A6" w14:textId="79C2A27B" w:rsidR="006B595F" w:rsidRPr="0086242B" w:rsidRDefault="006B595F" w:rsidP="00D6172D">
      <w:pPr>
        <w:spacing w:line="360" w:lineRule="auto"/>
        <w:jc w:val="both"/>
        <w:rPr>
          <w:rFonts w:ascii="ITC Avant Garde" w:hAnsi="ITC Avant Garde"/>
          <w:sz w:val="20"/>
          <w:szCs w:val="20"/>
        </w:rPr>
      </w:pPr>
      <w:r w:rsidRPr="0086242B">
        <w:rPr>
          <w:rFonts w:ascii="ITC Avant Garde" w:hAnsi="ITC Avant Garde"/>
          <w:sz w:val="20"/>
          <w:szCs w:val="20"/>
        </w:rPr>
        <w:t>Cuando las dimensiones de la antena son muy pequeñas en comparación con la longitud de onda,</w:t>
      </w:r>
      <w:r w:rsidR="000874F1">
        <w:rPr>
          <w:rFonts w:ascii="ITC Avant Garde" w:hAnsi="ITC Avant Garde"/>
          <w:sz w:val="20"/>
          <w:szCs w:val="20"/>
        </w:rPr>
        <w:t xml:space="preserve"> es decir</w:t>
      </w:r>
      <w:r w:rsidR="000874F1">
        <w:rPr>
          <w:rFonts w:ascii="ITC Avant Garde" w:hAnsi="ITC Avant Garde"/>
          <w:sz w:val="32"/>
          <w:szCs w:val="32"/>
        </w:rPr>
        <w:t>,</w:t>
      </w:r>
      <w:r w:rsidR="00E95362">
        <w:rPr>
          <w:rFonts w:ascii="ITC Avant Garde" w:hAnsi="ITC Avant Garde"/>
          <w:sz w:val="32"/>
          <w:szCs w:val="32"/>
        </w:rPr>
        <w:t xml:space="preserve"> </w:t>
      </w:r>
      <m:oMath>
        <m:r>
          <w:rPr>
            <w:rFonts w:ascii="Cambria Math" w:hAnsi="Cambria Math"/>
            <w:sz w:val="20"/>
            <w:szCs w:val="20"/>
          </w:rPr>
          <m:t>D≤</m:t>
        </m:r>
        <m:f>
          <m:fPr>
            <m:ctrlPr>
              <w:rPr>
                <w:rFonts w:ascii="Cambria Math" w:hAnsi="Cambria Math"/>
                <w:i/>
                <w:sz w:val="20"/>
                <w:szCs w:val="20"/>
              </w:rPr>
            </m:ctrlPr>
          </m:fPr>
          <m:num>
            <m:r>
              <w:rPr>
                <w:rFonts w:ascii="Cambria Math" w:hAnsi="Cambria Math"/>
                <w:sz w:val="20"/>
                <w:szCs w:val="20"/>
              </w:rPr>
              <m:t>λ</m:t>
            </m:r>
          </m:num>
          <m:den>
            <m:r>
              <w:rPr>
                <w:rFonts w:ascii="Cambria Math" w:hAnsi="Cambria Math"/>
                <w:sz w:val="20"/>
                <w:szCs w:val="20"/>
              </w:rPr>
              <m:t>2√</m:t>
            </m:r>
            <m:r>
              <m:rPr>
                <m:sty m:val="p"/>
              </m:rPr>
              <w:rPr>
                <w:rFonts w:ascii="Cambria Math" w:hAnsi="Cambria Math"/>
                <w:sz w:val="20"/>
                <w:szCs w:val="20"/>
              </w:rPr>
              <m:t>π</m:t>
            </m:r>
          </m:den>
        </m:f>
      </m:oMath>
      <w:r w:rsidR="000874F1">
        <w:rPr>
          <w:rFonts w:ascii="ITC Avant Garde" w:hAnsi="ITC Avant Garde"/>
          <w:sz w:val="32"/>
          <w:szCs w:val="32"/>
        </w:rPr>
        <w:t xml:space="preserve"> </w:t>
      </w:r>
      <w:r w:rsidRPr="0086242B">
        <w:rPr>
          <w:rFonts w:ascii="ITC Avant Garde" w:hAnsi="ITC Avant Garde"/>
          <w:sz w:val="20"/>
          <w:szCs w:val="20"/>
        </w:rPr>
        <w:t xml:space="preserve">la frontera entre la región de campo cercano y campo lejano se modifica a </w:t>
      </w:r>
      <w:r w:rsidR="00672004">
        <w:rPr>
          <w:rFonts w:ascii="ITC Avant Garde" w:hAnsi="ITC Avant Garde"/>
          <w:noProof/>
          <w:position w:val="-24"/>
          <w:sz w:val="20"/>
          <w:szCs w:val="20"/>
          <w:lang w:val="es-MX" w:eastAsia="es-MX"/>
        </w:rPr>
        <w:drawing>
          <wp:inline distT="0" distB="0" distL="0" distR="0" wp14:anchorId="181EEF6B" wp14:editId="75D389E0">
            <wp:extent cx="259715" cy="395605"/>
            <wp:effectExtent l="0" t="0" r="0" b="4445"/>
            <wp:docPr id="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715" cy="395605"/>
                    </a:xfrm>
                    <a:prstGeom prst="rect">
                      <a:avLst/>
                    </a:prstGeom>
                    <a:noFill/>
                    <a:ln>
                      <a:noFill/>
                    </a:ln>
                  </pic:spPr>
                </pic:pic>
              </a:graphicData>
            </a:graphic>
          </wp:inline>
        </w:drawing>
      </w:r>
      <w:r w:rsidR="000874F1">
        <w:rPr>
          <w:rFonts w:ascii="ITC Avant Garde" w:hAnsi="ITC Avant Garde"/>
          <w:sz w:val="20"/>
          <w:szCs w:val="20"/>
        </w:rPr>
        <w:t xml:space="preserve">    </w:t>
      </w:r>
    </w:p>
    <w:p w14:paraId="3DA28CB9" w14:textId="77777777" w:rsidR="006B595F" w:rsidRPr="0086242B" w:rsidRDefault="006B595F" w:rsidP="006B595F">
      <w:pPr>
        <w:spacing w:line="360" w:lineRule="auto"/>
        <w:jc w:val="both"/>
        <w:rPr>
          <w:rFonts w:ascii="ITC Avant Garde" w:hAnsi="ITC Avant Garde"/>
          <w:sz w:val="20"/>
          <w:szCs w:val="20"/>
        </w:rPr>
      </w:pPr>
    </w:p>
    <w:p w14:paraId="1FFD709F"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En general, el cálculo de los niveles de exposición en la región de campo cercano</w:t>
      </w:r>
      <w:r w:rsidRPr="0086242B">
        <w:rPr>
          <w:rFonts w:ascii="ITC Avant Garde" w:hAnsi="ITC Avant Garde"/>
          <w:b/>
          <w:sz w:val="20"/>
          <w:szCs w:val="20"/>
        </w:rPr>
        <w:t xml:space="preserve"> </w:t>
      </w:r>
      <w:r w:rsidRPr="0086242B">
        <w:rPr>
          <w:rFonts w:ascii="ITC Avant Garde" w:hAnsi="ITC Avant Garde"/>
          <w:sz w:val="20"/>
          <w:szCs w:val="20"/>
        </w:rPr>
        <w:t>es difícil de obtener debido a la complejidad de los campos en esa zona y las aproximaciones que se pueden hacer introducen errores importantes que resultan en un cálculo inexacto. Por lo tanto, si la zona de exposición donde esté habitualmente presente público en general pertenece a la región de campo cercano, se debe realizar la medición de los niveles de exposición máxima.</w:t>
      </w:r>
    </w:p>
    <w:p w14:paraId="58D64E50" w14:textId="77777777" w:rsidR="006B595F" w:rsidRPr="0086242B" w:rsidRDefault="006B595F" w:rsidP="006B595F">
      <w:pPr>
        <w:spacing w:line="360" w:lineRule="auto"/>
        <w:jc w:val="both"/>
        <w:rPr>
          <w:rFonts w:ascii="ITC Avant Garde" w:hAnsi="ITC Avant Garde"/>
          <w:sz w:val="20"/>
          <w:szCs w:val="20"/>
        </w:rPr>
      </w:pPr>
    </w:p>
    <w:p w14:paraId="30874900"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Cuando se cumple la condición de campo lejano se debe realizar el cálculo de los niveles de exposición máxima considerando las características básicas del emisor y las condiciones bajo las cuales se tendría un nivel máximo de exposición. </w:t>
      </w:r>
    </w:p>
    <w:p w14:paraId="51085B18" w14:textId="77777777" w:rsidR="006B595F" w:rsidRPr="0086242B" w:rsidRDefault="006B595F" w:rsidP="006B595F">
      <w:pPr>
        <w:spacing w:line="360" w:lineRule="auto"/>
        <w:jc w:val="both"/>
        <w:rPr>
          <w:rFonts w:ascii="ITC Avant Garde" w:hAnsi="ITC Avant Garde"/>
          <w:sz w:val="20"/>
          <w:szCs w:val="20"/>
        </w:rPr>
      </w:pPr>
    </w:p>
    <w:p w14:paraId="489B763E"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La densidad de potencia en el espacio libre está determinada por la siguiente ecuación:</w:t>
      </w:r>
    </w:p>
    <w:p w14:paraId="0F141027" w14:textId="77777777" w:rsidR="006B595F" w:rsidRPr="0086242B" w:rsidRDefault="006B595F" w:rsidP="006B595F">
      <w:pPr>
        <w:jc w:val="both"/>
        <w:rPr>
          <w:rFonts w:ascii="ITC Avant Garde" w:hAnsi="ITC Avant Garde"/>
        </w:rPr>
      </w:pPr>
    </w:p>
    <w:p w14:paraId="0FBC63AA" w14:textId="77777777" w:rsidR="006B595F" w:rsidRPr="0086242B" w:rsidRDefault="006B595F" w:rsidP="006B595F">
      <w:pPr>
        <w:pStyle w:val="Ecuacin"/>
        <w:rPr>
          <w:rFonts w:ascii="ITC Avant Garde" w:hAnsi="ITC Avant Garde"/>
          <w:sz w:val="20"/>
          <w:szCs w:val="20"/>
        </w:rPr>
      </w:pPr>
      <w:r w:rsidRPr="0086242B">
        <w:rPr>
          <w:rFonts w:ascii="ITC Avant Garde" w:hAnsi="ITC Avant Garde"/>
          <w:sz w:val="20"/>
          <w:szCs w:val="20"/>
        </w:rPr>
        <w:tab/>
      </w:r>
      <w:r w:rsidR="00672004">
        <w:rPr>
          <w:rFonts w:ascii="ITC Avant Garde" w:hAnsi="ITC Avant Garde"/>
          <w:noProof/>
          <w:position w:val="-24"/>
          <w:sz w:val="20"/>
          <w:szCs w:val="20"/>
          <w:lang w:val="es-MX" w:eastAsia="es-MX"/>
        </w:rPr>
        <w:drawing>
          <wp:inline distT="0" distB="0" distL="0" distR="0" wp14:anchorId="4F5D4472" wp14:editId="48179CCF">
            <wp:extent cx="1593850" cy="395605"/>
            <wp:effectExtent l="0" t="0" r="6350" b="4445"/>
            <wp:docPr id="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3850" cy="395605"/>
                    </a:xfrm>
                    <a:prstGeom prst="rect">
                      <a:avLst/>
                    </a:prstGeom>
                    <a:noFill/>
                    <a:ln>
                      <a:noFill/>
                    </a:ln>
                  </pic:spPr>
                </pic:pic>
              </a:graphicData>
            </a:graphic>
          </wp:inline>
        </w:drawing>
      </w:r>
      <w:r w:rsidR="00E454E4">
        <w:rPr>
          <w:rFonts w:ascii="ITC Avant Garde" w:hAnsi="ITC Avant Garde"/>
          <w:position w:val="-24"/>
          <w:sz w:val="20"/>
          <w:szCs w:val="20"/>
        </w:rPr>
        <w:t>,</w:t>
      </w:r>
      <w:r w:rsidRPr="0086242B">
        <w:rPr>
          <w:rFonts w:ascii="ITC Avant Garde" w:hAnsi="ITC Avant Garde"/>
          <w:sz w:val="20"/>
          <w:szCs w:val="20"/>
        </w:rPr>
        <w:tab/>
        <w:t>(</w:t>
      </w:r>
      <w:r w:rsidRPr="0086242B">
        <w:rPr>
          <w:rFonts w:ascii="ITC Avant Garde" w:hAnsi="ITC Avant Garde"/>
          <w:sz w:val="20"/>
          <w:szCs w:val="20"/>
        </w:rPr>
        <w:fldChar w:fldCharType="begin"/>
      </w:r>
      <w:r w:rsidRPr="0086242B">
        <w:rPr>
          <w:rFonts w:ascii="ITC Avant Garde" w:hAnsi="ITC Avant Garde"/>
          <w:sz w:val="20"/>
          <w:szCs w:val="20"/>
        </w:rPr>
        <w:instrText xml:space="preserve"> SEQ ( \* ARABIC </w:instrText>
      </w:r>
      <w:r w:rsidRPr="0086242B">
        <w:rPr>
          <w:rFonts w:ascii="ITC Avant Garde" w:hAnsi="ITC Avant Garde"/>
          <w:sz w:val="20"/>
          <w:szCs w:val="20"/>
        </w:rPr>
        <w:fldChar w:fldCharType="separate"/>
      </w:r>
      <w:r w:rsidR="00992611">
        <w:rPr>
          <w:rFonts w:ascii="ITC Avant Garde" w:hAnsi="ITC Avant Garde"/>
          <w:noProof/>
          <w:sz w:val="20"/>
          <w:szCs w:val="20"/>
        </w:rPr>
        <w:t>1</w:t>
      </w:r>
      <w:r w:rsidRPr="0086242B">
        <w:rPr>
          <w:rFonts w:ascii="ITC Avant Garde" w:hAnsi="ITC Avant Garde"/>
          <w:sz w:val="20"/>
          <w:szCs w:val="20"/>
        </w:rPr>
        <w:fldChar w:fldCharType="end"/>
      </w:r>
      <w:r w:rsidRPr="0086242B">
        <w:rPr>
          <w:rFonts w:ascii="ITC Avant Garde" w:hAnsi="ITC Avant Garde"/>
          <w:sz w:val="20"/>
          <w:szCs w:val="20"/>
        </w:rPr>
        <w:t>)</w:t>
      </w:r>
    </w:p>
    <w:p w14:paraId="49482CC6" w14:textId="77777777" w:rsidR="006B595F" w:rsidRPr="0086242B" w:rsidRDefault="006B595F" w:rsidP="006B595F">
      <w:pPr>
        <w:rPr>
          <w:rFonts w:ascii="ITC Avant Garde" w:hAnsi="ITC Avant Garde"/>
        </w:rPr>
      </w:pPr>
    </w:p>
    <w:p w14:paraId="70EA94B9" w14:textId="77777777" w:rsidR="006B595F" w:rsidRPr="0086242B" w:rsidRDefault="006B595F" w:rsidP="006B595F">
      <w:pPr>
        <w:spacing w:line="360" w:lineRule="auto"/>
        <w:rPr>
          <w:rFonts w:ascii="ITC Avant Garde" w:hAnsi="ITC Avant Garde"/>
          <w:sz w:val="20"/>
          <w:szCs w:val="20"/>
        </w:rPr>
      </w:pPr>
      <w:r w:rsidRPr="0086242B">
        <w:rPr>
          <w:rFonts w:ascii="ITC Avant Garde" w:hAnsi="ITC Avant Garde"/>
          <w:sz w:val="20"/>
          <w:szCs w:val="20"/>
        </w:rPr>
        <w:t>En donde:</w:t>
      </w:r>
    </w:p>
    <w:p w14:paraId="72587384"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i/>
          <w:sz w:val="20"/>
          <w:szCs w:val="20"/>
        </w:rPr>
        <w:tab/>
        <w:t>S</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r>
      <w:r w:rsidRPr="0086242B">
        <w:rPr>
          <w:rFonts w:ascii="ITC Avant Garde" w:hAnsi="ITC Avant Garde"/>
          <w:sz w:val="20"/>
          <w:szCs w:val="20"/>
        </w:rPr>
        <w:tab/>
        <w:t>Densidad de potencia [W/m</w:t>
      </w:r>
      <w:r w:rsidRPr="0086242B">
        <w:rPr>
          <w:rFonts w:ascii="ITC Avant Garde" w:hAnsi="ITC Avant Garde"/>
          <w:sz w:val="20"/>
          <w:szCs w:val="20"/>
          <w:vertAlign w:val="superscript"/>
        </w:rPr>
        <w:t>2</w:t>
      </w:r>
      <w:r w:rsidRPr="0086242B">
        <w:rPr>
          <w:rFonts w:ascii="ITC Avant Garde" w:hAnsi="ITC Avant Garde"/>
          <w:sz w:val="20"/>
          <w:szCs w:val="20"/>
        </w:rPr>
        <w:t>].</w:t>
      </w:r>
    </w:p>
    <w:p w14:paraId="465487F6" w14:textId="77777777" w:rsidR="006B595F" w:rsidRPr="0086242B" w:rsidRDefault="006B595F" w:rsidP="00473D68">
      <w:pPr>
        <w:tabs>
          <w:tab w:val="left" w:pos="709"/>
          <w:tab w:val="left" w:pos="992"/>
          <w:tab w:val="left" w:pos="1276"/>
        </w:tabs>
        <w:spacing w:line="360" w:lineRule="auto"/>
        <w:ind w:left="708"/>
        <w:rPr>
          <w:rFonts w:ascii="ITC Avant Garde" w:hAnsi="ITC Avant Garde"/>
          <w:sz w:val="20"/>
          <w:szCs w:val="20"/>
        </w:rPr>
      </w:pPr>
      <w:r w:rsidRPr="0086242B">
        <w:rPr>
          <w:rFonts w:ascii="ITC Avant Garde" w:hAnsi="ITC Avant Garde"/>
          <w:i/>
          <w:sz w:val="20"/>
          <w:szCs w:val="20"/>
        </w:rPr>
        <w:tab/>
        <w:t>R</w:t>
      </w:r>
      <w:r w:rsidRPr="0086242B">
        <w:rPr>
          <w:rFonts w:ascii="ITC Avant Garde" w:hAnsi="ITC Avant Garde"/>
          <w:sz w:val="20"/>
          <w:szCs w:val="20"/>
        </w:rPr>
        <w:tab/>
        <w:t>=</w:t>
      </w:r>
      <w:r w:rsidRPr="0086242B">
        <w:rPr>
          <w:rFonts w:ascii="ITC Avant Garde" w:hAnsi="ITC Avant Garde"/>
          <w:sz w:val="20"/>
          <w:szCs w:val="20"/>
        </w:rPr>
        <w:tab/>
      </w:r>
      <w:r w:rsidRPr="0086242B">
        <w:rPr>
          <w:rFonts w:ascii="ITC Avant Garde" w:hAnsi="ITC Avant Garde"/>
          <w:sz w:val="20"/>
          <w:szCs w:val="20"/>
        </w:rPr>
        <w:tab/>
      </w:r>
      <w:r w:rsidR="00E14243" w:rsidRPr="00F02808">
        <w:rPr>
          <w:rFonts w:ascii="ITC Avant Garde" w:hAnsi="ITC Avant Garde"/>
          <w:sz w:val="20"/>
          <w:szCs w:val="20"/>
        </w:rPr>
        <w:t>Distancia al centro de radiación de la antena</w:t>
      </w:r>
      <w:r w:rsidR="00E20060">
        <w:rPr>
          <w:rFonts w:ascii="ITC Avant Garde" w:hAnsi="ITC Avant Garde"/>
          <w:sz w:val="20"/>
          <w:szCs w:val="20"/>
        </w:rPr>
        <w:t xml:space="preserve"> al punto de cálculo o medición</w:t>
      </w:r>
      <w:r w:rsidR="00E14243" w:rsidRPr="00F02808">
        <w:rPr>
          <w:rFonts w:ascii="ITC Avant Garde" w:hAnsi="ITC Avant Garde"/>
          <w:sz w:val="20"/>
          <w:szCs w:val="20"/>
        </w:rPr>
        <w:t xml:space="preserve"> [m].</w:t>
      </w:r>
    </w:p>
    <w:p w14:paraId="33F0CFB2"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Calibri" w:hAnsi="Calibri" w:cs="Calibri"/>
          <w:i/>
          <w:sz w:val="20"/>
          <w:szCs w:val="20"/>
        </w:rPr>
        <w:t>ρ</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i/>
          <w:sz w:val="20"/>
          <w:szCs w:val="20"/>
        </w:rPr>
        <w:tab/>
      </w:r>
      <w:r w:rsidRPr="0086242B">
        <w:rPr>
          <w:rFonts w:ascii="ITC Avant Garde" w:hAnsi="ITC Avant Garde"/>
          <w:i/>
          <w:sz w:val="20"/>
          <w:szCs w:val="20"/>
        </w:rPr>
        <w:tab/>
      </w:r>
      <w:r w:rsidRPr="0086242B">
        <w:rPr>
          <w:rFonts w:ascii="ITC Avant Garde" w:hAnsi="ITC Avant Garde"/>
          <w:sz w:val="20"/>
          <w:szCs w:val="20"/>
        </w:rPr>
        <w:t>Valor absoluto del coeficiente de reflexión (número positivo entre 0 y 1).</w:t>
      </w:r>
    </w:p>
    <w:p w14:paraId="385CA5A6" w14:textId="77777777" w:rsidR="006B595F" w:rsidRPr="0086242B" w:rsidRDefault="006B595F" w:rsidP="006B595F">
      <w:pPr>
        <w:tabs>
          <w:tab w:val="left" w:pos="709"/>
          <w:tab w:val="left" w:pos="992"/>
          <w:tab w:val="left" w:pos="1276"/>
          <w:tab w:val="left" w:pos="1418"/>
          <w:tab w:val="left" w:pos="1701"/>
        </w:tabs>
        <w:spacing w:line="360" w:lineRule="auto"/>
        <w:ind w:left="1701" w:hanging="1701"/>
        <w:jc w:val="both"/>
        <w:rPr>
          <w:rFonts w:ascii="ITC Avant Garde" w:hAnsi="ITC Avant Garde"/>
          <w:sz w:val="20"/>
          <w:szCs w:val="20"/>
        </w:rPr>
      </w:pPr>
      <w:r w:rsidRPr="0086242B">
        <w:rPr>
          <w:rFonts w:ascii="ITC Avant Garde" w:hAnsi="ITC Avant Garde"/>
          <w:sz w:val="20"/>
          <w:szCs w:val="20"/>
        </w:rPr>
        <w:tab/>
      </w:r>
      <w:r w:rsidR="00E14243" w:rsidRPr="00F02808">
        <w:rPr>
          <w:rFonts w:ascii="ITC Avant Garde" w:hAnsi="ITC Avant Garde"/>
          <w:i/>
          <w:sz w:val="20"/>
          <w:szCs w:val="20"/>
        </w:rPr>
        <w:t>PIRE</w:t>
      </w:r>
      <w:r w:rsidR="00E14243" w:rsidRPr="00F02808">
        <w:rPr>
          <w:rFonts w:ascii="ITC Avant Garde" w:hAnsi="ITC Avant Garde"/>
          <w:sz w:val="20"/>
          <w:szCs w:val="20"/>
        </w:rPr>
        <w:t>=</w:t>
      </w:r>
      <w:r w:rsidR="00E14243" w:rsidRPr="00F02808">
        <w:rPr>
          <w:rFonts w:ascii="ITC Avant Garde" w:hAnsi="ITC Avant Garde"/>
          <w:sz w:val="20"/>
          <w:szCs w:val="20"/>
        </w:rPr>
        <w:tab/>
        <w:t xml:space="preserve">   Potencia isotrópica radiada equivalente</w:t>
      </w:r>
      <w:r w:rsidR="00F36493">
        <w:rPr>
          <w:rFonts w:ascii="ITC Avant Garde" w:hAnsi="ITC Avant Garde"/>
          <w:sz w:val="20"/>
          <w:szCs w:val="20"/>
        </w:rPr>
        <w:t>, es decir, el producto de la potencia neta entregada a la antena (Pt) y de la ganancia de la misma respecto a una antena isotrópica (G)</w:t>
      </w:r>
      <w:r w:rsidR="00E14243" w:rsidRPr="00F02808">
        <w:rPr>
          <w:rFonts w:ascii="ITC Avant Garde" w:hAnsi="ITC Avant Garde"/>
          <w:sz w:val="20"/>
          <w:szCs w:val="20"/>
        </w:rPr>
        <w:t>.</w:t>
      </w:r>
    </w:p>
    <w:p w14:paraId="554B9DCE" w14:textId="4A3C1412" w:rsidR="006B595F" w:rsidRPr="0086242B" w:rsidRDefault="006B595F" w:rsidP="006B595F">
      <w:pPr>
        <w:tabs>
          <w:tab w:val="left" w:pos="709"/>
          <w:tab w:val="left" w:pos="992"/>
          <w:tab w:val="left" w:pos="1276"/>
          <w:tab w:val="left" w:pos="1418"/>
          <w:tab w:val="left" w:pos="1701"/>
        </w:tabs>
        <w:spacing w:line="360" w:lineRule="auto"/>
        <w:ind w:left="1701" w:hanging="1701"/>
        <w:jc w:val="both"/>
        <w:rPr>
          <w:rFonts w:ascii="ITC Avant Garde" w:hAnsi="ITC Avant Garde"/>
          <w:sz w:val="20"/>
          <w:szCs w:val="20"/>
        </w:rPr>
      </w:pPr>
      <w:r w:rsidRPr="0086242B">
        <w:rPr>
          <w:rFonts w:ascii="ITC Avant Garde" w:hAnsi="ITC Avant Garde"/>
          <w:sz w:val="20"/>
          <w:szCs w:val="20"/>
        </w:rPr>
        <w:tab/>
      </w:r>
      <w:r w:rsidR="00B75E81" w:rsidRPr="0086242B">
        <w:rPr>
          <w:rFonts w:ascii="ITC Avant Garde" w:hAnsi="ITC Avant Garde"/>
          <w:i/>
          <w:sz w:val="20"/>
          <w:szCs w:val="20"/>
        </w:rPr>
        <w:t>F</w:t>
      </w:r>
      <w:r w:rsidR="00B75E81" w:rsidRPr="0086242B">
        <w:rPr>
          <w:rFonts w:ascii="ITC Avant Garde" w:hAnsi="ITC Avant Garde"/>
          <w:sz w:val="20"/>
          <w:szCs w:val="20"/>
        </w:rPr>
        <w:t xml:space="preserve"> </w:t>
      </w:r>
      <w:r w:rsidR="00B75E81" w:rsidRPr="00D6172D">
        <w:rPr>
          <w:rFonts w:ascii="ITC Avant Garde" w:hAnsi="ITC Avant Garde"/>
          <w:sz w:val="20"/>
          <w:szCs w:val="20"/>
        </w:rPr>
        <w:t>(</w:t>
      </w:r>
      <w:proofErr w:type="spellStart"/>
      <w:r w:rsidR="00F36493" w:rsidRPr="00473D68">
        <w:rPr>
          <w:rFonts w:ascii="Calibri" w:hAnsi="Calibri" w:cs="Calibri"/>
          <w:sz w:val="20"/>
          <w:szCs w:val="20"/>
        </w:rPr>
        <w:t>θ</w:t>
      </w:r>
      <w:proofErr w:type="gramStart"/>
      <w:r w:rsidRPr="0086242B">
        <w:rPr>
          <w:rFonts w:ascii="ITC Avant Garde" w:hAnsi="ITC Avant Garde"/>
          <w:sz w:val="20"/>
          <w:szCs w:val="20"/>
        </w:rPr>
        <w:t>,</w:t>
      </w:r>
      <w:r w:rsidRPr="0086242B">
        <w:rPr>
          <w:rFonts w:ascii="Calibri" w:hAnsi="Calibri" w:cs="Calibri"/>
          <w:i/>
          <w:sz w:val="20"/>
          <w:szCs w:val="20"/>
        </w:rPr>
        <w:t>φ</w:t>
      </w:r>
      <w:proofErr w:type="spellEnd"/>
      <w:proofErr w:type="gramEnd"/>
      <w:r w:rsidRPr="0086242B">
        <w:rPr>
          <w:rFonts w:ascii="ITC Avant Garde" w:hAnsi="ITC Avant Garde"/>
          <w:sz w:val="20"/>
          <w:szCs w:val="20"/>
        </w:rPr>
        <w:t>)</w:t>
      </w:r>
      <w:r w:rsidRPr="0086242B">
        <w:rPr>
          <w:rFonts w:ascii="ITC Avant Garde" w:hAnsi="ITC Avant Garde"/>
          <w:sz w:val="20"/>
          <w:szCs w:val="20"/>
        </w:rPr>
        <w:tab/>
        <w:t>=</w:t>
      </w:r>
      <w:r w:rsidRPr="0086242B">
        <w:rPr>
          <w:rFonts w:ascii="ITC Avant Garde" w:hAnsi="ITC Avant Garde"/>
          <w:sz w:val="20"/>
          <w:szCs w:val="20"/>
        </w:rPr>
        <w:tab/>
        <w:t xml:space="preserve"> Factor de potencia radiada (número positivo entre 0 y 1 y que es dependiente del complemento del ángulo de elevación </w:t>
      </w:r>
      <w:r w:rsidRPr="0086242B">
        <w:rPr>
          <w:rFonts w:ascii="Calibri" w:hAnsi="Calibri" w:cs="Calibri"/>
          <w:i/>
          <w:sz w:val="20"/>
          <w:szCs w:val="20"/>
        </w:rPr>
        <w:t>θ</w:t>
      </w:r>
      <w:r w:rsidRPr="0086242B">
        <w:rPr>
          <w:rFonts w:ascii="ITC Avant Garde" w:hAnsi="ITC Avant Garde"/>
          <w:sz w:val="20"/>
          <w:szCs w:val="20"/>
        </w:rPr>
        <w:t xml:space="preserve"> y del ángulo de acimut </w:t>
      </w:r>
      <w:r w:rsidRPr="0086242B">
        <w:rPr>
          <w:rFonts w:ascii="Calibri" w:hAnsi="Calibri" w:cs="Calibri"/>
          <w:i/>
          <w:sz w:val="20"/>
          <w:szCs w:val="20"/>
        </w:rPr>
        <w:t>φ</w:t>
      </w:r>
      <w:r w:rsidRPr="0086242B">
        <w:rPr>
          <w:rFonts w:ascii="ITC Avant Garde" w:hAnsi="ITC Avant Garde"/>
          <w:sz w:val="20"/>
          <w:szCs w:val="20"/>
        </w:rPr>
        <w:t xml:space="preserve"> de un sistema de coordenadas esféricas).</w:t>
      </w:r>
    </w:p>
    <w:p w14:paraId="50F1D322" w14:textId="77777777" w:rsidR="006B595F" w:rsidRPr="0086242B" w:rsidRDefault="006B595F" w:rsidP="006B595F">
      <w:pPr>
        <w:spacing w:line="360" w:lineRule="auto"/>
        <w:rPr>
          <w:rFonts w:ascii="ITC Avant Garde" w:hAnsi="ITC Avant Garde"/>
          <w:sz w:val="20"/>
          <w:szCs w:val="20"/>
        </w:rPr>
      </w:pPr>
    </w:p>
    <w:p w14:paraId="683D9D62"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Cuando existe la condición de reflexión total, </w:t>
      </w:r>
      <w:r w:rsidR="00E14243" w:rsidRPr="00F02808">
        <w:rPr>
          <w:rFonts w:ascii="ITC Avant Garde" w:hAnsi="ITC Avant Garde"/>
          <w:sz w:val="20"/>
          <w:szCs w:val="20"/>
        </w:rPr>
        <w:t xml:space="preserve">el coeficiente de reflexión será de </w:t>
      </w:r>
      <w:r w:rsidR="00F36493">
        <w:rPr>
          <w:rFonts w:ascii="ITC Avant Garde" w:hAnsi="ITC Avant Garde"/>
          <w:sz w:val="20"/>
          <w:szCs w:val="20"/>
        </w:rPr>
        <w:t>-</w:t>
      </w:r>
      <w:r w:rsidR="00E14243" w:rsidRPr="00F02808">
        <w:rPr>
          <w:rFonts w:ascii="ITC Avant Garde" w:hAnsi="ITC Avant Garde"/>
          <w:sz w:val="20"/>
          <w:szCs w:val="20"/>
        </w:rPr>
        <w:t xml:space="preserve">1 </w:t>
      </w:r>
      <w:proofErr w:type="gramStart"/>
      <w:r w:rsidR="00E14243" w:rsidRPr="00F02808">
        <w:rPr>
          <w:rFonts w:ascii="ITC Avant Garde" w:hAnsi="ITC Avant Garde"/>
          <w:sz w:val="20"/>
          <w:szCs w:val="20"/>
        </w:rPr>
        <w:t>(</w:t>
      </w:r>
      <w:r w:rsidR="00F36493">
        <w:rPr>
          <w:rFonts w:ascii="ITC Avant Garde" w:hAnsi="ITC Avant Garde"/>
          <w:sz w:val="20"/>
          <w:szCs w:val="20"/>
        </w:rPr>
        <w:t xml:space="preserve"> menos</w:t>
      </w:r>
      <w:proofErr w:type="gramEnd"/>
      <w:r w:rsidR="00F36493">
        <w:rPr>
          <w:rFonts w:ascii="ITC Avant Garde" w:hAnsi="ITC Avant Garde"/>
          <w:sz w:val="20"/>
          <w:szCs w:val="20"/>
        </w:rPr>
        <w:t xml:space="preserve"> </w:t>
      </w:r>
      <w:r w:rsidR="00E14243" w:rsidRPr="00F02808">
        <w:rPr>
          <w:rFonts w:ascii="ITC Avant Garde" w:hAnsi="ITC Avant Garde"/>
          <w:sz w:val="20"/>
          <w:szCs w:val="20"/>
        </w:rPr>
        <w:t xml:space="preserve">uno). </w:t>
      </w:r>
      <w:r w:rsidRPr="0086242B">
        <w:rPr>
          <w:rFonts w:ascii="ITC Avant Garde" w:hAnsi="ITC Avant Garde"/>
          <w:sz w:val="20"/>
          <w:szCs w:val="20"/>
        </w:rPr>
        <w:t>Este valor se puede considerar cuando se hace un cálculo del peor caso en el que existe una superficie reflectora muy cercana al punto donde se quiere evaluar el nivel de exposición y no se tienen datos de las características eléctricas de la superficie reflectora. Sin embargo, un valor más típico es de alrededor de 0.6 como máximo cuando el punto a evaluar está cercano al nivel de la tierra y la antena se encuentra montada en lo alto de una torre o un edificio.</w:t>
      </w:r>
    </w:p>
    <w:p w14:paraId="1ECBB73C" w14:textId="77777777" w:rsidR="006B595F" w:rsidRPr="0086242B" w:rsidRDefault="006B595F" w:rsidP="006B595F">
      <w:pPr>
        <w:spacing w:line="360" w:lineRule="auto"/>
        <w:rPr>
          <w:rFonts w:ascii="ITC Avant Garde" w:hAnsi="ITC Avant Garde"/>
          <w:sz w:val="20"/>
          <w:szCs w:val="20"/>
        </w:rPr>
      </w:pPr>
    </w:p>
    <w:p w14:paraId="08412B3A"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Por otro lado, el factor de potencia radiada que se introduce en la ecuación (1), determinará el nivel de atenuación que se obtendrá en la dirección del punto a evaluar, con respecto a la dirección de máxima radiación. Este factor lo determina el patrón de radiación de potencia de una antena, el cual muestra la forma en que varía la potencia radiada para un par de coordenadas especificas (</w:t>
      </w:r>
      <w:proofErr w:type="spellStart"/>
      <w:r w:rsidRPr="0086242B">
        <w:rPr>
          <w:rFonts w:ascii="Calibri" w:hAnsi="Calibri" w:cs="Calibri"/>
          <w:i/>
          <w:sz w:val="20"/>
          <w:szCs w:val="20"/>
        </w:rPr>
        <w:t>θ</w:t>
      </w:r>
      <w:proofErr w:type="gramStart"/>
      <w:r w:rsidRPr="0086242B">
        <w:rPr>
          <w:rFonts w:ascii="ITC Avant Garde" w:hAnsi="ITC Avant Garde"/>
          <w:sz w:val="20"/>
          <w:szCs w:val="20"/>
        </w:rPr>
        <w:t>,</w:t>
      </w:r>
      <w:r w:rsidRPr="0086242B">
        <w:rPr>
          <w:rFonts w:ascii="Calibri" w:hAnsi="Calibri" w:cs="Calibri"/>
          <w:i/>
          <w:sz w:val="20"/>
          <w:szCs w:val="20"/>
        </w:rPr>
        <w:t>φ</w:t>
      </w:r>
      <w:proofErr w:type="spellEnd"/>
      <w:proofErr w:type="gramEnd"/>
      <w:r w:rsidRPr="0086242B">
        <w:rPr>
          <w:rFonts w:ascii="ITC Avant Garde" w:hAnsi="ITC Avant Garde"/>
          <w:sz w:val="20"/>
          <w:szCs w:val="20"/>
        </w:rPr>
        <w:t xml:space="preserve">), manteniendo la coordenada </w:t>
      </w:r>
      <w:r w:rsidRPr="0086242B">
        <w:rPr>
          <w:rFonts w:ascii="ITC Avant Garde" w:hAnsi="ITC Avant Garde"/>
          <w:i/>
          <w:sz w:val="20"/>
          <w:szCs w:val="20"/>
        </w:rPr>
        <w:t>r</w:t>
      </w:r>
      <w:r w:rsidRPr="0086242B">
        <w:rPr>
          <w:rFonts w:ascii="ITC Avant Garde" w:hAnsi="ITC Avant Garde"/>
          <w:sz w:val="20"/>
          <w:szCs w:val="20"/>
        </w:rPr>
        <w:t xml:space="preserve"> como constante. El patrón de radiación más general es un diagrama tridimensional que está dado en función de las coordenadas </w:t>
      </w:r>
      <w:r w:rsidRPr="0086242B">
        <w:rPr>
          <w:rFonts w:ascii="Calibri" w:hAnsi="Calibri" w:cs="Calibri"/>
          <w:i/>
          <w:sz w:val="20"/>
          <w:szCs w:val="20"/>
        </w:rPr>
        <w:t>θ</w:t>
      </w:r>
      <w:r w:rsidRPr="0086242B">
        <w:rPr>
          <w:rFonts w:ascii="ITC Avant Garde" w:hAnsi="ITC Avant Garde"/>
          <w:i/>
          <w:sz w:val="20"/>
          <w:szCs w:val="20"/>
        </w:rPr>
        <w:t xml:space="preserve"> </w:t>
      </w:r>
      <w:r w:rsidRPr="0086242B">
        <w:rPr>
          <w:rFonts w:ascii="ITC Avant Garde" w:hAnsi="ITC Avant Garde"/>
          <w:sz w:val="20"/>
          <w:szCs w:val="20"/>
        </w:rPr>
        <w:t xml:space="preserve">y </w:t>
      </w:r>
      <w:r w:rsidRPr="0086242B">
        <w:rPr>
          <w:rFonts w:ascii="Calibri" w:hAnsi="Calibri" w:cs="Calibri"/>
          <w:i/>
          <w:sz w:val="20"/>
          <w:szCs w:val="20"/>
        </w:rPr>
        <w:t>φ</w:t>
      </w:r>
      <w:r w:rsidRPr="0086242B">
        <w:rPr>
          <w:rFonts w:ascii="ITC Avant Garde" w:hAnsi="ITC Avant Garde"/>
          <w:sz w:val="20"/>
          <w:szCs w:val="20"/>
        </w:rPr>
        <w:t xml:space="preserve">, sin embargo, lo más común es que los patrones de radiación de las antenas se proporcionen como cortes bidimensionales del patrón más general. Los casos especiales más frecuentes que se pueden encontrar son el patrón de radiación horizontal y el patrón de radiación vertical. El primero se obtiene dejando </w:t>
      </w:r>
      <w:r w:rsidRPr="0086242B">
        <w:rPr>
          <w:rFonts w:ascii="Calibri" w:hAnsi="Calibri" w:cs="Calibri"/>
          <w:i/>
          <w:sz w:val="20"/>
          <w:szCs w:val="20"/>
        </w:rPr>
        <w:t>θ</w:t>
      </w:r>
      <w:r w:rsidRPr="0086242B">
        <w:rPr>
          <w:rFonts w:ascii="ITC Avant Garde" w:hAnsi="ITC Avant Garde"/>
          <w:sz w:val="20"/>
          <w:szCs w:val="20"/>
        </w:rPr>
        <w:t xml:space="preserve"> a un valor fijo de 0˚ y variando </w:t>
      </w:r>
      <w:r w:rsidRPr="0086242B">
        <w:rPr>
          <w:rFonts w:ascii="Calibri" w:hAnsi="Calibri" w:cs="Calibri"/>
          <w:i/>
          <w:sz w:val="20"/>
          <w:szCs w:val="20"/>
        </w:rPr>
        <w:t>φ</w:t>
      </w:r>
      <w:r w:rsidRPr="0086242B">
        <w:rPr>
          <w:rFonts w:ascii="ITC Avant Garde" w:hAnsi="ITC Avant Garde"/>
          <w:sz w:val="20"/>
          <w:szCs w:val="20"/>
        </w:rPr>
        <w:t xml:space="preserve">, mientras que el segundo se obtiene dejando </w:t>
      </w:r>
      <w:r w:rsidRPr="0086242B">
        <w:rPr>
          <w:rFonts w:ascii="Calibri" w:hAnsi="Calibri" w:cs="Calibri"/>
          <w:i/>
          <w:sz w:val="20"/>
          <w:szCs w:val="20"/>
        </w:rPr>
        <w:t>φ</w:t>
      </w:r>
      <w:r w:rsidRPr="0086242B">
        <w:rPr>
          <w:rFonts w:ascii="ITC Avant Garde" w:hAnsi="ITC Avant Garde"/>
          <w:sz w:val="20"/>
          <w:szCs w:val="20"/>
        </w:rPr>
        <w:t xml:space="preserve"> en un valor fijo de 0˚ y variando </w:t>
      </w:r>
      <w:r w:rsidRPr="0086242B">
        <w:rPr>
          <w:rFonts w:ascii="Calibri" w:hAnsi="Calibri" w:cs="Calibri"/>
          <w:i/>
          <w:sz w:val="20"/>
          <w:szCs w:val="20"/>
        </w:rPr>
        <w:t>θ</w:t>
      </w:r>
      <w:r w:rsidRPr="0086242B">
        <w:rPr>
          <w:rFonts w:ascii="ITC Avant Garde" w:hAnsi="ITC Avant Garde"/>
          <w:sz w:val="20"/>
          <w:szCs w:val="20"/>
        </w:rPr>
        <w:t xml:space="preserve">. De esta forma se derivan los factores de potencia bidimensionales </w:t>
      </w:r>
      <w:proofErr w:type="gramStart"/>
      <w:r w:rsidRPr="0086242B">
        <w:rPr>
          <w:rFonts w:ascii="ITC Avant Garde" w:hAnsi="ITC Avant Garde"/>
          <w:i/>
          <w:sz w:val="20"/>
          <w:szCs w:val="20"/>
        </w:rPr>
        <w:t>F</w:t>
      </w:r>
      <w:r w:rsidRPr="0086242B">
        <w:rPr>
          <w:rFonts w:ascii="ITC Avant Garde" w:hAnsi="ITC Avant Garde"/>
          <w:sz w:val="20"/>
          <w:szCs w:val="20"/>
        </w:rPr>
        <w:t>(</w:t>
      </w:r>
      <w:proofErr w:type="gramEnd"/>
      <w:r w:rsidRPr="0086242B">
        <w:rPr>
          <w:rFonts w:ascii="Calibri" w:hAnsi="Calibri" w:cs="Calibri"/>
          <w:i/>
          <w:sz w:val="20"/>
          <w:szCs w:val="20"/>
        </w:rPr>
        <w:t>φ</w:t>
      </w:r>
      <w:r w:rsidRPr="0086242B">
        <w:rPr>
          <w:rFonts w:ascii="ITC Avant Garde" w:hAnsi="ITC Avant Garde"/>
          <w:sz w:val="20"/>
          <w:szCs w:val="20"/>
        </w:rPr>
        <w:t xml:space="preserve">) y </w:t>
      </w:r>
      <w:r w:rsidRPr="0086242B">
        <w:rPr>
          <w:rFonts w:ascii="ITC Avant Garde" w:hAnsi="ITC Avant Garde"/>
          <w:i/>
          <w:sz w:val="20"/>
          <w:szCs w:val="20"/>
        </w:rPr>
        <w:t>F</w:t>
      </w:r>
      <w:r w:rsidRPr="0086242B">
        <w:rPr>
          <w:rFonts w:ascii="ITC Avant Garde" w:hAnsi="ITC Avant Garde"/>
          <w:sz w:val="20"/>
          <w:szCs w:val="20"/>
        </w:rPr>
        <w:t>(</w:t>
      </w:r>
      <w:r w:rsidRPr="0086242B">
        <w:rPr>
          <w:rFonts w:ascii="Calibri" w:hAnsi="Calibri" w:cs="Calibri"/>
          <w:i/>
          <w:sz w:val="20"/>
          <w:szCs w:val="20"/>
        </w:rPr>
        <w:t>θ</w:t>
      </w:r>
      <w:r w:rsidRPr="0086242B">
        <w:rPr>
          <w:rFonts w:ascii="ITC Avant Garde" w:hAnsi="ITC Avant Garde"/>
          <w:sz w:val="20"/>
          <w:szCs w:val="20"/>
        </w:rPr>
        <w:t>), respectivamente.</w:t>
      </w:r>
    </w:p>
    <w:p w14:paraId="47240CE9" w14:textId="77777777" w:rsidR="006B595F" w:rsidRPr="0086242B" w:rsidRDefault="006B595F" w:rsidP="006B595F">
      <w:pPr>
        <w:spacing w:line="360" w:lineRule="auto"/>
        <w:jc w:val="both"/>
        <w:rPr>
          <w:rFonts w:ascii="ITC Avant Garde" w:hAnsi="ITC Avant Garde"/>
          <w:sz w:val="20"/>
          <w:szCs w:val="20"/>
        </w:rPr>
      </w:pPr>
    </w:p>
    <w:p w14:paraId="4D10335D"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En el Apéndice A se muestran ejemplos de cálculos matemáticos de los niveles de exposición máxima en las zonas más cercanas a estaciones de radiocomunicaciones donde está habitualmente presente público en general, considerando un solo emisor y múltiples emisores de RF.</w:t>
      </w:r>
    </w:p>
    <w:p w14:paraId="018F6622" w14:textId="77777777" w:rsidR="006B595F" w:rsidRPr="0086242B" w:rsidRDefault="006B595F" w:rsidP="006B595F">
      <w:pPr>
        <w:spacing w:line="360" w:lineRule="auto"/>
        <w:jc w:val="both"/>
        <w:rPr>
          <w:rFonts w:ascii="ITC Avant Garde" w:hAnsi="ITC Avant Garde"/>
          <w:sz w:val="20"/>
          <w:szCs w:val="20"/>
        </w:rPr>
      </w:pPr>
    </w:p>
    <w:p w14:paraId="754DD6AD"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Tratándose de un solo emisor de RF y si la zona de exposición donde esté habitualmente presente público en general pertenece a la región de campo lejano, se deberá realizar el cálculo de los niveles de exposición máxima empleando la ecuación (1). Dicho cálculo deberá dar valores menores a los </w:t>
      </w:r>
      <w:proofErr w:type="gramStart"/>
      <w:r w:rsidRPr="0086242B">
        <w:rPr>
          <w:rFonts w:ascii="ITC Avant Garde" w:hAnsi="ITC Avant Garde"/>
          <w:sz w:val="20"/>
          <w:szCs w:val="20"/>
        </w:rPr>
        <w:t>establecidos  en</w:t>
      </w:r>
      <w:proofErr w:type="gramEnd"/>
      <w:r w:rsidRPr="0086242B">
        <w:rPr>
          <w:rFonts w:ascii="ITC Avant Garde" w:hAnsi="ITC Avant Garde"/>
          <w:sz w:val="20"/>
          <w:szCs w:val="20"/>
        </w:rPr>
        <w:t xml:space="preserve"> los límites de referencia de exposición máxima de la Tabla 2.</w:t>
      </w:r>
    </w:p>
    <w:p w14:paraId="4631B11F" w14:textId="77777777" w:rsidR="006B595F" w:rsidRPr="0086242B" w:rsidRDefault="006B595F" w:rsidP="006B595F">
      <w:pPr>
        <w:spacing w:line="360" w:lineRule="auto"/>
        <w:jc w:val="both"/>
        <w:rPr>
          <w:rFonts w:ascii="ITC Avant Garde" w:hAnsi="ITC Avant Garde"/>
          <w:sz w:val="20"/>
          <w:szCs w:val="20"/>
        </w:rPr>
      </w:pPr>
    </w:p>
    <w:p w14:paraId="7B64C474"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Para el caso de múltiples emisores de RF, el nivel de exposición porcentual en la región de campo lejano se obtiene aplicando el principio de superposición y sumando las contribuciones ponderadas de cada uno de los emisores de acuerdo a los límites de referencia que aplican para cada emisor. Por lo tanto, se deberá cumplir con las siguientes relaciones:</w:t>
      </w:r>
    </w:p>
    <w:p w14:paraId="63D1A04E" w14:textId="77777777" w:rsidR="006B595F" w:rsidRPr="0086242B" w:rsidRDefault="006B595F" w:rsidP="006B595F">
      <w:pPr>
        <w:jc w:val="both"/>
        <w:rPr>
          <w:rFonts w:ascii="ITC Avant Garde" w:hAnsi="ITC Avant Garde"/>
        </w:rPr>
      </w:pPr>
    </w:p>
    <w:p w14:paraId="7BFFCE70" w14:textId="77777777" w:rsidR="006B595F" w:rsidRPr="0086242B" w:rsidRDefault="006B595F" w:rsidP="006B595F">
      <w:pPr>
        <w:pStyle w:val="Ecuacin"/>
        <w:rPr>
          <w:rFonts w:ascii="ITC Avant Garde" w:hAnsi="ITC Avant Garde"/>
        </w:rPr>
      </w:pPr>
      <w:r w:rsidRPr="0086242B">
        <w:rPr>
          <w:rFonts w:ascii="ITC Avant Garde" w:hAnsi="ITC Avant Garde"/>
        </w:rPr>
        <w:tab/>
      </w:r>
      <w:r w:rsidR="00672004">
        <w:rPr>
          <w:rFonts w:ascii="ITC Avant Garde" w:hAnsi="ITC Avant Garde"/>
          <w:noProof/>
          <w:position w:val="-34"/>
          <w:lang w:val="es-MX" w:eastAsia="es-MX"/>
        </w:rPr>
        <w:drawing>
          <wp:inline distT="0" distB="0" distL="0" distR="0" wp14:anchorId="4CE79168" wp14:editId="6AC2254F">
            <wp:extent cx="1136650" cy="543560"/>
            <wp:effectExtent l="0" t="0" r="6350" b="8890"/>
            <wp:docPr id="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6650" cy="543560"/>
                    </a:xfrm>
                    <a:prstGeom prst="rect">
                      <a:avLst/>
                    </a:prstGeom>
                    <a:noFill/>
                    <a:ln>
                      <a:noFill/>
                    </a:ln>
                  </pic:spPr>
                </pic:pic>
              </a:graphicData>
            </a:graphic>
          </wp:inline>
        </w:drawing>
      </w:r>
      <w:r w:rsidRPr="0086242B">
        <w:rPr>
          <w:rFonts w:ascii="ITC Avant Garde" w:hAnsi="ITC Avant Garde"/>
        </w:rPr>
        <w:tab/>
      </w:r>
      <w:r w:rsidRPr="0086242B">
        <w:rPr>
          <w:rFonts w:ascii="ITC Avant Garde" w:hAnsi="ITC Avant Garde"/>
          <w:sz w:val="20"/>
          <w:szCs w:val="20"/>
        </w:rPr>
        <w:t>(2)</w:t>
      </w:r>
    </w:p>
    <w:p w14:paraId="1F9F936E" w14:textId="77777777" w:rsidR="006B595F" w:rsidRPr="0086242B" w:rsidRDefault="006B595F" w:rsidP="006B595F">
      <w:pPr>
        <w:tabs>
          <w:tab w:val="left" w:pos="6621"/>
        </w:tabs>
        <w:rPr>
          <w:rFonts w:ascii="ITC Avant Garde" w:hAnsi="ITC Avant Garde"/>
        </w:rPr>
      </w:pPr>
      <w:r w:rsidRPr="0086242B">
        <w:rPr>
          <w:rFonts w:ascii="ITC Avant Garde" w:hAnsi="ITC Avant Garde"/>
        </w:rPr>
        <w:tab/>
      </w:r>
    </w:p>
    <w:p w14:paraId="47E79670" w14:textId="77777777" w:rsidR="006B595F" w:rsidRPr="0086242B" w:rsidRDefault="006B595F" w:rsidP="006B595F">
      <w:pPr>
        <w:rPr>
          <w:rFonts w:ascii="ITC Avant Garde" w:hAnsi="ITC Avant Garde"/>
        </w:rPr>
      </w:pPr>
    </w:p>
    <w:p w14:paraId="1A83185D" w14:textId="77777777" w:rsidR="006B595F" w:rsidRPr="0086242B" w:rsidRDefault="006B595F" w:rsidP="006B595F">
      <w:pPr>
        <w:pStyle w:val="Ecuacin"/>
        <w:rPr>
          <w:rFonts w:ascii="ITC Avant Garde" w:hAnsi="ITC Avant Garde"/>
        </w:rPr>
      </w:pPr>
      <w:r w:rsidRPr="0086242B">
        <w:rPr>
          <w:rFonts w:ascii="ITC Avant Garde" w:hAnsi="ITC Avant Garde"/>
        </w:rPr>
        <w:tab/>
      </w:r>
      <w:r w:rsidR="00672004">
        <w:rPr>
          <w:rFonts w:ascii="ITC Avant Garde" w:hAnsi="ITC Avant Garde"/>
          <w:noProof/>
          <w:position w:val="-34"/>
          <w:lang w:val="es-MX" w:eastAsia="es-MX"/>
        </w:rPr>
        <w:drawing>
          <wp:inline distT="0" distB="0" distL="0" distR="0" wp14:anchorId="351E426F" wp14:editId="64E76407">
            <wp:extent cx="1174115" cy="543560"/>
            <wp:effectExtent l="0" t="0" r="6985" b="8890"/>
            <wp:docPr id="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4115" cy="543560"/>
                    </a:xfrm>
                    <a:prstGeom prst="rect">
                      <a:avLst/>
                    </a:prstGeom>
                    <a:noFill/>
                    <a:ln>
                      <a:noFill/>
                    </a:ln>
                  </pic:spPr>
                </pic:pic>
              </a:graphicData>
            </a:graphic>
          </wp:inline>
        </w:drawing>
      </w:r>
      <w:r w:rsidRPr="0086242B">
        <w:rPr>
          <w:rFonts w:ascii="ITC Avant Garde" w:hAnsi="ITC Avant Garde"/>
        </w:rPr>
        <w:tab/>
      </w:r>
      <w:r w:rsidRPr="0086242B">
        <w:rPr>
          <w:rFonts w:ascii="ITC Avant Garde" w:hAnsi="ITC Avant Garde"/>
          <w:sz w:val="20"/>
          <w:szCs w:val="20"/>
        </w:rPr>
        <w:t>(3)</w:t>
      </w:r>
    </w:p>
    <w:p w14:paraId="324A5AD0" w14:textId="77777777" w:rsidR="006B595F" w:rsidRPr="0086242B" w:rsidRDefault="006B595F" w:rsidP="006B595F">
      <w:pPr>
        <w:pStyle w:val="Ecuacin"/>
        <w:rPr>
          <w:rFonts w:ascii="ITC Avant Garde" w:hAnsi="ITC Avant Garde"/>
        </w:rPr>
      </w:pPr>
    </w:p>
    <w:p w14:paraId="698AABC9" w14:textId="77777777" w:rsidR="006B595F" w:rsidRPr="0086242B" w:rsidRDefault="006B595F" w:rsidP="006B595F">
      <w:pPr>
        <w:rPr>
          <w:rFonts w:ascii="ITC Avant Garde" w:hAnsi="ITC Avant Garde"/>
        </w:rPr>
      </w:pPr>
    </w:p>
    <w:p w14:paraId="07ED3024" w14:textId="77777777" w:rsidR="006B595F" w:rsidRPr="0086242B" w:rsidRDefault="006B595F" w:rsidP="006B595F">
      <w:pPr>
        <w:pStyle w:val="Ecuacin"/>
        <w:rPr>
          <w:rFonts w:ascii="ITC Avant Garde" w:hAnsi="ITC Avant Garde"/>
          <w:sz w:val="20"/>
          <w:szCs w:val="20"/>
        </w:rPr>
      </w:pPr>
      <w:r w:rsidRPr="0086242B">
        <w:rPr>
          <w:rFonts w:ascii="ITC Avant Garde" w:hAnsi="ITC Avant Garde"/>
        </w:rPr>
        <w:tab/>
      </w:r>
      <w:r w:rsidR="00672004">
        <w:rPr>
          <w:rFonts w:ascii="ITC Avant Garde" w:hAnsi="ITC Avant Garde"/>
          <w:noProof/>
          <w:position w:val="-32"/>
          <w:lang w:val="es-MX" w:eastAsia="es-MX"/>
        </w:rPr>
        <w:drawing>
          <wp:inline distT="0" distB="0" distL="0" distR="0" wp14:anchorId="1BF55A3B" wp14:editId="2E933C50">
            <wp:extent cx="926465" cy="469265"/>
            <wp:effectExtent l="0" t="0" r="6985" b="6985"/>
            <wp:docPr id="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6465" cy="469265"/>
                    </a:xfrm>
                    <a:prstGeom prst="rect">
                      <a:avLst/>
                    </a:prstGeom>
                    <a:noFill/>
                    <a:ln>
                      <a:noFill/>
                    </a:ln>
                  </pic:spPr>
                </pic:pic>
              </a:graphicData>
            </a:graphic>
          </wp:inline>
        </w:drawing>
      </w:r>
      <w:r w:rsidRPr="0086242B">
        <w:rPr>
          <w:rFonts w:ascii="ITC Avant Garde" w:hAnsi="ITC Avant Garde"/>
        </w:rPr>
        <w:tab/>
      </w:r>
      <w:r w:rsidRPr="0086242B">
        <w:rPr>
          <w:rFonts w:ascii="ITC Avant Garde" w:hAnsi="ITC Avant Garde"/>
          <w:sz w:val="20"/>
          <w:szCs w:val="20"/>
        </w:rPr>
        <w:t>(4)</w:t>
      </w:r>
    </w:p>
    <w:p w14:paraId="315C7AB1" w14:textId="77777777" w:rsidR="006B595F" w:rsidRPr="0086242B" w:rsidRDefault="006B595F" w:rsidP="006B595F">
      <w:pPr>
        <w:spacing w:line="360" w:lineRule="auto"/>
        <w:rPr>
          <w:rFonts w:ascii="ITC Avant Garde" w:hAnsi="ITC Avant Garde"/>
        </w:rPr>
      </w:pPr>
    </w:p>
    <w:p w14:paraId="43DBB92F" w14:textId="77777777" w:rsidR="006B595F" w:rsidRPr="0086242B" w:rsidRDefault="006B595F" w:rsidP="006B595F">
      <w:pPr>
        <w:spacing w:line="360" w:lineRule="auto"/>
        <w:rPr>
          <w:rFonts w:ascii="ITC Avant Garde" w:hAnsi="ITC Avant Garde"/>
          <w:sz w:val="20"/>
          <w:szCs w:val="20"/>
        </w:rPr>
      </w:pPr>
      <w:r w:rsidRPr="0086242B">
        <w:rPr>
          <w:rFonts w:ascii="ITC Avant Garde" w:hAnsi="ITC Avant Garde"/>
          <w:sz w:val="20"/>
          <w:szCs w:val="20"/>
        </w:rPr>
        <w:t>En donde:</w:t>
      </w:r>
    </w:p>
    <w:p w14:paraId="5F5C1497"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i/>
          <w:sz w:val="20"/>
          <w:szCs w:val="20"/>
        </w:rPr>
        <w:tab/>
        <w:t>E</w:t>
      </w:r>
      <w:r w:rsidRPr="0086242B">
        <w:rPr>
          <w:rFonts w:ascii="ITC Avant Garde" w:hAnsi="ITC Avant Garde"/>
          <w:i/>
          <w:sz w:val="20"/>
          <w:szCs w:val="20"/>
          <w:vertAlign w:val="subscript"/>
        </w:rPr>
        <w:t>i</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t xml:space="preserve">Intensidad de campo eléctrico a la frecuencia </w:t>
      </w:r>
      <w:r w:rsidRPr="0086242B">
        <w:rPr>
          <w:rFonts w:ascii="ITC Avant Garde" w:hAnsi="ITC Avant Garde"/>
          <w:i/>
          <w:sz w:val="20"/>
          <w:szCs w:val="20"/>
        </w:rPr>
        <w:t>i</w:t>
      </w:r>
      <w:r w:rsidRPr="0086242B">
        <w:rPr>
          <w:rFonts w:ascii="ITC Avant Garde" w:hAnsi="ITC Avant Garde"/>
          <w:sz w:val="20"/>
          <w:szCs w:val="20"/>
        </w:rPr>
        <w:t xml:space="preserve"> [V/m].</w:t>
      </w:r>
    </w:p>
    <w:p w14:paraId="6A8EE0DC"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i/>
          <w:sz w:val="20"/>
          <w:szCs w:val="20"/>
        </w:rPr>
        <w:tab/>
        <w:t>H</w:t>
      </w:r>
      <w:r w:rsidRPr="0086242B">
        <w:rPr>
          <w:rFonts w:ascii="ITC Avant Garde" w:hAnsi="ITC Avant Garde"/>
          <w:i/>
          <w:sz w:val="20"/>
          <w:szCs w:val="20"/>
          <w:vertAlign w:val="subscript"/>
        </w:rPr>
        <w:t>i</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t xml:space="preserve">Intensidad de campo magnético a la frecuencia </w:t>
      </w:r>
      <w:r w:rsidRPr="0086242B">
        <w:rPr>
          <w:rFonts w:ascii="ITC Avant Garde" w:hAnsi="ITC Avant Garde"/>
          <w:i/>
          <w:sz w:val="20"/>
          <w:szCs w:val="20"/>
        </w:rPr>
        <w:t>i</w:t>
      </w:r>
      <w:r w:rsidRPr="0086242B">
        <w:rPr>
          <w:rFonts w:ascii="ITC Avant Garde" w:hAnsi="ITC Avant Garde"/>
          <w:sz w:val="20"/>
          <w:szCs w:val="20"/>
        </w:rPr>
        <w:t xml:space="preserve"> [A/m].</w:t>
      </w:r>
    </w:p>
    <w:p w14:paraId="0655495E"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i/>
          <w:sz w:val="20"/>
          <w:szCs w:val="20"/>
        </w:rPr>
        <w:tab/>
        <w:t>S</w:t>
      </w:r>
      <w:r w:rsidRPr="0086242B">
        <w:rPr>
          <w:rFonts w:ascii="ITC Avant Garde" w:hAnsi="ITC Avant Garde"/>
          <w:i/>
          <w:sz w:val="20"/>
          <w:szCs w:val="20"/>
          <w:vertAlign w:val="subscript"/>
        </w:rPr>
        <w:t>i</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t xml:space="preserve">Densidad de potencia a la frecuencia </w:t>
      </w:r>
      <w:r w:rsidRPr="0086242B">
        <w:rPr>
          <w:rFonts w:ascii="ITC Avant Garde" w:hAnsi="ITC Avant Garde"/>
          <w:i/>
          <w:sz w:val="20"/>
          <w:szCs w:val="20"/>
        </w:rPr>
        <w:t>i</w:t>
      </w:r>
      <w:r w:rsidRPr="0086242B">
        <w:rPr>
          <w:rFonts w:ascii="ITC Avant Garde" w:hAnsi="ITC Avant Garde"/>
          <w:sz w:val="20"/>
          <w:szCs w:val="20"/>
        </w:rPr>
        <w:t xml:space="preserve"> [W/m</w:t>
      </w:r>
      <w:r w:rsidRPr="0086242B">
        <w:rPr>
          <w:rFonts w:ascii="ITC Avant Garde" w:hAnsi="ITC Avant Garde"/>
          <w:sz w:val="20"/>
          <w:szCs w:val="20"/>
          <w:vertAlign w:val="superscript"/>
        </w:rPr>
        <w:t>2</w:t>
      </w:r>
      <w:r w:rsidRPr="0086242B">
        <w:rPr>
          <w:rFonts w:ascii="ITC Avant Garde" w:hAnsi="ITC Avant Garde"/>
          <w:sz w:val="20"/>
          <w:szCs w:val="20"/>
        </w:rPr>
        <w:t>].</w:t>
      </w:r>
    </w:p>
    <w:p w14:paraId="10EC4EC7" w14:textId="77777777" w:rsidR="006B595F" w:rsidRPr="0086242B" w:rsidRDefault="006B595F" w:rsidP="006B595F">
      <w:pPr>
        <w:tabs>
          <w:tab w:val="left" w:pos="709"/>
          <w:tab w:val="left" w:pos="992"/>
          <w:tab w:val="left" w:pos="1276"/>
          <w:tab w:val="left" w:pos="1418"/>
          <w:tab w:val="left" w:pos="1620"/>
          <w:tab w:val="left" w:pos="1980"/>
        </w:tabs>
        <w:spacing w:line="360" w:lineRule="auto"/>
        <w:ind w:left="1701" w:hanging="1701"/>
        <w:jc w:val="both"/>
        <w:rPr>
          <w:rFonts w:ascii="ITC Avant Garde" w:hAnsi="ITC Avant Garde"/>
          <w:sz w:val="20"/>
          <w:szCs w:val="20"/>
        </w:rPr>
      </w:pPr>
      <w:r w:rsidRPr="0086242B">
        <w:rPr>
          <w:rFonts w:ascii="ITC Avant Garde" w:hAnsi="ITC Avant Garde"/>
          <w:sz w:val="20"/>
          <w:szCs w:val="20"/>
        </w:rPr>
        <w:tab/>
      </w:r>
      <w:proofErr w:type="spellStart"/>
      <w:r w:rsidRPr="0086242B">
        <w:rPr>
          <w:rFonts w:ascii="ITC Avant Garde" w:hAnsi="ITC Avant Garde"/>
          <w:i/>
          <w:sz w:val="20"/>
          <w:szCs w:val="20"/>
        </w:rPr>
        <w:t>E</w:t>
      </w:r>
      <w:r w:rsidRPr="0086242B">
        <w:rPr>
          <w:rFonts w:ascii="ITC Avant Garde" w:hAnsi="ITC Avant Garde"/>
          <w:i/>
          <w:sz w:val="20"/>
          <w:szCs w:val="20"/>
          <w:vertAlign w:val="subscript"/>
        </w:rPr>
        <w:t>i</w:t>
      </w:r>
      <w:proofErr w:type="gramStart"/>
      <w:r w:rsidRPr="0086242B">
        <w:rPr>
          <w:rFonts w:ascii="ITC Avant Garde" w:hAnsi="ITC Avant Garde"/>
          <w:i/>
          <w:sz w:val="20"/>
          <w:szCs w:val="20"/>
          <w:vertAlign w:val="subscript"/>
        </w:rPr>
        <w:t>,ref</w:t>
      </w:r>
      <w:proofErr w:type="spellEnd"/>
      <w:proofErr w:type="gramEnd"/>
      <w:r w:rsidRPr="0086242B">
        <w:rPr>
          <w:rFonts w:ascii="ITC Avant Garde" w:hAnsi="ITC Avant Garde"/>
          <w:sz w:val="20"/>
          <w:szCs w:val="20"/>
        </w:rPr>
        <w:tab/>
      </w:r>
      <w:r w:rsidRPr="0086242B">
        <w:rPr>
          <w:rFonts w:ascii="ITC Avant Garde" w:hAnsi="ITC Avant Garde"/>
          <w:sz w:val="20"/>
          <w:szCs w:val="20"/>
        </w:rPr>
        <w:tab/>
        <w:t>=</w:t>
      </w:r>
      <w:r w:rsidRPr="0086242B">
        <w:rPr>
          <w:rFonts w:ascii="ITC Avant Garde" w:hAnsi="ITC Avant Garde"/>
          <w:sz w:val="20"/>
          <w:szCs w:val="20"/>
        </w:rPr>
        <w:tab/>
        <w:t xml:space="preserve">Límite de referencia de campo eléctrico a la frecuencia </w:t>
      </w:r>
      <w:r w:rsidRPr="0086242B">
        <w:rPr>
          <w:rFonts w:ascii="ITC Avant Garde" w:hAnsi="ITC Avant Garde"/>
          <w:i/>
          <w:sz w:val="20"/>
          <w:szCs w:val="20"/>
        </w:rPr>
        <w:t>i</w:t>
      </w:r>
      <w:r w:rsidRPr="0086242B">
        <w:rPr>
          <w:rFonts w:ascii="ITC Avant Garde" w:hAnsi="ITC Avant Garde"/>
          <w:sz w:val="20"/>
          <w:szCs w:val="20"/>
        </w:rPr>
        <w:t xml:space="preserve"> [V/m].</w:t>
      </w:r>
    </w:p>
    <w:p w14:paraId="5496E18A" w14:textId="77777777" w:rsidR="006B595F" w:rsidRPr="0086242B" w:rsidRDefault="006B595F" w:rsidP="006B595F">
      <w:pPr>
        <w:tabs>
          <w:tab w:val="left" w:pos="709"/>
          <w:tab w:val="left" w:pos="992"/>
          <w:tab w:val="left" w:pos="1276"/>
          <w:tab w:val="left" w:pos="1418"/>
          <w:tab w:val="left" w:pos="1620"/>
          <w:tab w:val="left" w:pos="1980"/>
        </w:tabs>
        <w:spacing w:line="360" w:lineRule="auto"/>
        <w:ind w:left="1701" w:hanging="1701"/>
        <w:jc w:val="both"/>
        <w:rPr>
          <w:rFonts w:ascii="ITC Avant Garde" w:hAnsi="ITC Avant Garde"/>
          <w:sz w:val="20"/>
          <w:szCs w:val="20"/>
        </w:rPr>
      </w:pPr>
      <w:r w:rsidRPr="0086242B">
        <w:rPr>
          <w:rFonts w:ascii="ITC Avant Garde" w:hAnsi="ITC Avant Garde"/>
          <w:sz w:val="20"/>
          <w:szCs w:val="20"/>
        </w:rPr>
        <w:tab/>
      </w:r>
      <w:proofErr w:type="spellStart"/>
      <w:r w:rsidRPr="0086242B">
        <w:rPr>
          <w:rFonts w:ascii="ITC Avant Garde" w:hAnsi="ITC Avant Garde"/>
          <w:i/>
          <w:sz w:val="20"/>
          <w:szCs w:val="20"/>
        </w:rPr>
        <w:t>M</w:t>
      </w:r>
      <w:r w:rsidRPr="0086242B">
        <w:rPr>
          <w:rFonts w:ascii="ITC Avant Garde" w:hAnsi="ITC Avant Garde"/>
          <w:i/>
          <w:sz w:val="20"/>
          <w:szCs w:val="20"/>
          <w:vertAlign w:val="subscript"/>
        </w:rPr>
        <w:t>i</w:t>
      </w:r>
      <w:proofErr w:type="gramStart"/>
      <w:r w:rsidRPr="0086242B">
        <w:rPr>
          <w:rFonts w:ascii="ITC Avant Garde" w:hAnsi="ITC Avant Garde"/>
          <w:i/>
          <w:sz w:val="20"/>
          <w:szCs w:val="20"/>
          <w:vertAlign w:val="subscript"/>
        </w:rPr>
        <w:t>,ref</w:t>
      </w:r>
      <w:proofErr w:type="spellEnd"/>
      <w:proofErr w:type="gramEnd"/>
      <w:r w:rsidRPr="0086242B">
        <w:rPr>
          <w:rFonts w:ascii="ITC Avant Garde" w:hAnsi="ITC Avant Garde"/>
          <w:sz w:val="20"/>
          <w:szCs w:val="20"/>
        </w:rPr>
        <w:tab/>
      </w:r>
      <w:r w:rsidRPr="0086242B">
        <w:rPr>
          <w:rFonts w:ascii="ITC Avant Garde" w:hAnsi="ITC Avant Garde"/>
          <w:sz w:val="20"/>
          <w:szCs w:val="20"/>
        </w:rPr>
        <w:tab/>
        <w:t>=</w:t>
      </w:r>
      <w:r w:rsidRPr="0086242B">
        <w:rPr>
          <w:rFonts w:ascii="ITC Avant Garde" w:hAnsi="ITC Avant Garde"/>
          <w:sz w:val="20"/>
          <w:szCs w:val="20"/>
        </w:rPr>
        <w:tab/>
        <w:t xml:space="preserve">Límite de referencia de campo magnético a la frecuencia </w:t>
      </w:r>
      <w:r w:rsidRPr="0086242B">
        <w:rPr>
          <w:rFonts w:ascii="ITC Avant Garde" w:hAnsi="ITC Avant Garde"/>
          <w:i/>
          <w:sz w:val="20"/>
          <w:szCs w:val="20"/>
        </w:rPr>
        <w:t>i</w:t>
      </w:r>
      <w:r w:rsidRPr="0086242B">
        <w:rPr>
          <w:rFonts w:ascii="ITC Avant Garde" w:hAnsi="ITC Avant Garde"/>
          <w:sz w:val="20"/>
          <w:szCs w:val="20"/>
        </w:rPr>
        <w:t xml:space="preserve"> [A/m].</w:t>
      </w:r>
    </w:p>
    <w:p w14:paraId="3B573C48" w14:textId="77777777" w:rsidR="006B595F" w:rsidRPr="0086242B" w:rsidRDefault="006B595F" w:rsidP="006B595F">
      <w:pPr>
        <w:tabs>
          <w:tab w:val="left" w:pos="709"/>
          <w:tab w:val="left" w:pos="992"/>
          <w:tab w:val="left" w:pos="1276"/>
          <w:tab w:val="left" w:pos="1418"/>
          <w:tab w:val="left" w:pos="1620"/>
          <w:tab w:val="left" w:pos="1980"/>
        </w:tabs>
        <w:spacing w:line="360" w:lineRule="auto"/>
        <w:ind w:left="1701" w:hanging="1701"/>
        <w:jc w:val="both"/>
        <w:rPr>
          <w:rFonts w:ascii="ITC Avant Garde" w:hAnsi="ITC Avant Garde"/>
          <w:sz w:val="20"/>
          <w:szCs w:val="20"/>
        </w:rPr>
      </w:pPr>
      <w:r w:rsidRPr="0086242B">
        <w:rPr>
          <w:rFonts w:ascii="ITC Avant Garde" w:hAnsi="ITC Avant Garde"/>
          <w:sz w:val="20"/>
          <w:szCs w:val="20"/>
        </w:rPr>
        <w:tab/>
      </w:r>
      <w:proofErr w:type="spellStart"/>
      <w:r w:rsidRPr="0086242B">
        <w:rPr>
          <w:rFonts w:ascii="ITC Avant Garde" w:hAnsi="ITC Avant Garde"/>
          <w:sz w:val="20"/>
          <w:szCs w:val="20"/>
        </w:rPr>
        <w:t>S</w:t>
      </w:r>
      <w:r w:rsidRPr="0086242B">
        <w:rPr>
          <w:rFonts w:ascii="ITC Avant Garde" w:hAnsi="ITC Avant Garde"/>
          <w:i/>
          <w:sz w:val="20"/>
          <w:szCs w:val="20"/>
          <w:vertAlign w:val="subscript"/>
        </w:rPr>
        <w:t>i</w:t>
      </w:r>
      <w:proofErr w:type="gramStart"/>
      <w:r w:rsidRPr="0086242B">
        <w:rPr>
          <w:rFonts w:ascii="ITC Avant Garde" w:hAnsi="ITC Avant Garde"/>
          <w:i/>
          <w:sz w:val="20"/>
          <w:szCs w:val="20"/>
          <w:vertAlign w:val="subscript"/>
        </w:rPr>
        <w:t>,ref</w:t>
      </w:r>
      <w:proofErr w:type="spellEnd"/>
      <w:proofErr w:type="gramEnd"/>
      <w:r w:rsidRPr="0086242B">
        <w:rPr>
          <w:rFonts w:ascii="ITC Avant Garde" w:hAnsi="ITC Avant Garde"/>
          <w:sz w:val="20"/>
          <w:szCs w:val="20"/>
        </w:rPr>
        <w:tab/>
      </w:r>
      <w:r w:rsidRPr="0086242B">
        <w:rPr>
          <w:rFonts w:ascii="ITC Avant Garde" w:hAnsi="ITC Avant Garde"/>
          <w:sz w:val="20"/>
          <w:szCs w:val="20"/>
        </w:rPr>
        <w:tab/>
        <w:t>=</w:t>
      </w:r>
      <w:r w:rsidRPr="0086242B">
        <w:rPr>
          <w:rFonts w:ascii="ITC Avant Garde" w:hAnsi="ITC Avant Garde"/>
          <w:sz w:val="20"/>
          <w:szCs w:val="20"/>
        </w:rPr>
        <w:tab/>
        <w:t xml:space="preserve">Límite de referencia de densidad de potencia a la frecuencia </w:t>
      </w:r>
      <w:r w:rsidRPr="0086242B">
        <w:rPr>
          <w:rFonts w:ascii="ITC Avant Garde" w:hAnsi="ITC Avant Garde"/>
          <w:i/>
          <w:sz w:val="20"/>
          <w:szCs w:val="20"/>
        </w:rPr>
        <w:t>i</w:t>
      </w:r>
      <w:r w:rsidRPr="0086242B">
        <w:rPr>
          <w:rFonts w:ascii="ITC Avant Garde" w:hAnsi="ITC Avant Garde"/>
          <w:sz w:val="20"/>
          <w:szCs w:val="20"/>
        </w:rPr>
        <w:t xml:space="preserve"> [W/m</w:t>
      </w:r>
      <w:r w:rsidRPr="0086242B">
        <w:rPr>
          <w:rFonts w:ascii="ITC Avant Garde" w:hAnsi="ITC Avant Garde"/>
          <w:sz w:val="20"/>
          <w:szCs w:val="20"/>
          <w:vertAlign w:val="superscript"/>
        </w:rPr>
        <w:t>2</w:t>
      </w:r>
      <w:r w:rsidRPr="0086242B">
        <w:rPr>
          <w:rFonts w:ascii="ITC Avant Garde" w:hAnsi="ITC Avant Garde"/>
          <w:sz w:val="20"/>
          <w:szCs w:val="20"/>
        </w:rPr>
        <w:t>].</w:t>
      </w:r>
    </w:p>
    <w:p w14:paraId="1CB06522" w14:textId="77777777" w:rsidR="006B595F" w:rsidRPr="0086242B" w:rsidRDefault="006B595F" w:rsidP="006B595F">
      <w:pPr>
        <w:spacing w:line="360" w:lineRule="auto"/>
        <w:jc w:val="both"/>
        <w:rPr>
          <w:rFonts w:ascii="ITC Avant Garde" w:hAnsi="ITC Avant Garde"/>
          <w:sz w:val="20"/>
          <w:szCs w:val="20"/>
        </w:rPr>
      </w:pPr>
    </w:p>
    <w:p w14:paraId="36248E10"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Las relaciones (2) y (3) se cumplen con la aplicación de la ecuación que relaciona el campo eléctrico y magnético en condiciones de campo lejano, para ondas planas.</w:t>
      </w:r>
    </w:p>
    <w:p w14:paraId="336AC4F2" w14:textId="77777777" w:rsidR="006B595F" w:rsidRPr="0086242B" w:rsidRDefault="006B595F" w:rsidP="006B595F">
      <w:pPr>
        <w:pStyle w:val="Ecuacin"/>
        <w:ind w:left="709"/>
        <w:rPr>
          <w:rFonts w:ascii="ITC Avant Garde" w:hAnsi="ITC Avant Garde"/>
        </w:rPr>
      </w:pPr>
      <w:r w:rsidRPr="0086242B">
        <w:rPr>
          <w:rFonts w:ascii="ITC Avant Garde" w:hAnsi="ITC Avant Garde"/>
        </w:rPr>
        <w:tab/>
      </w:r>
      <w:r w:rsidR="00672004">
        <w:rPr>
          <w:rFonts w:ascii="ITC Avant Garde" w:hAnsi="ITC Avant Garde"/>
          <w:noProof/>
          <w:position w:val="-28"/>
          <w:lang w:val="es-MX" w:eastAsia="es-MX"/>
        </w:rPr>
        <w:drawing>
          <wp:inline distT="0" distB="0" distL="0" distR="0" wp14:anchorId="617D8959" wp14:editId="280B15B1">
            <wp:extent cx="1272540" cy="432435"/>
            <wp:effectExtent l="0" t="0" r="0" b="5715"/>
            <wp:docPr id="6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2540" cy="432435"/>
                    </a:xfrm>
                    <a:prstGeom prst="rect">
                      <a:avLst/>
                    </a:prstGeom>
                    <a:noFill/>
                    <a:ln>
                      <a:noFill/>
                    </a:ln>
                  </pic:spPr>
                </pic:pic>
              </a:graphicData>
            </a:graphic>
          </wp:inline>
        </w:drawing>
      </w:r>
      <w:r w:rsidRPr="0086242B">
        <w:rPr>
          <w:rFonts w:ascii="ITC Avant Garde" w:hAnsi="ITC Avant Garde"/>
        </w:rPr>
        <w:tab/>
      </w:r>
      <w:r w:rsidRPr="0086242B">
        <w:rPr>
          <w:rFonts w:ascii="ITC Avant Garde" w:hAnsi="ITC Avant Garde"/>
          <w:sz w:val="20"/>
          <w:szCs w:val="20"/>
        </w:rPr>
        <w:t>(5)</w:t>
      </w:r>
    </w:p>
    <w:p w14:paraId="2212362E" w14:textId="77777777" w:rsidR="006B595F" w:rsidRPr="0086242B" w:rsidRDefault="006B595F" w:rsidP="006B595F">
      <w:pPr>
        <w:ind w:left="709"/>
        <w:rPr>
          <w:rFonts w:ascii="ITC Avant Garde" w:hAnsi="ITC Avant Garde"/>
        </w:rPr>
      </w:pPr>
    </w:p>
    <w:p w14:paraId="2FB55A61" w14:textId="77777777" w:rsidR="006B595F" w:rsidRPr="0086242B" w:rsidRDefault="006B595F" w:rsidP="006B595F">
      <w:pPr>
        <w:spacing w:line="360" w:lineRule="auto"/>
        <w:ind w:left="709"/>
        <w:rPr>
          <w:rFonts w:ascii="ITC Avant Garde" w:hAnsi="ITC Avant Garde"/>
          <w:sz w:val="20"/>
          <w:szCs w:val="20"/>
        </w:rPr>
      </w:pPr>
      <w:r w:rsidRPr="0086242B">
        <w:rPr>
          <w:rFonts w:ascii="ITC Avant Garde" w:hAnsi="ITC Avant Garde"/>
          <w:sz w:val="20"/>
          <w:szCs w:val="20"/>
        </w:rPr>
        <w:t>En donde:</w:t>
      </w:r>
    </w:p>
    <w:p w14:paraId="5B5902A5" w14:textId="77777777" w:rsidR="006B595F" w:rsidRPr="0086242B" w:rsidRDefault="006B595F" w:rsidP="006B595F">
      <w:pPr>
        <w:tabs>
          <w:tab w:val="left" w:pos="709"/>
          <w:tab w:val="left" w:pos="992"/>
          <w:tab w:val="left" w:pos="1276"/>
        </w:tabs>
        <w:spacing w:line="360" w:lineRule="auto"/>
        <w:ind w:left="709"/>
        <w:rPr>
          <w:rFonts w:ascii="ITC Avant Garde" w:hAnsi="ITC Avant Garde"/>
          <w:sz w:val="20"/>
          <w:szCs w:val="20"/>
        </w:rPr>
      </w:pPr>
      <w:r w:rsidRPr="0086242B">
        <w:rPr>
          <w:rFonts w:ascii="ITC Avant Garde" w:hAnsi="ITC Avant Garde"/>
          <w:i/>
          <w:sz w:val="20"/>
          <w:szCs w:val="20"/>
        </w:rPr>
        <w:tab/>
        <w:t>E</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t>Intensidad de campo eléctrico [V/m].</w:t>
      </w:r>
    </w:p>
    <w:p w14:paraId="00C751C1" w14:textId="77777777" w:rsidR="006B595F" w:rsidRPr="0086242B" w:rsidRDefault="006B595F" w:rsidP="006B595F">
      <w:pPr>
        <w:tabs>
          <w:tab w:val="left" w:pos="709"/>
          <w:tab w:val="left" w:pos="992"/>
          <w:tab w:val="left" w:pos="1276"/>
        </w:tabs>
        <w:spacing w:line="360" w:lineRule="auto"/>
        <w:ind w:left="709"/>
        <w:rPr>
          <w:rFonts w:ascii="ITC Avant Garde" w:hAnsi="ITC Avant Garde"/>
          <w:sz w:val="20"/>
          <w:szCs w:val="20"/>
        </w:rPr>
      </w:pPr>
      <w:r w:rsidRPr="0086242B">
        <w:rPr>
          <w:rFonts w:ascii="ITC Avant Garde" w:hAnsi="ITC Avant Garde"/>
          <w:i/>
          <w:sz w:val="20"/>
          <w:szCs w:val="20"/>
        </w:rPr>
        <w:tab/>
        <w:t>H</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t>Intensidad de campo magnético [A/m].</w:t>
      </w:r>
    </w:p>
    <w:p w14:paraId="79981C78" w14:textId="77777777" w:rsidR="006B595F" w:rsidRPr="0086242B" w:rsidRDefault="006B595F" w:rsidP="006B595F">
      <w:pPr>
        <w:tabs>
          <w:tab w:val="left" w:pos="709"/>
          <w:tab w:val="left" w:pos="992"/>
          <w:tab w:val="left" w:pos="1276"/>
        </w:tabs>
        <w:spacing w:line="360" w:lineRule="auto"/>
        <w:ind w:left="709"/>
        <w:rPr>
          <w:rFonts w:ascii="ITC Avant Garde" w:hAnsi="ITC Avant Garde"/>
          <w:sz w:val="20"/>
          <w:szCs w:val="20"/>
        </w:rPr>
      </w:pPr>
      <w:r w:rsidRPr="0086242B">
        <w:rPr>
          <w:rFonts w:ascii="ITC Avant Garde" w:hAnsi="ITC Avant Garde"/>
          <w:i/>
          <w:sz w:val="20"/>
          <w:szCs w:val="20"/>
        </w:rPr>
        <w:tab/>
      </w:r>
      <w:r w:rsidR="00672004">
        <w:rPr>
          <w:rFonts w:ascii="ITC Avant Garde" w:hAnsi="ITC Avant Garde"/>
          <w:noProof/>
          <w:position w:val="-12"/>
          <w:sz w:val="20"/>
          <w:szCs w:val="20"/>
          <w:lang w:val="es-MX" w:eastAsia="es-MX"/>
        </w:rPr>
        <w:drawing>
          <wp:inline distT="0" distB="0" distL="0" distR="0" wp14:anchorId="4C4BF287" wp14:editId="18A40CF9">
            <wp:extent cx="185420" cy="222250"/>
            <wp:effectExtent l="0" t="0" r="5080" b="6350"/>
            <wp:docPr id="6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420" cy="222250"/>
                    </a:xfrm>
                    <a:prstGeom prst="rect">
                      <a:avLst/>
                    </a:prstGeom>
                    <a:noFill/>
                    <a:ln>
                      <a:noFill/>
                    </a:ln>
                  </pic:spPr>
                </pic:pic>
              </a:graphicData>
            </a:graphic>
          </wp:inline>
        </w:drawing>
      </w:r>
      <w:r w:rsidRPr="0086242B">
        <w:rPr>
          <w:rFonts w:ascii="ITC Avant Garde" w:hAnsi="ITC Avant Garde"/>
          <w:sz w:val="20"/>
          <w:szCs w:val="20"/>
        </w:rPr>
        <w:t xml:space="preserve">=Impedancia intrínseca del espacio </w:t>
      </w:r>
      <w:r w:rsidR="00B9123B" w:rsidRPr="0086242B">
        <w:rPr>
          <w:rFonts w:ascii="ITC Avant Garde" w:hAnsi="ITC Avant Garde"/>
          <w:sz w:val="20"/>
          <w:szCs w:val="20"/>
        </w:rPr>
        <w:t>libre</w:t>
      </w:r>
      <w:r w:rsidR="00672004">
        <w:rPr>
          <w:rFonts w:ascii="ITC Avant Garde" w:hAnsi="ITC Avant Garde"/>
          <w:noProof/>
          <w:position w:val="-10"/>
          <w:sz w:val="20"/>
          <w:szCs w:val="20"/>
          <w:lang w:val="es-MX" w:eastAsia="es-MX"/>
        </w:rPr>
        <w:drawing>
          <wp:inline distT="0" distB="0" distL="0" distR="0" wp14:anchorId="68925D75" wp14:editId="521849C3">
            <wp:extent cx="1223010" cy="185420"/>
            <wp:effectExtent l="0" t="0" r="0" b="5080"/>
            <wp:docPr id="6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3010" cy="185420"/>
                    </a:xfrm>
                    <a:prstGeom prst="rect">
                      <a:avLst/>
                    </a:prstGeom>
                    <a:noFill/>
                    <a:ln>
                      <a:noFill/>
                    </a:ln>
                  </pic:spPr>
                </pic:pic>
              </a:graphicData>
            </a:graphic>
          </wp:inline>
        </w:drawing>
      </w:r>
      <w:r w:rsidRPr="0086242B">
        <w:rPr>
          <w:rFonts w:ascii="ITC Avant Garde" w:hAnsi="ITC Avant Garde"/>
          <w:sz w:val="20"/>
          <w:szCs w:val="20"/>
        </w:rPr>
        <w:t>.</w:t>
      </w:r>
    </w:p>
    <w:p w14:paraId="5B89331C" w14:textId="77777777" w:rsidR="006B595F" w:rsidRPr="0086242B" w:rsidRDefault="006B595F" w:rsidP="006B595F">
      <w:pPr>
        <w:jc w:val="both"/>
        <w:rPr>
          <w:rFonts w:ascii="ITC Avant Garde" w:hAnsi="ITC Avant Garde"/>
        </w:rPr>
      </w:pPr>
    </w:p>
    <w:p w14:paraId="397AA6CB" w14:textId="77777777" w:rsidR="006B595F" w:rsidRPr="0086242B" w:rsidRDefault="006B595F" w:rsidP="006B595F">
      <w:pPr>
        <w:pStyle w:val="Ttulo2"/>
        <w:numPr>
          <w:ilvl w:val="1"/>
          <w:numId w:val="49"/>
        </w:numPr>
        <w:spacing w:before="120" w:line="360" w:lineRule="auto"/>
        <w:jc w:val="both"/>
        <w:rPr>
          <w:rFonts w:ascii="ITC Avant Garde" w:hAnsi="ITC Avant Garde"/>
          <w:i w:val="0"/>
          <w:sz w:val="22"/>
          <w:szCs w:val="22"/>
        </w:rPr>
      </w:pPr>
      <w:bookmarkStart w:id="18" w:name="_Toc414444598"/>
      <w:r w:rsidRPr="0086242B">
        <w:rPr>
          <w:rFonts w:ascii="ITC Avant Garde" w:hAnsi="ITC Avant Garde"/>
          <w:i w:val="0"/>
          <w:sz w:val="22"/>
          <w:szCs w:val="22"/>
        </w:rPr>
        <w:t>Sistema de Medición de Campos Electromagnéticos.</w:t>
      </w:r>
      <w:bookmarkEnd w:id="18"/>
    </w:p>
    <w:p w14:paraId="315D899F"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Requerimientos básicos.</w:t>
      </w:r>
    </w:p>
    <w:p w14:paraId="6C75645D" w14:textId="77777777" w:rsidR="006B595F" w:rsidRPr="0086242B" w:rsidRDefault="006B595F" w:rsidP="006B595F">
      <w:pPr>
        <w:pStyle w:val="Ttulo3"/>
        <w:keepLines w:val="0"/>
        <w:numPr>
          <w:ilvl w:val="2"/>
          <w:numId w:val="49"/>
        </w:numPr>
        <w:spacing w:before="240" w:after="60" w:line="240" w:lineRule="auto"/>
        <w:rPr>
          <w:rFonts w:ascii="ITC Avant Garde" w:hAnsi="ITC Avant Garde"/>
          <w:color w:val="auto"/>
          <w:sz w:val="22"/>
          <w:szCs w:val="22"/>
        </w:rPr>
      </w:pPr>
      <w:bookmarkStart w:id="19" w:name="_Toc414444599"/>
      <w:r w:rsidRPr="0086242B">
        <w:rPr>
          <w:rFonts w:ascii="ITC Avant Garde" w:hAnsi="ITC Avant Garde"/>
          <w:color w:val="auto"/>
          <w:sz w:val="22"/>
          <w:szCs w:val="22"/>
        </w:rPr>
        <w:t>Instrumentación.</w:t>
      </w:r>
      <w:bookmarkEnd w:id="19"/>
    </w:p>
    <w:p w14:paraId="6E982830"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Para la medición de los niveles de radiación no ionizante que existen en el entorno próximo que rodea a las estaciones de radiocomunicaciones donde esté habitualmente presente público en general se requiere de un sistema de medición de campos electromagnéticos que conste  al menos de las siguientes tres partes: </w:t>
      </w:r>
    </w:p>
    <w:p w14:paraId="5E4AA28F" w14:textId="77777777" w:rsidR="006B595F" w:rsidRPr="0086242B" w:rsidRDefault="006B595F" w:rsidP="006B595F">
      <w:pPr>
        <w:spacing w:line="360" w:lineRule="auto"/>
        <w:jc w:val="both"/>
        <w:rPr>
          <w:rFonts w:ascii="ITC Avant Garde" w:hAnsi="ITC Avant Garde"/>
          <w:sz w:val="20"/>
          <w:szCs w:val="20"/>
        </w:rPr>
      </w:pPr>
    </w:p>
    <w:p w14:paraId="704B4228" w14:textId="77777777" w:rsidR="006B595F" w:rsidRPr="0086242B" w:rsidRDefault="006B595F" w:rsidP="006B595F">
      <w:pPr>
        <w:numPr>
          <w:ilvl w:val="0"/>
          <w:numId w:val="37"/>
        </w:numPr>
        <w:spacing w:line="360" w:lineRule="auto"/>
        <w:ind w:left="567"/>
        <w:jc w:val="both"/>
        <w:rPr>
          <w:rFonts w:ascii="ITC Avant Garde" w:hAnsi="ITC Avant Garde"/>
          <w:sz w:val="20"/>
          <w:szCs w:val="20"/>
        </w:rPr>
      </w:pPr>
      <w:r w:rsidRPr="0086242B">
        <w:rPr>
          <w:rFonts w:ascii="ITC Avant Garde" w:hAnsi="ITC Avant Garde"/>
          <w:sz w:val="20"/>
          <w:szCs w:val="20"/>
        </w:rPr>
        <w:t xml:space="preserve">Equipo de medición </w:t>
      </w:r>
    </w:p>
    <w:p w14:paraId="1235DC30" w14:textId="77777777" w:rsidR="006B595F" w:rsidRPr="0086242B" w:rsidRDefault="006B595F" w:rsidP="006B595F">
      <w:pPr>
        <w:numPr>
          <w:ilvl w:val="0"/>
          <w:numId w:val="37"/>
        </w:numPr>
        <w:spacing w:line="360" w:lineRule="auto"/>
        <w:ind w:left="567"/>
        <w:jc w:val="both"/>
        <w:rPr>
          <w:rFonts w:ascii="ITC Avant Garde" w:hAnsi="ITC Avant Garde"/>
          <w:sz w:val="20"/>
          <w:szCs w:val="20"/>
        </w:rPr>
      </w:pPr>
      <w:r w:rsidRPr="0086242B">
        <w:rPr>
          <w:rFonts w:ascii="ITC Avant Garde" w:hAnsi="ITC Avant Garde"/>
          <w:sz w:val="20"/>
          <w:szCs w:val="20"/>
        </w:rPr>
        <w:t xml:space="preserve">Sensor, y </w:t>
      </w:r>
    </w:p>
    <w:p w14:paraId="374CE765" w14:textId="77777777" w:rsidR="006B595F" w:rsidRPr="0086242B" w:rsidRDefault="006B595F" w:rsidP="006B595F">
      <w:pPr>
        <w:numPr>
          <w:ilvl w:val="0"/>
          <w:numId w:val="37"/>
        </w:numPr>
        <w:spacing w:line="360" w:lineRule="auto"/>
        <w:ind w:left="567"/>
        <w:jc w:val="both"/>
        <w:rPr>
          <w:rFonts w:ascii="ITC Avant Garde" w:hAnsi="ITC Avant Garde"/>
          <w:sz w:val="20"/>
          <w:szCs w:val="20"/>
        </w:rPr>
      </w:pPr>
      <w:r w:rsidRPr="0086242B">
        <w:rPr>
          <w:rFonts w:ascii="ITC Avant Garde" w:hAnsi="ITC Avant Garde"/>
          <w:sz w:val="20"/>
          <w:szCs w:val="20"/>
        </w:rPr>
        <w:t xml:space="preserve">Cables que unen al equipo de medición con el sensor (para aquellos equipos que así lo requiera su configuración). </w:t>
      </w:r>
    </w:p>
    <w:p w14:paraId="1C55CBE2" w14:textId="77777777" w:rsidR="006B595F" w:rsidRPr="0086242B" w:rsidRDefault="006B595F" w:rsidP="006B595F">
      <w:pPr>
        <w:spacing w:line="360" w:lineRule="auto"/>
        <w:jc w:val="both"/>
        <w:rPr>
          <w:rFonts w:ascii="ITC Avant Garde" w:hAnsi="ITC Avant Garde"/>
          <w:sz w:val="20"/>
          <w:szCs w:val="20"/>
        </w:rPr>
      </w:pPr>
    </w:p>
    <w:p w14:paraId="227B6DCD"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De la forma en que se muestra en la Figura 2.</w:t>
      </w:r>
    </w:p>
    <w:p w14:paraId="74301CFF" w14:textId="77777777" w:rsidR="006B595F" w:rsidRPr="0086242B" w:rsidRDefault="006B595F" w:rsidP="006B595F">
      <w:pPr>
        <w:jc w:val="both"/>
        <w:rPr>
          <w:rFonts w:ascii="ITC Avant Garde" w:hAnsi="ITC Avant Garde"/>
        </w:rPr>
      </w:pPr>
    </w:p>
    <w:p w14:paraId="74D5666F" w14:textId="77777777" w:rsidR="006B595F" w:rsidRPr="0086242B" w:rsidRDefault="00672004" w:rsidP="006B595F">
      <w:pPr>
        <w:jc w:val="center"/>
        <w:rPr>
          <w:rFonts w:ascii="ITC Avant Garde" w:hAnsi="ITC Avant Garde"/>
        </w:rPr>
      </w:pPr>
      <w:r>
        <w:rPr>
          <w:rFonts w:ascii="ITC Avant Garde" w:hAnsi="ITC Avant Garde"/>
          <w:noProof/>
          <w:lang w:val="es-MX" w:eastAsia="es-MX"/>
        </w:rPr>
        <w:drawing>
          <wp:inline distT="0" distB="0" distL="0" distR="0" wp14:anchorId="08D2AC23" wp14:editId="15227C94">
            <wp:extent cx="3781425" cy="1643380"/>
            <wp:effectExtent l="0" t="0" r="0" b="0"/>
            <wp:docPr id="6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l="28375" t="29286" r="4402" b="25505"/>
                    <a:stretch>
                      <a:fillRect/>
                    </a:stretch>
                  </pic:blipFill>
                  <pic:spPr bwMode="auto">
                    <a:xfrm>
                      <a:off x="0" y="0"/>
                      <a:ext cx="3781425" cy="1643380"/>
                    </a:xfrm>
                    <a:prstGeom prst="rect">
                      <a:avLst/>
                    </a:prstGeom>
                    <a:noFill/>
                    <a:ln>
                      <a:noFill/>
                    </a:ln>
                  </pic:spPr>
                </pic:pic>
              </a:graphicData>
            </a:graphic>
          </wp:inline>
        </w:drawing>
      </w:r>
    </w:p>
    <w:p w14:paraId="39C79DA5" w14:textId="77777777" w:rsidR="006B595F" w:rsidRPr="0086242B" w:rsidRDefault="006B595F" w:rsidP="006B595F">
      <w:pPr>
        <w:pStyle w:val="Descripcin"/>
        <w:jc w:val="center"/>
        <w:rPr>
          <w:rFonts w:ascii="ITC Avant Garde" w:hAnsi="ITC Avant Garde"/>
          <w:b w:val="0"/>
        </w:rPr>
      </w:pPr>
      <w:r w:rsidRPr="0086242B">
        <w:rPr>
          <w:rFonts w:ascii="ITC Avant Garde" w:hAnsi="ITC Avant Garde"/>
          <w:b w:val="0"/>
        </w:rPr>
        <w:t>Figura 2.- Instrumentación requerida para la medición de campos electromagnéticos.</w:t>
      </w:r>
    </w:p>
    <w:p w14:paraId="39F79D61" w14:textId="77777777" w:rsidR="006B595F" w:rsidRPr="0086242B" w:rsidRDefault="006B595F" w:rsidP="006B595F">
      <w:pPr>
        <w:jc w:val="center"/>
        <w:rPr>
          <w:rFonts w:ascii="ITC Avant Garde" w:hAnsi="ITC Avant Garde"/>
        </w:rPr>
      </w:pPr>
    </w:p>
    <w:p w14:paraId="6B5D754B" w14:textId="77777777" w:rsidR="006B595F" w:rsidRPr="0086242B" w:rsidRDefault="006B595F" w:rsidP="006B595F">
      <w:pPr>
        <w:spacing w:line="360" w:lineRule="auto"/>
        <w:ind w:left="50"/>
        <w:jc w:val="both"/>
        <w:rPr>
          <w:rFonts w:ascii="ITC Avant Garde" w:hAnsi="ITC Avant Garde"/>
          <w:sz w:val="20"/>
          <w:szCs w:val="20"/>
        </w:rPr>
      </w:pPr>
      <w:r w:rsidRPr="0086242B">
        <w:rPr>
          <w:rFonts w:ascii="ITC Avant Garde" w:hAnsi="ITC Avant Garde"/>
          <w:sz w:val="20"/>
          <w:szCs w:val="20"/>
        </w:rPr>
        <w:t xml:space="preserve">A frecuencias de RF y microondas el equipo de medición es comúnmente un radiorreceptor que incluye circuitos electrónicos para acondicionamiento de la señal y dispositivos para el desplegado de las mismas y/o lectura de los parámetros importantes de dichas señales que determinan el nivel de campo electromagnético medido. </w:t>
      </w:r>
    </w:p>
    <w:p w14:paraId="7B699D07" w14:textId="77777777" w:rsidR="006B595F" w:rsidRPr="0086242B" w:rsidRDefault="006B595F" w:rsidP="006B595F">
      <w:pPr>
        <w:spacing w:line="360" w:lineRule="auto"/>
        <w:jc w:val="both"/>
        <w:rPr>
          <w:rFonts w:ascii="ITC Avant Garde" w:hAnsi="ITC Avant Garde"/>
          <w:sz w:val="20"/>
          <w:szCs w:val="20"/>
        </w:rPr>
      </w:pPr>
    </w:p>
    <w:p w14:paraId="1DBA0D35" w14:textId="77777777" w:rsidR="006B595F" w:rsidRPr="0086242B" w:rsidRDefault="006B595F" w:rsidP="006B595F">
      <w:pPr>
        <w:spacing w:line="360" w:lineRule="auto"/>
        <w:jc w:val="both"/>
        <w:rPr>
          <w:rFonts w:ascii="ITC Avant Garde" w:hAnsi="ITC Avant Garde"/>
        </w:rPr>
      </w:pPr>
      <w:r w:rsidRPr="0086242B">
        <w:rPr>
          <w:rFonts w:ascii="ITC Avant Garde" w:hAnsi="ITC Avant Garde"/>
          <w:sz w:val="20"/>
          <w:szCs w:val="20"/>
        </w:rPr>
        <w:t xml:space="preserve">El sensor normalmente es una antena que puede incluir dispositivos electrónicos para la detección de la señal, entre otras funciones. El diseño y las características del sensor determinan en gran medida el desempeño de todo el sistema de medición. Si el sensor exhibe una respuesta en frecuencia que es plana en determinado intervalo de frecuencias, entonces la intensidad de campo será directamente proporcional a la señal de salida del sensor. Sin embargo, también existen sensores que están especialmente diseñados para producir una señal de salida que se ajusta automáticamente a la respuesta en frecuencia que tiene la forma de los límites de referencia de la Figura 1, y por lo tanto, proporcionan una medida directa en relación al cumplimiento o no cumplimiento de los límites de referencia. El sensor está compuesto normalmente por una antena cuya señal de salida es proporcional a la intensidad del campo que incide sobre la antena. Posteriormente, esta señal de salida es detectada, lo cual permite obtener el valor </w:t>
      </w:r>
      <w:proofErr w:type="spellStart"/>
      <w:r w:rsidRPr="0086242B">
        <w:rPr>
          <w:rFonts w:ascii="ITC Avant Garde" w:hAnsi="ITC Avant Garde"/>
          <w:sz w:val="20"/>
          <w:szCs w:val="20"/>
        </w:rPr>
        <w:t>rms</w:t>
      </w:r>
      <w:proofErr w:type="spellEnd"/>
      <w:r w:rsidRPr="0086242B">
        <w:rPr>
          <w:rFonts w:ascii="ITC Avant Garde" w:hAnsi="ITC Avant Garde"/>
          <w:sz w:val="20"/>
          <w:szCs w:val="20"/>
        </w:rPr>
        <w:t xml:space="preserve"> de la intensidad de campo para su despliegue en el equipo de medición. Es importante hacer notar que los valores obtenidos siempre van a ser valores promedio que no se ven afectados en general por el tipo de modulación que tenga el campo incidente en el sensor.</w:t>
      </w:r>
      <w:r w:rsidRPr="0086242B">
        <w:rPr>
          <w:rFonts w:ascii="ITC Avant Garde" w:hAnsi="ITC Avant Garde"/>
        </w:rPr>
        <w:t xml:space="preserve"> </w:t>
      </w:r>
    </w:p>
    <w:p w14:paraId="059960E1" w14:textId="77777777" w:rsidR="006B595F" w:rsidRPr="0086242B" w:rsidRDefault="006B595F" w:rsidP="006B595F">
      <w:pPr>
        <w:jc w:val="both"/>
        <w:rPr>
          <w:rFonts w:ascii="ITC Avant Garde" w:hAnsi="ITC Avant Garde"/>
        </w:rPr>
      </w:pPr>
    </w:p>
    <w:p w14:paraId="68265B2C"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Los cables que unen al equipo de medición con el sensor</w:t>
      </w:r>
      <w:r w:rsidRPr="0086242B">
        <w:rPr>
          <w:rFonts w:ascii="ITC Avant Garde" w:hAnsi="ITC Avant Garde"/>
          <w:b/>
          <w:sz w:val="20"/>
          <w:szCs w:val="20"/>
        </w:rPr>
        <w:t xml:space="preserve"> </w:t>
      </w:r>
      <w:r w:rsidRPr="0086242B">
        <w:rPr>
          <w:rFonts w:ascii="ITC Avant Garde" w:hAnsi="ITC Avant Garde"/>
          <w:sz w:val="20"/>
          <w:szCs w:val="20"/>
        </w:rPr>
        <w:t xml:space="preserve">deben ser de alta resistencia eléctrica o se deben orientar de tal manera que su acoplamiento con el campo sea mínimo para evitar distorsión en las mediciones. Incluso, los cables metálicos pueden ser sustituidos por cables de fibra óptica que son dieléctricos y aseguran una medición que no se ve alterada por los </w:t>
      </w:r>
      <w:r w:rsidR="00B9123B" w:rsidRPr="0086242B">
        <w:rPr>
          <w:rFonts w:ascii="ITC Avant Garde" w:hAnsi="ITC Avant Garde"/>
          <w:sz w:val="20"/>
          <w:szCs w:val="20"/>
        </w:rPr>
        <w:t>cables. Se</w:t>
      </w:r>
      <w:r w:rsidRPr="0086242B">
        <w:rPr>
          <w:rFonts w:ascii="ITC Avant Garde" w:hAnsi="ITC Avant Garde"/>
          <w:sz w:val="20"/>
          <w:szCs w:val="20"/>
        </w:rPr>
        <w:t xml:space="preserve"> deberán emplear </w:t>
      </w:r>
      <w:proofErr w:type="spellStart"/>
      <w:r w:rsidRPr="0086242B">
        <w:rPr>
          <w:rFonts w:ascii="ITC Avant Garde" w:hAnsi="ITC Avant Garde"/>
          <w:sz w:val="20"/>
          <w:szCs w:val="20"/>
        </w:rPr>
        <w:t>tripies</w:t>
      </w:r>
      <w:proofErr w:type="spellEnd"/>
      <w:r w:rsidRPr="0086242B">
        <w:rPr>
          <w:rFonts w:ascii="ITC Avant Garde" w:hAnsi="ITC Avant Garde"/>
          <w:sz w:val="20"/>
          <w:szCs w:val="20"/>
        </w:rPr>
        <w:t xml:space="preserve"> dieléctricos para colocar los sensores.</w:t>
      </w:r>
    </w:p>
    <w:p w14:paraId="2284931C"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 </w:t>
      </w:r>
    </w:p>
    <w:p w14:paraId="530C50C5" w14:textId="77777777" w:rsidR="006B595F" w:rsidRPr="0086242B" w:rsidRDefault="006B595F" w:rsidP="006B595F">
      <w:pPr>
        <w:pStyle w:val="Ttulo3"/>
        <w:keepLines w:val="0"/>
        <w:numPr>
          <w:ilvl w:val="2"/>
          <w:numId w:val="49"/>
        </w:numPr>
        <w:spacing w:before="240" w:after="60" w:line="240" w:lineRule="auto"/>
        <w:jc w:val="both"/>
        <w:rPr>
          <w:rFonts w:ascii="ITC Avant Garde" w:hAnsi="ITC Avant Garde"/>
          <w:color w:val="auto"/>
          <w:sz w:val="22"/>
          <w:szCs w:val="22"/>
        </w:rPr>
      </w:pPr>
      <w:bookmarkStart w:id="20" w:name="_Toc414444600"/>
      <w:r w:rsidRPr="0086242B">
        <w:rPr>
          <w:rFonts w:ascii="ITC Avant Garde" w:hAnsi="ITC Avant Garde"/>
          <w:color w:val="auto"/>
          <w:sz w:val="22"/>
          <w:szCs w:val="22"/>
        </w:rPr>
        <w:t>Requisitos técnicos del sistema de medición de campos electromagnéticos.</w:t>
      </w:r>
      <w:bookmarkEnd w:id="20"/>
    </w:p>
    <w:p w14:paraId="1A8366DE" w14:textId="77777777" w:rsidR="006B595F" w:rsidRPr="0086242B" w:rsidRDefault="006B595F" w:rsidP="006B595F">
      <w:pPr>
        <w:pStyle w:val="Ttulo4"/>
        <w:keepLines w:val="0"/>
        <w:numPr>
          <w:ilvl w:val="3"/>
          <w:numId w:val="49"/>
        </w:numPr>
        <w:spacing w:before="240" w:after="60" w:line="240" w:lineRule="auto"/>
        <w:rPr>
          <w:rFonts w:ascii="ITC Avant Garde" w:hAnsi="ITC Avant Garde"/>
          <w:i w:val="0"/>
          <w:color w:val="auto"/>
          <w:sz w:val="22"/>
          <w:szCs w:val="22"/>
        </w:rPr>
      </w:pPr>
      <w:r w:rsidRPr="0086242B">
        <w:rPr>
          <w:rFonts w:ascii="ITC Avant Garde" w:hAnsi="ITC Avant Garde"/>
          <w:i w:val="0"/>
          <w:color w:val="auto"/>
          <w:sz w:val="22"/>
          <w:szCs w:val="22"/>
        </w:rPr>
        <w:t>Estabilidad.</w:t>
      </w:r>
    </w:p>
    <w:p w14:paraId="3E0E0932" w14:textId="77777777" w:rsidR="006B595F" w:rsidRPr="0086242B" w:rsidRDefault="006B595F" w:rsidP="006B595F">
      <w:pPr>
        <w:rPr>
          <w:i/>
        </w:rPr>
      </w:pPr>
    </w:p>
    <w:p w14:paraId="3B83A5FF"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El sistema de medición de campos electromagnéticos deberá mostrar una estabilidad que permita mediciones de campos eléctricos o magnéticos por periodos de tiempo que sean consistentes con los tiempos normalmente requeridos para una medición en particular. El sistema deberá ser capaz de operar por un mínimo de 10 a 30 minutos sin la necesidad de ajustar el equipo de medición para que su lectura marque cero, en ausencia de la señal radiada. Algunos equipos de medición automáticos realizan este ajuste a cero de forma electrónica para evitar el requerimiento de blindar el sensor del ambiente cada vez que se tiene que ajustar a cero. </w:t>
      </w:r>
    </w:p>
    <w:p w14:paraId="4483F184" w14:textId="77777777" w:rsidR="006B595F" w:rsidRPr="0086242B" w:rsidRDefault="006B595F" w:rsidP="006B595F">
      <w:pPr>
        <w:spacing w:line="360" w:lineRule="auto"/>
        <w:jc w:val="both"/>
        <w:rPr>
          <w:rFonts w:ascii="ITC Avant Garde" w:hAnsi="ITC Avant Garde"/>
          <w:sz w:val="20"/>
          <w:szCs w:val="20"/>
        </w:rPr>
      </w:pPr>
    </w:p>
    <w:p w14:paraId="14D5328B"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El sistema de medición de campos electromagnéticos también deberá ser insensible a las variaciones de temperatura que normalmente se pueden encontrar en cualquier tipo de ambiente. Las especificaciones del sistema deberán indicar la desviación máxima de cero para diversas condiciones de operación.</w:t>
      </w:r>
    </w:p>
    <w:p w14:paraId="5200ACF3" w14:textId="77777777" w:rsidR="006B595F" w:rsidRPr="0086242B" w:rsidRDefault="006B595F" w:rsidP="006B595F">
      <w:pPr>
        <w:jc w:val="both"/>
        <w:rPr>
          <w:rFonts w:ascii="ITC Avant Garde" w:hAnsi="ITC Avant Garde"/>
        </w:rPr>
      </w:pPr>
    </w:p>
    <w:p w14:paraId="7EF7D7CA" w14:textId="77777777" w:rsidR="006B595F" w:rsidRPr="0086242B" w:rsidRDefault="006B595F" w:rsidP="006B595F">
      <w:pPr>
        <w:pStyle w:val="Ttulo4"/>
        <w:keepLines w:val="0"/>
        <w:numPr>
          <w:ilvl w:val="3"/>
          <w:numId w:val="49"/>
        </w:numPr>
        <w:spacing w:before="240" w:after="60" w:line="240" w:lineRule="auto"/>
        <w:rPr>
          <w:rFonts w:ascii="ITC Avant Garde" w:hAnsi="ITC Avant Garde"/>
          <w:i w:val="0"/>
          <w:color w:val="auto"/>
          <w:sz w:val="24"/>
          <w:szCs w:val="24"/>
        </w:rPr>
      </w:pPr>
      <w:r w:rsidRPr="0086242B">
        <w:rPr>
          <w:rFonts w:ascii="ITC Avant Garde" w:hAnsi="ITC Avant Garde"/>
          <w:i w:val="0"/>
          <w:color w:val="auto"/>
          <w:sz w:val="22"/>
          <w:szCs w:val="22"/>
        </w:rPr>
        <w:t>Exactitud</w:t>
      </w:r>
      <w:r w:rsidRPr="0086242B">
        <w:rPr>
          <w:rFonts w:ascii="ITC Avant Garde" w:hAnsi="ITC Avant Garde"/>
          <w:i w:val="0"/>
          <w:color w:val="auto"/>
          <w:sz w:val="24"/>
          <w:szCs w:val="24"/>
        </w:rPr>
        <w:t>.</w:t>
      </w:r>
    </w:p>
    <w:p w14:paraId="051E67B5" w14:textId="77777777" w:rsidR="006B595F" w:rsidRPr="0086242B" w:rsidRDefault="006B595F" w:rsidP="006B595F">
      <w:pPr>
        <w:rPr>
          <w:i/>
        </w:rPr>
      </w:pPr>
    </w:p>
    <w:p w14:paraId="7A7D4006"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El sistema de medición de campos electromagnéticos deberá proporcionar los datos de calibración del equipo de medición que permitan evaluar la máxima incertidumbre que se tiene al medir el nivel de intensidad de campo o densidad de potencia de varios tipos de campos de diferentes frecuencias. Los datos de calibración deberán incluir también la sensibilidad del equipo de medición a frecuencias que caen fuera del intervalo útil previsto (respuesta fuera de banda), con el fin de determinar si el sistema es útil para realizar mediciones donde existen campos fuera de banda significativos que puedan alterar las mediciones. </w:t>
      </w:r>
    </w:p>
    <w:p w14:paraId="320E2C01" w14:textId="77777777" w:rsidR="006B595F" w:rsidRPr="0086242B" w:rsidRDefault="006B595F" w:rsidP="006B595F">
      <w:pPr>
        <w:jc w:val="both"/>
        <w:rPr>
          <w:rFonts w:ascii="ITC Avant Garde" w:hAnsi="ITC Avant Garde"/>
        </w:rPr>
      </w:pPr>
    </w:p>
    <w:p w14:paraId="64BAE5B9"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La incertidumbre absoluta de la calibración de la intensidad de campo debe ser ±1 dB alrededor del valor real, sin embargo se aceptan valores de ±2 dB siempre y cuando los niveles de intensidad de campo o densidad de potencia estén claramente por debajo de los límites de referencia. </w:t>
      </w:r>
    </w:p>
    <w:p w14:paraId="710BCF5C" w14:textId="77777777" w:rsidR="006B595F" w:rsidRPr="0086242B" w:rsidRDefault="006B595F" w:rsidP="006B595F">
      <w:pPr>
        <w:spacing w:line="360" w:lineRule="auto"/>
        <w:jc w:val="both"/>
        <w:rPr>
          <w:rFonts w:ascii="ITC Avant Garde" w:hAnsi="ITC Avant Garde"/>
          <w:sz w:val="20"/>
          <w:szCs w:val="20"/>
        </w:rPr>
      </w:pPr>
    </w:p>
    <w:p w14:paraId="6D1EDE80"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Las especificaciones de medición también deberán indicar la respuesta del equipo de medición a campos de amplitud modulada (AM), así como a múltiples señales que puedan incidir simultáneamente sobre el sensor. </w:t>
      </w:r>
    </w:p>
    <w:p w14:paraId="544ACBDC" w14:textId="77777777" w:rsidR="006B595F" w:rsidRPr="0086242B" w:rsidRDefault="006B595F" w:rsidP="006B595F">
      <w:pPr>
        <w:jc w:val="both"/>
        <w:rPr>
          <w:rFonts w:ascii="ITC Avant Garde" w:hAnsi="ITC Avant Garde"/>
        </w:rPr>
      </w:pPr>
    </w:p>
    <w:p w14:paraId="547B9E66" w14:textId="77777777" w:rsidR="006B595F" w:rsidRPr="0086242B" w:rsidRDefault="006B595F" w:rsidP="006B595F">
      <w:pPr>
        <w:pStyle w:val="Ttulo3"/>
        <w:keepLines w:val="0"/>
        <w:numPr>
          <w:ilvl w:val="2"/>
          <w:numId w:val="49"/>
        </w:numPr>
        <w:spacing w:before="240" w:after="60" w:line="240" w:lineRule="auto"/>
        <w:jc w:val="both"/>
        <w:rPr>
          <w:rFonts w:ascii="ITC Avant Garde" w:hAnsi="ITC Avant Garde"/>
          <w:color w:val="auto"/>
          <w:sz w:val="22"/>
          <w:szCs w:val="22"/>
        </w:rPr>
      </w:pPr>
      <w:bookmarkStart w:id="21" w:name="_Toc414444601"/>
      <w:r w:rsidRPr="0086242B">
        <w:rPr>
          <w:rFonts w:ascii="ITC Avant Garde" w:hAnsi="ITC Avant Garde"/>
          <w:color w:val="auto"/>
          <w:sz w:val="22"/>
          <w:szCs w:val="22"/>
        </w:rPr>
        <w:t>Características del sistema de medición de banda ancha y de banda angosta.</w:t>
      </w:r>
      <w:bookmarkEnd w:id="21"/>
    </w:p>
    <w:p w14:paraId="257882FA" w14:textId="77777777" w:rsidR="006B595F" w:rsidRPr="0086242B" w:rsidRDefault="006B595F" w:rsidP="006B595F"/>
    <w:p w14:paraId="1B457515"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La medición de los valores del campo eléctrico, campo magnético o de la densidad de potencia se puede realizar mediante la integración por banda ancha o por banda angosta. </w:t>
      </w:r>
    </w:p>
    <w:p w14:paraId="52A96C50" w14:textId="77777777" w:rsidR="006B595F" w:rsidRPr="0086242B" w:rsidRDefault="006B595F" w:rsidP="006B595F">
      <w:pPr>
        <w:spacing w:line="360" w:lineRule="auto"/>
        <w:jc w:val="both"/>
        <w:rPr>
          <w:rFonts w:ascii="ITC Avant Garde" w:hAnsi="ITC Avant Garde"/>
          <w:sz w:val="20"/>
          <w:szCs w:val="20"/>
        </w:rPr>
      </w:pPr>
    </w:p>
    <w:p w14:paraId="48AD100E"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El sistema de medición de banda ancha deberá tener las siguientes características:</w:t>
      </w:r>
    </w:p>
    <w:p w14:paraId="324DBE81" w14:textId="77777777" w:rsidR="006B595F" w:rsidRPr="0086242B" w:rsidRDefault="006B595F" w:rsidP="006B595F">
      <w:pPr>
        <w:spacing w:line="360" w:lineRule="auto"/>
        <w:jc w:val="both"/>
        <w:rPr>
          <w:rFonts w:ascii="ITC Avant Garde" w:hAnsi="ITC Avant Garde"/>
          <w:sz w:val="20"/>
          <w:szCs w:val="20"/>
        </w:rPr>
      </w:pPr>
    </w:p>
    <w:p w14:paraId="6B923766" w14:textId="77777777" w:rsidR="006B595F" w:rsidRPr="0086242B" w:rsidRDefault="006B595F" w:rsidP="006B595F">
      <w:pPr>
        <w:pStyle w:val="Prrafodelista"/>
        <w:numPr>
          <w:ilvl w:val="0"/>
          <w:numId w:val="5"/>
        </w:numPr>
        <w:spacing w:line="360" w:lineRule="auto"/>
        <w:jc w:val="both"/>
        <w:rPr>
          <w:rFonts w:ascii="ITC Avant Garde" w:hAnsi="ITC Avant Garde"/>
          <w:sz w:val="20"/>
          <w:szCs w:val="20"/>
        </w:rPr>
      </w:pPr>
      <w:r w:rsidRPr="0086242B">
        <w:rPr>
          <w:rFonts w:ascii="ITC Avant Garde" w:hAnsi="ITC Avant Garde"/>
          <w:sz w:val="20"/>
          <w:szCs w:val="20"/>
        </w:rPr>
        <w:t>La respuesta del sensor deberá ser esencialmente isotrópica.</w:t>
      </w:r>
    </w:p>
    <w:p w14:paraId="63642A68" w14:textId="77777777" w:rsidR="006B595F" w:rsidRPr="0086242B" w:rsidRDefault="006B595F" w:rsidP="006B595F">
      <w:pPr>
        <w:numPr>
          <w:ilvl w:val="0"/>
          <w:numId w:val="5"/>
        </w:numPr>
        <w:spacing w:line="360" w:lineRule="auto"/>
        <w:jc w:val="both"/>
        <w:rPr>
          <w:rFonts w:ascii="ITC Avant Garde" w:hAnsi="ITC Avant Garde"/>
          <w:sz w:val="20"/>
          <w:szCs w:val="20"/>
        </w:rPr>
      </w:pPr>
      <w:r w:rsidRPr="0086242B">
        <w:rPr>
          <w:rFonts w:ascii="ITC Avant Garde" w:hAnsi="ITC Avant Garde"/>
          <w:sz w:val="20"/>
          <w:szCs w:val="20"/>
        </w:rPr>
        <w:t>La exactitud del sistema deberá indicarse en sus especificaciones como una medida de la variación que puede tener la magnitud de la función de transferencia del sistema de medición en todo el ancho de banda de operación (por ejemplo, una exactitud de ±0.5dB en el intervalo de frecuencias de 3 a 300 MHz indicará los límites máximos de variación que puede tener la medición en ese ancho de banda).</w:t>
      </w:r>
    </w:p>
    <w:p w14:paraId="14BBB66B" w14:textId="77777777" w:rsidR="006B595F" w:rsidRPr="0086242B" w:rsidRDefault="006B595F" w:rsidP="006B595F">
      <w:pPr>
        <w:numPr>
          <w:ilvl w:val="0"/>
          <w:numId w:val="5"/>
        </w:numPr>
        <w:spacing w:line="360" w:lineRule="auto"/>
        <w:jc w:val="both"/>
        <w:rPr>
          <w:rFonts w:ascii="ITC Avant Garde" w:hAnsi="ITC Avant Garde"/>
          <w:sz w:val="20"/>
          <w:szCs w:val="20"/>
        </w:rPr>
      </w:pPr>
      <w:r w:rsidRPr="0086242B">
        <w:rPr>
          <w:rFonts w:ascii="ITC Avant Garde" w:hAnsi="ITC Avant Garde"/>
          <w:sz w:val="20"/>
          <w:szCs w:val="20"/>
        </w:rPr>
        <w:t>El intervalo dinámico del medidor debe abarcar por lo menos -10dB a +</w:t>
      </w:r>
      <w:proofErr w:type="gramStart"/>
      <w:r w:rsidRPr="0086242B">
        <w:rPr>
          <w:rFonts w:ascii="ITC Avant Garde" w:hAnsi="ITC Avant Garde"/>
          <w:sz w:val="20"/>
          <w:szCs w:val="20"/>
        </w:rPr>
        <w:t>5dB  respecto</w:t>
      </w:r>
      <w:proofErr w:type="gramEnd"/>
      <w:r w:rsidRPr="0086242B">
        <w:rPr>
          <w:rFonts w:ascii="ITC Avant Garde" w:hAnsi="ITC Avant Garde"/>
          <w:sz w:val="20"/>
          <w:szCs w:val="20"/>
        </w:rPr>
        <w:t xml:space="preserve"> al límite de referencia que aplique a determinada frecuencia en la cual se estén realizando las mediciones.</w:t>
      </w:r>
    </w:p>
    <w:p w14:paraId="0051EA29" w14:textId="77777777" w:rsidR="006B595F" w:rsidRPr="0086242B" w:rsidRDefault="006B595F" w:rsidP="006B595F">
      <w:pPr>
        <w:numPr>
          <w:ilvl w:val="0"/>
          <w:numId w:val="5"/>
        </w:numPr>
        <w:spacing w:line="360" w:lineRule="auto"/>
        <w:jc w:val="both"/>
        <w:rPr>
          <w:rFonts w:ascii="ITC Avant Garde" w:hAnsi="ITC Avant Garde"/>
          <w:sz w:val="20"/>
          <w:szCs w:val="20"/>
        </w:rPr>
      </w:pPr>
      <w:r w:rsidRPr="0086242B">
        <w:rPr>
          <w:rFonts w:ascii="ITC Avant Garde" w:hAnsi="ITC Avant Garde"/>
          <w:sz w:val="20"/>
          <w:szCs w:val="20"/>
        </w:rPr>
        <w:t>Deberá contar con un detector de pico de las señales en caso de que éstas cambien de magnitud durante el proceso de medición.</w:t>
      </w:r>
    </w:p>
    <w:p w14:paraId="6190DEB7" w14:textId="77777777" w:rsidR="006B595F" w:rsidRPr="0086242B" w:rsidRDefault="006B595F" w:rsidP="006B595F">
      <w:pPr>
        <w:numPr>
          <w:ilvl w:val="0"/>
          <w:numId w:val="5"/>
        </w:numPr>
        <w:spacing w:line="360" w:lineRule="auto"/>
        <w:jc w:val="both"/>
        <w:rPr>
          <w:rFonts w:ascii="ITC Avant Garde" w:hAnsi="ITC Avant Garde"/>
          <w:sz w:val="20"/>
          <w:szCs w:val="20"/>
        </w:rPr>
      </w:pPr>
      <w:r w:rsidRPr="0086242B">
        <w:rPr>
          <w:rFonts w:ascii="ITC Avant Garde" w:hAnsi="ITC Avant Garde"/>
          <w:sz w:val="20"/>
          <w:szCs w:val="20"/>
        </w:rPr>
        <w:t xml:space="preserve">El sistema deberá ser calibrado con respecto a la magnitud que se quiere determinar, ya sea </w:t>
      </w:r>
      <w:r w:rsidRPr="0086242B">
        <w:rPr>
          <w:rFonts w:ascii="ITC Avant Garde" w:hAnsi="ITC Avant Garde"/>
          <w:i/>
          <w:sz w:val="20"/>
          <w:szCs w:val="20"/>
        </w:rPr>
        <w:t>E</w:t>
      </w:r>
      <w:r w:rsidRPr="0086242B">
        <w:rPr>
          <w:rFonts w:ascii="ITC Avant Garde" w:hAnsi="ITC Avant Garde"/>
          <w:sz w:val="20"/>
          <w:szCs w:val="20"/>
        </w:rPr>
        <w:t xml:space="preserve">, </w:t>
      </w:r>
      <w:r w:rsidRPr="0086242B">
        <w:rPr>
          <w:rFonts w:ascii="ITC Avant Garde" w:hAnsi="ITC Avant Garde"/>
          <w:i/>
          <w:sz w:val="20"/>
          <w:szCs w:val="20"/>
        </w:rPr>
        <w:t>E</w:t>
      </w:r>
      <w:r w:rsidRPr="0086242B">
        <w:rPr>
          <w:rFonts w:ascii="ITC Avant Garde" w:hAnsi="ITC Avant Garde"/>
          <w:i/>
          <w:sz w:val="20"/>
          <w:szCs w:val="20"/>
          <w:vertAlign w:val="superscript"/>
        </w:rPr>
        <w:t>2</w:t>
      </w:r>
      <w:r w:rsidRPr="0086242B">
        <w:rPr>
          <w:rFonts w:ascii="ITC Avant Garde" w:hAnsi="ITC Avant Garde"/>
          <w:sz w:val="20"/>
          <w:szCs w:val="20"/>
        </w:rPr>
        <w:t xml:space="preserve">, </w:t>
      </w:r>
      <w:r w:rsidRPr="0086242B">
        <w:rPr>
          <w:rFonts w:ascii="ITC Avant Garde" w:hAnsi="ITC Avant Garde"/>
          <w:i/>
          <w:sz w:val="20"/>
          <w:szCs w:val="20"/>
        </w:rPr>
        <w:t>H</w:t>
      </w:r>
      <w:r w:rsidRPr="0086242B">
        <w:rPr>
          <w:rFonts w:ascii="ITC Avant Garde" w:hAnsi="ITC Avant Garde"/>
          <w:sz w:val="20"/>
          <w:szCs w:val="20"/>
        </w:rPr>
        <w:t xml:space="preserve">, </w:t>
      </w:r>
      <w:r w:rsidRPr="0086242B">
        <w:rPr>
          <w:rFonts w:ascii="ITC Avant Garde" w:hAnsi="ITC Avant Garde"/>
          <w:i/>
          <w:sz w:val="20"/>
          <w:szCs w:val="20"/>
        </w:rPr>
        <w:t>H</w:t>
      </w:r>
      <w:r w:rsidRPr="0086242B">
        <w:rPr>
          <w:rFonts w:ascii="ITC Avant Garde" w:hAnsi="ITC Avant Garde"/>
          <w:i/>
          <w:sz w:val="20"/>
          <w:szCs w:val="20"/>
          <w:vertAlign w:val="superscript"/>
        </w:rPr>
        <w:t>2</w:t>
      </w:r>
      <w:r w:rsidRPr="0086242B">
        <w:rPr>
          <w:rFonts w:ascii="ITC Avant Garde" w:hAnsi="ITC Avant Garde"/>
          <w:sz w:val="20"/>
          <w:szCs w:val="20"/>
        </w:rPr>
        <w:t xml:space="preserve"> o </w:t>
      </w:r>
      <w:r w:rsidRPr="0086242B">
        <w:rPr>
          <w:rFonts w:ascii="ITC Avant Garde" w:hAnsi="ITC Avant Garde"/>
          <w:i/>
          <w:sz w:val="20"/>
          <w:szCs w:val="20"/>
        </w:rPr>
        <w:t>S</w:t>
      </w:r>
      <w:r w:rsidRPr="0086242B">
        <w:rPr>
          <w:rFonts w:ascii="ITC Avant Garde" w:hAnsi="ITC Avant Garde"/>
          <w:sz w:val="20"/>
          <w:szCs w:val="20"/>
        </w:rPr>
        <w:t xml:space="preserve">. Normalmente, la densidad de potencia </w:t>
      </w:r>
      <w:r w:rsidRPr="0086242B">
        <w:rPr>
          <w:rFonts w:ascii="ITC Avant Garde" w:hAnsi="ITC Avant Garde"/>
          <w:i/>
          <w:sz w:val="20"/>
          <w:szCs w:val="20"/>
        </w:rPr>
        <w:t>S</w:t>
      </w:r>
      <w:r w:rsidRPr="0086242B">
        <w:rPr>
          <w:rFonts w:ascii="ITC Avant Garde" w:hAnsi="ITC Avant Garde"/>
          <w:sz w:val="20"/>
          <w:szCs w:val="20"/>
        </w:rPr>
        <w:t xml:space="preserve">, se calibra </w:t>
      </w:r>
      <w:proofErr w:type="gramStart"/>
      <w:r w:rsidRPr="0086242B">
        <w:rPr>
          <w:rFonts w:ascii="ITC Avant Garde" w:hAnsi="ITC Avant Garde"/>
          <w:sz w:val="20"/>
          <w:szCs w:val="20"/>
        </w:rPr>
        <w:t>con  base</w:t>
      </w:r>
      <w:proofErr w:type="gramEnd"/>
      <w:r w:rsidRPr="0086242B">
        <w:rPr>
          <w:rFonts w:ascii="ITC Avant Garde" w:hAnsi="ITC Avant Garde"/>
          <w:sz w:val="20"/>
          <w:szCs w:val="20"/>
        </w:rPr>
        <w:t xml:space="preserve"> en el campo eléctrico o magnético para después aplicar la impedancia intrínseca del aire de 377</w:t>
      </w:r>
      <w:r w:rsidRPr="0086242B">
        <w:rPr>
          <w:rFonts w:ascii="Calibri" w:hAnsi="Calibri" w:cs="Calibri"/>
          <w:sz w:val="20"/>
          <w:szCs w:val="20"/>
        </w:rPr>
        <w:t>Ω</w:t>
      </w:r>
      <w:r w:rsidRPr="0086242B">
        <w:rPr>
          <w:rFonts w:ascii="ITC Avant Garde" w:hAnsi="ITC Avant Garde"/>
          <w:sz w:val="20"/>
          <w:szCs w:val="20"/>
        </w:rPr>
        <w:t>, que relaciona ambas cantidades, y as</w:t>
      </w:r>
      <w:r w:rsidRPr="0086242B">
        <w:rPr>
          <w:rFonts w:ascii="ITC Avant Garde" w:hAnsi="ITC Avant Garde" w:cs="ITC Avant Garde"/>
          <w:sz w:val="20"/>
          <w:szCs w:val="20"/>
        </w:rPr>
        <w:t>í</w:t>
      </w:r>
      <w:r w:rsidRPr="0086242B">
        <w:rPr>
          <w:rFonts w:ascii="ITC Avant Garde" w:hAnsi="ITC Avant Garde"/>
          <w:sz w:val="20"/>
          <w:szCs w:val="20"/>
        </w:rPr>
        <w:t xml:space="preserve"> obtener un equivalente de onda plana que solamente es v</w:t>
      </w:r>
      <w:r w:rsidRPr="0086242B">
        <w:rPr>
          <w:rFonts w:ascii="ITC Avant Garde" w:hAnsi="ITC Avant Garde" w:cs="ITC Avant Garde"/>
          <w:sz w:val="20"/>
          <w:szCs w:val="20"/>
        </w:rPr>
        <w:t>á</w:t>
      </w:r>
      <w:r w:rsidRPr="0086242B">
        <w:rPr>
          <w:rFonts w:ascii="ITC Avant Garde" w:hAnsi="ITC Avant Garde"/>
          <w:sz w:val="20"/>
          <w:szCs w:val="20"/>
        </w:rPr>
        <w:t>lido para las condiciones de campo lejano. Cuando se trata de condiciones de campo cercano, esta impedancia es compleja y generalmente desconocida.</w:t>
      </w:r>
    </w:p>
    <w:p w14:paraId="0DBCF8B0" w14:textId="77777777" w:rsidR="006B595F" w:rsidRPr="0086242B" w:rsidRDefault="006B595F" w:rsidP="006B595F">
      <w:pPr>
        <w:numPr>
          <w:ilvl w:val="0"/>
          <w:numId w:val="5"/>
        </w:numPr>
        <w:spacing w:line="360" w:lineRule="auto"/>
        <w:jc w:val="both"/>
        <w:rPr>
          <w:rFonts w:ascii="ITC Avant Garde" w:hAnsi="ITC Avant Garde"/>
          <w:sz w:val="20"/>
          <w:szCs w:val="20"/>
        </w:rPr>
      </w:pPr>
      <w:r w:rsidRPr="0086242B">
        <w:rPr>
          <w:rFonts w:ascii="ITC Avant Garde" w:hAnsi="ITC Avant Garde"/>
          <w:sz w:val="20"/>
          <w:szCs w:val="20"/>
        </w:rPr>
        <w:t>El tiempo de respuesta del sistema deberá ser tal que permita una medición del campo una vez que ha alcanzado su valor estable o por lo menos el 90% de su valor estable.</w:t>
      </w:r>
    </w:p>
    <w:p w14:paraId="259D3083" w14:textId="77777777" w:rsidR="006B595F" w:rsidRPr="0086242B" w:rsidRDefault="006B595F" w:rsidP="006B595F">
      <w:pPr>
        <w:spacing w:line="360" w:lineRule="auto"/>
        <w:ind w:left="720"/>
        <w:jc w:val="both"/>
        <w:rPr>
          <w:rFonts w:ascii="ITC Avant Garde" w:hAnsi="ITC Avant Garde"/>
          <w:sz w:val="20"/>
          <w:szCs w:val="20"/>
        </w:rPr>
      </w:pPr>
    </w:p>
    <w:p w14:paraId="7CCD3275" w14:textId="4DB293D5"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El medidor de intensidad de campos electromagnéticos de banda ancha deberá medir las siguientes variables: campo eléctrico [V/m], campo magnético [A/m] y densidad de potencia [W/m</w:t>
      </w:r>
      <w:r w:rsidRPr="0086242B">
        <w:rPr>
          <w:rFonts w:ascii="ITC Avant Garde" w:hAnsi="ITC Avant Garde"/>
          <w:sz w:val="20"/>
          <w:szCs w:val="20"/>
          <w:vertAlign w:val="superscript"/>
        </w:rPr>
        <w:t>2</w:t>
      </w:r>
      <w:r w:rsidRPr="0086242B">
        <w:rPr>
          <w:rFonts w:ascii="ITC Avant Garde" w:hAnsi="ITC Avant Garde"/>
          <w:sz w:val="20"/>
          <w:szCs w:val="20"/>
        </w:rPr>
        <w:t>], en el intervalo de frecuencias de operación de 100 kHz a 44 GHz.</w:t>
      </w:r>
      <w:r w:rsidR="00E20060">
        <w:rPr>
          <w:rFonts w:ascii="ITC Avant Garde" w:hAnsi="ITC Avant Garde"/>
          <w:sz w:val="20"/>
          <w:szCs w:val="20"/>
        </w:rPr>
        <w:t xml:space="preserve"> </w:t>
      </w:r>
      <w:r w:rsidRPr="0086242B">
        <w:rPr>
          <w:rFonts w:ascii="ITC Avant Garde" w:hAnsi="ITC Avant Garde"/>
          <w:sz w:val="20"/>
          <w:szCs w:val="20"/>
        </w:rPr>
        <w:t>La integración por banda ancha solo permite obtener un valor total de los campos actuantes, sin una discriminación espectral.</w:t>
      </w:r>
    </w:p>
    <w:p w14:paraId="67159B54" w14:textId="77777777" w:rsidR="006B595F" w:rsidRPr="0086242B" w:rsidRDefault="006B595F" w:rsidP="006B595F">
      <w:pPr>
        <w:spacing w:line="360" w:lineRule="auto"/>
        <w:jc w:val="both"/>
        <w:rPr>
          <w:rFonts w:ascii="ITC Avant Garde" w:hAnsi="ITC Avant Garde"/>
          <w:sz w:val="20"/>
          <w:szCs w:val="20"/>
        </w:rPr>
      </w:pPr>
    </w:p>
    <w:p w14:paraId="42F4C3DA"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Para identificar los emisores de energía o campos electromagnéticos en un punto dado, se deberá utilizar la integración por banda angosta. Los requerimientos para los sistemas de medición de banda angosta son básicamente los mismos que para los de banda ancha. La diferencia es que estos requerimientos deben mantenerse para los diferentes tipos de sensor que utiliza un sistema de banda angosta, ya sea una antena </w:t>
      </w:r>
      <w:proofErr w:type="spellStart"/>
      <w:r w:rsidRPr="0086242B">
        <w:rPr>
          <w:rFonts w:ascii="ITC Avant Garde" w:hAnsi="ITC Avant Garde"/>
          <w:sz w:val="20"/>
          <w:szCs w:val="20"/>
        </w:rPr>
        <w:t>monopolo</w:t>
      </w:r>
      <w:proofErr w:type="spellEnd"/>
      <w:r w:rsidRPr="0086242B">
        <w:rPr>
          <w:rFonts w:ascii="ITC Avant Garde" w:hAnsi="ITC Avant Garde"/>
          <w:sz w:val="20"/>
          <w:szCs w:val="20"/>
        </w:rPr>
        <w:t xml:space="preserve">, dipolo, cónica, </w:t>
      </w:r>
      <w:proofErr w:type="spellStart"/>
      <w:r w:rsidRPr="0086242B">
        <w:rPr>
          <w:rFonts w:ascii="ITC Avant Garde" w:hAnsi="ITC Avant Garde"/>
          <w:sz w:val="20"/>
          <w:szCs w:val="20"/>
        </w:rPr>
        <w:t>bicónica</w:t>
      </w:r>
      <w:proofErr w:type="spellEnd"/>
      <w:r w:rsidRPr="0086242B">
        <w:rPr>
          <w:rFonts w:ascii="ITC Avant Garde" w:hAnsi="ITC Avant Garde"/>
          <w:sz w:val="20"/>
          <w:szCs w:val="20"/>
        </w:rPr>
        <w:t>, reflector parabólico, o cualquier otra, lo que permite caracterizar cada una de las fuentes emisoras, y así identificar que componentes del campo aporta cada uno de los emisores.</w:t>
      </w:r>
    </w:p>
    <w:p w14:paraId="430A4FF9" w14:textId="77777777" w:rsidR="006B595F" w:rsidRPr="0086242B" w:rsidRDefault="006B595F" w:rsidP="006B595F">
      <w:pPr>
        <w:spacing w:line="360" w:lineRule="auto"/>
        <w:jc w:val="both"/>
        <w:rPr>
          <w:rFonts w:ascii="ITC Avant Garde" w:hAnsi="ITC Avant Garde"/>
          <w:sz w:val="20"/>
          <w:szCs w:val="20"/>
        </w:rPr>
      </w:pPr>
    </w:p>
    <w:p w14:paraId="7DAACBC2"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Podrá utilizarse como equipo de medición un analizador de espectro o un medidor de intensidad de campos electromagnéticos, con las siguientes características:</w:t>
      </w:r>
    </w:p>
    <w:p w14:paraId="1C57DC8C" w14:textId="77777777" w:rsidR="006B595F" w:rsidRPr="0086242B" w:rsidRDefault="006B595F" w:rsidP="006B595F">
      <w:pPr>
        <w:spacing w:line="360" w:lineRule="auto"/>
        <w:ind w:left="426"/>
        <w:jc w:val="both"/>
        <w:rPr>
          <w:rFonts w:ascii="ITC Avant Garde" w:hAnsi="ITC Avant Garde"/>
          <w:sz w:val="20"/>
          <w:szCs w:val="20"/>
        </w:rPr>
      </w:pPr>
    </w:p>
    <w:p w14:paraId="71B49F21"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Analizador de espectro:</w:t>
      </w:r>
    </w:p>
    <w:p w14:paraId="39499EA3"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Intervalo de frecuencia: de 100 kHz a 44 GHz. Para el intervalo de frecuencias de 44 GHz a 100 GHz se requiere adicionalmente de un Oscilador local y un Mezclador.</w:t>
      </w:r>
    </w:p>
    <w:p w14:paraId="5857B18C"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Separaciones de (</w:t>
      </w:r>
      <w:proofErr w:type="spellStart"/>
      <w:r w:rsidRPr="0086242B">
        <w:rPr>
          <w:rFonts w:ascii="ITC Avant Garde" w:hAnsi="ITC Avant Garde"/>
          <w:sz w:val="20"/>
          <w:szCs w:val="20"/>
        </w:rPr>
        <w:t>Spans</w:t>
      </w:r>
      <w:proofErr w:type="spellEnd"/>
      <w:r w:rsidRPr="0086242B">
        <w:rPr>
          <w:rFonts w:ascii="ITC Avant Garde" w:hAnsi="ITC Avant Garde"/>
          <w:sz w:val="20"/>
          <w:szCs w:val="20"/>
        </w:rPr>
        <w:t>) de frecuencias: cero, y de 100 kHz a 44 GHz</w:t>
      </w:r>
      <w:r w:rsidR="00CE79BA">
        <w:rPr>
          <w:rFonts w:ascii="ITC Avant Garde" w:hAnsi="ITC Avant Garde"/>
          <w:sz w:val="20"/>
          <w:szCs w:val="20"/>
        </w:rPr>
        <w:t>.</w:t>
      </w:r>
    </w:p>
    <w:p w14:paraId="37433C00"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 xml:space="preserve">Exactitud en la frecuencia: </w:t>
      </w:r>
      <w:r w:rsidRPr="0086242B">
        <w:rPr>
          <w:rFonts w:ascii="ITC Avant Garde" w:hAnsi="ITC Avant Garde"/>
          <w:sz w:val="20"/>
          <w:szCs w:val="20"/>
        </w:rPr>
        <w:sym w:font="Symbol" w:char="F0B1"/>
      </w:r>
      <w:r w:rsidRPr="0086242B">
        <w:rPr>
          <w:rFonts w:ascii="ITC Avant Garde" w:hAnsi="ITC Avant Garde"/>
          <w:sz w:val="20"/>
          <w:szCs w:val="20"/>
        </w:rPr>
        <w:t xml:space="preserve"> 200 Hz</w:t>
      </w:r>
      <w:r w:rsidR="00CE79BA">
        <w:rPr>
          <w:rFonts w:ascii="ITC Avant Garde" w:hAnsi="ITC Avant Garde"/>
          <w:sz w:val="20"/>
          <w:szCs w:val="20"/>
        </w:rPr>
        <w:t>.</w:t>
      </w:r>
    </w:p>
    <w:p w14:paraId="2961944F"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 xml:space="preserve">Exactitud en la amplitud relativa: </w:t>
      </w:r>
      <w:r w:rsidRPr="0086242B">
        <w:rPr>
          <w:rFonts w:ascii="ITC Avant Garde" w:hAnsi="ITC Avant Garde"/>
          <w:sz w:val="20"/>
          <w:szCs w:val="20"/>
        </w:rPr>
        <w:sym w:font="Symbol" w:char="F0B1"/>
      </w:r>
      <w:r w:rsidRPr="0086242B">
        <w:rPr>
          <w:rFonts w:ascii="ITC Avant Garde" w:hAnsi="ITC Avant Garde"/>
          <w:sz w:val="20"/>
          <w:szCs w:val="20"/>
        </w:rPr>
        <w:t xml:space="preserve"> 2 dB en el intervalo total de frecuencias, con suficiente detalle en las especificaciones de amplitud para calcular la exactitud relativa de </w:t>
      </w:r>
      <w:r w:rsidRPr="0086242B">
        <w:rPr>
          <w:rFonts w:ascii="ITC Avant Garde" w:hAnsi="ITC Avant Garde"/>
          <w:sz w:val="20"/>
          <w:szCs w:val="20"/>
        </w:rPr>
        <w:sym w:font="Symbol" w:char="F0B1"/>
      </w:r>
      <w:r w:rsidRPr="0086242B">
        <w:rPr>
          <w:rFonts w:ascii="ITC Avant Garde" w:hAnsi="ITC Avant Garde"/>
          <w:sz w:val="20"/>
          <w:szCs w:val="20"/>
        </w:rPr>
        <w:t>0.5 dB.</w:t>
      </w:r>
    </w:p>
    <w:p w14:paraId="1F83590B"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 xml:space="preserve">Nivel máximo de entrada: 1 watt nivel de deterioro, acoplada a </w:t>
      </w:r>
      <w:proofErr w:type="spellStart"/>
      <w:r w:rsidRPr="0086242B">
        <w:rPr>
          <w:rFonts w:ascii="ITC Avant Garde" w:hAnsi="ITC Avant Garde"/>
          <w:sz w:val="20"/>
          <w:szCs w:val="20"/>
        </w:rPr>
        <w:t>c.a.</w:t>
      </w:r>
      <w:proofErr w:type="spellEnd"/>
    </w:p>
    <w:p w14:paraId="0CFBB345"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 xml:space="preserve">Sensibilidad, la señal más pequeña que puede ser medida: -60 </w:t>
      </w:r>
      <w:proofErr w:type="spellStart"/>
      <w:r w:rsidRPr="0086242B">
        <w:rPr>
          <w:rFonts w:ascii="ITC Avant Garde" w:hAnsi="ITC Avant Garde"/>
          <w:sz w:val="20"/>
          <w:szCs w:val="20"/>
        </w:rPr>
        <w:t>dBmV</w:t>
      </w:r>
      <w:proofErr w:type="spellEnd"/>
      <w:r w:rsidRPr="0086242B">
        <w:rPr>
          <w:rFonts w:ascii="ITC Avant Garde" w:hAnsi="ITC Avant Garde"/>
          <w:sz w:val="20"/>
          <w:szCs w:val="20"/>
        </w:rPr>
        <w:t>.</w:t>
      </w:r>
    </w:p>
    <w:p w14:paraId="2F19215A"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 xml:space="preserve">Ruido de piso, relativo a la sensibilidad: -60 </w:t>
      </w:r>
      <w:proofErr w:type="spellStart"/>
      <w:r w:rsidRPr="0086242B">
        <w:rPr>
          <w:rFonts w:ascii="ITC Avant Garde" w:hAnsi="ITC Avant Garde"/>
          <w:sz w:val="20"/>
          <w:szCs w:val="20"/>
        </w:rPr>
        <w:t>dBmV</w:t>
      </w:r>
      <w:proofErr w:type="spellEnd"/>
      <w:r w:rsidRPr="0086242B">
        <w:rPr>
          <w:rFonts w:ascii="ITC Avant Garde" w:hAnsi="ITC Avant Garde"/>
          <w:sz w:val="20"/>
          <w:szCs w:val="20"/>
        </w:rPr>
        <w:t xml:space="preserve"> en anchos de banda con resoluciones estrechas.</w:t>
      </w:r>
    </w:p>
    <w:p w14:paraId="722157E1"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 xml:space="preserve">Productos de distorsión interna: </w:t>
      </w:r>
      <w:r w:rsidRPr="0086242B">
        <w:rPr>
          <w:rFonts w:ascii="ITC Avant Garde" w:hAnsi="ITC Avant Garde"/>
          <w:sz w:val="20"/>
          <w:szCs w:val="20"/>
        </w:rPr>
        <w:sym w:font="Symbol" w:char="F0A3"/>
      </w:r>
      <w:r w:rsidRPr="0086242B">
        <w:rPr>
          <w:rFonts w:ascii="ITC Avant Garde" w:hAnsi="ITC Avant Garde"/>
          <w:sz w:val="20"/>
          <w:szCs w:val="20"/>
        </w:rPr>
        <w:t xml:space="preserve">60 </w:t>
      </w:r>
      <w:proofErr w:type="spellStart"/>
      <w:r w:rsidRPr="0086242B">
        <w:rPr>
          <w:rFonts w:ascii="ITC Avant Garde" w:hAnsi="ITC Avant Garde"/>
          <w:sz w:val="20"/>
          <w:szCs w:val="20"/>
        </w:rPr>
        <w:t>dBc</w:t>
      </w:r>
      <w:proofErr w:type="spellEnd"/>
      <w:r w:rsidRPr="0086242B">
        <w:rPr>
          <w:rFonts w:ascii="ITC Avant Garde" w:hAnsi="ITC Avant Garde"/>
          <w:sz w:val="20"/>
          <w:szCs w:val="20"/>
        </w:rPr>
        <w:t xml:space="preserve"> con una entrada total al mezclador o </w:t>
      </w:r>
      <w:proofErr w:type="spellStart"/>
      <w:r w:rsidRPr="0086242B">
        <w:rPr>
          <w:rFonts w:ascii="ITC Avant Garde" w:hAnsi="ITC Avant Garde"/>
          <w:sz w:val="20"/>
          <w:szCs w:val="20"/>
        </w:rPr>
        <w:t>combinador</w:t>
      </w:r>
      <w:proofErr w:type="spellEnd"/>
      <w:r w:rsidRPr="0086242B">
        <w:rPr>
          <w:rFonts w:ascii="ITC Avant Garde" w:hAnsi="ITC Avant Garde"/>
          <w:sz w:val="20"/>
          <w:szCs w:val="20"/>
        </w:rPr>
        <w:t xml:space="preserve"> del analizador de 10 </w:t>
      </w:r>
      <w:proofErr w:type="spellStart"/>
      <w:r w:rsidRPr="0086242B">
        <w:rPr>
          <w:rFonts w:ascii="ITC Avant Garde" w:hAnsi="ITC Avant Garde"/>
          <w:sz w:val="20"/>
          <w:szCs w:val="20"/>
        </w:rPr>
        <w:t>dBV</w:t>
      </w:r>
      <w:proofErr w:type="spellEnd"/>
      <w:r w:rsidRPr="0086242B">
        <w:rPr>
          <w:rFonts w:ascii="ITC Avant Garde" w:hAnsi="ITC Avant Garde"/>
          <w:sz w:val="20"/>
          <w:szCs w:val="20"/>
        </w:rPr>
        <w:t xml:space="preserve">. </w:t>
      </w:r>
    </w:p>
    <w:p w14:paraId="043538F2"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Resolución de los anchos de banda: de 1 kHz a 3 MHz, receptor de video con un ancho de banda de video de 4 MHz</w:t>
      </w:r>
      <w:r w:rsidR="00CE79BA">
        <w:rPr>
          <w:rFonts w:ascii="ITC Avant Garde" w:hAnsi="ITC Avant Garde"/>
          <w:sz w:val="20"/>
          <w:szCs w:val="20"/>
        </w:rPr>
        <w:t>.</w:t>
      </w:r>
    </w:p>
    <w:p w14:paraId="08D6461A"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Anchos de banda de video: igual a la resolución de los anchos de banda.</w:t>
      </w:r>
    </w:p>
    <w:p w14:paraId="1F4C110A"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Atenuador de entrada: de 0 dB a 60 dB en pasos de 10 dB o menos</w:t>
      </w:r>
      <w:r w:rsidR="00CE79BA">
        <w:rPr>
          <w:rFonts w:ascii="ITC Avant Garde" w:hAnsi="ITC Avant Garde"/>
          <w:sz w:val="20"/>
          <w:szCs w:val="20"/>
        </w:rPr>
        <w:t>.</w:t>
      </w:r>
    </w:p>
    <w:p w14:paraId="44366BF3"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Amplificador de entrada: interno o externo &gt;20 dB de ganancia, &lt;7 dB de figura de ruido.</w:t>
      </w:r>
    </w:p>
    <w:p w14:paraId="76D80F68"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 xml:space="preserve">Impedancia de entrada: 50 </w:t>
      </w:r>
      <w:proofErr w:type="spellStart"/>
      <w:r w:rsidRPr="0086242B">
        <w:rPr>
          <w:rFonts w:ascii="ITC Avant Garde" w:hAnsi="ITC Avant Garde"/>
          <w:sz w:val="20"/>
          <w:szCs w:val="20"/>
        </w:rPr>
        <w:t>Ohms</w:t>
      </w:r>
      <w:proofErr w:type="spellEnd"/>
      <w:r w:rsidRPr="0086242B">
        <w:rPr>
          <w:rFonts w:ascii="ITC Avant Garde" w:hAnsi="ITC Avant Garde"/>
          <w:sz w:val="20"/>
          <w:szCs w:val="20"/>
        </w:rPr>
        <w:t>.</w:t>
      </w:r>
    </w:p>
    <w:p w14:paraId="59D40995"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 xml:space="preserve">Funciones de memoria para almacenar las mediciones de amplitudes a diferentes frecuencias de medición. </w:t>
      </w:r>
    </w:p>
    <w:p w14:paraId="36807C43" w14:textId="77777777" w:rsidR="006B595F" w:rsidRPr="0086242B" w:rsidRDefault="006B595F" w:rsidP="006B595F">
      <w:pPr>
        <w:spacing w:line="360" w:lineRule="auto"/>
        <w:jc w:val="both"/>
        <w:rPr>
          <w:rFonts w:ascii="ITC Avant Garde" w:hAnsi="ITC Avant Garde"/>
          <w:sz w:val="20"/>
          <w:szCs w:val="20"/>
        </w:rPr>
      </w:pPr>
    </w:p>
    <w:p w14:paraId="7A2BD5BA"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Medidor de intensidad de campos electromagnéticos:</w:t>
      </w:r>
    </w:p>
    <w:p w14:paraId="7EB33408"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Sensibilidad &lt; 2µV,</w:t>
      </w:r>
    </w:p>
    <w:p w14:paraId="3BE013AA"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 xml:space="preserve">Error en el establecimiento de la frecuencia &lt; 1 kHz, </w:t>
      </w:r>
    </w:p>
    <w:p w14:paraId="1E5F24DF"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 xml:space="preserve">Ancho de banda de la Frecuencia Intermedia &lt; 50 kHz, </w:t>
      </w:r>
    </w:p>
    <w:p w14:paraId="431636C2" w14:textId="77777777" w:rsidR="006B595F" w:rsidRPr="0086242B" w:rsidRDefault="006B595F" w:rsidP="006B595F">
      <w:pPr>
        <w:numPr>
          <w:ilvl w:val="0"/>
          <w:numId w:val="19"/>
        </w:numPr>
        <w:tabs>
          <w:tab w:val="clear" w:pos="794"/>
        </w:tabs>
        <w:spacing w:line="360" w:lineRule="auto"/>
        <w:ind w:left="426"/>
        <w:jc w:val="both"/>
        <w:rPr>
          <w:rFonts w:ascii="ITC Avant Garde" w:hAnsi="ITC Avant Garde"/>
          <w:sz w:val="20"/>
          <w:szCs w:val="20"/>
        </w:rPr>
      </w:pPr>
      <w:r w:rsidRPr="0086242B">
        <w:rPr>
          <w:rFonts w:ascii="ITC Avant Garde" w:hAnsi="ITC Avant Garde"/>
          <w:sz w:val="20"/>
          <w:szCs w:val="20"/>
        </w:rPr>
        <w:t>Error en la indicación del Voltaje &lt; 2dB.</w:t>
      </w:r>
    </w:p>
    <w:p w14:paraId="463F8FB6" w14:textId="77777777" w:rsidR="006B595F" w:rsidRPr="0086242B" w:rsidRDefault="006B595F" w:rsidP="006B595F">
      <w:pPr>
        <w:jc w:val="both"/>
        <w:rPr>
          <w:rFonts w:ascii="ITC Avant Garde" w:hAnsi="ITC Avant Garde"/>
        </w:rPr>
      </w:pPr>
    </w:p>
    <w:p w14:paraId="0F790DCA" w14:textId="77777777" w:rsidR="006B595F" w:rsidRPr="0086242B" w:rsidRDefault="006B595F" w:rsidP="006B595F">
      <w:pPr>
        <w:pStyle w:val="Ttulo3"/>
        <w:keepLines w:val="0"/>
        <w:numPr>
          <w:ilvl w:val="2"/>
          <w:numId w:val="49"/>
        </w:numPr>
        <w:spacing w:before="240" w:after="60" w:line="360" w:lineRule="auto"/>
        <w:jc w:val="both"/>
        <w:rPr>
          <w:rFonts w:ascii="ITC Avant Garde" w:hAnsi="ITC Avant Garde"/>
          <w:color w:val="auto"/>
          <w:sz w:val="22"/>
          <w:szCs w:val="22"/>
        </w:rPr>
      </w:pPr>
      <w:bookmarkStart w:id="22" w:name="_Toc414444602"/>
      <w:r w:rsidRPr="0086242B">
        <w:rPr>
          <w:rFonts w:ascii="ITC Avant Garde" w:hAnsi="ITC Avant Garde"/>
          <w:color w:val="auto"/>
          <w:sz w:val="22"/>
          <w:szCs w:val="22"/>
        </w:rPr>
        <w:t>Características de los sistemas que miden campo</w:t>
      </w:r>
      <w:r w:rsidRPr="0086242B">
        <w:rPr>
          <w:rFonts w:ascii="ITC Avant Garde" w:hAnsi="ITC Avant Garde"/>
          <w:color w:val="auto"/>
          <w:sz w:val="22"/>
          <w:szCs w:val="22"/>
          <w:lang w:val="es-MX"/>
        </w:rPr>
        <w:t xml:space="preserve"> eléctrico</w:t>
      </w:r>
      <w:r w:rsidRPr="0086242B">
        <w:rPr>
          <w:rFonts w:ascii="ITC Avant Garde" w:hAnsi="ITC Avant Garde"/>
          <w:color w:val="auto"/>
          <w:sz w:val="22"/>
          <w:szCs w:val="22"/>
        </w:rPr>
        <w:t xml:space="preserve"> </w:t>
      </w:r>
      <w:r w:rsidRPr="0086242B">
        <w:rPr>
          <w:rFonts w:ascii="ITC Avant Garde" w:hAnsi="ITC Avant Garde"/>
          <w:color w:val="auto"/>
          <w:sz w:val="22"/>
          <w:szCs w:val="22"/>
          <w:lang w:val="es-MX"/>
        </w:rPr>
        <w:t>(</w:t>
      </w:r>
      <w:r w:rsidRPr="0086242B">
        <w:rPr>
          <w:rFonts w:ascii="ITC Avant Garde" w:hAnsi="ITC Avant Garde"/>
          <w:color w:val="auto"/>
          <w:sz w:val="22"/>
          <w:szCs w:val="22"/>
        </w:rPr>
        <w:t>E</w:t>
      </w:r>
      <w:r w:rsidRPr="0086242B">
        <w:rPr>
          <w:rFonts w:ascii="ITC Avant Garde" w:hAnsi="ITC Avant Garde"/>
          <w:color w:val="auto"/>
          <w:sz w:val="22"/>
          <w:szCs w:val="22"/>
          <w:lang w:val="es-MX"/>
        </w:rPr>
        <w:t>)</w:t>
      </w:r>
      <w:r w:rsidRPr="0086242B">
        <w:rPr>
          <w:rFonts w:ascii="ITC Avant Garde" w:hAnsi="ITC Avant Garde"/>
          <w:color w:val="auto"/>
          <w:sz w:val="22"/>
          <w:szCs w:val="22"/>
        </w:rPr>
        <w:t xml:space="preserve"> y </w:t>
      </w:r>
      <w:r w:rsidRPr="0086242B">
        <w:rPr>
          <w:rFonts w:ascii="ITC Avant Garde" w:hAnsi="ITC Avant Garde"/>
          <w:color w:val="auto"/>
          <w:sz w:val="22"/>
          <w:szCs w:val="22"/>
          <w:lang w:val="es-MX"/>
        </w:rPr>
        <w:t>campo magnético (</w:t>
      </w:r>
      <w:r w:rsidRPr="0086242B">
        <w:rPr>
          <w:rFonts w:ascii="ITC Avant Garde" w:hAnsi="ITC Avant Garde"/>
          <w:color w:val="auto"/>
          <w:sz w:val="22"/>
          <w:szCs w:val="22"/>
        </w:rPr>
        <w:t>H</w:t>
      </w:r>
      <w:r w:rsidRPr="0086242B">
        <w:rPr>
          <w:rFonts w:ascii="ITC Avant Garde" w:hAnsi="ITC Avant Garde"/>
          <w:color w:val="auto"/>
          <w:sz w:val="22"/>
          <w:szCs w:val="22"/>
          <w:lang w:val="es-MX"/>
        </w:rPr>
        <w:t>)</w:t>
      </w:r>
      <w:r w:rsidRPr="0086242B">
        <w:rPr>
          <w:rFonts w:ascii="ITC Avant Garde" w:hAnsi="ITC Avant Garde"/>
          <w:color w:val="auto"/>
          <w:sz w:val="22"/>
          <w:szCs w:val="22"/>
        </w:rPr>
        <w:t xml:space="preserve"> de forma simultánea.</w:t>
      </w:r>
      <w:bookmarkEnd w:id="22"/>
    </w:p>
    <w:p w14:paraId="3212BB9A"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Cuando se mide en condiciones de campo cercano, los valores relativos de </w:t>
      </w:r>
      <w:r w:rsidRPr="0086242B">
        <w:rPr>
          <w:rFonts w:ascii="ITC Avant Garde" w:hAnsi="ITC Avant Garde"/>
          <w:i/>
          <w:sz w:val="20"/>
          <w:szCs w:val="20"/>
        </w:rPr>
        <w:t>E</w:t>
      </w:r>
      <w:r w:rsidRPr="0086242B">
        <w:rPr>
          <w:rFonts w:ascii="ITC Avant Garde" w:hAnsi="ITC Avant Garde"/>
          <w:sz w:val="20"/>
          <w:szCs w:val="20"/>
        </w:rPr>
        <w:t xml:space="preserve"> y </w:t>
      </w:r>
      <w:r w:rsidRPr="0086242B">
        <w:rPr>
          <w:rFonts w:ascii="ITC Avant Garde" w:hAnsi="ITC Avant Garde"/>
          <w:i/>
          <w:sz w:val="20"/>
          <w:szCs w:val="20"/>
        </w:rPr>
        <w:t>H</w:t>
      </w:r>
      <w:r w:rsidRPr="0086242B">
        <w:rPr>
          <w:rFonts w:ascii="ITC Avant Garde" w:hAnsi="ITC Avant Garde"/>
          <w:sz w:val="20"/>
          <w:szCs w:val="20"/>
        </w:rPr>
        <w:t xml:space="preserve"> varían considerablemente entre sí, en función del tiempo y la distancia a la que se mide. Bajo estas circunstancias, es necesario medir ambos campos de manera simultánea, puesto que si se utiliza un método secuencial, por ejemplo, midiendo primero el campo eléctrico y luego el campo magnético, se incurriría en errores significativos de medición debido a que los campos varían rápidamente en función del tiempo. Por este motivo, algunos sistemas de medición utilizan sensores compuestos de banda ancha que combinan tres antenas dipolares mutuamente ortogonales para medir la magnitud de todas las componentes espaciales del campo eléctrico, así como tres antenas de aro, también ortogonales entre sí, para medir las componentes espaciales del campo magnético. Todas estas antenas se construyen de dimensiones muy pequeñas en comparación a la longitud de onda, con el propósito de que el campo que se está midiendo no sea distorsionado y que el acoplamiento entre antenas sea mínimo. Además de las antenas, el sensor contiene detectores que trabajan en su región de operación cuadrática para señales muy pequeñas y circuitos sumadores y procesadores de señales analógicas o digitales que pueden añadirse como parte del sensor o hasta el equipo de medición. </w:t>
      </w:r>
    </w:p>
    <w:p w14:paraId="13B3C5C9" w14:textId="77777777" w:rsidR="006B595F" w:rsidRPr="0086242B" w:rsidRDefault="006B595F" w:rsidP="006B595F">
      <w:pPr>
        <w:spacing w:line="360" w:lineRule="auto"/>
        <w:jc w:val="both"/>
        <w:rPr>
          <w:rFonts w:ascii="ITC Avant Garde" w:hAnsi="ITC Avant Garde"/>
          <w:sz w:val="20"/>
          <w:szCs w:val="20"/>
        </w:rPr>
      </w:pPr>
    </w:p>
    <w:p w14:paraId="72B76464"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El equipo de medición debe incorporar un sistema de adquisición de datos que grabe las mediciones simultáneas para análisis posterior. </w:t>
      </w:r>
    </w:p>
    <w:p w14:paraId="00934F43" w14:textId="77777777" w:rsidR="006B595F" w:rsidRPr="0086242B" w:rsidRDefault="006B595F" w:rsidP="006B595F">
      <w:pPr>
        <w:spacing w:line="360" w:lineRule="auto"/>
        <w:jc w:val="both"/>
        <w:rPr>
          <w:rFonts w:ascii="ITC Avant Garde" w:hAnsi="ITC Avant Garde"/>
          <w:sz w:val="20"/>
          <w:szCs w:val="20"/>
        </w:rPr>
      </w:pPr>
    </w:p>
    <w:p w14:paraId="2E54656E"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Un diagrama a bloques de un sensor compuesto de banda ancha se muestra en la Figura 3.</w:t>
      </w:r>
    </w:p>
    <w:p w14:paraId="76C3E741" w14:textId="77777777" w:rsidR="006B595F" w:rsidRPr="0086242B" w:rsidRDefault="00672004" w:rsidP="006B595F">
      <w:pPr>
        <w:spacing w:line="360" w:lineRule="auto"/>
        <w:jc w:val="center"/>
        <w:rPr>
          <w:rFonts w:ascii="ITC Avant Garde" w:hAnsi="ITC Avant Garde"/>
          <w:sz w:val="20"/>
          <w:szCs w:val="20"/>
        </w:rPr>
      </w:pPr>
      <w:r>
        <w:rPr>
          <w:rFonts w:ascii="ITC Avant Garde" w:hAnsi="ITC Avant Garde"/>
          <w:noProof/>
          <w:sz w:val="20"/>
          <w:szCs w:val="20"/>
          <w:lang w:val="es-MX" w:eastAsia="es-MX"/>
        </w:rPr>
        <w:drawing>
          <wp:inline distT="0" distB="0" distL="0" distR="0" wp14:anchorId="671206A4" wp14:editId="3995A95B">
            <wp:extent cx="3064510" cy="2162175"/>
            <wp:effectExtent l="0" t="0" r="0" b="9525"/>
            <wp:docPr id="5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l="14188" t="16483" r="36801" b="22450"/>
                    <a:stretch>
                      <a:fillRect/>
                    </a:stretch>
                  </pic:blipFill>
                  <pic:spPr bwMode="auto">
                    <a:xfrm>
                      <a:off x="0" y="0"/>
                      <a:ext cx="3064510" cy="2162175"/>
                    </a:xfrm>
                    <a:prstGeom prst="rect">
                      <a:avLst/>
                    </a:prstGeom>
                    <a:noFill/>
                    <a:ln>
                      <a:noFill/>
                    </a:ln>
                  </pic:spPr>
                </pic:pic>
              </a:graphicData>
            </a:graphic>
          </wp:inline>
        </w:drawing>
      </w:r>
    </w:p>
    <w:p w14:paraId="548B9A17" w14:textId="77777777" w:rsidR="006B595F" w:rsidRPr="0086242B" w:rsidRDefault="006B595F" w:rsidP="006B595F">
      <w:pPr>
        <w:pStyle w:val="Descripcin"/>
        <w:spacing w:line="360" w:lineRule="auto"/>
        <w:jc w:val="center"/>
        <w:rPr>
          <w:rFonts w:ascii="ITC Avant Garde" w:hAnsi="ITC Avant Garde"/>
          <w:b w:val="0"/>
        </w:rPr>
      </w:pPr>
      <w:r w:rsidRPr="0086242B">
        <w:rPr>
          <w:rFonts w:ascii="ITC Avant Garde" w:hAnsi="ITC Avant Garde"/>
          <w:b w:val="0"/>
        </w:rPr>
        <w:t xml:space="preserve">Figura 3.- Sensor isotrópico compuesto para medición de todas las componentes de </w:t>
      </w:r>
      <w:r w:rsidRPr="0086242B">
        <w:rPr>
          <w:rFonts w:ascii="ITC Avant Garde" w:hAnsi="ITC Avant Garde"/>
          <w:b w:val="0"/>
          <w:i/>
        </w:rPr>
        <w:t>E</w:t>
      </w:r>
      <w:r w:rsidRPr="0086242B">
        <w:rPr>
          <w:rFonts w:ascii="ITC Avant Garde" w:hAnsi="ITC Avant Garde"/>
          <w:b w:val="0"/>
        </w:rPr>
        <w:t xml:space="preserve"> y </w:t>
      </w:r>
      <w:r w:rsidRPr="0086242B">
        <w:rPr>
          <w:rFonts w:ascii="ITC Avant Garde" w:hAnsi="ITC Avant Garde"/>
          <w:b w:val="0"/>
          <w:i/>
        </w:rPr>
        <w:t>H</w:t>
      </w:r>
      <w:r w:rsidRPr="0086242B">
        <w:rPr>
          <w:rFonts w:ascii="ITC Avant Garde" w:hAnsi="ITC Avant Garde"/>
          <w:b w:val="0"/>
        </w:rPr>
        <w:t>.</w:t>
      </w:r>
    </w:p>
    <w:p w14:paraId="0AA35520" w14:textId="77777777" w:rsidR="006B595F" w:rsidRPr="0086242B" w:rsidRDefault="006B595F" w:rsidP="006B595F">
      <w:pPr>
        <w:rPr>
          <w:rFonts w:ascii="ITC Avant Garde" w:hAnsi="ITC Avant Garde"/>
        </w:rPr>
      </w:pPr>
    </w:p>
    <w:p w14:paraId="37056E43" w14:textId="77777777" w:rsidR="006B595F" w:rsidRPr="0086242B" w:rsidRDefault="006B595F" w:rsidP="006B595F">
      <w:pPr>
        <w:pStyle w:val="Ttulo3"/>
        <w:keepLines w:val="0"/>
        <w:numPr>
          <w:ilvl w:val="2"/>
          <w:numId w:val="49"/>
        </w:numPr>
        <w:spacing w:before="240" w:after="60" w:line="360" w:lineRule="auto"/>
        <w:jc w:val="both"/>
        <w:rPr>
          <w:rFonts w:ascii="ITC Avant Garde" w:hAnsi="ITC Avant Garde"/>
          <w:color w:val="auto"/>
          <w:sz w:val="22"/>
          <w:szCs w:val="22"/>
        </w:rPr>
      </w:pPr>
      <w:bookmarkStart w:id="23" w:name="_Toc414444603"/>
      <w:r w:rsidRPr="0086242B">
        <w:rPr>
          <w:rFonts w:ascii="ITC Avant Garde" w:hAnsi="ITC Avant Garde"/>
          <w:color w:val="auto"/>
          <w:sz w:val="22"/>
          <w:szCs w:val="22"/>
        </w:rPr>
        <w:t>Sensores.- Tipos de antenas utilizados para mediciones a diferentes intervalos de frecuencia.</w:t>
      </w:r>
      <w:bookmarkEnd w:id="23"/>
    </w:p>
    <w:p w14:paraId="6663DEAC"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El sistema de medición de campos electromagnéticos está limitado en el ancho de banda donde puede medir con exactitud, según el tipo de antena que esté utilizando en su elemento sensor. Por ello, es necesario emplear diferentes tipos de sensores para medir en determinados intervalos de frecuencia donde la antena utilizada proporcione una medida exacta del campo que se está midiendo. Los tipos de antenas más comunes que se emplean para la medición de campos a diferentes intervalos de frecuencia son los que se describen a continuación.</w:t>
      </w:r>
    </w:p>
    <w:p w14:paraId="206260A0" w14:textId="77777777" w:rsidR="006B595F" w:rsidRPr="0086242B" w:rsidRDefault="006B595F" w:rsidP="006B595F">
      <w:pPr>
        <w:jc w:val="both"/>
        <w:rPr>
          <w:rFonts w:ascii="ITC Avant Garde" w:hAnsi="ITC Avant Garde"/>
        </w:rPr>
      </w:pPr>
    </w:p>
    <w:p w14:paraId="7921A26D" w14:textId="77777777" w:rsidR="006B595F" w:rsidRPr="0086242B" w:rsidRDefault="006B595F" w:rsidP="006B595F">
      <w:pPr>
        <w:pStyle w:val="Ttulo4"/>
        <w:keepLines w:val="0"/>
        <w:numPr>
          <w:ilvl w:val="3"/>
          <w:numId w:val="49"/>
        </w:numPr>
        <w:spacing w:before="240" w:after="60" w:line="240" w:lineRule="auto"/>
        <w:rPr>
          <w:rFonts w:ascii="ITC Avant Garde" w:hAnsi="ITC Avant Garde"/>
          <w:i w:val="0"/>
          <w:color w:val="auto"/>
          <w:sz w:val="22"/>
          <w:szCs w:val="22"/>
        </w:rPr>
      </w:pPr>
      <w:r w:rsidRPr="0086242B">
        <w:rPr>
          <w:rFonts w:ascii="ITC Avant Garde" w:hAnsi="ITC Avant Garde"/>
          <w:i w:val="0"/>
          <w:color w:val="auto"/>
          <w:sz w:val="22"/>
          <w:szCs w:val="22"/>
        </w:rPr>
        <w:t>Antena de Aro o de Lazo.</w:t>
      </w:r>
    </w:p>
    <w:p w14:paraId="1A613AAB"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Las antenas de aro o de lazo circular, son útiles para la medición del campo magnético desde frecuencias de 30 Hz, hasta un límite máximo alrededor de 100 MHz, cuando la antena tiene unas dimensiones que pueden ser comparables a la longitud de onda y ya no cumple la condición de antena pequeña que tiene la capacidad de medir exclusivamente la componente de campo magnético.</w:t>
      </w:r>
    </w:p>
    <w:p w14:paraId="1F146A65" w14:textId="77777777" w:rsidR="006B595F" w:rsidRPr="0086242B" w:rsidRDefault="006B595F" w:rsidP="006B595F">
      <w:pPr>
        <w:spacing w:line="360" w:lineRule="auto"/>
        <w:jc w:val="both"/>
        <w:rPr>
          <w:rFonts w:ascii="ITC Avant Garde" w:hAnsi="ITC Avant Garde"/>
          <w:sz w:val="20"/>
          <w:szCs w:val="20"/>
        </w:rPr>
      </w:pPr>
    </w:p>
    <w:p w14:paraId="6D4267F9" w14:textId="56DE3BA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Cuando una antena est</w:t>
      </w:r>
      <w:r w:rsidR="00CE79BA">
        <w:rPr>
          <w:rFonts w:ascii="ITC Avant Garde" w:hAnsi="ITC Avant Garde"/>
          <w:sz w:val="20"/>
          <w:szCs w:val="20"/>
        </w:rPr>
        <w:t>á</w:t>
      </w:r>
      <w:r w:rsidRPr="0086242B">
        <w:rPr>
          <w:rFonts w:ascii="ITC Avant Garde" w:hAnsi="ITC Avant Garde"/>
          <w:sz w:val="20"/>
          <w:szCs w:val="20"/>
        </w:rPr>
        <w:t xml:space="preserve"> calibrada, se obtiene el denominado factor de antena</w:t>
      </w:r>
      <w:r w:rsidR="00371515">
        <w:rPr>
          <w:rFonts w:ascii="ITC Avant Garde" w:hAnsi="ITC Avant Garde"/>
          <w:sz w:val="20"/>
          <w:szCs w:val="20"/>
        </w:rPr>
        <w:t xml:space="preserve">, </w:t>
      </w:r>
      <w:r w:rsidRPr="0086242B">
        <w:rPr>
          <w:rFonts w:ascii="ITC Avant Garde" w:hAnsi="ITC Avant Garde"/>
          <w:sz w:val="20"/>
          <w:szCs w:val="20"/>
        </w:rPr>
        <w:t>que relaciona la intensidad del campo eléctrico incidente con el voltaje que se genera en las terminales de la antena, a diferentes frecuencias. Este factor de antena cuando se grafica con respecto a la frecuencia</w:t>
      </w:r>
      <w:r w:rsidR="00371515">
        <w:rPr>
          <w:rFonts w:ascii="ITC Avant Garde" w:hAnsi="ITC Avant Garde"/>
          <w:sz w:val="20"/>
          <w:szCs w:val="20"/>
        </w:rPr>
        <w:t xml:space="preserve">, </w:t>
      </w:r>
      <w:r w:rsidRPr="0086242B">
        <w:rPr>
          <w:rFonts w:ascii="ITC Avant Garde" w:hAnsi="ITC Avant Garde"/>
          <w:sz w:val="20"/>
          <w:szCs w:val="20"/>
        </w:rPr>
        <w:t>muestra el comportamiento característico de la antena y permite hacer mediciones de campo de una forma muy sencilla, midiendo el voltaje de circuito abierto que se obtiene en las terminales de la antena y multiplicándolo por el factor de antena para obtener el campo eléctrico.</w:t>
      </w:r>
    </w:p>
    <w:p w14:paraId="279BC002" w14:textId="77777777" w:rsidR="006B595F" w:rsidRPr="0086242B" w:rsidRDefault="006B595F" w:rsidP="006B595F">
      <w:pPr>
        <w:spacing w:line="360" w:lineRule="auto"/>
        <w:jc w:val="both"/>
        <w:rPr>
          <w:rFonts w:ascii="ITC Avant Garde" w:hAnsi="ITC Avant Garde"/>
          <w:sz w:val="20"/>
          <w:szCs w:val="20"/>
        </w:rPr>
      </w:pPr>
    </w:p>
    <w:p w14:paraId="1D21CCA5"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En el caso de la antena de aro o de lazo, que sólo mide el campo magnético, el factor de antena puede expresarse como la relación entre el campo magnético y el voltaje en las terminales de la antena a diferentes frecuencias. Sin embargo, también puede expresarse este factor con respecto al campo eléctrico utilizando la ecuación (6) que relaciona los campos eléctrico y magnético a través de la impedancia intrínseca del aire, siempre y cuando se cumplan las condiciones de campo lejano. Para una antena de aro o de lazo, el factor de antena que se obtiene experimentalmente al momento de la calibración, se puede aproximar con una ecuación que involucra las características físicas de la antena y la longitud de onda.</w:t>
      </w:r>
    </w:p>
    <w:p w14:paraId="34B48718" w14:textId="77777777" w:rsidR="006B595F" w:rsidRPr="0086242B" w:rsidRDefault="006B595F" w:rsidP="006B595F">
      <w:pPr>
        <w:jc w:val="both"/>
        <w:rPr>
          <w:rFonts w:ascii="ITC Avant Garde" w:hAnsi="ITC Avant Garde"/>
        </w:rPr>
      </w:pPr>
    </w:p>
    <w:p w14:paraId="0CAF838E" w14:textId="77777777" w:rsidR="006B595F" w:rsidRPr="0086242B" w:rsidRDefault="006B595F" w:rsidP="006B595F">
      <w:pPr>
        <w:pStyle w:val="Ecuacin"/>
        <w:rPr>
          <w:rFonts w:ascii="ITC Avant Garde" w:hAnsi="ITC Avant Garde"/>
        </w:rPr>
      </w:pPr>
      <w:r w:rsidRPr="0086242B">
        <w:rPr>
          <w:rFonts w:ascii="ITC Avant Garde" w:hAnsi="ITC Avant Garde"/>
        </w:rPr>
        <w:tab/>
      </w:r>
      <w:r w:rsidR="00672004">
        <w:rPr>
          <w:rFonts w:ascii="ITC Avant Garde" w:hAnsi="ITC Avant Garde"/>
          <w:noProof/>
          <w:position w:val="-30"/>
          <w:lang w:val="es-MX" w:eastAsia="es-MX"/>
        </w:rPr>
        <w:drawing>
          <wp:inline distT="0" distB="0" distL="0" distR="0" wp14:anchorId="3D8ED17D" wp14:editId="2B07828D">
            <wp:extent cx="1704975" cy="469265"/>
            <wp:effectExtent l="0" t="0" r="9525" b="6985"/>
            <wp:docPr id="5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469265"/>
                    </a:xfrm>
                    <a:prstGeom prst="rect">
                      <a:avLst/>
                    </a:prstGeom>
                    <a:noFill/>
                    <a:ln>
                      <a:noFill/>
                    </a:ln>
                  </pic:spPr>
                </pic:pic>
              </a:graphicData>
            </a:graphic>
          </wp:inline>
        </w:drawing>
      </w:r>
      <w:r w:rsidRPr="0086242B">
        <w:rPr>
          <w:rFonts w:ascii="ITC Avant Garde" w:hAnsi="ITC Avant Garde"/>
        </w:rPr>
        <w:tab/>
      </w:r>
      <w:r w:rsidRPr="0086242B">
        <w:rPr>
          <w:rFonts w:ascii="ITC Avant Garde" w:hAnsi="ITC Avant Garde"/>
          <w:sz w:val="20"/>
          <w:szCs w:val="20"/>
        </w:rPr>
        <w:t>(6)</w:t>
      </w:r>
    </w:p>
    <w:p w14:paraId="44569E46" w14:textId="77777777" w:rsidR="006B595F" w:rsidRPr="0086242B" w:rsidRDefault="006B595F" w:rsidP="006B595F">
      <w:pPr>
        <w:jc w:val="both"/>
        <w:rPr>
          <w:rFonts w:ascii="ITC Avant Garde" w:hAnsi="ITC Avant Garde"/>
        </w:rPr>
      </w:pPr>
    </w:p>
    <w:p w14:paraId="4A02CC67" w14:textId="77777777" w:rsidR="006B595F" w:rsidRPr="0086242B" w:rsidRDefault="006B595F" w:rsidP="006B595F">
      <w:pPr>
        <w:jc w:val="both"/>
        <w:rPr>
          <w:rFonts w:ascii="ITC Avant Garde" w:hAnsi="ITC Avant Garde"/>
        </w:rPr>
      </w:pPr>
    </w:p>
    <w:p w14:paraId="6868779D"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En donde:</w:t>
      </w:r>
    </w:p>
    <w:p w14:paraId="0AC1A6F8" w14:textId="77777777" w:rsidR="006B595F" w:rsidRPr="0086242B" w:rsidRDefault="006B595F" w:rsidP="006B595F">
      <w:pPr>
        <w:tabs>
          <w:tab w:val="left" w:pos="709"/>
          <w:tab w:val="left" w:pos="1260"/>
          <w:tab w:val="left" w:pos="1620"/>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FA</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t>Factor de antena [1/m].</w:t>
      </w:r>
    </w:p>
    <w:p w14:paraId="422F1EE8" w14:textId="77777777" w:rsidR="006B595F" w:rsidRPr="0086242B" w:rsidRDefault="006B595F" w:rsidP="006B595F">
      <w:pPr>
        <w:tabs>
          <w:tab w:val="left" w:pos="709"/>
          <w:tab w:val="left" w:pos="1260"/>
          <w:tab w:val="left" w:pos="1620"/>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E</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t>Intensidad del campo eléctrico incidente [V/m].</w:t>
      </w:r>
    </w:p>
    <w:p w14:paraId="24C18792" w14:textId="77777777" w:rsidR="006B595F" w:rsidRPr="0086242B" w:rsidRDefault="006B595F" w:rsidP="006B595F">
      <w:pPr>
        <w:tabs>
          <w:tab w:val="left" w:pos="709"/>
          <w:tab w:val="left" w:pos="1260"/>
          <w:tab w:val="left" w:pos="1620"/>
        </w:tabs>
        <w:spacing w:line="360" w:lineRule="auto"/>
        <w:rPr>
          <w:rFonts w:ascii="ITC Avant Garde" w:hAnsi="ITC Avant Garde"/>
          <w:sz w:val="20"/>
          <w:szCs w:val="20"/>
          <w:vertAlign w:val="subscript"/>
        </w:rPr>
      </w:pPr>
      <w:r w:rsidRPr="0086242B">
        <w:rPr>
          <w:rFonts w:ascii="ITC Avant Garde" w:hAnsi="ITC Avant Garde"/>
          <w:sz w:val="20"/>
          <w:szCs w:val="20"/>
        </w:rPr>
        <w:tab/>
      </w:r>
      <w:proofErr w:type="spellStart"/>
      <w:r w:rsidRPr="0086242B">
        <w:rPr>
          <w:rFonts w:ascii="ITC Avant Garde" w:hAnsi="ITC Avant Garde"/>
          <w:i/>
          <w:sz w:val="20"/>
          <w:szCs w:val="20"/>
        </w:rPr>
        <w:t>V</w:t>
      </w:r>
      <w:r w:rsidRPr="0086242B">
        <w:rPr>
          <w:rFonts w:ascii="ITC Avant Garde" w:hAnsi="ITC Avant Garde"/>
          <w:i/>
          <w:sz w:val="20"/>
          <w:szCs w:val="20"/>
          <w:vertAlign w:val="subscript"/>
        </w:rPr>
        <w:t>ant</w:t>
      </w:r>
      <w:proofErr w:type="spellEnd"/>
      <w:r w:rsidRPr="0086242B">
        <w:rPr>
          <w:rFonts w:ascii="ITC Avant Garde" w:hAnsi="ITC Avant Garde"/>
          <w:sz w:val="20"/>
          <w:szCs w:val="20"/>
          <w:vertAlign w:val="subscript"/>
        </w:rPr>
        <w:t xml:space="preserve"> </w:t>
      </w:r>
      <w:r w:rsidRPr="0086242B">
        <w:rPr>
          <w:rFonts w:ascii="ITC Avant Garde" w:hAnsi="ITC Avant Garde"/>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Voltaje de circuito abierto obtenido en las terminales de la antena [V].</w:t>
      </w:r>
    </w:p>
    <w:p w14:paraId="2F7AA4FC"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i/>
          <w:sz w:val="20"/>
          <w:szCs w:val="20"/>
        </w:rPr>
        <w:tab/>
        <w:t>A</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t>Área del aro o lazo circular [m</w:t>
      </w:r>
      <w:r w:rsidRPr="0086242B">
        <w:rPr>
          <w:rFonts w:ascii="ITC Avant Garde" w:hAnsi="ITC Avant Garde"/>
          <w:sz w:val="20"/>
          <w:szCs w:val="20"/>
          <w:vertAlign w:val="superscript"/>
        </w:rPr>
        <w:t>2</w:t>
      </w:r>
      <w:r w:rsidRPr="0086242B">
        <w:rPr>
          <w:rFonts w:ascii="ITC Avant Garde" w:hAnsi="ITC Avant Garde"/>
          <w:sz w:val="20"/>
          <w:szCs w:val="20"/>
        </w:rPr>
        <w:t>].</w:t>
      </w:r>
    </w:p>
    <w:p w14:paraId="0F183330"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i/>
          <w:sz w:val="20"/>
          <w:szCs w:val="20"/>
        </w:rPr>
        <w:tab/>
        <w:t>N</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t>Número de vueltas del aro.</w:t>
      </w:r>
    </w:p>
    <w:p w14:paraId="2E707189"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i/>
          <w:sz w:val="20"/>
          <w:szCs w:val="20"/>
        </w:rPr>
        <w:tab/>
      </w:r>
      <w:r w:rsidRPr="0086242B">
        <w:rPr>
          <w:rFonts w:ascii="Calibri" w:hAnsi="Calibri" w:cs="Calibri"/>
          <w:i/>
          <w:sz w:val="20"/>
          <w:szCs w:val="20"/>
        </w:rPr>
        <w:t>λ</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i/>
          <w:sz w:val="20"/>
          <w:szCs w:val="20"/>
        </w:rPr>
        <w:tab/>
      </w:r>
      <w:r w:rsidRPr="0086242B">
        <w:rPr>
          <w:rFonts w:ascii="ITC Avant Garde" w:hAnsi="ITC Avant Garde"/>
          <w:sz w:val="20"/>
          <w:szCs w:val="20"/>
        </w:rPr>
        <w:t>Longitud de onda [m].</w:t>
      </w:r>
    </w:p>
    <w:p w14:paraId="2AC057FB" w14:textId="77777777" w:rsidR="006B595F" w:rsidRPr="0086242B" w:rsidRDefault="006B595F" w:rsidP="006B595F">
      <w:pPr>
        <w:tabs>
          <w:tab w:val="left" w:pos="709"/>
          <w:tab w:val="left" w:pos="992"/>
          <w:tab w:val="left" w:pos="1276"/>
        </w:tabs>
        <w:rPr>
          <w:rFonts w:ascii="ITC Avant Garde" w:hAnsi="ITC Avant Garde"/>
        </w:rPr>
      </w:pPr>
    </w:p>
    <w:p w14:paraId="2FFC0F67" w14:textId="77777777" w:rsidR="006B595F" w:rsidRPr="0086242B" w:rsidRDefault="006B595F" w:rsidP="006B595F">
      <w:pPr>
        <w:tabs>
          <w:tab w:val="left" w:pos="709"/>
          <w:tab w:val="left" w:pos="992"/>
          <w:tab w:val="left" w:pos="1276"/>
        </w:tabs>
        <w:rPr>
          <w:rFonts w:ascii="ITC Avant Garde" w:hAnsi="ITC Avant Garde"/>
        </w:rPr>
      </w:pPr>
    </w:p>
    <w:p w14:paraId="73E7A660" w14:textId="77777777" w:rsidR="006B595F" w:rsidRPr="0086242B" w:rsidRDefault="006B595F" w:rsidP="006B595F">
      <w:pPr>
        <w:pStyle w:val="Ttulo4"/>
        <w:keepLines w:val="0"/>
        <w:numPr>
          <w:ilvl w:val="3"/>
          <w:numId w:val="49"/>
        </w:numPr>
        <w:spacing w:before="240" w:after="60" w:line="240" w:lineRule="auto"/>
        <w:rPr>
          <w:rFonts w:ascii="ITC Avant Garde" w:hAnsi="ITC Avant Garde"/>
          <w:i w:val="0"/>
          <w:color w:val="auto"/>
          <w:sz w:val="22"/>
          <w:szCs w:val="22"/>
        </w:rPr>
      </w:pPr>
      <w:r w:rsidRPr="0086242B">
        <w:rPr>
          <w:rFonts w:ascii="ITC Avant Garde" w:hAnsi="ITC Avant Garde"/>
          <w:i w:val="0"/>
          <w:color w:val="auto"/>
          <w:sz w:val="22"/>
          <w:szCs w:val="22"/>
        </w:rPr>
        <w:t>Antena dipolar</w:t>
      </w:r>
    </w:p>
    <w:p w14:paraId="18E6A76A" w14:textId="77777777" w:rsidR="006B595F" w:rsidRPr="0086242B" w:rsidRDefault="006B595F" w:rsidP="006B595F">
      <w:pPr>
        <w:rPr>
          <w:i/>
        </w:rPr>
      </w:pPr>
    </w:p>
    <w:p w14:paraId="63B14EC5"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Las antenas del tipo dipolo son útiles para mediciones de campo entre 3 MHz y 1 GHz, aproximadamente. Este tipo de antena puede ser de dimensiones pequeñas respecto a la longitud de onda o puede también ser una antena resonante de media longitud de onda, sobre todo para frecuencias mayores a los 30 MHz. El factor de antena que se obtiene experimentalmente con la calibración puede aproximarse para esta antena de la siguiente forma:</w:t>
      </w:r>
    </w:p>
    <w:p w14:paraId="2427BD6D" w14:textId="77777777" w:rsidR="006B595F" w:rsidRPr="0086242B" w:rsidRDefault="006B595F" w:rsidP="006B595F">
      <w:pPr>
        <w:jc w:val="both"/>
        <w:rPr>
          <w:rFonts w:ascii="ITC Avant Garde" w:hAnsi="ITC Avant Garde"/>
        </w:rPr>
      </w:pPr>
    </w:p>
    <w:p w14:paraId="239ABA9E" w14:textId="77777777" w:rsidR="006B595F" w:rsidRPr="0086242B" w:rsidRDefault="006B595F" w:rsidP="006B595F">
      <w:pPr>
        <w:pStyle w:val="Ecuacin"/>
        <w:rPr>
          <w:rFonts w:ascii="ITC Avant Garde" w:hAnsi="ITC Avant Garde"/>
        </w:rPr>
      </w:pPr>
      <w:r w:rsidRPr="0086242B">
        <w:rPr>
          <w:rFonts w:ascii="ITC Avant Garde" w:hAnsi="ITC Avant Garde"/>
        </w:rPr>
        <w:tab/>
      </w:r>
      <w:r w:rsidR="00672004">
        <w:rPr>
          <w:rFonts w:ascii="ITC Avant Garde" w:hAnsi="ITC Avant Garde"/>
          <w:noProof/>
          <w:position w:val="-30"/>
          <w:lang w:val="es-MX" w:eastAsia="es-MX"/>
        </w:rPr>
        <w:drawing>
          <wp:inline distT="0" distB="0" distL="0" distR="0" wp14:anchorId="5A282267" wp14:editId="50BCB8B0">
            <wp:extent cx="1111885" cy="432435"/>
            <wp:effectExtent l="0" t="0" r="0" b="5715"/>
            <wp:docPr id="5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1885" cy="432435"/>
                    </a:xfrm>
                    <a:prstGeom prst="rect">
                      <a:avLst/>
                    </a:prstGeom>
                    <a:noFill/>
                    <a:ln>
                      <a:noFill/>
                    </a:ln>
                  </pic:spPr>
                </pic:pic>
              </a:graphicData>
            </a:graphic>
          </wp:inline>
        </w:drawing>
      </w:r>
      <w:r w:rsidRPr="0086242B">
        <w:rPr>
          <w:rFonts w:ascii="ITC Avant Garde" w:hAnsi="ITC Avant Garde"/>
        </w:rPr>
        <w:tab/>
      </w:r>
      <w:r w:rsidRPr="0086242B">
        <w:rPr>
          <w:rFonts w:ascii="ITC Avant Garde" w:hAnsi="ITC Avant Garde"/>
          <w:sz w:val="20"/>
          <w:szCs w:val="20"/>
        </w:rPr>
        <w:t>(7)</w:t>
      </w:r>
    </w:p>
    <w:p w14:paraId="01F605D6" w14:textId="77777777" w:rsidR="006B595F" w:rsidRPr="0086242B" w:rsidRDefault="006B595F" w:rsidP="006B595F">
      <w:pPr>
        <w:jc w:val="both"/>
        <w:rPr>
          <w:rFonts w:ascii="ITC Avant Garde" w:hAnsi="ITC Avant Garde"/>
        </w:rPr>
      </w:pPr>
    </w:p>
    <w:p w14:paraId="564A8C54"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En donde:</w:t>
      </w:r>
    </w:p>
    <w:p w14:paraId="04F64518" w14:textId="77777777" w:rsidR="006B595F" w:rsidRPr="0086242B" w:rsidRDefault="006B595F" w:rsidP="006B595F">
      <w:pPr>
        <w:tabs>
          <w:tab w:val="left" w:pos="709"/>
          <w:tab w:val="left" w:pos="1260"/>
          <w:tab w:val="left" w:pos="1620"/>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FA</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t>Factor de antena [1/m].</w:t>
      </w:r>
    </w:p>
    <w:p w14:paraId="76C55446" w14:textId="77777777" w:rsidR="006B595F" w:rsidRPr="0086242B" w:rsidRDefault="006B595F" w:rsidP="006B595F">
      <w:pPr>
        <w:tabs>
          <w:tab w:val="left" w:pos="709"/>
          <w:tab w:val="left" w:pos="1260"/>
          <w:tab w:val="left" w:pos="1620"/>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E</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Intensidad del campo eléctrico incidente [V/m].</w:t>
      </w:r>
    </w:p>
    <w:p w14:paraId="0B3F083B" w14:textId="77777777" w:rsidR="006B595F" w:rsidRPr="0086242B" w:rsidRDefault="006B595F" w:rsidP="006B595F">
      <w:pPr>
        <w:tabs>
          <w:tab w:val="left" w:pos="709"/>
          <w:tab w:val="left" w:pos="1260"/>
          <w:tab w:val="left" w:pos="1620"/>
        </w:tabs>
        <w:spacing w:line="360" w:lineRule="auto"/>
        <w:rPr>
          <w:rFonts w:ascii="ITC Avant Garde" w:hAnsi="ITC Avant Garde"/>
          <w:sz w:val="20"/>
          <w:szCs w:val="20"/>
        </w:rPr>
      </w:pPr>
      <w:r w:rsidRPr="0086242B">
        <w:rPr>
          <w:rFonts w:ascii="ITC Avant Garde" w:hAnsi="ITC Avant Garde"/>
          <w:i/>
          <w:sz w:val="20"/>
          <w:szCs w:val="20"/>
        </w:rPr>
        <w:tab/>
      </w:r>
      <w:r w:rsidRPr="0086242B">
        <w:rPr>
          <w:rFonts w:ascii="Calibri" w:hAnsi="Calibri" w:cs="Calibri"/>
          <w:i/>
          <w:sz w:val="20"/>
          <w:szCs w:val="20"/>
        </w:rPr>
        <w:t>λ</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i/>
          <w:sz w:val="20"/>
          <w:szCs w:val="20"/>
        </w:rPr>
        <w:tab/>
      </w:r>
      <w:r w:rsidRPr="0086242B">
        <w:rPr>
          <w:rFonts w:ascii="ITC Avant Garde" w:hAnsi="ITC Avant Garde"/>
          <w:sz w:val="20"/>
          <w:szCs w:val="20"/>
        </w:rPr>
        <w:t>Longitud de onda [m].</w:t>
      </w:r>
    </w:p>
    <w:p w14:paraId="0C2B6A39" w14:textId="77777777" w:rsidR="006B595F" w:rsidRPr="0086242B" w:rsidRDefault="006B595F" w:rsidP="006B595F">
      <w:pPr>
        <w:tabs>
          <w:tab w:val="left" w:pos="709"/>
          <w:tab w:val="left" w:pos="1260"/>
          <w:tab w:val="left" w:pos="1620"/>
        </w:tabs>
        <w:spacing w:line="360" w:lineRule="auto"/>
        <w:rPr>
          <w:rFonts w:ascii="ITC Avant Garde" w:hAnsi="ITC Avant Garde"/>
          <w:sz w:val="20"/>
          <w:szCs w:val="20"/>
          <w:vertAlign w:val="subscript"/>
        </w:rPr>
      </w:pPr>
      <w:r w:rsidRPr="0086242B">
        <w:rPr>
          <w:rFonts w:ascii="ITC Avant Garde" w:hAnsi="ITC Avant Garde"/>
          <w:sz w:val="20"/>
          <w:szCs w:val="20"/>
        </w:rPr>
        <w:tab/>
      </w:r>
      <w:proofErr w:type="spellStart"/>
      <w:r w:rsidRPr="0086242B">
        <w:rPr>
          <w:rFonts w:ascii="ITC Avant Garde" w:hAnsi="ITC Avant Garde"/>
          <w:i/>
          <w:sz w:val="20"/>
          <w:szCs w:val="20"/>
        </w:rPr>
        <w:t>V</w:t>
      </w:r>
      <w:r w:rsidRPr="0086242B">
        <w:rPr>
          <w:rFonts w:ascii="ITC Avant Garde" w:hAnsi="ITC Avant Garde"/>
          <w:i/>
          <w:sz w:val="20"/>
          <w:szCs w:val="20"/>
          <w:vertAlign w:val="subscript"/>
        </w:rPr>
        <w:t>ant</w:t>
      </w:r>
      <w:proofErr w:type="spellEnd"/>
      <w:r w:rsidRPr="0086242B">
        <w:rPr>
          <w:rFonts w:ascii="ITC Avant Garde" w:hAnsi="ITC Avant Garde"/>
          <w:sz w:val="20"/>
          <w:szCs w:val="20"/>
          <w:vertAlign w:val="subscript"/>
        </w:rPr>
        <w:t xml:space="preserve"> </w:t>
      </w:r>
      <w:r w:rsidRPr="0086242B">
        <w:rPr>
          <w:rFonts w:ascii="ITC Avant Garde" w:hAnsi="ITC Avant Garde"/>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Voltaje de circuito abierto obtenido en las terminales de la antena [V].</w:t>
      </w:r>
    </w:p>
    <w:p w14:paraId="7896B551" w14:textId="77777777" w:rsidR="006B595F" w:rsidRPr="0086242B" w:rsidRDefault="006B595F" w:rsidP="006B595F">
      <w:pPr>
        <w:tabs>
          <w:tab w:val="left" w:pos="709"/>
          <w:tab w:val="left" w:pos="1260"/>
          <w:tab w:val="left" w:pos="1620"/>
        </w:tabs>
        <w:spacing w:line="360" w:lineRule="auto"/>
        <w:ind w:left="1418" w:hanging="1418"/>
        <w:rPr>
          <w:rFonts w:ascii="ITC Avant Garde" w:hAnsi="ITC Avant Garde"/>
          <w:sz w:val="20"/>
          <w:szCs w:val="20"/>
        </w:rPr>
      </w:pPr>
      <w:r w:rsidRPr="0086242B">
        <w:rPr>
          <w:rFonts w:ascii="ITC Avant Garde" w:hAnsi="ITC Avant Garde"/>
          <w:sz w:val="20"/>
          <w:szCs w:val="20"/>
        </w:rPr>
        <w:tab/>
      </w:r>
      <w:proofErr w:type="spellStart"/>
      <w:r w:rsidRPr="0086242B">
        <w:rPr>
          <w:rFonts w:ascii="ITC Avant Garde" w:hAnsi="ITC Avant Garde"/>
          <w:i/>
          <w:sz w:val="20"/>
          <w:szCs w:val="20"/>
        </w:rPr>
        <w:t>R</w:t>
      </w:r>
      <w:r w:rsidRPr="0086242B">
        <w:rPr>
          <w:rFonts w:ascii="ITC Avant Garde" w:hAnsi="ITC Avant Garde"/>
          <w:i/>
          <w:sz w:val="20"/>
          <w:szCs w:val="20"/>
          <w:vertAlign w:val="subscript"/>
        </w:rPr>
        <w:t>ent</w:t>
      </w:r>
      <w:proofErr w:type="spellEnd"/>
      <w:r w:rsidRPr="0086242B">
        <w:rPr>
          <w:rFonts w:ascii="ITC Avant Garde" w:hAnsi="ITC Avant Garde"/>
          <w:sz w:val="20"/>
          <w:szCs w:val="20"/>
          <w:vertAlign w:val="subscript"/>
        </w:rPr>
        <w:t xml:space="preserve"> </w:t>
      </w:r>
      <w:r w:rsidRPr="0086242B">
        <w:rPr>
          <w:rFonts w:ascii="ITC Avant Garde" w:hAnsi="ITC Avant Garde"/>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r>
      <w:r w:rsidRPr="0086242B">
        <w:rPr>
          <w:rFonts w:ascii="ITC Avant Garde" w:hAnsi="ITC Avant Garde"/>
          <w:sz w:val="20"/>
          <w:szCs w:val="20"/>
        </w:rPr>
        <w:tab/>
        <w:t>Resistencia de entrada del dipolo [</w:t>
      </w:r>
      <w:r w:rsidRPr="0086242B">
        <w:rPr>
          <w:rFonts w:ascii="Calibri" w:hAnsi="Calibri" w:cs="Calibri"/>
          <w:sz w:val="20"/>
          <w:szCs w:val="20"/>
        </w:rPr>
        <w:t>Ω</w:t>
      </w:r>
      <w:r w:rsidRPr="0086242B">
        <w:rPr>
          <w:rFonts w:ascii="ITC Avant Garde" w:hAnsi="ITC Avant Garde"/>
          <w:sz w:val="20"/>
          <w:szCs w:val="20"/>
        </w:rPr>
        <w:t>].</w:t>
      </w:r>
    </w:p>
    <w:p w14:paraId="48B6CF80" w14:textId="77777777" w:rsidR="006B595F" w:rsidRPr="0086242B" w:rsidRDefault="006B595F" w:rsidP="006B595F">
      <w:pPr>
        <w:spacing w:line="360" w:lineRule="auto"/>
        <w:jc w:val="both"/>
        <w:rPr>
          <w:rFonts w:ascii="ITC Avant Garde" w:hAnsi="ITC Avant Garde"/>
          <w:sz w:val="20"/>
          <w:szCs w:val="20"/>
        </w:rPr>
      </w:pPr>
    </w:p>
    <w:p w14:paraId="28432AB5" w14:textId="77777777" w:rsidR="006B595F" w:rsidRPr="0086242B" w:rsidRDefault="006B595F" w:rsidP="006B595F">
      <w:pPr>
        <w:pStyle w:val="Ttulo4"/>
        <w:keepLines w:val="0"/>
        <w:numPr>
          <w:ilvl w:val="3"/>
          <w:numId w:val="49"/>
        </w:numPr>
        <w:spacing w:before="240" w:after="60" w:line="240" w:lineRule="auto"/>
        <w:rPr>
          <w:rFonts w:ascii="ITC Avant Garde" w:hAnsi="ITC Avant Garde"/>
          <w:i w:val="0"/>
          <w:color w:val="auto"/>
          <w:sz w:val="22"/>
          <w:szCs w:val="22"/>
        </w:rPr>
      </w:pPr>
      <w:r w:rsidRPr="0086242B">
        <w:rPr>
          <w:rFonts w:ascii="ITC Avant Garde" w:hAnsi="ITC Avant Garde"/>
          <w:i w:val="0"/>
          <w:color w:val="auto"/>
          <w:sz w:val="22"/>
          <w:szCs w:val="22"/>
        </w:rPr>
        <w:t xml:space="preserve">Antena </w:t>
      </w:r>
      <w:proofErr w:type="spellStart"/>
      <w:r w:rsidRPr="0086242B">
        <w:rPr>
          <w:rFonts w:ascii="ITC Avant Garde" w:hAnsi="ITC Avant Garde"/>
          <w:i w:val="0"/>
          <w:color w:val="auto"/>
          <w:sz w:val="22"/>
          <w:szCs w:val="22"/>
        </w:rPr>
        <w:t>monopolo</w:t>
      </w:r>
      <w:proofErr w:type="spellEnd"/>
    </w:p>
    <w:p w14:paraId="33CA26FD" w14:textId="77777777" w:rsidR="006B595F" w:rsidRPr="0086242B" w:rsidRDefault="006B595F" w:rsidP="006B595F">
      <w:pPr>
        <w:rPr>
          <w:i/>
        </w:rPr>
      </w:pPr>
    </w:p>
    <w:p w14:paraId="6D468B74"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Los </w:t>
      </w:r>
      <w:proofErr w:type="spellStart"/>
      <w:r w:rsidRPr="0086242B">
        <w:rPr>
          <w:rFonts w:ascii="ITC Avant Garde" w:hAnsi="ITC Avant Garde"/>
          <w:sz w:val="20"/>
          <w:szCs w:val="20"/>
        </w:rPr>
        <w:t>monopolos</w:t>
      </w:r>
      <w:proofErr w:type="spellEnd"/>
      <w:r w:rsidRPr="0086242B">
        <w:rPr>
          <w:rFonts w:ascii="ITC Avant Garde" w:hAnsi="ITC Avant Garde"/>
          <w:sz w:val="20"/>
          <w:szCs w:val="20"/>
        </w:rPr>
        <w:t xml:space="preserve"> son apropiados para mediciones de campo entre unos 30 kHz y 300 MHz. Esta antena tiene un factor de antena que se puede aproximar con la siguiente ecuación:</w:t>
      </w:r>
    </w:p>
    <w:p w14:paraId="4660CF49" w14:textId="77777777" w:rsidR="006B595F" w:rsidRPr="0086242B" w:rsidRDefault="006B595F" w:rsidP="006B595F">
      <w:pPr>
        <w:jc w:val="both"/>
        <w:rPr>
          <w:rFonts w:ascii="ITC Avant Garde" w:hAnsi="ITC Avant Garde"/>
        </w:rPr>
      </w:pPr>
    </w:p>
    <w:p w14:paraId="0AFCFDF6" w14:textId="77777777" w:rsidR="006B595F" w:rsidRPr="0086242B" w:rsidRDefault="006B595F" w:rsidP="006B595F">
      <w:pPr>
        <w:pStyle w:val="Ecuacin"/>
        <w:rPr>
          <w:rFonts w:ascii="ITC Avant Garde" w:hAnsi="ITC Avant Garde"/>
          <w:sz w:val="20"/>
          <w:szCs w:val="20"/>
        </w:rPr>
      </w:pPr>
      <w:r w:rsidRPr="0086242B">
        <w:rPr>
          <w:rFonts w:ascii="ITC Avant Garde" w:hAnsi="ITC Avant Garde"/>
        </w:rPr>
        <w:tab/>
      </w:r>
      <w:r w:rsidR="00672004">
        <w:rPr>
          <w:rFonts w:ascii="ITC Avant Garde" w:hAnsi="ITC Avant Garde"/>
          <w:noProof/>
          <w:position w:val="-30"/>
          <w:lang w:val="es-MX" w:eastAsia="es-MX"/>
        </w:rPr>
        <w:drawing>
          <wp:inline distT="0" distB="0" distL="0" distR="0" wp14:anchorId="730607A9" wp14:editId="4960C26C">
            <wp:extent cx="1520190" cy="445135"/>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0190" cy="445135"/>
                    </a:xfrm>
                    <a:prstGeom prst="rect">
                      <a:avLst/>
                    </a:prstGeom>
                    <a:noFill/>
                    <a:ln>
                      <a:noFill/>
                    </a:ln>
                  </pic:spPr>
                </pic:pic>
              </a:graphicData>
            </a:graphic>
          </wp:inline>
        </w:drawing>
      </w:r>
      <w:r w:rsidRPr="0086242B">
        <w:rPr>
          <w:rFonts w:ascii="ITC Avant Garde" w:hAnsi="ITC Avant Garde"/>
        </w:rPr>
        <w:tab/>
      </w:r>
      <w:r w:rsidRPr="0086242B">
        <w:rPr>
          <w:rFonts w:ascii="ITC Avant Garde" w:hAnsi="ITC Avant Garde"/>
          <w:sz w:val="20"/>
          <w:szCs w:val="20"/>
        </w:rPr>
        <w:t>(8)</w:t>
      </w:r>
    </w:p>
    <w:p w14:paraId="26A78310"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En donde:</w:t>
      </w:r>
    </w:p>
    <w:p w14:paraId="035BB53D" w14:textId="77777777" w:rsidR="006B595F" w:rsidRPr="0086242B" w:rsidRDefault="006B595F" w:rsidP="006B595F">
      <w:pPr>
        <w:tabs>
          <w:tab w:val="left" w:pos="709"/>
          <w:tab w:val="left" w:pos="1260"/>
          <w:tab w:val="left" w:pos="1620"/>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FA</w:t>
      </w:r>
      <w:r w:rsidRPr="0086242B">
        <w:rPr>
          <w:rFonts w:ascii="ITC Avant Garde" w:hAnsi="ITC Avant Garde"/>
          <w:sz w:val="20"/>
          <w:szCs w:val="20"/>
        </w:rPr>
        <w:t xml:space="preserve"> </w:t>
      </w:r>
      <w:r w:rsidRPr="0086242B">
        <w:rPr>
          <w:rFonts w:ascii="ITC Avant Garde" w:hAnsi="ITC Avant Garde"/>
          <w:sz w:val="20"/>
          <w:szCs w:val="20"/>
        </w:rPr>
        <w:tab/>
        <w:t>=</w:t>
      </w:r>
      <w:r w:rsidRPr="0086242B">
        <w:rPr>
          <w:rFonts w:ascii="ITC Avant Garde" w:hAnsi="ITC Avant Garde"/>
          <w:sz w:val="20"/>
          <w:szCs w:val="20"/>
        </w:rPr>
        <w:tab/>
        <w:t>Factor de antena [1/m].</w:t>
      </w:r>
    </w:p>
    <w:p w14:paraId="70449004" w14:textId="77777777" w:rsidR="006B595F" w:rsidRPr="0086242B" w:rsidRDefault="006B595F" w:rsidP="006B595F">
      <w:pPr>
        <w:tabs>
          <w:tab w:val="left" w:pos="709"/>
          <w:tab w:val="left" w:pos="1260"/>
          <w:tab w:val="left" w:pos="1620"/>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E</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Intensidad del campo eléctrico incidente [V/m].</w:t>
      </w:r>
    </w:p>
    <w:p w14:paraId="1155E5C3" w14:textId="77777777" w:rsidR="006B595F" w:rsidRPr="0086242B" w:rsidRDefault="006B595F" w:rsidP="006B595F">
      <w:pPr>
        <w:tabs>
          <w:tab w:val="left" w:pos="709"/>
          <w:tab w:val="left" w:pos="1260"/>
          <w:tab w:val="left" w:pos="1620"/>
        </w:tabs>
        <w:spacing w:line="360" w:lineRule="auto"/>
        <w:rPr>
          <w:rFonts w:ascii="ITC Avant Garde" w:hAnsi="ITC Avant Garde"/>
          <w:sz w:val="20"/>
          <w:szCs w:val="20"/>
        </w:rPr>
      </w:pPr>
      <w:r w:rsidRPr="0086242B">
        <w:rPr>
          <w:rFonts w:ascii="ITC Avant Garde" w:hAnsi="ITC Avant Garde"/>
          <w:i/>
          <w:sz w:val="20"/>
          <w:szCs w:val="20"/>
        </w:rPr>
        <w:tab/>
      </w:r>
      <w:r w:rsidRPr="0086242B">
        <w:rPr>
          <w:rFonts w:ascii="Calibri" w:hAnsi="Calibri" w:cs="Calibri"/>
          <w:i/>
          <w:sz w:val="20"/>
          <w:szCs w:val="20"/>
        </w:rPr>
        <w:t>λ</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i/>
          <w:sz w:val="20"/>
          <w:szCs w:val="20"/>
        </w:rPr>
        <w:tab/>
      </w:r>
      <w:r w:rsidRPr="0086242B">
        <w:rPr>
          <w:rFonts w:ascii="ITC Avant Garde" w:hAnsi="ITC Avant Garde"/>
          <w:sz w:val="20"/>
          <w:szCs w:val="20"/>
        </w:rPr>
        <w:t>Longitud de onda [m].</w:t>
      </w:r>
    </w:p>
    <w:p w14:paraId="275C2A81" w14:textId="77777777" w:rsidR="006B595F" w:rsidRPr="0086242B" w:rsidRDefault="006B595F" w:rsidP="006B595F">
      <w:pPr>
        <w:tabs>
          <w:tab w:val="left" w:pos="709"/>
          <w:tab w:val="left" w:pos="1260"/>
          <w:tab w:val="left" w:pos="1620"/>
        </w:tabs>
        <w:spacing w:line="360" w:lineRule="auto"/>
        <w:ind w:left="1620" w:hanging="1620"/>
        <w:rPr>
          <w:rFonts w:ascii="ITC Avant Garde" w:hAnsi="ITC Avant Garde"/>
          <w:i/>
          <w:sz w:val="20"/>
          <w:szCs w:val="20"/>
        </w:rPr>
      </w:pPr>
      <w:r w:rsidRPr="0086242B">
        <w:rPr>
          <w:rFonts w:ascii="ITC Avant Garde" w:hAnsi="ITC Avant Garde"/>
          <w:sz w:val="20"/>
          <w:szCs w:val="20"/>
        </w:rPr>
        <w:tab/>
      </w:r>
      <w:r w:rsidRPr="0086242B">
        <w:rPr>
          <w:rFonts w:ascii="ITC Avant Garde" w:hAnsi="ITC Avant Garde"/>
          <w:i/>
          <w:sz w:val="20"/>
          <w:szCs w:val="20"/>
        </w:rPr>
        <w:t>h</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i/>
          <w:sz w:val="20"/>
          <w:szCs w:val="20"/>
        </w:rPr>
        <w:tab/>
      </w:r>
      <w:r w:rsidRPr="0086242B">
        <w:rPr>
          <w:rFonts w:ascii="ITC Avant Garde" w:hAnsi="ITC Avant Garde"/>
          <w:sz w:val="20"/>
          <w:szCs w:val="20"/>
        </w:rPr>
        <w:t xml:space="preserve">Altura física del </w:t>
      </w:r>
      <w:proofErr w:type="spellStart"/>
      <w:r w:rsidRPr="0086242B">
        <w:rPr>
          <w:rFonts w:ascii="ITC Avant Garde" w:hAnsi="ITC Avant Garde"/>
          <w:sz w:val="20"/>
          <w:szCs w:val="20"/>
        </w:rPr>
        <w:t>monopolo</w:t>
      </w:r>
      <w:proofErr w:type="spellEnd"/>
      <w:r w:rsidRPr="0086242B">
        <w:rPr>
          <w:rFonts w:ascii="ITC Avant Garde" w:hAnsi="ITC Avant Garde"/>
          <w:sz w:val="20"/>
          <w:szCs w:val="20"/>
        </w:rPr>
        <w:t xml:space="preserve"> [m]. (Esta altura debe cumplir la relación </w:t>
      </w:r>
      <w:r w:rsidRPr="0086242B">
        <w:rPr>
          <w:rFonts w:ascii="ITC Avant Garde" w:hAnsi="ITC Avant Garde"/>
          <w:i/>
          <w:sz w:val="20"/>
          <w:szCs w:val="20"/>
        </w:rPr>
        <w:t>h</w:t>
      </w:r>
      <w:r w:rsidRPr="0086242B">
        <w:rPr>
          <w:rFonts w:ascii="ITC Avant Garde" w:hAnsi="ITC Avant Garde"/>
          <w:sz w:val="20"/>
          <w:szCs w:val="20"/>
        </w:rPr>
        <w:t>&lt;</w:t>
      </w:r>
      <w:r w:rsidRPr="0086242B">
        <w:rPr>
          <w:rFonts w:ascii="Calibri" w:hAnsi="Calibri" w:cs="Calibri"/>
          <w:i/>
          <w:sz w:val="20"/>
          <w:szCs w:val="20"/>
        </w:rPr>
        <w:t>λ</w:t>
      </w:r>
      <w:r w:rsidRPr="0086242B">
        <w:rPr>
          <w:rFonts w:ascii="ITC Avant Garde" w:hAnsi="ITC Avant Garde"/>
          <w:sz w:val="20"/>
          <w:szCs w:val="20"/>
        </w:rPr>
        <w:t>/4).</w:t>
      </w:r>
    </w:p>
    <w:p w14:paraId="15D76757" w14:textId="77777777" w:rsidR="006B595F" w:rsidRPr="0086242B" w:rsidRDefault="006B595F" w:rsidP="006B595F">
      <w:pPr>
        <w:tabs>
          <w:tab w:val="left" w:pos="709"/>
          <w:tab w:val="left" w:pos="1260"/>
          <w:tab w:val="left" w:pos="1620"/>
        </w:tabs>
        <w:spacing w:line="360" w:lineRule="auto"/>
        <w:rPr>
          <w:rFonts w:ascii="ITC Avant Garde" w:hAnsi="ITC Avant Garde"/>
          <w:sz w:val="20"/>
          <w:szCs w:val="20"/>
          <w:vertAlign w:val="subscript"/>
        </w:rPr>
      </w:pPr>
      <w:r w:rsidRPr="0086242B">
        <w:rPr>
          <w:rFonts w:ascii="ITC Avant Garde" w:hAnsi="ITC Avant Garde"/>
          <w:sz w:val="20"/>
          <w:szCs w:val="20"/>
        </w:rPr>
        <w:tab/>
      </w:r>
      <w:proofErr w:type="spellStart"/>
      <w:r w:rsidRPr="0086242B">
        <w:rPr>
          <w:rFonts w:ascii="ITC Avant Garde" w:hAnsi="ITC Avant Garde"/>
          <w:i/>
          <w:sz w:val="20"/>
          <w:szCs w:val="20"/>
        </w:rPr>
        <w:t>V</w:t>
      </w:r>
      <w:r w:rsidRPr="0086242B">
        <w:rPr>
          <w:rFonts w:ascii="ITC Avant Garde" w:hAnsi="ITC Avant Garde"/>
          <w:i/>
          <w:sz w:val="20"/>
          <w:szCs w:val="20"/>
          <w:vertAlign w:val="subscript"/>
        </w:rPr>
        <w:t>ant</w:t>
      </w:r>
      <w:proofErr w:type="spellEnd"/>
      <w:r w:rsidRPr="0086242B">
        <w:rPr>
          <w:rFonts w:ascii="ITC Avant Garde" w:hAnsi="ITC Avant Garde"/>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Voltaje de circuito abierto obtenido en las terminales de la antena [V].</w:t>
      </w:r>
    </w:p>
    <w:p w14:paraId="03A42B3B" w14:textId="77777777" w:rsidR="006B595F" w:rsidRPr="0086242B" w:rsidRDefault="006B595F" w:rsidP="006B595F">
      <w:pPr>
        <w:spacing w:line="360" w:lineRule="auto"/>
        <w:jc w:val="both"/>
        <w:rPr>
          <w:rFonts w:ascii="ITC Avant Garde" w:hAnsi="ITC Avant Garde"/>
          <w:sz w:val="20"/>
          <w:szCs w:val="20"/>
        </w:rPr>
      </w:pPr>
    </w:p>
    <w:p w14:paraId="4C1B39DE" w14:textId="77777777" w:rsidR="006B595F" w:rsidRPr="0086242B" w:rsidRDefault="006B595F" w:rsidP="006B595F">
      <w:pPr>
        <w:pStyle w:val="Ttulo4"/>
        <w:keepLines w:val="0"/>
        <w:numPr>
          <w:ilvl w:val="3"/>
          <w:numId w:val="49"/>
        </w:numPr>
        <w:spacing w:before="240" w:after="60" w:line="240" w:lineRule="auto"/>
        <w:rPr>
          <w:rFonts w:ascii="ITC Avant Garde" w:hAnsi="ITC Avant Garde"/>
          <w:i w:val="0"/>
          <w:color w:val="auto"/>
          <w:sz w:val="22"/>
          <w:szCs w:val="22"/>
        </w:rPr>
      </w:pPr>
      <w:r w:rsidRPr="0086242B">
        <w:rPr>
          <w:rFonts w:ascii="ITC Avant Garde" w:hAnsi="ITC Avant Garde"/>
          <w:i w:val="0"/>
          <w:color w:val="auto"/>
          <w:sz w:val="22"/>
          <w:szCs w:val="22"/>
        </w:rPr>
        <w:t>Antenas para altas frecuencias</w:t>
      </w:r>
    </w:p>
    <w:p w14:paraId="4B87E5C5" w14:textId="77777777" w:rsidR="006B595F" w:rsidRPr="0086242B" w:rsidRDefault="006B595F" w:rsidP="006B595F">
      <w:pPr>
        <w:rPr>
          <w:i/>
        </w:rPr>
      </w:pPr>
    </w:p>
    <w:p w14:paraId="37869487"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Para las frecuencias del extremo superior del espectro entre 200 MHz y 100 GHz, se utilizan otro tipo de antenas, como la antena </w:t>
      </w:r>
      <w:proofErr w:type="spellStart"/>
      <w:r w:rsidRPr="0086242B">
        <w:rPr>
          <w:rFonts w:ascii="ITC Avant Garde" w:hAnsi="ITC Avant Garde"/>
          <w:sz w:val="20"/>
          <w:szCs w:val="20"/>
        </w:rPr>
        <w:t>bicónica</w:t>
      </w:r>
      <w:proofErr w:type="spellEnd"/>
      <w:r w:rsidRPr="0086242B">
        <w:rPr>
          <w:rFonts w:ascii="ITC Avant Garde" w:hAnsi="ITC Avant Garde"/>
          <w:sz w:val="20"/>
          <w:szCs w:val="20"/>
        </w:rPr>
        <w:t xml:space="preserve">, la antena logarítmica periódica dipolar, dipolos con reflectores de esquina o parabólicos y la antena de corneta. </w:t>
      </w:r>
    </w:p>
    <w:p w14:paraId="40FCD057" w14:textId="77777777" w:rsidR="006B595F" w:rsidRPr="0086242B" w:rsidRDefault="006B595F" w:rsidP="006B595F">
      <w:pPr>
        <w:spacing w:line="360" w:lineRule="auto"/>
        <w:jc w:val="both"/>
        <w:rPr>
          <w:rFonts w:ascii="ITC Avant Garde" w:hAnsi="ITC Avant Garde"/>
          <w:sz w:val="20"/>
          <w:szCs w:val="20"/>
        </w:rPr>
      </w:pPr>
    </w:p>
    <w:p w14:paraId="3DD17684"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Todo equipo de medición, así como los sensores que formen parte de un sistema de medición de campos electromagnéticos deberán contar con un certificado de calibración vigente expedido por el Centro Nacional de Metrología o un informe emitido por un laboratorio de calibración acreditado y aprobado en términos de la Ley Federal sobre Metrología y Normalización y su Reglamento.</w:t>
      </w:r>
    </w:p>
    <w:p w14:paraId="27BC88C9" w14:textId="77777777" w:rsidR="006B595F" w:rsidRPr="0086242B" w:rsidRDefault="006B595F" w:rsidP="006B595F">
      <w:pPr>
        <w:jc w:val="both"/>
        <w:rPr>
          <w:rFonts w:ascii="ITC Avant Garde" w:hAnsi="ITC Avant Garde"/>
        </w:rPr>
      </w:pPr>
    </w:p>
    <w:p w14:paraId="06D850E7" w14:textId="77777777" w:rsidR="006B595F" w:rsidRPr="0086242B" w:rsidRDefault="006B595F" w:rsidP="006B595F">
      <w:pPr>
        <w:jc w:val="both"/>
        <w:rPr>
          <w:rFonts w:ascii="ITC Avant Garde" w:hAnsi="ITC Avant Garde"/>
        </w:rPr>
      </w:pPr>
    </w:p>
    <w:p w14:paraId="33A46524" w14:textId="77777777" w:rsidR="006B595F" w:rsidRPr="0086242B" w:rsidRDefault="006B595F" w:rsidP="006B595F">
      <w:pPr>
        <w:pStyle w:val="Ttulo2"/>
        <w:numPr>
          <w:ilvl w:val="1"/>
          <w:numId w:val="49"/>
        </w:numPr>
        <w:spacing w:before="120"/>
        <w:jc w:val="both"/>
        <w:rPr>
          <w:rFonts w:ascii="ITC Avant Garde" w:hAnsi="ITC Avant Garde"/>
          <w:i w:val="0"/>
          <w:sz w:val="22"/>
          <w:szCs w:val="22"/>
        </w:rPr>
      </w:pPr>
      <w:bookmarkStart w:id="24" w:name="_Toc414444604"/>
      <w:r w:rsidRPr="0086242B">
        <w:rPr>
          <w:rFonts w:ascii="ITC Avant Garde" w:hAnsi="ITC Avant Garde"/>
          <w:i w:val="0"/>
          <w:sz w:val="22"/>
          <w:szCs w:val="22"/>
        </w:rPr>
        <w:t>Medición de los niveles de exposición.</w:t>
      </w:r>
      <w:bookmarkEnd w:id="24"/>
      <w:r w:rsidRPr="0086242B">
        <w:rPr>
          <w:rFonts w:ascii="ITC Avant Garde" w:hAnsi="ITC Avant Garde"/>
          <w:i w:val="0"/>
          <w:sz w:val="22"/>
          <w:szCs w:val="22"/>
        </w:rPr>
        <w:t xml:space="preserve"> </w:t>
      </w:r>
    </w:p>
    <w:p w14:paraId="44C8EAE6" w14:textId="77777777" w:rsidR="006B595F" w:rsidRPr="0086242B" w:rsidRDefault="006B595F" w:rsidP="006B595F">
      <w:pPr>
        <w:pStyle w:val="Ttulo3"/>
        <w:keepLines w:val="0"/>
        <w:numPr>
          <w:ilvl w:val="2"/>
          <w:numId w:val="49"/>
        </w:numPr>
        <w:spacing w:before="240" w:after="60" w:line="240" w:lineRule="auto"/>
        <w:rPr>
          <w:rFonts w:ascii="ITC Avant Garde" w:hAnsi="ITC Avant Garde"/>
          <w:color w:val="auto"/>
          <w:sz w:val="22"/>
          <w:szCs w:val="22"/>
        </w:rPr>
      </w:pPr>
      <w:bookmarkStart w:id="25" w:name="_Toc414444605"/>
      <w:r w:rsidRPr="0086242B">
        <w:rPr>
          <w:rFonts w:ascii="ITC Avant Garde" w:hAnsi="ITC Avant Garde"/>
          <w:color w:val="auto"/>
          <w:sz w:val="22"/>
          <w:szCs w:val="22"/>
        </w:rPr>
        <w:t>Consideraciones preliminares a la medición de campos electromagnéticos.</w:t>
      </w:r>
      <w:bookmarkEnd w:id="25"/>
    </w:p>
    <w:p w14:paraId="6AE844B5" w14:textId="77777777" w:rsidR="006B595F" w:rsidRPr="0086242B" w:rsidRDefault="006B595F" w:rsidP="006B595F">
      <w:pPr>
        <w:pStyle w:val="Ttulo4"/>
        <w:keepLines w:val="0"/>
        <w:numPr>
          <w:ilvl w:val="3"/>
          <w:numId w:val="49"/>
        </w:numPr>
        <w:spacing w:before="240" w:after="60" w:line="240" w:lineRule="auto"/>
        <w:rPr>
          <w:rFonts w:ascii="ITC Avant Garde" w:hAnsi="ITC Avant Garde"/>
          <w:i w:val="0"/>
          <w:color w:val="auto"/>
          <w:sz w:val="22"/>
          <w:szCs w:val="22"/>
        </w:rPr>
      </w:pPr>
      <w:r w:rsidRPr="0086242B">
        <w:rPr>
          <w:rFonts w:ascii="ITC Avant Garde" w:hAnsi="ITC Avant Garde"/>
          <w:i w:val="0"/>
          <w:color w:val="auto"/>
          <w:sz w:val="22"/>
          <w:szCs w:val="22"/>
        </w:rPr>
        <w:t>Selección del tipo de instrumentación requerida</w:t>
      </w:r>
    </w:p>
    <w:p w14:paraId="6BA0B4B5"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Para </w:t>
      </w:r>
      <w:proofErr w:type="gramStart"/>
      <w:r w:rsidRPr="0086242B">
        <w:rPr>
          <w:rFonts w:ascii="ITC Avant Garde" w:hAnsi="ITC Avant Garde"/>
          <w:sz w:val="20"/>
          <w:szCs w:val="20"/>
        </w:rPr>
        <w:t>seleccionar  los</w:t>
      </w:r>
      <w:proofErr w:type="gramEnd"/>
      <w:r w:rsidRPr="0086242B">
        <w:rPr>
          <w:rFonts w:ascii="ITC Avant Garde" w:hAnsi="ITC Avant Garde"/>
          <w:sz w:val="20"/>
          <w:szCs w:val="20"/>
        </w:rPr>
        <w:t xml:space="preserve"> componentes del sistema de medición de campos electromagnéticos se deberán tomar en cuenta las siguientes consideraciones generales:</w:t>
      </w:r>
    </w:p>
    <w:p w14:paraId="0F4185C2" w14:textId="77777777" w:rsidR="006B595F" w:rsidRPr="0086242B" w:rsidRDefault="006B595F" w:rsidP="006B595F">
      <w:pPr>
        <w:spacing w:line="360" w:lineRule="auto"/>
        <w:ind w:left="720"/>
        <w:jc w:val="both"/>
        <w:rPr>
          <w:rFonts w:ascii="ITC Avant Garde" w:hAnsi="ITC Avant Garde"/>
          <w:sz w:val="20"/>
          <w:szCs w:val="20"/>
        </w:rPr>
      </w:pPr>
    </w:p>
    <w:p w14:paraId="5FB51CA5" w14:textId="77777777" w:rsidR="006B595F" w:rsidRPr="0086242B" w:rsidRDefault="006B595F" w:rsidP="006B595F">
      <w:pPr>
        <w:pStyle w:val="Prrafodelista"/>
        <w:numPr>
          <w:ilvl w:val="0"/>
          <w:numId w:val="7"/>
        </w:numPr>
        <w:spacing w:line="360" w:lineRule="auto"/>
        <w:jc w:val="both"/>
        <w:rPr>
          <w:rFonts w:ascii="ITC Avant Garde" w:hAnsi="ITC Avant Garde"/>
          <w:sz w:val="20"/>
          <w:szCs w:val="20"/>
        </w:rPr>
      </w:pPr>
      <w:r w:rsidRPr="0086242B">
        <w:rPr>
          <w:rFonts w:ascii="ITC Avant Garde" w:hAnsi="ITC Avant Garde"/>
          <w:b/>
          <w:sz w:val="20"/>
          <w:szCs w:val="20"/>
        </w:rPr>
        <w:t>Frecuencia.-</w:t>
      </w:r>
      <w:r w:rsidRPr="0086242B">
        <w:rPr>
          <w:rFonts w:ascii="ITC Avant Garde" w:hAnsi="ITC Avant Garde"/>
          <w:sz w:val="20"/>
          <w:szCs w:val="20"/>
        </w:rPr>
        <w:t xml:space="preserve"> El contenido de frecuencias del emisor debe ser conocido con antelación para así seleccionar los componentes del sistema de medición de campos electromagnéticos. Si existen varias frecuencias en el contenido espectral de la señal emitida será necesario utilizar dispositivos con el ancho de banda apropiado y que indiquen su medición en valores </w:t>
      </w:r>
      <w:proofErr w:type="spellStart"/>
      <w:r w:rsidRPr="0086242B">
        <w:rPr>
          <w:rFonts w:ascii="ITC Avant Garde" w:hAnsi="ITC Avant Garde"/>
          <w:sz w:val="20"/>
          <w:szCs w:val="20"/>
        </w:rPr>
        <w:t>rms</w:t>
      </w:r>
      <w:proofErr w:type="spellEnd"/>
      <w:r w:rsidRPr="0086242B">
        <w:rPr>
          <w:rFonts w:ascii="ITC Avant Garde" w:hAnsi="ITC Avant Garde"/>
          <w:sz w:val="20"/>
          <w:szCs w:val="20"/>
        </w:rPr>
        <w:t xml:space="preserve"> verdaderos. Si el contenido espectral de la señal no se puede identificar previamente, es necesario utilizar un analizador de espectro que permita identificar el contenido de las señales en el dominio de la frecuencia.</w:t>
      </w:r>
    </w:p>
    <w:p w14:paraId="4218D67C" w14:textId="77777777" w:rsidR="006B595F" w:rsidRPr="0086242B" w:rsidRDefault="006B595F" w:rsidP="006B595F">
      <w:pPr>
        <w:pStyle w:val="Prrafodelista"/>
        <w:spacing w:line="360" w:lineRule="auto"/>
        <w:jc w:val="both"/>
        <w:rPr>
          <w:rFonts w:ascii="ITC Avant Garde" w:hAnsi="ITC Avant Garde"/>
          <w:sz w:val="20"/>
          <w:szCs w:val="20"/>
        </w:rPr>
      </w:pPr>
    </w:p>
    <w:p w14:paraId="4DE92624" w14:textId="77777777" w:rsidR="006B595F" w:rsidRPr="0086242B" w:rsidRDefault="006B595F" w:rsidP="006B595F">
      <w:pPr>
        <w:numPr>
          <w:ilvl w:val="0"/>
          <w:numId w:val="7"/>
        </w:numPr>
        <w:spacing w:line="360" w:lineRule="auto"/>
        <w:jc w:val="both"/>
        <w:rPr>
          <w:rFonts w:ascii="ITC Avant Garde" w:hAnsi="ITC Avant Garde"/>
          <w:sz w:val="20"/>
          <w:szCs w:val="20"/>
        </w:rPr>
      </w:pPr>
      <w:r w:rsidRPr="0086242B">
        <w:rPr>
          <w:rFonts w:ascii="ITC Avant Garde" w:hAnsi="ITC Avant Garde"/>
          <w:b/>
          <w:sz w:val="20"/>
          <w:szCs w:val="20"/>
        </w:rPr>
        <w:t>Tiempo de respuesta.-</w:t>
      </w:r>
      <w:r w:rsidRPr="0086242B">
        <w:rPr>
          <w:rFonts w:ascii="ITC Avant Garde" w:hAnsi="ITC Avant Garde"/>
          <w:sz w:val="20"/>
          <w:szCs w:val="20"/>
        </w:rPr>
        <w:t xml:space="preserve"> Es importante comenzar las mediciones con un instrumento que tenga o pueda ajustarse a un tiempo de respuesta menor a 1 segundo. De esta forma, se puede obtener una medición preliminar aproximada de cualquier fuente e incluso identificar una fuente intermitente. La funcionalidad de detección del pico máximo de la señal, disponible en varios instrumentos, puede proporcionar una indicación exacta de impulsos de energía de RF moderadamente rápidos (algunos milisegundos) que puedan estar presentes. Una vez que se localiza la zona con la mayor intensidad de campo, se procede a utilizar un instrumento con un tiempo de respuesta mayor (3 segundos o más) para obtener los valores de intensidad de campo promediados en el tiempo. Si el sistema de medición indica que existen fuentes intermitentes, es necesario obtener el promedio por un método diferente al que utiliza el instrumento, de tal forma que los resultados sean los correctos. Para esto es deseable contar con equipos de medición que tengan funciones de grabación de varios datos o un sistema de adquisición de datos adjunto.</w:t>
      </w:r>
    </w:p>
    <w:p w14:paraId="04691DC8" w14:textId="77777777" w:rsidR="006B595F" w:rsidRPr="0086242B" w:rsidRDefault="006B595F" w:rsidP="006B595F">
      <w:pPr>
        <w:spacing w:line="360" w:lineRule="auto"/>
        <w:ind w:left="720"/>
        <w:jc w:val="both"/>
        <w:rPr>
          <w:rFonts w:ascii="ITC Avant Garde" w:hAnsi="ITC Avant Garde"/>
          <w:sz w:val="20"/>
          <w:szCs w:val="20"/>
        </w:rPr>
      </w:pPr>
    </w:p>
    <w:p w14:paraId="4FA827F2" w14:textId="77777777" w:rsidR="006B595F" w:rsidRPr="0086242B" w:rsidRDefault="006B595F" w:rsidP="006B595F">
      <w:pPr>
        <w:numPr>
          <w:ilvl w:val="0"/>
          <w:numId w:val="7"/>
        </w:numPr>
        <w:spacing w:line="360" w:lineRule="auto"/>
        <w:jc w:val="both"/>
        <w:rPr>
          <w:rFonts w:ascii="ITC Avant Garde" w:hAnsi="ITC Avant Garde"/>
          <w:sz w:val="20"/>
          <w:szCs w:val="20"/>
        </w:rPr>
      </w:pPr>
      <w:r w:rsidRPr="0086242B">
        <w:rPr>
          <w:rFonts w:ascii="ITC Avant Garde" w:hAnsi="ITC Avant Garde"/>
          <w:b/>
          <w:sz w:val="20"/>
          <w:szCs w:val="20"/>
        </w:rPr>
        <w:t>Nivel máximo aceptable de entrada.-</w:t>
      </w:r>
      <w:r w:rsidRPr="0086242B">
        <w:rPr>
          <w:rFonts w:ascii="ITC Avant Garde" w:hAnsi="ITC Avant Garde"/>
          <w:sz w:val="20"/>
          <w:szCs w:val="20"/>
        </w:rPr>
        <w:t xml:space="preserve"> Es importante conocer este dato con anticipación a fin de evitar daños en los sensores, especialmente cuando estén presentes campos pulsantes de alta potencia y bajo ciclo de trabajo.</w:t>
      </w:r>
    </w:p>
    <w:p w14:paraId="011141CA" w14:textId="77777777" w:rsidR="006B595F" w:rsidRPr="0086242B" w:rsidRDefault="006B595F" w:rsidP="006B595F">
      <w:pPr>
        <w:spacing w:line="360" w:lineRule="auto"/>
        <w:jc w:val="both"/>
        <w:rPr>
          <w:rFonts w:ascii="ITC Avant Garde" w:hAnsi="ITC Avant Garde"/>
          <w:sz w:val="20"/>
          <w:szCs w:val="20"/>
        </w:rPr>
      </w:pPr>
    </w:p>
    <w:p w14:paraId="0E1591D1" w14:textId="77777777" w:rsidR="006B595F" w:rsidRPr="0086242B" w:rsidRDefault="006B595F" w:rsidP="006B595F">
      <w:pPr>
        <w:numPr>
          <w:ilvl w:val="0"/>
          <w:numId w:val="7"/>
        </w:numPr>
        <w:spacing w:line="360" w:lineRule="auto"/>
        <w:jc w:val="both"/>
        <w:rPr>
          <w:rFonts w:ascii="ITC Avant Garde" w:hAnsi="ITC Avant Garde"/>
          <w:sz w:val="20"/>
          <w:szCs w:val="20"/>
        </w:rPr>
      </w:pPr>
      <w:r w:rsidRPr="0086242B">
        <w:rPr>
          <w:rFonts w:ascii="ITC Avant Garde" w:hAnsi="ITC Avant Garde"/>
          <w:b/>
          <w:sz w:val="20"/>
          <w:szCs w:val="20"/>
        </w:rPr>
        <w:t>Polarización.-</w:t>
      </w:r>
      <w:r w:rsidRPr="0086242B">
        <w:rPr>
          <w:rFonts w:ascii="ITC Avant Garde" w:hAnsi="ITC Avant Garde"/>
          <w:sz w:val="20"/>
          <w:szCs w:val="20"/>
        </w:rPr>
        <w:t xml:space="preserve"> Si se conoce el tipo de polarización del campo que se va a medir, es posible utilizar un sensor no isotrópico que solamente debe orientarse para recibir el máximo de la señal. Si la polarización no se conoce o el campo es relativamente complejo, será necesario utilizar un sensor isotrópico para evitar errores de medición, además de que permite realizar las mediciones en menor tiempo.</w:t>
      </w:r>
    </w:p>
    <w:p w14:paraId="6C87B193" w14:textId="77777777" w:rsidR="006B595F" w:rsidRPr="0086242B" w:rsidRDefault="006B595F" w:rsidP="006B595F">
      <w:pPr>
        <w:spacing w:line="360" w:lineRule="auto"/>
        <w:jc w:val="both"/>
        <w:rPr>
          <w:rFonts w:ascii="ITC Avant Garde" w:hAnsi="ITC Avant Garde"/>
          <w:sz w:val="20"/>
          <w:szCs w:val="20"/>
        </w:rPr>
      </w:pPr>
    </w:p>
    <w:p w14:paraId="2CB45804" w14:textId="77777777" w:rsidR="006B595F" w:rsidRPr="0086242B" w:rsidRDefault="006B595F" w:rsidP="006B595F">
      <w:pPr>
        <w:numPr>
          <w:ilvl w:val="0"/>
          <w:numId w:val="7"/>
        </w:numPr>
        <w:spacing w:line="360" w:lineRule="auto"/>
        <w:jc w:val="both"/>
        <w:rPr>
          <w:rFonts w:ascii="ITC Avant Garde" w:hAnsi="ITC Avant Garde"/>
          <w:sz w:val="20"/>
          <w:szCs w:val="20"/>
        </w:rPr>
      </w:pPr>
      <w:r w:rsidRPr="0086242B">
        <w:rPr>
          <w:rFonts w:ascii="ITC Avant Garde" w:hAnsi="ITC Avant Garde"/>
          <w:b/>
          <w:sz w:val="20"/>
          <w:szCs w:val="20"/>
        </w:rPr>
        <w:t>Intervalo dinámico.-</w:t>
      </w:r>
      <w:r w:rsidRPr="0086242B">
        <w:rPr>
          <w:rFonts w:ascii="ITC Avant Garde" w:hAnsi="ITC Avant Garde"/>
          <w:sz w:val="20"/>
          <w:szCs w:val="20"/>
        </w:rPr>
        <w:t xml:space="preserve"> También es importante saber el máximo intervalo de amplitud de las señales que se esperan medir. De esta forma, se podrá seleccionar un instrumento que no se llegue a dañar por intensidades de campo de gran amplitud y al mismo tiempo, que este instrumento sea sensible también para mantener una relación señal a ruido adecuada para las intensidades de campo más bajas que se pueden esperar en las mediciones.</w:t>
      </w:r>
    </w:p>
    <w:p w14:paraId="1DA15A36" w14:textId="77777777" w:rsidR="006B595F" w:rsidRPr="0086242B" w:rsidRDefault="006B595F" w:rsidP="006B595F">
      <w:pPr>
        <w:pStyle w:val="Prrafodelista"/>
        <w:rPr>
          <w:rFonts w:ascii="ITC Avant Garde" w:hAnsi="ITC Avant Garde"/>
          <w:sz w:val="20"/>
          <w:szCs w:val="20"/>
        </w:rPr>
      </w:pPr>
    </w:p>
    <w:p w14:paraId="520E8B67" w14:textId="77777777" w:rsidR="006B595F" w:rsidRPr="0086242B" w:rsidRDefault="006B595F" w:rsidP="006B595F">
      <w:pPr>
        <w:spacing w:line="360" w:lineRule="auto"/>
        <w:ind w:left="720"/>
        <w:jc w:val="both"/>
        <w:rPr>
          <w:rFonts w:ascii="ITC Avant Garde" w:hAnsi="ITC Avant Garde"/>
          <w:sz w:val="20"/>
          <w:szCs w:val="20"/>
        </w:rPr>
      </w:pPr>
    </w:p>
    <w:p w14:paraId="1306DAB1" w14:textId="77777777" w:rsidR="006B595F" w:rsidRPr="0086242B" w:rsidRDefault="006B595F" w:rsidP="006B595F">
      <w:pPr>
        <w:numPr>
          <w:ilvl w:val="0"/>
          <w:numId w:val="7"/>
        </w:numPr>
        <w:spacing w:line="360" w:lineRule="auto"/>
        <w:jc w:val="both"/>
        <w:rPr>
          <w:rFonts w:ascii="ITC Avant Garde" w:hAnsi="ITC Avant Garde"/>
          <w:sz w:val="20"/>
          <w:szCs w:val="20"/>
        </w:rPr>
      </w:pPr>
      <w:r w:rsidRPr="0086242B">
        <w:rPr>
          <w:rFonts w:ascii="ITC Avant Garde" w:hAnsi="ITC Avant Garde"/>
          <w:b/>
          <w:sz w:val="20"/>
          <w:szCs w:val="20"/>
        </w:rPr>
        <w:t>Capacidad para la medición de campos cercanos.-</w:t>
      </w:r>
      <w:r w:rsidRPr="0086242B">
        <w:rPr>
          <w:rFonts w:ascii="ITC Avant Garde" w:hAnsi="ITC Avant Garde"/>
          <w:sz w:val="20"/>
          <w:szCs w:val="20"/>
        </w:rPr>
        <w:t xml:space="preserve"> Si existen situaciones en que se esté en las cercanías de un emisor no intencional de campos que produce radiaciones parásitas por fugas no deseables de la señal (como las que se podrían originar por guías de onda rotas) o se está en una zona donde predomina el campo cercano del emisor, será necesario seleccionar un instrumento para la medición de campos electromagnéticos en condiciones de campo cercano.</w:t>
      </w:r>
    </w:p>
    <w:p w14:paraId="09007DD7" w14:textId="77777777" w:rsidR="006B595F" w:rsidRPr="0086242B" w:rsidRDefault="006B595F" w:rsidP="006B595F">
      <w:pPr>
        <w:pStyle w:val="Ttulo3"/>
        <w:keepLines w:val="0"/>
        <w:numPr>
          <w:ilvl w:val="2"/>
          <w:numId w:val="49"/>
        </w:numPr>
        <w:spacing w:before="240" w:after="60" w:line="240" w:lineRule="auto"/>
        <w:rPr>
          <w:rFonts w:ascii="ITC Avant Garde" w:hAnsi="ITC Avant Garde"/>
          <w:color w:val="auto"/>
          <w:sz w:val="22"/>
          <w:szCs w:val="22"/>
        </w:rPr>
      </w:pPr>
      <w:bookmarkStart w:id="26" w:name="_Toc414444606"/>
      <w:r w:rsidRPr="0086242B">
        <w:rPr>
          <w:rFonts w:ascii="ITC Avant Garde" w:hAnsi="ITC Avant Garde"/>
          <w:color w:val="auto"/>
          <w:sz w:val="22"/>
          <w:szCs w:val="22"/>
        </w:rPr>
        <w:t>Consideraciones de seguridad.</w:t>
      </w:r>
      <w:bookmarkEnd w:id="26"/>
    </w:p>
    <w:p w14:paraId="72E843CB" w14:textId="77777777" w:rsidR="006B595F" w:rsidRPr="0086242B" w:rsidRDefault="006B595F" w:rsidP="006B595F">
      <w:pPr>
        <w:spacing w:line="360" w:lineRule="auto"/>
        <w:jc w:val="both"/>
        <w:rPr>
          <w:rFonts w:ascii="ITC Avant Garde" w:hAnsi="ITC Avant Garde"/>
          <w:sz w:val="20"/>
          <w:szCs w:val="20"/>
        </w:rPr>
      </w:pPr>
    </w:p>
    <w:p w14:paraId="537DC6C5"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Es importante que, antes y durante el proceso de medición se consideren los riesgos potenciales no asociados directamente con dicho proceso y las precauciones durante el desarrollo del mismo relacionado con el equipo electrónico o el sistema que está siendo evaluado. Ver Apéndice B.</w:t>
      </w:r>
    </w:p>
    <w:p w14:paraId="1B3F4F82" w14:textId="77777777" w:rsidR="006B595F" w:rsidRPr="0086242B" w:rsidRDefault="006B595F" w:rsidP="006B595F">
      <w:pPr>
        <w:pStyle w:val="Ttulo3"/>
        <w:keepLines w:val="0"/>
        <w:numPr>
          <w:ilvl w:val="2"/>
          <w:numId w:val="49"/>
        </w:numPr>
        <w:spacing w:before="240" w:after="60" w:line="240" w:lineRule="auto"/>
        <w:rPr>
          <w:rFonts w:ascii="ITC Avant Garde" w:hAnsi="ITC Avant Garde"/>
          <w:color w:val="auto"/>
          <w:sz w:val="22"/>
          <w:szCs w:val="22"/>
        </w:rPr>
      </w:pPr>
      <w:bookmarkStart w:id="27" w:name="_Toc414444607"/>
      <w:r w:rsidRPr="0086242B">
        <w:rPr>
          <w:rFonts w:ascii="ITC Avant Garde" w:hAnsi="ITC Avant Garde"/>
          <w:color w:val="auto"/>
          <w:sz w:val="22"/>
          <w:szCs w:val="22"/>
        </w:rPr>
        <w:t>Procedimientos de medición</w:t>
      </w:r>
      <w:bookmarkEnd w:id="27"/>
    </w:p>
    <w:p w14:paraId="66D9DCD4" w14:textId="77777777" w:rsidR="006B595F" w:rsidRPr="0086242B" w:rsidRDefault="006B595F" w:rsidP="006B595F">
      <w:pPr>
        <w:pStyle w:val="Ttulo4"/>
        <w:keepLines w:val="0"/>
        <w:numPr>
          <w:ilvl w:val="3"/>
          <w:numId w:val="49"/>
        </w:numPr>
        <w:spacing w:before="240" w:after="60" w:line="240" w:lineRule="auto"/>
        <w:rPr>
          <w:rFonts w:ascii="ITC Avant Garde" w:hAnsi="ITC Avant Garde"/>
          <w:i w:val="0"/>
          <w:color w:val="auto"/>
          <w:sz w:val="22"/>
          <w:szCs w:val="22"/>
        </w:rPr>
      </w:pPr>
      <w:r w:rsidRPr="0086242B">
        <w:rPr>
          <w:rFonts w:ascii="ITC Avant Garde" w:hAnsi="ITC Avant Garde"/>
          <w:i w:val="0"/>
          <w:color w:val="auto"/>
          <w:sz w:val="22"/>
          <w:szCs w:val="22"/>
        </w:rPr>
        <w:t>Consideraciones generales</w:t>
      </w:r>
    </w:p>
    <w:p w14:paraId="4EF9B078" w14:textId="77777777" w:rsidR="006B595F" w:rsidRPr="0086242B" w:rsidRDefault="006B595F" w:rsidP="006B595F">
      <w:pPr>
        <w:rPr>
          <w:i/>
        </w:rPr>
      </w:pPr>
    </w:p>
    <w:p w14:paraId="5BF3C44F"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Las estaciones de radiocomunicaciones deberán estar funcionando bajo condiciones de operación normal. </w:t>
      </w:r>
    </w:p>
    <w:p w14:paraId="31BEE6F0" w14:textId="77777777" w:rsidR="006B595F" w:rsidRPr="0086242B" w:rsidRDefault="006B595F" w:rsidP="006B595F">
      <w:pPr>
        <w:spacing w:line="360" w:lineRule="auto"/>
        <w:jc w:val="both"/>
        <w:rPr>
          <w:rFonts w:ascii="ITC Avant Garde" w:hAnsi="ITC Avant Garde"/>
          <w:sz w:val="20"/>
          <w:szCs w:val="20"/>
        </w:rPr>
      </w:pPr>
    </w:p>
    <w:p w14:paraId="03AE4FAC"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La medición deberá realizarse cuando no exista precipitación pluvial.</w:t>
      </w:r>
    </w:p>
    <w:p w14:paraId="51331BBA" w14:textId="77777777" w:rsidR="006B595F" w:rsidRPr="0086242B" w:rsidRDefault="006B595F" w:rsidP="006B595F">
      <w:pPr>
        <w:spacing w:line="360" w:lineRule="auto"/>
        <w:jc w:val="both"/>
        <w:rPr>
          <w:rFonts w:ascii="ITC Avant Garde" w:hAnsi="ITC Avant Garde"/>
          <w:sz w:val="20"/>
          <w:szCs w:val="20"/>
        </w:rPr>
      </w:pPr>
    </w:p>
    <w:p w14:paraId="30BB88C9"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Para realizar la medición de los campos electromagnéticos presentes en la zona a evaluar, será necesario que los niveles de intensidad y densidad de potencia de los campos se promedien en un determinado periodo de tiempo y en diferentes puntos del espacio donde se deben realizar las mediciones.</w:t>
      </w:r>
    </w:p>
    <w:p w14:paraId="257B552C" w14:textId="77777777" w:rsidR="006B595F" w:rsidRPr="0086242B" w:rsidRDefault="006B595F" w:rsidP="006B595F">
      <w:pPr>
        <w:spacing w:line="360" w:lineRule="auto"/>
        <w:jc w:val="both"/>
        <w:rPr>
          <w:rFonts w:ascii="ITC Avant Garde" w:hAnsi="ITC Avant Garde"/>
          <w:sz w:val="20"/>
          <w:szCs w:val="20"/>
        </w:rPr>
      </w:pPr>
    </w:p>
    <w:p w14:paraId="077F3DC6"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Los campos a frecuencias menores a 10 GHz se deben promediar en un periodo de 6 minutos, mientras que a frecuencias superiores, el promedio se obtiene en un periodo de </w:t>
      </w:r>
      <w:r w:rsidR="00672004">
        <w:rPr>
          <w:rFonts w:ascii="ITC Avant Garde" w:hAnsi="ITC Avant Garde"/>
          <w:noProof/>
          <w:position w:val="-28"/>
          <w:sz w:val="20"/>
          <w:szCs w:val="20"/>
          <w:lang w:val="es-MX" w:eastAsia="es-MX"/>
        </w:rPr>
        <w:drawing>
          <wp:inline distT="0" distB="0" distL="0" distR="0" wp14:anchorId="200F95F5" wp14:editId="10F8A0FD">
            <wp:extent cx="370840" cy="4203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840" cy="420370"/>
                    </a:xfrm>
                    <a:prstGeom prst="rect">
                      <a:avLst/>
                    </a:prstGeom>
                    <a:noFill/>
                    <a:ln>
                      <a:noFill/>
                    </a:ln>
                  </pic:spPr>
                </pic:pic>
              </a:graphicData>
            </a:graphic>
          </wp:inline>
        </w:drawing>
      </w:r>
      <w:r w:rsidRPr="0086242B">
        <w:rPr>
          <w:rFonts w:ascii="ITC Avant Garde" w:hAnsi="ITC Avant Garde"/>
          <w:sz w:val="20"/>
          <w:szCs w:val="20"/>
        </w:rPr>
        <w:t xml:space="preserve">minutos, el cual varía con la frecuencia, según se establece en las notas de la Tabla 2 de los límites de referencia. </w:t>
      </w:r>
    </w:p>
    <w:p w14:paraId="37717EAA" w14:textId="77777777" w:rsidR="006B595F" w:rsidRPr="0086242B" w:rsidRDefault="006B595F" w:rsidP="006B595F">
      <w:pPr>
        <w:spacing w:line="360" w:lineRule="auto"/>
        <w:jc w:val="both"/>
        <w:rPr>
          <w:rFonts w:ascii="ITC Avant Garde" w:hAnsi="ITC Avant Garde"/>
          <w:sz w:val="20"/>
          <w:szCs w:val="20"/>
        </w:rPr>
      </w:pPr>
    </w:p>
    <w:p w14:paraId="18152045"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Las fórmulas utilizadas para obtener el promedio temporal de Intensidad del campo eléctrico e Intensidad de campo magnético son las siguientes:</w:t>
      </w:r>
    </w:p>
    <w:p w14:paraId="7D83A8BE" w14:textId="77777777" w:rsidR="006B595F" w:rsidRPr="0086242B" w:rsidRDefault="006B595F" w:rsidP="006B595F">
      <w:pPr>
        <w:jc w:val="both"/>
        <w:rPr>
          <w:rFonts w:ascii="ITC Avant Garde" w:hAnsi="ITC Avant Garde"/>
        </w:rPr>
      </w:pPr>
    </w:p>
    <w:p w14:paraId="3EED6B46" w14:textId="77777777" w:rsidR="006B595F" w:rsidRPr="0086242B" w:rsidRDefault="006B595F" w:rsidP="006B595F">
      <w:pPr>
        <w:pStyle w:val="Ecuacin"/>
        <w:rPr>
          <w:rFonts w:ascii="ITC Avant Garde" w:hAnsi="ITC Avant Garde"/>
        </w:rPr>
      </w:pPr>
      <w:r w:rsidRPr="0086242B">
        <w:rPr>
          <w:rFonts w:ascii="ITC Avant Garde" w:hAnsi="ITC Avant Garde"/>
        </w:rPr>
        <w:tab/>
      </w:r>
      <w:r w:rsidR="00672004">
        <w:rPr>
          <w:rFonts w:ascii="ITC Avant Garde" w:hAnsi="ITC Avant Garde"/>
          <w:noProof/>
          <w:position w:val="-26"/>
          <w:lang w:val="es-MX" w:eastAsia="es-MX"/>
        </w:rPr>
        <w:drawing>
          <wp:inline distT="0" distB="0" distL="0" distR="0" wp14:anchorId="2D44BA3E" wp14:editId="40A99612">
            <wp:extent cx="988695" cy="642620"/>
            <wp:effectExtent l="0" t="0" r="190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8695" cy="642620"/>
                    </a:xfrm>
                    <a:prstGeom prst="rect">
                      <a:avLst/>
                    </a:prstGeom>
                    <a:noFill/>
                    <a:ln>
                      <a:noFill/>
                    </a:ln>
                  </pic:spPr>
                </pic:pic>
              </a:graphicData>
            </a:graphic>
          </wp:inline>
        </w:drawing>
      </w:r>
      <w:r w:rsidRPr="0086242B">
        <w:rPr>
          <w:rFonts w:ascii="ITC Avant Garde" w:hAnsi="ITC Avant Garde"/>
        </w:rPr>
        <w:tab/>
      </w:r>
      <w:r w:rsidRPr="0086242B">
        <w:rPr>
          <w:rFonts w:ascii="ITC Avant Garde" w:hAnsi="ITC Avant Garde"/>
          <w:sz w:val="20"/>
          <w:szCs w:val="20"/>
        </w:rPr>
        <w:t>(9)</w:t>
      </w:r>
    </w:p>
    <w:p w14:paraId="353925C9" w14:textId="77777777" w:rsidR="006B595F" w:rsidRPr="0086242B" w:rsidRDefault="006B595F" w:rsidP="006B595F">
      <w:pPr>
        <w:pStyle w:val="Ecuacin"/>
        <w:rPr>
          <w:rFonts w:ascii="ITC Avant Garde" w:hAnsi="ITC Avant Garde"/>
        </w:rPr>
      </w:pPr>
    </w:p>
    <w:p w14:paraId="6C6B6330" w14:textId="77777777" w:rsidR="006B595F" w:rsidRPr="0086242B" w:rsidRDefault="006B595F" w:rsidP="006B595F">
      <w:pPr>
        <w:pStyle w:val="Ecuacin"/>
        <w:rPr>
          <w:rFonts w:ascii="ITC Avant Garde" w:hAnsi="ITC Avant Garde"/>
          <w:sz w:val="20"/>
          <w:szCs w:val="20"/>
        </w:rPr>
      </w:pPr>
      <w:r w:rsidRPr="0086242B">
        <w:rPr>
          <w:rFonts w:ascii="ITC Avant Garde" w:hAnsi="ITC Avant Garde"/>
        </w:rPr>
        <w:tab/>
      </w:r>
      <w:r w:rsidR="00672004">
        <w:rPr>
          <w:rFonts w:ascii="ITC Avant Garde" w:hAnsi="ITC Avant Garde"/>
          <w:noProof/>
          <w:position w:val="-26"/>
          <w:lang w:val="es-MX" w:eastAsia="es-MX"/>
        </w:rPr>
        <w:drawing>
          <wp:inline distT="0" distB="0" distL="0" distR="0" wp14:anchorId="44EEF732" wp14:editId="1E8E1E05">
            <wp:extent cx="1038225" cy="642620"/>
            <wp:effectExtent l="0" t="0" r="952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8225" cy="642620"/>
                    </a:xfrm>
                    <a:prstGeom prst="rect">
                      <a:avLst/>
                    </a:prstGeom>
                    <a:noFill/>
                    <a:ln>
                      <a:noFill/>
                    </a:ln>
                  </pic:spPr>
                </pic:pic>
              </a:graphicData>
            </a:graphic>
          </wp:inline>
        </w:drawing>
      </w:r>
      <w:r w:rsidRPr="0086242B">
        <w:rPr>
          <w:rFonts w:ascii="ITC Avant Garde" w:hAnsi="ITC Avant Garde"/>
        </w:rPr>
        <w:tab/>
      </w:r>
      <w:r w:rsidRPr="0086242B">
        <w:rPr>
          <w:rFonts w:ascii="ITC Avant Garde" w:hAnsi="ITC Avant Garde"/>
          <w:sz w:val="20"/>
          <w:szCs w:val="20"/>
        </w:rPr>
        <w:t>(10)</w:t>
      </w:r>
    </w:p>
    <w:p w14:paraId="6EC91A1A" w14:textId="77777777" w:rsidR="006B595F" w:rsidRPr="0086242B" w:rsidRDefault="006B595F" w:rsidP="006B595F">
      <w:pPr>
        <w:pStyle w:val="Ecuacin"/>
        <w:rPr>
          <w:rFonts w:ascii="ITC Avant Garde" w:hAnsi="ITC Avant Garde"/>
        </w:rPr>
      </w:pPr>
    </w:p>
    <w:p w14:paraId="33FB466A" w14:textId="77777777" w:rsidR="006B595F" w:rsidRPr="0086242B" w:rsidRDefault="006B595F" w:rsidP="006B595F">
      <w:pPr>
        <w:pStyle w:val="Ecuacin"/>
        <w:rPr>
          <w:rFonts w:ascii="ITC Avant Garde" w:hAnsi="ITC Avant Garde"/>
          <w:sz w:val="20"/>
          <w:szCs w:val="20"/>
        </w:rPr>
      </w:pPr>
      <w:r w:rsidRPr="0086242B">
        <w:rPr>
          <w:rFonts w:ascii="ITC Avant Garde" w:hAnsi="ITC Avant Garde"/>
        </w:rPr>
        <w:tab/>
      </w:r>
      <w:r w:rsidR="00672004">
        <w:rPr>
          <w:rFonts w:ascii="ITC Avant Garde" w:hAnsi="ITC Avant Garde"/>
          <w:noProof/>
          <w:position w:val="-24"/>
          <w:lang w:val="es-MX" w:eastAsia="es-MX"/>
        </w:rPr>
        <w:drawing>
          <wp:inline distT="0" distB="0" distL="0" distR="0" wp14:anchorId="4D226C06" wp14:editId="3C970396">
            <wp:extent cx="840105" cy="60579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0105" cy="605790"/>
                    </a:xfrm>
                    <a:prstGeom prst="rect">
                      <a:avLst/>
                    </a:prstGeom>
                    <a:noFill/>
                    <a:ln>
                      <a:noFill/>
                    </a:ln>
                  </pic:spPr>
                </pic:pic>
              </a:graphicData>
            </a:graphic>
          </wp:inline>
        </w:drawing>
      </w:r>
      <w:r w:rsidRPr="0086242B">
        <w:rPr>
          <w:rFonts w:ascii="ITC Avant Garde" w:hAnsi="ITC Avant Garde"/>
        </w:rPr>
        <w:tab/>
      </w:r>
      <w:r w:rsidRPr="0086242B">
        <w:rPr>
          <w:rFonts w:ascii="ITC Avant Garde" w:hAnsi="ITC Avant Garde"/>
          <w:sz w:val="20"/>
          <w:szCs w:val="20"/>
        </w:rPr>
        <w:t>(11)</w:t>
      </w:r>
    </w:p>
    <w:p w14:paraId="49C92ACC" w14:textId="77777777" w:rsidR="006B595F" w:rsidRPr="0086242B" w:rsidRDefault="006B595F" w:rsidP="006B595F">
      <w:pPr>
        <w:jc w:val="both"/>
        <w:rPr>
          <w:rFonts w:ascii="ITC Avant Garde" w:hAnsi="ITC Avant Garde"/>
        </w:rPr>
      </w:pPr>
    </w:p>
    <w:p w14:paraId="457BA93A"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En donde:</w:t>
      </w:r>
    </w:p>
    <w:p w14:paraId="3417FD19"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E</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Intensidad del campo eléctrico promediado en el tiempo [V/m].</w:t>
      </w:r>
    </w:p>
    <w:p w14:paraId="1755788F"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H</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Intensidad del campo magnético promediada en el tiempo [A/m].</w:t>
      </w:r>
    </w:p>
    <w:p w14:paraId="44FEBC92"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S</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Densidad de potencia promediada en el tiempo [W/m</w:t>
      </w:r>
      <w:r w:rsidRPr="0086242B">
        <w:rPr>
          <w:rFonts w:ascii="ITC Avant Garde" w:hAnsi="ITC Avant Garde"/>
          <w:sz w:val="20"/>
          <w:szCs w:val="20"/>
          <w:vertAlign w:val="superscript"/>
        </w:rPr>
        <w:t>2</w:t>
      </w:r>
      <w:r w:rsidRPr="0086242B">
        <w:rPr>
          <w:rFonts w:ascii="ITC Avant Garde" w:hAnsi="ITC Avant Garde"/>
          <w:sz w:val="20"/>
          <w:szCs w:val="20"/>
        </w:rPr>
        <w:t>].</w:t>
      </w:r>
    </w:p>
    <w:p w14:paraId="7B9516D6"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E</w:t>
      </w:r>
      <w:r w:rsidRPr="0086242B">
        <w:rPr>
          <w:rFonts w:ascii="ITC Avant Garde" w:hAnsi="ITC Avant Garde"/>
          <w:i/>
          <w:sz w:val="20"/>
          <w:szCs w:val="20"/>
          <w:vertAlign w:val="subscript"/>
        </w:rPr>
        <w:t>i</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 xml:space="preserve">Intensidad del campo eléctrico en el intervalo </w:t>
      </w:r>
      <w:proofErr w:type="spellStart"/>
      <w:r w:rsidRPr="0086242B">
        <w:rPr>
          <w:rFonts w:ascii="Calibri" w:hAnsi="Calibri" w:cs="Calibri"/>
          <w:sz w:val="20"/>
          <w:szCs w:val="20"/>
        </w:rPr>
        <w:t>Δ</w:t>
      </w:r>
      <w:r w:rsidRPr="0086242B">
        <w:rPr>
          <w:rFonts w:ascii="ITC Avant Garde" w:hAnsi="ITC Avant Garde"/>
          <w:i/>
          <w:sz w:val="20"/>
          <w:szCs w:val="20"/>
          <w:vertAlign w:val="subscript"/>
        </w:rPr>
        <w:t>i</w:t>
      </w:r>
      <w:proofErr w:type="spellEnd"/>
      <w:r w:rsidRPr="0086242B">
        <w:rPr>
          <w:rFonts w:ascii="ITC Avant Garde" w:hAnsi="ITC Avant Garde"/>
          <w:sz w:val="20"/>
          <w:szCs w:val="20"/>
        </w:rPr>
        <w:t xml:space="preserve"> [V/m].</w:t>
      </w:r>
    </w:p>
    <w:p w14:paraId="2199FBDE"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H</w:t>
      </w:r>
      <w:r w:rsidRPr="0086242B">
        <w:rPr>
          <w:rFonts w:ascii="ITC Avant Garde" w:hAnsi="ITC Avant Garde"/>
          <w:i/>
          <w:sz w:val="20"/>
          <w:szCs w:val="20"/>
          <w:vertAlign w:val="subscript"/>
        </w:rPr>
        <w:t>i</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 xml:space="preserve">Intensidad del campo magnético en el intervalo </w:t>
      </w:r>
      <w:proofErr w:type="spellStart"/>
      <w:r w:rsidRPr="0086242B">
        <w:rPr>
          <w:rFonts w:ascii="Calibri" w:hAnsi="Calibri" w:cs="Calibri"/>
          <w:sz w:val="20"/>
          <w:szCs w:val="20"/>
        </w:rPr>
        <w:t>Δ</w:t>
      </w:r>
      <w:r w:rsidRPr="0086242B">
        <w:rPr>
          <w:rFonts w:ascii="ITC Avant Garde" w:hAnsi="ITC Avant Garde"/>
          <w:i/>
          <w:sz w:val="20"/>
          <w:szCs w:val="20"/>
          <w:vertAlign w:val="subscript"/>
        </w:rPr>
        <w:t>i</w:t>
      </w:r>
      <w:proofErr w:type="spellEnd"/>
      <w:r w:rsidRPr="0086242B">
        <w:rPr>
          <w:rFonts w:ascii="ITC Avant Garde" w:hAnsi="ITC Avant Garde"/>
          <w:sz w:val="20"/>
          <w:szCs w:val="20"/>
        </w:rPr>
        <w:t xml:space="preserve"> [A/m].</w:t>
      </w:r>
    </w:p>
    <w:p w14:paraId="2B602B52"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S</w:t>
      </w:r>
      <w:r w:rsidRPr="0086242B">
        <w:rPr>
          <w:rFonts w:ascii="ITC Avant Garde" w:hAnsi="ITC Avant Garde"/>
          <w:i/>
          <w:sz w:val="20"/>
          <w:szCs w:val="20"/>
          <w:vertAlign w:val="subscript"/>
        </w:rPr>
        <w:t>i</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 xml:space="preserve">Densidad de potencia promediada en el intervalo </w:t>
      </w:r>
      <w:proofErr w:type="spellStart"/>
      <w:r w:rsidRPr="0086242B">
        <w:rPr>
          <w:rFonts w:ascii="Calibri" w:hAnsi="Calibri" w:cs="Calibri"/>
          <w:sz w:val="20"/>
          <w:szCs w:val="20"/>
        </w:rPr>
        <w:t>Δ</w:t>
      </w:r>
      <w:r w:rsidRPr="0086242B">
        <w:rPr>
          <w:rFonts w:ascii="ITC Avant Garde" w:hAnsi="ITC Avant Garde"/>
          <w:i/>
          <w:sz w:val="20"/>
          <w:szCs w:val="20"/>
          <w:vertAlign w:val="subscript"/>
        </w:rPr>
        <w:t>i</w:t>
      </w:r>
      <w:proofErr w:type="spellEnd"/>
      <w:r w:rsidRPr="0086242B">
        <w:rPr>
          <w:rFonts w:ascii="ITC Avant Garde" w:hAnsi="ITC Avant Garde"/>
          <w:sz w:val="20"/>
          <w:szCs w:val="20"/>
        </w:rPr>
        <w:t xml:space="preserve"> [W/m</w:t>
      </w:r>
      <w:r w:rsidRPr="0086242B">
        <w:rPr>
          <w:rFonts w:ascii="ITC Avant Garde" w:hAnsi="ITC Avant Garde"/>
          <w:sz w:val="20"/>
          <w:szCs w:val="20"/>
          <w:vertAlign w:val="superscript"/>
        </w:rPr>
        <w:t>2</w:t>
      </w:r>
      <w:r w:rsidRPr="0086242B">
        <w:rPr>
          <w:rFonts w:ascii="ITC Avant Garde" w:hAnsi="ITC Avant Garde"/>
          <w:sz w:val="20"/>
          <w:szCs w:val="20"/>
        </w:rPr>
        <w:t>].</w:t>
      </w:r>
    </w:p>
    <w:p w14:paraId="236AC10F" w14:textId="77777777" w:rsidR="006B595F" w:rsidRPr="0086242B" w:rsidRDefault="006B595F" w:rsidP="006B595F">
      <w:pPr>
        <w:tabs>
          <w:tab w:val="left" w:pos="709"/>
          <w:tab w:val="left" w:pos="992"/>
          <w:tab w:val="left" w:pos="1276"/>
        </w:tabs>
        <w:spacing w:line="360" w:lineRule="auto"/>
        <w:ind w:left="1276" w:hanging="990"/>
        <w:rPr>
          <w:rFonts w:ascii="ITC Avant Garde" w:hAnsi="ITC Avant Garde"/>
          <w:sz w:val="20"/>
          <w:szCs w:val="20"/>
        </w:rPr>
      </w:pPr>
      <w:r w:rsidRPr="0086242B">
        <w:rPr>
          <w:rFonts w:ascii="ITC Avant Garde" w:hAnsi="ITC Avant Garde"/>
          <w:sz w:val="20"/>
          <w:szCs w:val="20"/>
        </w:rPr>
        <w:tab/>
      </w:r>
      <w:proofErr w:type="spellStart"/>
      <w:r w:rsidRPr="0086242B">
        <w:rPr>
          <w:rFonts w:ascii="Calibri" w:hAnsi="Calibri" w:cs="Calibri"/>
          <w:sz w:val="20"/>
          <w:szCs w:val="20"/>
        </w:rPr>
        <w:t>Δ</w:t>
      </w:r>
      <w:r w:rsidRPr="0086242B">
        <w:rPr>
          <w:rFonts w:ascii="ITC Avant Garde" w:hAnsi="ITC Avant Garde"/>
          <w:sz w:val="20"/>
          <w:szCs w:val="20"/>
        </w:rPr>
        <w:t>t</w:t>
      </w:r>
      <w:r w:rsidRPr="0086242B">
        <w:rPr>
          <w:rFonts w:ascii="ITC Avant Garde" w:hAnsi="ITC Avant Garde"/>
          <w:i/>
          <w:sz w:val="20"/>
          <w:szCs w:val="20"/>
          <w:vertAlign w:val="subscript"/>
        </w:rPr>
        <w:t>i</w:t>
      </w:r>
      <w:proofErr w:type="spellEnd"/>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Intervalo de tiempo donde el campo tiene un valor aproximadamente constante [min].</w:t>
      </w:r>
    </w:p>
    <w:p w14:paraId="517D0EE0"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T</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 xml:space="preserve">Periodo de tiempo para obtener el promedio [min] (6 min. o  </w:t>
      </w:r>
      <w:r w:rsidR="00672004">
        <w:rPr>
          <w:rFonts w:ascii="ITC Avant Garde" w:hAnsi="ITC Avant Garde"/>
          <w:noProof/>
          <w:position w:val="-28"/>
          <w:sz w:val="20"/>
          <w:szCs w:val="20"/>
          <w:lang w:val="es-MX" w:eastAsia="es-MX"/>
        </w:rPr>
        <w:drawing>
          <wp:inline distT="0" distB="0" distL="0" distR="0" wp14:anchorId="0871706E" wp14:editId="02F2E4C3">
            <wp:extent cx="370840" cy="4203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840" cy="420370"/>
                    </a:xfrm>
                    <a:prstGeom prst="rect">
                      <a:avLst/>
                    </a:prstGeom>
                    <a:noFill/>
                    <a:ln>
                      <a:noFill/>
                    </a:ln>
                  </pic:spPr>
                </pic:pic>
              </a:graphicData>
            </a:graphic>
          </wp:inline>
        </w:drawing>
      </w:r>
      <w:r w:rsidRPr="0086242B">
        <w:rPr>
          <w:rFonts w:ascii="ITC Avant Garde" w:hAnsi="ITC Avant Garde"/>
          <w:sz w:val="20"/>
          <w:szCs w:val="20"/>
        </w:rPr>
        <w:t>min.)</w:t>
      </w:r>
    </w:p>
    <w:p w14:paraId="45B08A94" w14:textId="77777777" w:rsidR="006B595F" w:rsidRPr="0086242B" w:rsidRDefault="006B595F" w:rsidP="006B595F">
      <w:pPr>
        <w:spacing w:line="360" w:lineRule="auto"/>
        <w:jc w:val="both"/>
        <w:rPr>
          <w:rFonts w:ascii="ITC Avant Garde" w:hAnsi="ITC Avant Garde"/>
          <w:sz w:val="20"/>
          <w:szCs w:val="20"/>
        </w:rPr>
      </w:pPr>
    </w:p>
    <w:p w14:paraId="20C13C7D"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De forma similar, debido a que los campos no son totalmente uniformes, se requiere una operación de promedio espacial que se realiza de acuerdo al siguiente procedimiento.</w:t>
      </w:r>
    </w:p>
    <w:p w14:paraId="303A5064" w14:textId="77777777" w:rsidR="006B595F" w:rsidRPr="0086242B" w:rsidRDefault="006B595F" w:rsidP="006B595F">
      <w:pPr>
        <w:spacing w:line="360" w:lineRule="auto"/>
        <w:jc w:val="both"/>
        <w:rPr>
          <w:rFonts w:ascii="ITC Avant Garde" w:hAnsi="ITC Avant Garde"/>
          <w:sz w:val="20"/>
          <w:szCs w:val="20"/>
        </w:rPr>
      </w:pPr>
    </w:p>
    <w:p w14:paraId="482AE305" w14:textId="77777777" w:rsidR="006B595F" w:rsidRPr="0086242B" w:rsidRDefault="006B595F" w:rsidP="006B595F">
      <w:pPr>
        <w:numPr>
          <w:ilvl w:val="0"/>
          <w:numId w:val="11"/>
        </w:numPr>
        <w:spacing w:line="360" w:lineRule="auto"/>
        <w:jc w:val="both"/>
        <w:rPr>
          <w:rFonts w:ascii="ITC Avant Garde" w:hAnsi="ITC Avant Garde"/>
          <w:sz w:val="20"/>
          <w:szCs w:val="20"/>
        </w:rPr>
      </w:pPr>
      <w:r w:rsidRPr="0086242B">
        <w:rPr>
          <w:rFonts w:ascii="ITC Avant Garde" w:hAnsi="ITC Avant Garde"/>
          <w:sz w:val="20"/>
          <w:szCs w:val="20"/>
        </w:rPr>
        <w:t>Se determina el punto donde se registra la máxima intensidad o densidad de potencia del campo.</w:t>
      </w:r>
    </w:p>
    <w:p w14:paraId="305416BA" w14:textId="77777777" w:rsidR="006B595F" w:rsidRPr="0086242B" w:rsidRDefault="006B595F" w:rsidP="006B595F">
      <w:pPr>
        <w:numPr>
          <w:ilvl w:val="0"/>
          <w:numId w:val="11"/>
        </w:numPr>
        <w:spacing w:line="360" w:lineRule="auto"/>
        <w:jc w:val="both"/>
        <w:rPr>
          <w:rFonts w:ascii="ITC Avant Garde" w:hAnsi="ITC Avant Garde"/>
          <w:sz w:val="20"/>
          <w:szCs w:val="20"/>
        </w:rPr>
      </w:pPr>
      <w:r w:rsidRPr="0086242B">
        <w:rPr>
          <w:rFonts w:ascii="ITC Avant Garde" w:hAnsi="ITC Avant Garde"/>
          <w:sz w:val="20"/>
          <w:szCs w:val="20"/>
        </w:rPr>
        <w:t>Alrededor del punto de máxima lectura, se establecen 9 puntos de medición espaciados uniformemente entre sí, formando un rectángulo de las dimensiones mostradas en la Figura 4. La idea de formar este rectángulo es aproximarse a las dimensiones del cuerpo humano y promediar sobre este espacio. Uno de los 9 puntos deberá ser el que se encontró con mayor lectura. A partir de este punto se obtienen los demás puntos tomando en cuenta que el rectángulo debe tener una altura de entre 1.25 y 2 metros y un ancho de entre 0.35 y 0.5 metros. El rectángulo también debe ubicarse entre 0.2 y 0.5 metros arriba del piso, a menos que el punto de máxima lectura se localice más abajo. El plano donde se encuentra el rectángulo debe ser perpendicular a la dirección de propagación simulando a una persona que ve de frente hacia el emisor o antena transmisora que emite los campos electromagnéticos.</w:t>
      </w:r>
    </w:p>
    <w:p w14:paraId="24F8A43B" w14:textId="77777777" w:rsidR="006B595F" w:rsidRPr="0086242B" w:rsidRDefault="006B595F" w:rsidP="006B595F">
      <w:pPr>
        <w:numPr>
          <w:ilvl w:val="0"/>
          <w:numId w:val="11"/>
        </w:numPr>
        <w:spacing w:line="360" w:lineRule="auto"/>
        <w:jc w:val="both"/>
        <w:rPr>
          <w:rFonts w:ascii="ITC Avant Garde" w:hAnsi="ITC Avant Garde"/>
          <w:sz w:val="20"/>
          <w:szCs w:val="20"/>
        </w:rPr>
      </w:pPr>
      <w:r w:rsidRPr="0086242B">
        <w:rPr>
          <w:rFonts w:ascii="ITC Avant Garde" w:hAnsi="ITC Avant Garde"/>
          <w:sz w:val="20"/>
          <w:szCs w:val="20"/>
        </w:rPr>
        <w:t>Se mide la intensidad o densidad de potencia de los campos en cada punto, teniendo cuidado de promediar en el periodo de tiempo adecuado, de acuerdo a la frecuencia de los campos.</w:t>
      </w:r>
    </w:p>
    <w:p w14:paraId="71C129EC" w14:textId="77777777" w:rsidR="006B595F" w:rsidRPr="0086242B" w:rsidRDefault="006B595F" w:rsidP="006B595F">
      <w:pPr>
        <w:numPr>
          <w:ilvl w:val="0"/>
          <w:numId w:val="11"/>
        </w:numPr>
        <w:spacing w:line="360" w:lineRule="auto"/>
        <w:jc w:val="both"/>
        <w:rPr>
          <w:rFonts w:ascii="ITC Avant Garde" w:hAnsi="ITC Avant Garde"/>
          <w:sz w:val="20"/>
          <w:szCs w:val="20"/>
        </w:rPr>
      </w:pPr>
      <w:r w:rsidRPr="0086242B">
        <w:rPr>
          <w:rFonts w:ascii="ITC Avant Garde" w:hAnsi="ITC Avant Garde"/>
          <w:sz w:val="20"/>
          <w:szCs w:val="20"/>
        </w:rPr>
        <w:t>El promedio espacial se obtiene con las siguientes fórmulas:</w:t>
      </w:r>
    </w:p>
    <w:p w14:paraId="1A722F4F" w14:textId="77777777" w:rsidR="006B595F" w:rsidRPr="0086242B" w:rsidRDefault="006B595F" w:rsidP="006B595F">
      <w:pPr>
        <w:jc w:val="both"/>
        <w:rPr>
          <w:rFonts w:ascii="ITC Avant Garde" w:hAnsi="ITC Avant Garde"/>
        </w:rPr>
      </w:pPr>
    </w:p>
    <w:p w14:paraId="298DA4D2" w14:textId="77777777" w:rsidR="006B595F" w:rsidRPr="0086242B" w:rsidRDefault="006B595F" w:rsidP="006B595F">
      <w:pPr>
        <w:pStyle w:val="Ecuacin"/>
        <w:rPr>
          <w:rFonts w:ascii="ITC Avant Garde" w:hAnsi="ITC Avant Garde"/>
        </w:rPr>
      </w:pPr>
      <w:r w:rsidRPr="0086242B">
        <w:rPr>
          <w:rFonts w:ascii="ITC Avant Garde" w:hAnsi="ITC Avant Garde"/>
        </w:rPr>
        <w:tab/>
      </w:r>
      <w:r w:rsidR="00672004">
        <w:rPr>
          <w:rFonts w:ascii="ITC Avant Garde" w:hAnsi="ITC Avant Garde"/>
          <w:noProof/>
          <w:position w:val="-26"/>
          <w:lang w:val="es-MX" w:eastAsia="es-MX"/>
        </w:rPr>
        <w:drawing>
          <wp:inline distT="0" distB="0" distL="0" distR="0" wp14:anchorId="3B3EB42E" wp14:editId="6F930A0C">
            <wp:extent cx="803275" cy="642620"/>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3275" cy="642620"/>
                    </a:xfrm>
                    <a:prstGeom prst="rect">
                      <a:avLst/>
                    </a:prstGeom>
                    <a:noFill/>
                    <a:ln>
                      <a:noFill/>
                    </a:ln>
                  </pic:spPr>
                </pic:pic>
              </a:graphicData>
            </a:graphic>
          </wp:inline>
        </w:drawing>
      </w:r>
      <w:r w:rsidRPr="0086242B">
        <w:rPr>
          <w:rFonts w:ascii="ITC Avant Garde" w:hAnsi="ITC Avant Garde"/>
        </w:rPr>
        <w:tab/>
      </w:r>
      <w:r w:rsidRPr="0086242B">
        <w:rPr>
          <w:rFonts w:ascii="ITC Avant Garde" w:hAnsi="ITC Avant Garde"/>
          <w:sz w:val="20"/>
          <w:szCs w:val="20"/>
        </w:rPr>
        <w:t>(12)</w:t>
      </w:r>
    </w:p>
    <w:p w14:paraId="39F8CBD4" w14:textId="77777777" w:rsidR="006B595F" w:rsidRPr="0086242B" w:rsidRDefault="006B595F" w:rsidP="006B595F">
      <w:pPr>
        <w:pStyle w:val="Ecuacin"/>
        <w:rPr>
          <w:rFonts w:ascii="ITC Avant Garde" w:hAnsi="ITC Avant Garde"/>
        </w:rPr>
      </w:pPr>
    </w:p>
    <w:p w14:paraId="18B05F0E" w14:textId="77777777" w:rsidR="006B595F" w:rsidRPr="0086242B" w:rsidRDefault="006B595F" w:rsidP="006B595F">
      <w:pPr>
        <w:pStyle w:val="Ecuacin"/>
        <w:rPr>
          <w:rFonts w:ascii="ITC Avant Garde" w:hAnsi="ITC Avant Garde"/>
          <w:sz w:val="20"/>
          <w:szCs w:val="20"/>
        </w:rPr>
      </w:pPr>
      <w:r w:rsidRPr="0086242B">
        <w:rPr>
          <w:rFonts w:ascii="ITC Avant Garde" w:hAnsi="ITC Avant Garde"/>
        </w:rPr>
        <w:tab/>
      </w:r>
      <w:r w:rsidR="00672004">
        <w:rPr>
          <w:rFonts w:ascii="ITC Avant Garde" w:hAnsi="ITC Avant Garde"/>
          <w:noProof/>
          <w:position w:val="-26"/>
          <w:lang w:val="es-MX" w:eastAsia="es-MX"/>
        </w:rPr>
        <w:drawing>
          <wp:inline distT="0" distB="0" distL="0" distR="0" wp14:anchorId="76F56E2F" wp14:editId="4090FCC8">
            <wp:extent cx="864870" cy="642620"/>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870" cy="642620"/>
                    </a:xfrm>
                    <a:prstGeom prst="rect">
                      <a:avLst/>
                    </a:prstGeom>
                    <a:noFill/>
                    <a:ln>
                      <a:noFill/>
                    </a:ln>
                  </pic:spPr>
                </pic:pic>
              </a:graphicData>
            </a:graphic>
          </wp:inline>
        </w:drawing>
      </w:r>
      <w:r w:rsidRPr="0086242B">
        <w:rPr>
          <w:rFonts w:ascii="ITC Avant Garde" w:hAnsi="ITC Avant Garde"/>
        </w:rPr>
        <w:tab/>
      </w:r>
      <w:r w:rsidRPr="0086242B">
        <w:rPr>
          <w:rFonts w:ascii="ITC Avant Garde" w:hAnsi="ITC Avant Garde"/>
          <w:sz w:val="20"/>
          <w:szCs w:val="20"/>
        </w:rPr>
        <w:t>(13)</w:t>
      </w:r>
    </w:p>
    <w:p w14:paraId="413B6A29" w14:textId="77777777" w:rsidR="006B595F" w:rsidRPr="0086242B" w:rsidRDefault="006B595F" w:rsidP="006B595F">
      <w:pPr>
        <w:pStyle w:val="Ecuacin"/>
        <w:rPr>
          <w:rFonts w:ascii="ITC Avant Garde" w:hAnsi="ITC Avant Garde"/>
        </w:rPr>
      </w:pPr>
    </w:p>
    <w:p w14:paraId="1F648B13" w14:textId="77777777" w:rsidR="006B595F" w:rsidRPr="0086242B" w:rsidRDefault="006B595F" w:rsidP="006B595F">
      <w:pPr>
        <w:pStyle w:val="Ecuacin"/>
        <w:rPr>
          <w:rFonts w:ascii="ITC Avant Garde" w:hAnsi="ITC Avant Garde"/>
          <w:sz w:val="20"/>
          <w:szCs w:val="20"/>
        </w:rPr>
      </w:pPr>
      <w:r w:rsidRPr="0086242B">
        <w:rPr>
          <w:rFonts w:ascii="ITC Avant Garde" w:hAnsi="ITC Avant Garde"/>
        </w:rPr>
        <w:tab/>
      </w:r>
      <w:r w:rsidR="00672004">
        <w:rPr>
          <w:rFonts w:ascii="ITC Avant Garde" w:hAnsi="ITC Avant Garde"/>
          <w:noProof/>
          <w:position w:val="-24"/>
          <w:lang w:val="es-MX" w:eastAsia="es-MX"/>
        </w:rPr>
        <w:drawing>
          <wp:inline distT="0" distB="0" distL="0" distR="0" wp14:anchorId="153E5A4D" wp14:editId="141B070E">
            <wp:extent cx="642620" cy="605790"/>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2620" cy="605790"/>
                    </a:xfrm>
                    <a:prstGeom prst="rect">
                      <a:avLst/>
                    </a:prstGeom>
                    <a:noFill/>
                    <a:ln>
                      <a:noFill/>
                    </a:ln>
                  </pic:spPr>
                </pic:pic>
              </a:graphicData>
            </a:graphic>
          </wp:inline>
        </w:drawing>
      </w:r>
      <w:r w:rsidRPr="0086242B">
        <w:rPr>
          <w:rFonts w:ascii="ITC Avant Garde" w:hAnsi="ITC Avant Garde"/>
        </w:rPr>
        <w:tab/>
      </w:r>
      <w:r w:rsidRPr="0086242B">
        <w:rPr>
          <w:rFonts w:ascii="ITC Avant Garde" w:hAnsi="ITC Avant Garde"/>
          <w:sz w:val="20"/>
          <w:szCs w:val="20"/>
        </w:rPr>
        <w:t>(14)</w:t>
      </w:r>
    </w:p>
    <w:p w14:paraId="6F382C1F"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En donde:</w:t>
      </w:r>
    </w:p>
    <w:p w14:paraId="59018165" w14:textId="77777777" w:rsidR="006B595F" w:rsidRPr="0086242B" w:rsidRDefault="006B595F" w:rsidP="00CE79BA">
      <w:pPr>
        <w:tabs>
          <w:tab w:val="left" w:pos="709"/>
          <w:tab w:val="left" w:pos="992"/>
          <w:tab w:val="left" w:pos="1276"/>
        </w:tabs>
        <w:spacing w:line="360" w:lineRule="auto"/>
        <w:ind w:firstLine="567"/>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E</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Intensidad del campo eléctrico promediada en el espacio [V/m].</w:t>
      </w:r>
    </w:p>
    <w:p w14:paraId="29CDDB55"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H</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Intensidad del campo magnético promediada en el espacio [A/m].</w:t>
      </w:r>
    </w:p>
    <w:p w14:paraId="596404F9"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S</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Densidad de potencia promediada en el espacio [W/m</w:t>
      </w:r>
      <w:r w:rsidRPr="0086242B">
        <w:rPr>
          <w:rFonts w:ascii="ITC Avant Garde" w:hAnsi="ITC Avant Garde"/>
          <w:sz w:val="20"/>
          <w:szCs w:val="20"/>
          <w:vertAlign w:val="superscript"/>
        </w:rPr>
        <w:t>2</w:t>
      </w:r>
      <w:r w:rsidRPr="0086242B">
        <w:rPr>
          <w:rFonts w:ascii="ITC Avant Garde" w:hAnsi="ITC Avant Garde"/>
          <w:sz w:val="20"/>
          <w:szCs w:val="20"/>
        </w:rPr>
        <w:t>].</w:t>
      </w:r>
    </w:p>
    <w:p w14:paraId="6D1FAE07"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E</w:t>
      </w:r>
      <w:r w:rsidRPr="0086242B">
        <w:rPr>
          <w:rFonts w:ascii="ITC Avant Garde" w:hAnsi="ITC Avant Garde"/>
          <w:i/>
          <w:sz w:val="20"/>
          <w:szCs w:val="20"/>
          <w:vertAlign w:val="subscript"/>
        </w:rPr>
        <w:t>i</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 xml:space="preserve">Intensidad del campo eléctrico promediado en el tiempo en el punto </w:t>
      </w:r>
      <w:r w:rsidRPr="0086242B">
        <w:rPr>
          <w:rFonts w:ascii="ITC Avant Garde" w:hAnsi="ITC Avant Garde"/>
          <w:i/>
          <w:sz w:val="20"/>
          <w:szCs w:val="20"/>
        </w:rPr>
        <w:t>i</w:t>
      </w:r>
      <w:r w:rsidRPr="0086242B">
        <w:rPr>
          <w:rFonts w:ascii="ITC Avant Garde" w:hAnsi="ITC Avant Garde"/>
          <w:sz w:val="20"/>
          <w:szCs w:val="20"/>
        </w:rPr>
        <w:t xml:space="preserve"> [V/m].</w:t>
      </w:r>
    </w:p>
    <w:p w14:paraId="7364401F" w14:textId="77777777" w:rsidR="006B595F" w:rsidRPr="0086242B" w:rsidRDefault="006B595F" w:rsidP="00CE79BA">
      <w:pPr>
        <w:tabs>
          <w:tab w:val="left" w:pos="709"/>
          <w:tab w:val="left" w:pos="992"/>
          <w:tab w:val="left" w:pos="1276"/>
        </w:tabs>
        <w:spacing w:line="360" w:lineRule="auto"/>
        <w:ind w:left="1276" w:hanging="709"/>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H</w:t>
      </w:r>
      <w:r w:rsidRPr="0086242B">
        <w:rPr>
          <w:rFonts w:ascii="ITC Avant Garde" w:hAnsi="ITC Avant Garde"/>
          <w:i/>
          <w:sz w:val="20"/>
          <w:szCs w:val="20"/>
          <w:vertAlign w:val="subscript"/>
        </w:rPr>
        <w:t>i</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 xml:space="preserve">Intensidad del campo magnético promediado en el tiempo en el punto </w:t>
      </w:r>
      <w:r w:rsidRPr="0086242B">
        <w:rPr>
          <w:rFonts w:ascii="ITC Avant Garde" w:hAnsi="ITC Avant Garde"/>
          <w:i/>
          <w:sz w:val="20"/>
          <w:szCs w:val="20"/>
        </w:rPr>
        <w:t>i</w:t>
      </w:r>
      <w:r w:rsidRPr="0086242B">
        <w:rPr>
          <w:rFonts w:ascii="ITC Avant Garde" w:hAnsi="ITC Avant Garde"/>
          <w:sz w:val="20"/>
          <w:szCs w:val="20"/>
        </w:rPr>
        <w:t xml:space="preserve"> [A/m].</w:t>
      </w:r>
    </w:p>
    <w:p w14:paraId="67FCCF95"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S</w:t>
      </w:r>
      <w:r w:rsidRPr="0086242B">
        <w:rPr>
          <w:rFonts w:ascii="ITC Avant Garde" w:hAnsi="ITC Avant Garde"/>
          <w:i/>
          <w:sz w:val="20"/>
          <w:szCs w:val="20"/>
          <w:vertAlign w:val="subscript"/>
        </w:rPr>
        <w:t>i</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 xml:space="preserve">Densidad de potencia promediada en el tiempo en el punto </w:t>
      </w:r>
      <w:r w:rsidRPr="0086242B">
        <w:rPr>
          <w:rFonts w:ascii="ITC Avant Garde" w:hAnsi="ITC Avant Garde"/>
          <w:i/>
          <w:sz w:val="20"/>
          <w:szCs w:val="20"/>
        </w:rPr>
        <w:t>i</w:t>
      </w:r>
      <w:r w:rsidRPr="0086242B">
        <w:rPr>
          <w:rFonts w:ascii="ITC Avant Garde" w:hAnsi="ITC Avant Garde"/>
          <w:sz w:val="20"/>
          <w:szCs w:val="20"/>
        </w:rPr>
        <w:t xml:space="preserve"> [W/m</w:t>
      </w:r>
      <w:r w:rsidRPr="0086242B">
        <w:rPr>
          <w:rFonts w:ascii="ITC Avant Garde" w:hAnsi="ITC Avant Garde"/>
          <w:sz w:val="20"/>
          <w:szCs w:val="20"/>
          <w:vertAlign w:val="superscript"/>
        </w:rPr>
        <w:t>2</w:t>
      </w:r>
      <w:r w:rsidRPr="0086242B">
        <w:rPr>
          <w:rFonts w:ascii="ITC Avant Garde" w:hAnsi="ITC Avant Garde"/>
          <w:sz w:val="20"/>
          <w:szCs w:val="20"/>
        </w:rPr>
        <w:t>].</w:t>
      </w:r>
    </w:p>
    <w:p w14:paraId="68B47DBD"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n</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 xml:space="preserve">Número de puntos a evaluar. (En este caso se usa </w:t>
      </w:r>
      <w:r w:rsidRPr="0086242B">
        <w:rPr>
          <w:rFonts w:ascii="ITC Avant Garde" w:hAnsi="ITC Avant Garde"/>
          <w:i/>
          <w:sz w:val="20"/>
          <w:szCs w:val="20"/>
        </w:rPr>
        <w:t>n</w:t>
      </w:r>
      <w:r w:rsidRPr="0086242B">
        <w:rPr>
          <w:rFonts w:ascii="ITC Avant Garde" w:hAnsi="ITC Avant Garde"/>
          <w:sz w:val="20"/>
          <w:szCs w:val="20"/>
        </w:rPr>
        <w:t>=9).</w:t>
      </w:r>
    </w:p>
    <w:p w14:paraId="6F48AA1A" w14:textId="77777777" w:rsidR="006B595F" w:rsidRPr="0086242B" w:rsidRDefault="006B595F" w:rsidP="006B595F">
      <w:pPr>
        <w:jc w:val="both"/>
        <w:rPr>
          <w:rFonts w:ascii="ITC Avant Garde" w:hAnsi="ITC Avant Garde"/>
        </w:rPr>
      </w:pPr>
    </w:p>
    <w:p w14:paraId="51B29D9B" w14:textId="77777777" w:rsidR="006B595F" w:rsidRPr="0086242B" w:rsidRDefault="00672004" w:rsidP="006B595F">
      <w:pPr>
        <w:jc w:val="center"/>
        <w:rPr>
          <w:rFonts w:ascii="ITC Avant Garde" w:hAnsi="ITC Avant Garde"/>
        </w:rPr>
      </w:pPr>
      <w:r>
        <w:rPr>
          <w:rFonts w:ascii="ITC Avant Garde" w:hAnsi="ITC Avant Garde"/>
          <w:noProof/>
          <w:lang w:val="es-MX" w:eastAsia="es-MX"/>
        </w:rPr>
        <w:drawing>
          <wp:inline distT="0" distB="0" distL="0" distR="0" wp14:anchorId="6BEA57B6" wp14:editId="1833C0BA">
            <wp:extent cx="1903095" cy="26320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l="47751" t="9341" r="18533" b="19022"/>
                    <a:stretch>
                      <a:fillRect/>
                    </a:stretch>
                  </pic:blipFill>
                  <pic:spPr bwMode="auto">
                    <a:xfrm>
                      <a:off x="0" y="0"/>
                      <a:ext cx="1903095" cy="2632075"/>
                    </a:xfrm>
                    <a:prstGeom prst="rect">
                      <a:avLst/>
                    </a:prstGeom>
                    <a:noFill/>
                    <a:ln>
                      <a:noFill/>
                    </a:ln>
                  </pic:spPr>
                </pic:pic>
              </a:graphicData>
            </a:graphic>
          </wp:inline>
        </w:drawing>
      </w:r>
    </w:p>
    <w:p w14:paraId="4C552E61" w14:textId="77777777" w:rsidR="006B595F" w:rsidRPr="0086242B" w:rsidRDefault="006B595F" w:rsidP="006B595F">
      <w:pPr>
        <w:pStyle w:val="Descripcin"/>
        <w:jc w:val="center"/>
        <w:rPr>
          <w:rFonts w:ascii="ITC Avant Garde" w:hAnsi="ITC Avant Garde"/>
          <w:b w:val="0"/>
        </w:rPr>
      </w:pPr>
      <w:r w:rsidRPr="0086242B">
        <w:rPr>
          <w:rFonts w:ascii="ITC Avant Garde" w:hAnsi="ITC Avant Garde"/>
          <w:b w:val="0"/>
        </w:rPr>
        <w:t>Figura 4.- Conjunto de puntos de medición para promedio espacial.</w:t>
      </w:r>
    </w:p>
    <w:p w14:paraId="7AE12EBA" w14:textId="77777777" w:rsidR="006B595F" w:rsidRPr="0086242B" w:rsidRDefault="006B595F" w:rsidP="006B595F">
      <w:pPr>
        <w:jc w:val="both"/>
        <w:rPr>
          <w:rFonts w:ascii="ITC Avant Garde" w:hAnsi="ITC Avant Garde"/>
        </w:rPr>
      </w:pPr>
    </w:p>
    <w:p w14:paraId="2BCAA090"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rPr>
        <w:t xml:space="preserve">Iniciar la medición empleando un sistema de medición de campos electromagnéticos como se establece en 6.2, seleccionar </w:t>
      </w:r>
      <w:r w:rsidRPr="0086242B">
        <w:rPr>
          <w:rFonts w:ascii="ITC Avant Garde" w:hAnsi="ITC Avant Garde"/>
          <w:sz w:val="20"/>
          <w:szCs w:val="20"/>
          <w:lang w:val="es-ES_tradnl"/>
        </w:rPr>
        <w:t>un sensor para medición de altos niveles de potencia, seleccionando la escala donde se tiene mayor sensibilidad. En las áreas donde es probable medir una alta intensidad de campo, (por ejemplo, alrededor del lóbulo de radiación principal de una antena direccional) aproximarse desde cierta distancia para evitar que el sensor se queme. Continuar gradualmente la aproximación a las regiones de intensidad de campo más alta. Para bajas frecuencias, se debe medir primero la intensidad de campo eléctrico ya que este campo representa un mayor peligro por su capacidad de crear corrientes inducidas en el cuerpo.</w:t>
      </w:r>
    </w:p>
    <w:p w14:paraId="177E8C0E" w14:textId="77777777" w:rsidR="006B595F" w:rsidRPr="0086242B" w:rsidRDefault="006B595F" w:rsidP="006B595F">
      <w:pPr>
        <w:spacing w:line="360" w:lineRule="auto"/>
        <w:jc w:val="both"/>
        <w:rPr>
          <w:rFonts w:ascii="ITC Avant Garde" w:hAnsi="ITC Avant Garde"/>
          <w:sz w:val="20"/>
          <w:szCs w:val="20"/>
          <w:lang w:val="es-ES_tradnl"/>
        </w:rPr>
      </w:pPr>
    </w:p>
    <w:p w14:paraId="6CCFC375" w14:textId="77777777" w:rsidR="006B595F"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Seleccionar un analizador de espectro o un medidor de intensidad de campo que desplieguen las señales recibidas en el dominio de la frecuencia, a fin de identificar el contenido espectral de las señales y sus características de modulación. Igualmente, dicho instrumento debe manejar un amplio intervalo dinámico, por ejemplo de 60 dB para medir señales que pueden ser desde muy débiles hasta aquellas de muy alta potencia. Una vez identificadas las características básicas de las señales que eran desconocidas, se procede a realizar una medición más puntual, empleando sensores isotrópicos y sus equipos de medición asociados.</w:t>
      </w:r>
    </w:p>
    <w:p w14:paraId="798A5F8E" w14:textId="77777777" w:rsidR="00E373C9" w:rsidRDefault="00E373C9" w:rsidP="006B595F">
      <w:pPr>
        <w:spacing w:line="360" w:lineRule="auto"/>
        <w:jc w:val="both"/>
        <w:rPr>
          <w:rFonts w:ascii="ITC Avant Garde" w:hAnsi="ITC Avant Garde"/>
          <w:sz w:val="20"/>
          <w:szCs w:val="20"/>
          <w:lang w:val="es-ES_tradnl"/>
        </w:rPr>
      </w:pPr>
    </w:p>
    <w:p w14:paraId="4C80B4C2" w14:textId="77777777" w:rsidR="00E373C9" w:rsidRPr="0086242B" w:rsidRDefault="00E373C9" w:rsidP="006B595F">
      <w:pPr>
        <w:spacing w:line="360" w:lineRule="auto"/>
        <w:jc w:val="both"/>
        <w:rPr>
          <w:rFonts w:ascii="ITC Avant Garde" w:hAnsi="ITC Avant Garde"/>
          <w:sz w:val="20"/>
          <w:szCs w:val="20"/>
          <w:lang w:val="es-ES_tradnl"/>
        </w:rPr>
      </w:pPr>
    </w:p>
    <w:p w14:paraId="00A35F28" w14:textId="77777777" w:rsidR="006B595F" w:rsidRPr="0086242B" w:rsidRDefault="006B595F" w:rsidP="006B595F">
      <w:pPr>
        <w:jc w:val="both"/>
        <w:rPr>
          <w:rFonts w:ascii="ITC Avant Garde" w:hAnsi="ITC Avant Garde"/>
          <w:lang w:val="es-ES_tradnl"/>
        </w:rPr>
      </w:pPr>
    </w:p>
    <w:p w14:paraId="16862B7E" w14:textId="77777777" w:rsidR="006B595F" w:rsidRPr="0086242B" w:rsidRDefault="006B595F" w:rsidP="006B595F">
      <w:pPr>
        <w:pStyle w:val="Ttulo4"/>
        <w:keepLines w:val="0"/>
        <w:numPr>
          <w:ilvl w:val="3"/>
          <w:numId w:val="49"/>
        </w:numPr>
        <w:spacing w:before="240" w:after="60" w:line="240" w:lineRule="auto"/>
        <w:rPr>
          <w:rFonts w:ascii="ITC Avant Garde" w:hAnsi="ITC Avant Garde"/>
          <w:i w:val="0"/>
          <w:color w:val="auto"/>
          <w:sz w:val="22"/>
          <w:szCs w:val="22"/>
          <w:lang w:val="es-MX"/>
        </w:rPr>
      </w:pPr>
      <w:r w:rsidRPr="0086242B">
        <w:rPr>
          <w:rFonts w:ascii="ITC Avant Garde" w:hAnsi="ITC Avant Garde"/>
          <w:i w:val="0"/>
          <w:color w:val="auto"/>
          <w:sz w:val="22"/>
          <w:szCs w:val="22"/>
        </w:rPr>
        <w:t>Consideraciones de uso de</w:t>
      </w:r>
      <w:r w:rsidRPr="0086242B">
        <w:rPr>
          <w:rFonts w:ascii="ITC Avant Garde" w:hAnsi="ITC Avant Garde"/>
          <w:i w:val="0"/>
          <w:color w:val="auto"/>
          <w:sz w:val="22"/>
          <w:szCs w:val="22"/>
          <w:lang w:val="es-MX"/>
        </w:rPr>
        <w:t xml:space="preserve"> </w:t>
      </w:r>
      <w:r w:rsidRPr="0086242B">
        <w:rPr>
          <w:rFonts w:ascii="ITC Avant Garde" w:hAnsi="ITC Avant Garde"/>
          <w:i w:val="0"/>
          <w:color w:val="auto"/>
          <w:sz w:val="22"/>
          <w:szCs w:val="22"/>
        </w:rPr>
        <w:t>los instrumentos de medición</w:t>
      </w:r>
      <w:r w:rsidRPr="0086242B">
        <w:rPr>
          <w:rFonts w:ascii="ITC Avant Garde" w:hAnsi="ITC Avant Garde"/>
          <w:i w:val="0"/>
          <w:color w:val="auto"/>
          <w:sz w:val="22"/>
          <w:szCs w:val="22"/>
          <w:lang w:val="es-MX"/>
        </w:rPr>
        <w:t>.</w:t>
      </w:r>
    </w:p>
    <w:p w14:paraId="343F4FD3" w14:textId="77777777" w:rsidR="006B595F" w:rsidRPr="0086242B" w:rsidRDefault="006B595F" w:rsidP="006B595F">
      <w:pPr>
        <w:rPr>
          <w:i/>
          <w:lang w:val="es-MX"/>
        </w:rPr>
      </w:pPr>
    </w:p>
    <w:p w14:paraId="7BE628D4"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MX"/>
        </w:rPr>
        <w:t>Cuando un campo espacialmente uniforme (onda plana) incide aproximadamente con la misma intensidad de campo sobre la persona que opera el sistema de medición</w:t>
      </w:r>
      <w:r w:rsidRPr="0086242B">
        <w:rPr>
          <w:rFonts w:ascii="ITC Avant Garde" w:hAnsi="ITC Avant Garde"/>
          <w:sz w:val="20"/>
          <w:szCs w:val="20"/>
          <w:lang w:val="es-ES_tradnl"/>
        </w:rPr>
        <w:t xml:space="preserve">, el cable, la estructura de soporte, el equipo de medición y el sensor, el efecto más significativos que se produce es el de dispersión. Esto produce reflexiones que se relacionan directamente con la sección transversal de los objetos y su distancia desde el sensor. La dispersión producida por el cuerpo de </w:t>
      </w:r>
      <w:r w:rsidRPr="0086242B">
        <w:rPr>
          <w:rFonts w:ascii="ITC Avant Garde" w:hAnsi="ITC Avant Garde"/>
          <w:sz w:val="20"/>
          <w:szCs w:val="20"/>
          <w:lang w:val="es-MX"/>
        </w:rPr>
        <w:t>la persona que opera el sistema de medición</w:t>
      </w:r>
      <w:r w:rsidRPr="0086242B">
        <w:rPr>
          <w:rFonts w:ascii="ITC Avant Garde" w:hAnsi="ITC Avant Garde"/>
          <w:sz w:val="20"/>
          <w:szCs w:val="20"/>
          <w:lang w:val="es-ES_tradnl"/>
        </w:rPr>
        <w:t xml:space="preserve">puede introducir errores de más de 2 dB en la densidad de potencia de la onda plana equivalente. Las reflexiones de los cables alineados con el campo eléctrico incidente y colocados aproximadamente 30 cm detrás del sensor isotrópico pueden causar variaciones en la medición de </w:t>
      </w:r>
      <w:r w:rsidR="00672004">
        <w:rPr>
          <w:rFonts w:ascii="ITC Avant Garde" w:hAnsi="ITC Avant Garde"/>
          <w:noProof/>
          <w:position w:val="-4"/>
          <w:sz w:val="20"/>
          <w:szCs w:val="20"/>
          <w:lang w:val="es-MX" w:eastAsia="es-MX"/>
        </w:rPr>
        <w:drawing>
          <wp:inline distT="0" distB="0" distL="0" distR="0" wp14:anchorId="147570B8" wp14:editId="787211D1">
            <wp:extent cx="148590" cy="148590"/>
            <wp:effectExtent l="0" t="0" r="381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86242B">
        <w:rPr>
          <w:rFonts w:ascii="ITC Avant Garde" w:hAnsi="ITC Avant Garde"/>
          <w:sz w:val="20"/>
          <w:szCs w:val="20"/>
          <w:lang w:val="es-ES_tradnl"/>
        </w:rPr>
        <w:t xml:space="preserve">1.5 dB a 915 MHz y </w:t>
      </w:r>
      <w:r w:rsidR="00672004">
        <w:rPr>
          <w:rFonts w:ascii="ITC Avant Garde" w:hAnsi="ITC Avant Garde"/>
          <w:noProof/>
          <w:position w:val="-4"/>
          <w:sz w:val="20"/>
          <w:szCs w:val="20"/>
          <w:lang w:val="es-MX" w:eastAsia="es-MX"/>
        </w:rPr>
        <w:drawing>
          <wp:inline distT="0" distB="0" distL="0" distR="0" wp14:anchorId="4B2269FF" wp14:editId="02494B36">
            <wp:extent cx="148590" cy="148590"/>
            <wp:effectExtent l="0" t="0" r="381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86242B">
        <w:rPr>
          <w:rFonts w:ascii="ITC Avant Garde" w:hAnsi="ITC Avant Garde"/>
          <w:sz w:val="20"/>
          <w:szCs w:val="20"/>
          <w:lang w:val="es-ES_tradnl"/>
        </w:rPr>
        <w:t xml:space="preserve">0.75 dB a 2,450 MHz. Estos efectos se vuelven más significativos a frecuencias más bajas donde la longitud del cable y la longitud de onda de RF son comparables. La magnitud de las reflexiones de un cable, de </w:t>
      </w:r>
      <w:r w:rsidRPr="0086242B">
        <w:rPr>
          <w:rFonts w:ascii="ITC Avant Garde" w:hAnsi="ITC Avant Garde"/>
          <w:sz w:val="20"/>
          <w:szCs w:val="20"/>
          <w:lang w:val="es-MX"/>
        </w:rPr>
        <w:t xml:space="preserve">la persona que opere el sistema de medición </w:t>
      </w:r>
      <w:r w:rsidRPr="0086242B">
        <w:rPr>
          <w:rFonts w:ascii="ITC Avant Garde" w:hAnsi="ITC Avant Garde"/>
          <w:sz w:val="20"/>
          <w:szCs w:val="20"/>
          <w:lang w:val="es-ES_tradnl"/>
        </w:rPr>
        <w:t>u otros objetos, se incrementa a medida que la frecuencia disminuye</w:t>
      </w:r>
      <w:r w:rsidRPr="0086242B">
        <w:rPr>
          <w:rFonts w:ascii="ITC Avant Garde" w:hAnsi="ITC Avant Garde"/>
          <w:lang w:val="es-ES_tradnl"/>
        </w:rPr>
        <w:t xml:space="preserve"> </w:t>
      </w:r>
      <w:r w:rsidRPr="0086242B">
        <w:rPr>
          <w:rFonts w:ascii="ITC Avant Garde" w:hAnsi="ITC Avant Garde"/>
          <w:sz w:val="20"/>
          <w:szCs w:val="20"/>
          <w:lang w:val="es-ES_tradnl"/>
        </w:rPr>
        <w:t>en una relación geométrica fija entre el sensor y el cable. Por consiguiente, debería tenerse mayor cuidado a frecuencias por debajo de los 1,000 MHz para evitar grandes errores cuando se están efectuando mediciones en campos espacialmente uniformes. La orientación del cable para que sea perpendicular al campo eléctrico incidente, o la utilización de material absorbente, reducirá este problema. Sin embargo, deberá tenerse en cuenta que la mayoría de los absorbentes no son efectivos a bajas frecuencias. Por ello, son preferibles los instrumentos acoplados con fibra óptica para frecuencias por debajo de los 300 MHz.</w:t>
      </w:r>
    </w:p>
    <w:p w14:paraId="47B94709" w14:textId="77777777" w:rsidR="006B595F" w:rsidRPr="0086242B" w:rsidRDefault="006B595F" w:rsidP="006B595F">
      <w:pPr>
        <w:jc w:val="both"/>
        <w:rPr>
          <w:rFonts w:ascii="ITC Avant Garde" w:hAnsi="ITC Avant Garde"/>
          <w:lang w:val="es-ES_tradnl"/>
        </w:rPr>
      </w:pPr>
    </w:p>
    <w:p w14:paraId="29E709CD"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 xml:space="preserve">Los campos interferentes de RF también se vuelven un problema significativo en las bajas frecuencias porque es más difícil blindar los circuitos electrónicos del equipo de medición y los cables a frecuencias por debajo de los 500 MHz. Se puede hacer una prueba operacional del sistema blindando totalmente la punta de un sensor de campo eléctrico con papel metálico. Este procedimiento permite identificar si existen campos interferentes o acoplamiento capacitivo entre el cable, el equipo de medición y los objetos radiantes cercanos durante la medición. De igual manera, si se reorientan las terminales del sensor, sin mover el cuerpo del sensor, y se altera la lectura significativamente (por ejemplo, unos </w:t>
      </w:r>
      <w:r w:rsidR="00672004">
        <w:rPr>
          <w:rFonts w:ascii="ITC Avant Garde" w:hAnsi="ITC Avant Garde"/>
          <w:noProof/>
          <w:position w:val="-4"/>
          <w:sz w:val="20"/>
          <w:szCs w:val="20"/>
          <w:lang w:val="es-MX" w:eastAsia="es-MX"/>
        </w:rPr>
        <w:drawing>
          <wp:inline distT="0" distB="0" distL="0" distR="0" wp14:anchorId="50D6F57D" wp14:editId="61948FF5">
            <wp:extent cx="148590" cy="148590"/>
            <wp:effectExtent l="0" t="0" r="381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86242B">
        <w:rPr>
          <w:rFonts w:ascii="ITC Avant Garde" w:hAnsi="ITC Avant Garde"/>
          <w:sz w:val="20"/>
          <w:szCs w:val="20"/>
          <w:lang w:val="es-ES_tradnl"/>
        </w:rPr>
        <w:t xml:space="preserve">6 dB) se puede deducir que las interferencias de RF están causando alteraciones en las mediciones. Es común encontrar grandes errores en las lecturas de los instrumentos isotrópicos más antiguos cuando estos se usan para medir los campos eléctricos y magnéticos por debajo de los 1,000 MHz, especialmente cuando el equipo de medición y el cable del sensor están expuestos a un campo de la misma magnitud que el que incide sobre el sensor. Esto se debe frecuentemente a un diseño deficiente que no toma en cuenta los requerimientos mínimos de compatibilidad electromagnética. Para conectar el sensor al equipo de medición, los fabricantes de este tipo de instrumentos de medición emplean ahora cables de fibra óptica o cables de alta resistencia para minimizar los efectos de las interferencias de RF. </w:t>
      </w:r>
      <w:r w:rsidRPr="0086242B">
        <w:rPr>
          <w:rFonts w:ascii="ITC Avant Garde" w:hAnsi="ITC Avant Garde"/>
          <w:sz w:val="20"/>
          <w:szCs w:val="20"/>
          <w:lang w:val="es-MX"/>
        </w:rPr>
        <w:t xml:space="preserve">Asimismo, para reducir </w:t>
      </w:r>
      <w:r w:rsidRPr="0086242B">
        <w:rPr>
          <w:rFonts w:ascii="ITC Avant Garde" w:hAnsi="ITC Avant Garde"/>
          <w:sz w:val="20"/>
          <w:szCs w:val="20"/>
          <w:lang w:val="es-ES_tradnl"/>
        </w:rPr>
        <w:t>los efectos de las interferencias ocasionadas por los cables y un equipo de medición de gran tamaño, existen sistemas completos de medición que en un mismo bastidor integran una antena activa y todos los circuitos electrónicos necesarios para el procesamiento de las señales y el desplegado de los resultados.</w:t>
      </w:r>
    </w:p>
    <w:p w14:paraId="1F6FB5AC" w14:textId="77777777" w:rsidR="006B595F" w:rsidRPr="0086242B" w:rsidRDefault="006B595F" w:rsidP="006B595F">
      <w:pPr>
        <w:pStyle w:val="Ttulo4"/>
        <w:keepLines w:val="0"/>
        <w:numPr>
          <w:ilvl w:val="3"/>
          <w:numId w:val="49"/>
        </w:numPr>
        <w:spacing w:before="240" w:after="60" w:line="240" w:lineRule="auto"/>
        <w:rPr>
          <w:rFonts w:ascii="ITC Avant Garde" w:hAnsi="ITC Avant Garde"/>
          <w:i w:val="0"/>
          <w:color w:val="auto"/>
          <w:sz w:val="22"/>
          <w:szCs w:val="22"/>
        </w:rPr>
      </w:pPr>
      <w:r w:rsidRPr="0086242B">
        <w:rPr>
          <w:rFonts w:ascii="ITC Avant Garde" w:hAnsi="ITC Avant Garde"/>
          <w:i w:val="0"/>
          <w:color w:val="auto"/>
          <w:sz w:val="22"/>
          <w:szCs w:val="22"/>
          <w:lang w:val="es-MX"/>
        </w:rPr>
        <w:t xml:space="preserve">Medición con </w:t>
      </w:r>
      <w:r w:rsidRPr="0086242B">
        <w:rPr>
          <w:rFonts w:ascii="ITC Avant Garde" w:hAnsi="ITC Avant Garde"/>
          <w:i w:val="0"/>
          <w:color w:val="auto"/>
          <w:sz w:val="22"/>
          <w:szCs w:val="22"/>
        </w:rPr>
        <w:t xml:space="preserve">condiciones de </w:t>
      </w:r>
      <w:r w:rsidRPr="0086242B">
        <w:rPr>
          <w:rFonts w:ascii="ITC Avant Garde" w:hAnsi="ITC Avant Garde"/>
          <w:i w:val="0"/>
          <w:color w:val="auto"/>
          <w:sz w:val="22"/>
          <w:szCs w:val="22"/>
          <w:lang w:val="es-MX"/>
        </w:rPr>
        <w:t>c</w:t>
      </w:r>
      <w:r w:rsidRPr="0086242B">
        <w:rPr>
          <w:rFonts w:ascii="ITC Avant Garde" w:hAnsi="ITC Avant Garde"/>
          <w:i w:val="0"/>
          <w:color w:val="auto"/>
          <w:sz w:val="22"/>
          <w:szCs w:val="22"/>
        </w:rPr>
        <w:t>ampo lejano y una sola fuente.</w:t>
      </w:r>
    </w:p>
    <w:p w14:paraId="1B9943CE" w14:textId="77777777" w:rsidR="006B595F" w:rsidRPr="0086242B" w:rsidRDefault="006B595F" w:rsidP="006B595F">
      <w:pPr>
        <w:rPr>
          <w:i/>
        </w:rPr>
      </w:pPr>
    </w:p>
    <w:p w14:paraId="61CAF1C7"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La medición de un campo con características de onda plana, linealmente polarizado, generado por un emisor cuya frecuencia y polarización son conocidas, se efectúa con un medidor de intensidad de campos electromagnéticos sintonizable que cubra el intervalo de frecuencia de interés y la precisión requerida. Este instrumento se usa con una antena convencional calibrada, para ello se debe elegir el sensor tomando en cuenta el numeral 6.2.5. También se puede usar un sensor isotrópico.</w:t>
      </w:r>
    </w:p>
    <w:p w14:paraId="41AA451F" w14:textId="77777777" w:rsidR="006B595F" w:rsidRPr="0086242B" w:rsidRDefault="006B595F" w:rsidP="006B595F">
      <w:pPr>
        <w:spacing w:line="360" w:lineRule="auto"/>
        <w:jc w:val="both"/>
        <w:rPr>
          <w:rFonts w:ascii="ITC Avant Garde" w:hAnsi="ITC Avant Garde"/>
          <w:sz w:val="20"/>
          <w:szCs w:val="20"/>
          <w:lang w:val="es-ES_tradnl"/>
        </w:rPr>
      </w:pPr>
    </w:p>
    <w:p w14:paraId="3C2A8A55"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 xml:space="preserve">Las reflexiones </w:t>
      </w:r>
      <w:proofErr w:type="spellStart"/>
      <w:r w:rsidRPr="0086242B">
        <w:rPr>
          <w:rFonts w:ascii="ITC Avant Garde" w:hAnsi="ITC Avant Garde"/>
          <w:sz w:val="20"/>
          <w:szCs w:val="20"/>
          <w:lang w:val="es-ES_tradnl"/>
        </w:rPr>
        <w:t>multitrayectoria</w:t>
      </w:r>
      <w:proofErr w:type="spellEnd"/>
      <w:r w:rsidRPr="0086242B">
        <w:rPr>
          <w:rFonts w:ascii="ITC Avant Garde" w:hAnsi="ITC Avant Garde"/>
          <w:sz w:val="20"/>
          <w:szCs w:val="20"/>
          <w:lang w:val="es-ES_tradnl"/>
        </w:rPr>
        <w:t xml:space="preserve"> pueden crear distribuciones de campo altamente no uniforme</w:t>
      </w:r>
      <w:r w:rsidR="00672004">
        <w:rPr>
          <w:rFonts w:ascii="ITC Avant Garde" w:hAnsi="ITC Avant Garde"/>
          <w:sz w:val="20"/>
          <w:szCs w:val="20"/>
          <w:lang w:val="es-ES_tradnl"/>
        </w:rPr>
        <w:t>s</w:t>
      </w:r>
      <w:r w:rsidRPr="0086242B">
        <w:rPr>
          <w:rFonts w:ascii="ITC Avant Garde" w:hAnsi="ITC Avant Garde"/>
          <w:sz w:val="20"/>
          <w:szCs w:val="20"/>
          <w:lang w:val="es-ES_tradnl"/>
        </w:rPr>
        <w:t>, particularmente a frecuencias que exceden de 300 MHz. Para obtener el nivel de exposición en cualquier punto específico, deberá llevarse a cabo un promedio espacial de la forma descrita en las consideraciones generales. Las mediciones cercanas a objetos metálicos deberán realizarse con el filo del sensor a por lo menos tres “longitudes del sensor” para evitar grandes variaciones del campo por los campos dispersados.</w:t>
      </w:r>
    </w:p>
    <w:p w14:paraId="4709B113" w14:textId="77777777" w:rsidR="006B595F" w:rsidRPr="0086242B" w:rsidRDefault="006B595F" w:rsidP="006B595F">
      <w:pPr>
        <w:spacing w:line="360" w:lineRule="auto"/>
        <w:jc w:val="both"/>
        <w:rPr>
          <w:rFonts w:ascii="ITC Avant Garde" w:hAnsi="ITC Avant Garde"/>
          <w:sz w:val="20"/>
          <w:szCs w:val="20"/>
          <w:lang w:val="es-ES_tradnl"/>
        </w:rPr>
      </w:pPr>
    </w:p>
    <w:p w14:paraId="59DB09B5"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Alternativamente se puede emplear un analizador de espectro, éste debe ser configurado estableciendo las siguientes condiciones:</w:t>
      </w:r>
    </w:p>
    <w:p w14:paraId="43103C7F" w14:textId="77777777" w:rsidR="006B595F" w:rsidRPr="0086242B" w:rsidRDefault="006B595F" w:rsidP="006B595F">
      <w:pPr>
        <w:spacing w:line="360" w:lineRule="auto"/>
        <w:jc w:val="both"/>
        <w:rPr>
          <w:rFonts w:ascii="ITC Avant Garde" w:hAnsi="ITC Avant Garde"/>
          <w:sz w:val="20"/>
          <w:szCs w:val="20"/>
        </w:rPr>
      </w:pPr>
    </w:p>
    <w:p w14:paraId="60EDA283" w14:textId="77777777" w:rsidR="006B595F" w:rsidRPr="0086242B" w:rsidRDefault="006B595F" w:rsidP="006B595F">
      <w:pPr>
        <w:numPr>
          <w:ilvl w:val="0"/>
          <w:numId w:val="38"/>
        </w:numPr>
        <w:spacing w:line="360" w:lineRule="auto"/>
        <w:jc w:val="both"/>
        <w:rPr>
          <w:rFonts w:ascii="ITC Avant Garde" w:hAnsi="ITC Avant Garde"/>
          <w:sz w:val="20"/>
          <w:szCs w:val="20"/>
        </w:rPr>
      </w:pPr>
      <w:r w:rsidRPr="0086242B">
        <w:rPr>
          <w:rFonts w:ascii="ITC Avant Garde" w:hAnsi="ITC Avant Garde"/>
          <w:sz w:val="20"/>
          <w:szCs w:val="20"/>
        </w:rPr>
        <w:t xml:space="preserve">Frecuencia Central: Establecer la frecuencia central a la misma frecuencia central del emisor. </w:t>
      </w:r>
    </w:p>
    <w:p w14:paraId="17805548" w14:textId="77777777" w:rsidR="006B595F" w:rsidRPr="0086242B" w:rsidRDefault="006B595F" w:rsidP="006B595F">
      <w:pPr>
        <w:numPr>
          <w:ilvl w:val="0"/>
          <w:numId w:val="38"/>
        </w:numPr>
        <w:spacing w:line="360" w:lineRule="auto"/>
        <w:jc w:val="both"/>
        <w:rPr>
          <w:rFonts w:ascii="ITC Avant Garde" w:hAnsi="ITC Avant Garde"/>
          <w:sz w:val="20"/>
          <w:szCs w:val="20"/>
        </w:rPr>
      </w:pPr>
      <w:r w:rsidRPr="0086242B">
        <w:rPr>
          <w:rFonts w:ascii="ITC Avant Garde" w:hAnsi="ITC Avant Garde"/>
          <w:sz w:val="20"/>
          <w:szCs w:val="20"/>
        </w:rPr>
        <w:t>Intervalo de frecuencias (</w:t>
      </w:r>
      <w:proofErr w:type="spellStart"/>
      <w:r w:rsidRPr="0086242B">
        <w:rPr>
          <w:rFonts w:ascii="ITC Avant Garde" w:hAnsi="ITC Avant Garde"/>
          <w:sz w:val="20"/>
          <w:szCs w:val="20"/>
        </w:rPr>
        <w:t>Span</w:t>
      </w:r>
      <w:proofErr w:type="spellEnd"/>
      <w:r w:rsidRPr="0086242B">
        <w:rPr>
          <w:rFonts w:ascii="ITC Avant Garde" w:hAnsi="ITC Avant Garde"/>
          <w:sz w:val="20"/>
          <w:szCs w:val="20"/>
        </w:rPr>
        <w:t>): Suficiente para comprender la señal del emisor.</w:t>
      </w:r>
    </w:p>
    <w:p w14:paraId="31546EE5" w14:textId="77777777" w:rsidR="006B595F" w:rsidRPr="0086242B" w:rsidRDefault="006B595F" w:rsidP="006B595F">
      <w:pPr>
        <w:numPr>
          <w:ilvl w:val="0"/>
          <w:numId w:val="38"/>
        </w:numPr>
        <w:spacing w:line="360" w:lineRule="auto"/>
        <w:jc w:val="both"/>
        <w:rPr>
          <w:rFonts w:ascii="ITC Avant Garde" w:hAnsi="ITC Avant Garde"/>
          <w:sz w:val="20"/>
          <w:szCs w:val="20"/>
        </w:rPr>
      </w:pPr>
      <w:r w:rsidRPr="0086242B">
        <w:rPr>
          <w:rFonts w:ascii="ITC Avant Garde" w:hAnsi="ITC Avant Garde"/>
          <w:sz w:val="20"/>
          <w:szCs w:val="20"/>
        </w:rPr>
        <w:t>Ancho de banda del filtro de resolución (RBW): Ancho de banda a 6 dB de la emisión de la estación bajo prueba.</w:t>
      </w:r>
    </w:p>
    <w:p w14:paraId="0F2F0277" w14:textId="77777777" w:rsidR="006B595F" w:rsidRPr="0086242B" w:rsidRDefault="006B595F" w:rsidP="006B595F">
      <w:pPr>
        <w:numPr>
          <w:ilvl w:val="0"/>
          <w:numId w:val="38"/>
        </w:numPr>
        <w:spacing w:line="360" w:lineRule="auto"/>
        <w:jc w:val="both"/>
        <w:rPr>
          <w:rFonts w:ascii="ITC Avant Garde" w:hAnsi="ITC Avant Garde"/>
          <w:sz w:val="20"/>
          <w:szCs w:val="20"/>
        </w:rPr>
      </w:pPr>
      <w:r w:rsidRPr="0086242B">
        <w:rPr>
          <w:rFonts w:ascii="ITC Avant Garde" w:hAnsi="ITC Avant Garde"/>
          <w:sz w:val="20"/>
          <w:szCs w:val="20"/>
        </w:rPr>
        <w:t>Ancho de banda de video (VBW): Auto</w:t>
      </w:r>
      <w:r w:rsidR="00B66A1E">
        <w:rPr>
          <w:rFonts w:ascii="ITC Avant Garde" w:hAnsi="ITC Avant Garde"/>
          <w:sz w:val="20"/>
          <w:szCs w:val="20"/>
        </w:rPr>
        <w:t>.</w:t>
      </w:r>
    </w:p>
    <w:p w14:paraId="197E3659" w14:textId="77777777" w:rsidR="006B595F" w:rsidRPr="0086242B" w:rsidRDefault="006B595F" w:rsidP="006B595F">
      <w:pPr>
        <w:numPr>
          <w:ilvl w:val="0"/>
          <w:numId w:val="38"/>
        </w:numPr>
        <w:spacing w:line="360" w:lineRule="auto"/>
        <w:jc w:val="both"/>
        <w:rPr>
          <w:rFonts w:ascii="ITC Avant Garde" w:hAnsi="ITC Avant Garde"/>
          <w:sz w:val="20"/>
          <w:szCs w:val="20"/>
        </w:rPr>
      </w:pPr>
      <w:r w:rsidRPr="0086242B">
        <w:rPr>
          <w:rFonts w:ascii="ITC Avant Garde" w:hAnsi="ITC Avant Garde"/>
          <w:sz w:val="20"/>
          <w:szCs w:val="20"/>
        </w:rPr>
        <w:t>Tiempo de barrido (</w:t>
      </w:r>
      <w:proofErr w:type="spellStart"/>
      <w:r w:rsidRPr="0086242B">
        <w:rPr>
          <w:rFonts w:ascii="ITC Avant Garde" w:hAnsi="ITC Avant Garde"/>
          <w:sz w:val="20"/>
          <w:szCs w:val="20"/>
        </w:rPr>
        <w:t>Sweep</w:t>
      </w:r>
      <w:proofErr w:type="spellEnd"/>
      <w:r w:rsidRPr="0086242B">
        <w:rPr>
          <w:rFonts w:ascii="ITC Avant Garde" w:hAnsi="ITC Avant Garde"/>
          <w:sz w:val="20"/>
          <w:szCs w:val="20"/>
        </w:rPr>
        <w:t xml:space="preserve"> Time): Auto</w:t>
      </w:r>
      <w:r w:rsidR="00B66A1E">
        <w:rPr>
          <w:rFonts w:ascii="ITC Avant Garde" w:hAnsi="ITC Avant Garde"/>
          <w:sz w:val="20"/>
          <w:szCs w:val="20"/>
        </w:rPr>
        <w:t>.</w:t>
      </w:r>
    </w:p>
    <w:p w14:paraId="19F7A0C4" w14:textId="77777777" w:rsidR="006B595F" w:rsidRPr="0086242B" w:rsidRDefault="006B595F" w:rsidP="006B595F">
      <w:pPr>
        <w:numPr>
          <w:ilvl w:val="0"/>
          <w:numId w:val="38"/>
        </w:numPr>
        <w:spacing w:line="360" w:lineRule="auto"/>
        <w:jc w:val="both"/>
        <w:rPr>
          <w:rFonts w:ascii="ITC Avant Garde" w:hAnsi="ITC Avant Garde"/>
          <w:sz w:val="20"/>
          <w:szCs w:val="20"/>
        </w:rPr>
      </w:pPr>
      <w:r w:rsidRPr="0086242B">
        <w:rPr>
          <w:rFonts w:ascii="ITC Avant Garde" w:hAnsi="ITC Avant Garde"/>
          <w:sz w:val="20"/>
          <w:szCs w:val="20"/>
        </w:rPr>
        <w:t xml:space="preserve">Detector (Detector </w:t>
      </w:r>
      <w:proofErr w:type="spellStart"/>
      <w:r w:rsidRPr="0086242B">
        <w:rPr>
          <w:rFonts w:ascii="ITC Avant Garde" w:hAnsi="ITC Avant Garde"/>
          <w:sz w:val="20"/>
          <w:szCs w:val="20"/>
        </w:rPr>
        <w:t>Function</w:t>
      </w:r>
      <w:proofErr w:type="spellEnd"/>
      <w:r w:rsidRPr="0086242B">
        <w:rPr>
          <w:rFonts w:ascii="ITC Avant Garde" w:hAnsi="ITC Avant Garde"/>
          <w:sz w:val="20"/>
          <w:szCs w:val="20"/>
        </w:rPr>
        <w:t>): RMS</w:t>
      </w:r>
      <w:r w:rsidR="00B66A1E">
        <w:rPr>
          <w:rFonts w:ascii="ITC Avant Garde" w:hAnsi="ITC Avant Garde"/>
          <w:sz w:val="20"/>
          <w:szCs w:val="20"/>
        </w:rPr>
        <w:t>.</w:t>
      </w:r>
    </w:p>
    <w:p w14:paraId="4BDF4E07" w14:textId="77777777" w:rsidR="006B595F" w:rsidRPr="0086242B" w:rsidRDefault="006B595F" w:rsidP="006B595F">
      <w:pPr>
        <w:numPr>
          <w:ilvl w:val="0"/>
          <w:numId w:val="38"/>
        </w:numPr>
        <w:spacing w:line="360" w:lineRule="auto"/>
        <w:jc w:val="both"/>
        <w:rPr>
          <w:rFonts w:ascii="ITC Avant Garde" w:hAnsi="ITC Avant Garde"/>
          <w:sz w:val="20"/>
          <w:szCs w:val="20"/>
        </w:rPr>
      </w:pPr>
      <w:r w:rsidRPr="0086242B">
        <w:rPr>
          <w:rFonts w:ascii="ITC Avant Garde" w:hAnsi="ITC Avant Garde"/>
          <w:sz w:val="20"/>
          <w:szCs w:val="20"/>
        </w:rPr>
        <w:t xml:space="preserve">Trazo (Trace): Retención máxima de imagen (Max </w:t>
      </w:r>
      <w:proofErr w:type="spellStart"/>
      <w:r w:rsidRPr="0086242B">
        <w:rPr>
          <w:rFonts w:ascii="ITC Avant Garde" w:hAnsi="ITC Avant Garde"/>
          <w:sz w:val="20"/>
          <w:szCs w:val="20"/>
        </w:rPr>
        <w:t>Hold</w:t>
      </w:r>
      <w:proofErr w:type="spellEnd"/>
      <w:r w:rsidRPr="0086242B">
        <w:rPr>
          <w:rFonts w:ascii="ITC Avant Garde" w:hAnsi="ITC Avant Garde"/>
          <w:sz w:val="20"/>
          <w:szCs w:val="20"/>
        </w:rPr>
        <w:t>).</w:t>
      </w:r>
    </w:p>
    <w:p w14:paraId="50C13FAE" w14:textId="77777777" w:rsidR="006B595F" w:rsidRPr="0086242B" w:rsidRDefault="006B595F" w:rsidP="006B595F">
      <w:pPr>
        <w:spacing w:line="360" w:lineRule="auto"/>
        <w:jc w:val="both"/>
        <w:rPr>
          <w:rFonts w:ascii="ITC Avant Garde" w:hAnsi="ITC Avant Garde"/>
          <w:sz w:val="20"/>
          <w:szCs w:val="20"/>
          <w:lang w:val="es-ES_tradnl"/>
        </w:rPr>
      </w:pPr>
    </w:p>
    <w:p w14:paraId="20B4C796" w14:textId="77777777" w:rsidR="006B595F" w:rsidRPr="0086242B" w:rsidRDefault="006B595F" w:rsidP="006B595F">
      <w:pPr>
        <w:pStyle w:val="Prrafodelista"/>
        <w:numPr>
          <w:ilvl w:val="0"/>
          <w:numId w:val="38"/>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En ambos casos se debe considerar lo especificado en los numerales 6.2.3 y 6.3.1.</w:t>
      </w:r>
    </w:p>
    <w:p w14:paraId="52598302" w14:textId="77777777" w:rsidR="006B595F" w:rsidRPr="0086242B" w:rsidRDefault="006B595F" w:rsidP="006B595F">
      <w:pPr>
        <w:spacing w:line="360" w:lineRule="auto"/>
        <w:jc w:val="both"/>
        <w:rPr>
          <w:rFonts w:ascii="ITC Avant Garde" w:hAnsi="ITC Avant Garde"/>
          <w:sz w:val="20"/>
          <w:szCs w:val="20"/>
          <w:lang w:val="es-ES_tradnl"/>
        </w:rPr>
      </w:pPr>
    </w:p>
    <w:p w14:paraId="4F03C26F" w14:textId="77777777" w:rsidR="006B595F" w:rsidRPr="0086242B" w:rsidRDefault="006B595F" w:rsidP="006B595F">
      <w:pPr>
        <w:pStyle w:val="Prrafodelista"/>
        <w:numPr>
          <w:ilvl w:val="0"/>
          <w:numId w:val="38"/>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Elegir el sensor tomando en cuenta lo establecido en el numeral 6.2.5, posteriormente conectar y acoplar la antena al equipo de medición como se muestra en el ejemplo de la Figura 2.</w:t>
      </w:r>
    </w:p>
    <w:p w14:paraId="5E470CF1" w14:textId="77777777" w:rsidR="006B595F" w:rsidRPr="0086242B" w:rsidRDefault="006B595F" w:rsidP="006B595F">
      <w:pPr>
        <w:spacing w:line="360" w:lineRule="auto"/>
        <w:jc w:val="both"/>
        <w:rPr>
          <w:rFonts w:ascii="ITC Avant Garde" w:hAnsi="ITC Avant Garde"/>
          <w:sz w:val="20"/>
          <w:szCs w:val="20"/>
          <w:lang w:val="es-ES_tradnl"/>
        </w:rPr>
      </w:pPr>
    </w:p>
    <w:p w14:paraId="66C8539D" w14:textId="77777777" w:rsidR="006B595F" w:rsidRPr="0086242B" w:rsidRDefault="006B595F" w:rsidP="006B595F">
      <w:pPr>
        <w:pStyle w:val="Prrafodelista"/>
        <w:numPr>
          <w:ilvl w:val="0"/>
          <w:numId w:val="38"/>
        </w:numPr>
        <w:spacing w:line="360" w:lineRule="auto"/>
        <w:jc w:val="both"/>
        <w:rPr>
          <w:rFonts w:ascii="ITC Avant Garde" w:hAnsi="ITC Avant Garde"/>
          <w:sz w:val="20"/>
          <w:szCs w:val="20"/>
        </w:rPr>
      </w:pPr>
      <w:r w:rsidRPr="0086242B">
        <w:rPr>
          <w:rFonts w:ascii="ITC Avant Garde" w:hAnsi="ITC Avant Garde"/>
          <w:sz w:val="20"/>
          <w:szCs w:val="20"/>
        </w:rPr>
        <w:t xml:space="preserve">Identificar los puntos en donde se deben realizar las mediciones, estos puntos serán los de máximo nivel de emisión en los espacios en donde esté habitualmente presente público en general. </w:t>
      </w:r>
    </w:p>
    <w:p w14:paraId="2E3C949D" w14:textId="77777777" w:rsidR="006B595F" w:rsidRPr="0086242B" w:rsidRDefault="006B595F" w:rsidP="006B595F">
      <w:pPr>
        <w:spacing w:line="360" w:lineRule="auto"/>
        <w:jc w:val="both"/>
        <w:rPr>
          <w:rFonts w:ascii="ITC Avant Garde" w:hAnsi="ITC Avant Garde"/>
          <w:sz w:val="20"/>
          <w:szCs w:val="20"/>
        </w:rPr>
      </w:pPr>
    </w:p>
    <w:p w14:paraId="651E180F" w14:textId="77777777" w:rsidR="006B595F" w:rsidRPr="0086242B" w:rsidRDefault="006B595F" w:rsidP="006B595F">
      <w:pPr>
        <w:pStyle w:val="Prrafodelista"/>
        <w:numPr>
          <w:ilvl w:val="0"/>
          <w:numId w:val="38"/>
        </w:numPr>
        <w:spacing w:line="360" w:lineRule="auto"/>
        <w:jc w:val="both"/>
        <w:rPr>
          <w:rFonts w:ascii="ITC Avant Garde" w:hAnsi="ITC Avant Garde"/>
          <w:sz w:val="20"/>
          <w:szCs w:val="20"/>
        </w:rPr>
      </w:pPr>
      <w:r w:rsidRPr="0086242B">
        <w:rPr>
          <w:rFonts w:ascii="ITC Avant Garde" w:hAnsi="ITC Avant Garde"/>
          <w:sz w:val="20"/>
          <w:szCs w:val="20"/>
        </w:rPr>
        <w:t xml:space="preserve">Maximizar todas las componentes espectrales activando para ello la función de que disponga el equipo de medición (Max </w:t>
      </w:r>
      <w:proofErr w:type="spellStart"/>
      <w:r w:rsidRPr="0086242B">
        <w:rPr>
          <w:rFonts w:ascii="ITC Avant Garde" w:hAnsi="ITC Avant Garde"/>
          <w:sz w:val="20"/>
          <w:szCs w:val="20"/>
        </w:rPr>
        <w:t>Hold</w:t>
      </w:r>
      <w:proofErr w:type="spellEnd"/>
      <w:r w:rsidRPr="0086242B">
        <w:rPr>
          <w:rFonts w:ascii="ITC Avant Garde" w:hAnsi="ITC Avant Garde"/>
          <w:sz w:val="20"/>
          <w:szCs w:val="20"/>
        </w:rPr>
        <w:t xml:space="preserve"> en el analizador de espectros). Para asegura la medición en el peor caso. </w:t>
      </w:r>
    </w:p>
    <w:p w14:paraId="4E8DED29" w14:textId="77777777" w:rsidR="006B595F" w:rsidRPr="0086242B" w:rsidRDefault="006B595F" w:rsidP="006B595F">
      <w:pPr>
        <w:spacing w:line="360" w:lineRule="auto"/>
        <w:jc w:val="both"/>
        <w:rPr>
          <w:rFonts w:ascii="ITC Avant Garde" w:hAnsi="ITC Avant Garde"/>
          <w:sz w:val="20"/>
          <w:szCs w:val="20"/>
        </w:rPr>
      </w:pPr>
    </w:p>
    <w:p w14:paraId="35D02572" w14:textId="77777777" w:rsidR="006B595F" w:rsidRPr="0086242B" w:rsidRDefault="006B595F" w:rsidP="006B595F">
      <w:pPr>
        <w:pStyle w:val="Prrafodelista"/>
        <w:numPr>
          <w:ilvl w:val="0"/>
          <w:numId w:val="38"/>
        </w:numPr>
        <w:spacing w:line="360" w:lineRule="auto"/>
        <w:jc w:val="both"/>
        <w:rPr>
          <w:rFonts w:ascii="ITC Avant Garde" w:hAnsi="ITC Avant Garde"/>
          <w:sz w:val="20"/>
          <w:szCs w:val="20"/>
        </w:rPr>
      </w:pPr>
      <w:r w:rsidRPr="0086242B">
        <w:rPr>
          <w:rFonts w:ascii="ITC Avant Garde" w:hAnsi="ITC Avant Garde"/>
          <w:sz w:val="20"/>
          <w:szCs w:val="20"/>
        </w:rPr>
        <w:t xml:space="preserve">Mover la antena, en altura, orientación y polarización, con el fin de buscar el máximo de todas las componentes espectrales. </w:t>
      </w:r>
    </w:p>
    <w:p w14:paraId="0D39614E" w14:textId="77777777" w:rsidR="006B595F" w:rsidRPr="0086242B" w:rsidRDefault="006B595F" w:rsidP="006B595F">
      <w:pPr>
        <w:spacing w:line="360" w:lineRule="auto"/>
        <w:jc w:val="both"/>
        <w:rPr>
          <w:rFonts w:ascii="ITC Avant Garde" w:hAnsi="ITC Avant Garde"/>
          <w:sz w:val="20"/>
          <w:szCs w:val="20"/>
        </w:rPr>
      </w:pPr>
    </w:p>
    <w:p w14:paraId="6D56AD79" w14:textId="77777777" w:rsidR="006B595F" w:rsidRPr="0086242B" w:rsidRDefault="006B595F" w:rsidP="006B595F">
      <w:pPr>
        <w:pStyle w:val="Prrafodelista"/>
        <w:numPr>
          <w:ilvl w:val="0"/>
          <w:numId w:val="38"/>
        </w:numPr>
        <w:spacing w:line="360" w:lineRule="auto"/>
        <w:jc w:val="both"/>
        <w:rPr>
          <w:rFonts w:ascii="ITC Avant Garde" w:hAnsi="ITC Avant Garde"/>
          <w:sz w:val="20"/>
          <w:szCs w:val="20"/>
        </w:rPr>
      </w:pPr>
      <w:r w:rsidRPr="0086242B">
        <w:rPr>
          <w:rFonts w:ascii="ITC Avant Garde" w:hAnsi="ITC Avant Garde"/>
          <w:sz w:val="20"/>
          <w:szCs w:val="20"/>
        </w:rPr>
        <w:t>Verificar si existe sobrecarga en el analizador de espectro, incrementando el atenuador en 10 dB. Si hay cambios en el nivel de la señal, dejar el atenuador en el nivel más alto.</w:t>
      </w:r>
    </w:p>
    <w:p w14:paraId="3149E761" w14:textId="77777777" w:rsidR="006B595F" w:rsidRPr="0086242B" w:rsidRDefault="006B595F" w:rsidP="006B595F">
      <w:pPr>
        <w:spacing w:line="360" w:lineRule="auto"/>
        <w:jc w:val="both"/>
        <w:rPr>
          <w:rFonts w:ascii="ITC Avant Garde" w:hAnsi="ITC Avant Garde"/>
          <w:sz w:val="20"/>
          <w:szCs w:val="20"/>
        </w:rPr>
      </w:pPr>
    </w:p>
    <w:p w14:paraId="7B3E47C8"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 xml:space="preserve">Mientras se esté montando o sosteniendo la antena o el sensor de medición, debe tenerse el cuidado de evitar reflexiones o perturbaciones del campo producidas por las estructuras de soporte o por el cuerpo de </w:t>
      </w:r>
      <w:r w:rsidRPr="0086242B">
        <w:rPr>
          <w:rFonts w:ascii="ITC Avant Garde" w:hAnsi="ITC Avant Garde"/>
          <w:sz w:val="20"/>
          <w:szCs w:val="20"/>
          <w:lang w:val="es-MX"/>
        </w:rPr>
        <w:t>la persona que opera el sistema de medición</w:t>
      </w:r>
      <w:r w:rsidRPr="0086242B">
        <w:rPr>
          <w:rFonts w:ascii="ITC Avant Garde" w:hAnsi="ITC Avant Garde"/>
          <w:sz w:val="20"/>
          <w:szCs w:val="20"/>
          <w:lang w:val="es-ES_tradnl"/>
        </w:rPr>
        <w:t xml:space="preserve">. Para evitar perturbaciones del campo, deberán cubrirse con material absorbente las partes metálicas del dispositivo de medición o de la estructura de soporte, solamente cuando sea necesario. De ser posible, los cables interconectados del sensor deberán orientarse en una dirección normal al campo eléctrico. Cuando esto no sea práctico o cuando algunos efectos severos de </w:t>
      </w:r>
      <w:proofErr w:type="spellStart"/>
      <w:r w:rsidRPr="0086242B">
        <w:rPr>
          <w:rFonts w:ascii="ITC Avant Garde" w:hAnsi="ITC Avant Garde"/>
          <w:sz w:val="20"/>
          <w:szCs w:val="20"/>
          <w:lang w:val="es-ES_tradnl"/>
        </w:rPr>
        <w:t>multitrayectoria</w:t>
      </w:r>
      <w:proofErr w:type="spellEnd"/>
      <w:r w:rsidRPr="0086242B">
        <w:rPr>
          <w:rFonts w:ascii="ITC Avant Garde" w:hAnsi="ITC Avant Garde"/>
          <w:sz w:val="20"/>
          <w:szCs w:val="20"/>
          <w:lang w:val="es-ES_tradnl"/>
        </w:rPr>
        <w:t xml:space="preserve"> produzcan campos desde múltiples direcciones, los cables metálicos deberán cubrirse con material absorbente, a menos que las pruebas demuestren que la posición del cable no afecta la medición. Los accesorios dieléctricos deben ser lo más pequeños que sea posible para que su sección transversal reflectora sea mínima, y deberán ser de un material con una constante dieléctrica baja, o ser menores a </w:t>
      </w:r>
      <m:oMath>
        <m:f>
          <m:fPr>
            <m:ctrlPr>
              <w:rPr>
                <w:rFonts w:ascii="Cambria Math" w:hAnsi="Cambria Math"/>
                <w:i/>
                <w:lang w:val="es-ES_tradnl"/>
              </w:rPr>
            </m:ctrlPr>
          </m:fPr>
          <m:num>
            <m:r>
              <w:rPr>
                <w:rFonts w:ascii="Cambria Math" w:hAnsi="Cambria Math"/>
                <w:lang w:val="es-ES_tradnl"/>
              </w:rPr>
              <m:t>λ</m:t>
            </m:r>
          </m:num>
          <m:den>
            <m:r>
              <w:rPr>
                <w:rFonts w:ascii="Cambria Math" w:hAnsi="Cambria Math"/>
                <w:lang w:val="es-ES_tradnl"/>
              </w:rPr>
              <m:t>4</m:t>
            </m:r>
          </m:den>
        </m:f>
      </m:oMath>
      <w:r w:rsidRPr="0086242B">
        <w:rPr>
          <w:rFonts w:ascii="ITC Avant Garde" w:hAnsi="ITC Avant Garde"/>
          <w:sz w:val="20"/>
          <w:szCs w:val="20"/>
          <w:lang w:val="es-ES_tradnl"/>
        </w:rPr>
        <w:t xml:space="preserve">  en grosor efectivo T</w:t>
      </w:r>
      <w:r w:rsidRPr="0086242B">
        <w:rPr>
          <w:rFonts w:ascii="ITC Avant Garde" w:hAnsi="ITC Avant Garde"/>
          <w:sz w:val="20"/>
          <w:szCs w:val="20"/>
          <w:vertAlign w:val="subscript"/>
          <w:lang w:val="es-ES_tradnl"/>
        </w:rPr>
        <w:t>E</w:t>
      </w:r>
      <w:r w:rsidRPr="0086242B">
        <w:rPr>
          <w:rFonts w:ascii="ITC Avant Garde" w:hAnsi="ITC Avant Garde"/>
          <w:sz w:val="20"/>
          <w:szCs w:val="20"/>
          <w:lang w:val="es-ES_tradnl"/>
        </w:rPr>
        <w:t>. El grosor efectivo se calcula de la siguiente forma:</w:t>
      </w:r>
    </w:p>
    <w:p w14:paraId="1F54B1CE" w14:textId="77777777" w:rsidR="006B595F" w:rsidRPr="0086242B" w:rsidRDefault="006B595F" w:rsidP="006B595F">
      <w:pPr>
        <w:jc w:val="both"/>
        <w:rPr>
          <w:rFonts w:ascii="ITC Avant Garde" w:hAnsi="ITC Avant Garde"/>
          <w:lang w:val="es-ES_tradnl"/>
        </w:rPr>
      </w:pPr>
    </w:p>
    <w:p w14:paraId="0F35DFEA" w14:textId="77777777" w:rsidR="006B595F" w:rsidRPr="0086242B" w:rsidRDefault="006B595F" w:rsidP="006B595F">
      <w:pPr>
        <w:pStyle w:val="Ecuacin"/>
        <w:rPr>
          <w:rFonts w:ascii="ITC Avant Garde" w:hAnsi="ITC Avant Garde"/>
          <w:sz w:val="20"/>
          <w:szCs w:val="20"/>
          <w:lang w:val="es-ES_tradnl"/>
        </w:rPr>
      </w:pPr>
      <w:r w:rsidRPr="0086242B">
        <w:rPr>
          <w:rFonts w:ascii="ITC Avant Garde" w:hAnsi="ITC Avant Garde"/>
          <w:lang w:val="es-ES_tradnl"/>
        </w:rPr>
        <w:tab/>
      </w:r>
      <w:r w:rsidR="00672004">
        <w:rPr>
          <w:rFonts w:ascii="ITC Avant Garde" w:hAnsi="ITC Avant Garde"/>
          <w:noProof/>
          <w:position w:val="-12"/>
          <w:lang w:val="es-MX" w:eastAsia="es-MX"/>
        </w:rPr>
        <w:drawing>
          <wp:inline distT="0" distB="0" distL="0" distR="0" wp14:anchorId="1B6388CA" wp14:editId="54837E9B">
            <wp:extent cx="716915" cy="259715"/>
            <wp:effectExtent l="0" t="0" r="6985"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6915" cy="259715"/>
                    </a:xfrm>
                    <a:prstGeom prst="rect">
                      <a:avLst/>
                    </a:prstGeom>
                    <a:noFill/>
                    <a:ln>
                      <a:noFill/>
                    </a:ln>
                  </pic:spPr>
                </pic:pic>
              </a:graphicData>
            </a:graphic>
          </wp:inline>
        </w:drawing>
      </w:r>
      <w:r w:rsidRPr="0086242B">
        <w:rPr>
          <w:rFonts w:ascii="ITC Avant Garde" w:hAnsi="ITC Avant Garde"/>
          <w:lang w:val="es-ES_tradnl"/>
        </w:rPr>
        <w:tab/>
      </w:r>
      <w:r w:rsidRPr="0086242B">
        <w:rPr>
          <w:rFonts w:ascii="ITC Avant Garde" w:hAnsi="ITC Avant Garde"/>
          <w:sz w:val="20"/>
          <w:szCs w:val="20"/>
        </w:rPr>
        <w:t>(15)</w:t>
      </w:r>
    </w:p>
    <w:p w14:paraId="20DBD0B4"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En donde:</w:t>
      </w:r>
    </w:p>
    <w:p w14:paraId="2BE241D0"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T</w:t>
      </w:r>
      <w:r w:rsidRPr="0086242B">
        <w:rPr>
          <w:rFonts w:ascii="ITC Avant Garde" w:hAnsi="ITC Avant Garde"/>
          <w:i/>
          <w:sz w:val="20"/>
          <w:szCs w:val="20"/>
          <w:vertAlign w:val="subscript"/>
        </w:rPr>
        <w:t>E</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Grosor efectivo [m].</w:t>
      </w:r>
    </w:p>
    <w:p w14:paraId="220399C9"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T</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Grosor físico [m].</w:t>
      </w:r>
    </w:p>
    <w:p w14:paraId="7F2F89F5"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proofErr w:type="spellStart"/>
      <w:proofErr w:type="gramStart"/>
      <w:r w:rsidRPr="0086242B">
        <w:rPr>
          <w:rFonts w:ascii="Calibri" w:hAnsi="Calibri" w:cs="Calibri"/>
          <w:i/>
          <w:sz w:val="20"/>
          <w:szCs w:val="20"/>
        </w:rPr>
        <w:t>ε</w:t>
      </w:r>
      <w:r w:rsidRPr="0086242B">
        <w:rPr>
          <w:rFonts w:ascii="ITC Avant Garde" w:hAnsi="ITC Avant Garde"/>
          <w:i/>
          <w:sz w:val="20"/>
          <w:szCs w:val="20"/>
          <w:vertAlign w:val="subscript"/>
        </w:rPr>
        <w:t>r</w:t>
      </w:r>
      <w:proofErr w:type="spellEnd"/>
      <w:proofErr w:type="gramEnd"/>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r>
      <w:proofErr w:type="spellStart"/>
      <w:r w:rsidRPr="0086242B">
        <w:rPr>
          <w:rFonts w:ascii="ITC Avant Garde" w:hAnsi="ITC Avant Garde"/>
          <w:sz w:val="20"/>
          <w:szCs w:val="20"/>
        </w:rPr>
        <w:t>Permitividad</w:t>
      </w:r>
      <w:proofErr w:type="spellEnd"/>
      <w:r w:rsidRPr="0086242B">
        <w:rPr>
          <w:rFonts w:ascii="ITC Avant Garde" w:hAnsi="ITC Avant Garde"/>
          <w:sz w:val="20"/>
          <w:szCs w:val="20"/>
        </w:rPr>
        <w:t xml:space="preserve"> eléctrica relativa [F/m].</w:t>
      </w:r>
    </w:p>
    <w:p w14:paraId="5DCC8951" w14:textId="77777777" w:rsidR="006B595F" w:rsidRPr="0086242B" w:rsidRDefault="006B595F" w:rsidP="006B595F">
      <w:pPr>
        <w:spacing w:line="360" w:lineRule="auto"/>
        <w:jc w:val="both"/>
        <w:rPr>
          <w:rFonts w:ascii="ITC Avant Garde" w:hAnsi="ITC Avant Garde"/>
          <w:sz w:val="20"/>
          <w:szCs w:val="20"/>
        </w:rPr>
      </w:pPr>
    </w:p>
    <w:p w14:paraId="0ABCD872"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Incluso las placas dieléctricas planas uniformes (</w:t>
      </w:r>
      <w:proofErr w:type="spellStart"/>
      <w:r w:rsidRPr="0086242B">
        <w:rPr>
          <w:rFonts w:ascii="Calibri" w:hAnsi="Calibri" w:cs="Calibri"/>
          <w:i/>
          <w:sz w:val="20"/>
          <w:szCs w:val="20"/>
        </w:rPr>
        <w:t>ε</w:t>
      </w:r>
      <w:r w:rsidRPr="0086242B">
        <w:rPr>
          <w:rFonts w:ascii="ITC Avant Garde" w:hAnsi="ITC Avant Garde"/>
          <w:i/>
          <w:sz w:val="20"/>
          <w:szCs w:val="20"/>
          <w:vertAlign w:val="subscript"/>
        </w:rPr>
        <w:t>r</w:t>
      </w:r>
      <w:proofErr w:type="spellEnd"/>
      <w:r w:rsidRPr="0086242B">
        <w:rPr>
          <w:rFonts w:ascii="ITC Avant Garde" w:hAnsi="ITC Avant Garde"/>
          <w:sz w:val="20"/>
          <w:szCs w:val="20"/>
        </w:rPr>
        <w:t>&gt;2</w:t>
      </w:r>
      <w:r w:rsidRPr="0086242B">
        <w:rPr>
          <w:rFonts w:ascii="ITC Avant Garde" w:hAnsi="ITC Avant Garde"/>
          <w:sz w:val="20"/>
          <w:szCs w:val="20"/>
          <w:lang w:val="es-ES_tradnl"/>
        </w:rPr>
        <w:t>) pueden alterar significativamente los campos de onda plana si el grosor efectivo es mayor a 0.1 de la longitud de onda.</w:t>
      </w:r>
    </w:p>
    <w:p w14:paraId="09C85619" w14:textId="77777777" w:rsidR="006B595F" w:rsidRPr="0086242B" w:rsidRDefault="006B595F" w:rsidP="006B595F">
      <w:pPr>
        <w:spacing w:line="360" w:lineRule="auto"/>
        <w:jc w:val="both"/>
        <w:rPr>
          <w:rFonts w:ascii="ITC Avant Garde" w:hAnsi="ITC Avant Garde"/>
          <w:sz w:val="20"/>
          <w:szCs w:val="20"/>
          <w:lang w:val="es-ES_tradnl"/>
        </w:rPr>
      </w:pPr>
    </w:p>
    <w:p w14:paraId="659BB7E6"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 xml:space="preserve">Para obtener la máxima exactitud, las fuentes de error pueden ser calculadas para que de esta manera las intensidades de campo reales puedan evaluarse con menos de </w:t>
      </w:r>
      <w:r w:rsidR="00672004">
        <w:rPr>
          <w:rFonts w:ascii="ITC Avant Garde" w:hAnsi="ITC Avant Garde"/>
          <w:noProof/>
          <w:position w:val="-4"/>
          <w:sz w:val="20"/>
          <w:szCs w:val="20"/>
          <w:lang w:val="es-MX" w:eastAsia="es-MX"/>
        </w:rPr>
        <w:drawing>
          <wp:inline distT="0" distB="0" distL="0" distR="0" wp14:anchorId="539CD640" wp14:editId="42D43C34">
            <wp:extent cx="148590" cy="148590"/>
            <wp:effectExtent l="0" t="0" r="3810" b="3810"/>
            <wp:docPr id="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86242B">
        <w:rPr>
          <w:rFonts w:ascii="ITC Avant Garde" w:hAnsi="ITC Avant Garde"/>
          <w:sz w:val="20"/>
          <w:szCs w:val="20"/>
          <w:lang w:val="es-ES_tradnl"/>
        </w:rPr>
        <w:t xml:space="preserve">2 dB de incertidumbre. Para obtener este nivel de exactitud a frecuencias por encima de los 300 MHz, se puede realizar una medición automatizada por medio de instrumentos con mecanismos de barrido mecánico, el cual es controlado electrónicamente. De esta forma se puede medir en varios puntos fijos, espaciados entre sí por una distancia muy inferior a una longitud de onda, para así obtener la información de las variaciones en la intensidad de campo en la zona de exposición, debidas a las </w:t>
      </w:r>
      <w:proofErr w:type="spellStart"/>
      <w:r w:rsidRPr="0086242B">
        <w:rPr>
          <w:rFonts w:ascii="ITC Avant Garde" w:hAnsi="ITC Avant Garde"/>
          <w:sz w:val="20"/>
          <w:szCs w:val="20"/>
          <w:lang w:val="es-ES_tradnl"/>
        </w:rPr>
        <w:t>multitrayectorias</w:t>
      </w:r>
      <w:proofErr w:type="spellEnd"/>
      <w:r w:rsidRPr="0086242B">
        <w:rPr>
          <w:rFonts w:ascii="ITC Avant Garde" w:hAnsi="ITC Avant Garde"/>
          <w:sz w:val="20"/>
          <w:szCs w:val="20"/>
          <w:lang w:val="es-ES_tradnl"/>
        </w:rPr>
        <w:t xml:space="preserve"> y a otras reflexiones. Estas mediciones también se pueden hacer de forma manual.</w:t>
      </w:r>
    </w:p>
    <w:p w14:paraId="21EAE2F3" w14:textId="77777777" w:rsidR="006B595F" w:rsidRPr="0086242B" w:rsidRDefault="006B595F" w:rsidP="006B595F">
      <w:pPr>
        <w:spacing w:line="360" w:lineRule="auto"/>
        <w:jc w:val="both"/>
        <w:rPr>
          <w:rFonts w:ascii="ITC Avant Garde" w:hAnsi="ITC Avant Garde"/>
          <w:sz w:val="20"/>
          <w:szCs w:val="20"/>
          <w:lang w:val="es-ES_tradnl"/>
        </w:rPr>
      </w:pPr>
    </w:p>
    <w:p w14:paraId="4B114970"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Una vez que todas las componentes espectrales se estabilicen, se deben tomar las mediciones, registrarlas y compararlas con los valores de la Tabla 2.</w:t>
      </w:r>
    </w:p>
    <w:p w14:paraId="713B1A43" w14:textId="77777777" w:rsidR="006B595F" w:rsidRPr="0086242B" w:rsidRDefault="006B595F" w:rsidP="006B595F">
      <w:pPr>
        <w:jc w:val="both"/>
        <w:rPr>
          <w:rFonts w:ascii="ITC Avant Garde" w:hAnsi="ITC Avant Garde"/>
          <w:lang w:val="es-ES_tradnl"/>
        </w:rPr>
      </w:pPr>
    </w:p>
    <w:p w14:paraId="036B6E9C" w14:textId="77777777" w:rsidR="006B595F" w:rsidRPr="0086242B" w:rsidRDefault="006B595F" w:rsidP="006B595F">
      <w:pPr>
        <w:pStyle w:val="Ttulo4"/>
        <w:keepLines w:val="0"/>
        <w:numPr>
          <w:ilvl w:val="3"/>
          <w:numId w:val="49"/>
        </w:numPr>
        <w:spacing w:before="240" w:after="60" w:line="240" w:lineRule="auto"/>
        <w:rPr>
          <w:rFonts w:ascii="ITC Avant Garde" w:hAnsi="ITC Avant Garde"/>
          <w:i w:val="0"/>
          <w:color w:val="auto"/>
          <w:sz w:val="22"/>
          <w:szCs w:val="22"/>
        </w:rPr>
      </w:pPr>
      <w:r w:rsidRPr="0086242B">
        <w:rPr>
          <w:rFonts w:ascii="ITC Avant Garde" w:hAnsi="ITC Avant Garde"/>
          <w:i w:val="0"/>
          <w:color w:val="auto"/>
          <w:sz w:val="22"/>
          <w:szCs w:val="22"/>
          <w:lang w:val="es-MX"/>
        </w:rPr>
        <w:t xml:space="preserve">Medición con </w:t>
      </w:r>
      <w:r w:rsidRPr="0086242B">
        <w:rPr>
          <w:rFonts w:ascii="ITC Avant Garde" w:hAnsi="ITC Avant Garde"/>
          <w:i w:val="0"/>
          <w:color w:val="auto"/>
          <w:sz w:val="22"/>
          <w:szCs w:val="22"/>
        </w:rPr>
        <w:t xml:space="preserve">condiciones de </w:t>
      </w:r>
      <w:r w:rsidRPr="0086242B">
        <w:rPr>
          <w:rFonts w:ascii="ITC Avant Garde" w:hAnsi="ITC Avant Garde"/>
          <w:i w:val="0"/>
          <w:color w:val="auto"/>
          <w:sz w:val="22"/>
          <w:szCs w:val="22"/>
          <w:lang w:val="es-MX"/>
        </w:rPr>
        <w:t>c</w:t>
      </w:r>
      <w:r w:rsidRPr="0086242B">
        <w:rPr>
          <w:rFonts w:ascii="ITC Avant Garde" w:hAnsi="ITC Avant Garde"/>
          <w:i w:val="0"/>
          <w:color w:val="auto"/>
          <w:sz w:val="22"/>
          <w:szCs w:val="22"/>
        </w:rPr>
        <w:t>ampo lejano y múltiples emisores</w:t>
      </w:r>
    </w:p>
    <w:p w14:paraId="4B7F0A4C" w14:textId="77777777" w:rsidR="006B595F" w:rsidRPr="0086242B" w:rsidRDefault="006B595F" w:rsidP="006B595F">
      <w:pPr>
        <w:rPr>
          <w:i/>
        </w:rPr>
      </w:pPr>
    </w:p>
    <w:p w14:paraId="63BAE537"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Cuando se miden los campos originados por múltiples emisores con características de frecuencia, polarización y dirección de propagación desconocidas, se requerirá utilizar un medidor de intensidad de campo de banda ancha y un sensor isotrópico de banda ancha. En estos casos se pueden generar campos muy complejos donde existen ondas estacionarias e interacciones fuertes entre los campos de cada emisor. Por ello, se deben efectuar las mediciones sobre un volumen en el espacio, en vez de hacerlo sobre una superficie, como la indicada en la Figura 4. Por lo tanto, formar un paralelepípedo solamente al proyectar la superficie descrita en las Consideraciones generales en unos 0.5 metros de profundidad y agregar otros 9 puntos o más. Las mediciones se hacen en cada uno de los 18 puntos resultantes y se obtienen los promedios como se indican en las ecuaciones 12, 13 y 14 para un mayor número de puntos.</w:t>
      </w:r>
    </w:p>
    <w:p w14:paraId="13F8667E" w14:textId="77777777" w:rsidR="006B595F" w:rsidRPr="0086242B" w:rsidRDefault="006B595F" w:rsidP="006B595F">
      <w:pPr>
        <w:spacing w:line="360" w:lineRule="auto"/>
        <w:jc w:val="both"/>
        <w:rPr>
          <w:rFonts w:ascii="ITC Avant Garde" w:hAnsi="ITC Avant Garde"/>
          <w:sz w:val="20"/>
          <w:szCs w:val="20"/>
          <w:lang w:val="es-ES_tradnl"/>
        </w:rPr>
      </w:pPr>
    </w:p>
    <w:p w14:paraId="3B80BEC0"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Aun cuando se utilice un sensor isotrópico para medir simultáneamente todas las componentes de los campos eléctrico y magnético, se debe tener cuidado para no crear situaciones en que se reflejen las señales por la posición del sensor, los cables, el equipo de medición y el mismo operador. En estos casos se deben utilizar cables largos de alta resistencia o cables de fibra óptica para realizar las mediciones de una forma remota.</w:t>
      </w:r>
    </w:p>
    <w:p w14:paraId="55229075" w14:textId="77777777" w:rsidR="006B595F" w:rsidRPr="0086242B" w:rsidRDefault="006B595F" w:rsidP="006B595F">
      <w:pPr>
        <w:jc w:val="both"/>
        <w:rPr>
          <w:rFonts w:ascii="ITC Avant Garde" w:hAnsi="ITC Avant Garde"/>
        </w:rPr>
      </w:pPr>
    </w:p>
    <w:p w14:paraId="2A0CC800"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El nivel de exposición en la región de campo lejano en zonas cercanas a múltiples emisores a las que normalmente puedan tener acceso o donde habitualmente </w:t>
      </w:r>
      <w:proofErr w:type="gramStart"/>
      <w:r w:rsidRPr="0086242B">
        <w:rPr>
          <w:rFonts w:ascii="ITC Avant Garde" w:hAnsi="ITC Avant Garde"/>
          <w:sz w:val="20"/>
          <w:szCs w:val="20"/>
        </w:rPr>
        <w:t>se  encuentran</w:t>
      </w:r>
      <w:proofErr w:type="gramEnd"/>
      <w:r w:rsidRPr="0086242B">
        <w:rPr>
          <w:rFonts w:ascii="ITC Avant Garde" w:hAnsi="ITC Avant Garde"/>
          <w:sz w:val="20"/>
          <w:szCs w:val="20"/>
        </w:rPr>
        <w:t xml:space="preserve"> seres humanos debe ser ≤ 1. Si éste valor llegase a ser mayor a la unidad, entonces se deberán realizar mediciones de los niveles de exposición de cada emisor con el fin de verificar el cumplimiento con los valores límites de exposición a la frecuencia de operación correspondiente, considerando lo establecido en 6.3.3. Se deberán tomar las mediciones correspondientes a cada emisor, registrarlas, compararlas con los valores de la Tabla 2.</w:t>
      </w:r>
    </w:p>
    <w:p w14:paraId="47616644" w14:textId="77777777" w:rsidR="006B595F" w:rsidRPr="0086242B" w:rsidRDefault="006B595F" w:rsidP="006B595F">
      <w:pPr>
        <w:jc w:val="both"/>
        <w:rPr>
          <w:rFonts w:ascii="ITC Avant Garde" w:hAnsi="ITC Avant Garde"/>
        </w:rPr>
      </w:pPr>
    </w:p>
    <w:p w14:paraId="7E9D165E" w14:textId="77777777" w:rsidR="006B595F" w:rsidRPr="0086242B" w:rsidRDefault="006B595F" w:rsidP="006B595F">
      <w:pPr>
        <w:pStyle w:val="Ttulo4"/>
        <w:keepLines w:val="0"/>
        <w:numPr>
          <w:ilvl w:val="3"/>
          <w:numId w:val="49"/>
        </w:numPr>
        <w:spacing w:before="240" w:after="60" w:line="240" w:lineRule="auto"/>
        <w:rPr>
          <w:rFonts w:ascii="ITC Avant Garde" w:hAnsi="ITC Avant Garde"/>
          <w:i w:val="0"/>
          <w:color w:val="auto"/>
          <w:sz w:val="22"/>
          <w:szCs w:val="22"/>
        </w:rPr>
      </w:pPr>
      <w:r w:rsidRPr="0086242B">
        <w:rPr>
          <w:rFonts w:ascii="ITC Avant Garde" w:hAnsi="ITC Avant Garde"/>
          <w:i w:val="0"/>
          <w:color w:val="auto"/>
          <w:sz w:val="22"/>
          <w:szCs w:val="22"/>
          <w:lang w:val="es-MX"/>
        </w:rPr>
        <w:t>Medición en c</w:t>
      </w:r>
      <w:r w:rsidRPr="0086242B">
        <w:rPr>
          <w:rFonts w:ascii="ITC Avant Garde" w:hAnsi="ITC Avant Garde"/>
          <w:i w:val="0"/>
          <w:color w:val="auto"/>
          <w:sz w:val="22"/>
          <w:szCs w:val="22"/>
        </w:rPr>
        <w:t>ampo cercano.</w:t>
      </w:r>
    </w:p>
    <w:p w14:paraId="6B7001EB" w14:textId="77777777" w:rsidR="006B595F" w:rsidRPr="0086242B" w:rsidRDefault="006B595F" w:rsidP="006B595F">
      <w:pPr>
        <w:rPr>
          <w:i/>
        </w:rPr>
      </w:pPr>
    </w:p>
    <w:p w14:paraId="43067242"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Debido a la presencia de grandes gradientes de campo en la zona de campo cercano de un radiador secundario pasivo o un radiador activo, su medición requiere del uso de un sensor con un arreglo eléctricamente pequeño de tres dipolos ortogonales y, para frecuencias por debajo de los 300 MHz, un arreglo de tres aros ortogonales eléctricamente pequeños, a fin de obtener una medición con una resolución satisfactoria dentro de estos gradientes espaciales. Como la polarización de los campos en situaciones de campo cercano es generalmente desconocida, en la mayoría de los casos debe usarse un sensor isotrópico. Si la frecuencia y la polarización son conocidas, no se requiere de un instrumento de banda ancha; en su lugar se puede emplear un sensor de banda angosta de respuesta uniforme en un solo plano (similar a algunos instrumentos de medición comerciales con dos dipolos ortogonales).</w:t>
      </w:r>
    </w:p>
    <w:p w14:paraId="695A1861" w14:textId="77777777" w:rsidR="006B595F" w:rsidRPr="0086242B" w:rsidRDefault="006B595F" w:rsidP="006B595F">
      <w:pPr>
        <w:spacing w:line="360" w:lineRule="auto"/>
        <w:jc w:val="both"/>
        <w:rPr>
          <w:rFonts w:ascii="ITC Avant Garde" w:hAnsi="ITC Avant Garde"/>
          <w:sz w:val="20"/>
          <w:szCs w:val="20"/>
          <w:lang w:val="es-ES_tradnl"/>
        </w:rPr>
      </w:pPr>
    </w:p>
    <w:p w14:paraId="4066293D"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Para realizar mediciones en condiciones de campo cercano, deben observarse los siguientes requerimientos:</w:t>
      </w:r>
    </w:p>
    <w:p w14:paraId="2A48E77F" w14:textId="77777777" w:rsidR="006B595F" w:rsidRPr="0086242B" w:rsidRDefault="006B595F" w:rsidP="006B595F">
      <w:pPr>
        <w:spacing w:line="360" w:lineRule="auto"/>
        <w:jc w:val="both"/>
        <w:rPr>
          <w:rFonts w:ascii="ITC Avant Garde" w:hAnsi="ITC Avant Garde"/>
          <w:sz w:val="20"/>
          <w:szCs w:val="20"/>
        </w:rPr>
      </w:pPr>
    </w:p>
    <w:p w14:paraId="49E5C0E9" w14:textId="77777777" w:rsidR="006B595F" w:rsidRPr="0086242B" w:rsidRDefault="006B595F" w:rsidP="006B595F">
      <w:pPr>
        <w:pStyle w:val="Prrafodelista"/>
        <w:numPr>
          <w:ilvl w:val="0"/>
          <w:numId w:val="20"/>
        </w:numPr>
        <w:spacing w:line="360" w:lineRule="auto"/>
        <w:jc w:val="both"/>
        <w:rPr>
          <w:rFonts w:ascii="ITC Avant Garde" w:hAnsi="ITC Avant Garde"/>
          <w:sz w:val="20"/>
          <w:szCs w:val="20"/>
        </w:rPr>
      </w:pPr>
      <w:r w:rsidRPr="0086242B">
        <w:rPr>
          <w:rFonts w:ascii="ITC Avant Garde" w:hAnsi="ITC Avant Garde"/>
          <w:sz w:val="20"/>
          <w:szCs w:val="20"/>
        </w:rPr>
        <w:t>El sensor debe responder a un solo parámetro del campo electromagnético y no producir emisiones espurias como respuesta a otro de los parámetros del campo. (Por ejemplo, si el sensor se diseña únicamente para responder al campo magnético, deberá contar con alguna característica que permita cancelar el campo eléctrico).</w:t>
      </w:r>
    </w:p>
    <w:p w14:paraId="0E269951" w14:textId="77777777" w:rsidR="006B595F" w:rsidRPr="0086242B" w:rsidRDefault="006B595F" w:rsidP="006B595F">
      <w:pPr>
        <w:pStyle w:val="Prrafodelista"/>
        <w:spacing w:line="360" w:lineRule="auto"/>
        <w:jc w:val="both"/>
        <w:rPr>
          <w:rFonts w:ascii="ITC Avant Garde" w:hAnsi="ITC Avant Garde"/>
          <w:sz w:val="20"/>
          <w:szCs w:val="20"/>
        </w:rPr>
      </w:pPr>
    </w:p>
    <w:p w14:paraId="79D476C3" w14:textId="77777777" w:rsidR="006B595F" w:rsidRPr="0086242B" w:rsidRDefault="006B595F" w:rsidP="006B595F">
      <w:pPr>
        <w:numPr>
          <w:ilvl w:val="0"/>
          <w:numId w:val="20"/>
        </w:numPr>
        <w:spacing w:line="360" w:lineRule="auto"/>
        <w:jc w:val="both"/>
        <w:rPr>
          <w:rFonts w:ascii="ITC Avant Garde" w:hAnsi="ITC Avant Garde"/>
          <w:sz w:val="20"/>
          <w:szCs w:val="20"/>
        </w:rPr>
      </w:pPr>
      <w:r w:rsidRPr="0086242B">
        <w:rPr>
          <w:rFonts w:ascii="ITC Avant Garde" w:hAnsi="ITC Avant Garde"/>
          <w:sz w:val="20"/>
          <w:szCs w:val="20"/>
        </w:rPr>
        <w:t>Las dimensiones del sensor en el medio circundante deberán ser inferiores a una longitud de onda, a la frecuencia de operación más alta.</w:t>
      </w:r>
    </w:p>
    <w:p w14:paraId="66DD1BD6" w14:textId="77777777" w:rsidR="006B595F" w:rsidRPr="0086242B" w:rsidRDefault="006B595F" w:rsidP="006B595F">
      <w:pPr>
        <w:pStyle w:val="Prrafodelista"/>
        <w:rPr>
          <w:rFonts w:ascii="ITC Avant Garde" w:hAnsi="ITC Avant Garde"/>
          <w:sz w:val="20"/>
          <w:szCs w:val="20"/>
        </w:rPr>
      </w:pPr>
    </w:p>
    <w:p w14:paraId="4B81CA77" w14:textId="77777777" w:rsidR="006B595F" w:rsidRPr="0086242B" w:rsidRDefault="006B595F" w:rsidP="006B595F">
      <w:pPr>
        <w:spacing w:line="360" w:lineRule="auto"/>
        <w:ind w:left="720"/>
        <w:jc w:val="both"/>
        <w:rPr>
          <w:rFonts w:ascii="ITC Avant Garde" w:hAnsi="ITC Avant Garde"/>
          <w:sz w:val="20"/>
          <w:szCs w:val="20"/>
        </w:rPr>
      </w:pPr>
    </w:p>
    <w:p w14:paraId="4D411C62" w14:textId="77777777" w:rsidR="006B595F" w:rsidRPr="0086242B" w:rsidRDefault="006B595F" w:rsidP="006B595F">
      <w:pPr>
        <w:numPr>
          <w:ilvl w:val="0"/>
          <w:numId w:val="20"/>
        </w:numPr>
        <w:spacing w:line="360" w:lineRule="auto"/>
        <w:jc w:val="both"/>
        <w:rPr>
          <w:rFonts w:ascii="ITC Avant Garde" w:hAnsi="ITC Avant Garde"/>
          <w:sz w:val="20"/>
          <w:szCs w:val="20"/>
        </w:rPr>
      </w:pPr>
      <w:r w:rsidRPr="0086242B">
        <w:rPr>
          <w:rFonts w:ascii="ITC Avant Garde" w:hAnsi="ITC Avant Garde"/>
          <w:sz w:val="20"/>
          <w:szCs w:val="20"/>
        </w:rPr>
        <w:t>El sensor no deberá producir una dispersión significativa de los campos electromagnéticos incidentes.</w:t>
      </w:r>
    </w:p>
    <w:p w14:paraId="55EABDAF" w14:textId="77777777" w:rsidR="006B595F" w:rsidRPr="0086242B" w:rsidRDefault="006B595F" w:rsidP="006B595F">
      <w:pPr>
        <w:spacing w:line="360" w:lineRule="auto"/>
        <w:ind w:left="720"/>
        <w:jc w:val="both"/>
        <w:rPr>
          <w:rFonts w:ascii="ITC Avant Garde" w:hAnsi="ITC Avant Garde"/>
          <w:sz w:val="20"/>
          <w:szCs w:val="20"/>
        </w:rPr>
      </w:pPr>
    </w:p>
    <w:p w14:paraId="297BB380" w14:textId="77777777" w:rsidR="006B595F" w:rsidRPr="0086242B" w:rsidRDefault="006B595F" w:rsidP="006B595F">
      <w:pPr>
        <w:numPr>
          <w:ilvl w:val="0"/>
          <w:numId w:val="20"/>
        </w:numPr>
        <w:spacing w:line="360" w:lineRule="auto"/>
        <w:jc w:val="both"/>
        <w:rPr>
          <w:rFonts w:ascii="ITC Avant Garde" w:hAnsi="ITC Avant Garde"/>
          <w:sz w:val="20"/>
          <w:szCs w:val="20"/>
        </w:rPr>
      </w:pPr>
      <w:r w:rsidRPr="0086242B">
        <w:rPr>
          <w:rFonts w:ascii="ITC Avant Garde" w:hAnsi="ITC Avant Garde"/>
          <w:sz w:val="20"/>
          <w:szCs w:val="20"/>
        </w:rPr>
        <w:t>La respuesta del sensor deberá ser isotrópica, no dependiente de su orientación, no direccional y sin polarización. Sin embargo, cuando se conoce la polarización del campo eléctrico o magnético, o si se tiene la facilidad de rotar el sensor para encontrar la orientación que produce la respuesta máxima, se puede emplear un sensor con una respuesta no isotrópica.</w:t>
      </w:r>
    </w:p>
    <w:p w14:paraId="09A1EF93" w14:textId="77777777" w:rsidR="006B595F" w:rsidRPr="0086242B" w:rsidRDefault="006B595F" w:rsidP="006B595F">
      <w:pPr>
        <w:spacing w:line="360" w:lineRule="auto"/>
        <w:ind w:left="720"/>
        <w:jc w:val="both"/>
        <w:rPr>
          <w:rFonts w:ascii="ITC Avant Garde" w:hAnsi="ITC Avant Garde"/>
          <w:sz w:val="20"/>
          <w:szCs w:val="20"/>
        </w:rPr>
      </w:pPr>
    </w:p>
    <w:p w14:paraId="2470851D" w14:textId="77777777" w:rsidR="006B595F" w:rsidRPr="0086242B" w:rsidRDefault="006B595F" w:rsidP="006B595F">
      <w:pPr>
        <w:numPr>
          <w:ilvl w:val="0"/>
          <w:numId w:val="20"/>
        </w:numPr>
        <w:spacing w:line="360" w:lineRule="auto"/>
        <w:jc w:val="both"/>
        <w:rPr>
          <w:rFonts w:ascii="ITC Avant Garde" w:hAnsi="ITC Avant Garde"/>
          <w:sz w:val="20"/>
          <w:szCs w:val="20"/>
        </w:rPr>
      </w:pPr>
      <w:r w:rsidRPr="0086242B">
        <w:rPr>
          <w:rFonts w:ascii="ITC Avant Garde" w:hAnsi="ITC Avant Garde"/>
          <w:sz w:val="20"/>
          <w:szCs w:val="20"/>
        </w:rPr>
        <w:t>Los cables que conectan al sensor con el equipo de medición no deberán interactuar significativamente con el campo o conducir alguna corriente de RF originada por el campo, hacia el sensor.</w:t>
      </w:r>
    </w:p>
    <w:p w14:paraId="0BAF718B" w14:textId="77777777" w:rsidR="006B595F" w:rsidRPr="0086242B" w:rsidRDefault="006B595F" w:rsidP="006B595F">
      <w:pPr>
        <w:spacing w:line="360" w:lineRule="auto"/>
        <w:jc w:val="both"/>
        <w:rPr>
          <w:rFonts w:ascii="ITC Avant Garde" w:hAnsi="ITC Avant Garde"/>
          <w:sz w:val="20"/>
          <w:szCs w:val="20"/>
        </w:rPr>
      </w:pPr>
    </w:p>
    <w:p w14:paraId="64A3AA53" w14:textId="77777777" w:rsidR="006B595F" w:rsidRPr="0086242B" w:rsidRDefault="006B595F" w:rsidP="006B595F">
      <w:pPr>
        <w:numPr>
          <w:ilvl w:val="0"/>
          <w:numId w:val="20"/>
        </w:numPr>
        <w:spacing w:line="360" w:lineRule="auto"/>
        <w:jc w:val="both"/>
        <w:rPr>
          <w:rFonts w:ascii="ITC Avant Garde" w:hAnsi="ITC Avant Garde"/>
          <w:sz w:val="20"/>
          <w:szCs w:val="20"/>
        </w:rPr>
      </w:pPr>
      <w:r w:rsidRPr="0086242B">
        <w:rPr>
          <w:rFonts w:ascii="ITC Avant Garde" w:hAnsi="ITC Avant Garde"/>
          <w:sz w:val="20"/>
          <w:szCs w:val="20"/>
        </w:rPr>
        <w:t>Tomar las mediciones correspondientes, registrarlas y compararlas con los valores de la Tabla 2.</w:t>
      </w:r>
    </w:p>
    <w:p w14:paraId="75CA2145" w14:textId="77777777" w:rsidR="006B595F" w:rsidRPr="0086242B" w:rsidRDefault="006B595F" w:rsidP="006B595F">
      <w:pPr>
        <w:jc w:val="both"/>
        <w:rPr>
          <w:rFonts w:ascii="ITC Avant Garde" w:hAnsi="ITC Avant Garde"/>
          <w:lang w:val="es-ES_tradnl"/>
        </w:rPr>
      </w:pPr>
    </w:p>
    <w:p w14:paraId="666B3C37" w14:textId="77777777" w:rsidR="006B595F" w:rsidRPr="0086242B" w:rsidRDefault="006B595F" w:rsidP="006B595F">
      <w:pPr>
        <w:jc w:val="both"/>
        <w:rPr>
          <w:rFonts w:ascii="ITC Avant Garde" w:hAnsi="ITC Avant Garde"/>
          <w:lang w:val="es-ES_tradnl"/>
        </w:rPr>
      </w:pPr>
    </w:p>
    <w:p w14:paraId="3AF1F667" w14:textId="77777777" w:rsidR="006B595F" w:rsidRPr="0086242B" w:rsidRDefault="006B595F" w:rsidP="006B595F">
      <w:pPr>
        <w:jc w:val="both"/>
        <w:rPr>
          <w:rFonts w:ascii="ITC Avant Garde" w:hAnsi="ITC Avant Garde"/>
          <w:lang w:val="es-ES_tradnl"/>
        </w:rPr>
      </w:pPr>
    </w:p>
    <w:p w14:paraId="6F86A0E3" w14:textId="77777777" w:rsidR="006B595F" w:rsidRPr="0086242B" w:rsidRDefault="006B595F" w:rsidP="006B595F">
      <w:pPr>
        <w:jc w:val="both"/>
        <w:rPr>
          <w:rFonts w:ascii="ITC Avant Garde" w:hAnsi="ITC Avant Garde"/>
          <w:lang w:val="es-ES_tradnl"/>
        </w:rPr>
      </w:pPr>
    </w:p>
    <w:p w14:paraId="1AD70BA5" w14:textId="77777777" w:rsidR="006B595F" w:rsidRPr="0086242B" w:rsidRDefault="006B595F" w:rsidP="006B595F">
      <w:pPr>
        <w:pStyle w:val="Ttulo2"/>
        <w:numPr>
          <w:ilvl w:val="1"/>
          <w:numId w:val="49"/>
        </w:numPr>
        <w:spacing w:before="120"/>
        <w:jc w:val="both"/>
        <w:rPr>
          <w:rFonts w:ascii="ITC Avant Garde" w:hAnsi="ITC Avant Garde"/>
          <w:i w:val="0"/>
          <w:sz w:val="22"/>
          <w:szCs w:val="22"/>
        </w:rPr>
      </w:pPr>
      <w:bookmarkStart w:id="28" w:name="_Toc414444608"/>
      <w:r w:rsidRPr="0086242B">
        <w:rPr>
          <w:rFonts w:ascii="ITC Avant Garde" w:hAnsi="ITC Avant Garde"/>
          <w:i w:val="0"/>
          <w:sz w:val="22"/>
          <w:szCs w:val="22"/>
        </w:rPr>
        <w:t>Medición del índice de absorción específica (SAR).</w:t>
      </w:r>
      <w:bookmarkEnd w:id="28"/>
    </w:p>
    <w:p w14:paraId="46E67110" w14:textId="77777777" w:rsidR="006B595F" w:rsidRPr="0086242B" w:rsidRDefault="006B595F" w:rsidP="006B595F">
      <w:pPr>
        <w:rPr>
          <w:i/>
        </w:rPr>
      </w:pPr>
    </w:p>
    <w:p w14:paraId="118C4E87"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Existen casos cuando la medición de los límites de referencia no es suficiente para determinar si se cumplen los niveles de exposición máxima. El caso más frecuente se presenta en los equipos terminales de radiocomunicaciones que generan un campo electromagnético de baja potencia pero que se coloca a un lado de la cabeza y que por lo tanto puede crear altos niveles de absorción de energía en los tejidos de la cabeza. En este escenario, se tiene un campo cercano de naturaleza compleja que interactúa muy de cerca con una estructura de tejido biológico también muy compleja. El resultado es una complicada distribución de energía absorbida en la cabeza, para cuya evaluación no es suficiente la medición de las intensidades del campo cercano alrededor de la antena del equipo terminal, sino que se requiere la presencia del tejido biológico. Una medición de esa forma produce errores significativos que no permiten determinar si se cumplen los niveles de exposición máxima.</w:t>
      </w:r>
    </w:p>
    <w:p w14:paraId="4EAD511B" w14:textId="77777777" w:rsidR="006B595F" w:rsidRPr="0086242B" w:rsidRDefault="006B595F" w:rsidP="006B595F">
      <w:pPr>
        <w:spacing w:line="360" w:lineRule="auto"/>
        <w:jc w:val="both"/>
        <w:rPr>
          <w:rFonts w:ascii="ITC Avant Garde" w:hAnsi="ITC Avant Garde"/>
          <w:sz w:val="20"/>
          <w:szCs w:val="20"/>
        </w:rPr>
      </w:pPr>
    </w:p>
    <w:p w14:paraId="6A0D5E42" w14:textId="77777777" w:rsidR="006B595F"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Cuando los límites de referencia no se pueden aplicar satisfactoriamente para casos como el anterior, es necesario recurrir a métodos de medición de los límites básicos establecidos en la Tabla 1. El parámetro a medir en este caso es el índice de absorción específica (SAR) a las frecuencias que operan los equipos terminales de radiocomunicaciones. El método de medición del SAR descrito a continuación es aplicable para equipos terminales que operan en las frecuencias que van de 300 MHz a 3 GHz.</w:t>
      </w:r>
    </w:p>
    <w:p w14:paraId="4F21375E" w14:textId="77777777" w:rsidR="00A57F58" w:rsidRPr="0086242B" w:rsidRDefault="00A57F58" w:rsidP="006B595F">
      <w:pPr>
        <w:spacing w:line="360" w:lineRule="auto"/>
        <w:jc w:val="both"/>
        <w:rPr>
          <w:rFonts w:ascii="ITC Avant Garde" w:hAnsi="ITC Avant Garde"/>
          <w:sz w:val="20"/>
          <w:szCs w:val="20"/>
        </w:rPr>
      </w:pPr>
    </w:p>
    <w:p w14:paraId="1DE607EF" w14:textId="77777777" w:rsidR="006B595F" w:rsidRPr="0086242B" w:rsidRDefault="006B595F" w:rsidP="006B595F">
      <w:pPr>
        <w:pStyle w:val="Ttulo3"/>
        <w:keepLines w:val="0"/>
        <w:numPr>
          <w:ilvl w:val="2"/>
          <w:numId w:val="49"/>
        </w:numPr>
        <w:spacing w:before="240" w:after="60" w:line="240" w:lineRule="auto"/>
        <w:rPr>
          <w:rFonts w:ascii="ITC Avant Garde" w:hAnsi="ITC Avant Garde"/>
          <w:color w:val="auto"/>
          <w:sz w:val="22"/>
          <w:szCs w:val="22"/>
        </w:rPr>
      </w:pPr>
      <w:bookmarkStart w:id="29" w:name="_Toc414444609"/>
      <w:r w:rsidRPr="0086242B">
        <w:rPr>
          <w:rFonts w:ascii="ITC Avant Garde" w:hAnsi="ITC Avant Garde"/>
          <w:color w:val="auto"/>
          <w:sz w:val="22"/>
          <w:szCs w:val="22"/>
        </w:rPr>
        <w:t>Instrumentación utilizada para la medición del SAR.</w:t>
      </w:r>
      <w:bookmarkEnd w:id="29"/>
    </w:p>
    <w:p w14:paraId="1CCB1C44" w14:textId="77777777" w:rsidR="006B595F" w:rsidRPr="0086242B" w:rsidRDefault="006B595F" w:rsidP="006B595F"/>
    <w:p w14:paraId="37081846" w14:textId="77777777" w:rsidR="006B595F" w:rsidRPr="0086242B" w:rsidRDefault="006B595F" w:rsidP="006B595F">
      <w:pPr>
        <w:tabs>
          <w:tab w:val="left" w:pos="709"/>
          <w:tab w:val="left" w:pos="992"/>
          <w:tab w:val="left" w:pos="1276"/>
        </w:tabs>
        <w:spacing w:line="360" w:lineRule="auto"/>
        <w:jc w:val="both"/>
        <w:rPr>
          <w:rFonts w:ascii="ITC Avant Garde" w:hAnsi="ITC Avant Garde"/>
          <w:sz w:val="20"/>
          <w:szCs w:val="20"/>
        </w:rPr>
      </w:pPr>
      <w:r w:rsidRPr="0086242B">
        <w:rPr>
          <w:rFonts w:ascii="ITC Avant Garde" w:hAnsi="ITC Avant Garde"/>
          <w:sz w:val="20"/>
          <w:szCs w:val="20"/>
        </w:rPr>
        <w:t>Para la medición del SAR se deberá utilizar (ver Figura 12):</w:t>
      </w:r>
    </w:p>
    <w:p w14:paraId="4C97F86A" w14:textId="77777777" w:rsidR="006B595F" w:rsidRPr="0086242B" w:rsidRDefault="006B595F" w:rsidP="006B595F">
      <w:pPr>
        <w:numPr>
          <w:ilvl w:val="0"/>
          <w:numId w:val="36"/>
        </w:numPr>
        <w:spacing w:line="360" w:lineRule="auto"/>
        <w:ind w:left="567"/>
        <w:jc w:val="both"/>
        <w:rPr>
          <w:rFonts w:ascii="ITC Avant Garde" w:hAnsi="ITC Avant Garde"/>
          <w:sz w:val="20"/>
          <w:szCs w:val="20"/>
        </w:rPr>
      </w:pPr>
      <w:r w:rsidRPr="0086242B">
        <w:rPr>
          <w:rFonts w:ascii="ITC Avant Garde" w:hAnsi="ITC Avant Garde"/>
          <w:sz w:val="20"/>
          <w:szCs w:val="20"/>
        </w:rPr>
        <w:t xml:space="preserve">Un modelo de la cabeza humana, </w:t>
      </w:r>
    </w:p>
    <w:p w14:paraId="7D21E32E" w14:textId="77777777" w:rsidR="006B595F" w:rsidRPr="0086242B" w:rsidRDefault="006B595F" w:rsidP="006B595F">
      <w:pPr>
        <w:numPr>
          <w:ilvl w:val="0"/>
          <w:numId w:val="36"/>
        </w:numPr>
        <w:spacing w:line="360" w:lineRule="auto"/>
        <w:ind w:left="567"/>
        <w:jc w:val="both"/>
        <w:rPr>
          <w:rFonts w:ascii="ITC Avant Garde" w:hAnsi="ITC Avant Garde"/>
          <w:sz w:val="20"/>
          <w:szCs w:val="20"/>
        </w:rPr>
      </w:pPr>
      <w:r w:rsidRPr="0086242B">
        <w:rPr>
          <w:rFonts w:ascii="ITC Avant Garde" w:hAnsi="ITC Avant Garde"/>
          <w:sz w:val="20"/>
          <w:szCs w:val="20"/>
        </w:rPr>
        <w:t xml:space="preserve">Un sensor de campos eléctricos, </w:t>
      </w:r>
    </w:p>
    <w:p w14:paraId="18155266" w14:textId="77777777" w:rsidR="006B595F" w:rsidRPr="0086242B" w:rsidRDefault="006B595F" w:rsidP="006B595F">
      <w:pPr>
        <w:numPr>
          <w:ilvl w:val="0"/>
          <w:numId w:val="36"/>
        </w:numPr>
        <w:spacing w:line="360" w:lineRule="auto"/>
        <w:ind w:left="567"/>
        <w:jc w:val="both"/>
        <w:rPr>
          <w:rFonts w:ascii="ITC Avant Garde" w:hAnsi="ITC Avant Garde"/>
          <w:sz w:val="20"/>
          <w:szCs w:val="20"/>
        </w:rPr>
      </w:pPr>
      <w:r w:rsidRPr="0086242B">
        <w:rPr>
          <w:rFonts w:ascii="ITC Avant Garde" w:hAnsi="ITC Avant Garde"/>
          <w:sz w:val="20"/>
          <w:szCs w:val="20"/>
        </w:rPr>
        <w:t xml:space="preserve">Equipo electrónico de medición, </w:t>
      </w:r>
    </w:p>
    <w:p w14:paraId="0506E21C" w14:textId="77777777" w:rsidR="006B595F" w:rsidRPr="0086242B" w:rsidRDefault="006B595F" w:rsidP="006B595F">
      <w:pPr>
        <w:numPr>
          <w:ilvl w:val="0"/>
          <w:numId w:val="36"/>
        </w:numPr>
        <w:spacing w:line="360" w:lineRule="auto"/>
        <w:ind w:left="567"/>
        <w:jc w:val="both"/>
        <w:rPr>
          <w:rFonts w:ascii="ITC Avant Garde" w:hAnsi="ITC Avant Garde"/>
          <w:sz w:val="20"/>
          <w:szCs w:val="20"/>
        </w:rPr>
      </w:pPr>
      <w:r w:rsidRPr="0086242B">
        <w:rPr>
          <w:rFonts w:ascii="ITC Avant Garde" w:hAnsi="ITC Avant Garde"/>
          <w:sz w:val="20"/>
          <w:szCs w:val="20"/>
        </w:rPr>
        <w:t xml:space="preserve">Un sistema de barrido electromecánico para posicionar el sensor (brazo mecánico) y </w:t>
      </w:r>
    </w:p>
    <w:p w14:paraId="741CF17C" w14:textId="77777777" w:rsidR="006B595F" w:rsidRPr="0086242B" w:rsidRDefault="006B595F" w:rsidP="006B595F">
      <w:pPr>
        <w:spacing w:line="360" w:lineRule="auto"/>
        <w:ind w:left="567"/>
        <w:jc w:val="both"/>
        <w:rPr>
          <w:rFonts w:ascii="ITC Avant Garde" w:hAnsi="ITC Avant Garde"/>
          <w:sz w:val="20"/>
          <w:szCs w:val="20"/>
        </w:rPr>
      </w:pPr>
      <w:r w:rsidRPr="0086242B">
        <w:rPr>
          <w:rFonts w:ascii="ITC Avant Garde" w:hAnsi="ITC Avant Garde"/>
          <w:sz w:val="20"/>
          <w:szCs w:val="20"/>
        </w:rPr>
        <w:t xml:space="preserve">Un soporte para el equipo </w:t>
      </w:r>
      <w:proofErr w:type="gramStart"/>
      <w:r w:rsidRPr="0086242B">
        <w:rPr>
          <w:rFonts w:ascii="ITC Avant Garde" w:hAnsi="ITC Avant Garde"/>
          <w:sz w:val="20"/>
          <w:szCs w:val="20"/>
        </w:rPr>
        <w:t>terminal  móvil</w:t>
      </w:r>
      <w:proofErr w:type="gramEnd"/>
      <w:r w:rsidRPr="0086242B">
        <w:rPr>
          <w:rFonts w:ascii="ITC Avant Garde" w:hAnsi="ITC Avant Garde"/>
          <w:sz w:val="20"/>
          <w:szCs w:val="20"/>
        </w:rPr>
        <w:t xml:space="preserve">. </w:t>
      </w:r>
    </w:p>
    <w:p w14:paraId="15690D6C" w14:textId="77777777" w:rsidR="006B595F" w:rsidRPr="0086242B" w:rsidRDefault="006B595F" w:rsidP="006B595F">
      <w:pPr>
        <w:spacing w:line="360" w:lineRule="auto"/>
        <w:ind w:left="567"/>
        <w:jc w:val="both"/>
        <w:rPr>
          <w:rFonts w:ascii="ITC Avant Garde" w:hAnsi="ITC Avant Garde"/>
          <w:sz w:val="20"/>
          <w:szCs w:val="20"/>
        </w:rPr>
      </w:pPr>
    </w:p>
    <w:p w14:paraId="7A34A6F2" w14:textId="77777777" w:rsidR="006B595F" w:rsidRPr="0086242B" w:rsidRDefault="006B595F" w:rsidP="006B595F">
      <w:pPr>
        <w:tabs>
          <w:tab w:val="left" w:pos="709"/>
          <w:tab w:val="left" w:pos="992"/>
          <w:tab w:val="left" w:pos="1276"/>
        </w:tabs>
        <w:spacing w:line="360" w:lineRule="auto"/>
        <w:jc w:val="both"/>
        <w:rPr>
          <w:rFonts w:ascii="ITC Avant Garde" w:hAnsi="ITC Avant Garde"/>
          <w:sz w:val="20"/>
          <w:szCs w:val="20"/>
        </w:rPr>
      </w:pPr>
      <w:r w:rsidRPr="0086242B">
        <w:rPr>
          <w:rFonts w:ascii="ITC Avant Garde" w:hAnsi="ITC Avant Garde"/>
          <w:sz w:val="20"/>
          <w:szCs w:val="20"/>
        </w:rPr>
        <w:t xml:space="preserve">La medición del SAR se realiza utilizando un sensor miniatura de campos eléctricos que se coloca en distintos puntos en el interior de un modelo de la cabeza humana, expuesto a los campos electromagnéticos de un equipo terminal móvil que se coloca junto al modelo. El sistema de barrido controlado electrónicamente se utiliza para posicionar el sensor de campos eléctricos en distintos puntos en el interior del modelo de la cabeza que está relleno de un líquido dieléctrico para simular los tejidos internos de la cabeza. El soporte para el </w:t>
      </w:r>
      <w:r w:rsidRPr="0086242B">
        <w:rPr>
          <w:rFonts w:ascii="ITC Avant Garde" w:hAnsi="ITC Avant Garde"/>
          <w:sz w:val="20"/>
          <w:szCs w:val="20"/>
          <w:lang w:val="es-ES_tradnl"/>
        </w:rPr>
        <w:t xml:space="preserve">equipo terminal </w:t>
      </w:r>
      <w:r w:rsidRPr="0086242B">
        <w:rPr>
          <w:rFonts w:ascii="ITC Avant Garde" w:hAnsi="ITC Avant Garde"/>
          <w:sz w:val="20"/>
          <w:szCs w:val="20"/>
        </w:rPr>
        <w:t xml:space="preserve">móvil mantiene fijo el equipo </w:t>
      </w:r>
      <w:proofErr w:type="gramStart"/>
      <w:r w:rsidRPr="0086242B">
        <w:rPr>
          <w:rFonts w:ascii="ITC Avant Garde" w:hAnsi="ITC Avant Garde"/>
          <w:sz w:val="20"/>
          <w:szCs w:val="20"/>
        </w:rPr>
        <w:t>terminal  a</w:t>
      </w:r>
      <w:proofErr w:type="gramEnd"/>
      <w:r w:rsidRPr="0086242B">
        <w:rPr>
          <w:rFonts w:ascii="ITC Avant Garde" w:hAnsi="ITC Avant Garde"/>
          <w:sz w:val="20"/>
          <w:szCs w:val="20"/>
        </w:rPr>
        <w:t xml:space="preserve"> un lado de la oreja del modelo. </w:t>
      </w:r>
    </w:p>
    <w:p w14:paraId="50F59364" w14:textId="77777777" w:rsidR="006B595F" w:rsidRPr="0086242B" w:rsidRDefault="006B595F" w:rsidP="006B595F">
      <w:pPr>
        <w:spacing w:line="360" w:lineRule="auto"/>
        <w:jc w:val="both"/>
        <w:rPr>
          <w:rFonts w:ascii="ITC Avant Garde" w:hAnsi="ITC Avant Garde"/>
          <w:sz w:val="20"/>
          <w:szCs w:val="20"/>
        </w:rPr>
      </w:pPr>
    </w:p>
    <w:p w14:paraId="7824385E"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La medición deberá realizarse considerando lo siguiente:</w:t>
      </w:r>
    </w:p>
    <w:p w14:paraId="20937492" w14:textId="77777777" w:rsidR="006B595F" w:rsidRPr="0086242B" w:rsidRDefault="006B595F" w:rsidP="006B595F">
      <w:pPr>
        <w:spacing w:line="360" w:lineRule="auto"/>
        <w:jc w:val="both"/>
        <w:rPr>
          <w:rFonts w:ascii="ITC Avant Garde" w:hAnsi="ITC Avant Garde"/>
          <w:sz w:val="20"/>
          <w:szCs w:val="20"/>
        </w:rPr>
      </w:pPr>
    </w:p>
    <w:p w14:paraId="53EBD9C8" w14:textId="77777777" w:rsidR="006B595F" w:rsidRPr="0086242B" w:rsidRDefault="006B595F" w:rsidP="006B595F">
      <w:pPr>
        <w:pStyle w:val="Prrafodelista"/>
        <w:numPr>
          <w:ilvl w:val="0"/>
          <w:numId w:val="54"/>
        </w:numPr>
        <w:spacing w:line="360" w:lineRule="auto"/>
        <w:jc w:val="both"/>
        <w:rPr>
          <w:rFonts w:ascii="ITC Avant Garde" w:hAnsi="ITC Avant Garde"/>
          <w:sz w:val="20"/>
          <w:szCs w:val="20"/>
        </w:rPr>
      </w:pPr>
      <w:r w:rsidRPr="0086242B">
        <w:rPr>
          <w:rFonts w:ascii="ITC Avant Garde" w:hAnsi="ITC Avant Garde"/>
          <w:sz w:val="20"/>
          <w:szCs w:val="20"/>
        </w:rPr>
        <w:t>La variación de la temperatura del líquido (modelo de la cabeza humana) no deben exceder ±2° C durante las mediciones.</w:t>
      </w:r>
    </w:p>
    <w:p w14:paraId="1A0EB835" w14:textId="77777777" w:rsidR="006B595F" w:rsidRPr="0086242B" w:rsidRDefault="006B595F" w:rsidP="006B595F">
      <w:pPr>
        <w:pStyle w:val="Prrafodelista"/>
        <w:numPr>
          <w:ilvl w:val="0"/>
          <w:numId w:val="54"/>
        </w:numPr>
        <w:spacing w:line="360" w:lineRule="auto"/>
        <w:jc w:val="both"/>
        <w:rPr>
          <w:rFonts w:ascii="ITC Avant Garde" w:hAnsi="ITC Avant Garde"/>
          <w:sz w:val="20"/>
          <w:szCs w:val="20"/>
        </w:rPr>
      </w:pPr>
      <w:r w:rsidRPr="0086242B">
        <w:rPr>
          <w:rFonts w:ascii="ITC Avant Garde" w:hAnsi="ITC Avant Garde"/>
          <w:sz w:val="20"/>
          <w:szCs w:val="20"/>
        </w:rPr>
        <w:t>El dispositivo terminal de radiocomunicaciones no debe estar conectado a una red pública de telecomunicaciones.</w:t>
      </w:r>
    </w:p>
    <w:p w14:paraId="41BD87F8" w14:textId="77777777" w:rsidR="006B595F" w:rsidRPr="0086242B" w:rsidRDefault="006B595F" w:rsidP="006B595F">
      <w:pPr>
        <w:pStyle w:val="Prrafodelista"/>
        <w:numPr>
          <w:ilvl w:val="0"/>
          <w:numId w:val="54"/>
        </w:numPr>
        <w:spacing w:line="360" w:lineRule="auto"/>
        <w:jc w:val="both"/>
        <w:rPr>
          <w:rFonts w:ascii="ITC Avant Garde" w:hAnsi="ITC Avant Garde"/>
          <w:sz w:val="20"/>
          <w:szCs w:val="20"/>
        </w:rPr>
      </w:pPr>
      <w:r w:rsidRPr="0086242B">
        <w:rPr>
          <w:rFonts w:ascii="ITC Avant Garde" w:hAnsi="ITC Avant Garde"/>
          <w:sz w:val="20"/>
          <w:szCs w:val="20"/>
        </w:rPr>
        <w:t>Los efectos de las reflexiones deben ser menor al 3% del SAR medido.</w:t>
      </w:r>
    </w:p>
    <w:p w14:paraId="1F161035" w14:textId="77777777" w:rsidR="006B595F" w:rsidRPr="0086242B" w:rsidRDefault="006B595F" w:rsidP="006B595F">
      <w:pPr>
        <w:spacing w:line="360" w:lineRule="auto"/>
        <w:jc w:val="both"/>
        <w:rPr>
          <w:rFonts w:ascii="ITC Avant Garde" w:hAnsi="ITC Avant Garde"/>
          <w:sz w:val="20"/>
          <w:szCs w:val="20"/>
        </w:rPr>
      </w:pPr>
    </w:p>
    <w:p w14:paraId="2C78964D"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El sistema para la medición de SAR de la Figura 12 debe ser calibrado como un sistema completo, con todos sus elementos operando para medir los campos eléctricos en el interior del modelo de la cabeza en condiciones de temperatura y frecuencia específicas.</w:t>
      </w:r>
    </w:p>
    <w:p w14:paraId="292AC1AB" w14:textId="77777777" w:rsidR="006B595F" w:rsidRPr="0086242B" w:rsidRDefault="006B595F" w:rsidP="006B595F">
      <w:pPr>
        <w:spacing w:line="360" w:lineRule="auto"/>
        <w:jc w:val="both"/>
        <w:rPr>
          <w:rFonts w:ascii="ITC Avant Garde" w:hAnsi="ITC Avant Garde"/>
          <w:sz w:val="20"/>
          <w:szCs w:val="20"/>
        </w:rPr>
      </w:pPr>
    </w:p>
    <w:p w14:paraId="685491B7"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rPr>
        <w:t xml:space="preserve">En particular, el sensor del campo eléctrico es una de las partes fundamentales para la medición del SAR. Típicamente, este sensor está constituido por tres dipolos pequeños de una dimensión mucho menor a la longitud de onda. Los dipolos se posicionan ortogonales entre sí y por lo tanto forman un sensor isotrópico que mide las tres componentes espaciales del campo eléctrico. </w:t>
      </w:r>
      <w:r w:rsidRPr="0086242B">
        <w:rPr>
          <w:rFonts w:ascii="ITC Avant Garde" w:hAnsi="ITC Avant Garde"/>
          <w:sz w:val="20"/>
          <w:szCs w:val="20"/>
          <w:lang w:val="es-ES_tradnl"/>
        </w:rPr>
        <w:t>A la salida de los dipolos se tienen diodos detectores que rectifican la señal y producen una salida que es proporcional al cuadrado de la magnitud del campo eléctrico en las tres direcciones espaciales. De esta manera, la magnitud del campo eléctrico equivalente en un punto determinado en el interior del modelo de la cabeza, simplemente será:</w:t>
      </w:r>
    </w:p>
    <w:p w14:paraId="0F66F618" w14:textId="77777777" w:rsidR="006B595F" w:rsidRPr="0086242B" w:rsidRDefault="006B595F" w:rsidP="006B595F">
      <w:pPr>
        <w:jc w:val="both"/>
        <w:rPr>
          <w:rFonts w:ascii="ITC Avant Garde" w:hAnsi="ITC Avant Garde"/>
          <w:lang w:val="es-ES_tradnl"/>
        </w:rPr>
      </w:pPr>
    </w:p>
    <w:p w14:paraId="7BFBBDAC" w14:textId="77777777" w:rsidR="006B595F" w:rsidRPr="0086242B" w:rsidRDefault="006B595F" w:rsidP="006B595F">
      <w:pPr>
        <w:pStyle w:val="Ecuacin"/>
        <w:rPr>
          <w:rFonts w:ascii="ITC Avant Garde" w:hAnsi="ITC Avant Garde"/>
          <w:lang w:val="es-ES_tradnl"/>
        </w:rPr>
      </w:pPr>
      <w:r w:rsidRPr="0086242B">
        <w:rPr>
          <w:rFonts w:ascii="ITC Avant Garde" w:hAnsi="ITC Avant Garde"/>
          <w:lang w:val="es-ES_tradnl"/>
        </w:rPr>
        <w:t xml:space="preserve">                                                    </w:t>
      </w:r>
      <w:r w:rsidR="00672004">
        <w:rPr>
          <w:rFonts w:ascii="ITC Avant Garde" w:hAnsi="ITC Avant Garde"/>
          <w:noProof/>
          <w:position w:val="-18"/>
          <w:lang w:val="es-MX" w:eastAsia="es-MX"/>
        </w:rPr>
        <w:drawing>
          <wp:inline distT="0" distB="0" distL="0" distR="0" wp14:anchorId="63166065" wp14:editId="6C7CE3CC">
            <wp:extent cx="1606550" cy="370840"/>
            <wp:effectExtent l="0" t="0" r="0" b="0"/>
            <wp:docPr id="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6550" cy="370840"/>
                    </a:xfrm>
                    <a:prstGeom prst="rect">
                      <a:avLst/>
                    </a:prstGeom>
                    <a:noFill/>
                    <a:ln>
                      <a:noFill/>
                    </a:ln>
                  </pic:spPr>
                </pic:pic>
              </a:graphicData>
            </a:graphic>
          </wp:inline>
        </w:drawing>
      </w:r>
      <w:r w:rsidRPr="0086242B">
        <w:rPr>
          <w:rFonts w:ascii="ITC Avant Garde" w:hAnsi="ITC Avant Garde"/>
          <w:lang w:val="es-ES_tradnl"/>
        </w:rPr>
        <w:t xml:space="preserve">                                          </w:t>
      </w:r>
      <w:r w:rsidRPr="0086242B">
        <w:rPr>
          <w:rFonts w:ascii="ITC Avant Garde" w:hAnsi="ITC Avant Garde"/>
          <w:sz w:val="20"/>
          <w:szCs w:val="20"/>
          <w:lang w:val="es-ES_tradnl"/>
        </w:rPr>
        <w:t>(16)</w:t>
      </w:r>
    </w:p>
    <w:p w14:paraId="03A87037" w14:textId="77777777" w:rsidR="006B595F" w:rsidRPr="0086242B" w:rsidRDefault="006B595F" w:rsidP="006B595F">
      <w:pPr>
        <w:jc w:val="both"/>
        <w:rPr>
          <w:rFonts w:ascii="ITC Avant Garde" w:hAnsi="ITC Avant Garde"/>
          <w:lang w:val="es-ES_tradnl"/>
        </w:rPr>
      </w:pPr>
    </w:p>
    <w:p w14:paraId="6FE5A3DA"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Esta medida del campo eléctrico, sin embargo, se ve modificada por múltiples factores que incluyen las características no ideales en la respuesta de los dispositivos que forman el sensor, las características de construcción del sensor, así como la isotropía del sensor que determina la habilidad del sensor de responder igualmente a todos los campos, independientemente de la dirección de incidencia de los mismos. Por este motivo, es necesario calibrar cuidadosamente el sensor de campo, trabajando junto a todo la instrumentación requerida para la medición del SAR en condiciones reales de medición en el interior del modelo de la cabeza. Los sistemas completos, disponibles comercialmente para la medición del SAR, deberán calibrarse de esa forma y deberán especificar la incertidumbre máxima esperada en las mediciones.</w:t>
      </w:r>
    </w:p>
    <w:p w14:paraId="57CBD309" w14:textId="77777777" w:rsidR="006B595F" w:rsidRPr="0086242B" w:rsidRDefault="006B595F" w:rsidP="006B595F">
      <w:pPr>
        <w:spacing w:line="360" w:lineRule="auto"/>
        <w:jc w:val="both"/>
        <w:rPr>
          <w:rFonts w:ascii="ITC Avant Garde" w:hAnsi="ITC Avant Garde"/>
          <w:sz w:val="20"/>
          <w:szCs w:val="20"/>
        </w:rPr>
      </w:pPr>
    </w:p>
    <w:p w14:paraId="416BEF63"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El sistema de medición deberá tener un límite mínimo de detección de 0.02 W/kg y al mismo tiempo deberá tener la capacidad de medir valores de al menos 100 W/kg. En este intervalo, el sistema de medición, deberá mostrar un comportamiento lineal que no introduzca errores mayores a ±0.5 dB.</w:t>
      </w:r>
    </w:p>
    <w:p w14:paraId="64CB911D" w14:textId="77777777" w:rsidR="006B595F" w:rsidRPr="0086242B" w:rsidRDefault="006B595F" w:rsidP="006B595F">
      <w:pPr>
        <w:spacing w:line="360" w:lineRule="auto"/>
        <w:jc w:val="both"/>
        <w:rPr>
          <w:rFonts w:ascii="ITC Avant Garde" w:hAnsi="ITC Avant Garde"/>
          <w:sz w:val="20"/>
          <w:szCs w:val="20"/>
        </w:rPr>
      </w:pPr>
    </w:p>
    <w:p w14:paraId="708AF1CE"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El sistema de barrido electromecánico debe tener la capacidad de posicionar el sensor de campos eléctricos en todo el volumen interno del modelo de la cabeza con el fin de evaluar la distribución tridimensional del SAR. El sistema de barrido deberá posicionar el sensor en cualquier punto del volumen interno del modelo de la cabeza con una resolución de por lo menos 1 mm y con un error en la posición de ±0.2 mm como máximo. </w:t>
      </w:r>
    </w:p>
    <w:p w14:paraId="1D6B57BC" w14:textId="77777777" w:rsidR="006B595F" w:rsidRPr="0086242B" w:rsidRDefault="006B595F" w:rsidP="006B595F">
      <w:pPr>
        <w:spacing w:line="360" w:lineRule="auto"/>
        <w:jc w:val="both"/>
        <w:rPr>
          <w:rFonts w:ascii="ITC Avant Garde" w:hAnsi="ITC Avant Garde"/>
          <w:sz w:val="20"/>
          <w:szCs w:val="20"/>
        </w:rPr>
      </w:pPr>
    </w:p>
    <w:p w14:paraId="3A11905A"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El dispositivo de soporte que mantiene el equipo </w:t>
      </w:r>
      <w:proofErr w:type="gramStart"/>
      <w:r w:rsidRPr="0086242B">
        <w:rPr>
          <w:rFonts w:ascii="ITC Avant Garde" w:hAnsi="ITC Avant Garde"/>
          <w:sz w:val="20"/>
          <w:szCs w:val="20"/>
        </w:rPr>
        <w:t>terminal  en</w:t>
      </w:r>
      <w:proofErr w:type="gramEnd"/>
      <w:r w:rsidRPr="0086242B">
        <w:rPr>
          <w:rFonts w:ascii="ITC Avant Garde" w:hAnsi="ITC Avant Garde"/>
          <w:sz w:val="20"/>
          <w:szCs w:val="20"/>
        </w:rPr>
        <w:t xml:space="preserve"> la posición para la medición estará compuesto de materiales con una tangente de pérdidas menor a 0.05 y una </w:t>
      </w:r>
      <w:proofErr w:type="spellStart"/>
      <w:r w:rsidRPr="0086242B">
        <w:rPr>
          <w:rFonts w:ascii="ITC Avant Garde" w:hAnsi="ITC Avant Garde"/>
          <w:sz w:val="20"/>
          <w:szCs w:val="20"/>
        </w:rPr>
        <w:t>permitividad</w:t>
      </w:r>
      <w:proofErr w:type="spellEnd"/>
      <w:r w:rsidRPr="0086242B">
        <w:rPr>
          <w:rFonts w:ascii="ITC Avant Garde" w:hAnsi="ITC Avant Garde"/>
          <w:sz w:val="20"/>
          <w:szCs w:val="20"/>
        </w:rPr>
        <w:t xml:space="preserve"> eléctrica relativa inferior a 5.</w:t>
      </w:r>
    </w:p>
    <w:p w14:paraId="4EDBAA5B" w14:textId="77777777" w:rsidR="006B595F" w:rsidRPr="0086242B" w:rsidRDefault="006B595F" w:rsidP="006B595F">
      <w:pPr>
        <w:spacing w:line="360" w:lineRule="auto"/>
        <w:jc w:val="both"/>
        <w:rPr>
          <w:rFonts w:ascii="ITC Avant Garde" w:hAnsi="ITC Avant Garde"/>
          <w:sz w:val="20"/>
          <w:szCs w:val="20"/>
        </w:rPr>
      </w:pPr>
    </w:p>
    <w:p w14:paraId="5C2340D8" w14:textId="77777777" w:rsidR="006B595F" w:rsidRPr="0086242B" w:rsidRDefault="006B595F" w:rsidP="006B595F">
      <w:pPr>
        <w:pStyle w:val="Ttulo3"/>
        <w:keepLines w:val="0"/>
        <w:numPr>
          <w:ilvl w:val="2"/>
          <w:numId w:val="49"/>
        </w:numPr>
        <w:spacing w:before="240" w:after="60" w:line="240" w:lineRule="auto"/>
        <w:rPr>
          <w:rFonts w:ascii="ITC Avant Garde" w:hAnsi="ITC Avant Garde"/>
          <w:color w:val="auto"/>
          <w:sz w:val="22"/>
          <w:szCs w:val="22"/>
        </w:rPr>
      </w:pPr>
      <w:bookmarkStart w:id="30" w:name="_Toc414444610"/>
      <w:r w:rsidRPr="0086242B">
        <w:rPr>
          <w:rFonts w:ascii="ITC Avant Garde" w:hAnsi="ITC Avant Garde"/>
          <w:color w:val="auto"/>
          <w:sz w:val="22"/>
          <w:szCs w:val="22"/>
        </w:rPr>
        <w:t>Modelo antropométrico de la cabeza humana para la medición del SAR.</w:t>
      </w:r>
      <w:bookmarkEnd w:id="30"/>
    </w:p>
    <w:p w14:paraId="4F7B8BDD" w14:textId="77777777" w:rsidR="006B595F" w:rsidRPr="0086242B" w:rsidRDefault="006B595F" w:rsidP="006B595F"/>
    <w:p w14:paraId="51B17E9E"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El sensor de campos eléctricos va a medir los niveles de campo generados por el equipo terminal en el interior de un modelo de la cabeza que tiene una forma que corresponde al de un hombre adulto con dimensiones mayores a las que presentan el 90% de los hombres adultos, de acuerdo a estudios antropométricos de la población. Este tipo de modelo se utiliza debido a que una cabeza de mayor tamaño en general absorbe mayor cantidad de energía electromagnética y por ello la medición se realiza para un peor caso que no se presenta en la exposición real a la que están sometidas la mayor parte de las personas. El modelo de la cabeza se muestra esquemáticamente en varias posiciones en las Figura 5 y 6.</w:t>
      </w:r>
    </w:p>
    <w:p w14:paraId="21534B5E" w14:textId="77777777" w:rsidR="006B595F" w:rsidRPr="0086242B" w:rsidRDefault="006B595F" w:rsidP="006B595F">
      <w:pPr>
        <w:jc w:val="center"/>
        <w:rPr>
          <w:rFonts w:ascii="ITC Avant Garde" w:hAnsi="ITC Avant Garde"/>
        </w:rPr>
      </w:pPr>
      <w:r w:rsidRPr="0086242B">
        <w:rPr>
          <w:rFonts w:ascii="ITC Avant Garde" w:hAnsi="ITC Avant Garde"/>
          <w:noProof/>
          <w:lang w:val="es-MX" w:eastAsia="es-MX"/>
        </w:rPr>
        <w:drawing>
          <wp:inline distT="0" distB="0" distL="0" distR="0" wp14:anchorId="0E3BF289" wp14:editId="2CD43B20">
            <wp:extent cx="2592070" cy="1359535"/>
            <wp:effectExtent l="0" t="0" r="0" b="1206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2070" cy="1359535"/>
                    </a:xfrm>
                    <a:prstGeom prst="rect">
                      <a:avLst/>
                    </a:prstGeom>
                    <a:noFill/>
                    <a:ln>
                      <a:noFill/>
                    </a:ln>
                  </pic:spPr>
                </pic:pic>
              </a:graphicData>
            </a:graphic>
          </wp:inline>
        </w:drawing>
      </w:r>
    </w:p>
    <w:p w14:paraId="137F1211" w14:textId="77777777" w:rsidR="006B595F" w:rsidRPr="0086242B" w:rsidRDefault="006B595F" w:rsidP="006B595F">
      <w:pPr>
        <w:pStyle w:val="Descripcin"/>
        <w:jc w:val="center"/>
        <w:rPr>
          <w:rFonts w:ascii="ITC Avant Garde" w:hAnsi="ITC Avant Garde"/>
          <w:b w:val="0"/>
        </w:rPr>
      </w:pPr>
      <w:r w:rsidRPr="0086242B">
        <w:rPr>
          <w:rFonts w:ascii="ITC Avant Garde" w:hAnsi="ITC Avant Garde"/>
          <w:b w:val="0"/>
        </w:rPr>
        <w:t>Figura 5.-Modelo de la cabeza humana en posición anterior y posterior.</w:t>
      </w:r>
    </w:p>
    <w:p w14:paraId="0CE4E381" w14:textId="77777777" w:rsidR="006B595F" w:rsidRPr="0086242B" w:rsidRDefault="006B595F" w:rsidP="006B595F">
      <w:pPr>
        <w:jc w:val="center"/>
        <w:rPr>
          <w:rFonts w:ascii="ITC Avant Garde" w:hAnsi="ITC Avant Garde"/>
          <w:sz w:val="20"/>
          <w:szCs w:val="20"/>
        </w:rPr>
      </w:pPr>
    </w:p>
    <w:p w14:paraId="43F890B9" w14:textId="77777777" w:rsidR="006B595F" w:rsidRPr="0086242B" w:rsidRDefault="006B595F" w:rsidP="006B595F">
      <w:pPr>
        <w:jc w:val="center"/>
        <w:rPr>
          <w:rFonts w:ascii="ITC Avant Garde" w:hAnsi="ITC Avant Garde"/>
        </w:rPr>
      </w:pPr>
      <w:r w:rsidRPr="0086242B">
        <w:rPr>
          <w:rFonts w:ascii="ITC Avant Garde" w:hAnsi="ITC Avant Garde"/>
          <w:noProof/>
          <w:lang w:val="es-MX" w:eastAsia="es-MX"/>
        </w:rPr>
        <w:drawing>
          <wp:inline distT="0" distB="0" distL="0" distR="0" wp14:anchorId="64ED0DCB" wp14:editId="75371669">
            <wp:extent cx="3021330" cy="1327785"/>
            <wp:effectExtent l="0" t="0" r="127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1330" cy="1327785"/>
                    </a:xfrm>
                    <a:prstGeom prst="rect">
                      <a:avLst/>
                    </a:prstGeom>
                    <a:noFill/>
                    <a:ln>
                      <a:noFill/>
                    </a:ln>
                  </pic:spPr>
                </pic:pic>
              </a:graphicData>
            </a:graphic>
          </wp:inline>
        </w:drawing>
      </w:r>
    </w:p>
    <w:p w14:paraId="31D4E046" w14:textId="77777777" w:rsidR="006B595F" w:rsidRPr="0086242B" w:rsidRDefault="006B595F" w:rsidP="006B595F">
      <w:pPr>
        <w:pStyle w:val="Descripcin"/>
        <w:jc w:val="center"/>
        <w:rPr>
          <w:rFonts w:ascii="ITC Avant Garde" w:hAnsi="ITC Avant Garde"/>
          <w:b w:val="0"/>
        </w:rPr>
      </w:pPr>
      <w:r w:rsidRPr="0086242B">
        <w:rPr>
          <w:rFonts w:ascii="ITC Avant Garde" w:hAnsi="ITC Avant Garde"/>
          <w:b w:val="0"/>
        </w:rPr>
        <w:t>Figura 6.-Modelo de la cabeza humana en posición lateral derecha e izquierda.</w:t>
      </w:r>
    </w:p>
    <w:p w14:paraId="4EACB9D1" w14:textId="77777777" w:rsidR="006B595F" w:rsidRPr="0086242B" w:rsidRDefault="006B595F" w:rsidP="006B595F">
      <w:pPr>
        <w:jc w:val="center"/>
        <w:rPr>
          <w:rFonts w:ascii="ITC Avant Garde" w:hAnsi="ITC Avant Garde"/>
        </w:rPr>
      </w:pPr>
    </w:p>
    <w:p w14:paraId="53615F57"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En la Figura 5 se observan tres puntos de referencia principales: el centro de la boca (M), el oído izquierdo (LE) y el oído derecho (RE). La línea que se observa y que atraviesa los tres puntos anteriores corresponde al plano de referencia. En la Figura 6, se muestran también los puntos de </w:t>
      </w:r>
      <w:r w:rsidR="00A439C7" w:rsidRPr="0086242B">
        <w:rPr>
          <w:rFonts w:ascii="ITC Avant Garde" w:hAnsi="ITC Avant Garde"/>
          <w:sz w:val="20"/>
          <w:szCs w:val="20"/>
        </w:rPr>
        <w:t>referencia principal</w:t>
      </w:r>
      <w:r w:rsidRPr="0086242B">
        <w:rPr>
          <w:rFonts w:ascii="ITC Avant Garde" w:hAnsi="ITC Avant Garde"/>
          <w:sz w:val="20"/>
          <w:szCs w:val="20"/>
        </w:rPr>
        <w:t>, así como el plano de referencia marcado por la línea que va del punto M al B, y el plano normal, perpendicular al primero, marcado por la línea que va de N a F. En este modelo se practica una abertura en su parte más alta para permitir la introducción del sensor de campos eléctricos y realizar las mediciones.</w:t>
      </w:r>
    </w:p>
    <w:p w14:paraId="59937355" w14:textId="77777777" w:rsidR="006B595F" w:rsidRPr="0086242B" w:rsidRDefault="006B595F" w:rsidP="006B595F">
      <w:pPr>
        <w:jc w:val="both"/>
        <w:rPr>
          <w:rFonts w:ascii="ITC Avant Garde" w:hAnsi="ITC Avant Garde"/>
        </w:rPr>
      </w:pPr>
    </w:p>
    <w:p w14:paraId="08BC5ED8"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Una variante del mismo modelo de la cabeza, que también puede utilizarse para la medición del SAR, es un modelo </w:t>
      </w:r>
      <w:proofErr w:type="spellStart"/>
      <w:r w:rsidRPr="0086242B">
        <w:rPr>
          <w:rFonts w:ascii="ITC Avant Garde" w:hAnsi="ITC Avant Garde"/>
          <w:sz w:val="20"/>
          <w:szCs w:val="20"/>
        </w:rPr>
        <w:t>bisectado</w:t>
      </w:r>
      <w:proofErr w:type="spellEnd"/>
      <w:r w:rsidRPr="0086242B">
        <w:rPr>
          <w:rFonts w:ascii="ITC Avant Garde" w:hAnsi="ITC Avant Garde"/>
          <w:sz w:val="20"/>
          <w:szCs w:val="20"/>
        </w:rPr>
        <w:t xml:space="preserve"> que permite dividir la parte izquierda y derecha para colocarlas horizontalmente, de la forma en que se observa en la Figura 7.</w:t>
      </w:r>
    </w:p>
    <w:p w14:paraId="3D8F4B94" w14:textId="77777777" w:rsidR="006B595F" w:rsidRPr="0086242B" w:rsidRDefault="006B595F" w:rsidP="006B595F">
      <w:pPr>
        <w:jc w:val="both"/>
        <w:rPr>
          <w:rFonts w:ascii="ITC Avant Garde" w:hAnsi="ITC Avant Garde"/>
        </w:rPr>
      </w:pPr>
    </w:p>
    <w:p w14:paraId="3D532EB4" w14:textId="77777777" w:rsidR="006B595F" w:rsidRPr="0086242B" w:rsidRDefault="006B595F" w:rsidP="006B595F">
      <w:pPr>
        <w:jc w:val="center"/>
        <w:rPr>
          <w:rFonts w:ascii="ITC Avant Garde" w:hAnsi="ITC Avant Garde"/>
        </w:rPr>
      </w:pPr>
      <w:r w:rsidRPr="0086242B">
        <w:rPr>
          <w:rFonts w:ascii="ITC Avant Garde" w:hAnsi="ITC Avant Garde"/>
          <w:noProof/>
          <w:lang w:val="es-MX" w:eastAsia="es-MX"/>
        </w:rPr>
        <w:drawing>
          <wp:inline distT="0" distB="0" distL="0" distR="0" wp14:anchorId="5D63A909" wp14:editId="5358B7E1">
            <wp:extent cx="3689350" cy="993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89350" cy="993775"/>
                    </a:xfrm>
                    <a:prstGeom prst="rect">
                      <a:avLst/>
                    </a:prstGeom>
                    <a:noFill/>
                    <a:ln>
                      <a:noFill/>
                    </a:ln>
                  </pic:spPr>
                </pic:pic>
              </a:graphicData>
            </a:graphic>
          </wp:inline>
        </w:drawing>
      </w:r>
    </w:p>
    <w:p w14:paraId="3B33833C" w14:textId="77777777" w:rsidR="006B595F" w:rsidRPr="0086242B" w:rsidRDefault="006B595F" w:rsidP="006B595F">
      <w:pPr>
        <w:jc w:val="both"/>
        <w:rPr>
          <w:rFonts w:ascii="ITC Avant Garde" w:hAnsi="ITC Avant Garde"/>
        </w:rPr>
      </w:pPr>
    </w:p>
    <w:p w14:paraId="423E7874" w14:textId="77777777" w:rsidR="006B595F" w:rsidRPr="0086242B" w:rsidRDefault="006B595F" w:rsidP="006B595F">
      <w:pPr>
        <w:pStyle w:val="Descripcin"/>
        <w:jc w:val="center"/>
        <w:rPr>
          <w:rFonts w:ascii="ITC Avant Garde" w:hAnsi="ITC Avant Garde"/>
          <w:b w:val="0"/>
        </w:rPr>
      </w:pPr>
      <w:r w:rsidRPr="0086242B">
        <w:rPr>
          <w:rFonts w:ascii="ITC Avant Garde" w:hAnsi="ITC Avant Garde"/>
          <w:b w:val="0"/>
        </w:rPr>
        <w:t>Figura 7.- Modelo de la cabeza humana dividida en parte izquierda y derecha.</w:t>
      </w:r>
    </w:p>
    <w:p w14:paraId="719FC3F1" w14:textId="77777777" w:rsidR="006B595F" w:rsidRPr="0086242B" w:rsidRDefault="006B595F" w:rsidP="006B595F">
      <w:pPr>
        <w:jc w:val="both"/>
        <w:rPr>
          <w:rFonts w:ascii="ITC Avant Garde" w:hAnsi="ITC Avant Garde"/>
        </w:rPr>
      </w:pPr>
    </w:p>
    <w:p w14:paraId="192CF189"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Nótese que en el modelo </w:t>
      </w:r>
      <w:proofErr w:type="spellStart"/>
      <w:r w:rsidRPr="0086242B">
        <w:rPr>
          <w:rFonts w:ascii="ITC Avant Garde" w:hAnsi="ITC Avant Garde"/>
          <w:sz w:val="20"/>
          <w:szCs w:val="20"/>
        </w:rPr>
        <w:t>bisectado</w:t>
      </w:r>
      <w:proofErr w:type="spellEnd"/>
      <w:r w:rsidRPr="0086242B">
        <w:rPr>
          <w:rFonts w:ascii="ITC Avant Garde" w:hAnsi="ITC Avant Garde"/>
          <w:sz w:val="20"/>
          <w:szCs w:val="20"/>
        </w:rPr>
        <w:t>, se prolonga el perímetro de cada lado del modelo  entre 80 y 100 mm con el fin de rellenar con suficiente líquido dieléctrico el interior del modelo y así evitar errores de medición por la reflexión del campo en la superficie del líquido. Para ello, el líquido debe tener al menos 15 cm de profundidad.</w:t>
      </w:r>
    </w:p>
    <w:p w14:paraId="6C3AC758" w14:textId="77777777" w:rsidR="006B595F" w:rsidRPr="0086242B" w:rsidRDefault="006B595F" w:rsidP="006B595F">
      <w:pPr>
        <w:spacing w:line="360" w:lineRule="auto"/>
        <w:jc w:val="both"/>
        <w:rPr>
          <w:rFonts w:ascii="ITC Avant Garde" w:hAnsi="ITC Avant Garde"/>
          <w:sz w:val="20"/>
          <w:szCs w:val="20"/>
        </w:rPr>
      </w:pPr>
    </w:p>
    <w:p w14:paraId="25FE6C1D" w14:textId="77777777" w:rsidR="006B595F"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Las medidas que caracterizan la forma del modelo de la cabeza se enumeran en la Tabla 3 y se muestran gráficamente en la Figura 8.</w:t>
      </w:r>
    </w:p>
    <w:p w14:paraId="53F1DFF2" w14:textId="77777777" w:rsidR="00A57F58" w:rsidRDefault="00A57F58" w:rsidP="006B595F">
      <w:pPr>
        <w:spacing w:line="360" w:lineRule="auto"/>
        <w:jc w:val="both"/>
        <w:rPr>
          <w:rFonts w:ascii="ITC Avant Garde" w:hAnsi="ITC Avant Garde"/>
          <w:sz w:val="20"/>
          <w:szCs w:val="20"/>
        </w:rPr>
      </w:pPr>
    </w:p>
    <w:p w14:paraId="6F907DEA" w14:textId="77777777" w:rsidR="00A57F58" w:rsidRDefault="00A57F58" w:rsidP="006B595F">
      <w:pPr>
        <w:spacing w:line="360" w:lineRule="auto"/>
        <w:jc w:val="both"/>
        <w:rPr>
          <w:rFonts w:ascii="ITC Avant Garde" w:hAnsi="ITC Avant Garde"/>
          <w:sz w:val="20"/>
          <w:szCs w:val="20"/>
        </w:rPr>
      </w:pPr>
    </w:p>
    <w:p w14:paraId="0944CC92" w14:textId="77777777" w:rsidR="00A57F58" w:rsidRDefault="00A57F58" w:rsidP="006B595F">
      <w:pPr>
        <w:spacing w:line="360" w:lineRule="auto"/>
        <w:jc w:val="both"/>
        <w:rPr>
          <w:rFonts w:ascii="ITC Avant Garde" w:hAnsi="ITC Avant Garde"/>
          <w:sz w:val="20"/>
          <w:szCs w:val="20"/>
        </w:rPr>
      </w:pPr>
    </w:p>
    <w:p w14:paraId="2E50ECBD" w14:textId="77777777" w:rsidR="00A57F58" w:rsidRDefault="00A57F58" w:rsidP="006B595F">
      <w:pPr>
        <w:spacing w:line="360" w:lineRule="auto"/>
        <w:jc w:val="both"/>
        <w:rPr>
          <w:rFonts w:ascii="ITC Avant Garde" w:hAnsi="ITC Avant Garde"/>
          <w:sz w:val="20"/>
          <w:szCs w:val="20"/>
        </w:rPr>
      </w:pPr>
    </w:p>
    <w:p w14:paraId="3662482B" w14:textId="77777777" w:rsidR="00A57F58" w:rsidRDefault="00A57F58" w:rsidP="006B595F">
      <w:pPr>
        <w:spacing w:line="360" w:lineRule="auto"/>
        <w:jc w:val="both"/>
        <w:rPr>
          <w:rFonts w:ascii="ITC Avant Garde" w:hAnsi="ITC Avant Garde"/>
          <w:sz w:val="20"/>
          <w:szCs w:val="20"/>
        </w:rPr>
      </w:pPr>
    </w:p>
    <w:p w14:paraId="28F2DBE6" w14:textId="77777777" w:rsidR="00A57F58" w:rsidRDefault="00A57F58" w:rsidP="006B595F">
      <w:pPr>
        <w:spacing w:line="360" w:lineRule="auto"/>
        <w:jc w:val="both"/>
        <w:rPr>
          <w:rFonts w:ascii="ITC Avant Garde" w:hAnsi="ITC Avant Garde"/>
          <w:sz w:val="20"/>
          <w:szCs w:val="20"/>
        </w:rPr>
      </w:pPr>
    </w:p>
    <w:p w14:paraId="3071C6E3" w14:textId="77777777" w:rsidR="00A57F58" w:rsidRDefault="00A57F58" w:rsidP="006B595F">
      <w:pPr>
        <w:spacing w:line="360" w:lineRule="auto"/>
        <w:jc w:val="both"/>
        <w:rPr>
          <w:rFonts w:ascii="ITC Avant Garde" w:hAnsi="ITC Avant Garde"/>
          <w:sz w:val="20"/>
          <w:szCs w:val="20"/>
        </w:rPr>
      </w:pPr>
    </w:p>
    <w:p w14:paraId="5CC7B792" w14:textId="77777777" w:rsidR="00A57F58" w:rsidRPr="0086242B" w:rsidRDefault="00A57F58" w:rsidP="006B595F">
      <w:pPr>
        <w:spacing w:line="360" w:lineRule="auto"/>
        <w:jc w:val="both"/>
        <w:rPr>
          <w:rFonts w:ascii="ITC Avant Garde" w:hAnsi="ITC Avant Garde"/>
          <w:sz w:val="20"/>
          <w:szCs w:val="20"/>
        </w:rPr>
      </w:pPr>
    </w:p>
    <w:p w14:paraId="2C8652CD" w14:textId="77777777" w:rsidR="006B595F" w:rsidRPr="0086242B" w:rsidRDefault="006B595F" w:rsidP="006B595F">
      <w:pPr>
        <w:jc w:val="both"/>
        <w:rPr>
          <w:rFonts w:ascii="ITC Avant Garde" w:hAnsi="ITC Avant Garde"/>
        </w:rPr>
      </w:pPr>
    </w:p>
    <w:p w14:paraId="38235A24" w14:textId="77777777" w:rsidR="006B595F" w:rsidRPr="0086242B" w:rsidRDefault="006B595F" w:rsidP="006B595F">
      <w:pPr>
        <w:pStyle w:val="Descripcin"/>
        <w:jc w:val="center"/>
        <w:rPr>
          <w:rFonts w:ascii="ITC Avant Garde" w:hAnsi="ITC Avant Garde"/>
        </w:rPr>
      </w:pPr>
      <w:r w:rsidRPr="0086242B">
        <w:rPr>
          <w:rFonts w:ascii="ITC Avant Garde" w:hAnsi="ITC Avant Garde"/>
        </w:rPr>
        <w:t xml:space="preserve">Tabla </w:t>
      </w:r>
      <w:r w:rsidRPr="0086242B">
        <w:rPr>
          <w:rFonts w:ascii="ITC Avant Garde" w:hAnsi="ITC Avant Garde"/>
        </w:rPr>
        <w:fldChar w:fldCharType="begin"/>
      </w:r>
      <w:r w:rsidRPr="0086242B">
        <w:rPr>
          <w:rFonts w:ascii="ITC Avant Garde" w:hAnsi="ITC Avant Garde"/>
        </w:rPr>
        <w:instrText xml:space="preserve"> SEQ Tabla \* ARABIC </w:instrText>
      </w:r>
      <w:r w:rsidRPr="0086242B">
        <w:rPr>
          <w:rFonts w:ascii="ITC Avant Garde" w:hAnsi="ITC Avant Garde"/>
        </w:rPr>
        <w:fldChar w:fldCharType="separate"/>
      </w:r>
      <w:r w:rsidR="00992611">
        <w:rPr>
          <w:rFonts w:ascii="ITC Avant Garde" w:hAnsi="ITC Avant Garde"/>
          <w:noProof/>
        </w:rPr>
        <w:t>3</w:t>
      </w:r>
      <w:r w:rsidRPr="0086242B">
        <w:rPr>
          <w:rFonts w:ascii="ITC Avant Garde" w:hAnsi="ITC Avant Garde"/>
        </w:rPr>
        <w:fldChar w:fldCharType="end"/>
      </w:r>
      <w:r w:rsidRPr="0086242B">
        <w:rPr>
          <w:rFonts w:ascii="ITC Avant Garde" w:hAnsi="ITC Avant Garde"/>
        </w:rPr>
        <w:t>.- Medidas del modelo antropométrico de la cabeza humana.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787"/>
      </w:tblGrid>
      <w:tr w:rsidR="006B595F" w:rsidRPr="0086242B" w14:paraId="05477349" w14:textId="77777777" w:rsidTr="008109C1">
        <w:trPr>
          <w:jc w:val="center"/>
        </w:trPr>
        <w:tc>
          <w:tcPr>
            <w:tcW w:w="1368" w:type="dxa"/>
          </w:tcPr>
          <w:p w14:paraId="3F45DE7C" w14:textId="77777777" w:rsidR="006B595F" w:rsidRPr="0086242B" w:rsidRDefault="006B595F" w:rsidP="008109C1">
            <w:pPr>
              <w:jc w:val="center"/>
              <w:rPr>
                <w:rFonts w:ascii="ITC Avant Garde" w:hAnsi="ITC Avant Garde"/>
                <w:b/>
                <w:sz w:val="20"/>
                <w:szCs w:val="20"/>
              </w:rPr>
            </w:pPr>
            <w:r w:rsidRPr="0086242B">
              <w:rPr>
                <w:rFonts w:ascii="ITC Avant Garde" w:hAnsi="ITC Avant Garde"/>
                <w:b/>
                <w:sz w:val="20"/>
                <w:szCs w:val="20"/>
              </w:rPr>
              <w:t>Referencia</w:t>
            </w:r>
          </w:p>
        </w:tc>
        <w:tc>
          <w:tcPr>
            <w:tcW w:w="1787" w:type="dxa"/>
          </w:tcPr>
          <w:p w14:paraId="767518DB" w14:textId="77777777" w:rsidR="006B595F" w:rsidRPr="0086242B" w:rsidRDefault="006B595F" w:rsidP="008109C1">
            <w:pPr>
              <w:jc w:val="center"/>
              <w:rPr>
                <w:rFonts w:ascii="ITC Avant Garde" w:hAnsi="ITC Avant Garde"/>
                <w:b/>
                <w:sz w:val="20"/>
                <w:szCs w:val="20"/>
              </w:rPr>
            </w:pPr>
            <w:r w:rsidRPr="0086242B">
              <w:rPr>
                <w:rFonts w:ascii="ITC Avant Garde" w:hAnsi="ITC Avant Garde"/>
                <w:b/>
                <w:sz w:val="20"/>
                <w:szCs w:val="20"/>
              </w:rPr>
              <w:t>Medida [mm]</w:t>
            </w:r>
          </w:p>
        </w:tc>
      </w:tr>
      <w:tr w:rsidR="006B595F" w:rsidRPr="0086242B" w14:paraId="14C4B179" w14:textId="77777777" w:rsidTr="008109C1">
        <w:trPr>
          <w:jc w:val="center"/>
        </w:trPr>
        <w:tc>
          <w:tcPr>
            <w:tcW w:w="1368" w:type="dxa"/>
          </w:tcPr>
          <w:p w14:paraId="211E7663"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H3</w:t>
            </w:r>
          </w:p>
        </w:tc>
        <w:tc>
          <w:tcPr>
            <w:tcW w:w="1787" w:type="dxa"/>
          </w:tcPr>
          <w:p w14:paraId="28B076A7"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130.0</w:t>
            </w:r>
          </w:p>
        </w:tc>
      </w:tr>
      <w:tr w:rsidR="006B595F" w:rsidRPr="0086242B" w14:paraId="522200DB" w14:textId="77777777" w:rsidTr="008109C1">
        <w:trPr>
          <w:jc w:val="center"/>
        </w:trPr>
        <w:tc>
          <w:tcPr>
            <w:tcW w:w="1368" w:type="dxa"/>
          </w:tcPr>
          <w:p w14:paraId="58D92966"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H6</w:t>
            </w:r>
          </w:p>
        </w:tc>
        <w:tc>
          <w:tcPr>
            <w:tcW w:w="1787" w:type="dxa"/>
          </w:tcPr>
          <w:p w14:paraId="1E1621F9"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152.7</w:t>
            </w:r>
          </w:p>
        </w:tc>
      </w:tr>
      <w:tr w:rsidR="006B595F" w:rsidRPr="0086242B" w14:paraId="7742A810" w14:textId="77777777" w:rsidTr="008109C1">
        <w:trPr>
          <w:jc w:val="center"/>
        </w:trPr>
        <w:tc>
          <w:tcPr>
            <w:tcW w:w="1368" w:type="dxa"/>
          </w:tcPr>
          <w:p w14:paraId="7D87C29F"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H10</w:t>
            </w:r>
          </w:p>
        </w:tc>
        <w:tc>
          <w:tcPr>
            <w:tcW w:w="1787" w:type="dxa"/>
          </w:tcPr>
          <w:p w14:paraId="5C4251A2"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206.5</w:t>
            </w:r>
          </w:p>
        </w:tc>
      </w:tr>
      <w:tr w:rsidR="006B595F" w:rsidRPr="0086242B" w14:paraId="47034F2C" w14:textId="77777777" w:rsidTr="008109C1">
        <w:trPr>
          <w:jc w:val="center"/>
        </w:trPr>
        <w:tc>
          <w:tcPr>
            <w:tcW w:w="1368" w:type="dxa"/>
          </w:tcPr>
          <w:p w14:paraId="53366373"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H11</w:t>
            </w:r>
          </w:p>
        </w:tc>
        <w:tc>
          <w:tcPr>
            <w:tcW w:w="1787" w:type="dxa"/>
          </w:tcPr>
          <w:p w14:paraId="68921382"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220.4</w:t>
            </w:r>
          </w:p>
        </w:tc>
      </w:tr>
      <w:tr w:rsidR="006B595F" w:rsidRPr="0086242B" w14:paraId="573193A3" w14:textId="77777777" w:rsidTr="008109C1">
        <w:trPr>
          <w:jc w:val="center"/>
        </w:trPr>
        <w:tc>
          <w:tcPr>
            <w:tcW w:w="1368" w:type="dxa"/>
          </w:tcPr>
          <w:p w14:paraId="650128DE"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H18</w:t>
            </w:r>
          </w:p>
        </w:tc>
        <w:tc>
          <w:tcPr>
            <w:tcW w:w="1787" w:type="dxa"/>
          </w:tcPr>
          <w:p w14:paraId="7889BD56"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209.2</w:t>
            </w:r>
          </w:p>
        </w:tc>
      </w:tr>
      <w:tr w:rsidR="006B595F" w:rsidRPr="0086242B" w14:paraId="04B88730" w14:textId="77777777" w:rsidTr="008109C1">
        <w:trPr>
          <w:jc w:val="center"/>
        </w:trPr>
        <w:tc>
          <w:tcPr>
            <w:tcW w:w="1368" w:type="dxa"/>
          </w:tcPr>
          <w:p w14:paraId="23F9B6BF"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H19</w:t>
            </w:r>
          </w:p>
        </w:tc>
        <w:tc>
          <w:tcPr>
            <w:tcW w:w="1787" w:type="dxa"/>
          </w:tcPr>
          <w:p w14:paraId="3DE491C2"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104.4</w:t>
            </w:r>
          </w:p>
        </w:tc>
      </w:tr>
      <w:tr w:rsidR="006B595F" w:rsidRPr="0086242B" w14:paraId="312EB11D" w14:textId="77777777" w:rsidTr="008109C1">
        <w:trPr>
          <w:jc w:val="center"/>
        </w:trPr>
        <w:tc>
          <w:tcPr>
            <w:tcW w:w="1368" w:type="dxa"/>
          </w:tcPr>
          <w:p w14:paraId="3626E965"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H30</w:t>
            </w:r>
          </w:p>
        </w:tc>
        <w:tc>
          <w:tcPr>
            <w:tcW w:w="1787" w:type="dxa"/>
          </w:tcPr>
          <w:p w14:paraId="0DD4A0EF"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246.7</w:t>
            </w:r>
          </w:p>
        </w:tc>
      </w:tr>
      <w:tr w:rsidR="006B595F" w:rsidRPr="0086242B" w14:paraId="77E32BC6" w14:textId="77777777" w:rsidTr="008109C1">
        <w:trPr>
          <w:jc w:val="center"/>
        </w:trPr>
        <w:tc>
          <w:tcPr>
            <w:tcW w:w="1368" w:type="dxa"/>
          </w:tcPr>
          <w:p w14:paraId="674D7987"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H36</w:t>
            </w:r>
          </w:p>
        </w:tc>
        <w:tc>
          <w:tcPr>
            <w:tcW w:w="1787" w:type="dxa"/>
          </w:tcPr>
          <w:p w14:paraId="223C21A3"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205.3</w:t>
            </w:r>
          </w:p>
        </w:tc>
      </w:tr>
      <w:tr w:rsidR="006B595F" w:rsidRPr="0086242B" w14:paraId="4DC2BDEB" w14:textId="77777777" w:rsidTr="008109C1">
        <w:trPr>
          <w:jc w:val="center"/>
        </w:trPr>
        <w:tc>
          <w:tcPr>
            <w:tcW w:w="1368" w:type="dxa"/>
          </w:tcPr>
          <w:p w14:paraId="611348A8"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H37</w:t>
            </w:r>
          </w:p>
        </w:tc>
        <w:tc>
          <w:tcPr>
            <w:tcW w:w="1787" w:type="dxa"/>
          </w:tcPr>
          <w:p w14:paraId="3BD74D71"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121.7</w:t>
            </w:r>
          </w:p>
        </w:tc>
      </w:tr>
      <w:tr w:rsidR="006B595F" w:rsidRPr="0086242B" w14:paraId="52948A4E" w14:textId="77777777" w:rsidTr="008109C1">
        <w:trPr>
          <w:jc w:val="center"/>
        </w:trPr>
        <w:tc>
          <w:tcPr>
            <w:tcW w:w="1368" w:type="dxa"/>
          </w:tcPr>
          <w:p w14:paraId="42FCC05B"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H38</w:t>
            </w:r>
          </w:p>
        </w:tc>
        <w:tc>
          <w:tcPr>
            <w:tcW w:w="1787" w:type="dxa"/>
          </w:tcPr>
          <w:p w14:paraId="756C30AE"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211.4</w:t>
            </w:r>
          </w:p>
        </w:tc>
      </w:tr>
      <w:tr w:rsidR="006B595F" w:rsidRPr="0086242B" w14:paraId="5FCFD937" w14:textId="77777777" w:rsidTr="008109C1">
        <w:trPr>
          <w:jc w:val="center"/>
        </w:trPr>
        <w:tc>
          <w:tcPr>
            <w:tcW w:w="1368" w:type="dxa"/>
          </w:tcPr>
          <w:p w14:paraId="278ABF5C"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H39</w:t>
            </w:r>
          </w:p>
        </w:tc>
        <w:tc>
          <w:tcPr>
            <w:tcW w:w="1787" w:type="dxa"/>
          </w:tcPr>
          <w:p w14:paraId="10DBEAEA"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196.3</w:t>
            </w:r>
          </w:p>
        </w:tc>
      </w:tr>
      <w:tr w:rsidR="006B595F" w:rsidRPr="0086242B" w14:paraId="29074EB7" w14:textId="77777777" w:rsidTr="008109C1">
        <w:trPr>
          <w:jc w:val="center"/>
        </w:trPr>
        <w:tc>
          <w:tcPr>
            <w:tcW w:w="1368" w:type="dxa"/>
          </w:tcPr>
          <w:p w14:paraId="43CCF463"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H40</w:t>
            </w:r>
          </w:p>
        </w:tc>
        <w:tc>
          <w:tcPr>
            <w:tcW w:w="1787" w:type="dxa"/>
          </w:tcPr>
          <w:p w14:paraId="28C858E7"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213.0</w:t>
            </w:r>
          </w:p>
        </w:tc>
      </w:tr>
      <w:tr w:rsidR="006B595F" w:rsidRPr="0086242B" w14:paraId="7911D0F7" w14:textId="77777777" w:rsidTr="008109C1">
        <w:trPr>
          <w:jc w:val="center"/>
        </w:trPr>
        <w:tc>
          <w:tcPr>
            <w:tcW w:w="1368" w:type="dxa"/>
          </w:tcPr>
          <w:p w14:paraId="1863902F"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H42</w:t>
            </w:r>
          </w:p>
        </w:tc>
        <w:tc>
          <w:tcPr>
            <w:tcW w:w="1787" w:type="dxa"/>
          </w:tcPr>
          <w:p w14:paraId="3E9F1C69"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177.6</w:t>
            </w:r>
          </w:p>
        </w:tc>
      </w:tr>
      <w:tr w:rsidR="006B595F" w:rsidRPr="0086242B" w14:paraId="596B4DD1" w14:textId="77777777" w:rsidTr="008109C1">
        <w:trPr>
          <w:jc w:val="center"/>
        </w:trPr>
        <w:tc>
          <w:tcPr>
            <w:tcW w:w="1368" w:type="dxa"/>
          </w:tcPr>
          <w:p w14:paraId="3B8A985B"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H43</w:t>
            </w:r>
          </w:p>
        </w:tc>
        <w:tc>
          <w:tcPr>
            <w:tcW w:w="1787" w:type="dxa"/>
          </w:tcPr>
          <w:p w14:paraId="4F03A204"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106.4</w:t>
            </w:r>
          </w:p>
        </w:tc>
      </w:tr>
      <w:tr w:rsidR="006B595F" w:rsidRPr="0086242B" w14:paraId="398F877C" w14:textId="77777777" w:rsidTr="008109C1">
        <w:trPr>
          <w:jc w:val="center"/>
        </w:trPr>
        <w:tc>
          <w:tcPr>
            <w:tcW w:w="1368" w:type="dxa"/>
          </w:tcPr>
          <w:p w14:paraId="04952704"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H44</w:t>
            </w:r>
          </w:p>
        </w:tc>
        <w:tc>
          <w:tcPr>
            <w:tcW w:w="1787" w:type="dxa"/>
          </w:tcPr>
          <w:p w14:paraId="690680FE"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138.2</w:t>
            </w:r>
          </w:p>
        </w:tc>
      </w:tr>
      <w:tr w:rsidR="006B595F" w:rsidRPr="0086242B" w14:paraId="5FA2C5A6" w14:textId="77777777" w:rsidTr="008109C1">
        <w:trPr>
          <w:jc w:val="center"/>
        </w:trPr>
        <w:tc>
          <w:tcPr>
            <w:tcW w:w="1368" w:type="dxa"/>
          </w:tcPr>
          <w:p w14:paraId="524D7983"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15</w:t>
            </w:r>
          </w:p>
        </w:tc>
        <w:tc>
          <w:tcPr>
            <w:tcW w:w="1787" w:type="dxa"/>
          </w:tcPr>
          <w:p w14:paraId="013B6BCA"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329.3</w:t>
            </w:r>
          </w:p>
        </w:tc>
      </w:tr>
      <w:tr w:rsidR="006B595F" w:rsidRPr="0086242B" w14:paraId="079AFDD8" w14:textId="77777777" w:rsidTr="008109C1">
        <w:trPr>
          <w:jc w:val="center"/>
        </w:trPr>
        <w:tc>
          <w:tcPr>
            <w:tcW w:w="1368" w:type="dxa"/>
          </w:tcPr>
          <w:p w14:paraId="02856406"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16</w:t>
            </w:r>
          </w:p>
        </w:tc>
        <w:tc>
          <w:tcPr>
            <w:tcW w:w="1787" w:type="dxa"/>
          </w:tcPr>
          <w:p w14:paraId="525AFCA4"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367.3</w:t>
            </w:r>
          </w:p>
        </w:tc>
      </w:tr>
      <w:tr w:rsidR="006B595F" w:rsidRPr="0086242B" w14:paraId="27482B17" w14:textId="77777777" w:rsidTr="008109C1">
        <w:trPr>
          <w:jc w:val="center"/>
        </w:trPr>
        <w:tc>
          <w:tcPr>
            <w:tcW w:w="1368" w:type="dxa"/>
          </w:tcPr>
          <w:p w14:paraId="6008FEEA"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18</w:t>
            </w:r>
          </w:p>
        </w:tc>
        <w:tc>
          <w:tcPr>
            <w:tcW w:w="1787" w:type="dxa"/>
          </w:tcPr>
          <w:p w14:paraId="542840BB"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314.1</w:t>
            </w:r>
          </w:p>
        </w:tc>
      </w:tr>
      <w:tr w:rsidR="006B595F" w:rsidRPr="0086242B" w14:paraId="5D9DD915" w14:textId="77777777" w:rsidTr="008109C1">
        <w:trPr>
          <w:jc w:val="center"/>
        </w:trPr>
        <w:tc>
          <w:tcPr>
            <w:tcW w:w="1368" w:type="dxa"/>
          </w:tcPr>
          <w:p w14:paraId="16A9CD13"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19</w:t>
            </w:r>
          </w:p>
        </w:tc>
        <w:tc>
          <w:tcPr>
            <w:tcW w:w="1787" w:type="dxa"/>
          </w:tcPr>
          <w:p w14:paraId="0B2D22D4"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333.5</w:t>
            </w:r>
          </w:p>
        </w:tc>
      </w:tr>
      <w:tr w:rsidR="006B595F" w:rsidRPr="0086242B" w14:paraId="7ECA59E7" w14:textId="77777777" w:rsidTr="008109C1">
        <w:trPr>
          <w:jc w:val="center"/>
        </w:trPr>
        <w:tc>
          <w:tcPr>
            <w:tcW w:w="1368" w:type="dxa"/>
          </w:tcPr>
          <w:p w14:paraId="0B9DF211"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20</w:t>
            </w:r>
          </w:p>
        </w:tc>
        <w:tc>
          <w:tcPr>
            <w:tcW w:w="1787" w:type="dxa"/>
          </w:tcPr>
          <w:p w14:paraId="455C3E2F"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305.3</w:t>
            </w:r>
          </w:p>
        </w:tc>
      </w:tr>
      <w:tr w:rsidR="006B595F" w:rsidRPr="0086242B" w14:paraId="1DDDE404" w14:textId="77777777" w:rsidTr="008109C1">
        <w:trPr>
          <w:jc w:val="center"/>
        </w:trPr>
        <w:tc>
          <w:tcPr>
            <w:tcW w:w="1368" w:type="dxa"/>
          </w:tcPr>
          <w:p w14:paraId="33E7E20A"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60</w:t>
            </w:r>
          </w:p>
        </w:tc>
        <w:tc>
          <w:tcPr>
            <w:tcW w:w="1787" w:type="dxa"/>
          </w:tcPr>
          <w:p w14:paraId="61D75B7E"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158.4</w:t>
            </w:r>
          </w:p>
        </w:tc>
      </w:tr>
      <w:tr w:rsidR="006B595F" w:rsidRPr="0086242B" w14:paraId="6B420D67" w14:textId="77777777" w:rsidTr="008109C1">
        <w:trPr>
          <w:jc w:val="center"/>
        </w:trPr>
        <w:tc>
          <w:tcPr>
            <w:tcW w:w="1368" w:type="dxa"/>
          </w:tcPr>
          <w:p w14:paraId="64812EDD"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61</w:t>
            </w:r>
          </w:p>
        </w:tc>
        <w:tc>
          <w:tcPr>
            <w:tcW w:w="1787" w:type="dxa"/>
          </w:tcPr>
          <w:p w14:paraId="4AEFC414"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594.8</w:t>
            </w:r>
          </w:p>
        </w:tc>
      </w:tr>
      <w:tr w:rsidR="006B595F" w:rsidRPr="0086242B" w14:paraId="272C95AF" w14:textId="77777777" w:rsidTr="008109C1">
        <w:trPr>
          <w:jc w:val="center"/>
        </w:trPr>
        <w:tc>
          <w:tcPr>
            <w:tcW w:w="1368" w:type="dxa"/>
          </w:tcPr>
          <w:p w14:paraId="600915F6"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62</w:t>
            </w:r>
          </w:p>
        </w:tc>
        <w:tc>
          <w:tcPr>
            <w:tcW w:w="1787" w:type="dxa"/>
          </w:tcPr>
          <w:p w14:paraId="579C6DC9"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206.0</w:t>
            </w:r>
          </w:p>
        </w:tc>
      </w:tr>
      <w:tr w:rsidR="006B595F" w:rsidRPr="0086242B" w14:paraId="1C87EF3E" w14:textId="77777777" w:rsidTr="008109C1">
        <w:trPr>
          <w:jc w:val="center"/>
        </w:trPr>
        <w:tc>
          <w:tcPr>
            <w:tcW w:w="1368" w:type="dxa"/>
          </w:tcPr>
          <w:p w14:paraId="74770FFF"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77</w:t>
            </w:r>
          </w:p>
        </w:tc>
        <w:tc>
          <w:tcPr>
            <w:tcW w:w="1787" w:type="dxa"/>
          </w:tcPr>
          <w:p w14:paraId="16AD9709"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125.0</w:t>
            </w:r>
          </w:p>
        </w:tc>
      </w:tr>
      <w:tr w:rsidR="006B595F" w:rsidRPr="0086242B" w14:paraId="521E4E9B" w14:textId="77777777" w:rsidTr="008109C1">
        <w:trPr>
          <w:jc w:val="center"/>
        </w:trPr>
        <w:tc>
          <w:tcPr>
            <w:tcW w:w="1368" w:type="dxa"/>
          </w:tcPr>
          <w:p w14:paraId="25F1CF21"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80</w:t>
            </w:r>
          </w:p>
        </w:tc>
        <w:tc>
          <w:tcPr>
            <w:tcW w:w="1787" w:type="dxa"/>
          </w:tcPr>
          <w:p w14:paraId="48A3E1E8"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395.4</w:t>
            </w:r>
          </w:p>
        </w:tc>
      </w:tr>
    </w:tbl>
    <w:p w14:paraId="6FBA7B87" w14:textId="77777777" w:rsidR="006B595F" w:rsidRPr="0086242B" w:rsidRDefault="006B595F" w:rsidP="006B595F">
      <w:pPr>
        <w:jc w:val="both"/>
        <w:rPr>
          <w:rFonts w:ascii="ITC Avant Garde" w:hAnsi="ITC Avant Garde"/>
        </w:rPr>
      </w:pPr>
    </w:p>
    <w:p w14:paraId="6021E779" w14:textId="77777777" w:rsidR="006B595F" w:rsidRPr="0086242B" w:rsidRDefault="006B595F" w:rsidP="006B595F">
      <w:pPr>
        <w:spacing w:line="360" w:lineRule="auto"/>
        <w:jc w:val="both"/>
        <w:rPr>
          <w:rFonts w:ascii="ITC Avant Garde" w:hAnsi="ITC Avant Garde"/>
          <w:sz w:val="16"/>
          <w:szCs w:val="20"/>
        </w:rPr>
      </w:pPr>
      <w:r w:rsidRPr="0086242B">
        <w:rPr>
          <w:rFonts w:ascii="ITC Avant Garde" w:hAnsi="ITC Avant Garde"/>
          <w:sz w:val="16"/>
          <w:szCs w:val="20"/>
        </w:rPr>
        <w:t>Nota:</w:t>
      </w:r>
      <w:r w:rsidRPr="0086242B">
        <w:rPr>
          <w:rFonts w:ascii="ITC Avant Garde" w:hAnsi="ITC Avant Garde"/>
          <w:sz w:val="16"/>
          <w:szCs w:val="20"/>
        </w:rPr>
        <w:tab/>
        <w:t>Las medidas especificadas en la tabla corresponden a distancias lineales si se muestran como líneas con flechas en la Figura 8, o como distancias de arco si se muestran como líneas sin flechas. Como excepción se tienen las medidas que tienen los números de referencia 61 y 80, que se refieren a circunferencias completas.</w:t>
      </w:r>
    </w:p>
    <w:p w14:paraId="0FB9E97F" w14:textId="77777777" w:rsidR="006B595F" w:rsidRPr="0086242B" w:rsidRDefault="006B595F" w:rsidP="006B595F">
      <w:pPr>
        <w:spacing w:line="360" w:lineRule="auto"/>
        <w:jc w:val="both"/>
        <w:rPr>
          <w:rFonts w:ascii="ITC Avant Garde" w:hAnsi="ITC Avant Garde"/>
        </w:rPr>
      </w:pPr>
    </w:p>
    <w:p w14:paraId="6A3F6D20" w14:textId="77777777" w:rsidR="006B595F" w:rsidRPr="0086242B" w:rsidRDefault="006B595F" w:rsidP="006B595F">
      <w:pPr>
        <w:jc w:val="center"/>
        <w:rPr>
          <w:rFonts w:ascii="ITC Avant Garde" w:hAnsi="ITC Avant Garde"/>
        </w:rPr>
      </w:pPr>
      <w:r w:rsidRPr="0086242B">
        <w:rPr>
          <w:rFonts w:ascii="ITC Avant Garde" w:hAnsi="ITC Avant Garde"/>
          <w:noProof/>
          <w:lang w:val="es-MX" w:eastAsia="es-MX"/>
        </w:rPr>
        <w:drawing>
          <wp:inline distT="0" distB="0" distL="0" distR="0" wp14:anchorId="0D930503" wp14:editId="5C34087F">
            <wp:extent cx="3402965" cy="6193790"/>
            <wp:effectExtent l="0" t="0" r="635"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02965" cy="6193790"/>
                    </a:xfrm>
                    <a:prstGeom prst="rect">
                      <a:avLst/>
                    </a:prstGeom>
                    <a:noFill/>
                    <a:ln>
                      <a:noFill/>
                    </a:ln>
                  </pic:spPr>
                </pic:pic>
              </a:graphicData>
            </a:graphic>
          </wp:inline>
        </w:drawing>
      </w:r>
    </w:p>
    <w:p w14:paraId="1E4A431D" w14:textId="77777777" w:rsidR="006B595F" w:rsidRPr="0086242B" w:rsidRDefault="006B595F" w:rsidP="006B595F">
      <w:pPr>
        <w:jc w:val="both"/>
        <w:rPr>
          <w:rFonts w:ascii="ITC Avant Garde" w:hAnsi="ITC Avant Garde"/>
        </w:rPr>
      </w:pPr>
    </w:p>
    <w:p w14:paraId="21FD64E3" w14:textId="77777777" w:rsidR="006B595F" w:rsidRPr="0086242B" w:rsidRDefault="006B595F" w:rsidP="006B595F">
      <w:pPr>
        <w:pStyle w:val="Descripcin"/>
        <w:jc w:val="center"/>
        <w:rPr>
          <w:rFonts w:ascii="ITC Avant Garde" w:hAnsi="ITC Avant Garde"/>
          <w:b w:val="0"/>
        </w:rPr>
      </w:pPr>
      <w:r w:rsidRPr="0086242B">
        <w:rPr>
          <w:rFonts w:ascii="ITC Avant Garde" w:hAnsi="ITC Avant Garde"/>
          <w:b w:val="0"/>
        </w:rPr>
        <w:t>Figura 8.-Medidas del modelo antropométrico de la cabeza humana.</w:t>
      </w:r>
    </w:p>
    <w:p w14:paraId="11141888" w14:textId="77777777" w:rsidR="006B595F" w:rsidRPr="0086242B" w:rsidRDefault="006B595F" w:rsidP="006B595F">
      <w:pPr>
        <w:jc w:val="both"/>
        <w:rPr>
          <w:rFonts w:ascii="ITC Avant Garde" w:hAnsi="ITC Avant Garde"/>
        </w:rPr>
      </w:pPr>
    </w:p>
    <w:p w14:paraId="4AFDD87F" w14:textId="77777777" w:rsidR="006B595F" w:rsidRPr="0086242B" w:rsidRDefault="006B595F" w:rsidP="006B595F">
      <w:pPr>
        <w:jc w:val="both"/>
        <w:rPr>
          <w:rFonts w:ascii="ITC Avant Garde" w:hAnsi="ITC Avant Garde"/>
        </w:rPr>
      </w:pPr>
    </w:p>
    <w:p w14:paraId="076757BB"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El modelo de la cabeza debe ser hueco para permitir su relleno con material dieléctrico que va a simular las características eléctricas del tejido interno de la cabeza. La superficie del modelo, deberá tener un espesor de 2 mm, excepto en la parte de las orejas que van a ser sólidas y deberán permitir un espaciamiento entre el equipo terminal y la superficie principal del modelo de 6mm. El material del modelo deberá tener una tangente de pérdidas menor a 0.05 y una </w:t>
      </w:r>
      <w:proofErr w:type="spellStart"/>
      <w:r w:rsidRPr="0086242B">
        <w:rPr>
          <w:rFonts w:ascii="ITC Avant Garde" w:hAnsi="ITC Avant Garde"/>
          <w:sz w:val="20"/>
          <w:szCs w:val="20"/>
        </w:rPr>
        <w:t>permitividad</w:t>
      </w:r>
      <w:proofErr w:type="spellEnd"/>
      <w:r w:rsidRPr="0086242B">
        <w:rPr>
          <w:rFonts w:ascii="ITC Avant Garde" w:hAnsi="ITC Avant Garde"/>
          <w:sz w:val="20"/>
          <w:szCs w:val="20"/>
        </w:rPr>
        <w:t xml:space="preserve"> relativa menor de 5.</w:t>
      </w:r>
    </w:p>
    <w:p w14:paraId="229D6160" w14:textId="77777777" w:rsidR="006B595F" w:rsidRPr="0086242B" w:rsidRDefault="006B595F" w:rsidP="006B595F">
      <w:pPr>
        <w:spacing w:line="360" w:lineRule="auto"/>
        <w:jc w:val="both"/>
        <w:rPr>
          <w:rFonts w:ascii="ITC Avant Garde" w:hAnsi="ITC Avant Garde"/>
          <w:sz w:val="20"/>
          <w:szCs w:val="20"/>
        </w:rPr>
      </w:pPr>
    </w:p>
    <w:p w14:paraId="0AAD5B72"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El líquido dieléctrico con el que se rellena el modelo deberá tener las propiedades dieléctricas que se establecen en la Tabla 4.</w:t>
      </w:r>
    </w:p>
    <w:p w14:paraId="3799E767" w14:textId="77777777" w:rsidR="006B595F" w:rsidRPr="0086242B" w:rsidRDefault="006B595F" w:rsidP="006B595F">
      <w:pPr>
        <w:jc w:val="both"/>
        <w:rPr>
          <w:rFonts w:ascii="ITC Avant Garde" w:hAnsi="ITC Avant Garde"/>
        </w:rPr>
      </w:pPr>
    </w:p>
    <w:p w14:paraId="264F1CBB" w14:textId="77777777" w:rsidR="006B595F" w:rsidRPr="0086242B" w:rsidRDefault="006B595F" w:rsidP="006B595F">
      <w:pPr>
        <w:pStyle w:val="Descripcin"/>
        <w:jc w:val="center"/>
        <w:rPr>
          <w:rFonts w:ascii="ITC Avant Garde" w:hAnsi="ITC Avant Garde"/>
        </w:rPr>
      </w:pPr>
      <w:r w:rsidRPr="0086242B">
        <w:rPr>
          <w:rFonts w:ascii="ITC Avant Garde" w:hAnsi="ITC Avant Garde"/>
        </w:rPr>
        <w:t xml:space="preserve">Tabla </w:t>
      </w:r>
      <w:r w:rsidRPr="0086242B">
        <w:rPr>
          <w:rFonts w:ascii="ITC Avant Garde" w:hAnsi="ITC Avant Garde"/>
        </w:rPr>
        <w:fldChar w:fldCharType="begin"/>
      </w:r>
      <w:r w:rsidRPr="0086242B">
        <w:rPr>
          <w:rFonts w:ascii="ITC Avant Garde" w:hAnsi="ITC Avant Garde"/>
        </w:rPr>
        <w:instrText xml:space="preserve"> SEQ Tabla \* ARABIC </w:instrText>
      </w:r>
      <w:r w:rsidRPr="0086242B">
        <w:rPr>
          <w:rFonts w:ascii="ITC Avant Garde" w:hAnsi="ITC Avant Garde"/>
        </w:rPr>
        <w:fldChar w:fldCharType="separate"/>
      </w:r>
      <w:r w:rsidR="00992611">
        <w:rPr>
          <w:rFonts w:ascii="ITC Avant Garde" w:hAnsi="ITC Avant Garde"/>
          <w:noProof/>
        </w:rPr>
        <w:t>4</w:t>
      </w:r>
      <w:r w:rsidRPr="0086242B">
        <w:rPr>
          <w:rFonts w:ascii="ITC Avant Garde" w:hAnsi="ITC Avant Garde"/>
        </w:rPr>
        <w:fldChar w:fldCharType="end"/>
      </w:r>
      <w:r w:rsidRPr="0086242B">
        <w:rPr>
          <w:rFonts w:ascii="ITC Avant Garde" w:hAnsi="ITC Avant Garde"/>
        </w:rPr>
        <w:t>.- Propiedades dieléctricas del líquido de relleno del modelo de la</w:t>
      </w:r>
      <w:r w:rsidRPr="0086242B">
        <w:rPr>
          <w:rFonts w:ascii="ITC Avant Garde" w:hAnsi="ITC Avant Garde"/>
          <w:sz w:val="24"/>
          <w:szCs w:val="24"/>
        </w:rPr>
        <w:t xml:space="preserve"> </w:t>
      </w:r>
      <w:r w:rsidRPr="0086242B">
        <w:rPr>
          <w:rFonts w:ascii="ITC Avant Garde" w:hAnsi="ITC Avant Garde"/>
        </w:rPr>
        <w:t>cabeza.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5"/>
        <w:gridCol w:w="2515"/>
        <w:gridCol w:w="2340"/>
      </w:tblGrid>
      <w:tr w:rsidR="006B595F" w:rsidRPr="0086242B" w14:paraId="0ADB1232" w14:textId="77777777" w:rsidTr="008109C1">
        <w:trPr>
          <w:jc w:val="center"/>
        </w:trPr>
        <w:tc>
          <w:tcPr>
            <w:tcW w:w="1625" w:type="dxa"/>
          </w:tcPr>
          <w:p w14:paraId="440E0242" w14:textId="77777777" w:rsidR="006B595F" w:rsidRPr="0086242B" w:rsidRDefault="006B595F" w:rsidP="008109C1">
            <w:pPr>
              <w:jc w:val="center"/>
              <w:rPr>
                <w:rFonts w:ascii="ITC Avant Garde" w:hAnsi="ITC Avant Garde"/>
                <w:b/>
                <w:sz w:val="20"/>
                <w:szCs w:val="20"/>
              </w:rPr>
            </w:pPr>
            <w:r w:rsidRPr="0086242B">
              <w:rPr>
                <w:rFonts w:ascii="ITC Avant Garde" w:hAnsi="ITC Avant Garde"/>
                <w:b/>
                <w:sz w:val="20"/>
                <w:szCs w:val="20"/>
              </w:rPr>
              <w:t>Frecuencia</w:t>
            </w:r>
          </w:p>
          <w:p w14:paraId="68796D06" w14:textId="77777777" w:rsidR="006B595F" w:rsidRPr="0086242B" w:rsidRDefault="006B595F" w:rsidP="008109C1">
            <w:pPr>
              <w:jc w:val="center"/>
              <w:rPr>
                <w:rFonts w:ascii="ITC Avant Garde" w:hAnsi="ITC Avant Garde"/>
                <w:b/>
                <w:sz w:val="20"/>
                <w:szCs w:val="20"/>
              </w:rPr>
            </w:pPr>
            <w:r w:rsidRPr="0086242B">
              <w:rPr>
                <w:rFonts w:ascii="ITC Avant Garde" w:hAnsi="ITC Avant Garde"/>
                <w:b/>
                <w:sz w:val="20"/>
                <w:szCs w:val="20"/>
              </w:rPr>
              <w:t>[MHz]</w:t>
            </w:r>
          </w:p>
        </w:tc>
        <w:tc>
          <w:tcPr>
            <w:tcW w:w="2515" w:type="dxa"/>
          </w:tcPr>
          <w:p w14:paraId="15587139" w14:textId="77777777" w:rsidR="006B595F" w:rsidRPr="0086242B" w:rsidRDefault="006B595F" w:rsidP="008109C1">
            <w:pPr>
              <w:jc w:val="center"/>
              <w:rPr>
                <w:rFonts w:ascii="ITC Avant Garde" w:hAnsi="ITC Avant Garde"/>
                <w:b/>
                <w:sz w:val="20"/>
                <w:szCs w:val="20"/>
              </w:rPr>
            </w:pPr>
            <w:r w:rsidRPr="0086242B">
              <w:rPr>
                <w:rFonts w:ascii="ITC Avant Garde" w:hAnsi="ITC Avant Garde"/>
                <w:b/>
                <w:sz w:val="20"/>
                <w:szCs w:val="20"/>
              </w:rPr>
              <w:t>Constante dieléctrica relativa (</w:t>
            </w:r>
            <w:proofErr w:type="spellStart"/>
            <w:r w:rsidRPr="0086242B">
              <w:rPr>
                <w:rFonts w:ascii="Calibri" w:hAnsi="Calibri" w:cs="Calibri"/>
                <w:b/>
                <w:i/>
                <w:sz w:val="20"/>
                <w:szCs w:val="20"/>
              </w:rPr>
              <w:t>ε</w:t>
            </w:r>
            <w:r w:rsidRPr="0086242B">
              <w:rPr>
                <w:rFonts w:ascii="ITC Avant Garde" w:hAnsi="ITC Avant Garde"/>
                <w:b/>
                <w:i/>
                <w:sz w:val="20"/>
                <w:szCs w:val="20"/>
                <w:vertAlign w:val="subscript"/>
              </w:rPr>
              <w:t>r</w:t>
            </w:r>
            <w:proofErr w:type="spellEnd"/>
            <w:r w:rsidRPr="0086242B">
              <w:rPr>
                <w:rFonts w:ascii="ITC Avant Garde" w:hAnsi="ITC Avant Garde"/>
                <w:b/>
                <w:sz w:val="20"/>
                <w:szCs w:val="20"/>
              </w:rPr>
              <w:t>)</w:t>
            </w:r>
          </w:p>
        </w:tc>
        <w:tc>
          <w:tcPr>
            <w:tcW w:w="2340" w:type="dxa"/>
          </w:tcPr>
          <w:p w14:paraId="7CFC5CB6" w14:textId="77777777" w:rsidR="006B595F" w:rsidRPr="0086242B" w:rsidRDefault="006B595F" w:rsidP="008109C1">
            <w:pPr>
              <w:jc w:val="center"/>
              <w:rPr>
                <w:rFonts w:ascii="ITC Avant Garde" w:hAnsi="ITC Avant Garde"/>
                <w:b/>
                <w:sz w:val="20"/>
                <w:szCs w:val="20"/>
              </w:rPr>
            </w:pPr>
            <w:r w:rsidRPr="0086242B">
              <w:rPr>
                <w:rFonts w:ascii="ITC Avant Garde" w:hAnsi="ITC Avant Garde"/>
                <w:b/>
                <w:sz w:val="20"/>
                <w:szCs w:val="20"/>
              </w:rPr>
              <w:t>Conductividad (</w:t>
            </w:r>
            <w:r w:rsidRPr="0086242B">
              <w:rPr>
                <w:rFonts w:ascii="Calibri" w:hAnsi="Calibri" w:cs="Calibri"/>
                <w:b/>
                <w:i/>
                <w:sz w:val="20"/>
                <w:szCs w:val="20"/>
              </w:rPr>
              <w:t>σ</w:t>
            </w:r>
            <w:r w:rsidRPr="0086242B">
              <w:rPr>
                <w:rFonts w:ascii="ITC Avant Garde" w:hAnsi="ITC Avant Garde"/>
                <w:b/>
                <w:sz w:val="20"/>
                <w:szCs w:val="20"/>
              </w:rPr>
              <w:t>)</w:t>
            </w:r>
          </w:p>
          <w:p w14:paraId="787DBD7B" w14:textId="77777777" w:rsidR="006B595F" w:rsidRPr="0086242B" w:rsidRDefault="006B595F" w:rsidP="008109C1">
            <w:pPr>
              <w:jc w:val="center"/>
              <w:rPr>
                <w:rFonts w:ascii="ITC Avant Garde" w:hAnsi="ITC Avant Garde"/>
                <w:b/>
                <w:sz w:val="20"/>
                <w:szCs w:val="20"/>
              </w:rPr>
            </w:pPr>
            <w:r w:rsidRPr="0086242B">
              <w:rPr>
                <w:rFonts w:ascii="ITC Avant Garde" w:hAnsi="ITC Avant Garde"/>
                <w:b/>
                <w:sz w:val="20"/>
                <w:szCs w:val="20"/>
              </w:rPr>
              <w:t>[S/m]</w:t>
            </w:r>
          </w:p>
        </w:tc>
      </w:tr>
      <w:tr w:rsidR="006B595F" w:rsidRPr="0086242B" w14:paraId="653B842E" w14:textId="77777777" w:rsidTr="008109C1">
        <w:trPr>
          <w:jc w:val="center"/>
        </w:trPr>
        <w:tc>
          <w:tcPr>
            <w:tcW w:w="1625" w:type="dxa"/>
          </w:tcPr>
          <w:p w14:paraId="1155BB0B"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300</w:t>
            </w:r>
          </w:p>
        </w:tc>
        <w:tc>
          <w:tcPr>
            <w:tcW w:w="2515" w:type="dxa"/>
          </w:tcPr>
          <w:p w14:paraId="20F55549"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45.3</w:t>
            </w:r>
          </w:p>
        </w:tc>
        <w:tc>
          <w:tcPr>
            <w:tcW w:w="2340" w:type="dxa"/>
          </w:tcPr>
          <w:p w14:paraId="7ED5A583"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0.87</w:t>
            </w:r>
          </w:p>
        </w:tc>
      </w:tr>
      <w:tr w:rsidR="006B595F" w:rsidRPr="0086242B" w14:paraId="7862C679" w14:textId="77777777" w:rsidTr="008109C1">
        <w:trPr>
          <w:jc w:val="center"/>
        </w:trPr>
        <w:tc>
          <w:tcPr>
            <w:tcW w:w="1625" w:type="dxa"/>
          </w:tcPr>
          <w:p w14:paraId="374AC0A3"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450</w:t>
            </w:r>
          </w:p>
        </w:tc>
        <w:tc>
          <w:tcPr>
            <w:tcW w:w="2515" w:type="dxa"/>
          </w:tcPr>
          <w:p w14:paraId="49CD0495"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43.5</w:t>
            </w:r>
          </w:p>
        </w:tc>
        <w:tc>
          <w:tcPr>
            <w:tcW w:w="2340" w:type="dxa"/>
          </w:tcPr>
          <w:p w14:paraId="59359A06"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0.87</w:t>
            </w:r>
          </w:p>
        </w:tc>
      </w:tr>
      <w:tr w:rsidR="006B595F" w:rsidRPr="0086242B" w14:paraId="5973CBCB" w14:textId="77777777" w:rsidTr="008109C1">
        <w:trPr>
          <w:jc w:val="center"/>
        </w:trPr>
        <w:tc>
          <w:tcPr>
            <w:tcW w:w="1625" w:type="dxa"/>
          </w:tcPr>
          <w:p w14:paraId="0064F830"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835</w:t>
            </w:r>
          </w:p>
        </w:tc>
        <w:tc>
          <w:tcPr>
            <w:tcW w:w="2515" w:type="dxa"/>
          </w:tcPr>
          <w:p w14:paraId="3C91F007"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41.5</w:t>
            </w:r>
          </w:p>
        </w:tc>
        <w:tc>
          <w:tcPr>
            <w:tcW w:w="2340" w:type="dxa"/>
          </w:tcPr>
          <w:p w14:paraId="45B204ED"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0.90</w:t>
            </w:r>
          </w:p>
        </w:tc>
      </w:tr>
      <w:tr w:rsidR="006B595F" w:rsidRPr="0086242B" w14:paraId="57D54760" w14:textId="77777777" w:rsidTr="008109C1">
        <w:trPr>
          <w:jc w:val="center"/>
        </w:trPr>
        <w:tc>
          <w:tcPr>
            <w:tcW w:w="1625" w:type="dxa"/>
          </w:tcPr>
          <w:p w14:paraId="4A5E0077"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900</w:t>
            </w:r>
          </w:p>
        </w:tc>
        <w:tc>
          <w:tcPr>
            <w:tcW w:w="2515" w:type="dxa"/>
          </w:tcPr>
          <w:p w14:paraId="1344A748"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41.5</w:t>
            </w:r>
          </w:p>
        </w:tc>
        <w:tc>
          <w:tcPr>
            <w:tcW w:w="2340" w:type="dxa"/>
          </w:tcPr>
          <w:p w14:paraId="4BD224A9"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0.97</w:t>
            </w:r>
          </w:p>
        </w:tc>
      </w:tr>
      <w:tr w:rsidR="006B595F" w:rsidRPr="0086242B" w14:paraId="27B2B0F1" w14:textId="77777777" w:rsidTr="008109C1">
        <w:trPr>
          <w:jc w:val="center"/>
        </w:trPr>
        <w:tc>
          <w:tcPr>
            <w:tcW w:w="1625" w:type="dxa"/>
          </w:tcPr>
          <w:p w14:paraId="2C2021DE"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1,450</w:t>
            </w:r>
          </w:p>
        </w:tc>
        <w:tc>
          <w:tcPr>
            <w:tcW w:w="2515" w:type="dxa"/>
          </w:tcPr>
          <w:p w14:paraId="67BFFC04"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40.5</w:t>
            </w:r>
          </w:p>
        </w:tc>
        <w:tc>
          <w:tcPr>
            <w:tcW w:w="2340" w:type="dxa"/>
          </w:tcPr>
          <w:p w14:paraId="4B341266"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1.20</w:t>
            </w:r>
          </w:p>
        </w:tc>
      </w:tr>
      <w:tr w:rsidR="006B595F" w:rsidRPr="0086242B" w14:paraId="59D10694" w14:textId="77777777" w:rsidTr="008109C1">
        <w:trPr>
          <w:jc w:val="center"/>
        </w:trPr>
        <w:tc>
          <w:tcPr>
            <w:tcW w:w="1625" w:type="dxa"/>
          </w:tcPr>
          <w:p w14:paraId="0D3AD7E2"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1,800</w:t>
            </w:r>
          </w:p>
        </w:tc>
        <w:tc>
          <w:tcPr>
            <w:tcW w:w="2515" w:type="dxa"/>
          </w:tcPr>
          <w:p w14:paraId="2578B3C6"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40.0</w:t>
            </w:r>
          </w:p>
        </w:tc>
        <w:tc>
          <w:tcPr>
            <w:tcW w:w="2340" w:type="dxa"/>
          </w:tcPr>
          <w:p w14:paraId="22956F06"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1.40</w:t>
            </w:r>
          </w:p>
        </w:tc>
      </w:tr>
      <w:tr w:rsidR="006B595F" w:rsidRPr="0086242B" w14:paraId="218031AE" w14:textId="77777777" w:rsidTr="008109C1">
        <w:trPr>
          <w:jc w:val="center"/>
        </w:trPr>
        <w:tc>
          <w:tcPr>
            <w:tcW w:w="1625" w:type="dxa"/>
          </w:tcPr>
          <w:p w14:paraId="42F64DF5"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1,900</w:t>
            </w:r>
          </w:p>
        </w:tc>
        <w:tc>
          <w:tcPr>
            <w:tcW w:w="2515" w:type="dxa"/>
          </w:tcPr>
          <w:p w14:paraId="7E1982F2"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40.0</w:t>
            </w:r>
          </w:p>
        </w:tc>
        <w:tc>
          <w:tcPr>
            <w:tcW w:w="2340" w:type="dxa"/>
          </w:tcPr>
          <w:p w14:paraId="33C1810A"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1.40</w:t>
            </w:r>
          </w:p>
        </w:tc>
      </w:tr>
      <w:tr w:rsidR="006B595F" w:rsidRPr="0086242B" w14:paraId="4B559EDE" w14:textId="77777777" w:rsidTr="008109C1">
        <w:trPr>
          <w:jc w:val="center"/>
        </w:trPr>
        <w:tc>
          <w:tcPr>
            <w:tcW w:w="1625" w:type="dxa"/>
          </w:tcPr>
          <w:p w14:paraId="4DFE99E8"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1,950</w:t>
            </w:r>
          </w:p>
        </w:tc>
        <w:tc>
          <w:tcPr>
            <w:tcW w:w="2515" w:type="dxa"/>
          </w:tcPr>
          <w:p w14:paraId="3B632DE0"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40.0</w:t>
            </w:r>
          </w:p>
        </w:tc>
        <w:tc>
          <w:tcPr>
            <w:tcW w:w="2340" w:type="dxa"/>
          </w:tcPr>
          <w:p w14:paraId="66E3C6FC"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1.40</w:t>
            </w:r>
          </w:p>
        </w:tc>
      </w:tr>
      <w:tr w:rsidR="006B595F" w:rsidRPr="0086242B" w14:paraId="2D7AAB76" w14:textId="77777777" w:rsidTr="008109C1">
        <w:trPr>
          <w:jc w:val="center"/>
        </w:trPr>
        <w:tc>
          <w:tcPr>
            <w:tcW w:w="1625" w:type="dxa"/>
          </w:tcPr>
          <w:p w14:paraId="2EBC8503"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2,000</w:t>
            </w:r>
          </w:p>
        </w:tc>
        <w:tc>
          <w:tcPr>
            <w:tcW w:w="2515" w:type="dxa"/>
          </w:tcPr>
          <w:p w14:paraId="1147A02E"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40.5</w:t>
            </w:r>
          </w:p>
        </w:tc>
        <w:tc>
          <w:tcPr>
            <w:tcW w:w="2340" w:type="dxa"/>
          </w:tcPr>
          <w:p w14:paraId="03D8C142"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1.40</w:t>
            </w:r>
          </w:p>
        </w:tc>
      </w:tr>
      <w:tr w:rsidR="006B595F" w:rsidRPr="0086242B" w14:paraId="2D37591F" w14:textId="77777777" w:rsidTr="008109C1">
        <w:trPr>
          <w:jc w:val="center"/>
        </w:trPr>
        <w:tc>
          <w:tcPr>
            <w:tcW w:w="1625" w:type="dxa"/>
          </w:tcPr>
          <w:p w14:paraId="5610A755"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2,450</w:t>
            </w:r>
          </w:p>
        </w:tc>
        <w:tc>
          <w:tcPr>
            <w:tcW w:w="2515" w:type="dxa"/>
          </w:tcPr>
          <w:p w14:paraId="57F03D12"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39.2</w:t>
            </w:r>
          </w:p>
        </w:tc>
        <w:tc>
          <w:tcPr>
            <w:tcW w:w="2340" w:type="dxa"/>
          </w:tcPr>
          <w:p w14:paraId="3663C989"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1.80</w:t>
            </w:r>
          </w:p>
        </w:tc>
      </w:tr>
      <w:tr w:rsidR="006B595F" w:rsidRPr="0086242B" w14:paraId="6D4069A3" w14:textId="77777777" w:rsidTr="008109C1">
        <w:trPr>
          <w:jc w:val="center"/>
        </w:trPr>
        <w:tc>
          <w:tcPr>
            <w:tcW w:w="1625" w:type="dxa"/>
          </w:tcPr>
          <w:p w14:paraId="3F62D79F"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3,000</w:t>
            </w:r>
          </w:p>
        </w:tc>
        <w:tc>
          <w:tcPr>
            <w:tcW w:w="2515" w:type="dxa"/>
          </w:tcPr>
          <w:p w14:paraId="4DF6D50A"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38.5</w:t>
            </w:r>
          </w:p>
        </w:tc>
        <w:tc>
          <w:tcPr>
            <w:tcW w:w="2340" w:type="dxa"/>
          </w:tcPr>
          <w:p w14:paraId="1157B827" w14:textId="77777777" w:rsidR="006B595F" w:rsidRPr="0086242B" w:rsidRDefault="006B595F" w:rsidP="008109C1">
            <w:pPr>
              <w:jc w:val="center"/>
              <w:rPr>
                <w:rFonts w:ascii="ITC Avant Garde" w:hAnsi="ITC Avant Garde"/>
                <w:sz w:val="20"/>
                <w:szCs w:val="20"/>
              </w:rPr>
            </w:pPr>
            <w:r w:rsidRPr="0086242B">
              <w:rPr>
                <w:rFonts w:ascii="ITC Avant Garde" w:hAnsi="ITC Avant Garde"/>
                <w:sz w:val="20"/>
                <w:szCs w:val="20"/>
              </w:rPr>
              <w:t>2.40</w:t>
            </w:r>
          </w:p>
        </w:tc>
      </w:tr>
    </w:tbl>
    <w:p w14:paraId="5B217844" w14:textId="77777777" w:rsidR="006B595F" w:rsidRPr="0086242B" w:rsidRDefault="006B595F" w:rsidP="006B595F">
      <w:pPr>
        <w:jc w:val="center"/>
        <w:rPr>
          <w:rFonts w:ascii="ITC Avant Garde" w:hAnsi="ITC Avant Garde"/>
        </w:rPr>
      </w:pPr>
    </w:p>
    <w:p w14:paraId="2E0FB1D4"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Los valores de la Tabla 4 no deberán desviarse más allá del ±5%, excepto en el valor de la constante dieléctrica relativa entre 2 y 3 GHz, en donde se podrá tener una desviación máxima de ±10%.</w:t>
      </w:r>
    </w:p>
    <w:p w14:paraId="2B25E5C9" w14:textId="77777777" w:rsidR="006B595F" w:rsidRPr="0086242B" w:rsidRDefault="006B595F" w:rsidP="006B595F">
      <w:pPr>
        <w:jc w:val="both"/>
        <w:rPr>
          <w:rFonts w:ascii="ITC Avant Garde" w:hAnsi="ITC Avant Garde"/>
        </w:rPr>
      </w:pPr>
    </w:p>
    <w:p w14:paraId="67ED2CB4" w14:textId="77777777" w:rsidR="006B595F" w:rsidRPr="0086242B" w:rsidRDefault="006B595F" w:rsidP="006B595F">
      <w:pPr>
        <w:pStyle w:val="Ttulo3"/>
        <w:keepLines w:val="0"/>
        <w:numPr>
          <w:ilvl w:val="2"/>
          <w:numId w:val="49"/>
        </w:numPr>
        <w:spacing w:before="240" w:after="60" w:line="240" w:lineRule="auto"/>
        <w:rPr>
          <w:rFonts w:ascii="ITC Avant Garde" w:hAnsi="ITC Avant Garde"/>
          <w:color w:val="auto"/>
          <w:sz w:val="22"/>
          <w:szCs w:val="22"/>
        </w:rPr>
      </w:pPr>
      <w:bookmarkStart w:id="31" w:name="_Toc414444611"/>
      <w:r w:rsidRPr="0086242B">
        <w:rPr>
          <w:rFonts w:ascii="ITC Avant Garde" w:hAnsi="ITC Avant Garde"/>
          <w:color w:val="auto"/>
          <w:sz w:val="22"/>
          <w:szCs w:val="22"/>
        </w:rPr>
        <w:t>Posicionamiento del equipo terminal de radiocomunicación relativo al modelo de la cabeza.</w:t>
      </w:r>
      <w:bookmarkEnd w:id="31"/>
    </w:p>
    <w:p w14:paraId="10D8E9AF" w14:textId="77777777" w:rsidR="006B595F" w:rsidRPr="0086242B" w:rsidRDefault="006B595F" w:rsidP="006B595F"/>
    <w:p w14:paraId="6C898E73"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La medición del SAR debe realizarse colocando el equipo terminal móvil en dos posiciones, una en contacto con la mejilla y otra inclinada alejándose del contacto con la mejilla. Para cada una de estas posiciones, se debe medir el SAR tanto en el oído izquierdo como el derecho. La forma de colocar el equipo terminal en estas dos posiciones es la siguiente:</w:t>
      </w:r>
    </w:p>
    <w:p w14:paraId="742AD499" w14:textId="77777777" w:rsidR="006B595F" w:rsidRPr="0086242B" w:rsidRDefault="006B595F" w:rsidP="006B595F">
      <w:pPr>
        <w:jc w:val="both"/>
        <w:rPr>
          <w:rFonts w:ascii="ITC Avant Garde" w:hAnsi="ITC Avant Garde"/>
        </w:rPr>
      </w:pPr>
    </w:p>
    <w:p w14:paraId="2A2AF77B" w14:textId="77777777" w:rsidR="006B595F" w:rsidRPr="0086242B" w:rsidRDefault="006B595F" w:rsidP="006B595F">
      <w:pPr>
        <w:numPr>
          <w:ilvl w:val="0"/>
          <w:numId w:val="13"/>
        </w:numPr>
        <w:spacing w:line="360" w:lineRule="auto"/>
        <w:jc w:val="both"/>
        <w:rPr>
          <w:rFonts w:ascii="ITC Avant Garde" w:hAnsi="ITC Avant Garde"/>
          <w:sz w:val="20"/>
          <w:szCs w:val="20"/>
        </w:rPr>
      </w:pPr>
      <w:r w:rsidRPr="0086242B">
        <w:rPr>
          <w:rFonts w:ascii="ITC Avant Garde" w:hAnsi="ITC Avant Garde"/>
          <w:i/>
          <w:sz w:val="20"/>
          <w:szCs w:val="20"/>
        </w:rPr>
        <w:t>Posición 1</w:t>
      </w:r>
      <w:r w:rsidRPr="0086242B">
        <w:rPr>
          <w:rFonts w:ascii="ITC Avant Garde" w:hAnsi="ITC Avant Garde"/>
          <w:sz w:val="20"/>
          <w:szCs w:val="20"/>
        </w:rPr>
        <w:t xml:space="preserve">.- Para definir esta posición se trazan dos líneas imaginarias en el equipo terminal, una línea central vertical y una horizontal que se cruzan a la altura de la salida de audio del equipo terminal en el punto A, tal como se muestra en la Figura 9, tanto para los modelos que tienen una cubierta desplegable que se puede abrir, como los modelos que no tienen ésta cubierta. Obsérvese que la línea vertical pasa por el punto central inferior B del equipo terminal que está en la superficie frontal del mismo, donde regularmente se encuentran las teclas. Una vez definidas esta líneas se procede a colocar el equipo </w:t>
      </w:r>
      <w:proofErr w:type="gramStart"/>
      <w:r w:rsidRPr="0086242B">
        <w:rPr>
          <w:rFonts w:ascii="ITC Avant Garde" w:hAnsi="ITC Avant Garde"/>
          <w:sz w:val="20"/>
          <w:szCs w:val="20"/>
        </w:rPr>
        <w:t>terminal  en</w:t>
      </w:r>
      <w:proofErr w:type="gramEnd"/>
      <w:r w:rsidRPr="0086242B">
        <w:rPr>
          <w:rFonts w:ascii="ITC Avant Garde" w:hAnsi="ITC Avant Garde"/>
          <w:sz w:val="20"/>
          <w:szCs w:val="20"/>
        </w:rPr>
        <w:t xml:space="preserve"> contacto con la oreja del modelo de la cabeza de tal manera que el punto A se ubique sobre la línea extendida que pasa por los puntos LE y RE del modelo. Se ajusta la posición del equipo terminal para que la línea central vertical del equipo </w:t>
      </w:r>
      <w:proofErr w:type="gramStart"/>
      <w:r w:rsidRPr="0086242B">
        <w:rPr>
          <w:rFonts w:ascii="ITC Avant Garde" w:hAnsi="ITC Avant Garde"/>
          <w:sz w:val="20"/>
          <w:szCs w:val="20"/>
        </w:rPr>
        <w:t>terminal  quede</w:t>
      </w:r>
      <w:proofErr w:type="gramEnd"/>
      <w:r w:rsidRPr="0086242B">
        <w:rPr>
          <w:rFonts w:ascii="ITC Avant Garde" w:hAnsi="ITC Avant Garde"/>
          <w:sz w:val="20"/>
          <w:szCs w:val="20"/>
        </w:rPr>
        <w:t xml:space="preserve"> sobre el plano de referencia del modelo y se rota o mueve el equipo terminal para que exista algún punto de contacto adicional al punto A pero debajo de la oreja. La configuración se muestra gráficamente en la Figura 10.</w:t>
      </w:r>
    </w:p>
    <w:p w14:paraId="4D64F3F0" w14:textId="77777777" w:rsidR="006B595F" w:rsidRPr="0086242B" w:rsidRDefault="006B595F" w:rsidP="006B595F">
      <w:pPr>
        <w:jc w:val="both"/>
        <w:rPr>
          <w:rFonts w:ascii="ITC Avant Garde" w:hAnsi="ITC Avant Garde"/>
        </w:rPr>
      </w:pPr>
    </w:p>
    <w:p w14:paraId="34EF1841" w14:textId="77777777" w:rsidR="006B595F" w:rsidRPr="0086242B" w:rsidRDefault="006B595F" w:rsidP="006B595F">
      <w:pPr>
        <w:jc w:val="both"/>
        <w:rPr>
          <w:rFonts w:ascii="ITC Avant Garde" w:hAnsi="ITC Avant Garde"/>
        </w:rPr>
      </w:pPr>
    </w:p>
    <w:p w14:paraId="538235D3" w14:textId="77777777" w:rsidR="006B595F" w:rsidRPr="0086242B" w:rsidRDefault="006B595F" w:rsidP="006B595F">
      <w:pPr>
        <w:jc w:val="center"/>
        <w:rPr>
          <w:rFonts w:ascii="ITC Avant Garde" w:hAnsi="ITC Avant Garde"/>
        </w:rPr>
      </w:pPr>
      <w:r w:rsidRPr="0086242B">
        <w:rPr>
          <w:rFonts w:ascii="ITC Avant Garde" w:hAnsi="ITC Avant Garde"/>
          <w:noProof/>
          <w:lang w:val="es-MX" w:eastAsia="es-MX"/>
        </w:rPr>
        <w:drawing>
          <wp:inline distT="0" distB="0" distL="0" distR="0" wp14:anchorId="5336EA1E" wp14:editId="7CC07602">
            <wp:extent cx="1256030" cy="2122805"/>
            <wp:effectExtent l="0" t="0" r="0"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l="33603" t="4645" r="30675" b="3313"/>
                    <a:stretch>
                      <a:fillRect/>
                    </a:stretch>
                  </pic:blipFill>
                  <pic:spPr bwMode="auto">
                    <a:xfrm>
                      <a:off x="0" y="0"/>
                      <a:ext cx="1256030" cy="2122805"/>
                    </a:xfrm>
                    <a:prstGeom prst="rect">
                      <a:avLst/>
                    </a:prstGeom>
                    <a:noFill/>
                    <a:ln>
                      <a:noFill/>
                    </a:ln>
                  </pic:spPr>
                </pic:pic>
              </a:graphicData>
            </a:graphic>
          </wp:inline>
        </w:drawing>
      </w:r>
      <w:r w:rsidRPr="0086242B">
        <w:rPr>
          <w:rFonts w:ascii="ITC Avant Garde" w:hAnsi="ITC Avant Garde"/>
        </w:rPr>
        <w:tab/>
      </w:r>
      <w:r w:rsidRPr="0086242B">
        <w:rPr>
          <w:rFonts w:ascii="ITC Avant Garde" w:hAnsi="ITC Avant Garde"/>
        </w:rPr>
        <w:tab/>
      </w:r>
      <w:r w:rsidRPr="0086242B">
        <w:rPr>
          <w:rFonts w:ascii="ITC Avant Garde" w:hAnsi="ITC Avant Garde"/>
          <w:noProof/>
          <w:lang w:val="es-MX" w:eastAsia="es-MX"/>
        </w:rPr>
        <w:drawing>
          <wp:inline distT="0" distB="0" distL="0" distR="0" wp14:anchorId="7E7C2741" wp14:editId="7BFAE49E">
            <wp:extent cx="1216660" cy="205930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l="37675" r="26598" b="8006"/>
                    <a:stretch>
                      <a:fillRect/>
                    </a:stretch>
                  </pic:blipFill>
                  <pic:spPr bwMode="auto">
                    <a:xfrm>
                      <a:off x="0" y="0"/>
                      <a:ext cx="1216660" cy="2059305"/>
                    </a:xfrm>
                    <a:prstGeom prst="rect">
                      <a:avLst/>
                    </a:prstGeom>
                    <a:noFill/>
                    <a:ln>
                      <a:noFill/>
                    </a:ln>
                  </pic:spPr>
                </pic:pic>
              </a:graphicData>
            </a:graphic>
          </wp:inline>
        </w:drawing>
      </w:r>
    </w:p>
    <w:p w14:paraId="4557D30B" w14:textId="26A35760" w:rsidR="006B595F" w:rsidRPr="0086242B" w:rsidRDefault="006B595F" w:rsidP="006B595F">
      <w:pPr>
        <w:pStyle w:val="Descripcin"/>
        <w:jc w:val="center"/>
        <w:rPr>
          <w:rFonts w:ascii="ITC Avant Garde" w:hAnsi="ITC Avant Garde"/>
          <w:b w:val="0"/>
        </w:rPr>
      </w:pPr>
      <w:r w:rsidRPr="0086242B">
        <w:rPr>
          <w:rFonts w:ascii="ITC Avant Garde" w:hAnsi="ITC Avant Garde"/>
          <w:b w:val="0"/>
        </w:rPr>
        <w:t>Figura 9.-Líneas de referencia para posicionar el equipo terminal.</w:t>
      </w:r>
    </w:p>
    <w:p w14:paraId="55481C58" w14:textId="77777777" w:rsidR="006B595F" w:rsidRPr="0086242B" w:rsidRDefault="006B595F" w:rsidP="006B595F">
      <w:pPr>
        <w:rPr>
          <w:rFonts w:ascii="ITC Avant Garde" w:hAnsi="ITC Avant Garde"/>
        </w:rPr>
      </w:pPr>
    </w:p>
    <w:p w14:paraId="4A744385" w14:textId="77777777" w:rsidR="006B595F" w:rsidRPr="0086242B" w:rsidRDefault="006B595F" w:rsidP="006B595F">
      <w:pPr>
        <w:jc w:val="center"/>
        <w:rPr>
          <w:rFonts w:ascii="ITC Avant Garde" w:hAnsi="ITC Avant Garde"/>
        </w:rPr>
      </w:pPr>
      <w:r w:rsidRPr="0086242B">
        <w:rPr>
          <w:rFonts w:ascii="ITC Avant Garde" w:hAnsi="ITC Avant Garde"/>
          <w:noProof/>
          <w:lang w:val="es-MX" w:eastAsia="es-MX"/>
        </w:rPr>
        <w:drawing>
          <wp:inline distT="0" distB="0" distL="0" distR="0" wp14:anchorId="632172EA" wp14:editId="15425C0B">
            <wp:extent cx="3538220" cy="13042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38220" cy="1304290"/>
                    </a:xfrm>
                    <a:prstGeom prst="rect">
                      <a:avLst/>
                    </a:prstGeom>
                    <a:noFill/>
                    <a:ln>
                      <a:noFill/>
                    </a:ln>
                  </pic:spPr>
                </pic:pic>
              </a:graphicData>
            </a:graphic>
          </wp:inline>
        </w:drawing>
      </w:r>
    </w:p>
    <w:p w14:paraId="694F2034" w14:textId="77777777" w:rsidR="006B595F" w:rsidRPr="0086242B" w:rsidRDefault="006B595F" w:rsidP="006B595F">
      <w:pPr>
        <w:rPr>
          <w:rFonts w:ascii="ITC Avant Garde" w:hAnsi="ITC Avant Garde"/>
        </w:rPr>
      </w:pPr>
    </w:p>
    <w:p w14:paraId="1B935165" w14:textId="77777777" w:rsidR="006B595F" w:rsidRPr="0086242B" w:rsidRDefault="006B595F" w:rsidP="006B595F">
      <w:pPr>
        <w:pStyle w:val="Descripcin"/>
        <w:jc w:val="center"/>
        <w:rPr>
          <w:rFonts w:ascii="ITC Avant Garde" w:hAnsi="ITC Avant Garde"/>
          <w:b w:val="0"/>
        </w:rPr>
      </w:pPr>
      <w:r w:rsidRPr="0086242B">
        <w:rPr>
          <w:rFonts w:ascii="ITC Avant Garde" w:hAnsi="ITC Avant Garde"/>
          <w:b w:val="0"/>
        </w:rPr>
        <w:t>Figura 10.-Posición 1 del equipo terminal junto al modelo de la cabeza.</w:t>
      </w:r>
    </w:p>
    <w:p w14:paraId="7DA655BF" w14:textId="77777777" w:rsidR="006B595F" w:rsidRPr="0086242B" w:rsidRDefault="006B595F" w:rsidP="006B595F">
      <w:pPr>
        <w:jc w:val="center"/>
        <w:rPr>
          <w:rFonts w:ascii="ITC Avant Garde" w:hAnsi="ITC Avant Garde"/>
        </w:rPr>
      </w:pPr>
    </w:p>
    <w:p w14:paraId="71347A38" w14:textId="77777777" w:rsidR="006B595F" w:rsidRPr="0086242B" w:rsidRDefault="006B595F" w:rsidP="006B595F">
      <w:pPr>
        <w:numPr>
          <w:ilvl w:val="0"/>
          <w:numId w:val="13"/>
        </w:numPr>
        <w:spacing w:line="360" w:lineRule="auto"/>
        <w:jc w:val="both"/>
        <w:rPr>
          <w:rFonts w:ascii="ITC Avant Garde" w:hAnsi="ITC Avant Garde"/>
          <w:sz w:val="20"/>
          <w:szCs w:val="20"/>
        </w:rPr>
      </w:pPr>
      <w:r w:rsidRPr="0086242B">
        <w:rPr>
          <w:rFonts w:ascii="ITC Avant Garde" w:hAnsi="ITC Avant Garde"/>
          <w:i/>
          <w:sz w:val="20"/>
          <w:szCs w:val="20"/>
        </w:rPr>
        <w:t>Posición 2</w:t>
      </w:r>
      <w:r w:rsidRPr="0086242B">
        <w:rPr>
          <w:rFonts w:ascii="ITC Avant Garde" w:hAnsi="ITC Avant Garde"/>
          <w:sz w:val="20"/>
          <w:szCs w:val="20"/>
        </w:rPr>
        <w:t>.- Para colocar el equipo terminal en esta posición se siguen los mismos pasos para colocarlo en la posición 1, con la diferencia de que al final se rota el equipo terminal de tal manera que la línea central vertical todavía se encuentre en el plano de referencia del modelo pero el contacto debajo de la oreja se elimina con esta rotación y se aleja del modelo unos 15˚ en relación a la posición 1, como se muestra en la configuración de la Figura 11.</w:t>
      </w:r>
    </w:p>
    <w:p w14:paraId="05419DAC" w14:textId="77777777" w:rsidR="006B595F" w:rsidRPr="0086242B" w:rsidRDefault="006B595F" w:rsidP="006B595F">
      <w:pPr>
        <w:jc w:val="center"/>
        <w:rPr>
          <w:rFonts w:ascii="ITC Avant Garde" w:hAnsi="ITC Avant Garde"/>
        </w:rPr>
      </w:pPr>
    </w:p>
    <w:p w14:paraId="414A958B" w14:textId="77777777" w:rsidR="006B595F" w:rsidRPr="0086242B" w:rsidRDefault="006B595F" w:rsidP="006B595F">
      <w:pPr>
        <w:jc w:val="center"/>
        <w:rPr>
          <w:rFonts w:ascii="ITC Avant Garde" w:hAnsi="ITC Avant Garde"/>
        </w:rPr>
      </w:pPr>
      <w:r w:rsidRPr="0086242B">
        <w:rPr>
          <w:rFonts w:ascii="ITC Avant Garde" w:hAnsi="ITC Avant Garde"/>
          <w:noProof/>
          <w:lang w:val="es-MX" w:eastAsia="es-MX"/>
        </w:rPr>
        <w:drawing>
          <wp:inline distT="0" distB="0" distL="0" distR="0" wp14:anchorId="2DD1CE17" wp14:editId="64DC15C1">
            <wp:extent cx="3649345" cy="1415415"/>
            <wp:effectExtent l="0" t="0" r="8255" b="698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49345" cy="1415415"/>
                    </a:xfrm>
                    <a:prstGeom prst="rect">
                      <a:avLst/>
                    </a:prstGeom>
                    <a:noFill/>
                    <a:ln>
                      <a:noFill/>
                    </a:ln>
                  </pic:spPr>
                </pic:pic>
              </a:graphicData>
            </a:graphic>
          </wp:inline>
        </w:drawing>
      </w:r>
    </w:p>
    <w:p w14:paraId="6557C8F7" w14:textId="77777777" w:rsidR="006B595F" w:rsidRPr="0086242B" w:rsidRDefault="006B595F" w:rsidP="006B595F">
      <w:pPr>
        <w:pStyle w:val="Descripcin"/>
        <w:jc w:val="center"/>
        <w:rPr>
          <w:rFonts w:ascii="ITC Avant Garde" w:hAnsi="ITC Avant Garde"/>
          <w:b w:val="0"/>
        </w:rPr>
      </w:pPr>
      <w:r w:rsidRPr="0086242B">
        <w:rPr>
          <w:rFonts w:ascii="ITC Avant Garde" w:hAnsi="ITC Avant Garde"/>
          <w:b w:val="0"/>
        </w:rPr>
        <w:t xml:space="preserve">Figura 11.-Posición 2 del equipo terminal de </w:t>
      </w:r>
      <w:proofErr w:type="gramStart"/>
      <w:r w:rsidRPr="0086242B">
        <w:rPr>
          <w:rFonts w:ascii="ITC Avant Garde" w:hAnsi="ITC Avant Garde"/>
          <w:b w:val="0"/>
        </w:rPr>
        <w:t>radiocomunicación  junto</w:t>
      </w:r>
      <w:proofErr w:type="gramEnd"/>
      <w:r w:rsidRPr="0086242B">
        <w:rPr>
          <w:rFonts w:ascii="ITC Avant Garde" w:hAnsi="ITC Avant Garde"/>
          <w:b w:val="0"/>
        </w:rPr>
        <w:t xml:space="preserve"> al modelo de la cabeza.</w:t>
      </w:r>
    </w:p>
    <w:p w14:paraId="73C592E7" w14:textId="77777777" w:rsidR="006B595F" w:rsidRPr="0086242B" w:rsidRDefault="006B595F" w:rsidP="006B595F">
      <w:pPr>
        <w:jc w:val="both"/>
        <w:rPr>
          <w:rFonts w:ascii="ITC Avant Garde" w:hAnsi="ITC Avant Garde"/>
          <w:sz w:val="22"/>
        </w:rPr>
      </w:pPr>
    </w:p>
    <w:p w14:paraId="7DA1ACB0" w14:textId="77777777" w:rsidR="006B595F" w:rsidRPr="0086242B" w:rsidRDefault="006B595F" w:rsidP="006B595F">
      <w:pPr>
        <w:pStyle w:val="Ttulo3"/>
        <w:keepLines w:val="0"/>
        <w:numPr>
          <w:ilvl w:val="2"/>
          <w:numId w:val="49"/>
        </w:numPr>
        <w:spacing w:before="240" w:after="60" w:line="240" w:lineRule="auto"/>
        <w:rPr>
          <w:rFonts w:ascii="ITC Avant Garde" w:hAnsi="ITC Avant Garde"/>
          <w:color w:val="auto"/>
          <w:sz w:val="22"/>
          <w:szCs w:val="22"/>
        </w:rPr>
      </w:pPr>
      <w:bookmarkStart w:id="32" w:name="_Toc414444612"/>
      <w:r w:rsidRPr="0086242B">
        <w:rPr>
          <w:rFonts w:ascii="ITC Avant Garde" w:hAnsi="ITC Avant Garde"/>
          <w:color w:val="auto"/>
          <w:sz w:val="22"/>
          <w:szCs w:val="22"/>
        </w:rPr>
        <w:t>Modos de operación del equipo terminal para la medición del SAR.</w:t>
      </w:r>
      <w:bookmarkEnd w:id="32"/>
    </w:p>
    <w:p w14:paraId="3E6AD70C" w14:textId="77777777" w:rsidR="006B595F" w:rsidRPr="0086242B" w:rsidRDefault="006B595F" w:rsidP="006B595F"/>
    <w:p w14:paraId="23C8AB9F" w14:textId="77777777" w:rsidR="006B595F"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 xml:space="preserve">La medición del SAR se realiza con un equipo terminal operando en su régimen de máxima potencia, utilizando para ello un programa especial de prueba almacenado en el </w:t>
      </w:r>
      <w:r w:rsidRPr="0086242B">
        <w:rPr>
          <w:rFonts w:ascii="ITC Avant Garde" w:hAnsi="ITC Avant Garde"/>
          <w:sz w:val="20"/>
          <w:szCs w:val="20"/>
        </w:rPr>
        <w:t>equipo terminal</w:t>
      </w:r>
      <w:r w:rsidRPr="0086242B">
        <w:rPr>
          <w:rFonts w:ascii="ITC Avant Garde" w:hAnsi="ITC Avant Garde"/>
          <w:sz w:val="20"/>
          <w:szCs w:val="20"/>
          <w:lang w:val="es-ES_tradnl"/>
        </w:rPr>
        <w:t xml:space="preserve">. Alternativamente, si no se utiliza un programa de prueba, se puede emplear un simulador de una estación base de telefonía móvil con su antena correspondiente y que se configure adecuadamente para que el transmisor del equipo terminal opere finalmente a su máxima potencia. </w:t>
      </w:r>
    </w:p>
    <w:p w14:paraId="646CB871" w14:textId="77777777" w:rsidR="00B66A1E" w:rsidRPr="0086242B" w:rsidRDefault="00B66A1E" w:rsidP="006B595F">
      <w:pPr>
        <w:spacing w:line="360" w:lineRule="auto"/>
        <w:jc w:val="both"/>
        <w:rPr>
          <w:rFonts w:ascii="ITC Avant Garde" w:hAnsi="ITC Avant Garde"/>
          <w:sz w:val="20"/>
          <w:szCs w:val="20"/>
          <w:lang w:val="es-ES_tradnl"/>
        </w:rPr>
      </w:pPr>
    </w:p>
    <w:p w14:paraId="39ECC468"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El equipo terminal debe estar libre de cables ya sean de alimentación, de su puerto de programación, o algún otro, con el propósito de que los campos generados por el equipo terminal no se vean alterados por la presencia de estos objetos metálicos. Igualmente, la batería del equipo terminal debe estar totalmente cargada.</w:t>
      </w:r>
    </w:p>
    <w:p w14:paraId="4B379F33" w14:textId="77777777" w:rsidR="006B595F" w:rsidRPr="0086242B" w:rsidRDefault="006B595F" w:rsidP="006B595F">
      <w:pPr>
        <w:spacing w:line="360" w:lineRule="auto"/>
        <w:jc w:val="both"/>
        <w:rPr>
          <w:rFonts w:ascii="ITC Avant Garde" w:hAnsi="ITC Avant Garde"/>
          <w:sz w:val="20"/>
          <w:szCs w:val="20"/>
          <w:lang w:val="es-ES_tradnl"/>
        </w:rPr>
      </w:pPr>
    </w:p>
    <w:p w14:paraId="2FE34411"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 xml:space="preserve">La medición del SAR se efectúa para todos los modos de operación del equipo terminal bajo prueba, ya sean analógicos o digitales, a las distintas bandas de frecuencias en que opere dicho dispositivo en México. </w:t>
      </w:r>
    </w:p>
    <w:p w14:paraId="3CB7002A" w14:textId="77777777" w:rsidR="006B595F" w:rsidRPr="0086242B" w:rsidRDefault="006B595F" w:rsidP="006B595F">
      <w:pPr>
        <w:spacing w:line="360" w:lineRule="auto"/>
        <w:jc w:val="both"/>
        <w:rPr>
          <w:rFonts w:ascii="ITC Avant Garde" w:hAnsi="ITC Avant Garde"/>
          <w:sz w:val="20"/>
          <w:szCs w:val="20"/>
          <w:lang w:val="es-ES_tradnl"/>
        </w:rPr>
      </w:pPr>
    </w:p>
    <w:p w14:paraId="538E29BE"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Cada modo de operación tiene características particulares que deben tomarse en cuenta para configurar el equipo terminal para la prueba del SAR, por ejemplo:</w:t>
      </w:r>
    </w:p>
    <w:p w14:paraId="0FE439BD" w14:textId="77777777" w:rsidR="006B595F" w:rsidRPr="0086242B" w:rsidRDefault="006B595F" w:rsidP="006B595F">
      <w:pPr>
        <w:spacing w:line="360" w:lineRule="auto"/>
        <w:jc w:val="both"/>
        <w:rPr>
          <w:rFonts w:ascii="ITC Avant Garde" w:hAnsi="ITC Avant Garde"/>
          <w:sz w:val="20"/>
          <w:szCs w:val="20"/>
          <w:lang w:val="es-ES_tradnl"/>
        </w:rPr>
      </w:pPr>
    </w:p>
    <w:p w14:paraId="4187C7B9" w14:textId="77777777" w:rsidR="006B595F" w:rsidRPr="0086242B" w:rsidRDefault="006B595F" w:rsidP="006B595F">
      <w:pPr>
        <w:numPr>
          <w:ilvl w:val="0"/>
          <w:numId w:val="13"/>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Modo de operación analógico FDMA.- Los equipos terminales que utilizan cualquiera de las tecnologías analógicas basadas en el acceso múltiple por división de frecuencia (FDMA), pueden probarse con portadoras de señal continua en sus canales de prueba ya sea programando secuencias de prueba en el equipo terminal o utilizando un simulador de estación base.</w:t>
      </w:r>
    </w:p>
    <w:p w14:paraId="1105E9AA" w14:textId="77777777" w:rsidR="006B595F" w:rsidRPr="0086242B" w:rsidRDefault="006B595F" w:rsidP="006B595F">
      <w:pPr>
        <w:spacing w:line="360" w:lineRule="auto"/>
        <w:ind w:left="720"/>
        <w:jc w:val="both"/>
        <w:rPr>
          <w:rFonts w:ascii="ITC Avant Garde" w:hAnsi="ITC Avant Garde"/>
          <w:sz w:val="20"/>
          <w:szCs w:val="20"/>
          <w:lang w:val="es-ES_tradnl"/>
        </w:rPr>
      </w:pPr>
    </w:p>
    <w:p w14:paraId="2AE1CFFD" w14:textId="635BD251" w:rsidR="006B595F" w:rsidRPr="0086242B" w:rsidRDefault="006B595F" w:rsidP="006B595F">
      <w:pPr>
        <w:numPr>
          <w:ilvl w:val="0"/>
          <w:numId w:val="13"/>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Modo de operación digital TDMA.- Cuando los equipos terminales utilizan alguna de las tecnologías digitales basadas en el acceso múltiple por división de tiempo (TDMA), éstos se pueden probar utilizando códigos de prueba o un simulador de estación base que establezca un canal de comunicación en determinada ranura de tiempo. Si la tecnología empleada permite la asignación de múltiples ranuras de tiempo, la medición se realiza tomando en cuenta la potencia promedio máxima transmitida en las diferentes ranuras de tiempo.</w:t>
      </w:r>
    </w:p>
    <w:p w14:paraId="33F4DD59" w14:textId="77777777" w:rsidR="006B595F" w:rsidRPr="0086242B" w:rsidRDefault="006B595F" w:rsidP="006B595F">
      <w:pPr>
        <w:pStyle w:val="Prrafodelista"/>
        <w:rPr>
          <w:rFonts w:ascii="ITC Avant Garde" w:hAnsi="ITC Avant Garde"/>
          <w:sz w:val="20"/>
          <w:szCs w:val="20"/>
          <w:lang w:val="es-ES_tradnl"/>
        </w:rPr>
      </w:pPr>
    </w:p>
    <w:p w14:paraId="53DC8143" w14:textId="77777777" w:rsidR="006B595F" w:rsidRPr="0086242B" w:rsidRDefault="006B595F" w:rsidP="006B595F">
      <w:pPr>
        <w:spacing w:line="360" w:lineRule="auto"/>
        <w:ind w:left="720"/>
        <w:jc w:val="both"/>
        <w:rPr>
          <w:rFonts w:ascii="ITC Avant Garde" w:hAnsi="ITC Avant Garde"/>
          <w:sz w:val="20"/>
          <w:szCs w:val="20"/>
          <w:lang w:val="es-ES_tradnl"/>
        </w:rPr>
      </w:pPr>
    </w:p>
    <w:p w14:paraId="4D57D0B0" w14:textId="77777777" w:rsidR="006B595F" w:rsidRPr="0086242B" w:rsidRDefault="006B595F" w:rsidP="006B595F">
      <w:pPr>
        <w:numPr>
          <w:ilvl w:val="0"/>
          <w:numId w:val="13"/>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 xml:space="preserve">Modo de operación digital CDMA.- En las tecnologías digitales derivadas del acceso múltiple por división de código (CDMA), también conocidas como de espectro disperso, el control de potencia de salida del equipo </w:t>
      </w:r>
      <w:proofErr w:type="gramStart"/>
      <w:r w:rsidRPr="0086242B">
        <w:rPr>
          <w:rFonts w:ascii="ITC Avant Garde" w:hAnsi="ITC Avant Garde"/>
          <w:sz w:val="20"/>
          <w:szCs w:val="20"/>
          <w:lang w:val="es-ES_tradnl"/>
        </w:rPr>
        <w:t>terminal  es</w:t>
      </w:r>
      <w:proofErr w:type="gramEnd"/>
      <w:r w:rsidRPr="0086242B">
        <w:rPr>
          <w:rFonts w:ascii="ITC Avant Garde" w:hAnsi="ITC Avant Garde"/>
          <w:sz w:val="20"/>
          <w:szCs w:val="20"/>
          <w:lang w:val="es-ES_tradnl"/>
        </w:rPr>
        <w:t xml:space="preserve"> un parámetro que varía de acuerdo al tipo particular de codificación de voz que se esté utilizando, la ubicación exacta del equipo terminal  respecto a la estación base, entre otros factores. En estos casos, es necesario operar el equipo </w:t>
      </w:r>
      <w:proofErr w:type="gramStart"/>
      <w:r w:rsidRPr="0086242B">
        <w:rPr>
          <w:rFonts w:ascii="ITC Avant Garde" w:hAnsi="ITC Avant Garde"/>
          <w:sz w:val="20"/>
          <w:szCs w:val="20"/>
          <w:lang w:val="es-ES_tradnl"/>
        </w:rPr>
        <w:t>terminal  a</w:t>
      </w:r>
      <w:proofErr w:type="gramEnd"/>
      <w:r w:rsidRPr="0086242B">
        <w:rPr>
          <w:rFonts w:ascii="ITC Avant Garde" w:hAnsi="ITC Avant Garde"/>
          <w:sz w:val="20"/>
          <w:szCs w:val="20"/>
          <w:lang w:val="es-ES_tradnl"/>
        </w:rPr>
        <w:t xml:space="preserve"> su máxima velocidad del codificador de voz y se deben configurar los códigos de prueba o el simulador de la estación base de tal forma que se asegure un funcionamiento del equipo terminal  a su máximo nivel de potencia.</w:t>
      </w:r>
    </w:p>
    <w:p w14:paraId="3CEDD89D" w14:textId="77777777" w:rsidR="006B595F" w:rsidRPr="0086242B" w:rsidRDefault="006B595F" w:rsidP="006B595F">
      <w:pPr>
        <w:spacing w:line="360" w:lineRule="auto"/>
        <w:jc w:val="both"/>
        <w:rPr>
          <w:rFonts w:ascii="ITC Avant Garde" w:hAnsi="ITC Avant Garde"/>
          <w:sz w:val="20"/>
          <w:szCs w:val="20"/>
          <w:lang w:val="es-ES_tradnl"/>
        </w:rPr>
      </w:pPr>
    </w:p>
    <w:p w14:paraId="0B9BCF5D"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 xml:space="preserve">Para cada modo de operación, la medición del SAR se efectúa para el canal más cercano al centro de la banda de frecuencias en que transmite el equipo terminal. Si la banda de frecuencias de transmisión del equipo tiene un ancho que excede el 1% de la frecuencia central </w:t>
      </w:r>
      <w:proofErr w:type="spellStart"/>
      <w:r w:rsidRPr="0086242B">
        <w:rPr>
          <w:rFonts w:ascii="ITC Avant Garde" w:hAnsi="ITC Avant Garde"/>
          <w:i/>
          <w:sz w:val="20"/>
          <w:szCs w:val="20"/>
          <w:lang w:val="es-ES_tradnl"/>
        </w:rPr>
        <w:t>f</w:t>
      </w:r>
      <w:r w:rsidRPr="0086242B">
        <w:rPr>
          <w:rFonts w:ascii="ITC Avant Garde" w:hAnsi="ITC Avant Garde"/>
          <w:i/>
          <w:sz w:val="20"/>
          <w:szCs w:val="20"/>
          <w:vertAlign w:val="subscript"/>
          <w:lang w:val="es-ES_tradnl"/>
        </w:rPr>
        <w:t>c</w:t>
      </w:r>
      <w:proofErr w:type="spellEnd"/>
      <w:r w:rsidRPr="0086242B">
        <w:rPr>
          <w:rFonts w:ascii="ITC Avant Garde" w:hAnsi="ITC Avant Garde"/>
          <w:sz w:val="20"/>
          <w:szCs w:val="20"/>
          <w:lang w:val="es-ES_tradnl"/>
        </w:rPr>
        <w:t>, es necesario probar también los canales que se encuentran en el extremo superior e inferior del ancho de banda. Cuando este ancho de banda de transmisión es considerable, más allá del 10% de la frecuencia central, el número de canales a probar dentro de este ancho de banda será determinado por la siguiente ecuación:</w:t>
      </w:r>
    </w:p>
    <w:p w14:paraId="736ECB78" w14:textId="77777777" w:rsidR="006B595F" w:rsidRPr="0086242B" w:rsidRDefault="006B595F" w:rsidP="006B595F">
      <w:pPr>
        <w:jc w:val="both"/>
        <w:rPr>
          <w:rFonts w:ascii="ITC Avant Garde" w:hAnsi="ITC Avant Garde"/>
          <w:lang w:val="es-ES_tradnl"/>
        </w:rPr>
      </w:pPr>
    </w:p>
    <w:p w14:paraId="7C80ACA2" w14:textId="77777777" w:rsidR="006B595F" w:rsidRPr="0086242B" w:rsidRDefault="006B595F" w:rsidP="006B595F">
      <w:pPr>
        <w:pStyle w:val="Ecuacin"/>
        <w:rPr>
          <w:rFonts w:ascii="ITC Avant Garde" w:hAnsi="ITC Avant Garde"/>
          <w:lang w:val="es-ES_tradnl"/>
        </w:rPr>
      </w:pPr>
      <w:r w:rsidRPr="0086242B">
        <w:rPr>
          <w:rFonts w:ascii="ITC Avant Garde" w:hAnsi="ITC Avant Garde"/>
          <w:lang w:val="es-ES_tradnl"/>
        </w:rPr>
        <w:tab/>
      </w:r>
      <w:r w:rsidR="00672004">
        <w:rPr>
          <w:rFonts w:ascii="ITC Avant Garde" w:hAnsi="ITC Avant Garde"/>
          <w:noProof/>
          <w:position w:val="-32"/>
          <w:lang w:val="es-MX" w:eastAsia="es-MX"/>
        </w:rPr>
        <w:drawing>
          <wp:inline distT="0" distB="0" distL="0" distR="0" wp14:anchorId="6A3B7F4D" wp14:editId="078FA649">
            <wp:extent cx="2545715" cy="481965"/>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5715" cy="481965"/>
                    </a:xfrm>
                    <a:prstGeom prst="rect">
                      <a:avLst/>
                    </a:prstGeom>
                    <a:noFill/>
                    <a:ln>
                      <a:noFill/>
                    </a:ln>
                  </pic:spPr>
                </pic:pic>
              </a:graphicData>
            </a:graphic>
          </wp:inline>
        </w:drawing>
      </w:r>
      <w:r w:rsidRPr="0086242B">
        <w:rPr>
          <w:rFonts w:ascii="ITC Avant Garde" w:hAnsi="ITC Avant Garde"/>
          <w:lang w:val="es-ES_tradnl"/>
        </w:rPr>
        <w:tab/>
      </w:r>
      <w:r w:rsidRPr="0086242B">
        <w:rPr>
          <w:rFonts w:ascii="ITC Avant Garde" w:hAnsi="ITC Avant Garde"/>
          <w:sz w:val="20"/>
          <w:szCs w:val="20"/>
        </w:rPr>
        <w:t>(17)</w:t>
      </w:r>
    </w:p>
    <w:p w14:paraId="6F6BAE5F" w14:textId="77777777" w:rsidR="006B595F" w:rsidRPr="0086242B" w:rsidRDefault="006B595F" w:rsidP="006B595F">
      <w:pPr>
        <w:rPr>
          <w:rFonts w:ascii="ITC Avant Garde" w:hAnsi="ITC Avant Garde"/>
          <w:lang w:val="es-ES_tradnl"/>
        </w:rPr>
      </w:pPr>
    </w:p>
    <w:p w14:paraId="110D6588"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En donde:</w:t>
      </w:r>
    </w:p>
    <w:p w14:paraId="49FCBEFD" w14:textId="77777777" w:rsidR="006B595F" w:rsidRPr="0086242B" w:rsidRDefault="006B595F" w:rsidP="006B595F">
      <w:pPr>
        <w:tabs>
          <w:tab w:val="left" w:pos="709"/>
          <w:tab w:val="left" w:pos="1080"/>
          <w:tab w:val="left" w:pos="1276"/>
        </w:tabs>
        <w:spacing w:line="360" w:lineRule="auto"/>
        <w:rPr>
          <w:rFonts w:ascii="ITC Avant Garde" w:hAnsi="ITC Avant Garde"/>
          <w:sz w:val="20"/>
          <w:szCs w:val="20"/>
        </w:rPr>
      </w:pPr>
      <w:r w:rsidRPr="0086242B">
        <w:rPr>
          <w:rFonts w:ascii="ITC Avant Garde" w:hAnsi="ITC Avant Garde"/>
          <w:sz w:val="20"/>
          <w:szCs w:val="20"/>
        </w:rPr>
        <w:tab/>
      </w:r>
      <w:proofErr w:type="spellStart"/>
      <w:r w:rsidRPr="0086242B">
        <w:rPr>
          <w:rFonts w:ascii="ITC Avant Garde" w:hAnsi="ITC Avant Garde"/>
          <w:i/>
          <w:sz w:val="20"/>
          <w:szCs w:val="20"/>
        </w:rPr>
        <w:t>N</w:t>
      </w:r>
      <w:r w:rsidRPr="0086242B">
        <w:rPr>
          <w:rFonts w:ascii="ITC Avant Garde" w:hAnsi="ITC Avant Garde"/>
          <w:i/>
          <w:sz w:val="20"/>
          <w:szCs w:val="20"/>
          <w:vertAlign w:val="subscript"/>
        </w:rPr>
        <w:t>c</w:t>
      </w:r>
      <w:proofErr w:type="spellEnd"/>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Número de canales donde se realiza la medición del SAR.</w:t>
      </w:r>
    </w:p>
    <w:p w14:paraId="0037CCAD" w14:textId="77777777" w:rsidR="006B595F" w:rsidRPr="0086242B" w:rsidRDefault="006B595F" w:rsidP="006B595F">
      <w:pPr>
        <w:tabs>
          <w:tab w:val="left" w:pos="709"/>
          <w:tab w:val="left" w:pos="1080"/>
          <w:tab w:val="left" w:pos="1276"/>
        </w:tabs>
        <w:spacing w:line="360" w:lineRule="auto"/>
        <w:ind w:left="1276" w:hanging="1080"/>
        <w:rPr>
          <w:rFonts w:ascii="ITC Avant Garde" w:hAnsi="ITC Avant Garde"/>
          <w:sz w:val="20"/>
          <w:szCs w:val="20"/>
        </w:rPr>
      </w:pPr>
      <w:r w:rsidRPr="0086242B">
        <w:rPr>
          <w:rFonts w:ascii="ITC Avant Garde" w:hAnsi="ITC Avant Garde"/>
          <w:sz w:val="20"/>
          <w:szCs w:val="20"/>
        </w:rPr>
        <w:tab/>
      </w:r>
      <w:proofErr w:type="spellStart"/>
      <w:proofErr w:type="gramStart"/>
      <w:r w:rsidRPr="0086242B">
        <w:rPr>
          <w:rFonts w:ascii="ITC Avant Garde" w:hAnsi="ITC Avant Garde"/>
          <w:i/>
          <w:sz w:val="20"/>
          <w:szCs w:val="20"/>
        </w:rPr>
        <w:t>f</w:t>
      </w:r>
      <w:r w:rsidRPr="0086242B">
        <w:rPr>
          <w:rFonts w:ascii="ITC Avant Garde" w:hAnsi="ITC Avant Garde"/>
          <w:i/>
          <w:sz w:val="20"/>
          <w:szCs w:val="20"/>
          <w:vertAlign w:val="subscript"/>
        </w:rPr>
        <w:t>sup</w:t>
      </w:r>
      <w:proofErr w:type="spellEnd"/>
      <w:proofErr w:type="gramEnd"/>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 xml:space="preserve">Frecuencia superior del ancho de banda de transmisión del </w:t>
      </w:r>
      <w:r w:rsidRPr="0086242B">
        <w:rPr>
          <w:rFonts w:ascii="ITC Avant Garde" w:hAnsi="ITC Avant Garde"/>
          <w:sz w:val="20"/>
          <w:szCs w:val="20"/>
          <w:lang w:val="es-ES_tradnl"/>
        </w:rPr>
        <w:t xml:space="preserve">equipo terminal </w:t>
      </w:r>
      <w:r w:rsidRPr="0086242B">
        <w:rPr>
          <w:rFonts w:ascii="ITC Avant Garde" w:hAnsi="ITC Avant Garde"/>
          <w:sz w:val="20"/>
          <w:szCs w:val="20"/>
        </w:rPr>
        <w:t xml:space="preserve"> [Hz].</w:t>
      </w:r>
    </w:p>
    <w:p w14:paraId="77B3B760" w14:textId="77777777" w:rsidR="006B595F" w:rsidRPr="0086242B" w:rsidRDefault="006B595F" w:rsidP="006B595F">
      <w:pPr>
        <w:tabs>
          <w:tab w:val="left" w:pos="709"/>
          <w:tab w:val="left" w:pos="1080"/>
          <w:tab w:val="left" w:pos="1276"/>
        </w:tabs>
        <w:spacing w:line="360" w:lineRule="auto"/>
        <w:ind w:left="1276" w:hanging="1080"/>
        <w:rPr>
          <w:rFonts w:ascii="ITC Avant Garde" w:hAnsi="ITC Avant Garde"/>
          <w:sz w:val="20"/>
          <w:szCs w:val="20"/>
        </w:rPr>
      </w:pPr>
      <w:r w:rsidRPr="0086242B">
        <w:rPr>
          <w:rFonts w:ascii="ITC Avant Garde" w:hAnsi="ITC Avant Garde"/>
          <w:sz w:val="20"/>
          <w:szCs w:val="20"/>
        </w:rPr>
        <w:tab/>
      </w:r>
      <w:proofErr w:type="spellStart"/>
      <w:proofErr w:type="gramStart"/>
      <w:r w:rsidRPr="0086242B">
        <w:rPr>
          <w:rFonts w:ascii="ITC Avant Garde" w:hAnsi="ITC Avant Garde"/>
          <w:i/>
          <w:sz w:val="20"/>
          <w:szCs w:val="20"/>
        </w:rPr>
        <w:t>f</w:t>
      </w:r>
      <w:r w:rsidRPr="0086242B">
        <w:rPr>
          <w:rFonts w:ascii="ITC Avant Garde" w:hAnsi="ITC Avant Garde"/>
          <w:i/>
          <w:sz w:val="20"/>
          <w:szCs w:val="20"/>
          <w:vertAlign w:val="subscript"/>
        </w:rPr>
        <w:t>inf</w:t>
      </w:r>
      <w:proofErr w:type="spellEnd"/>
      <w:proofErr w:type="gramEnd"/>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t xml:space="preserve">Frecuencia inferior del ancho de banda de transmisión del </w:t>
      </w:r>
      <w:r w:rsidRPr="0086242B">
        <w:rPr>
          <w:rFonts w:ascii="ITC Avant Garde" w:hAnsi="ITC Avant Garde"/>
          <w:sz w:val="20"/>
          <w:szCs w:val="20"/>
          <w:lang w:val="es-ES_tradnl"/>
        </w:rPr>
        <w:t xml:space="preserve">equipo terminal </w:t>
      </w:r>
      <w:r w:rsidRPr="0086242B">
        <w:rPr>
          <w:rFonts w:ascii="ITC Avant Garde" w:hAnsi="ITC Avant Garde"/>
          <w:sz w:val="20"/>
          <w:szCs w:val="20"/>
        </w:rPr>
        <w:t xml:space="preserve"> [Hz].</w:t>
      </w:r>
    </w:p>
    <w:p w14:paraId="448ED65C" w14:textId="77777777" w:rsidR="006B595F" w:rsidRPr="0086242B" w:rsidRDefault="006B595F" w:rsidP="006B595F">
      <w:pPr>
        <w:tabs>
          <w:tab w:val="left" w:pos="709"/>
          <w:tab w:val="left" w:pos="1080"/>
          <w:tab w:val="left" w:pos="1276"/>
        </w:tabs>
        <w:spacing w:line="360" w:lineRule="auto"/>
        <w:ind w:left="1276" w:hanging="940"/>
        <w:rPr>
          <w:rFonts w:ascii="ITC Avant Garde" w:hAnsi="ITC Avant Garde"/>
          <w:sz w:val="20"/>
          <w:szCs w:val="20"/>
        </w:rPr>
      </w:pPr>
      <w:r w:rsidRPr="0086242B">
        <w:rPr>
          <w:rFonts w:ascii="ITC Avant Garde" w:hAnsi="ITC Avant Garde"/>
          <w:sz w:val="20"/>
          <w:szCs w:val="20"/>
        </w:rPr>
        <w:tab/>
      </w:r>
      <w:proofErr w:type="spellStart"/>
      <w:proofErr w:type="gramStart"/>
      <w:r w:rsidRPr="0086242B">
        <w:rPr>
          <w:rFonts w:ascii="ITC Avant Garde" w:hAnsi="ITC Avant Garde"/>
          <w:i/>
          <w:sz w:val="20"/>
          <w:szCs w:val="20"/>
        </w:rPr>
        <w:t>f</w:t>
      </w:r>
      <w:r w:rsidRPr="0086242B">
        <w:rPr>
          <w:rFonts w:ascii="ITC Avant Garde" w:hAnsi="ITC Avant Garde"/>
          <w:i/>
          <w:sz w:val="20"/>
          <w:szCs w:val="20"/>
          <w:vertAlign w:val="subscript"/>
        </w:rPr>
        <w:t>c</w:t>
      </w:r>
      <w:proofErr w:type="spellEnd"/>
      <w:proofErr w:type="gramEnd"/>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t xml:space="preserve">Frecuencia central del ancho de banda de transmisión del </w:t>
      </w:r>
      <w:r w:rsidRPr="0086242B">
        <w:rPr>
          <w:rFonts w:ascii="ITC Avant Garde" w:hAnsi="ITC Avant Garde"/>
          <w:sz w:val="20"/>
          <w:szCs w:val="20"/>
          <w:lang w:val="es-ES_tradnl"/>
        </w:rPr>
        <w:t>equipo terminal</w:t>
      </w:r>
      <w:r w:rsidRPr="0086242B" w:rsidDel="00576F5B">
        <w:rPr>
          <w:rFonts w:ascii="ITC Avant Garde" w:hAnsi="ITC Avant Garde"/>
          <w:sz w:val="20"/>
          <w:szCs w:val="20"/>
        </w:rPr>
        <w:t xml:space="preserve"> </w:t>
      </w:r>
      <w:r w:rsidRPr="0086242B">
        <w:rPr>
          <w:rFonts w:ascii="ITC Avant Garde" w:hAnsi="ITC Avant Garde"/>
          <w:sz w:val="20"/>
          <w:szCs w:val="20"/>
        </w:rPr>
        <w:t xml:space="preserve"> [Hz].</w:t>
      </w:r>
    </w:p>
    <w:p w14:paraId="36C272A5" w14:textId="77777777" w:rsidR="006B595F" w:rsidRPr="0086242B" w:rsidRDefault="006B595F" w:rsidP="006B595F">
      <w:pPr>
        <w:tabs>
          <w:tab w:val="left" w:pos="709"/>
          <w:tab w:val="left" w:pos="1080"/>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REDONDEO</w:t>
      </w:r>
      <w:r w:rsidRPr="0086242B">
        <w:rPr>
          <w:rFonts w:ascii="ITC Avant Garde" w:hAnsi="ITC Avant Garde"/>
          <w:i/>
          <w:sz w:val="20"/>
          <w:szCs w:val="20"/>
        </w:rPr>
        <w:tab/>
      </w:r>
      <w:r w:rsidRPr="0086242B">
        <w:rPr>
          <w:rFonts w:ascii="ITC Avant Garde" w:hAnsi="ITC Avant Garde"/>
          <w:sz w:val="20"/>
          <w:szCs w:val="20"/>
        </w:rPr>
        <w:t>= Función que redondea su argumento al número entero superior.</w:t>
      </w:r>
    </w:p>
    <w:p w14:paraId="5CB4FB02" w14:textId="77777777" w:rsidR="006B595F" w:rsidRPr="0086242B" w:rsidRDefault="006B595F" w:rsidP="006B595F">
      <w:pPr>
        <w:spacing w:line="360" w:lineRule="auto"/>
        <w:jc w:val="both"/>
        <w:rPr>
          <w:rFonts w:ascii="ITC Avant Garde" w:hAnsi="ITC Avant Garde"/>
          <w:sz w:val="20"/>
          <w:szCs w:val="20"/>
        </w:rPr>
      </w:pPr>
    </w:p>
    <w:p w14:paraId="260E581D"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En general, los equipos terminales de radiocomunicación incluyen modos de prueba que pueden ser usados para evaluaciones de desempeño básicas. Tales señales de prueba ofrecen medios consistentes para llevar a cabo los métodos de prueba del SAR, por lo que son recomendables para la evaluación del referido SAR.</w:t>
      </w:r>
    </w:p>
    <w:p w14:paraId="0F5728F4" w14:textId="77777777" w:rsidR="006B595F" w:rsidRPr="0086242B" w:rsidRDefault="006B595F" w:rsidP="006B595F">
      <w:pPr>
        <w:autoSpaceDE w:val="0"/>
        <w:autoSpaceDN w:val="0"/>
        <w:adjustRightInd w:val="0"/>
        <w:jc w:val="both"/>
        <w:rPr>
          <w:rFonts w:ascii="ITC Avant Garde" w:hAnsi="ITC Avant Garde"/>
        </w:rPr>
      </w:pPr>
    </w:p>
    <w:p w14:paraId="1DCAD902" w14:textId="77777777" w:rsidR="006B595F" w:rsidRPr="0086242B" w:rsidRDefault="006B595F" w:rsidP="006B595F">
      <w:pPr>
        <w:pStyle w:val="Ttulo3"/>
        <w:keepLines w:val="0"/>
        <w:numPr>
          <w:ilvl w:val="2"/>
          <w:numId w:val="49"/>
        </w:numPr>
        <w:spacing w:before="240" w:after="60" w:line="240" w:lineRule="auto"/>
        <w:rPr>
          <w:rFonts w:ascii="ITC Avant Garde" w:hAnsi="ITC Avant Garde"/>
          <w:color w:val="auto"/>
          <w:sz w:val="22"/>
          <w:szCs w:val="22"/>
        </w:rPr>
      </w:pPr>
      <w:bookmarkStart w:id="33" w:name="_Toc414444613"/>
      <w:r w:rsidRPr="0086242B">
        <w:rPr>
          <w:rFonts w:ascii="ITC Avant Garde" w:hAnsi="ITC Avant Garde"/>
          <w:color w:val="auto"/>
          <w:sz w:val="22"/>
          <w:szCs w:val="22"/>
        </w:rPr>
        <w:t>Procedimiento de medición</w:t>
      </w:r>
      <w:bookmarkEnd w:id="33"/>
    </w:p>
    <w:p w14:paraId="09F3D654" w14:textId="77777777" w:rsidR="006B595F" w:rsidRPr="0086242B" w:rsidRDefault="006B595F" w:rsidP="006B595F"/>
    <w:p w14:paraId="6A721B9F"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Para determinar el valor máximo del SAR que produce un </w:t>
      </w:r>
      <w:r w:rsidRPr="0086242B">
        <w:rPr>
          <w:rFonts w:ascii="ITC Avant Garde" w:hAnsi="ITC Avant Garde"/>
          <w:sz w:val="20"/>
          <w:szCs w:val="20"/>
          <w:lang w:val="es-ES_tradnl"/>
        </w:rPr>
        <w:t>equipo terminal</w:t>
      </w:r>
      <w:r w:rsidRPr="0086242B">
        <w:rPr>
          <w:rFonts w:ascii="ITC Avant Garde" w:hAnsi="ITC Avant Garde"/>
          <w:sz w:val="20"/>
          <w:szCs w:val="20"/>
        </w:rPr>
        <w:t>en particular, se debe realizar la medición para cada combinación que resulta de las siguientes condiciones:</w:t>
      </w:r>
    </w:p>
    <w:p w14:paraId="369A8B10" w14:textId="77777777" w:rsidR="006B595F" w:rsidRPr="0086242B" w:rsidRDefault="006B595F" w:rsidP="006B595F">
      <w:pPr>
        <w:spacing w:line="360" w:lineRule="auto"/>
        <w:jc w:val="both"/>
        <w:rPr>
          <w:rFonts w:ascii="ITC Avant Garde" w:hAnsi="ITC Avant Garde"/>
          <w:sz w:val="20"/>
          <w:szCs w:val="20"/>
        </w:rPr>
      </w:pPr>
    </w:p>
    <w:p w14:paraId="61D5B8A8" w14:textId="77777777" w:rsidR="006B595F" w:rsidRPr="0086242B" w:rsidRDefault="006B595F" w:rsidP="006B595F">
      <w:pPr>
        <w:numPr>
          <w:ilvl w:val="0"/>
          <w:numId w:val="14"/>
        </w:numPr>
        <w:spacing w:line="360" w:lineRule="auto"/>
        <w:jc w:val="both"/>
        <w:rPr>
          <w:rFonts w:ascii="ITC Avant Garde" w:hAnsi="ITC Avant Garde"/>
          <w:sz w:val="20"/>
          <w:szCs w:val="20"/>
        </w:rPr>
      </w:pPr>
      <w:r w:rsidRPr="0086242B">
        <w:rPr>
          <w:rFonts w:ascii="ITC Avant Garde" w:hAnsi="ITC Avant Garde"/>
          <w:sz w:val="20"/>
          <w:szCs w:val="20"/>
        </w:rPr>
        <w:t xml:space="preserve">Posición del </w:t>
      </w:r>
      <w:r w:rsidRPr="0086242B">
        <w:rPr>
          <w:rFonts w:ascii="ITC Avant Garde" w:hAnsi="ITC Avant Garde"/>
          <w:sz w:val="20"/>
          <w:szCs w:val="20"/>
          <w:lang w:val="es-ES_tradnl"/>
        </w:rPr>
        <w:t xml:space="preserve">equipo </w:t>
      </w:r>
      <w:proofErr w:type="gramStart"/>
      <w:r w:rsidRPr="0086242B">
        <w:rPr>
          <w:rFonts w:ascii="ITC Avant Garde" w:hAnsi="ITC Avant Garde"/>
          <w:sz w:val="20"/>
          <w:szCs w:val="20"/>
          <w:lang w:val="es-ES_tradnl"/>
        </w:rPr>
        <w:t xml:space="preserve">terminal </w:t>
      </w:r>
      <w:r w:rsidRPr="0086242B">
        <w:rPr>
          <w:rFonts w:ascii="ITC Avant Garde" w:hAnsi="ITC Avant Garde"/>
          <w:sz w:val="20"/>
          <w:szCs w:val="20"/>
        </w:rPr>
        <w:t xml:space="preserve"> en</w:t>
      </w:r>
      <w:proofErr w:type="gramEnd"/>
      <w:r w:rsidRPr="0086242B">
        <w:rPr>
          <w:rFonts w:ascii="ITC Avant Garde" w:hAnsi="ITC Avant Garde"/>
          <w:sz w:val="20"/>
          <w:szCs w:val="20"/>
        </w:rPr>
        <w:t xml:space="preserve"> oído izquierdo y oído derecho</w:t>
      </w:r>
      <w:r w:rsidR="00B66A1E">
        <w:rPr>
          <w:rFonts w:ascii="ITC Avant Garde" w:hAnsi="ITC Avant Garde"/>
          <w:sz w:val="20"/>
          <w:szCs w:val="20"/>
        </w:rPr>
        <w:t>.</w:t>
      </w:r>
    </w:p>
    <w:p w14:paraId="5F19E8AF" w14:textId="77777777" w:rsidR="006B595F" w:rsidRPr="0086242B" w:rsidRDefault="006B595F" w:rsidP="006B595F">
      <w:pPr>
        <w:numPr>
          <w:ilvl w:val="0"/>
          <w:numId w:val="14"/>
        </w:numPr>
        <w:spacing w:line="360" w:lineRule="auto"/>
        <w:jc w:val="both"/>
        <w:rPr>
          <w:rFonts w:ascii="ITC Avant Garde" w:hAnsi="ITC Avant Garde"/>
          <w:sz w:val="20"/>
          <w:szCs w:val="20"/>
        </w:rPr>
      </w:pPr>
      <w:r w:rsidRPr="0086242B">
        <w:rPr>
          <w:rFonts w:ascii="ITC Avant Garde" w:hAnsi="ITC Avant Garde"/>
          <w:sz w:val="20"/>
          <w:szCs w:val="20"/>
        </w:rPr>
        <w:t xml:space="preserve">Posición 1 del </w:t>
      </w:r>
      <w:r w:rsidRPr="0086242B">
        <w:rPr>
          <w:rFonts w:ascii="ITC Avant Garde" w:hAnsi="ITC Avant Garde"/>
          <w:sz w:val="20"/>
          <w:szCs w:val="20"/>
          <w:lang w:val="es-ES_tradnl"/>
        </w:rPr>
        <w:t xml:space="preserve">equipo terminal </w:t>
      </w:r>
      <w:r w:rsidRPr="0086242B">
        <w:rPr>
          <w:rFonts w:ascii="ITC Avant Garde" w:hAnsi="ITC Avant Garde"/>
          <w:sz w:val="20"/>
          <w:szCs w:val="20"/>
        </w:rPr>
        <w:t>en contacto con la mejilla y posición 2 alejada de la mejilla</w:t>
      </w:r>
      <w:r w:rsidR="00B66A1E">
        <w:rPr>
          <w:rFonts w:ascii="ITC Avant Garde" w:hAnsi="ITC Avant Garde"/>
          <w:sz w:val="20"/>
          <w:szCs w:val="20"/>
        </w:rPr>
        <w:t>.</w:t>
      </w:r>
    </w:p>
    <w:p w14:paraId="000071BF" w14:textId="77777777" w:rsidR="006B595F" w:rsidRPr="0086242B" w:rsidRDefault="006B595F" w:rsidP="006B595F">
      <w:pPr>
        <w:numPr>
          <w:ilvl w:val="0"/>
          <w:numId w:val="14"/>
        </w:numPr>
        <w:spacing w:line="360" w:lineRule="auto"/>
        <w:jc w:val="both"/>
        <w:rPr>
          <w:rFonts w:ascii="ITC Avant Garde" w:hAnsi="ITC Avant Garde"/>
          <w:sz w:val="20"/>
          <w:szCs w:val="20"/>
        </w:rPr>
      </w:pPr>
      <w:r w:rsidRPr="0086242B">
        <w:rPr>
          <w:rFonts w:ascii="ITC Avant Garde" w:hAnsi="ITC Avant Garde"/>
          <w:sz w:val="20"/>
          <w:szCs w:val="20"/>
        </w:rPr>
        <w:t xml:space="preserve">Las variantes en cada posición como por ejemplo, con la antena del </w:t>
      </w:r>
      <w:r w:rsidRPr="0086242B">
        <w:rPr>
          <w:rFonts w:ascii="ITC Avant Garde" w:hAnsi="ITC Avant Garde"/>
          <w:sz w:val="20"/>
          <w:szCs w:val="20"/>
          <w:lang w:val="es-ES_tradnl"/>
        </w:rPr>
        <w:t xml:space="preserve">equipo </w:t>
      </w:r>
      <w:proofErr w:type="gramStart"/>
      <w:r w:rsidRPr="0086242B">
        <w:rPr>
          <w:rFonts w:ascii="ITC Avant Garde" w:hAnsi="ITC Avant Garde"/>
          <w:sz w:val="20"/>
          <w:szCs w:val="20"/>
          <w:lang w:val="es-ES_tradnl"/>
        </w:rPr>
        <w:t xml:space="preserve">terminal </w:t>
      </w:r>
      <w:r w:rsidRPr="0086242B">
        <w:rPr>
          <w:rFonts w:ascii="ITC Avant Garde" w:hAnsi="ITC Avant Garde"/>
          <w:sz w:val="20"/>
          <w:szCs w:val="20"/>
        </w:rPr>
        <w:t xml:space="preserve"> extendida</w:t>
      </w:r>
      <w:proofErr w:type="gramEnd"/>
      <w:r w:rsidRPr="0086242B">
        <w:rPr>
          <w:rFonts w:ascii="ITC Avant Garde" w:hAnsi="ITC Avant Garde"/>
          <w:sz w:val="20"/>
          <w:szCs w:val="20"/>
        </w:rPr>
        <w:t xml:space="preserve"> y retraída</w:t>
      </w:r>
      <w:r w:rsidR="00B66A1E">
        <w:rPr>
          <w:rFonts w:ascii="ITC Avant Garde" w:hAnsi="ITC Avant Garde"/>
          <w:sz w:val="20"/>
          <w:szCs w:val="20"/>
        </w:rPr>
        <w:t>.</w:t>
      </w:r>
    </w:p>
    <w:p w14:paraId="2C185CA4" w14:textId="77777777" w:rsidR="006B595F" w:rsidRPr="0086242B" w:rsidRDefault="006B595F" w:rsidP="006B595F">
      <w:pPr>
        <w:numPr>
          <w:ilvl w:val="0"/>
          <w:numId w:val="14"/>
        </w:numPr>
        <w:spacing w:line="360" w:lineRule="auto"/>
        <w:jc w:val="both"/>
        <w:rPr>
          <w:rFonts w:ascii="ITC Avant Garde" w:hAnsi="ITC Avant Garde"/>
          <w:sz w:val="20"/>
          <w:szCs w:val="20"/>
        </w:rPr>
      </w:pPr>
      <w:r w:rsidRPr="0086242B">
        <w:rPr>
          <w:rFonts w:ascii="ITC Avant Garde" w:hAnsi="ITC Avant Garde"/>
          <w:sz w:val="20"/>
          <w:szCs w:val="20"/>
        </w:rPr>
        <w:t xml:space="preserve">Todos los modos de operación analógicos y digitales del </w:t>
      </w:r>
      <w:r w:rsidRPr="0086242B">
        <w:rPr>
          <w:rFonts w:ascii="ITC Avant Garde" w:hAnsi="ITC Avant Garde"/>
          <w:sz w:val="20"/>
          <w:szCs w:val="20"/>
          <w:lang w:val="es-ES_tradnl"/>
        </w:rPr>
        <w:t>equipo terminal</w:t>
      </w:r>
      <w:r w:rsidR="00B66A1E">
        <w:rPr>
          <w:rFonts w:ascii="ITC Avant Garde" w:hAnsi="ITC Avant Garde"/>
          <w:sz w:val="20"/>
          <w:szCs w:val="20"/>
          <w:lang w:val="es-ES_tradnl"/>
        </w:rPr>
        <w:t>.</w:t>
      </w:r>
      <w:r w:rsidRPr="0086242B">
        <w:rPr>
          <w:rFonts w:ascii="ITC Avant Garde" w:hAnsi="ITC Avant Garde"/>
          <w:sz w:val="20"/>
          <w:szCs w:val="20"/>
          <w:lang w:val="es-ES_tradnl"/>
        </w:rPr>
        <w:t xml:space="preserve"> </w:t>
      </w:r>
    </w:p>
    <w:p w14:paraId="3DA6D885" w14:textId="77777777" w:rsidR="006B595F" w:rsidRPr="0086242B" w:rsidRDefault="006B595F" w:rsidP="006B595F">
      <w:pPr>
        <w:numPr>
          <w:ilvl w:val="0"/>
          <w:numId w:val="14"/>
        </w:numPr>
        <w:spacing w:line="360" w:lineRule="auto"/>
        <w:jc w:val="both"/>
        <w:rPr>
          <w:rFonts w:ascii="ITC Avant Garde" w:hAnsi="ITC Avant Garde"/>
          <w:sz w:val="20"/>
          <w:szCs w:val="20"/>
        </w:rPr>
      </w:pPr>
      <w:r w:rsidRPr="0086242B">
        <w:rPr>
          <w:rFonts w:ascii="ITC Avant Garde" w:hAnsi="ITC Avant Garde"/>
          <w:sz w:val="20"/>
          <w:szCs w:val="20"/>
        </w:rPr>
        <w:t xml:space="preserve">Todas las bandas de frecuencia en que opera el </w:t>
      </w:r>
      <w:r w:rsidRPr="0086242B">
        <w:rPr>
          <w:rFonts w:ascii="ITC Avant Garde" w:hAnsi="ITC Avant Garde"/>
          <w:sz w:val="20"/>
          <w:szCs w:val="20"/>
          <w:lang w:val="es-ES_tradnl"/>
        </w:rPr>
        <w:t>equipo terminal</w:t>
      </w:r>
      <w:r w:rsidR="00B66A1E">
        <w:rPr>
          <w:rFonts w:ascii="ITC Avant Garde" w:hAnsi="ITC Avant Garde"/>
          <w:sz w:val="20"/>
          <w:szCs w:val="20"/>
          <w:lang w:val="es-ES_tradnl"/>
        </w:rPr>
        <w:t>.</w:t>
      </w:r>
    </w:p>
    <w:p w14:paraId="44CD3EE2" w14:textId="77777777" w:rsidR="006B595F" w:rsidRPr="0086242B" w:rsidRDefault="006B595F" w:rsidP="006B595F">
      <w:pPr>
        <w:numPr>
          <w:ilvl w:val="0"/>
          <w:numId w:val="14"/>
        </w:numPr>
        <w:spacing w:line="360" w:lineRule="auto"/>
        <w:jc w:val="both"/>
        <w:rPr>
          <w:rFonts w:ascii="ITC Avant Garde" w:hAnsi="ITC Avant Garde"/>
          <w:sz w:val="20"/>
          <w:szCs w:val="20"/>
        </w:rPr>
      </w:pPr>
      <w:r w:rsidRPr="0086242B">
        <w:rPr>
          <w:rFonts w:ascii="ITC Avant Garde" w:hAnsi="ITC Avant Garde"/>
          <w:sz w:val="20"/>
          <w:szCs w:val="20"/>
        </w:rPr>
        <w:t>Todos los canales de prueba que se hayan determinado en cada banda de frecuencias</w:t>
      </w:r>
      <w:r w:rsidR="00B66A1E">
        <w:rPr>
          <w:rFonts w:ascii="ITC Avant Garde" w:hAnsi="ITC Avant Garde"/>
          <w:sz w:val="20"/>
          <w:szCs w:val="20"/>
        </w:rPr>
        <w:t>.</w:t>
      </w:r>
    </w:p>
    <w:p w14:paraId="10F23268" w14:textId="77777777" w:rsidR="006B595F" w:rsidRPr="0086242B" w:rsidRDefault="006B595F" w:rsidP="006B595F">
      <w:pPr>
        <w:spacing w:line="360" w:lineRule="auto"/>
        <w:jc w:val="both"/>
        <w:rPr>
          <w:rFonts w:ascii="ITC Avant Garde" w:hAnsi="ITC Avant Garde"/>
          <w:sz w:val="20"/>
          <w:szCs w:val="20"/>
        </w:rPr>
      </w:pPr>
    </w:p>
    <w:p w14:paraId="36846C24"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El valor del SAR se obtiene midiendo el campo eléctrico y calculando el SAR con la siguiente fórmula:</w:t>
      </w:r>
    </w:p>
    <w:p w14:paraId="113568F0" w14:textId="77777777" w:rsidR="006B595F" w:rsidRPr="0086242B" w:rsidRDefault="006B595F" w:rsidP="006B595F">
      <w:pPr>
        <w:pStyle w:val="Ecuacin"/>
        <w:rPr>
          <w:rFonts w:ascii="ITC Avant Garde" w:hAnsi="ITC Avant Garde"/>
          <w:lang w:val="es-ES_tradnl"/>
        </w:rPr>
      </w:pPr>
    </w:p>
    <w:p w14:paraId="49077A15" w14:textId="77777777" w:rsidR="006B595F" w:rsidRPr="0086242B" w:rsidRDefault="006B595F" w:rsidP="006B595F">
      <w:pPr>
        <w:pStyle w:val="Ecuacin"/>
        <w:rPr>
          <w:rFonts w:ascii="ITC Avant Garde" w:hAnsi="ITC Avant Garde"/>
          <w:lang w:val="es-ES_tradnl"/>
        </w:rPr>
      </w:pPr>
      <w:r w:rsidRPr="0086242B">
        <w:rPr>
          <w:rFonts w:ascii="ITC Avant Garde" w:hAnsi="ITC Avant Garde"/>
          <w:lang w:val="es-ES_tradnl"/>
        </w:rPr>
        <w:tab/>
      </w:r>
      <w:r w:rsidR="00672004">
        <w:rPr>
          <w:rFonts w:ascii="ITC Avant Garde" w:hAnsi="ITC Avant Garde"/>
          <w:noProof/>
          <w:position w:val="-28"/>
          <w:lang w:val="es-MX" w:eastAsia="es-MX"/>
        </w:rPr>
        <w:drawing>
          <wp:inline distT="0" distB="0" distL="0" distR="0" wp14:anchorId="2CEAF4EB" wp14:editId="4CC2B044">
            <wp:extent cx="765810" cy="432435"/>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5810" cy="432435"/>
                    </a:xfrm>
                    <a:prstGeom prst="rect">
                      <a:avLst/>
                    </a:prstGeom>
                    <a:noFill/>
                    <a:ln>
                      <a:noFill/>
                    </a:ln>
                  </pic:spPr>
                </pic:pic>
              </a:graphicData>
            </a:graphic>
          </wp:inline>
        </w:drawing>
      </w:r>
      <w:r w:rsidRPr="0086242B">
        <w:rPr>
          <w:rFonts w:ascii="ITC Avant Garde" w:hAnsi="ITC Avant Garde"/>
          <w:lang w:val="es-ES_tradnl"/>
        </w:rPr>
        <w:tab/>
      </w:r>
      <w:r w:rsidRPr="0086242B">
        <w:rPr>
          <w:rFonts w:ascii="ITC Avant Garde" w:hAnsi="ITC Avant Garde"/>
          <w:sz w:val="20"/>
          <w:szCs w:val="20"/>
          <w:lang w:val="es-ES_tradnl"/>
        </w:rPr>
        <w:t>(18)</w:t>
      </w:r>
    </w:p>
    <w:p w14:paraId="3EE348A0" w14:textId="77777777" w:rsidR="006B595F" w:rsidRPr="0086242B" w:rsidRDefault="006B595F" w:rsidP="006B595F">
      <w:pPr>
        <w:jc w:val="both"/>
        <w:rPr>
          <w:rFonts w:ascii="ITC Avant Garde" w:hAnsi="ITC Avant Garde"/>
        </w:rPr>
      </w:pPr>
    </w:p>
    <w:p w14:paraId="30660987"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En donde: </w:t>
      </w:r>
    </w:p>
    <w:p w14:paraId="55884CFE"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ITC Avant Garde" w:hAnsi="ITC Avant Garde"/>
          <w:i/>
          <w:sz w:val="20"/>
          <w:szCs w:val="20"/>
        </w:rPr>
        <w:t>E</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 xml:space="preserve">Valor </w:t>
      </w:r>
      <w:proofErr w:type="spellStart"/>
      <w:r w:rsidRPr="0086242B">
        <w:rPr>
          <w:rFonts w:ascii="ITC Avant Garde" w:hAnsi="ITC Avant Garde"/>
          <w:sz w:val="20"/>
          <w:szCs w:val="20"/>
        </w:rPr>
        <w:t>rms</w:t>
      </w:r>
      <w:proofErr w:type="spellEnd"/>
      <w:r w:rsidRPr="0086242B">
        <w:rPr>
          <w:rFonts w:ascii="ITC Avant Garde" w:hAnsi="ITC Avant Garde"/>
          <w:sz w:val="20"/>
          <w:szCs w:val="20"/>
        </w:rPr>
        <w:t xml:space="preserve"> de intensidad de campo eléctrico [V/m].</w:t>
      </w:r>
    </w:p>
    <w:p w14:paraId="68FE9B04" w14:textId="77777777" w:rsidR="006B595F" w:rsidRPr="0086242B" w:rsidRDefault="006B595F" w:rsidP="006B595F">
      <w:pPr>
        <w:tabs>
          <w:tab w:val="left" w:pos="709"/>
          <w:tab w:val="left" w:pos="992"/>
          <w:tab w:val="left" w:pos="1276"/>
        </w:tabs>
        <w:spacing w:line="360" w:lineRule="auto"/>
        <w:rPr>
          <w:rFonts w:ascii="ITC Avant Garde" w:hAnsi="ITC Avant Garde"/>
          <w:sz w:val="20"/>
          <w:szCs w:val="20"/>
        </w:rPr>
      </w:pPr>
      <w:r w:rsidRPr="0086242B">
        <w:rPr>
          <w:rFonts w:ascii="ITC Avant Garde" w:hAnsi="ITC Avant Garde"/>
          <w:sz w:val="20"/>
          <w:szCs w:val="20"/>
        </w:rPr>
        <w:tab/>
      </w:r>
      <w:r w:rsidRPr="0086242B">
        <w:rPr>
          <w:rFonts w:ascii="Calibri" w:hAnsi="Calibri" w:cs="Calibri"/>
          <w:i/>
          <w:sz w:val="20"/>
          <w:szCs w:val="20"/>
        </w:rPr>
        <w:t>σ</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Conductividad del tejido [S/m] (Ver Tabla 4).</w:t>
      </w:r>
    </w:p>
    <w:p w14:paraId="0A8DD421" w14:textId="77777777" w:rsidR="006B595F" w:rsidRPr="0086242B" w:rsidRDefault="006B595F" w:rsidP="006B595F">
      <w:pPr>
        <w:tabs>
          <w:tab w:val="left" w:pos="709"/>
          <w:tab w:val="left" w:pos="992"/>
          <w:tab w:val="left" w:pos="1276"/>
        </w:tabs>
        <w:spacing w:line="360" w:lineRule="auto"/>
        <w:ind w:left="1276" w:hanging="990"/>
        <w:jc w:val="both"/>
        <w:rPr>
          <w:rFonts w:ascii="ITC Avant Garde" w:hAnsi="ITC Avant Garde"/>
          <w:sz w:val="20"/>
          <w:szCs w:val="20"/>
        </w:rPr>
      </w:pPr>
      <w:r w:rsidRPr="0086242B">
        <w:rPr>
          <w:rFonts w:ascii="ITC Avant Garde" w:hAnsi="ITC Avant Garde"/>
          <w:sz w:val="20"/>
          <w:szCs w:val="20"/>
        </w:rPr>
        <w:tab/>
      </w:r>
      <w:r w:rsidRPr="0086242B">
        <w:rPr>
          <w:rFonts w:ascii="Calibri" w:hAnsi="Calibri" w:cs="Calibri"/>
          <w:i/>
          <w:sz w:val="20"/>
          <w:szCs w:val="20"/>
        </w:rPr>
        <w:t>ρ</w:t>
      </w:r>
      <w:r w:rsidRPr="0086242B">
        <w:rPr>
          <w:rFonts w:ascii="ITC Avant Garde" w:hAnsi="ITC Avant Garde"/>
          <w:i/>
          <w:sz w:val="20"/>
          <w:szCs w:val="20"/>
          <w:vertAlign w:val="subscript"/>
        </w:rPr>
        <w:tab/>
      </w:r>
      <w:r w:rsidRPr="0086242B">
        <w:rPr>
          <w:rFonts w:ascii="ITC Avant Garde" w:hAnsi="ITC Avant Garde"/>
          <w:sz w:val="20"/>
          <w:szCs w:val="20"/>
        </w:rPr>
        <w:t>=</w:t>
      </w:r>
      <w:r w:rsidRPr="0086242B">
        <w:rPr>
          <w:rFonts w:ascii="ITC Avant Garde" w:hAnsi="ITC Avant Garde"/>
          <w:sz w:val="20"/>
          <w:szCs w:val="20"/>
        </w:rPr>
        <w:tab/>
        <w:t>Densidad de masa del tejido [kg/m</w:t>
      </w:r>
      <w:r w:rsidRPr="0086242B">
        <w:rPr>
          <w:rFonts w:ascii="ITC Avant Garde" w:hAnsi="ITC Avant Garde"/>
          <w:sz w:val="20"/>
          <w:szCs w:val="20"/>
          <w:vertAlign w:val="superscript"/>
        </w:rPr>
        <w:t>3</w:t>
      </w:r>
      <w:r w:rsidRPr="0086242B">
        <w:rPr>
          <w:rFonts w:ascii="ITC Avant Garde" w:hAnsi="ITC Avant Garde"/>
          <w:sz w:val="20"/>
          <w:szCs w:val="20"/>
        </w:rPr>
        <w:t>] (Establecido en un valor promedio de 1,000 kg/m</w:t>
      </w:r>
      <w:r w:rsidRPr="0086242B">
        <w:rPr>
          <w:rFonts w:ascii="ITC Avant Garde" w:hAnsi="ITC Avant Garde"/>
          <w:sz w:val="20"/>
          <w:szCs w:val="20"/>
          <w:vertAlign w:val="superscript"/>
        </w:rPr>
        <w:t>3</w:t>
      </w:r>
      <w:r w:rsidRPr="0086242B">
        <w:rPr>
          <w:rFonts w:ascii="ITC Avant Garde" w:hAnsi="ITC Avant Garde"/>
          <w:sz w:val="20"/>
          <w:szCs w:val="20"/>
        </w:rPr>
        <w:t>).</w:t>
      </w:r>
    </w:p>
    <w:p w14:paraId="7E0FAA23" w14:textId="77777777" w:rsidR="006B595F" w:rsidRPr="0086242B" w:rsidRDefault="006B595F" w:rsidP="006B595F">
      <w:pPr>
        <w:spacing w:line="360" w:lineRule="auto"/>
        <w:jc w:val="both"/>
        <w:rPr>
          <w:rFonts w:ascii="ITC Avant Garde" w:hAnsi="ITC Avant Garde"/>
          <w:sz w:val="20"/>
          <w:szCs w:val="20"/>
        </w:rPr>
      </w:pPr>
    </w:p>
    <w:p w14:paraId="39FEEABD"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Teniendo en cuenta las consideraciones anteriores se procede con los siguientes pasos:</w:t>
      </w:r>
    </w:p>
    <w:p w14:paraId="03802F67" w14:textId="77777777" w:rsidR="006B595F" w:rsidRPr="0086242B" w:rsidRDefault="006B595F" w:rsidP="006B595F">
      <w:pPr>
        <w:spacing w:line="360" w:lineRule="auto"/>
        <w:jc w:val="both"/>
        <w:rPr>
          <w:rFonts w:ascii="ITC Avant Garde" w:hAnsi="ITC Avant Garde"/>
          <w:sz w:val="20"/>
          <w:szCs w:val="20"/>
        </w:rPr>
      </w:pPr>
    </w:p>
    <w:p w14:paraId="67A7349E" w14:textId="54A06276" w:rsidR="006B595F" w:rsidRPr="0086242B" w:rsidRDefault="006B595F" w:rsidP="006B595F">
      <w:pPr>
        <w:numPr>
          <w:ilvl w:val="0"/>
          <w:numId w:val="15"/>
        </w:numPr>
        <w:spacing w:line="360" w:lineRule="auto"/>
        <w:jc w:val="both"/>
        <w:rPr>
          <w:rFonts w:ascii="ITC Avant Garde" w:hAnsi="ITC Avant Garde"/>
          <w:sz w:val="20"/>
          <w:szCs w:val="20"/>
        </w:rPr>
      </w:pPr>
      <w:r w:rsidRPr="0086242B">
        <w:rPr>
          <w:rFonts w:ascii="ITC Avant Garde" w:hAnsi="ITC Avant Garde"/>
          <w:sz w:val="20"/>
          <w:szCs w:val="20"/>
        </w:rPr>
        <w:t xml:space="preserve">Empleando un sistema general para medición del SAR que cumpla con las especificaciones establecidas en la presente Disposición Técnica, así como con el estándar IS/IEC 62209:1 2005 “Human </w:t>
      </w:r>
      <w:proofErr w:type="spellStart"/>
      <w:r w:rsidRPr="0086242B">
        <w:rPr>
          <w:rFonts w:ascii="ITC Avant Garde" w:hAnsi="ITC Avant Garde"/>
          <w:sz w:val="20"/>
          <w:szCs w:val="20"/>
        </w:rPr>
        <w:t>Exposure</w:t>
      </w:r>
      <w:proofErr w:type="spellEnd"/>
      <w:r w:rsidRPr="0086242B">
        <w:rPr>
          <w:rFonts w:ascii="ITC Avant Garde" w:hAnsi="ITC Avant Garde"/>
          <w:sz w:val="20"/>
          <w:szCs w:val="20"/>
        </w:rPr>
        <w:t xml:space="preserve"> to radio </w:t>
      </w:r>
      <w:proofErr w:type="spellStart"/>
      <w:r w:rsidRPr="0086242B">
        <w:rPr>
          <w:rFonts w:ascii="ITC Avant Garde" w:hAnsi="ITC Avant Garde"/>
          <w:sz w:val="20"/>
          <w:szCs w:val="20"/>
        </w:rPr>
        <w:t>frequency</w:t>
      </w:r>
      <w:proofErr w:type="spellEnd"/>
      <w:r w:rsidRPr="0086242B">
        <w:rPr>
          <w:rFonts w:ascii="ITC Avant Garde" w:hAnsi="ITC Avant Garde"/>
          <w:sz w:val="20"/>
          <w:szCs w:val="20"/>
        </w:rPr>
        <w:t xml:space="preserve">  </w:t>
      </w:r>
      <w:proofErr w:type="spellStart"/>
      <w:r w:rsidRPr="0086242B">
        <w:rPr>
          <w:rFonts w:ascii="ITC Avant Garde" w:hAnsi="ITC Avant Garde"/>
          <w:sz w:val="20"/>
          <w:szCs w:val="20"/>
        </w:rPr>
        <w:t>fields</w:t>
      </w:r>
      <w:proofErr w:type="spellEnd"/>
      <w:r w:rsidRPr="0086242B">
        <w:rPr>
          <w:rFonts w:ascii="ITC Avant Garde" w:hAnsi="ITC Avant Garde"/>
          <w:sz w:val="20"/>
          <w:szCs w:val="20"/>
        </w:rPr>
        <w:t xml:space="preserve"> </w:t>
      </w:r>
      <w:proofErr w:type="spellStart"/>
      <w:r w:rsidRPr="0086242B">
        <w:rPr>
          <w:rFonts w:ascii="ITC Avant Garde" w:hAnsi="ITC Avant Garde"/>
          <w:sz w:val="20"/>
          <w:szCs w:val="20"/>
        </w:rPr>
        <w:t>from</w:t>
      </w:r>
      <w:proofErr w:type="spellEnd"/>
      <w:r w:rsidRPr="0086242B">
        <w:rPr>
          <w:rFonts w:ascii="ITC Avant Garde" w:hAnsi="ITC Avant Garde"/>
          <w:sz w:val="20"/>
          <w:szCs w:val="20"/>
        </w:rPr>
        <w:t xml:space="preserve"> </w:t>
      </w:r>
      <w:proofErr w:type="spellStart"/>
      <w:r w:rsidRPr="0086242B">
        <w:rPr>
          <w:rFonts w:ascii="ITC Avant Garde" w:hAnsi="ITC Avant Garde"/>
          <w:sz w:val="20"/>
          <w:szCs w:val="20"/>
        </w:rPr>
        <w:t>hand-held</w:t>
      </w:r>
      <w:proofErr w:type="spellEnd"/>
      <w:r w:rsidRPr="0086242B">
        <w:rPr>
          <w:rFonts w:ascii="ITC Avant Garde" w:hAnsi="ITC Avant Garde"/>
          <w:sz w:val="20"/>
          <w:szCs w:val="20"/>
        </w:rPr>
        <w:t xml:space="preserve"> and </w:t>
      </w:r>
      <w:proofErr w:type="spellStart"/>
      <w:r w:rsidRPr="0086242B">
        <w:rPr>
          <w:rFonts w:ascii="ITC Avant Garde" w:hAnsi="ITC Avant Garde"/>
          <w:sz w:val="20"/>
          <w:szCs w:val="20"/>
        </w:rPr>
        <w:t>body</w:t>
      </w:r>
      <w:proofErr w:type="spellEnd"/>
      <w:r w:rsidRPr="0086242B">
        <w:rPr>
          <w:rFonts w:ascii="ITC Avant Garde" w:hAnsi="ITC Avant Garde"/>
          <w:sz w:val="20"/>
          <w:szCs w:val="20"/>
        </w:rPr>
        <w:t xml:space="preserve">- </w:t>
      </w:r>
      <w:proofErr w:type="spellStart"/>
      <w:r w:rsidRPr="0086242B">
        <w:rPr>
          <w:rFonts w:ascii="ITC Avant Garde" w:hAnsi="ITC Avant Garde"/>
          <w:sz w:val="20"/>
          <w:szCs w:val="20"/>
        </w:rPr>
        <w:t>mounted</w:t>
      </w:r>
      <w:proofErr w:type="spellEnd"/>
      <w:r w:rsidRPr="0086242B">
        <w:rPr>
          <w:rFonts w:ascii="ITC Avant Garde" w:hAnsi="ITC Avant Garde"/>
          <w:sz w:val="20"/>
          <w:szCs w:val="20"/>
        </w:rPr>
        <w:t xml:space="preserve"> Wireless </w:t>
      </w:r>
      <w:proofErr w:type="spellStart"/>
      <w:r w:rsidRPr="0086242B">
        <w:rPr>
          <w:rFonts w:ascii="ITC Avant Garde" w:hAnsi="ITC Avant Garde"/>
          <w:sz w:val="20"/>
          <w:szCs w:val="20"/>
        </w:rPr>
        <w:t>communication</w:t>
      </w:r>
      <w:proofErr w:type="spellEnd"/>
      <w:r w:rsidRPr="0086242B">
        <w:rPr>
          <w:rFonts w:ascii="ITC Avant Garde" w:hAnsi="ITC Avant Garde"/>
          <w:sz w:val="20"/>
          <w:szCs w:val="20"/>
        </w:rPr>
        <w:t xml:space="preserve"> </w:t>
      </w:r>
      <w:proofErr w:type="spellStart"/>
      <w:r w:rsidRPr="0086242B">
        <w:rPr>
          <w:rFonts w:ascii="ITC Avant Garde" w:hAnsi="ITC Avant Garde"/>
          <w:sz w:val="20"/>
          <w:szCs w:val="20"/>
        </w:rPr>
        <w:t>devices</w:t>
      </w:r>
      <w:proofErr w:type="spellEnd"/>
      <w:r w:rsidRPr="0086242B">
        <w:rPr>
          <w:rFonts w:ascii="ITC Avant Garde" w:hAnsi="ITC Avant Garde"/>
          <w:sz w:val="20"/>
          <w:szCs w:val="20"/>
        </w:rPr>
        <w:t xml:space="preserve">- human </w:t>
      </w:r>
      <w:proofErr w:type="spellStart"/>
      <w:r w:rsidRPr="0086242B">
        <w:rPr>
          <w:rFonts w:ascii="ITC Avant Garde" w:hAnsi="ITC Avant Garde"/>
          <w:sz w:val="20"/>
          <w:szCs w:val="20"/>
        </w:rPr>
        <w:t>models</w:t>
      </w:r>
      <w:proofErr w:type="spellEnd"/>
      <w:r w:rsidRPr="0086242B">
        <w:rPr>
          <w:rFonts w:ascii="ITC Avant Garde" w:hAnsi="ITC Avant Garde"/>
          <w:sz w:val="20"/>
          <w:szCs w:val="20"/>
        </w:rPr>
        <w:t xml:space="preserve">, </w:t>
      </w:r>
      <w:proofErr w:type="spellStart"/>
      <w:r w:rsidRPr="0086242B">
        <w:rPr>
          <w:rFonts w:ascii="ITC Avant Garde" w:hAnsi="ITC Avant Garde"/>
          <w:sz w:val="20"/>
          <w:szCs w:val="20"/>
        </w:rPr>
        <w:t>intrumentation</w:t>
      </w:r>
      <w:proofErr w:type="spellEnd"/>
      <w:r w:rsidRPr="0086242B">
        <w:rPr>
          <w:rFonts w:ascii="ITC Avant Garde" w:hAnsi="ITC Avant Garde"/>
          <w:sz w:val="20"/>
          <w:szCs w:val="20"/>
        </w:rPr>
        <w:t xml:space="preserve">, and </w:t>
      </w:r>
      <w:proofErr w:type="spellStart"/>
      <w:r w:rsidRPr="0086242B">
        <w:rPr>
          <w:rFonts w:ascii="ITC Avant Garde" w:hAnsi="ITC Avant Garde"/>
          <w:sz w:val="20"/>
          <w:szCs w:val="20"/>
        </w:rPr>
        <w:t>procedures</w:t>
      </w:r>
      <w:proofErr w:type="spellEnd"/>
      <w:r w:rsidRPr="0086242B">
        <w:rPr>
          <w:rFonts w:ascii="ITC Avant Garde" w:hAnsi="ITC Avant Garde"/>
          <w:sz w:val="20"/>
          <w:szCs w:val="20"/>
        </w:rPr>
        <w:t>,” como se muestra en la figura 12, se mide el SAR local en un punto de prueba dentro del modelo de la cabeza a 10 mm o menos del punto de referencia del oído del modelo, en una dirección normal a la superficie del modelo. Esta medición se registra y se compara con una que se realiza al final de proceso en la misma posición para obtener la variación en las medidas, la cual debe ser menor a ±5%.</w:t>
      </w:r>
    </w:p>
    <w:p w14:paraId="149A8611" w14:textId="77777777" w:rsidR="006B595F" w:rsidRPr="0086242B" w:rsidRDefault="006B595F" w:rsidP="006B595F">
      <w:pPr>
        <w:spacing w:line="360" w:lineRule="auto"/>
        <w:ind w:left="720"/>
        <w:jc w:val="both"/>
        <w:rPr>
          <w:rFonts w:ascii="ITC Avant Garde" w:hAnsi="ITC Avant Garde"/>
          <w:sz w:val="20"/>
          <w:szCs w:val="20"/>
        </w:rPr>
      </w:pPr>
    </w:p>
    <w:p w14:paraId="0715E68A" w14:textId="77777777" w:rsidR="006B595F" w:rsidRPr="0086242B" w:rsidRDefault="006B595F" w:rsidP="006B595F">
      <w:pPr>
        <w:numPr>
          <w:ilvl w:val="0"/>
          <w:numId w:val="15"/>
        </w:numPr>
        <w:spacing w:line="360" w:lineRule="auto"/>
        <w:jc w:val="both"/>
        <w:rPr>
          <w:rFonts w:ascii="ITC Avant Garde" w:hAnsi="ITC Avant Garde"/>
          <w:sz w:val="20"/>
          <w:szCs w:val="20"/>
        </w:rPr>
      </w:pPr>
      <w:r w:rsidRPr="0086242B">
        <w:rPr>
          <w:rFonts w:ascii="ITC Avant Garde" w:hAnsi="ITC Avant Garde"/>
          <w:sz w:val="20"/>
          <w:szCs w:val="20"/>
        </w:rPr>
        <w:t xml:space="preserve">Se mide el SAR local en diferentes puntos de una superficie imaginaria que tiene una dimensión mayor al área proyectada del </w:t>
      </w:r>
      <w:r w:rsidRPr="0086242B">
        <w:rPr>
          <w:rFonts w:ascii="ITC Avant Garde" w:hAnsi="ITC Avant Garde"/>
          <w:sz w:val="20"/>
          <w:szCs w:val="20"/>
          <w:lang w:val="es-ES_tradnl"/>
        </w:rPr>
        <w:t xml:space="preserve">equipo terminal </w:t>
      </w:r>
      <w:r w:rsidRPr="0086242B">
        <w:rPr>
          <w:rFonts w:ascii="ITC Avant Garde" w:hAnsi="ITC Avant Garde"/>
          <w:sz w:val="20"/>
          <w:szCs w:val="20"/>
        </w:rPr>
        <w:t xml:space="preserve">dentro del modelo de la cabeza. </w:t>
      </w:r>
      <w:r w:rsidRPr="0086242B">
        <w:rPr>
          <w:rFonts w:ascii="ITC Avant Garde" w:hAnsi="ITC Avant Garde"/>
          <w:sz w:val="20"/>
          <w:szCs w:val="20"/>
          <w:lang w:val="es-MX"/>
        </w:rPr>
        <w:t>Sobre dichos puntos se inscribe un área reticular imaginaria</w:t>
      </w:r>
      <w:r w:rsidRPr="0086242B" w:rsidDel="00205B25">
        <w:rPr>
          <w:rFonts w:ascii="ITC Avant Garde" w:hAnsi="ITC Avant Garde"/>
          <w:sz w:val="20"/>
          <w:szCs w:val="20"/>
        </w:rPr>
        <w:t xml:space="preserve"> </w:t>
      </w:r>
      <w:r w:rsidRPr="0086242B">
        <w:rPr>
          <w:rFonts w:ascii="ITC Avant Garde" w:hAnsi="ITC Avant Garde"/>
          <w:sz w:val="20"/>
          <w:szCs w:val="20"/>
        </w:rPr>
        <w:t>en la cual se debe tener una separación no diagonal, menor a 20mm entre puntos. Cada punto de la retícula debe tener una separación constante con la superficie interna del modelo, la cual debe ser menor a 8mm. La máxima variación en la distancia de separación constante será de ±1mm. Esto constituye un área reticular que tiene la forma curva del modelo de la cabeza que es necesaria para el cálculo del SAR en los siguientes pasos del procedimiento de medición. El ángulo entre el eje principal del sensor y la normal a la superficie del modelo en cada punto deberá ser menor a 30˚, a menos que las condiciones físicas de la configuración de medición no lo permitan y en cuyo caso se deberá reportar la incertidumbre adicional esperada.</w:t>
      </w:r>
    </w:p>
    <w:p w14:paraId="6E39DDA0" w14:textId="77777777" w:rsidR="006B595F" w:rsidRPr="0086242B" w:rsidRDefault="006B595F" w:rsidP="006B595F">
      <w:pPr>
        <w:pStyle w:val="Prrafodelista"/>
        <w:rPr>
          <w:rFonts w:ascii="ITC Avant Garde" w:hAnsi="ITC Avant Garde"/>
          <w:sz w:val="20"/>
          <w:szCs w:val="20"/>
        </w:rPr>
      </w:pPr>
    </w:p>
    <w:p w14:paraId="3CF82462" w14:textId="77777777" w:rsidR="006B595F" w:rsidRPr="0086242B" w:rsidRDefault="006B595F" w:rsidP="006B595F">
      <w:pPr>
        <w:spacing w:line="360" w:lineRule="auto"/>
        <w:ind w:left="720"/>
        <w:jc w:val="both"/>
        <w:rPr>
          <w:rFonts w:ascii="ITC Avant Garde" w:hAnsi="ITC Avant Garde"/>
          <w:sz w:val="20"/>
          <w:szCs w:val="20"/>
        </w:rPr>
      </w:pPr>
    </w:p>
    <w:p w14:paraId="169894C0" w14:textId="77777777" w:rsidR="006B595F" w:rsidRPr="0086242B" w:rsidRDefault="006B595F" w:rsidP="006B595F">
      <w:pPr>
        <w:numPr>
          <w:ilvl w:val="0"/>
          <w:numId w:val="15"/>
        </w:numPr>
        <w:spacing w:line="360" w:lineRule="auto"/>
        <w:jc w:val="both"/>
        <w:rPr>
          <w:rFonts w:ascii="ITC Avant Garde" w:hAnsi="ITC Avant Garde"/>
          <w:sz w:val="20"/>
          <w:szCs w:val="20"/>
        </w:rPr>
      </w:pPr>
      <w:r w:rsidRPr="0086242B">
        <w:rPr>
          <w:rFonts w:ascii="ITC Avant Garde" w:hAnsi="ITC Avant Garde"/>
          <w:sz w:val="20"/>
          <w:szCs w:val="20"/>
        </w:rPr>
        <w:t>De la medición anterior se identifica el punto con el mayor valor de SAR, así como aquellos otros que están debajo de este valor por 2 dB o menos. Posteriormente, alrededor de cada uno de estos puntos se forma una retícula imaginaria que tiene la forma de un volumen de un tamaño mínimo de 30x30x30mm, cuyo centro se ubica lo más cerca posible de los puntos identificados anteriormente con mayor valor de SAR. La distancia no diagonal entre puntos de la nueva retícula de mayor resolución deberá ser menor de 8mm, excepto en la dirección normal a la superficie del modelo, que deberá ser menor de 5mm. La cara del volumen obtenido que está más cercana a la superficie interna del modelo deberá tener la misma forma curva de la superficie del modelo. Lo mismo sucederá con la cara opuesta, en tanto que las caras laterales podrán ser rectas.</w:t>
      </w:r>
    </w:p>
    <w:p w14:paraId="768F58B9" w14:textId="77777777" w:rsidR="006B595F" w:rsidRPr="0086242B" w:rsidRDefault="006B595F" w:rsidP="006B595F">
      <w:pPr>
        <w:spacing w:line="360" w:lineRule="auto"/>
        <w:ind w:left="720"/>
        <w:jc w:val="both"/>
        <w:rPr>
          <w:rFonts w:ascii="ITC Avant Garde" w:hAnsi="ITC Avant Garde"/>
          <w:sz w:val="20"/>
          <w:szCs w:val="20"/>
        </w:rPr>
      </w:pPr>
    </w:p>
    <w:p w14:paraId="744B9C47" w14:textId="77777777" w:rsidR="006B595F" w:rsidRPr="0086242B" w:rsidRDefault="006B595F" w:rsidP="006B595F">
      <w:pPr>
        <w:numPr>
          <w:ilvl w:val="0"/>
          <w:numId w:val="15"/>
        </w:numPr>
        <w:spacing w:line="360" w:lineRule="auto"/>
        <w:jc w:val="both"/>
        <w:rPr>
          <w:rFonts w:ascii="ITC Avant Garde" w:hAnsi="ITC Avant Garde"/>
          <w:sz w:val="20"/>
          <w:szCs w:val="20"/>
        </w:rPr>
      </w:pPr>
      <w:r w:rsidRPr="0086242B">
        <w:rPr>
          <w:rFonts w:ascii="ITC Avant Garde" w:hAnsi="ITC Avant Garde"/>
          <w:sz w:val="20"/>
          <w:szCs w:val="20"/>
        </w:rPr>
        <w:t xml:space="preserve">Debido a que la punta del sensor no corresponde al punto que se encuentra en el centro de los dipolos ortogonales del sensor, donde se realizan las mediciones, no es posible medir justo en la superficie del modelo. Por ello, es necesario utilizar técnicas de extrapolación matemática para encontrar los valores del SAR a lo largo de la superficie del modelo que se encuentra cercana al </w:t>
      </w:r>
      <w:r w:rsidRPr="0086242B">
        <w:rPr>
          <w:rFonts w:ascii="ITC Avant Garde" w:hAnsi="ITC Avant Garde"/>
          <w:sz w:val="20"/>
          <w:szCs w:val="20"/>
          <w:lang w:val="es-ES_tradnl"/>
        </w:rPr>
        <w:t xml:space="preserve">equipo </w:t>
      </w:r>
      <w:proofErr w:type="gramStart"/>
      <w:r w:rsidRPr="0086242B">
        <w:rPr>
          <w:rFonts w:ascii="ITC Avant Garde" w:hAnsi="ITC Avant Garde"/>
          <w:sz w:val="20"/>
          <w:szCs w:val="20"/>
          <w:lang w:val="es-ES_tradnl"/>
        </w:rPr>
        <w:t>terminal</w:t>
      </w:r>
      <w:r w:rsidRPr="0086242B" w:rsidDel="00935F0B">
        <w:rPr>
          <w:rFonts w:ascii="ITC Avant Garde" w:hAnsi="ITC Avant Garde"/>
          <w:sz w:val="20"/>
          <w:szCs w:val="20"/>
        </w:rPr>
        <w:t xml:space="preserve"> </w:t>
      </w:r>
      <w:r w:rsidRPr="0086242B">
        <w:rPr>
          <w:rFonts w:ascii="ITC Avant Garde" w:hAnsi="ITC Avant Garde"/>
          <w:sz w:val="20"/>
          <w:szCs w:val="20"/>
        </w:rPr>
        <w:t xml:space="preserve"> y</w:t>
      </w:r>
      <w:proofErr w:type="gramEnd"/>
      <w:r w:rsidRPr="0086242B">
        <w:rPr>
          <w:rFonts w:ascii="ITC Avant Garde" w:hAnsi="ITC Avant Garde"/>
          <w:sz w:val="20"/>
          <w:szCs w:val="20"/>
        </w:rPr>
        <w:t xml:space="preserve"> que es donde frecuentemente se ubican los valores pico del SAR. Tampoco es conveniente acercar la punta del sensor a la superficie interna del modelo en una distancia menor a la mitad de la longitud de los dipolos del sensor, debido a que los efectos de frontera entre medios de diferentes características interactuando con el sensor, pueden crear altos valores de incertidumbre. También por esta razón es necesario extrapolar los valores medidos para hallar el SAR en la superficie del modelo.</w:t>
      </w:r>
    </w:p>
    <w:p w14:paraId="13B73F5D" w14:textId="77777777" w:rsidR="006B595F" w:rsidRPr="0086242B" w:rsidRDefault="006B595F" w:rsidP="006B595F">
      <w:pPr>
        <w:pStyle w:val="Prrafodelista"/>
        <w:rPr>
          <w:rFonts w:ascii="ITC Avant Garde" w:hAnsi="ITC Avant Garde"/>
          <w:sz w:val="20"/>
          <w:szCs w:val="20"/>
        </w:rPr>
      </w:pPr>
    </w:p>
    <w:p w14:paraId="78069817" w14:textId="77777777" w:rsidR="006B595F" w:rsidRPr="0086242B" w:rsidRDefault="006B595F" w:rsidP="006B595F">
      <w:pPr>
        <w:spacing w:line="360" w:lineRule="auto"/>
        <w:ind w:left="720"/>
        <w:jc w:val="both"/>
        <w:rPr>
          <w:rFonts w:ascii="ITC Avant Garde" w:hAnsi="ITC Avant Garde"/>
          <w:sz w:val="20"/>
          <w:szCs w:val="20"/>
        </w:rPr>
      </w:pPr>
    </w:p>
    <w:p w14:paraId="3005AB3C" w14:textId="77777777" w:rsidR="006B595F" w:rsidRPr="0086242B" w:rsidRDefault="006B595F" w:rsidP="006B595F">
      <w:pPr>
        <w:numPr>
          <w:ilvl w:val="0"/>
          <w:numId w:val="15"/>
        </w:numPr>
        <w:spacing w:line="360" w:lineRule="auto"/>
        <w:jc w:val="both"/>
        <w:rPr>
          <w:rFonts w:ascii="ITC Avant Garde" w:hAnsi="ITC Avant Garde"/>
          <w:sz w:val="20"/>
          <w:szCs w:val="20"/>
        </w:rPr>
      </w:pPr>
      <w:r w:rsidRPr="0086242B">
        <w:rPr>
          <w:rFonts w:ascii="ITC Avant Garde" w:hAnsi="ITC Avant Garde"/>
          <w:sz w:val="20"/>
          <w:szCs w:val="20"/>
        </w:rPr>
        <w:t>Finalmente se procede a obtener por interpolación matemática todos los puntos intermedios a los puntos medidos en el volumen reticular, más los puntos extrapolados, de tal manera que se obtenga una nueva retícula que tenga una separación no diagonal de 1mm entre puntos y que incluye los puntos medidos y los extrapolados. Con una retícula de esta resolución se obtiene el promedio del SAR utilizando técnicas comunes de integración en los diferentes cubos que se pueden formar con la nueva retícula y que incorporan los suficientes puntos medidos e interpolados para contener 10 gramos de masa de tejido. De esta forma, se identifica el cubo con el mayor valor promediado, siendo éste el valor pico del SAR promediado en 10 gramos de tejido. Alrededor de cada uno de los puntos medidos inicialmente y que presentaban los valores más altos de SAR se obtiene igualmente por interpolación e integración los valores pico promediados y de los resultados para cada punto se obtiene el de mayor valor, el cual debe ser menor a 2 W/kg, como se establece en los límites básicos de la Tabla 1.</w:t>
      </w:r>
    </w:p>
    <w:p w14:paraId="6486E075" w14:textId="77777777" w:rsidR="006B595F" w:rsidRPr="0086242B" w:rsidRDefault="006B595F" w:rsidP="00136324">
      <w:pPr>
        <w:spacing w:line="360" w:lineRule="auto"/>
        <w:ind w:left="720"/>
        <w:jc w:val="both"/>
        <w:rPr>
          <w:rFonts w:ascii="ITC Avant Garde" w:hAnsi="ITC Avant Garde"/>
          <w:sz w:val="20"/>
          <w:szCs w:val="20"/>
        </w:rPr>
      </w:pPr>
    </w:p>
    <w:p w14:paraId="255DC32B" w14:textId="77777777" w:rsidR="006B595F" w:rsidRPr="0086242B" w:rsidRDefault="006B595F" w:rsidP="006B595F">
      <w:pPr>
        <w:jc w:val="both"/>
        <w:rPr>
          <w:rFonts w:ascii="ITC Avant Garde" w:hAnsi="ITC Avant Garde"/>
        </w:rPr>
      </w:pPr>
    </w:p>
    <w:p w14:paraId="19151A39" w14:textId="77777777" w:rsidR="006B595F" w:rsidRPr="0086242B" w:rsidRDefault="006B595F" w:rsidP="006B595F">
      <w:pPr>
        <w:pStyle w:val="Ttulo3"/>
        <w:keepLines w:val="0"/>
        <w:numPr>
          <w:ilvl w:val="2"/>
          <w:numId w:val="49"/>
        </w:numPr>
        <w:spacing w:before="240" w:after="60" w:line="240" w:lineRule="auto"/>
        <w:rPr>
          <w:rFonts w:ascii="ITC Avant Garde" w:hAnsi="ITC Avant Garde"/>
          <w:color w:val="auto"/>
          <w:sz w:val="22"/>
          <w:szCs w:val="24"/>
        </w:rPr>
      </w:pPr>
      <w:bookmarkStart w:id="34" w:name="_Toc414444614"/>
      <w:r w:rsidRPr="0086242B">
        <w:rPr>
          <w:rFonts w:ascii="ITC Avant Garde" w:hAnsi="ITC Avant Garde"/>
          <w:color w:val="auto"/>
          <w:sz w:val="22"/>
          <w:szCs w:val="24"/>
        </w:rPr>
        <w:t>Evaluación de la incertidumbre de las mediciones</w:t>
      </w:r>
      <w:bookmarkEnd w:id="34"/>
    </w:p>
    <w:p w14:paraId="599BA8C3" w14:textId="77777777" w:rsidR="006B595F" w:rsidRPr="0086242B" w:rsidRDefault="006B595F" w:rsidP="006B595F"/>
    <w:p w14:paraId="43A6398D" w14:textId="77777777" w:rsidR="006B595F" w:rsidRPr="0086242B" w:rsidRDefault="006B595F" w:rsidP="006B595F">
      <w:pPr>
        <w:jc w:val="both"/>
        <w:rPr>
          <w:rFonts w:ascii="ITC Avant Garde" w:hAnsi="ITC Avant Garde"/>
          <w:sz w:val="20"/>
          <w:szCs w:val="20"/>
          <w:lang w:val="es-ES_tradnl"/>
        </w:rPr>
      </w:pPr>
      <w:r w:rsidRPr="0086242B">
        <w:rPr>
          <w:rFonts w:ascii="ITC Avant Garde" w:hAnsi="ITC Avant Garde"/>
          <w:sz w:val="20"/>
          <w:szCs w:val="20"/>
          <w:lang w:val="es-ES_tradnl"/>
        </w:rPr>
        <w:t>Un sistema típico para las mediciones del SAR se presenta en la Figura 12.</w:t>
      </w:r>
    </w:p>
    <w:p w14:paraId="5AFAA199" w14:textId="77777777" w:rsidR="006B595F" w:rsidRPr="0086242B" w:rsidRDefault="006B595F" w:rsidP="006B595F">
      <w:pPr>
        <w:jc w:val="both"/>
        <w:rPr>
          <w:rFonts w:ascii="ITC Avant Garde" w:hAnsi="ITC Avant Garde"/>
          <w:lang w:val="es-ES_tradnl"/>
        </w:rPr>
      </w:pPr>
    </w:p>
    <w:p w14:paraId="5C166071" w14:textId="77777777" w:rsidR="006B595F" w:rsidRPr="0086242B" w:rsidRDefault="006B595F" w:rsidP="006B595F">
      <w:pPr>
        <w:jc w:val="center"/>
        <w:rPr>
          <w:rFonts w:ascii="ITC Avant Garde" w:hAnsi="ITC Avant Garde"/>
          <w:lang w:val="es-ES_tradnl"/>
        </w:rPr>
      </w:pPr>
      <w:r w:rsidRPr="0086242B">
        <w:rPr>
          <w:rFonts w:ascii="ITC Avant Garde" w:hAnsi="ITC Avant Garde"/>
          <w:noProof/>
          <w:lang w:val="es-MX" w:eastAsia="es-MX"/>
        </w:rPr>
        <w:drawing>
          <wp:inline distT="0" distB="0" distL="0" distR="0" wp14:anchorId="63F0F2D3" wp14:editId="2DA0657D">
            <wp:extent cx="3546475" cy="1661795"/>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46475" cy="1661795"/>
                    </a:xfrm>
                    <a:prstGeom prst="rect">
                      <a:avLst/>
                    </a:prstGeom>
                    <a:noFill/>
                    <a:ln>
                      <a:noFill/>
                    </a:ln>
                  </pic:spPr>
                </pic:pic>
              </a:graphicData>
            </a:graphic>
          </wp:inline>
        </w:drawing>
      </w:r>
    </w:p>
    <w:p w14:paraId="617EC489" w14:textId="77777777" w:rsidR="006B595F" w:rsidRPr="0086242B" w:rsidRDefault="006B595F" w:rsidP="006B595F">
      <w:pPr>
        <w:jc w:val="center"/>
        <w:rPr>
          <w:rFonts w:ascii="ITC Avant Garde" w:hAnsi="ITC Avant Garde"/>
          <w:lang w:val="es-ES_tradnl"/>
        </w:rPr>
      </w:pPr>
    </w:p>
    <w:p w14:paraId="5746B4C7" w14:textId="77777777" w:rsidR="006B595F" w:rsidRPr="00A24FAA" w:rsidRDefault="00B66A1E" w:rsidP="00A24FAA">
      <w:pPr>
        <w:pStyle w:val="Descripcin"/>
        <w:tabs>
          <w:tab w:val="left" w:pos="1193"/>
          <w:tab w:val="center" w:pos="4419"/>
        </w:tabs>
        <w:rPr>
          <w:rFonts w:ascii="ITC Avant Garde" w:hAnsi="ITC Avant Garde"/>
          <w:b w:val="0"/>
        </w:rPr>
      </w:pPr>
      <w:r w:rsidRPr="00A24FAA">
        <w:rPr>
          <w:rFonts w:ascii="ITC Avant Garde" w:hAnsi="ITC Avant Garde"/>
          <w:b w:val="0"/>
        </w:rPr>
        <w:tab/>
      </w:r>
      <w:r w:rsidRPr="00A24FAA">
        <w:rPr>
          <w:rFonts w:ascii="ITC Avant Garde" w:hAnsi="ITC Avant Garde"/>
          <w:b w:val="0"/>
        </w:rPr>
        <w:tab/>
      </w:r>
      <w:r w:rsidR="006B595F" w:rsidRPr="00A24FAA">
        <w:rPr>
          <w:rFonts w:ascii="ITC Avant Garde" w:hAnsi="ITC Avant Garde"/>
          <w:b w:val="0"/>
        </w:rPr>
        <w:t>Figura 12.-Sistema general para la medición del SAR.</w:t>
      </w:r>
    </w:p>
    <w:p w14:paraId="4E921D8B" w14:textId="77777777" w:rsidR="006B595F" w:rsidRPr="0086242B" w:rsidRDefault="006B595F" w:rsidP="006B595F">
      <w:pPr>
        <w:jc w:val="center"/>
        <w:rPr>
          <w:rFonts w:ascii="ITC Avant Garde" w:hAnsi="ITC Avant Garde"/>
        </w:rPr>
      </w:pPr>
    </w:p>
    <w:p w14:paraId="568442DF"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En la figura 12 se enumeran las siguientes fuentes principales de incertidumbre que deben valorarse con detalle y que es necesario reportar como parte de la medición del SAR:</w:t>
      </w:r>
    </w:p>
    <w:p w14:paraId="2B065C00" w14:textId="77777777" w:rsidR="006B595F" w:rsidRPr="0086242B" w:rsidRDefault="006B595F" w:rsidP="006B595F">
      <w:pPr>
        <w:spacing w:line="360" w:lineRule="auto"/>
        <w:jc w:val="both"/>
        <w:rPr>
          <w:rFonts w:ascii="ITC Avant Garde" w:hAnsi="ITC Avant Garde"/>
          <w:sz w:val="20"/>
          <w:szCs w:val="20"/>
          <w:lang w:val="es-ES_tradnl"/>
        </w:rPr>
      </w:pPr>
    </w:p>
    <w:p w14:paraId="2E043090" w14:textId="77777777" w:rsidR="006B595F" w:rsidRPr="0086242B" w:rsidRDefault="006B595F" w:rsidP="006B595F">
      <w:pPr>
        <w:numPr>
          <w:ilvl w:val="0"/>
          <w:numId w:val="16"/>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Sistema de control y de adquisición de datos.</w:t>
      </w:r>
    </w:p>
    <w:p w14:paraId="71C7BF81" w14:textId="77777777" w:rsidR="006B595F" w:rsidRPr="0086242B" w:rsidRDefault="006B595F" w:rsidP="006B595F">
      <w:pPr>
        <w:numPr>
          <w:ilvl w:val="0"/>
          <w:numId w:val="16"/>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Circuitos electrónicos para acondicionamiento y medición de la señal del sensor</w:t>
      </w:r>
    </w:p>
    <w:p w14:paraId="170AA4BD" w14:textId="77777777" w:rsidR="006B595F" w:rsidRPr="0086242B" w:rsidRDefault="006B595F" w:rsidP="006B595F">
      <w:pPr>
        <w:numPr>
          <w:ilvl w:val="0"/>
          <w:numId w:val="16"/>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Sensor de campos eléctricos.</w:t>
      </w:r>
    </w:p>
    <w:p w14:paraId="0E5E974B" w14:textId="77777777" w:rsidR="006B595F" w:rsidRPr="0086242B" w:rsidRDefault="006B595F" w:rsidP="006B595F">
      <w:pPr>
        <w:numPr>
          <w:ilvl w:val="0"/>
          <w:numId w:val="16"/>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Sistema de barrido electromecánico para posicionamiento del sensor (brazo mecánico).</w:t>
      </w:r>
    </w:p>
    <w:p w14:paraId="5DDEC74D" w14:textId="77777777" w:rsidR="006B595F" w:rsidRPr="0086242B" w:rsidRDefault="006B595F" w:rsidP="006B595F">
      <w:pPr>
        <w:numPr>
          <w:ilvl w:val="0"/>
          <w:numId w:val="16"/>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Campos electromagnéticos interferentes y ruido en el laboratorio de pruebas.</w:t>
      </w:r>
    </w:p>
    <w:p w14:paraId="4690B182" w14:textId="77777777" w:rsidR="006B595F" w:rsidRPr="0086242B" w:rsidRDefault="006B595F" w:rsidP="006B595F">
      <w:pPr>
        <w:numPr>
          <w:ilvl w:val="0"/>
          <w:numId w:val="16"/>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Modelo de la cabeza humana relleno de líquido dieléctrico</w:t>
      </w:r>
      <w:r w:rsidR="00B66A1E">
        <w:rPr>
          <w:rFonts w:ascii="ITC Avant Garde" w:hAnsi="ITC Avant Garde"/>
          <w:sz w:val="20"/>
          <w:szCs w:val="20"/>
          <w:lang w:val="es-ES_tradnl"/>
        </w:rPr>
        <w:t>.</w:t>
      </w:r>
    </w:p>
    <w:p w14:paraId="37F6AE94" w14:textId="77777777" w:rsidR="006B595F" w:rsidRPr="0086242B" w:rsidRDefault="006B595F" w:rsidP="006B595F">
      <w:pPr>
        <w:numPr>
          <w:ilvl w:val="0"/>
          <w:numId w:val="16"/>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equipo terminal bajo prueba.</w:t>
      </w:r>
    </w:p>
    <w:p w14:paraId="0D944241" w14:textId="77777777" w:rsidR="006B595F" w:rsidRPr="0086242B" w:rsidRDefault="006B595F" w:rsidP="006B595F">
      <w:pPr>
        <w:numPr>
          <w:ilvl w:val="0"/>
          <w:numId w:val="16"/>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Dispositivo de soporte para el equipo terminal equipo terminal</w:t>
      </w:r>
      <w:r w:rsidR="00B66A1E">
        <w:rPr>
          <w:rFonts w:ascii="ITC Avant Garde" w:hAnsi="ITC Avant Garde"/>
          <w:sz w:val="20"/>
          <w:szCs w:val="20"/>
          <w:lang w:val="es-ES_tradnl"/>
        </w:rPr>
        <w:t>.</w:t>
      </w:r>
    </w:p>
    <w:p w14:paraId="0BBE6CF7"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 xml:space="preserve">Para cada una de estas fuentes principales de incertidumbre, se hace un desglose de las fuentes secundarias asociadas a estas fuentes primarias y se combinan ponderadamente para obtener un valor total de incertidumbre que no debe exceder el ±30% de los valores </w:t>
      </w:r>
      <w:r w:rsidR="00146391" w:rsidRPr="0086242B">
        <w:rPr>
          <w:rFonts w:ascii="ITC Avant Garde" w:hAnsi="ITC Avant Garde"/>
          <w:sz w:val="20"/>
          <w:szCs w:val="20"/>
          <w:lang w:val="es-ES_tradnl"/>
        </w:rPr>
        <w:t>picos promediados</w:t>
      </w:r>
      <w:r w:rsidRPr="0086242B">
        <w:rPr>
          <w:rFonts w:ascii="ITC Avant Garde" w:hAnsi="ITC Avant Garde"/>
          <w:sz w:val="20"/>
          <w:szCs w:val="20"/>
          <w:lang w:val="es-ES_tradnl"/>
        </w:rPr>
        <w:t xml:space="preserve"> del SAR en el intervalo de 0.4 a 10 W/kg. El análisis detallado de todas las fuentes de incertidumbre deberá incluirse en el reporte de las mediciones del SAR, y deberá apegarse a los planteamientos matemáticos expuestos para los efectos del cálculo de la incertidumbre en la sección 7 “</w:t>
      </w:r>
      <w:proofErr w:type="spellStart"/>
      <w:r w:rsidRPr="0086242B">
        <w:rPr>
          <w:rFonts w:ascii="ITC Avant Garde" w:hAnsi="ITC Avant Garde"/>
          <w:sz w:val="20"/>
          <w:szCs w:val="20"/>
          <w:lang w:val="es-ES_tradnl"/>
        </w:rPr>
        <w:t>Uncertainty</w:t>
      </w:r>
      <w:proofErr w:type="spellEnd"/>
      <w:r w:rsidRPr="0086242B">
        <w:rPr>
          <w:rFonts w:ascii="ITC Avant Garde" w:hAnsi="ITC Avant Garde"/>
          <w:sz w:val="20"/>
          <w:szCs w:val="20"/>
          <w:lang w:val="es-ES_tradnl"/>
        </w:rPr>
        <w:t xml:space="preserve"> </w:t>
      </w:r>
      <w:proofErr w:type="spellStart"/>
      <w:r w:rsidRPr="0086242B">
        <w:rPr>
          <w:rFonts w:ascii="ITC Avant Garde" w:hAnsi="ITC Avant Garde"/>
          <w:sz w:val="20"/>
          <w:szCs w:val="20"/>
          <w:lang w:val="es-ES_tradnl"/>
        </w:rPr>
        <w:t>estimation</w:t>
      </w:r>
      <w:proofErr w:type="spellEnd"/>
      <w:r w:rsidRPr="0086242B">
        <w:rPr>
          <w:rFonts w:ascii="ITC Avant Garde" w:hAnsi="ITC Avant Garde"/>
          <w:sz w:val="20"/>
          <w:szCs w:val="20"/>
          <w:lang w:val="es-ES_tradnl"/>
        </w:rPr>
        <w:t xml:space="preserve">”, del estándar </w:t>
      </w:r>
      <w:r w:rsidRPr="0086242B">
        <w:rPr>
          <w:rFonts w:ascii="ITC Avant Garde" w:hAnsi="ITC Avant Garde"/>
          <w:sz w:val="20"/>
          <w:szCs w:val="20"/>
        </w:rPr>
        <w:t xml:space="preserve">IS/IEC 62209:1 2005 “Human </w:t>
      </w:r>
      <w:proofErr w:type="spellStart"/>
      <w:r w:rsidRPr="0086242B">
        <w:rPr>
          <w:rFonts w:ascii="ITC Avant Garde" w:hAnsi="ITC Avant Garde"/>
          <w:sz w:val="20"/>
          <w:szCs w:val="20"/>
        </w:rPr>
        <w:t>Exposure</w:t>
      </w:r>
      <w:proofErr w:type="spellEnd"/>
      <w:r w:rsidRPr="0086242B">
        <w:rPr>
          <w:rFonts w:ascii="ITC Avant Garde" w:hAnsi="ITC Avant Garde"/>
          <w:sz w:val="20"/>
          <w:szCs w:val="20"/>
        </w:rPr>
        <w:t xml:space="preserve"> to radio </w:t>
      </w:r>
      <w:proofErr w:type="spellStart"/>
      <w:proofErr w:type="gramStart"/>
      <w:r w:rsidRPr="0086242B">
        <w:rPr>
          <w:rFonts w:ascii="ITC Avant Garde" w:hAnsi="ITC Avant Garde"/>
          <w:sz w:val="20"/>
          <w:szCs w:val="20"/>
        </w:rPr>
        <w:t>frequency</w:t>
      </w:r>
      <w:proofErr w:type="spellEnd"/>
      <w:r w:rsidRPr="0086242B">
        <w:rPr>
          <w:rFonts w:ascii="ITC Avant Garde" w:hAnsi="ITC Avant Garde"/>
          <w:sz w:val="20"/>
          <w:szCs w:val="20"/>
        </w:rPr>
        <w:t xml:space="preserve">  </w:t>
      </w:r>
      <w:proofErr w:type="spellStart"/>
      <w:r w:rsidRPr="0086242B">
        <w:rPr>
          <w:rFonts w:ascii="ITC Avant Garde" w:hAnsi="ITC Avant Garde"/>
          <w:sz w:val="20"/>
          <w:szCs w:val="20"/>
        </w:rPr>
        <w:t>fields</w:t>
      </w:r>
      <w:proofErr w:type="spellEnd"/>
      <w:proofErr w:type="gramEnd"/>
      <w:r w:rsidRPr="0086242B">
        <w:rPr>
          <w:rFonts w:ascii="ITC Avant Garde" w:hAnsi="ITC Avant Garde"/>
          <w:sz w:val="20"/>
          <w:szCs w:val="20"/>
        </w:rPr>
        <w:t xml:space="preserve"> </w:t>
      </w:r>
      <w:proofErr w:type="spellStart"/>
      <w:r w:rsidRPr="0086242B">
        <w:rPr>
          <w:rFonts w:ascii="ITC Avant Garde" w:hAnsi="ITC Avant Garde"/>
          <w:sz w:val="20"/>
          <w:szCs w:val="20"/>
        </w:rPr>
        <w:t>from</w:t>
      </w:r>
      <w:proofErr w:type="spellEnd"/>
      <w:r w:rsidRPr="0086242B">
        <w:rPr>
          <w:rFonts w:ascii="ITC Avant Garde" w:hAnsi="ITC Avant Garde"/>
          <w:sz w:val="20"/>
          <w:szCs w:val="20"/>
        </w:rPr>
        <w:t xml:space="preserve"> </w:t>
      </w:r>
      <w:proofErr w:type="spellStart"/>
      <w:r w:rsidRPr="0086242B">
        <w:rPr>
          <w:rFonts w:ascii="ITC Avant Garde" w:hAnsi="ITC Avant Garde"/>
          <w:sz w:val="20"/>
          <w:szCs w:val="20"/>
        </w:rPr>
        <w:t>hand-held</w:t>
      </w:r>
      <w:proofErr w:type="spellEnd"/>
      <w:r w:rsidRPr="0086242B">
        <w:rPr>
          <w:rFonts w:ascii="ITC Avant Garde" w:hAnsi="ITC Avant Garde"/>
          <w:sz w:val="20"/>
          <w:szCs w:val="20"/>
        </w:rPr>
        <w:t xml:space="preserve"> and </w:t>
      </w:r>
      <w:proofErr w:type="spellStart"/>
      <w:r w:rsidRPr="0086242B">
        <w:rPr>
          <w:rFonts w:ascii="ITC Avant Garde" w:hAnsi="ITC Avant Garde"/>
          <w:sz w:val="20"/>
          <w:szCs w:val="20"/>
        </w:rPr>
        <w:t>body</w:t>
      </w:r>
      <w:proofErr w:type="spellEnd"/>
      <w:r w:rsidRPr="0086242B">
        <w:rPr>
          <w:rFonts w:ascii="ITC Avant Garde" w:hAnsi="ITC Avant Garde"/>
          <w:sz w:val="20"/>
          <w:szCs w:val="20"/>
        </w:rPr>
        <w:t xml:space="preserve">- </w:t>
      </w:r>
      <w:proofErr w:type="spellStart"/>
      <w:r w:rsidRPr="0086242B">
        <w:rPr>
          <w:rFonts w:ascii="ITC Avant Garde" w:hAnsi="ITC Avant Garde"/>
          <w:sz w:val="20"/>
          <w:szCs w:val="20"/>
        </w:rPr>
        <w:t>mounted</w:t>
      </w:r>
      <w:proofErr w:type="spellEnd"/>
      <w:r w:rsidRPr="0086242B">
        <w:rPr>
          <w:rFonts w:ascii="ITC Avant Garde" w:hAnsi="ITC Avant Garde"/>
          <w:sz w:val="20"/>
          <w:szCs w:val="20"/>
        </w:rPr>
        <w:t xml:space="preserve"> Wireless </w:t>
      </w:r>
      <w:proofErr w:type="spellStart"/>
      <w:r w:rsidRPr="0086242B">
        <w:rPr>
          <w:rFonts w:ascii="ITC Avant Garde" w:hAnsi="ITC Avant Garde"/>
          <w:sz w:val="20"/>
          <w:szCs w:val="20"/>
        </w:rPr>
        <w:t>communication</w:t>
      </w:r>
      <w:proofErr w:type="spellEnd"/>
      <w:r w:rsidRPr="0086242B">
        <w:rPr>
          <w:rFonts w:ascii="ITC Avant Garde" w:hAnsi="ITC Avant Garde"/>
          <w:sz w:val="20"/>
          <w:szCs w:val="20"/>
        </w:rPr>
        <w:t xml:space="preserve"> </w:t>
      </w:r>
      <w:proofErr w:type="spellStart"/>
      <w:r w:rsidRPr="0086242B">
        <w:rPr>
          <w:rFonts w:ascii="ITC Avant Garde" w:hAnsi="ITC Avant Garde"/>
          <w:sz w:val="20"/>
          <w:szCs w:val="20"/>
        </w:rPr>
        <w:t>devices</w:t>
      </w:r>
      <w:proofErr w:type="spellEnd"/>
      <w:r w:rsidRPr="0086242B">
        <w:rPr>
          <w:rFonts w:ascii="ITC Avant Garde" w:hAnsi="ITC Avant Garde"/>
          <w:sz w:val="20"/>
          <w:szCs w:val="20"/>
        </w:rPr>
        <w:t xml:space="preserve">- human </w:t>
      </w:r>
      <w:proofErr w:type="spellStart"/>
      <w:r w:rsidRPr="0086242B">
        <w:rPr>
          <w:rFonts w:ascii="ITC Avant Garde" w:hAnsi="ITC Avant Garde"/>
          <w:sz w:val="20"/>
          <w:szCs w:val="20"/>
        </w:rPr>
        <w:t>models</w:t>
      </w:r>
      <w:proofErr w:type="spellEnd"/>
      <w:r w:rsidRPr="0086242B">
        <w:rPr>
          <w:rFonts w:ascii="ITC Avant Garde" w:hAnsi="ITC Avant Garde"/>
          <w:sz w:val="20"/>
          <w:szCs w:val="20"/>
        </w:rPr>
        <w:t xml:space="preserve">, </w:t>
      </w:r>
      <w:proofErr w:type="spellStart"/>
      <w:r w:rsidRPr="0086242B">
        <w:rPr>
          <w:rFonts w:ascii="ITC Avant Garde" w:hAnsi="ITC Avant Garde"/>
          <w:sz w:val="20"/>
          <w:szCs w:val="20"/>
        </w:rPr>
        <w:t>intrumentation</w:t>
      </w:r>
      <w:proofErr w:type="spellEnd"/>
      <w:r w:rsidRPr="0086242B">
        <w:rPr>
          <w:rFonts w:ascii="ITC Avant Garde" w:hAnsi="ITC Avant Garde"/>
          <w:sz w:val="20"/>
          <w:szCs w:val="20"/>
        </w:rPr>
        <w:t xml:space="preserve">, and </w:t>
      </w:r>
      <w:proofErr w:type="spellStart"/>
      <w:r w:rsidRPr="0086242B">
        <w:rPr>
          <w:rFonts w:ascii="ITC Avant Garde" w:hAnsi="ITC Avant Garde"/>
          <w:sz w:val="20"/>
          <w:szCs w:val="20"/>
        </w:rPr>
        <w:t>procedures</w:t>
      </w:r>
      <w:proofErr w:type="spellEnd"/>
      <w:r w:rsidRPr="0086242B">
        <w:rPr>
          <w:rFonts w:ascii="ITC Avant Garde" w:hAnsi="ITC Avant Garde"/>
          <w:sz w:val="20"/>
          <w:szCs w:val="20"/>
        </w:rPr>
        <w:t>”.</w:t>
      </w:r>
    </w:p>
    <w:p w14:paraId="2366FFCC" w14:textId="77777777" w:rsidR="006B595F" w:rsidRPr="0086242B" w:rsidRDefault="006B595F" w:rsidP="006B595F">
      <w:pPr>
        <w:jc w:val="both"/>
        <w:rPr>
          <w:rFonts w:ascii="ITC Avant Garde" w:hAnsi="ITC Avant Garde"/>
          <w:lang w:val="es-ES_tradnl"/>
        </w:rPr>
      </w:pPr>
    </w:p>
    <w:p w14:paraId="416FF433" w14:textId="77777777" w:rsidR="006B595F" w:rsidRPr="0086242B" w:rsidRDefault="006B595F" w:rsidP="006B595F">
      <w:pPr>
        <w:pStyle w:val="Ttulo3"/>
        <w:keepLines w:val="0"/>
        <w:numPr>
          <w:ilvl w:val="2"/>
          <w:numId w:val="49"/>
        </w:numPr>
        <w:spacing w:before="240" w:after="60" w:line="240" w:lineRule="auto"/>
        <w:rPr>
          <w:rFonts w:ascii="ITC Avant Garde" w:hAnsi="ITC Avant Garde"/>
          <w:color w:val="auto"/>
          <w:sz w:val="22"/>
          <w:szCs w:val="24"/>
        </w:rPr>
      </w:pPr>
      <w:bookmarkStart w:id="35" w:name="_Toc414444615"/>
      <w:r w:rsidRPr="0086242B">
        <w:rPr>
          <w:rFonts w:ascii="ITC Avant Garde" w:hAnsi="ITC Avant Garde"/>
          <w:color w:val="auto"/>
          <w:sz w:val="22"/>
          <w:szCs w:val="24"/>
        </w:rPr>
        <w:t>Reporte de medición del SAR</w:t>
      </w:r>
      <w:bookmarkEnd w:id="35"/>
    </w:p>
    <w:p w14:paraId="7EF8201D" w14:textId="77777777" w:rsidR="006B595F" w:rsidRPr="0086242B" w:rsidRDefault="006B595F" w:rsidP="006B595F"/>
    <w:p w14:paraId="0FF505B4"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Toda la información que sea necesaria para realizar las mediciones del SAR de una forma repetible dentro de los límites requeridos de incertidumbre y bajo las características de calibración del sistema de medición, deberá incluirse en un reporte de las mediciones del SAR, el cual contendrá,  al menos, las siguientes partes:</w:t>
      </w:r>
    </w:p>
    <w:p w14:paraId="45E885F5" w14:textId="77777777" w:rsidR="006B595F" w:rsidRPr="0086242B" w:rsidRDefault="006B595F" w:rsidP="006B595F">
      <w:p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ab/>
      </w:r>
    </w:p>
    <w:p w14:paraId="0467F15B" w14:textId="77777777" w:rsidR="006B595F" w:rsidRPr="0086242B" w:rsidRDefault="006B595F" w:rsidP="006B595F">
      <w:pPr>
        <w:pStyle w:val="Prrafodelista"/>
        <w:numPr>
          <w:ilvl w:val="0"/>
          <w:numId w:val="17"/>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Descripción del equipo terminal y la configuración utilizada para la prueba</w:t>
      </w:r>
      <w:r w:rsidR="00B66A1E">
        <w:rPr>
          <w:rFonts w:ascii="ITC Avant Garde" w:hAnsi="ITC Avant Garde"/>
          <w:sz w:val="20"/>
          <w:szCs w:val="20"/>
          <w:lang w:val="es-ES_tradnl"/>
        </w:rPr>
        <w:t>.</w:t>
      </w:r>
    </w:p>
    <w:p w14:paraId="22A2F25F" w14:textId="77777777" w:rsidR="006B595F" w:rsidRPr="0086242B" w:rsidRDefault="006B595F" w:rsidP="006B595F">
      <w:pPr>
        <w:numPr>
          <w:ilvl w:val="0"/>
          <w:numId w:val="17"/>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Una lista de los instrumentos de prueba y sus especificaciones técnicas generales</w:t>
      </w:r>
      <w:r w:rsidR="00B66A1E">
        <w:rPr>
          <w:rFonts w:ascii="ITC Avant Garde" w:hAnsi="ITC Avant Garde"/>
          <w:sz w:val="20"/>
          <w:szCs w:val="20"/>
          <w:lang w:val="es-ES_tradnl"/>
        </w:rPr>
        <w:t>.</w:t>
      </w:r>
    </w:p>
    <w:p w14:paraId="6038F6D5" w14:textId="77777777" w:rsidR="006B595F" w:rsidRPr="0086242B" w:rsidRDefault="006B595F" w:rsidP="006B595F">
      <w:pPr>
        <w:numPr>
          <w:ilvl w:val="0"/>
          <w:numId w:val="17"/>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Especificaciones del modelo de la cabeza y propiedades del líquido dieléctrico</w:t>
      </w:r>
      <w:r w:rsidR="00B66A1E">
        <w:rPr>
          <w:rFonts w:ascii="ITC Avant Garde" w:hAnsi="ITC Avant Garde"/>
          <w:sz w:val="20"/>
          <w:szCs w:val="20"/>
          <w:lang w:val="es-ES_tradnl"/>
        </w:rPr>
        <w:t>.</w:t>
      </w:r>
    </w:p>
    <w:p w14:paraId="04623ECC" w14:textId="77777777" w:rsidR="006B595F" w:rsidRPr="0086242B" w:rsidRDefault="006B595F" w:rsidP="006B595F">
      <w:pPr>
        <w:numPr>
          <w:ilvl w:val="0"/>
          <w:numId w:val="17"/>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Una lista de las pruebas realizadas para cada configuración de prueba determinada por el modo de operación del equipo terminal, las bandas de frecuencias, las posiciones del equipo terminal, los canales en donde se realizan las pruebas, etc.</w:t>
      </w:r>
    </w:p>
    <w:p w14:paraId="480FBD6C" w14:textId="77777777" w:rsidR="006B595F" w:rsidRPr="0086242B" w:rsidRDefault="006B595F" w:rsidP="006B595F">
      <w:pPr>
        <w:numPr>
          <w:ilvl w:val="0"/>
          <w:numId w:val="17"/>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 xml:space="preserve">Descripción de los métodos utilizados para la extrapolación, interpolación y </w:t>
      </w:r>
      <w:proofErr w:type="spellStart"/>
      <w:r w:rsidRPr="0086242B">
        <w:rPr>
          <w:rFonts w:ascii="ITC Avant Garde" w:hAnsi="ITC Avant Garde"/>
          <w:sz w:val="20"/>
          <w:szCs w:val="20"/>
          <w:lang w:val="es-ES_tradnl"/>
        </w:rPr>
        <w:t>promediación</w:t>
      </w:r>
      <w:proofErr w:type="spellEnd"/>
      <w:r w:rsidRPr="0086242B">
        <w:rPr>
          <w:rFonts w:ascii="ITC Avant Garde" w:hAnsi="ITC Avant Garde"/>
          <w:sz w:val="20"/>
          <w:szCs w:val="20"/>
          <w:lang w:val="es-ES_tradnl"/>
        </w:rPr>
        <w:t xml:space="preserve"> de datos</w:t>
      </w:r>
      <w:r w:rsidR="00B66A1E">
        <w:rPr>
          <w:rFonts w:ascii="ITC Avant Garde" w:hAnsi="ITC Avant Garde"/>
          <w:sz w:val="20"/>
          <w:szCs w:val="20"/>
          <w:lang w:val="es-ES_tradnl"/>
        </w:rPr>
        <w:t>.</w:t>
      </w:r>
    </w:p>
    <w:p w14:paraId="1EE2C39C" w14:textId="77777777" w:rsidR="006B595F" w:rsidRPr="0086242B" w:rsidRDefault="006B595F" w:rsidP="006B595F">
      <w:pPr>
        <w:numPr>
          <w:ilvl w:val="0"/>
          <w:numId w:val="17"/>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Análisis detallado de incertidumbre en la medición</w:t>
      </w:r>
      <w:r w:rsidR="00B66A1E">
        <w:rPr>
          <w:rFonts w:ascii="ITC Avant Garde" w:hAnsi="ITC Avant Garde"/>
          <w:sz w:val="20"/>
          <w:szCs w:val="20"/>
          <w:lang w:val="es-ES_tradnl"/>
        </w:rPr>
        <w:t>.</w:t>
      </w:r>
    </w:p>
    <w:p w14:paraId="7C76F64F" w14:textId="77777777" w:rsidR="006B595F" w:rsidRPr="0086242B" w:rsidRDefault="006B595F" w:rsidP="006B595F">
      <w:pPr>
        <w:numPr>
          <w:ilvl w:val="0"/>
          <w:numId w:val="17"/>
        </w:numPr>
        <w:spacing w:line="360" w:lineRule="auto"/>
        <w:jc w:val="both"/>
        <w:rPr>
          <w:rFonts w:ascii="ITC Avant Garde" w:hAnsi="ITC Avant Garde"/>
          <w:sz w:val="20"/>
          <w:szCs w:val="20"/>
          <w:lang w:val="es-ES_tradnl"/>
        </w:rPr>
      </w:pPr>
      <w:r w:rsidRPr="0086242B">
        <w:rPr>
          <w:rFonts w:ascii="ITC Avant Garde" w:hAnsi="ITC Avant Garde"/>
          <w:sz w:val="20"/>
          <w:szCs w:val="20"/>
          <w:lang w:val="es-ES_tradnl"/>
        </w:rPr>
        <w:t>Representación gráfica de los resultados de las mediciones del SAR.</w:t>
      </w:r>
    </w:p>
    <w:p w14:paraId="7AD42F34" w14:textId="77777777" w:rsidR="006B595F" w:rsidRPr="0086242B" w:rsidRDefault="006B595F" w:rsidP="006B595F">
      <w:pPr>
        <w:spacing w:line="360" w:lineRule="auto"/>
        <w:jc w:val="both"/>
        <w:rPr>
          <w:rFonts w:ascii="ITC Avant Garde" w:hAnsi="ITC Avant Garde"/>
          <w:sz w:val="20"/>
          <w:szCs w:val="20"/>
          <w:lang w:val="es-ES_tradnl"/>
        </w:rPr>
      </w:pPr>
    </w:p>
    <w:p w14:paraId="3923DD7F" w14:textId="77777777" w:rsidR="006B595F" w:rsidRPr="0086242B" w:rsidRDefault="006B595F" w:rsidP="006B595F">
      <w:pPr>
        <w:spacing w:line="360" w:lineRule="auto"/>
        <w:rPr>
          <w:rFonts w:ascii="ITC Avant Garde" w:hAnsi="ITC Avant Garde"/>
          <w:sz w:val="20"/>
          <w:szCs w:val="20"/>
          <w:lang w:val="es-ES_tradnl"/>
        </w:rPr>
      </w:pPr>
    </w:p>
    <w:p w14:paraId="2FF51180" w14:textId="77777777" w:rsidR="006B595F" w:rsidRPr="0086242B" w:rsidRDefault="006B595F" w:rsidP="006B595F">
      <w:pPr>
        <w:spacing w:line="360" w:lineRule="auto"/>
        <w:jc w:val="center"/>
        <w:rPr>
          <w:rFonts w:ascii="ITC Avant Garde" w:hAnsi="ITC Avant Garde"/>
          <w:b/>
          <w:sz w:val="22"/>
          <w:szCs w:val="22"/>
        </w:rPr>
      </w:pPr>
      <w:r w:rsidRPr="0086242B">
        <w:rPr>
          <w:rFonts w:ascii="ITC Avant Garde" w:hAnsi="ITC Avant Garde"/>
          <w:sz w:val="20"/>
          <w:szCs w:val="20"/>
          <w:lang w:val="es-MX"/>
        </w:rPr>
        <w:br w:type="page"/>
      </w:r>
      <w:bookmarkStart w:id="36" w:name="_Toc216630957"/>
      <w:r w:rsidRPr="0086242B">
        <w:rPr>
          <w:rFonts w:ascii="ITC Avant Garde" w:hAnsi="ITC Avant Garde"/>
          <w:b/>
          <w:sz w:val="22"/>
          <w:szCs w:val="22"/>
        </w:rPr>
        <w:t>APENDICE A (INFORMATIVO)</w:t>
      </w:r>
    </w:p>
    <w:p w14:paraId="67AD3676" w14:textId="77777777" w:rsidR="006B595F" w:rsidRPr="0086242B" w:rsidRDefault="006B595F" w:rsidP="006B595F">
      <w:pPr>
        <w:pStyle w:val="Ttulo3"/>
        <w:numPr>
          <w:ilvl w:val="0"/>
          <w:numId w:val="0"/>
        </w:numPr>
        <w:spacing w:line="240" w:lineRule="auto"/>
        <w:rPr>
          <w:rFonts w:ascii="ITC Avant Garde" w:hAnsi="ITC Avant Garde"/>
          <w:color w:val="auto"/>
          <w:sz w:val="22"/>
          <w:szCs w:val="22"/>
        </w:rPr>
      </w:pPr>
      <w:bookmarkStart w:id="37" w:name="_Toc414444616"/>
      <w:r w:rsidRPr="0086242B">
        <w:rPr>
          <w:rFonts w:ascii="ITC Avant Garde" w:hAnsi="ITC Avant Garde"/>
          <w:color w:val="auto"/>
          <w:sz w:val="22"/>
          <w:szCs w:val="22"/>
        </w:rPr>
        <w:t xml:space="preserve">Ejemplo de cálculo </w:t>
      </w:r>
      <w:r w:rsidRPr="0086242B">
        <w:rPr>
          <w:rFonts w:ascii="ITC Avant Garde" w:hAnsi="ITC Avant Garde"/>
          <w:color w:val="auto"/>
          <w:sz w:val="22"/>
          <w:szCs w:val="22"/>
          <w:lang w:val="es-MX"/>
        </w:rPr>
        <w:t xml:space="preserve">considerando </w:t>
      </w:r>
      <w:r w:rsidRPr="0086242B">
        <w:rPr>
          <w:rFonts w:ascii="ITC Avant Garde" w:hAnsi="ITC Avant Garde"/>
          <w:color w:val="auto"/>
          <w:sz w:val="22"/>
          <w:szCs w:val="22"/>
        </w:rPr>
        <w:t>un solo emisor de RF</w:t>
      </w:r>
      <w:bookmarkEnd w:id="36"/>
      <w:bookmarkEnd w:id="37"/>
    </w:p>
    <w:p w14:paraId="7B0F3A56" w14:textId="77777777" w:rsidR="006B595F" w:rsidRPr="0086242B" w:rsidRDefault="006B595F" w:rsidP="006B595F">
      <w:pPr>
        <w:rPr>
          <w:rFonts w:ascii="ITC Avant Garde" w:hAnsi="ITC Avant Garde"/>
        </w:rPr>
      </w:pPr>
    </w:p>
    <w:p w14:paraId="123DDD8C"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Cálculo de los niveles de exposición aplicando la ecuación (1). Considérese el siguiente escenario hipotético mostrado en la Figura 13 en el que existe un solo emisor de campos electromagnéticos.</w:t>
      </w:r>
    </w:p>
    <w:p w14:paraId="6A68F157" w14:textId="77777777" w:rsidR="006B595F" w:rsidRPr="0086242B" w:rsidRDefault="006B595F" w:rsidP="006B595F">
      <w:pPr>
        <w:spacing w:line="360" w:lineRule="auto"/>
        <w:jc w:val="both"/>
        <w:rPr>
          <w:rFonts w:ascii="ITC Avant Garde" w:hAnsi="ITC Avant Garde"/>
          <w:sz w:val="20"/>
          <w:szCs w:val="20"/>
        </w:rPr>
      </w:pPr>
    </w:p>
    <w:p w14:paraId="56FF7A42" w14:textId="77777777" w:rsidR="006B595F" w:rsidRPr="0086242B" w:rsidRDefault="00672004" w:rsidP="006B595F">
      <w:pPr>
        <w:ind w:left="709"/>
        <w:jc w:val="center"/>
        <w:rPr>
          <w:rFonts w:ascii="ITC Avant Garde" w:hAnsi="ITC Avant Garde"/>
          <w:sz w:val="22"/>
          <w:szCs w:val="22"/>
        </w:rPr>
      </w:pPr>
      <w:r>
        <w:rPr>
          <w:rFonts w:ascii="ITC Avant Garde" w:hAnsi="ITC Avant Garde"/>
          <w:noProof/>
          <w:sz w:val="22"/>
          <w:szCs w:val="22"/>
          <w:lang w:val="es-MX" w:eastAsia="es-MX"/>
        </w:rPr>
        <w:drawing>
          <wp:anchor distT="0" distB="0" distL="114300" distR="114300" simplePos="0" relativeHeight="251656192" behindDoc="0" locked="0" layoutInCell="1" allowOverlap="1" wp14:anchorId="7D624845" wp14:editId="3E7B736E">
            <wp:simplePos x="0" y="0"/>
            <wp:positionH relativeFrom="column">
              <wp:posOffset>3675380</wp:posOffset>
            </wp:positionH>
            <wp:positionV relativeFrom="paragraph">
              <wp:posOffset>2633345</wp:posOffset>
            </wp:positionV>
            <wp:extent cx="36195" cy="118745"/>
            <wp:effectExtent l="0" t="0" r="1905" b="0"/>
            <wp:wrapNone/>
            <wp:docPr id="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195" cy="118745"/>
                    </a:xfrm>
                    <a:prstGeom prst="rect">
                      <a:avLst/>
                    </a:prstGeom>
                    <a:noFill/>
                  </pic:spPr>
                </pic:pic>
              </a:graphicData>
            </a:graphic>
            <wp14:sizeRelH relativeFrom="page">
              <wp14:pctWidth>0</wp14:pctWidth>
            </wp14:sizeRelH>
            <wp14:sizeRelV relativeFrom="page">
              <wp14:pctHeight>0</wp14:pctHeight>
            </wp14:sizeRelV>
          </wp:anchor>
        </w:drawing>
      </w:r>
      <w:r>
        <w:rPr>
          <w:rFonts w:ascii="ITC Avant Garde" w:hAnsi="ITC Avant Garde"/>
          <w:noProof/>
          <w:sz w:val="22"/>
          <w:szCs w:val="22"/>
          <w:lang w:val="es-MX" w:eastAsia="es-MX"/>
        </w:rPr>
        <w:drawing>
          <wp:inline distT="0" distB="0" distL="0" distR="0" wp14:anchorId="21082040" wp14:editId="4FC9F032">
            <wp:extent cx="1445895" cy="2867025"/>
            <wp:effectExtent l="0" t="0" r="190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l="23392" t="8969" r="49350" b="9209"/>
                    <a:stretch>
                      <a:fillRect/>
                    </a:stretch>
                  </pic:blipFill>
                  <pic:spPr bwMode="auto">
                    <a:xfrm>
                      <a:off x="0" y="0"/>
                      <a:ext cx="1445895" cy="2867025"/>
                    </a:xfrm>
                    <a:prstGeom prst="rect">
                      <a:avLst/>
                    </a:prstGeom>
                    <a:noFill/>
                    <a:ln>
                      <a:noFill/>
                    </a:ln>
                  </pic:spPr>
                </pic:pic>
              </a:graphicData>
            </a:graphic>
          </wp:inline>
        </w:drawing>
      </w:r>
    </w:p>
    <w:p w14:paraId="22022625" w14:textId="77777777" w:rsidR="006B595F" w:rsidRPr="0086242B" w:rsidRDefault="006B595F" w:rsidP="006B595F">
      <w:pPr>
        <w:pStyle w:val="Descripcin"/>
        <w:ind w:left="709"/>
        <w:jc w:val="center"/>
        <w:rPr>
          <w:rFonts w:ascii="ITC Avant Garde" w:hAnsi="ITC Avant Garde"/>
          <w:b w:val="0"/>
          <w:sz w:val="22"/>
          <w:szCs w:val="22"/>
        </w:rPr>
      </w:pPr>
      <w:bookmarkStart w:id="38" w:name="_Ref119387706"/>
      <w:bookmarkEnd w:id="38"/>
      <w:r w:rsidRPr="0086242B">
        <w:rPr>
          <w:rFonts w:ascii="ITC Avant Garde" w:hAnsi="ITC Avant Garde"/>
          <w:b w:val="0"/>
        </w:rPr>
        <w:t>Figura 13.- Nivel de exposición en las cercanías de una antena radiodifusora de</w:t>
      </w:r>
      <w:r w:rsidRPr="0086242B">
        <w:rPr>
          <w:rFonts w:ascii="ITC Avant Garde" w:hAnsi="ITC Avant Garde"/>
          <w:b w:val="0"/>
          <w:sz w:val="22"/>
          <w:szCs w:val="22"/>
        </w:rPr>
        <w:t xml:space="preserve"> </w:t>
      </w:r>
      <w:r w:rsidRPr="0086242B">
        <w:rPr>
          <w:rFonts w:ascii="ITC Avant Garde" w:hAnsi="ITC Avant Garde"/>
          <w:b w:val="0"/>
        </w:rPr>
        <w:t>FM</w:t>
      </w:r>
      <w:r w:rsidRPr="0086242B">
        <w:rPr>
          <w:rFonts w:ascii="ITC Avant Garde" w:hAnsi="ITC Avant Garde"/>
          <w:b w:val="0"/>
          <w:sz w:val="22"/>
          <w:szCs w:val="22"/>
        </w:rPr>
        <w:t>.</w:t>
      </w:r>
    </w:p>
    <w:p w14:paraId="477E300F" w14:textId="77777777" w:rsidR="006B595F" w:rsidRPr="0086242B" w:rsidRDefault="006B595F" w:rsidP="006B595F">
      <w:pPr>
        <w:ind w:left="709"/>
        <w:jc w:val="both"/>
        <w:rPr>
          <w:rFonts w:ascii="ITC Avant Garde" w:hAnsi="ITC Avant Garde"/>
          <w:sz w:val="22"/>
          <w:szCs w:val="22"/>
        </w:rPr>
      </w:pPr>
    </w:p>
    <w:p w14:paraId="4F068863"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Supóngase que en el esquema anterior una antena de un sistema de radiodifusión de frecuencia modulada (FM) se encuentra en la parte más alta de la torre a una altura de 90 m sobre el nivel del piso. La antena está transmitiendo con una potencia radiada efectiva de 100 kW a la frecuencia de 107.3 MHz y una persona de 1.7 m de estatura se encuentra parada a una distancia de 20 m de la base de la torre. Si el patrón de radiación vertical de la antena expresado en decibeles es el que se muestra en la Figura14, el nivel de exposición al que está sometido la persona se calcula de la siguiente manera.</w:t>
      </w:r>
    </w:p>
    <w:p w14:paraId="48AB2F1B" w14:textId="77777777" w:rsidR="006B595F" w:rsidRPr="0086242B" w:rsidRDefault="006B595F" w:rsidP="006B595F">
      <w:pPr>
        <w:spacing w:line="360" w:lineRule="auto"/>
        <w:ind w:left="709"/>
        <w:jc w:val="both"/>
        <w:rPr>
          <w:rFonts w:ascii="ITC Avant Garde" w:hAnsi="ITC Avant Garde"/>
          <w:sz w:val="20"/>
          <w:szCs w:val="20"/>
        </w:rPr>
      </w:pPr>
    </w:p>
    <w:p w14:paraId="6A3B0349" w14:textId="77777777" w:rsidR="006B595F" w:rsidRPr="0086242B" w:rsidRDefault="006B595F" w:rsidP="006B595F">
      <w:pPr>
        <w:ind w:left="709"/>
        <w:jc w:val="center"/>
        <w:rPr>
          <w:rFonts w:ascii="ITC Avant Garde" w:hAnsi="ITC Avant Garde"/>
          <w:sz w:val="22"/>
          <w:szCs w:val="22"/>
        </w:rPr>
      </w:pPr>
      <w:r w:rsidRPr="0086242B">
        <w:rPr>
          <w:rFonts w:ascii="ITC Avant Garde" w:hAnsi="ITC Avant Garde"/>
          <w:noProof/>
          <w:sz w:val="22"/>
          <w:szCs w:val="22"/>
          <w:lang w:val="es-MX" w:eastAsia="es-MX"/>
        </w:rPr>
        <w:drawing>
          <wp:inline distT="0" distB="0" distL="0" distR="0" wp14:anchorId="111089CE" wp14:editId="42835CEE">
            <wp:extent cx="1876425" cy="1837055"/>
            <wp:effectExtent l="0" t="0" r="317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6425" cy="1837055"/>
                    </a:xfrm>
                    <a:prstGeom prst="rect">
                      <a:avLst/>
                    </a:prstGeom>
                    <a:noFill/>
                    <a:ln>
                      <a:noFill/>
                    </a:ln>
                  </pic:spPr>
                </pic:pic>
              </a:graphicData>
            </a:graphic>
          </wp:inline>
        </w:drawing>
      </w:r>
    </w:p>
    <w:p w14:paraId="74F9F79C" w14:textId="77777777" w:rsidR="006B595F" w:rsidRPr="0086242B" w:rsidRDefault="006B595F" w:rsidP="006B595F">
      <w:pPr>
        <w:pStyle w:val="Descripcin"/>
        <w:ind w:left="709"/>
        <w:jc w:val="center"/>
        <w:rPr>
          <w:rFonts w:ascii="ITC Avant Garde" w:hAnsi="ITC Avant Garde"/>
          <w:b w:val="0"/>
        </w:rPr>
      </w:pPr>
      <w:bookmarkStart w:id="39" w:name="_Ref119387767"/>
      <w:bookmarkEnd w:id="39"/>
      <w:r w:rsidRPr="0086242B">
        <w:rPr>
          <w:rFonts w:ascii="ITC Avant Garde" w:hAnsi="ITC Avant Garde"/>
          <w:b w:val="0"/>
        </w:rPr>
        <w:t>Figura 14.- Patrón de radiación vertical de una antena transmisora de FM.</w:t>
      </w:r>
    </w:p>
    <w:p w14:paraId="349D11AF" w14:textId="77777777" w:rsidR="006B595F" w:rsidRPr="0086242B" w:rsidRDefault="006B595F" w:rsidP="006B595F">
      <w:pPr>
        <w:ind w:left="709"/>
        <w:jc w:val="center"/>
        <w:rPr>
          <w:rFonts w:ascii="ITC Avant Garde" w:hAnsi="ITC Avant Garde"/>
          <w:sz w:val="22"/>
          <w:szCs w:val="22"/>
        </w:rPr>
      </w:pPr>
    </w:p>
    <w:p w14:paraId="08BC43B7"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Primeramente se determina si la zona en que se encuentra el punto de exposición pertenece a la región de campo lejano. Para ello, se calcula por trigonometría básica la distancia R a la que se encuentra la persona alejada de la antena.</w:t>
      </w:r>
    </w:p>
    <w:p w14:paraId="397E6E7D" w14:textId="77777777" w:rsidR="006B595F" w:rsidRPr="0086242B" w:rsidRDefault="006B595F" w:rsidP="006B595F">
      <w:pPr>
        <w:ind w:left="709"/>
        <w:jc w:val="both"/>
        <w:rPr>
          <w:rFonts w:ascii="ITC Avant Garde" w:hAnsi="ITC Avant Garde"/>
          <w:sz w:val="22"/>
          <w:szCs w:val="22"/>
        </w:rPr>
      </w:pPr>
    </w:p>
    <w:p w14:paraId="4261954A" w14:textId="77777777" w:rsidR="006B595F" w:rsidRPr="0086242B" w:rsidRDefault="006B595F" w:rsidP="006B595F">
      <w:pPr>
        <w:pStyle w:val="Ecuacin"/>
        <w:ind w:left="709"/>
        <w:rPr>
          <w:rFonts w:ascii="ITC Avant Garde" w:hAnsi="ITC Avant Garde"/>
          <w:sz w:val="22"/>
          <w:szCs w:val="22"/>
        </w:rPr>
      </w:pPr>
      <w:r w:rsidRPr="0086242B">
        <w:rPr>
          <w:rFonts w:ascii="ITC Avant Garde" w:hAnsi="ITC Avant Garde"/>
          <w:sz w:val="22"/>
          <w:szCs w:val="22"/>
        </w:rPr>
        <w:tab/>
      </w:r>
      <w:bookmarkStart w:id="40" w:name="_Ref119390372"/>
      <w:bookmarkStart w:id="41" w:name="_Ref119389872"/>
      <w:r w:rsidR="00672004">
        <w:rPr>
          <w:rFonts w:ascii="ITC Avant Garde" w:hAnsi="ITC Avant Garde"/>
          <w:noProof/>
          <w:position w:val="-12"/>
          <w:sz w:val="22"/>
          <w:szCs w:val="22"/>
          <w:lang w:val="es-MX" w:eastAsia="es-MX"/>
        </w:rPr>
        <w:drawing>
          <wp:inline distT="0" distB="0" distL="0" distR="0" wp14:anchorId="44910009" wp14:editId="09BB307D">
            <wp:extent cx="3361055" cy="27178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61055" cy="271780"/>
                    </a:xfrm>
                    <a:prstGeom prst="rect">
                      <a:avLst/>
                    </a:prstGeom>
                    <a:noFill/>
                    <a:ln>
                      <a:noFill/>
                    </a:ln>
                  </pic:spPr>
                </pic:pic>
              </a:graphicData>
            </a:graphic>
          </wp:inline>
        </w:drawing>
      </w:r>
      <w:bookmarkEnd w:id="40"/>
      <w:r w:rsidRPr="0086242B">
        <w:rPr>
          <w:rFonts w:ascii="ITC Avant Garde" w:hAnsi="ITC Avant Garde"/>
          <w:sz w:val="22"/>
          <w:szCs w:val="22"/>
        </w:rPr>
        <w:tab/>
      </w:r>
      <w:r w:rsidRPr="0086242B">
        <w:rPr>
          <w:rFonts w:ascii="ITC Avant Garde" w:hAnsi="ITC Avant Garde"/>
          <w:sz w:val="20"/>
          <w:szCs w:val="20"/>
        </w:rPr>
        <w:t>(19)</w:t>
      </w:r>
      <w:bookmarkEnd w:id="41"/>
    </w:p>
    <w:p w14:paraId="34A91698" w14:textId="77777777" w:rsidR="006B595F" w:rsidRPr="0086242B" w:rsidRDefault="006B595F" w:rsidP="006B595F">
      <w:pPr>
        <w:ind w:left="709"/>
        <w:rPr>
          <w:rFonts w:ascii="ITC Avant Garde" w:hAnsi="ITC Avant Garde"/>
          <w:sz w:val="22"/>
          <w:szCs w:val="22"/>
        </w:rPr>
      </w:pPr>
    </w:p>
    <w:p w14:paraId="55D48F79"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Para que se cumpla la condición de campo lejano, la distancia anterior deberá ser mayor a 2D</w:t>
      </w:r>
      <w:r w:rsidRPr="0086242B">
        <w:rPr>
          <w:rFonts w:ascii="ITC Avant Garde" w:hAnsi="ITC Avant Garde"/>
          <w:sz w:val="20"/>
          <w:szCs w:val="20"/>
          <w:vertAlign w:val="superscript"/>
        </w:rPr>
        <w:t>2</w:t>
      </w:r>
      <w:r w:rsidRPr="0086242B">
        <w:rPr>
          <w:rFonts w:ascii="ITC Avant Garde" w:hAnsi="ITC Avant Garde"/>
          <w:sz w:val="20"/>
          <w:szCs w:val="20"/>
        </w:rPr>
        <w:t>/</w:t>
      </w:r>
      <w:r w:rsidRPr="0086242B">
        <w:rPr>
          <w:rFonts w:ascii="Calibri" w:hAnsi="Calibri" w:cs="Calibri"/>
          <w:sz w:val="20"/>
          <w:szCs w:val="20"/>
        </w:rPr>
        <w:t>λ</w:t>
      </w:r>
      <w:r w:rsidRPr="0086242B">
        <w:rPr>
          <w:rFonts w:ascii="ITC Avant Garde" w:hAnsi="ITC Avant Garde"/>
          <w:sz w:val="20"/>
          <w:szCs w:val="20"/>
        </w:rPr>
        <w:t>. Como no se conoce la dimensión máxima de la antena, se va a suponer que se utiliza una serie de dipolos de media longitud de onda como los elementos radiadores. De esta forma, la frontera a partir de la cual se tienen las condiciones de campo lejano para cada elemento radiador es:</w:t>
      </w:r>
    </w:p>
    <w:p w14:paraId="5690EF05" w14:textId="77777777" w:rsidR="006B595F" w:rsidRPr="0086242B" w:rsidRDefault="006B595F" w:rsidP="006B595F">
      <w:pPr>
        <w:ind w:left="709"/>
        <w:jc w:val="both"/>
        <w:rPr>
          <w:rFonts w:ascii="ITC Avant Garde" w:hAnsi="ITC Avant Garde"/>
          <w:sz w:val="22"/>
          <w:szCs w:val="22"/>
        </w:rPr>
      </w:pPr>
    </w:p>
    <w:p w14:paraId="112E7965" w14:textId="77777777" w:rsidR="006B595F" w:rsidRPr="0086242B" w:rsidRDefault="006B595F" w:rsidP="006B595F">
      <w:pPr>
        <w:pStyle w:val="Ecuacin"/>
        <w:ind w:left="709"/>
        <w:rPr>
          <w:rFonts w:ascii="ITC Avant Garde" w:hAnsi="ITC Avant Garde"/>
          <w:sz w:val="22"/>
          <w:szCs w:val="22"/>
        </w:rPr>
      </w:pPr>
      <w:r w:rsidRPr="0086242B">
        <w:rPr>
          <w:rFonts w:ascii="ITC Avant Garde" w:hAnsi="ITC Avant Garde"/>
          <w:sz w:val="22"/>
          <w:szCs w:val="22"/>
        </w:rPr>
        <w:tab/>
      </w:r>
      <w:r w:rsidR="00672004">
        <w:rPr>
          <w:rFonts w:ascii="ITC Avant Garde" w:hAnsi="ITC Avant Garde"/>
          <w:noProof/>
          <w:position w:val="-22"/>
          <w:sz w:val="22"/>
          <w:szCs w:val="22"/>
          <w:lang w:val="es-MX" w:eastAsia="es-MX"/>
        </w:rPr>
        <w:drawing>
          <wp:inline distT="0" distB="0" distL="0" distR="0" wp14:anchorId="6D3FEF5E" wp14:editId="48CEDFAF">
            <wp:extent cx="1111885" cy="469265"/>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1885" cy="469265"/>
                    </a:xfrm>
                    <a:prstGeom prst="rect">
                      <a:avLst/>
                    </a:prstGeom>
                    <a:noFill/>
                    <a:ln>
                      <a:noFill/>
                    </a:ln>
                  </pic:spPr>
                </pic:pic>
              </a:graphicData>
            </a:graphic>
          </wp:inline>
        </w:drawing>
      </w:r>
      <w:r w:rsidRPr="0086242B">
        <w:rPr>
          <w:rFonts w:ascii="ITC Avant Garde" w:hAnsi="ITC Avant Garde"/>
          <w:sz w:val="22"/>
          <w:szCs w:val="22"/>
        </w:rPr>
        <w:tab/>
      </w:r>
      <w:r w:rsidRPr="0086242B">
        <w:rPr>
          <w:rFonts w:ascii="ITC Avant Garde" w:hAnsi="ITC Avant Garde"/>
          <w:sz w:val="20"/>
          <w:szCs w:val="20"/>
        </w:rPr>
        <w:t>(20)</w:t>
      </w:r>
    </w:p>
    <w:p w14:paraId="3EF3E4B8" w14:textId="77777777" w:rsidR="006B595F" w:rsidRPr="0086242B" w:rsidRDefault="006B595F" w:rsidP="006B595F">
      <w:pPr>
        <w:ind w:left="709"/>
        <w:jc w:val="both"/>
        <w:rPr>
          <w:rFonts w:ascii="ITC Avant Garde" w:hAnsi="ITC Avant Garde"/>
          <w:sz w:val="22"/>
          <w:szCs w:val="22"/>
        </w:rPr>
      </w:pPr>
    </w:p>
    <w:p w14:paraId="2D9A3632" w14:textId="77777777" w:rsidR="006B595F" w:rsidRPr="0086242B" w:rsidRDefault="006B595F" w:rsidP="006B595F">
      <w:pPr>
        <w:jc w:val="both"/>
        <w:rPr>
          <w:rFonts w:ascii="ITC Avant Garde" w:hAnsi="ITC Avant Garde"/>
          <w:sz w:val="20"/>
          <w:szCs w:val="20"/>
        </w:rPr>
      </w:pPr>
      <w:r w:rsidRPr="0086242B">
        <w:rPr>
          <w:rFonts w:ascii="ITC Avant Garde" w:hAnsi="ITC Avant Garde"/>
          <w:sz w:val="20"/>
          <w:szCs w:val="20"/>
        </w:rPr>
        <w:t>Y puesto que la longitud de onda correspondiente a la frecuencia de 107.3 MHz es de:</w:t>
      </w:r>
    </w:p>
    <w:p w14:paraId="101DDD5B" w14:textId="77777777" w:rsidR="006B595F" w:rsidRPr="0086242B" w:rsidRDefault="006B595F" w:rsidP="006B595F">
      <w:pPr>
        <w:ind w:left="709"/>
        <w:jc w:val="both"/>
        <w:rPr>
          <w:rFonts w:ascii="ITC Avant Garde" w:hAnsi="ITC Avant Garde"/>
          <w:sz w:val="22"/>
          <w:szCs w:val="22"/>
        </w:rPr>
      </w:pPr>
    </w:p>
    <w:p w14:paraId="64C1A095" w14:textId="77777777" w:rsidR="006B595F" w:rsidRPr="0086242B" w:rsidRDefault="006B595F" w:rsidP="006B595F">
      <w:pPr>
        <w:pStyle w:val="Ecuacin"/>
        <w:ind w:left="709"/>
        <w:rPr>
          <w:rFonts w:ascii="ITC Avant Garde" w:hAnsi="ITC Avant Garde"/>
          <w:sz w:val="22"/>
          <w:szCs w:val="22"/>
        </w:rPr>
      </w:pPr>
      <w:r w:rsidRPr="0086242B">
        <w:rPr>
          <w:rFonts w:ascii="ITC Avant Garde" w:hAnsi="ITC Avant Garde"/>
          <w:sz w:val="22"/>
          <w:szCs w:val="22"/>
        </w:rPr>
        <w:tab/>
      </w:r>
      <w:r w:rsidR="00672004">
        <w:rPr>
          <w:rFonts w:ascii="ITC Avant Garde" w:hAnsi="ITC Avant Garde"/>
          <w:noProof/>
          <w:position w:val="-28"/>
          <w:sz w:val="22"/>
          <w:szCs w:val="22"/>
          <w:lang w:val="es-MX" w:eastAsia="es-MX"/>
        </w:rPr>
        <w:drawing>
          <wp:inline distT="0" distB="0" distL="0" distR="0" wp14:anchorId="43682433" wp14:editId="0D419A63">
            <wp:extent cx="1816735" cy="432435"/>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16735" cy="432435"/>
                    </a:xfrm>
                    <a:prstGeom prst="rect">
                      <a:avLst/>
                    </a:prstGeom>
                    <a:noFill/>
                    <a:ln>
                      <a:noFill/>
                    </a:ln>
                  </pic:spPr>
                </pic:pic>
              </a:graphicData>
            </a:graphic>
          </wp:inline>
        </w:drawing>
      </w:r>
      <w:r w:rsidRPr="0086242B">
        <w:rPr>
          <w:rFonts w:ascii="ITC Avant Garde" w:hAnsi="ITC Avant Garde"/>
          <w:sz w:val="22"/>
          <w:szCs w:val="22"/>
        </w:rPr>
        <w:tab/>
      </w:r>
      <w:r w:rsidRPr="0086242B">
        <w:rPr>
          <w:rFonts w:ascii="ITC Avant Garde" w:hAnsi="ITC Avant Garde"/>
          <w:sz w:val="20"/>
          <w:szCs w:val="20"/>
        </w:rPr>
        <w:t>(21)</w:t>
      </w:r>
    </w:p>
    <w:p w14:paraId="733A5AA1" w14:textId="77777777" w:rsidR="006B595F" w:rsidRPr="0086242B" w:rsidRDefault="006B595F" w:rsidP="006B595F">
      <w:pPr>
        <w:ind w:left="709"/>
        <w:jc w:val="both"/>
        <w:rPr>
          <w:rFonts w:ascii="ITC Avant Garde" w:hAnsi="ITC Avant Garde"/>
          <w:sz w:val="22"/>
          <w:szCs w:val="22"/>
        </w:rPr>
      </w:pPr>
    </w:p>
    <w:p w14:paraId="20B3BEE9"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La frontera a partir de la cual se tienen las condiciones de campo lejano es de 1.4 metros aproximadamente. Por lo tanto, la distancia R cumple fácilmente con las condiciones de campo lejano y por consiguiente, el cálculo se puede realizar. </w:t>
      </w:r>
    </w:p>
    <w:p w14:paraId="2AAFC431" w14:textId="77777777" w:rsidR="006B595F" w:rsidRPr="0086242B" w:rsidRDefault="006B595F" w:rsidP="006B595F">
      <w:pPr>
        <w:spacing w:line="360" w:lineRule="auto"/>
        <w:jc w:val="both"/>
        <w:rPr>
          <w:rFonts w:ascii="ITC Avant Garde" w:hAnsi="ITC Avant Garde"/>
          <w:sz w:val="20"/>
          <w:szCs w:val="20"/>
        </w:rPr>
      </w:pPr>
    </w:p>
    <w:p w14:paraId="34065395"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El patrón de radiación vertical de la Figura 14 muestra la forma en que varía la potencia radiada únicamente en función del ángulo </w:t>
      </w:r>
      <w:r w:rsidRPr="0086242B">
        <w:rPr>
          <w:rFonts w:ascii="Calibri" w:hAnsi="Calibri" w:cs="Calibri"/>
          <w:sz w:val="20"/>
          <w:szCs w:val="20"/>
        </w:rPr>
        <w:t>θ</w:t>
      </w:r>
      <w:r w:rsidRPr="0086242B">
        <w:rPr>
          <w:rFonts w:ascii="ITC Avant Garde" w:hAnsi="ITC Avant Garde"/>
          <w:sz w:val="20"/>
          <w:szCs w:val="20"/>
        </w:rPr>
        <w:t xml:space="preserve"> y cuyo valor en grados se observa en la graduaci</w:t>
      </w:r>
      <w:r w:rsidRPr="0086242B">
        <w:rPr>
          <w:rFonts w:ascii="ITC Avant Garde" w:hAnsi="ITC Avant Garde" w:cs="ITC Avant Garde"/>
          <w:sz w:val="20"/>
          <w:szCs w:val="20"/>
        </w:rPr>
        <w:t>ó</w:t>
      </w:r>
      <w:r w:rsidRPr="0086242B">
        <w:rPr>
          <w:rFonts w:ascii="ITC Avant Garde" w:hAnsi="ITC Avant Garde"/>
          <w:sz w:val="20"/>
          <w:szCs w:val="20"/>
        </w:rPr>
        <w:t>n exterior del patr</w:t>
      </w:r>
      <w:r w:rsidRPr="0086242B">
        <w:rPr>
          <w:rFonts w:ascii="ITC Avant Garde" w:hAnsi="ITC Avant Garde" w:cs="ITC Avant Garde"/>
          <w:sz w:val="20"/>
          <w:szCs w:val="20"/>
        </w:rPr>
        <w:t>ó</w:t>
      </w:r>
      <w:r w:rsidRPr="0086242B">
        <w:rPr>
          <w:rFonts w:ascii="ITC Avant Garde" w:hAnsi="ITC Avant Garde"/>
          <w:sz w:val="20"/>
          <w:szCs w:val="20"/>
        </w:rPr>
        <w:t>n. Por su parte, los c</w:t>
      </w:r>
      <w:r w:rsidRPr="0086242B">
        <w:rPr>
          <w:rFonts w:ascii="ITC Avant Garde" w:hAnsi="ITC Avant Garde" w:cs="ITC Avant Garde"/>
          <w:sz w:val="20"/>
          <w:szCs w:val="20"/>
        </w:rPr>
        <w:t>í</w:t>
      </w:r>
      <w:r w:rsidRPr="0086242B">
        <w:rPr>
          <w:rFonts w:ascii="ITC Avant Garde" w:hAnsi="ITC Avant Garde"/>
          <w:sz w:val="20"/>
          <w:szCs w:val="20"/>
        </w:rPr>
        <w:t>rculos conc</w:t>
      </w:r>
      <w:r w:rsidRPr="0086242B">
        <w:rPr>
          <w:rFonts w:ascii="ITC Avant Garde" w:hAnsi="ITC Avant Garde" w:cs="ITC Avant Garde"/>
          <w:sz w:val="20"/>
          <w:szCs w:val="20"/>
        </w:rPr>
        <w:t>é</w:t>
      </w:r>
      <w:r w:rsidRPr="0086242B">
        <w:rPr>
          <w:rFonts w:ascii="ITC Avant Garde" w:hAnsi="ITC Avant Garde"/>
          <w:sz w:val="20"/>
          <w:szCs w:val="20"/>
        </w:rPr>
        <w:t>ntricos internos tienen una graduaci</w:t>
      </w:r>
      <w:r w:rsidRPr="0086242B">
        <w:rPr>
          <w:rFonts w:ascii="ITC Avant Garde" w:hAnsi="ITC Avant Garde" w:cs="ITC Avant Garde"/>
          <w:sz w:val="20"/>
          <w:szCs w:val="20"/>
        </w:rPr>
        <w:t>ó</w:t>
      </w:r>
      <w:r w:rsidRPr="0086242B">
        <w:rPr>
          <w:rFonts w:ascii="ITC Avant Garde" w:hAnsi="ITC Avant Garde"/>
          <w:sz w:val="20"/>
          <w:szCs w:val="20"/>
        </w:rPr>
        <w:t xml:space="preserve">n expresada en decibeles negativos, lo cual indica el nivel en decibeles en que se reduce la potencia, con relación a la dirección de máxima radiación. Para este ejemplo, se utiliza únicamente el patrón de radiación vertical puesto que el esquema de la Figura 13 se dibuja precisamente en el plano vertical. </w:t>
      </w:r>
    </w:p>
    <w:p w14:paraId="71C1556A" w14:textId="77777777" w:rsidR="006B595F" w:rsidRPr="0086242B" w:rsidRDefault="006B595F" w:rsidP="006B595F">
      <w:pPr>
        <w:spacing w:line="360" w:lineRule="auto"/>
        <w:jc w:val="both"/>
        <w:rPr>
          <w:rFonts w:ascii="ITC Avant Garde" w:hAnsi="ITC Avant Garde"/>
          <w:sz w:val="20"/>
          <w:szCs w:val="20"/>
        </w:rPr>
      </w:pPr>
    </w:p>
    <w:p w14:paraId="20F6BEFE"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Ahora bien, la antena transmite su máxima potencia cuando </w:t>
      </w:r>
      <w:r w:rsidRPr="0086242B">
        <w:rPr>
          <w:rFonts w:ascii="Calibri" w:hAnsi="Calibri" w:cs="Calibri"/>
          <w:sz w:val="20"/>
          <w:szCs w:val="20"/>
        </w:rPr>
        <w:t>θ</w:t>
      </w:r>
      <w:r w:rsidRPr="0086242B">
        <w:rPr>
          <w:rFonts w:ascii="ITC Avant Garde" w:hAnsi="ITC Avant Garde"/>
          <w:sz w:val="20"/>
          <w:szCs w:val="20"/>
        </w:rPr>
        <w:t xml:space="preserve"> es aproximadamente igual a 90</w:t>
      </w:r>
      <w:r w:rsidRPr="0086242B">
        <w:rPr>
          <w:rFonts w:ascii="ITC Avant Garde" w:hAnsi="ITC Avant Garde" w:cs="ITC Avant Garde"/>
          <w:sz w:val="20"/>
          <w:szCs w:val="20"/>
        </w:rPr>
        <w:t>˚</w:t>
      </w:r>
      <w:r w:rsidRPr="0086242B">
        <w:rPr>
          <w:rFonts w:ascii="ITC Avant Garde" w:hAnsi="ITC Avant Garde"/>
          <w:sz w:val="20"/>
          <w:szCs w:val="20"/>
        </w:rPr>
        <w:t>, de acuerdo al patr</w:t>
      </w:r>
      <w:r w:rsidRPr="0086242B">
        <w:rPr>
          <w:rFonts w:ascii="ITC Avant Garde" w:hAnsi="ITC Avant Garde" w:cs="ITC Avant Garde"/>
          <w:sz w:val="20"/>
          <w:szCs w:val="20"/>
        </w:rPr>
        <w:t>ó</w:t>
      </w:r>
      <w:r w:rsidRPr="0086242B">
        <w:rPr>
          <w:rFonts w:ascii="ITC Avant Garde" w:hAnsi="ITC Avant Garde"/>
          <w:sz w:val="20"/>
          <w:szCs w:val="20"/>
        </w:rPr>
        <w:t>n de radiaci</w:t>
      </w:r>
      <w:r w:rsidRPr="0086242B">
        <w:rPr>
          <w:rFonts w:ascii="ITC Avant Garde" w:hAnsi="ITC Avant Garde" w:cs="ITC Avant Garde"/>
          <w:sz w:val="20"/>
          <w:szCs w:val="20"/>
        </w:rPr>
        <w:t>ó</w:t>
      </w:r>
      <w:r w:rsidRPr="0086242B">
        <w:rPr>
          <w:rFonts w:ascii="ITC Avant Garde" w:hAnsi="ITC Avant Garde"/>
          <w:sz w:val="20"/>
          <w:szCs w:val="20"/>
        </w:rPr>
        <w:t>n de la Figura 14. Para encontrar la potencia a la que transmite la antena en la direcci</w:t>
      </w:r>
      <w:r w:rsidRPr="0086242B">
        <w:rPr>
          <w:rFonts w:ascii="ITC Avant Garde" w:hAnsi="ITC Avant Garde" w:cs="ITC Avant Garde"/>
          <w:sz w:val="20"/>
          <w:szCs w:val="20"/>
        </w:rPr>
        <w:t>ó</w:t>
      </w:r>
      <w:r w:rsidRPr="0086242B">
        <w:rPr>
          <w:rFonts w:ascii="ITC Avant Garde" w:hAnsi="ITC Avant Garde"/>
          <w:sz w:val="20"/>
          <w:szCs w:val="20"/>
        </w:rPr>
        <w:t xml:space="preserve">n en que se encuentra la persona se calcula el </w:t>
      </w:r>
      <w:r w:rsidRPr="0086242B">
        <w:rPr>
          <w:rFonts w:ascii="ITC Avant Garde" w:hAnsi="ITC Avant Garde" w:cs="ITC Avant Garde"/>
          <w:sz w:val="20"/>
          <w:szCs w:val="20"/>
        </w:rPr>
        <w:t>á</w:t>
      </w:r>
      <w:r w:rsidRPr="0086242B">
        <w:rPr>
          <w:rFonts w:ascii="ITC Avant Garde" w:hAnsi="ITC Avant Garde"/>
          <w:sz w:val="20"/>
          <w:szCs w:val="20"/>
        </w:rPr>
        <w:t xml:space="preserve">ngulo </w:t>
      </w:r>
      <w:r w:rsidRPr="0086242B">
        <w:rPr>
          <w:rFonts w:ascii="Calibri" w:hAnsi="Calibri" w:cs="Calibri"/>
          <w:sz w:val="20"/>
          <w:szCs w:val="20"/>
        </w:rPr>
        <w:t>θ</w:t>
      </w:r>
      <w:r w:rsidRPr="0086242B">
        <w:rPr>
          <w:rFonts w:ascii="ITC Avant Garde" w:hAnsi="ITC Avant Garde"/>
          <w:sz w:val="20"/>
          <w:szCs w:val="20"/>
        </w:rPr>
        <w:t xml:space="preserve"> mostrado en la Figura 13, también por trigonometría básica.</w:t>
      </w:r>
    </w:p>
    <w:p w14:paraId="3509D6F0" w14:textId="77777777" w:rsidR="006B595F" w:rsidRPr="0086242B" w:rsidRDefault="006B595F" w:rsidP="006B595F">
      <w:pPr>
        <w:ind w:left="709"/>
        <w:jc w:val="both"/>
        <w:rPr>
          <w:rFonts w:ascii="ITC Avant Garde" w:hAnsi="ITC Avant Garde"/>
          <w:sz w:val="22"/>
          <w:szCs w:val="22"/>
        </w:rPr>
      </w:pPr>
      <w:r w:rsidRPr="0086242B">
        <w:rPr>
          <w:rFonts w:ascii="ITC Avant Garde" w:hAnsi="ITC Avant Garde"/>
          <w:sz w:val="22"/>
          <w:szCs w:val="22"/>
        </w:rPr>
        <w:t xml:space="preserve"> </w:t>
      </w:r>
    </w:p>
    <w:p w14:paraId="558785A9" w14:textId="77777777" w:rsidR="006B595F" w:rsidRPr="0086242B" w:rsidRDefault="006B595F" w:rsidP="006B595F">
      <w:pPr>
        <w:pStyle w:val="Ecuacin"/>
        <w:ind w:left="709"/>
        <w:rPr>
          <w:rFonts w:ascii="ITC Avant Garde" w:hAnsi="ITC Avant Garde"/>
          <w:sz w:val="20"/>
          <w:szCs w:val="20"/>
        </w:rPr>
      </w:pPr>
      <w:r w:rsidRPr="0086242B">
        <w:rPr>
          <w:rFonts w:ascii="ITC Avant Garde" w:hAnsi="ITC Avant Garde"/>
          <w:sz w:val="22"/>
          <w:szCs w:val="22"/>
        </w:rPr>
        <w:tab/>
      </w:r>
      <w:r w:rsidR="00672004">
        <w:rPr>
          <w:rFonts w:ascii="ITC Avant Garde" w:hAnsi="ITC Avant Garde"/>
          <w:noProof/>
          <w:position w:val="-30"/>
          <w:sz w:val="22"/>
          <w:szCs w:val="22"/>
          <w:lang w:val="es-MX" w:eastAsia="es-MX"/>
        </w:rPr>
        <w:drawing>
          <wp:inline distT="0" distB="0" distL="0" distR="0" wp14:anchorId="28CC83FC" wp14:editId="48F020FB">
            <wp:extent cx="3546475" cy="44513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46475" cy="445135"/>
                    </a:xfrm>
                    <a:prstGeom prst="rect">
                      <a:avLst/>
                    </a:prstGeom>
                    <a:noFill/>
                    <a:ln>
                      <a:noFill/>
                    </a:ln>
                  </pic:spPr>
                </pic:pic>
              </a:graphicData>
            </a:graphic>
          </wp:inline>
        </w:drawing>
      </w:r>
      <w:r w:rsidRPr="0086242B">
        <w:rPr>
          <w:rFonts w:ascii="ITC Avant Garde" w:hAnsi="ITC Avant Garde"/>
          <w:sz w:val="22"/>
          <w:szCs w:val="22"/>
        </w:rPr>
        <w:tab/>
      </w:r>
      <w:r w:rsidRPr="0086242B">
        <w:rPr>
          <w:rFonts w:ascii="ITC Avant Garde" w:hAnsi="ITC Avant Garde"/>
          <w:sz w:val="20"/>
          <w:szCs w:val="20"/>
        </w:rPr>
        <w:t>(22)</w:t>
      </w:r>
    </w:p>
    <w:p w14:paraId="4B1F8161" w14:textId="77777777" w:rsidR="006B595F" w:rsidRPr="0086242B" w:rsidRDefault="006B595F" w:rsidP="006B595F">
      <w:pPr>
        <w:ind w:left="709"/>
        <w:jc w:val="both"/>
        <w:rPr>
          <w:rFonts w:ascii="ITC Avant Garde" w:hAnsi="ITC Avant Garde"/>
          <w:sz w:val="22"/>
          <w:szCs w:val="22"/>
        </w:rPr>
      </w:pPr>
    </w:p>
    <w:p w14:paraId="12B3500A"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Consultando la </w:t>
      </w:r>
      <w:r w:rsidRPr="0086242B">
        <w:rPr>
          <w:rFonts w:ascii="ITC Avant Garde" w:hAnsi="ITC Avant Garde"/>
          <w:sz w:val="20"/>
          <w:szCs w:val="20"/>
        </w:rPr>
        <w:fldChar w:fldCharType="begin"/>
      </w:r>
      <w:r w:rsidRPr="0086242B">
        <w:rPr>
          <w:rFonts w:ascii="ITC Avant Garde" w:hAnsi="ITC Avant Garde"/>
          <w:sz w:val="20"/>
          <w:szCs w:val="20"/>
        </w:rPr>
        <w:instrText xml:space="preserve"> REF _Ref119387767 \h  \* MERGEFORMAT </w:instrText>
      </w:r>
      <w:r w:rsidRPr="0086242B">
        <w:rPr>
          <w:rFonts w:ascii="ITC Avant Garde" w:hAnsi="ITC Avant Garde"/>
          <w:sz w:val="20"/>
          <w:szCs w:val="20"/>
        </w:rPr>
      </w:r>
      <w:r w:rsidRPr="0086242B">
        <w:rPr>
          <w:rFonts w:ascii="ITC Avant Garde" w:hAnsi="ITC Avant Garde"/>
          <w:sz w:val="20"/>
          <w:szCs w:val="20"/>
        </w:rPr>
        <w:fldChar w:fldCharType="end"/>
      </w:r>
      <w:r w:rsidRPr="0086242B">
        <w:rPr>
          <w:rFonts w:ascii="ITC Avant Garde" w:hAnsi="ITC Avant Garde"/>
          <w:sz w:val="20"/>
          <w:szCs w:val="20"/>
        </w:rPr>
        <w:t xml:space="preserve">14 se puede encontrar que la potencia radiada para </w:t>
      </w:r>
      <w:r w:rsidRPr="0086242B">
        <w:rPr>
          <w:rFonts w:ascii="Calibri" w:hAnsi="Calibri" w:cs="Calibri"/>
          <w:sz w:val="20"/>
          <w:szCs w:val="20"/>
        </w:rPr>
        <w:t>θ</w:t>
      </w:r>
      <w:r w:rsidRPr="0086242B">
        <w:rPr>
          <w:rFonts w:ascii="ITC Avant Garde" w:hAnsi="ITC Avant Garde"/>
          <w:sz w:val="20"/>
          <w:szCs w:val="20"/>
        </w:rPr>
        <w:t xml:space="preserve"> igual a 167</w:t>
      </w:r>
      <w:r w:rsidRPr="0086242B">
        <w:rPr>
          <w:rFonts w:ascii="ITC Avant Garde" w:hAnsi="ITC Avant Garde" w:cs="ITC Avant Garde"/>
          <w:sz w:val="20"/>
          <w:szCs w:val="20"/>
        </w:rPr>
        <w:t>˚</w:t>
      </w:r>
      <w:r w:rsidRPr="0086242B">
        <w:rPr>
          <w:rFonts w:ascii="ITC Avant Garde" w:hAnsi="ITC Avant Garde"/>
          <w:sz w:val="20"/>
          <w:szCs w:val="20"/>
        </w:rPr>
        <w:t xml:space="preserve"> es de aproximadamente -21 decibeles (dB), en relaci</w:t>
      </w:r>
      <w:r w:rsidRPr="0086242B">
        <w:rPr>
          <w:rFonts w:ascii="ITC Avant Garde" w:hAnsi="ITC Avant Garde" w:cs="ITC Avant Garde"/>
          <w:sz w:val="20"/>
          <w:szCs w:val="20"/>
        </w:rPr>
        <w:t>ó</w:t>
      </w:r>
      <w:r w:rsidRPr="0086242B">
        <w:rPr>
          <w:rFonts w:ascii="ITC Avant Garde" w:hAnsi="ITC Avant Garde"/>
          <w:sz w:val="20"/>
          <w:szCs w:val="20"/>
        </w:rPr>
        <w:t>n a la potencia en la direcci</w:t>
      </w:r>
      <w:r w:rsidRPr="0086242B">
        <w:rPr>
          <w:rFonts w:ascii="ITC Avant Garde" w:hAnsi="ITC Avant Garde" w:cs="ITC Avant Garde"/>
          <w:sz w:val="20"/>
          <w:szCs w:val="20"/>
        </w:rPr>
        <w:t>ó</w:t>
      </w:r>
      <w:r w:rsidRPr="0086242B">
        <w:rPr>
          <w:rFonts w:ascii="ITC Avant Garde" w:hAnsi="ITC Avant Garde"/>
          <w:sz w:val="20"/>
          <w:szCs w:val="20"/>
        </w:rPr>
        <w:t>n de m</w:t>
      </w:r>
      <w:r w:rsidRPr="0086242B">
        <w:rPr>
          <w:rFonts w:ascii="ITC Avant Garde" w:hAnsi="ITC Avant Garde" w:cs="ITC Avant Garde"/>
          <w:sz w:val="20"/>
          <w:szCs w:val="20"/>
        </w:rPr>
        <w:t>á</w:t>
      </w:r>
      <w:r w:rsidRPr="0086242B">
        <w:rPr>
          <w:rFonts w:ascii="ITC Avant Garde" w:hAnsi="ITC Avant Garde"/>
          <w:sz w:val="20"/>
          <w:szCs w:val="20"/>
        </w:rPr>
        <w:t>xima radiaci</w:t>
      </w:r>
      <w:r w:rsidRPr="0086242B">
        <w:rPr>
          <w:rFonts w:ascii="ITC Avant Garde" w:hAnsi="ITC Avant Garde" w:cs="ITC Avant Garde"/>
          <w:sz w:val="20"/>
          <w:szCs w:val="20"/>
        </w:rPr>
        <w:t>ó</w:t>
      </w:r>
      <w:r w:rsidRPr="0086242B">
        <w:rPr>
          <w:rFonts w:ascii="ITC Avant Garde" w:hAnsi="ITC Avant Garde"/>
          <w:sz w:val="20"/>
          <w:szCs w:val="20"/>
        </w:rPr>
        <w:t>n. Expresado lo anterior en términos del factor de potencia radiada, se tiene lo siguiente:</w:t>
      </w:r>
    </w:p>
    <w:p w14:paraId="04125565" w14:textId="77777777" w:rsidR="006B595F" w:rsidRPr="0086242B" w:rsidRDefault="006B595F" w:rsidP="006B595F">
      <w:pPr>
        <w:ind w:left="709"/>
        <w:jc w:val="both"/>
        <w:rPr>
          <w:rFonts w:ascii="ITC Avant Garde" w:hAnsi="ITC Avant Garde"/>
          <w:sz w:val="22"/>
          <w:szCs w:val="22"/>
        </w:rPr>
      </w:pPr>
    </w:p>
    <w:p w14:paraId="4E62BB4A" w14:textId="77777777" w:rsidR="006B595F" w:rsidRPr="0086242B" w:rsidRDefault="006B595F" w:rsidP="006B595F">
      <w:pPr>
        <w:pStyle w:val="Ecuacin"/>
        <w:ind w:left="709"/>
        <w:rPr>
          <w:rFonts w:ascii="ITC Avant Garde" w:hAnsi="ITC Avant Garde"/>
          <w:sz w:val="20"/>
          <w:szCs w:val="20"/>
        </w:rPr>
      </w:pPr>
      <w:r w:rsidRPr="0086242B">
        <w:rPr>
          <w:rFonts w:ascii="ITC Avant Garde" w:hAnsi="ITC Avant Garde"/>
          <w:sz w:val="22"/>
          <w:szCs w:val="22"/>
        </w:rPr>
        <w:tab/>
      </w:r>
      <w:r w:rsidR="00672004">
        <w:rPr>
          <w:rFonts w:ascii="ITC Avant Garde" w:hAnsi="ITC Avant Garde"/>
          <w:noProof/>
          <w:position w:val="-26"/>
          <w:sz w:val="22"/>
          <w:szCs w:val="22"/>
          <w:lang w:val="es-MX" w:eastAsia="es-MX"/>
        </w:rPr>
        <w:drawing>
          <wp:inline distT="0" distB="0" distL="0" distR="0" wp14:anchorId="3F2E0D22" wp14:editId="64BAA3EC">
            <wp:extent cx="2767965" cy="395605"/>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7965" cy="395605"/>
                    </a:xfrm>
                    <a:prstGeom prst="rect">
                      <a:avLst/>
                    </a:prstGeom>
                    <a:noFill/>
                    <a:ln>
                      <a:noFill/>
                    </a:ln>
                  </pic:spPr>
                </pic:pic>
              </a:graphicData>
            </a:graphic>
          </wp:inline>
        </w:drawing>
      </w:r>
      <w:r w:rsidRPr="0086242B">
        <w:rPr>
          <w:rFonts w:ascii="ITC Avant Garde" w:hAnsi="ITC Avant Garde"/>
          <w:sz w:val="22"/>
          <w:szCs w:val="22"/>
        </w:rPr>
        <w:tab/>
      </w:r>
      <w:r w:rsidRPr="0086242B">
        <w:rPr>
          <w:rFonts w:ascii="ITC Avant Garde" w:hAnsi="ITC Avant Garde"/>
          <w:sz w:val="20"/>
          <w:szCs w:val="20"/>
        </w:rPr>
        <w:t>(23)</w:t>
      </w:r>
    </w:p>
    <w:p w14:paraId="3CB7D72E" w14:textId="77777777" w:rsidR="006B595F" w:rsidRPr="0086242B" w:rsidRDefault="006B595F" w:rsidP="006B595F">
      <w:pPr>
        <w:ind w:left="709"/>
        <w:jc w:val="center"/>
        <w:rPr>
          <w:rFonts w:ascii="ITC Avant Garde" w:hAnsi="ITC Avant Garde"/>
          <w:sz w:val="22"/>
          <w:szCs w:val="22"/>
        </w:rPr>
      </w:pPr>
    </w:p>
    <w:p w14:paraId="73C6DC9F" w14:textId="77777777" w:rsidR="006B595F" w:rsidRPr="0086242B" w:rsidRDefault="006B595F" w:rsidP="006B595F">
      <w:pPr>
        <w:jc w:val="both"/>
        <w:rPr>
          <w:rFonts w:ascii="ITC Avant Garde" w:hAnsi="ITC Avant Garde"/>
          <w:sz w:val="20"/>
          <w:szCs w:val="20"/>
        </w:rPr>
      </w:pPr>
      <w:r w:rsidRPr="0086242B">
        <w:rPr>
          <w:rFonts w:ascii="ITC Avant Garde" w:hAnsi="ITC Avant Garde"/>
          <w:sz w:val="20"/>
          <w:szCs w:val="20"/>
        </w:rPr>
        <w:t xml:space="preserve">Despejando el factor que se tendría para </w:t>
      </w:r>
      <w:r w:rsidRPr="0086242B">
        <w:rPr>
          <w:rFonts w:ascii="Calibri" w:hAnsi="Calibri" w:cs="Calibri"/>
          <w:sz w:val="20"/>
          <w:szCs w:val="20"/>
        </w:rPr>
        <w:t>θ</w:t>
      </w:r>
      <w:r w:rsidRPr="0086242B">
        <w:rPr>
          <w:rFonts w:ascii="ITC Avant Garde" w:hAnsi="ITC Avant Garde"/>
          <w:sz w:val="20"/>
          <w:szCs w:val="20"/>
        </w:rPr>
        <w:t>=167</w:t>
      </w:r>
      <w:r w:rsidRPr="0086242B">
        <w:rPr>
          <w:rFonts w:ascii="ITC Avant Garde" w:hAnsi="ITC Avant Garde" w:cs="ITC Avant Garde"/>
          <w:sz w:val="20"/>
          <w:szCs w:val="20"/>
        </w:rPr>
        <w:t>˚</w:t>
      </w:r>
      <w:r w:rsidRPr="0086242B">
        <w:rPr>
          <w:rFonts w:ascii="ITC Avant Garde" w:hAnsi="ITC Avant Garde"/>
          <w:sz w:val="20"/>
          <w:szCs w:val="20"/>
        </w:rPr>
        <w:t xml:space="preserve"> se obtiene:</w:t>
      </w:r>
    </w:p>
    <w:p w14:paraId="2F0AA298" w14:textId="77777777" w:rsidR="006B595F" w:rsidRPr="0086242B" w:rsidRDefault="006B595F" w:rsidP="006B595F">
      <w:pPr>
        <w:ind w:left="709"/>
        <w:jc w:val="both"/>
        <w:rPr>
          <w:rFonts w:ascii="ITC Avant Garde" w:hAnsi="ITC Avant Garde"/>
          <w:sz w:val="22"/>
          <w:szCs w:val="22"/>
        </w:rPr>
      </w:pPr>
    </w:p>
    <w:p w14:paraId="460C6B2C" w14:textId="77777777" w:rsidR="006B595F" w:rsidRPr="0086242B" w:rsidRDefault="006B595F" w:rsidP="006B595F">
      <w:pPr>
        <w:pStyle w:val="Ecuacin"/>
        <w:ind w:left="709"/>
        <w:rPr>
          <w:rFonts w:ascii="ITC Avant Garde" w:hAnsi="ITC Avant Garde"/>
          <w:sz w:val="20"/>
          <w:szCs w:val="20"/>
        </w:rPr>
      </w:pPr>
      <w:r w:rsidRPr="0086242B">
        <w:rPr>
          <w:rFonts w:ascii="ITC Avant Garde" w:hAnsi="ITC Avant Garde"/>
          <w:sz w:val="22"/>
          <w:szCs w:val="22"/>
        </w:rPr>
        <w:tab/>
      </w:r>
      <w:bookmarkStart w:id="42" w:name="_Ref119390141"/>
      <w:bookmarkStart w:id="43" w:name="_Ref119390163"/>
      <w:r w:rsidR="00672004">
        <w:rPr>
          <w:rFonts w:ascii="ITC Avant Garde" w:hAnsi="ITC Avant Garde"/>
          <w:noProof/>
          <w:position w:val="-26"/>
          <w:sz w:val="22"/>
          <w:szCs w:val="22"/>
          <w:lang w:val="es-MX" w:eastAsia="es-MX"/>
        </w:rPr>
        <w:drawing>
          <wp:inline distT="0" distB="0" distL="0" distR="0" wp14:anchorId="672F7504" wp14:editId="22A903F4">
            <wp:extent cx="2298065" cy="407670"/>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98065" cy="407670"/>
                    </a:xfrm>
                    <a:prstGeom prst="rect">
                      <a:avLst/>
                    </a:prstGeom>
                    <a:noFill/>
                    <a:ln>
                      <a:noFill/>
                    </a:ln>
                  </pic:spPr>
                </pic:pic>
              </a:graphicData>
            </a:graphic>
          </wp:inline>
        </w:drawing>
      </w:r>
      <w:bookmarkEnd w:id="42"/>
      <w:bookmarkEnd w:id="43"/>
      <w:r w:rsidRPr="0086242B">
        <w:rPr>
          <w:rFonts w:ascii="ITC Avant Garde" w:hAnsi="ITC Avant Garde"/>
          <w:sz w:val="22"/>
          <w:szCs w:val="22"/>
        </w:rPr>
        <w:tab/>
      </w:r>
      <w:r w:rsidRPr="0086242B">
        <w:rPr>
          <w:rFonts w:ascii="ITC Avant Garde" w:hAnsi="ITC Avant Garde"/>
          <w:sz w:val="20"/>
          <w:szCs w:val="20"/>
        </w:rPr>
        <w:t>(24)</w:t>
      </w:r>
    </w:p>
    <w:p w14:paraId="65785B89" w14:textId="77777777" w:rsidR="006B595F" w:rsidRPr="0086242B" w:rsidRDefault="006B595F" w:rsidP="006B595F">
      <w:pPr>
        <w:ind w:left="709"/>
        <w:jc w:val="center"/>
        <w:rPr>
          <w:rFonts w:ascii="ITC Avant Garde" w:hAnsi="ITC Avant Garde"/>
          <w:sz w:val="22"/>
          <w:szCs w:val="22"/>
        </w:rPr>
      </w:pPr>
    </w:p>
    <w:p w14:paraId="555C8DD4"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En este punto hay que hacer notar que la potencia isotrópica radiada equivalente (PIRE) no es lo mismo que la potencia radiada efectiva (PRE). La PIRE es la potencia referida a un radiador isotrópico ideal, mientras que la PRE es la potencia referida a un dipolo de media onda. La relación entre estas dos cantidades es la siguiente:</w:t>
      </w:r>
    </w:p>
    <w:p w14:paraId="5AB9EFE8" w14:textId="77777777" w:rsidR="006B595F" w:rsidRPr="0086242B" w:rsidRDefault="006B595F" w:rsidP="006B595F">
      <w:pPr>
        <w:ind w:left="709"/>
        <w:jc w:val="both"/>
        <w:rPr>
          <w:rFonts w:ascii="ITC Avant Garde" w:hAnsi="ITC Avant Garde"/>
          <w:sz w:val="22"/>
          <w:szCs w:val="22"/>
        </w:rPr>
      </w:pPr>
    </w:p>
    <w:p w14:paraId="2A3574B8" w14:textId="77777777" w:rsidR="006B595F" w:rsidRPr="0086242B" w:rsidRDefault="006B595F" w:rsidP="006B595F">
      <w:pPr>
        <w:pStyle w:val="Ecuacin"/>
        <w:ind w:left="709"/>
        <w:rPr>
          <w:rFonts w:ascii="ITC Avant Garde" w:hAnsi="ITC Avant Garde"/>
          <w:sz w:val="20"/>
          <w:szCs w:val="20"/>
        </w:rPr>
      </w:pPr>
      <w:r w:rsidRPr="0086242B">
        <w:rPr>
          <w:rFonts w:ascii="ITC Avant Garde" w:hAnsi="ITC Avant Garde"/>
          <w:sz w:val="22"/>
          <w:szCs w:val="22"/>
        </w:rPr>
        <w:tab/>
      </w:r>
      <w:bookmarkStart w:id="44" w:name="_Ref119389113"/>
      <w:r w:rsidR="00672004">
        <w:rPr>
          <w:rFonts w:ascii="ITC Avant Garde" w:hAnsi="ITC Avant Garde"/>
          <w:noProof/>
          <w:position w:val="-6"/>
          <w:sz w:val="22"/>
          <w:szCs w:val="22"/>
          <w:lang w:val="es-MX" w:eastAsia="es-MX"/>
        </w:rPr>
        <w:drawing>
          <wp:inline distT="0" distB="0" distL="0" distR="0" wp14:anchorId="490977E3" wp14:editId="0B492DEA">
            <wp:extent cx="1000760" cy="16065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0760" cy="160655"/>
                    </a:xfrm>
                    <a:prstGeom prst="rect">
                      <a:avLst/>
                    </a:prstGeom>
                    <a:noFill/>
                    <a:ln>
                      <a:noFill/>
                    </a:ln>
                  </pic:spPr>
                </pic:pic>
              </a:graphicData>
            </a:graphic>
          </wp:inline>
        </w:drawing>
      </w:r>
      <w:bookmarkEnd w:id="44"/>
      <w:r w:rsidRPr="0086242B">
        <w:rPr>
          <w:rFonts w:ascii="ITC Avant Garde" w:hAnsi="ITC Avant Garde"/>
          <w:sz w:val="22"/>
          <w:szCs w:val="22"/>
        </w:rPr>
        <w:tab/>
      </w:r>
      <w:r w:rsidRPr="0086242B">
        <w:rPr>
          <w:rFonts w:ascii="ITC Avant Garde" w:hAnsi="ITC Avant Garde"/>
          <w:sz w:val="20"/>
          <w:szCs w:val="20"/>
        </w:rPr>
        <w:t>(25)</w:t>
      </w:r>
    </w:p>
    <w:p w14:paraId="5FCB7DB9" w14:textId="77777777" w:rsidR="006B595F" w:rsidRPr="0086242B" w:rsidRDefault="006B595F" w:rsidP="006B595F">
      <w:pPr>
        <w:ind w:left="709"/>
        <w:jc w:val="both"/>
        <w:rPr>
          <w:rFonts w:ascii="ITC Avant Garde" w:hAnsi="ITC Avant Garde"/>
          <w:sz w:val="22"/>
          <w:szCs w:val="22"/>
        </w:rPr>
      </w:pPr>
    </w:p>
    <w:p w14:paraId="1CA31BF8"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Por otra parte, el coeficiente de reflexión es de un valor desconocido para este ejemplo y por ello se puede optar por introducir </w:t>
      </w:r>
      <w:r w:rsidR="00E14243" w:rsidRPr="00F02808">
        <w:rPr>
          <w:rFonts w:ascii="ITC Avant Garde" w:hAnsi="ITC Avant Garde"/>
          <w:sz w:val="20"/>
          <w:szCs w:val="20"/>
        </w:rPr>
        <w:t xml:space="preserve">el valor máximo de </w:t>
      </w:r>
      <w:r w:rsidR="00E14243" w:rsidRPr="00F02808">
        <w:rPr>
          <w:rFonts w:ascii="Calibri" w:hAnsi="Calibri" w:cs="Calibri"/>
          <w:sz w:val="20"/>
          <w:szCs w:val="20"/>
        </w:rPr>
        <w:t>ρ</w:t>
      </w:r>
      <w:r w:rsidR="00E14243" w:rsidRPr="00F02808">
        <w:rPr>
          <w:rFonts w:ascii="ITC Avant Garde" w:hAnsi="ITC Avant Garde"/>
          <w:sz w:val="20"/>
          <w:szCs w:val="20"/>
        </w:rPr>
        <w:t>=</w:t>
      </w:r>
      <w:r w:rsidR="00B475BC">
        <w:rPr>
          <w:rFonts w:ascii="ITC Avant Garde" w:hAnsi="ITC Avant Garde"/>
          <w:sz w:val="20"/>
          <w:szCs w:val="20"/>
        </w:rPr>
        <w:t>-</w:t>
      </w:r>
      <w:r w:rsidR="00E14243" w:rsidRPr="00F02808">
        <w:rPr>
          <w:rFonts w:ascii="ITC Avant Garde" w:hAnsi="ITC Avant Garde"/>
          <w:sz w:val="20"/>
          <w:szCs w:val="20"/>
        </w:rPr>
        <w:t>1 que implica una se</w:t>
      </w:r>
      <w:r w:rsidR="00E14243" w:rsidRPr="00F02808">
        <w:rPr>
          <w:rFonts w:ascii="ITC Avant Garde" w:hAnsi="ITC Avant Garde" w:cs="ITC Avant Garde"/>
          <w:sz w:val="20"/>
          <w:szCs w:val="20"/>
        </w:rPr>
        <w:t>ñ</w:t>
      </w:r>
      <w:r w:rsidR="00E14243" w:rsidRPr="00F02808">
        <w:rPr>
          <w:rFonts w:ascii="ITC Avant Garde" w:hAnsi="ITC Avant Garde"/>
          <w:sz w:val="20"/>
          <w:szCs w:val="20"/>
        </w:rPr>
        <w:t>al que se refleja totalmente en el suelo.</w:t>
      </w:r>
      <w:r w:rsidR="00E14243">
        <w:rPr>
          <w:rFonts w:ascii="ITC Avant Garde" w:hAnsi="ITC Avant Garde"/>
          <w:sz w:val="20"/>
          <w:szCs w:val="20"/>
        </w:rPr>
        <w:t xml:space="preserve"> </w:t>
      </w:r>
      <w:r w:rsidRPr="0086242B">
        <w:rPr>
          <w:rFonts w:ascii="ITC Avant Garde" w:hAnsi="ITC Avant Garde"/>
          <w:sz w:val="20"/>
          <w:szCs w:val="20"/>
        </w:rPr>
        <w:t xml:space="preserve">Sin embargo, como se mencionó anteriormente, un valor más aproximado al caso real de antenas montadas en una torre y zonas de exposición cercanas al suelo, sería de </w:t>
      </w:r>
      <w:r w:rsidRPr="0086242B">
        <w:rPr>
          <w:rFonts w:ascii="Calibri" w:hAnsi="Calibri" w:cs="Calibri"/>
          <w:sz w:val="20"/>
          <w:szCs w:val="20"/>
        </w:rPr>
        <w:t>ρ</w:t>
      </w:r>
      <w:r w:rsidRPr="0086242B">
        <w:rPr>
          <w:rFonts w:ascii="ITC Avant Garde" w:hAnsi="ITC Avant Garde"/>
          <w:sz w:val="20"/>
          <w:szCs w:val="20"/>
        </w:rPr>
        <w:t>=0.6. Introduciendo este valor en la ecuaci</w:t>
      </w:r>
      <w:r w:rsidRPr="0086242B">
        <w:rPr>
          <w:rFonts w:ascii="ITC Avant Garde" w:hAnsi="ITC Avant Garde" w:cs="ITC Avant Garde"/>
          <w:sz w:val="20"/>
          <w:szCs w:val="20"/>
        </w:rPr>
        <w:t>ó</w:t>
      </w:r>
      <w:r w:rsidRPr="0086242B">
        <w:rPr>
          <w:rFonts w:ascii="ITC Avant Garde" w:hAnsi="ITC Avant Garde"/>
          <w:sz w:val="20"/>
          <w:szCs w:val="20"/>
        </w:rPr>
        <w:t xml:space="preserve">n (1) y aplicando las </w:t>
      </w:r>
      <w:proofErr w:type="gramStart"/>
      <w:r w:rsidRPr="0086242B">
        <w:rPr>
          <w:rFonts w:ascii="ITC Avant Garde" w:hAnsi="ITC Avant Garde"/>
          <w:sz w:val="20"/>
          <w:szCs w:val="20"/>
        </w:rPr>
        <w:t>ecuaciones  (</w:t>
      </w:r>
      <w:proofErr w:type="gramEnd"/>
      <w:r w:rsidRPr="0086242B">
        <w:rPr>
          <w:rFonts w:ascii="ITC Avant Garde" w:hAnsi="ITC Avant Garde"/>
          <w:sz w:val="20"/>
          <w:szCs w:val="20"/>
        </w:rPr>
        <w:t>19), (24) y (25) se obtiene finalmente.</w:t>
      </w:r>
    </w:p>
    <w:p w14:paraId="3874B2F0" w14:textId="77777777" w:rsidR="006B595F" w:rsidRPr="0086242B" w:rsidRDefault="006B595F" w:rsidP="006B595F">
      <w:pPr>
        <w:ind w:left="709"/>
        <w:jc w:val="both"/>
        <w:rPr>
          <w:rFonts w:ascii="ITC Avant Garde" w:hAnsi="ITC Avant Garde"/>
          <w:sz w:val="22"/>
          <w:szCs w:val="22"/>
        </w:rPr>
      </w:pPr>
    </w:p>
    <w:p w14:paraId="700183B7" w14:textId="77777777" w:rsidR="006B595F" w:rsidRPr="0086242B" w:rsidRDefault="006B595F" w:rsidP="006B595F">
      <w:pPr>
        <w:pStyle w:val="Ecuacin"/>
        <w:ind w:left="709"/>
        <w:rPr>
          <w:rFonts w:ascii="ITC Avant Garde" w:hAnsi="ITC Avant Garde"/>
          <w:sz w:val="20"/>
          <w:szCs w:val="20"/>
        </w:rPr>
      </w:pPr>
      <w:r w:rsidRPr="0086242B">
        <w:rPr>
          <w:rFonts w:ascii="ITC Avant Garde" w:hAnsi="ITC Avant Garde"/>
          <w:sz w:val="22"/>
          <w:szCs w:val="22"/>
        </w:rPr>
        <w:tab/>
      </w:r>
      <w:r w:rsidR="00672004">
        <w:rPr>
          <w:rFonts w:ascii="ITC Avant Garde" w:hAnsi="ITC Avant Garde"/>
          <w:noProof/>
          <w:position w:val="-32"/>
          <w:sz w:val="22"/>
          <w:szCs w:val="22"/>
          <w:lang w:val="es-MX" w:eastAsia="es-MX"/>
        </w:rPr>
        <w:drawing>
          <wp:inline distT="0" distB="0" distL="0" distR="0" wp14:anchorId="11731372" wp14:editId="06BDC10D">
            <wp:extent cx="3274695" cy="481965"/>
            <wp:effectExtent l="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74695" cy="481965"/>
                    </a:xfrm>
                    <a:prstGeom prst="rect">
                      <a:avLst/>
                    </a:prstGeom>
                    <a:noFill/>
                    <a:ln>
                      <a:noFill/>
                    </a:ln>
                  </pic:spPr>
                </pic:pic>
              </a:graphicData>
            </a:graphic>
          </wp:inline>
        </w:drawing>
      </w:r>
      <w:r w:rsidRPr="0086242B">
        <w:rPr>
          <w:rFonts w:ascii="ITC Avant Garde" w:hAnsi="ITC Avant Garde"/>
          <w:sz w:val="22"/>
          <w:szCs w:val="22"/>
        </w:rPr>
        <w:tab/>
      </w:r>
      <w:r w:rsidRPr="0086242B">
        <w:rPr>
          <w:rFonts w:ascii="ITC Avant Garde" w:hAnsi="ITC Avant Garde"/>
          <w:sz w:val="20"/>
          <w:szCs w:val="20"/>
        </w:rPr>
        <w:t>(</w:t>
      </w:r>
      <w:r w:rsidRPr="0086242B">
        <w:rPr>
          <w:rFonts w:ascii="ITC Avant Garde" w:hAnsi="ITC Avant Garde"/>
          <w:sz w:val="20"/>
          <w:szCs w:val="20"/>
        </w:rPr>
        <w:fldChar w:fldCharType="begin"/>
      </w:r>
      <w:r w:rsidRPr="0086242B">
        <w:rPr>
          <w:rFonts w:ascii="ITC Avant Garde" w:hAnsi="ITC Avant Garde"/>
          <w:sz w:val="20"/>
          <w:szCs w:val="20"/>
        </w:rPr>
        <w:instrText xml:space="preserve"> SEQ ( \* ARABIC </w:instrText>
      </w:r>
      <w:r w:rsidRPr="0086242B">
        <w:rPr>
          <w:rFonts w:ascii="ITC Avant Garde" w:hAnsi="ITC Avant Garde"/>
          <w:sz w:val="20"/>
          <w:szCs w:val="20"/>
        </w:rPr>
        <w:fldChar w:fldCharType="separate"/>
      </w:r>
      <w:r w:rsidR="00992611">
        <w:rPr>
          <w:rFonts w:ascii="ITC Avant Garde" w:hAnsi="ITC Avant Garde"/>
          <w:noProof/>
          <w:sz w:val="20"/>
          <w:szCs w:val="20"/>
        </w:rPr>
        <w:t>2</w:t>
      </w:r>
      <w:r w:rsidRPr="0086242B">
        <w:rPr>
          <w:rFonts w:ascii="ITC Avant Garde" w:hAnsi="ITC Avant Garde"/>
          <w:sz w:val="20"/>
          <w:szCs w:val="20"/>
        </w:rPr>
        <w:fldChar w:fldCharType="end"/>
      </w:r>
      <w:r w:rsidRPr="0086242B">
        <w:rPr>
          <w:rFonts w:ascii="ITC Avant Garde" w:hAnsi="ITC Avant Garde"/>
          <w:sz w:val="20"/>
          <w:szCs w:val="20"/>
        </w:rPr>
        <w:t>6)</w:t>
      </w:r>
    </w:p>
    <w:p w14:paraId="0526FE38" w14:textId="77777777" w:rsidR="006B595F" w:rsidRPr="0086242B" w:rsidRDefault="006B595F" w:rsidP="006B595F">
      <w:pPr>
        <w:ind w:left="709"/>
        <w:rPr>
          <w:rFonts w:ascii="ITC Avant Garde" w:hAnsi="ITC Avant Garde"/>
          <w:sz w:val="22"/>
          <w:szCs w:val="22"/>
        </w:rPr>
      </w:pPr>
    </w:p>
    <w:p w14:paraId="43F34BD6"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Si se consulta el límite de referencia máximo de la </w:t>
      </w:r>
      <w:r w:rsidRPr="0086242B">
        <w:rPr>
          <w:rFonts w:ascii="ITC Avant Garde" w:hAnsi="ITC Avant Garde"/>
          <w:sz w:val="20"/>
          <w:szCs w:val="20"/>
        </w:rPr>
        <w:fldChar w:fldCharType="begin"/>
      </w:r>
      <w:r w:rsidRPr="0086242B">
        <w:rPr>
          <w:rFonts w:ascii="ITC Avant Garde" w:hAnsi="ITC Avant Garde"/>
          <w:sz w:val="20"/>
          <w:szCs w:val="20"/>
        </w:rPr>
        <w:instrText xml:space="preserve"> REF _Ref119388040  \* MERGEFORMAT </w:instrText>
      </w:r>
      <w:r w:rsidRPr="0086242B">
        <w:rPr>
          <w:rFonts w:ascii="ITC Avant Garde" w:hAnsi="ITC Avant Garde"/>
          <w:sz w:val="20"/>
          <w:szCs w:val="20"/>
        </w:rPr>
        <w:fldChar w:fldCharType="separate"/>
      </w:r>
      <w:r w:rsidR="00992611" w:rsidRPr="00992611">
        <w:rPr>
          <w:rFonts w:ascii="ITC Avant Garde" w:hAnsi="ITC Avant Garde"/>
          <w:sz w:val="20"/>
          <w:szCs w:val="20"/>
        </w:rPr>
        <w:t>Tabla 2</w:t>
      </w:r>
      <w:r w:rsidRPr="0086242B">
        <w:rPr>
          <w:rFonts w:ascii="ITC Avant Garde" w:hAnsi="ITC Avant Garde"/>
          <w:sz w:val="20"/>
          <w:szCs w:val="20"/>
        </w:rPr>
        <w:fldChar w:fldCharType="end"/>
      </w:r>
      <w:r w:rsidRPr="0086242B">
        <w:rPr>
          <w:rFonts w:ascii="ITC Avant Garde" w:hAnsi="ITC Avant Garde"/>
          <w:sz w:val="20"/>
          <w:szCs w:val="20"/>
        </w:rPr>
        <w:t xml:space="preserve"> que aplica para la frecuencia de 107.3 MHz, se observa que éste se ubica en 2 W/m</w:t>
      </w:r>
      <w:r w:rsidRPr="0086242B">
        <w:rPr>
          <w:rFonts w:ascii="ITC Avant Garde" w:hAnsi="ITC Avant Garde"/>
          <w:sz w:val="20"/>
          <w:szCs w:val="20"/>
          <w:vertAlign w:val="superscript"/>
        </w:rPr>
        <w:t>2</w:t>
      </w:r>
      <w:r w:rsidRPr="0086242B">
        <w:rPr>
          <w:rFonts w:ascii="ITC Avant Garde" w:hAnsi="ITC Avant Garde"/>
          <w:sz w:val="20"/>
          <w:szCs w:val="20"/>
        </w:rPr>
        <w:t>. Por lo tanto, el valor de densidad de potencia que produce el sistema de radiodifusión de FM en el punto donde se encuentra la persona de este ejemplo, es alrededor de 66 veces menor al límite establecido.</w:t>
      </w:r>
    </w:p>
    <w:p w14:paraId="67B131FF" w14:textId="77777777" w:rsidR="006B595F" w:rsidRPr="0086242B" w:rsidRDefault="006B595F" w:rsidP="006B595F">
      <w:pPr>
        <w:jc w:val="both"/>
        <w:rPr>
          <w:rFonts w:ascii="ITC Avant Garde" w:hAnsi="ITC Avant Garde"/>
        </w:rPr>
      </w:pPr>
    </w:p>
    <w:p w14:paraId="13D7FB00" w14:textId="77777777" w:rsidR="006B595F" w:rsidRPr="0086242B" w:rsidRDefault="006B595F" w:rsidP="006B595F">
      <w:pPr>
        <w:jc w:val="both"/>
        <w:rPr>
          <w:rFonts w:ascii="ITC Avant Garde" w:hAnsi="ITC Avant Garde"/>
          <w:sz w:val="20"/>
          <w:szCs w:val="20"/>
        </w:rPr>
      </w:pPr>
      <w:r w:rsidRPr="0086242B">
        <w:rPr>
          <w:rFonts w:ascii="ITC Avant Garde" w:hAnsi="ITC Avant Garde"/>
          <w:sz w:val="20"/>
          <w:szCs w:val="20"/>
        </w:rPr>
        <w:t>Considérese ahora un segundo ejemplo hipotético mostrado esquemáticamente en el diagrama de la Figura 15.</w:t>
      </w:r>
    </w:p>
    <w:p w14:paraId="5FC4F009" w14:textId="77777777" w:rsidR="006B595F" w:rsidRPr="0086242B" w:rsidRDefault="006B595F" w:rsidP="006B595F">
      <w:pPr>
        <w:jc w:val="both"/>
        <w:rPr>
          <w:rFonts w:ascii="ITC Avant Garde" w:hAnsi="ITC Avant Garde"/>
        </w:rPr>
      </w:pPr>
    </w:p>
    <w:p w14:paraId="21397C96" w14:textId="77777777" w:rsidR="006B595F" w:rsidRPr="0086242B" w:rsidRDefault="00672004" w:rsidP="006B595F">
      <w:pPr>
        <w:ind w:left="709"/>
        <w:jc w:val="center"/>
        <w:rPr>
          <w:rFonts w:ascii="ITC Avant Garde" w:hAnsi="ITC Avant Garde"/>
          <w:sz w:val="22"/>
          <w:szCs w:val="22"/>
        </w:rPr>
      </w:pPr>
      <w:r>
        <w:rPr>
          <w:rFonts w:ascii="ITC Avant Garde" w:hAnsi="ITC Avant Garde"/>
          <w:noProof/>
          <w:sz w:val="22"/>
          <w:szCs w:val="22"/>
          <w:lang w:val="es-MX" w:eastAsia="es-MX"/>
        </w:rPr>
        <w:drawing>
          <wp:anchor distT="0" distB="0" distL="114300" distR="114300" simplePos="0" relativeHeight="251658240" behindDoc="0" locked="0" layoutInCell="1" allowOverlap="1" wp14:anchorId="38A3D1E3" wp14:editId="7FB7B3D9">
            <wp:simplePos x="0" y="0"/>
            <wp:positionH relativeFrom="column">
              <wp:posOffset>3544570</wp:posOffset>
            </wp:positionH>
            <wp:positionV relativeFrom="paragraph">
              <wp:posOffset>105410</wp:posOffset>
            </wp:positionV>
            <wp:extent cx="82550" cy="271145"/>
            <wp:effectExtent l="0" t="0" r="0" b="0"/>
            <wp:wrapNone/>
            <wp:docPr id="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550" cy="271145"/>
                    </a:xfrm>
                    <a:prstGeom prst="rect">
                      <a:avLst/>
                    </a:prstGeom>
                    <a:noFill/>
                  </pic:spPr>
                </pic:pic>
              </a:graphicData>
            </a:graphic>
            <wp14:sizeRelH relativeFrom="page">
              <wp14:pctWidth>0</wp14:pctWidth>
            </wp14:sizeRelH>
            <wp14:sizeRelV relativeFrom="page">
              <wp14:pctHeight>0</wp14:pctHeight>
            </wp14:sizeRelV>
          </wp:anchor>
        </w:drawing>
      </w:r>
      <w:r w:rsidR="006B595F" w:rsidRPr="0086242B">
        <w:rPr>
          <w:rFonts w:ascii="ITC Avant Garde" w:hAnsi="ITC Avant Garde"/>
          <w:sz w:val="22"/>
          <w:szCs w:val="22"/>
        </w:rPr>
        <w:t xml:space="preserve"> </w:t>
      </w:r>
      <w:r>
        <w:rPr>
          <w:rFonts w:ascii="ITC Avant Garde" w:hAnsi="ITC Avant Garde"/>
          <w:noProof/>
          <w:sz w:val="22"/>
          <w:szCs w:val="22"/>
          <w:lang w:val="es-MX" w:eastAsia="es-MX"/>
        </w:rPr>
        <w:drawing>
          <wp:inline distT="0" distB="0" distL="0" distR="0" wp14:anchorId="457B897D" wp14:editId="2F564B6A">
            <wp:extent cx="2792730" cy="19646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l="12825" t="18700" r="18533" b="6526"/>
                    <a:stretch>
                      <a:fillRect/>
                    </a:stretch>
                  </pic:blipFill>
                  <pic:spPr bwMode="auto">
                    <a:xfrm>
                      <a:off x="0" y="0"/>
                      <a:ext cx="2792730" cy="1964690"/>
                    </a:xfrm>
                    <a:prstGeom prst="rect">
                      <a:avLst/>
                    </a:prstGeom>
                    <a:noFill/>
                    <a:ln>
                      <a:noFill/>
                    </a:ln>
                  </pic:spPr>
                </pic:pic>
              </a:graphicData>
            </a:graphic>
          </wp:inline>
        </w:drawing>
      </w:r>
    </w:p>
    <w:p w14:paraId="356D4EE0" w14:textId="77777777" w:rsidR="006B595F" w:rsidRPr="0086242B" w:rsidRDefault="006B595F" w:rsidP="006B595F">
      <w:pPr>
        <w:pStyle w:val="Descripcin"/>
        <w:ind w:left="709"/>
        <w:jc w:val="center"/>
        <w:rPr>
          <w:rFonts w:ascii="ITC Avant Garde" w:hAnsi="ITC Avant Garde"/>
          <w:b w:val="0"/>
          <w:sz w:val="22"/>
          <w:szCs w:val="22"/>
        </w:rPr>
      </w:pPr>
      <w:bookmarkStart w:id="45" w:name="_Ref119392817"/>
      <w:bookmarkEnd w:id="45"/>
      <w:r w:rsidRPr="0086242B">
        <w:rPr>
          <w:rFonts w:ascii="ITC Avant Garde" w:hAnsi="ITC Avant Garde"/>
          <w:b w:val="0"/>
        </w:rPr>
        <w:t>Figura 15.- Nivel de exposición a una distancia próxima a una antena de</w:t>
      </w:r>
      <w:r w:rsidRPr="0086242B">
        <w:rPr>
          <w:rFonts w:ascii="ITC Avant Garde" w:hAnsi="ITC Avant Garde"/>
          <w:b w:val="0"/>
          <w:sz w:val="22"/>
          <w:szCs w:val="22"/>
        </w:rPr>
        <w:t xml:space="preserve"> </w:t>
      </w:r>
      <w:r w:rsidRPr="0086242B">
        <w:rPr>
          <w:rFonts w:ascii="ITC Avant Garde" w:hAnsi="ITC Avant Garde"/>
          <w:b w:val="0"/>
        </w:rPr>
        <w:t>telefonía celular.</w:t>
      </w:r>
    </w:p>
    <w:p w14:paraId="3D77ACAF" w14:textId="77777777" w:rsidR="006B595F" w:rsidRPr="0086242B" w:rsidRDefault="006B595F" w:rsidP="006B595F">
      <w:pPr>
        <w:ind w:left="709"/>
        <w:jc w:val="center"/>
        <w:rPr>
          <w:rFonts w:ascii="ITC Avant Garde" w:hAnsi="ITC Avant Garde"/>
          <w:sz w:val="22"/>
          <w:szCs w:val="22"/>
        </w:rPr>
      </w:pPr>
    </w:p>
    <w:p w14:paraId="33289017"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En este ejemplo se supone que en el techo del edificio de la izquierda se montan antenas de telefonía celular en forma de panel, trabajando a la frecuencia central de 885 MHz. Las antenas se alimentan con una potencia de entrada de 2 W, tienen una ganancia de 13 </w:t>
      </w:r>
      <w:proofErr w:type="spellStart"/>
      <w:r w:rsidRPr="0086242B">
        <w:rPr>
          <w:rFonts w:ascii="ITC Avant Garde" w:hAnsi="ITC Avant Garde"/>
          <w:sz w:val="20"/>
          <w:szCs w:val="20"/>
        </w:rPr>
        <w:t>dBi</w:t>
      </w:r>
      <w:proofErr w:type="spellEnd"/>
      <w:r w:rsidRPr="0086242B">
        <w:rPr>
          <w:rFonts w:ascii="ITC Avant Garde" w:hAnsi="ITC Avant Garde"/>
          <w:sz w:val="20"/>
          <w:szCs w:val="20"/>
        </w:rPr>
        <w:t xml:space="preserve"> y sus patrones de radiación vertical y horizontal son los que se muestran en la Figura 16. Si una persona se coloca en el techo del edificio adyacente de la derecha y su cabeza se encuentra exactamente enfrente de uno de los paneles, en la dirección de máxima radiación de ese panel, alejado 3 metros de éste, el nivel de exposición se puede calcular de la siguiente manera.</w:t>
      </w:r>
    </w:p>
    <w:p w14:paraId="362C8604" w14:textId="77777777" w:rsidR="006B595F" w:rsidRPr="0086242B" w:rsidRDefault="006B595F" w:rsidP="006B595F">
      <w:pPr>
        <w:ind w:left="709"/>
        <w:jc w:val="both"/>
        <w:rPr>
          <w:rFonts w:ascii="ITC Avant Garde" w:hAnsi="ITC Avant Garde"/>
          <w:sz w:val="22"/>
          <w:szCs w:val="22"/>
        </w:rPr>
      </w:pPr>
    </w:p>
    <w:p w14:paraId="651E221D" w14:textId="77777777" w:rsidR="006B595F" w:rsidRPr="0086242B" w:rsidRDefault="006B595F" w:rsidP="006B595F">
      <w:pPr>
        <w:ind w:left="709"/>
        <w:jc w:val="center"/>
        <w:rPr>
          <w:rFonts w:ascii="ITC Avant Garde" w:hAnsi="ITC Avant Garde"/>
          <w:sz w:val="22"/>
          <w:szCs w:val="22"/>
        </w:rPr>
      </w:pPr>
      <w:r w:rsidRPr="0086242B">
        <w:rPr>
          <w:rFonts w:ascii="ITC Avant Garde" w:hAnsi="ITC Avant Garde"/>
          <w:noProof/>
          <w:sz w:val="22"/>
          <w:szCs w:val="22"/>
          <w:lang w:val="es-MX" w:eastAsia="es-MX"/>
        </w:rPr>
        <w:drawing>
          <wp:inline distT="0" distB="0" distL="0" distR="0" wp14:anchorId="1C97F488" wp14:editId="0C8CC2C7">
            <wp:extent cx="1701800" cy="166179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01800" cy="1661795"/>
                    </a:xfrm>
                    <a:prstGeom prst="rect">
                      <a:avLst/>
                    </a:prstGeom>
                    <a:noFill/>
                    <a:ln>
                      <a:noFill/>
                    </a:ln>
                  </pic:spPr>
                </pic:pic>
              </a:graphicData>
            </a:graphic>
          </wp:inline>
        </w:drawing>
      </w:r>
      <w:r w:rsidRPr="0086242B">
        <w:rPr>
          <w:rFonts w:ascii="ITC Avant Garde" w:hAnsi="ITC Avant Garde"/>
          <w:sz w:val="22"/>
          <w:szCs w:val="22"/>
        </w:rPr>
        <w:tab/>
      </w:r>
      <w:r w:rsidRPr="0086242B">
        <w:rPr>
          <w:rFonts w:ascii="ITC Avant Garde" w:hAnsi="ITC Avant Garde"/>
          <w:sz w:val="22"/>
          <w:szCs w:val="22"/>
        </w:rPr>
        <w:tab/>
      </w:r>
      <w:r w:rsidRPr="0086242B">
        <w:rPr>
          <w:rFonts w:ascii="ITC Avant Garde" w:hAnsi="ITC Avant Garde"/>
          <w:noProof/>
          <w:sz w:val="22"/>
          <w:szCs w:val="22"/>
          <w:lang w:val="es-MX" w:eastAsia="es-MX"/>
        </w:rPr>
        <w:drawing>
          <wp:inline distT="0" distB="0" distL="0" distR="0" wp14:anchorId="0F18F6B5" wp14:editId="4BBD29E3">
            <wp:extent cx="1637665" cy="1621790"/>
            <wp:effectExtent l="0" t="0" r="0" b="381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37665" cy="1621790"/>
                    </a:xfrm>
                    <a:prstGeom prst="rect">
                      <a:avLst/>
                    </a:prstGeom>
                    <a:noFill/>
                    <a:ln>
                      <a:noFill/>
                    </a:ln>
                  </pic:spPr>
                </pic:pic>
              </a:graphicData>
            </a:graphic>
          </wp:inline>
        </w:drawing>
      </w:r>
    </w:p>
    <w:p w14:paraId="500FAA7F" w14:textId="77777777" w:rsidR="006B595F" w:rsidRPr="0086242B" w:rsidRDefault="006B595F" w:rsidP="006B595F">
      <w:pPr>
        <w:ind w:left="709"/>
        <w:jc w:val="both"/>
        <w:rPr>
          <w:rFonts w:ascii="ITC Avant Garde" w:hAnsi="ITC Avant Garde"/>
          <w:sz w:val="22"/>
          <w:szCs w:val="22"/>
        </w:rPr>
      </w:pPr>
      <w:r w:rsidRPr="0086242B">
        <w:rPr>
          <w:rFonts w:ascii="ITC Avant Garde" w:hAnsi="ITC Avant Garde"/>
          <w:sz w:val="22"/>
          <w:szCs w:val="22"/>
        </w:rPr>
        <w:tab/>
      </w:r>
      <w:r w:rsidRPr="0086242B">
        <w:rPr>
          <w:rFonts w:ascii="ITC Avant Garde" w:hAnsi="ITC Avant Garde"/>
          <w:sz w:val="22"/>
          <w:szCs w:val="22"/>
        </w:rPr>
        <w:tab/>
      </w:r>
      <w:r w:rsidRPr="0086242B">
        <w:rPr>
          <w:rFonts w:ascii="ITC Avant Garde" w:hAnsi="ITC Avant Garde"/>
          <w:sz w:val="22"/>
          <w:szCs w:val="22"/>
        </w:rPr>
        <w:tab/>
        <w:t xml:space="preserve">  (a)</w:t>
      </w:r>
      <w:r w:rsidRPr="0086242B">
        <w:rPr>
          <w:rFonts w:ascii="ITC Avant Garde" w:hAnsi="ITC Avant Garde"/>
          <w:sz w:val="22"/>
          <w:szCs w:val="22"/>
        </w:rPr>
        <w:tab/>
      </w:r>
      <w:r w:rsidRPr="0086242B">
        <w:rPr>
          <w:rFonts w:ascii="ITC Avant Garde" w:hAnsi="ITC Avant Garde"/>
          <w:sz w:val="22"/>
          <w:szCs w:val="22"/>
        </w:rPr>
        <w:tab/>
      </w:r>
      <w:r w:rsidRPr="0086242B">
        <w:rPr>
          <w:rFonts w:ascii="ITC Avant Garde" w:hAnsi="ITC Avant Garde"/>
          <w:sz w:val="22"/>
          <w:szCs w:val="22"/>
        </w:rPr>
        <w:tab/>
      </w:r>
      <w:r w:rsidRPr="0086242B">
        <w:rPr>
          <w:rFonts w:ascii="ITC Avant Garde" w:hAnsi="ITC Avant Garde"/>
          <w:sz w:val="22"/>
          <w:szCs w:val="22"/>
        </w:rPr>
        <w:tab/>
      </w:r>
      <w:r w:rsidRPr="0086242B">
        <w:rPr>
          <w:rFonts w:ascii="ITC Avant Garde" w:hAnsi="ITC Avant Garde"/>
          <w:sz w:val="22"/>
          <w:szCs w:val="22"/>
        </w:rPr>
        <w:tab/>
        <w:t xml:space="preserve"> (b)</w:t>
      </w:r>
    </w:p>
    <w:p w14:paraId="040C9C90" w14:textId="77777777" w:rsidR="006B595F" w:rsidRPr="0086242B" w:rsidRDefault="006B595F" w:rsidP="006B595F">
      <w:pPr>
        <w:pStyle w:val="Descripcin"/>
        <w:spacing w:before="0" w:after="0"/>
        <w:ind w:left="709"/>
        <w:jc w:val="center"/>
        <w:rPr>
          <w:rFonts w:ascii="ITC Avant Garde" w:hAnsi="ITC Avant Garde"/>
          <w:b w:val="0"/>
          <w:sz w:val="22"/>
          <w:szCs w:val="22"/>
        </w:rPr>
      </w:pPr>
      <w:bookmarkStart w:id="46" w:name="_Ref119397144"/>
    </w:p>
    <w:bookmarkEnd w:id="46"/>
    <w:p w14:paraId="72DEEC4B" w14:textId="77777777" w:rsidR="006B595F" w:rsidRPr="0086242B" w:rsidRDefault="006B595F" w:rsidP="006B595F">
      <w:pPr>
        <w:pStyle w:val="Descripcin"/>
        <w:spacing w:before="0" w:after="0" w:line="360" w:lineRule="auto"/>
        <w:ind w:left="709"/>
        <w:jc w:val="center"/>
        <w:rPr>
          <w:rFonts w:ascii="ITC Avant Garde" w:hAnsi="ITC Avant Garde"/>
          <w:b w:val="0"/>
        </w:rPr>
      </w:pPr>
      <w:r w:rsidRPr="0086242B">
        <w:rPr>
          <w:rFonts w:ascii="ITC Avant Garde" w:hAnsi="ITC Avant Garde"/>
          <w:b w:val="0"/>
        </w:rPr>
        <w:t>Figura 16.- Patrones de radiación vertical (a) y horizontal (b)</w:t>
      </w:r>
    </w:p>
    <w:p w14:paraId="6D1BEAFC" w14:textId="77777777" w:rsidR="006B595F" w:rsidRPr="0086242B" w:rsidRDefault="006B595F" w:rsidP="006B595F">
      <w:pPr>
        <w:pStyle w:val="Descripcin"/>
        <w:spacing w:before="0" w:after="0" w:line="360" w:lineRule="auto"/>
        <w:ind w:left="709"/>
        <w:jc w:val="center"/>
        <w:rPr>
          <w:rFonts w:ascii="ITC Avant Garde" w:hAnsi="ITC Avant Garde"/>
          <w:b w:val="0"/>
        </w:rPr>
      </w:pPr>
      <w:proofErr w:type="gramStart"/>
      <w:r w:rsidRPr="0086242B">
        <w:rPr>
          <w:rFonts w:ascii="ITC Avant Garde" w:hAnsi="ITC Avant Garde"/>
          <w:b w:val="0"/>
        </w:rPr>
        <w:t>de</w:t>
      </w:r>
      <w:proofErr w:type="gramEnd"/>
      <w:r w:rsidRPr="0086242B">
        <w:rPr>
          <w:rFonts w:ascii="ITC Avant Garde" w:hAnsi="ITC Avant Garde"/>
          <w:b w:val="0"/>
        </w:rPr>
        <w:t xml:space="preserve"> una antena típica de telefonía celular.</w:t>
      </w:r>
    </w:p>
    <w:p w14:paraId="6312BB8F" w14:textId="77777777" w:rsidR="006B595F" w:rsidRPr="0086242B" w:rsidRDefault="006B595F" w:rsidP="006B595F">
      <w:pPr>
        <w:rPr>
          <w:rFonts w:ascii="ITC Avant Garde" w:hAnsi="ITC Avant Garde"/>
        </w:rPr>
      </w:pPr>
    </w:p>
    <w:p w14:paraId="60B23A15"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En primer término se determina si se cumple la condición de campo lejano. Normalmente, este tipo de paneles para estaciones base de telefonía celular contiene un arreglo de antenas, cada una de dimensiones cercanas a una longitud de onda. Si la dimensión más grande de cada antena del arreglo fuera de media longitud de onda, la frontera más allá de la cual se cumple la condición de campo lejano sería precisamente de </w:t>
      </w:r>
      <w:r w:rsidRPr="0086242B">
        <w:rPr>
          <w:rFonts w:ascii="Calibri" w:hAnsi="Calibri" w:cs="Calibri"/>
          <w:sz w:val="20"/>
          <w:szCs w:val="20"/>
        </w:rPr>
        <w:t>λ</w:t>
      </w:r>
      <w:r w:rsidRPr="0086242B">
        <w:rPr>
          <w:rFonts w:ascii="ITC Avant Garde" w:hAnsi="ITC Avant Garde"/>
          <w:sz w:val="20"/>
          <w:szCs w:val="20"/>
        </w:rPr>
        <w:t>/2, como se obtiene de la ecuaci</w:t>
      </w:r>
      <w:r w:rsidRPr="0086242B">
        <w:rPr>
          <w:rFonts w:ascii="ITC Avant Garde" w:hAnsi="ITC Avant Garde" w:cs="ITC Avant Garde"/>
          <w:sz w:val="20"/>
          <w:szCs w:val="20"/>
        </w:rPr>
        <w:t>ó</w:t>
      </w:r>
      <w:r w:rsidRPr="0086242B">
        <w:rPr>
          <w:rFonts w:ascii="ITC Avant Garde" w:hAnsi="ITC Avant Garde"/>
          <w:sz w:val="20"/>
          <w:szCs w:val="20"/>
        </w:rPr>
        <w:t>n (20). En este caso que se est</w:t>
      </w:r>
      <w:r w:rsidRPr="0086242B">
        <w:rPr>
          <w:rFonts w:ascii="ITC Avant Garde" w:hAnsi="ITC Avant Garde" w:cs="ITC Avant Garde"/>
          <w:sz w:val="20"/>
          <w:szCs w:val="20"/>
        </w:rPr>
        <w:t>á</w:t>
      </w:r>
      <w:r w:rsidRPr="0086242B">
        <w:rPr>
          <w:rFonts w:ascii="ITC Avant Garde" w:hAnsi="ITC Avant Garde"/>
          <w:sz w:val="20"/>
          <w:szCs w:val="20"/>
        </w:rPr>
        <w:t xml:space="preserve"> trabajando a una frecuencia de 885 MHz, la frontera de campo lejano sería:</w:t>
      </w:r>
    </w:p>
    <w:p w14:paraId="306B2F5E" w14:textId="77777777" w:rsidR="006B595F" w:rsidRPr="0086242B" w:rsidRDefault="006B595F" w:rsidP="006B595F">
      <w:pPr>
        <w:ind w:left="709"/>
        <w:jc w:val="both"/>
        <w:rPr>
          <w:rFonts w:ascii="ITC Avant Garde" w:hAnsi="ITC Avant Garde"/>
          <w:sz w:val="22"/>
          <w:szCs w:val="22"/>
        </w:rPr>
      </w:pPr>
    </w:p>
    <w:p w14:paraId="1B04E6AB" w14:textId="77777777" w:rsidR="006B595F" w:rsidRPr="0086242B" w:rsidRDefault="006B595F" w:rsidP="006B595F">
      <w:pPr>
        <w:pStyle w:val="Ecuacin"/>
        <w:ind w:left="709"/>
        <w:rPr>
          <w:rFonts w:ascii="ITC Avant Garde" w:hAnsi="ITC Avant Garde"/>
          <w:sz w:val="22"/>
          <w:szCs w:val="22"/>
        </w:rPr>
      </w:pPr>
      <w:r w:rsidRPr="0086242B">
        <w:rPr>
          <w:rFonts w:ascii="ITC Avant Garde" w:hAnsi="ITC Avant Garde"/>
          <w:sz w:val="22"/>
          <w:szCs w:val="22"/>
        </w:rPr>
        <w:tab/>
      </w:r>
      <w:r w:rsidR="00672004">
        <w:rPr>
          <w:rFonts w:ascii="ITC Avant Garde" w:hAnsi="ITC Avant Garde"/>
          <w:noProof/>
          <w:position w:val="-28"/>
          <w:sz w:val="22"/>
          <w:szCs w:val="22"/>
          <w:lang w:val="es-MX" w:eastAsia="es-MX"/>
        </w:rPr>
        <w:drawing>
          <wp:inline distT="0" distB="0" distL="0" distR="0" wp14:anchorId="32FCC2C8" wp14:editId="25C939EA">
            <wp:extent cx="1878330" cy="432435"/>
            <wp:effectExtent l="0" t="0" r="762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78330" cy="432435"/>
                    </a:xfrm>
                    <a:prstGeom prst="rect">
                      <a:avLst/>
                    </a:prstGeom>
                    <a:noFill/>
                    <a:ln>
                      <a:noFill/>
                    </a:ln>
                  </pic:spPr>
                </pic:pic>
              </a:graphicData>
            </a:graphic>
          </wp:inline>
        </w:drawing>
      </w:r>
      <w:r w:rsidRPr="0086242B">
        <w:rPr>
          <w:rFonts w:ascii="ITC Avant Garde" w:hAnsi="ITC Avant Garde"/>
          <w:sz w:val="22"/>
          <w:szCs w:val="22"/>
        </w:rPr>
        <w:tab/>
      </w:r>
      <w:r w:rsidRPr="0086242B">
        <w:rPr>
          <w:rFonts w:ascii="ITC Avant Garde" w:hAnsi="ITC Avant Garde"/>
          <w:sz w:val="20"/>
          <w:szCs w:val="20"/>
        </w:rPr>
        <w:t>(27)</w:t>
      </w:r>
    </w:p>
    <w:p w14:paraId="2611E678" w14:textId="77777777" w:rsidR="006B595F" w:rsidRPr="0086242B" w:rsidRDefault="006B595F" w:rsidP="006B595F">
      <w:pPr>
        <w:ind w:left="709"/>
        <w:rPr>
          <w:rFonts w:ascii="ITC Avant Garde" w:hAnsi="ITC Avant Garde"/>
          <w:sz w:val="22"/>
          <w:szCs w:val="22"/>
        </w:rPr>
      </w:pPr>
    </w:p>
    <w:p w14:paraId="17C353DA" w14:textId="77777777" w:rsidR="006B595F" w:rsidRPr="0086242B" w:rsidRDefault="006B595F" w:rsidP="006B595F">
      <w:pPr>
        <w:jc w:val="both"/>
        <w:rPr>
          <w:rFonts w:ascii="ITC Avant Garde" w:hAnsi="ITC Avant Garde"/>
          <w:sz w:val="20"/>
          <w:szCs w:val="20"/>
        </w:rPr>
      </w:pPr>
      <w:r w:rsidRPr="0086242B">
        <w:rPr>
          <w:rFonts w:ascii="ITC Avant Garde" w:hAnsi="ITC Avant Garde"/>
          <w:sz w:val="20"/>
          <w:szCs w:val="20"/>
        </w:rPr>
        <w:t>Por lo tanto, a una distancia R de 3 metros se cumplen las condiciones de campo lejano.</w:t>
      </w:r>
    </w:p>
    <w:p w14:paraId="3B7485E5" w14:textId="77777777" w:rsidR="006B595F" w:rsidRPr="0086242B" w:rsidRDefault="006B595F" w:rsidP="006B595F">
      <w:pPr>
        <w:jc w:val="both"/>
        <w:rPr>
          <w:rFonts w:ascii="ITC Avant Garde" w:hAnsi="ITC Avant Garde"/>
          <w:sz w:val="20"/>
          <w:szCs w:val="20"/>
        </w:rPr>
      </w:pPr>
    </w:p>
    <w:p w14:paraId="004188C6" w14:textId="77777777" w:rsidR="006B595F" w:rsidRPr="0086242B" w:rsidRDefault="006B595F" w:rsidP="006B595F">
      <w:pPr>
        <w:jc w:val="both"/>
        <w:rPr>
          <w:rFonts w:ascii="ITC Avant Garde" w:hAnsi="ITC Avant Garde"/>
          <w:sz w:val="20"/>
          <w:szCs w:val="20"/>
        </w:rPr>
      </w:pPr>
      <w:r w:rsidRPr="0086242B">
        <w:rPr>
          <w:rFonts w:ascii="ITC Avant Garde" w:hAnsi="ITC Avant Garde"/>
          <w:sz w:val="20"/>
          <w:szCs w:val="20"/>
        </w:rPr>
        <w:t>Para obtener la PIRE de esta antena se utiliza la siguiente ecuación:</w:t>
      </w:r>
    </w:p>
    <w:p w14:paraId="6D28BA97" w14:textId="77777777" w:rsidR="006B595F" w:rsidRPr="0086242B" w:rsidRDefault="006B595F" w:rsidP="006B595F">
      <w:pPr>
        <w:ind w:left="709"/>
        <w:rPr>
          <w:rFonts w:ascii="ITC Avant Garde" w:hAnsi="ITC Avant Garde"/>
          <w:sz w:val="22"/>
          <w:szCs w:val="22"/>
        </w:rPr>
      </w:pPr>
    </w:p>
    <w:p w14:paraId="4E8B2892" w14:textId="77777777" w:rsidR="006B595F" w:rsidRPr="0086242B" w:rsidRDefault="006B595F" w:rsidP="006B595F">
      <w:pPr>
        <w:pStyle w:val="Ecuacin"/>
        <w:ind w:left="709"/>
        <w:rPr>
          <w:rFonts w:ascii="ITC Avant Garde" w:hAnsi="ITC Avant Garde"/>
          <w:sz w:val="22"/>
          <w:szCs w:val="22"/>
        </w:rPr>
      </w:pPr>
      <w:r w:rsidRPr="0086242B">
        <w:rPr>
          <w:rFonts w:ascii="ITC Avant Garde" w:hAnsi="ITC Avant Garde"/>
          <w:sz w:val="22"/>
          <w:szCs w:val="22"/>
        </w:rPr>
        <w:tab/>
      </w:r>
      <w:r w:rsidR="00672004">
        <w:rPr>
          <w:rFonts w:ascii="ITC Avant Garde" w:hAnsi="ITC Avant Garde"/>
          <w:noProof/>
          <w:position w:val="-6"/>
          <w:sz w:val="22"/>
          <w:szCs w:val="22"/>
          <w:lang w:val="es-MX" w:eastAsia="es-MX"/>
        </w:rPr>
        <w:drawing>
          <wp:inline distT="0" distB="0" distL="0" distR="0" wp14:anchorId="33BF95E2" wp14:editId="57E5CAB4">
            <wp:extent cx="716915" cy="160655"/>
            <wp:effectExtent l="0" t="0" r="698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6915" cy="160655"/>
                    </a:xfrm>
                    <a:prstGeom prst="rect">
                      <a:avLst/>
                    </a:prstGeom>
                    <a:noFill/>
                    <a:ln>
                      <a:noFill/>
                    </a:ln>
                  </pic:spPr>
                </pic:pic>
              </a:graphicData>
            </a:graphic>
          </wp:inline>
        </w:drawing>
      </w:r>
      <w:r w:rsidRPr="0086242B">
        <w:rPr>
          <w:rFonts w:ascii="ITC Avant Garde" w:hAnsi="ITC Avant Garde"/>
          <w:sz w:val="22"/>
          <w:szCs w:val="22"/>
        </w:rPr>
        <w:tab/>
      </w:r>
      <w:r w:rsidRPr="0086242B">
        <w:rPr>
          <w:rFonts w:ascii="ITC Avant Garde" w:hAnsi="ITC Avant Garde"/>
          <w:sz w:val="20"/>
          <w:szCs w:val="20"/>
        </w:rPr>
        <w:t>(28)</w:t>
      </w:r>
    </w:p>
    <w:p w14:paraId="4BA038B0" w14:textId="77777777" w:rsidR="006B595F" w:rsidRPr="0086242B" w:rsidRDefault="006B595F" w:rsidP="006B595F">
      <w:pPr>
        <w:ind w:left="709"/>
        <w:rPr>
          <w:rFonts w:ascii="ITC Avant Garde" w:hAnsi="ITC Avant Garde"/>
          <w:sz w:val="22"/>
          <w:szCs w:val="22"/>
        </w:rPr>
      </w:pPr>
    </w:p>
    <w:p w14:paraId="5CAB94FF" w14:textId="77777777" w:rsidR="006B595F" w:rsidRPr="0086242B" w:rsidRDefault="006B595F" w:rsidP="006B595F">
      <w:pPr>
        <w:spacing w:line="276" w:lineRule="auto"/>
        <w:ind w:left="709"/>
        <w:rPr>
          <w:rFonts w:ascii="ITC Avant Garde" w:hAnsi="ITC Avant Garde"/>
          <w:sz w:val="20"/>
          <w:szCs w:val="20"/>
        </w:rPr>
      </w:pPr>
      <w:r w:rsidRPr="0086242B">
        <w:rPr>
          <w:rFonts w:ascii="ITC Avant Garde" w:hAnsi="ITC Avant Garde"/>
          <w:sz w:val="20"/>
          <w:szCs w:val="20"/>
        </w:rPr>
        <w:t>En donde:</w:t>
      </w:r>
    </w:p>
    <w:p w14:paraId="3D7FEB67" w14:textId="77777777" w:rsidR="006B595F" w:rsidRPr="0086242B" w:rsidRDefault="006B595F" w:rsidP="006B595F">
      <w:pPr>
        <w:tabs>
          <w:tab w:val="left" w:pos="709"/>
          <w:tab w:val="left" w:pos="992"/>
          <w:tab w:val="left" w:pos="1276"/>
        </w:tabs>
        <w:spacing w:line="276" w:lineRule="auto"/>
        <w:ind w:left="709"/>
        <w:rPr>
          <w:rFonts w:ascii="ITC Avant Garde" w:hAnsi="ITC Avant Garde"/>
          <w:sz w:val="20"/>
          <w:szCs w:val="20"/>
        </w:rPr>
      </w:pPr>
      <w:r w:rsidRPr="0086242B">
        <w:rPr>
          <w:rFonts w:ascii="ITC Avant Garde" w:hAnsi="ITC Avant Garde"/>
          <w:i/>
          <w:sz w:val="20"/>
          <w:szCs w:val="20"/>
        </w:rPr>
        <w:tab/>
        <w:t>P</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t>Potencia de entrada de la antena [W].</w:t>
      </w:r>
    </w:p>
    <w:p w14:paraId="6F76B66A" w14:textId="77777777" w:rsidR="006B595F" w:rsidRPr="0086242B" w:rsidRDefault="006B595F" w:rsidP="006B595F">
      <w:pPr>
        <w:tabs>
          <w:tab w:val="left" w:pos="709"/>
          <w:tab w:val="left" w:pos="992"/>
          <w:tab w:val="left" w:pos="1276"/>
        </w:tabs>
        <w:spacing w:line="276" w:lineRule="auto"/>
        <w:ind w:left="709"/>
        <w:rPr>
          <w:rFonts w:ascii="ITC Avant Garde" w:hAnsi="ITC Avant Garde"/>
          <w:sz w:val="20"/>
          <w:szCs w:val="20"/>
        </w:rPr>
      </w:pPr>
      <w:r w:rsidRPr="0086242B">
        <w:rPr>
          <w:rFonts w:ascii="ITC Avant Garde" w:hAnsi="ITC Avant Garde"/>
          <w:i/>
          <w:sz w:val="20"/>
          <w:szCs w:val="20"/>
        </w:rPr>
        <w:tab/>
        <w:t>G</w:t>
      </w:r>
      <w:r w:rsidRPr="0086242B">
        <w:rPr>
          <w:rFonts w:ascii="ITC Avant Garde" w:hAnsi="ITC Avant Garde"/>
          <w:sz w:val="20"/>
          <w:szCs w:val="20"/>
        </w:rPr>
        <w:tab/>
        <w:t>=</w:t>
      </w:r>
      <w:r w:rsidRPr="0086242B">
        <w:rPr>
          <w:rFonts w:ascii="ITC Avant Garde" w:hAnsi="ITC Avant Garde"/>
          <w:sz w:val="20"/>
          <w:szCs w:val="20"/>
        </w:rPr>
        <w:tab/>
        <w:t>Ganancia de la antena referida a un radiador isotrópico.</w:t>
      </w:r>
    </w:p>
    <w:p w14:paraId="38410535" w14:textId="77777777" w:rsidR="006B595F" w:rsidRPr="0086242B" w:rsidRDefault="006B595F" w:rsidP="006B595F">
      <w:pPr>
        <w:spacing w:line="276" w:lineRule="auto"/>
        <w:ind w:left="709"/>
        <w:rPr>
          <w:rFonts w:ascii="ITC Avant Garde" w:hAnsi="ITC Avant Garde"/>
          <w:sz w:val="20"/>
          <w:szCs w:val="20"/>
        </w:rPr>
      </w:pPr>
    </w:p>
    <w:p w14:paraId="3171901B" w14:textId="77777777" w:rsidR="006B595F" w:rsidRPr="0086242B" w:rsidRDefault="006B595F" w:rsidP="006B595F">
      <w:pPr>
        <w:spacing w:line="276" w:lineRule="auto"/>
        <w:jc w:val="both"/>
        <w:rPr>
          <w:rFonts w:ascii="ITC Avant Garde" w:hAnsi="ITC Avant Garde"/>
          <w:sz w:val="20"/>
          <w:szCs w:val="20"/>
        </w:rPr>
      </w:pPr>
      <w:r w:rsidRPr="0086242B">
        <w:rPr>
          <w:rFonts w:ascii="ITC Avant Garde" w:hAnsi="ITC Avant Garde"/>
          <w:sz w:val="20"/>
          <w:szCs w:val="20"/>
        </w:rPr>
        <w:t>En este ejemplo se tiene una ganancia de 13 decibeles referidos a una antena isotrópica (</w:t>
      </w:r>
      <w:proofErr w:type="spellStart"/>
      <w:r w:rsidRPr="0086242B">
        <w:rPr>
          <w:rFonts w:ascii="ITC Avant Garde" w:hAnsi="ITC Avant Garde"/>
          <w:sz w:val="20"/>
          <w:szCs w:val="20"/>
        </w:rPr>
        <w:t>dBi</w:t>
      </w:r>
      <w:proofErr w:type="spellEnd"/>
      <w:r w:rsidRPr="0086242B">
        <w:rPr>
          <w:rFonts w:ascii="ITC Avant Garde" w:hAnsi="ITC Avant Garde"/>
          <w:sz w:val="20"/>
          <w:szCs w:val="20"/>
        </w:rPr>
        <w:t>), cuyo valor expresado numéricamente es de:</w:t>
      </w:r>
    </w:p>
    <w:p w14:paraId="6CB22B15" w14:textId="77777777" w:rsidR="006B595F" w:rsidRPr="0086242B" w:rsidRDefault="006B595F" w:rsidP="006B595F">
      <w:pPr>
        <w:spacing w:line="276" w:lineRule="auto"/>
        <w:jc w:val="both"/>
        <w:rPr>
          <w:rFonts w:ascii="ITC Avant Garde" w:hAnsi="ITC Avant Garde"/>
          <w:sz w:val="20"/>
          <w:szCs w:val="20"/>
        </w:rPr>
      </w:pPr>
    </w:p>
    <w:p w14:paraId="0A2BA537" w14:textId="77777777" w:rsidR="006B595F" w:rsidRPr="0086242B" w:rsidRDefault="006B595F" w:rsidP="006B595F">
      <w:pPr>
        <w:pStyle w:val="Ecuacin"/>
        <w:ind w:left="709"/>
        <w:rPr>
          <w:rFonts w:ascii="ITC Avant Garde" w:hAnsi="ITC Avant Garde"/>
          <w:sz w:val="22"/>
          <w:szCs w:val="22"/>
        </w:rPr>
      </w:pPr>
      <w:r w:rsidRPr="0086242B">
        <w:rPr>
          <w:rFonts w:ascii="ITC Avant Garde" w:hAnsi="ITC Avant Garde"/>
          <w:sz w:val="22"/>
          <w:szCs w:val="22"/>
        </w:rPr>
        <w:tab/>
      </w:r>
      <w:r w:rsidR="00672004">
        <w:rPr>
          <w:rFonts w:ascii="ITC Avant Garde" w:hAnsi="ITC Avant Garde"/>
          <w:noProof/>
          <w:position w:val="-26"/>
          <w:sz w:val="22"/>
          <w:szCs w:val="22"/>
          <w:lang w:val="es-MX" w:eastAsia="es-MX"/>
        </w:rPr>
        <w:drawing>
          <wp:inline distT="0" distB="0" distL="0" distR="0" wp14:anchorId="259E3FCC" wp14:editId="430237DF">
            <wp:extent cx="1371600" cy="40767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71600" cy="407670"/>
                    </a:xfrm>
                    <a:prstGeom prst="rect">
                      <a:avLst/>
                    </a:prstGeom>
                    <a:noFill/>
                    <a:ln>
                      <a:noFill/>
                    </a:ln>
                  </pic:spPr>
                </pic:pic>
              </a:graphicData>
            </a:graphic>
          </wp:inline>
        </w:drawing>
      </w:r>
      <w:r w:rsidRPr="0086242B">
        <w:rPr>
          <w:rFonts w:ascii="ITC Avant Garde" w:hAnsi="ITC Avant Garde"/>
          <w:sz w:val="22"/>
          <w:szCs w:val="22"/>
        </w:rPr>
        <w:tab/>
      </w:r>
      <w:r w:rsidRPr="0086242B">
        <w:rPr>
          <w:rFonts w:ascii="ITC Avant Garde" w:hAnsi="ITC Avant Garde"/>
          <w:sz w:val="20"/>
          <w:szCs w:val="20"/>
        </w:rPr>
        <w:t>(29)</w:t>
      </w:r>
    </w:p>
    <w:p w14:paraId="476DE7B3" w14:textId="77777777" w:rsidR="006B595F" w:rsidRPr="0086242B" w:rsidRDefault="006B595F" w:rsidP="006B595F">
      <w:pPr>
        <w:ind w:left="709"/>
        <w:rPr>
          <w:rFonts w:ascii="ITC Avant Garde" w:hAnsi="ITC Avant Garde"/>
          <w:sz w:val="20"/>
          <w:szCs w:val="20"/>
        </w:rPr>
      </w:pPr>
    </w:p>
    <w:p w14:paraId="5E5EAB1F" w14:textId="77777777" w:rsidR="006B595F" w:rsidRPr="0086242B" w:rsidRDefault="006B595F" w:rsidP="006B595F">
      <w:pPr>
        <w:jc w:val="both"/>
        <w:rPr>
          <w:rFonts w:ascii="ITC Avant Garde" w:hAnsi="ITC Avant Garde"/>
          <w:sz w:val="20"/>
          <w:szCs w:val="20"/>
        </w:rPr>
      </w:pPr>
      <w:r w:rsidRPr="0086242B">
        <w:rPr>
          <w:rFonts w:ascii="ITC Avant Garde" w:hAnsi="ITC Avant Garde"/>
          <w:sz w:val="20"/>
          <w:szCs w:val="20"/>
        </w:rPr>
        <w:t>Por lo tanto la PIRE de esta antena sería de:</w:t>
      </w:r>
    </w:p>
    <w:p w14:paraId="70D7B015" w14:textId="77777777" w:rsidR="006B595F" w:rsidRPr="0086242B" w:rsidRDefault="006B595F" w:rsidP="006B595F">
      <w:pPr>
        <w:ind w:left="709"/>
        <w:rPr>
          <w:rFonts w:ascii="ITC Avant Garde" w:hAnsi="ITC Avant Garde"/>
          <w:sz w:val="22"/>
          <w:szCs w:val="22"/>
        </w:rPr>
      </w:pPr>
    </w:p>
    <w:p w14:paraId="1D8AFE15" w14:textId="77777777" w:rsidR="006B595F" w:rsidRPr="0086242B" w:rsidRDefault="006B595F" w:rsidP="006B595F">
      <w:pPr>
        <w:pStyle w:val="Ecuacin"/>
        <w:ind w:left="709"/>
        <w:rPr>
          <w:rFonts w:ascii="ITC Avant Garde" w:hAnsi="ITC Avant Garde"/>
          <w:sz w:val="22"/>
          <w:szCs w:val="22"/>
        </w:rPr>
      </w:pPr>
      <w:r w:rsidRPr="0086242B">
        <w:rPr>
          <w:rFonts w:ascii="ITC Avant Garde" w:hAnsi="ITC Avant Garde"/>
          <w:sz w:val="22"/>
          <w:szCs w:val="22"/>
        </w:rPr>
        <w:tab/>
      </w:r>
      <w:r w:rsidR="00672004">
        <w:rPr>
          <w:rFonts w:ascii="ITC Avant Garde" w:hAnsi="ITC Avant Garde"/>
          <w:noProof/>
          <w:position w:val="-10"/>
          <w:sz w:val="22"/>
          <w:szCs w:val="22"/>
          <w:lang w:val="es-MX" w:eastAsia="es-MX"/>
        </w:rPr>
        <w:drawing>
          <wp:inline distT="0" distB="0" distL="0" distR="0" wp14:anchorId="472639C8" wp14:editId="20838A58">
            <wp:extent cx="1557020" cy="19748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57020" cy="197485"/>
                    </a:xfrm>
                    <a:prstGeom prst="rect">
                      <a:avLst/>
                    </a:prstGeom>
                    <a:noFill/>
                    <a:ln>
                      <a:noFill/>
                    </a:ln>
                  </pic:spPr>
                </pic:pic>
              </a:graphicData>
            </a:graphic>
          </wp:inline>
        </w:drawing>
      </w:r>
      <w:r w:rsidRPr="0086242B">
        <w:rPr>
          <w:rFonts w:ascii="ITC Avant Garde" w:hAnsi="ITC Avant Garde"/>
          <w:sz w:val="22"/>
          <w:szCs w:val="22"/>
        </w:rPr>
        <w:tab/>
      </w:r>
      <w:r w:rsidRPr="0086242B">
        <w:rPr>
          <w:rFonts w:ascii="ITC Avant Garde" w:hAnsi="ITC Avant Garde"/>
          <w:sz w:val="20"/>
          <w:szCs w:val="20"/>
        </w:rPr>
        <w:t>(30)</w:t>
      </w:r>
    </w:p>
    <w:p w14:paraId="78422732" w14:textId="77777777" w:rsidR="006B595F" w:rsidRPr="0086242B" w:rsidRDefault="006B595F" w:rsidP="006B595F">
      <w:pPr>
        <w:ind w:left="709"/>
        <w:rPr>
          <w:rFonts w:ascii="ITC Avant Garde" w:hAnsi="ITC Avant Garde"/>
          <w:sz w:val="22"/>
          <w:szCs w:val="22"/>
        </w:rPr>
      </w:pPr>
    </w:p>
    <w:p w14:paraId="1CE69284"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Esta potencia es la que se tiene en la dirección de máxima radiación de la antena. De los patrones de radiación de la Figura 16, se observa que esto se presenta cuando las coordenadas </w:t>
      </w:r>
      <w:r w:rsidRPr="0086242B">
        <w:rPr>
          <w:rFonts w:ascii="Calibri" w:hAnsi="Calibri" w:cs="Calibri"/>
          <w:sz w:val="20"/>
          <w:szCs w:val="20"/>
        </w:rPr>
        <w:t>θ</w:t>
      </w:r>
      <w:r w:rsidRPr="0086242B">
        <w:rPr>
          <w:rFonts w:ascii="ITC Avant Garde" w:hAnsi="ITC Avant Garde"/>
          <w:sz w:val="20"/>
          <w:szCs w:val="20"/>
        </w:rPr>
        <w:t xml:space="preserve"> y </w:t>
      </w:r>
      <w:r w:rsidRPr="0086242B">
        <w:rPr>
          <w:rFonts w:ascii="Calibri" w:hAnsi="Calibri" w:cs="Calibri"/>
          <w:sz w:val="20"/>
          <w:szCs w:val="20"/>
        </w:rPr>
        <w:t>φ</w:t>
      </w:r>
      <w:r w:rsidRPr="0086242B">
        <w:rPr>
          <w:rFonts w:ascii="ITC Avant Garde" w:hAnsi="ITC Avant Garde"/>
          <w:sz w:val="20"/>
          <w:szCs w:val="20"/>
        </w:rPr>
        <w:t xml:space="preserve"> son de 90</w:t>
      </w:r>
      <w:r w:rsidRPr="0086242B">
        <w:rPr>
          <w:rFonts w:ascii="ITC Avant Garde" w:hAnsi="ITC Avant Garde" w:cs="ITC Avant Garde"/>
          <w:sz w:val="20"/>
          <w:szCs w:val="20"/>
        </w:rPr>
        <w:t>˚</w:t>
      </w:r>
      <w:r w:rsidRPr="0086242B">
        <w:rPr>
          <w:rFonts w:ascii="ITC Avant Garde" w:hAnsi="ITC Avant Garde"/>
          <w:sz w:val="20"/>
          <w:szCs w:val="20"/>
        </w:rPr>
        <w:t xml:space="preserve"> y 0</w:t>
      </w:r>
      <w:r w:rsidRPr="0086242B">
        <w:rPr>
          <w:rFonts w:ascii="ITC Avant Garde" w:hAnsi="ITC Avant Garde" w:cs="ITC Avant Garde"/>
          <w:sz w:val="20"/>
          <w:szCs w:val="20"/>
        </w:rPr>
        <w:t>˚</w:t>
      </w:r>
      <w:r w:rsidRPr="0086242B">
        <w:rPr>
          <w:rFonts w:ascii="ITC Avant Garde" w:hAnsi="ITC Avant Garde"/>
          <w:sz w:val="20"/>
          <w:szCs w:val="20"/>
        </w:rPr>
        <w:t>, respectivamente. Como en el ejemplo se supone que la persona est</w:t>
      </w:r>
      <w:r w:rsidRPr="0086242B">
        <w:rPr>
          <w:rFonts w:ascii="ITC Avant Garde" w:hAnsi="ITC Avant Garde" w:cs="ITC Avant Garde"/>
          <w:sz w:val="20"/>
          <w:szCs w:val="20"/>
        </w:rPr>
        <w:t>á</w:t>
      </w:r>
      <w:r w:rsidRPr="0086242B">
        <w:rPr>
          <w:rFonts w:ascii="ITC Avant Garde" w:hAnsi="ITC Avant Garde"/>
          <w:sz w:val="20"/>
          <w:szCs w:val="20"/>
        </w:rPr>
        <w:t xml:space="preserve"> colocada precisamente en estas coordenadas, viendo de frente a la antena, no existe atenuaci</w:t>
      </w:r>
      <w:r w:rsidRPr="0086242B">
        <w:rPr>
          <w:rFonts w:ascii="ITC Avant Garde" w:hAnsi="ITC Avant Garde" w:cs="ITC Avant Garde"/>
          <w:sz w:val="20"/>
          <w:szCs w:val="20"/>
        </w:rPr>
        <w:t>ó</w:t>
      </w:r>
      <w:r w:rsidRPr="0086242B">
        <w:rPr>
          <w:rFonts w:ascii="ITC Avant Garde" w:hAnsi="ITC Avant Garde"/>
          <w:sz w:val="20"/>
          <w:szCs w:val="20"/>
        </w:rPr>
        <w:t>n de la señal, más que la que se presenta por la distancia a la que la persona está alejada de la antena.</w:t>
      </w:r>
    </w:p>
    <w:p w14:paraId="548F946A" w14:textId="77777777" w:rsidR="006B595F" w:rsidRPr="0086242B" w:rsidRDefault="006B595F" w:rsidP="006B595F">
      <w:pPr>
        <w:spacing w:line="360" w:lineRule="auto"/>
        <w:jc w:val="both"/>
        <w:rPr>
          <w:rFonts w:ascii="ITC Avant Garde" w:hAnsi="ITC Avant Garde"/>
          <w:sz w:val="20"/>
          <w:szCs w:val="20"/>
        </w:rPr>
      </w:pPr>
    </w:p>
    <w:p w14:paraId="233D84C5"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Por otra parte, el coeficiente de reflexión para este ejemplo se puede despreciar debido a que el suelo refleja la señal pero la atenuación de la estructura del edificio es alta y prácticamente sólo influye la señal directa.</w:t>
      </w:r>
    </w:p>
    <w:p w14:paraId="0A1B4061" w14:textId="77777777" w:rsidR="006B595F" w:rsidRPr="0086242B" w:rsidRDefault="006B595F" w:rsidP="006B595F">
      <w:pPr>
        <w:spacing w:line="360" w:lineRule="auto"/>
        <w:jc w:val="both"/>
        <w:rPr>
          <w:rFonts w:ascii="ITC Avant Garde" w:hAnsi="ITC Avant Garde"/>
          <w:sz w:val="20"/>
          <w:szCs w:val="20"/>
        </w:rPr>
      </w:pPr>
    </w:p>
    <w:p w14:paraId="52816F4D"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Aplicando la ecuación (1), el nivel de densidad de potencia donde se encuentra la persona será de:</w:t>
      </w:r>
    </w:p>
    <w:p w14:paraId="4A97C14D" w14:textId="77777777" w:rsidR="006B595F" w:rsidRPr="0086242B" w:rsidRDefault="006B595F" w:rsidP="006B595F">
      <w:pPr>
        <w:ind w:left="709"/>
        <w:jc w:val="both"/>
        <w:rPr>
          <w:rFonts w:ascii="ITC Avant Garde" w:hAnsi="ITC Avant Garde"/>
          <w:sz w:val="22"/>
          <w:szCs w:val="22"/>
        </w:rPr>
      </w:pPr>
    </w:p>
    <w:p w14:paraId="3ADF8921" w14:textId="77777777" w:rsidR="006B595F" w:rsidRPr="0086242B" w:rsidRDefault="006B595F" w:rsidP="006B595F">
      <w:pPr>
        <w:pStyle w:val="Ecuacin"/>
        <w:ind w:left="709"/>
        <w:rPr>
          <w:rFonts w:ascii="ITC Avant Garde" w:hAnsi="ITC Avant Garde"/>
          <w:sz w:val="22"/>
          <w:szCs w:val="22"/>
        </w:rPr>
      </w:pPr>
      <w:r w:rsidRPr="0086242B">
        <w:rPr>
          <w:rFonts w:ascii="ITC Avant Garde" w:hAnsi="ITC Avant Garde"/>
          <w:sz w:val="22"/>
          <w:szCs w:val="22"/>
        </w:rPr>
        <w:tab/>
        <w:t xml:space="preserve"> </w:t>
      </w:r>
      <w:r w:rsidR="00672004">
        <w:rPr>
          <w:rFonts w:ascii="ITC Avant Garde" w:hAnsi="ITC Avant Garde"/>
          <w:noProof/>
          <w:position w:val="-30"/>
          <w:sz w:val="22"/>
          <w:szCs w:val="22"/>
          <w:lang w:val="es-MX" w:eastAsia="es-MX"/>
        </w:rPr>
        <w:drawing>
          <wp:inline distT="0" distB="0" distL="0" distR="0" wp14:anchorId="715F1FE4" wp14:editId="69576A6F">
            <wp:extent cx="2063750" cy="469265"/>
            <wp:effectExtent l="0" t="0" r="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63750" cy="469265"/>
                    </a:xfrm>
                    <a:prstGeom prst="rect">
                      <a:avLst/>
                    </a:prstGeom>
                    <a:noFill/>
                    <a:ln>
                      <a:noFill/>
                    </a:ln>
                  </pic:spPr>
                </pic:pic>
              </a:graphicData>
            </a:graphic>
          </wp:inline>
        </w:drawing>
      </w:r>
      <w:r w:rsidRPr="0086242B">
        <w:rPr>
          <w:rFonts w:ascii="ITC Avant Garde" w:hAnsi="ITC Avant Garde"/>
          <w:sz w:val="22"/>
          <w:szCs w:val="22"/>
        </w:rPr>
        <w:tab/>
      </w:r>
      <w:r w:rsidRPr="0086242B">
        <w:rPr>
          <w:rFonts w:ascii="ITC Avant Garde" w:hAnsi="ITC Avant Garde"/>
          <w:sz w:val="20"/>
          <w:szCs w:val="20"/>
        </w:rPr>
        <w:t>(31)</w:t>
      </w:r>
    </w:p>
    <w:p w14:paraId="2C9C8EE1" w14:textId="77777777" w:rsidR="006B595F" w:rsidRPr="0086242B" w:rsidRDefault="006B595F" w:rsidP="006B595F">
      <w:pPr>
        <w:ind w:left="709"/>
        <w:rPr>
          <w:rFonts w:ascii="ITC Avant Garde" w:hAnsi="ITC Avant Garde"/>
          <w:sz w:val="22"/>
          <w:szCs w:val="22"/>
        </w:rPr>
      </w:pPr>
    </w:p>
    <w:p w14:paraId="0D222A0E"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Refiriéndose a la </w:t>
      </w:r>
      <w:r w:rsidRPr="0086242B">
        <w:rPr>
          <w:rFonts w:ascii="ITC Avant Garde" w:hAnsi="ITC Avant Garde"/>
          <w:sz w:val="20"/>
          <w:szCs w:val="20"/>
        </w:rPr>
        <w:fldChar w:fldCharType="begin"/>
      </w:r>
      <w:r w:rsidRPr="0086242B">
        <w:rPr>
          <w:rFonts w:ascii="ITC Avant Garde" w:hAnsi="ITC Avant Garde"/>
          <w:sz w:val="20"/>
          <w:szCs w:val="20"/>
        </w:rPr>
        <w:instrText xml:space="preserve"> REF _Ref119388040 \h  \* MERGEFORMAT </w:instrText>
      </w:r>
      <w:r w:rsidRPr="0086242B">
        <w:rPr>
          <w:rFonts w:ascii="ITC Avant Garde" w:hAnsi="ITC Avant Garde"/>
          <w:sz w:val="20"/>
          <w:szCs w:val="20"/>
        </w:rPr>
      </w:r>
      <w:r w:rsidRPr="0086242B">
        <w:rPr>
          <w:rFonts w:ascii="ITC Avant Garde" w:hAnsi="ITC Avant Garde"/>
          <w:sz w:val="20"/>
          <w:szCs w:val="20"/>
        </w:rPr>
        <w:fldChar w:fldCharType="separate"/>
      </w:r>
      <w:r w:rsidR="00992611" w:rsidRPr="00992611">
        <w:rPr>
          <w:rFonts w:ascii="ITC Avant Garde" w:hAnsi="ITC Avant Garde"/>
          <w:sz w:val="20"/>
          <w:szCs w:val="20"/>
        </w:rPr>
        <w:t>Tabla 2</w:t>
      </w:r>
      <w:r w:rsidRPr="0086242B">
        <w:rPr>
          <w:rFonts w:ascii="ITC Avant Garde" w:hAnsi="ITC Avant Garde"/>
          <w:sz w:val="20"/>
          <w:szCs w:val="20"/>
        </w:rPr>
        <w:fldChar w:fldCharType="end"/>
      </w:r>
      <w:r w:rsidRPr="0086242B">
        <w:rPr>
          <w:rFonts w:ascii="ITC Avant Garde" w:hAnsi="ITC Avant Garde"/>
          <w:sz w:val="20"/>
          <w:szCs w:val="20"/>
        </w:rPr>
        <w:t>, el límite de referencia para estas frecuencias es de f/200 = 885/200 = 4.425 W/m</w:t>
      </w:r>
      <w:r w:rsidRPr="0086242B">
        <w:rPr>
          <w:rFonts w:ascii="ITC Avant Garde" w:hAnsi="ITC Avant Garde"/>
          <w:sz w:val="20"/>
          <w:szCs w:val="20"/>
          <w:vertAlign w:val="superscript"/>
        </w:rPr>
        <w:t>2</w:t>
      </w:r>
      <w:r w:rsidRPr="0086242B">
        <w:rPr>
          <w:rFonts w:ascii="ITC Avant Garde" w:hAnsi="ITC Avant Garde"/>
          <w:sz w:val="20"/>
          <w:szCs w:val="20"/>
        </w:rPr>
        <w:t>. Por lo tanto, se cumple.</w:t>
      </w:r>
    </w:p>
    <w:p w14:paraId="72B4062B" w14:textId="77777777" w:rsidR="006B595F" w:rsidRPr="0086242B" w:rsidRDefault="006B595F" w:rsidP="006B595F">
      <w:pPr>
        <w:spacing w:line="360" w:lineRule="auto"/>
        <w:jc w:val="both"/>
        <w:rPr>
          <w:rFonts w:ascii="ITC Avant Garde" w:hAnsi="ITC Avant Garde"/>
          <w:sz w:val="20"/>
          <w:szCs w:val="20"/>
        </w:rPr>
      </w:pPr>
    </w:p>
    <w:p w14:paraId="7F5D8A77" w14:textId="79CA35B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En la zona cercana al techo del edificio de la Figura 14 donde están montadas las antenas tampoco existe mayor problema para la gente que se encuentra en</w:t>
      </w:r>
      <w:r w:rsidRPr="0086242B">
        <w:rPr>
          <w:rFonts w:ascii="ITC Avant Garde" w:hAnsi="ITC Avant Garde"/>
        </w:rPr>
        <w:t xml:space="preserve"> </w:t>
      </w:r>
      <w:r w:rsidRPr="0086242B">
        <w:rPr>
          <w:rFonts w:ascii="ITC Avant Garde" w:hAnsi="ITC Avant Garde"/>
          <w:sz w:val="20"/>
          <w:szCs w:val="20"/>
        </w:rPr>
        <w:t>el último piso debido a que el patrón de radiación indica una atenuación muy alta en la dirección que apunta hacia abajo (</w:t>
      </w:r>
      <w:r w:rsidRPr="0086242B">
        <w:rPr>
          <w:rFonts w:ascii="Calibri" w:hAnsi="Calibri" w:cs="Calibri"/>
          <w:sz w:val="20"/>
          <w:szCs w:val="20"/>
        </w:rPr>
        <w:t>θ</w:t>
      </w:r>
      <w:r w:rsidRPr="0086242B">
        <w:rPr>
          <w:rFonts w:ascii="ITC Avant Garde" w:hAnsi="ITC Avant Garde"/>
          <w:sz w:val="20"/>
          <w:szCs w:val="20"/>
        </w:rPr>
        <w:t>=180</w:t>
      </w:r>
      <w:r w:rsidRPr="0086242B">
        <w:rPr>
          <w:rFonts w:ascii="ITC Avant Garde" w:hAnsi="ITC Avant Garde" w:cs="ITC Avant Garde"/>
          <w:sz w:val="20"/>
          <w:szCs w:val="20"/>
        </w:rPr>
        <w:t>˚</w:t>
      </w:r>
      <w:r w:rsidRPr="0086242B">
        <w:rPr>
          <w:rFonts w:ascii="ITC Avant Garde" w:hAnsi="ITC Avant Garde"/>
          <w:sz w:val="20"/>
          <w:szCs w:val="20"/>
        </w:rPr>
        <w:t>) y adem</w:t>
      </w:r>
      <w:r w:rsidRPr="0086242B">
        <w:rPr>
          <w:rFonts w:ascii="ITC Avant Garde" w:hAnsi="ITC Avant Garde" w:cs="ITC Avant Garde"/>
          <w:sz w:val="20"/>
          <w:szCs w:val="20"/>
        </w:rPr>
        <w:t>á</w:t>
      </w:r>
      <w:r w:rsidRPr="0086242B">
        <w:rPr>
          <w:rFonts w:ascii="ITC Avant Garde" w:hAnsi="ITC Avant Garde"/>
          <w:sz w:val="20"/>
          <w:szCs w:val="20"/>
        </w:rPr>
        <w:t>s los materiales del edificio aten</w:t>
      </w:r>
      <w:r w:rsidRPr="0086242B">
        <w:rPr>
          <w:rFonts w:ascii="ITC Avant Garde" w:hAnsi="ITC Avant Garde" w:cs="ITC Avant Garde"/>
          <w:sz w:val="20"/>
          <w:szCs w:val="20"/>
        </w:rPr>
        <w:t>ú</w:t>
      </w:r>
      <w:r w:rsidRPr="0086242B">
        <w:rPr>
          <w:rFonts w:ascii="ITC Avant Garde" w:hAnsi="ITC Avant Garde"/>
          <w:sz w:val="20"/>
          <w:szCs w:val="20"/>
        </w:rPr>
        <w:t xml:space="preserve">an todavía más la señal de RF, típicamente entre 10 y 20 decibeles. Incluso, para la gente que sube al techo de este edificio no se tienen que tomar medidas especiales debido a que los patrones de radiación indican una alta atenuación en la parte trasera de la antena. </w:t>
      </w:r>
    </w:p>
    <w:p w14:paraId="0E64AD86" w14:textId="3D07F5D1" w:rsidR="006B595F" w:rsidRPr="0086242B" w:rsidRDefault="006B595F" w:rsidP="006B595F">
      <w:pPr>
        <w:pStyle w:val="Ttulo3"/>
        <w:numPr>
          <w:ilvl w:val="0"/>
          <w:numId w:val="0"/>
        </w:numPr>
        <w:spacing w:line="240" w:lineRule="auto"/>
        <w:rPr>
          <w:rFonts w:ascii="ITC Avant Garde" w:hAnsi="ITC Avant Garde"/>
          <w:color w:val="auto"/>
          <w:sz w:val="22"/>
          <w:szCs w:val="22"/>
        </w:rPr>
      </w:pPr>
      <w:bookmarkStart w:id="47" w:name="_Toc216630958"/>
      <w:bookmarkStart w:id="48" w:name="_Toc414444617"/>
      <w:r w:rsidRPr="0086242B">
        <w:rPr>
          <w:rFonts w:ascii="ITC Avant Garde" w:hAnsi="ITC Avant Garde"/>
          <w:color w:val="auto"/>
          <w:sz w:val="22"/>
          <w:szCs w:val="22"/>
        </w:rPr>
        <w:t xml:space="preserve">Ejemplo de cálculo </w:t>
      </w:r>
      <w:r w:rsidRPr="0086242B">
        <w:rPr>
          <w:rFonts w:ascii="ITC Avant Garde" w:hAnsi="ITC Avant Garde"/>
          <w:color w:val="auto"/>
          <w:sz w:val="22"/>
          <w:szCs w:val="22"/>
          <w:lang w:val="es-MX"/>
        </w:rPr>
        <w:t xml:space="preserve">considerando </w:t>
      </w:r>
      <w:r w:rsidRPr="0086242B">
        <w:rPr>
          <w:rFonts w:ascii="ITC Avant Garde" w:hAnsi="ITC Avant Garde"/>
          <w:color w:val="auto"/>
          <w:sz w:val="22"/>
          <w:szCs w:val="22"/>
        </w:rPr>
        <w:t>múltiples emisores de RF</w:t>
      </w:r>
      <w:bookmarkEnd w:id="47"/>
      <w:bookmarkEnd w:id="48"/>
    </w:p>
    <w:p w14:paraId="47619C96" w14:textId="77777777" w:rsidR="006B595F" w:rsidRPr="0086242B" w:rsidRDefault="006B595F" w:rsidP="006B595F">
      <w:pPr>
        <w:rPr>
          <w:rFonts w:ascii="ITC Avant Garde" w:hAnsi="ITC Avant Garde"/>
        </w:rPr>
      </w:pPr>
    </w:p>
    <w:p w14:paraId="06C0F519"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Aplicación de las relaciones de las ecuaciones 2, 3 y 4, considérese el escenario hipotético mostrado en la Figura 17.</w:t>
      </w:r>
    </w:p>
    <w:p w14:paraId="338761F3" w14:textId="77777777" w:rsidR="006B595F" w:rsidRPr="0086242B" w:rsidRDefault="006B595F" w:rsidP="006B595F">
      <w:pPr>
        <w:ind w:left="709"/>
        <w:rPr>
          <w:rFonts w:ascii="ITC Avant Garde" w:hAnsi="ITC Avant Garde"/>
          <w:sz w:val="22"/>
          <w:szCs w:val="22"/>
        </w:rPr>
      </w:pPr>
    </w:p>
    <w:p w14:paraId="6BC58503" w14:textId="77777777" w:rsidR="006B595F" w:rsidRPr="0086242B" w:rsidRDefault="00672004" w:rsidP="006B595F">
      <w:pPr>
        <w:ind w:left="709"/>
        <w:jc w:val="center"/>
        <w:rPr>
          <w:rFonts w:ascii="ITC Avant Garde" w:hAnsi="ITC Avant Garde"/>
          <w:sz w:val="22"/>
          <w:szCs w:val="22"/>
        </w:rPr>
      </w:pPr>
      <w:r>
        <w:rPr>
          <w:rFonts w:ascii="ITC Avant Garde" w:hAnsi="ITC Avant Garde"/>
          <w:noProof/>
          <w:sz w:val="22"/>
          <w:szCs w:val="22"/>
          <w:lang w:val="es-MX" w:eastAsia="es-MX"/>
        </w:rPr>
        <w:drawing>
          <wp:anchor distT="0" distB="0" distL="114300" distR="114300" simplePos="0" relativeHeight="251659264" behindDoc="0" locked="0" layoutInCell="1" allowOverlap="1" wp14:anchorId="599B00DC" wp14:editId="2A7CDE47">
            <wp:simplePos x="0" y="0"/>
            <wp:positionH relativeFrom="column">
              <wp:posOffset>2994025</wp:posOffset>
            </wp:positionH>
            <wp:positionV relativeFrom="paragraph">
              <wp:posOffset>2816225</wp:posOffset>
            </wp:positionV>
            <wp:extent cx="46990" cy="154940"/>
            <wp:effectExtent l="0" t="0" r="0" b="0"/>
            <wp:wrapNone/>
            <wp:docPr id="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990" cy="154940"/>
                    </a:xfrm>
                    <a:prstGeom prst="rect">
                      <a:avLst/>
                    </a:prstGeom>
                    <a:noFill/>
                  </pic:spPr>
                </pic:pic>
              </a:graphicData>
            </a:graphic>
            <wp14:sizeRelH relativeFrom="page">
              <wp14:pctWidth>0</wp14:pctWidth>
            </wp14:sizeRelH>
            <wp14:sizeRelV relativeFrom="page">
              <wp14:pctHeight>0</wp14:pctHeight>
            </wp14:sizeRelV>
          </wp:anchor>
        </w:drawing>
      </w:r>
      <w:r w:rsidR="006B595F" w:rsidRPr="0086242B">
        <w:rPr>
          <w:rFonts w:ascii="ITC Avant Garde" w:hAnsi="ITC Avant Garde"/>
          <w:sz w:val="22"/>
          <w:szCs w:val="22"/>
        </w:rPr>
        <w:t xml:space="preserve"> </w:t>
      </w:r>
      <w:r>
        <w:rPr>
          <w:rFonts w:ascii="ITC Avant Garde" w:hAnsi="ITC Avant Garde"/>
          <w:noProof/>
          <w:sz w:val="22"/>
          <w:szCs w:val="22"/>
          <w:lang w:val="es-MX" w:eastAsia="es-MX"/>
        </w:rPr>
        <w:drawing>
          <wp:inline distT="0" distB="0" distL="0" distR="0" wp14:anchorId="136801EB" wp14:editId="181E49B9">
            <wp:extent cx="3039745" cy="310134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l="23711" t="14021" r="23785" b="3723"/>
                    <a:stretch>
                      <a:fillRect/>
                    </a:stretch>
                  </pic:blipFill>
                  <pic:spPr bwMode="auto">
                    <a:xfrm>
                      <a:off x="0" y="0"/>
                      <a:ext cx="3039745" cy="3101340"/>
                    </a:xfrm>
                    <a:prstGeom prst="rect">
                      <a:avLst/>
                    </a:prstGeom>
                    <a:noFill/>
                    <a:ln>
                      <a:noFill/>
                    </a:ln>
                  </pic:spPr>
                </pic:pic>
              </a:graphicData>
            </a:graphic>
          </wp:inline>
        </w:drawing>
      </w:r>
    </w:p>
    <w:p w14:paraId="138CA6D9" w14:textId="77777777" w:rsidR="006B595F" w:rsidRPr="0086242B" w:rsidRDefault="006B595F" w:rsidP="006B595F">
      <w:pPr>
        <w:ind w:left="709"/>
        <w:jc w:val="center"/>
        <w:rPr>
          <w:rFonts w:ascii="ITC Avant Garde" w:hAnsi="ITC Avant Garde"/>
          <w:sz w:val="20"/>
          <w:szCs w:val="20"/>
        </w:rPr>
      </w:pPr>
      <w:r w:rsidRPr="0086242B">
        <w:rPr>
          <w:rFonts w:ascii="ITC Avant Garde" w:hAnsi="ITC Avant Garde"/>
          <w:sz w:val="20"/>
          <w:szCs w:val="20"/>
        </w:rPr>
        <w:t>Figura 17.- Niveles de exposición cuando existen múltiples emisores.</w:t>
      </w:r>
    </w:p>
    <w:p w14:paraId="15E995E5" w14:textId="77777777" w:rsidR="006B595F" w:rsidRPr="0086242B" w:rsidRDefault="006B595F" w:rsidP="006B595F">
      <w:pPr>
        <w:ind w:left="709"/>
        <w:jc w:val="center"/>
        <w:rPr>
          <w:rFonts w:ascii="ITC Avant Garde" w:hAnsi="ITC Avant Garde"/>
          <w:sz w:val="22"/>
          <w:szCs w:val="22"/>
        </w:rPr>
      </w:pPr>
    </w:p>
    <w:p w14:paraId="3D283B79"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Supóngase que este escenario es el mismo del primer ejemplo de esta sección y sólo se está adicionando una torre sobre las cual se montan antenas de un sistema personal de comunicaciones (PCS) que trabaja a la frecuencia central de 1,857.5 MHz, en la parte superior de la torre, y antenas de telefonía celular que operan a la frecuencia central de 885 MHz, en la parte inferior de la torre. Se asume que las antenas que contribuyen de manera significativa al nivel de exposición son las colocadas a la izquierda de esta torre debido a que las demás antenas están orientadas hacia otras direcciones y radian muy poca energía de RF en la dirección donde se encuentra la persona.</w:t>
      </w:r>
    </w:p>
    <w:p w14:paraId="4B7E5D29" w14:textId="77777777" w:rsidR="006B595F" w:rsidRPr="0086242B" w:rsidRDefault="006B595F" w:rsidP="006B595F">
      <w:pPr>
        <w:jc w:val="both"/>
        <w:rPr>
          <w:rFonts w:ascii="ITC Avant Garde" w:hAnsi="ITC Avant Garde"/>
        </w:rPr>
      </w:pPr>
    </w:p>
    <w:p w14:paraId="49C8BD51"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La densidad de potencia en el punto donde se localiza la persona, originada por la antena de FM, ya se obtuvo anteriormente y es de aproximadamente S1=0.03 W/m</w:t>
      </w:r>
      <w:r w:rsidRPr="0086242B">
        <w:rPr>
          <w:rFonts w:ascii="ITC Avant Garde" w:hAnsi="ITC Avant Garde"/>
          <w:sz w:val="20"/>
          <w:szCs w:val="20"/>
          <w:vertAlign w:val="superscript"/>
        </w:rPr>
        <w:t>2</w:t>
      </w:r>
      <w:r w:rsidRPr="0086242B">
        <w:rPr>
          <w:rFonts w:ascii="ITC Avant Garde" w:hAnsi="ITC Avant Garde"/>
          <w:sz w:val="20"/>
          <w:szCs w:val="20"/>
        </w:rPr>
        <w:t>. Si después de aplicar un procedimiento similar al de los ejemplos anteriores, se obtiene que S2= 0.0024 W/m</w:t>
      </w:r>
      <w:r w:rsidRPr="0086242B">
        <w:rPr>
          <w:rFonts w:ascii="ITC Avant Garde" w:hAnsi="ITC Avant Garde"/>
          <w:sz w:val="20"/>
          <w:szCs w:val="20"/>
          <w:vertAlign w:val="superscript"/>
        </w:rPr>
        <w:t>2</w:t>
      </w:r>
      <w:r w:rsidRPr="0086242B">
        <w:rPr>
          <w:rFonts w:ascii="ITC Avant Garde" w:hAnsi="ITC Avant Garde"/>
          <w:sz w:val="20"/>
          <w:szCs w:val="20"/>
        </w:rPr>
        <w:t xml:space="preserve"> para la antena de PCS y S3=0.006 W/m</w:t>
      </w:r>
      <w:r w:rsidRPr="0086242B">
        <w:rPr>
          <w:rFonts w:ascii="ITC Avant Garde" w:hAnsi="ITC Avant Garde"/>
          <w:sz w:val="20"/>
          <w:szCs w:val="20"/>
          <w:vertAlign w:val="superscript"/>
        </w:rPr>
        <w:t>2</w:t>
      </w:r>
      <w:r w:rsidRPr="0086242B">
        <w:rPr>
          <w:rFonts w:ascii="ITC Avant Garde" w:hAnsi="ITC Avant Garde"/>
          <w:sz w:val="20"/>
          <w:szCs w:val="20"/>
        </w:rPr>
        <w:t xml:space="preserve"> para la antena de telefonía celular, se puede aplicar la relación (4) de la siguiente forma:</w:t>
      </w:r>
    </w:p>
    <w:p w14:paraId="3513BAF2" w14:textId="77777777" w:rsidR="006B595F" w:rsidRPr="0086242B" w:rsidRDefault="006B595F" w:rsidP="006B595F">
      <w:pPr>
        <w:ind w:left="709"/>
        <w:jc w:val="both"/>
        <w:rPr>
          <w:rFonts w:ascii="ITC Avant Garde" w:hAnsi="ITC Avant Garde"/>
          <w:sz w:val="22"/>
          <w:szCs w:val="22"/>
        </w:rPr>
      </w:pPr>
    </w:p>
    <w:p w14:paraId="50F7ACAE" w14:textId="77777777" w:rsidR="006B595F" w:rsidRPr="0086242B" w:rsidRDefault="00672004" w:rsidP="006B595F">
      <w:pPr>
        <w:pStyle w:val="Ecuacin"/>
        <w:ind w:left="709"/>
        <w:jc w:val="center"/>
        <w:rPr>
          <w:rFonts w:ascii="ITC Avant Garde" w:hAnsi="ITC Avant Garde"/>
          <w:sz w:val="22"/>
          <w:szCs w:val="22"/>
        </w:rPr>
      </w:pPr>
      <w:r>
        <w:rPr>
          <w:rFonts w:ascii="ITC Avant Garde" w:hAnsi="ITC Avant Garde"/>
          <w:noProof/>
          <w:position w:val="-30"/>
          <w:sz w:val="22"/>
          <w:szCs w:val="22"/>
          <w:lang w:val="es-MX" w:eastAsia="es-MX"/>
        </w:rPr>
        <w:drawing>
          <wp:inline distT="0" distB="0" distL="0" distR="0" wp14:anchorId="5CFEFE45" wp14:editId="3D6D8285">
            <wp:extent cx="4905375" cy="432435"/>
            <wp:effectExtent l="0" t="0" r="9525"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05375" cy="432435"/>
                    </a:xfrm>
                    <a:prstGeom prst="rect">
                      <a:avLst/>
                    </a:prstGeom>
                    <a:noFill/>
                    <a:ln>
                      <a:noFill/>
                    </a:ln>
                  </pic:spPr>
                </pic:pic>
              </a:graphicData>
            </a:graphic>
          </wp:inline>
        </w:drawing>
      </w:r>
    </w:p>
    <w:p w14:paraId="48A87616" w14:textId="77777777" w:rsidR="006B595F" w:rsidRPr="0086242B" w:rsidRDefault="006B595F" w:rsidP="006B595F">
      <w:pPr>
        <w:pStyle w:val="Ecuacin"/>
        <w:ind w:left="709"/>
        <w:rPr>
          <w:rFonts w:ascii="ITC Avant Garde" w:hAnsi="ITC Avant Garde"/>
          <w:sz w:val="22"/>
          <w:szCs w:val="22"/>
        </w:rPr>
      </w:pPr>
    </w:p>
    <w:p w14:paraId="01C712E5"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Para este cálculo se utilizan los límites de referencia para exposición de la </w:t>
      </w:r>
      <w:r w:rsidRPr="0086242B">
        <w:rPr>
          <w:rFonts w:ascii="ITC Avant Garde" w:hAnsi="ITC Avant Garde"/>
          <w:sz w:val="20"/>
          <w:szCs w:val="20"/>
        </w:rPr>
        <w:fldChar w:fldCharType="begin"/>
      </w:r>
      <w:r w:rsidRPr="0086242B">
        <w:rPr>
          <w:rFonts w:ascii="ITC Avant Garde" w:hAnsi="ITC Avant Garde"/>
          <w:sz w:val="20"/>
          <w:szCs w:val="20"/>
        </w:rPr>
        <w:instrText xml:space="preserve"> REF _Ref119388040 \h  \* MERGEFORMAT </w:instrText>
      </w:r>
      <w:r w:rsidRPr="0086242B">
        <w:rPr>
          <w:rFonts w:ascii="ITC Avant Garde" w:hAnsi="ITC Avant Garde"/>
          <w:sz w:val="20"/>
          <w:szCs w:val="20"/>
        </w:rPr>
      </w:r>
      <w:r w:rsidRPr="0086242B">
        <w:rPr>
          <w:rFonts w:ascii="ITC Avant Garde" w:hAnsi="ITC Avant Garde"/>
          <w:sz w:val="20"/>
          <w:szCs w:val="20"/>
        </w:rPr>
        <w:fldChar w:fldCharType="separate"/>
      </w:r>
      <w:r w:rsidR="00992611" w:rsidRPr="00992611">
        <w:rPr>
          <w:rFonts w:ascii="ITC Avant Garde" w:hAnsi="ITC Avant Garde"/>
          <w:sz w:val="20"/>
          <w:szCs w:val="20"/>
        </w:rPr>
        <w:t>Tabla 2</w:t>
      </w:r>
      <w:r w:rsidRPr="0086242B">
        <w:rPr>
          <w:rFonts w:ascii="ITC Avant Garde" w:hAnsi="ITC Avant Garde"/>
          <w:sz w:val="20"/>
          <w:szCs w:val="20"/>
        </w:rPr>
        <w:fldChar w:fldCharType="end"/>
      </w:r>
      <w:r w:rsidRPr="0086242B">
        <w:rPr>
          <w:rFonts w:ascii="ITC Avant Garde" w:hAnsi="ITC Avant Garde"/>
          <w:sz w:val="20"/>
          <w:szCs w:val="20"/>
        </w:rPr>
        <w:t>, con lo cual se cumple la relación (4). Por lo tanto el nivel de exposición, cumple.</w:t>
      </w:r>
    </w:p>
    <w:p w14:paraId="4D2C9A0E" w14:textId="77777777" w:rsidR="006B595F" w:rsidRPr="0086242B" w:rsidRDefault="006B595F" w:rsidP="006B595F">
      <w:pPr>
        <w:spacing w:line="360" w:lineRule="auto"/>
        <w:jc w:val="both"/>
        <w:rPr>
          <w:rFonts w:ascii="ITC Avant Garde" w:hAnsi="ITC Avant Garde"/>
          <w:sz w:val="20"/>
          <w:szCs w:val="20"/>
        </w:rPr>
      </w:pPr>
    </w:p>
    <w:p w14:paraId="431EF423"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La ecuación que relaciona el campo eléctrico y magnético en condiciones de campo lejano, para ondas planas es:</w:t>
      </w:r>
    </w:p>
    <w:p w14:paraId="1588C686" w14:textId="77777777" w:rsidR="006B595F" w:rsidRPr="0086242B" w:rsidRDefault="006B595F" w:rsidP="006B595F">
      <w:pPr>
        <w:ind w:left="709"/>
        <w:jc w:val="both"/>
        <w:rPr>
          <w:rFonts w:ascii="ITC Avant Garde" w:hAnsi="ITC Avant Garde"/>
          <w:sz w:val="22"/>
          <w:szCs w:val="22"/>
        </w:rPr>
      </w:pPr>
    </w:p>
    <w:p w14:paraId="3B34B40F" w14:textId="77777777" w:rsidR="006B595F" w:rsidRPr="0086242B" w:rsidRDefault="006B595F" w:rsidP="006B595F">
      <w:pPr>
        <w:pStyle w:val="Ecuacin"/>
        <w:ind w:left="709"/>
        <w:rPr>
          <w:rFonts w:ascii="ITC Avant Garde" w:hAnsi="ITC Avant Garde"/>
          <w:sz w:val="22"/>
          <w:szCs w:val="22"/>
        </w:rPr>
      </w:pPr>
      <w:r w:rsidRPr="0086242B">
        <w:rPr>
          <w:rFonts w:ascii="ITC Avant Garde" w:hAnsi="ITC Avant Garde"/>
          <w:sz w:val="22"/>
          <w:szCs w:val="22"/>
        </w:rPr>
        <w:tab/>
      </w:r>
      <w:r w:rsidR="00672004">
        <w:rPr>
          <w:rFonts w:ascii="ITC Avant Garde" w:hAnsi="ITC Avant Garde"/>
          <w:noProof/>
          <w:position w:val="-28"/>
          <w:sz w:val="22"/>
          <w:szCs w:val="22"/>
          <w:lang w:val="es-MX" w:eastAsia="es-MX"/>
        </w:rPr>
        <w:drawing>
          <wp:inline distT="0" distB="0" distL="0" distR="0" wp14:anchorId="2D34FFE9" wp14:editId="654A4E15">
            <wp:extent cx="1272540" cy="432435"/>
            <wp:effectExtent l="0" t="0" r="0"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2540" cy="432435"/>
                    </a:xfrm>
                    <a:prstGeom prst="rect">
                      <a:avLst/>
                    </a:prstGeom>
                    <a:noFill/>
                    <a:ln>
                      <a:noFill/>
                    </a:ln>
                  </pic:spPr>
                </pic:pic>
              </a:graphicData>
            </a:graphic>
          </wp:inline>
        </w:drawing>
      </w:r>
      <w:r w:rsidRPr="0086242B">
        <w:rPr>
          <w:rFonts w:ascii="ITC Avant Garde" w:hAnsi="ITC Avant Garde"/>
          <w:sz w:val="22"/>
          <w:szCs w:val="22"/>
        </w:rPr>
        <w:tab/>
      </w:r>
    </w:p>
    <w:p w14:paraId="6FEC71D2" w14:textId="77777777" w:rsidR="006B595F" w:rsidRPr="0086242B" w:rsidRDefault="006B595F" w:rsidP="006B595F">
      <w:pPr>
        <w:ind w:left="709"/>
        <w:rPr>
          <w:rFonts w:ascii="ITC Avant Garde" w:hAnsi="ITC Avant Garde"/>
          <w:sz w:val="22"/>
          <w:szCs w:val="22"/>
        </w:rPr>
      </w:pPr>
    </w:p>
    <w:p w14:paraId="5CD78557" w14:textId="77777777" w:rsidR="006B595F" w:rsidRPr="0086242B" w:rsidRDefault="006B595F" w:rsidP="006B595F">
      <w:pPr>
        <w:spacing w:line="360" w:lineRule="auto"/>
        <w:ind w:left="709"/>
        <w:rPr>
          <w:rFonts w:ascii="ITC Avant Garde" w:hAnsi="ITC Avant Garde"/>
          <w:sz w:val="20"/>
          <w:szCs w:val="20"/>
        </w:rPr>
      </w:pPr>
      <w:r w:rsidRPr="0086242B">
        <w:rPr>
          <w:rFonts w:ascii="ITC Avant Garde" w:hAnsi="ITC Avant Garde"/>
          <w:sz w:val="20"/>
          <w:szCs w:val="20"/>
        </w:rPr>
        <w:t>En donde:</w:t>
      </w:r>
    </w:p>
    <w:p w14:paraId="532344C7" w14:textId="77777777" w:rsidR="006B595F" w:rsidRPr="0086242B" w:rsidRDefault="006B595F" w:rsidP="006B595F">
      <w:pPr>
        <w:tabs>
          <w:tab w:val="left" w:pos="709"/>
          <w:tab w:val="left" w:pos="992"/>
          <w:tab w:val="left" w:pos="1276"/>
        </w:tabs>
        <w:spacing w:line="360" w:lineRule="auto"/>
        <w:ind w:left="709"/>
        <w:rPr>
          <w:rFonts w:ascii="ITC Avant Garde" w:hAnsi="ITC Avant Garde"/>
          <w:sz w:val="20"/>
          <w:szCs w:val="20"/>
        </w:rPr>
      </w:pPr>
      <w:r w:rsidRPr="0086242B">
        <w:rPr>
          <w:rFonts w:ascii="ITC Avant Garde" w:hAnsi="ITC Avant Garde"/>
          <w:i/>
          <w:sz w:val="20"/>
          <w:szCs w:val="20"/>
        </w:rPr>
        <w:tab/>
        <w:t>E</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t>Intensidad de campo eléctrico [V/m].</w:t>
      </w:r>
    </w:p>
    <w:p w14:paraId="0B126EE5" w14:textId="77777777" w:rsidR="006B595F" w:rsidRPr="0086242B" w:rsidRDefault="006B595F" w:rsidP="006B595F">
      <w:pPr>
        <w:tabs>
          <w:tab w:val="left" w:pos="709"/>
          <w:tab w:val="left" w:pos="992"/>
          <w:tab w:val="left" w:pos="1276"/>
        </w:tabs>
        <w:spacing w:line="360" w:lineRule="auto"/>
        <w:ind w:left="709"/>
        <w:rPr>
          <w:rFonts w:ascii="ITC Avant Garde" w:hAnsi="ITC Avant Garde"/>
          <w:sz w:val="20"/>
          <w:szCs w:val="20"/>
        </w:rPr>
      </w:pPr>
      <w:r w:rsidRPr="0086242B">
        <w:rPr>
          <w:rFonts w:ascii="ITC Avant Garde" w:hAnsi="ITC Avant Garde"/>
          <w:i/>
          <w:sz w:val="20"/>
          <w:szCs w:val="20"/>
        </w:rPr>
        <w:tab/>
        <w:t>H</w:t>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t>Intensidad de campo magnético [A/m].</w:t>
      </w:r>
    </w:p>
    <w:p w14:paraId="5D35108B" w14:textId="77777777" w:rsidR="006B595F" w:rsidRPr="0086242B" w:rsidRDefault="006B595F" w:rsidP="006B595F">
      <w:pPr>
        <w:tabs>
          <w:tab w:val="left" w:pos="709"/>
          <w:tab w:val="left" w:pos="992"/>
          <w:tab w:val="left" w:pos="1276"/>
        </w:tabs>
        <w:spacing w:line="360" w:lineRule="auto"/>
        <w:ind w:left="709"/>
        <w:rPr>
          <w:rFonts w:ascii="ITC Avant Garde" w:hAnsi="ITC Avant Garde"/>
          <w:sz w:val="20"/>
          <w:szCs w:val="20"/>
        </w:rPr>
      </w:pPr>
      <w:r w:rsidRPr="0086242B">
        <w:rPr>
          <w:rFonts w:ascii="ITC Avant Garde" w:hAnsi="ITC Avant Garde"/>
          <w:i/>
          <w:sz w:val="20"/>
          <w:szCs w:val="20"/>
        </w:rPr>
        <w:tab/>
      </w:r>
      <w:r w:rsidR="00672004">
        <w:rPr>
          <w:rFonts w:ascii="ITC Avant Garde" w:hAnsi="ITC Avant Garde"/>
          <w:noProof/>
          <w:position w:val="-12"/>
          <w:sz w:val="20"/>
          <w:szCs w:val="20"/>
          <w:lang w:val="es-MX" w:eastAsia="es-MX"/>
        </w:rPr>
        <w:drawing>
          <wp:inline distT="0" distB="0" distL="0" distR="0" wp14:anchorId="6EA25D8F" wp14:editId="65EC204C">
            <wp:extent cx="185420" cy="234950"/>
            <wp:effectExtent l="0" t="0" r="508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420" cy="234950"/>
                    </a:xfrm>
                    <a:prstGeom prst="rect">
                      <a:avLst/>
                    </a:prstGeom>
                    <a:noFill/>
                    <a:ln>
                      <a:noFill/>
                    </a:ln>
                  </pic:spPr>
                </pic:pic>
              </a:graphicData>
            </a:graphic>
          </wp:inline>
        </w:drawing>
      </w:r>
      <w:r w:rsidRPr="0086242B">
        <w:rPr>
          <w:rFonts w:ascii="ITC Avant Garde" w:hAnsi="ITC Avant Garde"/>
          <w:i/>
          <w:sz w:val="20"/>
          <w:szCs w:val="20"/>
        </w:rPr>
        <w:tab/>
      </w:r>
      <w:r w:rsidRPr="0086242B">
        <w:rPr>
          <w:rFonts w:ascii="ITC Avant Garde" w:hAnsi="ITC Avant Garde"/>
          <w:sz w:val="20"/>
          <w:szCs w:val="20"/>
        </w:rPr>
        <w:t>=</w:t>
      </w:r>
      <w:r w:rsidRPr="0086242B">
        <w:rPr>
          <w:rFonts w:ascii="ITC Avant Garde" w:hAnsi="ITC Avant Garde"/>
          <w:sz w:val="20"/>
          <w:szCs w:val="20"/>
        </w:rPr>
        <w:tab/>
        <w:t xml:space="preserve">Impedancia intrínseca del espacio </w:t>
      </w:r>
      <w:proofErr w:type="gramStart"/>
      <w:r w:rsidRPr="0086242B">
        <w:rPr>
          <w:rFonts w:ascii="ITC Avant Garde" w:hAnsi="ITC Avant Garde"/>
          <w:sz w:val="20"/>
          <w:szCs w:val="20"/>
        </w:rPr>
        <w:t xml:space="preserve">libre </w:t>
      </w:r>
      <w:proofErr w:type="gramEnd"/>
      <w:r w:rsidR="00672004">
        <w:rPr>
          <w:rFonts w:ascii="ITC Avant Garde" w:hAnsi="ITC Avant Garde"/>
          <w:noProof/>
          <w:position w:val="-10"/>
          <w:sz w:val="20"/>
          <w:szCs w:val="20"/>
          <w:lang w:val="es-MX" w:eastAsia="es-MX"/>
        </w:rPr>
        <w:drawing>
          <wp:inline distT="0" distB="0" distL="0" distR="0" wp14:anchorId="2E9FEC6F" wp14:editId="483E3C95">
            <wp:extent cx="1247775" cy="185420"/>
            <wp:effectExtent l="0" t="0" r="9525"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7775" cy="185420"/>
                    </a:xfrm>
                    <a:prstGeom prst="rect">
                      <a:avLst/>
                    </a:prstGeom>
                    <a:noFill/>
                    <a:ln>
                      <a:noFill/>
                    </a:ln>
                  </pic:spPr>
                </pic:pic>
              </a:graphicData>
            </a:graphic>
          </wp:inline>
        </w:drawing>
      </w:r>
      <w:r w:rsidRPr="0086242B">
        <w:rPr>
          <w:rFonts w:ascii="ITC Avant Garde" w:hAnsi="ITC Avant Garde"/>
          <w:sz w:val="20"/>
          <w:szCs w:val="20"/>
        </w:rPr>
        <w:t>.</w:t>
      </w:r>
    </w:p>
    <w:p w14:paraId="57C89E07" w14:textId="77777777" w:rsidR="006B595F" w:rsidRPr="0086242B" w:rsidRDefault="006B595F" w:rsidP="006B595F">
      <w:pPr>
        <w:tabs>
          <w:tab w:val="left" w:pos="709"/>
          <w:tab w:val="left" w:pos="992"/>
          <w:tab w:val="left" w:pos="1276"/>
        </w:tabs>
        <w:ind w:left="709"/>
        <w:rPr>
          <w:rFonts w:ascii="ITC Avant Garde" w:hAnsi="ITC Avant Garde"/>
          <w:sz w:val="22"/>
          <w:szCs w:val="22"/>
        </w:rPr>
      </w:pPr>
    </w:p>
    <w:p w14:paraId="46636436" w14:textId="77777777" w:rsidR="006B595F" w:rsidRPr="0086242B" w:rsidRDefault="006B595F" w:rsidP="006B595F">
      <w:pPr>
        <w:tabs>
          <w:tab w:val="left" w:pos="709"/>
          <w:tab w:val="left" w:pos="992"/>
          <w:tab w:val="left" w:pos="1276"/>
        </w:tabs>
        <w:ind w:left="709"/>
        <w:rPr>
          <w:rFonts w:ascii="ITC Avant Garde" w:hAnsi="ITC Avant Garde"/>
          <w:sz w:val="22"/>
          <w:szCs w:val="22"/>
        </w:rPr>
      </w:pPr>
    </w:p>
    <w:p w14:paraId="6E083425" w14:textId="77777777" w:rsidR="006B595F" w:rsidRPr="0086242B" w:rsidRDefault="006B595F" w:rsidP="006B595F">
      <w:pPr>
        <w:ind w:left="709"/>
        <w:rPr>
          <w:rFonts w:ascii="ITC Avant Garde" w:hAnsi="ITC Avant Garde"/>
          <w:sz w:val="22"/>
          <w:szCs w:val="22"/>
        </w:rPr>
      </w:pPr>
    </w:p>
    <w:p w14:paraId="4BC5690D" w14:textId="77777777" w:rsidR="006B595F" w:rsidRPr="0086242B" w:rsidRDefault="006B595F" w:rsidP="006B595F">
      <w:pPr>
        <w:jc w:val="center"/>
        <w:rPr>
          <w:rFonts w:ascii="ITC Avant Garde" w:hAnsi="ITC Avant Garde"/>
          <w:b/>
          <w:sz w:val="22"/>
          <w:szCs w:val="22"/>
        </w:rPr>
      </w:pPr>
      <w:r w:rsidRPr="0086242B">
        <w:rPr>
          <w:rFonts w:ascii="ITC Avant Garde" w:hAnsi="ITC Avant Garde"/>
        </w:rPr>
        <w:br w:type="page"/>
      </w:r>
      <w:r w:rsidRPr="0086242B">
        <w:rPr>
          <w:rFonts w:ascii="ITC Avant Garde" w:hAnsi="ITC Avant Garde"/>
          <w:b/>
          <w:sz w:val="22"/>
          <w:szCs w:val="22"/>
        </w:rPr>
        <w:t>APENDICE B (INFORMATIVO)</w:t>
      </w:r>
    </w:p>
    <w:p w14:paraId="6F5BEA11" w14:textId="77777777" w:rsidR="006B595F" w:rsidRPr="0086242B" w:rsidRDefault="006B595F" w:rsidP="006B595F">
      <w:pPr>
        <w:pStyle w:val="Ttulo3"/>
        <w:numPr>
          <w:ilvl w:val="0"/>
          <w:numId w:val="0"/>
        </w:numPr>
        <w:spacing w:line="240" w:lineRule="auto"/>
        <w:rPr>
          <w:rFonts w:ascii="ITC Avant Garde" w:hAnsi="ITC Avant Garde"/>
          <w:color w:val="auto"/>
          <w:sz w:val="22"/>
          <w:szCs w:val="22"/>
        </w:rPr>
      </w:pPr>
      <w:bookmarkStart w:id="49" w:name="_Toc414444618"/>
      <w:r w:rsidRPr="0086242B">
        <w:rPr>
          <w:rFonts w:ascii="ITC Avant Garde" w:hAnsi="ITC Avant Garde"/>
          <w:color w:val="auto"/>
          <w:sz w:val="22"/>
          <w:szCs w:val="22"/>
        </w:rPr>
        <w:t xml:space="preserve">Consideraciones </w:t>
      </w:r>
      <w:r w:rsidRPr="0086242B">
        <w:rPr>
          <w:rFonts w:ascii="ITC Avant Garde" w:hAnsi="ITC Avant Garde"/>
          <w:color w:val="auto"/>
          <w:sz w:val="22"/>
          <w:szCs w:val="22"/>
          <w:lang w:val="es-MX"/>
        </w:rPr>
        <w:t>d</w:t>
      </w:r>
      <w:r w:rsidRPr="0086242B">
        <w:rPr>
          <w:rFonts w:ascii="ITC Avant Garde" w:hAnsi="ITC Avant Garde"/>
          <w:color w:val="auto"/>
          <w:sz w:val="22"/>
          <w:szCs w:val="22"/>
        </w:rPr>
        <w:t>e Seguridad</w:t>
      </w:r>
      <w:bookmarkEnd w:id="49"/>
    </w:p>
    <w:p w14:paraId="342F7FEB" w14:textId="77777777" w:rsidR="006B595F" w:rsidRPr="0086242B" w:rsidRDefault="006B595F" w:rsidP="006B595F">
      <w:pPr>
        <w:pStyle w:val="Ttulo4"/>
        <w:numPr>
          <w:ilvl w:val="0"/>
          <w:numId w:val="0"/>
        </w:numPr>
        <w:spacing w:line="240" w:lineRule="auto"/>
        <w:rPr>
          <w:rFonts w:ascii="ITC Avant Garde" w:hAnsi="ITC Avant Garde"/>
          <w:i w:val="0"/>
          <w:color w:val="auto"/>
          <w:sz w:val="22"/>
          <w:szCs w:val="22"/>
          <w:lang w:val="es-MX"/>
        </w:rPr>
      </w:pPr>
      <w:r w:rsidRPr="0086242B">
        <w:rPr>
          <w:rFonts w:ascii="ITC Avant Garde" w:hAnsi="ITC Avant Garde"/>
          <w:i w:val="0"/>
          <w:color w:val="auto"/>
          <w:sz w:val="22"/>
          <w:szCs w:val="22"/>
        </w:rPr>
        <w:t>Riesgos potenciales no asociados directamente con el proceso de medición</w:t>
      </w:r>
      <w:r w:rsidRPr="0086242B">
        <w:rPr>
          <w:rFonts w:ascii="ITC Avant Garde" w:hAnsi="ITC Avant Garde"/>
          <w:i w:val="0"/>
          <w:color w:val="auto"/>
          <w:sz w:val="22"/>
          <w:szCs w:val="22"/>
          <w:lang w:val="es-MX"/>
        </w:rPr>
        <w:t>.</w:t>
      </w:r>
    </w:p>
    <w:p w14:paraId="1D4B2A06" w14:textId="77777777" w:rsidR="006B595F" w:rsidRPr="0086242B" w:rsidRDefault="006B595F" w:rsidP="006B595F">
      <w:pPr>
        <w:rPr>
          <w:rFonts w:ascii="ITC Avant Garde" w:hAnsi="ITC Avant Garde"/>
          <w:lang w:val="es-MX"/>
        </w:rPr>
      </w:pPr>
    </w:p>
    <w:p w14:paraId="6797DEE0"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Antes de tomar las medidas de seguridad específicas asociadas al proceso de medición, es conveniente describir algunos riesgos potenciales adicionales a los que se originan directamente por el proceso de medición y que pueden estar relacionados con el equipo electrónico o sistema que está siendo evaluado.</w:t>
      </w:r>
    </w:p>
    <w:p w14:paraId="484E2824" w14:textId="77777777" w:rsidR="006B595F" w:rsidRPr="0086242B" w:rsidRDefault="006B595F" w:rsidP="006B595F">
      <w:pPr>
        <w:jc w:val="both"/>
        <w:rPr>
          <w:rFonts w:ascii="ITC Avant Garde" w:hAnsi="ITC Avant Garde"/>
        </w:rPr>
      </w:pPr>
    </w:p>
    <w:p w14:paraId="7966D513" w14:textId="77777777" w:rsidR="006B595F" w:rsidRPr="0086242B" w:rsidRDefault="006B595F" w:rsidP="006B595F">
      <w:pPr>
        <w:numPr>
          <w:ilvl w:val="0"/>
          <w:numId w:val="8"/>
        </w:numPr>
        <w:spacing w:line="360" w:lineRule="auto"/>
        <w:jc w:val="both"/>
        <w:rPr>
          <w:rFonts w:ascii="ITC Avant Garde" w:hAnsi="ITC Avant Garde"/>
          <w:sz w:val="20"/>
          <w:szCs w:val="20"/>
        </w:rPr>
      </w:pPr>
      <w:r w:rsidRPr="0086242B">
        <w:rPr>
          <w:rFonts w:ascii="ITC Avant Garde" w:hAnsi="ITC Avant Garde"/>
          <w:b/>
          <w:sz w:val="20"/>
          <w:szCs w:val="20"/>
        </w:rPr>
        <w:t>Alto voltaje.-</w:t>
      </w:r>
      <w:r w:rsidRPr="0086242B">
        <w:rPr>
          <w:rFonts w:ascii="ITC Avant Garde" w:hAnsi="ITC Avant Garde"/>
          <w:sz w:val="20"/>
          <w:szCs w:val="20"/>
        </w:rPr>
        <w:t xml:space="preserve"> El equipo eléctrico y electrónico puede producir choques eléctricos mortales. </w:t>
      </w:r>
      <w:r w:rsidRPr="0086242B">
        <w:rPr>
          <w:rFonts w:ascii="ITC Avant Garde" w:hAnsi="ITC Avant Garde"/>
          <w:sz w:val="20"/>
          <w:szCs w:val="20"/>
          <w:lang w:val="es-ES_tradnl"/>
        </w:rPr>
        <w:t xml:space="preserve">Al trabajar con este equipo, es necesario tomar precauciones de rutina tales como no desactivar los sistemas de protección, extremar el cuidado en los conductores y las terminales de alta tensión que se encuentran expuestas por necesidad, así como evitar trabajar a solas cerca de sistemas de alta tensión. Es necesario señalar que, en muchos sistemas de alta potencia una de las principales causas de fuga de energía de RF son los electrodos de alta tensión de </w:t>
      </w:r>
      <w:r w:rsidR="00E14243" w:rsidRPr="00F02808">
        <w:rPr>
          <w:rFonts w:ascii="ITC Avant Garde" w:hAnsi="ITC Avant Garde"/>
          <w:sz w:val="20"/>
          <w:szCs w:val="20"/>
          <w:lang w:val="es-ES_tradnl"/>
        </w:rPr>
        <w:t xml:space="preserve">los tubos de vacío </w:t>
      </w:r>
      <w:r w:rsidRPr="0086242B">
        <w:rPr>
          <w:rFonts w:ascii="ITC Avant Garde" w:hAnsi="ITC Avant Garde"/>
          <w:sz w:val="20"/>
          <w:szCs w:val="20"/>
          <w:lang w:val="es-ES_tradnl"/>
        </w:rPr>
        <w:t xml:space="preserve">que utiliza el transmisor. Se deben tener precauciones adicionales cuando se efectúen mediciones en la cercanía de estructuras conductoras, tales como grúas de gran altitud o cables largos suspendidos verticalmente que se localizan cerca de fuentes de alta potencia y baja frecuencia de RF. En tales circunstancias, pueden existir grandes voltajes de circuito abierto sobre las estructuras que están expuestas a un ambiente de campos de RF; dichos voltajes pueden alcanzar niveles de varios </w:t>
      </w:r>
      <w:proofErr w:type="spellStart"/>
      <w:r w:rsidRPr="0086242B">
        <w:rPr>
          <w:rFonts w:ascii="ITC Avant Garde" w:hAnsi="ITC Avant Garde"/>
          <w:sz w:val="20"/>
          <w:szCs w:val="20"/>
          <w:lang w:val="es-ES_tradnl"/>
        </w:rPr>
        <w:t>kilovolts</w:t>
      </w:r>
      <w:proofErr w:type="spellEnd"/>
      <w:r w:rsidRPr="0086242B">
        <w:rPr>
          <w:rFonts w:ascii="ITC Avant Garde" w:hAnsi="ITC Avant Garde"/>
          <w:sz w:val="20"/>
          <w:szCs w:val="20"/>
          <w:lang w:val="es-ES_tradnl"/>
        </w:rPr>
        <w:t xml:space="preserve"> y tienen el potencial de provocar un arco de alto voltaje a un cuerpo aterrizado, causando fuertes sobresaltos y en algunos casos, serias quemaduras por energía de RF. Por lo anterior, se deben tomar las precauciones apropiadas para evitar el contacto con objetos aterrizados inadecuadamente en campos de RF intensos.</w:t>
      </w:r>
    </w:p>
    <w:p w14:paraId="79093E99" w14:textId="77777777" w:rsidR="006B595F" w:rsidRPr="0086242B" w:rsidRDefault="006B595F" w:rsidP="006B595F">
      <w:pPr>
        <w:numPr>
          <w:ilvl w:val="0"/>
          <w:numId w:val="8"/>
        </w:numPr>
        <w:spacing w:line="360" w:lineRule="auto"/>
        <w:jc w:val="both"/>
        <w:rPr>
          <w:rFonts w:ascii="ITC Avant Garde" w:hAnsi="ITC Avant Garde"/>
          <w:sz w:val="20"/>
          <w:szCs w:val="20"/>
        </w:rPr>
      </w:pPr>
      <w:r w:rsidRPr="0086242B">
        <w:rPr>
          <w:rFonts w:ascii="ITC Avant Garde" w:hAnsi="ITC Avant Garde"/>
          <w:b/>
          <w:sz w:val="20"/>
          <w:szCs w:val="20"/>
        </w:rPr>
        <w:t>Rayos X.-</w:t>
      </w:r>
      <w:r w:rsidRPr="0086242B">
        <w:rPr>
          <w:rFonts w:ascii="ITC Avant Garde" w:hAnsi="ITC Avant Garde"/>
          <w:sz w:val="20"/>
          <w:szCs w:val="20"/>
        </w:rPr>
        <w:t xml:space="preserve"> </w:t>
      </w:r>
      <w:r w:rsidRPr="0086242B">
        <w:rPr>
          <w:rFonts w:ascii="ITC Avant Garde" w:hAnsi="ITC Avant Garde"/>
          <w:sz w:val="20"/>
          <w:szCs w:val="20"/>
          <w:lang w:val="es-ES_tradnl"/>
        </w:rPr>
        <w:t xml:space="preserve">Generalmente existe el potencial de emitir rayos X en los sistemas de alta potencia que utilizan transmisores con </w:t>
      </w:r>
      <w:r w:rsidR="00E14243" w:rsidRPr="00F02808">
        <w:rPr>
          <w:rFonts w:ascii="ITC Avant Garde" w:hAnsi="ITC Avant Garde"/>
          <w:sz w:val="20"/>
          <w:szCs w:val="20"/>
          <w:lang w:val="es-ES_tradnl"/>
        </w:rPr>
        <w:t xml:space="preserve">tubos de vació de alto </w:t>
      </w:r>
      <w:proofErr w:type="gramStart"/>
      <w:r w:rsidR="00E14243" w:rsidRPr="00F02808">
        <w:rPr>
          <w:rFonts w:ascii="ITC Avant Garde" w:hAnsi="ITC Avant Garde"/>
          <w:sz w:val="20"/>
          <w:szCs w:val="20"/>
          <w:lang w:val="es-ES_tradnl"/>
        </w:rPr>
        <w:t xml:space="preserve">voltaje </w:t>
      </w:r>
      <w:r w:rsidR="00E14243" w:rsidRPr="0086242B">
        <w:rPr>
          <w:rFonts w:ascii="ITC Avant Garde" w:hAnsi="ITC Avant Garde"/>
          <w:sz w:val="20"/>
          <w:szCs w:val="20"/>
          <w:lang w:val="es-ES_tradnl"/>
        </w:rPr>
        <w:t xml:space="preserve"> </w:t>
      </w:r>
      <w:r w:rsidRPr="0086242B">
        <w:rPr>
          <w:rFonts w:ascii="ITC Avant Garde" w:hAnsi="ITC Avant Garde"/>
          <w:sz w:val="20"/>
          <w:szCs w:val="20"/>
          <w:lang w:val="es-ES_tradnl"/>
        </w:rPr>
        <w:t>(</w:t>
      </w:r>
      <w:proofErr w:type="gramEnd"/>
      <w:r w:rsidRPr="0086242B">
        <w:rPr>
          <w:rFonts w:ascii="ITC Avant Garde" w:hAnsi="ITC Avant Garde"/>
          <w:sz w:val="20"/>
          <w:szCs w:val="20"/>
          <w:lang w:val="es-ES_tradnl"/>
        </w:rPr>
        <w:t xml:space="preserve">mayores a 20 </w:t>
      </w:r>
      <w:proofErr w:type="spellStart"/>
      <w:r w:rsidRPr="0086242B">
        <w:rPr>
          <w:rFonts w:ascii="ITC Avant Garde" w:hAnsi="ITC Avant Garde"/>
          <w:sz w:val="20"/>
          <w:szCs w:val="20"/>
          <w:lang w:val="es-ES_tradnl"/>
        </w:rPr>
        <w:t>kV</w:t>
      </w:r>
      <w:proofErr w:type="spellEnd"/>
      <w:r w:rsidRPr="0086242B">
        <w:rPr>
          <w:rFonts w:ascii="ITC Avant Garde" w:hAnsi="ITC Avant Garde"/>
          <w:sz w:val="20"/>
          <w:szCs w:val="20"/>
          <w:lang w:val="es-ES_tradnl"/>
        </w:rPr>
        <w:t>). En estos casos se debe realizar primero una evaluación de las emisiones de rayos X antes de comenzar el proceso de medición de energía de RF en las cercanías de dichos transmisores. Aquí debe tenerse cuidado de que el instrumento de medición de rayos X no sea susceptible a las interferencias de radiofrecuencia.</w:t>
      </w:r>
    </w:p>
    <w:p w14:paraId="72B367CB" w14:textId="77777777" w:rsidR="006B595F" w:rsidRPr="0086242B" w:rsidRDefault="006B595F" w:rsidP="006B595F">
      <w:pPr>
        <w:numPr>
          <w:ilvl w:val="0"/>
          <w:numId w:val="8"/>
        </w:numPr>
        <w:spacing w:line="360" w:lineRule="auto"/>
        <w:jc w:val="both"/>
        <w:rPr>
          <w:rFonts w:ascii="ITC Avant Garde" w:hAnsi="ITC Avant Garde"/>
          <w:sz w:val="20"/>
          <w:szCs w:val="20"/>
        </w:rPr>
      </w:pPr>
      <w:r w:rsidRPr="0086242B">
        <w:rPr>
          <w:rFonts w:ascii="ITC Avant Garde" w:hAnsi="ITC Avant Garde"/>
          <w:b/>
          <w:sz w:val="20"/>
          <w:szCs w:val="20"/>
        </w:rPr>
        <w:t>Campos magnéticos de corriente directa</w:t>
      </w:r>
      <w:r w:rsidRPr="0086242B">
        <w:rPr>
          <w:rFonts w:ascii="ITC Avant Garde" w:hAnsi="ITC Avant Garde"/>
          <w:sz w:val="20"/>
          <w:szCs w:val="20"/>
        </w:rPr>
        <w:t xml:space="preserve">.- </w:t>
      </w:r>
      <w:r w:rsidRPr="0086242B">
        <w:rPr>
          <w:rFonts w:ascii="ITC Avant Garde" w:hAnsi="ITC Avant Garde"/>
          <w:sz w:val="20"/>
          <w:szCs w:val="20"/>
          <w:lang w:val="es-ES_tradnl"/>
        </w:rPr>
        <w:t>Los sistemas de muy alta potencia pueden incluir fuentes de campos magnéticos estáticos y de muy baja frecuencia. El personal a cargo de las mediciones debe evitar la cercanía prolongada a dichas fuentes, que pueden exceder los límites recomendados por diferentes normas para campos estáticos.</w:t>
      </w:r>
    </w:p>
    <w:p w14:paraId="67A1CC75" w14:textId="77777777" w:rsidR="006B595F" w:rsidRPr="0086242B" w:rsidRDefault="006B595F" w:rsidP="006B595F">
      <w:pPr>
        <w:numPr>
          <w:ilvl w:val="0"/>
          <w:numId w:val="8"/>
        </w:numPr>
        <w:spacing w:line="360" w:lineRule="auto"/>
        <w:jc w:val="both"/>
        <w:rPr>
          <w:rFonts w:ascii="ITC Avant Garde" w:hAnsi="ITC Avant Garde"/>
          <w:sz w:val="20"/>
          <w:szCs w:val="20"/>
        </w:rPr>
      </w:pPr>
      <w:r w:rsidRPr="0086242B">
        <w:rPr>
          <w:rFonts w:ascii="ITC Avant Garde" w:hAnsi="ITC Avant Garde"/>
          <w:b/>
          <w:sz w:val="20"/>
          <w:szCs w:val="20"/>
          <w:lang w:val="es-ES_tradnl"/>
        </w:rPr>
        <w:t>Riesgos indirectos causados por los campos de RF</w:t>
      </w:r>
      <w:r w:rsidRPr="0086242B">
        <w:rPr>
          <w:rFonts w:ascii="ITC Avant Garde" w:hAnsi="ITC Avant Garde"/>
          <w:sz w:val="20"/>
          <w:szCs w:val="20"/>
          <w:lang w:val="es-ES_tradnl"/>
        </w:rPr>
        <w:t>.- Es importante recordar que la presencia de campos de RF puede provocar peligros a la salud, o por lo menos efectos indeseables, además de aquellos derivados de la exposición del tejido corporal. Puesto que las mediciones pueden ser realizadas no sólo en condiciones controladas de laboratorio, sino también cerca de transmisores móviles se debe estar consciente de las siguientes posibilidades:</w:t>
      </w:r>
    </w:p>
    <w:p w14:paraId="452D8C21" w14:textId="77777777" w:rsidR="006B595F" w:rsidRPr="0086242B" w:rsidRDefault="006B595F" w:rsidP="006B595F">
      <w:pPr>
        <w:numPr>
          <w:ilvl w:val="1"/>
          <w:numId w:val="8"/>
        </w:numPr>
        <w:spacing w:line="360" w:lineRule="auto"/>
        <w:jc w:val="both"/>
        <w:rPr>
          <w:rFonts w:ascii="ITC Avant Garde" w:hAnsi="ITC Avant Garde"/>
          <w:sz w:val="20"/>
          <w:szCs w:val="20"/>
        </w:rPr>
      </w:pPr>
      <w:r w:rsidRPr="0086242B">
        <w:rPr>
          <w:rFonts w:ascii="ITC Avant Garde" w:hAnsi="ITC Avant Garde"/>
          <w:sz w:val="20"/>
          <w:szCs w:val="20"/>
        </w:rPr>
        <w:t xml:space="preserve">Existen riesgos importantes que </w:t>
      </w:r>
      <w:r w:rsidRPr="0086242B">
        <w:rPr>
          <w:rFonts w:ascii="ITC Avant Garde" w:hAnsi="ITC Avant Garde"/>
          <w:sz w:val="20"/>
          <w:szCs w:val="20"/>
          <w:lang w:val="es-ES_tradnl"/>
        </w:rPr>
        <w:t>están asociados cuando alguien está cerca de dispositivos explosivos activados eléctrica o electrónicamente, así como gas combustible o materiales que pueden incendiarse a causa de su exposición a campos electromagnéticos.</w:t>
      </w:r>
    </w:p>
    <w:p w14:paraId="7F65AFD7" w14:textId="77777777" w:rsidR="006B595F" w:rsidRPr="0086242B" w:rsidRDefault="006B595F" w:rsidP="006B595F">
      <w:pPr>
        <w:numPr>
          <w:ilvl w:val="1"/>
          <w:numId w:val="8"/>
        </w:numPr>
        <w:spacing w:line="360" w:lineRule="auto"/>
        <w:jc w:val="both"/>
        <w:rPr>
          <w:rFonts w:ascii="ITC Avant Garde" w:hAnsi="ITC Avant Garde"/>
          <w:sz w:val="20"/>
          <w:szCs w:val="20"/>
        </w:rPr>
      </w:pPr>
      <w:r w:rsidRPr="0086242B">
        <w:rPr>
          <w:rFonts w:ascii="ITC Avant Garde" w:hAnsi="ITC Avant Garde"/>
          <w:sz w:val="20"/>
          <w:szCs w:val="20"/>
          <w:lang w:val="es-ES_tradnl"/>
        </w:rPr>
        <w:t>En general es importante advertir que la interferencia potencial de campos electromagnéticos a los sistemas o dispositivos electrónicos, a menudo se presenta en niveles muy por debajo de aquellos que causan un daño corporal. En estas condiciones, este tipo de interferencia puede causar únicamente cierta molestia, como por ejemplo, cuando en una televisión se observa una imagen distorsionada originada por la operación a baja altura de un radar, o también puede ser causa de un riesgo mucho mayor como por ejemplo cuando se altera la programación de dispositivos médicos controlados por microprocesadores, tales como los marcapasos, o se inducen errores en computadoras digitales que controlan procesos industriales. En cualquiera de estos casos, esa interferencia es indeseable y es necesario llevar a cabo una clara evaluación del impacto que pueden causar las señales interferentes de RF en el proceso de medición.</w:t>
      </w:r>
    </w:p>
    <w:p w14:paraId="7B17D3D9" w14:textId="77777777" w:rsidR="006B595F" w:rsidRPr="0086242B" w:rsidRDefault="006B595F" w:rsidP="006B595F">
      <w:pPr>
        <w:numPr>
          <w:ilvl w:val="0"/>
          <w:numId w:val="8"/>
        </w:numPr>
        <w:spacing w:line="360" w:lineRule="auto"/>
        <w:jc w:val="both"/>
        <w:rPr>
          <w:rFonts w:ascii="ITC Avant Garde" w:hAnsi="ITC Avant Garde"/>
          <w:sz w:val="20"/>
          <w:szCs w:val="20"/>
        </w:rPr>
      </w:pPr>
      <w:r w:rsidRPr="0086242B">
        <w:rPr>
          <w:rFonts w:ascii="ITC Avant Garde" w:hAnsi="ITC Avant Garde"/>
          <w:b/>
          <w:sz w:val="20"/>
          <w:szCs w:val="20"/>
        </w:rPr>
        <w:t>Quemaduras</w:t>
      </w:r>
      <w:r w:rsidRPr="0086242B">
        <w:rPr>
          <w:rFonts w:ascii="ITC Avant Garde" w:hAnsi="ITC Avant Garde"/>
          <w:sz w:val="20"/>
          <w:szCs w:val="20"/>
        </w:rPr>
        <w:t xml:space="preserve">.- </w:t>
      </w:r>
      <w:r w:rsidRPr="0086242B">
        <w:rPr>
          <w:rFonts w:ascii="ITC Avant Garde" w:hAnsi="ITC Avant Garde"/>
          <w:sz w:val="20"/>
          <w:szCs w:val="20"/>
          <w:lang w:val="es-ES_tradnl"/>
        </w:rPr>
        <w:t>Se debe tener cuidado para prevenir las quemaduras por energía de RF que pudieran resultar de la manipulación de objetos conductores expuestos a campos o a cables de RF con conectores expuestos. Además, deben tomarse precauciones rutinarias durante las mediciones cuando se trabaja con sistemas de calentamiento y selladores de plástico que funcionan en base a energía de RF, como por ejemplo, evitar la manipulación de cargas de prueba, barras selladoras y líquidos a alta temperatura.</w:t>
      </w:r>
    </w:p>
    <w:p w14:paraId="5C2718B4" w14:textId="77777777" w:rsidR="006B595F" w:rsidRPr="0086242B" w:rsidRDefault="006B595F" w:rsidP="006B595F">
      <w:pPr>
        <w:numPr>
          <w:ilvl w:val="0"/>
          <w:numId w:val="8"/>
        </w:numPr>
        <w:spacing w:line="360" w:lineRule="auto"/>
        <w:jc w:val="both"/>
        <w:rPr>
          <w:rFonts w:ascii="ITC Avant Garde" w:hAnsi="ITC Avant Garde"/>
          <w:sz w:val="20"/>
          <w:szCs w:val="20"/>
        </w:rPr>
      </w:pPr>
      <w:r w:rsidRPr="0086242B">
        <w:rPr>
          <w:rFonts w:ascii="ITC Avant Garde" w:hAnsi="ITC Avant Garde"/>
          <w:b/>
          <w:sz w:val="20"/>
          <w:szCs w:val="20"/>
        </w:rPr>
        <w:t>Modos de operación anormales</w:t>
      </w:r>
      <w:r w:rsidRPr="0086242B">
        <w:rPr>
          <w:rFonts w:ascii="ITC Avant Garde" w:hAnsi="ITC Avant Garde"/>
          <w:sz w:val="20"/>
          <w:szCs w:val="20"/>
        </w:rPr>
        <w:t xml:space="preserve">.- </w:t>
      </w:r>
      <w:r w:rsidRPr="0086242B">
        <w:rPr>
          <w:rFonts w:ascii="ITC Avant Garde" w:hAnsi="ITC Avant Garde"/>
          <w:sz w:val="20"/>
          <w:szCs w:val="20"/>
          <w:lang w:val="es-ES_tradnl"/>
        </w:rPr>
        <w:t>Se debe estar consciente que los sistemas electrónicos tienen el potencial de trabajar en modos de operación anormales en los cuales las frecuencias no deseadas y la radiación por fuga no intencional son generadas a niveles de potencia significativos. Para evitar estas situaciones, el personal que realiza las mediciones no deberá intentar operar un sistema sin la presencia del personal calificado que verifique que el sistema esté trabajando en su modo normal.</w:t>
      </w:r>
    </w:p>
    <w:p w14:paraId="62EB8861" w14:textId="77777777" w:rsidR="006B595F" w:rsidRPr="0086242B" w:rsidRDefault="006B595F" w:rsidP="006B595F">
      <w:pPr>
        <w:pStyle w:val="Ttulo4"/>
        <w:numPr>
          <w:ilvl w:val="0"/>
          <w:numId w:val="0"/>
        </w:numPr>
        <w:spacing w:line="360" w:lineRule="auto"/>
        <w:rPr>
          <w:rFonts w:ascii="ITC Avant Garde" w:hAnsi="ITC Avant Garde"/>
          <w:i w:val="0"/>
          <w:color w:val="auto"/>
        </w:rPr>
      </w:pPr>
      <w:r w:rsidRPr="0086242B">
        <w:rPr>
          <w:rFonts w:ascii="ITC Avant Garde" w:hAnsi="ITC Avant Garde"/>
          <w:i w:val="0"/>
          <w:color w:val="auto"/>
        </w:rPr>
        <w:t>Precauciones durante el proceso de medición</w:t>
      </w:r>
    </w:p>
    <w:p w14:paraId="00DBED06"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lang w:val="es-ES_tradnl"/>
        </w:rPr>
        <w:t>Se requieren estrictas precauciones durante el proceso de evaluación experimental de los niveles de exposición producidos por un sistema radiante de alta potencia. Dichas precauciones incluyen lo siguiente:</w:t>
      </w:r>
    </w:p>
    <w:p w14:paraId="1020B55B" w14:textId="77777777" w:rsidR="006B595F" w:rsidRPr="0086242B" w:rsidRDefault="006B595F" w:rsidP="006B595F">
      <w:pPr>
        <w:spacing w:line="360" w:lineRule="auto"/>
        <w:jc w:val="both"/>
        <w:rPr>
          <w:rFonts w:ascii="ITC Avant Garde" w:hAnsi="ITC Avant Garde"/>
          <w:sz w:val="20"/>
          <w:szCs w:val="20"/>
        </w:rPr>
      </w:pPr>
    </w:p>
    <w:p w14:paraId="51DA240C" w14:textId="4F3D7988" w:rsidR="006B595F" w:rsidRPr="0086242B" w:rsidRDefault="006B595F" w:rsidP="006B595F">
      <w:pPr>
        <w:numPr>
          <w:ilvl w:val="0"/>
          <w:numId w:val="9"/>
        </w:numPr>
        <w:spacing w:line="360" w:lineRule="auto"/>
        <w:jc w:val="both"/>
        <w:rPr>
          <w:rFonts w:ascii="ITC Avant Garde" w:hAnsi="ITC Avant Garde"/>
          <w:sz w:val="20"/>
          <w:szCs w:val="20"/>
        </w:rPr>
      </w:pPr>
      <w:r w:rsidRPr="0086242B">
        <w:rPr>
          <w:rFonts w:ascii="ITC Avant Garde" w:hAnsi="ITC Avant Garde"/>
          <w:sz w:val="20"/>
          <w:szCs w:val="20"/>
          <w:lang w:val="es-ES_tradnl"/>
        </w:rPr>
        <w:t xml:space="preserve">El proceso de medición debe planearse de manera tal que la exposición de todo el personal que está presente durante las mediciones, no exceda los límites de referencia establecidos en esta </w:t>
      </w:r>
      <w:r w:rsidR="0075524D">
        <w:rPr>
          <w:rFonts w:ascii="ITC Avant Garde" w:hAnsi="ITC Avant Garde"/>
          <w:sz w:val="20"/>
          <w:szCs w:val="20"/>
          <w:lang w:val="es-ES_tradnl"/>
        </w:rPr>
        <w:t xml:space="preserve">disposición </w:t>
      </w:r>
      <w:proofErr w:type="gramStart"/>
      <w:r w:rsidR="0075524D">
        <w:rPr>
          <w:rFonts w:ascii="ITC Avant Garde" w:hAnsi="ITC Avant Garde"/>
          <w:sz w:val="20"/>
          <w:szCs w:val="20"/>
          <w:lang w:val="es-ES_tradnl"/>
        </w:rPr>
        <w:t xml:space="preserve">técnica </w:t>
      </w:r>
      <w:r w:rsidRPr="0086242B">
        <w:rPr>
          <w:rFonts w:ascii="ITC Avant Garde" w:hAnsi="ITC Avant Garde"/>
          <w:sz w:val="20"/>
          <w:szCs w:val="20"/>
          <w:lang w:val="es-ES_tradnl"/>
        </w:rPr>
        <w:t>.</w:t>
      </w:r>
      <w:proofErr w:type="gramEnd"/>
      <w:r w:rsidRPr="0086242B">
        <w:rPr>
          <w:rFonts w:ascii="ITC Avant Garde" w:hAnsi="ITC Avant Garde"/>
          <w:sz w:val="20"/>
          <w:szCs w:val="20"/>
          <w:lang w:val="es-ES_tradnl"/>
        </w:rPr>
        <w:t xml:space="preserve"> Esta limitación no solo se relaciona con la densidad de potencia, sino también con la duración de la exposición. En tales situaciones, lo más apropiado es usar una escala de potencia para registrar los niveles de campo correspondientes que existirán durante la operación normal a máxima potencia.</w:t>
      </w:r>
    </w:p>
    <w:p w14:paraId="38A5CA59" w14:textId="77777777" w:rsidR="006B595F" w:rsidRPr="0086242B" w:rsidRDefault="006B595F" w:rsidP="006B595F">
      <w:pPr>
        <w:numPr>
          <w:ilvl w:val="0"/>
          <w:numId w:val="9"/>
        </w:numPr>
        <w:spacing w:line="360" w:lineRule="auto"/>
        <w:jc w:val="both"/>
        <w:rPr>
          <w:rFonts w:ascii="ITC Avant Garde" w:hAnsi="ITC Avant Garde"/>
          <w:sz w:val="20"/>
          <w:szCs w:val="20"/>
        </w:rPr>
      </w:pPr>
      <w:r w:rsidRPr="0086242B">
        <w:rPr>
          <w:rFonts w:ascii="ITC Avant Garde" w:hAnsi="ITC Avant Garde"/>
          <w:sz w:val="20"/>
          <w:szCs w:val="20"/>
          <w:lang w:val="es-ES_tradnl"/>
        </w:rPr>
        <w:t>La manipulación de antenas de exploración por barrido que giran o tienen partes móviles, se debe realizar bajo las más estrictas medidas de seguridad. Dichas medidas van desde aquellas para evitar lesiones por colisiones contra las estructuras móviles o rotatorias, hasta las requeridas para evitar el encendido accidental de los generadores de RF con las antenas dirigidas hacia el personal. Antes de comenzar las mediciones, las antenas deberán moverse hacia la posición de menor peligro potencial para el personal operativo. Además, si se van a tomar mediciones mientras la antena está operando normalmente con sus ciclos de barrido, primero se deberá determinar si el tiempo de respuesta del instrumento es lo suficientemente rápido para responder a la señal que llega por un periodo corto de tiempo al instrumento.</w:t>
      </w:r>
    </w:p>
    <w:p w14:paraId="4B507C5E" w14:textId="77777777" w:rsidR="006B595F" w:rsidRPr="0086242B" w:rsidRDefault="006B595F" w:rsidP="006B595F">
      <w:pPr>
        <w:numPr>
          <w:ilvl w:val="0"/>
          <w:numId w:val="9"/>
        </w:numPr>
        <w:spacing w:line="360" w:lineRule="auto"/>
        <w:jc w:val="both"/>
        <w:rPr>
          <w:rFonts w:ascii="ITC Avant Garde" w:hAnsi="ITC Avant Garde"/>
          <w:sz w:val="20"/>
          <w:szCs w:val="20"/>
        </w:rPr>
      </w:pPr>
      <w:r w:rsidRPr="0086242B">
        <w:rPr>
          <w:rFonts w:ascii="ITC Avant Garde" w:hAnsi="ITC Avant Garde"/>
          <w:sz w:val="20"/>
          <w:szCs w:val="20"/>
        </w:rPr>
        <w:t>Se debe realizar un análisis teórico previo de los patrones de radiación de la antena antes de comenzar el proceso de medición.</w:t>
      </w:r>
    </w:p>
    <w:p w14:paraId="69BFF94A" w14:textId="77777777" w:rsidR="006B595F" w:rsidRPr="0086242B" w:rsidRDefault="006B595F" w:rsidP="006B595F">
      <w:pPr>
        <w:numPr>
          <w:ilvl w:val="0"/>
          <w:numId w:val="9"/>
        </w:numPr>
        <w:spacing w:line="360" w:lineRule="auto"/>
        <w:jc w:val="both"/>
        <w:rPr>
          <w:rFonts w:ascii="ITC Avant Garde" w:hAnsi="ITC Avant Garde"/>
          <w:sz w:val="20"/>
          <w:szCs w:val="20"/>
        </w:rPr>
      </w:pPr>
      <w:r w:rsidRPr="0086242B">
        <w:rPr>
          <w:rFonts w:ascii="ITC Avant Garde" w:hAnsi="ITC Avant Garde"/>
          <w:sz w:val="20"/>
          <w:szCs w:val="20"/>
          <w:lang w:val="es-ES_tradnl"/>
        </w:rPr>
        <w:t xml:space="preserve">Las antenas no deben apuntarse hacia estructuras metálicas. De igual forma, los objetos metálicos no deben estar inadvertidamente localizados cerca de las antenas. Estos no solo crean situaciones que origina dispersión y </w:t>
      </w:r>
      <w:proofErr w:type="spellStart"/>
      <w:r w:rsidRPr="0086242B">
        <w:rPr>
          <w:rFonts w:ascii="ITC Avant Garde" w:hAnsi="ITC Avant Garde"/>
          <w:sz w:val="20"/>
          <w:szCs w:val="20"/>
          <w:lang w:val="es-ES_tradnl"/>
        </w:rPr>
        <w:t>multitrayectorias</w:t>
      </w:r>
      <w:proofErr w:type="spellEnd"/>
      <w:r w:rsidRPr="0086242B">
        <w:rPr>
          <w:rFonts w:ascii="ITC Avant Garde" w:hAnsi="ITC Avant Garde"/>
          <w:sz w:val="20"/>
          <w:szCs w:val="20"/>
          <w:lang w:val="es-ES_tradnl"/>
        </w:rPr>
        <w:t xml:space="preserve"> sino que también son una fuente potencial de quemaduras por energía de RF. Sin embargo, si el área normal de transmisión incluye dichos objetos metálicos, se tendrán que realizar las mediciones con esos objetos presentes, tomando las medidas de precaución pertinentes. La presencia de estructuras secundarias tales como torres, retenida de alambre, bardas, superficies reflectoras, etc., puede intensificar los campos y producir zonas de alta energía de RF. Se debe tener una cierta tolerancia para evitar esos efectos cuando se realicen las mediciones. Durante el proceso de evaluación el operador del sistema de medición debe estar en constante comunicación con su contraparte que controla el emisor de RF para que en conjunto ejecuten el procedimiento requerido para las mediciones.</w:t>
      </w:r>
    </w:p>
    <w:p w14:paraId="04CB6F3E" w14:textId="77777777" w:rsidR="006B595F" w:rsidRPr="0086242B" w:rsidRDefault="006B595F" w:rsidP="006B595F">
      <w:pPr>
        <w:spacing w:line="360" w:lineRule="auto"/>
        <w:jc w:val="both"/>
        <w:rPr>
          <w:rFonts w:ascii="ITC Avant Garde" w:hAnsi="ITC Avant Garde"/>
          <w:sz w:val="20"/>
          <w:szCs w:val="20"/>
        </w:rPr>
      </w:pPr>
    </w:p>
    <w:p w14:paraId="0B774B75"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Cuando se miden las radiaciones de fuga que producen emisores no intencionales de energía de RF, se deben observar las siguientes precauciones:</w:t>
      </w:r>
    </w:p>
    <w:p w14:paraId="7A96883D" w14:textId="77777777" w:rsidR="006B595F" w:rsidRPr="0086242B" w:rsidRDefault="006B595F" w:rsidP="006B595F">
      <w:pPr>
        <w:spacing w:line="360" w:lineRule="auto"/>
        <w:jc w:val="both"/>
        <w:rPr>
          <w:rFonts w:ascii="ITC Avant Garde" w:hAnsi="ITC Avant Garde"/>
          <w:sz w:val="20"/>
          <w:szCs w:val="20"/>
        </w:rPr>
      </w:pPr>
    </w:p>
    <w:p w14:paraId="7BF589F6" w14:textId="77777777" w:rsidR="006B595F" w:rsidRPr="0086242B" w:rsidRDefault="006B595F" w:rsidP="006B595F">
      <w:pPr>
        <w:numPr>
          <w:ilvl w:val="0"/>
          <w:numId w:val="10"/>
        </w:numPr>
        <w:spacing w:line="360" w:lineRule="auto"/>
        <w:jc w:val="both"/>
        <w:rPr>
          <w:rFonts w:ascii="ITC Avant Garde" w:hAnsi="ITC Avant Garde"/>
          <w:sz w:val="20"/>
          <w:szCs w:val="20"/>
        </w:rPr>
      </w:pPr>
      <w:r w:rsidRPr="0086242B">
        <w:rPr>
          <w:rFonts w:ascii="ITC Avant Garde" w:hAnsi="ITC Avant Garde"/>
          <w:sz w:val="20"/>
          <w:szCs w:val="20"/>
          <w:lang w:val="es-ES_tradnl"/>
        </w:rPr>
        <w:t>Existe la posibilidad de fuga en el sitio donde se encuentre un transmisor de RF, a lo largo de cualquier línea de transmisión o guía de onda que transporta potencia del transmisor (particularmente en las uniones de las guías de onda) y en todas las puertas de acceso y paneles del gabinete que aloja al equipo transmisor. Normalmente, la energía que se fuga decae en proporción inversa al cuadrado de la distancia. Por consiguiente, al realizar las mediciones, se debe tener cuidado al aproximarse al transmisor, la antena o cualquier otra estructura no deseada radiante o causante de fuga y mantenerse a una distancia segura. El sistema de medición debe ajustarse en estos casos a un nivel de sensibilidad suficiente para alertar al operador de una posible exposición que excede los límites de referencia.</w:t>
      </w:r>
    </w:p>
    <w:p w14:paraId="15BAA1AC" w14:textId="77777777" w:rsidR="006B595F" w:rsidRPr="0086242B" w:rsidRDefault="006B595F" w:rsidP="006B595F">
      <w:pPr>
        <w:numPr>
          <w:ilvl w:val="0"/>
          <w:numId w:val="10"/>
        </w:numPr>
        <w:spacing w:line="360" w:lineRule="auto"/>
        <w:jc w:val="both"/>
        <w:rPr>
          <w:rFonts w:ascii="ITC Avant Garde" w:hAnsi="ITC Avant Garde"/>
          <w:sz w:val="20"/>
          <w:szCs w:val="20"/>
        </w:rPr>
      </w:pPr>
      <w:r w:rsidRPr="0086242B">
        <w:rPr>
          <w:rFonts w:ascii="ITC Avant Garde" w:hAnsi="ITC Avant Garde"/>
          <w:sz w:val="20"/>
          <w:szCs w:val="20"/>
          <w:lang w:val="es-ES_tradnl"/>
        </w:rPr>
        <w:t>Existe la posibilidad de quemaduras de RF, por lo que se debe evitar contacto con cualquier estructura metálica que esté sobre, o cerca de un punto donde pudieran existir altas intensidades de campo.</w:t>
      </w:r>
    </w:p>
    <w:p w14:paraId="33D90E57" w14:textId="77777777" w:rsidR="006B595F" w:rsidRPr="0086242B" w:rsidRDefault="006B595F" w:rsidP="006B595F">
      <w:pPr>
        <w:numPr>
          <w:ilvl w:val="0"/>
          <w:numId w:val="10"/>
        </w:numPr>
        <w:spacing w:line="360" w:lineRule="auto"/>
        <w:jc w:val="both"/>
        <w:rPr>
          <w:rFonts w:ascii="ITC Avant Garde" w:hAnsi="ITC Avant Garde"/>
          <w:sz w:val="20"/>
          <w:szCs w:val="20"/>
        </w:rPr>
      </w:pPr>
      <w:r w:rsidRPr="0086242B">
        <w:rPr>
          <w:rFonts w:ascii="ITC Avant Garde" w:hAnsi="ITC Avant Garde"/>
          <w:sz w:val="20"/>
          <w:szCs w:val="20"/>
          <w:lang w:val="es-ES_tradnl"/>
        </w:rPr>
        <w:t>Al abrir las puertas o paneles de acceso para insertar o remover algún objeto, por ejemplo, en una cámara de pruebas de compatibilidad electromagnética de equipos eléctricos o electrónicos, es necesario apagar el equipo y mantener operando el dispositivo de seguridad del sistema.</w:t>
      </w:r>
    </w:p>
    <w:p w14:paraId="2907E4B1" w14:textId="77777777" w:rsidR="006B595F" w:rsidRPr="0086242B" w:rsidRDefault="006B595F" w:rsidP="006B595F">
      <w:pPr>
        <w:numPr>
          <w:ilvl w:val="0"/>
          <w:numId w:val="10"/>
        </w:numPr>
        <w:spacing w:line="360" w:lineRule="auto"/>
        <w:jc w:val="both"/>
        <w:rPr>
          <w:rFonts w:ascii="ITC Avant Garde" w:hAnsi="ITC Avant Garde"/>
          <w:sz w:val="20"/>
          <w:szCs w:val="20"/>
        </w:rPr>
      </w:pPr>
      <w:r w:rsidRPr="0086242B">
        <w:rPr>
          <w:rFonts w:ascii="ITC Avant Garde" w:hAnsi="ITC Avant Garde"/>
          <w:sz w:val="20"/>
          <w:szCs w:val="20"/>
          <w:lang w:val="es-ES_tradnl"/>
        </w:rPr>
        <w:t>Si se observa un posible mal funcionamiento de los dispositivos de seguridad en la puerta de acceso del gabinete de RF, se deberán determinar los niveles de fuga mientras la fuente esté encendida y la puerta cerrada. Una vez hecho esto, el operador podrá abrir la puerta lentamente para observar cualquier incremento en la fuga y una posible falla en el dispositivo de seguridad.</w:t>
      </w:r>
    </w:p>
    <w:p w14:paraId="2EDD1FE9" w14:textId="77777777" w:rsidR="006B595F" w:rsidRPr="0086242B" w:rsidRDefault="006B595F" w:rsidP="006B595F">
      <w:pPr>
        <w:numPr>
          <w:ilvl w:val="0"/>
          <w:numId w:val="10"/>
        </w:numPr>
        <w:spacing w:line="360" w:lineRule="auto"/>
        <w:jc w:val="both"/>
        <w:rPr>
          <w:rFonts w:ascii="ITC Avant Garde" w:hAnsi="ITC Avant Garde"/>
          <w:sz w:val="20"/>
          <w:szCs w:val="20"/>
        </w:rPr>
      </w:pPr>
      <w:r w:rsidRPr="0086242B">
        <w:rPr>
          <w:rFonts w:ascii="ITC Avant Garde" w:hAnsi="ITC Avant Garde"/>
          <w:sz w:val="20"/>
          <w:szCs w:val="20"/>
          <w:lang w:val="es-ES_tradnl"/>
        </w:rPr>
        <w:t>No se debe insertar objetos extraños, especialmente los metálicos, en ninguna abertura o puerta del gabinete de RF. Esto aplica particularmente en el caso de los sistemas industriales de alta potencia que usan bandas conductoras que transportan materiales cerca de gabinetes de RF.</w:t>
      </w:r>
    </w:p>
    <w:p w14:paraId="741DFDAA" w14:textId="77777777" w:rsidR="006B595F" w:rsidRPr="0086242B" w:rsidRDefault="006B595F" w:rsidP="006B595F">
      <w:pPr>
        <w:numPr>
          <w:ilvl w:val="0"/>
          <w:numId w:val="10"/>
        </w:numPr>
        <w:spacing w:line="360" w:lineRule="auto"/>
        <w:jc w:val="both"/>
        <w:rPr>
          <w:rFonts w:ascii="ITC Avant Garde" w:hAnsi="ITC Avant Garde"/>
          <w:sz w:val="20"/>
          <w:szCs w:val="20"/>
        </w:rPr>
      </w:pPr>
      <w:r w:rsidRPr="0086242B">
        <w:rPr>
          <w:rFonts w:ascii="ITC Avant Garde" w:hAnsi="ITC Avant Garde"/>
          <w:sz w:val="20"/>
          <w:szCs w:val="20"/>
          <w:lang w:val="es-ES_tradnl"/>
        </w:rPr>
        <w:t>Con la fuente apagada, el operador debe inspeccionar visualmente todas las guías de onda flexibles que transportan alta potencia. Esta inspección deberá determinar signos de fatiga, envejecimiento, daños en las uniones, falta de mantenimiento, etc.</w:t>
      </w:r>
    </w:p>
    <w:p w14:paraId="3D9962A9" w14:textId="77777777" w:rsidR="006B595F" w:rsidRPr="0086242B" w:rsidRDefault="006B595F" w:rsidP="006B595F">
      <w:pPr>
        <w:spacing w:line="360" w:lineRule="auto"/>
        <w:jc w:val="both"/>
        <w:rPr>
          <w:rFonts w:ascii="ITC Avant Garde" w:hAnsi="ITC Avant Garde"/>
          <w:sz w:val="20"/>
          <w:szCs w:val="20"/>
        </w:rPr>
      </w:pPr>
    </w:p>
    <w:p w14:paraId="406AC9A2" w14:textId="77777777" w:rsidR="006B595F" w:rsidRPr="0086242B" w:rsidRDefault="006B595F" w:rsidP="006B595F">
      <w:pPr>
        <w:spacing w:line="360" w:lineRule="auto"/>
        <w:jc w:val="both"/>
        <w:rPr>
          <w:rFonts w:ascii="ITC Avant Garde" w:hAnsi="ITC Avant Garde"/>
          <w:sz w:val="20"/>
          <w:szCs w:val="20"/>
        </w:rPr>
      </w:pPr>
    </w:p>
    <w:p w14:paraId="5BC61654" w14:textId="77777777" w:rsidR="006B595F" w:rsidRPr="0086242B" w:rsidRDefault="006B595F" w:rsidP="006B595F">
      <w:pPr>
        <w:pStyle w:val="Ttulo2"/>
        <w:numPr>
          <w:ilvl w:val="0"/>
          <w:numId w:val="0"/>
        </w:numPr>
        <w:spacing w:before="120"/>
        <w:jc w:val="center"/>
        <w:rPr>
          <w:rFonts w:ascii="ITC Avant Garde" w:hAnsi="ITC Avant Garde"/>
          <w:i w:val="0"/>
          <w:sz w:val="20"/>
          <w:szCs w:val="20"/>
        </w:rPr>
      </w:pPr>
      <w:r w:rsidRPr="0086242B">
        <w:rPr>
          <w:rFonts w:ascii="ITC Avant Garde" w:hAnsi="ITC Avant Garde"/>
          <w:b w:val="0"/>
          <w:bCs w:val="0"/>
          <w:lang w:val="es-MX" w:eastAsia="es-MX"/>
        </w:rPr>
        <w:br w:type="page"/>
      </w:r>
      <w:bookmarkStart w:id="50" w:name="_Toc414444619"/>
      <w:r w:rsidRPr="0086242B">
        <w:rPr>
          <w:rFonts w:ascii="ITC Avant Garde" w:hAnsi="ITC Avant Garde"/>
          <w:i w:val="0"/>
          <w:sz w:val="20"/>
          <w:szCs w:val="20"/>
        </w:rPr>
        <w:t>APENDICE C (NORMATIVO)</w:t>
      </w:r>
      <w:bookmarkEnd w:id="50"/>
      <w:r w:rsidRPr="0086242B">
        <w:rPr>
          <w:rFonts w:ascii="ITC Avant Garde" w:hAnsi="ITC Avant Garde"/>
          <w:i w:val="0"/>
          <w:sz w:val="20"/>
          <w:szCs w:val="20"/>
        </w:rPr>
        <w:t xml:space="preserve"> </w:t>
      </w:r>
    </w:p>
    <w:p w14:paraId="5953837C" w14:textId="77777777" w:rsidR="006B595F" w:rsidRPr="0086242B" w:rsidRDefault="006B595F" w:rsidP="006B595F">
      <w:pPr>
        <w:jc w:val="center"/>
        <w:rPr>
          <w:rFonts w:ascii="ITC Avant Garde" w:hAnsi="ITC Avant Garde"/>
          <w:sz w:val="20"/>
          <w:szCs w:val="20"/>
        </w:rPr>
      </w:pPr>
    </w:p>
    <w:p w14:paraId="73E80642" w14:textId="77777777" w:rsidR="006B595F" w:rsidRPr="0086242B" w:rsidRDefault="006B595F" w:rsidP="006B595F">
      <w:pPr>
        <w:jc w:val="center"/>
        <w:rPr>
          <w:rFonts w:ascii="ITC Avant Garde" w:hAnsi="ITC Avant Garde"/>
          <w:b/>
          <w:sz w:val="20"/>
          <w:szCs w:val="20"/>
        </w:rPr>
      </w:pPr>
      <w:r w:rsidRPr="0086242B">
        <w:rPr>
          <w:rFonts w:ascii="ITC Avant Garde" w:hAnsi="ITC Avant Garde"/>
          <w:b/>
          <w:sz w:val="20"/>
          <w:szCs w:val="20"/>
        </w:rPr>
        <w:t>PROCEDIMIENTOS DE EVALUACIÓN DE LA CONFORMIDAD DE ESTACIONES Y EQUIPOS TERMINALES DE RADIOCOMUNICACIONES, SUJETOS AL CUMPLIMIENTO DE LA NORMA TÉCNICA IFT-007-2015</w:t>
      </w:r>
      <w:r w:rsidRPr="0086242B">
        <w:rPr>
          <w:rFonts w:ascii="ITC Avant Garde" w:hAnsi="ITC Avant Garde"/>
          <w:sz w:val="20"/>
          <w:szCs w:val="20"/>
        </w:rPr>
        <w:t>.</w:t>
      </w:r>
    </w:p>
    <w:p w14:paraId="2745067E" w14:textId="77777777" w:rsidR="006B595F" w:rsidRPr="0086242B" w:rsidRDefault="006B595F" w:rsidP="006B595F">
      <w:pPr>
        <w:jc w:val="center"/>
        <w:rPr>
          <w:rFonts w:ascii="ITC Avant Garde" w:hAnsi="ITC Avant Garde"/>
          <w:b/>
          <w:sz w:val="20"/>
          <w:szCs w:val="20"/>
        </w:rPr>
      </w:pPr>
    </w:p>
    <w:p w14:paraId="1E16D4A3" w14:textId="77777777" w:rsidR="006B595F" w:rsidRPr="0086242B" w:rsidRDefault="006B595F" w:rsidP="006B595F">
      <w:pPr>
        <w:jc w:val="center"/>
        <w:rPr>
          <w:rFonts w:ascii="ITC Avant Garde" w:hAnsi="ITC Avant Garde"/>
          <w:b/>
          <w:sz w:val="20"/>
          <w:szCs w:val="20"/>
        </w:rPr>
      </w:pPr>
    </w:p>
    <w:p w14:paraId="6CE821EA" w14:textId="77777777" w:rsidR="006B595F" w:rsidRPr="0086242B" w:rsidRDefault="006B595F" w:rsidP="006B595F">
      <w:pPr>
        <w:jc w:val="center"/>
        <w:rPr>
          <w:rFonts w:ascii="ITC Avant Garde" w:hAnsi="ITC Avant Garde"/>
          <w:b/>
          <w:sz w:val="20"/>
          <w:szCs w:val="20"/>
        </w:rPr>
      </w:pPr>
      <w:r w:rsidRPr="0086242B">
        <w:rPr>
          <w:rFonts w:ascii="ITC Avant Garde" w:hAnsi="ITC Avant Garde"/>
          <w:b/>
          <w:sz w:val="20"/>
          <w:szCs w:val="20"/>
        </w:rPr>
        <w:t>CONTENIDO</w:t>
      </w:r>
    </w:p>
    <w:p w14:paraId="206A10C3" w14:textId="77777777" w:rsidR="006B595F" w:rsidRPr="0086242B" w:rsidRDefault="006B595F" w:rsidP="006B595F">
      <w:pPr>
        <w:jc w:val="center"/>
        <w:rPr>
          <w:rFonts w:ascii="ITC Avant Garde" w:hAnsi="ITC Avant Garde"/>
          <w:b/>
          <w:sz w:val="28"/>
          <w:szCs w:val="28"/>
        </w:rPr>
      </w:pPr>
    </w:p>
    <w:p w14:paraId="2011BAF8" w14:textId="77777777" w:rsidR="006B595F" w:rsidRPr="0086242B" w:rsidRDefault="006B595F" w:rsidP="006B595F">
      <w:pPr>
        <w:jc w:val="center"/>
        <w:rPr>
          <w:rFonts w:ascii="ITC Avant Garde" w:hAnsi="ITC Avant Garde"/>
          <w:b/>
        </w:rPr>
      </w:pPr>
    </w:p>
    <w:p w14:paraId="633E836C" w14:textId="77777777" w:rsidR="006B595F" w:rsidRPr="0086242B" w:rsidRDefault="006B595F" w:rsidP="00136324">
      <w:pPr>
        <w:ind w:left="2268" w:hanging="1985"/>
        <w:jc w:val="both"/>
        <w:rPr>
          <w:rFonts w:ascii="ITC Avant Garde" w:hAnsi="ITC Avant Garde"/>
          <w:b/>
          <w:sz w:val="20"/>
          <w:szCs w:val="20"/>
        </w:rPr>
      </w:pPr>
      <w:proofErr w:type="gramStart"/>
      <w:r w:rsidRPr="0086242B">
        <w:rPr>
          <w:rFonts w:ascii="ITC Avant Garde" w:hAnsi="ITC Avant Garde"/>
          <w:b/>
          <w:sz w:val="20"/>
          <w:szCs w:val="20"/>
        </w:rPr>
        <w:t>CAPÍTULO  I</w:t>
      </w:r>
      <w:proofErr w:type="gramEnd"/>
      <w:r w:rsidRPr="0086242B">
        <w:rPr>
          <w:rFonts w:ascii="ITC Avant Garde" w:hAnsi="ITC Avant Garde"/>
          <w:b/>
          <w:sz w:val="20"/>
          <w:szCs w:val="20"/>
        </w:rPr>
        <w:t>.</w:t>
      </w:r>
      <w:r w:rsidRPr="0086242B">
        <w:rPr>
          <w:rFonts w:ascii="ITC Avant Garde" w:hAnsi="ITC Avant Garde"/>
          <w:b/>
          <w:sz w:val="20"/>
          <w:szCs w:val="20"/>
        </w:rPr>
        <w:tab/>
        <w:t>DEFINICIONES</w:t>
      </w:r>
    </w:p>
    <w:p w14:paraId="7044C370" w14:textId="77777777" w:rsidR="006B595F" w:rsidRPr="0086242B" w:rsidRDefault="006B595F" w:rsidP="00136324">
      <w:pPr>
        <w:ind w:left="2268" w:hanging="1985"/>
        <w:jc w:val="both"/>
        <w:rPr>
          <w:rFonts w:ascii="ITC Avant Garde" w:hAnsi="ITC Avant Garde"/>
          <w:b/>
          <w:sz w:val="20"/>
          <w:szCs w:val="20"/>
        </w:rPr>
      </w:pPr>
    </w:p>
    <w:p w14:paraId="190A8D89" w14:textId="77777777" w:rsidR="006B595F" w:rsidRPr="0086242B" w:rsidRDefault="006B595F" w:rsidP="00136324">
      <w:pPr>
        <w:ind w:left="2268" w:hanging="1985"/>
        <w:jc w:val="both"/>
        <w:rPr>
          <w:rFonts w:ascii="ITC Avant Garde" w:hAnsi="ITC Avant Garde"/>
          <w:b/>
          <w:sz w:val="20"/>
          <w:szCs w:val="20"/>
        </w:rPr>
      </w:pPr>
      <w:proofErr w:type="gramStart"/>
      <w:r w:rsidRPr="0086242B">
        <w:rPr>
          <w:rFonts w:ascii="ITC Avant Garde" w:hAnsi="ITC Avant Garde"/>
          <w:b/>
          <w:sz w:val="20"/>
          <w:szCs w:val="20"/>
        </w:rPr>
        <w:t>CAPÍTULO  II</w:t>
      </w:r>
      <w:proofErr w:type="gramEnd"/>
      <w:r w:rsidRPr="0086242B">
        <w:rPr>
          <w:rFonts w:ascii="ITC Avant Garde" w:hAnsi="ITC Avant Garde"/>
          <w:b/>
          <w:sz w:val="20"/>
          <w:szCs w:val="20"/>
        </w:rPr>
        <w:t>.</w:t>
      </w:r>
      <w:r w:rsidRPr="0086242B">
        <w:rPr>
          <w:rFonts w:ascii="ITC Avant Garde" w:hAnsi="ITC Avant Garde"/>
          <w:b/>
          <w:sz w:val="20"/>
          <w:szCs w:val="20"/>
        </w:rPr>
        <w:tab/>
        <w:t>DISPOSICIONES GENERALES</w:t>
      </w:r>
    </w:p>
    <w:p w14:paraId="44E47F56" w14:textId="77777777" w:rsidR="006B595F" w:rsidRPr="0086242B" w:rsidRDefault="006B595F" w:rsidP="00136324">
      <w:pPr>
        <w:ind w:left="2268" w:hanging="1985"/>
        <w:jc w:val="both"/>
        <w:rPr>
          <w:rFonts w:ascii="ITC Avant Garde" w:hAnsi="ITC Avant Garde"/>
          <w:b/>
          <w:sz w:val="20"/>
          <w:szCs w:val="20"/>
        </w:rPr>
      </w:pPr>
    </w:p>
    <w:p w14:paraId="0CF5D36C" w14:textId="77777777" w:rsidR="006B595F" w:rsidRPr="0086242B" w:rsidRDefault="006B595F" w:rsidP="00136324">
      <w:pPr>
        <w:ind w:left="2268" w:hanging="1985"/>
        <w:jc w:val="both"/>
        <w:rPr>
          <w:rFonts w:ascii="ITC Avant Garde" w:hAnsi="ITC Avant Garde"/>
          <w:b/>
          <w:sz w:val="20"/>
          <w:szCs w:val="20"/>
        </w:rPr>
      </w:pPr>
      <w:r w:rsidRPr="0086242B">
        <w:rPr>
          <w:rFonts w:ascii="ITC Avant Garde" w:hAnsi="ITC Avant Garde"/>
          <w:b/>
          <w:sz w:val="20"/>
          <w:szCs w:val="20"/>
        </w:rPr>
        <w:t>CAPÍTULO III.</w:t>
      </w:r>
      <w:r w:rsidR="00136324" w:rsidRPr="0086242B">
        <w:rPr>
          <w:rFonts w:ascii="ITC Avant Garde" w:hAnsi="ITC Avant Garde"/>
          <w:b/>
          <w:sz w:val="20"/>
          <w:szCs w:val="20"/>
        </w:rPr>
        <w:t xml:space="preserve"> </w:t>
      </w:r>
      <w:r w:rsidR="00136324" w:rsidRPr="0086242B">
        <w:rPr>
          <w:rFonts w:ascii="ITC Avant Garde" w:hAnsi="ITC Avant Garde"/>
          <w:b/>
          <w:sz w:val="20"/>
          <w:szCs w:val="20"/>
        </w:rPr>
        <w:tab/>
      </w:r>
      <w:r w:rsidRPr="0086242B">
        <w:rPr>
          <w:rFonts w:ascii="ITC Avant Garde" w:hAnsi="ITC Avant Garde"/>
          <w:b/>
          <w:sz w:val="20"/>
          <w:szCs w:val="20"/>
        </w:rPr>
        <w:t>EVALUACIÓN DE LA CONFORMIDAD DE ESTACIONES DE RADIOCOMUNICACIONES</w:t>
      </w:r>
    </w:p>
    <w:p w14:paraId="4DBC8D28" w14:textId="77777777" w:rsidR="006B595F" w:rsidRPr="0086242B" w:rsidRDefault="006B595F" w:rsidP="00136324">
      <w:pPr>
        <w:ind w:left="2268" w:hanging="1985"/>
        <w:jc w:val="both"/>
        <w:rPr>
          <w:rFonts w:ascii="ITC Avant Garde" w:hAnsi="ITC Avant Garde"/>
          <w:b/>
          <w:sz w:val="20"/>
          <w:szCs w:val="20"/>
        </w:rPr>
      </w:pPr>
    </w:p>
    <w:p w14:paraId="558016D7" w14:textId="77777777" w:rsidR="006B595F" w:rsidRPr="0086242B" w:rsidRDefault="006B595F" w:rsidP="00136324">
      <w:pPr>
        <w:ind w:left="2268" w:hanging="1985"/>
        <w:jc w:val="both"/>
        <w:rPr>
          <w:rFonts w:ascii="ITC Avant Garde" w:hAnsi="ITC Avant Garde"/>
          <w:b/>
          <w:sz w:val="20"/>
          <w:szCs w:val="20"/>
        </w:rPr>
      </w:pPr>
      <w:r w:rsidRPr="0086242B">
        <w:rPr>
          <w:rFonts w:ascii="ITC Avant Garde" w:hAnsi="ITC Avant Garde"/>
          <w:b/>
          <w:sz w:val="20"/>
          <w:szCs w:val="20"/>
        </w:rPr>
        <w:t xml:space="preserve">CAPÍTULO IV. </w:t>
      </w:r>
      <w:r w:rsidR="00136324" w:rsidRPr="0086242B">
        <w:rPr>
          <w:rFonts w:ascii="ITC Avant Garde" w:hAnsi="ITC Avant Garde"/>
          <w:b/>
          <w:sz w:val="20"/>
          <w:szCs w:val="20"/>
        </w:rPr>
        <w:tab/>
      </w:r>
      <w:r w:rsidRPr="0086242B">
        <w:rPr>
          <w:rFonts w:ascii="ITC Avant Garde" w:hAnsi="ITC Avant Garde"/>
          <w:b/>
          <w:sz w:val="20"/>
          <w:szCs w:val="20"/>
        </w:rPr>
        <w:t>EVALUACIÓN DE LA CONFORMIDAD DE EQUIPOS TERMINALES DE RADIOCOMUNICACIONES</w:t>
      </w:r>
    </w:p>
    <w:p w14:paraId="2DF911BF" w14:textId="77777777" w:rsidR="006B595F" w:rsidRPr="0086242B" w:rsidRDefault="006B595F" w:rsidP="00136324">
      <w:pPr>
        <w:ind w:left="2268" w:hanging="1985"/>
        <w:jc w:val="both"/>
        <w:rPr>
          <w:rFonts w:ascii="ITC Avant Garde" w:hAnsi="ITC Avant Garde"/>
          <w:b/>
          <w:sz w:val="20"/>
          <w:szCs w:val="20"/>
        </w:rPr>
      </w:pPr>
    </w:p>
    <w:p w14:paraId="472A857B" w14:textId="77777777" w:rsidR="006B595F" w:rsidRPr="0086242B" w:rsidRDefault="006B595F" w:rsidP="00136324">
      <w:pPr>
        <w:ind w:left="2268" w:hanging="1985"/>
        <w:jc w:val="both"/>
        <w:rPr>
          <w:rFonts w:ascii="ITC Avant Garde" w:hAnsi="ITC Avant Garde"/>
          <w:b/>
          <w:sz w:val="20"/>
          <w:szCs w:val="20"/>
        </w:rPr>
      </w:pPr>
      <w:r w:rsidRPr="0086242B">
        <w:rPr>
          <w:rFonts w:ascii="ITC Avant Garde" w:hAnsi="ITC Avant Garde"/>
          <w:b/>
          <w:sz w:val="20"/>
          <w:szCs w:val="20"/>
        </w:rPr>
        <w:t xml:space="preserve">CAPÍTULO V.      </w:t>
      </w:r>
      <w:r w:rsidR="00136324" w:rsidRPr="0086242B">
        <w:rPr>
          <w:rFonts w:ascii="ITC Avant Garde" w:hAnsi="ITC Avant Garde"/>
          <w:b/>
          <w:sz w:val="20"/>
          <w:szCs w:val="20"/>
        </w:rPr>
        <w:tab/>
      </w:r>
      <w:r w:rsidRPr="0086242B">
        <w:rPr>
          <w:rFonts w:ascii="ITC Avant Garde" w:hAnsi="ITC Avant Garde"/>
          <w:b/>
          <w:sz w:val="20"/>
          <w:szCs w:val="20"/>
        </w:rPr>
        <w:t xml:space="preserve">VIGENCIA DEL DICTÁMEN Y DEL CERTIFICADO DE CONFORMIDAD </w:t>
      </w:r>
    </w:p>
    <w:p w14:paraId="454FA942" w14:textId="77777777" w:rsidR="006B595F" w:rsidRPr="0086242B" w:rsidRDefault="006B595F" w:rsidP="00136324">
      <w:pPr>
        <w:ind w:left="2268" w:hanging="1985"/>
        <w:jc w:val="both"/>
        <w:rPr>
          <w:rFonts w:ascii="ITC Avant Garde" w:hAnsi="ITC Avant Garde"/>
          <w:b/>
          <w:sz w:val="20"/>
          <w:szCs w:val="20"/>
        </w:rPr>
      </w:pPr>
    </w:p>
    <w:p w14:paraId="1C1D2032" w14:textId="54681FD8" w:rsidR="0012734F" w:rsidRPr="0086242B" w:rsidRDefault="0012734F" w:rsidP="0012734F">
      <w:pPr>
        <w:ind w:left="2268" w:hanging="1985"/>
        <w:jc w:val="both"/>
        <w:rPr>
          <w:rFonts w:ascii="ITC Avant Garde" w:hAnsi="ITC Avant Garde"/>
          <w:b/>
          <w:sz w:val="20"/>
          <w:szCs w:val="20"/>
        </w:rPr>
      </w:pPr>
      <w:r w:rsidRPr="0086242B">
        <w:rPr>
          <w:rFonts w:ascii="ITC Avant Garde" w:hAnsi="ITC Avant Garde"/>
          <w:b/>
          <w:sz w:val="20"/>
          <w:szCs w:val="20"/>
        </w:rPr>
        <w:t>CAPÍTULO VI.</w:t>
      </w:r>
      <w:r w:rsidRPr="0086242B">
        <w:rPr>
          <w:rFonts w:ascii="ITC Avant Garde" w:hAnsi="ITC Avant Garde"/>
          <w:b/>
          <w:sz w:val="20"/>
          <w:szCs w:val="20"/>
        </w:rPr>
        <w:tab/>
      </w:r>
      <w:r>
        <w:rPr>
          <w:rFonts w:ascii="ITC Avant Garde" w:hAnsi="ITC Avant Garde"/>
          <w:b/>
          <w:sz w:val="20"/>
          <w:szCs w:val="20"/>
        </w:rPr>
        <w:t>MEDIOS DE IMPUGNACIÓN</w:t>
      </w:r>
    </w:p>
    <w:p w14:paraId="2468E220" w14:textId="77777777" w:rsidR="006B595F" w:rsidRPr="0086242B" w:rsidRDefault="006B595F" w:rsidP="006B595F">
      <w:pPr>
        <w:jc w:val="both"/>
        <w:rPr>
          <w:rFonts w:ascii="ITC Avant Garde" w:hAnsi="ITC Avant Garde"/>
          <w:sz w:val="20"/>
          <w:szCs w:val="20"/>
        </w:rPr>
      </w:pPr>
    </w:p>
    <w:p w14:paraId="66B7B5CC" w14:textId="77777777" w:rsidR="006B595F" w:rsidRPr="0086242B" w:rsidRDefault="006B595F" w:rsidP="006B595F">
      <w:pPr>
        <w:jc w:val="both"/>
        <w:rPr>
          <w:rFonts w:ascii="ITC Avant Garde" w:hAnsi="ITC Avant Garde"/>
        </w:rPr>
      </w:pPr>
    </w:p>
    <w:p w14:paraId="30C63A96" w14:textId="77777777" w:rsidR="006B595F" w:rsidRPr="0086242B" w:rsidRDefault="006B595F" w:rsidP="006B595F">
      <w:pPr>
        <w:jc w:val="center"/>
        <w:rPr>
          <w:rFonts w:ascii="ITC Avant Garde" w:hAnsi="ITC Avant Garde"/>
          <w:b/>
          <w:sz w:val="22"/>
          <w:szCs w:val="22"/>
        </w:rPr>
      </w:pPr>
      <w:r w:rsidRPr="0086242B">
        <w:rPr>
          <w:rFonts w:ascii="ITC Avant Garde" w:hAnsi="ITC Avant Garde"/>
          <w:b/>
          <w:sz w:val="22"/>
          <w:szCs w:val="22"/>
        </w:rPr>
        <w:t>CAPÍTULO I</w:t>
      </w:r>
    </w:p>
    <w:p w14:paraId="3FC2606A" w14:textId="77777777" w:rsidR="006B595F" w:rsidRPr="0086242B" w:rsidRDefault="006B595F" w:rsidP="006B595F">
      <w:pPr>
        <w:jc w:val="center"/>
        <w:rPr>
          <w:rFonts w:ascii="ITC Avant Garde" w:hAnsi="ITC Avant Garde"/>
          <w:b/>
          <w:sz w:val="22"/>
          <w:szCs w:val="22"/>
        </w:rPr>
      </w:pPr>
      <w:r w:rsidRPr="0086242B">
        <w:rPr>
          <w:rFonts w:ascii="ITC Avant Garde" w:hAnsi="ITC Avant Garde"/>
          <w:b/>
          <w:sz w:val="22"/>
          <w:szCs w:val="22"/>
        </w:rPr>
        <w:t>DEFINICIONES</w:t>
      </w:r>
    </w:p>
    <w:p w14:paraId="1EF986C5" w14:textId="77777777" w:rsidR="006B595F" w:rsidRPr="0086242B" w:rsidRDefault="006B595F" w:rsidP="006B595F">
      <w:pPr>
        <w:jc w:val="center"/>
        <w:rPr>
          <w:rFonts w:ascii="ITC Avant Garde" w:hAnsi="ITC Avant Garde"/>
          <w:b/>
        </w:rPr>
      </w:pPr>
    </w:p>
    <w:p w14:paraId="65B3F93F" w14:textId="63C88BFD" w:rsidR="006B595F" w:rsidRPr="0086242B" w:rsidRDefault="009C4506" w:rsidP="006B595F">
      <w:pPr>
        <w:pStyle w:val="Descripcin"/>
        <w:spacing w:line="360" w:lineRule="auto"/>
        <w:jc w:val="both"/>
        <w:rPr>
          <w:rFonts w:ascii="ITC Avant Garde" w:hAnsi="ITC Avant Garde"/>
          <w:b w:val="0"/>
        </w:rPr>
      </w:pPr>
      <w:r w:rsidRPr="0086242B">
        <w:rPr>
          <w:rFonts w:ascii="ITC Avant Garde" w:hAnsi="ITC Avant Garde"/>
        </w:rPr>
        <w:t xml:space="preserve">Artículo </w:t>
      </w:r>
      <w:r w:rsidR="006B595F" w:rsidRPr="0086242B">
        <w:rPr>
          <w:rFonts w:ascii="ITC Avant Garde" w:hAnsi="ITC Avant Garde"/>
        </w:rPr>
        <w:fldChar w:fldCharType="begin"/>
      </w:r>
      <w:r w:rsidR="006B595F" w:rsidRPr="0086242B">
        <w:rPr>
          <w:rFonts w:ascii="ITC Avant Garde" w:hAnsi="ITC Avant Garde"/>
        </w:rPr>
        <w:instrText xml:space="preserve"> SEQ Artículo \* ARABIC </w:instrText>
      </w:r>
      <w:r w:rsidR="006B595F" w:rsidRPr="0086242B">
        <w:rPr>
          <w:rFonts w:ascii="ITC Avant Garde" w:hAnsi="ITC Avant Garde"/>
        </w:rPr>
        <w:fldChar w:fldCharType="separate"/>
      </w:r>
      <w:r w:rsidR="00992611">
        <w:rPr>
          <w:rFonts w:ascii="ITC Avant Garde" w:hAnsi="ITC Avant Garde"/>
          <w:noProof/>
        </w:rPr>
        <w:t>1</w:t>
      </w:r>
      <w:r w:rsidR="006B595F" w:rsidRPr="0086242B">
        <w:rPr>
          <w:rFonts w:ascii="ITC Avant Garde" w:hAnsi="ITC Avant Garde"/>
        </w:rPr>
        <w:fldChar w:fldCharType="end"/>
      </w:r>
      <w:r w:rsidR="006B595F" w:rsidRPr="0086242B">
        <w:rPr>
          <w:rFonts w:ascii="ITC Avant Garde" w:hAnsi="ITC Avant Garde"/>
        </w:rPr>
        <w:t xml:space="preserve">. </w:t>
      </w:r>
      <w:r w:rsidR="006B595F" w:rsidRPr="0086242B">
        <w:rPr>
          <w:rFonts w:ascii="ITC Avant Garde" w:hAnsi="ITC Avant Garde"/>
          <w:b w:val="0"/>
        </w:rPr>
        <w:t>Para los efectos del presente ordenamiento, además de las definiciones previstas en la Ley Federal de Telecomunicaciones y Radiodifusión, se entenderá por:</w:t>
      </w:r>
    </w:p>
    <w:p w14:paraId="446DE33E"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p>
    <w:p w14:paraId="46B396F1" w14:textId="2633380A" w:rsidR="006B595F" w:rsidRPr="0012734F" w:rsidRDefault="0012734F" w:rsidP="0012734F">
      <w:pPr>
        <w:pStyle w:val="Prrafodelista"/>
        <w:numPr>
          <w:ilvl w:val="0"/>
          <w:numId w:val="59"/>
        </w:numPr>
        <w:autoSpaceDE w:val="0"/>
        <w:autoSpaceDN w:val="0"/>
        <w:adjustRightInd w:val="0"/>
        <w:spacing w:line="360" w:lineRule="auto"/>
        <w:jc w:val="both"/>
        <w:rPr>
          <w:rFonts w:ascii="ITC Avant Garde" w:hAnsi="ITC Avant Garde"/>
          <w:sz w:val="20"/>
          <w:szCs w:val="20"/>
        </w:rPr>
      </w:pPr>
      <w:r w:rsidRPr="0012734F">
        <w:rPr>
          <w:rFonts w:ascii="ITC Avant Garde" w:hAnsi="ITC Avant Garde"/>
          <w:b/>
          <w:sz w:val="20"/>
          <w:szCs w:val="20"/>
        </w:rPr>
        <w:t>Autorizado:</w:t>
      </w:r>
      <w:r w:rsidRPr="0012734F">
        <w:rPr>
          <w:rFonts w:ascii="ITC Avant Garde" w:hAnsi="ITC Avant Garde"/>
          <w:sz w:val="20"/>
          <w:szCs w:val="20"/>
        </w:rPr>
        <w:t xml:space="preserve"> Persona física o moral que cuenten con título habilitante en términos de</w:t>
      </w:r>
      <w:r w:rsidR="008E76D1">
        <w:rPr>
          <w:rFonts w:ascii="ITC Avant Garde" w:hAnsi="ITC Avant Garde"/>
          <w:sz w:val="20"/>
          <w:szCs w:val="20"/>
        </w:rPr>
        <w:t xml:space="preserve"> la fracción I, </w:t>
      </w:r>
      <w:proofErr w:type="gramStart"/>
      <w:r w:rsidR="008E76D1">
        <w:rPr>
          <w:rFonts w:ascii="ITC Avant Garde" w:hAnsi="ITC Avant Garde"/>
          <w:sz w:val="20"/>
          <w:szCs w:val="20"/>
        </w:rPr>
        <w:t xml:space="preserve">del </w:t>
      </w:r>
      <w:r w:rsidRPr="0012734F">
        <w:rPr>
          <w:rFonts w:ascii="ITC Avant Garde" w:hAnsi="ITC Avant Garde"/>
          <w:sz w:val="20"/>
          <w:szCs w:val="20"/>
        </w:rPr>
        <w:t xml:space="preserve"> artículo</w:t>
      </w:r>
      <w:proofErr w:type="gramEnd"/>
      <w:r w:rsidRPr="0012734F">
        <w:rPr>
          <w:rFonts w:ascii="ITC Avant Garde" w:hAnsi="ITC Avant Garde"/>
          <w:sz w:val="20"/>
          <w:szCs w:val="20"/>
        </w:rPr>
        <w:t xml:space="preserve"> 170 de la L</w:t>
      </w:r>
      <w:r w:rsidR="008E76D1">
        <w:rPr>
          <w:rFonts w:ascii="ITC Avant Garde" w:hAnsi="ITC Avant Garde"/>
          <w:sz w:val="20"/>
          <w:szCs w:val="20"/>
        </w:rPr>
        <w:t>ey</w:t>
      </w:r>
      <w:r w:rsidRPr="0012734F">
        <w:rPr>
          <w:rFonts w:ascii="ITC Avant Garde" w:hAnsi="ITC Avant Garde"/>
          <w:sz w:val="20"/>
          <w:szCs w:val="20"/>
        </w:rPr>
        <w:t xml:space="preserve">. </w:t>
      </w:r>
    </w:p>
    <w:p w14:paraId="72B27816" w14:textId="77777777" w:rsidR="0012734F" w:rsidRPr="0086242B" w:rsidRDefault="0012734F" w:rsidP="0012734F">
      <w:pPr>
        <w:numPr>
          <w:ilvl w:val="0"/>
          <w:numId w:val="59"/>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Certificación</w:t>
      </w:r>
      <w:r w:rsidRPr="0086242B">
        <w:rPr>
          <w:rFonts w:ascii="ITC Avant Garde" w:hAnsi="ITC Avant Garde"/>
          <w:sz w:val="20"/>
          <w:szCs w:val="20"/>
        </w:rPr>
        <w:t xml:space="preserve">: el procedimiento por el que se asegura que </w:t>
      </w:r>
      <w:r>
        <w:rPr>
          <w:rFonts w:ascii="ITC Avant Garde" w:hAnsi="ITC Avant Garde"/>
          <w:sz w:val="20"/>
          <w:szCs w:val="20"/>
        </w:rPr>
        <w:t xml:space="preserve">una estación de radiocomunicación o </w:t>
      </w:r>
      <w:r w:rsidRPr="0086242B">
        <w:rPr>
          <w:rFonts w:ascii="ITC Avant Garde" w:hAnsi="ITC Avant Garde"/>
          <w:sz w:val="20"/>
          <w:szCs w:val="20"/>
        </w:rPr>
        <w:t>un equipo terminal de radiocomunicaciones cumple con la disposición técnica IFT-007-2015.</w:t>
      </w:r>
    </w:p>
    <w:p w14:paraId="43B5CA58" w14:textId="77777777" w:rsidR="006B595F" w:rsidRPr="0086242B" w:rsidRDefault="006B595F" w:rsidP="006B595F">
      <w:pPr>
        <w:autoSpaceDE w:val="0"/>
        <w:autoSpaceDN w:val="0"/>
        <w:adjustRightInd w:val="0"/>
        <w:spacing w:line="360" w:lineRule="auto"/>
        <w:ind w:left="720"/>
        <w:jc w:val="both"/>
        <w:rPr>
          <w:rFonts w:ascii="ITC Avant Garde" w:hAnsi="ITC Avant Garde"/>
          <w:sz w:val="20"/>
          <w:szCs w:val="20"/>
        </w:rPr>
      </w:pPr>
    </w:p>
    <w:p w14:paraId="3020709B" w14:textId="77777777" w:rsidR="006B595F" w:rsidRPr="0086242B" w:rsidRDefault="006B595F" w:rsidP="0086242B">
      <w:pPr>
        <w:numPr>
          <w:ilvl w:val="0"/>
          <w:numId w:val="59"/>
        </w:numPr>
        <w:autoSpaceDE w:val="0"/>
        <w:autoSpaceDN w:val="0"/>
        <w:adjustRightInd w:val="0"/>
        <w:spacing w:line="360" w:lineRule="auto"/>
        <w:jc w:val="both"/>
        <w:rPr>
          <w:rFonts w:ascii="ITC Avant Garde" w:hAnsi="ITC Avant Garde"/>
          <w:b/>
          <w:sz w:val="20"/>
          <w:szCs w:val="20"/>
        </w:rPr>
      </w:pPr>
      <w:r w:rsidRPr="0086242B">
        <w:rPr>
          <w:rFonts w:ascii="ITC Avant Garde" w:hAnsi="ITC Avant Garde"/>
          <w:b/>
          <w:sz w:val="20"/>
          <w:szCs w:val="20"/>
        </w:rPr>
        <w:t>Concesionario</w:t>
      </w:r>
      <w:r w:rsidRPr="0086242B">
        <w:rPr>
          <w:rFonts w:ascii="ITC Avant Garde" w:hAnsi="ITC Avant Garde"/>
          <w:sz w:val="20"/>
          <w:szCs w:val="20"/>
        </w:rPr>
        <w:t xml:space="preserve">: </w:t>
      </w:r>
      <w:r w:rsidRPr="0086242B">
        <w:rPr>
          <w:rFonts w:ascii="ITC Avant Garde" w:hAnsi="ITC Avant Garde"/>
          <w:sz w:val="20"/>
          <w:szCs w:val="20"/>
          <w:lang w:val="es-ES_tradnl"/>
        </w:rPr>
        <w:t>Persona física o moral, titular de una concesión de las previstas en la LFTR</w:t>
      </w:r>
      <w:r w:rsidRPr="0086242B">
        <w:rPr>
          <w:rFonts w:ascii="ITC Avant Garde" w:hAnsi="ITC Avant Garde"/>
          <w:sz w:val="20"/>
          <w:szCs w:val="20"/>
        </w:rPr>
        <w:t>.</w:t>
      </w:r>
    </w:p>
    <w:p w14:paraId="678CAD98" w14:textId="77777777" w:rsidR="006B595F" w:rsidRPr="0086242B" w:rsidRDefault="006B595F" w:rsidP="006B595F">
      <w:pPr>
        <w:autoSpaceDE w:val="0"/>
        <w:autoSpaceDN w:val="0"/>
        <w:adjustRightInd w:val="0"/>
        <w:spacing w:line="360" w:lineRule="auto"/>
        <w:ind w:left="720"/>
        <w:jc w:val="both"/>
        <w:rPr>
          <w:rFonts w:ascii="ITC Avant Garde" w:hAnsi="ITC Avant Garde"/>
          <w:sz w:val="20"/>
          <w:szCs w:val="20"/>
        </w:rPr>
      </w:pPr>
    </w:p>
    <w:p w14:paraId="1AEC7E68" w14:textId="77777777" w:rsidR="006B595F" w:rsidRPr="0086242B" w:rsidRDefault="006B595F" w:rsidP="0086242B">
      <w:pPr>
        <w:numPr>
          <w:ilvl w:val="0"/>
          <w:numId w:val="59"/>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Contraseña oficial</w:t>
      </w:r>
      <w:r w:rsidRPr="0086242B">
        <w:rPr>
          <w:rFonts w:ascii="ITC Avant Garde" w:hAnsi="ITC Avant Garde"/>
          <w:sz w:val="20"/>
          <w:szCs w:val="20"/>
        </w:rPr>
        <w:t xml:space="preserve">: signo distintivo que denota la conformidad de una estación o un equipo </w:t>
      </w:r>
      <w:proofErr w:type="gramStart"/>
      <w:r w:rsidRPr="0086242B">
        <w:rPr>
          <w:rFonts w:ascii="ITC Avant Garde" w:hAnsi="ITC Avant Garde"/>
          <w:sz w:val="20"/>
          <w:szCs w:val="20"/>
        </w:rPr>
        <w:t>terminal  de</w:t>
      </w:r>
      <w:proofErr w:type="gramEnd"/>
      <w:r w:rsidRPr="0086242B">
        <w:rPr>
          <w:rFonts w:ascii="ITC Avant Garde" w:hAnsi="ITC Avant Garde"/>
          <w:sz w:val="20"/>
          <w:szCs w:val="20"/>
        </w:rPr>
        <w:t xml:space="preserve"> radiocomunicaciones con la disposición técnica IFT-007-2015.</w:t>
      </w:r>
    </w:p>
    <w:p w14:paraId="7DBA1B9E"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p>
    <w:p w14:paraId="67C2734F" w14:textId="77777777" w:rsidR="006B595F" w:rsidRPr="0086242B" w:rsidRDefault="0002482E" w:rsidP="0086242B">
      <w:pPr>
        <w:numPr>
          <w:ilvl w:val="0"/>
          <w:numId w:val="59"/>
        </w:numPr>
        <w:autoSpaceDE w:val="0"/>
        <w:autoSpaceDN w:val="0"/>
        <w:adjustRightInd w:val="0"/>
        <w:spacing w:line="360" w:lineRule="auto"/>
        <w:jc w:val="both"/>
        <w:rPr>
          <w:rFonts w:ascii="ITC Avant Garde" w:hAnsi="ITC Avant Garde"/>
          <w:sz w:val="20"/>
          <w:szCs w:val="20"/>
        </w:rPr>
      </w:pPr>
      <w:r w:rsidRPr="00F02808">
        <w:rPr>
          <w:rFonts w:ascii="ITC Avant Garde" w:hAnsi="ITC Avant Garde"/>
          <w:b/>
          <w:sz w:val="20"/>
          <w:szCs w:val="20"/>
        </w:rPr>
        <w:t>Dictamen de conformidad</w:t>
      </w:r>
      <w:r>
        <w:rPr>
          <w:rFonts w:ascii="ITC Avant Garde" w:hAnsi="ITC Avant Garde"/>
          <w:b/>
          <w:sz w:val="20"/>
          <w:szCs w:val="20"/>
        </w:rPr>
        <w:t xml:space="preserve">: </w:t>
      </w:r>
      <w:r w:rsidR="006B595F" w:rsidRPr="0086242B">
        <w:rPr>
          <w:rFonts w:ascii="ITC Avant Garde" w:hAnsi="ITC Avant Garde"/>
          <w:sz w:val="20"/>
          <w:szCs w:val="20"/>
        </w:rPr>
        <w:t>el documento en que se hace constar el resultado de la verificación que realicen las unidades de verificación de tercera parte de conformidad con las disposiciones legales aplicables.</w:t>
      </w:r>
    </w:p>
    <w:p w14:paraId="29CE81BB" w14:textId="77777777" w:rsidR="006B595F" w:rsidRPr="0086242B" w:rsidRDefault="006B595F" w:rsidP="006B595F">
      <w:pPr>
        <w:autoSpaceDE w:val="0"/>
        <w:autoSpaceDN w:val="0"/>
        <w:adjustRightInd w:val="0"/>
        <w:spacing w:line="360" w:lineRule="auto"/>
        <w:ind w:left="720"/>
        <w:jc w:val="both"/>
        <w:rPr>
          <w:rFonts w:ascii="ITC Avant Garde" w:hAnsi="ITC Avant Garde"/>
          <w:sz w:val="20"/>
          <w:szCs w:val="20"/>
        </w:rPr>
      </w:pPr>
    </w:p>
    <w:p w14:paraId="7253A937" w14:textId="77777777" w:rsidR="006B595F" w:rsidRPr="0086242B" w:rsidRDefault="006B595F" w:rsidP="0086242B">
      <w:pPr>
        <w:numPr>
          <w:ilvl w:val="0"/>
          <w:numId w:val="59"/>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Evaluación de la conformidad</w:t>
      </w:r>
      <w:r w:rsidRPr="0086242B">
        <w:rPr>
          <w:rFonts w:ascii="ITC Avant Garde" w:hAnsi="ITC Avant Garde"/>
          <w:sz w:val="20"/>
          <w:szCs w:val="20"/>
        </w:rPr>
        <w:t>: la determinación del grado de cumplimiento con la disposición técnica IFT-007-2015. Comprende la realización de actividades o procedimientos tales como:</w:t>
      </w:r>
      <w:r w:rsidR="0002482E" w:rsidRPr="0002482E">
        <w:rPr>
          <w:rFonts w:ascii="ITC Avant Garde" w:hAnsi="ITC Avant Garde"/>
          <w:sz w:val="20"/>
          <w:szCs w:val="20"/>
        </w:rPr>
        <w:t xml:space="preserve"> </w:t>
      </w:r>
      <w:r w:rsidR="0002482E" w:rsidRPr="00F02808">
        <w:rPr>
          <w:rFonts w:ascii="ITC Avant Garde" w:hAnsi="ITC Avant Garde"/>
          <w:sz w:val="20"/>
          <w:szCs w:val="20"/>
        </w:rPr>
        <w:t>muestreo, prueba, calibración, certificación y verificación.</w:t>
      </w:r>
    </w:p>
    <w:p w14:paraId="0E8F8B5C" w14:textId="77777777" w:rsidR="006B595F" w:rsidRPr="0086242B" w:rsidRDefault="006B595F" w:rsidP="006B595F">
      <w:pPr>
        <w:pStyle w:val="Prrafodelista"/>
        <w:rPr>
          <w:rFonts w:ascii="ITC Avant Garde" w:hAnsi="ITC Avant Garde"/>
          <w:sz w:val="20"/>
          <w:szCs w:val="20"/>
        </w:rPr>
      </w:pPr>
    </w:p>
    <w:p w14:paraId="33E1FCF3" w14:textId="77777777" w:rsidR="006B595F" w:rsidRPr="0086242B" w:rsidRDefault="006B595F" w:rsidP="0086242B">
      <w:pPr>
        <w:numPr>
          <w:ilvl w:val="0"/>
          <w:numId w:val="59"/>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Instituto:</w:t>
      </w:r>
      <w:r w:rsidRPr="0086242B">
        <w:rPr>
          <w:rFonts w:ascii="ITC Avant Garde" w:hAnsi="ITC Avant Garde"/>
          <w:sz w:val="20"/>
          <w:szCs w:val="20"/>
        </w:rPr>
        <w:t xml:space="preserve"> Instituto Federal de Telecomunicaciones.</w:t>
      </w:r>
    </w:p>
    <w:p w14:paraId="7FB1B66A"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p>
    <w:p w14:paraId="5FAFECED" w14:textId="77777777" w:rsidR="006B595F" w:rsidRPr="0086242B" w:rsidRDefault="0002482E" w:rsidP="0086242B">
      <w:pPr>
        <w:numPr>
          <w:ilvl w:val="0"/>
          <w:numId w:val="59"/>
        </w:numPr>
        <w:autoSpaceDE w:val="0"/>
        <w:autoSpaceDN w:val="0"/>
        <w:adjustRightInd w:val="0"/>
        <w:spacing w:line="360" w:lineRule="auto"/>
        <w:jc w:val="both"/>
        <w:rPr>
          <w:rFonts w:ascii="ITC Avant Garde" w:hAnsi="ITC Avant Garde"/>
          <w:sz w:val="20"/>
          <w:szCs w:val="20"/>
        </w:rPr>
      </w:pPr>
      <w:r w:rsidRPr="00F02808">
        <w:rPr>
          <w:rFonts w:ascii="ITC Avant Garde" w:hAnsi="ITC Avant Garde"/>
          <w:b/>
          <w:sz w:val="20"/>
          <w:szCs w:val="20"/>
        </w:rPr>
        <w:t>Laboratorio de pruebas autorizado</w:t>
      </w:r>
      <w:r w:rsidR="006B595F" w:rsidRPr="0086242B">
        <w:rPr>
          <w:rFonts w:ascii="ITC Avant Garde" w:hAnsi="ITC Avant Garde"/>
          <w:sz w:val="20"/>
          <w:szCs w:val="20"/>
        </w:rPr>
        <w:t>: el laboratorio nacional de tercera parte que cuenta con la autorización del Instituto Federal de Telecomunicaciones para evaluar la conformidad con la disposición técnica IFT-007-2015.</w:t>
      </w:r>
    </w:p>
    <w:p w14:paraId="7B213A01"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p>
    <w:p w14:paraId="44BB2682" w14:textId="3A056716" w:rsidR="006B595F" w:rsidRPr="0086242B" w:rsidRDefault="006B595F" w:rsidP="0086242B">
      <w:pPr>
        <w:numPr>
          <w:ilvl w:val="0"/>
          <w:numId w:val="59"/>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L</w:t>
      </w:r>
      <w:r w:rsidR="00610E42">
        <w:rPr>
          <w:rFonts w:ascii="ITC Avant Garde" w:hAnsi="ITC Avant Garde"/>
          <w:b/>
          <w:sz w:val="20"/>
          <w:szCs w:val="20"/>
        </w:rPr>
        <w:t>ey</w:t>
      </w:r>
      <w:r w:rsidRPr="0086242B">
        <w:rPr>
          <w:rFonts w:ascii="ITC Avant Garde" w:hAnsi="ITC Avant Garde"/>
          <w:sz w:val="20"/>
          <w:szCs w:val="20"/>
        </w:rPr>
        <w:t>: la Ley Federal de Telecomunicaciones y Radiodifusión.</w:t>
      </w:r>
    </w:p>
    <w:p w14:paraId="5AC123AA"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p>
    <w:p w14:paraId="3E8213D0" w14:textId="77777777" w:rsidR="006B595F" w:rsidRPr="0086242B" w:rsidRDefault="006B595F" w:rsidP="0086242B">
      <w:pPr>
        <w:numPr>
          <w:ilvl w:val="0"/>
          <w:numId w:val="59"/>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IFT-007-2015</w:t>
      </w:r>
      <w:r w:rsidRPr="0086242B">
        <w:rPr>
          <w:rFonts w:ascii="ITC Avant Garde" w:hAnsi="ITC Avant Garde"/>
          <w:sz w:val="20"/>
          <w:szCs w:val="20"/>
        </w:rPr>
        <w:t xml:space="preserve">: Disposición Técnica IFT-007-2015 “Telecomunicaciones–Radiocomunicaciones–Medidas de operación para el cumplimiento de los límites de exposición máxima para seres humanos a </w:t>
      </w:r>
      <w:r w:rsidR="00E370B8" w:rsidRPr="0086242B">
        <w:rPr>
          <w:rFonts w:ascii="ITC Avant Garde" w:hAnsi="ITC Avant Garde"/>
          <w:sz w:val="20"/>
          <w:szCs w:val="20"/>
        </w:rPr>
        <w:t xml:space="preserve">emisiones </w:t>
      </w:r>
      <w:r w:rsidRPr="0086242B">
        <w:rPr>
          <w:rFonts w:ascii="ITC Avant Garde" w:hAnsi="ITC Avant Garde"/>
          <w:sz w:val="20"/>
          <w:szCs w:val="20"/>
        </w:rPr>
        <w:t>electromagnéticas de radiofrecuencia no ionizantes, en el intervalo de 100 kHz a 300 GHz, en el entorno de emisores de radiocomunicaciones”.</w:t>
      </w:r>
    </w:p>
    <w:p w14:paraId="1F3EF159"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p>
    <w:p w14:paraId="4CBDB48E" w14:textId="77777777" w:rsidR="006B595F" w:rsidRPr="0086242B" w:rsidRDefault="006B595F" w:rsidP="0086242B">
      <w:pPr>
        <w:numPr>
          <w:ilvl w:val="0"/>
          <w:numId w:val="59"/>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Organismo de certificación</w:t>
      </w:r>
      <w:r w:rsidRPr="0086242B">
        <w:rPr>
          <w:rFonts w:ascii="ITC Avant Garde" w:hAnsi="ITC Avant Garde"/>
          <w:sz w:val="20"/>
          <w:szCs w:val="20"/>
        </w:rPr>
        <w:t>: la persona moral autorizada por el Instituto, que tenga por objeto realizar funciones de certificación de Disposiciones Técnicas.</w:t>
      </w:r>
    </w:p>
    <w:p w14:paraId="24C48188" w14:textId="77777777" w:rsidR="006B595F" w:rsidRPr="0086242B" w:rsidRDefault="006B595F" w:rsidP="006B595F">
      <w:pPr>
        <w:autoSpaceDE w:val="0"/>
        <w:autoSpaceDN w:val="0"/>
        <w:adjustRightInd w:val="0"/>
        <w:spacing w:line="360" w:lineRule="auto"/>
        <w:ind w:left="720"/>
        <w:jc w:val="both"/>
        <w:rPr>
          <w:rFonts w:ascii="ITC Avant Garde" w:hAnsi="ITC Avant Garde"/>
          <w:sz w:val="20"/>
          <w:szCs w:val="20"/>
        </w:rPr>
      </w:pPr>
    </w:p>
    <w:p w14:paraId="21A9FEFF" w14:textId="7C509759" w:rsidR="006B595F" w:rsidRPr="0086242B" w:rsidRDefault="006B595F" w:rsidP="0086242B">
      <w:pPr>
        <w:numPr>
          <w:ilvl w:val="0"/>
          <w:numId w:val="59"/>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Seguimiento</w:t>
      </w:r>
      <w:r w:rsidRPr="0086242B">
        <w:rPr>
          <w:rFonts w:ascii="ITC Avant Garde" w:hAnsi="ITC Avant Garde"/>
          <w:sz w:val="20"/>
          <w:szCs w:val="20"/>
        </w:rPr>
        <w:t xml:space="preserve">: actividades o procedimientos de evaluación de la conformidad, tales como: muestreo, medición, pruebas de laboratorio, constatación ocular o examen de documentos, </w:t>
      </w:r>
      <w:r w:rsidR="0002482E" w:rsidRPr="00F02808">
        <w:rPr>
          <w:rFonts w:ascii="ITC Avant Garde" w:hAnsi="ITC Avant Garde"/>
          <w:sz w:val="20"/>
          <w:szCs w:val="20"/>
        </w:rPr>
        <w:t xml:space="preserve">a que están sujetos las estaciones o terminales  </w:t>
      </w:r>
      <w:r w:rsidRPr="0086242B">
        <w:rPr>
          <w:rFonts w:ascii="ITC Avant Garde" w:hAnsi="ITC Avant Garde"/>
          <w:sz w:val="20"/>
          <w:szCs w:val="20"/>
        </w:rPr>
        <w:t>de radiocomunicaciones respecto de los cuales se otorgó un dictamen de conformidad o un certificado de conformidad respectivamente, para comprobar que continúan cumpliendo con las condiciones y requisitos bajo los cuales fueron dictaminados o certificados y, por lo tanto, para mantener la vigencia del dictamen o certificado de conformidad respectivo.</w:t>
      </w:r>
    </w:p>
    <w:p w14:paraId="11A84625"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p>
    <w:p w14:paraId="7F97B42E" w14:textId="2F679946" w:rsidR="00FF5512" w:rsidRPr="0086242B" w:rsidRDefault="00FF5512" w:rsidP="00FF5512">
      <w:pPr>
        <w:numPr>
          <w:ilvl w:val="0"/>
          <w:numId w:val="59"/>
        </w:numPr>
        <w:autoSpaceDE w:val="0"/>
        <w:autoSpaceDN w:val="0"/>
        <w:adjustRightInd w:val="0"/>
        <w:spacing w:line="360" w:lineRule="auto"/>
        <w:jc w:val="both"/>
        <w:rPr>
          <w:rFonts w:ascii="ITC Avant Garde" w:hAnsi="ITC Avant Garde"/>
          <w:b/>
          <w:sz w:val="20"/>
          <w:szCs w:val="20"/>
        </w:rPr>
      </w:pPr>
      <w:r w:rsidRPr="0086242B">
        <w:rPr>
          <w:rFonts w:ascii="ITC Avant Garde" w:hAnsi="ITC Avant Garde"/>
          <w:b/>
          <w:sz w:val="20"/>
          <w:szCs w:val="20"/>
        </w:rPr>
        <w:t xml:space="preserve">Titular: </w:t>
      </w:r>
      <w:r>
        <w:rPr>
          <w:rFonts w:ascii="ITC Avant Garde" w:hAnsi="ITC Avant Garde"/>
          <w:sz w:val="20"/>
          <w:szCs w:val="20"/>
        </w:rPr>
        <w:t>C</w:t>
      </w:r>
      <w:r w:rsidRPr="0086242B">
        <w:rPr>
          <w:rFonts w:ascii="ITC Avant Garde" w:hAnsi="ITC Avant Garde"/>
          <w:sz w:val="20"/>
          <w:szCs w:val="20"/>
        </w:rPr>
        <w:t xml:space="preserve">oncesionario o autorizado, </w:t>
      </w:r>
      <w:r>
        <w:rPr>
          <w:rFonts w:ascii="ITC Avant Garde" w:hAnsi="ITC Avant Garde"/>
          <w:sz w:val="20"/>
          <w:szCs w:val="20"/>
        </w:rPr>
        <w:t>o</w:t>
      </w:r>
      <w:r w:rsidRPr="0086242B">
        <w:rPr>
          <w:rFonts w:ascii="ITC Avant Garde" w:hAnsi="ITC Avant Garde"/>
          <w:sz w:val="20"/>
          <w:szCs w:val="20"/>
        </w:rPr>
        <w:t xml:space="preserve"> importador, comercializador o fabricante </w:t>
      </w:r>
      <w:r>
        <w:rPr>
          <w:rFonts w:ascii="ITC Avant Garde" w:hAnsi="ITC Avant Garde"/>
          <w:sz w:val="20"/>
          <w:szCs w:val="20"/>
        </w:rPr>
        <w:t xml:space="preserve">de equipos terminales </w:t>
      </w:r>
      <w:r w:rsidRPr="0086242B">
        <w:rPr>
          <w:rFonts w:ascii="ITC Avant Garde" w:hAnsi="ITC Avant Garde"/>
          <w:sz w:val="20"/>
          <w:szCs w:val="20"/>
        </w:rPr>
        <w:t>a quien se le otorgó un dictamen o certificado de conformidad respectivamente de acuerdo con el presente ordenamiento sobre procedimientos de evaluación de la conformidad.</w:t>
      </w:r>
    </w:p>
    <w:p w14:paraId="1CD977CE" w14:textId="77777777" w:rsidR="00FF5512" w:rsidRPr="0086242B" w:rsidRDefault="00FF5512" w:rsidP="009C4506">
      <w:pPr>
        <w:autoSpaceDE w:val="0"/>
        <w:autoSpaceDN w:val="0"/>
        <w:adjustRightInd w:val="0"/>
        <w:spacing w:line="360" w:lineRule="auto"/>
        <w:jc w:val="both"/>
        <w:rPr>
          <w:rFonts w:ascii="ITC Avant Garde" w:hAnsi="ITC Avant Garde"/>
          <w:b/>
          <w:sz w:val="20"/>
          <w:szCs w:val="20"/>
        </w:rPr>
      </w:pPr>
    </w:p>
    <w:p w14:paraId="5DD5EC1B" w14:textId="77777777" w:rsidR="00FF5512" w:rsidRPr="0086242B" w:rsidRDefault="00FF5512" w:rsidP="00FF5512">
      <w:pPr>
        <w:numPr>
          <w:ilvl w:val="0"/>
          <w:numId w:val="59"/>
        </w:numPr>
        <w:autoSpaceDE w:val="0"/>
        <w:autoSpaceDN w:val="0"/>
        <w:adjustRightInd w:val="0"/>
        <w:spacing w:line="360" w:lineRule="auto"/>
        <w:jc w:val="both"/>
        <w:rPr>
          <w:rFonts w:ascii="ITC Avant Garde" w:hAnsi="ITC Avant Garde"/>
          <w:b/>
          <w:sz w:val="20"/>
          <w:szCs w:val="20"/>
        </w:rPr>
      </w:pPr>
      <w:r w:rsidRPr="0086242B">
        <w:rPr>
          <w:rFonts w:ascii="ITC Avant Garde" w:hAnsi="ITC Avant Garde"/>
          <w:b/>
          <w:sz w:val="20"/>
          <w:szCs w:val="20"/>
        </w:rPr>
        <w:t xml:space="preserve">Unidad de verificación de tercera parte: </w:t>
      </w:r>
      <w:r w:rsidRPr="0086242B">
        <w:rPr>
          <w:rFonts w:ascii="ITC Avant Garde" w:hAnsi="ITC Avant Garde"/>
          <w:sz w:val="20"/>
          <w:szCs w:val="20"/>
        </w:rPr>
        <w:t xml:space="preserve">Unidad de verificación </w:t>
      </w:r>
      <w:r>
        <w:rPr>
          <w:rFonts w:ascii="ITC Avant Garde" w:hAnsi="ITC Avant Garde"/>
          <w:sz w:val="20"/>
          <w:szCs w:val="20"/>
        </w:rPr>
        <w:t xml:space="preserve">autorizada por el Instituto </w:t>
      </w:r>
      <w:r w:rsidRPr="0086242B">
        <w:rPr>
          <w:rFonts w:ascii="ITC Avant Garde" w:hAnsi="ITC Avant Garde"/>
          <w:sz w:val="20"/>
          <w:szCs w:val="20"/>
        </w:rPr>
        <w:t>que se reconoce como independiente de los intereses de los Titulares o Concesionarios.</w:t>
      </w:r>
    </w:p>
    <w:p w14:paraId="72CFB294" w14:textId="77777777" w:rsidR="006B595F" w:rsidRPr="0086242B" w:rsidRDefault="006B595F" w:rsidP="006B595F">
      <w:pPr>
        <w:autoSpaceDE w:val="0"/>
        <w:autoSpaceDN w:val="0"/>
        <w:adjustRightInd w:val="0"/>
        <w:spacing w:line="360" w:lineRule="auto"/>
        <w:ind w:left="720"/>
        <w:jc w:val="both"/>
        <w:rPr>
          <w:rFonts w:ascii="ITC Avant Garde" w:hAnsi="ITC Avant Garde"/>
          <w:sz w:val="20"/>
          <w:szCs w:val="20"/>
        </w:rPr>
      </w:pPr>
    </w:p>
    <w:p w14:paraId="2502D1C0" w14:textId="38CE2C33" w:rsidR="00FF5512" w:rsidRPr="0086242B" w:rsidRDefault="00FF5512" w:rsidP="00FF5512">
      <w:pPr>
        <w:numPr>
          <w:ilvl w:val="0"/>
          <w:numId w:val="59"/>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Verificación</w:t>
      </w:r>
      <w:r w:rsidRPr="0086242B">
        <w:rPr>
          <w:rFonts w:ascii="ITC Avant Garde" w:hAnsi="ITC Avant Garde"/>
          <w:sz w:val="20"/>
          <w:szCs w:val="20"/>
        </w:rPr>
        <w:t xml:space="preserve">: </w:t>
      </w:r>
      <w:r w:rsidRPr="00610E42">
        <w:rPr>
          <w:rFonts w:ascii="ITC Avant Garde" w:hAnsi="ITC Avant Garde"/>
          <w:sz w:val="20"/>
          <w:szCs w:val="20"/>
        </w:rPr>
        <w:t>la constatación ocular</w:t>
      </w:r>
      <w:r w:rsidR="00610E42">
        <w:rPr>
          <w:rFonts w:ascii="ITC Avant Garde" w:hAnsi="ITC Avant Garde"/>
          <w:sz w:val="20"/>
          <w:szCs w:val="20"/>
        </w:rPr>
        <w:t xml:space="preserve"> </w:t>
      </w:r>
      <w:proofErr w:type="gramStart"/>
      <w:r w:rsidR="00610E42">
        <w:rPr>
          <w:rFonts w:ascii="ITC Avant Garde" w:hAnsi="ITC Avant Garde"/>
          <w:sz w:val="20"/>
          <w:szCs w:val="20"/>
        </w:rPr>
        <w:t>o</w:t>
      </w:r>
      <w:r w:rsidRPr="00610E42">
        <w:rPr>
          <w:rFonts w:ascii="ITC Avant Garde" w:hAnsi="ITC Avant Garde"/>
          <w:sz w:val="20"/>
          <w:szCs w:val="20"/>
        </w:rPr>
        <w:t xml:space="preserve"> </w:t>
      </w:r>
      <w:r w:rsidR="00610E42" w:rsidRPr="0086242B">
        <w:rPr>
          <w:rFonts w:ascii="ITC Avant Garde" w:hAnsi="ITC Avant Garde"/>
          <w:sz w:val="20"/>
          <w:szCs w:val="20"/>
        </w:rPr>
        <w:t xml:space="preserve"> </w:t>
      </w:r>
      <w:r w:rsidR="00F61BCE">
        <w:rPr>
          <w:rFonts w:ascii="ITC Avant Garde" w:hAnsi="ITC Avant Garde"/>
          <w:sz w:val="20"/>
          <w:szCs w:val="20"/>
        </w:rPr>
        <w:t>l</w:t>
      </w:r>
      <w:r w:rsidRPr="0086242B">
        <w:rPr>
          <w:rFonts w:ascii="ITC Avant Garde" w:hAnsi="ITC Avant Garde"/>
          <w:sz w:val="20"/>
          <w:szCs w:val="20"/>
        </w:rPr>
        <w:t>a</w:t>
      </w:r>
      <w:proofErr w:type="gramEnd"/>
      <w:r w:rsidRPr="0086242B">
        <w:rPr>
          <w:rFonts w:ascii="ITC Avant Garde" w:hAnsi="ITC Avant Garde"/>
          <w:sz w:val="20"/>
          <w:szCs w:val="20"/>
        </w:rPr>
        <w:t xml:space="preserve"> comprobación mediante muestreo, medición</w:t>
      </w:r>
      <w:r>
        <w:rPr>
          <w:rFonts w:ascii="ITC Avant Garde" w:hAnsi="ITC Avant Garde"/>
          <w:sz w:val="20"/>
          <w:szCs w:val="20"/>
        </w:rPr>
        <w:t>, cálculos</w:t>
      </w:r>
      <w:r w:rsidRPr="0086242B">
        <w:rPr>
          <w:rFonts w:ascii="ITC Avant Garde" w:hAnsi="ITC Avant Garde"/>
          <w:sz w:val="20"/>
          <w:szCs w:val="20"/>
        </w:rPr>
        <w:t xml:space="preserve"> y pruebas de laboratorio o el examen de documentos, que se realizan para evaluar la conformidad de la disposición técnica IFT-007-2015 en un momento determinado.</w:t>
      </w:r>
    </w:p>
    <w:p w14:paraId="7835817F" w14:textId="77777777" w:rsidR="006B595F" w:rsidRPr="0086242B" w:rsidRDefault="006B595F" w:rsidP="006B595F">
      <w:pPr>
        <w:autoSpaceDE w:val="0"/>
        <w:autoSpaceDN w:val="0"/>
        <w:adjustRightInd w:val="0"/>
        <w:spacing w:line="360" w:lineRule="auto"/>
        <w:ind w:left="720"/>
        <w:jc w:val="both"/>
        <w:rPr>
          <w:rFonts w:ascii="ITC Avant Garde" w:hAnsi="ITC Avant Garde"/>
          <w:sz w:val="20"/>
          <w:szCs w:val="20"/>
        </w:rPr>
      </w:pPr>
    </w:p>
    <w:p w14:paraId="37B5E1AB" w14:textId="77777777" w:rsidR="006B595F" w:rsidRPr="0086242B" w:rsidRDefault="006B595F" w:rsidP="0086242B">
      <w:pPr>
        <w:numPr>
          <w:ilvl w:val="0"/>
          <w:numId w:val="59"/>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Verificación de tercera parte</w:t>
      </w:r>
      <w:r w:rsidRPr="0086242B">
        <w:rPr>
          <w:rFonts w:ascii="ITC Avant Garde" w:hAnsi="ITC Avant Garde"/>
          <w:sz w:val="20"/>
          <w:szCs w:val="20"/>
        </w:rPr>
        <w:t>: Verificación que lleva a cabo una Unidad de verificación de tercera parte.</w:t>
      </w:r>
    </w:p>
    <w:p w14:paraId="579F32C3" w14:textId="77777777" w:rsidR="006B595F" w:rsidRPr="0086242B" w:rsidRDefault="006B595F" w:rsidP="006B595F">
      <w:pPr>
        <w:autoSpaceDE w:val="0"/>
        <w:autoSpaceDN w:val="0"/>
        <w:adjustRightInd w:val="0"/>
        <w:jc w:val="both"/>
        <w:rPr>
          <w:rFonts w:ascii="ITC Avant Garde" w:hAnsi="ITC Avant Garde"/>
        </w:rPr>
      </w:pPr>
    </w:p>
    <w:p w14:paraId="116B5449" w14:textId="77777777" w:rsidR="006B595F" w:rsidRPr="0086242B" w:rsidRDefault="006B595F" w:rsidP="006B595F">
      <w:pPr>
        <w:autoSpaceDE w:val="0"/>
        <w:autoSpaceDN w:val="0"/>
        <w:adjustRightInd w:val="0"/>
        <w:jc w:val="both"/>
        <w:rPr>
          <w:rFonts w:ascii="ITC Avant Garde" w:hAnsi="ITC Avant Garde"/>
        </w:rPr>
      </w:pPr>
    </w:p>
    <w:p w14:paraId="5D8D2825" w14:textId="77777777" w:rsidR="006B595F" w:rsidRPr="0086242B" w:rsidRDefault="006B595F" w:rsidP="006B595F">
      <w:pPr>
        <w:autoSpaceDE w:val="0"/>
        <w:autoSpaceDN w:val="0"/>
        <w:adjustRightInd w:val="0"/>
        <w:spacing w:line="360" w:lineRule="auto"/>
        <w:jc w:val="center"/>
        <w:rPr>
          <w:rFonts w:ascii="ITC Avant Garde" w:hAnsi="ITC Avant Garde"/>
          <w:b/>
          <w:sz w:val="22"/>
          <w:szCs w:val="22"/>
        </w:rPr>
      </w:pPr>
      <w:r w:rsidRPr="0086242B">
        <w:rPr>
          <w:rFonts w:ascii="ITC Avant Garde" w:hAnsi="ITC Avant Garde"/>
          <w:b/>
          <w:sz w:val="22"/>
          <w:szCs w:val="22"/>
        </w:rPr>
        <w:t>CAPÍTULO II</w:t>
      </w:r>
    </w:p>
    <w:p w14:paraId="0B49F30E" w14:textId="77777777" w:rsidR="006B595F" w:rsidRPr="0086242B" w:rsidRDefault="006B595F" w:rsidP="006B595F">
      <w:pPr>
        <w:autoSpaceDE w:val="0"/>
        <w:autoSpaceDN w:val="0"/>
        <w:adjustRightInd w:val="0"/>
        <w:spacing w:line="360" w:lineRule="auto"/>
        <w:jc w:val="center"/>
        <w:rPr>
          <w:rFonts w:ascii="ITC Avant Garde" w:hAnsi="ITC Avant Garde"/>
          <w:b/>
          <w:sz w:val="22"/>
          <w:szCs w:val="22"/>
        </w:rPr>
      </w:pPr>
      <w:r w:rsidRPr="0086242B">
        <w:rPr>
          <w:rFonts w:ascii="ITC Avant Garde" w:hAnsi="ITC Avant Garde"/>
          <w:b/>
          <w:sz w:val="22"/>
          <w:szCs w:val="22"/>
        </w:rPr>
        <w:t>DISPOSICIONES GENERALES</w:t>
      </w:r>
    </w:p>
    <w:p w14:paraId="2EFE0ADF" w14:textId="77777777" w:rsidR="006B595F" w:rsidRPr="0086242B" w:rsidRDefault="006B595F" w:rsidP="006B595F">
      <w:pPr>
        <w:autoSpaceDE w:val="0"/>
        <w:autoSpaceDN w:val="0"/>
        <w:adjustRightInd w:val="0"/>
        <w:jc w:val="both"/>
        <w:rPr>
          <w:rFonts w:ascii="ITC Avant Garde" w:hAnsi="ITC Avant Garde"/>
        </w:rPr>
      </w:pPr>
    </w:p>
    <w:p w14:paraId="62F3DBFC" w14:textId="77777777" w:rsidR="006B595F" w:rsidRPr="0086242B" w:rsidRDefault="006B595F" w:rsidP="006B595F">
      <w:pPr>
        <w:pStyle w:val="Descripcin"/>
        <w:spacing w:before="0" w:after="0" w:line="360" w:lineRule="auto"/>
        <w:jc w:val="both"/>
        <w:rPr>
          <w:rFonts w:ascii="ITC Avant Garde" w:hAnsi="ITC Avant Garde"/>
          <w:b w:val="0"/>
        </w:rPr>
      </w:pPr>
      <w:r w:rsidRPr="0086242B">
        <w:rPr>
          <w:rFonts w:ascii="ITC Avant Garde" w:hAnsi="ITC Avant Garde"/>
        </w:rPr>
        <w:t xml:space="preserve">Artículo </w:t>
      </w:r>
      <w:r w:rsidRPr="0086242B">
        <w:rPr>
          <w:rFonts w:ascii="ITC Avant Garde" w:hAnsi="ITC Avant Garde"/>
        </w:rPr>
        <w:fldChar w:fldCharType="begin"/>
      </w:r>
      <w:r w:rsidRPr="0086242B">
        <w:rPr>
          <w:rFonts w:ascii="ITC Avant Garde" w:hAnsi="ITC Avant Garde"/>
        </w:rPr>
        <w:instrText xml:space="preserve"> SEQ Artículo \* ARABIC </w:instrText>
      </w:r>
      <w:r w:rsidRPr="0086242B">
        <w:rPr>
          <w:rFonts w:ascii="ITC Avant Garde" w:hAnsi="ITC Avant Garde"/>
        </w:rPr>
        <w:fldChar w:fldCharType="separate"/>
      </w:r>
      <w:r w:rsidR="00992611">
        <w:rPr>
          <w:rFonts w:ascii="ITC Avant Garde" w:hAnsi="ITC Avant Garde"/>
          <w:noProof/>
        </w:rPr>
        <w:t>2</w:t>
      </w:r>
      <w:r w:rsidRPr="0086242B">
        <w:rPr>
          <w:rFonts w:ascii="ITC Avant Garde" w:hAnsi="ITC Avant Garde"/>
        </w:rPr>
        <w:fldChar w:fldCharType="end"/>
      </w:r>
      <w:r w:rsidRPr="0086242B">
        <w:rPr>
          <w:rFonts w:ascii="ITC Avant Garde" w:hAnsi="ITC Avant Garde"/>
        </w:rPr>
        <w:t xml:space="preserve">. </w:t>
      </w:r>
      <w:r w:rsidRPr="0086242B">
        <w:rPr>
          <w:rFonts w:ascii="ITC Avant Garde" w:hAnsi="ITC Avant Garde"/>
          <w:b w:val="0"/>
        </w:rPr>
        <w:t>Las disposiciones contenidas en el presente ordenamiento aplican a las estaciones y a los equipos terminales de radiocomunicaciones que se encuentren sujetos al cumplimiento de la disposición técnica IFT-007-2015.</w:t>
      </w:r>
    </w:p>
    <w:p w14:paraId="404B3D9F" w14:textId="77777777" w:rsidR="006B595F" w:rsidRPr="0086242B" w:rsidRDefault="006B595F" w:rsidP="006B595F">
      <w:pPr>
        <w:spacing w:line="360" w:lineRule="auto"/>
        <w:rPr>
          <w:rFonts w:ascii="ITC Avant Garde" w:hAnsi="ITC Avant Garde"/>
          <w:sz w:val="20"/>
          <w:szCs w:val="20"/>
        </w:rPr>
      </w:pPr>
    </w:p>
    <w:p w14:paraId="2187C5E5" w14:textId="77777777" w:rsidR="00185236" w:rsidRPr="0086242B" w:rsidRDefault="006B595F" w:rsidP="006B595F">
      <w:pPr>
        <w:pStyle w:val="Descripcin"/>
        <w:spacing w:before="0" w:after="0" w:line="360" w:lineRule="auto"/>
        <w:jc w:val="both"/>
        <w:rPr>
          <w:rFonts w:ascii="ITC Avant Garde" w:hAnsi="ITC Avant Garde"/>
          <w:b w:val="0"/>
        </w:rPr>
      </w:pPr>
      <w:r w:rsidRPr="0086242B">
        <w:rPr>
          <w:rFonts w:ascii="ITC Avant Garde" w:hAnsi="ITC Avant Garde"/>
        </w:rPr>
        <w:t xml:space="preserve">Artículo </w:t>
      </w:r>
      <w:r w:rsidRPr="0086242B">
        <w:rPr>
          <w:rFonts w:ascii="ITC Avant Garde" w:hAnsi="ITC Avant Garde"/>
        </w:rPr>
        <w:fldChar w:fldCharType="begin"/>
      </w:r>
      <w:r w:rsidRPr="0086242B">
        <w:rPr>
          <w:rFonts w:ascii="ITC Avant Garde" w:hAnsi="ITC Avant Garde"/>
        </w:rPr>
        <w:instrText xml:space="preserve"> SEQ Artículo \* ARABIC </w:instrText>
      </w:r>
      <w:r w:rsidRPr="0086242B">
        <w:rPr>
          <w:rFonts w:ascii="ITC Avant Garde" w:hAnsi="ITC Avant Garde"/>
        </w:rPr>
        <w:fldChar w:fldCharType="separate"/>
      </w:r>
      <w:r w:rsidR="00992611">
        <w:rPr>
          <w:rFonts w:ascii="ITC Avant Garde" w:hAnsi="ITC Avant Garde"/>
          <w:noProof/>
        </w:rPr>
        <w:t>3</w:t>
      </w:r>
      <w:r w:rsidRPr="0086242B">
        <w:rPr>
          <w:rFonts w:ascii="ITC Avant Garde" w:hAnsi="ITC Avant Garde"/>
        </w:rPr>
        <w:fldChar w:fldCharType="end"/>
      </w:r>
      <w:r w:rsidRPr="0086242B">
        <w:rPr>
          <w:rFonts w:ascii="ITC Avant Garde" w:hAnsi="ITC Avant Garde"/>
        </w:rPr>
        <w:t xml:space="preserve">. </w:t>
      </w:r>
      <w:r w:rsidRPr="0086242B">
        <w:rPr>
          <w:rFonts w:ascii="ITC Avant Garde" w:hAnsi="ITC Avant Garde"/>
          <w:b w:val="0"/>
        </w:rPr>
        <w:t xml:space="preserve">Las estaciones de radiocomunicaciones que se encuentre operando </w:t>
      </w:r>
      <w:r w:rsidR="00185236" w:rsidRPr="0086242B">
        <w:rPr>
          <w:rFonts w:ascii="ITC Avant Garde" w:hAnsi="ITC Avant Garde"/>
          <w:b w:val="0"/>
        </w:rPr>
        <w:t>y las que se</w:t>
      </w:r>
      <w:r w:rsidR="00741CFA" w:rsidRPr="0086242B">
        <w:rPr>
          <w:rFonts w:ascii="ITC Avant Garde" w:hAnsi="ITC Avant Garde"/>
          <w:b w:val="0"/>
        </w:rPr>
        <w:t>rán</w:t>
      </w:r>
      <w:r w:rsidR="00185236" w:rsidRPr="0086242B">
        <w:rPr>
          <w:rFonts w:ascii="ITC Avant Garde" w:hAnsi="ITC Avant Garde"/>
          <w:b w:val="0"/>
        </w:rPr>
        <w:t xml:space="preserve"> puestas en operación </w:t>
      </w:r>
      <w:r w:rsidRPr="0086242B">
        <w:rPr>
          <w:rFonts w:ascii="ITC Avant Garde" w:hAnsi="ITC Avant Garde"/>
          <w:b w:val="0"/>
        </w:rPr>
        <w:t xml:space="preserve">para la prestación de servicios de telecomunicaciones o de radiodifusión deberán cumplir con la disposición </w:t>
      </w:r>
      <w:proofErr w:type="gramStart"/>
      <w:r w:rsidRPr="0086242B">
        <w:rPr>
          <w:rFonts w:ascii="ITC Avant Garde" w:hAnsi="ITC Avant Garde"/>
          <w:b w:val="0"/>
        </w:rPr>
        <w:t>técnica  IFT</w:t>
      </w:r>
      <w:proofErr w:type="gramEnd"/>
      <w:r w:rsidRPr="0086242B">
        <w:rPr>
          <w:rFonts w:ascii="ITC Avant Garde" w:hAnsi="ITC Avant Garde"/>
          <w:b w:val="0"/>
        </w:rPr>
        <w:t>-007-2015.</w:t>
      </w:r>
    </w:p>
    <w:p w14:paraId="70BFA074" w14:textId="77777777" w:rsidR="00185236" w:rsidRPr="0086242B" w:rsidRDefault="00185236" w:rsidP="006B595F">
      <w:pPr>
        <w:pStyle w:val="Descripcin"/>
        <w:spacing w:before="0" w:after="0" w:line="360" w:lineRule="auto"/>
        <w:jc w:val="both"/>
        <w:rPr>
          <w:rFonts w:ascii="ITC Avant Garde" w:hAnsi="ITC Avant Garde"/>
          <w:b w:val="0"/>
        </w:rPr>
      </w:pPr>
    </w:p>
    <w:p w14:paraId="027B802D" w14:textId="77777777" w:rsidR="006B595F" w:rsidRPr="0086242B" w:rsidRDefault="006B595F" w:rsidP="006B595F">
      <w:pPr>
        <w:pStyle w:val="Descripcin"/>
        <w:spacing w:before="0" w:after="0" w:line="360" w:lineRule="auto"/>
        <w:jc w:val="both"/>
        <w:rPr>
          <w:rFonts w:ascii="ITC Avant Garde" w:hAnsi="ITC Avant Garde"/>
          <w:b w:val="0"/>
        </w:rPr>
      </w:pPr>
    </w:p>
    <w:p w14:paraId="56F0DF8A" w14:textId="77777777" w:rsidR="006B595F" w:rsidRPr="0086242B" w:rsidRDefault="006B595F" w:rsidP="006B595F">
      <w:pPr>
        <w:pStyle w:val="Descripcin"/>
        <w:spacing w:before="0" w:after="0" w:line="360" w:lineRule="auto"/>
        <w:jc w:val="both"/>
        <w:rPr>
          <w:rFonts w:ascii="ITC Avant Garde" w:hAnsi="ITC Avant Garde"/>
          <w:b w:val="0"/>
        </w:rPr>
      </w:pPr>
      <w:r w:rsidRPr="0086242B">
        <w:rPr>
          <w:rFonts w:ascii="ITC Avant Garde" w:hAnsi="ITC Avant Garde"/>
        </w:rPr>
        <w:t xml:space="preserve">Artículo </w:t>
      </w:r>
      <w:r w:rsidRPr="0086242B">
        <w:rPr>
          <w:rFonts w:ascii="ITC Avant Garde" w:hAnsi="ITC Avant Garde"/>
        </w:rPr>
        <w:fldChar w:fldCharType="begin"/>
      </w:r>
      <w:r w:rsidRPr="0086242B">
        <w:rPr>
          <w:rFonts w:ascii="ITC Avant Garde" w:hAnsi="ITC Avant Garde"/>
        </w:rPr>
        <w:instrText xml:space="preserve"> SEQ Artículo \* ARABIC </w:instrText>
      </w:r>
      <w:r w:rsidRPr="0086242B">
        <w:rPr>
          <w:rFonts w:ascii="ITC Avant Garde" w:hAnsi="ITC Avant Garde"/>
        </w:rPr>
        <w:fldChar w:fldCharType="separate"/>
      </w:r>
      <w:r w:rsidR="00992611">
        <w:rPr>
          <w:rFonts w:ascii="ITC Avant Garde" w:hAnsi="ITC Avant Garde"/>
          <w:noProof/>
        </w:rPr>
        <w:t>4</w:t>
      </w:r>
      <w:r w:rsidRPr="0086242B">
        <w:rPr>
          <w:rFonts w:ascii="ITC Avant Garde" w:hAnsi="ITC Avant Garde"/>
        </w:rPr>
        <w:fldChar w:fldCharType="end"/>
      </w:r>
      <w:r w:rsidRPr="0086242B">
        <w:rPr>
          <w:rFonts w:ascii="ITC Avant Garde" w:hAnsi="ITC Avant Garde"/>
        </w:rPr>
        <w:t xml:space="preserve">. </w:t>
      </w:r>
      <w:r w:rsidRPr="0086242B">
        <w:rPr>
          <w:rFonts w:ascii="ITC Avant Garde" w:hAnsi="ITC Avant Garde"/>
          <w:b w:val="0"/>
        </w:rPr>
        <w:t>Los</w:t>
      </w:r>
      <w:r w:rsidRPr="0086242B">
        <w:rPr>
          <w:rFonts w:ascii="ITC Avant Garde" w:hAnsi="ITC Avant Garde"/>
        </w:rPr>
        <w:t xml:space="preserve"> </w:t>
      </w:r>
      <w:r w:rsidRPr="0086242B">
        <w:rPr>
          <w:rFonts w:ascii="ITC Avant Garde" w:hAnsi="ITC Avant Garde"/>
          <w:b w:val="0"/>
        </w:rPr>
        <w:t xml:space="preserve">equipos terminales de radiocomunicaciones deberán cumplir con </w:t>
      </w:r>
      <w:proofErr w:type="gramStart"/>
      <w:r w:rsidRPr="0086242B">
        <w:rPr>
          <w:rFonts w:ascii="ITC Avant Garde" w:hAnsi="ITC Avant Garde"/>
          <w:b w:val="0"/>
        </w:rPr>
        <w:t>la  disposición</w:t>
      </w:r>
      <w:proofErr w:type="gramEnd"/>
      <w:r w:rsidRPr="0086242B">
        <w:rPr>
          <w:rFonts w:ascii="ITC Avant Garde" w:hAnsi="ITC Avant Garde"/>
          <w:b w:val="0"/>
        </w:rPr>
        <w:t xml:space="preserve"> técnica  IFT-007-2015 y deberán contar con certificado de conformidad de manera obligatoria. </w:t>
      </w:r>
      <w:r w:rsidR="00741CFA" w:rsidRPr="0086242B">
        <w:rPr>
          <w:rFonts w:ascii="ITC Avant Garde" w:hAnsi="ITC Avant Garde"/>
          <w:b w:val="0"/>
        </w:rPr>
        <w:t xml:space="preserve">Dicha </w:t>
      </w:r>
      <w:r w:rsidRPr="0086242B">
        <w:rPr>
          <w:rFonts w:ascii="ITC Avant Garde" w:hAnsi="ITC Avant Garde"/>
          <w:b w:val="0"/>
        </w:rPr>
        <w:t xml:space="preserve">evaluación de la conformidad será realizada por organismos de certificación autorizados por el Instituto.    </w:t>
      </w:r>
    </w:p>
    <w:p w14:paraId="71BC9CE1" w14:textId="77777777" w:rsidR="006B595F" w:rsidRPr="0086242B" w:rsidRDefault="006B595F" w:rsidP="006B595F">
      <w:pPr>
        <w:spacing w:line="360" w:lineRule="auto"/>
        <w:rPr>
          <w:rFonts w:ascii="ITC Avant Garde" w:hAnsi="ITC Avant Garde"/>
          <w:sz w:val="20"/>
          <w:szCs w:val="20"/>
        </w:rPr>
      </w:pPr>
    </w:p>
    <w:p w14:paraId="6BDB5C38" w14:textId="77777777" w:rsidR="006B595F" w:rsidRPr="0086242B" w:rsidRDefault="006B595F" w:rsidP="006B595F">
      <w:pPr>
        <w:autoSpaceDE w:val="0"/>
        <w:autoSpaceDN w:val="0"/>
        <w:adjustRightInd w:val="0"/>
        <w:spacing w:line="360" w:lineRule="auto"/>
        <w:jc w:val="both"/>
        <w:rPr>
          <w:rFonts w:ascii="ITC Avant Garde" w:hAnsi="ITC Avant Garde"/>
          <w:bCs/>
          <w:sz w:val="20"/>
          <w:szCs w:val="20"/>
        </w:rPr>
      </w:pPr>
      <w:r w:rsidRPr="0086242B">
        <w:rPr>
          <w:rFonts w:ascii="ITC Avant Garde" w:hAnsi="ITC Avant Garde"/>
          <w:b/>
          <w:sz w:val="20"/>
          <w:szCs w:val="20"/>
        </w:rPr>
        <w:t xml:space="preserve">Artículo </w:t>
      </w:r>
      <w:r w:rsidRPr="0086242B">
        <w:rPr>
          <w:rFonts w:ascii="ITC Avant Garde" w:hAnsi="ITC Avant Garde"/>
          <w:b/>
          <w:sz w:val="20"/>
          <w:szCs w:val="20"/>
        </w:rPr>
        <w:fldChar w:fldCharType="begin"/>
      </w:r>
      <w:r w:rsidRPr="0086242B">
        <w:rPr>
          <w:rFonts w:ascii="ITC Avant Garde" w:hAnsi="ITC Avant Garde"/>
          <w:b/>
          <w:sz w:val="20"/>
          <w:szCs w:val="20"/>
        </w:rPr>
        <w:instrText xml:space="preserve"> SEQ Artículo \* ARABIC </w:instrText>
      </w:r>
      <w:r w:rsidRPr="0086242B">
        <w:rPr>
          <w:rFonts w:ascii="ITC Avant Garde" w:hAnsi="ITC Avant Garde"/>
          <w:b/>
          <w:sz w:val="20"/>
          <w:szCs w:val="20"/>
        </w:rPr>
        <w:fldChar w:fldCharType="separate"/>
      </w:r>
      <w:r w:rsidR="00992611">
        <w:rPr>
          <w:rFonts w:ascii="ITC Avant Garde" w:hAnsi="ITC Avant Garde"/>
          <w:b/>
          <w:noProof/>
          <w:sz w:val="20"/>
          <w:szCs w:val="20"/>
        </w:rPr>
        <w:t>5</w:t>
      </w:r>
      <w:r w:rsidRPr="0086242B">
        <w:rPr>
          <w:rFonts w:ascii="ITC Avant Garde" w:hAnsi="ITC Avant Garde"/>
          <w:b/>
          <w:sz w:val="20"/>
          <w:szCs w:val="20"/>
        </w:rPr>
        <w:fldChar w:fldCharType="end"/>
      </w:r>
      <w:r w:rsidRPr="0086242B">
        <w:rPr>
          <w:rFonts w:ascii="ITC Avant Garde" w:hAnsi="ITC Avant Garde"/>
          <w:b/>
          <w:sz w:val="20"/>
          <w:szCs w:val="20"/>
        </w:rPr>
        <w:t>.</w:t>
      </w:r>
      <w:r w:rsidRPr="0086242B">
        <w:rPr>
          <w:rFonts w:ascii="ITC Avant Garde" w:hAnsi="ITC Avant Garde"/>
          <w:sz w:val="20"/>
          <w:szCs w:val="20"/>
        </w:rPr>
        <w:t xml:space="preserve"> Los dictámenes de conformidad y los </w:t>
      </w:r>
      <w:r w:rsidRPr="0086242B">
        <w:rPr>
          <w:rFonts w:ascii="ITC Avant Garde" w:hAnsi="ITC Avant Garde"/>
          <w:bCs/>
          <w:sz w:val="20"/>
          <w:szCs w:val="20"/>
        </w:rPr>
        <w:t xml:space="preserve">certificados de conformidad serán otorgados a los Titulares por unidades de verificación o por organismos de certificación debidamente autorizados por el Instituto según corresponda, una vez que se compruebe satisfactoriamente la conformidad de la estación o del equipo terminal de radiocomunicaciones con </w:t>
      </w:r>
      <w:proofErr w:type="gramStart"/>
      <w:r w:rsidRPr="0086242B">
        <w:rPr>
          <w:rFonts w:ascii="ITC Avant Garde" w:hAnsi="ITC Avant Garde"/>
          <w:bCs/>
          <w:sz w:val="20"/>
          <w:szCs w:val="20"/>
        </w:rPr>
        <w:t xml:space="preserve">la </w:t>
      </w:r>
      <w:r w:rsidRPr="0086242B">
        <w:rPr>
          <w:rFonts w:ascii="ITC Avant Garde" w:hAnsi="ITC Avant Garde"/>
          <w:sz w:val="20"/>
          <w:szCs w:val="20"/>
        </w:rPr>
        <w:t xml:space="preserve"> </w:t>
      </w:r>
      <w:r w:rsidRPr="0086242B">
        <w:rPr>
          <w:rFonts w:ascii="ITC Avant Garde" w:hAnsi="ITC Avant Garde"/>
          <w:bCs/>
          <w:sz w:val="20"/>
          <w:szCs w:val="20"/>
        </w:rPr>
        <w:t>disposición</w:t>
      </w:r>
      <w:proofErr w:type="gramEnd"/>
      <w:r w:rsidRPr="0086242B">
        <w:rPr>
          <w:rFonts w:ascii="ITC Avant Garde" w:hAnsi="ITC Avant Garde"/>
          <w:bCs/>
          <w:sz w:val="20"/>
          <w:szCs w:val="20"/>
        </w:rPr>
        <w:t xml:space="preserve"> técnica  IFT-007-2015. </w:t>
      </w:r>
    </w:p>
    <w:p w14:paraId="596DD38B" w14:textId="77777777" w:rsidR="006B595F" w:rsidRPr="0086242B" w:rsidRDefault="006B595F" w:rsidP="006B595F">
      <w:pPr>
        <w:autoSpaceDE w:val="0"/>
        <w:autoSpaceDN w:val="0"/>
        <w:adjustRightInd w:val="0"/>
        <w:spacing w:line="360" w:lineRule="auto"/>
        <w:jc w:val="both"/>
        <w:rPr>
          <w:rFonts w:ascii="ITC Avant Garde" w:hAnsi="ITC Avant Garde"/>
          <w:bCs/>
          <w:sz w:val="20"/>
          <w:szCs w:val="20"/>
        </w:rPr>
      </w:pPr>
    </w:p>
    <w:p w14:paraId="6559576E" w14:textId="77777777" w:rsidR="006B595F" w:rsidRPr="0086242B" w:rsidRDefault="006B595F" w:rsidP="006B595F">
      <w:pPr>
        <w:autoSpaceDE w:val="0"/>
        <w:autoSpaceDN w:val="0"/>
        <w:adjustRightInd w:val="0"/>
        <w:spacing w:line="360" w:lineRule="auto"/>
        <w:jc w:val="both"/>
        <w:rPr>
          <w:rFonts w:ascii="ITC Avant Garde" w:hAnsi="ITC Avant Garde"/>
          <w:bCs/>
          <w:sz w:val="20"/>
          <w:szCs w:val="20"/>
        </w:rPr>
      </w:pPr>
      <w:r w:rsidRPr="0086242B">
        <w:rPr>
          <w:rFonts w:ascii="ITC Avant Garde" w:hAnsi="ITC Avant Garde"/>
          <w:bCs/>
          <w:sz w:val="20"/>
          <w:szCs w:val="20"/>
        </w:rPr>
        <w:t>En ambos casos</w:t>
      </w:r>
      <w:r w:rsidRPr="0086242B">
        <w:rPr>
          <w:rFonts w:ascii="ITC Avant Garde" w:hAnsi="ITC Avant Garde"/>
          <w:sz w:val="20"/>
          <w:szCs w:val="20"/>
        </w:rPr>
        <w:t>, l</w:t>
      </w:r>
      <w:r w:rsidRPr="0086242B">
        <w:rPr>
          <w:rFonts w:ascii="ITC Avant Garde" w:hAnsi="ITC Avant Garde"/>
          <w:bCs/>
          <w:sz w:val="20"/>
          <w:szCs w:val="20"/>
        </w:rPr>
        <w:t xml:space="preserve">as unidades de verificación de tercera parte y los organismos de certificación </w:t>
      </w:r>
      <w:r w:rsidR="002E3DC2" w:rsidRPr="0086242B">
        <w:rPr>
          <w:rFonts w:ascii="ITC Avant Garde" w:hAnsi="ITC Avant Garde"/>
          <w:bCs/>
          <w:sz w:val="20"/>
          <w:szCs w:val="20"/>
        </w:rPr>
        <w:t>deberán</w:t>
      </w:r>
      <w:r w:rsidRPr="0086242B">
        <w:rPr>
          <w:rFonts w:ascii="ITC Avant Garde" w:hAnsi="ITC Avant Garde"/>
          <w:bCs/>
          <w:sz w:val="20"/>
          <w:szCs w:val="20"/>
        </w:rPr>
        <w:t xml:space="preserve"> informa</w:t>
      </w:r>
      <w:r w:rsidR="002E3DC2" w:rsidRPr="0086242B">
        <w:rPr>
          <w:rFonts w:ascii="ITC Avant Garde" w:hAnsi="ITC Avant Garde"/>
          <w:bCs/>
          <w:sz w:val="20"/>
          <w:szCs w:val="20"/>
        </w:rPr>
        <w:t>r</w:t>
      </w:r>
      <w:r w:rsidRPr="0086242B">
        <w:rPr>
          <w:rFonts w:ascii="ITC Avant Garde" w:hAnsi="ITC Avant Garde"/>
          <w:bCs/>
          <w:sz w:val="20"/>
          <w:szCs w:val="20"/>
        </w:rPr>
        <w:t xml:space="preserve"> al Instituto de los dictámenes y de los certificados de conformidad que otorguen, </w:t>
      </w:r>
      <w:r w:rsidRPr="00EF11CD">
        <w:rPr>
          <w:rFonts w:ascii="ITC Avant Garde" w:hAnsi="ITC Avant Garde"/>
          <w:bCs/>
          <w:sz w:val="20"/>
          <w:szCs w:val="20"/>
        </w:rPr>
        <w:t>amplíen, suspendan o cancelen</w:t>
      </w:r>
      <w:r w:rsidR="003704B9" w:rsidRPr="00C81E02">
        <w:rPr>
          <w:rFonts w:ascii="ITC Avant Garde" w:hAnsi="ITC Avant Garde"/>
          <w:bCs/>
          <w:sz w:val="20"/>
          <w:szCs w:val="20"/>
        </w:rPr>
        <w:t xml:space="preserve">, </w:t>
      </w:r>
      <w:r w:rsidR="00240C14" w:rsidRPr="00C81E02">
        <w:rPr>
          <w:rFonts w:ascii="ITC Avant Garde" w:hAnsi="ITC Avant Garde"/>
          <w:bCs/>
          <w:sz w:val="20"/>
          <w:szCs w:val="20"/>
        </w:rPr>
        <w:t>lo a</w:t>
      </w:r>
      <w:r w:rsidR="00240C14">
        <w:rPr>
          <w:rFonts w:ascii="ITC Avant Garde" w:hAnsi="ITC Avant Garde"/>
          <w:bCs/>
          <w:sz w:val="20"/>
          <w:szCs w:val="20"/>
        </w:rPr>
        <w:t xml:space="preserve">nterior en términos de </w:t>
      </w:r>
      <w:r w:rsidR="00355FB2">
        <w:rPr>
          <w:rFonts w:ascii="ITC Avant Garde" w:hAnsi="ITC Avant Garde"/>
          <w:bCs/>
          <w:sz w:val="20"/>
          <w:szCs w:val="20"/>
        </w:rPr>
        <w:t xml:space="preserve">la presente Disposición Técnica y demás </w:t>
      </w:r>
      <w:r w:rsidR="00240C14">
        <w:rPr>
          <w:rFonts w:ascii="ITC Avant Garde" w:hAnsi="ITC Avant Garde"/>
          <w:bCs/>
          <w:sz w:val="20"/>
          <w:szCs w:val="20"/>
        </w:rPr>
        <w:t>normatividad aplicable</w:t>
      </w:r>
      <w:r w:rsidR="00C226AE">
        <w:rPr>
          <w:rFonts w:ascii="ITC Avant Garde" w:hAnsi="ITC Avant Garde"/>
          <w:sz w:val="20"/>
          <w:szCs w:val="20"/>
        </w:rPr>
        <w:t xml:space="preserve">, </w:t>
      </w:r>
      <w:r w:rsidR="002E3DC2" w:rsidRPr="0086242B">
        <w:rPr>
          <w:rFonts w:ascii="ITC Avant Garde" w:hAnsi="ITC Avant Garde"/>
          <w:bCs/>
          <w:sz w:val="20"/>
          <w:szCs w:val="20"/>
        </w:rPr>
        <w:t>a más tardar 5 días hábiles contados a partir de realizados dichos actos;</w:t>
      </w:r>
      <w:r w:rsidRPr="0086242B">
        <w:rPr>
          <w:rFonts w:ascii="ITC Avant Garde" w:hAnsi="ITC Avant Garde"/>
          <w:bCs/>
          <w:sz w:val="20"/>
          <w:szCs w:val="20"/>
        </w:rPr>
        <w:t xml:space="preserve"> así como </w:t>
      </w:r>
      <w:r w:rsidR="002E3DC2" w:rsidRPr="0086242B">
        <w:rPr>
          <w:rFonts w:ascii="ITC Avant Garde" w:hAnsi="ITC Avant Garde"/>
          <w:bCs/>
          <w:sz w:val="20"/>
          <w:szCs w:val="20"/>
        </w:rPr>
        <w:t xml:space="preserve">deberán informar </w:t>
      </w:r>
      <w:r w:rsidRPr="0086242B">
        <w:rPr>
          <w:rFonts w:ascii="ITC Avant Garde" w:hAnsi="ITC Avant Garde"/>
          <w:bCs/>
          <w:sz w:val="20"/>
          <w:szCs w:val="20"/>
        </w:rPr>
        <w:t xml:space="preserve">del seguimiento que realicen. </w:t>
      </w:r>
    </w:p>
    <w:p w14:paraId="2F7C124B" w14:textId="77777777" w:rsidR="006B595F" w:rsidRPr="0086242B" w:rsidRDefault="006B595F" w:rsidP="006B595F">
      <w:pPr>
        <w:autoSpaceDE w:val="0"/>
        <w:autoSpaceDN w:val="0"/>
        <w:adjustRightInd w:val="0"/>
        <w:spacing w:line="360" w:lineRule="auto"/>
        <w:jc w:val="both"/>
        <w:rPr>
          <w:rFonts w:ascii="ITC Avant Garde" w:hAnsi="ITC Avant Garde"/>
          <w:bCs/>
          <w:sz w:val="20"/>
          <w:szCs w:val="20"/>
        </w:rPr>
      </w:pPr>
    </w:p>
    <w:p w14:paraId="45D6A056" w14:textId="77777777" w:rsidR="006B595F" w:rsidRPr="0086242B" w:rsidRDefault="006B595F" w:rsidP="006B595F">
      <w:pPr>
        <w:autoSpaceDE w:val="0"/>
        <w:autoSpaceDN w:val="0"/>
        <w:adjustRightInd w:val="0"/>
        <w:spacing w:line="360" w:lineRule="auto"/>
        <w:jc w:val="both"/>
        <w:rPr>
          <w:rFonts w:ascii="ITC Avant Garde" w:hAnsi="ITC Avant Garde"/>
          <w:bCs/>
          <w:sz w:val="20"/>
          <w:szCs w:val="20"/>
        </w:rPr>
      </w:pPr>
      <w:r w:rsidRPr="0086242B">
        <w:rPr>
          <w:rFonts w:ascii="ITC Avant Garde" w:hAnsi="ITC Avant Garde"/>
          <w:b/>
          <w:sz w:val="20"/>
          <w:szCs w:val="20"/>
        </w:rPr>
        <w:t xml:space="preserve">Artículo </w:t>
      </w:r>
      <w:r w:rsidRPr="0086242B">
        <w:rPr>
          <w:rFonts w:ascii="ITC Avant Garde" w:hAnsi="ITC Avant Garde"/>
          <w:b/>
          <w:sz w:val="20"/>
          <w:szCs w:val="20"/>
        </w:rPr>
        <w:fldChar w:fldCharType="begin"/>
      </w:r>
      <w:r w:rsidRPr="0086242B">
        <w:rPr>
          <w:rFonts w:ascii="ITC Avant Garde" w:hAnsi="ITC Avant Garde"/>
          <w:b/>
          <w:sz w:val="20"/>
          <w:szCs w:val="20"/>
        </w:rPr>
        <w:instrText xml:space="preserve"> SEQ Artículo \* ARABIC </w:instrText>
      </w:r>
      <w:r w:rsidRPr="0086242B">
        <w:rPr>
          <w:rFonts w:ascii="ITC Avant Garde" w:hAnsi="ITC Avant Garde"/>
          <w:b/>
          <w:sz w:val="20"/>
          <w:szCs w:val="20"/>
        </w:rPr>
        <w:fldChar w:fldCharType="separate"/>
      </w:r>
      <w:r w:rsidR="00992611">
        <w:rPr>
          <w:rFonts w:ascii="ITC Avant Garde" w:hAnsi="ITC Avant Garde"/>
          <w:b/>
          <w:noProof/>
          <w:sz w:val="20"/>
          <w:szCs w:val="20"/>
        </w:rPr>
        <w:t>6</w:t>
      </w:r>
      <w:r w:rsidRPr="0086242B">
        <w:rPr>
          <w:rFonts w:ascii="ITC Avant Garde" w:hAnsi="ITC Avant Garde"/>
          <w:b/>
          <w:sz w:val="20"/>
          <w:szCs w:val="20"/>
        </w:rPr>
        <w:fldChar w:fldCharType="end"/>
      </w:r>
      <w:r w:rsidRPr="0086242B">
        <w:rPr>
          <w:rFonts w:ascii="ITC Avant Garde" w:hAnsi="ITC Avant Garde"/>
          <w:b/>
          <w:sz w:val="20"/>
          <w:szCs w:val="20"/>
        </w:rPr>
        <w:t>.</w:t>
      </w:r>
      <w:r w:rsidRPr="0086242B">
        <w:rPr>
          <w:rFonts w:ascii="ITC Avant Garde" w:hAnsi="ITC Avant Garde"/>
          <w:sz w:val="20"/>
          <w:szCs w:val="20"/>
        </w:rPr>
        <w:t xml:space="preserve"> </w:t>
      </w:r>
      <w:r w:rsidRPr="0086242B">
        <w:rPr>
          <w:rFonts w:ascii="ITC Avant Garde" w:hAnsi="ITC Avant Garde"/>
          <w:bCs/>
          <w:sz w:val="20"/>
          <w:szCs w:val="20"/>
        </w:rPr>
        <w:t>La documentación y requisitos necesarios para llevar a cabo los procedimientos de evaluación de la conformidad a que se refiere el presente ordenamiento, deben presentarse en idioma español.</w:t>
      </w:r>
    </w:p>
    <w:p w14:paraId="55D1DBF5" w14:textId="77777777" w:rsidR="006B595F" w:rsidRPr="0086242B" w:rsidRDefault="006B595F" w:rsidP="006B595F">
      <w:pPr>
        <w:autoSpaceDE w:val="0"/>
        <w:autoSpaceDN w:val="0"/>
        <w:adjustRightInd w:val="0"/>
        <w:spacing w:line="360" w:lineRule="auto"/>
        <w:jc w:val="both"/>
        <w:rPr>
          <w:rFonts w:ascii="ITC Avant Garde" w:hAnsi="ITC Avant Garde"/>
          <w:bCs/>
          <w:sz w:val="20"/>
          <w:szCs w:val="20"/>
        </w:rPr>
      </w:pPr>
    </w:p>
    <w:p w14:paraId="6EF0223D" w14:textId="2E1A3008" w:rsidR="006B595F" w:rsidRPr="0086242B" w:rsidRDefault="006B595F" w:rsidP="006B595F">
      <w:p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 xml:space="preserve">Artículo </w:t>
      </w:r>
      <w:r w:rsidRPr="0086242B">
        <w:rPr>
          <w:rFonts w:ascii="ITC Avant Garde" w:hAnsi="ITC Avant Garde"/>
          <w:b/>
          <w:sz w:val="20"/>
          <w:szCs w:val="20"/>
        </w:rPr>
        <w:fldChar w:fldCharType="begin"/>
      </w:r>
      <w:r w:rsidRPr="0086242B">
        <w:rPr>
          <w:rFonts w:ascii="ITC Avant Garde" w:hAnsi="ITC Avant Garde"/>
          <w:b/>
          <w:sz w:val="20"/>
          <w:szCs w:val="20"/>
        </w:rPr>
        <w:instrText xml:space="preserve"> SEQ Artículo \* ARABIC </w:instrText>
      </w:r>
      <w:r w:rsidRPr="0086242B">
        <w:rPr>
          <w:rFonts w:ascii="ITC Avant Garde" w:hAnsi="ITC Avant Garde"/>
          <w:b/>
          <w:sz w:val="20"/>
          <w:szCs w:val="20"/>
        </w:rPr>
        <w:fldChar w:fldCharType="separate"/>
      </w:r>
      <w:r w:rsidR="00992611">
        <w:rPr>
          <w:rFonts w:ascii="ITC Avant Garde" w:hAnsi="ITC Avant Garde"/>
          <w:b/>
          <w:noProof/>
          <w:sz w:val="20"/>
          <w:szCs w:val="20"/>
        </w:rPr>
        <w:t>7</w:t>
      </w:r>
      <w:r w:rsidRPr="0086242B">
        <w:rPr>
          <w:rFonts w:ascii="ITC Avant Garde" w:hAnsi="ITC Avant Garde"/>
          <w:b/>
          <w:sz w:val="20"/>
          <w:szCs w:val="20"/>
        </w:rPr>
        <w:fldChar w:fldCharType="end"/>
      </w:r>
      <w:r w:rsidRPr="0086242B">
        <w:rPr>
          <w:rFonts w:ascii="ITC Avant Garde" w:hAnsi="ITC Avant Garde"/>
          <w:b/>
          <w:sz w:val="20"/>
          <w:szCs w:val="20"/>
        </w:rPr>
        <w:t xml:space="preserve">. </w:t>
      </w:r>
      <w:r w:rsidRPr="0086242B">
        <w:rPr>
          <w:rFonts w:ascii="ITC Avant Garde" w:hAnsi="ITC Avant Garde"/>
          <w:sz w:val="20"/>
          <w:szCs w:val="20"/>
        </w:rPr>
        <w:t xml:space="preserve">La lista de las unidades de verificación de tercera parte autorizadas por el Instituto para participar conforme lo establece el presente ordenamiento, se dará a conocer públicamente a través de los medios de </w:t>
      </w:r>
      <w:proofErr w:type="gramStart"/>
      <w:r w:rsidRPr="0086242B">
        <w:rPr>
          <w:rFonts w:ascii="ITC Avant Garde" w:hAnsi="ITC Avant Garde"/>
          <w:sz w:val="20"/>
          <w:szCs w:val="20"/>
        </w:rPr>
        <w:t>difusión  del</w:t>
      </w:r>
      <w:proofErr w:type="gramEnd"/>
      <w:r w:rsidR="00741CFA" w:rsidRPr="0086242B">
        <w:rPr>
          <w:rFonts w:ascii="ITC Avant Garde" w:hAnsi="ITC Avant Garde"/>
          <w:sz w:val="20"/>
          <w:szCs w:val="20"/>
        </w:rPr>
        <w:t xml:space="preserve"> portal de internet </w:t>
      </w:r>
      <w:r w:rsidRPr="0086242B">
        <w:rPr>
          <w:rFonts w:ascii="ITC Avant Garde" w:hAnsi="ITC Avant Garde"/>
          <w:sz w:val="20"/>
          <w:szCs w:val="20"/>
        </w:rPr>
        <w:t xml:space="preserve"> </w:t>
      </w:r>
      <w:r w:rsidR="00100971">
        <w:rPr>
          <w:rFonts w:ascii="ITC Avant Garde" w:hAnsi="ITC Avant Garde"/>
          <w:sz w:val="20"/>
          <w:szCs w:val="20"/>
        </w:rPr>
        <w:t xml:space="preserve">del </w:t>
      </w:r>
      <w:r w:rsidRPr="0086242B">
        <w:rPr>
          <w:rFonts w:ascii="ITC Avant Garde" w:hAnsi="ITC Avant Garde"/>
          <w:sz w:val="20"/>
          <w:szCs w:val="20"/>
        </w:rPr>
        <w:t>Instituto.</w:t>
      </w:r>
    </w:p>
    <w:p w14:paraId="0D5E6F01" w14:textId="77777777" w:rsidR="006B595F" w:rsidRPr="0086242B" w:rsidRDefault="006B595F" w:rsidP="006B595F">
      <w:pPr>
        <w:autoSpaceDE w:val="0"/>
        <w:autoSpaceDN w:val="0"/>
        <w:adjustRightInd w:val="0"/>
        <w:spacing w:line="360" w:lineRule="auto"/>
        <w:jc w:val="both"/>
        <w:rPr>
          <w:rFonts w:ascii="ITC Avant Garde" w:hAnsi="ITC Avant Garde"/>
          <w:bCs/>
          <w:sz w:val="20"/>
          <w:szCs w:val="20"/>
        </w:rPr>
      </w:pPr>
    </w:p>
    <w:p w14:paraId="7AD5421E" w14:textId="77777777" w:rsidR="006B595F" w:rsidRPr="0086242B" w:rsidRDefault="006B595F" w:rsidP="006B595F">
      <w:pPr>
        <w:autoSpaceDE w:val="0"/>
        <w:autoSpaceDN w:val="0"/>
        <w:adjustRightInd w:val="0"/>
        <w:spacing w:line="360" w:lineRule="auto"/>
        <w:jc w:val="both"/>
        <w:rPr>
          <w:rFonts w:ascii="ITC Avant Garde" w:hAnsi="ITC Avant Garde"/>
          <w:bCs/>
          <w:sz w:val="20"/>
          <w:szCs w:val="20"/>
        </w:rPr>
      </w:pPr>
      <w:r w:rsidRPr="0086242B">
        <w:rPr>
          <w:rFonts w:ascii="ITC Avant Garde" w:hAnsi="ITC Avant Garde"/>
          <w:b/>
          <w:sz w:val="20"/>
          <w:szCs w:val="20"/>
        </w:rPr>
        <w:t xml:space="preserve">Artículo </w:t>
      </w:r>
      <w:r w:rsidRPr="0086242B">
        <w:rPr>
          <w:rFonts w:ascii="ITC Avant Garde" w:hAnsi="ITC Avant Garde"/>
          <w:b/>
          <w:sz w:val="20"/>
          <w:szCs w:val="20"/>
        </w:rPr>
        <w:fldChar w:fldCharType="begin"/>
      </w:r>
      <w:r w:rsidRPr="0086242B">
        <w:rPr>
          <w:rFonts w:ascii="ITC Avant Garde" w:hAnsi="ITC Avant Garde"/>
          <w:b/>
          <w:sz w:val="20"/>
          <w:szCs w:val="20"/>
        </w:rPr>
        <w:instrText xml:space="preserve"> SEQ Artículo \* ARABIC </w:instrText>
      </w:r>
      <w:r w:rsidRPr="0086242B">
        <w:rPr>
          <w:rFonts w:ascii="ITC Avant Garde" w:hAnsi="ITC Avant Garde"/>
          <w:b/>
          <w:sz w:val="20"/>
          <w:szCs w:val="20"/>
        </w:rPr>
        <w:fldChar w:fldCharType="separate"/>
      </w:r>
      <w:r w:rsidR="00992611">
        <w:rPr>
          <w:rFonts w:ascii="ITC Avant Garde" w:hAnsi="ITC Avant Garde"/>
          <w:b/>
          <w:noProof/>
          <w:sz w:val="20"/>
          <w:szCs w:val="20"/>
        </w:rPr>
        <w:t>8</w:t>
      </w:r>
      <w:r w:rsidRPr="0086242B">
        <w:rPr>
          <w:rFonts w:ascii="ITC Avant Garde" w:hAnsi="ITC Avant Garde"/>
          <w:b/>
          <w:sz w:val="20"/>
          <w:szCs w:val="20"/>
        </w:rPr>
        <w:fldChar w:fldCharType="end"/>
      </w:r>
      <w:r w:rsidRPr="0086242B">
        <w:rPr>
          <w:rFonts w:ascii="ITC Avant Garde" w:hAnsi="ITC Avant Garde"/>
          <w:b/>
          <w:sz w:val="20"/>
          <w:szCs w:val="20"/>
        </w:rPr>
        <w:t xml:space="preserve">. </w:t>
      </w:r>
      <w:r w:rsidRPr="0086242B">
        <w:rPr>
          <w:rFonts w:ascii="ITC Avant Garde" w:hAnsi="ITC Avant Garde"/>
          <w:bCs/>
          <w:sz w:val="20"/>
          <w:szCs w:val="20"/>
        </w:rPr>
        <w:t>La interpretación, actualización o modificación del presente ordenamiento así como la atención y resolución de los casos no previstos en el mismo, corresponderán al Instituto.</w:t>
      </w:r>
    </w:p>
    <w:p w14:paraId="6256610C" w14:textId="77777777" w:rsidR="006B595F" w:rsidRPr="0086242B" w:rsidRDefault="006B595F" w:rsidP="006B595F">
      <w:pPr>
        <w:autoSpaceDE w:val="0"/>
        <w:autoSpaceDN w:val="0"/>
        <w:adjustRightInd w:val="0"/>
        <w:jc w:val="center"/>
        <w:rPr>
          <w:rFonts w:ascii="ITC Avant Garde" w:hAnsi="ITC Avant Garde"/>
          <w:b/>
          <w:bCs/>
          <w:sz w:val="28"/>
          <w:szCs w:val="28"/>
        </w:rPr>
      </w:pPr>
    </w:p>
    <w:p w14:paraId="170FD3B8" w14:textId="77777777" w:rsidR="006B595F" w:rsidRPr="0086242B" w:rsidRDefault="006B595F" w:rsidP="00A57F58">
      <w:pPr>
        <w:autoSpaceDE w:val="0"/>
        <w:autoSpaceDN w:val="0"/>
        <w:adjustRightInd w:val="0"/>
        <w:spacing w:line="360" w:lineRule="auto"/>
        <w:rPr>
          <w:rFonts w:ascii="ITC Avant Garde" w:hAnsi="ITC Avant Garde"/>
          <w:b/>
          <w:bCs/>
          <w:sz w:val="22"/>
          <w:szCs w:val="22"/>
        </w:rPr>
      </w:pPr>
    </w:p>
    <w:p w14:paraId="5539F9E8" w14:textId="77777777" w:rsidR="006B595F" w:rsidRPr="0086242B" w:rsidRDefault="006B595F" w:rsidP="006B595F">
      <w:pPr>
        <w:autoSpaceDE w:val="0"/>
        <w:autoSpaceDN w:val="0"/>
        <w:adjustRightInd w:val="0"/>
        <w:spacing w:line="360" w:lineRule="auto"/>
        <w:jc w:val="center"/>
        <w:rPr>
          <w:rFonts w:ascii="ITC Avant Garde" w:hAnsi="ITC Avant Garde"/>
          <w:b/>
          <w:bCs/>
          <w:sz w:val="22"/>
          <w:szCs w:val="22"/>
        </w:rPr>
      </w:pPr>
      <w:r w:rsidRPr="0086242B">
        <w:rPr>
          <w:rFonts w:ascii="ITC Avant Garde" w:hAnsi="ITC Avant Garde"/>
          <w:b/>
          <w:bCs/>
          <w:sz w:val="22"/>
          <w:szCs w:val="22"/>
        </w:rPr>
        <w:t>CAPÍTULO III</w:t>
      </w:r>
    </w:p>
    <w:p w14:paraId="2C351EBC" w14:textId="77777777" w:rsidR="006B595F" w:rsidRPr="0086242B" w:rsidRDefault="006B595F" w:rsidP="006B595F">
      <w:pPr>
        <w:autoSpaceDE w:val="0"/>
        <w:autoSpaceDN w:val="0"/>
        <w:adjustRightInd w:val="0"/>
        <w:spacing w:line="360" w:lineRule="auto"/>
        <w:jc w:val="center"/>
        <w:rPr>
          <w:rFonts w:ascii="ITC Avant Garde" w:hAnsi="ITC Avant Garde"/>
          <w:b/>
          <w:bCs/>
          <w:sz w:val="22"/>
          <w:szCs w:val="22"/>
        </w:rPr>
      </w:pPr>
      <w:r w:rsidRPr="0086242B">
        <w:rPr>
          <w:rFonts w:ascii="ITC Avant Garde" w:hAnsi="ITC Avant Garde"/>
          <w:b/>
          <w:bCs/>
          <w:sz w:val="22"/>
          <w:szCs w:val="22"/>
        </w:rPr>
        <w:t>EVALUACIÓN DE LA CONFORMIDAD DE ESTACIONES DE RADIOCOMUNICACIONES</w:t>
      </w:r>
    </w:p>
    <w:p w14:paraId="0CE8E9E4" w14:textId="77777777" w:rsidR="006B595F" w:rsidRPr="0086242B" w:rsidRDefault="006B595F" w:rsidP="006B595F">
      <w:pPr>
        <w:autoSpaceDE w:val="0"/>
        <w:autoSpaceDN w:val="0"/>
        <w:adjustRightInd w:val="0"/>
        <w:jc w:val="both"/>
        <w:rPr>
          <w:rFonts w:ascii="ITC Avant Garde" w:hAnsi="ITC Avant Garde"/>
          <w:bCs/>
        </w:rPr>
      </w:pPr>
    </w:p>
    <w:p w14:paraId="5E619044" w14:textId="3BEF7512" w:rsidR="00FF5512" w:rsidRPr="0086242B" w:rsidRDefault="00FF5512" w:rsidP="00FF5512">
      <w:pPr>
        <w:pStyle w:val="Descripcin"/>
        <w:spacing w:before="0" w:after="0" w:line="360" w:lineRule="auto"/>
        <w:jc w:val="both"/>
        <w:rPr>
          <w:rFonts w:ascii="ITC Avant Garde" w:hAnsi="ITC Avant Garde"/>
          <w:b w:val="0"/>
        </w:rPr>
      </w:pPr>
      <w:r w:rsidRPr="0086242B">
        <w:rPr>
          <w:rFonts w:ascii="ITC Avant Garde" w:hAnsi="ITC Avant Garde"/>
        </w:rPr>
        <w:t xml:space="preserve">Artículo </w:t>
      </w:r>
      <w:r w:rsidRPr="0086242B">
        <w:rPr>
          <w:rFonts w:ascii="ITC Avant Garde" w:hAnsi="ITC Avant Garde"/>
        </w:rPr>
        <w:fldChar w:fldCharType="begin"/>
      </w:r>
      <w:r w:rsidRPr="0086242B">
        <w:rPr>
          <w:rFonts w:ascii="ITC Avant Garde" w:hAnsi="ITC Avant Garde"/>
        </w:rPr>
        <w:instrText xml:space="preserve"> SEQ Artículo \* ARABIC </w:instrText>
      </w:r>
      <w:r w:rsidRPr="0086242B">
        <w:rPr>
          <w:rFonts w:ascii="ITC Avant Garde" w:hAnsi="ITC Avant Garde"/>
        </w:rPr>
        <w:fldChar w:fldCharType="separate"/>
      </w:r>
      <w:r w:rsidR="00992611">
        <w:rPr>
          <w:rFonts w:ascii="ITC Avant Garde" w:hAnsi="ITC Avant Garde"/>
          <w:noProof/>
        </w:rPr>
        <w:t>9</w:t>
      </w:r>
      <w:r w:rsidRPr="0086242B">
        <w:rPr>
          <w:rFonts w:ascii="ITC Avant Garde" w:hAnsi="ITC Avant Garde"/>
        </w:rPr>
        <w:fldChar w:fldCharType="end"/>
      </w:r>
      <w:r w:rsidRPr="0086242B">
        <w:rPr>
          <w:rFonts w:ascii="ITC Avant Garde" w:hAnsi="ITC Avant Garde"/>
        </w:rPr>
        <w:t>.</w:t>
      </w:r>
      <w:r w:rsidRPr="0086242B">
        <w:rPr>
          <w:rFonts w:ascii="ITC Avant Garde" w:hAnsi="ITC Avant Garde"/>
          <w:b w:val="0"/>
        </w:rPr>
        <w:t xml:space="preserve"> La evaluación de la conformidad de cada estación de radiocomunicaciones será a petición de parte mediante Unidades de Verifica</w:t>
      </w:r>
      <w:r w:rsidR="00174505">
        <w:rPr>
          <w:rFonts w:ascii="ITC Avant Garde" w:hAnsi="ITC Avant Garde"/>
          <w:b w:val="0"/>
        </w:rPr>
        <w:t>ción de tercera parte autorizada</w:t>
      </w:r>
      <w:r w:rsidRPr="0086242B">
        <w:rPr>
          <w:rFonts w:ascii="ITC Avant Garde" w:hAnsi="ITC Avant Garde"/>
          <w:b w:val="0"/>
        </w:rPr>
        <w:t xml:space="preserve">s por el Instituto en términos de la </w:t>
      </w:r>
      <w:r w:rsidR="00610E42">
        <w:rPr>
          <w:rFonts w:ascii="ITC Avant Garde" w:hAnsi="ITC Avant Garde"/>
          <w:b w:val="0"/>
        </w:rPr>
        <w:t>Ley</w:t>
      </w:r>
      <w:r w:rsidRPr="0086242B">
        <w:rPr>
          <w:rFonts w:ascii="ITC Avant Garde" w:hAnsi="ITC Avant Garde"/>
          <w:b w:val="0"/>
        </w:rPr>
        <w:t>.</w:t>
      </w:r>
    </w:p>
    <w:p w14:paraId="5FE862A2" w14:textId="77777777" w:rsidR="00BA4953" w:rsidRPr="0086242B" w:rsidRDefault="00BA4953" w:rsidP="0086242B">
      <w:pPr>
        <w:rPr>
          <w:b/>
        </w:rPr>
      </w:pPr>
    </w:p>
    <w:p w14:paraId="45366E4A" w14:textId="099BEAED" w:rsidR="0002482E" w:rsidRPr="00F02808" w:rsidRDefault="00DE4283">
      <w:pPr>
        <w:pStyle w:val="Descripcin"/>
        <w:spacing w:before="0" w:after="0" w:line="360" w:lineRule="auto"/>
        <w:jc w:val="both"/>
        <w:rPr>
          <w:rFonts w:ascii="ITC Avant Garde" w:hAnsi="ITC Avant Garde"/>
          <w:b w:val="0"/>
        </w:rPr>
      </w:pPr>
      <w:r w:rsidRPr="0086242B">
        <w:rPr>
          <w:rFonts w:ascii="ITC Avant Garde" w:hAnsi="ITC Avant Garde"/>
          <w:b w:val="0"/>
        </w:rPr>
        <w:t xml:space="preserve">Para </w:t>
      </w:r>
      <w:r w:rsidR="00316451" w:rsidRPr="00F02808">
        <w:rPr>
          <w:rFonts w:ascii="ITC Avant Garde" w:hAnsi="ITC Avant Garde"/>
          <w:b w:val="0"/>
        </w:rPr>
        <w:t>el caso de estaciones de radiocomunicaciones</w:t>
      </w:r>
      <w:r w:rsidR="00316451" w:rsidRPr="0086242B" w:rsidDel="00316451">
        <w:rPr>
          <w:rFonts w:ascii="ITC Avant Garde" w:hAnsi="ITC Avant Garde"/>
          <w:b w:val="0"/>
        </w:rPr>
        <w:t xml:space="preserve"> </w:t>
      </w:r>
      <w:r w:rsidRPr="0086242B">
        <w:rPr>
          <w:rFonts w:ascii="ITC Avant Garde" w:hAnsi="ITC Avant Garde"/>
          <w:b w:val="0"/>
        </w:rPr>
        <w:t>que vayan a ser puestas en operación, se deberá presentar al Instituto el cálculo de acuerdo al numeral 6.1.2 de la presente disposición técnica, firmado por su representan</w:t>
      </w:r>
      <w:r w:rsidR="00D0733B">
        <w:rPr>
          <w:rFonts w:ascii="ITC Avant Garde" w:hAnsi="ITC Avant Garde"/>
          <w:b w:val="0"/>
        </w:rPr>
        <w:t>te</w:t>
      </w:r>
      <w:r w:rsidRPr="0086242B">
        <w:rPr>
          <w:rFonts w:ascii="ITC Avant Garde" w:hAnsi="ITC Avant Garde"/>
          <w:b w:val="0"/>
        </w:rPr>
        <w:t xml:space="preserve"> legal y deberá acompañarlo con la información que se establece en el numeral 6.1.1</w:t>
      </w:r>
      <w:r w:rsidR="0002482E" w:rsidRPr="00F02808">
        <w:rPr>
          <w:rFonts w:ascii="ITC Avant Garde" w:hAnsi="ITC Avant Garde"/>
          <w:b w:val="0"/>
        </w:rPr>
        <w:t xml:space="preserve"> a más tardar al día siguiente del inicio de operaciones.</w:t>
      </w:r>
    </w:p>
    <w:p w14:paraId="5431E2F9"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p>
    <w:p w14:paraId="18DD5F59" w14:textId="3D904257" w:rsidR="00DE4283" w:rsidRPr="0086242B" w:rsidRDefault="006B595F" w:rsidP="00DE4283">
      <w:pPr>
        <w:spacing w:line="360" w:lineRule="auto"/>
        <w:jc w:val="both"/>
        <w:rPr>
          <w:rFonts w:ascii="ITC Avant Garde" w:hAnsi="ITC Avant Garde"/>
          <w:sz w:val="20"/>
          <w:szCs w:val="20"/>
        </w:rPr>
      </w:pPr>
      <w:r w:rsidRPr="0086242B">
        <w:rPr>
          <w:rFonts w:ascii="ITC Avant Garde" w:hAnsi="ITC Avant Garde"/>
          <w:b/>
          <w:sz w:val="20"/>
          <w:szCs w:val="20"/>
        </w:rPr>
        <w:t xml:space="preserve">Artículo </w:t>
      </w:r>
      <w:r w:rsidRPr="0086242B">
        <w:rPr>
          <w:rFonts w:ascii="ITC Avant Garde" w:hAnsi="ITC Avant Garde"/>
          <w:b/>
          <w:sz w:val="20"/>
          <w:szCs w:val="20"/>
        </w:rPr>
        <w:fldChar w:fldCharType="begin"/>
      </w:r>
      <w:r w:rsidRPr="0086242B">
        <w:rPr>
          <w:rFonts w:ascii="ITC Avant Garde" w:hAnsi="ITC Avant Garde"/>
          <w:b/>
          <w:sz w:val="20"/>
          <w:szCs w:val="20"/>
        </w:rPr>
        <w:instrText xml:space="preserve"> SEQ Artículo \* ARABIC </w:instrText>
      </w:r>
      <w:r w:rsidRPr="0086242B">
        <w:rPr>
          <w:rFonts w:ascii="ITC Avant Garde" w:hAnsi="ITC Avant Garde"/>
          <w:b/>
          <w:sz w:val="20"/>
          <w:szCs w:val="20"/>
        </w:rPr>
        <w:fldChar w:fldCharType="separate"/>
      </w:r>
      <w:r w:rsidR="00992611">
        <w:rPr>
          <w:rFonts w:ascii="ITC Avant Garde" w:hAnsi="ITC Avant Garde"/>
          <w:b/>
          <w:noProof/>
          <w:sz w:val="20"/>
          <w:szCs w:val="20"/>
        </w:rPr>
        <w:t>10</w:t>
      </w:r>
      <w:r w:rsidRPr="0086242B">
        <w:rPr>
          <w:rFonts w:ascii="ITC Avant Garde" w:hAnsi="ITC Avant Garde"/>
          <w:b/>
          <w:sz w:val="20"/>
          <w:szCs w:val="20"/>
        </w:rPr>
        <w:fldChar w:fldCharType="end"/>
      </w:r>
      <w:r w:rsidRPr="0086242B">
        <w:rPr>
          <w:rFonts w:ascii="ITC Avant Garde" w:hAnsi="ITC Avant Garde"/>
          <w:b/>
          <w:sz w:val="20"/>
          <w:szCs w:val="20"/>
        </w:rPr>
        <w:t xml:space="preserve">. </w:t>
      </w:r>
      <w:r w:rsidR="00DE4283" w:rsidRPr="00473D68">
        <w:rPr>
          <w:rFonts w:ascii="ITC Avant Garde" w:hAnsi="ITC Avant Garde"/>
          <w:sz w:val="20"/>
          <w:szCs w:val="20"/>
        </w:rPr>
        <w:t>Para la evaluación de la conformidad de estaciones de radiocomunicaciones,</w:t>
      </w:r>
      <w:r w:rsidR="00DE4283">
        <w:rPr>
          <w:rFonts w:ascii="ITC Avant Garde" w:hAnsi="ITC Avant Garde"/>
          <w:b/>
          <w:sz w:val="20"/>
          <w:szCs w:val="20"/>
        </w:rPr>
        <w:t xml:space="preserve"> </w:t>
      </w:r>
      <w:r w:rsidR="00DE4283">
        <w:rPr>
          <w:rFonts w:ascii="ITC Avant Garde" w:hAnsi="ITC Avant Garde"/>
          <w:sz w:val="20"/>
          <w:szCs w:val="20"/>
        </w:rPr>
        <w:t>l</w:t>
      </w:r>
      <w:r w:rsidR="00DE4283" w:rsidRPr="0086242B">
        <w:rPr>
          <w:rFonts w:ascii="ITC Avant Garde" w:hAnsi="ITC Avant Garde"/>
          <w:sz w:val="20"/>
          <w:szCs w:val="20"/>
        </w:rPr>
        <w:t xml:space="preserve">a unidad de verificación de tercera parte deberá realizar el </w:t>
      </w:r>
      <w:r w:rsidR="00DE4283" w:rsidRPr="0086242B">
        <w:rPr>
          <w:rFonts w:ascii="ITC Avant Garde" w:hAnsi="ITC Avant Garde"/>
          <w:b/>
          <w:sz w:val="20"/>
          <w:szCs w:val="20"/>
        </w:rPr>
        <w:t>cálculo</w:t>
      </w:r>
      <w:r w:rsidR="00DE4283" w:rsidRPr="0086242B">
        <w:rPr>
          <w:rFonts w:ascii="ITC Avant Garde" w:hAnsi="ITC Avant Garde"/>
          <w:sz w:val="20"/>
          <w:szCs w:val="20"/>
        </w:rPr>
        <w:t xml:space="preserve"> de los niveles de exposición, en el entorno próximo que rodea a la estación de radiocomunicaciones que se encuentra en operación y que se emplea para transmitir servicios de telecomunicaciones o de radiodifusión en donde esté habitualmente presente público en general y se cumplan las condiciones de campo lejano. De conformidad con lo establecido en el numeral 6 de </w:t>
      </w:r>
      <w:proofErr w:type="gramStart"/>
      <w:r w:rsidR="00DE4283" w:rsidRPr="0086242B">
        <w:rPr>
          <w:rFonts w:ascii="ITC Avant Garde" w:hAnsi="ITC Avant Garde"/>
          <w:sz w:val="20"/>
          <w:szCs w:val="20"/>
        </w:rPr>
        <w:t>la  disposición</w:t>
      </w:r>
      <w:proofErr w:type="gramEnd"/>
      <w:r w:rsidR="00DE4283" w:rsidRPr="0086242B">
        <w:rPr>
          <w:rFonts w:ascii="ITC Avant Garde" w:hAnsi="ITC Avant Garde"/>
          <w:sz w:val="20"/>
          <w:szCs w:val="20"/>
        </w:rPr>
        <w:t xml:space="preserve"> técnica  IFT-007-2015.</w:t>
      </w:r>
    </w:p>
    <w:p w14:paraId="7F9F9A97" w14:textId="77777777" w:rsidR="006B595F" w:rsidRPr="0086242B" w:rsidRDefault="006B595F" w:rsidP="006B595F">
      <w:pPr>
        <w:spacing w:line="360" w:lineRule="auto"/>
        <w:jc w:val="both"/>
        <w:rPr>
          <w:rFonts w:ascii="ITC Avant Garde" w:hAnsi="ITC Avant Garde"/>
          <w:sz w:val="20"/>
          <w:szCs w:val="20"/>
        </w:rPr>
      </w:pPr>
    </w:p>
    <w:p w14:paraId="28FA9B14"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 xml:space="preserve">Para lo anterior, la unidad de verificación de tercera parte deberá emplear las ecuaciones que se establecen en el numeral 6.1.2 de </w:t>
      </w:r>
      <w:proofErr w:type="gramStart"/>
      <w:r w:rsidRPr="0086242B">
        <w:rPr>
          <w:rFonts w:ascii="ITC Avant Garde" w:hAnsi="ITC Avant Garde"/>
          <w:sz w:val="20"/>
          <w:szCs w:val="20"/>
        </w:rPr>
        <w:t>la  disposición</w:t>
      </w:r>
      <w:proofErr w:type="gramEnd"/>
      <w:r w:rsidRPr="0086242B">
        <w:rPr>
          <w:rFonts w:ascii="ITC Avant Garde" w:hAnsi="ITC Avant Garde"/>
          <w:sz w:val="20"/>
          <w:szCs w:val="20"/>
        </w:rPr>
        <w:t xml:space="preserve"> técnica  IFT-007-2015.</w:t>
      </w:r>
    </w:p>
    <w:p w14:paraId="311C0A6F" w14:textId="77777777" w:rsidR="006B595F" w:rsidRPr="0086242B" w:rsidRDefault="006B595F" w:rsidP="006B595F">
      <w:pPr>
        <w:spacing w:line="360" w:lineRule="auto"/>
        <w:jc w:val="both"/>
        <w:rPr>
          <w:rFonts w:ascii="ITC Avant Garde" w:hAnsi="ITC Avant Garde"/>
          <w:sz w:val="20"/>
          <w:szCs w:val="20"/>
        </w:rPr>
      </w:pPr>
    </w:p>
    <w:p w14:paraId="1BC918B2"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En caso de que se cumpla con los límites de referencia de exposición máxima, la unidad de verificación de tercera parte deberá expedir al Titular el dictamen de conformidad correspondiente.</w:t>
      </w:r>
    </w:p>
    <w:p w14:paraId="0CC52C60" w14:textId="77777777" w:rsidR="006B595F" w:rsidRPr="0086242B" w:rsidRDefault="006B595F" w:rsidP="006B595F">
      <w:pPr>
        <w:autoSpaceDE w:val="0"/>
        <w:autoSpaceDN w:val="0"/>
        <w:adjustRightInd w:val="0"/>
        <w:spacing w:line="360" w:lineRule="auto"/>
        <w:jc w:val="both"/>
        <w:rPr>
          <w:rFonts w:ascii="ITC Avant Garde" w:hAnsi="ITC Avant Garde"/>
          <w:b/>
          <w:sz w:val="20"/>
          <w:szCs w:val="20"/>
        </w:rPr>
      </w:pPr>
    </w:p>
    <w:p w14:paraId="6486C39E" w14:textId="678F240C" w:rsidR="006B595F" w:rsidRPr="00A57F58" w:rsidRDefault="006B595F" w:rsidP="006B595F">
      <w:pPr>
        <w:autoSpaceDE w:val="0"/>
        <w:autoSpaceDN w:val="0"/>
        <w:adjustRightInd w:val="0"/>
        <w:spacing w:line="360" w:lineRule="auto"/>
        <w:jc w:val="both"/>
        <w:rPr>
          <w:rFonts w:ascii="ITC Avant Garde" w:hAnsi="ITC Avant Garde"/>
          <w:b/>
          <w:sz w:val="20"/>
          <w:szCs w:val="20"/>
        </w:rPr>
      </w:pPr>
      <w:r w:rsidRPr="0086242B">
        <w:rPr>
          <w:rFonts w:ascii="ITC Avant Garde" w:hAnsi="ITC Avant Garde"/>
          <w:b/>
          <w:sz w:val="20"/>
          <w:szCs w:val="20"/>
        </w:rPr>
        <w:t xml:space="preserve">Artículo </w:t>
      </w:r>
      <w:r w:rsidRPr="0086242B">
        <w:rPr>
          <w:rFonts w:ascii="ITC Avant Garde" w:hAnsi="ITC Avant Garde"/>
          <w:b/>
          <w:sz w:val="20"/>
          <w:szCs w:val="20"/>
        </w:rPr>
        <w:fldChar w:fldCharType="begin"/>
      </w:r>
      <w:r w:rsidRPr="0086242B">
        <w:rPr>
          <w:rFonts w:ascii="ITC Avant Garde" w:hAnsi="ITC Avant Garde"/>
          <w:b/>
          <w:sz w:val="20"/>
          <w:szCs w:val="20"/>
        </w:rPr>
        <w:instrText xml:space="preserve"> SEQ Artículo \* ARABIC </w:instrText>
      </w:r>
      <w:r w:rsidRPr="0086242B">
        <w:rPr>
          <w:rFonts w:ascii="ITC Avant Garde" w:hAnsi="ITC Avant Garde"/>
          <w:b/>
          <w:sz w:val="20"/>
          <w:szCs w:val="20"/>
        </w:rPr>
        <w:fldChar w:fldCharType="separate"/>
      </w:r>
      <w:r w:rsidR="00992611">
        <w:rPr>
          <w:rFonts w:ascii="ITC Avant Garde" w:hAnsi="ITC Avant Garde"/>
          <w:b/>
          <w:noProof/>
          <w:sz w:val="20"/>
          <w:szCs w:val="20"/>
        </w:rPr>
        <w:t>11</w:t>
      </w:r>
      <w:r w:rsidRPr="0086242B">
        <w:rPr>
          <w:rFonts w:ascii="ITC Avant Garde" w:hAnsi="ITC Avant Garde"/>
          <w:b/>
          <w:sz w:val="20"/>
          <w:szCs w:val="20"/>
        </w:rPr>
        <w:fldChar w:fldCharType="end"/>
      </w:r>
      <w:r w:rsidRPr="0086242B">
        <w:rPr>
          <w:rFonts w:ascii="ITC Avant Garde" w:hAnsi="ITC Avant Garde"/>
          <w:b/>
          <w:sz w:val="20"/>
          <w:szCs w:val="20"/>
        </w:rPr>
        <w:t xml:space="preserve">. </w:t>
      </w:r>
      <w:r w:rsidRPr="0086242B">
        <w:rPr>
          <w:rFonts w:ascii="ITC Avant Garde" w:hAnsi="ITC Avant Garde"/>
          <w:sz w:val="20"/>
          <w:szCs w:val="20"/>
        </w:rPr>
        <w:t xml:space="preserve">Cuando los valores obtenidos por la unidad de verificación de tercera parte  empleando el cálculo de los niveles de exposición en la región de campo lejano, rebase los límites de referencia de exposición máxima indicados en la Tabla 2 de la  disposición técnica IFT-007-2015 en el entorno próximo que rodea a la estación de radiocomunicaciones que se encuentra en operación y que se emplea para transmitir servicios de telecomunicaciones o de radiodifusión en donde esté habitualmente presente público en general, se informará al Titular del incumplimiento, quien deberá continuar con lo establecido en el Artículo 12. </w:t>
      </w:r>
    </w:p>
    <w:p w14:paraId="210B6B0E" w14:textId="77777777" w:rsidR="006B595F" w:rsidRPr="0086242B" w:rsidRDefault="006B595F" w:rsidP="006B595F">
      <w:pPr>
        <w:spacing w:line="360" w:lineRule="auto"/>
        <w:jc w:val="both"/>
        <w:rPr>
          <w:rFonts w:ascii="ITC Avant Garde" w:hAnsi="ITC Avant Garde"/>
          <w:sz w:val="20"/>
          <w:szCs w:val="20"/>
        </w:rPr>
      </w:pPr>
    </w:p>
    <w:p w14:paraId="4E16BCB8"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b/>
          <w:sz w:val="20"/>
          <w:szCs w:val="20"/>
        </w:rPr>
        <w:t xml:space="preserve">Artículo 12. </w:t>
      </w:r>
      <w:r w:rsidRPr="0086242B">
        <w:rPr>
          <w:rFonts w:ascii="ITC Avant Garde" w:hAnsi="ITC Avant Garde"/>
          <w:sz w:val="20"/>
          <w:szCs w:val="20"/>
        </w:rPr>
        <w:t>La</w:t>
      </w:r>
      <w:r w:rsidRPr="0086242B">
        <w:rPr>
          <w:rFonts w:ascii="ITC Avant Garde" w:hAnsi="ITC Avant Garde"/>
          <w:b/>
          <w:sz w:val="20"/>
          <w:szCs w:val="20"/>
        </w:rPr>
        <w:t xml:space="preserve"> </w:t>
      </w:r>
      <w:r w:rsidRPr="0086242B">
        <w:rPr>
          <w:rFonts w:ascii="ITC Avant Garde" w:hAnsi="ITC Avant Garde"/>
          <w:sz w:val="20"/>
          <w:szCs w:val="20"/>
        </w:rPr>
        <w:t xml:space="preserve">unidad de verificación de tercera parte deberá realizar </w:t>
      </w:r>
      <w:r w:rsidRPr="0086242B">
        <w:rPr>
          <w:rFonts w:ascii="ITC Avant Garde" w:hAnsi="ITC Avant Garde"/>
          <w:b/>
          <w:sz w:val="20"/>
          <w:szCs w:val="20"/>
        </w:rPr>
        <w:t>mediciones</w:t>
      </w:r>
      <w:r w:rsidRPr="0086242B">
        <w:rPr>
          <w:rFonts w:ascii="ITC Avant Garde" w:hAnsi="ITC Avant Garde"/>
          <w:sz w:val="20"/>
          <w:szCs w:val="20"/>
        </w:rPr>
        <w:t xml:space="preserve"> de los niveles de exposición en el entorno próximo que rodea a la estación de radiocomunicaciones que se encuentra en operación y que se emplea para transmitir servicios de telecomunicaciones o de radiodifusión en donde esté habitualmente presente público en general de conformidad con lo establecido en el numeral 6 de la disposición técnica IFT-</w:t>
      </w:r>
      <w:r w:rsidR="006B545A" w:rsidRPr="0086242B">
        <w:rPr>
          <w:rFonts w:ascii="ITC Avant Garde" w:hAnsi="ITC Avant Garde"/>
          <w:sz w:val="20"/>
          <w:szCs w:val="20"/>
        </w:rPr>
        <w:t>007</w:t>
      </w:r>
      <w:r w:rsidRPr="0086242B">
        <w:rPr>
          <w:rFonts w:ascii="ITC Avant Garde" w:hAnsi="ITC Avant Garde"/>
          <w:sz w:val="20"/>
          <w:szCs w:val="20"/>
        </w:rPr>
        <w:t>-2015, para verificar el cumplimiento con los valores límites de referencia de exposición máxima, como lo establece la referida disposición técnica, cuando:</w:t>
      </w:r>
    </w:p>
    <w:p w14:paraId="5952C75E" w14:textId="77777777" w:rsidR="006B595F" w:rsidRPr="0086242B" w:rsidRDefault="006B595F" w:rsidP="006B595F">
      <w:pPr>
        <w:spacing w:line="360" w:lineRule="auto"/>
        <w:jc w:val="both"/>
        <w:rPr>
          <w:rFonts w:ascii="ITC Avant Garde" w:hAnsi="ITC Avant Garde"/>
          <w:sz w:val="20"/>
          <w:szCs w:val="20"/>
        </w:rPr>
      </w:pPr>
    </w:p>
    <w:p w14:paraId="57B749E6" w14:textId="77777777" w:rsidR="006B595F" w:rsidRPr="0086242B" w:rsidRDefault="006B595F" w:rsidP="006B595F">
      <w:pPr>
        <w:numPr>
          <w:ilvl w:val="0"/>
          <w:numId w:val="33"/>
        </w:numPr>
        <w:spacing w:line="360" w:lineRule="auto"/>
        <w:jc w:val="both"/>
        <w:rPr>
          <w:rFonts w:ascii="ITC Avant Garde" w:hAnsi="ITC Avant Garde"/>
          <w:sz w:val="20"/>
          <w:szCs w:val="20"/>
        </w:rPr>
      </w:pPr>
      <w:r w:rsidRPr="0086242B">
        <w:rPr>
          <w:rFonts w:ascii="ITC Avant Garde" w:hAnsi="ITC Avant Garde"/>
          <w:sz w:val="20"/>
          <w:szCs w:val="20"/>
        </w:rPr>
        <w:t>Los valores obtenidos con el cálculo de los niveles de exposición en la región de campo lejano en el entorno próximo que rodea a la estación de radiocomunicaciones en donde esté habitualmente presente público en general rebase los límites de referencia de exposición máxima, o</w:t>
      </w:r>
    </w:p>
    <w:p w14:paraId="2D9AD3D9" w14:textId="77777777" w:rsidR="006B595F" w:rsidRPr="0086242B" w:rsidRDefault="006B595F" w:rsidP="006B595F">
      <w:pPr>
        <w:spacing w:line="360" w:lineRule="auto"/>
        <w:ind w:left="720"/>
        <w:jc w:val="both"/>
        <w:rPr>
          <w:rFonts w:ascii="ITC Avant Garde" w:hAnsi="ITC Avant Garde"/>
          <w:sz w:val="20"/>
          <w:szCs w:val="20"/>
        </w:rPr>
      </w:pPr>
      <w:r w:rsidRPr="0086242B">
        <w:rPr>
          <w:rFonts w:ascii="ITC Avant Garde" w:hAnsi="ITC Avant Garde"/>
          <w:sz w:val="20"/>
          <w:szCs w:val="20"/>
        </w:rPr>
        <w:t xml:space="preserve">  </w:t>
      </w:r>
    </w:p>
    <w:p w14:paraId="27BDF6C3" w14:textId="77777777" w:rsidR="006B595F" w:rsidRPr="0086242B" w:rsidRDefault="006B595F" w:rsidP="006B595F">
      <w:pPr>
        <w:numPr>
          <w:ilvl w:val="0"/>
          <w:numId w:val="33"/>
        </w:numPr>
        <w:spacing w:line="360" w:lineRule="auto"/>
        <w:jc w:val="both"/>
        <w:rPr>
          <w:rFonts w:ascii="ITC Avant Garde" w:hAnsi="ITC Avant Garde"/>
          <w:sz w:val="20"/>
          <w:szCs w:val="20"/>
        </w:rPr>
      </w:pPr>
      <w:r w:rsidRPr="0086242B">
        <w:rPr>
          <w:rFonts w:ascii="ITC Avant Garde" w:hAnsi="ITC Avant Garde"/>
          <w:sz w:val="20"/>
          <w:szCs w:val="20"/>
        </w:rPr>
        <w:t>En el entorno próximo que rodea a la estación de radiocomunicaciones esté habitualmente presente público en general y se cumplan las condiciones de campo cercano</w:t>
      </w:r>
      <w:r w:rsidR="00C730F6" w:rsidRPr="0086242B">
        <w:rPr>
          <w:rFonts w:ascii="ITC Avant Garde" w:hAnsi="ITC Avant Garde"/>
          <w:sz w:val="20"/>
          <w:szCs w:val="20"/>
        </w:rPr>
        <w:t>.</w:t>
      </w:r>
    </w:p>
    <w:p w14:paraId="3DB062E4" w14:textId="77777777" w:rsidR="006B595F" w:rsidRPr="0086242B" w:rsidRDefault="006B595F" w:rsidP="006B595F">
      <w:pPr>
        <w:spacing w:line="360" w:lineRule="auto"/>
        <w:ind w:left="720"/>
        <w:jc w:val="both"/>
        <w:rPr>
          <w:rFonts w:ascii="ITC Avant Garde" w:hAnsi="ITC Avant Garde"/>
          <w:sz w:val="20"/>
          <w:szCs w:val="20"/>
        </w:rPr>
      </w:pPr>
    </w:p>
    <w:p w14:paraId="32CEACAE" w14:textId="359FE2E2" w:rsidR="006B595F" w:rsidRPr="0086242B" w:rsidRDefault="006B595F" w:rsidP="006B595F">
      <w:p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En caso de que se cumpla con los límites de referencia de exposición máxima, la unidad de verificación de tercera parte deberá expedir al Titular el dictamen</w:t>
      </w:r>
      <w:r w:rsidR="0002482E">
        <w:rPr>
          <w:rFonts w:ascii="ITC Avant Garde" w:hAnsi="ITC Avant Garde"/>
          <w:sz w:val="20"/>
          <w:szCs w:val="20"/>
        </w:rPr>
        <w:t xml:space="preserve"> de conformidad correspondient</w:t>
      </w:r>
      <w:r w:rsidR="0002482E" w:rsidRPr="00A91F62">
        <w:rPr>
          <w:rFonts w:ascii="ITC Avant Garde" w:hAnsi="ITC Avant Garde"/>
          <w:sz w:val="20"/>
          <w:szCs w:val="20"/>
        </w:rPr>
        <w:t>e.</w:t>
      </w:r>
    </w:p>
    <w:p w14:paraId="3DC35F9C" w14:textId="77777777" w:rsidR="006B595F" w:rsidRPr="0086242B" w:rsidRDefault="006B595F" w:rsidP="006B595F">
      <w:pPr>
        <w:spacing w:line="360" w:lineRule="auto"/>
        <w:jc w:val="both"/>
        <w:rPr>
          <w:rFonts w:ascii="ITC Avant Garde" w:hAnsi="ITC Avant Garde"/>
          <w:sz w:val="20"/>
          <w:szCs w:val="20"/>
        </w:rPr>
      </w:pPr>
    </w:p>
    <w:p w14:paraId="4737F74E" w14:textId="5EE6A4CD" w:rsidR="00FF5512" w:rsidRPr="0086242B" w:rsidRDefault="006B595F">
      <w:p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 xml:space="preserve">Artículo </w:t>
      </w:r>
      <w:r w:rsidRPr="0086242B">
        <w:rPr>
          <w:rFonts w:ascii="ITC Avant Garde" w:hAnsi="ITC Avant Garde"/>
          <w:b/>
          <w:sz w:val="20"/>
          <w:szCs w:val="20"/>
        </w:rPr>
        <w:fldChar w:fldCharType="begin"/>
      </w:r>
      <w:r w:rsidRPr="0086242B">
        <w:rPr>
          <w:rFonts w:ascii="ITC Avant Garde" w:hAnsi="ITC Avant Garde"/>
          <w:b/>
          <w:sz w:val="20"/>
          <w:szCs w:val="20"/>
        </w:rPr>
        <w:instrText xml:space="preserve"> SEQ Artículo \* ARABIC </w:instrText>
      </w:r>
      <w:r w:rsidRPr="0086242B">
        <w:rPr>
          <w:rFonts w:ascii="ITC Avant Garde" w:hAnsi="ITC Avant Garde"/>
          <w:b/>
          <w:sz w:val="20"/>
          <w:szCs w:val="20"/>
        </w:rPr>
        <w:fldChar w:fldCharType="separate"/>
      </w:r>
      <w:r w:rsidR="00992611">
        <w:rPr>
          <w:rFonts w:ascii="ITC Avant Garde" w:hAnsi="ITC Avant Garde"/>
          <w:b/>
          <w:noProof/>
          <w:sz w:val="20"/>
          <w:szCs w:val="20"/>
        </w:rPr>
        <w:t>12</w:t>
      </w:r>
      <w:r w:rsidRPr="0086242B">
        <w:rPr>
          <w:rFonts w:ascii="ITC Avant Garde" w:hAnsi="ITC Avant Garde"/>
          <w:b/>
          <w:sz w:val="20"/>
          <w:szCs w:val="20"/>
        </w:rPr>
        <w:fldChar w:fldCharType="end"/>
      </w:r>
      <w:r w:rsidRPr="0086242B">
        <w:rPr>
          <w:rFonts w:ascii="ITC Avant Garde" w:hAnsi="ITC Avant Garde"/>
          <w:b/>
          <w:sz w:val="20"/>
          <w:szCs w:val="20"/>
        </w:rPr>
        <w:t xml:space="preserve">. </w:t>
      </w:r>
      <w:r w:rsidRPr="0086242B">
        <w:rPr>
          <w:rFonts w:ascii="ITC Avant Garde" w:hAnsi="ITC Avant Garde"/>
          <w:sz w:val="20"/>
          <w:szCs w:val="20"/>
        </w:rPr>
        <w:t xml:space="preserve">Cuando los valores obtenidos por las unidades de verificación a través de la medición de los niveles de exposición sobrepasen los límites aplicables indicados en la Tabla 2 de la  disposición técnica IFT-007-2015 en el entorno próximo que rodea a la estación de radiocomunicaciones que se encuentra en operación y que se emplea para transmitir servicios de telecomunicaciones o de radiodifusión en donde esté habitualmente presente público en general, las unidades de verificación informarán al </w:t>
      </w:r>
      <w:r w:rsidR="00DE4283" w:rsidRPr="0086242B">
        <w:rPr>
          <w:rFonts w:ascii="ITC Avant Garde" w:hAnsi="ITC Avant Garde"/>
          <w:sz w:val="20"/>
          <w:szCs w:val="20"/>
        </w:rPr>
        <w:t>Titular  y al Instituto del incumplimiento</w:t>
      </w:r>
      <w:r w:rsidR="00FF5512" w:rsidRPr="0086242B">
        <w:rPr>
          <w:rFonts w:ascii="ITC Avant Garde" w:hAnsi="ITC Avant Garde"/>
          <w:sz w:val="20"/>
          <w:szCs w:val="20"/>
        </w:rPr>
        <w:t xml:space="preserve">. </w:t>
      </w:r>
    </w:p>
    <w:p w14:paraId="49174CF8" w14:textId="77777777" w:rsidR="00FF5512" w:rsidRPr="0086242B" w:rsidRDefault="00FF5512" w:rsidP="00FF5512">
      <w:pPr>
        <w:autoSpaceDE w:val="0"/>
        <w:autoSpaceDN w:val="0"/>
        <w:adjustRightInd w:val="0"/>
        <w:spacing w:line="360" w:lineRule="auto"/>
        <w:jc w:val="both"/>
        <w:rPr>
          <w:rFonts w:ascii="ITC Avant Garde" w:hAnsi="ITC Avant Garde"/>
          <w:sz w:val="20"/>
          <w:szCs w:val="20"/>
        </w:rPr>
      </w:pPr>
    </w:p>
    <w:p w14:paraId="1DF09392" w14:textId="62CC28F4" w:rsidR="00FF5512" w:rsidRPr="0086242B" w:rsidRDefault="0047537F" w:rsidP="00FF5512">
      <w:pPr>
        <w:autoSpaceDE w:val="0"/>
        <w:autoSpaceDN w:val="0"/>
        <w:adjustRightInd w:val="0"/>
        <w:spacing w:line="360" w:lineRule="auto"/>
        <w:jc w:val="both"/>
        <w:rPr>
          <w:rFonts w:ascii="ITC Avant Garde" w:hAnsi="ITC Avant Garde"/>
          <w:sz w:val="20"/>
          <w:szCs w:val="20"/>
        </w:rPr>
      </w:pPr>
      <w:r>
        <w:rPr>
          <w:rFonts w:ascii="ITC Avant Garde" w:hAnsi="ITC Avant Garde"/>
          <w:sz w:val="20"/>
          <w:szCs w:val="20"/>
        </w:rPr>
        <w:t xml:space="preserve">Al respecto el Instituto </w:t>
      </w:r>
      <w:r w:rsidR="00FF5512" w:rsidRPr="0086242B">
        <w:rPr>
          <w:rFonts w:ascii="ITC Avant Garde" w:hAnsi="ITC Avant Garde"/>
          <w:sz w:val="20"/>
          <w:szCs w:val="20"/>
        </w:rPr>
        <w:t xml:space="preserve">aplicará las sanciones que correspondan </w:t>
      </w:r>
      <w:r w:rsidR="00FF5512">
        <w:rPr>
          <w:rFonts w:ascii="ITC Avant Garde" w:hAnsi="ITC Avant Garde"/>
          <w:sz w:val="20"/>
          <w:szCs w:val="20"/>
        </w:rPr>
        <w:t>conforme a la L</w:t>
      </w:r>
      <w:r>
        <w:rPr>
          <w:rFonts w:ascii="ITC Avant Garde" w:hAnsi="ITC Avant Garde"/>
          <w:sz w:val="20"/>
          <w:szCs w:val="20"/>
        </w:rPr>
        <w:t>ey</w:t>
      </w:r>
      <w:r w:rsidR="00FF5512" w:rsidRPr="0086242B">
        <w:rPr>
          <w:rFonts w:ascii="ITC Avant Garde" w:hAnsi="ITC Avant Garde"/>
          <w:sz w:val="20"/>
          <w:szCs w:val="20"/>
        </w:rPr>
        <w:t xml:space="preserve">. </w:t>
      </w:r>
    </w:p>
    <w:p w14:paraId="68C45291"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p>
    <w:p w14:paraId="4EA061D0" w14:textId="4D4C0C1B" w:rsidR="00E370B8" w:rsidRPr="0086242B" w:rsidRDefault="00E370B8" w:rsidP="00E370B8">
      <w:p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 xml:space="preserve">Artículo </w:t>
      </w:r>
      <w:r w:rsidRPr="0086242B">
        <w:rPr>
          <w:rFonts w:ascii="ITC Avant Garde" w:hAnsi="ITC Avant Garde"/>
          <w:b/>
          <w:sz w:val="20"/>
          <w:szCs w:val="20"/>
        </w:rPr>
        <w:fldChar w:fldCharType="begin"/>
      </w:r>
      <w:r w:rsidRPr="0086242B">
        <w:rPr>
          <w:rFonts w:ascii="ITC Avant Garde" w:hAnsi="ITC Avant Garde"/>
          <w:b/>
          <w:sz w:val="20"/>
          <w:szCs w:val="20"/>
        </w:rPr>
        <w:instrText xml:space="preserve"> SEQ Artículo \* ARABIC </w:instrText>
      </w:r>
      <w:r w:rsidRPr="0086242B">
        <w:rPr>
          <w:rFonts w:ascii="ITC Avant Garde" w:hAnsi="ITC Avant Garde"/>
          <w:b/>
          <w:sz w:val="20"/>
          <w:szCs w:val="20"/>
        </w:rPr>
        <w:fldChar w:fldCharType="separate"/>
      </w:r>
      <w:r w:rsidR="00992611">
        <w:rPr>
          <w:rFonts w:ascii="ITC Avant Garde" w:hAnsi="ITC Avant Garde"/>
          <w:b/>
          <w:noProof/>
          <w:sz w:val="20"/>
          <w:szCs w:val="20"/>
        </w:rPr>
        <w:t>13</w:t>
      </w:r>
      <w:r w:rsidRPr="0086242B">
        <w:rPr>
          <w:rFonts w:ascii="ITC Avant Garde" w:hAnsi="ITC Avant Garde"/>
          <w:b/>
          <w:sz w:val="20"/>
          <w:szCs w:val="20"/>
        </w:rPr>
        <w:fldChar w:fldCharType="end"/>
      </w:r>
      <w:r w:rsidRPr="0086242B">
        <w:rPr>
          <w:rFonts w:ascii="ITC Avant Garde" w:hAnsi="ITC Avant Garde"/>
          <w:b/>
          <w:sz w:val="20"/>
          <w:szCs w:val="20"/>
        </w:rPr>
        <w:t xml:space="preserve">. </w:t>
      </w:r>
      <w:r w:rsidR="00DE4283" w:rsidRPr="0086242B">
        <w:rPr>
          <w:rFonts w:ascii="ITC Avant Garde" w:hAnsi="ITC Avant Garde"/>
          <w:sz w:val="20"/>
          <w:szCs w:val="20"/>
        </w:rPr>
        <w:t>En caso de que exista una modificación en alguno de los elementos de la estación de radiocomunicaciones que se encuentra en operación y que influya en el comportamiento radioeléctrico de ésta, el Titular deberá entregar al Instituto un nuevo cálculo de acuerdo al numeral 6 de la presente disposición técnica, para mostrar que se cumple con los límites de la Tabla 2</w:t>
      </w:r>
      <w:proofErr w:type="gramStart"/>
      <w:r w:rsidR="00DE4283" w:rsidRPr="0086242B">
        <w:rPr>
          <w:rFonts w:ascii="ITC Avant Garde" w:hAnsi="ITC Avant Garde"/>
          <w:sz w:val="20"/>
          <w:szCs w:val="20"/>
        </w:rPr>
        <w:t>;  a</w:t>
      </w:r>
      <w:proofErr w:type="gramEnd"/>
      <w:r w:rsidR="00DE4283" w:rsidRPr="0086242B">
        <w:rPr>
          <w:rFonts w:ascii="ITC Avant Garde" w:hAnsi="ITC Avant Garde"/>
          <w:sz w:val="20"/>
          <w:szCs w:val="20"/>
        </w:rPr>
        <w:t xml:space="preserve"> más tardar quince días hábiles después de la modificación realizada.</w:t>
      </w:r>
    </w:p>
    <w:p w14:paraId="79D539EE"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p>
    <w:p w14:paraId="3B24BB5D" w14:textId="43B7FB90" w:rsidR="006B595F" w:rsidRPr="00A57F58" w:rsidRDefault="0002482E" w:rsidP="00A57F58">
      <w:pPr>
        <w:spacing w:line="360" w:lineRule="auto"/>
        <w:jc w:val="both"/>
        <w:rPr>
          <w:rFonts w:ascii="ITC Avant Garde" w:hAnsi="ITC Avant Garde"/>
          <w:sz w:val="20"/>
          <w:szCs w:val="20"/>
        </w:rPr>
      </w:pPr>
      <w:r w:rsidRPr="00F02808">
        <w:rPr>
          <w:rFonts w:ascii="ITC Avant Garde" w:hAnsi="ITC Avant Garde"/>
          <w:b/>
          <w:sz w:val="20"/>
          <w:szCs w:val="20"/>
        </w:rPr>
        <w:t xml:space="preserve">Artículo </w:t>
      </w:r>
      <w:r w:rsidRPr="00F02808">
        <w:rPr>
          <w:rFonts w:ascii="ITC Avant Garde" w:hAnsi="ITC Avant Garde"/>
          <w:b/>
          <w:sz w:val="20"/>
          <w:szCs w:val="20"/>
        </w:rPr>
        <w:fldChar w:fldCharType="begin"/>
      </w:r>
      <w:r w:rsidRPr="00F02808">
        <w:rPr>
          <w:rFonts w:ascii="ITC Avant Garde" w:hAnsi="ITC Avant Garde"/>
          <w:b/>
          <w:sz w:val="20"/>
          <w:szCs w:val="20"/>
        </w:rPr>
        <w:instrText xml:space="preserve"> SEQ Artículo \* ARABIC </w:instrText>
      </w:r>
      <w:r w:rsidRPr="00F02808">
        <w:rPr>
          <w:rFonts w:ascii="ITC Avant Garde" w:hAnsi="ITC Avant Garde"/>
          <w:b/>
          <w:sz w:val="20"/>
          <w:szCs w:val="20"/>
        </w:rPr>
        <w:fldChar w:fldCharType="separate"/>
      </w:r>
      <w:r w:rsidR="00992611">
        <w:rPr>
          <w:rFonts w:ascii="ITC Avant Garde" w:hAnsi="ITC Avant Garde"/>
          <w:b/>
          <w:noProof/>
          <w:sz w:val="20"/>
          <w:szCs w:val="20"/>
        </w:rPr>
        <w:t>14</w:t>
      </w:r>
      <w:r w:rsidRPr="00F02808">
        <w:rPr>
          <w:rFonts w:ascii="ITC Avant Garde" w:hAnsi="ITC Avant Garde"/>
          <w:b/>
          <w:sz w:val="20"/>
          <w:szCs w:val="20"/>
        </w:rPr>
        <w:fldChar w:fldCharType="end"/>
      </w:r>
      <w:r w:rsidRPr="00F02808">
        <w:rPr>
          <w:rFonts w:ascii="ITC Avant Garde" w:hAnsi="ITC Avant Garde"/>
          <w:b/>
          <w:sz w:val="20"/>
          <w:szCs w:val="20"/>
        </w:rPr>
        <w:t xml:space="preserve">. </w:t>
      </w:r>
      <w:r w:rsidRPr="00F02808">
        <w:rPr>
          <w:rFonts w:ascii="ITC Avant Garde" w:hAnsi="ITC Avant Garde"/>
          <w:sz w:val="20"/>
          <w:szCs w:val="20"/>
        </w:rPr>
        <w:t xml:space="preserve">En el caso de múltiples emisores de RF, la realización del </w:t>
      </w:r>
      <w:r w:rsidR="00410705">
        <w:rPr>
          <w:rFonts w:ascii="ITC Avant Garde" w:hAnsi="ITC Avant Garde"/>
          <w:sz w:val="20"/>
          <w:szCs w:val="20"/>
        </w:rPr>
        <w:t xml:space="preserve">1) </w:t>
      </w:r>
      <w:r w:rsidRPr="00F02808">
        <w:rPr>
          <w:rFonts w:ascii="ITC Avant Garde" w:hAnsi="ITC Avant Garde"/>
          <w:sz w:val="20"/>
          <w:szCs w:val="20"/>
        </w:rPr>
        <w:t>cálculo de los niveles de exposición porcentual en la región de campo lejano obtenido mediante la suma de las contribuciones ponderadas de cada uno de los emisores de acuerdo a los límites de referencia que aplican para cada emisor, de acuerdo con las relaciones 2, 3, y 4, del numeral 6.1.2 de la disposición técnica donde habitualmente esté presente público en general y</w:t>
      </w:r>
      <w:r w:rsidR="00410705">
        <w:rPr>
          <w:rFonts w:ascii="ITC Avant Garde" w:hAnsi="ITC Avant Garde"/>
          <w:sz w:val="20"/>
          <w:szCs w:val="20"/>
        </w:rPr>
        <w:t>,</w:t>
      </w:r>
      <w:r w:rsidRPr="00F02808">
        <w:rPr>
          <w:rFonts w:ascii="ITC Avant Garde" w:hAnsi="ITC Avant Garde"/>
          <w:sz w:val="20"/>
          <w:szCs w:val="20"/>
        </w:rPr>
        <w:t xml:space="preserve"> </w:t>
      </w:r>
      <w:r w:rsidR="00410705">
        <w:rPr>
          <w:rFonts w:ascii="ITC Avant Garde" w:hAnsi="ITC Avant Garde"/>
          <w:sz w:val="20"/>
          <w:szCs w:val="20"/>
        </w:rPr>
        <w:t xml:space="preserve">2) </w:t>
      </w:r>
      <w:r w:rsidRPr="00F02808">
        <w:rPr>
          <w:rFonts w:ascii="ITC Avant Garde" w:hAnsi="ITC Avant Garde"/>
          <w:sz w:val="20"/>
          <w:szCs w:val="20"/>
        </w:rPr>
        <w:t xml:space="preserve">las mediciones </w:t>
      </w:r>
      <w:proofErr w:type="spellStart"/>
      <w:r w:rsidRPr="00F02808">
        <w:rPr>
          <w:rFonts w:ascii="ITC Avant Garde" w:hAnsi="ITC Avant Garde"/>
          <w:sz w:val="20"/>
          <w:szCs w:val="20"/>
        </w:rPr>
        <w:t>multiemisores</w:t>
      </w:r>
      <w:proofErr w:type="spellEnd"/>
      <w:r w:rsidRPr="00F02808">
        <w:rPr>
          <w:rFonts w:ascii="ITC Avant Garde" w:hAnsi="ITC Avant Garde"/>
          <w:sz w:val="20"/>
          <w:szCs w:val="20"/>
        </w:rPr>
        <w:t xml:space="preserve"> de RF</w:t>
      </w:r>
      <w:r w:rsidR="00410705">
        <w:rPr>
          <w:rFonts w:ascii="ITC Avant Garde" w:hAnsi="ITC Avant Garde"/>
          <w:sz w:val="20"/>
          <w:szCs w:val="20"/>
        </w:rPr>
        <w:t>,</w:t>
      </w:r>
      <w:r w:rsidRPr="00F02808">
        <w:rPr>
          <w:rFonts w:ascii="ITC Avant Garde" w:hAnsi="ITC Avant Garde"/>
          <w:sz w:val="20"/>
          <w:szCs w:val="20"/>
        </w:rPr>
        <w:t xml:space="preserve"> no será</w:t>
      </w:r>
      <w:r w:rsidR="00410705">
        <w:rPr>
          <w:rFonts w:ascii="ITC Avant Garde" w:hAnsi="ITC Avant Garde"/>
          <w:sz w:val="20"/>
          <w:szCs w:val="20"/>
        </w:rPr>
        <w:t>n</w:t>
      </w:r>
      <w:r w:rsidRPr="00F02808">
        <w:rPr>
          <w:rFonts w:ascii="ITC Avant Garde" w:hAnsi="ITC Avant Garde"/>
          <w:sz w:val="20"/>
          <w:szCs w:val="20"/>
        </w:rPr>
        <w:t xml:space="preserve"> obligatori</w:t>
      </w:r>
      <w:r w:rsidR="00410705">
        <w:rPr>
          <w:rFonts w:ascii="ITC Avant Garde" w:hAnsi="ITC Avant Garde"/>
          <w:sz w:val="20"/>
          <w:szCs w:val="20"/>
        </w:rPr>
        <w:t>as</w:t>
      </w:r>
      <w:r w:rsidRPr="00F02808">
        <w:rPr>
          <w:rFonts w:ascii="ITC Avant Garde" w:hAnsi="ITC Avant Garde"/>
          <w:sz w:val="20"/>
          <w:szCs w:val="20"/>
        </w:rPr>
        <w:t xml:space="preserve"> para los concesionarios. </w:t>
      </w:r>
    </w:p>
    <w:p w14:paraId="0B34C19E" w14:textId="77777777" w:rsidR="00355FB2" w:rsidRDefault="00355FB2" w:rsidP="006B595F">
      <w:pPr>
        <w:autoSpaceDE w:val="0"/>
        <w:autoSpaceDN w:val="0"/>
        <w:adjustRightInd w:val="0"/>
        <w:spacing w:line="360" w:lineRule="auto"/>
        <w:jc w:val="center"/>
        <w:rPr>
          <w:rFonts w:ascii="ITC Avant Garde" w:hAnsi="ITC Avant Garde"/>
          <w:b/>
          <w:bCs/>
          <w:sz w:val="22"/>
          <w:szCs w:val="22"/>
        </w:rPr>
      </w:pPr>
    </w:p>
    <w:p w14:paraId="01F49448" w14:textId="77777777" w:rsidR="006B595F" w:rsidRPr="0086242B" w:rsidRDefault="006B595F" w:rsidP="006B595F">
      <w:pPr>
        <w:autoSpaceDE w:val="0"/>
        <w:autoSpaceDN w:val="0"/>
        <w:adjustRightInd w:val="0"/>
        <w:spacing w:line="360" w:lineRule="auto"/>
        <w:jc w:val="center"/>
        <w:rPr>
          <w:rFonts w:ascii="ITC Avant Garde" w:hAnsi="ITC Avant Garde"/>
          <w:b/>
          <w:bCs/>
          <w:sz w:val="22"/>
          <w:szCs w:val="22"/>
        </w:rPr>
      </w:pPr>
      <w:r w:rsidRPr="0086242B">
        <w:rPr>
          <w:rFonts w:ascii="ITC Avant Garde" w:hAnsi="ITC Avant Garde"/>
          <w:b/>
          <w:bCs/>
          <w:sz w:val="22"/>
          <w:szCs w:val="22"/>
        </w:rPr>
        <w:t>CAPÍTULO IV</w:t>
      </w:r>
    </w:p>
    <w:p w14:paraId="1EE94561" w14:textId="77777777" w:rsidR="006B595F" w:rsidRPr="0086242B" w:rsidRDefault="006B595F" w:rsidP="006B595F">
      <w:pPr>
        <w:autoSpaceDE w:val="0"/>
        <w:autoSpaceDN w:val="0"/>
        <w:adjustRightInd w:val="0"/>
        <w:spacing w:line="360" w:lineRule="auto"/>
        <w:jc w:val="center"/>
        <w:rPr>
          <w:rFonts w:ascii="ITC Avant Garde" w:hAnsi="ITC Avant Garde"/>
          <w:b/>
          <w:bCs/>
          <w:sz w:val="22"/>
          <w:szCs w:val="22"/>
        </w:rPr>
      </w:pPr>
      <w:r w:rsidRPr="0086242B">
        <w:rPr>
          <w:rFonts w:ascii="ITC Avant Garde" w:hAnsi="ITC Avant Garde"/>
          <w:b/>
          <w:bCs/>
          <w:sz w:val="22"/>
          <w:szCs w:val="22"/>
        </w:rPr>
        <w:t>EVALUACIÓN DE LA CONFORMIDAD DE EQUIPOS TERMINALES DE RADIOCOMUNICACIONES</w:t>
      </w:r>
    </w:p>
    <w:p w14:paraId="76176F0E" w14:textId="77777777" w:rsidR="006B595F" w:rsidRPr="0086242B" w:rsidRDefault="006B595F" w:rsidP="006B595F">
      <w:pPr>
        <w:autoSpaceDE w:val="0"/>
        <w:autoSpaceDN w:val="0"/>
        <w:adjustRightInd w:val="0"/>
        <w:spacing w:line="360" w:lineRule="auto"/>
        <w:jc w:val="both"/>
        <w:rPr>
          <w:rFonts w:ascii="ITC Avant Garde" w:hAnsi="ITC Avant Garde"/>
        </w:rPr>
      </w:pPr>
    </w:p>
    <w:p w14:paraId="7C0C749A"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 xml:space="preserve">Artículo </w:t>
      </w:r>
      <w:r w:rsidRPr="0086242B">
        <w:rPr>
          <w:rFonts w:ascii="ITC Avant Garde" w:hAnsi="ITC Avant Garde"/>
          <w:b/>
          <w:sz w:val="20"/>
          <w:szCs w:val="20"/>
        </w:rPr>
        <w:fldChar w:fldCharType="begin"/>
      </w:r>
      <w:r w:rsidRPr="0086242B">
        <w:rPr>
          <w:rFonts w:ascii="ITC Avant Garde" w:hAnsi="ITC Avant Garde"/>
          <w:b/>
          <w:sz w:val="20"/>
          <w:szCs w:val="20"/>
        </w:rPr>
        <w:instrText xml:space="preserve"> SEQ Artículo \* ARABIC </w:instrText>
      </w:r>
      <w:r w:rsidRPr="0086242B">
        <w:rPr>
          <w:rFonts w:ascii="ITC Avant Garde" w:hAnsi="ITC Avant Garde"/>
          <w:b/>
          <w:sz w:val="20"/>
          <w:szCs w:val="20"/>
        </w:rPr>
        <w:fldChar w:fldCharType="separate"/>
      </w:r>
      <w:r w:rsidR="00992611">
        <w:rPr>
          <w:rFonts w:ascii="ITC Avant Garde" w:hAnsi="ITC Avant Garde"/>
          <w:b/>
          <w:noProof/>
          <w:sz w:val="20"/>
          <w:szCs w:val="20"/>
        </w:rPr>
        <w:t>15</w:t>
      </w:r>
      <w:r w:rsidRPr="0086242B">
        <w:rPr>
          <w:rFonts w:ascii="ITC Avant Garde" w:hAnsi="ITC Avant Garde"/>
          <w:b/>
          <w:sz w:val="20"/>
          <w:szCs w:val="20"/>
        </w:rPr>
        <w:fldChar w:fldCharType="end"/>
      </w:r>
      <w:r w:rsidRPr="0086242B">
        <w:rPr>
          <w:rFonts w:ascii="ITC Avant Garde" w:hAnsi="ITC Avant Garde"/>
          <w:b/>
          <w:sz w:val="20"/>
          <w:szCs w:val="20"/>
        </w:rPr>
        <w:t xml:space="preserve">. </w:t>
      </w:r>
      <w:r w:rsidRPr="0086242B">
        <w:rPr>
          <w:rFonts w:ascii="ITC Avant Garde" w:hAnsi="ITC Avant Garde"/>
          <w:sz w:val="20"/>
          <w:szCs w:val="20"/>
        </w:rPr>
        <w:t>Los equipos terminales de</w:t>
      </w:r>
      <w:r w:rsidRPr="0086242B">
        <w:rPr>
          <w:rFonts w:ascii="ITC Avant Garde" w:hAnsi="ITC Avant Garde"/>
          <w:b/>
          <w:sz w:val="20"/>
          <w:szCs w:val="20"/>
        </w:rPr>
        <w:t xml:space="preserve"> </w:t>
      </w:r>
      <w:r w:rsidRPr="0086242B">
        <w:rPr>
          <w:rFonts w:ascii="ITC Avant Garde" w:hAnsi="ITC Avant Garde"/>
          <w:sz w:val="20"/>
          <w:szCs w:val="20"/>
        </w:rPr>
        <w:t xml:space="preserve">radiocomunicaciones deberán cumplir con los límites básicos de exposición máxima, específicamente con los valores de SAR localizado en la cabeza y el tronco que se han establecido para cumplimiento en la disposición técnica IFT-007-2015 y contar con un certificado de conformidad de manera obligatoria. La evaluación de la conformidad será realizada por organismos de certificación y por laboratorios de prueba autorizados por el Instituto. Al respecto se deberá seguir el procedimiento descrito en la resolución publicada en el Diario Oficial de la Federación el 11 de agosto de 2005, mediante la cual la Comisión Federal de Telecomunicaciones expide los </w:t>
      </w:r>
      <w:r w:rsidRPr="0086242B">
        <w:rPr>
          <w:rFonts w:ascii="ITC Avant Garde" w:hAnsi="ITC Avant Garde"/>
          <w:i/>
          <w:sz w:val="20"/>
          <w:szCs w:val="20"/>
        </w:rPr>
        <w:t>“Procedimientos de evaluación de la conformidad de productos sujetos al cumplimiento de normas oficiales mexicanas de la competencia de la Secretaría a través de la Comisión”</w:t>
      </w:r>
      <w:proofErr w:type="gramStart"/>
      <w:r w:rsidRPr="0086242B">
        <w:rPr>
          <w:rFonts w:ascii="ITC Avant Garde" w:hAnsi="ITC Avant Garde"/>
          <w:sz w:val="20"/>
          <w:szCs w:val="20"/>
        </w:rPr>
        <w:t>,  en</w:t>
      </w:r>
      <w:proofErr w:type="gramEnd"/>
      <w:r w:rsidRPr="0086242B">
        <w:rPr>
          <w:rFonts w:ascii="ITC Avant Garde" w:hAnsi="ITC Avant Garde"/>
          <w:sz w:val="20"/>
          <w:szCs w:val="20"/>
        </w:rPr>
        <w:t xml:space="preserve"> tanto el Instituto establezca los lineamientos que los sustituyan.</w:t>
      </w:r>
    </w:p>
    <w:p w14:paraId="04E2365A" w14:textId="77777777" w:rsidR="006B595F" w:rsidRPr="0086242B" w:rsidRDefault="006B595F" w:rsidP="006B595F">
      <w:pPr>
        <w:autoSpaceDE w:val="0"/>
        <w:autoSpaceDN w:val="0"/>
        <w:adjustRightInd w:val="0"/>
        <w:jc w:val="both"/>
        <w:rPr>
          <w:rFonts w:ascii="ITC Avant Garde" w:hAnsi="ITC Avant Garde"/>
        </w:rPr>
      </w:pPr>
    </w:p>
    <w:p w14:paraId="754BDEA7"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 xml:space="preserve">Artículo </w:t>
      </w:r>
      <w:r w:rsidRPr="0086242B">
        <w:rPr>
          <w:rFonts w:ascii="ITC Avant Garde" w:hAnsi="ITC Avant Garde"/>
          <w:b/>
          <w:sz w:val="20"/>
          <w:szCs w:val="20"/>
        </w:rPr>
        <w:fldChar w:fldCharType="begin"/>
      </w:r>
      <w:r w:rsidRPr="0086242B">
        <w:rPr>
          <w:rFonts w:ascii="ITC Avant Garde" w:hAnsi="ITC Avant Garde"/>
          <w:b/>
          <w:sz w:val="20"/>
          <w:szCs w:val="20"/>
        </w:rPr>
        <w:instrText xml:space="preserve"> SEQ Artículo \* ARABIC </w:instrText>
      </w:r>
      <w:r w:rsidRPr="0086242B">
        <w:rPr>
          <w:rFonts w:ascii="ITC Avant Garde" w:hAnsi="ITC Avant Garde"/>
          <w:b/>
          <w:sz w:val="20"/>
          <w:szCs w:val="20"/>
        </w:rPr>
        <w:fldChar w:fldCharType="separate"/>
      </w:r>
      <w:r w:rsidR="00992611">
        <w:rPr>
          <w:rFonts w:ascii="ITC Avant Garde" w:hAnsi="ITC Avant Garde"/>
          <w:b/>
          <w:noProof/>
          <w:sz w:val="20"/>
          <w:szCs w:val="20"/>
        </w:rPr>
        <w:t>16</w:t>
      </w:r>
      <w:r w:rsidRPr="0086242B">
        <w:rPr>
          <w:rFonts w:ascii="ITC Avant Garde" w:hAnsi="ITC Avant Garde"/>
          <w:b/>
          <w:sz w:val="20"/>
          <w:szCs w:val="20"/>
        </w:rPr>
        <w:fldChar w:fldCharType="end"/>
      </w:r>
      <w:r w:rsidRPr="0086242B">
        <w:rPr>
          <w:rFonts w:ascii="ITC Avant Garde" w:hAnsi="ITC Avant Garde"/>
          <w:b/>
          <w:sz w:val="20"/>
          <w:szCs w:val="20"/>
        </w:rPr>
        <w:t>.</w:t>
      </w:r>
      <w:r w:rsidRPr="0086242B">
        <w:rPr>
          <w:rFonts w:ascii="ITC Avant Garde" w:hAnsi="ITC Avant Garde"/>
          <w:sz w:val="20"/>
          <w:szCs w:val="20"/>
        </w:rPr>
        <w:t xml:space="preserve"> </w:t>
      </w:r>
      <w:r w:rsidR="00DE4283" w:rsidRPr="0086242B">
        <w:rPr>
          <w:rFonts w:ascii="ITC Avant Garde" w:hAnsi="ITC Avant Garde"/>
          <w:sz w:val="20"/>
          <w:szCs w:val="20"/>
        </w:rPr>
        <w:t>En caso de que se cumpla con los límites básicos de exposición máxima de la Tabla 1, específicamente con los valores de SAR localizado en la cabeza y el tronco el laboratorio de pruebas expedirá el informe de resultados y el organismo de certificación expedirá al Titular el certificado de conformidad correspondiente.</w:t>
      </w:r>
    </w:p>
    <w:p w14:paraId="7AA9A334" w14:textId="77777777" w:rsidR="00902727" w:rsidRDefault="00902727" w:rsidP="00902727">
      <w:pPr>
        <w:spacing w:line="360" w:lineRule="auto"/>
        <w:jc w:val="both"/>
        <w:rPr>
          <w:rFonts w:ascii="ITC Avant Garde" w:hAnsi="ITC Avant Garde"/>
          <w:sz w:val="20"/>
          <w:szCs w:val="20"/>
        </w:rPr>
      </w:pPr>
    </w:p>
    <w:p w14:paraId="58E6E984" w14:textId="56327242" w:rsidR="00902727" w:rsidRPr="00F02808" w:rsidRDefault="006F19EC" w:rsidP="00902727">
      <w:pPr>
        <w:spacing w:line="360" w:lineRule="auto"/>
        <w:jc w:val="both"/>
        <w:rPr>
          <w:rFonts w:ascii="ITC Avant Garde" w:hAnsi="ITC Avant Garde"/>
          <w:sz w:val="20"/>
          <w:szCs w:val="20"/>
        </w:rPr>
      </w:pPr>
      <w:r w:rsidRPr="00E7360E">
        <w:rPr>
          <w:rFonts w:ascii="ITC Avant Garde" w:hAnsi="ITC Avant Garde"/>
          <w:sz w:val="20"/>
          <w:szCs w:val="20"/>
        </w:rPr>
        <w:t xml:space="preserve">Sin </w:t>
      </w:r>
      <w:r w:rsidR="00902727" w:rsidRPr="00E7360E">
        <w:rPr>
          <w:rFonts w:ascii="ITC Avant Garde" w:hAnsi="ITC Avant Garde"/>
          <w:sz w:val="20"/>
          <w:szCs w:val="20"/>
        </w:rPr>
        <w:t>perjuicio de los procedimientos establecidos en los capítulos III y</w:t>
      </w:r>
      <w:r w:rsidR="00174505">
        <w:rPr>
          <w:rFonts w:ascii="ITC Avant Garde" w:hAnsi="ITC Avant Garde"/>
          <w:sz w:val="20"/>
          <w:szCs w:val="20"/>
        </w:rPr>
        <w:t xml:space="preserve"> </w:t>
      </w:r>
      <w:proofErr w:type="gramStart"/>
      <w:r w:rsidR="00174505">
        <w:rPr>
          <w:rFonts w:ascii="ITC Avant Garde" w:hAnsi="ITC Avant Garde"/>
          <w:sz w:val="20"/>
          <w:szCs w:val="20"/>
        </w:rPr>
        <w:t>IV  de</w:t>
      </w:r>
      <w:proofErr w:type="gramEnd"/>
      <w:r w:rsidR="00174505">
        <w:rPr>
          <w:rFonts w:ascii="ITC Avant Garde" w:hAnsi="ITC Avant Garde"/>
          <w:sz w:val="20"/>
          <w:szCs w:val="20"/>
        </w:rPr>
        <w:t xml:space="preserve"> la presente disposición</w:t>
      </w:r>
      <w:r w:rsidR="00902727" w:rsidRPr="00E7360E">
        <w:rPr>
          <w:rFonts w:ascii="ITC Avant Garde" w:hAnsi="ITC Avant Garde"/>
          <w:sz w:val="20"/>
          <w:szCs w:val="20"/>
        </w:rPr>
        <w:t xml:space="preserve"> técnica, el Instituto podrá en el marco de sus atribuciones</w:t>
      </w:r>
      <w:r w:rsidRPr="00E7360E">
        <w:rPr>
          <w:rFonts w:ascii="ITC Avant Garde" w:hAnsi="ITC Avant Garde"/>
          <w:sz w:val="20"/>
          <w:szCs w:val="20"/>
        </w:rPr>
        <w:t xml:space="preserve"> </w:t>
      </w:r>
      <w:r w:rsidR="00902727" w:rsidRPr="00E7360E">
        <w:rPr>
          <w:rFonts w:ascii="ITC Avant Garde" w:hAnsi="ITC Avant Garde"/>
          <w:sz w:val="20"/>
          <w:szCs w:val="20"/>
        </w:rPr>
        <w:t>realizar la</w:t>
      </w:r>
      <w:r w:rsidR="00737F3D" w:rsidRPr="00E7360E">
        <w:rPr>
          <w:rFonts w:ascii="ITC Avant Garde" w:hAnsi="ITC Avant Garde"/>
          <w:sz w:val="20"/>
          <w:szCs w:val="20"/>
        </w:rPr>
        <w:t>s</w:t>
      </w:r>
      <w:r w:rsidR="00902727" w:rsidRPr="00E7360E">
        <w:rPr>
          <w:rFonts w:ascii="ITC Avant Garde" w:hAnsi="ITC Avant Garde"/>
          <w:sz w:val="20"/>
          <w:szCs w:val="20"/>
        </w:rPr>
        <w:t xml:space="preserve"> verificaci</w:t>
      </w:r>
      <w:r w:rsidR="00737F3D" w:rsidRPr="00E7360E">
        <w:rPr>
          <w:rFonts w:ascii="ITC Avant Garde" w:hAnsi="ITC Avant Garde"/>
          <w:sz w:val="20"/>
          <w:szCs w:val="20"/>
        </w:rPr>
        <w:t>o</w:t>
      </w:r>
      <w:r w:rsidR="00902727" w:rsidRPr="00E7360E">
        <w:rPr>
          <w:rFonts w:ascii="ITC Avant Garde" w:hAnsi="ITC Avant Garde"/>
          <w:sz w:val="20"/>
          <w:szCs w:val="20"/>
        </w:rPr>
        <w:t>n</w:t>
      </w:r>
      <w:r w:rsidR="00737F3D" w:rsidRPr="00E7360E">
        <w:rPr>
          <w:rFonts w:ascii="ITC Avant Garde" w:hAnsi="ITC Avant Garde"/>
          <w:sz w:val="20"/>
          <w:szCs w:val="20"/>
        </w:rPr>
        <w:t>es</w:t>
      </w:r>
      <w:r w:rsidR="00902727" w:rsidRPr="00E7360E">
        <w:rPr>
          <w:rFonts w:ascii="ITC Avant Garde" w:hAnsi="ITC Avant Garde"/>
          <w:sz w:val="20"/>
          <w:szCs w:val="20"/>
        </w:rPr>
        <w:t xml:space="preserve"> que estime conveniente</w:t>
      </w:r>
      <w:r w:rsidR="00A91F62">
        <w:rPr>
          <w:rFonts w:ascii="ITC Avant Garde" w:hAnsi="ITC Avant Garde"/>
          <w:sz w:val="20"/>
          <w:szCs w:val="20"/>
        </w:rPr>
        <w:t>s</w:t>
      </w:r>
      <w:r w:rsidR="00902727" w:rsidRPr="00E7360E">
        <w:rPr>
          <w:rFonts w:ascii="ITC Avant Garde" w:hAnsi="ITC Avant Garde"/>
          <w:sz w:val="20"/>
          <w:szCs w:val="20"/>
        </w:rPr>
        <w:t>.</w:t>
      </w:r>
    </w:p>
    <w:p w14:paraId="6D741D73" w14:textId="77777777" w:rsidR="006B595F" w:rsidRPr="0086242B" w:rsidRDefault="006B595F" w:rsidP="006B595F">
      <w:pPr>
        <w:autoSpaceDE w:val="0"/>
        <w:autoSpaceDN w:val="0"/>
        <w:adjustRightInd w:val="0"/>
        <w:jc w:val="both"/>
        <w:rPr>
          <w:rFonts w:ascii="ITC Avant Garde" w:hAnsi="ITC Avant Garde"/>
        </w:rPr>
      </w:pPr>
    </w:p>
    <w:p w14:paraId="1A9AAD74" w14:textId="77777777" w:rsidR="006B595F" w:rsidRPr="0086242B" w:rsidRDefault="006B595F" w:rsidP="006B595F">
      <w:pPr>
        <w:autoSpaceDE w:val="0"/>
        <w:autoSpaceDN w:val="0"/>
        <w:adjustRightInd w:val="0"/>
        <w:jc w:val="both"/>
        <w:rPr>
          <w:rFonts w:ascii="ITC Avant Garde" w:hAnsi="ITC Avant Garde"/>
        </w:rPr>
      </w:pPr>
    </w:p>
    <w:p w14:paraId="3AFD0B8A" w14:textId="77777777" w:rsidR="006B595F" w:rsidRPr="0086242B" w:rsidRDefault="006B595F" w:rsidP="006B595F">
      <w:pPr>
        <w:autoSpaceDE w:val="0"/>
        <w:autoSpaceDN w:val="0"/>
        <w:adjustRightInd w:val="0"/>
        <w:spacing w:line="360" w:lineRule="auto"/>
        <w:jc w:val="center"/>
        <w:rPr>
          <w:rFonts w:ascii="ITC Avant Garde" w:hAnsi="ITC Avant Garde"/>
          <w:b/>
          <w:bCs/>
          <w:sz w:val="22"/>
          <w:szCs w:val="22"/>
        </w:rPr>
      </w:pPr>
      <w:r w:rsidRPr="0086242B">
        <w:rPr>
          <w:rFonts w:ascii="ITC Avant Garde" w:hAnsi="ITC Avant Garde"/>
          <w:b/>
          <w:bCs/>
          <w:sz w:val="22"/>
          <w:szCs w:val="22"/>
        </w:rPr>
        <w:t>CAPÍTULO V</w:t>
      </w:r>
    </w:p>
    <w:p w14:paraId="18B08327" w14:textId="77777777" w:rsidR="00DE4283" w:rsidRPr="0086242B" w:rsidRDefault="00DE4283" w:rsidP="00DE4283">
      <w:pPr>
        <w:autoSpaceDE w:val="0"/>
        <w:autoSpaceDN w:val="0"/>
        <w:adjustRightInd w:val="0"/>
        <w:spacing w:line="360" w:lineRule="auto"/>
        <w:jc w:val="center"/>
        <w:rPr>
          <w:rFonts w:ascii="ITC Avant Garde" w:hAnsi="ITC Avant Garde"/>
          <w:b/>
          <w:bCs/>
          <w:sz w:val="22"/>
          <w:szCs w:val="22"/>
        </w:rPr>
      </w:pPr>
      <w:r w:rsidRPr="0086242B">
        <w:rPr>
          <w:rFonts w:ascii="ITC Avant Garde" w:hAnsi="ITC Avant Garde"/>
          <w:b/>
          <w:bCs/>
          <w:sz w:val="22"/>
          <w:szCs w:val="22"/>
        </w:rPr>
        <w:t xml:space="preserve">VIGENCIA DEL DICTAMEN DE CONFORMIDAD Y DEL CERTIFICADO DE CONFORMIDAD </w:t>
      </w:r>
    </w:p>
    <w:p w14:paraId="46A436B9" w14:textId="77777777" w:rsidR="006B595F" w:rsidRPr="0086242B" w:rsidRDefault="006B595F" w:rsidP="006B595F">
      <w:pPr>
        <w:autoSpaceDE w:val="0"/>
        <w:autoSpaceDN w:val="0"/>
        <w:adjustRightInd w:val="0"/>
        <w:jc w:val="both"/>
        <w:rPr>
          <w:rFonts w:ascii="ITC Avant Garde" w:hAnsi="ITC Avant Garde"/>
        </w:rPr>
      </w:pPr>
    </w:p>
    <w:p w14:paraId="24D442F5" w14:textId="1A97D528" w:rsidR="00FF5512" w:rsidRPr="0086242B" w:rsidRDefault="00FF5512" w:rsidP="00FF5512">
      <w:p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 xml:space="preserve">Artículo </w:t>
      </w:r>
      <w:r w:rsidRPr="0086242B">
        <w:rPr>
          <w:rFonts w:ascii="ITC Avant Garde" w:hAnsi="ITC Avant Garde"/>
          <w:b/>
          <w:sz w:val="20"/>
          <w:szCs w:val="20"/>
        </w:rPr>
        <w:fldChar w:fldCharType="begin"/>
      </w:r>
      <w:r w:rsidRPr="0086242B">
        <w:rPr>
          <w:rFonts w:ascii="ITC Avant Garde" w:hAnsi="ITC Avant Garde"/>
          <w:b/>
          <w:sz w:val="20"/>
          <w:szCs w:val="20"/>
        </w:rPr>
        <w:instrText xml:space="preserve"> SEQ Artículo \* ARABIC </w:instrText>
      </w:r>
      <w:r w:rsidRPr="0086242B">
        <w:rPr>
          <w:rFonts w:ascii="ITC Avant Garde" w:hAnsi="ITC Avant Garde"/>
          <w:b/>
          <w:sz w:val="20"/>
          <w:szCs w:val="20"/>
        </w:rPr>
        <w:fldChar w:fldCharType="separate"/>
      </w:r>
      <w:r w:rsidR="00992611">
        <w:rPr>
          <w:rFonts w:ascii="ITC Avant Garde" w:hAnsi="ITC Avant Garde"/>
          <w:b/>
          <w:noProof/>
          <w:sz w:val="20"/>
          <w:szCs w:val="20"/>
        </w:rPr>
        <w:t>17</w:t>
      </w:r>
      <w:r w:rsidRPr="0086242B">
        <w:rPr>
          <w:rFonts w:ascii="ITC Avant Garde" w:hAnsi="ITC Avant Garde"/>
          <w:b/>
          <w:sz w:val="20"/>
          <w:szCs w:val="20"/>
        </w:rPr>
        <w:fldChar w:fldCharType="end"/>
      </w:r>
      <w:r w:rsidRPr="0086242B">
        <w:rPr>
          <w:rFonts w:ascii="ITC Avant Garde" w:hAnsi="ITC Avant Garde"/>
          <w:b/>
          <w:sz w:val="20"/>
          <w:szCs w:val="20"/>
        </w:rPr>
        <w:t>.</w:t>
      </w:r>
      <w:r w:rsidRPr="0086242B">
        <w:rPr>
          <w:rFonts w:ascii="ITC Avant Garde" w:hAnsi="ITC Avant Garde"/>
          <w:sz w:val="20"/>
          <w:szCs w:val="20"/>
        </w:rPr>
        <w:t xml:space="preserve"> La vigencia del dictamen y del certificado de conformidad será definitiva. Sin embargo, para mantener dicha vigencia las estaciones y los equipos terminales de radiocomunicaciones serán sometidos a seguimiento, verificación y vigilancia según corresponda.</w:t>
      </w:r>
      <w:r>
        <w:rPr>
          <w:rFonts w:ascii="ITC Avant Garde" w:hAnsi="ITC Avant Garde"/>
          <w:sz w:val="20"/>
          <w:szCs w:val="20"/>
        </w:rPr>
        <w:t xml:space="preserve"> </w:t>
      </w:r>
    </w:p>
    <w:p w14:paraId="7E196C1E"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p>
    <w:p w14:paraId="3055C72A"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Artículo 19.</w:t>
      </w:r>
      <w:r w:rsidRPr="0086242B">
        <w:rPr>
          <w:rFonts w:ascii="ITC Avant Garde" w:hAnsi="ITC Avant Garde"/>
          <w:sz w:val="20"/>
          <w:szCs w:val="20"/>
        </w:rPr>
        <w:t xml:space="preserve"> El dictamen y el certificado de conformidad podrán ser suspendidos o cancelados, si se incurre en alguna de las causas señaladas en los artículos 20 al 22 del presente ordenamiento.</w:t>
      </w:r>
    </w:p>
    <w:p w14:paraId="65C6714B"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p>
    <w:p w14:paraId="08F53EB0"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bookmarkStart w:id="51" w:name="_Ref216592377"/>
      <w:r w:rsidRPr="0086242B">
        <w:rPr>
          <w:rFonts w:ascii="ITC Avant Garde" w:hAnsi="ITC Avant Garde"/>
          <w:b/>
          <w:sz w:val="20"/>
          <w:szCs w:val="20"/>
        </w:rPr>
        <w:t xml:space="preserve">Artículo </w:t>
      </w:r>
      <w:r w:rsidRPr="0086242B">
        <w:rPr>
          <w:rFonts w:ascii="ITC Avant Garde" w:hAnsi="ITC Avant Garde"/>
          <w:b/>
          <w:sz w:val="20"/>
          <w:szCs w:val="20"/>
        </w:rPr>
        <w:fldChar w:fldCharType="begin"/>
      </w:r>
      <w:r w:rsidRPr="0086242B">
        <w:rPr>
          <w:rFonts w:ascii="ITC Avant Garde" w:hAnsi="ITC Avant Garde"/>
          <w:b/>
          <w:sz w:val="20"/>
          <w:szCs w:val="20"/>
        </w:rPr>
        <w:instrText xml:space="preserve"> SEQ Artículo \* ARABIC </w:instrText>
      </w:r>
      <w:r w:rsidRPr="0086242B">
        <w:rPr>
          <w:rFonts w:ascii="ITC Avant Garde" w:hAnsi="ITC Avant Garde"/>
          <w:b/>
          <w:sz w:val="20"/>
          <w:szCs w:val="20"/>
        </w:rPr>
        <w:fldChar w:fldCharType="separate"/>
      </w:r>
      <w:r w:rsidR="00992611">
        <w:rPr>
          <w:rFonts w:ascii="ITC Avant Garde" w:hAnsi="ITC Avant Garde"/>
          <w:b/>
          <w:noProof/>
          <w:sz w:val="20"/>
          <w:szCs w:val="20"/>
        </w:rPr>
        <w:t>18</w:t>
      </w:r>
      <w:r w:rsidRPr="0086242B">
        <w:rPr>
          <w:rFonts w:ascii="ITC Avant Garde" w:hAnsi="ITC Avant Garde"/>
          <w:b/>
          <w:sz w:val="20"/>
          <w:szCs w:val="20"/>
        </w:rPr>
        <w:fldChar w:fldCharType="end"/>
      </w:r>
      <w:bookmarkEnd w:id="51"/>
      <w:r w:rsidRPr="0086242B">
        <w:rPr>
          <w:rFonts w:ascii="ITC Avant Garde" w:hAnsi="ITC Avant Garde"/>
          <w:b/>
          <w:sz w:val="20"/>
          <w:szCs w:val="20"/>
        </w:rPr>
        <w:t>.</w:t>
      </w:r>
      <w:r w:rsidRPr="0086242B">
        <w:rPr>
          <w:rFonts w:ascii="ITC Avant Garde" w:hAnsi="ITC Avant Garde"/>
          <w:sz w:val="20"/>
          <w:szCs w:val="20"/>
        </w:rPr>
        <w:t xml:space="preserve"> La vigencia del dictamen de conformidad de estaciones de radiocomunicaciones </w:t>
      </w:r>
      <w:proofErr w:type="gramStart"/>
      <w:r w:rsidRPr="0086242B">
        <w:rPr>
          <w:rFonts w:ascii="ITC Avant Garde" w:hAnsi="ITC Avant Garde"/>
          <w:sz w:val="20"/>
          <w:szCs w:val="20"/>
        </w:rPr>
        <w:t>podrá  ser</w:t>
      </w:r>
      <w:proofErr w:type="gramEnd"/>
      <w:r w:rsidRPr="0086242B">
        <w:rPr>
          <w:rFonts w:ascii="ITC Avant Garde" w:hAnsi="ITC Avant Garde"/>
          <w:sz w:val="20"/>
          <w:szCs w:val="20"/>
        </w:rPr>
        <w:t xml:space="preserve"> suspendida por el Instituto en  cualquiera de los siguientes supuestos:</w:t>
      </w:r>
    </w:p>
    <w:p w14:paraId="4372A3C1"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p>
    <w:p w14:paraId="2000F756" w14:textId="77777777" w:rsidR="006B595F" w:rsidRPr="0086242B" w:rsidRDefault="006B595F" w:rsidP="006B595F">
      <w:pPr>
        <w:pStyle w:val="Prrafodelista"/>
        <w:numPr>
          <w:ilvl w:val="0"/>
          <w:numId w:val="26"/>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Cuando el titular impida u obstaculice las labores de verificación y/o vigilancia llevadas a cabo por el Instituto.</w:t>
      </w:r>
    </w:p>
    <w:p w14:paraId="60C646A7" w14:textId="4DD92CEF" w:rsidR="00EC4A15" w:rsidRDefault="006B595F" w:rsidP="00473D68">
      <w:pPr>
        <w:numPr>
          <w:ilvl w:val="0"/>
          <w:numId w:val="26"/>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Cuando se dejen de cumplir las condiciones originales bajo las cuales se otorgó el dictamen de conformidad.</w:t>
      </w:r>
    </w:p>
    <w:p w14:paraId="63EBB8E9" w14:textId="541A0CAA" w:rsidR="006B595F" w:rsidRPr="0086242B" w:rsidRDefault="00CF1D48" w:rsidP="00EC4A15">
      <w:pPr>
        <w:numPr>
          <w:ilvl w:val="0"/>
          <w:numId w:val="26"/>
        </w:numPr>
        <w:autoSpaceDE w:val="0"/>
        <w:autoSpaceDN w:val="0"/>
        <w:adjustRightInd w:val="0"/>
        <w:spacing w:line="360" w:lineRule="auto"/>
        <w:jc w:val="both"/>
        <w:rPr>
          <w:rFonts w:ascii="ITC Avant Garde" w:hAnsi="ITC Avant Garde"/>
          <w:sz w:val="20"/>
          <w:szCs w:val="20"/>
        </w:rPr>
      </w:pPr>
      <w:r w:rsidRPr="00F02808">
        <w:rPr>
          <w:rFonts w:ascii="ITC Avant Garde" w:hAnsi="ITC Avant Garde"/>
          <w:sz w:val="20"/>
          <w:szCs w:val="20"/>
        </w:rPr>
        <w:t xml:space="preserve">Cuando se impongan valores límite básicos y de referencia más estrictos en la DT IFT-007-2015, </w:t>
      </w:r>
      <w:r w:rsidR="006B595F" w:rsidRPr="0086242B">
        <w:rPr>
          <w:rFonts w:ascii="ITC Avant Garde" w:hAnsi="ITC Avant Garde"/>
          <w:sz w:val="20"/>
          <w:szCs w:val="20"/>
        </w:rPr>
        <w:t>bajo la cual se otorgó originalmente el dictamen de conformidad de la estación.</w:t>
      </w:r>
    </w:p>
    <w:p w14:paraId="6521B07D" w14:textId="77777777" w:rsidR="006B595F" w:rsidRPr="0086242B" w:rsidRDefault="006B595F" w:rsidP="00473D68">
      <w:pPr>
        <w:autoSpaceDE w:val="0"/>
        <w:autoSpaceDN w:val="0"/>
        <w:adjustRightInd w:val="0"/>
        <w:spacing w:line="360" w:lineRule="auto"/>
        <w:ind w:left="720"/>
        <w:jc w:val="both"/>
        <w:rPr>
          <w:rFonts w:ascii="ITC Avant Garde" w:hAnsi="ITC Avant Garde"/>
          <w:sz w:val="20"/>
          <w:szCs w:val="20"/>
        </w:rPr>
      </w:pPr>
    </w:p>
    <w:p w14:paraId="587C9030"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bookmarkStart w:id="52" w:name="_Ref216592406"/>
      <w:r w:rsidRPr="0086242B">
        <w:rPr>
          <w:rFonts w:ascii="ITC Avant Garde" w:hAnsi="ITC Avant Garde"/>
          <w:b/>
          <w:sz w:val="20"/>
          <w:szCs w:val="20"/>
        </w:rPr>
        <w:t xml:space="preserve">Artículo </w:t>
      </w:r>
      <w:r w:rsidRPr="0086242B">
        <w:rPr>
          <w:rFonts w:ascii="ITC Avant Garde" w:hAnsi="ITC Avant Garde"/>
          <w:b/>
          <w:sz w:val="20"/>
          <w:szCs w:val="20"/>
        </w:rPr>
        <w:fldChar w:fldCharType="begin"/>
      </w:r>
      <w:r w:rsidRPr="0086242B">
        <w:rPr>
          <w:rFonts w:ascii="ITC Avant Garde" w:hAnsi="ITC Avant Garde"/>
          <w:b/>
          <w:sz w:val="20"/>
          <w:szCs w:val="20"/>
        </w:rPr>
        <w:instrText xml:space="preserve"> SEQ Artículo \* ARABIC </w:instrText>
      </w:r>
      <w:r w:rsidRPr="0086242B">
        <w:rPr>
          <w:rFonts w:ascii="ITC Avant Garde" w:hAnsi="ITC Avant Garde"/>
          <w:b/>
          <w:sz w:val="20"/>
          <w:szCs w:val="20"/>
        </w:rPr>
        <w:fldChar w:fldCharType="separate"/>
      </w:r>
      <w:r w:rsidR="00992611">
        <w:rPr>
          <w:rFonts w:ascii="ITC Avant Garde" w:hAnsi="ITC Avant Garde"/>
          <w:b/>
          <w:noProof/>
          <w:sz w:val="20"/>
          <w:szCs w:val="20"/>
        </w:rPr>
        <w:t>19</w:t>
      </w:r>
      <w:r w:rsidRPr="0086242B">
        <w:rPr>
          <w:rFonts w:ascii="ITC Avant Garde" w:hAnsi="ITC Avant Garde"/>
          <w:b/>
          <w:sz w:val="20"/>
          <w:szCs w:val="20"/>
        </w:rPr>
        <w:fldChar w:fldCharType="end"/>
      </w:r>
      <w:bookmarkEnd w:id="52"/>
      <w:r w:rsidRPr="0086242B">
        <w:rPr>
          <w:rFonts w:ascii="ITC Avant Garde" w:hAnsi="ITC Avant Garde"/>
          <w:b/>
          <w:sz w:val="20"/>
          <w:szCs w:val="20"/>
        </w:rPr>
        <w:t>.</w:t>
      </w:r>
      <w:r w:rsidRPr="0086242B">
        <w:rPr>
          <w:rFonts w:ascii="ITC Avant Garde" w:hAnsi="ITC Avant Garde"/>
          <w:sz w:val="20"/>
          <w:szCs w:val="20"/>
        </w:rPr>
        <w:t xml:space="preserve"> El dictamen de conformidad de las estaciones de radiocomunicaciones </w:t>
      </w:r>
      <w:proofErr w:type="gramStart"/>
      <w:r w:rsidRPr="0086242B">
        <w:rPr>
          <w:rFonts w:ascii="ITC Avant Garde" w:hAnsi="ITC Avant Garde"/>
          <w:sz w:val="20"/>
          <w:szCs w:val="20"/>
        </w:rPr>
        <w:t>podrá  ser</w:t>
      </w:r>
      <w:proofErr w:type="gramEnd"/>
      <w:r w:rsidRPr="0086242B">
        <w:rPr>
          <w:rFonts w:ascii="ITC Avant Garde" w:hAnsi="ITC Avant Garde"/>
          <w:sz w:val="20"/>
          <w:szCs w:val="20"/>
        </w:rPr>
        <w:t xml:space="preserve"> cancelada por el Instituto por cualquiera de las siguientes causas:</w:t>
      </w:r>
    </w:p>
    <w:p w14:paraId="3DB4670A"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p>
    <w:p w14:paraId="4CE1D029" w14:textId="77777777" w:rsidR="006B595F" w:rsidRPr="0086242B" w:rsidRDefault="006B595F" w:rsidP="006B595F">
      <w:pPr>
        <w:numPr>
          <w:ilvl w:val="0"/>
          <w:numId w:val="27"/>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Cuando lo solicite el Titular.</w:t>
      </w:r>
    </w:p>
    <w:p w14:paraId="0DFB9375" w14:textId="77777777" w:rsidR="006B595F" w:rsidRPr="0086242B" w:rsidRDefault="006B595F" w:rsidP="006B595F">
      <w:pPr>
        <w:numPr>
          <w:ilvl w:val="0"/>
          <w:numId w:val="27"/>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Cuando el Titular haya proporcionado información falsa.</w:t>
      </w:r>
    </w:p>
    <w:p w14:paraId="0754ABD3" w14:textId="20DAAEF6" w:rsidR="006B595F" w:rsidRPr="0086242B" w:rsidRDefault="006B595F" w:rsidP="006B595F">
      <w:pPr>
        <w:numPr>
          <w:ilvl w:val="0"/>
          <w:numId w:val="27"/>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 xml:space="preserve">Cuando se reincida en los supuestos a que se refieren los </w:t>
      </w:r>
      <w:proofErr w:type="gramStart"/>
      <w:r w:rsidRPr="0086242B">
        <w:rPr>
          <w:rFonts w:ascii="ITC Avant Garde" w:hAnsi="ITC Avant Garde"/>
          <w:sz w:val="20"/>
          <w:szCs w:val="20"/>
        </w:rPr>
        <w:t xml:space="preserve">incisos  </w:t>
      </w:r>
      <w:r w:rsidRPr="0086242B">
        <w:rPr>
          <w:rFonts w:ascii="ITC Avant Garde" w:hAnsi="ITC Avant Garde"/>
          <w:b/>
          <w:sz w:val="20"/>
          <w:szCs w:val="20"/>
        </w:rPr>
        <w:t>a</w:t>
      </w:r>
      <w:proofErr w:type="gramEnd"/>
      <w:r w:rsidRPr="0086242B">
        <w:rPr>
          <w:rFonts w:ascii="ITC Avant Garde" w:hAnsi="ITC Avant Garde"/>
          <w:b/>
          <w:sz w:val="20"/>
          <w:szCs w:val="20"/>
        </w:rPr>
        <w:t>)</w:t>
      </w:r>
      <w:r w:rsidRPr="0086242B">
        <w:rPr>
          <w:rFonts w:ascii="ITC Avant Garde" w:hAnsi="ITC Avant Garde"/>
          <w:sz w:val="20"/>
          <w:szCs w:val="20"/>
        </w:rPr>
        <w:t xml:space="preserve"> </w:t>
      </w:r>
      <w:r w:rsidR="00B048FC">
        <w:rPr>
          <w:rFonts w:ascii="ITC Avant Garde" w:hAnsi="ITC Avant Garde"/>
          <w:sz w:val="20"/>
          <w:szCs w:val="20"/>
        </w:rPr>
        <w:t xml:space="preserve">y/o </w:t>
      </w:r>
      <w:r w:rsidRPr="0086242B">
        <w:rPr>
          <w:rFonts w:ascii="ITC Avant Garde" w:hAnsi="ITC Avant Garde"/>
          <w:sz w:val="20"/>
          <w:szCs w:val="20"/>
        </w:rPr>
        <w:t xml:space="preserve"> </w:t>
      </w:r>
      <w:r w:rsidR="00B048FC">
        <w:rPr>
          <w:rFonts w:ascii="ITC Avant Garde" w:hAnsi="ITC Avant Garde"/>
          <w:sz w:val="20"/>
          <w:szCs w:val="20"/>
        </w:rPr>
        <w:t>b</w:t>
      </w:r>
      <w:r w:rsidRPr="0086242B">
        <w:rPr>
          <w:rFonts w:ascii="ITC Avant Garde" w:hAnsi="ITC Avant Garde"/>
          <w:b/>
          <w:sz w:val="20"/>
          <w:szCs w:val="20"/>
        </w:rPr>
        <w:t>)</w:t>
      </w:r>
      <w:r w:rsidRPr="0086242B">
        <w:rPr>
          <w:rFonts w:ascii="ITC Avant Garde" w:hAnsi="ITC Avant Garde"/>
          <w:sz w:val="20"/>
          <w:szCs w:val="20"/>
        </w:rPr>
        <w:t xml:space="preserve"> del artículo anterior.</w:t>
      </w:r>
    </w:p>
    <w:p w14:paraId="56507998"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p>
    <w:p w14:paraId="6855A20B" w14:textId="0076C918" w:rsidR="006B595F" w:rsidRPr="0086242B" w:rsidRDefault="006B595F" w:rsidP="006B595F">
      <w:pPr>
        <w:autoSpaceDE w:val="0"/>
        <w:autoSpaceDN w:val="0"/>
        <w:adjustRightInd w:val="0"/>
        <w:spacing w:line="360" w:lineRule="auto"/>
        <w:jc w:val="both"/>
        <w:rPr>
          <w:rFonts w:ascii="ITC Avant Garde" w:hAnsi="ITC Avant Garde"/>
          <w:b/>
          <w:sz w:val="20"/>
          <w:szCs w:val="20"/>
        </w:rPr>
      </w:pPr>
      <w:r w:rsidRPr="0086242B">
        <w:rPr>
          <w:rFonts w:ascii="ITC Avant Garde" w:hAnsi="ITC Avant Garde"/>
          <w:b/>
          <w:sz w:val="20"/>
          <w:szCs w:val="20"/>
        </w:rPr>
        <w:t xml:space="preserve">Artículo </w:t>
      </w:r>
      <w:r w:rsidRPr="0086242B">
        <w:rPr>
          <w:rFonts w:ascii="ITC Avant Garde" w:hAnsi="ITC Avant Garde"/>
          <w:b/>
          <w:sz w:val="20"/>
          <w:szCs w:val="20"/>
        </w:rPr>
        <w:fldChar w:fldCharType="begin"/>
      </w:r>
      <w:r w:rsidRPr="0086242B">
        <w:rPr>
          <w:rFonts w:ascii="ITC Avant Garde" w:hAnsi="ITC Avant Garde"/>
          <w:b/>
          <w:sz w:val="20"/>
          <w:szCs w:val="20"/>
        </w:rPr>
        <w:instrText xml:space="preserve"> SEQ Artículo \* ARABIC </w:instrText>
      </w:r>
      <w:r w:rsidRPr="0086242B">
        <w:rPr>
          <w:rFonts w:ascii="ITC Avant Garde" w:hAnsi="ITC Avant Garde"/>
          <w:b/>
          <w:sz w:val="20"/>
          <w:szCs w:val="20"/>
        </w:rPr>
        <w:fldChar w:fldCharType="separate"/>
      </w:r>
      <w:r w:rsidR="00992611">
        <w:rPr>
          <w:rFonts w:ascii="ITC Avant Garde" w:hAnsi="ITC Avant Garde"/>
          <w:b/>
          <w:noProof/>
          <w:sz w:val="20"/>
          <w:szCs w:val="20"/>
        </w:rPr>
        <w:t>20</w:t>
      </w:r>
      <w:r w:rsidRPr="0086242B">
        <w:rPr>
          <w:rFonts w:ascii="ITC Avant Garde" w:hAnsi="ITC Avant Garde"/>
          <w:b/>
          <w:sz w:val="20"/>
          <w:szCs w:val="20"/>
        </w:rPr>
        <w:fldChar w:fldCharType="end"/>
      </w:r>
      <w:r w:rsidRPr="0086242B">
        <w:rPr>
          <w:rFonts w:ascii="ITC Avant Garde" w:hAnsi="ITC Avant Garde"/>
          <w:b/>
          <w:sz w:val="20"/>
          <w:szCs w:val="20"/>
        </w:rPr>
        <w:t>.</w:t>
      </w:r>
      <w:r w:rsidRPr="0086242B">
        <w:rPr>
          <w:rFonts w:ascii="ITC Avant Garde" w:hAnsi="ITC Avant Garde"/>
          <w:sz w:val="20"/>
          <w:szCs w:val="20"/>
        </w:rPr>
        <w:t xml:space="preserve"> El certificado de conformidad de equipos terminales de radiocomunicaciones </w:t>
      </w:r>
      <w:proofErr w:type="gramStart"/>
      <w:r w:rsidRPr="0086242B">
        <w:rPr>
          <w:rFonts w:ascii="ITC Avant Garde" w:hAnsi="ITC Avant Garde"/>
          <w:sz w:val="20"/>
          <w:szCs w:val="20"/>
        </w:rPr>
        <w:t>podrá  ser</w:t>
      </w:r>
      <w:proofErr w:type="gramEnd"/>
      <w:r w:rsidRPr="0086242B">
        <w:rPr>
          <w:rFonts w:ascii="ITC Avant Garde" w:hAnsi="ITC Avant Garde"/>
          <w:sz w:val="20"/>
          <w:szCs w:val="20"/>
        </w:rPr>
        <w:t xml:space="preserve"> suspendido por el Instituto por cualquiera de las siguientes causas:</w:t>
      </w:r>
    </w:p>
    <w:p w14:paraId="38367A6E" w14:textId="77777777" w:rsidR="006B595F" w:rsidRPr="0086242B" w:rsidRDefault="006B595F" w:rsidP="006B595F">
      <w:pPr>
        <w:autoSpaceDE w:val="0"/>
        <w:autoSpaceDN w:val="0"/>
        <w:adjustRightInd w:val="0"/>
        <w:spacing w:line="360" w:lineRule="auto"/>
        <w:jc w:val="both"/>
        <w:rPr>
          <w:rFonts w:ascii="ITC Avant Garde" w:hAnsi="ITC Avant Garde"/>
          <w:sz w:val="20"/>
          <w:szCs w:val="20"/>
        </w:rPr>
      </w:pPr>
    </w:p>
    <w:p w14:paraId="1D03A029" w14:textId="77777777" w:rsidR="006B595F" w:rsidRPr="0086242B" w:rsidRDefault="006B595F" w:rsidP="006B595F">
      <w:pPr>
        <w:pStyle w:val="Prrafodelista"/>
        <w:numPr>
          <w:ilvl w:val="0"/>
          <w:numId w:val="28"/>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Cuando el Titular no proporcione en forma oportuna y completa al organismo de certificación, la información o las muestras para el seguimiento a su certificado de conformidad vigente.</w:t>
      </w:r>
    </w:p>
    <w:p w14:paraId="2F240256" w14:textId="77777777" w:rsidR="006B595F" w:rsidRPr="0086242B" w:rsidRDefault="006B595F" w:rsidP="006B595F">
      <w:pPr>
        <w:numPr>
          <w:ilvl w:val="0"/>
          <w:numId w:val="28"/>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Cuando el Titular impida u obstaculice las labores de seguimiento, verificación o vigilancia llevadas a cabo por el Instituto.</w:t>
      </w:r>
    </w:p>
    <w:p w14:paraId="137A74FC" w14:textId="77777777" w:rsidR="006B595F" w:rsidRPr="0086242B" w:rsidRDefault="006B595F" w:rsidP="006B595F">
      <w:pPr>
        <w:numPr>
          <w:ilvl w:val="0"/>
          <w:numId w:val="28"/>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Cuando los equipos terminales de radiocomunicaciones dejen de cumplir las condiciones originales bajo las cuales se otorgó el certificado de conformidad.</w:t>
      </w:r>
    </w:p>
    <w:p w14:paraId="5BE6B5EC" w14:textId="77777777" w:rsidR="006B595F" w:rsidRPr="0086242B" w:rsidRDefault="006B595F" w:rsidP="006B595F">
      <w:pPr>
        <w:numPr>
          <w:ilvl w:val="0"/>
          <w:numId w:val="28"/>
        </w:numPr>
        <w:autoSpaceDE w:val="0"/>
        <w:autoSpaceDN w:val="0"/>
        <w:adjustRightInd w:val="0"/>
        <w:spacing w:line="360" w:lineRule="auto"/>
        <w:jc w:val="both"/>
        <w:rPr>
          <w:rFonts w:ascii="ITC Avant Garde" w:hAnsi="ITC Avant Garde"/>
          <w:sz w:val="20"/>
          <w:szCs w:val="20"/>
        </w:rPr>
      </w:pPr>
      <w:r w:rsidRPr="0086242B">
        <w:rPr>
          <w:rFonts w:ascii="ITC Avant Garde" w:hAnsi="ITC Avant Garde"/>
          <w:sz w:val="20"/>
          <w:szCs w:val="20"/>
        </w:rPr>
        <w:t>Cuando se impongan valores límite básicos más estrictos en la DT IFT-</w:t>
      </w:r>
      <w:r w:rsidR="00A30BE4" w:rsidRPr="0086242B">
        <w:rPr>
          <w:rFonts w:ascii="ITC Avant Garde" w:hAnsi="ITC Avant Garde"/>
          <w:sz w:val="20"/>
          <w:szCs w:val="20"/>
        </w:rPr>
        <w:t>007</w:t>
      </w:r>
      <w:r w:rsidRPr="0086242B">
        <w:rPr>
          <w:rFonts w:ascii="ITC Avant Garde" w:hAnsi="ITC Avant Garde"/>
          <w:sz w:val="20"/>
          <w:szCs w:val="20"/>
        </w:rPr>
        <w:t>-2015, bajo la cual se otorgó originalmente el certificado de conformidad del equipo terminal de radiocomunicaciones.</w:t>
      </w:r>
    </w:p>
    <w:p w14:paraId="3CDDF86D" w14:textId="77777777" w:rsidR="006B595F" w:rsidRPr="0086242B" w:rsidRDefault="006B595F" w:rsidP="006B595F">
      <w:pPr>
        <w:autoSpaceDE w:val="0"/>
        <w:autoSpaceDN w:val="0"/>
        <w:adjustRightInd w:val="0"/>
        <w:jc w:val="both"/>
        <w:rPr>
          <w:rFonts w:ascii="ITC Avant Garde" w:hAnsi="ITC Avant Garde"/>
        </w:rPr>
      </w:pPr>
    </w:p>
    <w:p w14:paraId="2A903156" w14:textId="77777777" w:rsidR="006B595F" w:rsidRPr="0086242B" w:rsidRDefault="006B595F" w:rsidP="006B595F">
      <w:pPr>
        <w:autoSpaceDE w:val="0"/>
        <w:autoSpaceDN w:val="0"/>
        <w:adjustRightInd w:val="0"/>
        <w:jc w:val="both"/>
        <w:rPr>
          <w:rFonts w:ascii="ITC Avant Garde" w:hAnsi="ITC Avant Garde"/>
        </w:rPr>
      </w:pPr>
    </w:p>
    <w:p w14:paraId="78C16B82" w14:textId="77777777" w:rsidR="006B595F" w:rsidRPr="0086242B" w:rsidRDefault="006B595F" w:rsidP="006B595F">
      <w:pPr>
        <w:autoSpaceDE w:val="0"/>
        <w:autoSpaceDN w:val="0"/>
        <w:adjustRightInd w:val="0"/>
        <w:spacing w:line="360" w:lineRule="auto"/>
        <w:jc w:val="center"/>
        <w:rPr>
          <w:rFonts w:ascii="ITC Avant Garde" w:hAnsi="ITC Avant Garde"/>
          <w:b/>
          <w:bCs/>
          <w:sz w:val="22"/>
          <w:szCs w:val="22"/>
        </w:rPr>
      </w:pPr>
      <w:r w:rsidRPr="0086242B">
        <w:rPr>
          <w:rFonts w:ascii="ITC Avant Garde" w:hAnsi="ITC Avant Garde"/>
          <w:b/>
          <w:bCs/>
          <w:sz w:val="22"/>
          <w:szCs w:val="22"/>
        </w:rPr>
        <w:t>CAPÍTULO VI</w:t>
      </w:r>
    </w:p>
    <w:p w14:paraId="2F464E11" w14:textId="77777777" w:rsidR="006B595F" w:rsidRPr="0086242B" w:rsidRDefault="006B595F" w:rsidP="006B595F">
      <w:pPr>
        <w:autoSpaceDE w:val="0"/>
        <w:autoSpaceDN w:val="0"/>
        <w:adjustRightInd w:val="0"/>
        <w:spacing w:line="360" w:lineRule="auto"/>
        <w:jc w:val="center"/>
        <w:rPr>
          <w:rFonts w:ascii="ITC Avant Garde" w:hAnsi="ITC Avant Garde"/>
          <w:b/>
          <w:bCs/>
          <w:sz w:val="22"/>
          <w:szCs w:val="22"/>
        </w:rPr>
      </w:pPr>
      <w:r w:rsidRPr="0086242B">
        <w:rPr>
          <w:rFonts w:ascii="ITC Avant Garde" w:hAnsi="ITC Avant Garde"/>
          <w:b/>
          <w:bCs/>
          <w:sz w:val="22"/>
          <w:szCs w:val="22"/>
        </w:rPr>
        <w:t xml:space="preserve">MEDIOS DE IMPUGNACIÓN </w:t>
      </w:r>
    </w:p>
    <w:p w14:paraId="372DB51F" w14:textId="77777777" w:rsidR="006B595F" w:rsidRPr="0086242B" w:rsidRDefault="006B595F" w:rsidP="006B595F">
      <w:pPr>
        <w:autoSpaceDE w:val="0"/>
        <w:autoSpaceDN w:val="0"/>
        <w:adjustRightInd w:val="0"/>
        <w:jc w:val="both"/>
        <w:rPr>
          <w:rFonts w:ascii="ITC Avant Garde" w:hAnsi="ITC Avant Garde"/>
        </w:rPr>
      </w:pPr>
    </w:p>
    <w:p w14:paraId="6F8A4305" w14:textId="680D5A42" w:rsidR="006B595F" w:rsidRPr="0086242B" w:rsidRDefault="006B595F" w:rsidP="006B595F">
      <w:pPr>
        <w:autoSpaceDE w:val="0"/>
        <w:autoSpaceDN w:val="0"/>
        <w:adjustRightInd w:val="0"/>
        <w:spacing w:line="360" w:lineRule="auto"/>
        <w:jc w:val="both"/>
        <w:rPr>
          <w:rFonts w:ascii="ITC Avant Garde" w:hAnsi="ITC Avant Garde"/>
          <w:sz w:val="20"/>
          <w:szCs w:val="20"/>
        </w:rPr>
      </w:pPr>
      <w:r w:rsidRPr="0086242B">
        <w:rPr>
          <w:rFonts w:ascii="ITC Avant Garde" w:hAnsi="ITC Avant Garde"/>
          <w:b/>
          <w:sz w:val="20"/>
          <w:szCs w:val="20"/>
        </w:rPr>
        <w:t xml:space="preserve">Artículo </w:t>
      </w:r>
      <w:r w:rsidRPr="0086242B">
        <w:rPr>
          <w:rFonts w:ascii="ITC Avant Garde" w:hAnsi="ITC Avant Garde"/>
          <w:b/>
          <w:sz w:val="20"/>
          <w:szCs w:val="20"/>
        </w:rPr>
        <w:fldChar w:fldCharType="begin"/>
      </w:r>
      <w:r w:rsidRPr="0086242B">
        <w:rPr>
          <w:rFonts w:ascii="ITC Avant Garde" w:hAnsi="ITC Avant Garde"/>
          <w:b/>
          <w:sz w:val="20"/>
          <w:szCs w:val="20"/>
        </w:rPr>
        <w:instrText xml:space="preserve"> SEQ Artículo \* ARABIC </w:instrText>
      </w:r>
      <w:r w:rsidRPr="0086242B">
        <w:rPr>
          <w:rFonts w:ascii="ITC Avant Garde" w:hAnsi="ITC Avant Garde"/>
          <w:b/>
          <w:sz w:val="20"/>
          <w:szCs w:val="20"/>
        </w:rPr>
        <w:fldChar w:fldCharType="separate"/>
      </w:r>
      <w:r w:rsidR="00992611">
        <w:rPr>
          <w:rFonts w:ascii="ITC Avant Garde" w:hAnsi="ITC Avant Garde"/>
          <w:b/>
          <w:noProof/>
          <w:sz w:val="20"/>
          <w:szCs w:val="20"/>
        </w:rPr>
        <w:t>21</w:t>
      </w:r>
      <w:r w:rsidRPr="0086242B">
        <w:rPr>
          <w:rFonts w:ascii="ITC Avant Garde" w:hAnsi="ITC Avant Garde"/>
          <w:b/>
          <w:sz w:val="20"/>
          <w:szCs w:val="20"/>
        </w:rPr>
        <w:fldChar w:fldCharType="end"/>
      </w:r>
      <w:r w:rsidRPr="0086242B">
        <w:rPr>
          <w:rFonts w:ascii="ITC Avant Garde" w:hAnsi="ITC Avant Garde"/>
          <w:b/>
          <w:sz w:val="20"/>
          <w:szCs w:val="20"/>
        </w:rPr>
        <w:t>.</w:t>
      </w:r>
      <w:r w:rsidRPr="0086242B">
        <w:rPr>
          <w:rFonts w:ascii="ITC Avant Garde" w:hAnsi="ITC Avant Garde"/>
          <w:sz w:val="20"/>
          <w:szCs w:val="20"/>
        </w:rPr>
        <w:t xml:space="preserve"> Las personas afectadas por las resoluciones dictadas con fundamento en las disposiciones previstas en el presente ordenamiento deberán sujetarse a los medios de impugnación consagrados en el Título Décimo Sexto, Capitulo </w:t>
      </w:r>
      <w:proofErr w:type="gramStart"/>
      <w:r w:rsidRPr="0086242B">
        <w:rPr>
          <w:rFonts w:ascii="ITC Avant Garde" w:hAnsi="ITC Avant Garde"/>
          <w:sz w:val="20"/>
          <w:szCs w:val="20"/>
        </w:rPr>
        <w:t>Único  de</w:t>
      </w:r>
      <w:proofErr w:type="gramEnd"/>
      <w:r w:rsidRPr="0086242B">
        <w:rPr>
          <w:rFonts w:ascii="ITC Avant Garde" w:hAnsi="ITC Avant Garde"/>
          <w:sz w:val="20"/>
          <w:szCs w:val="20"/>
        </w:rPr>
        <w:t xml:space="preserve"> la </w:t>
      </w:r>
      <w:r w:rsidR="0030438F">
        <w:rPr>
          <w:rFonts w:ascii="ITC Avant Garde" w:hAnsi="ITC Avant Garde"/>
          <w:sz w:val="20"/>
          <w:szCs w:val="20"/>
        </w:rPr>
        <w:t>Ley</w:t>
      </w:r>
      <w:r w:rsidRPr="0086242B">
        <w:rPr>
          <w:rFonts w:ascii="ITC Avant Garde" w:hAnsi="ITC Avant Garde"/>
          <w:sz w:val="20"/>
          <w:szCs w:val="20"/>
        </w:rPr>
        <w:t>.</w:t>
      </w:r>
    </w:p>
    <w:p w14:paraId="263A1213" w14:textId="77777777" w:rsidR="006B595F" w:rsidRPr="0086242B" w:rsidRDefault="006B595F" w:rsidP="006B595F">
      <w:pPr>
        <w:autoSpaceDE w:val="0"/>
        <w:autoSpaceDN w:val="0"/>
        <w:adjustRightInd w:val="0"/>
        <w:jc w:val="both"/>
        <w:rPr>
          <w:rFonts w:ascii="ITC Avant Garde" w:hAnsi="ITC Avant Garde"/>
        </w:rPr>
      </w:pPr>
    </w:p>
    <w:p w14:paraId="1CD4351A" w14:textId="77777777" w:rsidR="006B595F" w:rsidRPr="0086242B" w:rsidRDefault="006B595F" w:rsidP="006B595F">
      <w:pPr>
        <w:autoSpaceDE w:val="0"/>
        <w:autoSpaceDN w:val="0"/>
        <w:adjustRightInd w:val="0"/>
        <w:jc w:val="center"/>
        <w:rPr>
          <w:rFonts w:ascii="ITC Avant Garde" w:hAnsi="ITC Avant Garde"/>
        </w:rPr>
      </w:pPr>
    </w:p>
    <w:p w14:paraId="1405E3E4" w14:textId="77777777" w:rsidR="00535CCB" w:rsidRPr="00243CD9" w:rsidRDefault="006B595F" w:rsidP="00473D68">
      <w:pPr>
        <w:pStyle w:val="Prrafodelista"/>
        <w:numPr>
          <w:ilvl w:val="0"/>
          <w:numId w:val="10"/>
        </w:numPr>
        <w:jc w:val="both"/>
        <w:rPr>
          <w:rFonts w:ascii="ITC Avant Garde" w:hAnsi="ITC Avant Garde"/>
          <w:b/>
          <w:sz w:val="22"/>
          <w:szCs w:val="22"/>
          <w:lang w:val="es-MX"/>
        </w:rPr>
      </w:pPr>
      <w:r w:rsidRPr="00473D68">
        <w:rPr>
          <w:rFonts w:ascii="ITC Avant Garde" w:hAnsi="ITC Avant Garde"/>
        </w:rPr>
        <w:br w:type="page"/>
      </w:r>
      <w:bookmarkStart w:id="53" w:name="_Toc414444620"/>
      <w:r w:rsidRPr="00473D68">
        <w:rPr>
          <w:rFonts w:ascii="ITC Avant Garde" w:hAnsi="ITC Avant Garde"/>
          <w:sz w:val="22"/>
          <w:szCs w:val="22"/>
        </w:rPr>
        <w:t xml:space="preserve"> </w:t>
      </w:r>
      <w:r w:rsidR="00535CCB" w:rsidRPr="00243CD9">
        <w:rPr>
          <w:rFonts w:ascii="ITC Avant Garde" w:hAnsi="ITC Avant Garde"/>
          <w:b/>
          <w:sz w:val="22"/>
          <w:szCs w:val="22"/>
          <w:lang w:val="es-MX"/>
        </w:rPr>
        <w:t>Verificación y Vigilancia del cumplimiento</w:t>
      </w:r>
    </w:p>
    <w:p w14:paraId="41045335" w14:textId="77777777" w:rsidR="00535CCB" w:rsidRPr="00243CD9" w:rsidRDefault="00535CCB" w:rsidP="00535CCB">
      <w:pPr>
        <w:tabs>
          <w:tab w:val="left" w:pos="426"/>
        </w:tabs>
        <w:jc w:val="both"/>
        <w:rPr>
          <w:rFonts w:ascii="ITC Avant Garde" w:hAnsi="ITC Avant Garde"/>
          <w:b/>
          <w:sz w:val="32"/>
          <w:szCs w:val="32"/>
          <w:lang w:val="es-MX"/>
        </w:rPr>
      </w:pPr>
    </w:p>
    <w:p w14:paraId="5DF8E6A1" w14:textId="77777777" w:rsidR="00535CCB" w:rsidRPr="0086242B" w:rsidRDefault="00535CCB" w:rsidP="00535CCB">
      <w:pPr>
        <w:spacing w:line="360" w:lineRule="auto"/>
        <w:jc w:val="both"/>
        <w:rPr>
          <w:rFonts w:ascii="ITC Avant Garde" w:hAnsi="ITC Avant Garde"/>
          <w:sz w:val="20"/>
          <w:szCs w:val="20"/>
        </w:rPr>
      </w:pPr>
      <w:r w:rsidRPr="00243CD9">
        <w:rPr>
          <w:rFonts w:ascii="ITC Avant Garde" w:hAnsi="ITC Avant Garde"/>
          <w:sz w:val="20"/>
          <w:szCs w:val="20"/>
        </w:rPr>
        <w:t>Corresponde al Instituto la verificación y vigilancia del cumplimiento del presente ordenamiento de conformidad con las disposiciones legales aplicables.</w:t>
      </w:r>
    </w:p>
    <w:p w14:paraId="30B4882E" w14:textId="77777777" w:rsidR="00535CCB" w:rsidRDefault="00535CCB" w:rsidP="00473D68">
      <w:pPr>
        <w:pStyle w:val="Ttulo1"/>
        <w:keepLines w:val="0"/>
        <w:numPr>
          <w:ilvl w:val="0"/>
          <w:numId w:val="0"/>
        </w:numPr>
        <w:spacing w:before="120" w:after="60" w:line="240" w:lineRule="auto"/>
        <w:ind w:left="432" w:hanging="432"/>
        <w:jc w:val="both"/>
        <w:rPr>
          <w:rFonts w:ascii="ITC Avant Garde" w:hAnsi="ITC Avant Garde"/>
          <w:color w:val="auto"/>
          <w:sz w:val="22"/>
          <w:szCs w:val="22"/>
        </w:rPr>
      </w:pPr>
    </w:p>
    <w:p w14:paraId="18D91073" w14:textId="77777777" w:rsidR="006B595F" w:rsidRPr="0086242B" w:rsidRDefault="00535CCB" w:rsidP="00473D68">
      <w:pPr>
        <w:pStyle w:val="Ttulo1"/>
        <w:keepLines w:val="0"/>
        <w:numPr>
          <w:ilvl w:val="0"/>
          <w:numId w:val="0"/>
        </w:numPr>
        <w:spacing w:before="120" w:after="60" w:line="240" w:lineRule="auto"/>
        <w:ind w:left="360"/>
        <w:jc w:val="both"/>
        <w:rPr>
          <w:rFonts w:ascii="ITC Avant Garde" w:hAnsi="ITC Avant Garde"/>
          <w:color w:val="auto"/>
          <w:sz w:val="22"/>
          <w:szCs w:val="22"/>
        </w:rPr>
      </w:pPr>
      <w:r>
        <w:rPr>
          <w:rFonts w:ascii="ITC Avant Garde" w:hAnsi="ITC Avant Garde"/>
          <w:color w:val="auto"/>
          <w:sz w:val="22"/>
          <w:szCs w:val="22"/>
        </w:rPr>
        <w:t xml:space="preserve">8.  </w:t>
      </w:r>
      <w:r w:rsidR="006B595F" w:rsidRPr="0086242B">
        <w:rPr>
          <w:rFonts w:ascii="ITC Avant Garde" w:hAnsi="ITC Avant Garde"/>
          <w:color w:val="auto"/>
          <w:sz w:val="22"/>
          <w:szCs w:val="22"/>
        </w:rPr>
        <w:t>Bibliografía</w:t>
      </w:r>
      <w:bookmarkEnd w:id="53"/>
    </w:p>
    <w:p w14:paraId="5A58C70B" w14:textId="77777777" w:rsidR="006B595F" w:rsidRPr="0086242B" w:rsidRDefault="006B595F" w:rsidP="006B595F">
      <w:pPr>
        <w:spacing w:line="360" w:lineRule="auto"/>
        <w:jc w:val="both"/>
        <w:rPr>
          <w:rFonts w:ascii="ITC Avant Garde" w:hAnsi="ITC Avant Garde"/>
          <w:sz w:val="20"/>
          <w:szCs w:val="20"/>
        </w:rPr>
      </w:pPr>
    </w:p>
    <w:p w14:paraId="1AD8E4D6"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U.S. Federal Communications Commission, “Guidelines for evaluating the environmental effects of radiofrequency radiation”, Report and Order, ET Docket No. 93-62, FCC 96-326, August 1, 1996.</w:t>
      </w:r>
    </w:p>
    <w:p w14:paraId="0DCFB88B"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U.S. Federal Communications Commission, Office of Engineering and Technology, “Evaluating compliance with FCC guidelines for human exposure to radiofrequency electromagnetic fields”, OET Bulletin 65, Edition 97-01, August 1997, Washington, D.C.</w:t>
      </w:r>
    </w:p>
    <w:p w14:paraId="74E754F4"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U.S. Federal Communications Commission, Office of Engineering and Technology, “Evaluating compliance with FCC guidelines for human exposure to radiofrequency electromagnetic fields, additional information for evaluating compliance of mobile and portable devices with FCC limits for human exposure to radiofrequency emissions”, Supplement C to OET Bulletin 65, Edition 01-01, June 2001, Washington, D.C.</w:t>
      </w:r>
    </w:p>
    <w:p w14:paraId="69B31823"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cs="Arial"/>
          <w:sz w:val="20"/>
          <w:szCs w:val="20"/>
          <w:shd w:val="clear" w:color="auto" w:fill="FFFFFF"/>
          <w:lang w:val="en-US"/>
        </w:rPr>
        <w:t>U.S. Federal Communications Commission, Office of Engineering and Technology, “Evaluating compliance with FCC guidelines for human exposure to radiofrequency electromagnetic fields, additional information for Radio and Television Broadcast Stations”, Supplement A to OET Bulletin 65, Edition 97-01, Washington, D.C.</w:t>
      </w:r>
    </w:p>
    <w:p w14:paraId="16B1EE87"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International </w:t>
      </w:r>
      <w:proofErr w:type="spellStart"/>
      <w:r w:rsidRPr="0086242B">
        <w:rPr>
          <w:rFonts w:ascii="ITC Avant Garde" w:hAnsi="ITC Avant Garde"/>
          <w:sz w:val="20"/>
          <w:szCs w:val="20"/>
          <w:lang w:val="en-US"/>
        </w:rPr>
        <w:t>Electrotechnical</w:t>
      </w:r>
      <w:proofErr w:type="spellEnd"/>
      <w:r w:rsidRPr="0086242B">
        <w:rPr>
          <w:rFonts w:ascii="ITC Avant Garde" w:hAnsi="ITC Avant Garde"/>
          <w:sz w:val="20"/>
          <w:szCs w:val="20"/>
          <w:lang w:val="en-US"/>
        </w:rPr>
        <w:t xml:space="preserve"> Commission, “Human exposure to radio frequency fields from hand-held and body-mounted wireless communication devices-Human models, instrumentation, and procedures-Part1: Procedure to determine the specific absorption rate (SAR) for hand-held devices used in close proximity to the ear (frequency range of 300 MHz to 3 GHz)”, International Standard IEC 62209-1, First Edition 2005-02, </w:t>
      </w:r>
      <w:proofErr w:type="spellStart"/>
      <w:r w:rsidRPr="0086242B">
        <w:rPr>
          <w:rFonts w:ascii="ITC Avant Garde" w:hAnsi="ITC Avant Garde"/>
          <w:sz w:val="20"/>
          <w:szCs w:val="20"/>
          <w:lang w:val="en-US"/>
        </w:rPr>
        <w:t>Geneve</w:t>
      </w:r>
      <w:proofErr w:type="spellEnd"/>
      <w:r w:rsidRPr="0086242B">
        <w:rPr>
          <w:rFonts w:ascii="ITC Avant Garde" w:hAnsi="ITC Avant Garde"/>
          <w:sz w:val="20"/>
          <w:szCs w:val="20"/>
          <w:lang w:val="en-US"/>
        </w:rPr>
        <w:t>, Switzerland.</w:t>
      </w:r>
    </w:p>
    <w:p w14:paraId="43187587"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Institute of Electrical and Electronics Engineers, “IEEE recommended practice for determining the peak spatial-average specific absorption rate (SAR) in the human head from wireless communications devices: measurement techniques”, IEEE </w:t>
      </w:r>
      <w:proofErr w:type="spellStart"/>
      <w:proofErr w:type="gramStart"/>
      <w:r w:rsidRPr="0086242B">
        <w:rPr>
          <w:rFonts w:ascii="ITC Avant Garde" w:hAnsi="ITC Avant Garde"/>
          <w:sz w:val="20"/>
          <w:szCs w:val="20"/>
          <w:lang w:val="en-US"/>
        </w:rPr>
        <w:t>Std</w:t>
      </w:r>
      <w:proofErr w:type="spellEnd"/>
      <w:proofErr w:type="gramEnd"/>
      <w:r w:rsidRPr="0086242B">
        <w:rPr>
          <w:rFonts w:ascii="ITC Avant Garde" w:hAnsi="ITC Avant Garde"/>
          <w:sz w:val="20"/>
          <w:szCs w:val="20"/>
          <w:lang w:val="en-US"/>
        </w:rPr>
        <w:t xml:space="preserve"> 1528-2003.</w:t>
      </w:r>
    </w:p>
    <w:p w14:paraId="1C6196A2"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Institute of Electrical and Electronics Engineers, “IEEE recommended practice for measurements and computation of radio frequency electromagnetic fields with respect to human exposure to such fields, 100 kHz-300 GHz”, IEEE </w:t>
      </w:r>
      <w:proofErr w:type="spellStart"/>
      <w:r w:rsidRPr="0086242B">
        <w:rPr>
          <w:rFonts w:ascii="ITC Avant Garde" w:hAnsi="ITC Avant Garde"/>
          <w:sz w:val="20"/>
          <w:szCs w:val="20"/>
          <w:lang w:val="en-US"/>
        </w:rPr>
        <w:t>Std</w:t>
      </w:r>
      <w:proofErr w:type="spellEnd"/>
      <w:r w:rsidRPr="0086242B">
        <w:rPr>
          <w:rFonts w:ascii="ITC Avant Garde" w:hAnsi="ITC Avant Garde"/>
          <w:sz w:val="20"/>
          <w:szCs w:val="20"/>
          <w:lang w:val="en-US"/>
        </w:rPr>
        <w:t xml:space="preserve"> C95.3-2002.</w:t>
      </w:r>
    </w:p>
    <w:p w14:paraId="66DC8F7A"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Institute of Electrical and Electronics Engineers, “IEEE standard methods for measuring electromagnetic field strength of sinusoidal continuous waves, 30 Hz to 30 GHz”, IEEE </w:t>
      </w:r>
      <w:proofErr w:type="spellStart"/>
      <w:proofErr w:type="gramStart"/>
      <w:r w:rsidRPr="0086242B">
        <w:rPr>
          <w:rFonts w:ascii="ITC Avant Garde" w:hAnsi="ITC Avant Garde"/>
          <w:sz w:val="20"/>
          <w:szCs w:val="20"/>
          <w:lang w:val="en-US"/>
        </w:rPr>
        <w:t>Std</w:t>
      </w:r>
      <w:proofErr w:type="spellEnd"/>
      <w:proofErr w:type="gramEnd"/>
      <w:r w:rsidRPr="0086242B">
        <w:rPr>
          <w:rFonts w:ascii="ITC Avant Garde" w:hAnsi="ITC Avant Garde"/>
          <w:sz w:val="20"/>
          <w:szCs w:val="20"/>
          <w:lang w:val="en-US"/>
        </w:rPr>
        <w:t xml:space="preserve"> 291-1991.</w:t>
      </w:r>
    </w:p>
    <w:p w14:paraId="3679383A"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s-MX"/>
        </w:rPr>
      </w:pPr>
      <w:r w:rsidRPr="0086242B">
        <w:rPr>
          <w:rFonts w:ascii="ITC Avant Garde" w:hAnsi="ITC Avant Garde"/>
          <w:sz w:val="20"/>
          <w:szCs w:val="20"/>
          <w:lang w:val="es-MX"/>
        </w:rPr>
        <w:t xml:space="preserve">Unión Internacional de Telecomunicaciones, “Orientación sobre el cumplimiento </w:t>
      </w:r>
      <w:proofErr w:type="gramStart"/>
      <w:r w:rsidRPr="0086242B">
        <w:rPr>
          <w:rFonts w:ascii="ITC Avant Garde" w:hAnsi="ITC Avant Garde"/>
          <w:sz w:val="20"/>
          <w:szCs w:val="20"/>
          <w:lang w:val="es-MX"/>
        </w:rPr>
        <w:t>de  los</w:t>
      </w:r>
      <w:proofErr w:type="gramEnd"/>
      <w:r w:rsidRPr="0086242B">
        <w:rPr>
          <w:rFonts w:ascii="ITC Avant Garde" w:hAnsi="ITC Avant Garde"/>
          <w:sz w:val="20"/>
          <w:szCs w:val="20"/>
          <w:lang w:val="es-MX"/>
        </w:rPr>
        <w:t xml:space="preserve"> límites de exposición de las personas a los campos electromagnéticos”, Recomendación UIT-T K.52, Febrero, 2000.</w:t>
      </w:r>
    </w:p>
    <w:p w14:paraId="636EDB0A"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Electronic Communications Committee (ECC), European Conference of Postal and Telecommunications Administrations, (CEPT), “Measuring non-</w:t>
      </w:r>
      <w:proofErr w:type="spellStart"/>
      <w:r w:rsidRPr="0086242B">
        <w:rPr>
          <w:rFonts w:ascii="ITC Avant Garde" w:hAnsi="ITC Avant Garde"/>
          <w:sz w:val="20"/>
          <w:szCs w:val="20"/>
          <w:lang w:val="en-US"/>
        </w:rPr>
        <w:t>ionising</w:t>
      </w:r>
      <w:proofErr w:type="spellEnd"/>
      <w:r w:rsidRPr="0086242B">
        <w:rPr>
          <w:rFonts w:ascii="ITC Avant Garde" w:hAnsi="ITC Avant Garde"/>
          <w:sz w:val="20"/>
          <w:szCs w:val="20"/>
          <w:lang w:val="en-US"/>
        </w:rPr>
        <w:t xml:space="preserve"> electromagnetic radiation (9 kHz-300 GHz)”, ECC Recommendation (02)04, Edition October, 2003.</w:t>
      </w:r>
    </w:p>
    <w:p w14:paraId="2ED603E6"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International Commission on Non-Ionizing Radiation Protection, “Guidelines for limiting exposure to time-varying electric, magnetic and electromagnetic fields (up to 300 GHz”, Health Physics, April, 1998, Vol. 74, No. 4.</w:t>
      </w:r>
    </w:p>
    <w:p w14:paraId="63604C4B"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Institute of Electrical and Electronics Engineers, “IEEE standards for safety levels with respect to human exposure to radio frequency electromagnetic fields, 3kHz to 300 GHz”, IEEE </w:t>
      </w:r>
      <w:proofErr w:type="spellStart"/>
      <w:proofErr w:type="gramStart"/>
      <w:r w:rsidRPr="0086242B">
        <w:rPr>
          <w:rFonts w:ascii="ITC Avant Garde" w:hAnsi="ITC Avant Garde"/>
          <w:sz w:val="20"/>
          <w:szCs w:val="20"/>
          <w:lang w:val="en-US"/>
        </w:rPr>
        <w:t>Std</w:t>
      </w:r>
      <w:proofErr w:type="spellEnd"/>
      <w:proofErr w:type="gramEnd"/>
      <w:r w:rsidRPr="0086242B">
        <w:rPr>
          <w:rFonts w:ascii="ITC Avant Garde" w:hAnsi="ITC Avant Garde"/>
          <w:sz w:val="20"/>
          <w:szCs w:val="20"/>
          <w:lang w:val="en-US"/>
        </w:rPr>
        <w:t xml:space="preserve"> C95.1, 1999 Edition.</w:t>
      </w:r>
    </w:p>
    <w:p w14:paraId="005BCCDD"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Council of the European Union, “Council recommendation on the limitation of exposure of the general public to electromagnetic fields (0 Hz to 300 GHz)”, Official Journal of the European Communities, July 30, 1999.</w:t>
      </w:r>
    </w:p>
    <w:p w14:paraId="5CCEF82D"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s-MX"/>
        </w:rPr>
      </w:pPr>
      <w:r w:rsidRPr="0086242B">
        <w:rPr>
          <w:rFonts w:ascii="ITC Avant Garde" w:hAnsi="ITC Avant Garde"/>
          <w:sz w:val="20"/>
          <w:szCs w:val="20"/>
          <w:lang w:val="es-MX"/>
        </w:rPr>
        <w:t>Asociación Interamericana de Centros de Investigación y Empresas de Telecomunicaciones (AHCIET), “</w:t>
      </w:r>
      <w:r w:rsidRPr="0086242B">
        <w:rPr>
          <w:rFonts w:ascii="ITC Avant Garde" w:hAnsi="ITC Avant Garde"/>
          <w:sz w:val="20"/>
          <w:szCs w:val="20"/>
        </w:rPr>
        <w:t>Estudio sobre normas legislativas y procedimientos de control de emisiones radioeléctricas en América Latina</w:t>
      </w:r>
      <w:r w:rsidRPr="0086242B">
        <w:rPr>
          <w:rFonts w:ascii="ITC Avant Garde" w:hAnsi="ITC Avant Garde"/>
          <w:sz w:val="20"/>
          <w:szCs w:val="20"/>
          <w:lang w:val="es-MX"/>
        </w:rPr>
        <w:t xml:space="preserve">”, </w:t>
      </w:r>
      <w:r w:rsidRPr="0086242B">
        <w:rPr>
          <w:rFonts w:ascii="ITC Avant Garde" w:hAnsi="ITC Avant Garde"/>
          <w:sz w:val="20"/>
          <w:szCs w:val="20"/>
        </w:rPr>
        <w:t>AHCIET</w:t>
      </w:r>
      <w:r w:rsidRPr="0086242B">
        <w:rPr>
          <w:rFonts w:ascii="ITC Avant Garde" w:hAnsi="ITC Avant Garde"/>
          <w:sz w:val="20"/>
          <w:szCs w:val="20"/>
          <w:lang w:val="es-MX"/>
        </w:rPr>
        <w:t xml:space="preserve"> </w:t>
      </w:r>
      <w:r w:rsidRPr="0086242B">
        <w:rPr>
          <w:rFonts w:ascii="ITC Avant Garde" w:hAnsi="ITC Avant Garde"/>
          <w:sz w:val="20"/>
          <w:szCs w:val="20"/>
        </w:rPr>
        <w:t>2004.</w:t>
      </w:r>
    </w:p>
    <w:p w14:paraId="0B13B18A"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Health Protection Branch, Minister of Health Canada, “Limits of human exposure to radiofrequency electromagnetic fields in the frequency range from 3kHz to 300 GHz”, Minister of Public Works and Government Services, Canada 1999.</w:t>
      </w:r>
    </w:p>
    <w:p w14:paraId="0D8EBF2C"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R. </w:t>
      </w:r>
      <w:proofErr w:type="spellStart"/>
      <w:r w:rsidRPr="0086242B">
        <w:rPr>
          <w:rFonts w:ascii="ITC Avant Garde" w:hAnsi="ITC Avant Garde"/>
          <w:sz w:val="20"/>
          <w:szCs w:val="20"/>
          <w:lang w:val="en-US"/>
        </w:rPr>
        <w:t>Abd-Alhameed</w:t>
      </w:r>
      <w:proofErr w:type="spellEnd"/>
      <w:r w:rsidRPr="0086242B">
        <w:rPr>
          <w:rFonts w:ascii="ITC Avant Garde" w:hAnsi="ITC Avant Garde"/>
          <w:sz w:val="20"/>
          <w:szCs w:val="20"/>
          <w:lang w:val="en-US"/>
        </w:rPr>
        <w:t xml:space="preserve">, P. </w:t>
      </w:r>
      <w:proofErr w:type="spellStart"/>
      <w:r w:rsidRPr="0086242B">
        <w:rPr>
          <w:rFonts w:ascii="ITC Avant Garde" w:hAnsi="ITC Avant Garde"/>
          <w:sz w:val="20"/>
          <w:szCs w:val="20"/>
          <w:lang w:val="en-US"/>
        </w:rPr>
        <w:t>Excell</w:t>
      </w:r>
      <w:proofErr w:type="spellEnd"/>
      <w:r w:rsidRPr="0086242B">
        <w:rPr>
          <w:rFonts w:ascii="ITC Avant Garde" w:hAnsi="ITC Avant Garde"/>
          <w:sz w:val="20"/>
          <w:szCs w:val="20"/>
          <w:lang w:val="en-US"/>
        </w:rPr>
        <w:t xml:space="preserve">., M. </w:t>
      </w:r>
      <w:proofErr w:type="spellStart"/>
      <w:r w:rsidRPr="0086242B">
        <w:rPr>
          <w:rFonts w:ascii="ITC Avant Garde" w:hAnsi="ITC Avant Garde"/>
          <w:sz w:val="20"/>
          <w:szCs w:val="20"/>
          <w:lang w:val="en-US"/>
        </w:rPr>
        <w:t>Mangoud</w:t>
      </w:r>
      <w:proofErr w:type="spellEnd"/>
      <w:r w:rsidRPr="0086242B">
        <w:rPr>
          <w:rFonts w:ascii="ITC Avant Garde" w:hAnsi="ITC Avant Garde"/>
          <w:sz w:val="20"/>
          <w:szCs w:val="20"/>
          <w:lang w:val="en-US"/>
        </w:rPr>
        <w:t xml:space="preserve">, “Computation </w:t>
      </w:r>
      <w:proofErr w:type="spellStart"/>
      <w:r w:rsidRPr="0086242B">
        <w:rPr>
          <w:rFonts w:ascii="ITC Avant Garde" w:hAnsi="ITC Avant Garde"/>
          <w:sz w:val="20"/>
          <w:szCs w:val="20"/>
          <w:lang w:val="en-US"/>
        </w:rPr>
        <w:t>od</w:t>
      </w:r>
      <w:proofErr w:type="spellEnd"/>
      <w:r w:rsidRPr="0086242B">
        <w:rPr>
          <w:rFonts w:ascii="ITC Avant Garde" w:hAnsi="ITC Avant Garde"/>
          <w:sz w:val="20"/>
          <w:szCs w:val="20"/>
          <w:lang w:val="en-US"/>
        </w:rPr>
        <w:t xml:space="preserve"> specific absorption rate in the human body due to base-station antennas using a hybrid formulation”, IEEE Transactions on Electromagnetic Compatibility, Vol. 47, No. 2, May 2005, pp. 378-381.</w:t>
      </w:r>
    </w:p>
    <w:p w14:paraId="3848ABC3"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D. </w:t>
      </w:r>
      <w:proofErr w:type="spellStart"/>
      <w:r w:rsidRPr="0086242B">
        <w:rPr>
          <w:rFonts w:ascii="ITC Avant Garde" w:hAnsi="ITC Avant Garde"/>
          <w:sz w:val="20"/>
          <w:szCs w:val="20"/>
          <w:lang w:val="en-US"/>
        </w:rPr>
        <w:t>Razansky</w:t>
      </w:r>
      <w:proofErr w:type="spellEnd"/>
      <w:r w:rsidRPr="0086242B">
        <w:rPr>
          <w:rFonts w:ascii="ITC Avant Garde" w:hAnsi="ITC Avant Garde"/>
          <w:sz w:val="20"/>
          <w:szCs w:val="20"/>
          <w:lang w:val="en-US"/>
        </w:rPr>
        <w:t xml:space="preserve">, D. </w:t>
      </w:r>
      <w:proofErr w:type="spellStart"/>
      <w:r w:rsidRPr="0086242B">
        <w:rPr>
          <w:rFonts w:ascii="ITC Avant Garde" w:hAnsi="ITC Avant Garde"/>
          <w:sz w:val="20"/>
          <w:szCs w:val="20"/>
          <w:lang w:val="en-US"/>
        </w:rPr>
        <w:t>Soldea</w:t>
      </w:r>
      <w:proofErr w:type="spellEnd"/>
      <w:r w:rsidRPr="0086242B">
        <w:rPr>
          <w:rFonts w:ascii="ITC Avant Garde" w:hAnsi="ITC Avant Garde"/>
          <w:sz w:val="20"/>
          <w:szCs w:val="20"/>
          <w:lang w:val="en-US"/>
        </w:rPr>
        <w:t xml:space="preserve">, P. </w:t>
      </w:r>
      <w:proofErr w:type="spellStart"/>
      <w:r w:rsidRPr="0086242B">
        <w:rPr>
          <w:rFonts w:ascii="ITC Avant Garde" w:hAnsi="ITC Avant Garde"/>
          <w:sz w:val="20"/>
          <w:szCs w:val="20"/>
          <w:lang w:val="en-US"/>
        </w:rPr>
        <w:t>Einziger</w:t>
      </w:r>
      <w:proofErr w:type="spellEnd"/>
      <w:r w:rsidRPr="0086242B">
        <w:rPr>
          <w:rFonts w:ascii="ITC Avant Garde" w:hAnsi="ITC Avant Garde"/>
          <w:sz w:val="20"/>
          <w:szCs w:val="20"/>
          <w:lang w:val="en-US"/>
        </w:rPr>
        <w:t>, “Generalized transmission-line model for estimation of cellular handset power absorption in biological tissues”, IEEE Transactions on Electromagnetic Compatibility, Vol. 47, No. 1, February 2005, pp. 61-67.</w:t>
      </w:r>
    </w:p>
    <w:p w14:paraId="56F23B32"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S. Pisa, M. </w:t>
      </w:r>
      <w:proofErr w:type="spellStart"/>
      <w:r w:rsidRPr="0086242B">
        <w:rPr>
          <w:rFonts w:ascii="ITC Avant Garde" w:hAnsi="ITC Avant Garde"/>
          <w:sz w:val="20"/>
          <w:szCs w:val="20"/>
          <w:lang w:val="en-US"/>
        </w:rPr>
        <w:t>Cavagnaro</w:t>
      </w:r>
      <w:proofErr w:type="spellEnd"/>
      <w:r w:rsidRPr="0086242B">
        <w:rPr>
          <w:rFonts w:ascii="ITC Avant Garde" w:hAnsi="ITC Avant Garde"/>
          <w:sz w:val="20"/>
          <w:szCs w:val="20"/>
          <w:lang w:val="en-US"/>
        </w:rPr>
        <w:t xml:space="preserve">, E. </w:t>
      </w:r>
      <w:proofErr w:type="spellStart"/>
      <w:r w:rsidRPr="0086242B">
        <w:rPr>
          <w:rFonts w:ascii="ITC Avant Garde" w:hAnsi="ITC Avant Garde"/>
          <w:sz w:val="20"/>
          <w:szCs w:val="20"/>
          <w:lang w:val="en-US"/>
        </w:rPr>
        <w:t>Piuzzi</w:t>
      </w:r>
      <w:proofErr w:type="spellEnd"/>
      <w:r w:rsidRPr="0086242B">
        <w:rPr>
          <w:rFonts w:ascii="ITC Avant Garde" w:hAnsi="ITC Avant Garde"/>
          <w:sz w:val="20"/>
          <w:szCs w:val="20"/>
          <w:lang w:val="en-US"/>
        </w:rPr>
        <w:t xml:space="preserve">, P. </w:t>
      </w:r>
      <w:proofErr w:type="spellStart"/>
      <w:r w:rsidRPr="0086242B">
        <w:rPr>
          <w:rFonts w:ascii="ITC Avant Garde" w:hAnsi="ITC Avant Garde"/>
          <w:sz w:val="20"/>
          <w:szCs w:val="20"/>
          <w:lang w:val="en-US"/>
        </w:rPr>
        <w:t>Bernardi</w:t>
      </w:r>
      <w:proofErr w:type="spellEnd"/>
      <w:r w:rsidRPr="0086242B">
        <w:rPr>
          <w:rFonts w:ascii="ITC Avant Garde" w:hAnsi="ITC Avant Garde"/>
          <w:sz w:val="20"/>
          <w:szCs w:val="20"/>
          <w:lang w:val="en-US"/>
        </w:rPr>
        <w:t xml:space="preserve">, J. Lin, “Power density and temperature distribution produced by interstitial arrays of </w:t>
      </w:r>
      <w:proofErr w:type="spellStart"/>
      <w:r w:rsidRPr="0086242B">
        <w:rPr>
          <w:rFonts w:ascii="ITC Avant Garde" w:hAnsi="ITC Avant Garde"/>
          <w:sz w:val="20"/>
          <w:szCs w:val="20"/>
          <w:lang w:val="en-US"/>
        </w:rPr>
        <w:t>sleveed</w:t>
      </w:r>
      <w:proofErr w:type="spellEnd"/>
      <w:r w:rsidRPr="0086242B">
        <w:rPr>
          <w:rFonts w:ascii="ITC Avant Garde" w:hAnsi="ITC Avant Garde"/>
          <w:sz w:val="20"/>
          <w:szCs w:val="20"/>
          <w:lang w:val="en-US"/>
        </w:rPr>
        <w:t>-slot antennas for hyperthermia cancer therapy”, IEEE Transactions on Microwave Theory and Techniques, Vol. 51, No. 12, December 2003, pp. 2418-2426.</w:t>
      </w:r>
    </w:p>
    <w:p w14:paraId="25D5C176"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P. </w:t>
      </w:r>
      <w:proofErr w:type="spellStart"/>
      <w:r w:rsidRPr="0086242B">
        <w:rPr>
          <w:rFonts w:ascii="ITC Avant Garde" w:hAnsi="ITC Avant Garde"/>
          <w:sz w:val="20"/>
          <w:szCs w:val="20"/>
          <w:lang w:val="en-US"/>
        </w:rPr>
        <w:t>Bernardi</w:t>
      </w:r>
      <w:proofErr w:type="spellEnd"/>
      <w:r w:rsidRPr="0086242B">
        <w:rPr>
          <w:rFonts w:ascii="ITC Avant Garde" w:hAnsi="ITC Avant Garde"/>
          <w:sz w:val="20"/>
          <w:szCs w:val="20"/>
          <w:lang w:val="en-US"/>
        </w:rPr>
        <w:t xml:space="preserve">, M. </w:t>
      </w:r>
      <w:proofErr w:type="spellStart"/>
      <w:r w:rsidRPr="0086242B">
        <w:rPr>
          <w:rFonts w:ascii="ITC Avant Garde" w:hAnsi="ITC Avant Garde"/>
          <w:sz w:val="20"/>
          <w:szCs w:val="20"/>
          <w:lang w:val="en-US"/>
        </w:rPr>
        <w:t>Cavagnaro</w:t>
      </w:r>
      <w:proofErr w:type="spellEnd"/>
      <w:r w:rsidRPr="0086242B">
        <w:rPr>
          <w:rFonts w:ascii="ITC Avant Garde" w:hAnsi="ITC Avant Garde"/>
          <w:sz w:val="20"/>
          <w:szCs w:val="20"/>
          <w:lang w:val="en-US"/>
        </w:rPr>
        <w:t xml:space="preserve">, S. Pisa, E. </w:t>
      </w:r>
      <w:proofErr w:type="spellStart"/>
      <w:r w:rsidRPr="0086242B">
        <w:rPr>
          <w:rFonts w:ascii="ITC Avant Garde" w:hAnsi="ITC Avant Garde"/>
          <w:sz w:val="20"/>
          <w:szCs w:val="20"/>
          <w:lang w:val="en-US"/>
        </w:rPr>
        <w:t>Piuzzi</w:t>
      </w:r>
      <w:proofErr w:type="spellEnd"/>
      <w:r w:rsidRPr="0086242B">
        <w:rPr>
          <w:rFonts w:ascii="ITC Avant Garde" w:hAnsi="ITC Avant Garde"/>
          <w:sz w:val="20"/>
          <w:szCs w:val="20"/>
          <w:lang w:val="en-US"/>
        </w:rPr>
        <w:t>, “Numerical evaluation of human exposure to radio base stations antennas”, International Symposium on Electromagnetic Compatibility (EMC Europe 2002), Sorrento, Italy, 2002.</w:t>
      </w:r>
    </w:p>
    <w:p w14:paraId="146B8C9C"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P. </w:t>
      </w:r>
      <w:proofErr w:type="spellStart"/>
      <w:r w:rsidRPr="0086242B">
        <w:rPr>
          <w:rFonts w:ascii="ITC Avant Garde" w:hAnsi="ITC Avant Garde"/>
          <w:sz w:val="20"/>
          <w:szCs w:val="20"/>
          <w:lang w:val="en-US"/>
        </w:rPr>
        <w:t>Bernardi</w:t>
      </w:r>
      <w:proofErr w:type="spellEnd"/>
      <w:r w:rsidRPr="0086242B">
        <w:rPr>
          <w:rFonts w:ascii="ITC Avant Garde" w:hAnsi="ITC Avant Garde"/>
          <w:sz w:val="20"/>
          <w:szCs w:val="20"/>
          <w:lang w:val="en-US"/>
        </w:rPr>
        <w:t xml:space="preserve">, M. </w:t>
      </w:r>
      <w:proofErr w:type="spellStart"/>
      <w:r w:rsidRPr="0086242B">
        <w:rPr>
          <w:rFonts w:ascii="ITC Avant Garde" w:hAnsi="ITC Avant Garde"/>
          <w:sz w:val="20"/>
          <w:szCs w:val="20"/>
          <w:lang w:val="en-US"/>
        </w:rPr>
        <w:t>Cavagnaro</w:t>
      </w:r>
      <w:proofErr w:type="spellEnd"/>
      <w:r w:rsidRPr="0086242B">
        <w:rPr>
          <w:rFonts w:ascii="ITC Avant Garde" w:hAnsi="ITC Avant Garde"/>
          <w:sz w:val="20"/>
          <w:szCs w:val="20"/>
          <w:lang w:val="en-US"/>
        </w:rPr>
        <w:t xml:space="preserve">, S. Pisa, E. </w:t>
      </w:r>
      <w:proofErr w:type="spellStart"/>
      <w:r w:rsidRPr="0086242B">
        <w:rPr>
          <w:rFonts w:ascii="ITC Avant Garde" w:hAnsi="ITC Avant Garde"/>
          <w:sz w:val="20"/>
          <w:szCs w:val="20"/>
          <w:lang w:val="en-US"/>
        </w:rPr>
        <w:t>Piuzzi</w:t>
      </w:r>
      <w:proofErr w:type="spellEnd"/>
      <w:r w:rsidRPr="0086242B">
        <w:rPr>
          <w:rFonts w:ascii="ITC Avant Garde" w:hAnsi="ITC Avant Garde"/>
          <w:sz w:val="20"/>
          <w:szCs w:val="20"/>
          <w:lang w:val="en-US"/>
        </w:rPr>
        <w:t>, “Power absorption and temperature elevations induced in the human head by a dual-band monopole-helix antenna phone”, IEEE Transactions on Microwave Theory and Techniques, Vol. 49, No. 12, December 2001, pp. 2539-2546.</w:t>
      </w:r>
    </w:p>
    <w:p w14:paraId="7CFDEDBF"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P. </w:t>
      </w:r>
      <w:proofErr w:type="spellStart"/>
      <w:r w:rsidRPr="0086242B">
        <w:rPr>
          <w:rFonts w:ascii="ITC Avant Garde" w:hAnsi="ITC Avant Garde"/>
          <w:sz w:val="20"/>
          <w:szCs w:val="20"/>
          <w:lang w:val="en-US"/>
        </w:rPr>
        <w:t>Bernardi</w:t>
      </w:r>
      <w:proofErr w:type="spellEnd"/>
      <w:r w:rsidRPr="0086242B">
        <w:rPr>
          <w:rFonts w:ascii="ITC Avant Garde" w:hAnsi="ITC Avant Garde"/>
          <w:sz w:val="20"/>
          <w:szCs w:val="20"/>
          <w:lang w:val="en-US"/>
        </w:rPr>
        <w:t xml:space="preserve">, M. </w:t>
      </w:r>
      <w:proofErr w:type="spellStart"/>
      <w:r w:rsidRPr="0086242B">
        <w:rPr>
          <w:rFonts w:ascii="ITC Avant Garde" w:hAnsi="ITC Avant Garde"/>
          <w:sz w:val="20"/>
          <w:szCs w:val="20"/>
          <w:lang w:val="en-US"/>
        </w:rPr>
        <w:t>Cavagnaro</w:t>
      </w:r>
      <w:proofErr w:type="spellEnd"/>
      <w:r w:rsidRPr="0086242B">
        <w:rPr>
          <w:rFonts w:ascii="ITC Avant Garde" w:hAnsi="ITC Avant Garde"/>
          <w:sz w:val="20"/>
          <w:szCs w:val="20"/>
          <w:lang w:val="en-US"/>
        </w:rPr>
        <w:t xml:space="preserve">, S. Pisa, E. </w:t>
      </w:r>
      <w:proofErr w:type="spellStart"/>
      <w:r w:rsidRPr="0086242B">
        <w:rPr>
          <w:rFonts w:ascii="ITC Avant Garde" w:hAnsi="ITC Avant Garde"/>
          <w:sz w:val="20"/>
          <w:szCs w:val="20"/>
          <w:lang w:val="en-US"/>
        </w:rPr>
        <w:t>Piuzzi</w:t>
      </w:r>
      <w:proofErr w:type="spellEnd"/>
      <w:r w:rsidRPr="0086242B">
        <w:rPr>
          <w:rFonts w:ascii="ITC Avant Garde" w:hAnsi="ITC Avant Garde"/>
          <w:sz w:val="20"/>
          <w:szCs w:val="20"/>
          <w:lang w:val="en-US"/>
        </w:rPr>
        <w:t>, “ Human exposure to radio base-station antennas in urban environment”, IEEE Transactions on Microwave Theory and Techniques, Vol. 48, No. 11, November 2000, pp. 1996-2002.</w:t>
      </w:r>
    </w:p>
    <w:p w14:paraId="3496B79E"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P. </w:t>
      </w:r>
      <w:proofErr w:type="spellStart"/>
      <w:r w:rsidRPr="0086242B">
        <w:rPr>
          <w:rFonts w:ascii="ITC Avant Garde" w:hAnsi="ITC Avant Garde"/>
          <w:sz w:val="20"/>
          <w:szCs w:val="20"/>
          <w:lang w:val="en-US"/>
        </w:rPr>
        <w:t>Bernardi</w:t>
      </w:r>
      <w:proofErr w:type="spellEnd"/>
      <w:r w:rsidRPr="0086242B">
        <w:rPr>
          <w:rFonts w:ascii="ITC Avant Garde" w:hAnsi="ITC Avant Garde"/>
          <w:sz w:val="20"/>
          <w:szCs w:val="20"/>
          <w:lang w:val="en-US"/>
        </w:rPr>
        <w:t xml:space="preserve">, M. </w:t>
      </w:r>
      <w:proofErr w:type="spellStart"/>
      <w:r w:rsidRPr="0086242B">
        <w:rPr>
          <w:rFonts w:ascii="ITC Avant Garde" w:hAnsi="ITC Avant Garde"/>
          <w:sz w:val="20"/>
          <w:szCs w:val="20"/>
          <w:lang w:val="en-US"/>
        </w:rPr>
        <w:t>Cavagnaro</w:t>
      </w:r>
      <w:proofErr w:type="spellEnd"/>
      <w:r w:rsidRPr="0086242B">
        <w:rPr>
          <w:rFonts w:ascii="ITC Avant Garde" w:hAnsi="ITC Avant Garde"/>
          <w:sz w:val="20"/>
          <w:szCs w:val="20"/>
          <w:lang w:val="en-US"/>
        </w:rPr>
        <w:t xml:space="preserve">, S. Pisa, E. </w:t>
      </w:r>
      <w:proofErr w:type="spellStart"/>
      <w:r w:rsidRPr="0086242B">
        <w:rPr>
          <w:rFonts w:ascii="ITC Avant Garde" w:hAnsi="ITC Avant Garde"/>
          <w:sz w:val="20"/>
          <w:szCs w:val="20"/>
          <w:lang w:val="en-US"/>
        </w:rPr>
        <w:t>Piuzzi</w:t>
      </w:r>
      <w:proofErr w:type="spellEnd"/>
      <w:r w:rsidRPr="0086242B">
        <w:rPr>
          <w:rFonts w:ascii="ITC Avant Garde" w:hAnsi="ITC Avant Garde"/>
          <w:sz w:val="20"/>
          <w:szCs w:val="20"/>
          <w:lang w:val="en-US"/>
        </w:rPr>
        <w:t>, “Specific absorption rate and temperature increases in the head of a cellular-phone user”, IEEE Transactions on Microwave Theory and Techniques, Vol. 48, No. 7, July 2000, pp. 1118-1IFT-XXX-2015.</w:t>
      </w:r>
    </w:p>
    <w:p w14:paraId="150EEC5D"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P. </w:t>
      </w:r>
      <w:proofErr w:type="spellStart"/>
      <w:r w:rsidRPr="0086242B">
        <w:rPr>
          <w:rFonts w:ascii="ITC Avant Garde" w:hAnsi="ITC Avant Garde"/>
          <w:sz w:val="20"/>
          <w:szCs w:val="20"/>
          <w:lang w:val="en-US"/>
        </w:rPr>
        <w:t>Bernardi</w:t>
      </w:r>
      <w:proofErr w:type="spellEnd"/>
      <w:r w:rsidRPr="0086242B">
        <w:rPr>
          <w:rFonts w:ascii="ITC Avant Garde" w:hAnsi="ITC Avant Garde"/>
          <w:sz w:val="20"/>
          <w:szCs w:val="20"/>
          <w:lang w:val="en-US"/>
        </w:rPr>
        <w:t xml:space="preserve">, M. </w:t>
      </w:r>
      <w:proofErr w:type="spellStart"/>
      <w:r w:rsidRPr="0086242B">
        <w:rPr>
          <w:rFonts w:ascii="ITC Avant Garde" w:hAnsi="ITC Avant Garde"/>
          <w:sz w:val="20"/>
          <w:szCs w:val="20"/>
          <w:lang w:val="en-US"/>
        </w:rPr>
        <w:t>Cavagnaro</w:t>
      </w:r>
      <w:proofErr w:type="spellEnd"/>
      <w:r w:rsidRPr="0086242B">
        <w:rPr>
          <w:rFonts w:ascii="ITC Avant Garde" w:hAnsi="ITC Avant Garde"/>
          <w:sz w:val="20"/>
          <w:szCs w:val="20"/>
          <w:lang w:val="en-US"/>
        </w:rPr>
        <w:t>, S. Pisa, “Evaluation of the SAR distribution in the human head for cellular phones used in a partially closed environment”, IEEE Transactions on Electromagnetic Compatibility, Vol. 38, No. 3, August 1996, pp. 357-366.</w:t>
      </w:r>
    </w:p>
    <w:p w14:paraId="788E5598"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Gandhi O, </w:t>
      </w:r>
      <w:proofErr w:type="spellStart"/>
      <w:r w:rsidRPr="0086242B">
        <w:rPr>
          <w:rFonts w:ascii="ITC Avant Garde" w:hAnsi="ITC Avant Garde"/>
          <w:sz w:val="20"/>
          <w:szCs w:val="20"/>
          <w:lang w:val="en-US"/>
        </w:rPr>
        <w:t>Lazzi</w:t>
      </w:r>
      <w:proofErr w:type="spellEnd"/>
      <w:r w:rsidRPr="0086242B">
        <w:rPr>
          <w:rFonts w:ascii="ITC Avant Garde" w:hAnsi="ITC Avant Garde"/>
          <w:sz w:val="20"/>
          <w:szCs w:val="20"/>
          <w:lang w:val="en-US"/>
        </w:rPr>
        <w:t xml:space="preserve"> G, </w:t>
      </w:r>
      <w:proofErr w:type="spellStart"/>
      <w:r w:rsidRPr="0086242B">
        <w:rPr>
          <w:rFonts w:ascii="ITC Avant Garde" w:hAnsi="ITC Avant Garde"/>
          <w:sz w:val="20"/>
          <w:szCs w:val="20"/>
          <w:lang w:val="en-US"/>
        </w:rPr>
        <w:t>Furse</w:t>
      </w:r>
      <w:proofErr w:type="spellEnd"/>
      <w:r w:rsidRPr="0086242B">
        <w:rPr>
          <w:rFonts w:ascii="ITC Avant Garde" w:hAnsi="ITC Avant Garde"/>
          <w:sz w:val="20"/>
          <w:szCs w:val="20"/>
          <w:lang w:val="en-US"/>
        </w:rPr>
        <w:t xml:space="preserve"> C., “Electromagnetic absorption in the human head and neck for mobile telephones at 835 and 1900 MHz”, IEEE Transactions on Microwave Theory and Techniques, Vol. 44, No. 10, October 1996, pp. 1884-1897.</w:t>
      </w:r>
    </w:p>
    <w:p w14:paraId="07768FB3"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S. Watanabe, M. </w:t>
      </w:r>
      <w:proofErr w:type="spellStart"/>
      <w:r w:rsidRPr="0086242B">
        <w:rPr>
          <w:rFonts w:ascii="ITC Avant Garde" w:hAnsi="ITC Avant Garde"/>
          <w:sz w:val="20"/>
          <w:szCs w:val="20"/>
          <w:lang w:val="en-US"/>
        </w:rPr>
        <w:t>Taki</w:t>
      </w:r>
      <w:proofErr w:type="spellEnd"/>
      <w:r w:rsidRPr="0086242B">
        <w:rPr>
          <w:rFonts w:ascii="ITC Avant Garde" w:hAnsi="ITC Avant Garde"/>
          <w:sz w:val="20"/>
          <w:szCs w:val="20"/>
          <w:lang w:val="en-US"/>
        </w:rPr>
        <w:t xml:space="preserve">, T. </w:t>
      </w:r>
      <w:proofErr w:type="spellStart"/>
      <w:r w:rsidRPr="0086242B">
        <w:rPr>
          <w:rFonts w:ascii="ITC Avant Garde" w:hAnsi="ITC Avant Garde"/>
          <w:sz w:val="20"/>
          <w:szCs w:val="20"/>
          <w:lang w:val="en-US"/>
        </w:rPr>
        <w:t>Nojima</w:t>
      </w:r>
      <w:proofErr w:type="spellEnd"/>
      <w:r w:rsidRPr="0086242B">
        <w:rPr>
          <w:rFonts w:ascii="ITC Avant Garde" w:hAnsi="ITC Avant Garde"/>
          <w:sz w:val="20"/>
          <w:szCs w:val="20"/>
          <w:lang w:val="en-US"/>
        </w:rPr>
        <w:t>, O. Fujiwara, “Characteristics of the SAR distribution in a head exposed to electromagnetic fields radiated by a hand-held portable radio”, IEEE Transactions on Microwave Theory and Techniques, Vol. 44, No. 10, October 1996, pp. 1874-1883.</w:t>
      </w:r>
    </w:p>
    <w:p w14:paraId="6A7373A8"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V. </w:t>
      </w:r>
      <w:proofErr w:type="spellStart"/>
      <w:r w:rsidRPr="0086242B">
        <w:rPr>
          <w:rFonts w:ascii="ITC Avant Garde" w:hAnsi="ITC Avant Garde"/>
          <w:sz w:val="20"/>
          <w:szCs w:val="20"/>
          <w:lang w:val="en-US"/>
        </w:rPr>
        <w:t>Hombach</w:t>
      </w:r>
      <w:proofErr w:type="spellEnd"/>
      <w:r w:rsidRPr="0086242B">
        <w:rPr>
          <w:rFonts w:ascii="ITC Avant Garde" w:hAnsi="ITC Avant Garde"/>
          <w:sz w:val="20"/>
          <w:szCs w:val="20"/>
          <w:lang w:val="en-US"/>
        </w:rPr>
        <w:t xml:space="preserve">, K. Meier, M. Burkhardt, E. </w:t>
      </w:r>
      <w:proofErr w:type="spellStart"/>
      <w:r w:rsidRPr="0086242B">
        <w:rPr>
          <w:rFonts w:ascii="ITC Avant Garde" w:hAnsi="ITC Avant Garde"/>
          <w:sz w:val="20"/>
          <w:szCs w:val="20"/>
          <w:lang w:val="en-US"/>
        </w:rPr>
        <w:t>Kühn</w:t>
      </w:r>
      <w:proofErr w:type="spellEnd"/>
      <w:r w:rsidRPr="0086242B">
        <w:rPr>
          <w:rFonts w:ascii="ITC Avant Garde" w:hAnsi="ITC Avant Garde"/>
          <w:sz w:val="20"/>
          <w:szCs w:val="20"/>
          <w:lang w:val="en-US"/>
        </w:rPr>
        <w:t xml:space="preserve">, N. </w:t>
      </w:r>
      <w:proofErr w:type="spellStart"/>
      <w:r w:rsidRPr="0086242B">
        <w:rPr>
          <w:rFonts w:ascii="ITC Avant Garde" w:hAnsi="ITC Avant Garde"/>
          <w:sz w:val="20"/>
          <w:szCs w:val="20"/>
          <w:lang w:val="en-US"/>
        </w:rPr>
        <w:t>Kuster</w:t>
      </w:r>
      <w:proofErr w:type="spellEnd"/>
      <w:r w:rsidRPr="0086242B">
        <w:rPr>
          <w:rFonts w:ascii="ITC Avant Garde" w:hAnsi="ITC Avant Garde"/>
          <w:sz w:val="20"/>
          <w:szCs w:val="20"/>
          <w:lang w:val="en-US"/>
        </w:rPr>
        <w:t>, “The dependence of EM energy absorption upon human head modeling at 900 MHz”, IEEE Transactions on Microwave Theory and Techniques, Vol. 44, No. 10, October 1996, pp. 1865-1873.</w:t>
      </w:r>
    </w:p>
    <w:p w14:paraId="6A28E59F"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M. </w:t>
      </w:r>
      <w:proofErr w:type="spellStart"/>
      <w:r w:rsidRPr="0086242B">
        <w:rPr>
          <w:rFonts w:ascii="ITC Avant Garde" w:hAnsi="ITC Avant Garde"/>
          <w:sz w:val="20"/>
          <w:szCs w:val="20"/>
          <w:lang w:val="en-US"/>
        </w:rPr>
        <w:t>Okoniewski</w:t>
      </w:r>
      <w:proofErr w:type="spellEnd"/>
      <w:r w:rsidRPr="0086242B">
        <w:rPr>
          <w:rFonts w:ascii="ITC Avant Garde" w:hAnsi="ITC Avant Garde"/>
          <w:sz w:val="20"/>
          <w:szCs w:val="20"/>
          <w:lang w:val="en-US"/>
        </w:rPr>
        <w:t xml:space="preserve">, M. </w:t>
      </w:r>
      <w:proofErr w:type="spellStart"/>
      <w:r w:rsidRPr="0086242B">
        <w:rPr>
          <w:rFonts w:ascii="ITC Avant Garde" w:hAnsi="ITC Avant Garde"/>
          <w:sz w:val="20"/>
          <w:szCs w:val="20"/>
          <w:lang w:val="en-US"/>
        </w:rPr>
        <w:t>Stuchly</w:t>
      </w:r>
      <w:proofErr w:type="spellEnd"/>
      <w:r w:rsidRPr="0086242B">
        <w:rPr>
          <w:rFonts w:ascii="ITC Avant Garde" w:hAnsi="ITC Avant Garde"/>
          <w:sz w:val="20"/>
          <w:szCs w:val="20"/>
          <w:lang w:val="en-US"/>
        </w:rPr>
        <w:t>, “A study of the handset antenna and human body interaction”, IEEE Transactions on Microwave Theory and Techniques, Vol. 44, No. 10, October 1996, pp. 1855-1864.</w:t>
      </w:r>
    </w:p>
    <w:p w14:paraId="3DFDECB0"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P. </w:t>
      </w:r>
      <w:proofErr w:type="spellStart"/>
      <w:r w:rsidRPr="0086242B">
        <w:rPr>
          <w:rFonts w:ascii="ITC Avant Garde" w:hAnsi="ITC Avant Garde"/>
          <w:sz w:val="20"/>
          <w:szCs w:val="20"/>
          <w:lang w:val="en-US"/>
        </w:rPr>
        <w:t>Bernardi</w:t>
      </w:r>
      <w:proofErr w:type="spellEnd"/>
      <w:r w:rsidRPr="0086242B">
        <w:rPr>
          <w:rFonts w:ascii="ITC Avant Garde" w:hAnsi="ITC Avant Garde"/>
          <w:sz w:val="20"/>
          <w:szCs w:val="20"/>
          <w:lang w:val="en-US"/>
        </w:rPr>
        <w:t xml:space="preserve">, M. </w:t>
      </w:r>
      <w:proofErr w:type="spellStart"/>
      <w:r w:rsidRPr="0086242B">
        <w:rPr>
          <w:rFonts w:ascii="ITC Avant Garde" w:hAnsi="ITC Avant Garde"/>
          <w:sz w:val="20"/>
          <w:szCs w:val="20"/>
          <w:lang w:val="en-US"/>
        </w:rPr>
        <w:t>Cavagnaro</w:t>
      </w:r>
      <w:proofErr w:type="spellEnd"/>
      <w:r w:rsidRPr="0086242B">
        <w:rPr>
          <w:rFonts w:ascii="ITC Avant Garde" w:hAnsi="ITC Avant Garde"/>
          <w:sz w:val="20"/>
          <w:szCs w:val="20"/>
          <w:lang w:val="en-US"/>
        </w:rPr>
        <w:t>, S. Pisa, “Evaluation of the SAR distribution in the human head for cellular phones used in partially closed environment”, IEEE Transactions on Electromagnetic Compatibility, Vol. 38, No. 3, August 1996.</w:t>
      </w:r>
    </w:p>
    <w:p w14:paraId="516DF34E"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Q. </w:t>
      </w:r>
      <w:proofErr w:type="spellStart"/>
      <w:r w:rsidRPr="0086242B">
        <w:rPr>
          <w:rFonts w:ascii="ITC Avant Garde" w:hAnsi="ITC Avant Garde"/>
          <w:sz w:val="20"/>
          <w:szCs w:val="20"/>
          <w:lang w:val="en-US"/>
        </w:rPr>
        <w:t>Balzano</w:t>
      </w:r>
      <w:proofErr w:type="spellEnd"/>
      <w:r w:rsidRPr="0086242B">
        <w:rPr>
          <w:rFonts w:ascii="ITC Avant Garde" w:hAnsi="ITC Avant Garde"/>
          <w:sz w:val="20"/>
          <w:szCs w:val="20"/>
          <w:lang w:val="en-US"/>
        </w:rPr>
        <w:t xml:space="preserve">, O. </w:t>
      </w:r>
      <w:proofErr w:type="spellStart"/>
      <w:r w:rsidRPr="0086242B">
        <w:rPr>
          <w:rFonts w:ascii="ITC Avant Garde" w:hAnsi="ITC Avant Garde"/>
          <w:sz w:val="20"/>
          <w:szCs w:val="20"/>
          <w:lang w:val="en-US"/>
        </w:rPr>
        <w:t>Garay</w:t>
      </w:r>
      <w:proofErr w:type="spellEnd"/>
      <w:r w:rsidRPr="0086242B">
        <w:rPr>
          <w:rFonts w:ascii="ITC Avant Garde" w:hAnsi="ITC Avant Garde"/>
          <w:sz w:val="20"/>
          <w:szCs w:val="20"/>
          <w:lang w:val="en-US"/>
        </w:rPr>
        <w:t>, T. Manning, “Electromagnetic energy exposure of simulated users of portable cellular telephones”, IEEE Transactions on Vehicular Technology, Vol. 44, No. 3, August 1995, pp. 390-403.</w:t>
      </w:r>
    </w:p>
    <w:p w14:paraId="021BC93D" w14:textId="77777777" w:rsidR="006B595F" w:rsidRPr="0086242B" w:rsidRDefault="006B595F" w:rsidP="006B595F">
      <w:pPr>
        <w:numPr>
          <w:ilvl w:val="0"/>
          <w:numId w:val="12"/>
        </w:numPr>
        <w:tabs>
          <w:tab w:val="clear" w:pos="720"/>
        </w:tabs>
        <w:spacing w:line="360" w:lineRule="auto"/>
        <w:ind w:left="567" w:hanging="567"/>
        <w:jc w:val="both"/>
        <w:rPr>
          <w:rFonts w:ascii="ITC Avant Garde" w:hAnsi="ITC Avant Garde"/>
          <w:sz w:val="20"/>
          <w:szCs w:val="20"/>
          <w:lang w:val="en-US"/>
        </w:rPr>
      </w:pPr>
      <w:r w:rsidRPr="0086242B">
        <w:rPr>
          <w:rFonts w:ascii="ITC Avant Garde" w:hAnsi="ITC Avant Garde"/>
          <w:sz w:val="20"/>
          <w:szCs w:val="20"/>
          <w:lang w:val="en-US"/>
        </w:rPr>
        <w:t xml:space="preserve">T. </w:t>
      </w:r>
      <w:proofErr w:type="spellStart"/>
      <w:r w:rsidRPr="0086242B">
        <w:rPr>
          <w:rFonts w:ascii="ITC Avant Garde" w:hAnsi="ITC Avant Garde"/>
          <w:sz w:val="20"/>
          <w:szCs w:val="20"/>
          <w:lang w:val="en-US"/>
        </w:rPr>
        <w:t>Nagatsuma</w:t>
      </w:r>
      <w:proofErr w:type="spellEnd"/>
      <w:r w:rsidRPr="0086242B">
        <w:rPr>
          <w:rFonts w:ascii="ITC Avant Garde" w:hAnsi="ITC Avant Garde"/>
          <w:sz w:val="20"/>
          <w:szCs w:val="20"/>
          <w:lang w:val="en-US"/>
        </w:rPr>
        <w:t xml:space="preserve">, M. Shinagawa, N. </w:t>
      </w:r>
      <w:proofErr w:type="spellStart"/>
      <w:r w:rsidRPr="0086242B">
        <w:rPr>
          <w:rFonts w:ascii="ITC Avant Garde" w:hAnsi="ITC Avant Garde"/>
          <w:sz w:val="20"/>
          <w:szCs w:val="20"/>
          <w:lang w:val="en-US"/>
        </w:rPr>
        <w:t>Sahri</w:t>
      </w:r>
      <w:proofErr w:type="spellEnd"/>
      <w:r w:rsidRPr="0086242B">
        <w:rPr>
          <w:rFonts w:ascii="ITC Avant Garde" w:hAnsi="ITC Avant Garde"/>
          <w:sz w:val="20"/>
          <w:szCs w:val="20"/>
          <w:lang w:val="en-US"/>
        </w:rPr>
        <w:t xml:space="preserve">, A. Sasaki, Y. </w:t>
      </w:r>
      <w:proofErr w:type="spellStart"/>
      <w:r w:rsidRPr="0086242B">
        <w:rPr>
          <w:rFonts w:ascii="ITC Avant Garde" w:hAnsi="ITC Avant Garde"/>
          <w:sz w:val="20"/>
          <w:szCs w:val="20"/>
          <w:lang w:val="en-US"/>
        </w:rPr>
        <w:t>Royter</w:t>
      </w:r>
      <w:proofErr w:type="spellEnd"/>
      <w:r w:rsidRPr="0086242B">
        <w:rPr>
          <w:rFonts w:ascii="ITC Avant Garde" w:hAnsi="ITC Avant Garde"/>
          <w:sz w:val="20"/>
          <w:szCs w:val="20"/>
          <w:lang w:val="en-US"/>
        </w:rPr>
        <w:t>, A. Hirata, “1.55-</w:t>
      </w:r>
      <w:r w:rsidRPr="0086242B">
        <w:rPr>
          <w:rFonts w:ascii="Calibri" w:hAnsi="Calibri" w:cs="Calibri"/>
          <w:i/>
          <w:sz w:val="20"/>
          <w:szCs w:val="20"/>
          <w:lang w:val="en-US"/>
        </w:rPr>
        <w:t>μ</w:t>
      </w:r>
      <w:r w:rsidRPr="0086242B">
        <w:rPr>
          <w:rFonts w:ascii="ITC Avant Garde" w:hAnsi="ITC Avant Garde"/>
          <w:sz w:val="20"/>
          <w:szCs w:val="20"/>
          <w:lang w:val="en-US"/>
        </w:rPr>
        <w:t xml:space="preserve">m photonic systems for microwave and millimeter-wave measurement”, IEEE Transactions on Microwave Theory and Techniques, Vol. 49, No. 10, October 2001, pp. 1831-1839. </w:t>
      </w:r>
    </w:p>
    <w:p w14:paraId="7F03CAB9" w14:textId="77777777" w:rsidR="006B595F" w:rsidRPr="0086242B" w:rsidRDefault="00535CCB" w:rsidP="00473D68">
      <w:pPr>
        <w:pStyle w:val="Ttulo1"/>
        <w:keepLines w:val="0"/>
        <w:numPr>
          <w:ilvl w:val="0"/>
          <w:numId w:val="0"/>
        </w:numPr>
        <w:spacing w:before="120" w:after="60" w:line="240" w:lineRule="auto"/>
        <w:ind w:left="360"/>
        <w:jc w:val="both"/>
        <w:rPr>
          <w:rFonts w:ascii="ITC Avant Garde" w:hAnsi="ITC Avant Garde"/>
          <w:color w:val="auto"/>
          <w:sz w:val="22"/>
          <w:szCs w:val="22"/>
          <w:lang w:val="es-MX"/>
        </w:rPr>
      </w:pPr>
      <w:bookmarkStart w:id="54" w:name="_Toc414444621"/>
      <w:r>
        <w:rPr>
          <w:rFonts w:ascii="ITC Avant Garde" w:hAnsi="ITC Avant Garde"/>
          <w:color w:val="auto"/>
          <w:sz w:val="22"/>
          <w:szCs w:val="22"/>
        </w:rPr>
        <w:t xml:space="preserve">9. </w:t>
      </w:r>
      <w:r w:rsidR="006B595F" w:rsidRPr="0086242B">
        <w:rPr>
          <w:rFonts w:ascii="ITC Avant Garde" w:hAnsi="ITC Avant Garde"/>
          <w:color w:val="auto"/>
          <w:sz w:val="22"/>
          <w:szCs w:val="22"/>
        </w:rPr>
        <w:t>Concordancia con normas internacionales</w:t>
      </w:r>
      <w:bookmarkEnd w:id="54"/>
    </w:p>
    <w:p w14:paraId="4F8529CC" w14:textId="77777777" w:rsidR="006B595F" w:rsidRPr="0086242B" w:rsidRDefault="006B595F" w:rsidP="006B595F">
      <w:pPr>
        <w:rPr>
          <w:rFonts w:ascii="ITC Avant Garde" w:hAnsi="ITC Avant Garde"/>
          <w:lang w:val="es-MX"/>
        </w:rPr>
      </w:pPr>
    </w:p>
    <w:p w14:paraId="42A15AFD"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sz w:val="20"/>
          <w:szCs w:val="20"/>
        </w:rPr>
        <w:t>Esta disposición técnica coincide con las siguientes normas internacionales:</w:t>
      </w:r>
    </w:p>
    <w:p w14:paraId="432C7A9F" w14:textId="77777777" w:rsidR="006B595F" w:rsidRPr="0086242B" w:rsidRDefault="006B595F" w:rsidP="006B595F">
      <w:pPr>
        <w:numPr>
          <w:ilvl w:val="0"/>
          <w:numId w:val="18"/>
        </w:numPr>
        <w:spacing w:line="360" w:lineRule="auto"/>
        <w:jc w:val="both"/>
        <w:rPr>
          <w:rFonts w:ascii="ITC Avant Garde" w:hAnsi="ITC Avant Garde"/>
          <w:sz w:val="20"/>
          <w:szCs w:val="20"/>
          <w:lang w:val="en-US"/>
        </w:rPr>
      </w:pPr>
      <w:r w:rsidRPr="0086242B">
        <w:rPr>
          <w:rFonts w:ascii="ITC Avant Garde" w:hAnsi="ITC Avant Garde"/>
          <w:sz w:val="20"/>
          <w:szCs w:val="20"/>
          <w:lang w:val="en-US"/>
        </w:rPr>
        <w:t>International Commission on Non-Ionizing Radiation Protection, “Guidelines for limiting exposure to time-varying electric, magnetic and electromagnetic fields (up to 300 GHz”)</w:t>
      </w:r>
    </w:p>
    <w:p w14:paraId="1C68F005" w14:textId="77777777" w:rsidR="006B595F" w:rsidRPr="0086242B" w:rsidRDefault="006B595F" w:rsidP="006B595F">
      <w:pPr>
        <w:numPr>
          <w:ilvl w:val="0"/>
          <w:numId w:val="18"/>
        </w:numPr>
        <w:spacing w:line="360" w:lineRule="auto"/>
        <w:jc w:val="both"/>
        <w:rPr>
          <w:rFonts w:ascii="ITC Avant Garde" w:hAnsi="ITC Avant Garde"/>
          <w:sz w:val="20"/>
          <w:szCs w:val="20"/>
          <w:lang w:val="en-US"/>
        </w:rPr>
      </w:pPr>
      <w:r w:rsidRPr="0086242B">
        <w:rPr>
          <w:rFonts w:ascii="ITC Avant Garde" w:hAnsi="ITC Avant Garde"/>
          <w:sz w:val="20"/>
          <w:szCs w:val="20"/>
          <w:lang w:val="en-US"/>
        </w:rPr>
        <w:t xml:space="preserve">International </w:t>
      </w:r>
      <w:proofErr w:type="spellStart"/>
      <w:r w:rsidRPr="0086242B">
        <w:rPr>
          <w:rFonts w:ascii="ITC Avant Garde" w:hAnsi="ITC Avant Garde"/>
          <w:sz w:val="20"/>
          <w:szCs w:val="20"/>
          <w:lang w:val="en-US"/>
        </w:rPr>
        <w:t>Electrotechnical</w:t>
      </w:r>
      <w:proofErr w:type="spellEnd"/>
      <w:r w:rsidRPr="0086242B">
        <w:rPr>
          <w:rFonts w:ascii="ITC Avant Garde" w:hAnsi="ITC Avant Garde"/>
          <w:sz w:val="20"/>
          <w:szCs w:val="20"/>
          <w:lang w:val="en-US"/>
        </w:rPr>
        <w:t xml:space="preserve"> Commission, “Human exposure to radio frequency fields from hand-held and body-mounted wireless communication devices-Human models, instrumentation, and procedures-Part1: Procedure to determine the specific absorption rate (SAR) for hand-held devices used in close proximity to the ear (frequency range of 300 MHz to 3 GHz)”, International Standard IEC 62209-1.</w:t>
      </w:r>
    </w:p>
    <w:p w14:paraId="10ED75C9" w14:textId="67634AEE" w:rsidR="006B595F" w:rsidRDefault="006B595F" w:rsidP="006B595F">
      <w:pPr>
        <w:numPr>
          <w:ilvl w:val="0"/>
          <w:numId w:val="18"/>
        </w:numPr>
        <w:spacing w:line="360" w:lineRule="auto"/>
        <w:jc w:val="both"/>
        <w:rPr>
          <w:rFonts w:ascii="ITC Avant Garde" w:hAnsi="ITC Avant Garde"/>
          <w:sz w:val="20"/>
          <w:szCs w:val="20"/>
          <w:lang w:val="en-US"/>
        </w:rPr>
      </w:pPr>
      <w:r w:rsidRPr="0086242B">
        <w:rPr>
          <w:rFonts w:ascii="ITC Avant Garde" w:hAnsi="ITC Avant Garde"/>
          <w:sz w:val="20"/>
          <w:szCs w:val="20"/>
          <w:lang w:val="en-US"/>
        </w:rPr>
        <w:t xml:space="preserve">Institute of Electrical and Electronics Engineers, “IEEE recommended practice for measurements and computation of radio frequency electromagnetic fields with respect to human exposure to such fields, 100 kHz-300 GHz”, IEEE </w:t>
      </w:r>
      <w:proofErr w:type="spellStart"/>
      <w:r w:rsidRPr="0086242B">
        <w:rPr>
          <w:rFonts w:ascii="ITC Avant Garde" w:hAnsi="ITC Avant Garde"/>
          <w:sz w:val="20"/>
          <w:szCs w:val="20"/>
          <w:lang w:val="en-US"/>
        </w:rPr>
        <w:t>Std</w:t>
      </w:r>
      <w:proofErr w:type="spellEnd"/>
      <w:r w:rsidRPr="0086242B">
        <w:rPr>
          <w:rFonts w:ascii="ITC Avant Garde" w:hAnsi="ITC Avant Garde"/>
          <w:sz w:val="20"/>
          <w:szCs w:val="20"/>
          <w:lang w:val="en-US"/>
        </w:rPr>
        <w:t xml:space="preserve"> C95.3-2002.</w:t>
      </w:r>
    </w:p>
    <w:p w14:paraId="1C9F2298" w14:textId="77777777" w:rsidR="00A57F58" w:rsidRPr="00A57F58" w:rsidRDefault="00A57F58" w:rsidP="00A57F58">
      <w:pPr>
        <w:spacing w:line="360" w:lineRule="auto"/>
        <w:ind w:left="720"/>
        <w:jc w:val="both"/>
        <w:rPr>
          <w:rFonts w:ascii="ITC Avant Garde" w:hAnsi="ITC Avant Garde"/>
          <w:sz w:val="20"/>
          <w:szCs w:val="20"/>
          <w:lang w:val="en-US"/>
        </w:rPr>
      </w:pPr>
    </w:p>
    <w:p w14:paraId="00CC6CAD" w14:textId="77777777" w:rsidR="006B595F" w:rsidRDefault="006B595F" w:rsidP="006B595F">
      <w:pPr>
        <w:jc w:val="both"/>
        <w:rPr>
          <w:rFonts w:ascii="ITC Avant Garde" w:hAnsi="ITC Avant Garde"/>
          <w:b/>
          <w:sz w:val="20"/>
          <w:szCs w:val="20"/>
          <w:lang w:val="es-MX"/>
        </w:rPr>
      </w:pPr>
    </w:p>
    <w:p w14:paraId="0EB5D64E" w14:textId="77777777" w:rsidR="00A57F58" w:rsidRDefault="00A57F58" w:rsidP="006B595F">
      <w:pPr>
        <w:jc w:val="both"/>
        <w:rPr>
          <w:rFonts w:ascii="ITC Avant Garde" w:hAnsi="ITC Avant Garde"/>
          <w:b/>
          <w:sz w:val="20"/>
          <w:szCs w:val="20"/>
          <w:lang w:val="es-MX"/>
        </w:rPr>
      </w:pPr>
    </w:p>
    <w:p w14:paraId="66CAA51B" w14:textId="77777777" w:rsidR="00A57F58" w:rsidRDefault="00A57F58" w:rsidP="006B595F">
      <w:pPr>
        <w:jc w:val="both"/>
        <w:rPr>
          <w:rFonts w:ascii="ITC Avant Garde" w:hAnsi="ITC Avant Garde"/>
          <w:b/>
          <w:sz w:val="20"/>
          <w:szCs w:val="20"/>
          <w:lang w:val="es-MX"/>
        </w:rPr>
      </w:pPr>
    </w:p>
    <w:p w14:paraId="4FA6DA7D" w14:textId="77777777" w:rsidR="00A57F58" w:rsidRDefault="00A57F58" w:rsidP="006B595F">
      <w:pPr>
        <w:jc w:val="both"/>
        <w:rPr>
          <w:rFonts w:ascii="ITC Avant Garde" w:hAnsi="ITC Avant Garde"/>
          <w:b/>
          <w:sz w:val="20"/>
          <w:szCs w:val="20"/>
          <w:lang w:val="es-MX"/>
        </w:rPr>
      </w:pPr>
    </w:p>
    <w:p w14:paraId="31D510A2" w14:textId="77777777" w:rsidR="00A57F58" w:rsidRDefault="00A57F58" w:rsidP="006B595F">
      <w:pPr>
        <w:jc w:val="both"/>
        <w:rPr>
          <w:rFonts w:ascii="ITC Avant Garde" w:hAnsi="ITC Avant Garde"/>
          <w:b/>
          <w:sz w:val="20"/>
          <w:szCs w:val="20"/>
          <w:lang w:val="es-MX"/>
        </w:rPr>
      </w:pPr>
    </w:p>
    <w:p w14:paraId="57720B74" w14:textId="77777777" w:rsidR="00A57F58" w:rsidRDefault="00A57F58" w:rsidP="006B595F">
      <w:pPr>
        <w:jc w:val="both"/>
        <w:rPr>
          <w:rFonts w:ascii="ITC Avant Garde" w:hAnsi="ITC Avant Garde"/>
          <w:b/>
          <w:sz w:val="20"/>
          <w:szCs w:val="20"/>
          <w:lang w:val="es-MX"/>
        </w:rPr>
      </w:pPr>
    </w:p>
    <w:p w14:paraId="490C4CC1" w14:textId="77777777" w:rsidR="00856163" w:rsidRDefault="00856163" w:rsidP="006B595F">
      <w:pPr>
        <w:jc w:val="both"/>
        <w:rPr>
          <w:rFonts w:ascii="ITC Avant Garde" w:hAnsi="ITC Avant Garde"/>
          <w:b/>
          <w:sz w:val="20"/>
          <w:szCs w:val="20"/>
          <w:lang w:val="es-MX"/>
        </w:rPr>
      </w:pPr>
    </w:p>
    <w:p w14:paraId="075C9A14" w14:textId="77777777" w:rsidR="00A57F58" w:rsidRDefault="00A57F58" w:rsidP="006B595F">
      <w:pPr>
        <w:jc w:val="both"/>
        <w:rPr>
          <w:rFonts w:ascii="ITC Avant Garde" w:hAnsi="ITC Avant Garde"/>
          <w:b/>
          <w:sz w:val="20"/>
          <w:szCs w:val="20"/>
          <w:lang w:val="es-MX"/>
        </w:rPr>
      </w:pPr>
    </w:p>
    <w:p w14:paraId="7D92EB4D" w14:textId="77777777" w:rsidR="00A57F58" w:rsidRPr="0086242B" w:rsidRDefault="00A57F58" w:rsidP="006B595F">
      <w:pPr>
        <w:jc w:val="both"/>
        <w:rPr>
          <w:rFonts w:ascii="ITC Avant Garde" w:hAnsi="ITC Avant Garde"/>
          <w:b/>
          <w:sz w:val="20"/>
          <w:szCs w:val="20"/>
          <w:lang w:val="es-MX"/>
        </w:rPr>
      </w:pPr>
    </w:p>
    <w:p w14:paraId="3D71D55B" w14:textId="77777777" w:rsidR="006B595F" w:rsidRPr="0086242B" w:rsidRDefault="006B595F" w:rsidP="006B595F">
      <w:pPr>
        <w:jc w:val="both"/>
        <w:rPr>
          <w:rFonts w:ascii="ITC Avant Garde" w:hAnsi="ITC Avant Garde"/>
          <w:b/>
          <w:sz w:val="22"/>
          <w:szCs w:val="22"/>
          <w:lang w:val="es-MX"/>
        </w:rPr>
      </w:pPr>
      <w:r w:rsidRPr="0086242B">
        <w:rPr>
          <w:rFonts w:ascii="ITC Avant Garde" w:hAnsi="ITC Avant Garde"/>
          <w:b/>
          <w:sz w:val="22"/>
          <w:szCs w:val="22"/>
          <w:lang w:val="es-MX"/>
        </w:rPr>
        <w:t>10</w:t>
      </w:r>
      <w:r w:rsidRPr="0086242B">
        <w:rPr>
          <w:rFonts w:ascii="ITC Avant Garde" w:hAnsi="ITC Avant Garde"/>
          <w:b/>
          <w:sz w:val="22"/>
          <w:szCs w:val="22"/>
          <w:lang w:val="es-MX"/>
        </w:rPr>
        <w:tab/>
        <w:t>Disposiciones Transitorias</w:t>
      </w:r>
    </w:p>
    <w:p w14:paraId="5312D9DA" w14:textId="77777777" w:rsidR="006B595F" w:rsidRPr="0086242B" w:rsidRDefault="006B595F" w:rsidP="006B595F">
      <w:pPr>
        <w:jc w:val="both"/>
        <w:rPr>
          <w:rFonts w:ascii="ITC Avant Garde" w:hAnsi="ITC Avant Garde"/>
          <w:b/>
          <w:sz w:val="32"/>
          <w:szCs w:val="32"/>
          <w:lang w:val="es-MX"/>
        </w:rPr>
      </w:pPr>
    </w:p>
    <w:p w14:paraId="153C64AD" w14:textId="77777777" w:rsidR="006B595F" w:rsidRPr="0086242B" w:rsidRDefault="006B595F" w:rsidP="006B595F">
      <w:pPr>
        <w:spacing w:line="360" w:lineRule="auto"/>
        <w:jc w:val="both"/>
        <w:rPr>
          <w:rFonts w:ascii="ITC Avant Garde" w:hAnsi="ITC Avant Garde"/>
          <w:sz w:val="20"/>
          <w:szCs w:val="20"/>
        </w:rPr>
      </w:pPr>
      <w:r w:rsidRPr="0086242B">
        <w:rPr>
          <w:rFonts w:ascii="ITC Avant Garde" w:hAnsi="ITC Avant Garde"/>
          <w:b/>
          <w:sz w:val="20"/>
          <w:szCs w:val="20"/>
        </w:rPr>
        <w:t>Primero.-</w:t>
      </w:r>
      <w:r w:rsidRPr="0086242B">
        <w:rPr>
          <w:rFonts w:ascii="ITC Avant Garde" w:hAnsi="ITC Avant Garde"/>
          <w:sz w:val="20"/>
          <w:szCs w:val="20"/>
        </w:rPr>
        <w:t xml:space="preserve"> La presente norma entrará en vigor </w:t>
      </w:r>
      <w:r w:rsidR="003B2B66">
        <w:rPr>
          <w:rFonts w:ascii="ITC Avant Garde" w:hAnsi="ITC Avant Garde"/>
          <w:sz w:val="20"/>
          <w:szCs w:val="20"/>
        </w:rPr>
        <w:t xml:space="preserve">a los </w:t>
      </w:r>
      <w:r w:rsidRPr="0086242B">
        <w:rPr>
          <w:rFonts w:ascii="ITC Avant Garde" w:hAnsi="ITC Avant Garde"/>
          <w:sz w:val="20"/>
          <w:szCs w:val="20"/>
        </w:rPr>
        <w:t>60 días naturales posteriores a su publicación en el Diario Oficial de la Federación.</w:t>
      </w:r>
    </w:p>
    <w:p w14:paraId="48EF0A94" w14:textId="77777777" w:rsidR="006B595F" w:rsidRPr="0086242B" w:rsidRDefault="006B595F" w:rsidP="006B595F">
      <w:pPr>
        <w:spacing w:line="360" w:lineRule="auto"/>
        <w:jc w:val="both"/>
        <w:rPr>
          <w:rFonts w:ascii="ITC Avant Garde" w:hAnsi="ITC Avant Garde"/>
          <w:b/>
          <w:sz w:val="20"/>
          <w:szCs w:val="20"/>
        </w:rPr>
      </w:pPr>
    </w:p>
    <w:p w14:paraId="15759F6B" w14:textId="0C3E6700" w:rsidR="003C1811" w:rsidRPr="0086242B" w:rsidRDefault="00DB77BA" w:rsidP="003C1811">
      <w:pPr>
        <w:spacing w:line="360" w:lineRule="auto"/>
        <w:jc w:val="both"/>
        <w:rPr>
          <w:rFonts w:ascii="ITC Avant Garde" w:hAnsi="ITC Avant Garde"/>
          <w:sz w:val="20"/>
          <w:szCs w:val="20"/>
        </w:rPr>
      </w:pPr>
      <w:r w:rsidRPr="0086242B">
        <w:rPr>
          <w:rFonts w:ascii="ITC Avant Garde" w:hAnsi="ITC Avant Garde"/>
          <w:b/>
          <w:sz w:val="20"/>
          <w:szCs w:val="20"/>
        </w:rPr>
        <w:t>Segundo.-</w:t>
      </w:r>
      <w:r w:rsidRPr="0086242B">
        <w:rPr>
          <w:rFonts w:ascii="ITC Avant Garde" w:hAnsi="ITC Avant Garde"/>
          <w:sz w:val="20"/>
          <w:szCs w:val="20"/>
        </w:rPr>
        <w:t xml:space="preserve"> </w:t>
      </w:r>
      <w:r w:rsidR="003C1811">
        <w:rPr>
          <w:rFonts w:ascii="ITC Avant Garde" w:hAnsi="ITC Avant Garde"/>
          <w:sz w:val="20"/>
          <w:szCs w:val="20"/>
        </w:rPr>
        <w:t>Los Titulares  de las</w:t>
      </w:r>
      <w:r w:rsidRPr="0086242B">
        <w:rPr>
          <w:rFonts w:ascii="ITC Avant Garde" w:hAnsi="ITC Avant Garde"/>
          <w:sz w:val="20"/>
          <w:szCs w:val="20"/>
        </w:rPr>
        <w:t xml:space="preserve"> estaciones de radiocomunicaciones que se encuentren en operación  deberá</w:t>
      </w:r>
      <w:r>
        <w:rPr>
          <w:rFonts w:ascii="ITC Avant Garde" w:hAnsi="ITC Avant Garde"/>
          <w:sz w:val="20"/>
          <w:szCs w:val="20"/>
        </w:rPr>
        <w:t>n</w:t>
      </w:r>
      <w:r w:rsidRPr="0086242B">
        <w:rPr>
          <w:rFonts w:ascii="ITC Avant Garde" w:hAnsi="ITC Avant Garde"/>
          <w:sz w:val="20"/>
          <w:szCs w:val="20"/>
        </w:rPr>
        <w:t xml:space="preserve"> presentar </w:t>
      </w:r>
      <w:r w:rsidR="003C1811">
        <w:rPr>
          <w:rFonts w:ascii="ITC Avant Garde" w:hAnsi="ITC Avant Garde"/>
          <w:sz w:val="20"/>
          <w:szCs w:val="20"/>
        </w:rPr>
        <w:t xml:space="preserve"> ante el Instituto,  </w:t>
      </w:r>
      <w:r w:rsidR="003C1811" w:rsidRPr="0086242B">
        <w:rPr>
          <w:rFonts w:ascii="ITC Avant Garde" w:hAnsi="ITC Avant Garde"/>
          <w:sz w:val="20"/>
          <w:szCs w:val="20"/>
        </w:rPr>
        <w:t xml:space="preserve">a más tardar </w:t>
      </w:r>
      <w:r w:rsidR="003C1811" w:rsidRPr="00473D68">
        <w:rPr>
          <w:rFonts w:ascii="ITC Avant Garde" w:hAnsi="ITC Avant Garde"/>
          <w:sz w:val="20"/>
          <w:szCs w:val="20"/>
        </w:rPr>
        <w:t>doce</w:t>
      </w:r>
      <w:r w:rsidR="003C1811">
        <w:rPr>
          <w:rFonts w:ascii="ITC Avant Garde" w:hAnsi="ITC Avant Garde"/>
          <w:sz w:val="20"/>
          <w:szCs w:val="20"/>
        </w:rPr>
        <w:t xml:space="preserve"> </w:t>
      </w:r>
      <w:r w:rsidR="003C1811" w:rsidRPr="0086242B">
        <w:rPr>
          <w:rFonts w:ascii="ITC Avant Garde" w:hAnsi="ITC Avant Garde"/>
          <w:sz w:val="20"/>
          <w:szCs w:val="20"/>
        </w:rPr>
        <w:t>meses contados a partir de la entrada en vigor de la presente</w:t>
      </w:r>
      <w:r w:rsidR="003C1811">
        <w:rPr>
          <w:rFonts w:ascii="ITC Avant Garde" w:hAnsi="ITC Avant Garde"/>
          <w:sz w:val="20"/>
          <w:szCs w:val="20"/>
        </w:rPr>
        <w:t xml:space="preserve"> disposición,</w:t>
      </w:r>
      <w:r w:rsidR="003C1811" w:rsidRPr="0086242B">
        <w:rPr>
          <w:rFonts w:ascii="ITC Avant Garde" w:hAnsi="ITC Avant Garde"/>
          <w:sz w:val="20"/>
          <w:szCs w:val="20"/>
        </w:rPr>
        <w:t xml:space="preserve"> el cálculo</w:t>
      </w:r>
      <w:r w:rsidR="003C1811">
        <w:rPr>
          <w:rFonts w:ascii="ITC Avant Garde" w:hAnsi="ITC Avant Garde"/>
          <w:sz w:val="20"/>
          <w:szCs w:val="20"/>
        </w:rPr>
        <w:t xml:space="preserve"> </w:t>
      </w:r>
      <w:r w:rsidR="003C1811" w:rsidRPr="0086242B">
        <w:rPr>
          <w:rFonts w:ascii="ITC Avant Garde" w:hAnsi="ITC Avant Garde"/>
          <w:sz w:val="20"/>
          <w:szCs w:val="20"/>
        </w:rPr>
        <w:t xml:space="preserve">de acuerdo al numeral  6 </w:t>
      </w:r>
      <w:r w:rsidR="003C1811">
        <w:rPr>
          <w:rFonts w:ascii="ITC Avant Garde" w:hAnsi="ITC Avant Garde"/>
          <w:sz w:val="20"/>
          <w:szCs w:val="20"/>
        </w:rPr>
        <w:t xml:space="preserve">o la medición </w:t>
      </w:r>
      <w:r w:rsidR="003C1811" w:rsidRPr="006111BE">
        <w:rPr>
          <w:rFonts w:ascii="ITC Avant Garde" w:hAnsi="ITC Avant Garde"/>
          <w:sz w:val="20"/>
          <w:szCs w:val="20"/>
        </w:rPr>
        <w:t>de acuerdo al numeral 6.3</w:t>
      </w:r>
      <w:r w:rsidR="003C1811">
        <w:rPr>
          <w:rFonts w:ascii="ITC Avant Garde" w:hAnsi="ITC Avant Garde"/>
          <w:sz w:val="20"/>
          <w:szCs w:val="20"/>
        </w:rPr>
        <w:t xml:space="preserve">, </w:t>
      </w:r>
      <w:r w:rsidR="003C1811" w:rsidRPr="0086242B">
        <w:rPr>
          <w:rFonts w:ascii="ITC Avant Garde" w:hAnsi="ITC Avant Garde"/>
          <w:sz w:val="20"/>
          <w:szCs w:val="20"/>
        </w:rPr>
        <w:t>en el entorno próximo que rodea a la estación de radiocomunicaciones en donde esté habitualmente presente público en general</w:t>
      </w:r>
      <w:r w:rsidR="003C1811">
        <w:rPr>
          <w:rFonts w:ascii="ITC Avant Garde" w:hAnsi="ITC Avant Garde"/>
          <w:sz w:val="20"/>
          <w:szCs w:val="20"/>
        </w:rPr>
        <w:t>; mismo que deberá estar</w:t>
      </w:r>
      <w:r w:rsidR="003C1811" w:rsidRPr="0086242B">
        <w:rPr>
          <w:rFonts w:ascii="ITC Avant Garde" w:hAnsi="ITC Avant Garde"/>
          <w:sz w:val="20"/>
          <w:szCs w:val="20"/>
        </w:rPr>
        <w:t xml:space="preserve"> firmado por </w:t>
      </w:r>
      <w:r w:rsidR="003C1811">
        <w:rPr>
          <w:rFonts w:ascii="ITC Avant Garde" w:hAnsi="ITC Avant Garde"/>
          <w:sz w:val="20"/>
          <w:szCs w:val="20"/>
        </w:rPr>
        <w:t>su</w:t>
      </w:r>
      <w:r w:rsidR="003C1811" w:rsidRPr="0086242B">
        <w:rPr>
          <w:rFonts w:ascii="ITC Avant Garde" w:hAnsi="ITC Avant Garde"/>
          <w:sz w:val="20"/>
          <w:szCs w:val="20"/>
        </w:rPr>
        <w:t xml:space="preserve"> representan</w:t>
      </w:r>
      <w:r w:rsidR="003C1811">
        <w:rPr>
          <w:rFonts w:ascii="ITC Avant Garde" w:hAnsi="ITC Avant Garde"/>
          <w:sz w:val="20"/>
          <w:szCs w:val="20"/>
        </w:rPr>
        <w:t>te legal y acompañado</w:t>
      </w:r>
      <w:r w:rsidR="003C1811" w:rsidRPr="00F02808">
        <w:rPr>
          <w:rFonts w:ascii="ITC Avant Garde" w:hAnsi="ITC Avant Garde"/>
          <w:sz w:val="20"/>
          <w:szCs w:val="20"/>
        </w:rPr>
        <w:t xml:space="preserve"> con la información que se establece en el numeral 6.1.1.</w:t>
      </w:r>
      <w:r w:rsidR="00D63871">
        <w:rPr>
          <w:rFonts w:ascii="ITC Avant Garde" w:hAnsi="ITC Avant Garde"/>
          <w:sz w:val="20"/>
          <w:szCs w:val="20"/>
        </w:rPr>
        <w:t>,</w:t>
      </w:r>
      <w:r w:rsidR="003C1811">
        <w:rPr>
          <w:rFonts w:ascii="ITC Avant Garde" w:hAnsi="ITC Avant Garde"/>
          <w:sz w:val="20"/>
          <w:szCs w:val="20"/>
        </w:rPr>
        <w:t xml:space="preserve"> de la presente disposición técnica.</w:t>
      </w:r>
    </w:p>
    <w:p w14:paraId="09AAE572" w14:textId="77777777" w:rsidR="00AA5D3D" w:rsidRDefault="00AA5D3D" w:rsidP="006B595F">
      <w:pPr>
        <w:spacing w:line="360" w:lineRule="auto"/>
        <w:jc w:val="both"/>
        <w:rPr>
          <w:rFonts w:ascii="ITC Avant Garde" w:hAnsi="ITC Avant Garde"/>
          <w:sz w:val="20"/>
          <w:szCs w:val="20"/>
        </w:rPr>
      </w:pPr>
    </w:p>
    <w:p w14:paraId="7C31080C" w14:textId="77777777" w:rsidR="006111BE" w:rsidRDefault="006111BE" w:rsidP="006B595F">
      <w:pPr>
        <w:spacing w:line="360" w:lineRule="auto"/>
        <w:jc w:val="both"/>
        <w:rPr>
          <w:rFonts w:ascii="ITC Avant Garde" w:hAnsi="ITC Avant Garde"/>
          <w:sz w:val="20"/>
          <w:szCs w:val="20"/>
        </w:rPr>
      </w:pPr>
    </w:p>
    <w:p w14:paraId="4FDE424D" w14:textId="193DA6FC" w:rsidR="00E96257" w:rsidRPr="006B595F" w:rsidRDefault="006B595F" w:rsidP="006B595F">
      <w:pPr>
        <w:autoSpaceDE w:val="0"/>
        <w:autoSpaceDN w:val="0"/>
        <w:adjustRightInd w:val="0"/>
        <w:jc w:val="right"/>
        <w:rPr>
          <w:rFonts w:ascii="ITC Avant Garde" w:hAnsi="ITC Avant Garde"/>
          <w:color w:val="D9D9D9" w:themeColor="background1" w:themeShade="D9"/>
          <w:sz w:val="16"/>
        </w:rPr>
      </w:pPr>
      <w:r w:rsidRPr="0086242B">
        <w:rPr>
          <w:rFonts w:ascii="ITC Avant Garde" w:hAnsi="ITC Avant Garde"/>
          <w:color w:val="D9D9D9" w:themeColor="background1" w:themeShade="D9"/>
          <w:sz w:val="16"/>
        </w:rPr>
        <w:t>015-0</w:t>
      </w:r>
      <w:r w:rsidR="00BA342A">
        <w:rPr>
          <w:rFonts w:ascii="ITC Avant Garde" w:hAnsi="ITC Avant Garde"/>
          <w:color w:val="D9D9D9" w:themeColor="background1" w:themeShade="D9"/>
          <w:sz w:val="16"/>
        </w:rPr>
        <w:t>6</w:t>
      </w:r>
      <w:r w:rsidRPr="0086242B">
        <w:rPr>
          <w:rFonts w:ascii="ITC Avant Garde" w:hAnsi="ITC Avant Garde"/>
          <w:color w:val="D9D9D9" w:themeColor="background1" w:themeShade="D9"/>
          <w:sz w:val="16"/>
        </w:rPr>
        <w:t>-2</w:t>
      </w:r>
      <w:r w:rsidR="00BA342A">
        <w:rPr>
          <w:rFonts w:ascii="ITC Avant Garde" w:hAnsi="ITC Avant Garde"/>
          <w:color w:val="D9D9D9" w:themeColor="background1" w:themeShade="D9"/>
          <w:sz w:val="16"/>
        </w:rPr>
        <w:t>6</w:t>
      </w:r>
    </w:p>
    <w:sectPr w:rsidR="00E96257" w:rsidRPr="006B595F" w:rsidSect="00B74C4D">
      <w:footerReference w:type="default" r:id="rId81"/>
      <w:pgSz w:w="12240" w:h="15840"/>
      <w:pgMar w:top="1985" w:right="1701" w:bottom="1417" w:left="1701" w:header="708" w:footer="708" w:gutter="0"/>
      <w:lnNumType w:countBy="1" w:restart="continuou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10E27" w14:textId="77777777" w:rsidR="00B74C4D" w:rsidRDefault="00B74C4D" w:rsidP="00E139C6">
      <w:r>
        <w:separator/>
      </w:r>
    </w:p>
  </w:endnote>
  <w:endnote w:type="continuationSeparator" w:id="0">
    <w:p w14:paraId="134EE044" w14:textId="77777777" w:rsidR="00B74C4D" w:rsidRDefault="00B74C4D" w:rsidP="00E13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724236"/>
      <w:docPartObj>
        <w:docPartGallery w:val="Page Numbers (Bottom of Page)"/>
        <w:docPartUnique/>
      </w:docPartObj>
    </w:sdtPr>
    <w:sdtEndPr/>
    <w:sdtContent>
      <w:p w14:paraId="5F47CAD3" w14:textId="77777777" w:rsidR="00B74C4D" w:rsidRDefault="00B74C4D">
        <w:pPr>
          <w:pStyle w:val="Piedepgina"/>
          <w:jc w:val="center"/>
        </w:pPr>
        <w:r>
          <w:fldChar w:fldCharType="begin"/>
        </w:r>
        <w:r>
          <w:instrText>PAGE   \* MERGEFORMAT</w:instrText>
        </w:r>
        <w:r>
          <w:fldChar w:fldCharType="separate"/>
        </w:r>
        <w:r w:rsidR="00772E7C">
          <w:rPr>
            <w:noProof/>
          </w:rPr>
          <w:t>7</w:t>
        </w:r>
        <w:r>
          <w:fldChar w:fldCharType="end"/>
        </w:r>
      </w:p>
    </w:sdtContent>
  </w:sdt>
  <w:p w14:paraId="603CF850" w14:textId="77777777" w:rsidR="00B74C4D" w:rsidRPr="000825EE" w:rsidRDefault="00B74C4D" w:rsidP="00E21C65">
    <w:pPr>
      <w:pStyle w:val="Piedepgina"/>
      <w:rPr>
        <w:rFonts w:ascii="Arial" w:hAnsi="Arial"/>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437119"/>
      <w:docPartObj>
        <w:docPartGallery w:val="Page Numbers (Bottom of Page)"/>
        <w:docPartUnique/>
      </w:docPartObj>
    </w:sdtPr>
    <w:sdtEndPr/>
    <w:sdtContent>
      <w:p w14:paraId="3E65C04A" w14:textId="77777777" w:rsidR="00B74C4D" w:rsidRDefault="00B74C4D">
        <w:pPr>
          <w:pStyle w:val="Piedepgina"/>
          <w:jc w:val="center"/>
        </w:pPr>
        <w:r>
          <w:fldChar w:fldCharType="begin"/>
        </w:r>
        <w:r>
          <w:instrText>PAGE   \* MERGEFORMAT</w:instrText>
        </w:r>
        <w:r>
          <w:fldChar w:fldCharType="separate"/>
        </w:r>
        <w:r w:rsidR="00772E7C">
          <w:rPr>
            <w:noProof/>
          </w:rPr>
          <w:t>87</w:t>
        </w:r>
        <w:r>
          <w:fldChar w:fldCharType="end"/>
        </w:r>
      </w:p>
    </w:sdtContent>
  </w:sdt>
  <w:p w14:paraId="608EA0C3" w14:textId="77777777" w:rsidR="00B74C4D" w:rsidRPr="000825EE" w:rsidRDefault="00B74C4D" w:rsidP="00E21C65">
    <w:pPr>
      <w:pStyle w:val="Piedepgina"/>
      <w:rPr>
        <w:rFonts w:ascii="Arial" w:hAnsi="Arial"/>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8C054" w14:textId="77777777" w:rsidR="00B74C4D" w:rsidRDefault="00B74C4D" w:rsidP="00E139C6">
      <w:r>
        <w:separator/>
      </w:r>
    </w:p>
  </w:footnote>
  <w:footnote w:type="continuationSeparator" w:id="0">
    <w:p w14:paraId="090CB0C7" w14:textId="77777777" w:rsidR="00B74C4D" w:rsidRDefault="00B74C4D" w:rsidP="00E139C6">
      <w:r>
        <w:continuationSeparator/>
      </w:r>
    </w:p>
  </w:footnote>
  <w:footnote w:id="1">
    <w:p w14:paraId="49037C06" w14:textId="77777777" w:rsidR="00B74C4D" w:rsidRDefault="00B74C4D" w:rsidP="004A6089">
      <w:pPr>
        <w:pStyle w:val="bodyfirst"/>
        <w:rPr>
          <w:color w:val="000000"/>
          <w:sz w:val="27"/>
          <w:szCs w:val="27"/>
        </w:rPr>
      </w:pPr>
      <w:r>
        <w:rPr>
          <w:rStyle w:val="Refdenotaalpie"/>
        </w:rPr>
        <w:footnoteRef/>
      </w:r>
      <w:r>
        <w:t xml:space="preserve"> </w:t>
      </w:r>
      <w:bookmarkStart w:id="2" w:name="JD_ELF3_2"/>
      <w:proofErr w:type="spellStart"/>
      <w:r w:rsidRPr="00F237B5">
        <w:rPr>
          <w:rFonts w:ascii="ITC Avant Garde" w:hAnsi="ITC Avant Garde"/>
          <w:color w:val="000000"/>
          <w:sz w:val="20"/>
          <w:szCs w:val="20"/>
        </w:rPr>
        <w:t>Luckiesh</w:t>
      </w:r>
      <w:proofErr w:type="spellEnd"/>
      <w:r w:rsidRPr="00F237B5">
        <w:rPr>
          <w:rFonts w:ascii="ITC Avant Garde" w:hAnsi="ITC Avant Garde"/>
          <w:color w:val="000000"/>
          <w:sz w:val="20"/>
          <w:szCs w:val="20"/>
        </w:rPr>
        <w:t xml:space="preserve">, </w:t>
      </w:r>
      <w:proofErr w:type="spellStart"/>
      <w:r w:rsidRPr="00F237B5">
        <w:rPr>
          <w:rFonts w:ascii="ITC Avant Garde" w:hAnsi="ITC Avant Garde"/>
          <w:color w:val="000000"/>
          <w:sz w:val="20"/>
          <w:szCs w:val="20"/>
        </w:rPr>
        <w:t>Holladay</w:t>
      </w:r>
      <w:proofErr w:type="spellEnd"/>
      <w:r w:rsidRPr="00F237B5">
        <w:rPr>
          <w:rFonts w:ascii="ITC Avant Garde" w:hAnsi="ITC Avant Garde"/>
          <w:color w:val="000000"/>
          <w:sz w:val="20"/>
          <w:szCs w:val="20"/>
        </w:rPr>
        <w:t xml:space="preserve"> and Taylor 1930</w:t>
      </w:r>
      <w:r>
        <w:rPr>
          <w:rFonts w:ascii="ITC Avant Garde" w:hAnsi="ITC Avant Garde"/>
          <w:color w:val="000000"/>
          <w:sz w:val="20"/>
          <w:szCs w:val="20"/>
        </w:rPr>
        <w:t xml:space="preserve">, </w:t>
      </w:r>
      <w:proofErr w:type="spellStart"/>
      <w:r>
        <w:rPr>
          <w:rFonts w:ascii="ITC Avant Garde" w:hAnsi="ITC Avant Garde"/>
          <w:color w:val="000000"/>
          <w:sz w:val="20"/>
          <w:szCs w:val="20"/>
        </w:rPr>
        <w:t>Reactions</w:t>
      </w:r>
      <w:proofErr w:type="spellEnd"/>
      <w:r>
        <w:rPr>
          <w:rFonts w:ascii="ITC Avant Garde" w:hAnsi="ITC Avant Garde"/>
          <w:color w:val="000000"/>
          <w:sz w:val="20"/>
          <w:szCs w:val="20"/>
        </w:rPr>
        <w:t xml:space="preserve"> of </w:t>
      </w:r>
      <w:proofErr w:type="spellStart"/>
      <w:r>
        <w:rPr>
          <w:rFonts w:ascii="ITC Avant Garde" w:hAnsi="ITC Avant Garde"/>
          <w:color w:val="000000"/>
          <w:sz w:val="20"/>
          <w:szCs w:val="20"/>
        </w:rPr>
        <w:t>untanned</w:t>
      </w:r>
      <w:proofErr w:type="spellEnd"/>
      <w:r>
        <w:rPr>
          <w:rFonts w:ascii="ITC Avant Garde" w:hAnsi="ITC Avant Garde"/>
          <w:color w:val="000000"/>
          <w:sz w:val="20"/>
          <w:szCs w:val="20"/>
        </w:rPr>
        <w:t xml:space="preserve"> skin to </w:t>
      </w:r>
      <w:proofErr w:type="spellStart"/>
      <w:r>
        <w:rPr>
          <w:rFonts w:ascii="ITC Avant Garde" w:hAnsi="ITC Avant Garde"/>
          <w:color w:val="000000"/>
          <w:sz w:val="20"/>
          <w:szCs w:val="20"/>
        </w:rPr>
        <w:t>ultraviolet</w:t>
      </w:r>
      <w:proofErr w:type="spellEnd"/>
      <w:r>
        <w:rPr>
          <w:rFonts w:ascii="ITC Avant Garde" w:hAnsi="ITC Avant Garde"/>
          <w:color w:val="000000"/>
          <w:sz w:val="20"/>
          <w:szCs w:val="20"/>
        </w:rPr>
        <w:t xml:space="preserve"> </w:t>
      </w:r>
      <w:proofErr w:type="spellStart"/>
      <w:r>
        <w:rPr>
          <w:rFonts w:ascii="ITC Avant Garde" w:hAnsi="ITC Avant Garde"/>
          <w:color w:val="000000"/>
          <w:sz w:val="20"/>
          <w:szCs w:val="20"/>
        </w:rPr>
        <w:t>radiation</w:t>
      </w:r>
      <w:proofErr w:type="spellEnd"/>
      <w:r>
        <w:rPr>
          <w:rFonts w:ascii="ITC Avant Garde" w:hAnsi="ITC Avant Garde"/>
          <w:color w:val="000000"/>
          <w:sz w:val="20"/>
          <w:szCs w:val="20"/>
        </w:rPr>
        <w:t>.</w:t>
      </w:r>
    </w:p>
    <w:bookmarkEnd w:id="2"/>
    <w:p w14:paraId="25B9D324" w14:textId="77777777" w:rsidR="00B74C4D" w:rsidRPr="00F237B5" w:rsidRDefault="00B74C4D">
      <w:pPr>
        <w:pStyle w:val="Textonotapie"/>
        <w:rPr>
          <w:lang w:val="es-MX"/>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D64E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8574A3"/>
    <w:multiLevelType w:val="hybridMultilevel"/>
    <w:tmpl w:val="C39015F6"/>
    <w:lvl w:ilvl="0" w:tplc="73BC82CE">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04C4114A"/>
    <w:multiLevelType w:val="hybridMultilevel"/>
    <w:tmpl w:val="D72656B0"/>
    <w:lvl w:ilvl="0" w:tplc="080A000F">
      <w:start w:val="1"/>
      <w:numFmt w:val="decimal"/>
      <w:lvlText w:val="%1."/>
      <w:lvlJc w:val="left"/>
      <w:pPr>
        <w:tabs>
          <w:tab w:val="num" w:pos="720"/>
        </w:tabs>
        <w:ind w:left="720" w:hanging="360"/>
      </w:p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15:restartNumberingAfterBreak="0">
    <w:nsid w:val="05152642"/>
    <w:multiLevelType w:val="hybridMultilevel"/>
    <w:tmpl w:val="C68217BC"/>
    <w:lvl w:ilvl="0" w:tplc="8A50BD0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9F6093"/>
    <w:multiLevelType w:val="hybridMultilevel"/>
    <w:tmpl w:val="2612F35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D5355A"/>
    <w:multiLevelType w:val="hybridMultilevel"/>
    <w:tmpl w:val="801C52FE"/>
    <w:lvl w:ilvl="0" w:tplc="4E2A378C">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296194"/>
    <w:multiLevelType w:val="hybridMultilevel"/>
    <w:tmpl w:val="686ED216"/>
    <w:lvl w:ilvl="0" w:tplc="080A0001">
      <w:start w:val="1"/>
      <w:numFmt w:val="bullet"/>
      <w:lvlText w:val=""/>
      <w:lvlJc w:val="left"/>
      <w:pPr>
        <w:ind w:left="720" w:hanging="360"/>
      </w:pPr>
      <w:rPr>
        <w:rFonts w:ascii="Symbol" w:hAnsi="Symbol"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58631C"/>
    <w:multiLevelType w:val="hybridMultilevel"/>
    <w:tmpl w:val="F2F4383E"/>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15:restartNumberingAfterBreak="0">
    <w:nsid w:val="10304791"/>
    <w:multiLevelType w:val="hybridMultilevel"/>
    <w:tmpl w:val="06182176"/>
    <w:lvl w:ilvl="0" w:tplc="FB56A82A">
      <w:start w:val="1"/>
      <w:numFmt w:val="lowerLetter"/>
      <w:lvlText w:val="%1)"/>
      <w:lvlJc w:val="left"/>
      <w:pPr>
        <w:tabs>
          <w:tab w:val="num" w:pos="720"/>
        </w:tabs>
        <w:ind w:left="720" w:hanging="360"/>
      </w:pPr>
      <w:rPr>
        <w:rFonts w:ascii="ITC Avant Garde" w:eastAsia="Times New Roman" w:hAnsi="ITC Avant Garde" w:cs="Times New Roman"/>
        <w:b/>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15:restartNumberingAfterBreak="0">
    <w:nsid w:val="111223EF"/>
    <w:multiLevelType w:val="hybridMultilevel"/>
    <w:tmpl w:val="AD82C5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23533A"/>
    <w:multiLevelType w:val="hybridMultilevel"/>
    <w:tmpl w:val="316ECB34"/>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2" w15:restartNumberingAfterBreak="0">
    <w:nsid w:val="18B87A6D"/>
    <w:multiLevelType w:val="hybridMultilevel"/>
    <w:tmpl w:val="88DAB10E"/>
    <w:lvl w:ilvl="0" w:tplc="0DC80D40">
      <w:start w:val="1"/>
      <w:numFmt w:val="decimal"/>
      <w:lvlText w:val="%1."/>
      <w:lvlJc w:val="left"/>
      <w:pPr>
        <w:tabs>
          <w:tab w:val="num" w:pos="720"/>
        </w:tabs>
        <w:ind w:left="720" w:hanging="360"/>
      </w:pPr>
      <w:rPr>
        <w:b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 w15:restartNumberingAfterBreak="0">
    <w:nsid w:val="19882630"/>
    <w:multiLevelType w:val="hybridMultilevel"/>
    <w:tmpl w:val="0762B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C128D0"/>
    <w:multiLevelType w:val="hybridMultilevel"/>
    <w:tmpl w:val="0160F9E2"/>
    <w:lvl w:ilvl="0" w:tplc="1F22B73A">
      <w:start w:val="1"/>
      <w:numFmt w:val="lowerLetter"/>
      <w:lvlText w:val="%1)"/>
      <w:lvlJc w:val="left"/>
      <w:pPr>
        <w:ind w:left="2136" w:hanging="360"/>
      </w:pPr>
      <w:rPr>
        <w:rFonts w:hint="default"/>
        <w:b/>
      </w:rPr>
    </w:lvl>
    <w:lvl w:ilvl="1" w:tplc="080A0003">
      <w:start w:val="1"/>
      <w:numFmt w:val="bullet"/>
      <w:lvlText w:val="o"/>
      <w:lvlJc w:val="left"/>
      <w:pPr>
        <w:ind w:left="2856" w:hanging="360"/>
      </w:pPr>
      <w:rPr>
        <w:rFonts w:ascii="Courier New" w:hAnsi="Courier New" w:cs="Courier New" w:hint="default"/>
      </w:rPr>
    </w:lvl>
    <w:lvl w:ilvl="2" w:tplc="080A0005">
      <w:start w:val="1"/>
      <w:numFmt w:val="bullet"/>
      <w:lvlText w:val=""/>
      <w:lvlJc w:val="left"/>
      <w:pPr>
        <w:ind w:left="3576" w:hanging="360"/>
      </w:pPr>
      <w:rPr>
        <w:rFonts w:ascii="Wingdings" w:hAnsi="Wingdings" w:hint="default"/>
      </w:rPr>
    </w:lvl>
    <w:lvl w:ilvl="3" w:tplc="080A000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5" w15:restartNumberingAfterBreak="0">
    <w:nsid w:val="1A6A196A"/>
    <w:multiLevelType w:val="hybridMultilevel"/>
    <w:tmpl w:val="6ADCE1D4"/>
    <w:lvl w:ilvl="0" w:tplc="27765DAC">
      <w:start w:val="1"/>
      <w:numFmt w:val="lowerRoman"/>
      <w:lvlText w:val="%1)"/>
      <w:lvlJc w:val="left"/>
      <w:pPr>
        <w:tabs>
          <w:tab w:val="num" w:pos="720"/>
        </w:tabs>
        <w:ind w:left="720" w:hanging="360"/>
      </w:pPr>
      <w:rPr>
        <w:rFonts w:ascii="ITC Avant Garde" w:eastAsia="Times New Roman" w:hAnsi="ITC Avant Garde" w:cs="Times New Roman"/>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1AC22BC9"/>
    <w:multiLevelType w:val="hybridMultilevel"/>
    <w:tmpl w:val="5A3883C4"/>
    <w:lvl w:ilvl="0" w:tplc="DB749706">
      <w:start w:val="2"/>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B471980"/>
    <w:multiLevelType w:val="hybridMultilevel"/>
    <w:tmpl w:val="02F24AC6"/>
    <w:lvl w:ilvl="0" w:tplc="73BC82CE">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15:restartNumberingAfterBreak="0">
    <w:nsid w:val="1BA66E5B"/>
    <w:multiLevelType w:val="hybridMultilevel"/>
    <w:tmpl w:val="D4D0BFB0"/>
    <w:lvl w:ilvl="0" w:tplc="187CC8F4">
      <w:start w:val="1"/>
      <w:numFmt w:val="lowerLetter"/>
      <w:lvlText w:val="%1)"/>
      <w:lvlJc w:val="left"/>
      <w:pPr>
        <w:ind w:left="703" w:hanging="420"/>
      </w:pPr>
      <w:rPr>
        <w:rFonts w:hint="default"/>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9" w15:restartNumberingAfterBreak="0">
    <w:nsid w:val="23CF64CF"/>
    <w:multiLevelType w:val="hybridMultilevel"/>
    <w:tmpl w:val="EEAE0AD2"/>
    <w:lvl w:ilvl="0" w:tplc="589CDD40">
      <w:start w:val="1"/>
      <w:numFmt w:val="lowerLetter"/>
      <w:lvlText w:val="%1)"/>
      <w:lvlJc w:val="left"/>
      <w:pPr>
        <w:tabs>
          <w:tab w:val="num" w:pos="786"/>
        </w:tabs>
        <w:ind w:left="786" w:hanging="360"/>
      </w:pPr>
      <w:rPr>
        <w:rFonts w:ascii="ITC Avant Garde" w:eastAsia="Times New Roman" w:hAnsi="ITC Avant Garde" w:cs="Times New Roman"/>
        <w:b/>
      </w:rPr>
    </w:lvl>
    <w:lvl w:ilvl="1" w:tplc="080A0019">
      <w:start w:val="1"/>
      <w:numFmt w:val="lowerLetter"/>
      <w:lvlText w:val="%2."/>
      <w:lvlJc w:val="left"/>
      <w:pPr>
        <w:tabs>
          <w:tab w:val="num" w:pos="1506"/>
        </w:tabs>
        <w:ind w:left="1506" w:hanging="360"/>
      </w:pPr>
    </w:lvl>
    <w:lvl w:ilvl="2" w:tplc="080A001B">
      <w:start w:val="1"/>
      <w:numFmt w:val="lowerRoman"/>
      <w:lvlText w:val="%3."/>
      <w:lvlJc w:val="right"/>
      <w:pPr>
        <w:tabs>
          <w:tab w:val="num" w:pos="2226"/>
        </w:tabs>
        <w:ind w:left="2226" w:hanging="180"/>
      </w:pPr>
    </w:lvl>
    <w:lvl w:ilvl="3" w:tplc="080A000F" w:tentative="1">
      <w:start w:val="1"/>
      <w:numFmt w:val="decimal"/>
      <w:lvlText w:val="%4."/>
      <w:lvlJc w:val="left"/>
      <w:pPr>
        <w:tabs>
          <w:tab w:val="num" w:pos="2946"/>
        </w:tabs>
        <w:ind w:left="2946" w:hanging="360"/>
      </w:pPr>
    </w:lvl>
    <w:lvl w:ilvl="4" w:tplc="080A0019" w:tentative="1">
      <w:start w:val="1"/>
      <w:numFmt w:val="lowerLetter"/>
      <w:lvlText w:val="%5."/>
      <w:lvlJc w:val="left"/>
      <w:pPr>
        <w:tabs>
          <w:tab w:val="num" w:pos="3666"/>
        </w:tabs>
        <w:ind w:left="3666" w:hanging="360"/>
      </w:pPr>
    </w:lvl>
    <w:lvl w:ilvl="5" w:tplc="080A001B" w:tentative="1">
      <w:start w:val="1"/>
      <w:numFmt w:val="lowerRoman"/>
      <w:lvlText w:val="%6."/>
      <w:lvlJc w:val="right"/>
      <w:pPr>
        <w:tabs>
          <w:tab w:val="num" w:pos="4386"/>
        </w:tabs>
        <w:ind w:left="4386" w:hanging="180"/>
      </w:pPr>
    </w:lvl>
    <w:lvl w:ilvl="6" w:tplc="080A000F" w:tentative="1">
      <w:start w:val="1"/>
      <w:numFmt w:val="decimal"/>
      <w:lvlText w:val="%7."/>
      <w:lvlJc w:val="left"/>
      <w:pPr>
        <w:tabs>
          <w:tab w:val="num" w:pos="5106"/>
        </w:tabs>
        <w:ind w:left="5106" w:hanging="360"/>
      </w:pPr>
    </w:lvl>
    <w:lvl w:ilvl="7" w:tplc="080A0019" w:tentative="1">
      <w:start w:val="1"/>
      <w:numFmt w:val="lowerLetter"/>
      <w:lvlText w:val="%8."/>
      <w:lvlJc w:val="left"/>
      <w:pPr>
        <w:tabs>
          <w:tab w:val="num" w:pos="5826"/>
        </w:tabs>
        <w:ind w:left="5826" w:hanging="360"/>
      </w:pPr>
    </w:lvl>
    <w:lvl w:ilvl="8" w:tplc="080A001B" w:tentative="1">
      <w:start w:val="1"/>
      <w:numFmt w:val="lowerRoman"/>
      <w:lvlText w:val="%9."/>
      <w:lvlJc w:val="right"/>
      <w:pPr>
        <w:tabs>
          <w:tab w:val="num" w:pos="6546"/>
        </w:tabs>
        <w:ind w:left="6546" w:hanging="180"/>
      </w:pPr>
    </w:lvl>
  </w:abstractNum>
  <w:abstractNum w:abstractNumId="20" w15:restartNumberingAfterBreak="0">
    <w:nsid w:val="245207C5"/>
    <w:multiLevelType w:val="multilevel"/>
    <w:tmpl w:val="E40E99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459123D"/>
    <w:multiLevelType w:val="hybridMultilevel"/>
    <w:tmpl w:val="E980587E"/>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2" w15:restartNumberingAfterBreak="0">
    <w:nsid w:val="26BF22B3"/>
    <w:multiLevelType w:val="hybridMultilevel"/>
    <w:tmpl w:val="EA52FC18"/>
    <w:lvl w:ilvl="0" w:tplc="080A0017">
      <w:start w:val="1"/>
      <w:numFmt w:val="lowerLetter"/>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3" w15:restartNumberingAfterBreak="0">
    <w:nsid w:val="26E270D2"/>
    <w:multiLevelType w:val="hybridMultilevel"/>
    <w:tmpl w:val="0762B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AB06984"/>
    <w:multiLevelType w:val="hybridMultilevel"/>
    <w:tmpl w:val="87EE1EEC"/>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D71A3F"/>
    <w:multiLevelType w:val="hybridMultilevel"/>
    <w:tmpl w:val="7F206ABC"/>
    <w:lvl w:ilvl="0" w:tplc="85242E6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D43E74"/>
    <w:multiLevelType w:val="hybridMultilevel"/>
    <w:tmpl w:val="694E7044"/>
    <w:lvl w:ilvl="0" w:tplc="73BC82C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59672E8"/>
    <w:multiLevelType w:val="hybridMultilevel"/>
    <w:tmpl w:val="F8EAB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59D1224"/>
    <w:multiLevelType w:val="hybridMultilevel"/>
    <w:tmpl w:val="7DF6C1F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838E4894">
      <w:numFmt w:val="bullet"/>
      <w:lvlText w:val="•"/>
      <w:lvlJc w:val="left"/>
      <w:pPr>
        <w:ind w:left="2505" w:hanging="705"/>
      </w:pPr>
      <w:rPr>
        <w:rFonts w:ascii="ITC Avant Garde" w:eastAsia="Calibri" w:hAnsi="ITC Avant Garde"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5AB304A"/>
    <w:multiLevelType w:val="hybridMultilevel"/>
    <w:tmpl w:val="ADDA1528"/>
    <w:lvl w:ilvl="0" w:tplc="9FE0DCD0">
      <w:start w:val="1"/>
      <w:numFmt w:val="decimal"/>
      <w:lvlText w:val="%1"/>
      <w:lvlJc w:val="left"/>
      <w:pPr>
        <w:ind w:left="792" w:hanging="360"/>
      </w:pPr>
      <w:rPr>
        <w:rFonts w:hint="default"/>
      </w:rPr>
    </w:lvl>
    <w:lvl w:ilvl="1" w:tplc="080A0019" w:tentative="1">
      <w:start w:val="1"/>
      <w:numFmt w:val="lowerLetter"/>
      <w:lvlText w:val="%2."/>
      <w:lvlJc w:val="left"/>
      <w:pPr>
        <w:ind w:left="1512" w:hanging="360"/>
      </w:pPr>
    </w:lvl>
    <w:lvl w:ilvl="2" w:tplc="080A001B" w:tentative="1">
      <w:start w:val="1"/>
      <w:numFmt w:val="lowerRoman"/>
      <w:lvlText w:val="%3."/>
      <w:lvlJc w:val="right"/>
      <w:pPr>
        <w:ind w:left="2232" w:hanging="180"/>
      </w:pPr>
    </w:lvl>
    <w:lvl w:ilvl="3" w:tplc="080A000F" w:tentative="1">
      <w:start w:val="1"/>
      <w:numFmt w:val="decimal"/>
      <w:lvlText w:val="%4."/>
      <w:lvlJc w:val="left"/>
      <w:pPr>
        <w:ind w:left="2952" w:hanging="360"/>
      </w:pPr>
    </w:lvl>
    <w:lvl w:ilvl="4" w:tplc="080A0019" w:tentative="1">
      <w:start w:val="1"/>
      <w:numFmt w:val="lowerLetter"/>
      <w:lvlText w:val="%5."/>
      <w:lvlJc w:val="left"/>
      <w:pPr>
        <w:ind w:left="3672" w:hanging="360"/>
      </w:pPr>
    </w:lvl>
    <w:lvl w:ilvl="5" w:tplc="080A001B" w:tentative="1">
      <w:start w:val="1"/>
      <w:numFmt w:val="lowerRoman"/>
      <w:lvlText w:val="%6."/>
      <w:lvlJc w:val="right"/>
      <w:pPr>
        <w:ind w:left="4392" w:hanging="180"/>
      </w:pPr>
    </w:lvl>
    <w:lvl w:ilvl="6" w:tplc="080A000F" w:tentative="1">
      <w:start w:val="1"/>
      <w:numFmt w:val="decimal"/>
      <w:lvlText w:val="%7."/>
      <w:lvlJc w:val="left"/>
      <w:pPr>
        <w:ind w:left="5112" w:hanging="360"/>
      </w:pPr>
    </w:lvl>
    <w:lvl w:ilvl="7" w:tplc="080A0019" w:tentative="1">
      <w:start w:val="1"/>
      <w:numFmt w:val="lowerLetter"/>
      <w:lvlText w:val="%8."/>
      <w:lvlJc w:val="left"/>
      <w:pPr>
        <w:ind w:left="5832" w:hanging="360"/>
      </w:pPr>
    </w:lvl>
    <w:lvl w:ilvl="8" w:tplc="080A001B" w:tentative="1">
      <w:start w:val="1"/>
      <w:numFmt w:val="lowerRoman"/>
      <w:lvlText w:val="%9."/>
      <w:lvlJc w:val="right"/>
      <w:pPr>
        <w:ind w:left="6552" w:hanging="180"/>
      </w:pPr>
    </w:lvl>
  </w:abstractNum>
  <w:abstractNum w:abstractNumId="30" w15:restartNumberingAfterBreak="0">
    <w:nsid w:val="3AEF3206"/>
    <w:multiLevelType w:val="hybridMultilevel"/>
    <w:tmpl w:val="BAA00FAE"/>
    <w:lvl w:ilvl="0" w:tplc="E7DEB1BA">
      <w:start w:val="1"/>
      <w:numFmt w:val="decimal"/>
      <w:lvlText w:val="%1."/>
      <w:lvlJc w:val="left"/>
      <w:pPr>
        <w:tabs>
          <w:tab w:val="num" w:pos="720"/>
        </w:tabs>
        <w:ind w:left="720" w:hanging="360"/>
      </w:pPr>
      <w:rPr>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1" w15:restartNumberingAfterBreak="0">
    <w:nsid w:val="3B94581D"/>
    <w:multiLevelType w:val="hybridMultilevel"/>
    <w:tmpl w:val="49522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C6C4B9F"/>
    <w:multiLevelType w:val="hybridMultilevel"/>
    <w:tmpl w:val="06182176"/>
    <w:lvl w:ilvl="0" w:tplc="FB56A82A">
      <w:start w:val="1"/>
      <w:numFmt w:val="lowerLetter"/>
      <w:lvlText w:val="%1)"/>
      <w:lvlJc w:val="left"/>
      <w:pPr>
        <w:tabs>
          <w:tab w:val="num" w:pos="720"/>
        </w:tabs>
        <w:ind w:left="720" w:hanging="360"/>
      </w:pPr>
      <w:rPr>
        <w:rFonts w:ascii="ITC Avant Garde" w:eastAsia="Times New Roman" w:hAnsi="ITC Avant Garde" w:cs="Times New Roman"/>
        <w:b/>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3" w15:restartNumberingAfterBreak="0">
    <w:nsid w:val="3C9C7298"/>
    <w:multiLevelType w:val="hybridMultilevel"/>
    <w:tmpl w:val="096CDC30"/>
    <w:lvl w:ilvl="0" w:tplc="080A000F">
      <w:start w:val="1"/>
      <w:numFmt w:val="decimal"/>
      <w:lvlText w:val="%1."/>
      <w:lvlJc w:val="left"/>
      <w:pPr>
        <w:tabs>
          <w:tab w:val="num" w:pos="720"/>
        </w:tabs>
        <w:ind w:left="720" w:hanging="360"/>
      </w:p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4" w15:restartNumberingAfterBreak="0">
    <w:nsid w:val="3F8F1DDC"/>
    <w:multiLevelType w:val="hybridMultilevel"/>
    <w:tmpl w:val="967A53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03D2FE7"/>
    <w:multiLevelType w:val="hybridMultilevel"/>
    <w:tmpl w:val="EEAE0AD2"/>
    <w:lvl w:ilvl="0" w:tplc="589CDD40">
      <w:start w:val="1"/>
      <w:numFmt w:val="lowerLetter"/>
      <w:lvlText w:val="%1)"/>
      <w:lvlJc w:val="left"/>
      <w:pPr>
        <w:tabs>
          <w:tab w:val="num" w:pos="786"/>
        </w:tabs>
        <w:ind w:left="786" w:hanging="360"/>
      </w:pPr>
      <w:rPr>
        <w:rFonts w:ascii="ITC Avant Garde" w:eastAsia="Times New Roman" w:hAnsi="ITC Avant Garde" w:cs="Times New Roman"/>
        <w:b/>
      </w:rPr>
    </w:lvl>
    <w:lvl w:ilvl="1" w:tplc="080A0019">
      <w:start w:val="1"/>
      <w:numFmt w:val="lowerLetter"/>
      <w:lvlText w:val="%2."/>
      <w:lvlJc w:val="left"/>
      <w:pPr>
        <w:tabs>
          <w:tab w:val="num" w:pos="1506"/>
        </w:tabs>
        <w:ind w:left="1506" w:hanging="360"/>
      </w:pPr>
    </w:lvl>
    <w:lvl w:ilvl="2" w:tplc="080A001B">
      <w:start w:val="1"/>
      <w:numFmt w:val="lowerRoman"/>
      <w:lvlText w:val="%3."/>
      <w:lvlJc w:val="right"/>
      <w:pPr>
        <w:tabs>
          <w:tab w:val="num" w:pos="2226"/>
        </w:tabs>
        <w:ind w:left="2226" w:hanging="180"/>
      </w:pPr>
    </w:lvl>
    <w:lvl w:ilvl="3" w:tplc="080A000F" w:tentative="1">
      <w:start w:val="1"/>
      <w:numFmt w:val="decimal"/>
      <w:lvlText w:val="%4."/>
      <w:lvlJc w:val="left"/>
      <w:pPr>
        <w:tabs>
          <w:tab w:val="num" w:pos="2946"/>
        </w:tabs>
        <w:ind w:left="2946" w:hanging="360"/>
      </w:pPr>
    </w:lvl>
    <w:lvl w:ilvl="4" w:tplc="080A0019" w:tentative="1">
      <w:start w:val="1"/>
      <w:numFmt w:val="lowerLetter"/>
      <w:lvlText w:val="%5."/>
      <w:lvlJc w:val="left"/>
      <w:pPr>
        <w:tabs>
          <w:tab w:val="num" w:pos="3666"/>
        </w:tabs>
        <w:ind w:left="3666" w:hanging="360"/>
      </w:pPr>
    </w:lvl>
    <w:lvl w:ilvl="5" w:tplc="080A001B" w:tentative="1">
      <w:start w:val="1"/>
      <w:numFmt w:val="lowerRoman"/>
      <w:lvlText w:val="%6."/>
      <w:lvlJc w:val="right"/>
      <w:pPr>
        <w:tabs>
          <w:tab w:val="num" w:pos="4386"/>
        </w:tabs>
        <w:ind w:left="4386" w:hanging="180"/>
      </w:pPr>
    </w:lvl>
    <w:lvl w:ilvl="6" w:tplc="080A000F" w:tentative="1">
      <w:start w:val="1"/>
      <w:numFmt w:val="decimal"/>
      <w:lvlText w:val="%7."/>
      <w:lvlJc w:val="left"/>
      <w:pPr>
        <w:tabs>
          <w:tab w:val="num" w:pos="5106"/>
        </w:tabs>
        <w:ind w:left="5106" w:hanging="360"/>
      </w:pPr>
    </w:lvl>
    <w:lvl w:ilvl="7" w:tplc="080A0019" w:tentative="1">
      <w:start w:val="1"/>
      <w:numFmt w:val="lowerLetter"/>
      <w:lvlText w:val="%8."/>
      <w:lvlJc w:val="left"/>
      <w:pPr>
        <w:tabs>
          <w:tab w:val="num" w:pos="5826"/>
        </w:tabs>
        <w:ind w:left="5826" w:hanging="360"/>
      </w:pPr>
    </w:lvl>
    <w:lvl w:ilvl="8" w:tplc="080A001B" w:tentative="1">
      <w:start w:val="1"/>
      <w:numFmt w:val="lowerRoman"/>
      <w:lvlText w:val="%9."/>
      <w:lvlJc w:val="right"/>
      <w:pPr>
        <w:tabs>
          <w:tab w:val="num" w:pos="6546"/>
        </w:tabs>
        <w:ind w:left="6546" w:hanging="180"/>
      </w:pPr>
    </w:lvl>
  </w:abstractNum>
  <w:abstractNum w:abstractNumId="36" w15:restartNumberingAfterBreak="0">
    <w:nsid w:val="418727EB"/>
    <w:multiLevelType w:val="hybridMultilevel"/>
    <w:tmpl w:val="A344F748"/>
    <w:lvl w:ilvl="0" w:tplc="EC4A5FAC">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7" w15:restartNumberingAfterBreak="0">
    <w:nsid w:val="4232493F"/>
    <w:multiLevelType w:val="hybridMultilevel"/>
    <w:tmpl w:val="91968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2D365AF"/>
    <w:multiLevelType w:val="hybridMultilevel"/>
    <w:tmpl w:val="455AD9C0"/>
    <w:lvl w:ilvl="0" w:tplc="0BB8F1D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6EF71BC"/>
    <w:multiLevelType w:val="hybridMultilevel"/>
    <w:tmpl w:val="F29019D0"/>
    <w:lvl w:ilvl="0" w:tplc="199032E8">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0" w15:restartNumberingAfterBreak="0">
    <w:nsid w:val="4A6C6734"/>
    <w:multiLevelType w:val="hybridMultilevel"/>
    <w:tmpl w:val="E3FA9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C9C38D1"/>
    <w:multiLevelType w:val="hybridMultilevel"/>
    <w:tmpl w:val="F6C8E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F00080E"/>
    <w:multiLevelType w:val="hybridMultilevel"/>
    <w:tmpl w:val="40FC68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1282A12"/>
    <w:multiLevelType w:val="hybridMultilevel"/>
    <w:tmpl w:val="5E8A39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20E2B49"/>
    <w:multiLevelType w:val="hybridMultilevel"/>
    <w:tmpl w:val="F93861BE"/>
    <w:lvl w:ilvl="0" w:tplc="0DE4211C">
      <w:start w:val="1"/>
      <w:numFmt w:val="decimal"/>
      <w:lvlText w:val="%1."/>
      <w:lvlJc w:val="left"/>
      <w:pPr>
        <w:tabs>
          <w:tab w:val="num" w:pos="720"/>
        </w:tabs>
        <w:ind w:left="720" w:hanging="360"/>
      </w:pPr>
      <w:rPr>
        <w:rFonts w:hint="default"/>
        <w:b/>
      </w:r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5" w15:restartNumberingAfterBreak="0">
    <w:nsid w:val="5A537610"/>
    <w:multiLevelType w:val="hybridMultilevel"/>
    <w:tmpl w:val="ECD8BC7C"/>
    <w:lvl w:ilvl="0" w:tplc="080A0001">
      <w:start w:val="1"/>
      <w:numFmt w:val="bullet"/>
      <w:lvlText w:val=""/>
      <w:lvlJc w:val="left"/>
      <w:pPr>
        <w:tabs>
          <w:tab w:val="num" w:pos="794"/>
        </w:tabs>
        <w:ind w:left="794" w:hanging="227"/>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CA16977"/>
    <w:multiLevelType w:val="hybridMultilevel"/>
    <w:tmpl w:val="A0B02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F0F02DD"/>
    <w:multiLevelType w:val="hybridMultilevel"/>
    <w:tmpl w:val="06E041AA"/>
    <w:lvl w:ilvl="0" w:tplc="E5B4B8FA">
      <w:start w:val="1"/>
      <w:numFmt w:val="bullet"/>
      <w:lvlText w:val=""/>
      <w:lvlJc w:val="left"/>
      <w:pPr>
        <w:tabs>
          <w:tab w:val="num" w:pos="794"/>
        </w:tabs>
        <w:ind w:left="794" w:hanging="227"/>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033447A"/>
    <w:multiLevelType w:val="hybridMultilevel"/>
    <w:tmpl w:val="B92EC326"/>
    <w:lvl w:ilvl="0" w:tplc="FBB4C812">
      <w:start w:val="1"/>
      <w:numFmt w:val="lowerLetter"/>
      <w:lvlText w:val="%1)"/>
      <w:lvlJc w:val="left"/>
      <w:pPr>
        <w:tabs>
          <w:tab w:val="num" w:pos="720"/>
        </w:tabs>
        <w:ind w:left="720" w:hanging="360"/>
      </w:pPr>
      <w:rPr>
        <w:rFonts w:ascii="ITC Avant Garde" w:eastAsia="Times New Roman" w:hAnsi="ITC Avant Garde" w:cs="Times New Roman"/>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9" w15:restartNumberingAfterBreak="0">
    <w:nsid w:val="620A6BE0"/>
    <w:multiLevelType w:val="hybridMultilevel"/>
    <w:tmpl w:val="4AF06EA0"/>
    <w:lvl w:ilvl="0" w:tplc="73BC82CE">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50" w15:restartNumberingAfterBreak="0">
    <w:nsid w:val="64607391"/>
    <w:multiLevelType w:val="hybridMultilevel"/>
    <w:tmpl w:val="A14C63D2"/>
    <w:lvl w:ilvl="0" w:tplc="080A0001">
      <w:start w:val="1"/>
      <w:numFmt w:val="bullet"/>
      <w:lvlText w:val=""/>
      <w:lvlJc w:val="left"/>
      <w:pPr>
        <w:ind w:left="770" w:hanging="360"/>
      </w:pPr>
      <w:rPr>
        <w:rFonts w:ascii="Symbol" w:hAnsi="Symbol" w:hint="default"/>
      </w:r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51" w15:restartNumberingAfterBreak="0">
    <w:nsid w:val="6B39361F"/>
    <w:multiLevelType w:val="hybridMultilevel"/>
    <w:tmpl w:val="852A2670"/>
    <w:lvl w:ilvl="0" w:tplc="080A0001">
      <w:start w:val="1"/>
      <w:numFmt w:val="bullet"/>
      <w:lvlText w:val=""/>
      <w:lvlJc w:val="left"/>
      <w:pPr>
        <w:tabs>
          <w:tab w:val="num" w:pos="720"/>
        </w:tabs>
        <w:ind w:left="720" w:hanging="360"/>
      </w:pPr>
      <w:rPr>
        <w:rFonts w:ascii="Symbol" w:hAnsi="Symbol"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C6C36A2"/>
    <w:multiLevelType w:val="hybridMultilevel"/>
    <w:tmpl w:val="466AD318"/>
    <w:lvl w:ilvl="0" w:tplc="0409000F">
      <w:start w:val="1"/>
      <w:numFmt w:val="decimal"/>
      <w:lvlText w:val="%1."/>
      <w:lvlJc w:val="left"/>
      <w:pPr>
        <w:tabs>
          <w:tab w:val="num" w:pos="720"/>
        </w:tabs>
        <w:ind w:left="720" w:hanging="360"/>
      </w:pPr>
    </w:lvl>
    <w:lvl w:ilvl="1" w:tplc="C67623E0">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F3F1E61"/>
    <w:multiLevelType w:val="hybridMultilevel"/>
    <w:tmpl w:val="55701A68"/>
    <w:lvl w:ilvl="0" w:tplc="199032E8">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4" w15:restartNumberingAfterBreak="0">
    <w:nsid w:val="71080567"/>
    <w:multiLevelType w:val="hybridMultilevel"/>
    <w:tmpl w:val="F0BAAC1C"/>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5" w15:restartNumberingAfterBreak="0">
    <w:nsid w:val="7443069C"/>
    <w:multiLevelType w:val="hybridMultilevel"/>
    <w:tmpl w:val="81CE53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5755414"/>
    <w:multiLevelType w:val="multilevel"/>
    <w:tmpl w:val="B34A95A6"/>
    <w:lvl w:ilvl="0">
      <w:start w:val="1"/>
      <w:numFmt w:val="decimal"/>
      <w:pStyle w:val="Ttulo1"/>
      <w:lvlText w:val="%1"/>
      <w:lvlJc w:val="left"/>
      <w:pPr>
        <w:tabs>
          <w:tab w:val="num" w:pos="432"/>
        </w:tabs>
        <w:ind w:left="432" w:hanging="432"/>
      </w:pPr>
      <w:rPr>
        <w:rFonts w:hint="default"/>
        <w:sz w:val="22"/>
        <w:szCs w:val="22"/>
      </w:rPr>
    </w:lvl>
    <w:lvl w:ilvl="1">
      <w:start w:val="1"/>
      <w:numFmt w:val="decimal"/>
      <w:pStyle w:val="Ttulo2"/>
      <w:lvlText w:val="%1.%2"/>
      <w:lvlJc w:val="left"/>
      <w:pPr>
        <w:tabs>
          <w:tab w:val="num" w:pos="576"/>
        </w:tabs>
        <w:ind w:left="576" w:hanging="576"/>
      </w:pPr>
      <w:rPr>
        <w:rFonts w:hint="default"/>
        <w:sz w:val="22"/>
        <w:szCs w:val="22"/>
      </w:rPr>
    </w:lvl>
    <w:lvl w:ilvl="2">
      <w:start w:val="1"/>
      <w:numFmt w:val="decimal"/>
      <w:pStyle w:val="Ttulo3"/>
      <w:lvlText w:val="%1.%2.%3"/>
      <w:lvlJc w:val="left"/>
      <w:pPr>
        <w:tabs>
          <w:tab w:val="num" w:pos="720"/>
        </w:tabs>
        <w:ind w:left="720" w:hanging="720"/>
      </w:pPr>
      <w:rPr>
        <w:rFonts w:hint="default"/>
        <w:sz w:val="22"/>
        <w:szCs w:val="22"/>
      </w:rPr>
    </w:lvl>
    <w:lvl w:ilvl="3">
      <w:start w:val="1"/>
      <w:numFmt w:val="decimal"/>
      <w:pStyle w:val="Ttulo4"/>
      <w:lvlText w:val="%1.%2.%3.%4"/>
      <w:lvlJc w:val="left"/>
      <w:pPr>
        <w:tabs>
          <w:tab w:val="num" w:pos="864"/>
        </w:tabs>
        <w:ind w:left="864" w:hanging="864"/>
      </w:pPr>
      <w:rPr>
        <w:rFonts w:hint="default"/>
        <w:sz w:val="22"/>
        <w:szCs w:val="22"/>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57" w15:restartNumberingAfterBreak="0">
    <w:nsid w:val="770558A4"/>
    <w:multiLevelType w:val="hybridMultilevel"/>
    <w:tmpl w:val="19D67AE6"/>
    <w:lvl w:ilvl="0" w:tplc="66DEC904">
      <w:start w:val="3"/>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88A0B07"/>
    <w:multiLevelType w:val="hybridMultilevel"/>
    <w:tmpl w:val="D4DC7A66"/>
    <w:lvl w:ilvl="0" w:tplc="02E6711C">
      <w:start w:val="1"/>
      <w:numFmt w:val="lowerRoman"/>
      <w:lvlText w:val="%1)"/>
      <w:lvlJc w:val="left"/>
      <w:pPr>
        <w:tabs>
          <w:tab w:val="num" w:pos="720"/>
        </w:tabs>
        <w:ind w:left="720" w:hanging="360"/>
      </w:pPr>
      <w:rPr>
        <w:rFonts w:ascii="ITC Avant Garde" w:eastAsia="Times New Roman" w:hAnsi="ITC Avant Garde" w:cs="Times New Roman"/>
      </w:rPr>
    </w:lvl>
    <w:lvl w:ilvl="1" w:tplc="C302D014" w:tentative="1">
      <w:start w:val="1"/>
      <w:numFmt w:val="lowerLetter"/>
      <w:lvlText w:val="%2."/>
      <w:lvlJc w:val="left"/>
      <w:pPr>
        <w:tabs>
          <w:tab w:val="num" w:pos="1440"/>
        </w:tabs>
        <w:ind w:left="1440" w:hanging="360"/>
      </w:pPr>
    </w:lvl>
    <w:lvl w:ilvl="2" w:tplc="0DACCE38" w:tentative="1">
      <w:start w:val="1"/>
      <w:numFmt w:val="lowerRoman"/>
      <w:lvlText w:val="%3."/>
      <w:lvlJc w:val="right"/>
      <w:pPr>
        <w:tabs>
          <w:tab w:val="num" w:pos="2160"/>
        </w:tabs>
        <w:ind w:left="2160" w:hanging="180"/>
      </w:pPr>
    </w:lvl>
    <w:lvl w:ilvl="3" w:tplc="EAF43F2A" w:tentative="1">
      <w:start w:val="1"/>
      <w:numFmt w:val="decimal"/>
      <w:lvlText w:val="%4."/>
      <w:lvlJc w:val="left"/>
      <w:pPr>
        <w:tabs>
          <w:tab w:val="num" w:pos="2880"/>
        </w:tabs>
        <w:ind w:left="2880" w:hanging="360"/>
      </w:pPr>
    </w:lvl>
    <w:lvl w:ilvl="4" w:tplc="B068F698" w:tentative="1">
      <w:start w:val="1"/>
      <w:numFmt w:val="lowerLetter"/>
      <w:lvlText w:val="%5."/>
      <w:lvlJc w:val="left"/>
      <w:pPr>
        <w:tabs>
          <w:tab w:val="num" w:pos="3600"/>
        </w:tabs>
        <w:ind w:left="3600" w:hanging="360"/>
      </w:pPr>
    </w:lvl>
    <w:lvl w:ilvl="5" w:tplc="CAD6ECEC" w:tentative="1">
      <w:start w:val="1"/>
      <w:numFmt w:val="lowerRoman"/>
      <w:lvlText w:val="%6."/>
      <w:lvlJc w:val="right"/>
      <w:pPr>
        <w:tabs>
          <w:tab w:val="num" w:pos="4320"/>
        </w:tabs>
        <w:ind w:left="4320" w:hanging="180"/>
      </w:pPr>
    </w:lvl>
    <w:lvl w:ilvl="6" w:tplc="9C526528" w:tentative="1">
      <w:start w:val="1"/>
      <w:numFmt w:val="decimal"/>
      <w:lvlText w:val="%7."/>
      <w:lvlJc w:val="left"/>
      <w:pPr>
        <w:tabs>
          <w:tab w:val="num" w:pos="5040"/>
        </w:tabs>
        <w:ind w:left="5040" w:hanging="360"/>
      </w:pPr>
    </w:lvl>
    <w:lvl w:ilvl="7" w:tplc="1BC00C0A" w:tentative="1">
      <w:start w:val="1"/>
      <w:numFmt w:val="lowerLetter"/>
      <w:lvlText w:val="%8."/>
      <w:lvlJc w:val="left"/>
      <w:pPr>
        <w:tabs>
          <w:tab w:val="num" w:pos="5760"/>
        </w:tabs>
        <w:ind w:left="5760" w:hanging="360"/>
      </w:pPr>
    </w:lvl>
    <w:lvl w:ilvl="8" w:tplc="4F3E9560" w:tentative="1">
      <w:start w:val="1"/>
      <w:numFmt w:val="lowerRoman"/>
      <w:lvlText w:val="%9."/>
      <w:lvlJc w:val="right"/>
      <w:pPr>
        <w:tabs>
          <w:tab w:val="num" w:pos="6480"/>
        </w:tabs>
        <w:ind w:left="6480" w:hanging="180"/>
      </w:pPr>
    </w:lvl>
  </w:abstractNum>
  <w:abstractNum w:abstractNumId="59" w15:restartNumberingAfterBreak="0">
    <w:nsid w:val="79272540"/>
    <w:multiLevelType w:val="hybridMultilevel"/>
    <w:tmpl w:val="9E48D4B6"/>
    <w:lvl w:ilvl="0" w:tplc="333603C2">
      <w:start w:val="1"/>
      <w:numFmt w:val="decimal"/>
      <w:lvlText w:val="%1."/>
      <w:lvlJc w:val="left"/>
      <w:pPr>
        <w:tabs>
          <w:tab w:val="num" w:pos="720"/>
        </w:tabs>
        <w:ind w:left="720" w:hanging="360"/>
      </w:pPr>
    </w:lvl>
    <w:lvl w:ilvl="1" w:tplc="9A681018">
      <w:start w:val="1"/>
      <w:numFmt w:val="lowerLetter"/>
      <w:lvlText w:val="%2."/>
      <w:lvlJc w:val="left"/>
      <w:pPr>
        <w:tabs>
          <w:tab w:val="num" w:pos="1440"/>
        </w:tabs>
        <w:ind w:left="1440" w:hanging="360"/>
      </w:pPr>
    </w:lvl>
    <w:lvl w:ilvl="2" w:tplc="D032C628" w:tentative="1">
      <w:start w:val="1"/>
      <w:numFmt w:val="lowerRoman"/>
      <w:lvlText w:val="%3."/>
      <w:lvlJc w:val="right"/>
      <w:pPr>
        <w:tabs>
          <w:tab w:val="num" w:pos="2160"/>
        </w:tabs>
        <w:ind w:left="2160" w:hanging="180"/>
      </w:pPr>
    </w:lvl>
    <w:lvl w:ilvl="3" w:tplc="8E109F14" w:tentative="1">
      <w:start w:val="1"/>
      <w:numFmt w:val="decimal"/>
      <w:lvlText w:val="%4."/>
      <w:lvlJc w:val="left"/>
      <w:pPr>
        <w:tabs>
          <w:tab w:val="num" w:pos="2880"/>
        </w:tabs>
        <w:ind w:left="2880" w:hanging="360"/>
      </w:pPr>
    </w:lvl>
    <w:lvl w:ilvl="4" w:tplc="3190B3B0" w:tentative="1">
      <w:start w:val="1"/>
      <w:numFmt w:val="lowerLetter"/>
      <w:lvlText w:val="%5."/>
      <w:lvlJc w:val="left"/>
      <w:pPr>
        <w:tabs>
          <w:tab w:val="num" w:pos="3600"/>
        </w:tabs>
        <w:ind w:left="3600" w:hanging="360"/>
      </w:pPr>
    </w:lvl>
    <w:lvl w:ilvl="5" w:tplc="0D6EAAEC" w:tentative="1">
      <w:start w:val="1"/>
      <w:numFmt w:val="lowerRoman"/>
      <w:lvlText w:val="%6."/>
      <w:lvlJc w:val="right"/>
      <w:pPr>
        <w:tabs>
          <w:tab w:val="num" w:pos="4320"/>
        </w:tabs>
        <w:ind w:left="4320" w:hanging="180"/>
      </w:pPr>
    </w:lvl>
    <w:lvl w:ilvl="6" w:tplc="B650A050" w:tentative="1">
      <w:start w:val="1"/>
      <w:numFmt w:val="decimal"/>
      <w:lvlText w:val="%7."/>
      <w:lvlJc w:val="left"/>
      <w:pPr>
        <w:tabs>
          <w:tab w:val="num" w:pos="5040"/>
        </w:tabs>
        <w:ind w:left="5040" w:hanging="360"/>
      </w:pPr>
    </w:lvl>
    <w:lvl w:ilvl="7" w:tplc="C778F496" w:tentative="1">
      <w:start w:val="1"/>
      <w:numFmt w:val="lowerLetter"/>
      <w:lvlText w:val="%8."/>
      <w:lvlJc w:val="left"/>
      <w:pPr>
        <w:tabs>
          <w:tab w:val="num" w:pos="5760"/>
        </w:tabs>
        <w:ind w:left="5760" w:hanging="360"/>
      </w:pPr>
    </w:lvl>
    <w:lvl w:ilvl="8" w:tplc="DCA44004" w:tentative="1">
      <w:start w:val="1"/>
      <w:numFmt w:val="lowerRoman"/>
      <w:lvlText w:val="%9."/>
      <w:lvlJc w:val="right"/>
      <w:pPr>
        <w:tabs>
          <w:tab w:val="num" w:pos="6480"/>
        </w:tabs>
        <w:ind w:left="6480" w:hanging="180"/>
      </w:pPr>
    </w:lvl>
  </w:abstractNum>
  <w:abstractNum w:abstractNumId="60" w15:restartNumberingAfterBreak="0">
    <w:nsid w:val="7C9F4659"/>
    <w:multiLevelType w:val="hybridMultilevel"/>
    <w:tmpl w:val="AA749466"/>
    <w:lvl w:ilvl="0" w:tplc="98CA1D26">
      <w:start w:val="1"/>
      <w:numFmt w:val="lowerRoman"/>
      <w:lvlText w:val="%1)"/>
      <w:lvlJc w:val="left"/>
      <w:pPr>
        <w:tabs>
          <w:tab w:val="num" w:pos="720"/>
        </w:tabs>
        <w:ind w:left="720" w:hanging="360"/>
      </w:pPr>
      <w:rPr>
        <w:rFonts w:ascii="ITC Avant Garde" w:eastAsia="Times New Roman" w:hAnsi="ITC Avant Garde" w:cs="Times New Roman"/>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1" w15:restartNumberingAfterBreak="0">
    <w:nsid w:val="7CA774A3"/>
    <w:multiLevelType w:val="hybridMultilevel"/>
    <w:tmpl w:val="CCF8DFD4"/>
    <w:lvl w:ilvl="0" w:tplc="0C0A000F">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CF646D9"/>
    <w:multiLevelType w:val="hybridMultilevel"/>
    <w:tmpl w:val="8C0C2648"/>
    <w:lvl w:ilvl="0" w:tplc="080A0001">
      <w:start w:val="1"/>
      <w:numFmt w:val="decimal"/>
      <w:lvlText w:val="%1."/>
      <w:lvlJc w:val="left"/>
      <w:pPr>
        <w:tabs>
          <w:tab w:val="num" w:pos="720"/>
        </w:tabs>
        <w:ind w:left="720" w:hanging="360"/>
      </w:p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63" w15:restartNumberingAfterBreak="0">
    <w:nsid w:val="7DC3659F"/>
    <w:multiLevelType w:val="hybridMultilevel"/>
    <w:tmpl w:val="FCEA2D5C"/>
    <w:lvl w:ilvl="0" w:tplc="AC32AF7A">
      <w:start w:val="1"/>
      <w:numFmt w:val="lowerRoman"/>
      <w:lvlText w:val="%1)"/>
      <w:lvlJc w:val="left"/>
      <w:pPr>
        <w:tabs>
          <w:tab w:val="num" w:pos="720"/>
        </w:tabs>
        <w:ind w:left="720" w:hanging="360"/>
      </w:pPr>
      <w:rPr>
        <w:rFonts w:ascii="ITC Avant Garde" w:eastAsia="Times New Roman" w:hAnsi="ITC Avant Garde"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num>
  <w:num w:numId="3">
    <w:abstractNumId w:val="52"/>
  </w:num>
  <w:num w:numId="4">
    <w:abstractNumId w:val="62"/>
  </w:num>
  <w:num w:numId="5">
    <w:abstractNumId w:val="60"/>
  </w:num>
  <w:num w:numId="6">
    <w:abstractNumId w:val="58"/>
  </w:num>
  <w:num w:numId="7">
    <w:abstractNumId w:val="63"/>
  </w:num>
  <w:num w:numId="8">
    <w:abstractNumId w:val="3"/>
  </w:num>
  <w:num w:numId="9">
    <w:abstractNumId w:val="33"/>
  </w:num>
  <w:num w:numId="10">
    <w:abstractNumId w:val="59"/>
  </w:num>
  <w:num w:numId="11">
    <w:abstractNumId w:val="30"/>
  </w:num>
  <w:num w:numId="12">
    <w:abstractNumId w:val="6"/>
  </w:num>
  <w:num w:numId="13">
    <w:abstractNumId w:val="51"/>
  </w:num>
  <w:num w:numId="14">
    <w:abstractNumId w:val="24"/>
  </w:num>
  <w:num w:numId="15">
    <w:abstractNumId w:val="44"/>
  </w:num>
  <w:num w:numId="16">
    <w:abstractNumId w:val="11"/>
  </w:num>
  <w:num w:numId="17">
    <w:abstractNumId w:val="35"/>
  </w:num>
  <w:num w:numId="18">
    <w:abstractNumId w:val="61"/>
  </w:num>
  <w:num w:numId="19">
    <w:abstractNumId w:val="47"/>
  </w:num>
  <w:num w:numId="20">
    <w:abstractNumId w:val="15"/>
  </w:num>
  <w:num w:numId="21">
    <w:abstractNumId w:val="56"/>
  </w:num>
  <w:num w:numId="22">
    <w:abstractNumId w:val="21"/>
  </w:num>
  <w:num w:numId="23">
    <w:abstractNumId w:val="42"/>
  </w:num>
  <w:num w:numId="24">
    <w:abstractNumId w:val="14"/>
  </w:num>
  <w:num w:numId="25">
    <w:abstractNumId w:val="12"/>
  </w:num>
  <w:num w:numId="26">
    <w:abstractNumId w:val="9"/>
  </w:num>
  <w:num w:numId="27">
    <w:abstractNumId w:val="8"/>
  </w:num>
  <w:num w:numId="28">
    <w:abstractNumId w:val="48"/>
  </w:num>
  <w:num w:numId="29">
    <w:abstractNumId w:val="54"/>
  </w:num>
  <w:num w:numId="30">
    <w:abstractNumId w:val="53"/>
  </w:num>
  <w:num w:numId="31">
    <w:abstractNumId w:val="39"/>
  </w:num>
  <w:num w:numId="32">
    <w:abstractNumId w:val="22"/>
  </w:num>
  <w:num w:numId="33">
    <w:abstractNumId w:val="5"/>
  </w:num>
  <w:num w:numId="34">
    <w:abstractNumId w:val="49"/>
  </w:num>
  <w:num w:numId="35">
    <w:abstractNumId w:val="2"/>
  </w:num>
  <w:num w:numId="36">
    <w:abstractNumId w:val="37"/>
  </w:num>
  <w:num w:numId="37">
    <w:abstractNumId w:val="50"/>
  </w:num>
  <w:num w:numId="38">
    <w:abstractNumId w:val="45"/>
  </w:num>
  <w:num w:numId="39">
    <w:abstractNumId w:val="43"/>
  </w:num>
  <w:num w:numId="40">
    <w:abstractNumId w:val="27"/>
  </w:num>
  <w:num w:numId="41">
    <w:abstractNumId w:val="17"/>
  </w:num>
  <w:num w:numId="42">
    <w:abstractNumId w:val="26"/>
  </w:num>
  <w:num w:numId="43">
    <w:abstractNumId w:val="46"/>
  </w:num>
  <w:num w:numId="44">
    <w:abstractNumId w:val="31"/>
  </w:num>
  <w:num w:numId="45">
    <w:abstractNumId w:val="34"/>
  </w:num>
  <w:num w:numId="46">
    <w:abstractNumId w:val="7"/>
  </w:num>
  <w:num w:numId="47">
    <w:abstractNumId w:val="41"/>
  </w:num>
  <w:num w:numId="48">
    <w:abstractNumId w:val="0"/>
  </w:num>
  <w:num w:numId="49">
    <w:abstractNumId w:val="20"/>
  </w:num>
  <w:num w:numId="50">
    <w:abstractNumId w:val="29"/>
  </w:num>
  <w:num w:numId="51">
    <w:abstractNumId w:val="25"/>
  </w:num>
  <w:num w:numId="52">
    <w:abstractNumId w:val="57"/>
  </w:num>
  <w:num w:numId="53">
    <w:abstractNumId w:val="36"/>
  </w:num>
  <w:num w:numId="54">
    <w:abstractNumId w:val="38"/>
  </w:num>
  <w:num w:numId="55">
    <w:abstractNumId w:val="55"/>
  </w:num>
  <w:num w:numId="56">
    <w:abstractNumId w:val="13"/>
  </w:num>
  <w:num w:numId="57">
    <w:abstractNumId w:val="10"/>
  </w:num>
  <w:num w:numId="58">
    <w:abstractNumId w:val="18"/>
  </w:num>
  <w:num w:numId="59">
    <w:abstractNumId w:val="19"/>
  </w:num>
  <w:num w:numId="60">
    <w:abstractNumId w:val="32"/>
  </w:num>
  <w:num w:numId="61">
    <w:abstractNumId w:val="28"/>
  </w:num>
  <w:num w:numId="62">
    <w:abstractNumId w:val="16"/>
  </w:num>
  <w:num w:numId="63">
    <w:abstractNumId w:val="40"/>
  </w:num>
  <w:num w:numId="64">
    <w:abstractNumId w:val="23"/>
  </w:num>
  <w:num w:numId="65">
    <w:abstractNumId w:val="7"/>
    <w:lvlOverride w:ilvl="0"/>
    <w:lvlOverride w:ilvl="1">
      <w:startOverride w:val="1"/>
    </w:lvlOverride>
    <w:lvlOverride w:ilvl="2"/>
    <w:lvlOverride w:ilvl="3"/>
    <w:lvlOverride w:ilvl="4"/>
    <w:lvlOverride w:ilvl="5"/>
    <w:lvlOverride w:ilvl="6"/>
    <w:lvlOverride w:ilvl="7"/>
    <w:lvlOverride w:ilvl="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257"/>
    <w:rsid w:val="00000A7B"/>
    <w:rsid w:val="00002970"/>
    <w:rsid w:val="00003343"/>
    <w:rsid w:val="000033E4"/>
    <w:rsid w:val="00005307"/>
    <w:rsid w:val="00012FCD"/>
    <w:rsid w:val="00016EA9"/>
    <w:rsid w:val="00017DA7"/>
    <w:rsid w:val="0002482E"/>
    <w:rsid w:val="00041114"/>
    <w:rsid w:val="0005302D"/>
    <w:rsid w:val="00054546"/>
    <w:rsid w:val="00063883"/>
    <w:rsid w:val="00063DEA"/>
    <w:rsid w:val="00063EF9"/>
    <w:rsid w:val="000660C7"/>
    <w:rsid w:val="000734D0"/>
    <w:rsid w:val="00075B85"/>
    <w:rsid w:val="00085B33"/>
    <w:rsid w:val="000874F1"/>
    <w:rsid w:val="000935D8"/>
    <w:rsid w:val="000A5452"/>
    <w:rsid w:val="000A7CFC"/>
    <w:rsid w:val="000B3F97"/>
    <w:rsid w:val="000B51F3"/>
    <w:rsid w:val="000B7FFE"/>
    <w:rsid w:val="000C1625"/>
    <w:rsid w:val="000D5EE0"/>
    <w:rsid w:val="000D7159"/>
    <w:rsid w:val="000E0098"/>
    <w:rsid w:val="000E4C3B"/>
    <w:rsid w:val="000F00C4"/>
    <w:rsid w:val="00100971"/>
    <w:rsid w:val="00102472"/>
    <w:rsid w:val="001138DB"/>
    <w:rsid w:val="00121B69"/>
    <w:rsid w:val="001261C7"/>
    <w:rsid w:val="0012734F"/>
    <w:rsid w:val="00136324"/>
    <w:rsid w:val="00136D81"/>
    <w:rsid w:val="001432B1"/>
    <w:rsid w:val="0014375D"/>
    <w:rsid w:val="00145B68"/>
    <w:rsid w:val="00146391"/>
    <w:rsid w:val="0015275E"/>
    <w:rsid w:val="00163E01"/>
    <w:rsid w:val="00172C99"/>
    <w:rsid w:val="00174505"/>
    <w:rsid w:val="00185236"/>
    <w:rsid w:val="00196D9D"/>
    <w:rsid w:val="001A204C"/>
    <w:rsid w:val="001B21E0"/>
    <w:rsid w:val="001C3649"/>
    <w:rsid w:val="001C3AB2"/>
    <w:rsid w:val="001C5763"/>
    <w:rsid w:val="001C6183"/>
    <w:rsid w:val="001D697E"/>
    <w:rsid w:val="001E16F6"/>
    <w:rsid w:val="00206A4E"/>
    <w:rsid w:val="002126EF"/>
    <w:rsid w:val="0021428A"/>
    <w:rsid w:val="00222340"/>
    <w:rsid w:val="00236695"/>
    <w:rsid w:val="0023714B"/>
    <w:rsid w:val="00240C14"/>
    <w:rsid w:val="002410FC"/>
    <w:rsid w:val="00243CD9"/>
    <w:rsid w:val="00244494"/>
    <w:rsid w:val="00244DBB"/>
    <w:rsid w:val="0025123A"/>
    <w:rsid w:val="00264F80"/>
    <w:rsid w:val="00270823"/>
    <w:rsid w:val="0027547C"/>
    <w:rsid w:val="00275837"/>
    <w:rsid w:val="00276A49"/>
    <w:rsid w:val="00277D50"/>
    <w:rsid w:val="002875D0"/>
    <w:rsid w:val="00292AA5"/>
    <w:rsid w:val="00297EC1"/>
    <w:rsid w:val="002A4CA3"/>
    <w:rsid w:val="002A5EF8"/>
    <w:rsid w:val="002A7200"/>
    <w:rsid w:val="002B0520"/>
    <w:rsid w:val="002B38E5"/>
    <w:rsid w:val="002B3B03"/>
    <w:rsid w:val="002B5E8D"/>
    <w:rsid w:val="002B5EEF"/>
    <w:rsid w:val="002C41DC"/>
    <w:rsid w:val="002D7159"/>
    <w:rsid w:val="002D7304"/>
    <w:rsid w:val="002E2D8C"/>
    <w:rsid w:val="002E3DC2"/>
    <w:rsid w:val="002E561B"/>
    <w:rsid w:val="002E75DC"/>
    <w:rsid w:val="002E7CF2"/>
    <w:rsid w:val="002F52F6"/>
    <w:rsid w:val="0030438F"/>
    <w:rsid w:val="003068D5"/>
    <w:rsid w:val="00316451"/>
    <w:rsid w:val="00327FD0"/>
    <w:rsid w:val="00343CA2"/>
    <w:rsid w:val="00351BAB"/>
    <w:rsid w:val="00355FB2"/>
    <w:rsid w:val="003573B3"/>
    <w:rsid w:val="00357D3B"/>
    <w:rsid w:val="003704B9"/>
    <w:rsid w:val="00371515"/>
    <w:rsid w:val="0037602B"/>
    <w:rsid w:val="00384B9F"/>
    <w:rsid w:val="00387039"/>
    <w:rsid w:val="003949FE"/>
    <w:rsid w:val="00394FD7"/>
    <w:rsid w:val="003A039C"/>
    <w:rsid w:val="003A349F"/>
    <w:rsid w:val="003A68F4"/>
    <w:rsid w:val="003B2B66"/>
    <w:rsid w:val="003B3186"/>
    <w:rsid w:val="003B36E9"/>
    <w:rsid w:val="003B7001"/>
    <w:rsid w:val="003C1811"/>
    <w:rsid w:val="003E1F40"/>
    <w:rsid w:val="003E2D74"/>
    <w:rsid w:val="003E3E94"/>
    <w:rsid w:val="004004B7"/>
    <w:rsid w:val="00405462"/>
    <w:rsid w:val="004060F3"/>
    <w:rsid w:val="00410311"/>
    <w:rsid w:val="00410705"/>
    <w:rsid w:val="00421CC6"/>
    <w:rsid w:val="004249A9"/>
    <w:rsid w:val="00430D2C"/>
    <w:rsid w:val="0043412C"/>
    <w:rsid w:val="00451230"/>
    <w:rsid w:val="004549E6"/>
    <w:rsid w:val="00460A2B"/>
    <w:rsid w:val="00465863"/>
    <w:rsid w:val="0047383F"/>
    <w:rsid w:val="00473D68"/>
    <w:rsid w:val="0047537F"/>
    <w:rsid w:val="00481ED9"/>
    <w:rsid w:val="00485D88"/>
    <w:rsid w:val="004A001A"/>
    <w:rsid w:val="004A31F5"/>
    <w:rsid w:val="004A3DBC"/>
    <w:rsid w:val="004A6089"/>
    <w:rsid w:val="004A6ACD"/>
    <w:rsid w:val="004B0A5A"/>
    <w:rsid w:val="004B66F1"/>
    <w:rsid w:val="004B7CA1"/>
    <w:rsid w:val="004C3F1C"/>
    <w:rsid w:val="004D16E8"/>
    <w:rsid w:val="004E51D8"/>
    <w:rsid w:val="004E72B6"/>
    <w:rsid w:val="004F2DA1"/>
    <w:rsid w:val="004F3846"/>
    <w:rsid w:val="004F3ADA"/>
    <w:rsid w:val="005003F8"/>
    <w:rsid w:val="00511783"/>
    <w:rsid w:val="00530665"/>
    <w:rsid w:val="005320AA"/>
    <w:rsid w:val="00535CCB"/>
    <w:rsid w:val="00535F75"/>
    <w:rsid w:val="00543A27"/>
    <w:rsid w:val="00545D01"/>
    <w:rsid w:val="005515E0"/>
    <w:rsid w:val="00551750"/>
    <w:rsid w:val="00551EB2"/>
    <w:rsid w:val="005523E6"/>
    <w:rsid w:val="00562321"/>
    <w:rsid w:val="005626A6"/>
    <w:rsid w:val="00566188"/>
    <w:rsid w:val="005752B4"/>
    <w:rsid w:val="00581FA3"/>
    <w:rsid w:val="005825B9"/>
    <w:rsid w:val="0058356B"/>
    <w:rsid w:val="00594DAE"/>
    <w:rsid w:val="0059761B"/>
    <w:rsid w:val="00597E9C"/>
    <w:rsid w:val="005A2E6C"/>
    <w:rsid w:val="005B15D9"/>
    <w:rsid w:val="005B725D"/>
    <w:rsid w:val="005B7654"/>
    <w:rsid w:val="005C30C8"/>
    <w:rsid w:val="005E04EF"/>
    <w:rsid w:val="005E0F45"/>
    <w:rsid w:val="005E4EF7"/>
    <w:rsid w:val="005F038C"/>
    <w:rsid w:val="005F1415"/>
    <w:rsid w:val="005F2346"/>
    <w:rsid w:val="005F393C"/>
    <w:rsid w:val="005F4C44"/>
    <w:rsid w:val="00600483"/>
    <w:rsid w:val="00607183"/>
    <w:rsid w:val="00607D6F"/>
    <w:rsid w:val="00610306"/>
    <w:rsid w:val="00610E42"/>
    <w:rsid w:val="006111BE"/>
    <w:rsid w:val="0061163D"/>
    <w:rsid w:val="0061447E"/>
    <w:rsid w:val="00633EFC"/>
    <w:rsid w:val="006513E8"/>
    <w:rsid w:val="006521B5"/>
    <w:rsid w:val="0065242F"/>
    <w:rsid w:val="00663FB9"/>
    <w:rsid w:val="00672004"/>
    <w:rsid w:val="00674787"/>
    <w:rsid w:val="006811C7"/>
    <w:rsid w:val="00684346"/>
    <w:rsid w:val="00693391"/>
    <w:rsid w:val="006A1E45"/>
    <w:rsid w:val="006A1F16"/>
    <w:rsid w:val="006A238D"/>
    <w:rsid w:val="006A4BC8"/>
    <w:rsid w:val="006B39D5"/>
    <w:rsid w:val="006B4AE9"/>
    <w:rsid w:val="006B545A"/>
    <w:rsid w:val="006B595F"/>
    <w:rsid w:val="006C4569"/>
    <w:rsid w:val="006C4F48"/>
    <w:rsid w:val="006F19EC"/>
    <w:rsid w:val="006F6913"/>
    <w:rsid w:val="007020DD"/>
    <w:rsid w:val="0070533A"/>
    <w:rsid w:val="007104B9"/>
    <w:rsid w:val="00710BC7"/>
    <w:rsid w:val="00713C49"/>
    <w:rsid w:val="00736520"/>
    <w:rsid w:val="00736FEE"/>
    <w:rsid w:val="00737F3D"/>
    <w:rsid w:val="00741CFA"/>
    <w:rsid w:val="00745617"/>
    <w:rsid w:val="00755152"/>
    <w:rsid w:val="0075524D"/>
    <w:rsid w:val="0076109C"/>
    <w:rsid w:val="00772E7C"/>
    <w:rsid w:val="00781F8F"/>
    <w:rsid w:val="0078543F"/>
    <w:rsid w:val="0079692B"/>
    <w:rsid w:val="007A1004"/>
    <w:rsid w:val="007A44AB"/>
    <w:rsid w:val="007B5493"/>
    <w:rsid w:val="007C507F"/>
    <w:rsid w:val="007D1B79"/>
    <w:rsid w:val="007D4E75"/>
    <w:rsid w:val="007D5FC0"/>
    <w:rsid w:val="007D6947"/>
    <w:rsid w:val="007E29C9"/>
    <w:rsid w:val="00801FEE"/>
    <w:rsid w:val="008109C1"/>
    <w:rsid w:val="008134CF"/>
    <w:rsid w:val="008149FD"/>
    <w:rsid w:val="00815EA7"/>
    <w:rsid w:val="008161A0"/>
    <w:rsid w:val="00820C86"/>
    <w:rsid w:val="0083277E"/>
    <w:rsid w:val="00833562"/>
    <w:rsid w:val="00844CE4"/>
    <w:rsid w:val="00844F62"/>
    <w:rsid w:val="008467DF"/>
    <w:rsid w:val="0085048E"/>
    <w:rsid w:val="00854A7B"/>
    <w:rsid w:val="00856163"/>
    <w:rsid w:val="0086242B"/>
    <w:rsid w:val="008748F8"/>
    <w:rsid w:val="008762AF"/>
    <w:rsid w:val="00877A6B"/>
    <w:rsid w:val="00877CA6"/>
    <w:rsid w:val="008811D4"/>
    <w:rsid w:val="0088391C"/>
    <w:rsid w:val="00893E92"/>
    <w:rsid w:val="008A03BD"/>
    <w:rsid w:val="008A2D06"/>
    <w:rsid w:val="008A4694"/>
    <w:rsid w:val="008A4FB5"/>
    <w:rsid w:val="008B562E"/>
    <w:rsid w:val="008C0ADA"/>
    <w:rsid w:val="008C1A6A"/>
    <w:rsid w:val="008C5E1B"/>
    <w:rsid w:val="008C6DA9"/>
    <w:rsid w:val="008D6BF4"/>
    <w:rsid w:val="008E2D80"/>
    <w:rsid w:val="008E55BA"/>
    <w:rsid w:val="008E76D1"/>
    <w:rsid w:val="008F781A"/>
    <w:rsid w:val="00902727"/>
    <w:rsid w:val="00904CCA"/>
    <w:rsid w:val="00907DB6"/>
    <w:rsid w:val="0091126B"/>
    <w:rsid w:val="00912175"/>
    <w:rsid w:val="00913655"/>
    <w:rsid w:val="00917D4D"/>
    <w:rsid w:val="00917DF4"/>
    <w:rsid w:val="00922C90"/>
    <w:rsid w:val="009264ED"/>
    <w:rsid w:val="009354C9"/>
    <w:rsid w:val="00936D4A"/>
    <w:rsid w:val="00952BBA"/>
    <w:rsid w:val="009662F7"/>
    <w:rsid w:val="00987B77"/>
    <w:rsid w:val="00992611"/>
    <w:rsid w:val="00993D63"/>
    <w:rsid w:val="00995E40"/>
    <w:rsid w:val="009975FB"/>
    <w:rsid w:val="009A2D31"/>
    <w:rsid w:val="009A3701"/>
    <w:rsid w:val="009A5860"/>
    <w:rsid w:val="009A5A3A"/>
    <w:rsid w:val="009B099B"/>
    <w:rsid w:val="009B0D35"/>
    <w:rsid w:val="009B2FFC"/>
    <w:rsid w:val="009C2C30"/>
    <w:rsid w:val="009C4506"/>
    <w:rsid w:val="009D1132"/>
    <w:rsid w:val="009D40E5"/>
    <w:rsid w:val="009D5B15"/>
    <w:rsid w:val="009E476E"/>
    <w:rsid w:val="00A00ECC"/>
    <w:rsid w:val="00A02907"/>
    <w:rsid w:val="00A06BAF"/>
    <w:rsid w:val="00A1058D"/>
    <w:rsid w:val="00A1163F"/>
    <w:rsid w:val="00A12835"/>
    <w:rsid w:val="00A13BDA"/>
    <w:rsid w:val="00A14FC5"/>
    <w:rsid w:val="00A21645"/>
    <w:rsid w:val="00A24162"/>
    <w:rsid w:val="00A24FAA"/>
    <w:rsid w:val="00A309C2"/>
    <w:rsid w:val="00A30BE4"/>
    <w:rsid w:val="00A40332"/>
    <w:rsid w:val="00A439C7"/>
    <w:rsid w:val="00A45B51"/>
    <w:rsid w:val="00A5423B"/>
    <w:rsid w:val="00A56D97"/>
    <w:rsid w:val="00A57F58"/>
    <w:rsid w:val="00A73080"/>
    <w:rsid w:val="00A7522A"/>
    <w:rsid w:val="00A754EC"/>
    <w:rsid w:val="00A91B96"/>
    <w:rsid w:val="00A91F62"/>
    <w:rsid w:val="00A92128"/>
    <w:rsid w:val="00A92A0D"/>
    <w:rsid w:val="00A97134"/>
    <w:rsid w:val="00AA0061"/>
    <w:rsid w:val="00AA1564"/>
    <w:rsid w:val="00AA1DAF"/>
    <w:rsid w:val="00AA5D3D"/>
    <w:rsid w:val="00AB2550"/>
    <w:rsid w:val="00AB5181"/>
    <w:rsid w:val="00AB5E66"/>
    <w:rsid w:val="00AC144D"/>
    <w:rsid w:val="00AC43B5"/>
    <w:rsid w:val="00AC712F"/>
    <w:rsid w:val="00AC7F39"/>
    <w:rsid w:val="00AE11F0"/>
    <w:rsid w:val="00AE6C03"/>
    <w:rsid w:val="00AF2426"/>
    <w:rsid w:val="00AF5572"/>
    <w:rsid w:val="00AF7FCC"/>
    <w:rsid w:val="00B048FC"/>
    <w:rsid w:val="00B143A8"/>
    <w:rsid w:val="00B15485"/>
    <w:rsid w:val="00B15764"/>
    <w:rsid w:val="00B22CC5"/>
    <w:rsid w:val="00B25111"/>
    <w:rsid w:val="00B33759"/>
    <w:rsid w:val="00B33D0B"/>
    <w:rsid w:val="00B37212"/>
    <w:rsid w:val="00B37B65"/>
    <w:rsid w:val="00B475BC"/>
    <w:rsid w:val="00B506A9"/>
    <w:rsid w:val="00B57210"/>
    <w:rsid w:val="00B605C9"/>
    <w:rsid w:val="00B612E6"/>
    <w:rsid w:val="00B66A1E"/>
    <w:rsid w:val="00B74C4D"/>
    <w:rsid w:val="00B75E81"/>
    <w:rsid w:val="00B86BC0"/>
    <w:rsid w:val="00B9123B"/>
    <w:rsid w:val="00B9211C"/>
    <w:rsid w:val="00B92D74"/>
    <w:rsid w:val="00BA14D7"/>
    <w:rsid w:val="00BA342A"/>
    <w:rsid w:val="00BA4953"/>
    <w:rsid w:val="00BA7E09"/>
    <w:rsid w:val="00BD3C4A"/>
    <w:rsid w:val="00BD6F1C"/>
    <w:rsid w:val="00C01CCE"/>
    <w:rsid w:val="00C01F21"/>
    <w:rsid w:val="00C0253D"/>
    <w:rsid w:val="00C10365"/>
    <w:rsid w:val="00C226AE"/>
    <w:rsid w:val="00C27821"/>
    <w:rsid w:val="00C32655"/>
    <w:rsid w:val="00C35FE2"/>
    <w:rsid w:val="00C363FE"/>
    <w:rsid w:val="00C36F1D"/>
    <w:rsid w:val="00C4275A"/>
    <w:rsid w:val="00C5093D"/>
    <w:rsid w:val="00C5664D"/>
    <w:rsid w:val="00C60661"/>
    <w:rsid w:val="00C606ED"/>
    <w:rsid w:val="00C64BC7"/>
    <w:rsid w:val="00C666D0"/>
    <w:rsid w:val="00C730F6"/>
    <w:rsid w:val="00C73D68"/>
    <w:rsid w:val="00C744B8"/>
    <w:rsid w:val="00C81E02"/>
    <w:rsid w:val="00C83F1A"/>
    <w:rsid w:val="00C95C17"/>
    <w:rsid w:val="00CA5BCA"/>
    <w:rsid w:val="00CA7A7F"/>
    <w:rsid w:val="00CB004D"/>
    <w:rsid w:val="00CB3E82"/>
    <w:rsid w:val="00CC1247"/>
    <w:rsid w:val="00CC26F2"/>
    <w:rsid w:val="00CC294F"/>
    <w:rsid w:val="00CD0041"/>
    <w:rsid w:val="00CD55E2"/>
    <w:rsid w:val="00CE1CE2"/>
    <w:rsid w:val="00CE79BA"/>
    <w:rsid w:val="00CF1D48"/>
    <w:rsid w:val="00CF2798"/>
    <w:rsid w:val="00D05348"/>
    <w:rsid w:val="00D0733B"/>
    <w:rsid w:val="00D1011A"/>
    <w:rsid w:val="00D20916"/>
    <w:rsid w:val="00D20EBF"/>
    <w:rsid w:val="00D2102A"/>
    <w:rsid w:val="00D22190"/>
    <w:rsid w:val="00D264C1"/>
    <w:rsid w:val="00D27509"/>
    <w:rsid w:val="00D52B2A"/>
    <w:rsid w:val="00D53C3D"/>
    <w:rsid w:val="00D5702A"/>
    <w:rsid w:val="00D6172D"/>
    <w:rsid w:val="00D63871"/>
    <w:rsid w:val="00D8291D"/>
    <w:rsid w:val="00D85374"/>
    <w:rsid w:val="00D87B3D"/>
    <w:rsid w:val="00D94EB5"/>
    <w:rsid w:val="00D9613A"/>
    <w:rsid w:val="00DA22CF"/>
    <w:rsid w:val="00DA2FE1"/>
    <w:rsid w:val="00DA3A06"/>
    <w:rsid w:val="00DA5424"/>
    <w:rsid w:val="00DA6767"/>
    <w:rsid w:val="00DB2C18"/>
    <w:rsid w:val="00DB77BA"/>
    <w:rsid w:val="00DD266B"/>
    <w:rsid w:val="00DD346F"/>
    <w:rsid w:val="00DD7701"/>
    <w:rsid w:val="00DE4283"/>
    <w:rsid w:val="00DE5FA8"/>
    <w:rsid w:val="00DE6176"/>
    <w:rsid w:val="00DE7E77"/>
    <w:rsid w:val="00DF1334"/>
    <w:rsid w:val="00E04E10"/>
    <w:rsid w:val="00E060CE"/>
    <w:rsid w:val="00E139C6"/>
    <w:rsid w:val="00E14243"/>
    <w:rsid w:val="00E15D05"/>
    <w:rsid w:val="00E20060"/>
    <w:rsid w:val="00E21C65"/>
    <w:rsid w:val="00E3506B"/>
    <w:rsid w:val="00E36B36"/>
    <w:rsid w:val="00E370B8"/>
    <w:rsid w:val="00E373C9"/>
    <w:rsid w:val="00E454E4"/>
    <w:rsid w:val="00E45A96"/>
    <w:rsid w:val="00E51087"/>
    <w:rsid w:val="00E52CC9"/>
    <w:rsid w:val="00E642DA"/>
    <w:rsid w:val="00E64D76"/>
    <w:rsid w:val="00E735C1"/>
    <w:rsid w:val="00E7360E"/>
    <w:rsid w:val="00E74354"/>
    <w:rsid w:val="00E80331"/>
    <w:rsid w:val="00E843D4"/>
    <w:rsid w:val="00E95362"/>
    <w:rsid w:val="00E96257"/>
    <w:rsid w:val="00E96993"/>
    <w:rsid w:val="00EA1BD4"/>
    <w:rsid w:val="00EB7BAE"/>
    <w:rsid w:val="00EC00D3"/>
    <w:rsid w:val="00EC4A15"/>
    <w:rsid w:val="00ED2859"/>
    <w:rsid w:val="00EE43A3"/>
    <w:rsid w:val="00EF11CD"/>
    <w:rsid w:val="00F12AF8"/>
    <w:rsid w:val="00F237B5"/>
    <w:rsid w:val="00F246A1"/>
    <w:rsid w:val="00F2536A"/>
    <w:rsid w:val="00F36493"/>
    <w:rsid w:val="00F36C2B"/>
    <w:rsid w:val="00F4767E"/>
    <w:rsid w:val="00F47D8A"/>
    <w:rsid w:val="00F506A3"/>
    <w:rsid w:val="00F547FB"/>
    <w:rsid w:val="00F61BCE"/>
    <w:rsid w:val="00F62C17"/>
    <w:rsid w:val="00F729A9"/>
    <w:rsid w:val="00F7495B"/>
    <w:rsid w:val="00F7505B"/>
    <w:rsid w:val="00F80CC6"/>
    <w:rsid w:val="00F82377"/>
    <w:rsid w:val="00F853CE"/>
    <w:rsid w:val="00F87BA3"/>
    <w:rsid w:val="00F87D2F"/>
    <w:rsid w:val="00F925D8"/>
    <w:rsid w:val="00F92869"/>
    <w:rsid w:val="00F94C05"/>
    <w:rsid w:val="00FA1EF2"/>
    <w:rsid w:val="00FB05F3"/>
    <w:rsid w:val="00FB667D"/>
    <w:rsid w:val="00FB6697"/>
    <w:rsid w:val="00FC49A0"/>
    <w:rsid w:val="00FD0F44"/>
    <w:rsid w:val="00FE3261"/>
    <w:rsid w:val="00FE327C"/>
    <w:rsid w:val="00FF5512"/>
    <w:rsid w:val="00FF581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E9CDD6"/>
  <w15:docId w15:val="{2F5D263B-D616-4B17-AE5D-5981FBFF4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25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E96257"/>
    <w:pPr>
      <w:keepNext/>
      <w:keepLines/>
      <w:numPr>
        <w:numId w:val="21"/>
      </w:numPr>
      <w:spacing w:before="480" w:line="276" w:lineRule="auto"/>
      <w:outlineLvl w:val="0"/>
    </w:pPr>
    <w:rPr>
      <w:rFonts w:ascii="Cambria" w:eastAsia="Calibri" w:hAnsi="Cambria"/>
      <w:b/>
      <w:bCs/>
      <w:color w:val="365F91"/>
      <w:sz w:val="28"/>
      <w:szCs w:val="28"/>
    </w:rPr>
  </w:style>
  <w:style w:type="paragraph" w:styleId="Ttulo2">
    <w:name w:val="heading 2"/>
    <w:basedOn w:val="Normal"/>
    <w:next w:val="Normal"/>
    <w:link w:val="Ttulo2Car"/>
    <w:qFormat/>
    <w:rsid w:val="00E96257"/>
    <w:pPr>
      <w:keepNext/>
      <w:numPr>
        <w:ilvl w:val="1"/>
        <w:numId w:val="21"/>
      </w:numPr>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E96257"/>
    <w:pPr>
      <w:keepNext/>
      <w:keepLines/>
      <w:numPr>
        <w:ilvl w:val="2"/>
        <w:numId w:val="21"/>
      </w:numPr>
      <w:spacing w:before="200" w:line="276" w:lineRule="auto"/>
      <w:outlineLvl w:val="2"/>
    </w:pPr>
    <w:rPr>
      <w:rFonts w:ascii="Cambria" w:eastAsia="Calibri" w:hAnsi="Cambria"/>
      <w:b/>
      <w:bCs/>
      <w:color w:val="4F81BD"/>
      <w:sz w:val="20"/>
      <w:szCs w:val="20"/>
    </w:rPr>
  </w:style>
  <w:style w:type="paragraph" w:styleId="Ttulo4">
    <w:name w:val="heading 4"/>
    <w:basedOn w:val="Normal"/>
    <w:next w:val="Normal"/>
    <w:link w:val="Ttulo4Car"/>
    <w:uiPriority w:val="99"/>
    <w:qFormat/>
    <w:rsid w:val="00E96257"/>
    <w:pPr>
      <w:keepNext/>
      <w:keepLines/>
      <w:numPr>
        <w:ilvl w:val="3"/>
        <w:numId w:val="21"/>
      </w:numPr>
      <w:spacing w:before="200" w:line="276" w:lineRule="auto"/>
      <w:outlineLvl w:val="3"/>
    </w:pPr>
    <w:rPr>
      <w:rFonts w:ascii="Cambria" w:eastAsia="Calibri" w:hAnsi="Cambria"/>
      <w:b/>
      <w:bCs/>
      <w:i/>
      <w:color w:val="4F81BD"/>
      <w:sz w:val="20"/>
      <w:szCs w:val="20"/>
    </w:rPr>
  </w:style>
  <w:style w:type="paragraph" w:styleId="Ttulo5">
    <w:name w:val="heading 5"/>
    <w:basedOn w:val="Normal"/>
    <w:next w:val="Normal"/>
    <w:link w:val="Ttulo5Car"/>
    <w:qFormat/>
    <w:rsid w:val="00E96257"/>
    <w:pPr>
      <w:numPr>
        <w:ilvl w:val="4"/>
        <w:numId w:val="21"/>
      </w:numPr>
      <w:spacing w:before="240" w:after="60"/>
      <w:outlineLvl w:val="4"/>
    </w:pPr>
    <w:rPr>
      <w:b/>
      <w:bCs/>
      <w:i/>
      <w:iCs/>
      <w:sz w:val="26"/>
      <w:szCs w:val="26"/>
    </w:rPr>
  </w:style>
  <w:style w:type="paragraph" w:styleId="Ttulo6">
    <w:name w:val="heading 6"/>
    <w:basedOn w:val="Normal"/>
    <w:next w:val="Normal"/>
    <w:link w:val="Ttulo6Car"/>
    <w:qFormat/>
    <w:rsid w:val="00E96257"/>
    <w:pPr>
      <w:numPr>
        <w:ilvl w:val="5"/>
        <w:numId w:val="21"/>
      </w:numPr>
      <w:spacing w:before="240" w:after="60"/>
      <w:outlineLvl w:val="5"/>
    </w:pPr>
    <w:rPr>
      <w:b/>
      <w:bCs/>
      <w:sz w:val="22"/>
      <w:szCs w:val="22"/>
    </w:rPr>
  </w:style>
  <w:style w:type="paragraph" w:styleId="Ttulo7">
    <w:name w:val="heading 7"/>
    <w:basedOn w:val="Normal"/>
    <w:next w:val="Normal"/>
    <w:link w:val="Ttulo7Car"/>
    <w:qFormat/>
    <w:rsid w:val="00E96257"/>
    <w:pPr>
      <w:numPr>
        <w:ilvl w:val="6"/>
        <w:numId w:val="21"/>
      </w:numPr>
      <w:spacing w:before="240" w:after="60"/>
      <w:outlineLvl w:val="6"/>
    </w:pPr>
  </w:style>
  <w:style w:type="paragraph" w:styleId="Ttulo8">
    <w:name w:val="heading 8"/>
    <w:basedOn w:val="Normal"/>
    <w:next w:val="Normal"/>
    <w:link w:val="Ttulo8Car"/>
    <w:qFormat/>
    <w:rsid w:val="00E96257"/>
    <w:pPr>
      <w:numPr>
        <w:ilvl w:val="7"/>
        <w:numId w:val="21"/>
      </w:numPr>
      <w:spacing w:before="240" w:after="60"/>
      <w:outlineLvl w:val="7"/>
    </w:pPr>
    <w:rPr>
      <w:i/>
      <w:iCs/>
    </w:rPr>
  </w:style>
  <w:style w:type="paragraph" w:styleId="Ttulo9">
    <w:name w:val="heading 9"/>
    <w:basedOn w:val="Normal"/>
    <w:next w:val="Normal"/>
    <w:link w:val="Ttulo9Car"/>
    <w:qFormat/>
    <w:rsid w:val="00E96257"/>
    <w:pPr>
      <w:numPr>
        <w:ilvl w:val="8"/>
        <w:numId w:val="2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E96257"/>
    <w:rPr>
      <w:rFonts w:ascii="Cambria" w:eastAsia="Calibri" w:hAnsi="Cambria" w:cs="Times New Roman"/>
      <w:b/>
      <w:bCs/>
      <w:color w:val="365F91"/>
      <w:sz w:val="28"/>
      <w:szCs w:val="28"/>
      <w:lang w:val="es-ES" w:eastAsia="es-ES"/>
    </w:rPr>
  </w:style>
  <w:style w:type="character" w:customStyle="1" w:styleId="Ttulo2Car">
    <w:name w:val="Título 2 Car"/>
    <w:basedOn w:val="Fuentedeprrafopredeter"/>
    <w:link w:val="Ttulo2"/>
    <w:rsid w:val="00E96257"/>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uiPriority w:val="99"/>
    <w:rsid w:val="00E96257"/>
    <w:rPr>
      <w:rFonts w:ascii="Cambria" w:eastAsia="Calibri" w:hAnsi="Cambria" w:cs="Times New Roman"/>
      <w:b/>
      <w:bCs/>
      <w:color w:val="4F81BD"/>
      <w:sz w:val="20"/>
      <w:szCs w:val="20"/>
      <w:lang w:val="es-ES" w:eastAsia="es-ES"/>
    </w:rPr>
  </w:style>
  <w:style w:type="character" w:customStyle="1" w:styleId="Ttulo4Car">
    <w:name w:val="Título 4 Car"/>
    <w:basedOn w:val="Fuentedeprrafopredeter"/>
    <w:link w:val="Ttulo4"/>
    <w:uiPriority w:val="99"/>
    <w:rsid w:val="00E96257"/>
    <w:rPr>
      <w:rFonts w:ascii="Cambria" w:eastAsia="Calibri" w:hAnsi="Cambria" w:cs="Times New Roman"/>
      <w:b/>
      <w:bCs/>
      <w:i/>
      <w:color w:val="4F81BD"/>
      <w:sz w:val="20"/>
      <w:szCs w:val="20"/>
      <w:lang w:val="es-ES" w:eastAsia="es-ES"/>
    </w:rPr>
  </w:style>
  <w:style w:type="character" w:customStyle="1" w:styleId="Ttulo5Car">
    <w:name w:val="Título 5 Car"/>
    <w:basedOn w:val="Fuentedeprrafopredeter"/>
    <w:link w:val="Ttulo5"/>
    <w:rsid w:val="00E96257"/>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E96257"/>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E96257"/>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E96257"/>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E96257"/>
    <w:rPr>
      <w:rFonts w:ascii="Arial" w:eastAsia="Times New Roman" w:hAnsi="Arial" w:cs="Times New Roman"/>
      <w:lang w:val="es-ES" w:eastAsia="es-ES"/>
    </w:rPr>
  </w:style>
  <w:style w:type="character" w:styleId="Hipervnculo">
    <w:name w:val="Hyperlink"/>
    <w:uiPriority w:val="99"/>
    <w:rsid w:val="00E96257"/>
    <w:rPr>
      <w:rFonts w:cs="Times New Roman"/>
      <w:color w:val="0000FF"/>
      <w:u w:val="none"/>
      <w:effect w:val="none"/>
    </w:rPr>
  </w:style>
  <w:style w:type="paragraph" w:styleId="NormalWeb">
    <w:name w:val="Normal (Web)"/>
    <w:basedOn w:val="Normal"/>
    <w:semiHidden/>
    <w:rsid w:val="00E96257"/>
    <w:pPr>
      <w:spacing w:before="100" w:beforeAutospacing="1" w:after="100" w:afterAutospacing="1"/>
    </w:pPr>
  </w:style>
  <w:style w:type="paragraph" w:customStyle="1" w:styleId="linkbold">
    <w:name w:val="linkbold"/>
    <w:basedOn w:val="Normal"/>
    <w:uiPriority w:val="99"/>
    <w:rsid w:val="00E96257"/>
    <w:pPr>
      <w:spacing w:before="100" w:beforeAutospacing="1" w:after="100" w:afterAutospacing="1"/>
    </w:pPr>
    <w:rPr>
      <w:rFonts w:ascii="Verdana" w:hAnsi="Verdana"/>
      <w:b/>
      <w:bCs/>
      <w:sz w:val="14"/>
      <w:szCs w:val="14"/>
    </w:rPr>
  </w:style>
  <w:style w:type="character" w:customStyle="1" w:styleId="linkbold1">
    <w:name w:val="linkbold1"/>
    <w:uiPriority w:val="99"/>
    <w:rsid w:val="00E96257"/>
    <w:rPr>
      <w:rFonts w:ascii="Verdana" w:hAnsi="Verdana" w:cs="Times New Roman"/>
      <w:b/>
      <w:bCs/>
      <w:sz w:val="14"/>
      <w:szCs w:val="14"/>
    </w:rPr>
  </w:style>
  <w:style w:type="character" w:customStyle="1" w:styleId="contenidos1">
    <w:name w:val="contenidos1"/>
    <w:uiPriority w:val="99"/>
    <w:rsid w:val="00E96257"/>
    <w:rPr>
      <w:rFonts w:ascii="Verdana" w:hAnsi="Verdana" w:cs="Times New Roman"/>
      <w:color w:val="000000"/>
      <w:sz w:val="15"/>
      <w:szCs w:val="15"/>
    </w:rPr>
  </w:style>
  <w:style w:type="paragraph" w:styleId="Textodeglobo">
    <w:name w:val="Balloon Text"/>
    <w:basedOn w:val="Normal"/>
    <w:link w:val="TextodegloboCar"/>
    <w:uiPriority w:val="99"/>
    <w:semiHidden/>
    <w:rsid w:val="00E96257"/>
    <w:rPr>
      <w:rFonts w:ascii="Tahoma" w:eastAsia="Calibri" w:hAnsi="Tahoma"/>
      <w:sz w:val="16"/>
      <w:szCs w:val="16"/>
    </w:rPr>
  </w:style>
  <w:style w:type="character" w:customStyle="1" w:styleId="TextodegloboCar">
    <w:name w:val="Texto de globo Car"/>
    <w:basedOn w:val="Fuentedeprrafopredeter"/>
    <w:link w:val="Textodeglobo"/>
    <w:uiPriority w:val="99"/>
    <w:semiHidden/>
    <w:rsid w:val="00E96257"/>
    <w:rPr>
      <w:rFonts w:ascii="Tahoma" w:eastAsia="Calibri" w:hAnsi="Tahoma" w:cs="Times New Roman"/>
      <w:sz w:val="16"/>
      <w:szCs w:val="16"/>
      <w:lang w:val="es-ES" w:eastAsia="es-ES"/>
    </w:rPr>
  </w:style>
  <w:style w:type="paragraph" w:styleId="Prrafodelista">
    <w:name w:val="List Paragraph"/>
    <w:basedOn w:val="Normal"/>
    <w:link w:val="PrrafodelistaCar"/>
    <w:uiPriority w:val="34"/>
    <w:qFormat/>
    <w:rsid w:val="00E96257"/>
    <w:pPr>
      <w:ind w:left="720"/>
      <w:contextualSpacing/>
    </w:pPr>
  </w:style>
  <w:style w:type="paragraph" w:styleId="Encabezado">
    <w:name w:val="header"/>
    <w:basedOn w:val="Normal"/>
    <w:link w:val="EncabezadoCar"/>
    <w:uiPriority w:val="99"/>
    <w:rsid w:val="00E9625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E962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E9625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E96257"/>
    <w:rPr>
      <w:rFonts w:ascii="Times New Roman" w:eastAsia="Calibri" w:hAnsi="Times New Roman" w:cs="Times New Roman"/>
      <w:sz w:val="24"/>
      <w:szCs w:val="24"/>
      <w:lang w:val="es-ES" w:eastAsia="es-ES"/>
    </w:rPr>
  </w:style>
  <w:style w:type="paragraph" w:customStyle="1" w:styleId="Listavistosa-nfasis11">
    <w:name w:val="Lista vistosa - Énfasis 11"/>
    <w:basedOn w:val="Normal"/>
    <w:uiPriority w:val="99"/>
    <w:rsid w:val="00E96257"/>
    <w:pPr>
      <w:ind w:left="708"/>
    </w:pPr>
  </w:style>
  <w:style w:type="table" w:styleId="Tablaconcuadrcula">
    <w:name w:val="Table Grid"/>
    <w:basedOn w:val="Tablanormal"/>
    <w:uiPriority w:val="39"/>
    <w:rsid w:val="00E96257"/>
    <w:pPr>
      <w:spacing w:after="0" w:line="240" w:lineRule="auto"/>
    </w:pPr>
    <w:rPr>
      <w:rFonts w:ascii="Calibri" w:eastAsia="Times New Roman" w:hAnsi="Calibri" w:cs="Times New Roman"/>
      <w:sz w:val="20"/>
      <w:szCs w:val="20"/>
      <w:lang w:val="en-GB"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E96257"/>
    <w:rPr>
      <w:rFonts w:cs="Times New Roman"/>
      <w:sz w:val="16"/>
      <w:szCs w:val="16"/>
    </w:rPr>
  </w:style>
  <w:style w:type="paragraph" w:styleId="Textocomentario">
    <w:name w:val="annotation text"/>
    <w:basedOn w:val="Normal"/>
    <w:link w:val="TextocomentarioCar"/>
    <w:rsid w:val="00E96257"/>
    <w:rPr>
      <w:rFonts w:eastAsia="Calibri"/>
      <w:sz w:val="20"/>
      <w:szCs w:val="20"/>
    </w:rPr>
  </w:style>
  <w:style w:type="character" w:customStyle="1" w:styleId="TextocomentarioCar">
    <w:name w:val="Texto comentario Car"/>
    <w:basedOn w:val="Fuentedeprrafopredeter"/>
    <w:link w:val="Textocomentario"/>
    <w:rsid w:val="00E96257"/>
    <w:rPr>
      <w:rFonts w:ascii="Times New Roman" w:eastAsia="Calibri"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E96257"/>
    <w:rPr>
      <w:b/>
      <w:bCs/>
    </w:rPr>
  </w:style>
  <w:style w:type="character" w:customStyle="1" w:styleId="AsuntodelcomentarioCar">
    <w:name w:val="Asunto del comentario Car"/>
    <w:basedOn w:val="TextocomentarioCar"/>
    <w:link w:val="Asuntodelcomentario"/>
    <w:uiPriority w:val="99"/>
    <w:semiHidden/>
    <w:rsid w:val="00E96257"/>
    <w:rPr>
      <w:rFonts w:ascii="Times New Roman" w:eastAsia="Calibri" w:hAnsi="Times New Roman" w:cs="Times New Roman"/>
      <w:b/>
      <w:bCs/>
      <w:sz w:val="20"/>
      <w:szCs w:val="20"/>
      <w:lang w:val="es-ES" w:eastAsia="es-ES"/>
    </w:rPr>
  </w:style>
  <w:style w:type="character" w:styleId="nfasisintenso">
    <w:name w:val="Intense Emphasis"/>
    <w:uiPriority w:val="21"/>
    <w:qFormat/>
    <w:rsid w:val="00E96257"/>
    <w:rPr>
      <w:rFonts w:cs="Times New Roman"/>
      <w:b/>
      <w:bCs/>
      <w:i/>
      <w:iCs/>
      <w:color w:val="4F81BD"/>
    </w:rPr>
  </w:style>
  <w:style w:type="paragraph" w:styleId="Textonotapie">
    <w:name w:val="footnote text"/>
    <w:basedOn w:val="Normal"/>
    <w:link w:val="TextonotapieCar"/>
    <w:uiPriority w:val="99"/>
    <w:rsid w:val="00E96257"/>
    <w:rPr>
      <w:rFonts w:eastAsia="Calibri"/>
      <w:sz w:val="20"/>
      <w:szCs w:val="20"/>
    </w:rPr>
  </w:style>
  <w:style w:type="character" w:customStyle="1" w:styleId="TextonotapieCar">
    <w:name w:val="Texto nota pie Car"/>
    <w:basedOn w:val="Fuentedeprrafopredeter"/>
    <w:link w:val="Textonotapie"/>
    <w:uiPriority w:val="99"/>
    <w:rsid w:val="00E96257"/>
    <w:rPr>
      <w:rFonts w:ascii="Times New Roman" w:eastAsia="Calibri" w:hAnsi="Times New Roman" w:cs="Times New Roman"/>
      <w:sz w:val="20"/>
      <w:szCs w:val="20"/>
      <w:lang w:val="es-ES" w:eastAsia="es-ES"/>
    </w:rPr>
  </w:style>
  <w:style w:type="character" w:styleId="Refdenotaalpie">
    <w:name w:val="footnote reference"/>
    <w:uiPriority w:val="99"/>
    <w:rsid w:val="00E96257"/>
    <w:rPr>
      <w:rFonts w:cs="Times New Roman"/>
      <w:vertAlign w:val="superscript"/>
    </w:rPr>
  </w:style>
  <w:style w:type="character" w:customStyle="1" w:styleId="apple-style-span">
    <w:name w:val="apple-style-span"/>
    <w:uiPriority w:val="99"/>
    <w:rsid w:val="00E96257"/>
    <w:rPr>
      <w:rFonts w:cs="Times New Roman"/>
    </w:rPr>
  </w:style>
  <w:style w:type="character" w:customStyle="1" w:styleId="hps">
    <w:name w:val="hps"/>
    <w:uiPriority w:val="99"/>
    <w:rsid w:val="00E96257"/>
    <w:rPr>
      <w:rFonts w:cs="Times New Roman"/>
    </w:rPr>
  </w:style>
  <w:style w:type="character" w:customStyle="1" w:styleId="apple-converted-space">
    <w:name w:val="apple-converted-space"/>
    <w:rsid w:val="00E96257"/>
    <w:rPr>
      <w:rFonts w:cs="Times New Roman"/>
    </w:rPr>
  </w:style>
  <w:style w:type="paragraph" w:customStyle="1" w:styleId="Previolista">
    <w:name w:val="Previo lista"/>
    <w:basedOn w:val="Normal"/>
    <w:next w:val="Continuarlista"/>
    <w:uiPriority w:val="99"/>
    <w:rsid w:val="00E96257"/>
    <w:pPr>
      <w:spacing w:after="120" w:line="276" w:lineRule="auto"/>
    </w:pPr>
    <w:rPr>
      <w:rFonts w:ascii="Calibri" w:eastAsia="Calibri" w:hAnsi="Calibri"/>
      <w:sz w:val="22"/>
      <w:szCs w:val="22"/>
      <w:lang w:val="es-MX" w:eastAsia="en-US"/>
    </w:rPr>
  </w:style>
  <w:style w:type="character" w:styleId="Ttulodellibro">
    <w:name w:val="Book Title"/>
    <w:uiPriority w:val="99"/>
    <w:qFormat/>
    <w:rsid w:val="00E96257"/>
    <w:rPr>
      <w:rFonts w:ascii="Cambria" w:hAnsi="Cambria" w:cs="Times New Roman"/>
      <w:bCs/>
      <w:smallCaps/>
      <w:color w:val="4F81BD"/>
      <w:spacing w:val="5"/>
    </w:rPr>
  </w:style>
  <w:style w:type="paragraph" w:customStyle="1" w:styleId="Ttulotablas">
    <w:name w:val="Título tablas"/>
    <w:basedOn w:val="Citadestacada"/>
    <w:link w:val="TtulotablasCar"/>
    <w:uiPriority w:val="99"/>
    <w:rsid w:val="00E96257"/>
  </w:style>
  <w:style w:type="character" w:customStyle="1" w:styleId="TtulotablasCar">
    <w:name w:val="Título tablas Car"/>
    <w:basedOn w:val="CitadestacadaCar"/>
    <w:link w:val="Ttulotablas"/>
    <w:uiPriority w:val="99"/>
    <w:locked/>
    <w:rsid w:val="00E96257"/>
    <w:rPr>
      <w:rFonts w:ascii="Times New Roman" w:eastAsia="Calibri" w:hAnsi="Times New Roman" w:cs="Times New Roman"/>
      <w:b w:val="0"/>
      <w:bCs w:val="0"/>
      <w:i/>
      <w:iCs/>
      <w:color w:val="4F81BD"/>
      <w:sz w:val="24"/>
      <w:szCs w:val="24"/>
      <w:lang w:val="es-ES" w:eastAsia="es-ES"/>
    </w:rPr>
  </w:style>
  <w:style w:type="paragraph" w:styleId="Continuarlista">
    <w:name w:val="List Continue"/>
    <w:basedOn w:val="Normal"/>
    <w:uiPriority w:val="99"/>
    <w:semiHidden/>
    <w:rsid w:val="00E96257"/>
    <w:pPr>
      <w:spacing w:after="120"/>
      <w:ind w:left="283"/>
      <w:contextualSpacing/>
    </w:pPr>
  </w:style>
  <w:style w:type="paragraph" w:styleId="Citadestacada">
    <w:name w:val="Intense Quote"/>
    <w:basedOn w:val="Normal"/>
    <w:next w:val="Normal"/>
    <w:link w:val="CitadestacadaCar"/>
    <w:uiPriority w:val="99"/>
    <w:qFormat/>
    <w:rsid w:val="00E96257"/>
    <w:pPr>
      <w:pBdr>
        <w:bottom w:val="single" w:sz="4" w:space="4" w:color="4F81BD"/>
      </w:pBdr>
      <w:spacing w:before="200" w:after="280"/>
      <w:ind w:left="936" w:right="936"/>
    </w:pPr>
    <w:rPr>
      <w:rFonts w:eastAsia="Calibri"/>
      <w:b/>
      <w:bCs/>
      <w:i/>
      <w:color w:val="4F81BD"/>
    </w:rPr>
  </w:style>
  <w:style w:type="character" w:customStyle="1" w:styleId="CitadestacadaCar">
    <w:name w:val="Cita destacada Car"/>
    <w:basedOn w:val="Fuentedeprrafopredeter"/>
    <w:link w:val="Citadestacada"/>
    <w:uiPriority w:val="99"/>
    <w:rsid w:val="00E96257"/>
    <w:rPr>
      <w:rFonts w:ascii="Times New Roman" w:eastAsia="Calibri" w:hAnsi="Times New Roman" w:cs="Times New Roman"/>
      <w:b/>
      <w:bCs/>
      <w:i/>
      <w:color w:val="4F81BD"/>
      <w:sz w:val="24"/>
      <w:szCs w:val="24"/>
      <w:lang w:val="es-ES" w:eastAsia="es-ES"/>
    </w:rPr>
  </w:style>
  <w:style w:type="paragraph" w:styleId="Puesto">
    <w:name w:val="Title"/>
    <w:basedOn w:val="Normal"/>
    <w:next w:val="Normal"/>
    <w:link w:val="PuestoCar"/>
    <w:uiPriority w:val="99"/>
    <w:qFormat/>
    <w:rsid w:val="00E96257"/>
    <w:pPr>
      <w:pBdr>
        <w:bottom w:val="single" w:sz="8" w:space="4" w:color="4F81BD"/>
      </w:pBdr>
      <w:spacing w:after="300"/>
      <w:contextualSpacing/>
    </w:pPr>
    <w:rPr>
      <w:rFonts w:ascii="Cambria" w:eastAsia="Calibri" w:hAnsi="Cambria"/>
      <w:color w:val="17365D"/>
      <w:spacing w:val="5"/>
      <w:kern w:val="28"/>
      <w:sz w:val="52"/>
      <w:szCs w:val="52"/>
      <w:lang w:val="es-ES_tradnl"/>
    </w:rPr>
  </w:style>
  <w:style w:type="character" w:customStyle="1" w:styleId="PuestoCar">
    <w:name w:val="Puesto Car"/>
    <w:basedOn w:val="Fuentedeprrafopredeter"/>
    <w:link w:val="Puesto"/>
    <w:uiPriority w:val="99"/>
    <w:rsid w:val="00E96257"/>
    <w:rPr>
      <w:rFonts w:ascii="Cambria" w:eastAsia="Calibri" w:hAnsi="Cambria" w:cs="Times New Roman"/>
      <w:color w:val="17365D"/>
      <w:spacing w:val="5"/>
      <w:kern w:val="28"/>
      <w:sz w:val="52"/>
      <w:szCs w:val="52"/>
      <w:lang w:val="es-ES_tradnl" w:eastAsia="es-ES"/>
    </w:rPr>
  </w:style>
  <w:style w:type="paragraph" w:customStyle="1" w:styleId="Ttulogrficos">
    <w:name w:val="Título gráficos"/>
    <w:basedOn w:val="Citadestacada"/>
    <w:link w:val="TtulogrficosCar"/>
    <w:uiPriority w:val="99"/>
    <w:rsid w:val="00E96257"/>
    <w:pPr>
      <w:spacing w:line="276" w:lineRule="auto"/>
      <w:jc w:val="right"/>
    </w:pPr>
    <w:rPr>
      <w:rFonts w:ascii="Calibri" w:hAnsi="Calibri"/>
      <w:lang w:val="es-ES_tradnl"/>
    </w:rPr>
  </w:style>
  <w:style w:type="character" w:customStyle="1" w:styleId="TtulogrficosCar">
    <w:name w:val="Título gráficos Car"/>
    <w:link w:val="Ttulogrficos"/>
    <w:uiPriority w:val="99"/>
    <w:locked/>
    <w:rsid w:val="00E96257"/>
    <w:rPr>
      <w:rFonts w:ascii="Calibri" w:eastAsia="Calibri" w:hAnsi="Calibri" w:cs="Times New Roman"/>
      <w:b/>
      <w:bCs/>
      <w:i/>
      <w:color w:val="4F81BD"/>
      <w:sz w:val="24"/>
      <w:szCs w:val="24"/>
      <w:lang w:val="es-ES_tradnl" w:eastAsia="es-ES"/>
    </w:rPr>
  </w:style>
  <w:style w:type="paragraph" w:styleId="Textoindependiente">
    <w:name w:val="Body Text"/>
    <w:basedOn w:val="Normal"/>
    <w:link w:val="TextoindependienteCar"/>
    <w:rsid w:val="00E96257"/>
    <w:pPr>
      <w:jc w:val="both"/>
    </w:pPr>
    <w:rPr>
      <w:rFonts w:ascii="Century Gothic" w:eastAsia="Calibri" w:hAnsi="Century Gothic"/>
      <w:sz w:val="20"/>
      <w:szCs w:val="20"/>
      <w:lang w:val="es-ES_tradnl"/>
    </w:rPr>
  </w:style>
  <w:style w:type="character" w:customStyle="1" w:styleId="TextoindependienteCar">
    <w:name w:val="Texto independiente Car"/>
    <w:basedOn w:val="Fuentedeprrafopredeter"/>
    <w:link w:val="Textoindependiente"/>
    <w:rsid w:val="00E96257"/>
    <w:rPr>
      <w:rFonts w:ascii="Century Gothic" w:eastAsia="Calibri" w:hAnsi="Century Gothic" w:cs="Times New Roman"/>
      <w:sz w:val="20"/>
      <w:szCs w:val="20"/>
      <w:lang w:val="es-ES_tradnl" w:eastAsia="es-ES"/>
    </w:rPr>
  </w:style>
  <w:style w:type="character" w:styleId="nfasis">
    <w:name w:val="Emphasis"/>
    <w:uiPriority w:val="99"/>
    <w:qFormat/>
    <w:rsid w:val="00E96257"/>
    <w:rPr>
      <w:rFonts w:cs="Times New Roman"/>
      <w:i/>
      <w:iCs/>
    </w:rPr>
  </w:style>
  <w:style w:type="paragraph" w:styleId="Textonotaalfinal">
    <w:name w:val="endnote text"/>
    <w:basedOn w:val="Normal"/>
    <w:link w:val="TextonotaalfinalCar"/>
    <w:uiPriority w:val="99"/>
    <w:semiHidden/>
    <w:rsid w:val="00E96257"/>
    <w:rPr>
      <w:rFonts w:eastAsia="Calibri"/>
      <w:sz w:val="20"/>
      <w:szCs w:val="20"/>
    </w:rPr>
  </w:style>
  <w:style w:type="character" w:customStyle="1" w:styleId="TextonotaalfinalCar">
    <w:name w:val="Texto nota al final Car"/>
    <w:basedOn w:val="Fuentedeprrafopredeter"/>
    <w:link w:val="Textonotaalfinal"/>
    <w:uiPriority w:val="99"/>
    <w:semiHidden/>
    <w:rsid w:val="00E96257"/>
    <w:rPr>
      <w:rFonts w:ascii="Times New Roman" w:eastAsia="Calibri" w:hAnsi="Times New Roman" w:cs="Times New Roman"/>
      <w:sz w:val="20"/>
      <w:szCs w:val="20"/>
      <w:lang w:val="es-ES" w:eastAsia="es-ES"/>
    </w:rPr>
  </w:style>
  <w:style w:type="character" w:styleId="Refdenotaalfinal">
    <w:name w:val="endnote reference"/>
    <w:uiPriority w:val="99"/>
    <w:semiHidden/>
    <w:rsid w:val="00E96257"/>
    <w:rPr>
      <w:rFonts w:cs="Times New Roman"/>
      <w:vertAlign w:val="superscript"/>
    </w:rPr>
  </w:style>
  <w:style w:type="character" w:styleId="Referenciasutil">
    <w:name w:val="Subtle Reference"/>
    <w:uiPriority w:val="99"/>
    <w:qFormat/>
    <w:rsid w:val="00E96257"/>
    <w:rPr>
      <w:rFonts w:cs="Times New Roman"/>
      <w:smallCaps/>
      <w:color w:val="C0504D"/>
      <w:u w:val="single"/>
    </w:rPr>
  </w:style>
  <w:style w:type="paragraph" w:customStyle="1" w:styleId="Texto">
    <w:name w:val="Texto"/>
    <w:basedOn w:val="Normal"/>
    <w:link w:val="TextoCar"/>
    <w:rsid w:val="00E96257"/>
    <w:pPr>
      <w:spacing w:after="101" w:line="216" w:lineRule="exact"/>
      <w:ind w:firstLine="288"/>
      <w:jc w:val="both"/>
    </w:pPr>
    <w:rPr>
      <w:rFonts w:ascii="Arial" w:hAnsi="Arial"/>
      <w:sz w:val="20"/>
      <w:szCs w:val="20"/>
    </w:rPr>
  </w:style>
  <w:style w:type="character" w:customStyle="1" w:styleId="TextoCar">
    <w:name w:val="Texto Car"/>
    <w:link w:val="Texto"/>
    <w:locked/>
    <w:rsid w:val="00E96257"/>
    <w:rPr>
      <w:rFonts w:ascii="Arial" w:eastAsia="Times New Roman" w:hAnsi="Arial" w:cs="Times New Roman"/>
      <w:sz w:val="20"/>
      <w:szCs w:val="20"/>
      <w:lang w:val="es-ES" w:eastAsia="es-ES"/>
    </w:rPr>
  </w:style>
  <w:style w:type="paragraph" w:customStyle="1" w:styleId="TESIS">
    <w:name w:val="TESIS"/>
    <w:basedOn w:val="Normal"/>
    <w:uiPriority w:val="99"/>
    <w:rsid w:val="00E96257"/>
    <w:pPr>
      <w:ind w:left="1418" w:right="1418"/>
      <w:jc w:val="both"/>
    </w:pPr>
    <w:rPr>
      <w:rFonts w:ascii="Arial" w:eastAsia="Calibri" w:hAnsi="Arial" w:cs="Arial"/>
      <w:i/>
      <w:iCs/>
      <w:szCs w:val="20"/>
      <w:lang w:val="es-MX"/>
    </w:rPr>
  </w:style>
  <w:style w:type="character" w:styleId="Textoennegrita">
    <w:name w:val="Strong"/>
    <w:uiPriority w:val="22"/>
    <w:qFormat/>
    <w:rsid w:val="00E96257"/>
    <w:rPr>
      <w:b/>
      <w:bCs/>
    </w:rPr>
  </w:style>
  <w:style w:type="character" w:styleId="Nmerodepgina">
    <w:name w:val="page number"/>
    <w:basedOn w:val="Fuentedeprrafopredeter"/>
    <w:rsid w:val="00E96257"/>
  </w:style>
  <w:style w:type="paragraph" w:styleId="TDC1">
    <w:name w:val="toc 1"/>
    <w:basedOn w:val="Normal"/>
    <w:next w:val="Normal"/>
    <w:autoRedefine/>
    <w:uiPriority w:val="39"/>
    <w:rsid w:val="00E96257"/>
    <w:pPr>
      <w:spacing w:before="120" w:after="120"/>
    </w:pPr>
    <w:rPr>
      <w:b/>
      <w:bCs/>
      <w:caps/>
      <w:sz w:val="20"/>
      <w:szCs w:val="20"/>
    </w:rPr>
  </w:style>
  <w:style w:type="paragraph" w:styleId="TDC2">
    <w:name w:val="toc 2"/>
    <w:basedOn w:val="Normal"/>
    <w:next w:val="Normal"/>
    <w:autoRedefine/>
    <w:uiPriority w:val="39"/>
    <w:rsid w:val="00E96257"/>
    <w:pPr>
      <w:ind w:left="240"/>
    </w:pPr>
    <w:rPr>
      <w:smallCaps/>
      <w:sz w:val="20"/>
      <w:szCs w:val="20"/>
    </w:rPr>
  </w:style>
  <w:style w:type="paragraph" w:styleId="TDC3">
    <w:name w:val="toc 3"/>
    <w:basedOn w:val="Normal"/>
    <w:next w:val="Normal"/>
    <w:autoRedefine/>
    <w:uiPriority w:val="39"/>
    <w:rsid w:val="00FA1EF2"/>
    <w:pPr>
      <w:tabs>
        <w:tab w:val="left" w:pos="1200"/>
        <w:tab w:val="right" w:leader="dot" w:pos="9394"/>
      </w:tabs>
      <w:spacing w:line="360" w:lineRule="auto"/>
      <w:ind w:left="480"/>
    </w:pPr>
    <w:rPr>
      <w:i/>
      <w:iCs/>
      <w:sz w:val="20"/>
      <w:szCs w:val="20"/>
    </w:rPr>
  </w:style>
  <w:style w:type="paragraph" w:styleId="TDC4">
    <w:name w:val="toc 4"/>
    <w:basedOn w:val="Normal"/>
    <w:next w:val="Normal"/>
    <w:autoRedefine/>
    <w:rsid w:val="00E96257"/>
    <w:pPr>
      <w:ind w:left="720"/>
    </w:pPr>
    <w:rPr>
      <w:sz w:val="18"/>
      <w:szCs w:val="18"/>
    </w:rPr>
  </w:style>
  <w:style w:type="paragraph" w:styleId="TDC5">
    <w:name w:val="toc 5"/>
    <w:basedOn w:val="Normal"/>
    <w:next w:val="Normal"/>
    <w:autoRedefine/>
    <w:rsid w:val="00E96257"/>
    <w:pPr>
      <w:ind w:left="960"/>
    </w:pPr>
    <w:rPr>
      <w:sz w:val="18"/>
      <w:szCs w:val="18"/>
    </w:rPr>
  </w:style>
  <w:style w:type="paragraph" w:styleId="TDC6">
    <w:name w:val="toc 6"/>
    <w:basedOn w:val="Normal"/>
    <w:next w:val="Normal"/>
    <w:autoRedefine/>
    <w:rsid w:val="00E96257"/>
    <w:pPr>
      <w:ind w:left="1200"/>
    </w:pPr>
    <w:rPr>
      <w:sz w:val="18"/>
      <w:szCs w:val="18"/>
    </w:rPr>
  </w:style>
  <w:style w:type="paragraph" w:styleId="TDC7">
    <w:name w:val="toc 7"/>
    <w:basedOn w:val="Normal"/>
    <w:next w:val="Normal"/>
    <w:autoRedefine/>
    <w:rsid w:val="00E96257"/>
    <w:pPr>
      <w:ind w:left="1440"/>
    </w:pPr>
    <w:rPr>
      <w:sz w:val="18"/>
      <w:szCs w:val="18"/>
    </w:rPr>
  </w:style>
  <w:style w:type="paragraph" w:styleId="TDC8">
    <w:name w:val="toc 8"/>
    <w:basedOn w:val="Normal"/>
    <w:next w:val="Normal"/>
    <w:autoRedefine/>
    <w:rsid w:val="00E96257"/>
    <w:pPr>
      <w:ind w:left="1680"/>
    </w:pPr>
    <w:rPr>
      <w:sz w:val="18"/>
      <w:szCs w:val="18"/>
    </w:rPr>
  </w:style>
  <w:style w:type="paragraph" w:styleId="TDC9">
    <w:name w:val="toc 9"/>
    <w:basedOn w:val="Normal"/>
    <w:next w:val="Normal"/>
    <w:autoRedefine/>
    <w:rsid w:val="00E96257"/>
    <w:pPr>
      <w:ind w:left="1920"/>
    </w:pPr>
    <w:rPr>
      <w:sz w:val="18"/>
      <w:szCs w:val="18"/>
    </w:rPr>
  </w:style>
  <w:style w:type="paragraph" w:customStyle="1" w:styleId="RefText">
    <w:name w:val="Ref_Text"/>
    <w:basedOn w:val="Normal"/>
    <w:rsid w:val="00E96257"/>
    <w:pPr>
      <w:widowControl w:val="0"/>
      <w:tabs>
        <w:tab w:val="left" w:pos="794"/>
        <w:tab w:val="left" w:pos="1191"/>
        <w:tab w:val="left" w:pos="1588"/>
        <w:tab w:val="left" w:pos="1985"/>
      </w:tabs>
      <w:spacing w:before="136"/>
      <w:ind w:left="794" w:hanging="794"/>
      <w:jc w:val="both"/>
    </w:pPr>
    <w:rPr>
      <w:sz w:val="20"/>
      <w:szCs w:val="20"/>
      <w:lang w:eastAsia="en-US"/>
    </w:rPr>
  </w:style>
  <w:style w:type="paragraph" w:styleId="Descripcin">
    <w:name w:val="caption"/>
    <w:basedOn w:val="Normal"/>
    <w:next w:val="Normal"/>
    <w:qFormat/>
    <w:rsid w:val="00E96257"/>
    <w:pPr>
      <w:spacing w:before="120" w:after="120"/>
    </w:pPr>
    <w:rPr>
      <w:b/>
      <w:bCs/>
      <w:sz w:val="20"/>
      <w:szCs w:val="20"/>
    </w:rPr>
  </w:style>
  <w:style w:type="character" w:styleId="Hipervnculovisitado">
    <w:name w:val="FollowedHyperlink"/>
    <w:rsid w:val="00E96257"/>
    <w:rPr>
      <w:color w:val="800080"/>
      <w:u w:val="single"/>
    </w:rPr>
  </w:style>
  <w:style w:type="paragraph" w:customStyle="1" w:styleId="Ecuacin">
    <w:name w:val="Ecuación"/>
    <w:basedOn w:val="Normal"/>
    <w:next w:val="Normal"/>
    <w:rsid w:val="00E96257"/>
    <w:pPr>
      <w:tabs>
        <w:tab w:val="center" w:pos="4423"/>
        <w:tab w:val="right" w:pos="8789"/>
      </w:tabs>
      <w:jc w:val="both"/>
    </w:pPr>
  </w:style>
  <w:style w:type="paragraph" w:customStyle="1" w:styleId="Estilo1">
    <w:name w:val="Estilo1"/>
    <w:basedOn w:val="Normal"/>
    <w:rsid w:val="00E96257"/>
    <w:pPr>
      <w:pBdr>
        <w:top w:val="single" w:sz="6" w:space="1" w:color="auto"/>
      </w:pBdr>
      <w:jc w:val="both"/>
    </w:pPr>
    <w:rPr>
      <w:rFonts w:ascii="Arial" w:hAnsi="Arial" w:cs="Arial"/>
      <w:sz w:val="22"/>
      <w:szCs w:val="22"/>
      <w:lang w:val="es-MX"/>
    </w:rPr>
  </w:style>
  <w:style w:type="paragraph" w:customStyle="1" w:styleId="Default">
    <w:name w:val="Default"/>
    <w:rsid w:val="00E96257"/>
    <w:pPr>
      <w:autoSpaceDE w:val="0"/>
      <w:autoSpaceDN w:val="0"/>
      <w:adjustRightInd w:val="0"/>
      <w:spacing w:after="0" w:line="240" w:lineRule="auto"/>
    </w:pPr>
    <w:rPr>
      <w:rFonts w:ascii="Arial" w:eastAsia="Calibri" w:hAnsi="Arial" w:cs="Arial"/>
      <w:color w:val="000000"/>
      <w:sz w:val="24"/>
      <w:szCs w:val="24"/>
      <w:lang w:eastAsia="es-MX"/>
    </w:rPr>
  </w:style>
  <w:style w:type="paragraph" w:styleId="Revisin">
    <w:name w:val="Revision"/>
    <w:hidden/>
    <w:uiPriority w:val="71"/>
    <w:semiHidden/>
    <w:rsid w:val="00E96257"/>
    <w:pPr>
      <w:spacing w:after="0" w:line="240" w:lineRule="auto"/>
    </w:pPr>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67"/>
    <w:semiHidden/>
    <w:rsid w:val="00E96257"/>
    <w:rPr>
      <w:color w:val="808080"/>
    </w:rPr>
  </w:style>
  <w:style w:type="character" w:styleId="Nmerodelnea">
    <w:name w:val="line number"/>
    <w:basedOn w:val="Fuentedeprrafopredeter"/>
    <w:uiPriority w:val="99"/>
    <w:semiHidden/>
    <w:unhideWhenUsed/>
    <w:rsid w:val="00E96257"/>
  </w:style>
  <w:style w:type="character" w:customStyle="1" w:styleId="PrrafodelistaCar">
    <w:name w:val="Párrafo de lista Car"/>
    <w:link w:val="Prrafodelista"/>
    <w:uiPriority w:val="34"/>
    <w:locked/>
    <w:rsid w:val="007C507F"/>
    <w:rPr>
      <w:rFonts w:ascii="Times New Roman" w:eastAsia="Times New Roman" w:hAnsi="Times New Roman" w:cs="Times New Roman"/>
      <w:sz w:val="24"/>
      <w:szCs w:val="24"/>
      <w:lang w:val="es-ES" w:eastAsia="es-ES"/>
    </w:rPr>
  </w:style>
  <w:style w:type="paragraph" w:customStyle="1" w:styleId="bodyfirst">
    <w:name w:val="bodyfirst"/>
    <w:basedOn w:val="Normal"/>
    <w:rsid w:val="004A6089"/>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62899">
      <w:bodyDiv w:val="1"/>
      <w:marLeft w:val="0"/>
      <w:marRight w:val="0"/>
      <w:marTop w:val="0"/>
      <w:marBottom w:val="0"/>
      <w:divBdr>
        <w:top w:val="none" w:sz="0" w:space="0" w:color="auto"/>
        <w:left w:val="none" w:sz="0" w:space="0" w:color="auto"/>
        <w:bottom w:val="none" w:sz="0" w:space="0" w:color="auto"/>
        <w:right w:val="none" w:sz="0" w:space="0" w:color="auto"/>
      </w:divBdr>
    </w:div>
    <w:div w:id="406268521">
      <w:bodyDiv w:val="1"/>
      <w:marLeft w:val="0"/>
      <w:marRight w:val="0"/>
      <w:marTop w:val="0"/>
      <w:marBottom w:val="0"/>
      <w:divBdr>
        <w:top w:val="none" w:sz="0" w:space="0" w:color="auto"/>
        <w:left w:val="none" w:sz="0" w:space="0" w:color="auto"/>
        <w:bottom w:val="none" w:sz="0" w:space="0" w:color="auto"/>
        <w:right w:val="none" w:sz="0" w:space="0" w:color="auto"/>
      </w:divBdr>
    </w:div>
    <w:div w:id="191720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21" Type="http://schemas.openxmlformats.org/officeDocument/2006/relationships/image" Target="media/image13.wmf"/><Relationship Id="rId42" Type="http://schemas.openxmlformats.org/officeDocument/2006/relationships/image" Target="media/image34.wmf"/><Relationship Id="rId47" Type="http://schemas.openxmlformats.org/officeDocument/2006/relationships/image" Target="media/image39.wmf"/><Relationship Id="rId63" Type="http://schemas.openxmlformats.org/officeDocument/2006/relationships/image" Target="media/image55.wmf"/><Relationship Id="rId68" Type="http://schemas.openxmlformats.org/officeDocument/2006/relationships/image" Target="media/image60.wmf"/><Relationship Id="rId16" Type="http://schemas.openxmlformats.org/officeDocument/2006/relationships/image" Target="media/image8.wmf"/><Relationship Id="rId11" Type="http://schemas.openxmlformats.org/officeDocument/2006/relationships/image" Target="media/image3.wmf"/><Relationship Id="rId32" Type="http://schemas.openxmlformats.org/officeDocument/2006/relationships/image" Target="media/image24.wmf"/><Relationship Id="rId37" Type="http://schemas.openxmlformats.org/officeDocument/2006/relationships/image" Target="media/image29.wmf"/><Relationship Id="rId53" Type="http://schemas.openxmlformats.org/officeDocument/2006/relationships/image" Target="media/image45.wmf"/><Relationship Id="rId58" Type="http://schemas.openxmlformats.org/officeDocument/2006/relationships/image" Target="media/image50.wmf"/><Relationship Id="rId74" Type="http://schemas.openxmlformats.org/officeDocument/2006/relationships/image" Target="media/image66.wmf"/><Relationship Id="rId79" Type="http://schemas.openxmlformats.org/officeDocument/2006/relationships/image" Target="media/image71.wmf"/><Relationship Id="rId5" Type="http://schemas.openxmlformats.org/officeDocument/2006/relationships/webSettings" Target="webSettings.xml"/><Relationship Id="rId61" Type="http://schemas.openxmlformats.org/officeDocument/2006/relationships/image" Target="media/image53.wmf"/><Relationship Id="rId82" Type="http://schemas.openxmlformats.org/officeDocument/2006/relationships/fontTable" Target="fontTable.xml"/><Relationship Id="rId19" Type="http://schemas.openxmlformats.org/officeDocument/2006/relationships/image" Target="media/image11.e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8.wmf"/><Relationship Id="rId64" Type="http://schemas.openxmlformats.org/officeDocument/2006/relationships/image" Target="media/image56.wmf"/><Relationship Id="rId69" Type="http://schemas.openxmlformats.org/officeDocument/2006/relationships/image" Target="media/image61.wmf"/><Relationship Id="rId77" Type="http://schemas.openxmlformats.org/officeDocument/2006/relationships/image" Target="media/image69.wmf"/><Relationship Id="rId8" Type="http://schemas.openxmlformats.org/officeDocument/2006/relationships/footer" Target="footer1.xml"/><Relationship Id="rId51" Type="http://schemas.openxmlformats.org/officeDocument/2006/relationships/image" Target="media/image43.wmf"/><Relationship Id="rId72" Type="http://schemas.openxmlformats.org/officeDocument/2006/relationships/image" Target="media/image64.wmf"/><Relationship Id="rId80" Type="http://schemas.openxmlformats.org/officeDocument/2006/relationships/image" Target="media/image72.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image" Target="media/image51.emf"/><Relationship Id="rId67" Type="http://schemas.openxmlformats.org/officeDocument/2006/relationships/image" Target="media/image59.wmf"/><Relationship Id="rId20" Type="http://schemas.openxmlformats.org/officeDocument/2006/relationships/image" Target="media/image12.wmf"/><Relationship Id="rId41" Type="http://schemas.openxmlformats.org/officeDocument/2006/relationships/image" Target="media/image33.wmf"/><Relationship Id="rId54" Type="http://schemas.openxmlformats.org/officeDocument/2006/relationships/image" Target="media/image46.wmf"/><Relationship Id="rId62" Type="http://schemas.openxmlformats.org/officeDocument/2006/relationships/image" Target="media/image54.wmf"/><Relationship Id="rId70" Type="http://schemas.openxmlformats.org/officeDocument/2006/relationships/image" Target="media/image62.wmf"/><Relationship Id="rId75" Type="http://schemas.openxmlformats.org/officeDocument/2006/relationships/image" Target="media/image67.w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image" Target="media/image49.wmf"/><Relationship Id="rId10" Type="http://schemas.openxmlformats.org/officeDocument/2006/relationships/image" Target="media/image2.wmf"/><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2.wmf"/><Relationship Id="rId65" Type="http://schemas.openxmlformats.org/officeDocument/2006/relationships/image" Target="media/image57.wmf"/><Relationship Id="rId73" Type="http://schemas.openxmlformats.org/officeDocument/2006/relationships/image" Target="media/image65.wmf"/><Relationship Id="rId78" Type="http://schemas.openxmlformats.org/officeDocument/2006/relationships/image" Target="media/image70.emf"/><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31.wmf"/><Relationship Id="rId34" Type="http://schemas.openxmlformats.org/officeDocument/2006/relationships/image" Target="media/image26.wmf"/><Relationship Id="rId50" Type="http://schemas.openxmlformats.org/officeDocument/2006/relationships/image" Target="media/image42.wmf"/><Relationship Id="rId55" Type="http://schemas.openxmlformats.org/officeDocument/2006/relationships/image" Target="media/image47.wmf"/><Relationship Id="rId7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image" Target="media/image63.wmf"/><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32.wmf"/><Relationship Id="rId45" Type="http://schemas.openxmlformats.org/officeDocument/2006/relationships/image" Target="media/image37.wmf"/><Relationship Id="rId66" Type="http://schemas.openxmlformats.org/officeDocument/2006/relationships/image" Target="media/image58.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6E1D0-EFC1-4AEA-90E5-D316F2BC6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94</Pages>
  <Words>24594</Words>
  <Characters>135273</Characters>
  <Application>Microsoft Office Word</Application>
  <DocSecurity>0</DocSecurity>
  <Lines>1127</Lines>
  <Paragraphs>319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Villalobos Tlatempa</dc:creator>
  <cp:keywords/>
  <dc:description/>
  <cp:lastModifiedBy>Karen Beatriz Martinez Munguia</cp:lastModifiedBy>
  <cp:revision>5</cp:revision>
  <cp:lastPrinted>2015-07-09T17:43:00Z</cp:lastPrinted>
  <dcterms:created xsi:type="dcterms:W3CDTF">2015-07-09T01:10:00Z</dcterms:created>
  <dcterms:modified xsi:type="dcterms:W3CDTF">2015-07-09T22:43:00Z</dcterms:modified>
</cp:coreProperties>
</file>