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3CFCB" w14:textId="77777777" w:rsidR="00580824" w:rsidRDefault="00580824" w:rsidP="00580824">
      <w:pPr>
        <w:spacing w:after="0" w:line="240" w:lineRule="auto"/>
        <w:ind w:right="594"/>
        <w:jc w:val="center"/>
        <w:rPr>
          <w:rFonts w:ascii="Arial" w:hAnsi="Arial" w:cs="Arial"/>
          <w:sz w:val="32"/>
        </w:rPr>
      </w:pPr>
      <w:r w:rsidRPr="007B53EE">
        <w:rPr>
          <w:rFonts w:ascii="Arial" w:hAnsi="Arial" w:cs="Arial"/>
          <w:sz w:val="32"/>
        </w:rPr>
        <w:t>PROPUESTA DE MODIFICACIONES A LA ORE 2026</w:t>
      </w:r>
    </w:p>
    <w:p w14:paraId="2D6F461F" w14:textId="77777777" w:rsidR="005D6477" w:rsidRPr="008B33F9" w:rsidRDefault="005D6477" w:rsidP="005D6477">
      <w:pPr>
        <w:spacing w:after="0" w:line="240" w:lineRule="auto"/>
        <w:ind w:left="567" w:right="594"/>
        <w:jc w:val="center"/>
        <w:rPr>
          <w:rFonts w:cstheme="minorHAnsi"/>
          <w:b/>
          <w:sz w:val="36"/>
        </w:rPr>
      </w:pPr>
    </w:p>
    <w:p w14:paraId="0504E6A2" w14:textId="77777777" w:rsidR="007B53EE" w:rsidRPr="007B53EE" w:rsidRDefault="007B53EE" w:rsidP="007B53EE">
      <w:pPr>
        <w:spacing w:after="0" w:line="240" w:lineRule="auto"/>
        <w:ind w:right="594"/>
        <w:jc w:val="center"/>
        <w:rPr>
          <w:rFonts w:ascii="Arial" w:hAnsi="Arial" w:cs="Arial"/>
          <w:sz w:val="32"/>
        </w:rPr>
      </w:pPr>
    </w:p>
    <w:p w14:paraId="5BE15496" w14:textId="3135ECCC" w:rsidR="007B53EE" w:rsidRPr="00303456" w:rsidRDefault="007B53EE" w:rsidP="007B53EE">
      <w:pPr>
        <w:spacing w:after="0" w:line="240" w:lineRule="auto"/>
        <w:jc w:val="both"/>
        <w:rPr>
          <w:rFonts w:ascii="Calibri Light" w:eastAsia="Calibri" w:hAnsi="Calibri Light" w:cs="Calibri Light"/>
          <w:sz w:val="24"/>
          <w:szCs w:val="20"/>
        </w:rPr>
      </w:pPr>
      <w:r w:rsidRPr="00303456">
        <w:rPr>
          <w:rFonts w:ascii="Calibri Light" w:eastAsia="Calibri" w:hAnsi="Calibri Light" w:cs="Calibri Light"/>
          <w:sz w:val="24"/>
          <w:szCs w:val="20"/>
        </w:rPr>
        <w:t>Telmex y Telnor, en cumplimiento de lo dispuesto en la Medida Cuadragésima Primera del Anexo 2 de la Tercera Resolución Bienal, presentan al Instituto para su aprobación las siguientes modificaciones y actualizaciones a la Oferta de Referencia de Enlaces Dedicados entre Localidades y de Larga Distancia Internacional, aplicables para el año 2026.</w:t>
      </w:r>
      <w:r w:rsidR="00303456">
        <w:rPr>
          <w:rFonts w:ascii="Calibri Light" w:eastAsia="Calibri" w:hAnsi="Calibri Light" w:cs="Calibri Light"/>
          <w:sz w:val="24"/>
          <w:szCs w:val="20"/>
        </w:rPr>
        <w:t xml:space="preserve"> </w:t>
      </w:r>
      <w:r w:rsidRPr="00303456">
        <w:rPr>
          <w:rFonts w:ascii="Calibri Light" w:eastAsia="Calibri" w:hAnsi="Calibri Light" w:cs="Calibri Light"/>
          <w:sz w:val="24"/>
          <w:szCs w:val="20"/>
        </w:rPr>
        <w:t>Con el propósito de brindar contexto y sustento a las modificaciones propuestas, se formulan a continuación las siguientes consideraciones generales:</w:t>
      </w:r>
    </w:p>
    <w:p w14:paraId="6E76DB07" w14:textId="77777777" w:rsidR="007B53EE" w:rsidRPr="00303456" w:rsidRDefault="007B53EE" w:rsidP="007B53EE">
      <w:pPr>
        <w:spacing w:after="0" w:line="240" w:lineRule="auto"/>
        <w:jc w:val="both"/>
        <w:rPr>
          <w:rFonts w:ascii="Calibri Light" w:eastAsia="Calibri" w:hAnsi="Calibri Light" w:cs="Calibri Light"/>
          <w:sz w:val="24"/>
          <w:szCs w:val="20"/>
        </w:rPr>
      </w:pPr>
    </w:p>
    <w:p w14:paraId="612D0CD3" w14:textId="77777777" w:rsidR="007B53EE" w:rsidRPr="00303456" w:rsidRDefault="007B53EE" w:rsidP="007B53EE">
      <w:pPr>
        <w:spacing w:after="0" w:line="240" w:lineRule="auto"/>
        <w:jc w:val="both"/>
        <w:rPr>
          <w:rFonts w:ascii="Calibri Light" w:eastAsia="Calibri" w:hAnsi="Calibri Light" w:cs="Calibri Light"/>
          <w:b/>
          <w:sz w:val="24"/>
          <w:szCs w:val="20"/>
        </w:rPr>
      </w:pPr>
      <w:r w:rsidRPr="00303456">
        <w:rPr>
          <w:rFonts w:ascii="Calibri Light" w:eastAsia="Calibri" w:hAnsi="Calibri Light" w:cs="Calibri Light"/>
          <w:b/>
          <w:sz w:val="24"/>
          <w:szCs w:val="20"/>
        </w:rPr>
        <w:t>PRIMERA. Impulso a la contratación de servicios mayoristas</w:t>
      </w:r>
    </w:p>
    <w:p w14:paraId="1851E44E" w14:textId="77777777" w:rsidR="007B53EE" w:rsidRPr="00303456" w:rsidRDefault="007B53EE" w:rsidP="007B53EE">
      <w:pPr>
        <w:spacing w:after="0" w:line="240" w:lineRule="auto"/>
        <w:jc w:val="both"/>
        <w:rPr>
          <w:rFonts w:ascii="Calibri Light" w:eastAsia="Calibri" w:hAnsi="Calibri Light" w:cs="Calibri Light"/>
          <w:sz w:val="24"/>
          <w:szCs w:val="20"/>
        </w:rPr>
      </w:pPr>
    </w:p>
    <w:p w14:paraId="18B03C29" w14:textId="77777777" w:rsidR="007B53EE" w:rsidRPr="00303456" w:rsidRDefault="007B53EE" w:rsidP="007B53EE">
      <w:pPr>
        <w:spacing w:after="0" w:line="240" w:lineRule="auto"/>
        <w:jc w:val="both"/>
        <w:rPr>
          <w:rFonts w:ascii="Calibri Light" w:eastAsia="Calibri" w:hAnsi="Calibri Light" w:cs="Calibri Light"/>
          <w:sz w:val="24"/>
          <w:szCs w:val="20"/>
        </w:rPr>
      </w:pPr>
      <w:r w:rsidRPr="00303456">
        <w:rPr>
          <w:rFonts w:ascii="Calibri Light" w:eastAsia="Calibri" w:hAnsi="Calibri Light" w:cs="Calibri Light"/>
          <w:sz w:val="24"/>
          <w:szCs w:val="20"/>
        </w:rPr>
        <w:t>Telmex y Telnor, en estricto cumplimiento de la regulación asimétrica vigente, presentan esta propuesta con el objetivo de fortalecer y dinamizar el interés de los Concesionarios Solicitantes (CS) en los servicios de Enlaces Dedicados. Las modificaciones planteadas buscan ofrecer soluciones tecnológicas actualizadas y competitivas, alineadas con las tendencias del mercado fijo, que promuevan un entorno más eficiente y transparente para la provisión mayorista.</w:t>
      </w:r>
    </w:p>
    <w:p w14:paraId="3C00B0BC" w14:textId="77777777" w:rsidR="007B53EE" w:rsidRPr="00303456" w:rsidRDefault="007B53EE" w:rsidP="007B53EE">
      <w:pPr>
        <w:spacing w:after="0" w:line="240" w:lineRule="auto"/>
        <w:jc w:val="both"/>
        <w:rPr>
          <w:rFonts w:ascii="Calibri Light" w:eastAsia="Calibri" w:hAnsi="Calibri Light" w:cs="Calibri Light"/>
          <w:sz w:val="24"/>
          <w:szCs w:val="20"/>
        </w:rPr>
      </w:pPr>
    </w:p>
    <w:p w14:paraId="0188ECD9" w14:textId="77777777" w:rsidR="007B53EE" w:rsidRPr="00303456" w:rsidRDefault="007B53EE" w:rsidP="007B53EE">
      <w:pPr>
        <w:spacing w:after="0" w:line="240" w:lineRule="auto"/>
        <w:jc w:val="both"/>
        <w:rPr>
          <w:rFonts w:ascii="Calibri Light" w:eastAsia="Calibri" w:hAnsi="Calibri Light" w:cs="Calibri Light"/>
          <w:b/>
          <w:sz w:val="24"/>
          <w:szCs w:val="20"/>
        </w:rPr>
      </w:pPr>
      <w:r w:rsidRPr="00303456">
        <w:rPr>
          <w:rFonts w:ascii="Calibri Light" w:eastAsia="Calibri" w:hAnsi="Calibri Light" w:cs="Calibri Light"/>
          <w:b/>
          <w:sz w:val="24"/>
          <w:szCs w:val="20"/>
        </w:rPr>
        <w:t>SEGUNDA. Procesos operativos más claros, ágiles y homogéneos</w:t>
      </w:r>
    </w:p>
    <w:p w14:paraId="7CF2FE6B" w14:textId="77777777" w:rsidR="007B53EE" w:rsidRPr="00303456" w:rsidRDefault="007B53EE" w:rsidP="007B53EE">
      <w:pPr>
        <w:spacing w:after="0" w:line="240" w:lineRule="auto"/>
        <w:jc w:val="both"/>
        <w:rPr>
          <w:rFonts w:ascii="Calibri Light" w:eastAsia="Calibri" w:hAnsi="Calibri Light" w:cs="Calibri Light"/>
          <w:sz w:val="24"/>
          <w:szCs w:val="20"/>
        </w:rPr>
      </w:pPr>
    </w:p>
    <w:p w14:paraId="11175AEB" w14:textId="77777777" w:rsidR="007B53EE" w:rsidRPr="00303456" w:rsidRDefault="007B53EE" w:rsidP="007B53EE">
      <w:pPr>
        <w:spacing w:after="0" w:line="240" w:lineRule="auto"/>
        <w:jc w:val="both"/>
        <w:rPr>
          <w:rFonts w:ascii="Calibri Light" w:eastAsia="Calibri" w:hAnsi="Calibri Light" w:cs="Calibri Light"/>
          <w:sz w:val="24"/>
          <w:szCs w:val="20"/>
        </w:rPr>
      </w:pPr>
      <w:r w:rsidRPr="00303456">
        <w:rPr>
          <w:rFonts w:ascii="Calibri Light" w:eastAsia="Calibri" w:hAnsi="Calibri Light" w:cs="Calibri Light"/>
          <w:sz w:val="24"/>
          <w:szCs w:val="20"/>
        </w:rPr>
        <w:t>Las actualizaciones propuestas también están orientadas a simplificar y estandarizar los procesos operativos asociados a la provisión de servicios, considerando todos los niveles de velocidad y diferenciando el medio de acceso —cobre o fibra óptica— tanto para los CS como para la propia División Mayorista.</w:t>
      </w:r>
    </w:p>
    <w:p w14:paraId="480794C1" w14:textId="77777777" w:rsidR="007B53EE" w:rsidRPr="00303456" w:rsidRDefault="007B53EE" w:rsidP="007B53EE">
      <w:pPr>
        <w:spacing w:after="0" w:line="240" w:lineRule="auto"/>
        <w:jc w:val="both"/>
        <w:rPr>
          <w:rFonts w:ascii="Calibri Light" w:eastAsia="Calibri" w:hAnsi="Calibri Light" w:cs="Calibri Light"/>
          <w:sz w:val="24"/>
          <w:szCs w:val="20"/>
        </w:rPr>
      </w:pPr>
    </w:p>
    <w:p w14:paraId="65E29078" w14:textId="77777777" w:rsidR="007B53EE" w:rsidRPr="00303456" w:rsidRDefault="007B53EE" w:rsidP="007B53EE">
      <w:pPr>
        <w:spacing w:after="0" w:line="240" w:lineRule="auto"/>
        <w:jc w:val="both"/>
        <w:rPr>
          <w:rFonts w:ascii="Calibri Light" w:eastAsia="Calibri" w:hAnsi="Calibri Light" w:cs="Calibri Light"/>
          <w:sz w:val="24"/>
          <w:szCs w:val="20"/>
        </w:rPr>
      </w:pPr>
      <w:r w:rsidRPr="00303456">
        <w:rPr>
          <w:rFonts w:ascii="Calibri Light" w:eastAsia="Calibri" w:hAnsi="Calibri Light" w:cs="Calibri Light"/>
          <w:sz w:val="24"/>
          <w:szCs w:val="20"/>
        </w:rPr>
        <w:t>Se propone, además, incorporar mejoras sustantivas en distintas etapas del ciclo de contratación y atención, incluyendo ajustes en la gestión de fallas, homologación de criterios para plazos de reparación, adecuación de los tiempos de traslado conforme a las condiciones reales del país, y la definición de parámetros de disponibilidad más realistas, reflejando con fidelidad la calidad del servicio efectivamente prestado.</w:t>
      </w:r>
    </w:p>
    <w:p w14:paraId="3FCD3C10" w14:textId="77777777" w:rsidR="007B53EE" w:rsidRPr="00303456" w:rsidRDefault="007B53EE" w:rsidP="007B53EE">
      <w:pPr>
        <w:spacing w:after="0" w:line="240" w:lineRule="auto"/>
        <w:jc w:val="both"/>
        <w:rPr>
          <w:rFonts w:ascii="Calibri Light" w:eastAsia="Calibri" w:hAnsi="Calibri Light" w:cs="Calibri Light"/>
          <w:sz w:val="24"/>
          <w:szCs w:val="20"/>
        </w:rPr>
      </w:pPr>
    </w:p>
    <w:p w14:paraId="3F85FDF1" w14:textId="77777777" w:rsidR="007B53EE" w:rsidRPr="00303456" w:rsidRDefault="007B53EE" w:rsidP="007B53EE">
      <w:pPr>
        <w:spacing w:after="0" w:line="240" w:lineRule="auto"/>
        <w:jc w:val="both"/>
        <w:rPr>
          <w:rFonts w:ascii="Calibri Light" w:eastAsia="Calibri" w:hAnsi="Calibri Light" w:cs="Calibri Light"/>
          <w:b/>
          <w:sz w:val="24"/>
          <w:szCs w:val="20"/>
        </w:rPr>
      </w:pPr>
      <w:r w:rsidRPr="00303456">
        <w:rPr>
          <w:rFonts w:ascii="Calibri Light" w:eastAsia="Calibri" w:hAnsi="Calibri Light" w:cs="Calibri Light"/>
          <w:b/>
          <w:sz w:val="24"/>
          <w:szCs w:val="20"/>
        </w:rPr>
        <w:t>TERCERA. Ajuste de tarifas con base en variaciones de costos</w:t>
      </w:r>
    </w:p>
    <w:p w14:paraId="126BCF02" w14:textId="77777777" w:rsidR="007B53EE" w:rsidRPr="00303456" w:rsidRDefault="007B53EE" w:rsidP="007B53EE">
      <w:pPr>
        <w:spacing w:after="0" w:line="240" w:lineRule="auto"/>
        <w:jc w:val="both"/>
        <w:rPr>
          <w:rFonts w:ascii="Calibri Light" w:eastAsia="Calibri" w:hAnsi="Calibri Light" w:cs="Calibri Light"/>
          <w:sz w:val="24"/>
          <w:szCs w:val="20"/>
        </w:rPr>
      </w:pPr>
    </w:p>
    <w:p w14:paraId="5F28CD03" w14:textId="2E8E0DB3" w:rsidR="00124031" w:rsidRDefault="007B53EE" w:rsidP="00303456">
      <w:pPr>
        <w:spacing w:after="0" w:line="240" w:lineRule="auto"/>
        <w:jc w:val="both"/>
      </w:pPr>
      <w:r w:rsidRPr="00303456">
        <w:rPr>
          <w:rFonts w:ascii="Calibri Light" w:eastAsia="Calibri" w:hAnsi="Calibri Light" w:cs="Calibri Light"/>
          <w:sz w:val="24"/>
          <w:szCs w:val="20"/>
        </w:rPr>
        <w:t xml:space="preserve">La presente propuesta de tarifas para el servicio de Enlaces Dedicados considera los incrementos reales en los costos incurridos entre junio de 2024 y junio de 2025, derivados del incremento inflacionario acumulado del 4.32%; </w:t>
      </w:r>
      <w:r w:rsidR="00762126">
        <w:rPr>
          <w:rFonts w:ascii="Calibri Light" w:eastAsia="Calibri" w:hAnsi="Calibri Light" w:cs="Calibri Light"/>
          <w:sz w:val="24"/>
          <w:szCs w:val="20"/>
        </w:rPr>
        <w:t>u</w:t>
      </w:r>
      <w:r w:rsidRPr="00303456">
        <w:rPr>
          <w:rFonts w:ascii="Calibri Light" w:eastAsia="Calibri" w:hAnsi="Calibri Light" w:cs="Calibri Light"/>
          <w:sz w:val="24"/>
          <w:szCs w:val="20"/>
        </w:rPr>
        <w:t xml:space="preserve">n aumento salarial del 5.1% aplicado al personal activo y jubilado; </w:t>
      </w:r>
      <w:r w:rsidR="00762126">
        <w:rPr>
          <w:rFonts w:ascii="Calibri Light" w:eastAsia="Calibri" w:hAnsi="Calibri Light" w:cs="Calibri Light"/>
          <w:sz w:val="24"/>
          <w:szCs w:val="20"/>
        </w:rPr>
        <w:t>y</w:t>
      </w:r>
      <w:r w:rsidRPr="00303456">
        <w:rPr>
          <w:rFonts w:ascii="Calibri Light" w:eastAsia="Calibri" w:hAnsi="Calibri Light" w:cs="Calibri Light"/>
          <w:sz w:val="24"/>
          <w:szCs w:val="20"/>
        </w:rPr>
        <w:t xml:space="preserve"> un ajuste del 5.21% por concepto de aumento arancelario y otros costos operativos relevantes, incluyendo insumos tecnológicos, soporte técnico, mantenimiento de red, energía, permisos y derechos, entre otros.</w:t>
      </w:r>
      <w:r w:rsidR="00762126">
        <w:rPr>
          <w:rFonts w:ascii="Calibri Light" w:eastAsia="Calibri" w:hAnsi="Calibri Light" w:cs="Calibri Light"/>
          <w:sz w:val="24"/>
          <w:szCs w:val="20"/>
        </w:rPr>
        <w:t xml:space="preserve"> </w:t>
      </w:r>
      <w:r w:rsidRPr="00303456">
        <w:rPr>
          <w:rFonts w:ascii="Calibri Light" w:eastAsia="Calibri" w:hAnsi="Calibri Light" w:cs="Calibri Light"/>
          <w:sz w:val="24"/>
          <w:szCs w:val="20"/>
        </w:rPr>
        <w:t>La combinación de estos factores refleja un incremento global del 15.35% en los costos de provisión del servicio. En este contexto, las tarifas propuestas tienen como único propósito garantizar la recuperación razonable de costos conforme a los principios de sostenibilidad financiera, equidad regulatoria y continuidad del servicio, sin margen de rentabilidad adicional ni afectación al usuario final.</w:t>
      </w:r>
      <w:r w:rsidR="00124031">
        <w:br w:type="page"/>
      </w:r>
    </w:p>
    <w:tbl>
      <w:tblPr>
        <w:tblStyle w:val="Tablaconcuadrcula"/>
        <w:tblW w:w="14819" w:type="dxa"/>
        <w:jc w:val="center"/>
        <w:tblLayout w:type="fixed"/>
        <w:tblLook w:val="04A0" w:firstRow="1" w:lastRow="0" w:firstColumn="1" w:lastColumn="0" w:noHBand="0" w:noVBand="1"/>
      </w:tblPr>
      <w:tblGrid>
        <w:gridCol w:w="1392"/>
        <w:gridCol w:w="1576"/>
        <w:gridCol w:w="5958"/>
        <w:gridCol w:w="5893"/>
      </w:tblGrid>
      <w:tr w:rsidR="00476935" w:rsidRPr="00C13F5A" w14:paraId="35F6F727" w14:textId="77777777" w:rsidTr="001D5424">
        <w:trPr>
          <w:tblHeader/>
          <w:jc w:val="center"/>
        </w:trPr>
        <w:tc>
          <w:tcPr>
            <w:tcW w:w="1392" w:type="dxa"/>
            <w:shd w:val="clear" w:color="auto" w:fill="8EAADB" w:themeFill="accent1" w:themeFillTint="99"/>
            <w:vAlign w:val="center"/>
          </w:tcPr>
          <w:p w14:paraId="3B4DE83F" w14:textId="77777777" w:rsidR="00ED655B" w:rsidRPr="00254539" w:rsidRDefault="00ED655B" w:rsidP="004D25D9">
            <w:pPr>
              <w:jc w:val="center"/>
              <w:rPr>
                <w:rFonts w:ascii="Calibri" w:hAnsi="Calibri" w:cs="Calibri"/>
                <w:b/>
                <w:bCs/>
                <w:color w:val="000000"/>
                <w:sz w:val="24"/>
                <w:szCs w:val="20"/>
              </w:rPr>
            </w:pPr>
            <w:r>
              <w:rPr>
                <w:rFonts w:ascii="Calibri" w:hAnsi="Calibri" w:cs="Calibri"/>
                <w:b/>
                <w:bCs/>
                <w:color w:val="000000"/>
                <w:sz w:val="24"/>
                <w:szCs w:val="20"/>
              </w:rPr>
              <w:lastRenderedPageBreak/>
              <w:t>Tema</w:t>
            </w:r>
          </w:p>
        </w:tc>
        <w:tc>
          <w:tcPr>
            <w:tcW w:w="1576" w:type="dxa"/>
            <w:shd w:val="clear" w:color="auto" w:fill="8EAADB" w:themeFill="accent1" w:themeFillTint="99"/>
            <w:vAlign w:val="center"/>
          </w:tcPr>
          <w:p w14:paraId="36D391E7" w14:textId="77777777" w:rsidR="00ED655B" w:rsidRPr="00254539" w:rsidRDefault="00ED655B" w:rsidP="004D25D9">
            <w:pPr>
              <w:jc w:val="center"/>
              <w:rPr>
                <w:rFonts w:ascii="Calibri" w:hAnsi="Calibri" w:cs="Calibri"/>
                <w:b/>
                <w:bCs/>
                <w:color w:val="000000"/>
                <w:sz w:val="24"/>
                <w:szCs w:val="20"/>
              </w:rPr>
            </w:pPr>
            <w:r w:rsidRPr="00254539">
              <w:rPr>
                <w:rFonts w:ascii="Calibri" w:hAnsi="Calibri" w:cs="Calibri"/>
                <w:b/>
                <w:bCs/>
                <w:color w:val="000000"/>
                <w:sz w:val="24"/>
                <w:szCs w:val="20"/>
              </w:rPr>
              <w:t>Sección</w:t>
            </w:r>
          </w:p>
        </w:tc>
        <w:tc>
          <w:tcPr>
            <w:tcW w:w="5958" w:type="dxa"/>
            <w:shd w:val="clear" w:color="auto" w:fill="8EAADB" w:themeFill="accent1" w:themeFillTint="99"/>
            <w:vAlign w:val="center"/>
          </w:tcPr>
          <w:p w14:paraId="6D911CAA" w14:textId="77777777" w:rsidR="00ED655B" w:rsidRPr="00254539" w:rsidRDefault="00ED655B" w:rsidP="004D25D9">
            <w:pPr>
              <w:jc w:val="center"/>
              <w:rPr>
                <w:rFonts w:ascii="Calibri" w:hAnsi="Calibri" w:cs="Calibri"/>
                <w:b/>
                <w:bCs/>
                <w:color w:val="000000"/>
                <w:sz w:val="24"/>
                <w:szCs w:val="20"/>
              </w:rPr>
            </w:pPr>
            <w:r w:rsidRPr="00254539">
              <w:rPr>
                <w:rFonts w:ascii="Calibri" w:hAnsi="Calibri" w:cs="Calibri"/>
                <w:b/>
                <w:bCs/>
                <w:color w:val="000000"/>
                <w:sz w:val="24"/>
                <w:szCs w:val="20"/>
              </w:rPr>
              <w:t>Modificación</w:t>
            </w:r>
          </w:p>
        </w:tc>
        <w:tc>
          <w:tcPr>
            <w:tcW w:w="5893" w:type="dxa"/>
            <w:shd w:val="clear" w:color="auto" w:fill="8EAADB" w:themeFill="accent1" w:themeFillTint="99"/>
            <w:vAlign w:val="center"/>
          </w:tcPr>
          <w:p w14:paraId="7305861D" w14:textId="77777777" w:rsidR="00ED655B" w:rsidRPr="00254539" w:rsidRDefault="00ED655B" w:rsidP="004D25D9">
            <w:pPr>
              <w:ind w:right="57"/>
              <w:jc w:val="center"/>
              <w:rPr>
                <w:rFonts w:ascii="Calibri Light" w:eastAsia="Calibri" w:hAnsi="Calibri Light" w:cs="Calibri Light"/>
                <w:b/>
                <w:sz w:val="24"/>
                <w:szCs w:val="20"/>
              </w:rPr>
            </w:pPr>
            <w:r w:rsidRPr="00254539">
              <w:rPr>
                <w:rFonts w:ascii="Calibri Light" w:eastAsia="Calibri" w:hAnsi="Calibri Light" w:cs="Calibri Light"/>
                <w:b/>
                <w:sz w:val="24"/>
                <w:szCs w:val="20"/>
              </w:rPr>
              <w:t>Justificación</w:t>
            </w:r>
          </w:p>
        </w:tc>
      </w:tr>
      <w:tr w:rsidR="00476935" w:rsidRPr="00C13F5A" w14:paraId="51F0F01A" w14:textId="77777777" w:rsidTr="005831D3">
        <w:trPr>
          <w:trHeight w:val="3233"/>
          <w:jc w:val="center"/>
        </w:trPr>
        <w:tc>
          <w:tcPr>
            <w:tcW w:w="1392" w:type="dxa"/>
            <w:vMerge w:val="restart"/>
          </w:tcPr>
          <w:p w14:paraId="5E746D4E" w14:textId="77777777" w:rsidR="00E72F3C" w:rsidRDefault="00E72F3C" w:rsidP="004D25D9">
            <w:pPr>
              <w:jc w:val="center"/>
              <w:rPr>
                <w:rFonts w:cstheme="minorHAnsi"/>
                <w:b/>
                <w:bCs/>
                <w:sz w:val="20"/>
                <w:szCs w:val="20"/>
              </w:rPr>
            </w:pPr>
          </w:p>
          <w:p w14:paraId="339236E2" w14:textId="77777777" w:rsidR="00E72F3C" w:rsidRDefault="00E72F3C" w:rsidP="004D25D9">
            <w:pPr>
              <w:jc w:val="center"/>
              <w:rPr>
                <w:rFonts w:cstheme="minorHAnsi"/>
                <w:b/>
                <w:bCs/>
                <w:sz w:val="20"/>
                <w:szCs w:val="20"/>
              </w:rPr>
            </w:pPr>
            <w:r>
              <w:rPr>
                <w:rFonts w:cstheme="minorHAnsi"/>
                <w:b/>
                <w:bCs/>
                <w:sz w:val="20"/>
                <w:szCs w:val="20"/>
              </w:rPr>
              <w:t>#</w:t>
            </w:r>
            <w:r w:rsidR="006C2F87">
              <w:rPr>
                <w:rFonts w:cstheme="minorHAnsi"/>
                <w:b/>
                <w:bCs/>
                <w:sz w:val="20"/>
                <w:szCs w:val="20"/>
              </w:rPr>
              <w:t>1</w:t>
            </w:r>
          </w:p>
          <w:p w14:paraId="0B504503" w14:textId="77777777" w:rsidR="00E72F3C" w:rsidRDefault="00E72F3C" w:rsidP="004D25D9">
            <w:pPr>
              <w:jc w:val="center"/>
              <w:rPr>
                <w:rFonts w:cstheme="minorHAnsi"/>
                <w:b/>
                <w:bCs/>
                <w:sz w:val="20"/>
                <w:szCs w:val="20"/>
              </w:rPr>
            </w:pPr>
          </w:p>
          <w:p w14:paraId="21742D74" w14:textId="77777777" w:rsidR="00E72F3C" w:rsidRDefault="00E72F3C" w:rsidP="004D25D9">
            <w:pPr>
              <w:jc w:val="center"/>
              <w:rPr>
                <w:sz w:val="20"/>
                <w:szCs w:val="20"/>
              </w:rPr>
            </w:pPr>
            <w:r w:rsidRPr="00512AF5">
              <w:rPr>
                <w:rFonts w:cstheme="minorHAnsi"/>
                <w:b/>
                <w:bCs/>
                <w:sz w:val="20"/>
                <w:szCs w:val="20"/>
              </w:rPr>
              <w:t>P</w:t>
            </w:r>
            <w:r>
              <w:rPr>
                <w:rFonts w:cstheme="minorHAnsi"/>
                <w:b/>
                <w:bCs/>
                <w:sz w:val="20"/>
                <w:szCs w:val="20"/>
              </w:rPr>
              <w:t>lazos máximos de entrega de servicios</w:t>
            </w:r>
          </w:p>
        </w:tc>
        <w:tc>
          <w:tcPr>
            <w:tcW w:w="1576" w:type="dxa"/>
          </w:tcPr>
          <w:p w14:paraId="010078D0" w14:textId="77777777" w:rsidR="00E72F3C" w:rsidRDefault="00E72F3C" w:rsidP="004D25D9">
            <w:pPr>
              <w:jc w:val="center"/>
              <w:rPr>
                <w:rFonts w:cstheme="minorHAnsi"/>
                <w:sz w:val="20"/>
                <w:szCs w:val="20"/>
              </w:rPr>
            </w:pPr>
            <w:r>
              <w:rPr>
                <w:rFonts w:cstheme="minorHAnsi"/>
                <w:sz w:val="20"/>
                <w:szCs w:val="20"/>
              </w:rPr>
              <w:t>OFERTA</w:t>
            </w:r>
          </w:p>
          <w:p w14:paraId="0A27637C" w14:textId="77777777" w:rsidR="00BA3EFF" w:rsidRDefault="00E72F3C" w:rsidP="00BA3EFF">
            <w:pPr>
              <w:jc w:val="center"/>
              <w:rPr>
                <w:rFonts w:cstheme="minorHAnsi"/>
                <w:sz w:val="20"/>
                <w:szCs w:val="20"/>
              </w:rPr>
            </w:pPr>
            <w:r>
              <w:rPr>
                <w:rFonts w:cstheme="minorHAnsi"/>
                <w:sz w:val="20"/>
                <w:szCs w:val="20"/>
              </w:rPr>
              <w:t>2.4.1.1</w:t>
            </w:r>
          </w:p>
          <w:p w14:paraId="24204E10" w14:textId="77777777" w:rsidR="00BA3EFF" w:rsidRPr="00BA3EFF" w:rsidRDefault="00BA3EFF" w:rsidP="00BA3EFF">
            <w:pPr>
              <w:jc w:val="center"/>
              <w:rPr>
                <w:rFonts w:cstheme="minorHAnsi"/>
                <w:i/>
                <w:iCs/>
                <w:sz w:val="20"/>
                <w:szCs w:val="20"/>
              </w:rPr>
            </w:pPr>
            <w:r w:rsidRPr="00BA3EFF">
              <w:rPr>
                <w:rFonts w:cstheme="minorHAnsi"/>
                <w:i/>
                <w:iCs/>
                <w:sz w:val="18"/>
                <w:szCs w:val="20"/>
              </w:rPr>
              <w:t>PÁG. 11</w:t>
            </w:r>
          </w:p>
        </w:tc>
        <w:tc>
          <w:tcPr>
            <w:tcW w:w="5958" w:type="dxa"/>
          </w:tcPr>
          <w:p w14:paraId="065F7BC5" w14:textId="77777777" w:rsidR="00E72F3C" w:rsidRDefault="00E72F3C" w:rsidP="004D25D9">
            <w:pPr>
              <w:rPr>
                <w:rFonts w:ascii="Calibri Light" w:eastAsia="Calibri" w:hAnsi="Calibri Light" w:cs="Calibri Light"/>
                <w:sz w:val="20"/>
                <w:szCs w:val="20"/>
              </w:rPr>
            </w:pPr>
            <w:r w:rsidRPr="00142B3D">
              <w:rPr>
                <w:rFonts w:ascii="Calibri Light" w:eastAsia="Calibri" w:hAnsi="Calibri Light" w:cs="Calibri Light"/>
                <w:sz w:val="20"/>
                <w:szCs w:val="20"/>
              </w:rPr>
              <w:t>2.4.1.</w:t>
            </w:r>
            <w:r>
              <w:rPr>
                <w:rFonts w:ascii="Calibri Light" w:eastAsia="Calibri" w:hAnsi="Calibri Light" w:cs="Calibri Light"/>
                <w:sz w:val="20"/>
                <w:szCs w:val="20"/>
              </w:rPr>
              <w:t>1…</w:t>
            </w:r>
          </w:p>
          <w:p w14:paraId="181BD606" w14:textId="77777777" w:rsidR="0051577F" w:rsidRDefault="0051577F" w:rsidP="004D25D9">
            <w:pPr>
              <w:rPr>
                <w:rFonts w:ascii="Calibri Light" w:eastAsia="Calibri" w:hAnsi="Calibri Light" w:cs="Calibri Light"/>
                <w:sz w:val="20"/>
                <w:szCs w:val="20"/>
              </w:rPr>
            </w:pPr>
          </w:p>
          <w:tbl>
            <w:tblPr>
              <w:tblStyle w:val="Tablaconcuadrcula"/>
              <w:tblpPr w:leftFromText="141" w:rightFromText="141" w:vertAnchor="text" w:horzAnchor="margin" w:tblpXSpec="center" w:tblpY="-131"/>
              <w:tblOverlap w:val="never"/>
              <w:tblW w:w="0" w:type="auto"/>
              <w:tblLayout w:type="fixed"/>
              <w:tblLook w:val="04A0" w:firstRow="1" w:lastRow="0" w:firstColumn="1" w:lastColumn="0" w:noHBand="0" w:noVBand="1"/>
            </w:tblPr>
            <w:tblGrid>
              <w:gridCol w:w="1735"/>
              <w:gridCol w:w="1794"/>
              <w:gridCol w:w="1560"/>
            </w:tblGrid>
            <w:tr w:rsidR="00CE1D8A" w14:paraId="5E43283D" w14:textId="77777777" w:rsidTr="001D5424">
              <w:tc>
                <w:tcPr>
                  <w:tcW w:w="1735" w:type="dxa"/>
                  <w:vMerge w:val="restart"/>
                  <w:vAlign w:val="center"/>
                </w:tcPr>
                <w:p w14:paraId="7EEE6EC4" w14:textId="77777777" w:rsidR="00CE1D8A" w:rsidRPr="00CE1D8A" w:rsidRDefault="00CE1D8A" w:rsidP="00CE1D8A">
                  <w:pPr>
                    <w:jc w:val="center"/>
                    <w:rPr>
                      <w:rFonts w:ascii="Calibri Light" w:eastAsia="Calibri" w:hAnsi="Calibri Light" w:cs="Calibri Light"/>
                      <w:b/>
                      <w:bCs/>
                      <w:sz w:val="18"/>
                      <w:szCs w:val="18"/>
                    </w:rPr>
                  </w:pPr>
                  <w:r w:rsidRPr="00CE1D8A">
                    <w:rPr>
                      <w:rFonts w:ascii="Calibri Light" w:eastAsia="Calibri" w:hAnsi="Calibri Light" w:cs="Calibri Light"/>
                      <w:b/>
                      <w:bCs/>
                      <w:sz w:val="18"/>
                      <w:szCs w:val="18"/>
                    </w:rPr>
                    <w:t>Denominación</w:t>
                  </w:r>
                </w:p>
              </w:tc>
              <w:tc>
                <w:tcPr>
                  <w:tcW w:w="1794" w:type="dxa"/>
                  <w:vMerge w:val="restart"/>
                  <w:vAlign w:val="center"/>
                </w:tcPr>
                <w:p w14:paraId="1C1C61CF" w14:textId="77777777" w:rsidR="00CE1D8A" w:rsidRPr="00CE1D8A" w:rsidRDefault="00CE1D8A" w:rsidP="00CE1D8A">
                  <w:pPr>
                    <w:jc w:val="center"/>
                    <w:rPr>
                      <w:rFonts w:ascii="Calibri Light" w:eastAsia="Calibri" w:hAnsi="Calibri Light" w:cs="Calibri Light"/>
                      <w:b/>
                      <w:bCs/>
                      <w:sz w:val="18"/>
                      <w:szCs w:val="18"/>
                    </w:rPr>
                  </w:pPr>
                  <w:r w:rsidRPr="00CE1D8A">
                    <w:rPr>
                      <w:rFonts w:ascii="Calibri Light" w:eastAsia="Calibri" w:hAnsi="Calibri Light" w:cs="Calibri Light"/>
                      <w:b/>
                      <w:bCs/>
                      <w:sz w:val="18"/>
                      <w:szCs w:val="18"/>
                    </w:rPr>
                    <w:t>Capacidad</w:t>
                  </w:r>
                </w:p>
              </w:tc>
              <w:tc>
                <w:tcPr>
                  <w:tcW w:w="1560" w:type="dxa"/>
                  <w:vAlign w:val="center"/>
                </w:tcPr>
                <w:p w14:paraId="07E1032A" w14:textId="77777777" w:rsidR="00CE1D8A" w:rsidRPr="00CE1D8A" w:rsidRDefault="00CE1D8A" w:rsidP="00CE1D8A">
                  <w:pPr>
                    <w:jc w:val="center"/>
                    <w:rPr>
                      <w:rFonts w:ascii="Calibri Light" w:eastAsia="Calibri" w:hAnsi="Calibri Light" w:cs="Calibri Light"/>
                      <w:b/>
                      <w:bCs/>
                      <w:sz w:val="18"/>
                      <w:szCs w:val="18"/>
                    </w:rPr>
                  </w:pPr>
                  <w:r w:rsidRPr="00CE1D8A">
                    <w:rPr>
                      <w:rFonts w:ascii="Calibri Light" w:eastAsia="Calibri" w:hAnsi="Calibri Light" w:cs="Calibri Light"/>
                      <w:b/>
                      <w:bCs/>
                      <w:sz w:val="18"/>
                      <w:szCs w:val="18"/>
                    </w:rPr>
                    <w:t>Plazos máximos</w:t>
                  </w:r>
                </w:p>
              </w:tc>
            </w:tr>
            <w:tr w:rsidR="00CE1D8A" w14:paraId="2D877D53" w14:textId="77777777" w:rsidTr="001D5424">
              <w:tc>
                <w:tcPr>
                  <w:tcW w:w="1735" w:type="dxa"/>
                  <w:vMerge/>
                  <w:vAlign w:val="center"/>
                </w:tcPr>
                <w:p w14:paraId="516B9F06" w14:textId="77777777" w:rsidR="00CE1D8A" w:rsidRPr="00CE1D8A" w:rsidRDefault="00CE1D8A" w:rsidP="00CE1D8A">
                  <w:pPr>
                    <w:jc w:val="center"/>
                    <w:rPr>
                      <w:rFonts w:ascii="Calibri Light" w:eastAsia="Calibri" w:hAnsi="Calibri Light" w:cs="Calibri Light"/>
                      <w:b/>
                      <w:bCs/>
                      <w:sz w:val="18"/>
                      <w:szCs w:val="18"/>
                    </w:rPr>
                  </w:pPr>
                </w:p>
              </w:tc>
              <w:tc>
                <w:tcPr>
                  <w:tcW w:w="1794" w:type="dxa"/>
                  <w:vMerge/>
                  <w:vAlign w:val="center"/>
                </w:tcPr>
                <w:p w14:paraId="28C0947B" w14:textId="77777777" w:rsidR="00CE1D8A" w:rsidRPr="00CE1D8A" w:rsidRDefault="00CE1D8A" w:rsidP="00CE1D8A">
                  <w:pPr>
                    <w:jc w:val="center"/>
                    <w:rPr>
                      <w:rFonts w:ascii="Calibri Light" w:eastAsia="Calibri" w:hAnsi="Calibri Light" w:cs="Calibri Light"/>
                      <w:b/>
                      <w:bCs/>
                      <w:sz w:val="18"/>
                      <w:szCs w:val="18"/>
                    </w:rPr>
                  </w:pPr>
                </w:p>
              </w:tc>
              <w:tc>
                <w:tcPr>
                  <w:tcW w:w="1560" w:type="dxa"/>
                  <w:vAlign w:val="center"/>
                </w:tcPr>
                <w:p w14:paraId="7F0CEA5A" w14:textId="77777777" w:rsidR="00CE1D8A" w:rsidRPr="00CE1D8A" w:rsidRDefault="00CE1D8A" w:rsidP="00CE1D8A">
                  <w:pPr>
                    <w:jc w:val="center"/>
                    <w:rPr>
                      <w:rFonts w:ascii="Calibri Light" w:eastAsia="Calibri" w:hAnsi="Calibri Light" w:cs="Calibri Light"/>
                      <w:b/>
                      <w:bCs/>
                      <w:sz w:val="18"/>
                      <w:szCs w:val="18"/>
                    </w:rPr>
                  </w:pPr>
                  <w:r w:rsidRPr="00CE1D8A">
                    <w:rPr>
                      <w:rFonts w:ascii="Calibri Light" w:eastAsia="Calibri" w:hAnsi="Calibri Light" w:cs="Calibri Light"/>
                      <w:b/>
                      <w:bCs/>
                      <w:sz w:val="18"/>
                      <w:szCs w:val="18"/>
                    </w:rPr>
                    <w:t>Entre Localidades / Larga distancia</w:t>
                  </w:r>
                </w:p>
              </w:tc>
            </w:tr>
            <w:tr w:rsidR="00CE1D8A" w14:paraId="2B286821" w14:textId="77777777" w:rsidTr="001D5424">
              <w:tc>
                <w:tcPr>
                  <w:tcW w:w="1735" w:type="dxa"/>
                  <w:vAlign w:val="center"/>
                </w:tcPr>
                <w:p w14:paraId="41DFB218" w14:textId="77777777" w:rsidR="00CE1D8A" w:rsidRPr="00CE1D8A" w:rsidRDefault="00CE1D8A" w:rsidP="00CE1D8A">
                  <w:pPr>
                    <w:jc w:val="center"/>
                    <w:rPr>
                      <w:rFonts w:ascii="Calibri Light" w:eastAsia="Calibri" w:hAnsi="Calibri Light" w:cs="Calibri Light"/>
                      <w:sz w:val="18"/>
                      <w:szCs w:val="18"/>
                    </w:rPr>
                  </w:pPr>
                  <w:r w:rsidRPr="00CE1D8A">
                    <w:rPr>
                      <w:rFonts w:ascii="Calibri Light" w:eastAsia="Calibri" w:hAnsi="Calibri Light" w:cs="Calibri Light"/>
                      <w:sz w:val="18"/>
                      <w:szCs w:val="18"/>
                    </w:rPr>
                    <w:t xml:space="preserve">Ethernet </w:t>
                  </w:r>
                  <w:r w:rsidRPr="009A05F0">
                    <w:rPr>
                      <w:rFonts w:ascii="Calibri Light" w:eastAsia="Calibri" w:hAnsi="Calibri Light" w:cs="Calibri Light"/>
                      <w:color w:val="0070C0"/>
                      <w:sz w:val="18"/>
                      <w:szCs w:val="18"/>
                    </w:rPr>
                    <w:t>/ Cobre</w:t>
                  </w:r>
                </w:p>
              </w:tc>
              <w:tc>
                <w:tcPr>
                  <w:tcW w:w="1794" w:type="dxa"/>
                  <w:vAlign w:val="center"/>
                </w:tcPr>
                <w:p w14:paraId="3DC00D7F" w14:textId="77777777" w:rsidR="00CE1D8A" w:rsidRPr="00CE1D8A" w:rsidRDefault="00CE1D8A" w:rsidP="00CE1D8A">
                  <w:pPr>
                    <w:jc w:val="center"/>
                    <w:rPr>
                      <w:rFonts w:ascii="Calibri Light" w:eastAsia="Calibri" w:hAnsi="Calibri Light" w:cs="Calibri Light"/>
                      <w:sz w:val="18"/>
                      <w:szCs w:val="18"/>
                    </w:rPr>
                  </w:pPr>
                  <w:r w:rsidRPr="00CE1D8A">
                    <w:rPr>
                      <w:rFonts w:ascii="Calibri Light" w:eastAsia="Calibri" w:hAnsi="Calibri Light" w:cs="Calibri Light"/>
                      <w:sz w:val="18"/>
                      <w:szCs w:val="18"/>
                    </w:rPr>
                    <w:t>1</w:t>
                  </w:r>
                  <w:r w:rsidRPr="009A05F0">
                    <w:rPr>
                      <w:rFonts w:ascii="Calibri Light" w:eastAsia="Calibri" w:hAnsi="Calibri Light" w:cs="Calibri Light"/>
                      <w:color w:val="0070C0"/>
                      <w:sz w:val="18"/>
                      <w:szCs w:val="18"/>
                    </w:rPr>
                    <w:t xml:space="preserve"> a 6</w:t>
                  </w:r>
                  <w:r w:rsidRPr="00CE1D8A">
                    <w:rPr>
                      <w:rFonts w:ascii="Calibri Light" w:eastAsia="Calibri" w:hAnsi="Calibri Light" w:cs="Calibri Light"/>
                      <w:sz w:val="18"/>
                      <w:szCs w:val="18"/>
                    </w:rPr>
                    <w:t xml:space="preserve"> Mbps</w:t>
                  </w:r>
                </w:p>
              </w:tc>
              <w:tc>
                <w:tcPr>
                  <w:tcW w:w="1560" w:type="dxa"/>
                  <w:vAlign w:val="center"/>
                </w:tcPr>
                <w:p w14:paraId="0BD2A59E" w14:textId="77777777" w:rsidR="00CE1D8A" w:rsidRPr="00CE1D8A" w:rsidRDefault="00CE1D8A" w:rsidP="00CE1D8A">
                  <w:pPr>
                    <w:jc w:val="center"/>
                    <w:rPr>
                      <w:rFonts w:ascii="Calibri Light" w:eastAsia="Calibri" w:hAnsi="Calibri Light" w:cs="Calibri Light"/>
                      <w:sz w:val="18"/>
                      <w:szCs w:val="18"/>
                    </w:rPr>
                  </w:pPr>
                  <w:r w:rsidRPr="00CE1D8A">
                    <w:rPr>
                      <w:rFonts w:ascii="Calibri Light" w:eastAsia="Calibri" w:hAnsi="Calibri Light" w:cs="Calibri Light"/>
                      <w:sz w:val="18"/>
                      <w:szCs w:val="18"/>
                    </w:rPr>
                    <w:t>35 días hábiles</w:t>
                  </w:r>
                </w:p>
              </w:tc>
            </w:tr>
            <w:tr w:rsidR="006B30CB" w14:paraId="71CA2329" w14:textId="77777777" w:rsidTr="001D5424">
              <w:tc>
                <w:tcPr>
                  <w:tcW w:w="1735" w:type="dxa"/>
                </w:tcPr>
                <w:p w14:paraId="482F89A3" w14:textId="77777777" w:rsidR="006B30CB" w:rsidRPr="00A0074A" w:rsidRDefault="006B30CB" w:rsidP="006B30CB">
                  <w:pPr>
                    <w:jc w:val="center"/>
                    <w:rPr>
                      <w:rFonts w:ascii="Calibri Light" w:eastAsia="Calibri" w:hAnsi="Calibri Light" w:cs="Calibri Light"/>
                      <w:strike/>
                      <w:color w:val="0070C0"/>
                      <w:sz w:val="18"/>
                      <w:szCs w:val="18"/>
                    </w:rPr>
                  </w:pPr>
                  <w:r w:rsidRPr="00A0074A">
                    <w:rPr>
                      <w:strike/>
                      <w:color w:val="0070C0"/>
                      <w:sz w:val="18"/>
                      <w:szCs w:val="18"/>
                    </w:rPr>
                    <w:t>Ethernet</w:t>
                  </w:r>
                </w:p>
              </w:tc>
              <w:tc>
                <w:tcPr>
                  <w:tcW w:w="1794" w:type="dxa"/>
                </w:tcPr>
                <w:p w14:paraId="62C00F46" w14:textId="77777777" w:rsidR="006B30CB" w:rsidRPr="00A0074A" w:rsidRDefault="006B30CB" w:rsidP="006B30CB">
                  <w:pPr>
                    <w:jc w:val="center"/>
                    <w:rPr>
                      <w:rFonts w:ascii="Calibri Light" w:eastAsia="Calibri" w:hAnsi="Calibri Light" w:cs="Calibri Light"/>
                      <w:strike/>
                      <w:color w:val="0070C0"/>
                      <w:sz w:val="18"/>
                      <w:szCs w:val="18"/>
                    </w:rPr>
                  </w:pPr>
                  <w:r w:rsidRPr="00A0074A">
                    <w:rPr>
                      <w:strike/>
                      <w:color w:val="0070C0"/>
                      <w:sz w:val="18"/>
                      <w:szCs w:val="18"/>
                    </w:rPr>
                    <w:t xml:space="preserve">2 Mbps </w:t>
                  </w:r>
                </w:p>
              </w:tc>
              <w:tc>
                <w:tcPr>
                  <w:tcW w:w="1560" w:type="dxa"/>
                </w:tcPr>
                <w:p w14:paraId="7D16E132" w14:textId="77777777" w:rsidR="006B30CB" w:rsidRPr="00A0074A" w:rsidRDefault="006B30CB" w:rsidP="006B30CB">
                  <w:pPr>
                    <w:jc w:val="center"/>
                    <w:rPr>
                      <w:rFonts w:ascii="Calibri Light" w:eastAsia="Calibri" w:hAnsi="Calibri Light" w:cs="Calibri Light"/>
                      <w:strike/>
                      <w:color w:val="0070C0"/>
                      <w:sz w:val="18"/>
                      <w:szCs w:val="18"/>
                    </w:rPr>
                  </w:pPr>
                  <w:r w:rsidRPr="00A0074A">
                    <w:rPr>
                      <w:strike/>
                      <w:color w:val="0070C0"/>
                      <w:sz w:val="18"/>
                      <w:szCs w:val="18"/>
                    </w:rPr>
                    <w:t>35 días hábiles</w:t>
                  </w:r>
                </w:p>
              </w:tc>
            </w:tr>
            <w:tr w:rsidR="006B30CB" w14:paraId="606B2617" w14:textId="77777777" w:rsidTr="001D5424">
              <w:tc>
                <w:tcPr>
                  <w:tcW w:w="1735" w:type="dxa"/>
                </w:tcPr>
                <w:p w14:paraId="72B3E097" w14:textId="77777777" w:rsidR="006B30CB" w:rsidRPr="00A0074A" w:rsidRDefault="006B30CB" w:rsidP="006B30CB">
                  <w:pPr>
                    <w:jc w:val="center"/>
                    <w:rPr>
                      <w:rFonts w:ascii="Calibri Light" w:eastAsia="Calibri" w:hAnsi="Calibri Light" w:cs="Calibri Light"/>
                      <w:strike/>
                      <w:color w:val="0070C0"/>
                      <w:sz w:val="18"/>
                      <w:szCs w:val="18"/>
                    </w:rPr>
                  </w:pPr>
                  <w:r w:rsidRPr="00A0074A">
                    <w:rPr>
                      <w:strike/>
                      <w:color w:val="0070C0"/>
                      <w:sz w:val="18"/>
                      <w:szCs w:val="18"/>
                    </w:rPr>
                    <w:t>Ethernet</w:t>
                  </w:r>
                </w:p>
              </w:tc>
              <w:tc>
                <w:tcPr>
                  <w:tcW w:w="1794" w:type="dxa"/>
                </w:tcPr>
                <w:p w14:paraId="79BBF511" w14:textId="77777777" w:rsidR="006B30CB" w:rsidRPr="00A0074A" w:rsidRDefault="006B30CB" w:rsidP="006B30CB">
                  <w:pPr>
                    <w:jc w:val="center"/>
                    <w:rPr>
                      <w:rFonts w:ascii="Calibri Light" w:eastAsia="Calibri" w:hAnsi="Calibri Light" w:cs="Calibri Light"/>
                      <w:strike/>
                      <w:color w:val="0070C0"/>
                      <w:sz w:val="18"/>
                      <w:szCs w:val="18"/>
                    </w:rPr>
                  </w:pPr>
                  <w:r w:rsidRPr="00A0074A">
                    <w:rPr>
                      <w:strike/>
                      <w:color w:val="0070C0"/>
                      <w:sz w:val="18"/>
                      <w:szCs w:val="18"/>
                    </w:rPr>
                    <w:t xml:space="preserve">4 Mbps </w:t>
                  </w:r>
                </w:p>
              </w:tc>
              <w:tc>
                <w:tcPr>
                  <w:tcW w:w="1560" w:type="dxa"/>
                </w:tcPr>
                <w:p w14:paraId="3AB582E4" w14:textId="77777777" w:rsidR="006B30CB" w:rsidRPr="00A0074A" w:rsidRDefault="006B30CB" w:rsidP="006B30CB">
                  <w:pPr>
                    <w:jc w:val="center"/>
                    <w:rPr>
                      <w:rFonts w:ascii="Calibri Light" w:eastAsia="Calibri" w:hAnsi="Calibri Light" w:cs="Calibri Light"/>
                      <w:strike/>
                      <w:color w:val="0070C0"/>
                      <w:sz w:val="18"/>
                      <w:szCs w:val="18"/>
                    </w:rPr>
                  </w:pPr>
                  <w:r w:rsidRPr="00A0074A">
                    <w:rPr>
                      <w:strike/>
                      <w:color w:val="0070C0"/>
                      <w:sz w:val="18"/>
                      <w:szCs w:val="18"/>
                    </w:rPr>
                    <w:t>35 días hábiles</w:t>
                  </w:r>
                </w:p>
              </w:tc>
            </w:tr>
            <w:tr w:rsidR="006B30CB" w14:paraId="32E55446" w14:textId="77777777" w:rsidTr="001D5424">
              <w:tc>
                <w:tcPr>
                  <w:tcW w:w="1735" w:type="dxa"/>
                </w:tcPr>
                <w:p w14:paraId="09A12237" w14:textId="77777777" w:rsidR="006B30CB" w:rsidRPr="00A0074A" w:rsidRDefault="006B30CB" w:rsidP="006B30CB">
                  <w:pPr>
                    <w:jc w:val="center"/>
                    <w:rPr>
                      <w:rFonts w:ascii="Calibri Light" w:eastAsia="Calibri" w:hAnsi="Calibri Light" w:cs="Calibri Light"/>
                      <w:strike/>
                      <w:color w:val="0070C0"/>
                      <w:sz w:val="18"/>
                      <w:szCs w:val="18"/>
                    </w:rPr>
                  </w:pPr>
                  <w:r w:rsidRPr="00A0074A">
                    <w:rPr>
                      <w:strike/>
                      <w:color w:val="0070C0"/>
                      <w:sz w:val="18"/>
                      <w:szCs w:val="18"/>
                    </w:rPr>
                    <w:t>Ethernet</w:t>
                  </w:r>
                </w:p>
              </w:tc>
              <w:tc>
                <w:tcPr>
                  <w:tcW w:w="1794" w:type="dxa"/>
                </w:tcPr>
                <w:p w14:paraId="05AA5400" w14:textId="77777777" w:rsidR="006B30CB" w:rsidRPr="00A0074A" w:rsidRDefault="006B30CB" w:rsidP="006B30CB">
                  <w:pPr>
                    <w:jc w:val="center"/>
                    <w:rPr>
                      <w:rFonts w:ascii="Calibri Light" w:eastAsia="Calibri" w:hAnsi="Calibri Light" w:cs="Calibri Light"/>
                      <w:strike/>
                      <w:color w:val="0070C0"/>
                      <w:sz w:val="18"/>
                      <w:szCs w:val="18"/>
                    </w:rPr>
                  </w:pPr>
                  <w:r w:rsidRPr="00A0074A">
                    <w:rPr>
                      <w:strike/>
                      <w:color w:val="0070C0"/>
                      <w:sz w:val="18"/>
                      <w:szCs w:val="18"/>
                    </w:rPr>
                    <w:t xml:space="preserve">6 Mbps </w:t>
                  </w:r>
                </w:p>
              </w:tc>
              <w:tc>
                <w:tcPr>
                  <w:tcW w:w="1560" w:type="dxa"/>
                </w:tcPr>
                <w:p w14:paraId="72654A6E" w14:textId="77777777" w:rsidR="006B30CB" w:rsidRPr="00A0074A" w:rsidRDefault="006B30CB" w:rsidP="006B30CB">
                  <w:pPr>
                    <w:jc w:val="center"/>
                    <w:rPr>
                      <w:rFonts w:ascii="Calibri Light" w:eastAsia="Calibri" w:hAnsi="Calibri Light" w:cs="Calibri Light"/>
                      <w:strike/>
                      <w:color w:val="0070C0"/>
                      <w:sz w:val="18"/>
                      <w:szCs w:val="18"/>
                    </w:rPr>
                  </w:pPr>
                  <w:r w:rsidRPr="00A0074A">
                    <w:rPr>
                      <w:strike/>
                      <w:color w:val="0070C0"/>
                      <w:sz w:val="18"/>
                      <w:szCs w:val="18"/>
                    </w:rPr>
                    <w:t>35 días hábiles</w:t>
                  </w:r>
                </w:p>
              </w:tc>
            </w:tr>
            <w:tr w:rsidR="009A05F0" w14:paraId="5916587B" w14:textId="77777777" w:rsidTr="001D5424">
              <w:tc>
                <w:tcPr>
                  <w:tcW w:w="1735" w:type="dxa"/>
                  <w:vAlign w:val="center"/>
                </w:tcPr>
                <w:p w14:paraId="22DED414" w14:textId="77777777" w:rsidR="009A05F0" w:rsidRPr="00CE1D8A" w:rsidRDefault="009A05F0" w:rsidP="009A05F0">
                  <w:pPr>
                    <w:jc w:val="center"/>
                    <w:rPr>
                      <w:rFonts w:ascii="Calibri Light" w:eastAsia="Calibri" w:hAnsi="Calibri Light" w:cs="Calibri Light"/>
                      <w:sz w:val="18"/>
                      <w:szCs w:val="18"/>
                    </w:rPr>
                  </w:pPr>
                  <w:r w:rsidRPr="00CE1D8A">
                    <w:rPr>
                      <w:rFonts w:ascii="Calibri Light" w:eastAsia="Calibri" w:hAnsi="Calibri Light" w:cs="Calibri Light"/>
                      <w:sz w:val="18"/>
                      <w:szCs w:val="18"/>
                    </w:rPr>
                    <w:t>Ethernet</w:t>
                  </w:r>
                  <w:r w:rsidRPr="009A05F0">
                    <w:rPr>
                      <w:rFonts w:ascii="Calibri Light" w:eastAsia="Calibri" w:hAnsi="Calibri Light" w:cs="Calibri Light"/>
                      <w:color w:val="0070C0"/>
                      <w:sz w:val="18"/>
                      <w:szCs w:val="18"/>
                    </w:rPr>
                    <w:t xml:space="preserve"> / FO</w:t>
                  </w:r>
                </w:p>
              </w:tc>
              <w:tc>
                <w:tcPr>
                  <w:tcW w:w="1794" w:type="dxa"/>
                  <w:vAlign w:val="center"/>
                </w:tcPr>
                <w:p w14:paraId="597AC427" w14:textId="77777777" w:rsidR="009A05F0" w:rsidRPr="00CE1D8A" w:rsidRDefault="009A05F0" w:rsidP="009A05F0">
                  <w:pPr>
                    <w:jc w:val="center"/>
                    <w:rPr>
                      <w:rFonts w:ascii="Calibri Light" w:eastAsia="Calibri" w:hAnsi="Calibri Light" w:cs="Calibri Light"/>
                      <w:sz w:val="18"/>
                      <w:szCs w:val="18"/>
                    </w:rPr>
                  </w:pPr>
                  <w:r w:rsidRPr="009A05F0">
                    <w:rPr>
                      <w:rFonts w:ascii="Calibri Light" w:eastAsia="Calibri" w:hAnsi="Calibri Light" w:cs="Calibri Light"/>
                      <w:strike/>
                      <w:color w:val="0070C0"/>
                      <w:sz w:val="18"/>
                      <w:szCs w:val="18"/>
                    </w:rPr>
                    <w:t xml:space="preserve">8 </w:t>
                  </w:r>
                  <w:r w:rsidRPr="009A05F0">
                    <w:rPr>
                      <w:rFonts w:ascii="Calibri Light" w:eastAsia="Calibri" w:hAnsi="Calibri Light" w:cs="Calibri Light"/>
                      <w:color w:val="0070C0"/>
                      <w:sz w:val="18"/>
                      <w:szCs w:val="18"/>
                    </w:rPr>
                    <w:t>1</w:t>
                  </w:r>
                  <w:r w:rsidRPr="00CE1D8A">
                    <w:rPr>
                      <w:rFonts w:ascii="Calibri Light" w:eastAsia="Calibri" w:hAnsi="Calibri Light" w:cs="Calibri Light"/>
                      <w:sz w:val="18"/>
                      <w:szCs w:val="18"/>
                    </w:rPr>
                    <w:t xml:space="preserve"> Mbps a 100 Gbps</w:t>
                  </w:r>
                </w:p>
              </w:tc>
              <w:tc>
                <w:tcPr>
                  <w:tcW w:w="1560" w:type="dxa"/>
                  <w:vAlign w:val="center"/>
                </w:tcPr>
                <w:p w14:paraId="55C3F18C" w14:textId="77777777" w:rsidR="009A05F0" w:rsidRPr="00CE1D8A" w:rsidRDefault="009A05F0" w:rsidP="009A05F0">
                  <w:pPr>
                    <w:jc w:val="center"/>
                    <w:rPr>
                      <w:rFonts w:ascii="Calibri Light" w:eastAsia="Calibri" w:hAnsi="Calibri Light" w:cs="Calibri Light"/>
                      <w:sz w:val="18"/>
                      <w:szCs w:val="18"/>
                    </w:rPr>
                  </w:pPr>
                  <w:r w:rsidRPr="00CE1D8A">
                    <w:rPr>
                      <w:rFonts w:ascii="Calibri Light" w:eastAsia="Calibri" w:hAnsi="Calibri Light" w:cs="Calibri Light"/>
                      <w:sz w:val="18"/>
                      <w:szCs w:val="18"/>
                    </w:rPr>
                    <w:t>60 días hábiles</w:t>
                  </w:r>
                </w:p>
              </w:tc>
            </w:tr>
          </w:tbl>
          <w:p w14:paraId="494D519B" w14:textId="77777777" w:rsidR="00CE1D8A" w:rsidRDefault="00CE1D8A" w:rsidP="004D25D9">
            <w:pPr>
              <w:rPr>
                <w:rFonts w:ascii="Calibri Light" w:eastAsia="Calibri" w:hAnsi="Calibri Light" w:cs="Calibri Light"/>
                <w:sz w:val="20"/>
                <w:szCs w:val="20"/>
              </w:rPr>
            </w:pPr>
          </w:p>
          <w:p w14:paraId="69FD1772" w14:textId="77777777" w:rsidR="005B251E" w:rsidRDefault="005B251E" w:rsidP="005B251E">
            <w:pPr>
              <w:rPr>
                <w:rFonts w:ascii="Calibri Light" w:eastAsia="Calibri" w:hAnsi="Calibri Light" w:cs="Calibri Light"/>
                <w:sz w:val="20"/>
                <w:szCs w:val="20"/>
              </w:rPr>
            </w:pPr>
          </w:p>
          <w:p w14:paraId="44DD3933" w14:textId="77777777" w:rsidR="00D56629" w:rsidRDefault="00D56629" w:rsidP="00A9570E">
            <w:pPr>
              <w:rPr>
                <w:rFonts w:ascii="Calibri Light" w:eastAsia="Calibri" w:hAnsi="Calibri Light" w:cs="Calibri Light"/>
                <w:sz w:val="20"/>
                <w:szCs w:val="20"/>
              </w:rPr>
            </w:pPr>
          </w:p>
        </w:tc>
        <w:tc>
          <w:tcPr>
            <w:tcW w:w="5893" w:type="dxa"/>
            <w:vMerge w:val="restart"/>
          </w:tcPr>
          <w:p w14:paraId="75E8250D" w14:textId="77777777" w:rsidR="00D56629" w:rsidRPr="00053658" w:rsidRDefault="00D56629" w:rsidP="00D56629">
            <w:pPr>
              <w:jc w:val="both"/>
              <w:rPr>
                <w:rFonts w:ascii="Calibri Light" w:eastAsia="Calibri" w:hAnsi="Calibri Light" w:cs="Calibri Light"/>
                <w:sz w:val="20"/>
                <w:szCs w:val="20"/>
              </w:rPr>
            </w:pPr>
            <w:r w:rsidRPr="00053658">
              <w:rPr>
                <w:rFonts w:ascii="Calibri Light" w:eastAsia="Calibri" w:hAnsi="Calibri Light" w:cs="Calibri Light"/>
                <w:sz w:val="20"/>
                <w:szCs w:val="20"/>
              </w:rPr>
              <w:t>Derivado de la evolución tecnológica en las redes de telecomunicaciones, la mayoría de los servicios de baja velocidad (1, 2, 4 y 6 Mbps) actualmente se entregan sobre infraestructura de fibra óptica, la cual es la misma que se utiliza para la provisión de servicios de mayor capacidad. En particular, al tratarse de servicios con interfaz Ethernet, las tareas técnicas y operativas necesarias para su habilitación no difieren de las requeridas para enlaces de mayor velocidad.</w:t>
            </w:r>
          </w:p>
          <w:p w14:paraId="65E26785" w14:textId="77777777" w:rsidR="00D56629" w:rsidRPr="00D56629" w:rsidRDefault="00D56629" w:rsidP="00D56629">
            <w:pPr>
              <w:jc w:val="both"/>
              <w:rPr>
                <w:rFonts w:ascii="Calibri Light" w:eastAsia="Calibri" w:hAnsi="Calibri Light" w:cs="Calibri Light"/>
                <w:sz w:val="20"/>
                <w:szCs w:val="20"/>
              </w:rPr>
            </w:pPr>
          </w:p>
          <w:p w14:paraId="39AA46A3" w14:textId="3FA76552" w:rsidR="00D56629" w:rsidRPr="00D56629" w:rsidRDefault="00D56629" w:rsidP="00D56629">
            <w:pPr>
              <w:jc w:val="both"/>
              <w:rPr>
                <w:rFonts w:ascii="Calibri Light" w:eastAsia="Calibri" w:hAnsi="Calibri Light" w:cs="Calibri Light"/>
                <w:sz w:val="20"/>
                <w:szCs w:val="20"/>
              </w:rPr>
            </w:pPr>
            <w:r w:rsidRPr="00D56629">
              <w:rPr>
                <w:rFonts w:ascii="Calibri Light" w:eastAsia="Calibri" w:hAnsi="Calibri Light" w:cs="Calibri Light"/>
                <w:sz w:val="20"/>
                <w:szCs w:val="20"/>
              </w:rPr>
              <w:t xml:space="preserve">En caso de que el </w:t>
            </w:r>
            <w:r w:rsidR="00AF441F">
              <w:rPr>
                <w:rFonts w:ascii="Calibri Light" w:eastAsia="Calibri" w:hAnsi="Calibri Light" w:cs="Calibri Light"/>
                <w:sz w:val="20"/>
                <w:szCs w:val="20"/>
              </w:rPr>
              <w:t>e</w:t>
            </w:r>
            <w:r w:rsidRPr="00D56629">
              <w:rPr>
                <w:rFonts w:ascii="Calibri Light" w:eastAsia="Calibri" w:hAnsi="Calibri Light" w:cs="Calibri Light"/>
                <w:sz w:val="20"/>
                <w:szCs w:val="20"/>
              </w:rPr>
              <w:t xml:space="preserve">nlace se provea mediante infraestructura de cobre, se mantiene el plazo actualmente vigente, atendiendo a las particularidades técnicas de dicha tecnología. </w:t>
            </w:r>
          </w:p>
          <w:p w14:paraId="5464B594" w14:textId="77777777" w:rsidR="00D56629" w:rsidRPr="00D56629" w:rsidRDefault="00D56629" w:rsidP="00D56629">
            <w:pPr>
              <w:jc w:val="both"/>
              <w:rPr>
                <w:rFonts w:ascii="Calibri Light" w:eastAsia="Calibri" w:hAnsi="Calibri Light" w:cs="Calibri Light"/>
                <w:sz w:val="20"/>
                <w:szCs w:val="20"/>
              </w:rPr>
            </w:pPr>
          </w:p>
          <w:p w14:paraId="3696CADA" w14:textId="77777777" w:rsidR="00E72F3C" w:rsidRPr="00FA7718" w:rsidRDefault="00D56629" w:rsidP="00D56629">
            <w:pPr>
              <w:jc w:val="both"/>
              <w:rPr>
                <w:rFonts w:ascii="Calibri Light" w:eastAsia="Calibri" w:hAnsi="Calibri Light" w:cs="Calibri Light"/>
                <w:sz w:val="20"/>
                <w:szCs w:val="20"/>
              </w:rPr>
            </w:pPr>
            <w:r w:rsidRPr="00D56629">
              <w:rPr>
                <w:rFonts w:ascii="Calibri Light" w:eastAsia="Calibri" w:hAnsi="Calibri Light" w:cs="Calibri Light"/>
                <w:sz w:val="20"/>
                <w:szCs w:val="20"/>
              </w:rPr>
              <w:t>No obstante, por las particularidades de la fibra óptica, con independencia de la velocidad, resulta necesario un trato distinto, por lo que se solicita que para esta tecnología se considere como plazo 60 días hábiles.</w:t>
            </w:r>
          </w:p>
        </w:tc>
      </w:tr>
      <w:tr w:rsidR="00476935" w:rsidRPr="00C13F5A" w14:paraId="59E7A3D7" w14:textId="77777777" w:rsidTr="001D5424">
        <w:trPr>
          <w:trHeight w:val="568"/>
          <w:jc w:val="center"/>
        </w:trPr>
        <w:tc>
          <w:tcPr>
            <w:tcW w:w="1392" w:type="dxa"/>
            <w:vMerge/>
          </w:tcPr>
          <w:p w14:paraId="2337E64C" w14:textId="77777777" w:rsidR="00E72F3C" w:rsidRDefault="00E72F3C" w:rsidP="004D25D9">
            <w:pPr>
              <w:jc w:val="center"/>
              <w:rPr>
                <w:rFonts w:cstheme="minorHAnsi"/>
                <w:b/>
                <w:bCs/>
                <w:sz w:val="20"/>
                <w:szCs w:val="20"/>
              </w:rPr>
            </w:pPr>
          </w:p>
        </w:tc>
        <w:tc>
          <w:tcPr>
            <w:tcW w:w="1576" w:type="dxa"/>
            <w:vAlign w:val="center"/>
          </w:tcPr>
          <w:p w14:paraId="328AA4B6" w14:textId="77777777" w:rsidR="00E72F3C" w:rsidRDefault="00E72F3C" w:rsidP="004D25D9">
            <w:pPr>
              <w:jc w:val="center"/>
              <w:rPr>
                <w:rFonts w:cstheme="minorHAnsi"/>
                <w:sz w:val="20"/>
                <w:szCs w:val="20"/>
              </w:rPr>
            </w:pPr>
            <w:r>
              <w:rPr>
                <w:rFonts w:cstheme="minorHAnsi"/>
                <w:sz w:val="20"/>
                <w:szCs w:val="20"/>
              </w:rPr>
              <w:t>ANEXO “C”</w:t>
            </w:r>
          </w:p>
          <w:p w14:paraId="0BDDAF50" w14:textId="77777777" w:rsidR="00E72F3C" w:rsidRDefault="00E72F3C" w:rsidP="004D25D9">
            <w:pPr>
              <w:jc w:val="center"/>
              <w:rPr>
                <w:rFonts w:cstheme="minorHAnsi"/>
                <w:sz w:val="20"/>
                <w:szCs w:val="20"/>
              </w:rPr>
            </w:pPr>
            <w:r>
              <w:rPr>
                <w:rFonts w:cstheme="minorHAnsi"/>
                <w:sz w:val="20"/>
                <w:szCs w:val="20"/>
              </w:rPr>
              <w:t>Apartado B</w:t>
            </w:r>
          </w:p>
          <w:p w14:paraId="529B57B1" w14:textId="77777777" w:rsidR="00BA3EFF" w:rsidRPr="00BA3EFF" w:rsidRDefault="00BA3EFF" w:rsidP="004D25D9">
            <w:pPr>
              <w:jc w:val="center"/>
              <w:rPr>
                <w:rFonts w:cstheme="minorHAnsi"/>
                <w:i/>
                <w:iCs/>
                <w:sz w:val="20"/>
                <w:szCs w:val="20"/>
              </w:rPr>
            </w:pPr>
            <w:r w:rsidRPr="00BA3EFF">
              <w:rPr>
                <w:rFonts w:cstheme="minorHAnsi"/>
                <w:i/>
                <w:iCs/>
                <w:sz w:val="18"/>
                <w:szCs w:val="20"/>
              </w:rPr>
              <w:t>PÁG. 41</w:t>
            </w:r>
          </w:p>
        </w:tc>
        <w:tc>
          <w:tcPr>
            <w:tcW w:w="5958" w:type="dxa"/>
            <w:vAlign w:val="center"/>
          </w:tcPr>
          <w:p w14:paraId="2C801404" w14:textId="77777777" w:rsidR="00E72F3C" w:rsidRPr="00142B3D" w:rsidRDefault="00E72F3C" w:rsidP="004D25D9">
            <w:pPr>
              <w:rPr>
                <w:rFonts w:ascii="Calibri Light" w:eastAsia="Calibri" w:hAnsi="Calibri Light" w:cs="Calibri Light"/>
                <w:sz w:val="20"/>
                <w:szCs w:val="20"/>
              </w:rPr>
            </w:pPr>
            <w:r>
              <w:rPr>
                <w:rFonts w:ascii="Calibri Light" w:eastAsia="Calibri" w:hAnsi="Calibri Light" w:cs="Calibri Light"/>
                <w:sz w:val="20"/>
                <w:szCs w:val="20"/>
              </w:rPr>
              <w:t>[Réplica de las modificaciones antes descritas]</w:t>
            </w:r>
          </w:p>
        </w:tc>
        <w:tc>
          <w:tcPr>
            <w:tcW w:w="5893" w:type="dxa"/>
            <w:vMerge/>
          </w:tcPr>
          <w:p w14:paraId="488CBAD0" w14:textId="77777777" w:rsidR="00E72F3C" w:rsidRPr="00C64333" w:rsidRDefault="00E72F3C" w:rsidP="004D25D9">
            <w:pPr>
              <w:jc w:val="both"/>
              <w:rPr>
                <w:rFonts w:ascii="Calibri Light" w:eastAsia="Calibri" w:hAnsi="Calibri Light" w:cs="Calibri Light"/>
                <w:sz w:val="20"/>
                <w:szCs w:val="20"/>
              </w:rPr>
            </w:pPr>
          </w:p>
        </w:tc>
      </w:tr>
      <w:tr w:rsidR="00476935" w:rsidRPr="001F2223" w14:paraId="6B752033" w14:textId="77777777" w:rsidTr="001D5424">
        <w:trPr>
          <w:trHeight w:val="568"/>
          <w:jc w:val="center"/>
        </w:trPr>
        <w:tc>
          <w:tcPr>
            <w:tcW w:w="1392" w:type="dxa"/>
            <w:vMerge w:val="restart"/>
          </w:tcPr>
          <w:p w14:paraId="268546A0" w14:textId="77777777" w:rsidR="00E72F3C" w:rsidRDefault="00E72F3C" w:rsidP="004D25D9">
            <w:pPr>
              <w:jc w:val="center"/>
              <w:rPr>
                <w:rFonts w:cstheme="minorHAnsi"/>
                <w:b/>
                <w:bCs/>
                <w:sz w:val="20"/>
                <w:szCs w:val="20"/>
              </w:rPr>
            </w:pPr>
          </w:p>
          <w:p w14:paraId="61F32198" w14:textId="77777777" w:rsidR="00E72F3C" w:rsidRDefault="00E72F3C" w:rsidP="004D25D9">
            <w:pPr>
              <w:jc w:val="center"/>
              <w:rPr>
                <w:rFonts w:cstheme="minorHAnsi"/>
                <w:b/>
                <w:bCs/>
                <w:sz w:val="20"/>
                <w:szCs w:val="20"/>
              </w:rPr>
            </w:pPr>
          </w:p>
          <w:p w14:paraId="475CAA45" w14:textId="77777777" w:rsidR="00E72F3C" w:rsidRDefault="00E72F3C" w:rsidP="004D25D9">
            <w:pPr>
              <w:jc w:val="center"/>
              <w:rPr>
                <w:rFonts w:cstheme="minorHAnsi"/>
                <w:b/>
                <w:bCs/>
                <w:sz w:val="20"/>
                <w:szCs w:val="20"/>
              </w:rPr>
            </w:pPr>
          </w:p>
          <w:p w14:paraId="48FD020A" w14:textId="77777777" w:rsidR="00E72F3C" w:rsidRDefault="00E72F3C" w:rsidP="004D25D9">
            <w:pPr>
              <w:jc w:val="center"/>
              <w:rPr>
                <w:rFonts w:cstheme="minorHAnsi"/>
                <w:b/>
                <w:bCs/>
                <w:sz w:val="20"/>
                <w:szCs w:val="20"/>
              </w:rPr>
            </w:pPr>
          </w:p>
          <w:p w14:paraId="2D4425D5" w14:textId="77777777" w:rsidR="00E72F3C" w:rsidRDefault="00E72F3C" w:rsidP="004D25D9">
            <w:pPr>
              <w:jc w:val="center"/>
              <w:rPr>
                <w:rFonts w:cstheme="minorHAnsi"/>
                <w:b/>
                <w:bCs/>
                <w:sz w:val="20"/>
                <w:szCs w:val="20"/>
              </w:rPr>
            </w:pPr>
            <w:r>
              <w:rPr>
                <w:rFonts w:cstheme="minorHAnsi"/>
                <w:b/>
                <w:bCs/>
                <w:sz w:val="20"/>
                <w:szCs w:val="20"/>
              </w:rPr>
              <w:t>#</w:t>
            </w:r>
            <w:r w:rsidR="006C2F87">
              <w:rPr>
                <w:rFonts w:cstheme="minorHAnsi"/>
                <w:b/>
                <w:bCs/>
                <w:sz w:val="20"/>
                <w:szCs w:val="20"/>
              </w:rPr>
              <w:t>2</w:t>
            </w:r>
          </w:p>
          <w:p w14:paraId="2A6C1AF2" w14:textId="77777777" w:rsidR="00E72F3C" w:rsidRDefault="00E72F3C" w:rsidP="004D25D9">
            <w:pPr>
              <w:jc w:val="center"/>
              <w:rPr>
                <w:rFonts w:cstheme="minorHAnsi"/>
                <w:b/>
                <w:bCs/>
                <w:sz w:val="20"/>
                <w:szCs w:val="20"/>
              </w:rPr>
            </w:pPr>
          </w:p>
          <w:p w14:paraId="10528318" w14:textId="77777777" w:rsidR="00E72F3C" w:rsidRPr="00E43A57" w:rsidRDefault="00E72F3C" w:rsidP="004D25D9">
            <w:pPr>
              <w:jc w:val="center"/>
              <w:rPr>
                <w:sz w:val="20"/>
                <w:szCs w:val="20"/>
              </w:rPr>
            </w:pPr>
            <w:r w:rsidRPr="007E1CA6">
              <w:rPr>
                <w:rFonts w:cstheme="minorHAnsi"/>
                <w:b/>
                <w:bCs/>
                <w:sz w:val="20"/>
                <w:szCs w:val="20"/>
              </w:rPr>
              <w:t>Proyectos Especiales</w:t>
            </w:r>
          </w:p>
        </w:tc>
        <w:tc>
          <w:tcPr>
            <w:tcW w:w="1576" w:type="dxa"/>
          </w:tcPr>
          <w:p w14:paraId="487BE6A4" w14:textId="77777777" w:rsidR="00E72F3C" w:rsidRDefault="00E72F3C" w:rsidP="004D25D9">
            <w:pPr>
              <w:jc w:val="center"/>
              <w:rPr>
                <w:rFonts w:cstheme="minorHAnsi"/>
                <w:sz w:val="20"/>
                <w:szCs w:val="20"/>
              </w:rPr>
            </w:pPr>
          </w:p>
          <w:p w14:paraId="544C00E3" w14:textId="77777777" w:rsidR="00E72F3C" w:rsidRDefault="00E72F3C" w:rsidP="004D25D9">
            <w:pPr>
              <w:jc w:val="center"/>
              <w:rPr>
                <w:rFonts w:cstheme="minorHAnsi"/>
                <w:sz w:val="20"/>
                <w:szCs w:val="20"/>
              </w:rPr>
            </w:pPr>
          </w:p>
          <w:p w14:paraId="02CAE01B" w14:textId="77777777" w:rsidR="00E72F3C" w:rsidRDefault="00E72F3C" w:rsidP="004D25D9">
            <w:pPr>
              <w:jc w:val="center"/>
              <w:rPr>
                <w:rFonts w:cstheme="minorHAnsi"/>
                <w:sz w:val="20"/>
                <w:szCs w:val="20"/>
              </w:rPr>
            </w:pPr>
          </w:p>
          <w:p w14:paraId="3C0424E8" w14:textId="77777777" w:rsidR="00E72F3C" w:rsidRDefault="00E72F3C" w:rsidP="004D25D9">
            <w:pPr>
              <w:jc w:val="center"/>
              <w:rPr>
                <w:rFonts w:cstheme="minorHAnsi"/>
                <w:sz w:val="20"/>
                <w:szCs w:val="20"/>
              </w:rPr>
            </w:pPr>
          </w:p>
          <w:p w14:paraId="06089B80" w14:textId="77777777" w:rsidR="00E72F3C" w:rsidRDefault="00E72F3C" w:rsidP="004D25D9">
            <w:pPr>
              <w:jc w:val="center"/>
              <w:rPr>
                <w:rFonts w:cstheme="minorHAnsi"/>
                <w:sz w:val="20"/>
                <w:szCs w:val="20"/>
              </w:rPr>
            </w:pPr>
          </w:p>
          <w:p w14:paraId="13421EFF" w14:textId="77777777" w:rsidR="00E72F3C" w:rsidRDefault="00E72F3C" w:rsidP="004D25D9">
            <w:pPr>
              <w:jc w:val="center"/>
              <w:rPr>
                <w:rFonts w:cstheme="minorHAnsi"/>
                <w:sz w:val="20"/>
                <w:szCs w:val="20"/>
              </w:rPr>
            </w:pPr>
            <w:r>
              <w:rPr>
                <w:rFonts w:cstheme="minorHAnsi"/>
                <w:sz w:val="20"/>
                <w:szCs w:val="20"/>
              </w:rPr>
              <w:t>OFERTA</w:t>
            </w:r>
          </w:p>
          <w:p w14:paraId="6AABD787" w14:textId="77777777" w:rsidR="00E72F3C" w:rsidRDefault="00E72F3C" w:rsidP="004D25D9">
            <w:pPr>
              <w:jc w:val="center"/>
              <w:rPr>
                <w:rFonts w:cstheme="minorHAnsi"/>
                <w:sz w:val="20"/>
                <w:szCs w:val="20"/>
              </w:rPr>
            </w:pPr>
            <w:r>
              <w:rPr>
                <w:rFonts w:cstheme="minorHAnsi"/>
                <w:sz w:val="20"/>
                <w:szCs w:val="20"/>
              </w:rPr>
              <w:t>2.5.6</w:t>
            </w:r>
          </w:p>
          <w:p w14:paraId="5D784D67" w14:textId="77777777" w:rsidR="00BA3EFF" w:rsidRPr="00BA3EFF" w:rsidRDefault="00BA3EFF" w:rsidP="004D25D9">
            <w:pPr>
              <w:jc w:val="center"/>
              <w:rPr>
                <w:rFonts w:cstheme="minorHAnsi"/>
                <w:i/>
                <w:iCs/>
                <w:sz w:val="20"/>
                <w:szCs w:val="20"/>
              </w:rPr>
            </w:pPr>
            <w:r w:rsidRPr="00BA3EFF">
              <w:rPr>
                <w:rFonts w:cstheme="minorHAnsi"/>
                <w:i/>
                <w:iCs/>
                <w:sz w:val="18"/>
                <w:szCs w:val="20"/>
              </w:rPr>
              <w:t>PÁG. 16</w:t>
            </w:r>
          </w:p>
        </w:tc>
        <w:tc>
          <w:tcPr>
            <w:tcW w:w="5958" w:type="dxa"/>
          </w:tcPr>
          <w:p w14:paraId="6B3E4FD1"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2.5.6 Proyectos Especiales.</w:t>
            </w:r>
            <w:r w:rsidRPr="007B3AB2">
              <w:rPr>
                <w:rFonts w:ascii="Calibri Light" w:eastAsia="Calibri" w:hAnsi="Calibri Light" w:cs="Calibri Light"/>
                <w:color w:val="0070C0"/>
                <w:sz w:val="20"/>
                <w:szCs w:val="20"/>
              </w:rPr>
              <w:tab/>
            </w:r>
          </w:p>
          <w:p w14:paraId="5088F83D" w14:textId="77777777" w:rsidR="00E72F3C" w:rsidRPr="007B3AB2" w:rsidRDefault="00E72F3C" w:rsidP="004D25D9">
            <w:pPr>
              <w:jc w:val="both"/>
              <w:rPr>
                <w:rFonts w:ascii="Calibri Light" w:eastAsia="Calibri" w:hAnsi="Calibri Light" w:cs="Calibri Light"/>
                <w:strike/>
                <w:color w:val="0070C0"/>
                <w:sz w:val="20"/>
                <w:szCs w:val="20"/>
              </w:rPr>
            </w:pPr>
          </w:p>
          <w:p w14:paraId="31A82AFB" w14:textId="77777777" w:rsidR="00E72F3C" w:rsidRPr="007B3AB2" w:rsidRDefault="00E72F3C" w:rsidP="004D25D9">
            <w:pPr>
              <w:jc w:val="both"/>
              <w:rPr>
                <w:rFonts w:ascii="Calibri Light" w:eastAsia="Calibri" w:hAnsi="Calibri Light" w:cs="Calibri Light"/>
                <w:strike/>
                <w:color w:val="0070C0"/>
                <w:sz w:val="20"/>
                <w:szCs w:val="20"/>
              </w:rPr>
            </w:pPr>
            <w:r w:rsidRPr="007B3AB2">
              <w:rPr>
                <w:rFonts w:ascii="Calibri Light" w:eastAsia="Calibri" w:hAnsi="Calibri Light" w:cs="Calibri Light"/>
                <w:strike/>
                <w:color w:val="0070C0"/>
                <w:sz w:val="20"/>
                <w:szCs w:val="20"/>
              </w:rPr>
              <w:t>La División Mayorista de Telmex/Telnor podrá ofrecer la prestación del servicio de enlaces dedicados entre localidades y/o de larga distancia internacional a través de la elaboración y cotización de un Proyecto Especial, cuando en el insumo de la red de acceso se presenten los siguientes casos:</w:t>
            </w:r>
          </w:p>
          <w:p w14:paraId="1B85AB77" w14:textId="77777777" w:rsidR="00E72F3C" w:rsidRPr="007B3AB2" w:rsidRDefault="00E72F3C" w:rsidP="004D25D9">
            <w:pPr>
              <w:jc w:val="both"/>
              <w:rPr>
                <w:rFonts w:ascii="Calibri Light" w:eastAsia="Calibri" w:hAnsi="Calibri Light" w:cs="Calibri Light"/>
                <w:strike/>
                <w:color w:val="0070C0"/>
                <w:sz w:val="20"/>
                <w:szCs w:val="20"/>
              </w:rPr>
            </w:pPr>
            <w:r w:rsidRPr="007B3AB2">
              <w:rPr>
                <w:rFonts w:ascii="Calibri Light" w:eastAsia="Calibri" w:hAnsi="Calibri Light" w:cs="Calibri Light"/>
                <w:strike/>
                <w:color w:val="0070C0"/>
                <w:sz w:val="20"/>
                <w:szCs w:val="20"/>
              </w:rPr>
              <w:t>•</w:t>
            </w:r>
            <w:r w:rsidRPr="007B3AB2">
              <w:rPr>
                <w:rFonts w:ascii="Calibri Light" w:eastAsia="Calibri" w:hAnsi="Calibri Light" w:cs="Calibri Light"/>
                <w:strike/>
                <w:color w:val="0070C0"/>
                <w:sz w:val="20"/>
                <w:szCs w:val="20"/>
              </w:rPr>
              <w:tab/>
              <w:t>Para enlaces dedicados de cobre, la distancia máxima que se alcanza a cubrir en condiciones normales en la última milla es de 2.5 km.</w:t>
            </w:r>
          </w:p>
          <w:p w14:paraId="720FA442" w14:textId="77777777" w:rsidR="00E72F3C" w:rsidRPr="007B3AB2" w:rsidRDefault="00E72F3C" w:rsidP="004D25D9">
            <w:pPr>
              <w:jc w:val="both"/>
              <w:rPr>
                <w:rFonts w:ascii="Calibri Light" w:eastAsia="Calibri" w:hAnsi="Calibri Light" w:cs="Calibri Light"/>
                <w:strike/>
                <w:color w:val="0070C0"/>
                <w:sz w:val="20"/>
                <w:szCs w:val="20"/>
              </w:rPr>
            </w:pPr>
            <w:r w:rsidRPr="007B3AB2">
              <w:rPr>
                <w:rFonts w:ascii="Calibri Light" w:eastAsia="Calibri" w:hAnsi="Calibri Light" w:cs="Calibri Light"/>
                <w:strike/>
                <w:color w:val="0070C0"/>
                <w:sz w:val="20"/>
                <w:szCs w:val="20"/>
              </w:rPr>
              <w:t>•</w:t>
            </w:r>
            <w:r w:rsidRPr="007B3AB2">
              <w:rPr>
                <w:rFonts w:ascii="Calibri Light" w:eastAsia="Calibri" w:hAnsi="Calibri Light" w:cs="Calibri Light"/>
                <w:strike/>
                <w:color w:val="0070C0"/>
                <w:sz w:val="20"/>
                <w:szCs w:val="20"/>
              </w:rPr>
              <w:tab/>
              <w:t>Para enlaces dedicados de F.O., la distancia máxima para conexión al pozo de empalme o poste de empalme del anillo de fibra más cercano en la última milla es de 1 km.</w:t>
            </w:r>
          </w:p>
          <w:p w14:paraId="5D1D6260" w14:textId="77777777" w:rsidR="00E72F3C" w:rsidRPr="007B3AB2" w:rsidRDefault="00E72F3C" w:rsidP="004D25D9">
            <w:pPr>
              <w:jc w:val="both"/>
              <w:rPr>
                <w:rFonts w:ascii="Calibri Light" w:eastAsia="Calibri" w:hAnsi="Calibri Light" w:cs="Calibri Light"/>
                <w:strike/>
                <w:color w:val="0070C0"/>
                <w:sz w:val="20"/>
                <w:szCs w:val="20"/>
              </w:rPr>
            </w:pPr>
            <w:r w:rsidRPr="007B3AB2">
              <w:rPr>
                <w:rFonts w:ascii="Calibri Light" w:eastAsia="Calibri" w:hAnsi="Calibri Light" w:cs="Calibri Light"/>
                <w:strike/>
                <w:color w:val="0070C0"/>
                <w:sz w:val="20"/>
                <w:szCs w:val="20"/>
              </w:rPr>
              <w:t>•</w:t>
            </w:r>
            <w:r w:rsidRPr="007B3AB2">
              <w:rPr>
                <w:rFonts w:ascii="Calibri Light" w:eastAsia="Calibri" w:hAnsi="Calibri Light" w:cs="Calibri Light"/>
                <w:strike/>
                <w:color w:val="0070C0"/>
                <w:sz w:val="20"/>
                <w:szCs w:val="20"/>
              </w:rPr>
              <w:tab/>
              <w:t>Cuando el Concesionario Solicitante requiere expresamente que un enlace dedicado sea entregado a través de F.O. cuando hay condiciones existentes que permiten que el servicio sea entregado por cobre.</w:t>
            </w:r>
          </w:p>
          <w:p w14:paraId="4B53D404" w14:textId="77777777" w:rsidR="00E72F3C" w:rsidRPr="007B3AB2" w:rsidRDefault="00E72F3C" w:rsidP="004D25D9">
            <w:pPr>
              <w:jc w:val="both"/>
              <w:rPr>
                <w:rFonts w:ascii="Calibri Light" w:eastAsia="Calibri" w:hAnsi="Calibri Light" w:cs="Calibri Light"/>
                <w:strike/>
                <w:color w:val="0070C0"/>
                <w:sz w:val="20"/>
                <w:szCs w:val="20"/>
              </w:rPr>
            </w:pPr>
            <w:r w:rsidRPr="007B3AB2">
              <w:rPr>
                <w:rFonts w:ascii="Calibri Light" w:eastAsia="Calibri" w:hAnsi="Calibri Light" w:cs="Calibri Light"/>
                <w:strike/>
                <w:color w:val="0070C0"/>
                <w:sz w:val="20"/>
                <w:szCs w:val="20"/>
              </w:rPr>
              <w:t>•</w:t>
            </w:r>
            <w:r w:rsidRPr="007B3AB2">
              <w:rPr>
                <w:rFonts w:ascii="Calibri Light" w:eastAsia="Calibri" w:hAnsi="Calibri Light" w:cs="Calibri Light"/>
                <w:strike/>
                <w:color w:val="0070C0"/>
                <w:sz w:val="20"/>
                <w:szCs w:val="20"/>
              </w:rPr>
              <w:tab/>
              <w:t>Cuando no se cuente con infraestructura existente, en la red de acceso en alguna localidad para proporcionar algún servicio solicitado, ni tampoco se tenga planificado realizar inversiones en dicha zona. En este supuesto, División Mayorista Telmex/Telnor justificará los costos asociados a la parte proporcional de la obra, construcción o implementación de la nueva infraestructura necesaria para la prestación del servicio solicitado por el Concesionario o Autorizado Solicitante.</w:t>
            </w:r>
          </w:p>
          <w:p w14:paraId="69F980CE" w14:textId="77777777" w:rsidR="00E72F3C" w:rsidRPr="007B3AB2" w:rsidRDefault="00E72F3C" w:rsidP="004D25D9">
            <w:pPr>
              <w:jc w:val="both"/>
              <w:rPr>
                <w:rFonts w:ascii="Calibri Light" w:eastAsia="Calibri" w:hAnsi="Calibri Light" w:cs="Calibri Light"/>
                <w:strike/>
                <w:color w:val="0070C0"/>
                <w:sz w:val="20"/>
                <w:szCs w:val="20"/>
              </w:rPr>
            </w:pPr>
            <w:r w:rsidRPr="007B3AB2">
              <w:rPr>
                <w:rFonts w:ascii="Calibri Light" w:eastAsia="Calibri" w:hAnsi="Calibri Light" w:cs="Calibri Light"/>
                <w:strike/>
                <w:color w:val="0070C0"/>
                <w:sz w:val="20"/>
                <w:szCs w:val="20"/>
              </w:rPr>
              <w:t xml:space="preserve">Las situaciones en las que se requiera realizar el despliegue de nueva infraestructura de red de acceso, en los casos que no estén cubiertos en </w:t>
            </w:r>
            <w:r w:rsidRPr="007B3AB2">
              <w:rPr>
                <w:rFonts w:ascii="Calibri Light" w:eastAsia="Calibri" w:hAnsi="Calibri Light" w:cs="Calibri Light"/>
                <w:strike/>
                <w:color w:val="0070C0"/>
                <w:sz w:val="20"/>
                <w:szCs w:val="20"/>
              </w:rPr>
              <w:lastRenderedPageBreak/>
              <w:t>los puntos anteriores serán tratadas como un Proyecto Especial, lo cual se notificará al Concesionario o Autorizado Solicitante a través del SEG anexando la justificación técnica y la cotización para poder proporcionar los enlaces solicitados.</w:t>
            </w:r>
          </w:p>
          <w:p w14:paraId="23CF597F"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En caso de que la División Mayorista no pueda proporcionar el servicio bajo las condiciones existentes de infraestructura como las que de manera enunciativa mas no limitativa a continuación se describen, se requerirá de la elaboración y cotización de un Proyecto Especial:</w:t>
            </w:r>
          </w:p>
          <w:p w14:paraId="64A91DDF" w14:textId="77777777" w:rsidR="00E72F3C" w:rsidRPr="007B3AB2" w:rsidRDefault="00E72F3C" w:rsidP="004D25D9">
            <w:pPr>
              <w:jc w:val="both"/>
              <w:rPr>
                <w:rFonts w:ascii="Calibri Light" w:eastAsia="Calibri" w:hAnsi="Calibri Light" w:cs="Calibri Light"/>
                <w:color w:val="0070C0"/>
                <w:sz w:val="20"/>
                <w:szCs w:val="20"/>
              </w:rPr>
            </w:pPr>
          </w:p>
          <w:p w14:paraId="46EBF1D1"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Red de Acceso (Incluye planta externa):</w:t>
            </w:r>
          </w:p>
          <w:p w14:paraId="64A8B7CA" w14:textId="77777777" w:rsidR="00E72F3C" w:rsidRPr="007B3AB2" w:rsidRDefault="00E72F3C" w:rsidP="004D25D9">
            <w:pPr>
              <w:jc w:val="both"/>
              <w:rPr>
                <w:rFonts w:ascii="Calibri Light" w:eastAsia="Calibri" w:hAnsi="Calibri Light" w:cs="Calibri Light"/>
                <w:color w:val="0070C0"/>
                <w:sz w:val="20"/>
                <w:szCs w:val="20"/>
              </w:rPr>
            </w:pPr>
          </w:p>
          <w:p w14:paraId="379FAA8F"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Para enlaces dedicados de cobre, la distancia máxima que se alcanza a cubrir en condiciones normales en la última milla es de 2.5 km.</w:t>
            </w:r>
          </w:p>
          <w:p w14:paraId="035EF231"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Para enlaces dedicados de F.O., la distancia máxima para conexión al pozo de empalme del anillo de fibra más cercano en la última milla es de 1 km.</w:t>
            </w:r>
          </w:p>
          <w:p w14:paraId="6C7DE4CA"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Cuando el Concesionario Solicitante requiere expresamente que un enlace dedicado sea entregado a través de F.O. habiendo condiciones existentes que permiten que el servicio sea entregado por cobre.</w:t>
            </w:r>
          </w:p>
          <w:p w14:paraId="34BF12EB" w14:textId="77777777" w:rsidR="00E72F3C"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Cuando no se cuente con infraestructura existente en la red de acceso en alguna localidad para proporcionar algún servicio solicitado, ni se tenga planificado realizar inversiones en dicha zona. En este supuesto, la División Mayorista justificará los costos asociados a la parte proporcional de la obra, construcción o implementación de la nueva infraestructura necesaria para la prestación del servicio solicitado por el Concesionario o Autorizado Solicitante</w:t>
            </w:r>
          </w:p>
          <w:p w14:paraId="21458CD3" w14:textId="77777777" w:rsidR="00804289" w:rsidRPr="007B3AB2" w:rsidRDefault="00804289" w:rsidP="004D25D9">
            <w:pPr>
              <w:jc w:val="both"/>
              <w:rPr>
                <w:rFonts w:ascii="Calibri Light" w:eastAsia="Calibri" w:hAnsi="Calibri Light" w:cs="Calibri Light"/>
                <w:color w:val="0070C0"/>
                <w:sz w:val="20"/>
                <w:szCs w:val="20"/>
              </w:rPr>
            </w:pPr>
            <w:r w:rsidRPr="00804289">
              <w:rPr>
                <w:rFonts w:ascii="Calibri Light" w:eastAsia="Calibri" w:hAnsi="Calibri Light" w:cs="Calibri Light"/>
                <w:color w:val="0070C0"/>
                <w:sz w:val="20"/>
                <w:szCs w:val="20"/>
              </w:rPr>
              <w:t>•</w:t>
            </w:r>
            <w:r w:rsidRPr="00804289">
              <w:rPr>
                <w:rFonts w:ascii="Calibri Light" w:eastAsia="Calibri" w:hAnsi="Calibri Light" w:cs="Calibri Light"/>
                <w:color w:val="0070C0"/>
                <w:sz w:val="20"/>
                <w:szCs w:val="20"/>
              </w:rPr>
              <w:tab/>
              <w:t>Cuando no se cuente con infraestructura existente en la red de agregación o distribución para solicitar servicios de 2 Gbps o mayores, ni tampoco se tenga planificado realizar inversiones en dicha zona. En este supuesto, División Mayorista Telmex/Telnor justificará los costos asociados a la parte proporcional de la obra, construcción o implementación de la nueva infraestructura necesaria para la prestación del servicio solicitado por el Concesionario o Autorizado Solicitante.</w:t>
            </w:r>
          </w:p>
          <w:p w14:paraId="04385120"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Cuando el Concesionario Solicitante o Autorizado Solicitante solicite una solución técnica en la red de acceso que requiera duplicar la infraestructura parcial o totalmente.</w:t>
            </w:r>
          </w:p>
          <w:p w14:paraId="7F8CDD43" w14:textId="77777777" w:rsidR="00E72F3C" w:rsidRPr="007B3AB2" w:rsidRDefault="00E72F3C" w:rsidP="004D25D9">
            <w:pPr>
              <w:jc w:val="both"/>
              <w:rPr>
                <w:rFonts w:ascii="Calibri Light" w:eastAsia="Calibri" w:hAnsi="Calibri Light" w:cs="Calibri Light"/>
                <w:color w:val="0070C0"/>
                <w:sz w:val="20"/>
                <w:szCs w:val="20"/>
              </w:rPr>
            </w:pPr>
          </w:p>
          <w:p w14:paraId="5A114CB9" w14:textId="77777777" w:rsidR="00E72F3C" w:rsidRPr="007B3AB2" w:rsidRDefault="00E72F3C" w:rsidP="004D25D9">
            <w:pPr>
              <w:jc w:val="both"/>
              <w:rPr>
                <w:rFonts w:ascii="Calibri Light" w:eastAsia="Calibri" w:hAnsi="Calibri Light" w:cs="Calibri Light"/>
                <w:color w:val="0070C0"/>
                <w:sz w:val="20"/>
                <w:szCs w:val="20"/>
              </w:rPr>
            </w:pPr>
          </w:p>
          <w:p w14:paraId="64B938EF" w14:textId="77777777" w:rsidR="00E72F3C" w:rsidRPr="007B3AB2" w:rsidRDefault="00E72F3C" w:rsidP="004D25D9">
            <w:pPr>
              <w:jc w:val="both"/>
              <w:rPr>
                <w:rFonts w:ascii="Calibri Light" w:eastAsia="Calibri" w:hAnsi="Calibri Light" w:cs="Calibri Light"/>
                <w:color w:val="0070C0"/>
                <w:sz w:val="20"/>
                <w:szCs w:val="20"/>
              </w:rPr>
            </w:pPr>
          </w:p>
          <w:p w14:paraId="30CA1FF6"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lastRenderedPageBreak/>
              <w:t>Red de Transporte (Incluye Carrier Ethernet, Alta Capacidad y Larga Distancia):</w:t>
            </w:r>
          </w:p>
          <w:p w14:paraId="5538F2DD" w14:textId="77777777" w:rsidR="00E72F3C" w:rsidRPr="007B3AB2" w:rsidRDefault="00E72F3C" w:rsidP="004D25D9">
            <w:pPr>
              <w:jc w:val="both"/>
              <w:rPr>
                <w:rFonts w:ascii="Calibri Light" w:eastAsia="Calibri" w:hAnsi="Calibri Light" w:cs="Calibri Light"/>
                <w:color w:val="0070C0"/>
                <w:sz w:val="20"/>
                <w:szCs w:val="20"/>
              </w:rPr>
            </w:pPr>
          </w:p>
          <w:p w14:paraId="04C9E19B"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Para la Red de Transporte Local y Zonal se considerarán Proyectos Especiales los siguientes casos:</w:t>
            </w:r>
          </w:p>
          <w:p w14:paraId="4FE09834" w14:textId="77777777" w:rsidR="00E72F3C" w:rsidRPr="007B3AB2" w:rsidRDefault="00E72F3C" w:rsidP="004D25D9">
            <w:pPr>
              <w:jc w:val="both"/>
              <w:rPr>
                <w:rFonts w:ascii="Calibri Light" w:eastAsia="Calibri" w:hAnsi="Calibri Light" w:cs="Calibri Light"/>
                <w:color w:val="0070C0"/>
                <w:sz w:val="20"/>
                <w:szCs w:val="20"/>
              </w:rPr>
            </w:pPr>
          </w:p>
          <w:p w14:paraId="763BD2C3"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1.- En el transporte Carrier Ethernet:</w:t>
            </w:r>
          </w:p>
          <w:p w14:paraId="701174CE" w14:textId="77777777" w:rsidR="00E72F3C" w:rsidRPr="007B3AB2" w:rsidRDefault="00E72F3C" w:rsidP="004D25D9">
            <w:pPr>
              <w:jc w:val="both"/>
              <w:rPr>
                <w:rFonts w:ascii="Calibri Light" w:eastAsia="Calibri" w:hAnsi="Calibri Light" w:cs="Calibri Light"/>
                <w:color w:val="0070C0"/>
                <w:sz w:val="20"/>
                <w:szCs w:val="20"/>
              </w:rPr>
            </w:pPr>
          </w:p>
          <w:p w14:paraId="68BAE750"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 xml:space="preserve">Cuando los equipos no cuenten con capacidad y/o puertos disponibles hacia los equipos de acceso, entre los propios equipos de un clúster o hacia las conexiones con la Red Dorsal de Alta Capacidad. </w:t>
            </w:r>
          </w:p>
          <w:p w14:paraId="6548D83A" w14:textId="77777777" w:rsidR="00E72F3C" w:rsidRPr="007B3AB2" w:rsidRDefault="00E72F3C" w:rsidP="004D25D9">
            <w:pPr>
              <w:jc w:val="both"/>
              <w:rPr>
                <w:rFonts w:ascii="Calibri Light" w:eastAsia="Calibri" w:hAnsi="Calibri Light" w:cs="Calibri Light"/>
                <w:color w:val="0070C0"/>
                <w:sz w:val="20"/>
                <w:szCs w:val="20"/>
              </w:rPr>
            </w:pPr>
          </w:p>
          <w:p w14:paraId="369C260D"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En todos los casos se observará siempre el principio de equipamiento mínimo requerido: 1) equipamiento de puertos nuevos en tarjetas existentes; 2) cambio por tarjetas de alta densidad; 3) nuevo equipo de agregación; 4) inserción de dos equipos de distribución de alta densidad en el clúster; e 5) inserción de un nuevo clúster.</w:t>
            </w:r>
          </w:p>
          <w:p w14:paraId="1F6C99AA" w14:textId="77777777" w:rsidR="00E72F3C" w:rsidRPr="007B3AB2" w:rsidRDefault="00E72F3C" w:rsidP="004D25D9">
            <w:pPr>
              <w:jc w:val="both"/>
              <w:rPr>
                <w:rFonts w:ascii="Calibri Light" w:eastAsia="Calibri" w:hAnsi="Calibri Light" w:cs="Calibri Light"/>
                <w:color w:val="0070C0"/>
                <w:sz w:val="20"/>
                <w:szCs w:val="20"/>
              </w:rPr>
            </w:pPr>
          </w:p>
          <w:p w14:paraId="244FD98A"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En los casos de capacidad no disponible entre agregador y distribuidor o en las conexiones con la Red Dorsal de Alta Capacidad se aumentarán dos conexiones para respetar la protección estructural de la arquitectura.</w:t>
            </w:r>
          </w:p>
          <w:p w14:paraId="26594140" w14:textId="77777777" w:rsidR="00E72F3C" w:rsidRPr="007B3AB2" w:rsidRDefault="00E72F3C" w:rsidP="004D25D9">
            <w:pPr>
              <w:jc w:val="both"/>
              <w:rPr>
                <w:rFonts w:ascii="Calibri Light" w:eastAsia="Calibri" w:hAnsi="Calibri Light" w:cs="Calibri Light"/>
                <w:color w:val="0070C0"/>
                <w:sz w:val="20"/>
                <w:szCs w:val="20"/>
              </w:rPr>
            </w:pPr>
          </w:p>
          <w:p w14:paraId="4928FDFB"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 xml:space="preserve">Cuando la central de acceso que atiende al sitio donde se requiere el enlace Ethernet no cuente con equipamiento o capacidad Carrier Ethernet. </w:t>
            </w:r>
          </w:p>
          <w:p w14:paraId="44A455D5" w14:textId="77777777" w:rsidR="00E72F3C" w:rsidRPr="007B3AB2" w:rsidRDefault="00E72F3C" w:rsidP="004D25D9">
            <w:pPr>
              <w:jc w:val="both"/>
              <w:rPr>
                <w:rFonts w:ascii="Calibri Light" w:eastAsia="Calibri" w:hAnsi="Calibri Light" w:cs="Calibri Light"/>
                <w:color w:val="0070C0"/>
                <w:sz w:val="20"/>
                <w:szCs w:val="20"/>
              </w:rPr>
            </w:pPr>
          </w:p>
          <w:p w14:paraId="6F7DA970"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En todos los casos se observará siempre el principio de equipamiento mínimo requerido: 1) Equipar la central con tecnología Carrier Ethernet; y 2) Construir los medios de transmisión Ethernet con sistemas de radios, fibra óptica y/o Multiplexores por División en Longitudes de Onda (WDM).</w:t>
            </w:r>
          </w:p>
          <w:p w14:paraId="42DA1E74" w14:textId="77777777" w:rsidR="00E72F3C" w:rsidRPr="007B3AB2" w:rsidRDefault="00E72F3C" w:rsidP="004D25D9">
            <w:pPr>
              <w:jc w:val="both"/>
              <w:rPr>
                <w:rFonts w:ascii="Calibri Light" w:eastAsia="Calibri" w:hAnsi="Calibri Light" w:cs="Calibri Light"/>
                <w:color w:val="0070C0"/>
                <w:sz w:val="20"/>
                <w:szCs w:val="20"/>
              </w:rPr>
            </w:pPr>
          </w:p>
          <w:p w14:paraId="44CF3037"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 xml:space="preserve">2.-En el transporte de alta capacidad o </w:t>
            </w:r>
            <w:proofErr w:type="spellStart"/>
            <w:r w:rsidRPr="007B3AB2">
              <w:rPr>
                <w:rFonts w:ascii="Calibri Light" w:eastAsia="Calibri" w:hAnsi="Calibri Light" w:cs="Calibri Light"/>
                <w:color w:val="0070C0"/>
                <w:sz w:val="20"/>
                <w:szCs w:val="20"/>
              </w:rPr>
              <w:t>xWDM</w:t>
            </w:r>
            <w:proofErr w:type="spellEnd"/>
          </w:p>
          <w:p w14:paraId="5B799348" w14:textId="77777777" w:rsidR="00E72F3C" w:rsidRPr="007B3AB2" w:rsidRDefault="00E72F3C" w:rsidP="004D25D9">
            <w:pPr>
              <w:jc w:val="both"/>
              <w:rPr>
                <w:rFonts w:ascii="Calibri Light" w:eastAsia="Calibri" w:hAnsi="Calibri Light" w:cs="Calibri Light"/>
                <w:color w:val="0070C0"/>
                <w:sz w:val="20"/>
                <w:szCs w:val="20"/>
              </w:rPr>
            </w:pPr>
          </w:p>
          <w:p w14:paraId="6214212C"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 xml:space="preserve">Cuando entre el origen y el destino del servicio solicitado no existen puertos y/o capacidad en las topologías </w:t>
            </w:r>
            <w:proofErr w:type="spellStart"/>
            <w:r w:rsidRPr="007B3AB2">
              <w:rPr>
                <w:rFonts w:ascii="Calibri Light" w:eastAsia="Calibri" w:hAnsi="Calibri Light" w:cs="Calibri Light"/>
                <w:color w:val="0070C0"/>
                <w:sz w:val="20"/>
                <w:szCs w:val="20"/>
              </w:rPr>
              <w:t>xWDM</w:t>
            </w:r>
            <w:proofErr w:type="spellEnd"/>
            <w:r w:rsidRPr="007B3AB2">
              <w:rPr>
                <w:rFonts w:ascii="Calibri Light" w:eastAsia="Calibri" w:hAnsi="Calibri Light" w:cs="Calibri Light"/>
                <w:color w:val="0070C0"/>
                <w:sz w:val="20"/>
                <w:szCs w:val="20"/>
              </w:rPr>
              <w:t xml:space="preserve"> para suministrar el servicio. </w:t>
            </w:r>
          </w:p>
          <w:p w14:paraId="39498407" w14:textId="77777777" w:rsidR="00E72F3C" w:rsidRPr="007B3AB2" w:rsidRDefault="00E72F3C" w:rsidP="004D25D9">
            <w:pPr>
              <w:jc w:val="both"/>
              <w:rPr>
                <w:rFonts w:ascii="Calibri Light" w:eastAsia="Calibri" w:hAnsi="Calibri Light" w:cs="Calibri Light"/>
                <w:color w:val="0070C0"/>
                <w:sz w:val="20"/>
                <w:szCs w:val="20"/>
              </w:rPr>
            </w:pPr>
          </w:p>
          <w:p w14:paraId="545AE1B9"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 xml:space="preserve">En todos los casos se observará siempre el principio de equipamiento mínimo requerido: Se deben adquirir las tarjetas y puertos lado cliente </w:t>
            </w:r>
            <w:r w:rsidRPr="007B3AB2">
              <w:rPr>
                <w:rFonts w:ascii="Calibri Light" w:eastAsia="Calibri" w:hAnsi="Calibri Light" w:cs="Calibri Light"/>
                <w:color w:val="0070C0"/>
                <w:sz w:val="20"/>
                <w:szCs w:val="20"/>
              </w:rPr>
              <w:lastRenderedPageBreak/>
              <w:t>y lado línea a través de la trayectoria del servicio en las topologías involucradas.</w:t>
            </w:r>
          </w:p>
          <w:p w14:paraId="3D92669A" w14:textId="77777777" w:rsidR="00E72F3C" w:rsidRPr="007B3AB2" w:rsidRDefault="00E72F3C" w:rsidP="004D25D9">
            <w:pPr>
              <w:jc w:val="both"/>
              <w:rPr>
                <w:rFonts w:ascii="Calibri Light" w:eastAsia="Calibri" w:hAnsi="Calibri Light" w:cs="Calibri Light"/>
                <w:color w:val="0070C0"/>
                <w:sz w:val="20"/>
                <w:szCs w:val="20"/>
              </w:rPr>
            </w:pPr>
          </w:p>
          <w:p w14:paraId="3476E71B"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Cuando no se cuente con equipo terminal en el sitio y/o fibras ópticas adicionales para su interconexión a la red.</w:t>
            </w:r>
          </w:p>
          <w:p w14:paraId="508CC362" w14:textId="77777777" w:rsidR="00E72F3C" w:rsidRPr="007B3AB2" w:rsidRDefault="00E72F3C" w:rsidP="004D25D9">
            <w:pPr>
              <w:jc w:val="both"/>
              <w:rPr>
                <w:rFonts w:ascii="Calibri Light" w:eastAsia="Calibri" w:hAnsi="Calibri Light" w:cs="Calibri Light"/>
                <w:color w:val="0070C0"/>
                <w:sz w:val="20"/>
                <w:szCs w:val="20"/>
              </w:rPr>
            </w:pPr>
          </w:p>
          <w:p w14:paraId="433078DE"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 xml:space="preserve">En todos los casos se observará siempre el principio de equipamiento mínimo requerido: 1) Equipar la central con tecnología </w:t>
            </w:r>
            <w:proofErr w:type="spellStart"/>
            <w:r w:rsidRPr="007B3AB2">
              <w:rPr>
                <w:rFonts w:ascii="Calibri Light" w:eastAsia="Calibri" w:hAnsi="Calibri Light" w:cs="Calibri Light"/>
                <w:color w:val="0070C0"/>
                <w:sz w:val="20"/>
                <w:szCs w:val="20"/>
              </w:rPr>
              <w:t>xWDM</w:t>
            </w:r>
            <w:proofErr w:type="spellEnd"/>
            <w:r w:rsidRPr="007B3AB2">
              <w:rPr>
                <w:rFonts w:ascii="Calibri Light" w:eastAsia="Calibri" w:hAnsi="Calibri Light" w:cs="Calibri Light"/>
                <w:color w:val="0070C0"/>
                <w:sz w:val="20"/>
                <w:szCs w:val="20"/>
              </w:rPr>
              <w:t xml:space="preserve">; y 2) Construir los medios de transmisión ópticos y/o </w:t>
            </w:r>
            <w:proofErr w:type="spellStart"/>
            <w:r w:rsidRPr="007B3AB2">
              <w:rPr>
                <w:rFonts w:ascii="Calibri Light" w:eastAsia="Calibri" w:hAnsi="Calibri Light" w:cs="Calibri Light"/>
                <w:color w:val="0070C0"/>
                <w:sz w:val="20"/>
                <w:szCs w:val="20"/>
              </w:rPr>
              <w:t>xWDM</w:t>
            </w:r>
            <w:proofErr w:type="spellEnd"/>
            <w:r w:rsidRPr="007B3AB2">
              <w:rPr>
                <w:rFonts w:ascii="Calibri Light" w:eastAsia="Calibri" w:hAnsi="Calibri Light" w:cs="Calibri Light"/>
                <w:color w:val="0070C0"/>
                <w:sz w:val="20"/>
                <w:szCs w:val="20"/>
              </w:rPr>
              <w:t>.</w:t>
            </w:r>
          </w:p>
          <w:p w14:paraId="3599B690" w14:textId="77777777" w:rsidR="00E72F3C" w:rsidRPr="007B3AB2" w:rsidRDefault="00E72F3C" w:rsidP="004D25D9">
            <w:pPr>
              <w:jc w:val="both"/>
              <w:rPr>
                <w:rFonts w:ascii="Calibri Light" w:eastAsia="Calibri" w:hAnsi="Calibri Light" w:cs="Calibri Light"/>
                <w:color w:val="0070C0"/>
                <w:sz w:val="20"/>
                <w:szCs w:val="20"/>
              </w:rPr>
            </w:pPr>
          </w:p>
          <w:p w14:paraId="64FD8AF3"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 xml:space="preserve">3.-Para el transporte de Red de Larga Distancia </w:t>
            </w:r>
            <w:proofErr w:type="spellStart"/>
            <w:r w:rsidRPr="007B3AB2">
              <w:rPr>
                <w:rFonts w:ascii="Calibri Light" w:eastAsia="Calibri" w:hAnsi="Calibri Light" w:cs="Calibri Light"/>
                <w:color w:val="0070C0"/>
                <w:sz w:val="20"/>
                <w:szCs w:val="20"/>
              </w:rPr>
              <w:t>xWDM</w:t>
            </w:r>
            <w:proofErr w:type="spellEnd"/>
          </w:p>
          <w:p w14:paraId="6DC887E8" w14:textId="77777777" w:rsidR="00E72F3C" w:rsidRPr="007B3AB2" w:rsidRDefault="00E72F3C" w:rsidP="004D25D9">
            <w:pPr>
              <w:jc w:val="both"/>
              <w:rPr>
                <w:rFonts w:ascii="Calibri Light" w:eastAsia="Calibri" w:hAnsi="Calibri Light" w:cs="Calibri Light"/>
                <w:color w:val="0070C0"/>
                <w:sz w:val="20"/>
                <w:szCs w:val="20"/>
              </w:rPr>
            </w:pPr>
          </w:p>
          <w:p w14:paraId="4112C43F"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 xml:space="preserve">Cuando entre el origen y el destino del servicio solicitado no existen puertos y/o capacidad en las topologías </w:t>
            </w:r>
            <w:proofErr w:type="spellStart"/>
            <w:r w:rsidRPr="007B3AB2">
              <w:rPr>
                <w:rFonts w:ascii="Calibri Light" w:eastAsia="Calibri" w:hAnsi="Calibri Light" w:cs="Calibri Light"/>
                <w:color w:val="0070C0"/>
                <w:sz w:val="20"/>
                <w:szCs w:val="20"/>
              </w:rPr>
              <w:t>xWDM</w:t>
            </w:r>
            <w:proofErr w:type="spellEnd"/>
            <w:r w:rsidRPr="007B3AB2">
              <w:rPr>
                <w:rFonts w:ascii="Calibri Light" w:eastAsia="Calibri" w:hAnsi="Calibri Light" w:cs="Calibri Light"/>
                <w:color w:val="0070C0"/>
                <w:sz w:val="20"/>
                <w:szCs w:val="20"/>
              </w:rPr>
              <w:t xml:space="preserve"> para suministrar el servicio. </w:t>
            </w:r>
          </w:p>
          <w:p w14:paraId="07FF6D32" w14:textId="77777777" w:rsidR="00E72F3C" w:rsidRPr="007B3AB2" w:rsidRDefault="00E72F3C" w:rsidP="004D25D9">
            <w:pPr>
              <w:jc w:val="both"/>
              <w:rPr>
                <w:rFonts w:ascii="Calibri Light" w:eastAsia="Calibri" w:hAnsi="Calibri Light" w:cs="Calibri Light"/>
                <w:color w:val="0070C0"/>
                <w:sz w:val="20"/>
                <w:szCs w:val="20"/>
              </w:rPr>
            </w:pPr>
          </w:p>
          <w:p w14:paraId="6D0CD581"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En todos los casos se observará siempre el principio de equipamiento mínimo requerido: Se deben adquirir las tarjetas y puertos lado cliente y lado línea a través de la trayectoria del servicio en las topologías involucradas.</w:t>
            </w:r>
          </w:p>
          <w:p w14:paraId="20679480" w14:textId="77777777" w:rsidR="00E72F3C" w:rsidRPr="007B3AB2" w:rsidRDefault="00E72F3C" w:rsidP="004D25D9">
            <w:pPr>
              <w:jc w:val="both"/>
              <w:rPr>
                <w:rFonts w:ascii="Calibri Light" w:eastAsia="Calibri" w:hAnsi="Calibri Light" w:cs="Calibri Light"/>
                <w:color w:val="0070C0"/>
                <w:sz w:val="20"/>
                <w:szCs w:val="20"/>
              </w:rPr>
            </w:pPr>
          </w:p>
          <w:p w14:paraId="40B8B5DC"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Cuando no se cuente con equipo terminal en el sitio.</w:t>
            </w:r>
          </w:p>
          <w:p w14:paraId="09259E14" w14:textId="77777777" w:rsidR="00E72F3C" w:rsidRPr="007B3AB2" w:rsidRDefault="00E72F3C" w:rsidP="004D25D9">
            <w:pPr>
              <w:jc w:val="both"/>
              <w:rPr>
                <w:rFonts w:ascii="Calibri Light" w:eastAsia="Calibri" w:hAnsi="Calibri Light" w:cs="Calibri Light"/>
                <w:color w:val="0070C0"/>
                <w:sz w:val="20"/>
                <w:szCs w:val="20"/>
              </w:rPr>
            </w:pPr>
          </w:p>
          <w:p w14:paraId="032E20FD"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 xml:space="preserve">En todos los casos se observará siempre el principio de equipamiento mínimo requerido: Equipar la central con tecnología </w:t>
            </w:r>
            <w:proofErr w:type="spellStart"/>
            <w:r w:rsidRPr="007B3AB2">
              <w:rPr>
                <w:rFonts w:ascii="Calibri Light" w:eastAsia="Calibri" w:hAnsi="Calibri Light" w:cs="Calibri Light"/>
                <w:color w:val="0070C0"/>
                <w:sz w:val="20"/>
                <w:szCs w:val="20"/>
              </w:rPr>
              <w:t>xWDM</w:t>
            </w:r>
            <w:proofErr w:type="spellEnd"/>
            <w:r w:rsidRPr="007B3AB2">
              <w:rPr>
                <w:rFonts w:ascii="Calibri Light" w:eastAsia="Calibri" w:hAnsi="Calibri Light" w:cs="Calibri Light"/>
                <w:color w:val="0070C0"/>
                <w:sz w:val="20"/>
                <w:szCs w:val="20"/>
              </w:rPr>
              <w:t>.</w:t>
            </w:r>
          </w:p>
          <w:p w14:paraId="1BB43479" w14:textId="77777777" w:rsidR="00E72F3C" w:rsidRPr="007B3AB2" w:rsidRDefault="00E72F3C" w:rsidP="004D25D9">
            <w:pPr>
              <w:jc w:val="both"/>
              <w:rPr>
                <w:rFonts w:ascii="Calibri Light" w:eastAsia="Calibri" w:hAnsi="Calibri Light" w:cs="Calibri Light"/>
                <w:color w:val="0070C0"/>
                <w:sz w:val="20"/>
                <w:szCs w:val="20"/>
              </w:rPr>
            </w:pPr>
          </w:p>
          <w:p w14:paraId="6B4DC007"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4.-Adecuaciones</w:t>
            </w:r>
          </w:p>
          <w:p w14:paraId="20CCB49F" w14:textId="77777777" w:rsidR="00E72F3C" w:rsidRPr="007B3AB2" w:rsidRDefault="00E72F3C" w:rsidP="004D25D9">
            <w:pPr>
              <w:jc w:val="both"/>
              <w:rPr>
                <w:rFonts w:ascii="Calibri Light" w:eastAsia="Calibri" w:hAnsi="Calibri Light" w:cs="Calibri Light"/>
                <w:color w:val="0070C0"/>
                <w:sz w:val="20"/>
                <w:szCs w:val="20"/>
              </w:rPr>
            </w:pPr>
          </w:p>
          <w:p w14:paraId="6839F6C6"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 xml:space="preserve">Cuando hay introducción de nuevos equipos, se deben considerar adecuaciones de salas (escalerillas, canaletas, </w:t>
            </w:r>
            <w:proofErr w:type="spellStart"/>
            <w:r w:rsidRPr="007B3AB2">
              <w:rPr>
                <w:rFonts w:ascii="Calibri Light" w:eastAsia="Calibri" w:hAnsi="Calibri Light" w:cs="Calibri Light"/>
                <w:color w:val="0070C0"/>
                <w:sz w:val="20"/>
                <w:szCs w:val="20"/>
              </w:rPr>
              <w:t>DFO’s</w:t>
            </w:r>
            <w:proofErr w:type="spellEnd"/>
            <w:r w:rsidRPr="007B3AB2">
              <w:rPr>
                <w:rFonts w:ascii="Calibri Light" w:eastAsia="Calibri" w:hAnsi="Calibri Light" w:cs="Calibri Light"/>
                <w:color w:val="0070C0"/>
                <w:sz w:val="20"/>
                <w:szCs w:val="20"/>
              </w:rPr>
              <w:t>, etc.) en todos los casos.</w:t>
            </w:r>
          </w:p>
          <w:p w14:paraId="12BD00EB" w14:textId="77777777" w:rsidR="00E72F3C" w:rsidRPr="007B3AB2" w:rsidRDefault="00E72F3C" w:rsidP="004D25D9">
            <w:pPr>
              <w:jc w:val="both"/>
              <w:rPr>
                <w:rFonts w:ascii="Calibri Light" w:eastAsia="Calibri" w:hAnsi="Calibri Light" w:cs="Calibri Light"/>
                <w:color w:val="0070C0"/>
                <w:sz w:val="20"/>
                <w:szCs w:val="20"/>
              </w:rPr>
            </w:pPr>
          </w:p>
          <w:p w14:paraId="77D8FBED"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Las situaciones en las que se requiera realizar el despliegue de nueva infraestructura en los casos que no estén cubiertos en los puntos anteriores, serán tratadas como un Proyecto Especial, lo cual se notificará al Concesionario o Autorizado Solicitante a través del SEG, anexando la justificación técnica y la cotización para poder proporcionar los enlaces solicitados.</w:t>
            </w:r>
          </w:p>
          <w:p w14:paraId="5A45BB04" w14:textId="77777777" w:rsidR="00E72F3C" w:rsidRPr="007B3AB2" w:rsidRDefault="00E72F3C" w:rsidP="004D25D9">
            <w:pPr>
              <w:jc w:val="both"/>
              <w:rPr>
                <w:rFonts w:ascii="Calibri Light" w:eastAsia="Calibri" w:hAnsi="Calibri Light" w:cs="Calibri Light"/>
                <w:color w:val="0070C0"/>
                <w:sz w:val="20"/>
                <w:szCs w:val="20"/>
              </w:rPr>
            </w:pPr>
          </w:p>
          <w:p w14:paraId="40247579" w14:textId="77777777" w:rsidR="00E72F3C" w:rsidRDefault="00E72F3C" w:rsidP="004D25D9">
            <w:pPr>
              <w:jc w:val="both"/>
              <w:rPr>
                <w:rFonts w:ascii="Calibri Light" w:eastAsia="Calibri" w:hAnsi="Calibri Light" w:cs="Calibri Light"/>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 xml:space="preserve">Los Enlaces Dedicados a 100 Gbps requieren forzosamente la realización de un Proyecto Especial en la red de transporte, dado que </w:t>
            </w:r>
            <w:r w:rsidRPr="007B3AB2">
              <w:rPr>
                <w:rFonts w:ascii="Calibri Light" w:eastAsia="Calibri" w:hAnsi="Calibri Light" w:cs="Calibri Light"/>
                <w:color w:val="0070C0"/>
                <w:sz w:val="20"/>
                <w:szCs w:val="20"/>
              </w:rPr>
              <w:lastRenderedPageBreak/>
              <w:t xml:space="preserve">100 Gbps es la unidad básica de transporte para crecimiento en la red, </w:t>
            </w:r>
            <w:r>
              <w:rPr>
                <w:rFonts w:ascii="Calibri Light" w:eastAsia="Calibri" w:hAnsi="Calibri Light" w:cs="Calibri Light"/>
                <w:color w:val="0070C0"/>
                <w:sz w:val="20"/>
                <w:szCs w:val="20"/>
              </w:rPr>
              <w:t>se requiere la capacidad completa en el servicio solicitado</w:t>
            </w:r>
            <w:r w:rsidRPr="007B3AB2">
              <w:rPr>
                <w:rFonts w:ascii="Calibri Light" w:eastAsia="Calibri" w:hAnsi="Calibri Light" w:cs="Calibri Light"/>
                <w:color w:val="0070C0"/>
                <w:sz w:val="20"/>
                <w:szCs w:val="20"/>
              </w:rPr>
              <w:t>.</w:t>
            </w:r>
          </w:p>
        </w:tc>
        <w:tc>
          <w:tcPr>
            <w:tcW w:w="5893" w:type="dxa"/>
          </w:tcPr>
          <w:p w14:paraId="51BB87CF" w14:textId="77777777" w:rsidR="004A3E0C" w:rsidRDefault="004A3E0C" w:rsidP="00D75188">
            <w:pPr>
              <w:jc w:val="both"/>
              <w:rPr>
                <w:rFonts w:ascii="Calibri Light" w:eastAsia="Calibri" w:hAnsi="Calibri Light" w:cs="Calibri Light"/>
                <w:sz w:val="20"/>
                <w:szCs w:val="20"/>
              </w:rPr>
            </w:pPr>
          </w:p>
          <w:p w14:paraId="2255FCC6" w14:textId="77777777" w:rsidR="008E3839" w:rsidRPr="008E3839" w:rsidRDefault="008E3839" w:rsidP="008E3839">
            <w:pPr>
              <w:jc w:val="both"/>
              <w:rPr>
                <w:rFonts w:ascii="Calibri Light" w:eastAsia="Calibri" w:hAnsi="Calibri Light" w:cs="Calibri Light"/>
                <w:sz w:val="20"/>
                <w:szCs w:val="20"/>
              </w:rPr>
            </w:pPr>
            <w:r w:rsidRPr="008E3839">
              <w:rPr>
                <w:rFonts w:ascii="Calibri Light" w:eastAsia="Calibri" w:hAnsi="Calibri Light" w:cs="Calibri Light"/>
                <w:sz w:val="20"/>
                <w:szCs w:val="20"/>
              </w:rPr>
              <w:t xml:space="preserve">Se solicita al Instituto la autorización e incorporación de los cambios propuestos a fin de que Telmex y Telnor puedan cotizar y recuperar los costos relacionados con los elementos de red de transporte que resultan indispensables en la implementación de Proyectos Especiales. Estos proyectos han sido concebidos como una solución excepcional para atender requerimientos específicos de los Concesionarios Solicitantes en zonas o condiciones donde no existe infraestructura disponible, lo que implica la necesidad de realizar construcciones, adecuaciones o despliegues adicionales tanto en la Red de Acceso como en la Red de Transporte. No obstante, en el Modelo de Costos de Enlaces Dedicados de la DM resuelto por el Instituto no se identifica ningún rubro que contemple explícitamente este tipo de expansiones o desarrollos de infraestructura, a pesar de tratarse de costos reales, inevitables y no recuperables que asumen Telmex y Telnor. </w:t>
            </w:r>
          </w:p>
          <w:p w14:paraId="57CEF2F9" w14:textId="77777777" w:rsidR="008E3839" w:rsidRPr="008E3839" w:rsidRDefault="008E3839" w:rsidP="008E3839">
            <w:pPr>
              <w:jc w:val="both"/>
              <w:rPr>
                <w:rFonts w:ascii="Calibri Light" w:eastAsia="Calibri" w:hAnsi="Calibri Light" w:cs="Calibri Light"/>
                <w:sz w:val="20"/>
                <w:szCs w:val="20"/>
              </w:rPr>
            </w:pPr>
          </w:p>
          <w:p w14:paraId="394C1964" w14:textId="77777777" w:rsidR="008E3839" w:rsidRPr="008E3839" w:rsidRDefault="008E3839" w:rsidP="008E3839">
            <w:pPr>
              <w:jc w:val="both"/>
              <w:rPr>
                <w:rFonts w:ascii="Calibri Light" w:eastAsia="Calibri" w:hAnsi="Calibri Light" w:cs="Calibri Light"/>
                <w:sz w:val="20"/>
                <w:szCs w:val="20"/>
              </w:rPr>
            </w:pPr>
            <w:r w:rsidRPr="008E3839">
              <w:rPr>
                <w:rFonts w:ascii="Calibri Light" w:eastAsia="Calibri" w:hAnsi="Calibri Light" w:cs="Calibri Light"/>
                <w:sz w:val="20"/>
                <w:szCs w:val="20"/>
              </w:rPr>
              <w:t>Es indispensable que los costos asociados a los Proyectos Especiales sean cubiertos íntegramente por el Concesionario Solicitante que los demande, en virtud de que la infraestructura implementada responde exclusivamente a sus necesidades comerciales y técnicas. De lo contrario, se está trasladando a Telmex y Telnor la carga económica de desarrollar redes específicas que, por diseño, no estarán disponibles para otros operadores, lo cual constituye un subsidio en favor de competidores.</w:t>
            </w:r>
          </w:p>
          <w:p w14:paraId="3776F07D" w14:textId="77777777" w:rsidR="008E3839" w:rsidRPr="008E3839" w:rsidRDefault="008E3839" w:rsidP="008E3839">
            <w:pPr>
              <w:jc w:val="both"/>
              <w:rPr>
                <w:rFonts w:ascii="Calibri Light" w:eastAsia="Calibri" w:hAnsi="Calibri Light" w:cs="Calibri Light"/>
                <w:sz w:val="20"/>
                <w:szCs w:val="20"/>
              </w:rPr>
            </w:pPr>
          </w:p>
          <w:p w14:paraId="68F4B91C" w14:textId="77777777" w:rsidR="008E3839" w:rsidRPr="008E3839" w:rsidRDefault="008E3839" w:rsidP="008E3839">
            <w:pPr>
              <w:jc w:val="both"/>
              <w:rPr>
                <w:rFonts w:ascii="Calibri Light" w:eastAsia="Calibri" w:hAnsi="Calibri Light" w:cs="Calibri Light"/>
                <w:sz w:val="20"/>
                <w:szCs w:val="20"/>
              </w:rPr>
            </w:pPr>
            <w:r w:rsidRPr="008E3839">
              <w:rPr>
                <w:rFonts w:ascii="Calibri Light" w:eastAsia="Calibri" w:hAnsi="Calibri Light" w:cs="Calibri Light"/>
                <w:sz w:val="20"/>
                <w:szCs w:val="20"/>
              </w:rPr>
              <w:lastRenderedPageBreak/>
              <w:t>Es importante señalar que, la propia determinación del Instituto de no permitir recuperar los costos relacionados con los elementos de red de transporte que resultan indispensables en la implementación de Proyectos Especiales, ha generado distorsiones en el mercado que</w:t>
            </w:r>
            <w:r w:rsidR="00E767EC">
              <w:rPr>
                <w:rFonts w:ascii="Calibri Light" w:eastAsia="Calibri" w:hAnsi="Calibri Light" w:cs="Calibri Light"/>
                <w:sz w:val="20"/>
                <w:szCs w:val="20"/>
              </w:rPr>
              <w:t>:</w:t>
            </w:r>
            <w:r w:rsidRPr="008E3839">
              <w:rPr>
                <w:rFonts w:ascii="Calibri Light" w:eastAsia="Calibri" w:hAnsi="Calibri Light" w:cs="Calibri Light"/>
                <w:sz w:val="20"/>
                <w:szCs w:val="20"/>
              </w:rPr>
              <w:t> </w:t>
            </w:r>
            <w:r w:rsidRPr="00053658">
              <w:rPr>
                <w:rFonts w:ascii="Calibri Light" w:eastAsia="Calibri" w:hAnsi="Calibri Light" w:cs="Calibri Light"/>
                <w:sz w:val="20"/>
                <w:szCs w:val="20"/>
              </w:rPr>
              <w:t>(i)</w:t>
            </w:r>
            <w:r w:rsidRPr="008E3839">
              <w:rPr>
                <w:rFonts w:ascii="Calibri Light" w:eastAsia="Calibri" w:hAnsi="Calibri Light" w:cs="Calibri Light"/>
                <w:sz w:val="20"/>
                <w:szCs w:val="20"/>
              </w:rPr>
              <w:t xml:space="preserve"> constituyen subsidios en favor de estos concesionarios, </w:t>
            </w:r>
            <w:r w:rsidRPr="00053658">
              <w:rPr>
                <w:rFonts w:ascii="Calibri Light" w:eastAsia="Calibri" w:hAnsi="Calibri Light" w:cs="Calibri Light"/>
                <w:sz w:val="20"/>
                <w:szCs w:val="20"/>
              </w:rPr>
              <w:t>(</w:t>
            </w:r>
            <w:proofErr w:type="spellStart"/>
            <w:r w:rsidRPr="00053658">
              <w:rPr>
                <w:rFonts w:ascii="Calibri Light" w:eastAsia="Calibri" w:hAnsi="Calibri Light" w:cs="Calibri Light"/>
                <w:sz w:val="20"/>
                <w:szCs w:val="20"/>
              </w:rPr>
              <w:t>ii</w:t>
            </w:r>
            <w:proofErr w:type="spellEnd"/>
            <w:r w:rsidRPr="00053658">
              <w:rPr>
                <w:rFonts w:ascii="Calibri Light" w:eastAsia="Calibri" w:hAnsi="Calibri Light" w:cs="Calibri Light"/>
                <w:sz w:val="20"/>
                <w:szCs w:val="20"/>
              </w:rPr>
              <w:t>) </w:t>
            </w:r>
            <w:r w:rsidRPr="008E3839">
              <w:rPr>
                <w:rFonts w:ascii="Calibri Light" w:eastAsia="Calibri" w:hAnsi="Calibri Light" w:cs="Calibri Light"/>
                <w:sz w:val="20"/>
                <w:szCs w:val="20"/>
              </w:rPr>
              <w:t>han limitado el crecimiento de otros operadores, e </w:t>
            </w:r>
            <w:r w:rsidRPr="00053658">
              <w:rPr>
                <w:rFonts w:ascii="Calibri Light" w:eastAsia="Calibri" w:hAnsi="Calibri Light" w:cs="Calibri Light"/>
                <w:sz w:val="20"/>
                <w:szCs w:val="20"/>
              </w:rPr>
              <w:t>(</w:t>
            </w:r>
            <w:proofErr w:type="spellStart"/>
            <w:r w:rsidRPr="00053658">
              <w:rPr>
                <w:rFonts w:ascii="Calibri Light" w:eastAsia="Calibri" w:hAnsi="Calibri Light" w:cs="Calibri Light"/>
                <w:sz w:val="20"/>
                <w:szCs w:val="20"/>
              </w:rPr>
              <w:t>iii</w:t>
            </w:r>
            <w:proofErr w:type="spellEnd"/>
            <w:r w:rsidRPr="00053658">
              <w:rPr>
                <w:rFonts w:ascii="Calibri Light" w:eastAsia="Calibri" w:hAnsi="Calibri Light" w:cs="Calibri Light"/>
                <w:sz w:val="20"/>
                <w:szCs w:val="20"/>
              </w:rPr>
              <w:t>)</w:t>
            </w:r>
            <w:r w:rsidRPr="008E3839">
              <w:rPr>
                <w:rFonts w:ascii="Calibri Light" w:eastAsia="Calibri" w:hAnsi="Calibri Light" w:cs="Calibri Light"/>
                <w:sz w:val="20"/>
                <w:szCs w:val="20"/>
              </w:rPr>
              <w:t xml:space="preserve"> impacta de forma negativa la reducción de las tarifas para los usuarios finales, lo que genera de forma directa una afectación al interés público. </w:t>
            </w:r>
          </w:p>
          <w:p w14:paraId="0F6E4EE0" w14:textId="77777777" w:rsidR="008E3839" w:rsidRPr="008E3839" w:rsidRDefault="008E3839" w:rsidP="008E3839">
            <w:pPr>
              <w:jc w:val="both"/>
              <w:rPr>
                <w:rFonts w:ascii="Calibri Light" w:eastAsia="Calibri" w:hAnsi="Calibri Light" w:cs="Calibri Light"/>
                <w:sz w:val="20"/>
                <w:szCs w:val="20"/>
              </w:rPr>
            </w:pPr>
          </w:p>
          <w:p w14:paraId="15D4A9D7" w14:textId="77777777" w:rsidR="008E3839" w:rsidRPr="00053658" w:rsidRDefault="008E3839" w:rsidP="008E3839">
            <w:pPr>
              <w:jc w:val="both"/>
              <w:rPr>
                <w:rFonts w:ascii="Calibri Light" w:eastAsia="Calibri" w:hAnsi="Calibri Light" w:cs="Calibri Light"/>
                <w:sz w:val="20"/>
                <w:szCs w:val="20"/>
              </w:rPr>
            </w:pPr>
            <w:r w:rsidRPr="008E3839">
              <w:rPr>
                <w:rFonts w:ascii="Calibri Light" w:eastAsia="Calibri" w:hAnsi="Calibri Light" w:cs="Calibri Light"/>
                <w:sz w:val="20"/>
                <w:szCs w:val="20"/>
              </w:rPr>
              <w:t>Así, ante la imposibilidad de Telmex/Telnor de recuperar los costos relacionados con los elementos de red de transporte</w:t>
            </w:r>
            <w:r w:rsidRPr="00053658">
              <w:rPr>
                <w:rFonts w:ascii="Calibri Light" w:eastAsia="Calibri" w:hAnsi="Calibri Light" w:cs="Calibri Light"/>
                <w:sz w:val="20"/>
                <w:szCs w:val="20"/>
              </w:rPr>
              <w:t xml:space="preserve"> transgrede el contenido de derechos humanos materialmente constitucionalizado en el artículo 1° de nuestra Carta Magna, al no verse reflejados los costos directamente relacionados con la prestación del servicio, eliminando la posibilidad de que Telmex/Telnor obtengan una justa retribución a cambio de la prestación de un servicio o la provisión de un bien, que por lo menos les garantice la recuperación de los costos en los que incurrió su actividad comercial, sin el cual, la libertad de comercio no podría tenerse por dada. Esto en contravención a lo establecido en el artículo 5° de nuestra Carta Magna, vulnerando así, el núcleo esencial del derecho a la libertad de comercio. </w:t>
            </w:r>
          </w:p>
          <w:p w14:paraId="1A845501" w14:textId="77777777" w:rsidR="008E3839" w:rsidRPr="00053658" w:rsidRDefault="008E3839" w:rsidP="008E3839">
            <w:pPr>
              <w:jc w:val="both"/>
              <w:rPr>
                <w:rFonts w:ascii="Calibri Light" w:eastAsia="Calibri" w:hAnsi="Calibri Light" w:cs="Calibri Light"/>
                <w:sz w:val="20"/>
                <w:szCs w:val="20"/>
              </w:rPr>
            </w:pPr>
          </w:p>
          <w:p w14:paraId="61BDCE2B" w14:textId="77777777" w:rsidR="008E3839" w:rsidRPr="00053658" w:rsidRDefault="008E3839" w:rsidP="008E3839">
            <w:pPr>
              <w:jc w:val="both"/>
              <w:rPr>
                <w:rFonts w:ascii="Calibri Light" w:eastAsia="Calibri" w:hAnsi="Calibri Light" w:cs="Calibri Light"/>
                <w:sz w:val="20"/>
                <w:szCs w:val="20"/>
              </w:rPr>
            </w:pPr>
            <w:r w:rsidRPr="00053658">
              <w:rPr>
                <w:rFonts w:ascii="Calibri Light" w:eastAsia="Calibri" w:hAnsi="Calibri Light" w:cs="Calibri Light"/>
                <w:sz w:val="20"/>
                <w:szCs w:val="20"/>
              </w:rPr>
              <w:t>En este orden de ideas, bajo la interpretación más estricta de la libertad comercial que tienen Telmex/Telnor de dedicarse a la actividad comercial de prestación de servicios de telecomunicaciones, cuyo fin último, es beneficiar al usuario final al recibir servicios de telecomunicaciones. El limitarlo a recuperar costos en aras de no lesionar un interés individual, como lo es el de los Concesionarios Solicitantes, genera una violación mayor al afectar en una proporción mayor el beneficio de la colectividad, es decir, a los usuarios finales que reciben los servicios de telecomunicaciones en mejores condiciones en precio, calidad y diversidad.</w:t>
            </w:r>
          </w:p>
          <w:p w14:paraId="499B3A69" w14:textId="77777777" w:rsidR="008E3839" w:rsidRPr="008E3839" w:rsidRDefault="008E3839" w:rsidP="008E3839">
            <w:pPr>
              <w:jc w:val="both"/>
              <w:rPr>
                <w:rFonts w:ascii="Calibri Light" w:eastAsia="Calibri" w:hAnsi="Calibri Light" w:cs="Calibri Light"/>
                <w:sz w:val="20"/>
                <w:szCs w:val="20"/>
                <w:lang w:val="es-ES_tradnl"/>
              </w:rPr>
            </w:pPr>
          </w:p>
          <w:p w14:paraId="631CB279" w14:textId="77777777" w:rsidR="008E3839" w:rsidRPr="008E3839" w:rsidRDefault="008E3839" w:rsidP="008E3839">
            <w:pPr>
              <w:jc w:val="both"/>
              <w:rPr>
                <w:rFonts w:ascii="Calibri Light" w:eastAsia="Calibri" w:hAnsi="Calibri Light" w:cs="Calibri Light"/>
                <w:sz w:val="20"/>
                <w:szCs w:val="20"/>
                <w:lang w:val="es-ES_tradnl"/>
              </w:rPr>
            </w:pPr>
            <w:r w:rsidRPr="008E3839">
              <w:rPr>
                <w:rFonts w:ascii="Calibri Light" w:eastAsia="Calibri" w:hAnsi="Calibri Light" w:cs="Calibri Light"/>
                <w:sz w:val="20"/>
                <w:szCs w:val="20"/>
                <w:lang w:val="es-ES_tradnl"/>
              </w:rPr>
              <w:t xml:space="preserve">Con lo anterior, el propio Instituto violenta lo señalado por el Constituyente, en el que determinó en el artículo 6º de la norma fundamental, que las telecomunicaciones son servicios públicos de interés general, por lo que el Estado deberá garantizar que sean prestados en </w:t>
            </w:r>
            <w:r w:rsidRPr="008E3839">
              <w:rPr>
                <w:rFonts w:ascii="Calibri Light" w:eastAsia="Calibri" w:hAnsi="Calibri Light" w:cs="Calibri Light"/>
                <w:b/>
                <w:sz w:val="20"/>
                <w:szCs w:val="20"/>
                <w:lang w:val="es-ES_tradnl"/>
              </w:rPr>
              <w:t>condiciones de competencia</w:t>
            </w:r>
            <w:r w:rsidRPr="008E3839">
              <w:rPr>
                <w:rFonts w:ascii="Calibri Light" w:eastAsia="Calibri" w:hAnsi="Calibri Light" w:cs="Calibri Light"/>
                <w:sz w:val="20"/>
                <w:szCs w:val="20"/>
                <w:lang w:val="es-ES_tradnl"/>
              </w:rPr>
              <w:t xml:space="preserve">, calidad, pluralidad, cobertura universal, interconexión, convergencia, continuidad, acceso libre </w:t>
            </w:r>
            <w:r w:rsidRPr="008E3839">
              <w:rPr>
                <w:rFonts w:ascii="Calibri Light" w:eastAsia="Calibri" w:hAnsi="Calibri Light" w:cs="Calibri Light"/>
                <w:b/>
                <w:sz w:val="20"/>
                <w:szCs w:val="20"/>
                <w:lang w:val="es-ES_tradnl"/>
              </w:rPr>
              <w:t>y sin injerencias arbitrarias</w:t>
            </w:r>
            <w:r w:rsidRPr="008E3839">
              <w:rPr>
                <w:rFonts w:ascii="Calibri Light" w:eastAsia="Calibri" w:hAnsi="Calibri Light" w:cs="Calibri Light"/>
                <w:sz w:val="20"/>
                <w:szCs w:val="20"/>
                <w:lang w:val="es-ES_tradnl"/>
              </w:rPr>
              <w:t xml:space="preserve">.  </w:t>
            </w:r>
          </w:p>
          <w:p w14:paraId="5EF7AE1D" w14:textId="77777777" w:rsidR="008E3839" w:rsidRPr="008E3839" w:rsidRDefault="008E3839" w:rsidP="008E3839">
            <w:pPr>
              <w:jc w:val="both"/>
              <w:rPr>
                <w:rFonts w:ascii="Calibri Light" w:eastAsia="Calibri" w:hAnsi="Calibri Light" w:cs="Calibri Light"/>
                <w:sz w:val="20"/>
                <w:szCs w:val="20"/>
                <w:lang w:val="es-ES_tradnl"/>
              </w:rPr>
            </w:pPr>
          </w:p>
          <w:p w14:paraId="5EDF666D" w14:textId="64CE03C9" w:rsidR="008E3839" w:rsidRPr="008E3839" w:rsidRDefault="008E3839" w:rsidP="008E3839">
            <w:pPr>
              <w:jc w:val="both"/>
              <w:rPr>
                <w:rFonts w:ascii="Calibri Light" w:eastAsia="Calibri" w:hAnsi="Calibri Light" w:cs="Calibri Light"/>
                <w:sz w:val="20"/>
                <w:szCs w:val="20"/>
              </w:rPr>
            </w:pPr>
            <w:r w:rsidRPr="008E3839">
              <w:rPr>
                <w:rFonts w:ascii="Calibri Light" w:eastAsia="Calibri" w:hAnsi="Calibri Light" w:cs="Calibri Light"/>
                <w:sz w:val="20"/>
                <w:szCs w:val="20"/>
                <w:lang w:val="es-ES_tradnl"/>
              </w:rPr>
              <w:lastRenderedPageBreak/>
              <w:t xml:space="preserve">En conclusión, a efecto de no continuar violentando los derechos fundamentales de Telmex/Telnor relativos a la libertad comercial y poder competir así en condiciones de competencia, se solicita </w:t>
            </w:r>
            <w:r w:rsidRPr="008E3839">
              <w:rPr>
                <w:rFonts w:ascii="Calibri Light" w:eastAsia="Calibri" w:hAnsi="Calibri Light" w:cs="Calibri Light"/>
                <w:sz w:val="20"/>
                <w:szCs w:val="20"/>
              </w:rPr>
              <w:t xml:space="preserve">al Instituto la autorización e incorporación de los cambios propuestos a fin de que </w:t>
            </w:r>
            <w:r w:rsidR="00053658">
              <w:rPr>
                <w:rFonts w:ascii="Calibri Light" w:eastAsia="Calibri" w:hAnsi="Calibri Light" w:cs="Calibri Light"/>
                <w:sz w:val="20"/>
                <w:szCs w:val="20"/>
              </w:rPr>
              <w:t>mis mandantes</w:t>
            </w:r>
            <w:r w:rsidRPr="008E3839">
              <w:rPr>
                <w:rFonts w:ascii="Calibri Light" w:eastAsia="Calibri" w:hAnsi="Calibri Light" w:cs="Calibri Light"/>
                <w:sz w:val="20"/>
                <w:szCs w:val="20"/>
              </w:rPr>
              <w:t xml:space="preserve"> puedan cotizar y recuperar los costos relacionados con los elementos de red de transporte que resultan indispensables en la implementación de Proyectos Especiales.</w:t>
            </w:r>
          </w:p>
          <w:p w14:paraId="3B693FE9" w14:textId="77777777" w:rsidR="008E3839" w:rsidRPr="008E3839" w:rsidRDefault="008E3839" w:rsidP="008E3839">
            <w:pPr>
              <w:jc w:val="both"/>
              <w:rPr>
                <w:rFonts w:ascii="Calibri Light" w:eastAsia="Calibri" w:hAnsi="Calibri Light" w:cs="Calibri Light"/>
                <w:sz w:val="20"/>
                <w:szCs w:val="20"/>
              </w:rPr>
            </w:pPr>
          </w:p>
          <w:p w14:paraId="4FC59F17" w14:textId="77777777" w:rsidR="008E3839" w:rsidRPr="008E3839" w:rsidRDefault="008E3839" w:rsidP="008E3839">
            <w:pPr>
              <w:jc w:val="both"/>
              <w:rPr>
                <w:rFonts w:ascii="Calibri Light" w:eastAsia="Calibri" w:hAnsi="Calibri Light" w:cs="Calibri Light"/>
                <w:sz w:val="20"/>
                <w:szCs w:val="20"/>
              </w:rPr>
            </w:pPr>
            <w:r w:rsidRPr="008E3839">
              <w:rPr>
                <w:rFonts w:ascii="Calibri Light" w:eastAsia="Calibri" w:hAnsi="Calibri Light" w:cs="Calibri Light"/>
                <w:sz w:val="20"/>
                <w:szCs w:val="20"/>
              </w:rPr>
              <w:t>Adicionalmente, se solicita a ese Instituto que de no aceptar los cambios propuestos, desglose de conformidad con el modelo de costos, la forma en la que considera que esta incluido la recuperación del transporte en proyectos especiales.</w:t>
            </w:r>
          </w:p>
        </w:tc>
      </w:tr>
      <w:tr w:rsidR="00476935" w:rsidRPr="00C13F5A" w14:paraId="2102749E" w14:textId="77777777" w:rsidTr="001D5424">
        <w:trPr>
          <w:trHeight w:val="507"/>
          <w:jc w:val="center"/>
        </w:trPr>
        <w:tc>
          <w:tcPr>
            <w:tcW w:w="1392" w:type="dxa"/>
            <w:vMerge/>
          </w:tcPr>
          <w:p w14:paraId="0761457C" w14:textId="77777777" w:rsidR="00E72F3C" w:rsidRDefault="00E72F3C" w:rsidP="004D25D9">
            <w:pPr>
              <w:jc w:val="center"/>
              <w:rPr>
                <w:sz w:val="20"/>
                <w:szCs w:val="20"/>
              </w:rPr>
            </w:pPr>
          </w:p>
        </w:tc>
        <w:tc>
          <w:tcPr>
            <w:tcW w:w="1576" w:type="dxa"/>
          </w:tcPr>
          <w:p w14:paraId="68F1F06D" w14:textId="77777777" w:rsidR="00CA7B51" w:rsidRDefault="00CA7B51" w:rsidP="004D25D9">
            <w:pPr>
              <w:jc w:val="center"/>
              <w:rPr>
                <w:rFonts w:cstheme="minorHAnsi"/>
                <w:sz w:val="20"/>
                <w:szCs w:val="20"/>
              </w:rPr>
            </w:pPr>
          </w:p>
          <w:p w14:paraId="6254E9A1" w14:textId="77777777" w:rsidR="00CA7B51" w:rsidRDefault="00CA7B51" w:rsidP="004D25D9">
            <w:pPr>
              <w:jc w:val="center"/>
              <w:rPr>
                <w:rFonts w:cstheme="minorHAnsi"/>
                <w:sz w:val="20"/>
                <w:szCs w:val="20"/>
              </w:rPr>
            </w:pPr>
          </w:p>
          <w:p w14:paraId="3070E9E5" w14:textId="36C01A45" w:rsidR="00CA7B51" w:rsidRDefault="00CA7B51" w:rsidP="00CA7B51">
            <w:pPr>
              <w:jc w:val="center"/>
              <w:rPr>
                <w:rFonts w:cstheme="minorHAnsi"/>
                <w:sz w:val="20"/>
                <w:szCs w:val="20"/>
              </w:rPr>
            </w:pPr>
            <w:r>
              <w:rPr>
                <w:rFonts w:cstheme="minorHAnsi"/>
                <w:sz w:val="20"/>
                <w:szCs w:val="20"/>
              </w:rPr>
              <w:t>OFERTA</w:t>
            </w:r>
          </w:p>
          <w:p w14:paraId="39B34A63" w14:textId="6E93A013" w:rsidR="00E72F3C" w:rsidRDefault="00E72F3C" w:rsidP="004D25D9">
            <w:pPr>
              <w:jc w:val="center"/>
              <w:rPr>
                <w:rFonts w:cstheme="minorHAnsi"/>
                <w:sz w:val="20"/>
                <w:szCs w:val="20"/>
              </w:rPr>
            </w:pPr>
            <w:r>
              <w:rPr>
                <w:rFonts w:cstheme="minorHAnsi"/>
                <w:sz w:val="20"/>
                <w:szCs w:val="20"/>
              </w:rPr>
              <w:t>2.5.6.1</w:t>
            </w:r>
          </w:p>
          <w:p w14:paraId="2E39957A" w14:textId="77777777" w:rsidR="00BA3EFF" w:rsidRPr="00BA3EFF" w:rsidRDefault="00BA3EFF" w:rsidP="004D25D9">
            <w:pPr>
              <w:jc w:val="center"/>
              <w:rPr>
                <w:rFonts w:cstheme="minorHAnsi"/>
                <w:i/>
                <w:iCs/>
                <w:sz w:val="20"/>
                <w:szCs w:val="20"/>
              </w:rPr>
            </w:pPr>
            <w:r w:rsidRPr="00BA3EFF">
              <w:rPr>
                <w:rFonts w:cstheme="minorHAnsi"/>
                <w:i/>
                <w:iCs/>
                <w:sz w:val="18"/>
                <w:szCs w:val="20"/>
              </w:rPr>
              <w:t>PÁG. 16</w:t>
            </w:r>
          </w:p>
        </w:tc>
        <w:tc>
          <w:tcPr>
            <w:tcW w:w="5958" w:type="dxa"/>
          </w:tcPr>
          <w:p w14:paraId="7228372B" w14:textId="77777777" w:rsidR="00E72F3C" w:rsidRPr="008074BC" w:rsidRDefault="00E72F3C" w:rsidP="004D25D9">
            <w:pPr>
              <w:jc w:val="both"/>
              <w:rPr>
                <w:rFonts w:ascii="Calibri Light" w:eastAsia="Calibri" w:hAnsi="Calibri Light" w:cs="Calibri Light"/>
                <w:sz w:val="20"/>
                <w:szCs w:val="20"/>
              </w:rPr>
            </w:pPr>
            <w:r w:rsidRPr="008074BC">
              <w:rPr>
                <w:rFonts w:ascii="Calibri Light" w:eastAsia="Calibri" w:hAnsi="Calibri Light" w:cs="Calibri Light"/>
                <w:sz w:val="20"/>
                <w:szCs w:val="20"/>
              </w:rPr>
              <w:t>2.5.6.1 Requisitos que deberán reunir las cotizaciones de los Proyectos Especiales.</w:t>
            </w:r>
          </w:p>
          <w:p w14:paraId="0BD96243" w14:textId="77777777" w:rsidR="00E72F3C" w:rsidRPr="008074BC" w:rsidRDefault="00E72F3C" w:rsidP="004D25D9">
            <w:pPr>
              <w:jc w:val="both"/>
              <w:rPr>
                <w:rFonts w:ascii="Calibri Light" w:eastAsia="Calibri" w:hAnsi="Calibri Light" w:cs="Calibri Light"/>
                <w:sz w:val="20"/>
                <w:szCs w:val="20"/>
              </w:rPr>
            </w:pPr>
          </w:p>
          <w:p w14:paraId="2D9B5EB6" w14:textId="77777777" w:rsidR="00E72F3C" w:rsidRPr="008074BC" w:rsidRDefault="00E72F3C" w:rsidP="004D25D9">
            <w:pPr>
              <w:jc w:val="both"/>
              <w:rPr>
                <w:rFonts w:ascii="Calibri Light" w:eastAsia="Calibri" w:hAnsi="Calibri Light" w:cs="Calibri Light"/>
                <w:sz w:val="20"/>
                <w:szCs w:val="20"/>
              </w:rPr>
            </w:pPr>
            <w:r w:rsidRPr="008074BC">
              <w:rPr>
                <w:rFonts w:ascii="Calibri Light" w:eastAsia="Calibri" w:hAnsi="Calibri Light" w:cs="Calibri Light"/>
                <w:sz w:val="20"/>
                <w:szCs w:val="20"/>
              </w:rPr>
              <w:t>Toda cotización de un Proyecto Especial deberá contener, como mínimo, información desagregada de lo siguiente:</w:t>
            </w:r>
          </w:p>
          <w:p w14:paraId="3C8D32B3" w14:textId="77777777" w:rsidR="00E72F3C" w:rsidRPr="008074BC" w:rsidRDefault="00E72F3C" w:rsidP="004D25D9">
            <w:pPr>
              <w:jc w:val="both"/>
              <w:rPr>
                <w:rFonts w:ascii="Calibri Light" w:eastAsia="Calibri" w:hAnsi="Calibri Light" w:cs="Calibri Light"/>
                <w:sz w:val="20"/>
                <w:szCs w:val="20"/>
              </w:rPr>
            </w:pPr>
          </w:p>
          <w:p w14:paraId="0FDEDAEA" w14:textId="77777777" w:rsidR="00E72F3C" w:rsidRPr="008074BC" w:rsidRDefault="00E72F3C" w:rsidP="004D25D9">
            <w:pPr>
              <w:jc w:val="both"/>
              <w:rPr>
                <w:rFonts w:ascii="Calibri Light" w:eastAsia="Calibri" w:hAnsi="Calibri Light" w:cs="Calibri Light"/>
                <w:sz w:val="20"/>
                <w:szCs w:val="20"/>
              </w:rPr>
            </w:pPr>
            <w:r w:rsidRPr="008074BC">
              <w:rPr>
                <w:rFonts w:ascii="Calibri Light" w:eastAsia="Calibri" w:hAnsi="Calibri Light" w:cs="Calibri Light"/>
                <w:sz w:val="20"/>
                <w:szCs w:val="20"/>
              </w:rPr>
              <w:t>a)</w:t>
            </w:r>
            <w:r w:rsidRPr="008074BC">
              <w:rPr>
                <w:rFonts w:ascii="Calibri Light" w:eastAsia="Calibri" w:hAnsi="Calibri Light" w:cs="Calibri Light"/>
                <w:sz w:val="20"/>
                <w:szCs w:val="20"/>
              </w:rPr>
              <w:tab/>
              <w:t>Planta Externa</w:t>
            </w:r>
          </w:p>
          <w:p w14:paraId="73810D55" w14:textId="77777777" w:rsidR="00E72F3C" w:rsidRPr="008074BC" w:rsidRDefault="00E72F3C" w:rsidP="004D25D9">
            <w:pPr>
              <w:jc w:val="both"/>
              <w:rPr>
                <w:rFonts w:ascii="Calibri Light" w:eastAsia="Calibri" w:hAnsi="Calibri Light" w:cs="Calibri Light"/>
                <w:sz w:val="20"/>
                <w:szCs w:val="20"/>
              </w:rPr>
            </w:pPr>
            <w:r w:rsidRPr="008074BC">
              <w:rPr>
                <w:rFonts w:ascii="Calibri Light" w:eastAsia="Calibri" w:hAnsi="Calibri Light" w:cs="Calibri Light"/>
                <w:sz w:val="20"/>
                <w:szCs w:val="20"/>
              </w:rPr>
              <w:t>b)</w:t>
            </w:r>
            <w:r w:rsidRPr="008074BC">
              <w:rPr>
                <w:rFonts w:ascii="Calibri Light" w:eastAsia="Calibri" w:hAnsi="Calibri Light" w:cs="Calibri Light"/>
                <w:sz w:val="20"/>
                <w:szCs w:val="20"/>
              </w:rPr>
              <w:tab/>
              <w:t>Red de Acceso</w:t>
            </w:r>
          </w:p>
          <w:p w14:paraId="38E97D46"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c)</w:t>
            </w:r>
            <w:r w:rsidRPr="007B3AB2">
              <w:rPr>
                <w:rFonts w:ascii="Calibri Light" w:eastAsia="Calibri" w:hAnsi="Calibri Light" w:cs="Calibri Light"/>
                <w:color w:val="0070C0"/>
                <w:sz w:val="20"/>
                <w:szCs w:val="20"/>
              </w:rPr>
              <w:tab/>
              <w:t>Transporte Carrier Ethernet</w:t>
            </w:r>
          </w:p>
          <w:p w14:paraId="7077C8F5"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d)</w:t>
            </w:r>
            <w:r w:rsidRPr="007B3AB2">
              <w:rPr>
                <w:rFonts w:ascii="Calibri Light" w:eastAsia="Calibri" w:hAnsi="Calibri Light" w:cs="Calibri Light"/>
                <w:color w:val="0070C0"/>
                <w:sz w:val="20"/>
                <w:szCs w:val="20"/>
              </w:rPr>
              <w:tab/>
              <w:t>Transporte Alta Capacidad</w:t>
            </w:r>
          </w:p>
          <w:p w14:paraId="3E6559BD" w14:textId="77777777" w:rsidR="00E72F3C" w:rsidRPr="00DC2A7F" w:rsidRDefault="00E72F3C" w:rsidP="004D25D9">
            <w:pPr>
              <w:jc w:val="both"/>
              <w:rPr>
                <w:rFonts w:ascii="Calibri Light" w:eastAsia="Calibri" w:hAnsi="Calibri Light" w:cs="Calibri Light"/>
                <w:color w:val="FF0000"/>
                <w:sz w:val="20"/>
                <w:szCs w:val="20"/>
              </w:rPr>
            </w:pPr>
            <w:r w:rsidRPr="007B3AB2">
              <w:rPr>
                <w:rFonts w:ascii="Calibri Light" w:eastAsia="Calibri" w:hAnsi="Calibri Light" w:cs="Calibri Light"/>
                <w:color w:val="0070C0"/>
                <w:sz w:val="20"/>
                <w:szCs w:val="20"/>
              </w:rPr>
              <w:t>e)</w:t>
            </w:r>
            <w:r w:rsidRPr="007B3AB2">
              <w:rPr>
                <w:rFonts w:ascii="Calibri Light" w:eastAsia="Calibri" w:hAnsi="Calibri Light" w:cs="Calibri Light"/>
                <w:color w:val="0070C0"/>
                <w:sz w:val="20"/>
                <w:szCs w:val="20"/>
              </w:rPr>
              <w:tab/>
              <w:t>Larga Distancia</w:t>
            </w:r>
          </w:p>
          <w:p w14:paraId="51306F84" w14:textId="77777777" w:rsidR="00E72F3C" w:rsidRDefault="00E72F3C" w:rsidP="004D25D9">
            <w:pPr>
              <w:jc w:val="both"/>
              <w:rPr>
                <w:rFonts w:ascii="Calibri Light" w:eastAsia="Calibri" w:hAnsi="Calibri Light" w:cs="Calibri Light"/>
                <w:sz w:val="20"/>
                <w:szCs w:val="20"/>
              </w:rPr>
            </w:pPr>
            <w:r w:rsidRPr="007B3AB2">
              <w:rPr>
                <w:rFonts w:ascii="Calibri Light" w:eastAsia="Calibri" w:hAnsi="Calibri Light" w:cs="Calibri Light"/>
                <w:strike/>
                <w:color w:val="0070C0"/>
                <w:sz w:val="20"/>
                <w:szCs w:val="20"/>
              </w:rPr>
              <w:t>c</w:t>
            </w:r>
            <w:r w:rsidRPr="007B3AB2">
              <w:rPr>
                <w:rFonts w:ascii="Calibri Light" w:eastAsia="Calibri" w:hAnsi="Calibri Light" w:cs="Calibri Light"/>
                <w:color w:val="0070C0"/>
                <w:sz w:val="20"/>
                <w:szCs w:val="20"/>
              </w:rPr>
              <w:t>)f)</w:t>
            </w:r>
            <w:r>
              <w:rPr>
                <w:rFonts w:ascii="Calibri Light" w:eastAsia="Calibri" w:hAnsi="Calibri Light" w:cs="Calibri Light"/>
                <w:sz w:val="20"/>
                <w:szCs w:val="20"/>
              </w:rPr>
              <w:tab/>
              <w:t>Adecuaciones</w:t>
            </w:r>
          </w:p>
        </w:tc>
        <w:tc>
          <w:tcPr>
            <w:tcW w:w="5893" w:type="dxa"/>
          </w:tcPr>
          <w:p w14:paraId="335AA88D" w14:textId="77777777" w:rsidR="00A75623" w:rsidRDefault="00A75623" w:rsidP="00A44EF7">
            <w:pPr>
              <w:jc w:val="both"/>
              <w:rPr>
                <w:rFonts w:ascii="Calibri Light" w:eastAsia="Calibri" w:hAnsi="Calibri Light" w:cs="Calibri Light"/>
                <w:sz w:val="20"/>
                <w:szCs w:val="20"/>
              </w:rPr>
            </w:pPr>
          </w:p>
          <w:p w14:paraId="4A32FC36" w14:textId="31C37B37" w:rsidR="00E72F3C" w:rsidRDefault="00E72F3C" w:rsidP="00A44EF7">
            <w:pPr>
              <w:jc w:val="both"/>
              <w:rPr>
                <w:rFonts w:ascii="Calibri Light" w:eastAsia="Calibri" w:hAnsi="Calibri Light" w:cs="Calibri Light"/>
                <w:sz w:val="20"/>
                <w:szCs w:val="20"/>
              </w:rPr>
            </w:pPr>
            <w:r w:rsidRPr="008074BC">
              <w:rPr>
                <w:rFonts w:ascii="Calibri Light" w:eastAsia="Calibri" w:hAnsi="Calibri Light" w:cs="Calibri Light"/>
                <w:sz w:val="20"/>
                <w:szCs w:val="20"/>
              </w:rPr>
              <w:t xml:space="preserve">Se propone </w:t>
            </w:r>
            <w:r w:rsidR="00A44EF7">
              <w:rPr>
                <w:rFonts w:ascii="Calibri Light" w:eastAsia="Calibri" w:hAnsi="Calibri Light" w:cs="Calibri Light"/>
                <w:sz w:val="20"/>
                <w:szCs w:val="20"/>
              </w:rPr>
              <w:t xml:space="preserve">al Instituto </w:t>
            </w:r>
            <w:r>
              <w:rPr>
                <w:rFonts w:ascii="Calibri Light" w:eastAsia="Calibri" w:hAnsi="Calibri Light" w:cs="Calibri Light"/>
                <w:sz w:val="20"/>
                <w:szCs w:val="20"/>
              </w:rPr>
              <w:t>incorporar los rubros relacionados con la red de transporte que se requiere sean considerados en las cotizaciones de Proyectos Especiales, por todo lo expresado en el apartado anterior.</w:t>
            </w:r>
          </w:p>
        </w:tc>
      </w:tr>
      <w:tr w:rsidR="00476935" w:rsidRPr="00C13F5A" w14:paraId="48A032A0" w14:textId="77777777" w:rsidTr="001D5424">
        <w:trPr>
          <w:trHeight w:val="682"/>
          <w:jc w:val="center"/>
        </w:trPr>
        <w:tc>
          <w:tcPr>
            <w:tcW w:w="1392" w:type="dxa"/>
            <w:vMerge/>
          </w:tcPr>
          <w:p w14:paraId="7640926F" w14:textId="77777777" w:rsidR="00E72F3C" w:rsidRDefault="00E72F3C" w:rsidP="004D25D9">
            <w:pPr>
              <w:jc w:val="center"/>
              <w:rPr>
                <w:sz w:val="20"/>
                <w:szCs w:val="20"/>
              </w:rPr>
            </w:pPr>
          </w:p>
        </w:tc>
        <w:tc>
          <w:tcPr>
            <w:tcW w:w="1576" w:type="dxa"/>
          </w:tcPr>
          <w:p w14:paraId="2D9381A2" w14:textId="77777777" w:rsidR="00D8145F" w:rsidRDefault="00D8145F" w:rsidP="004D25D9">
            <w:pPr>
              <w:jc w:val="center"/>
              <w:rPr>
                <w:rFonts w:cstheme="minorHAnsi"/>
                <w:sz w:val="20"/>
                <w:szCs w:val="20"/>
              </w:rPr>
            </w:pPr>
          </w:p>
          <w:p w14:paraId="66ED326E" w14:textId="0E692CB0" w:rsidR="00D8145F" w:rsidRDefault="00D8145F" w:rsidP="00D8145F">
            <w:pPr>
              <w:jc w:val="center"/>
              <w:rPr>
                <w:rFonts w:cstheme="minorHAnsi"/>
                <w:sz w:val="20"/>
                <w:szCs w:val="20"/>
              </w:rPr>
            </w:pPr>
            <w:r>
              <w:rPr>
                <w:rFonts w:cstheme="minorHAnsi"/>
                <w:sz w:val="20"/>
                <w:szCs w:val="20"/>
              </w:rPr>
              <w:t>OFERTA</w:t>
            </w:r>
          </w:p>
          <w:p w14:paraId="263E9FA4" w14:textId="0EE0F394" w:rsidR="00E72F3C" w:rsidRDefault="00E72F3C" w:rsidP="004D25D9">
            <w:pPr>
              <w:jc w:val="center"/>
              <w:rPr>
                <w:rFonts w:cstheme="minorHAnsi"/>
                <w:sz w:val="20"/>
                <w:szCs w:val="20"/>
              </w:rPr>
            </w:pPr>
            <w:r>
              <w:rPr>
                <w:rFonts w:cstheme="minorHAnsi"/>
                <w:sz w:val="20"/>
                <w:szCs w:val="20"/>
              </w:rPr>
              <w:t>2.5.6.4</w:t>
            </w:r>
          </w:p>
        </w:tc>
        <w:tc>
          <w:tcPr>
            <w:tcW w:w="5958" w:type="dxa"/>
          </w:tcPr>
          <w:p w14:paraId="4B7F1F09" w14:textId="77777777" w:rsidR="00E72F3C" w:rsidRPr="00C873DC" w:rsidRDefault="00E72F3C" w:rsidP="004D25D9">
            <w:pPr>
              <w:jc w:val="both"/>
              <w:rPr>
                <w:rFonts w:ascii="Calibri Light" w:eastAsia="Calibri" w:hAnsi="Calibri Light" w:cs="Calibri Light"/>
                <w:sz w:val="20"/>
                <w:szCs w:val="20"/>
              </w:rPr>
            </w:pPr>
            <w:r w:rsidRPr="00C873DC">
              <w:rPr>
                <w:rFonts w:ascii="Calibri Light" w:eastAsia="Calibri" w:hAnsi="Calibri Light" w:cs="Calibri Light"/>
                <w:sz w:val="20"/>
                <w:szCs w:val="20"/>
              </w:rPr>
              <w:t>2.5.6.4 No se considerarán Proyectos Especiales, los siguientes casos:</w:t>
            </w:r>
          </w:p>
          <w:p w14:paraId="66D6688B" w14:textId="77777777" w:rsidR="00E72F3C" w:rsidRPr="00C873DC" w:rsidRDefault="00E72F3C" w:rsidP="004D25D9">
            <w:pPr>
              <w:jc w:val="both"/>
              <w:rPr>
                <w:rFonts w:ascii="Calibri Light" w:eastAsia="Calibri" w:hAnsi="Calibri Light" w:cs="Calibri Light"/>
                <w:sz w:val="20"/>
                <w:szCs w:val="20"/>
              </w:rPr>
            </w:pPr>
          </w:p>
          <w:p w14:paraId="4A759940" w14:textId="77777777" w:rsidR="00E72F3C" w:rsidRPr="007B3AB2" w:rsidRDefault="00E72F3C" w:rsidP="004D25D9">
            <w:pPr>
              <w:jc w:val="both"/>
              <w:rPr>
                <w:rFonts w:ascii="Calibri Light" w:eastAsia="Calibri" w:hAnsi="Calibri Light" w:cs="Calibri Light"/>
                <w:color w:val="0070C0"/>
                <w:sz w:val="20"/>
                <w:szCs w:val="20"/>
              </w:rPr>
            </w:pPr>
            <w:r w:rsidRPr="00C873DC">
              <w:rPr>
                <w:rFonts w:ascii="Calibri Light" w:eastAsia="Calibri" w:hAnsi="Calibri Light" w:cs="Calibri Light"/>
                <w:sz w:val="20"/>
                <w:szCs w:val="20"/>
              </w:rPr>
              <w:t>(i)</w:t>
            </w:r>
            <w:r w:rsidRPr="00C873DC">
              <w:rPr>
                <w:rFonts w:ascii="Calibri Light" w:eastAsia="Calibri" w:hAnsi="Calibri Light" w:cs="Calibri Light"/>
                <w:sz w:val="20"/>
                <w:szCs w:val="20"/>
              </w:rPr>
              <w:tab/>
              <w:t>Cuando División Mayorista Telmex/Telnor preste o haya prestado servicios al Concesionario o Autorizado Solicitante en un determinado domicilio, utilizando la misma tecnología requerida</w:t>
            </w:r>
            <w:r>
              <w:rPr>
                <w:rFonts w:ascii="Calibri Light" w:eastAsia="Calibri" w:hAnsi="Calibri Light" w:cs="Calibri Light"/>
                <w:sz w:val="20"/>
                <w:szCs w:val="20"/>
              </w:rPr>
              <w:t xml:space="preserve">, </w:t>
            </w:r>
            <w:r w:rsidRPr="007B3AB2">
              <w:rPr>
                <w:rFonts w:ascii="Calibri Light" w:eastAsia="Calibri" w:hAnsi="Calibri Light" w:cs="Calibri Light"/>
                <w:color w:val="0070C0"/>
                <w:sz w:val="20"/>
                <w:szCs w:val="20"/>
              </w:rPr>
              <w:t>siempre y cuando se cuente con infraestructura disponible para proporcionar el servicio;</w:t>
            </w:r>
          </w:p>
          <w:p w14:paraId="1C8516A7" w14:textId="77777777" w:rsidR="00E72F3C" w:rsidRPr="007B3AB2" w:rsidRDefault="00E72F3C" w:rsidP="004D25D9">
            <w:pPr>
              <w:jc w:val="both"/>
              <w:rPr>
                <w:rFonts w:ascii="Calibri Light" w:eastAsia="Calibri" w:hAnsi="Calibri Light" w:cs="Calibri Light"/>
                <w:color w:val="0070C0"/>
                <w:sz w:val="20"/>
                <w:szCs w:val="20"/>
              </w:rPr>
            </w:pPr>
          </w:p>
          <w:p w14:paraId="38C2B572" w14:textId="77777777" w:rsidR="00E72F3C" w:rsidRPr="00E27EF7" w:rsidRDefault="00E72F3C" w:rsidP="004D25D9">
            <w:pPr>
              <w:jc w:val="both"/>
              <w:rPr>
                <w:rFonts w:ascii="Calibri Light" w:eastAsia="Calibri" w:hAnsi="Calibri Light" w:cs="Calibri Light"/>
                <w:strike/>
                <w:color w:val="0070C0"/>
                <w:sz w:val="20"/>
                <w:szCs w:val="20"/>
              </w:rPr>
            </w:pPr>
            <w:r w:rsidRPr="007B3AB2">
              <w:rPr>
                <w:rFonts w:ascii="Calibri Light" w:eastAsia="Calibri" w:hAnsi="Calibri Light" w:cs="Calibri Light"/>
                <w:strike/>
                <w:color w:val="0070C0"/>
                <w:sz w:val="20"/>
                <w:szCs w:val="20"/>
              </w:rPr>
              <w:t>(</w:t>
            </w:r>
            <w:proofErr w:type="spellStart"/>
            <w:r w:rsidRPr="007B3AB2">
              <w:rPr>
                <w:rFonts w:ascii="Calibri Light" w:eastAsia="Calibri" w:hAnsi="Calibri Light" w:cs="Calibri Light"/>
                <w:strike/>
                <w:color w:val="0070C0"/>
                <w:sz w:val="20"/>
                <w:szCs w:val="20"/>
              </w:rPr>
              <w:t>ii</w:t>
            </w:r>
            <w:proofErr w:type="spellEnd"/>
            <w:r w:rsidRPr="007B3AB2">
              <w:rPr>
                <w:rFonts w:ascii="Calibri Light" w:eastAsia="Calibri" w:hAnsi="Calibri Light" w:cs="Calibri Light"/>
                <w:strike/>
                <w:color w:val="0070C0"/>
                <w:sz w:val="20"/>
                <w:szCs w:val="20"/>
              </w:rPr>
              <w:t>)</w:t>
            </w:r>
            <w:r w:rsidRPr="007B3AB2">
              <w:rPr>
                <w:rFonts w:ascii="Calibri Light" w:eastAsia="Calibri" w:hAnsi="Calibri Light" w:cs="Calibri Light"/>
                <w:strike/>
                <w:color w:val="0070C0"/>
                <w:sz w:val="20"/>
                <w:szCs w:val="20"/>
              </w:rPr>
              <w:tab/>
              <w:t>Cuando únicamente se requiera utilizar un equipo con diferente tecnología. En este caso será procedente el cobro de los gastos de instalación de dicho equipo y la renta mensual asociada a dicho enlace, de conformidad con los precios y tarifas de la presente Oferta;</w:t>
            </w:r>
          </w:p>
          <w:p w14:paraId="20B7B9C5" w14:textId="77777777" w:rsidR="00E72F3C" w:rsidRDefault="00E72F3C" w:rsidP="004D25D9">
            <w:pPr>
              <w:jc w:val="both"/>
              <w:rPr>
                <w:rFonts w:ascii="Calibri Light" w:eastAsia="Calibri" w:hAnsi="Calibri Light" w:cs="Calibri Light"/>
                <w:sz w:val="20"/>
                <w:szCs w:val="20"/>
              </w:rPr>
            </w:pPr>
          </w:p>
        </w:tc>
        <w:tc>
          <w:tcPr>
            <w:tcW w:w="5893" w:type="dxa"/>
          </w:tcPr>
          <w:p w14:paraId="435E8EDC" w14:textId="69052743" w:rsidR="00E72F3C" w:rsidRDefault="00E72F3C" w:rsidP="004D25D9">
            <w:pPr>
              <w:jc w:val="both"/>
              <w:rPr>
                <w:rFonts w:ascii="Calibri Light" w:eastAsia="Calibri" w:hAnsi="Calibri Light" w:cs="Calibri Light"/>
                <w:sz w:val="20"/>
                <w:szCs w:val="20"/>
              </w:rPr>
            </w:pPr>
            <w:r>
              <w:rPr>
                <w:rFonts w:ascii="Calibri Light" w:eastAsia="Calibri" w:hAnsi="Calibri Light" w:cs="Calibri Light"/>
                <w:sz w:val="20"/>
                <w:szCs w:val="20"/>
              </w:rPr>
              <w:t xml:space="preserve">Para el inciso i) es necesario especificar que se condicione a contar con disponibilidad de infraestructura, pues un cambio significativo de 1 Mbps a 100 Gbps en el mismo domicilio, utilizando la misma tecnología Ethernet requiere analizar las condiciones de infraestructura existentes ya que los demarcadores, capacidades y equipos en la central están previamente diseñados para proporcionar el primer servicio contratado por el Concesionario, </w:t>
            </w:r>
            <w:r w:rsidR="00045F1A">
              <w:rPr>
                <w:rFonts w:ascii="Calibri Light" w:eastAsia="Calibri" w:hAnsi="Calibri Light" w:cs="Calibri Light"/>
                <w:sz w:val="20"/>
                <w:szCs w:val="20"/>
              </w:rPr>
              <w:t xml:space="preserve">y </w:t>
            </w:r>
            <w:r>
              <w:rPr>
                <w:rFonts w:ascii="Calibri Light" w:eastAsia="Calibri" w:hAnsi="Calibri Light" w:cs="Calibri Light"/>
                <w:sz w:val="20"/>
                <w:szCs w:val="20"/>
              </w:rPr>
              <w:t>no los subsecuentes.</w:t>
            </w:r>
          </w:p>
          <w:p w14:paraId="1D9B7507" w14:textId="77777777" w:rsidR="00E72F3C" w:rsidRDefault="00E72F3C" w:rsidP="004D25D9">
            <w:pPr>
              <w:jc w:val="both"/>
              <w:rPr>
                <w:rFonts w:ascii="Calibri Light" w:eastAsia="Calibri" w:hAnsi="Calibri Light" w:cs="Calibri Light"/>
                <w:sz w:val="20"/>
                <w:szCs w:val="20"/>
              </w:rPr>
            </w:pPr>
          </w:p>
          <w:p w14:paraId="6FE53E9E" w14:textId="7C2DD6F7" w:rsidR="00E72F3C" w:rsidRDefault="00E72F3C" w:rsidP="00C0489E">
            <w:pPr>
              <w:jc w:val="both"/>
              <w:rPr>
                <w:rFonts w:ascii="Calibri Light" w:eastAsia="Calibri" w:hAnsi="Calibri Light" w:cs="Calibri Light"/>
                <w:sz w:val="20"/>
                <w:szCs w:val="20"/>
              </w:rPr>
            </w:pPr>
            <w:r w:rsidRPr="002D2AC7">
              <w:rPr>
                <w:rFonts w:ascii="Calibri Light" w:eastAsia="Calibri" w:hAnsi="Calibri Light" w:cs="Calibri Light"/>
                <w:sz w:val="20"/>
                <w:szCs w:val="20"/>
              </w:rPr>
              <w:t xml:space="preserve">Para el inciso </w:t>
            </w:r>
            <w:proofErr w:type="spellStart"/>
            <w:r w:rsidRPr="002D2AC7">
              <w:rPr>
                <w:rFonts w:ascii="Calibri Light" w:eastAsia="Calibri" w:hAnsi="Calibri Light" w:cs="Calibri Light"/>
                <w:sz w:val="20"/>
                <w:szCs w:val="20"/>
              </w:rPr>
              <w:t>ii</w:t>
            </w:r>
            <w:proofErr w:type="spellEnd"/>
            <w:r w:rsidRPr="002D2AC7">
              <w:rPr>
                <w:rFonts w:ascii="Calibri Light" w:eastAsia="Calibri" w:hAnsi="Calibri Light" w:cs="Calibri Light"/>
                <w:sz w:val="20"/>
                <w:szCs w:val="20"/>
              </w:rPr>
              <w:t>) se propone eliminar</w:t>
            </w:r>
            <w:r w:rsidR="00E85638">
              <w:rPr>
                <w:rFonts w:ascii="Calibri Light" w:eastAsia="Calibri" w:hAnsi="Calibri Light" w:cs="Calibri Light"/>
                <w:sz w:val="20"/>
                <w:szCs w:val="20"/>
              </w:rPr>
              <w:t xml:space="preserve"> el párrafo</w:t>
            </w:r>
            <w:r w:rsidRPr="002D2AC7">
              <w:rPr>
                <w:rFonts w:ascii="Calibri Light" w:eastAsia="Calibri" w:hAnsi="Calibri Light" w:cs="Calibri Light"/>
                <w:sz w:val="20"/>
                <w:szCs w:val="20"/>
              </w:rPr>
              <w:t xml:space="preserve">, </w:t>
            </w:r>
            <w:r w:rsidR="00D51717" w:rsidRPr="002D2AC7">
              <w:rPr>
                <w:rFonts w:ascii="Calibri Light" w:eastAsia="Calibri" w:hAnsi="Calibri Light" w:cs="Calibri Light"/>
                <w:sz w:val="20"/>
                <w:szCs w:val="20"/>
              </w:rPr>
              <w:t xml:space="preserve">ya que más bien, la restricción debería aplicarse cuando se usa el mismo equipo, </w:t>
            </w:r>
            <w:r w:rsidR="00F02069" w:rsidRPr="002D2AC7">
              <w:rPr>
                <w:rFonts w:ascii="Calibri Light" w:eastAsia="Calibri" w:hAnsi="Calibri Light" w:cs="Calibri Light"/>
                <w:sz w:val="20"/>
                <w:szCs w:val="20"/>
              </w:rPr>
              <w:t>pero no</w:t>
            </w:r>
            <w:r w:rsidR="00D51717" w:rsidRPr="002D2AC7">
              <w:rPr>
                <w:rFonts w:ascii="Calibri Light" w:eastAsia="Calibri" w:hAnsi="Calibri Light" w:cs="Calibri Light"/>
                <w:sz w:val="20"/>
                <w:szCs w:val="20"/>
              </w:rPr>
              <w:t xml:space="preserve"> basta con analizar si cambia o no la tecnología</w:t>
            </w:r>
            <w:r w:rsidR="00FC44AB" w:rsidRPr="002D2AC7">
              <w:rPr>
                <w:rFonts w:ascii="Calibri Light" w:eastAsia="Calibri" w:hAnsi="Calibri Light" w:cs="Calibri Light"/>
                <w:sz w:val="20"/>
                <w:szCs w:val="20"/>
              </w:rPr>
              <w:t xml:space="preserve"> del equipo</w:t>
            </w:r>
            <w:r w:rsidR="00D51717" w:rsidRPr="002D2AC7">
              <w:rPr>
                <w:rFonts w:ascii="Calibri Light" w:eastAsia="Calibri" w:hAnsi="Calibri Light" w:cs="Calibri Light"/>
                <w:sz w:val="20"/>
                <w:szCs w:val="20"/>
              </w:rPr>
              <w:t xml:space="preserve"> </w:t>
            </w:r>
            <w:r w:rsidR="00FC44AB" w:rsidRPr="002D2AC7">
              <w:rPr>
                <w:rFonts w:ascii="Calibri Light" w:eastAsia="Calibri" w:hAnsi="Calibri Light" w:cs="Calibri Light"/>
                <w:sz w:val="20"/>
                <w:szCs w:val="20"/>
              </w:rPr>
              <w:t>p</w:t>
            </w:r>
            <w:r w:rsidR="00D51717" w:rsidRPr="002D2AC7">
              <w:rPr>
                <w:rFonts w:ascii="Calibri Light" w:eastAsia="Calibri" w:hAnsi="Calibri Light" w:cs="Calibri Light"/>
                <w:sz w:val="20"/>
                <w:szCs w:val="20"/>
              </w:rPr>
              <w:t>ara determinar si una solicitud es un Proyecto Especial, se deben revisar</w:t>
            </w:r>
            <w:r w:rsidR="00C0489E" w:rsidRPr="002D2AC7">
              <w:rPr>
                <w:rFonts w:ascii="Calibri Light" w:eastAsia="Calibri" w:hAnsi="Calibri Light" w:cs="Calibri Light"/>
                <w:sz w:val="20"/>
                <w:szCs w:val="20"/>
              </w:rPr>
              <w:t xml:space="preserve"> todas</w:t>
            </w:r>
            <w:r w:rsidR="00D51717" w:rsidRPr="002D2AC7">
              <w:rPr>
                <w:rFonts w:ascii="Calibri Light" w:eastAsia="Calibri" w:hAnsi="Calibri Light" w:cs="Calibri Light"/>
                <w:sz w:val="20"/>
                <w:szCs w:val="20"/>
              </w:rPr>
              <w:t xml:space="preserve"> las condiciones generales del servicio existente y compararlas con lo que está solicitando el Concesionario.</w:t>
            </w:r>
          </w:p>
        </w:tc>
      </w:tr>
      <w:tr w:rsidR="00476935" w:rsidRPr="00C13F5A" w14:paraId="5C5EA759" w14:textId="77777777" w:rsidTr="001D5424">
        <w:trPr>
          <w:trHeight w:val="568"/>
          <w:jc w:val="center"/>
        </w:trPr>
        <w:tc>
          <w:tcPr>
            <w:tcW w:w="1392" w:type="dxa"/>
            <w:vMerge/>
          </w:tcPr>
          <w:p w14:paraId="44C30E73" w14:textId="77777777" w:rsidR="00E72F3C" w:rsidRDefault="00E72F3C" w:rsidP="004D25D9">
            <w:pPr>
              <w:jc w:val="center"/>
              <w:rPr>
                <w:sz w:val="20"/>
                <w:szCs w:val="20"/>
              </w:rPr>
            </w:pPr>
          </w:p>
        </w:tc>
        <w:tc>
          <w:tcPr>
            <w:tcW w:w="1576" w:type="dxa"/>
            <w:vAlign w:val="center"/>
          </w:tcPr>
          <w:p w14:paraId="0A0E21F4" w14:textId="77777777" w:rsidR="00E72F3C" w:rsidRDefault="00E72F3C" w:rsidP="004D25D9">
            <w:pPr>
              <w:jc w:val="center"/>
              <w:rPr>
                <w:rFonts w:cstheme="minorHAnsi"/>
                <w:sz w:val="20"/>
                <w:szCs w:val="20"/>
              </w:rPr>
            </w:pPr>
            <w:r>
              <w:rPr>
                <w:rFonts w:cstheme="minorHAnsi"/>
                <w:sz w:val="20"/>
                <w:szCs w:val="20"/>
              </w:rPr>
              <w:t>ANEXO “C”</w:t>
            </w:r>
          </w:p>
          <w:p w14:paraId="5B394EC1" w14:textId="77777777" w:rsidR="00E72F3C" w:rsidRDefault="00E72F3C" w:rsidP="004D25D9">
            <w:pPr>
              <w:jc w:val="center"/>
              <w:rPr>
                <w:rFonts w:cstheme="minorHAnsi"/>
                <w:sz w:val="20"/>
                <w:szCs w:val="20"/>
              </w:rPr>
            </w:pPr>
            <w:r>
              <w:rPr>
                <w:rFonts w:cstheme="minorHAnsi"/>
                <w:sz w:val="20"/>
                <w:szCs w:val="20"/>
              </w:rPr>
              <w:t>Apartado B</w:t>
            </w:r>
          </w:p>
          <w:p w14:paraId="408F1609" w14:textId="77777777" w:rsidR="00BA3EFF" w:rsidRPr="00BA3EFF" w:rsidRDefault="00BA3EFF" w:rsidP="004D25D9">
            <w:pPr>
              <w:jc w:val="center"/>
              <w:rPr>
                <w:rFonts w:cstheme="minorHAnsi"/>
                <w:i/>
                <w:iCs/>
                <w:sz w:val="20"/>
                <w:szCs w:val="20"/>
              </w:rPr>
            </w:pPr>
            <w:r w:rsidRPr="00BA3EFF">
              <w:rPr>
                <w:rFonts w:cstheme="minorHAnsi"/>
                <w:i/>
                <w:iCs/>
                <w:sz w:val="18"/>
                <w:szCs w:val="20"/>
              </w:rPr>
              <w:t>PÁG. 47</w:t>
            </w:r>
          </w:p>
        </w:tc>
        <w:tc>
          <w:tcPr>
            <w:tcW w:w="5958" w:type="dxa"/>
            <w:vAlign w:val="center"/>
          </w:tcPr>
          <w:p w14:paraId="4C4D1B87" w14:textId="77777777" w:rsidR="00E72F3C" w:rsidRDefault="00E72F3C" w:rsidP="004D25D9">
            <w:pPr>
              <w:rPr>
                <w:rFonts w:ascii="Calibri Light" w:eastAsia="Calibri" w:hAnsi="Calibri Light" w:cs="Calibri Light"/>
                <w:sz w:val="20"/>
                <w:szCs w:val="20"/>
              </w:rPr>
            </w:pPr>
            <w:r>
              <w:rPr>
                <w:rFonts w:ascii="Calibri Light" w:eastAsia="Calibri" w:hAnsi="Calibri Light" w:cs="Calibri Light"/>
                <w:sz w:val="20"/>
                <w:szCs w:val="20"/>
              </w:rPr>
              <w:t>[Réplica de las modificaciones antes descritas]</w:t>
            </w:r>
          </w:p>
        </w:tc>
        <w:tc>
          <w:tcPr>
            <w:tcW w:w="5893" w:type="dxa"/>
            <w:vAlign w:val="center"/>
          </w:tcPr>
          <w:p w14:paraId="4525F617" w14:textId="77777777" w:rsidR="00E72F3C" w:rsidRDefault="00E72F3C" w:rsidP="004D25D9">
            <w:pPr>
              <w:jc w:val="both"/>
              <w:rPr>
                <w:rFonts w:ascii="Calibri Light" w:eastAsia="Calibri" w:hAnsi="Calibri Light" w:cs="Calibri Light"/>
                <w:sz w:val="20"/>
                <w:szCs w:val="20"/>
              </w:rPr>
            </w:pPr>
            <w:r>
              <w:rPr>
                <w:rFonts w:ascii="Calibri Light" w:eastAsia="Calibri" w:hAnsi="Calibri Light" w:cs="Calibri Light"/>
                <w:sz w:val="20"/>
                <w:szCs w:val="20"/>
              </w:rPr>
              <w:t>Igual que las justificaciones previas de los numerales 2.5.6, 2.5.6.1, 2.5.6.2, 2.5.6.4 asociadas a este tema.</w:t>
            </w:r>
          </w:p>
        </w:tc>
      </w:tr>
      <w:tr w:rsidR="00476935" w:rsidRPr="00C13F5A" w14:paraId="70EB873F" w14:textId="77777777" w:rsidTr="001D5424">
        <w:trPr>
          <w:trHeight w:val="564"/>
          <w:jc w:val="center"/>
        </w:trPr>
        <w:tc>
          <w:tcPr>
            <w:tcW w:w="1392" w:type="dxa"/>
            <w:vMerge w:val="restart"/>
          </w:tcPr>
          <w:p w14:paraId="3646D6C0" w14:textId="77777777" w:rsidR="00E72F3C" w:rsidRDefault="00E72F3C" w:rsidP="004D25D9">
            <w:pPr>
              <w:jc w:val="center"/>
              <w:rPr>
                <w:rFonts w:cstheme="minorHAnsi"/>
                <w:b/>
                <w:bCs/>
                <w:sz w:val="20"/>
                <w:szCs w:val="20"/>
              </w:rPr>
            </w:pPr>
          </w:p>
          <w:p w14:paraId="56A96049" w14:textId="77777777" w:rsidR="00E72F3C" w:rsidRDefault="00E72F3C" w:rsidP="004D25D9">
            <w:pPr>
              <w:jc w:val="center"/>
              <w:rPr>
                <w:rFonts w:cstheme="minorHAnsi"/>
                <w:b/>
                <w:bCs/>
                <w:sz w:val="20"/>
                <w:szCs w:val="20"/>
              </w:rPr>
            </w:pPr>
          </w:p>
          <w:p w14:paraId="3ADFB6DF" w14:textId="77777777" w:rsidR="00E72F3C" w:rsidRDefault="00E72F3C" w:rsidP="004D25D9">
            <w:pPr>
              <w:jc w:val="center"/>
              <w:rPr>
                <w:rFonts w:cstheme="minorHAnsi"/>
                <w:b/>
                <w:bCs/>
                <w:sz w:val="20"/>
                <w:szCs w:val="20"/>
              </w:rPr>
            </w:pPr>
            <w:r>
              <w:rPr>
                <w:rFonts w:cstheme="minorHAnsi"/>
                <w:b/>
                <w:bCs/>
                <w:sz w:val="20"/>
                <w:szCs w:val="20"/>
              </w:rPr>
              <w:t>#</w:t>
            </w:r>
            <w:r w:rsidR="006C2F87">
              <w:rPr>
                <w:rFonts w:cstheme="minorHAnsi"/>
                <w:b/>
                <w:bCs/>
                <w:sz w:val="20"/>
                <w:szCs w:val="20"/>
              </w:rPr>
              <w:t>3</w:t>
            </w:r>
          </w:p>
          <w:p w14:paraId="3377677F" w14:textId="77777777" w:rsidR="00E72F3C" w:rsidRDefault="00E72F3C" w:rsidP="004D25D9">
            <w:pPr>
              <w:jc w:val="center"/>
              <w:rPr>
                <w:rFonts w:cstheme="minorHAnsi"/>
                <w:b/>
                <w:bCs/>
                <w:sz w:val="20"/>
                <w:szCs w:val="20"/>
              </w:rPr>
            </w:pPr>
          </w:p>
          <w:p w14:paraId="06CA4EDA" w14:textId="5A998276" w:rsidR="00E72F3C" w:rsidRPr="00E43A57" w:rsidRDefault="00E72F3C" w:rsidP="004D25D9">
            <w:pPr>
              <w:jc w:val="center"/>
              <w:rPr>
                <w:sz w:val="20"/>
                <w:szCs w:val="20"/>
              </w:rPr>
            </w:pPr>
            <w:r w:rsidRPr="00FD4CB6">
              <w:rPr>
                <w:rFonts w:cstheme="minorHAnsi"/>
                <w:b/>
                <w:bCs/>
                <w:sz w:val="20"/>
                <w:szCs w:val="20"/>
              </w:rPr>
              <w:t>Plazos máximos de reparación de incidentes</w:t>
            </w:r>
            <w:r w:rsidR="00004279">
              <w:rPr>
                <w:rFonts w:cstheme="minorHAnsi"/>
                <w:b/>
                <w:bCs/>
                <w:sz w:val="20"/>
                <w:szCs w:val="20"/>
              </w:rPr>
              <w:t>;</w:t>
            </w:r>
            <w:r>
              <w:rPr>
                <w:rFonts w:cstheme="minorHAnsi"/>
                <w:b/>
                <w:bCs/>
                <w:sz w:val="20"/>
                <w:szCs w:val="20"/>
              </w:rPr>
              <w:t xml:space="preserve"> porcentajes </w:t>
            </w:r>
            <w:r>
              <w:rPr>
                <w:rFonts w:cstheme="minorHAnsi"/>
                <w:b/>
                <w:bCs/>
                <w:sz w:val="20"/>
                <w:szCs w:val="20"/>
              </w:rPr>
              <w:lastRenderedPageBreak/>
              <w:t>de</w:t>
            </w:r>
            <w:r w:rsidRPr="00FD4CB6">
              <w:rPr>
                <w:rFonts w:cstheme="minorHAnsi"/>
                <w:b/>
                <w:bCs/>
                <w:sz w:val="20"/>
                <w:szCs w:val="20"/>
              </w:rPr>
              <w:t xml:space="preserve"> </w:t>
            </w:r>
            <w:r>
              <w:rPr>
                <w:rFonts w:cstheme="minorHAnsi"/>
                <w:b/>
                <w:bCs/>
                <w:sz w:val="20"/>
                <w:szCs w:val="20"/>
              </w:rPr>
              <w:t>disponibilidad en los servicios</w:t>
            </w:r>
            <w:r w:rsidR="00004279">
              <w:rPr>
                <w:rFonts w:cstheme="minorHAnsi"/>
                <w:b/>
                <w:bCs/>
                <w:sz w:val="20"/>
                <w:szCs w:val="20"/>
              </w:rPr>
              <w:t xml:space="preserve"> y tiempos de traslado para la atención de fallas</w:t>
            </w:r>
          </w:p>
        </w:tc>
        <w:tc>
          <w:tcPr>
            <w:tcW w:w="1576" w:type="dxa"/>
          </w:tcPr>
          <w:p w14:paraId="1A3FC143" w14:textId="77777777" w:rsidR="00464559" w:rsidRDefault="00464559" w:rsidP="004D25D9">
            <w:pPr>
              <w:jc w:val="center"/>
              <w:rPr>
                <w:rFonts w:cstheme="minorHAnsi"/>
                <w:sz w:val="20"/>
                <w:szCs w:val="20"/>
              </w:rPr>
            </w:pPr>
          </w:p>
          <w:p w14:paraId="1AE5E66F" w14:textId="77777777" w:rsidR="00464559" w:rsidRDefault="00464559" w:rsidP="004D25D9">
            <w:pPr>
              <w:jc w:val="center"/>
              <w:rPr>
                <w:rFonts w:cstheme="minorHAnsi"/>
                <w:sz w:val="20"/>
                <w:szCs w:val="20"/>
              </w:rPr>
            </w:pPr>
          </w:p>
          <w:p w14:paraId="00C5E18E" w14:textId="77777777" w:rsidR="00464559" w:rsidRDefault="00464559" w:rsidP="004D25D9">
            <w:pPr>
              <w:jc w:val="center"/>
              <w:rPr>
                <w:rFonts w:cstheme="minorHAnsi"/>
                <w:sz w:val="20"/>
                <w:szCs w:val="20"/>
              </w:rPr>
            </w:pPr>
          </w:p>
          <w:p w14:paraId="426AC506" w14:textId="77777777" w:rsidR="00464559" w:rsidRDefault="00464559" w:rsidP="004D25D9">
            <w:pPr>
              <w:jc w:val="center"/>
              <w:rPr>
                <w:rFonts w:cstheme="minorHAnsi"/>
                <w:sz w:val="20"/>
                <w:szCs w:val="20"/>
              </w:rPr>
            </w:pPr>
          </w:p>
          <w:p w14:paraId="33895335" w14:textId="77777777" w:rsidR="00464559" w:rsidRDefault="00464559" w:rsidP="004D25D9">
            <w:pPr>
              <w:jc w:val="center"/>
              <w:rPr>
                <w:rFonts w:cstheme="minorHAnsi"/>
                <w:sz w:val="20"/>
                <w:szCs w:val="20"/>
              </w:rPr>
            </w:pPr>
          </w:p>
          <w:p w14:paraId="3649D805" w14:textId="77777777" w:rsidR="00464559" w:rsidRDefault="00464559" w:rsidP="004D25D9">
            <w:pPr>
              <w:jc w:val="center"/>
              <w:rPr>
                <w:rFonts w:cstheme="minorHAnsi"/>
                <w:sz w:val="20"/>
                <w:szCs w:val="20"/>
              </w:rPr>
            </w:pPr>
          </w:p>
          <w:p w14:paraId="49F10165" w14:textId="77777777" w:rsidR="00E72F3C" w:rsidRDefault="00E72F3C" w:rsidP="004D25D9">
            <w:pPr>
              <w:jc w:val="center"/>
              <w:rPr>
                <w:rFonts w:cstheme="minorHAnsi"/>
                <w:sz w:val="20"/>
                <w:szCs w:val="20"/>
              </w:rPr>
            </w:pPr>
            <w:r>
              <w:rPr>
                <w:rFonts w:cstheme="minorHAnsi"/>
                <w:sz w:val="20"/>
                <w:szCs w:val="20"/>
              </w:rPr>
              <w:t>OFERTA</w:t>
            </w:r>
          </w:p>
          <w:p w14:paraId="3DCF67C4" w14:textId="77777777" w:rsidR="00E72F3C" w:rsidRDefault="00E72F3C" w:rsidP="004D25D9">
            <w:pPr>
              <w:jc w:val="center"/>
              <w:rPr>
                <w:rFonts w:cstheme="minorHAnsi"/>
                <w:sz w:val="20"/>
                <w:szCs w:val="20"/>
              </w:rPr>
            </w:pPr>
            <w:r>
              <w:rPr>
                <w:rFonts w:cstheme="minorHAnsi"/>
                <w:sz w:val="20"/>
                <w:szCs w:val="20"/>
              </w:rPr>
              <w:t>2.6.2</w:t>
            </w:r>
          </w:p>
          <w:p w14:paraId="58CCAF81" w14:textId="77777777" w:rsidR="00E72F3C" w:rsidRDefault="00E72F3C" w:rsidP="004D25D9">
            <w:pPr>
              <w:jc w:val="center"/>
              <w:rPr>
                <w:rFonts w:cstheme="minorHAnsi"/>
                <w:sz w:val="20"/>
                <w:szCs w:val="20"/>
              </w:rPr>
            </w:pPr>
            <w:r>
              <w:rPr>
                <w:rFonts w:cstheme="minorHAnsi"/>
                <w:sz w:val="20"/>
                <w:szCs w:val="20"/>
              </w:rPr>
              <w:t>2.6.5</w:t>
            </w:r>
          </w:p>
          <w:p w14:paraId="3F75D7E2" w14:textId="77777777" w:rsidR="00BA3EFF" w:rsidRDefault="00BA3EFF" w:rsidP="00BA3EFF">
            <w:pPr>
              <w:jc w:val="center"/>
              <w:rPr>
                <w:rFonts w:cstheme="minorHAnsi"/>
                <w:i/>
                <w:sz w:val="18"/>
                <w:szCs w:val="20"/>
              </w:rPr>
            </w:pPr>
            <w:r w:rsidRPr="004D04C7">
              <w:rPr>
                <w:rFonts w:cstheme="minorHAnsi"/>
                <w:i/>
                <w:sz w:val="18"/>
                <w:szCs w:val="20"/>
              </w:rPr>
              <w:t>PÁG. 19</w:t>
            </w:r>
            <w:r>
              <w:rPr>
                <w:rFonts w:cstheme="minorHAnsi"/>
                <w:i/>
                <w:sz w:val="18"/>
                <w:szCs w:val="20"/>
              </w:rPr>
              <w:t xml:space="preserve"> y</w:t>
            </w:r>
          </w:p>
          <w:p w14:paraId="26E7C1C9" w14:textId="77777777" w:rsidR="00004279" w:rsidRDefault="00004279" w:rsidP="004D25D9">
            <w:pPr>
              <w:jc w:val="center"/>
              <w:rPr>
                <w:rFonts w:cstheme="minorHAnsi"/>
                <w:sz w:val="20"/>
                <w:szCs w:val="20"/>
              </w:rPr>
            </w:pPr>
          </w:p>
          <w:p w14:paraId="2401F6D7" w14:textId="77777777" w:rsidR="00004279" w:rsidRDefault="00004279" w:rsidP="004D25D9">
            <w:pPr>
              <w:jc w:val="center"/>
              <w:rPr>
                <w:rFonts w:cstheme="minorHAnsi"/>
                <w:sz w:val="20"/>
                <w:szCs w:val="20"/>
              </w:rPr>
            </w:pPr>
            <w:r>
              <w:rPr>
                <w:rFonts w:cstheme="minorHAnsi"/>
                <w:sz w:val="20"/>
                <w:szCs w:val="20"/>
              </w:rPr>
              <w:t>ANEXO “I”</w:t>
            </w:r>
          </w:p>
          <w:p w14:paraId="7A676022" w14:textId="77777777" w:rsidR="00BA3EFF" w:rsidRPr="00E43A57" w:rsidRDefault="00BA3EFF" w:rsidP="004D25D9">
            <w:pPr>
              <w:jc w:val="center"/>
              <w:rPr>
                <w:rFonts w:cstheme="minorHAnsi"/>
                <w:sz w:val="20"/>
                <w:szCs w:val="20"/>
              </w:rPr>
            </w:pPr>
            <w:r w:rsidRPr="004D04C7">
              <w:rPr>
                <w:rFonts w:cstheme="minorHAnsi"/>
                <w:i/>
                <w:sz w:val="18"/>
                <w:szCs w:val="20"/>
              </w:rPr>
              <w:t>PÁG.</w:t>
            </w:r>
            <w:r>
              <w:rPr>
                <w:rFonts w:cstheme="minorHAnsi"/>
                <w:i/>
                <w:sz w:val="18"/>
                <w:szCs w:val="20"/>
              </w:rPr>
              <w:t xml:space="preserve"> 22</w:t>
            </w:r>
          </w:p>
        </w:tc>
        <w:tc>
          <w:tcPr>
            <w:tcW w:w="5958" w:type="dxa"/>
          </w:tcPr>
          <w:p w14:paraId="6ADFE3DF" w14:textId="77777777" w:rsidR="00E72F3C" w:rsidRPr="00E67D4C" w:rsidRDefault="00E72F3C" w:rsidP="004D25D9">
            <w:pPr>
              <w:rPr>
                <w:rFonts w:ascii="Calibri Light" w:eastAsia="Calibri" w:hAnsi="Calibri Light" w:cs="Calibri Light"/>
                <w:sz w:val="20"/>
                <w:szCs w:val="20"/>
              </w:rPr>
            </w:pPr>
            <w:r w:rsidRPr="00E67D4C">
              <w:rPr>
                <w:rFonts w:ascii="Calibri Light" w:eastAsia="Calibri" w:hAnsi="Calibri Light" w:cs="Calibri Light"/>
                <w:sz w:val="20"/>
                <w:szCs w:val="20"/>
              </w:rPr>
              <w:lastRenderedPageBreak/>
              <w:t>2.6.2</w:t>
            </w:r>
          </w:p>
          <w:p w14:paraId="2A35D507" w14:textId="77777777" w:rsidR="00E72F3C" w:rsidRDefault="00E72F3C" w:rsidP="004D25D9">
            <w:pPr>
              <w:rPr>
                <w:rFonts w:ascii="Calibri Light" w:eastAsia="Calibri" w:hAnsi="Calibri Light" w:cs="Calibri Light"/>
                <w:sz w:val="20"/>
                <w:szCs w:val="20"/>
              </w:rPr>
            </w:pPr>
            <w:r>
              <w:rPr>
                <w:rFonts w:ascii="Calibri Light" w:eastAsia="Calibri" w:hAnsi="Calibri Light" w:cs="Calibri Light"/>
                <w:sz w:val="20"/>
                <w:szCs w:val="20"/>
              </w:rPr>
              <w:t>…</w:t>
            </w:r>
          </w:p>
          <w:p w14:paraId="6E3A407C" w14:textId="77777777" w:rsidR="00D957E4" w:rsidRDefault="00D957E4" w:rsidP="004D25D9">
            <w:pPr>
              <w:rPr>
                <w:rFonts w:ascii="Calibri Light" w:eastAsia="Calibri" w:hAnsi="Calibri Light" w:cs="Calibri Light"/>
                <w:sz w:val="20"/>
                <w:szCs w:val="20"/>
              </w:rPr>
            </w:pPr>
            <w:r w:rsidRPr="00D957E4">
              <w:rPr>
                <w:rFonts w:ascii="Calibri Light" w:eastAsia="Calibri" w:hAnsi="Calibri Light" w:cs="Calibri Light"/>
                <w:sz w:val="20"/>
                <w:szCs w:val="20"/>
              </w:rPr>
              <w:t>En relación con las afectaciones que pudieran ocurrir con el Servicio de Arrendamiento de Enlaces Dedicados Entre Localidades y de Larga Distancia Internacional, la División Mayorista de Telmex/Telnor se compromete a solucionarlos considerando su ubicación y gravedad, contados a partir de la debida y formal notificación a la División Mayorista de Telmex/Telnor, de conformidad con los siguientes plazos:</w:t>
            </w:r>
          </w:p>
          <w:p w14:paraId="4BC8D82C" w14:textId="77777777" w:rsidR="008605E0" w:rsidRDefault="008605E0" w:rsidP="004D25D9">
            <w:pPr>
              <w:rPr>
                <w:rFonts w:ascii="Calibri Light" w:eastAsia="Calibri" w:hAnsi="Calibri Light" w:cs="Calibri Light"/>
                <w:sz w:val="20"/>
                <w:szCs w:val="20"/>
              </w:rPr>
            </w:pPr>
          </w:p>
          <w:p w14:paraId="7319E506" w14:textId="77777777" w:rsidR="008605E0" w:rsidRDefault="008605E0" w:rsidP="008605E0">
            <w:pPr>
              <w:jc w:val="center"/>
              <w:rPr>
                <w:rFonts w:ascii="Calibri Light" w:eastAsia="Calibri" w:hAnsi="Calibri Light" w:cs="Calibri Light"/>
                <w:sz w:val="20"/>
                <w:szCs w:val="20"/>
              </w:rPr>
            </w:pPr>
            <w:r>
              <w:rPr>
                <w:noProof/>
                <w:lang w:eastAsia="es-MX"/>
              </w:rPr>
              <w:lastRenderedPageBreak/>
              <w:drawing>
                <wp:inline distT="0" distB="0" distL="0" distR="0" wp14:anchorId="657049E8" wp14:editId="1FD02BD0">
                  <wp:extent cx="2524125" cy="889488"/>
                  <wp:effectExtent l="0" t="0" r="0" b="6350"/>
                  <wp:docPr id="9680697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069708" name=""/>
                          <pic:cNvPicPr/>
                        </pic:nvPicPr>
                        <pic:blipFill>
                          <a:blip r:embed="rId8"/>
                          <a:stretch>
                            <a:fillRect/>
                          </a:stretch>
                        </pic:blipFill>
                        <pic:spPr>
                          <a:xfrm>
                            <a:off x="0" y="0"/>
                            <a:ext cx="2559221" cy="901856"/>
                          </a:xfrm>
                          <a:prstGeom prst="rect">
                            <a:avLst/>
                          </a:prstGeom>
                        </pic:spPr>
                      </pic:pic>
                    </a:graphicData>
                  </a:graphic>
                </wp:inline>
              </w:drawing>
            </w:r>
          </w:p>
          <w:p w14:paraId="43741D9A" w14:textId="77777777" w:rsidR="008605E0" w:rsidRDefault="008605E0" w:rsidP="008605E0">
            <w:pPr>
              <w:rPr>
                <w:rFonts w:ascii="Calibri Light" w:eastAsia="Calibri" w:hAnsi="Calibri Light" w:cs="Calibri Light"/>
                <w:sz w:val="20"/>
                <w:szCs w:val="20"/>
              </w:rPr>
            </w:pPr>
          </w:p>
          <w:tbl>
            <w:tblPr>
              <w:tblStyle w:val="Tablaconcuadrcula"/>
              <w:tblW w:w="5000" w:type="pct"/>
              <w:tblLayout w:type="fixed"/>
              <w:tblLook w:val="04A0" w:firstRow="1" w:lastRow="0" w:firstColumn="1" w:lastColumn="0" w:noHBand="0" w:noVBand="1"/>
            </w:tblPr>
            <w:tblGrid>
              <w:gridCol w:w="1627"/>
              <w:gridCol w:w="4105"/>
            </w:tblGrid>
            <w:tr w:rsidR="008605E0" w14:paraId="25C71521" w14:textId="77777777" w:rsidTr="001D5424">
              <w:tc>
                <w:tcPr>
                  <w:tcW w:w="5000" w:type="pct"/>
                  <w:gridSpan w:val="2"/>
                  <w:vAlign w:val="center"/>
                </w:tcPr>
                <w:p w14:paraId="58A071B0" w14:textId="77777777" w:rsidR="008605E0" w:rsidRPr="00440FE6" w:rsidRDefault="008605E0" w:rsidP="008605E0">
                  <w:pPr>
                    <w:jc w:val="center"/>
                    <w:rPr>
                      <w:rFonts w:ascii="Calibri Light" w:eastAsia="Calibri" w:hAnsi="Calibri Light" w:cs="Calibri Light"/>
                      <w:color w:val="0070C0"/>
                      <w:sz w:val="18"/>
                      <w:szCs w:val="18"/>
                    </w:rPr>
                  </w:pPr>
                  <w:r w:rsidRPr="00440FE6">
                    <w:rPr>
                      <w:rFonts w:ascii="Calibri Light" w:eastAsia="Calibri" w:hAnsi="Calibri Light" w:cs="Calibri Light"/>
                      <w:color w:val="0070C0"/>
                      <w:sz w:val="18"/>
                      <w:szCs w:val="18"/>
                    </w:rPr>
                    <w:t xml:space="preserve">Plazos Máximos de Reparación </w:t>
                  </w:r>
                  <w:r>
                    <w:rPr>
                      <w:rFonts w:ascii="Calibri Light" w:eastAsia="Calibri" w:hAnsi="Calibri Light" w:cs="Calibri Light"/>
                      <w:color w:val="0070C0"/>
                      <w:sz w:val="18"/>
                      <w:szCs w:val="18"/>
                    </w:rPr>
                    <w:t>TDM</w:t>
                  </w:r>
                </w:p>
                <w:p w14:paraId="1E36577D" w14:textId="77777777" w:rsidR="008605E0" w:rsidRPr="00440FE6" w:rsidRDefault="008605E0" w:rsidP="008605E0">
                  <w:pPr>
                    <w:jc w:val="center"/>
                    <w:rPr>
                      <w:rFonts w:ascii="Calibri Light" w:eastAsia="Calibri" w:hAnsi="Calibri Light" w:cs="Calibri Light"/>
                      <w:color w:val="0070C0"/>
                      <w:sz w:val="18"/>
                      <w:szCs w:val="18"/>
                    </w:rPr>
                  </w:pPr>
                  <w:r w:rsidRPr="00440FE6">
                    <w:rPr>
                      <w:rFonts w:ascii="Calibri Light" w:eastAsia="Calibri" w:hAnsi="Calibri Light" w:cs="Calibri Light"/>
                      <w:color w:val="0070C0"/>
                      <w:sz w:val="18"/>
                      <w:szCs w:val="18"/>
                    </w:rPr>
                    <w:t>Para Enlaces Dedicados</w:t>
                  </w:r>
                </w:p>
              </w:tc>
            </w:tr>
            <w:tr w:rsidR="000C2B69" w14:paraId="4918041F" w14:textId="77777777" w:rsidTr="001D5424">
              <w:trPr>
                <w:trHeight w:val="128"/>
              </w:trPr>
              <w:tc>
                <w:tcPr>
                  <w:tcW w:w="1419" w:type="pct"/>
                  <w:vAlign w:val="center"/>
                </w:tcPr>
                <w:p w14:paraId="3EF0F143" w14:textId="77777777" w:rsidR="000C2B69" w:rsidRDefault="000C2B69" w:rsidP="000C2B69">
                  <w:pPr>
                    <w:jc w:val="center"/>
                    <w:rPr>
                      <w:rFonts w:ascii="Calibri Light" w:eastAsia="Calibri" w:hAnsi="Calibri Light" w:cs="Calibri Light"/>
                      <w:color w:val="0070C0"/>
                      <w:sz w:val="18"/>
                      <w:szCs w:val="18"/>
                    </w:rPr>
                  </w:pPr>
                  <w:r w:rsidRPr="00440FE6">
                    <w:rPr>
                      <w:rFonts w:ascii="Calibri Light" w:eastAsia="Calibri" w:hAnsi="Calibri Light" w:cs="Calibri Light"/>
                      <w:color w:val="0070C0"/>
                      <w:sz w:val="18"/>
                      <w:szCs w:val="18"/>
                    </w:rPr>
                    <w:t>Tipo de incidencia</w:t>
                  </w:r>
                  <w:r>
                    <w:rPr>
                      <w:rFonts w:ascii="Calibri Light" w:eastAsia="Calibri" w:hAnsi="Calibri Light" w:cs="Calibri Light"/>
                      <w:color w:val="0070C0"/>
                      <w:sz w:val="18"/>
                      <w:szCs w:val="18"/>
                    </w:rPr>
                    <w:t>:</w:t>
                  </w:r>
                </w:p>
                <w:p w14:paraId="28DDFBD6" w14:textId="1109C5AB" w:rsidR="000C2B69" w:rsidRDefault="000C2B69" w:rsidP="000C2B69">
                  <w:pPr>
                    <w:jc w:val="center"/>
                    <w:rPr>
                      <w:rFonts w:ascii="Calibri Light" w:eastAsia="Calibri" w:hAnsi="Calibri Light" w:cs="Calibri Light"/>
                      <w:color w:val="0070C0"/>
                      <w:sz w:val="18"/>
                      <w:szCs w:val="18"/>
                    </w:rPr>
                  </w:pPr>
                  <w:r w:rsidRPr="00440FE6">
                    <w:rPr>
                      <w:rFonts w:ascii="Calibri Light" w:eastAsia="Calibri" w:hAnsi="Calibri Light" w:cs="Calibri Light"/>
                      <w:color w:val="0070C0"/>
                      <w:sz w:val="18"/>
                      <w:szCs w:val="18"/>
                    </w:rPr>
                    <w:t>Prioridad 1</w:t>
                  </w:r>
                </w:p>
                <w:p w14:paraId="67131ACE" w14:textId="77777777" w:rsidR="000C2B69" w:rsidRDefault="000C2B69" w:rsidP="000C2B69">
                  <w:pPr>
                    <w:jc w:val="center"/>
                    <w:rPr>
                      <w:rFonts w:ascii="Calibri Light" w:eastAsia="Calibri" w:hAnsi="Calibri Light" w:cs="Calibri Light"/>
                      <w:color w:val="0070C0"/>
                      <w:sz w:val="18"/>
                      <w:szCs w:val="18"/>
                    </w:rPr>
                  </w:pPr>
                  <w:r w:rsidRPr="00440FE6">
                    <w:rPr>
                      <w:rFonts w:ascii="Calibri Light" w:eastAsia="Calibri" w:hAnsi="Calibri Light" w:cs="Calibri Light"/>
                      <w:color w:val="0070C0"/>
                      <w:sz w:val="18"/>
                      <w:szCs w:val="18"/>
                    </w:rPr>
                    <w:t>Prioridad 2</w:t>
                  </w:r>
                </w:p>
                <w:p w14:paraId="618247BC" w14:textId="62F83769" w:rsidR="000C2B69" w:rsidRPr="00440FE6" w:rsidRDefault="000C2B69" w:rsidP="000C2B69">
                  <w:pPr>
                    <w:jc w:val="center"/>
                    <w:rPr>
                      <w:rFonts w:ascii="Calibri Light" w:eastAsia="Calibri" w:hAnsi="Calibri Light" w:cs="Calibri Light"/>
                      <w:color w:val="0070C0"/>
                      <w:sz w:val="18"/>
                      <w:szCs w:val="18"/>
                    </w:rPr>
                  </w:pPr>
                  <w:r w:rsidRPr="00440FE6">
                    <w:rPr>
                      <w:rFonts w:ascii="Calibri Light" w:eastAsia="Calibri" w:hAnsi="Calibri Light" w:cs="Calibri Light"/>
                      <w:color w:val="0070C0"/>
                      <w:sz w:val="18"/>
                      <w:szCs w:val="18"/>
                    </w:rPr>
                    <w:t>Prioridad 3</w:t>
                  </w:r>
                </w:p>
              </w:tc>
              <w:tc>
                <w:tcPr>
                  <w:tcW w:w="3581" w:type="pct"/>
                  <w:vAlign w:val="center"/>
                </w:tcPr>
                <w:p w14:paraId="64EBE75F" w14:textId="5E453D8E" w:rsidR="000C2B69" w:rsidRPr="00440FE6" w:rsidRDefault="000C2B69" w:rsidP="008605E0">
                  <w:pPr>
                    <w:jc w:val="center"/>
                    <w:rPr>
                      <w:rFonts w:ascii="Calibri Light" w:eastAsia="Calibri" w:hAnsi="Calibri Light" w:cs="Calibri Light"/>
                      <w:color w:val="0070C0"/>
                      <w:sz w:val="18"/>
                      <w:szCs w:val="18"/>
                    </w:rPr>
                  </w:pPr>
                  <w:r w:rsidRPr="000304FB">
                    <w:rPr>
                      <w:rFonts w:ascii="Calibri Light" w:eastAsia="Calibri" w:hAnsi="Calibri Light" w:cs="Calibri Light"/>
                      <w:color w:val="0070C0"/>
                      <w:sz w:val="16"/>
                      <w:szCs w:val="16"/>
                    </w:rPr>
                    <w:t>Como consecuencia de la obsolescencia tecnológica mundial de TDM, fin de soporte técnico, falta de refacciones y suministro de equipos, no es posible calcular un plazo máximo de reparación, ni garantizar parámetros de disponibilidad. Por lo que los plazos de reparación para los Enlaces Dedicados con tecnología TDM se atenderán bajo el concepto de “</w:t>
                  </w:r>
                  <w:proofErr w:type="spellStart"/>
                  <w:r w:rsidRPr="000304FB">
                    <w:rPr>
                      <w:rFonts w:ascii="Calibri Light" w:eastAsia="Calibri" w:hAnsi="Calibri Light" w:cs="Calibri Light"/>
                      <w:color w:val="0070C0"/>
                      <w:sz w:val="16"/>
                      <w:szCs w:val="16"/>
                    </w:rPr>
                    <w:t>Best</w:t>
                  </w:r>
                  <w:proofErr w:type="spellEnd"/>
                  <w:r w:rsidRPr="000304FB">
                    <w:rPr>
                      <w:rFonts w:ascii="Calibri Light" w:eastAsia="Calibri" w:hAnsi="Calibri Light" w:cs="Calibri Light"/>
                      <w:color w:val="0070C0"/>
                      <w:sz w:val="16"/>
                      <w:szCs w:val="16"/>
                    </w:rPr>
                    <w:t xml:space="preserve"> </w:t>
                  </w:r>
                  <w:proofErr w:type="spellStart"/>
                  <w:r w:rsidRPr="000304FB">
                    <w:rPr>
                      <w:rFonts w:ascii="Calibri Light" w:eastAsia="Calibri" w:hAnsi="Calibri Light" w:cs="Calibri Light"/>
                      <w:color w:val="0070C0"/>
                      <w:sz w:val="16"/>
                      <w:szCs w:val="16"/>
                    </w:rPr>
                    <w:t>Effort</w:t>
                  </w:r>
                  <w:proofErr w:type="spellEnd"/>
                  <w:r w:rsidRPr="000304FB">
                    <w:rPr>
                      <w:rFonts w:ascii="Calibri Light" w:eastAsia="Calibri" w:hAnsi="Calibri Light" w:cs="Calibri Light"/>
                      <w:color w:val="0070C0"/>
                      <w:sz w:val="16"/>
                      <w:szCs w:val="16"/>
                    </w:rPr>
                    <w:t>” (Mejor Esfuerzo).</w:t>
                  </w:r>
                </w:p>
              </w:tc>
            </w:tr>
          </w:tbl>
          <w:p w14:paraId="550774AE" w14:textId="77777777" w:rsidR="00E72F3C" w:rsidRDefault="00E72F3C" w:rsidP="004D25D9">
            <w:pPr>
              <w:jc w:val="center"/>
              <w:rPr>
                <w:rFonts w:ascii="Calibri Light" w:eastAsia="Calibri" w:hAnsi="Calibri Light" w:cs="Calibri Light"/>
                <w:sz w:val="20"/>
                <w:szCs w:val="20"/>
              </w:rPr>
            </w:pPr>
          </w:p>
          <w:tbl>
            <w:tblPr>
              <w:tblStyle w:val="Tablaconcuadrcula"/>
              <w:tblW w:w="0" w:type="auto"/>
              <w:tblLayout w:type="fixed"/>
              <w:tblLook w:val="04A0" w:firstRow="1" w:lastRow="0" w:firstColumn="1" w:lastColumn="0" w:noHBand="0" w:noVBand="1"/>
            </w:tblPr>
            <w:tblGrid>
              <w:gridCol w:w="1735"/>
              <w:gridCol w:w="1341"/>
              <w:gridCol w:w="1538"/>
              <w:gridCol w:w="1539"/>
            </w:tblGrid>
            <w:tr w:rsidR="00440FE6" w14:paraId="3965D011" w14:textId="77777777" w:rsidTr="001D5424">
              <w:tc>
                <w:tcPr>
                  <w:tcW w:w="6153" w:type="dxa"/>
                  <w:gridSpan w:val="4"/>
                  <w:vAlign w:val="center"/>
                </w:tcPr>
                <w:p w14:paraId="1A141061" w14:textId="77777777" w:rsidR="00440FE6" w:rsidRPr="00440FE6" w:rsidRDefault="00440FE6" w:rsidP="00440FE6">
                  <w:pPr>
                    <w:jc w:val="center"/>
                    <w:rPr>
                      <w:rFonts w:ascii="Calibri Light" w:eastAsia="Calibri" w:hAnsi="Calibri Light" w:cs="Calibri Light"/>
                      <w:color w:val="0070C0"/>
                      <w:sz w:val="18"/>
                      <w:szCs w:val="18"/>
                    </w:rPr>
                  </w:pPr>
                  <w:r w:rsidRPr="00440FE6">
                    <w:rPr>
                      <w:rFonts w:ascii="Calibri Light" w:eastAsia="Calibri" w:hAnsi="Calibri Light" w:cs="Calibri Light"/>
                      <w:color w:val="0070C0"/>
                      <w:sz w:val="18"/>
                      <w:szCs w:val="18"/>
                    </w:rPr>
                    <w:t>Plazos Máximos de Reparación Ethernet</w:t>
                  </w:r>
                </w:p>
                <w:p w14:paraId="0EC51290" w14:textId="77777777" w:rsidR="00440FE6" w:rsidRPr="00440FE6" w:rsidRDefault="00440FE6" w:rsidP="00440FE6">
                  <w:pPr>
                    <w:jc w:val="center"/>
                    <w:rPr>
                      <w:rFonts w:ascii="Calibri Light" w:eastAsia="Calibri" w:hAnsi="Calibri Light" w:cs="Calibri Light"/>
                      <w:color w:val="0070C0"/>
                      <w:sz w:val="18"/>
                      <w:szCs w:val="18"/>
                    </w:rPr>
                  </w:pPr>
                  <w:r w:rsidRPr="00440FE6">
                    <w:rPr>
                      <w:rFonts w:ascii="Calibri Light" w:eastAsia="Calibri" w:hAnsi="Calibri Light" w:cs="Calibri Light"/>
                      <w:color w:val="0070C0"/>
                      <w:sz w:val="18"/>
                      <w:szCs w:val="18"/>
                    </w:rPr>
                    <w:t>Para Enlaces Dedicados</w:t>
                  </w:r>
                </w:p>
              </w:tc>
            </w:tr>
            <w:tr w:rsidR="00440FE6" w14:paraId="26CB822B" w14:textId="77777777" w:rsidTr="001D5424">
              <w:tc>
                <w:tcPr>
                  <w:tcW w:w="1735" w:type="dxa"/>
                  <w:vAlign w:val="center"/>
                </w:tcPr>
                <w:p w14:paraId="11EBE708" w14:textId="77777777" w:rsidR="00440FE6" w:rsidRPr="00440FE6" w:rsidRDefault="00440FE6" w:rsidP="00440FE6">
                  <w:pPr>
                    <w:jc w:val="center"/>
                    <w:rPr>
                      <w:rFonts w:ascii="Calibri Light" w:eastAsia="Calibri" w:hAnsi="Calibri Light" w:cs="Calibri Light"/>
                      <w:color w:val="0070C0"/>
                      <w:sz w:val="18"/>
                      <w:szCs w:val="18"/>
                    </w:rPr>
                  </w:pPr>
                  <w:r w:rsidRPr="00440FE6">
                    <w:rPr>
                      <w:rFonts w:ascii="Calibri Light" w:eastAsia="Calibri" w:hAnsi="Calibri Light" w:cs="Calibri Light"/>
                      <w:color w:val="0070C0"/>
                      <w:sz w:val="18"/>
                      <w:szCs w:val="18"/>
                    </w:rPr>
                    <w:t>Tipo de incidencia</w:t>
                  </w:r>
                </w:p>
              </w:tc>
              <w:tc>
                <w:tcPr>
                  <w:tcW w:w="1341" w:type="dxa"/>
                  <w:vAlign w:val="center"/>
                </w:tcPr>
                <w:p w14:paraId="220AE2FE" w14:textId="4A4F6F52" w:rsidR="00440FE6" w:rsidRPr="00440FE6" w:rsidRDefault="0039017C" w:rsidP="00440FE6">
                  <w:pPr>
                    <w:jc w:val="center"/>
                    <w:rPr>
                      <w:rFonts w:ascii="Calibri Light" w:eastAsia="Calibri" w:hAnsi="Calibri Light" w:cs="Calibri Light"/>
                      <w:color w:val="0070C0"/>
                      <w:sz w:val="18"/>
                      <w:szCs w:val="18"/>
                    </w:rPr>
                  </w:pPr>
                  <w:r>
                    <w:rPr>
                      <w:rFonts w:ascii="Calibri Light" w:eastAsia="Calibri" w:hAnsi="Calibri Light" w:cs="Calibri Light"/>
                      <w:color w:val="0070C0"/>
                      <w:sz w:val="18"/>
                      <w:szCs w:val="18"/>
                    </w:rPr>
                    <w:t xml:space="preserve">El </w:t>
                  </w:r>
                  <w:r w:rsidR="00DE7AD9">
                    <w:rPr>
                      <w:rFonts w:ascii="Calibri Light" w:eastAsia="Calibri" w:hAnsi="Calibri Light" w:cs="Calibri Light"/>
                      <w:color w:val="0070C0"/>
                      <w:sz w:val="18"/>
                      <w:szCs w:val="18"/>
                    </w:rPr>
                    <w:t>3</w:t>
                  </w:r>
                  <w:r w:rsidR="00440FE6" w:rsidRPr="00440FE6">
                    <w:rPr>
                      <w:rFonts w:ascii="Calibri Light" w:eastAsia="Calibri" w:hAnsi="Calibri Light" w:cs="Calibri Light"/>
                      <w:color w:val="0070C0"/>
                      <w:sz w:val="18"/>
                      <w:szCs w:val="18"/>
                    </w:rPr>
                    <w:t>0%</w:t>
                  </w:r>
                </w:p>
              </w:tc>
              <w:tc>
                <w:tcPr>
                  <w:tcW w:w="1538" w:type="dxa"/>
                  <w:vAlign w:val="center"/>
                </w:tcPr>
                <w:p w14:paraId="16B2EFE2" w14:textId="249F54F5" w:rsidR="00440FE6" w:rsidRPr="00440FE6" w:rsidRDefault="0039017C" w:rsidP="00440FE6">
                  <w:pPr>
                    <w:jc w:val="center"/>
                    <w:rPr>
                      <w:rFonts w:ascii="Calibri Light" w:eastAsia="Calibri" w:hAnsi="Calibri Light" w:cs="Calibri Light"/>
                      <w:color w:val="0070C0"/>
                      <w:sz w:val="18"/>
                      <w:szCs w:val="18"/>
                    </w:rPr>
                  </w:pPr>
                  <w:r>
                    <w:rPr>
                      <w:rFonts w:ascii="Calibri Light" w:eastAsia="Calibri" w:hAnsi="Calibri Light" w:cs="Calibri Light"/>
                      <w:color w:val="0070C0"/>
                      <w:sz w:val="18"/>
                      <w:szCs w:val="18"/>
                    </w:rPr>
                    <w:t xml:space="preserve">El </w:t>
                  </w:r>
                  <w:r w:rsidR="00DE7AD9">
                    <w:rPr>
                      <w:rFonts w:ascii="Calibri Light" w:eastAsia="Calibri" w:hAnsi="Calibri Light" w:cs="Calibri Light"/>
                      <w:color w:val="0070C0"/>
                      <w:sz w:val="18"/>
                      <w:szCs w:val="18"/>
                    </w:rPr>
                    <w:t>50%</w:t>
                  </w:r>
                </w:p>
              </w:tc>
              <w:tc>
                <w:tcPr>
                  <w:tcW w:w="1539" w:type="dxa"/>
                  <w:vAlign w:val="center"/>
                </w:tcPr>
                <w:p w14:paraId="69A9811F" w14:textId="5EA8AD04" w:rsidR="00440FE6" w:rsidRPr="00440FE6" w:rsidRDefault="0039017C" w:rsidP="00440FE6">
                  <w:pPr>
                    <w:jc w:val="center"/>
                    <w:rPr>
                      <w:rFonts w:ascii="Calibri Light" w:eastAsia="Calibri" w:hAnsi="Calibri Light" w:cs="Calibri Light"/>
                      <w:color w:val="0070C0"/>
                      <w:sz w:val="18"/>
                      <w:szCs w:val="18"/>
                    </w:rPr>
                  </w:pPr>
                  <w:r>
                    <w:rPr>
                      <w:rFonts w:ascii="Calibri Light" w:eastAsia="Calibri" w:hAnsi="Calibri Light" w:cs="Calibri Light"/>
                      <w:color w:val="0070C0"/>
                      <w:sz w:val="18"/>
                      <w:szCs w:val="18"/>
                    </w:rPr>
                    <w:t xml:space="preserve">El </w:t>
                  </w:r>
                  <w:r w:rsidR="00DE7AD9">
                    <w:rPr>
                      <w:rFonts w:ascii="Calibri Light" w:eastAsia="Calibri" w:hAnsi="Calibri Light" w:cs="Calibri Light"/>
                      <w:color w:val="0070C0"/>
                      <w:sz w:val="18"/>
                      <w:szCs w:val="18"/>
                    </w:rPr>
                    <w:t>90%</w:t>
                  </w:r>
                </w:p>
              </w:tc>
            </w:tr>
            <w:tr w:rsidR="00440FE6" w14:paraId="7DDC158B" w14:textId="77777777" w:rsidTr="001D5424">
              <w:tc>
                <w:tcPr>
                  <w:tcW w:w="1735" w:type="dxa"/>
                  <w:vAlign w:val="center"/>
                </w:tcPr>
                <w:p w14:paraId="684D616B" w14:textId="77777777" w:rsidR="00440FE6" w:rsidRPr="00440FE6" w:rsidRDefault="00440FE6" w:rsidP="00440FE6">
                  <w:pPr>
                    <w:jc w:val="center"/>
                    <w:rPr>
                      <w:rFonts w:ascii="Calibri Light" w:eastAsia="Calibri" w:hAnsi="Calibri Light" w:cs="Calibri Light"/>
                      <w:color w:val="0070C0"/>
                      <w:sz w:val="18"/>
                      <w:szCs w:val="18"/>
                    </w:rPr>
                  </w:pPr>
                  <w:r w:rsidRPr="00440FE6">
                    <w:rPr>
                      <w:rFonts w:ascii="Calibri Light" w:eastAsia="Calibri" w:hAnsi="Calibri Light" w:cs="Calibri Light"/>
                      <w:color w:val="0070C0"/>
                      <w:sz w:val="18"/>
                      <w:szCs w:val="18"/>
                    </w:rPr>
                    <w:t>Prioridad 1</w:t>
                  </w:r>
                </w:p>
              </w:tc>
              <w:tc>
                <w:tcPr>
                  <w:tcW w:w="1341" w:type="dxa"/>
                  <w:vAlign w:val="center"/>
                </w:tcPr>
                <w:p w14:paraId="7B9F2FBE" w14:textId="77777777" w:rsidR="00440FE6" w:rsidRPr="00440FE6" w:rsidRDefault="00440FE6" w:rsidP="00440FE6">
                  <w:pPr>
                    <w:jc w:val="center"/>
                    <w:rPr>
                      <w:rFonts w:ascii="Calibri Light" w:eastAsia="Calibri" w:hAnsi="Calibri Light" w:cs="Calibri Light"/>
                      <w:color w:val="0070C0"/>
                      <w:sz w:val="18"/>
                      <w:szCs w:val="18"/>
                    </w:rPr>
                  </w:pPr>
                  <w:r w:rsidRPr="00440FE6">
                    <w:rPr>
                      <w:rFonts w:ascii="Calibri Light" w:eastAsia="Calibri" w:hAnsi="Calibri Light" w:cs="Calibri Light"/>
                      <w:color w:val="0070C0"/>
                      <w:sz w:val="18"/>
                      <w:szCs w:val="18"/>
                    </w:rPr>
                    <w:t>6 horas</w:t>
                  </w:r>
                </w:p>
              </w:tc>
              <w:tc>
                <w:tcPr>
                  <w:tcW w:w="1538" w:type="dxa"/>
                  <w:vAlign w:val="center"/>
                </w:tcPr>
                <w:p w14:paraId="24F77F1E" w14:textId="2D7D057F" w:rsidR="00440FE6" w:rsidRPr="00440FE6" w:rsidRDefault="00DE7AD9" w:rsidP="00440FE6">
                  <w:pPr>
                    <w:jc w:val="center"/>
                    <w:rPr>
                      <w:rFonts w:ascii="Calibri Light" w:eastAsia="Calibri" w:hAnsi="Calibri Light" w:cs="Calibri Light"/>
                      <w:color w:val="0070C0"/>
                      <w:sz w:val="18"/>
                      <w:szCs w:val="18"/>
                    </w:rPr>
                  </w:pPr>
                  <w:r>
                    <w:rPr>
                      <w:rFonts w:ascii="Calibri Light" w:eastAsia="Calibri" w:hAnsi="Calibri Light" w:cs="Calibri Light"/>
                      <w:color w:val="0070C0"/>
                      <w:sz w:val="18"/>
                      <w:szCs w:val="18"/>
                    </w:rPr>
                    <w:t>8</w:t>
                  </w:r>
                  <w:r w:rsidR="00440FE6" w:rsidRPr="00440FE6">
                    <w:rPr>
                      <w:rFonts w:ascii="Calibri Light" w:eastAsia="Calibri" w:hAnsi="Calibri Light" w:cs="Calibri Light"/>
                      <w:color w:val="0070C0"/>
                      <w:sz w:val="18"/>
                      <w:szCs w:val="18"/>
                    </w:rPr>
                    <w:t xml:space="preserve"> horas</w:t>
                  </w:r>
                </w:p>
              </w:tc>
              <w:tc>
                <w:tcPr>
                  <w:tcW w:w="1539" w:type="dxa"/>
                  <w:vAlign w:val="center"/>
                </w:tcPr>
                <w:p w14:paraId="45D45560" w14:textId="6C1BBFA0" w:rsidR="00440FE6" w:rsidRPr="00440FE6" w:rsidRDefault="00440FE6" w:rsidP="00440FE6">
                  <w:pPr>
                    <w:jc w:val="center"/>
                    <w:rPr>
                      <w:rFonts w:ascii="Calibri Light" w:eastAsia="Calibri" w:hAnsi="Calibri Light" w:cs="Calibri Light"/>
                      <w:color w:val="0070C0"/>
                      <w:sz w:val="18"/>
                      <w:szCs w:val="18"/>
                    </w:rPr>
                  </w:pPr>
                  <w:r w:rsidRPr="00440FE6">
                    <w:rPr>
                      <w:rFonts w:ascii="Calibri Light" w:eastAsia="Calibri" w:hAnsi="Calibri Light" w:cs="Calibri Light"/>
                      <w:color w:val="0070C0"/>
                      <w:sz w:val="18"/>
                      <w:szCs w:val="18"/>
                    </w:rPr>
                    <w:t>1</w:t>
                  </w:r>
                  <w:r w:rsidR="00DE7AD9">
                    <w:rPr>
                      <w:rFonts w:ascii="Calibri Light" w:eastAsia="Calibri" w:hAnsi="Calibri Light" w:cs="Calibri Light"/>
                      <w:color w:val="0070C0"/>
                      <w:sz w:val="18"/>
                      <w:szCs w:val="18"/>
                    </w:rPr>
                    <w:t>0</w:t>
                  </w:r>
                  <w:r w:rsidRPr="00440FE6">
                    <w:rPr>
                      <w:rFonts w:ascii="Calibri Light" w:eastAsia="Calibri" w:hAnsi="Calibri Light" w:cs="Calibri Light"/>
                      <w:color w:val="0070C0"/>
                      <w:sz w:val="18"/>
                      <w:szCs w:val="18"/>
                    </w:rPr>
                    <w:t xml:space="preserve"> horas</w:t>
                  </w:r>
                </w:p>
              </w:tc>
            </w:tr>
            <w:tr w:rsidR="00440FE6" w14:paraId="4F62F8A9" w14:textId="77777777" w:rsidTr="001D5424">
              <w:tc>
                <w:tcPr>
                  <w:tcW w:w="1735" w:type="dxa"/>
                  <w:vAlign w:val="center"/>
                </w:tcPr>
                <w:p w14:paraId="7F33753F" w14:textId="77777777" w:rsidR="00440FE6" w:rsidRPr="00440FE6" w:rsidRDefault="00440FE6" w:rsidP="00440FE6">
                  <w:pPr>
                    <w:jc w:val="center"/>
                    <w:rPr>
                      <w:rFonts w:ascii="Calibri Light" w:eastAsia="Calibri" w:hAnsi="Calibri Light" w:cs="Calibri Light"/>
                      <w:color w:val="0070C0"/>
                      <w:sz w:val="18"/>
                      <w:szCs w:val="18"/>
                    </w:rPr>
                  </w:pPr>
                  <w:r w:rsidRPr="00440FE6">
                    <w:rPr>
                      <w:rFonts w:ascii="Calibri Light" w:eastAsia="Calibri" w:hAnsi="Calibri Light" w:cs="Calibri Light"/>
                      <w:color w:val="0070C0"/>
                      <w:sz w:val="18"/>
                      <w:szCs w:val="18"/>
                    </w:rPr>
                    <w:t>Prioridad 2</w:t>
                  </w:r>
                </w:p>
              </w:tc>
              <w:tc>
                <w:tcPr>
                  <w:tcW w:w="1341" w:type="dxa"/>
                  <w:vAlign w:val="center"/>
                </w:tcPr>
                <w:p w14:paraId="7425E68C" w14:textId="090E9CD8" w:rsidR="00440FE6" w:rsidRPr="00440FE6" w:rsidRDefault="00DE7AD9" w:rsidP="00440FE6">
                  <w:pPr>
                    <w:jc w:val="center"/>
                    <w:rPr>
                      <w:rFonts w:ascii="Calibri Light" w:eastAsia="Calibri" w:hAnsi="Calibri Light" w:cs="Calibri Light"/>
                      <w:color w:val="0070C0"/>
                      <w:sz w:val="18"/>
                      <w:szCs w:val="18"/>
                    </w:rPr>
                  </w:pPr>
                  <w:r>
                    <w:rPr>
                      <w:rFonts w:ascii="Calibri Light" w:eastAsia="Calibri" w:hAnsi="Calibri Light" w:cs="Calibri Light"/>
                      <w:color w:val="0070C0"/>
                      <w:sz w:val="18"/>
                      <w:szCs w:val="18"/>
                    </w:rPr>
                    <w:t>(No aplica)</w:t>
                  </w:r>
                </w:p>
              </w:tc>
              <w:tc>
                <w:tcPr>
                  <w:tcW w:w="1538" w:type="dxa"/>
                  <w:vAlign w:val="center"/>
                </w:tcPr>
                <w:p w14:paraId="6D0A8204" w14:textId="77777777" w:rsidR="00440FE6" w:rsidRPr="00440FE6" w:rsidRDefault="00440FE6" w:rsidP="00440FE6">
                  <w:pPr>
                    <w:jc w:val="center"/>
                    <w:rPr>
                      <w:rFonts w:ascii="Calibri Light" w:eastAsia="Calibri" w:hAnsi="Calibri Light" w:cs="Calibri Light"/>
                      <w:color w:val="0070C0"/>
                      <w:sz w:val="18"/>
                      <w:szCs w:val="18"/>
                    </w:rPr>
                  </w:pPr>
                  <w:r w:rsidRPr="00440FE6">
                    <w:rPr>
                      <w:rFonts w:ascii="Calibri Light" w:eastAsia="Calibri" w:hAnsi="Calibri Light" w:cs="Calibri Light"/>
                      <w:color w:val="0070C0"/>
                      <w:sz w:val="18"/>
                      <w:szCs w:val="18"/>
                    </w:rPr>
                    <w:t>12 horas</w:t>
                  </w:r>
                </w:p>
              </w:tc>
              <w:tc>
                <w:tcPr>
                  <w:tcW w:w="1539" w:type="dxa"/>
                  <w:vAlign w:val="center"/>
                </w:tcPr>
                <w:p w14:paraId="472AC8B7" w14:textId="750F93F3" w:rsidR="00440FE6" w:rsidRPr="00440FE6" w:rsidRDefault="00DE7AD9" w:rsidP="00440FE6">
                  <w:pPr>
                    <w:jc w:val="center"/>
                    <w:rPr>
                      <w:rFonts w:ascii="Calibri Light" w:eastAsia="Calibri" w:hAnsi="Calibri Light" w:cs="Calibri Light"/>
                      <w:color w:val="0070C0"/>
                      <w:sz w:val="18"/>
                      <w:szCs w:val="18"/>
                    </w:rPr>
                  </w:pPr>
                  <w:r>
                    <w:rPr>
                      <w:rFonts w:ascii="Calibri Light" w:eastAsia="Calibri" w:hAnsi="Calibri Light" w:cs="Calibri Light"/>
                      <w:color w:val="0070C0"/>
                      <w:sz w:val="18"/>
                      <w:szCs w:val="18"/>
                    </w:rPr>
                    <w:t>24</w:t>
                  </w:r>
                  <w:r w:rsidR="00440FE6" w:rsidRPr="00440FE6">
                    <w:rPr>
                      <w:rFonts w:ascii="Calibri Light" w:eastAsia="Calibri" w:hAnsi="Calibri Light" w:cs="Calibri Light"/>
                      <w:color w:val="0070C0"/>
                      <w:sz w:val="18"/>
                      <w:szCs w:val="18"/>
                    </w:rPr>
                    <w:t xml:space="preserve"> horas</w:t>
                  </w:r>
                </w:p>
              </w:tc>
            </w:tr>
            <w:tr w:rsidR="00440FE6" w14:paraId="57D2E002" w14:textId="77777777" w:rsidTr="001D5424">
              <w:tc>
                <w:tcPr>
                  <w:tcW w:w="1735" w:type="dxa"/>
                  <w:vAlign w:val="center"/>
                </w:tcPr>
                <w:p w14:paraId="22EA3F9E" w14:textId="77777777" w:rsidR="00440FE6" w:rsidRPr="00440FE6" w:rsidRDefault="00440FE6" w:rsidP="00440FE6">
                  <w:pPr>
                    <w:jc w:val="center"/>
                    <w:rPr>
                      <w:rFonts w:ascii="Calibri Light" w:eastAsia="Calibri" w:hAnsi="Calibri Light" w:cs="Calibri Light"/>
                      <w:color w:val="0070C0"/>
                      <w:sz w:val="18"/>
                      <w:szCs w:val="18"/>
                    </w:rPr>
                  </w:pPr>
                  <w:r w:rsidRPr="00440FE6">
                    <w:rPr>
                      <w:rFonts w:ascii="Calibri Light" w:eastAsia="Calibri" w:hAnsi="Calibri Light" w:cs="Calibri Light"/>
                      <w:color w:val="0070C0"/>
                      <w:sz w:val="18"/>
                      <w:szCs w:val="18"/>
                    </w:rPr>
                    <w:t>Prioridad 3</w:t>
                  </w:r>
                </w:p>
              </w:tc>
              <w:tc>
                <w:tcPr>
                  <w:tcW w:w="1341" w:type="dxa"/>
                  <w:vAlign w:val="center"/>
                </w:tcPr>
                <w:p w14:paraId="0F974A2C" w14:textId="0DDCCF78" w:rsidR="00440FE6" w:rsidRPr="00440FE6" w:rsidRDefault="00DE7AD9" w:rsidP="00440FE6">
                  <w:pPr>
                    <w:jc w:val="center"/>
                    <w:rPr>
                      <w:rFonts w:ascii="Calibri Light" w:eastAsia="Calibri" w:hAnsi="Calibri Light" w:cs="Calibri Light"/>
                      <w:color w:val="0070C0"/>
                      <w:sz w:val="18"/>
                      <w:szCs w:val="18"/>
                    </w:rPr>
                  </w:pPr>
                  <w:r>
                    <w:rPr>
                      <w:rFonts w:ascii="Calibri Light" w:eastAsia="Calibri" w:hAnsi="Calibri Light" w:cs="Calibri Light"/>
                      <w:color w:val="0070C0"/>
                      <w:sz w:val="18"/>
                      <w:szCs w:val="18"/>
                    </w:rPr>
                    <w:t>(No aplica)</w:t>
                  </w:r>
                </w:p>
              </w:tc>
              <w:tc>
                <w:tcPr>
                  <w:tcW w:w="1538" w:type="dxa"/>
                  <w:vAlign w:val="center"/>
                </w:tcPr>
                <w:p w14:paraId="3A052F2F" w14:textId="10069138" w:rsidR="00440FE6" w:rsidRPr="00440FE6" w:rsidRDefault="00DE7AD9" w:rsidP="00440FE6">
                  <w:pPr>
                    <w:jc w:val="center"/>
                    <w:rPr>
                      <w:rFonts w:ascii="Calibri Light" w:eastAsia="Calibri" w:hAnsi="Calibri Light" w:cs="Calibri Light"/>
                      <w:color w:val="0070C0"/>
                      <w:sz w:val="18"/>
                      <w:szCs w:val="18"/>
                    </w:rPr>
                  </w:pPr>
                  <w:r>
                    <w:rPr>
                      <w:rFonts w:ascii="Calibri Light" w:eastAsia="Calibri" w:hAnsi="Calibri Light" w:cs="Calibri Light"/>
                      <w:color w:val="0070C0"/>
                      <w:sz w:val="18"/>
                      <w:szCs w:val="18"/>
                    </w:rPr>
                    <w:t>(No aplica)</w:t>
                  </w:r>
                </w:p>
              </w:tc>
              <w:tc>
                <w:tcPr>
                  <w:tcW w:w="1539" w:type="dxa"/>
                  <w:vAlign w:val="center"/>
                </w:tcPr>
                <w:p w14:paraId="73EFF690" w14:textId="01337A72" w:rsidR="00440FE6" w:rsidRPr="00440FE6" w:rsidRDefault="00DE7AD9" w:rsidP="00440FE6">
                  <w:pPr>
                    <w:jc w:val="center"/>
                    <w:rPr>
                      <w:rFonts w:ascii="Calibri Light" w:eastAsia="Calibri" w:hAnsi="Calibri Light" w:cs="Calibri Light"/>
                      <w:color w:val="0070C0"/>
                      <w:sz w:val="18"/>
                      <w:szCs w:val="18"/>
                    </w:rPr>
                  </w:pPr>
                  <w:r>
                    <w:rPr>
                      <w:rFonts w:ascii="Calibri Light" w:eastAsia="Calibri" w:hAnsi="Calibri Light" w:cs="Calibri Light"/>
                      <w:color w:val="0070C0"/>
                      <w:sz w:val="18"/>
                      <w:szCs w:val="18"/>
                    </w:rPr>
                    <w:t>48</w:t>
                  </w:r>
                  <w:r w:rsidR="00440FE6" w:rsidRPr="00440FE6">
                    <w:rPr>
                      <w:rFonts w:ascii="Calibri Light" w:eastAsia="Calibri" w:hAnsi="Calibri Light" w:cs="Calibri Light"/>
                      <w:color w:val="0070C0"/>
                      <w:sz w:val="18"/>
                      <w:szCs w:val="18"/>
                    </w:rPr>
                    <w:t xml:space="preserve"> horas</w:t>
                  </w:r>
                </w:p>
              </w:tc>
            </w:tr>
          </w:tbl>
          <w:p w14:paraId="4FE88391" w14:textId="77777777" w:rsidR="00E72F3C" w:rsidRDefault="00E72F3C" w:rsidP="004D25D9">
            <w:pPr>
              <w:jc w:val="both"/>
              <w:rPr>
                <w:rFonts w:ascii="Calibri Light" w:eastAsia="Calibri" w:hAnsi="Calibri Light" w:cs="Calibri Light"/>
                <w:sz w:val="20"/>
                <w:szCs w:val="20"/>
              </w:rPr>
            </w:pPr>
          </w:p>
          <w:p w14:paraId="31846FE6" w14:textId="77777777" w:rsidR="00563586" w:rsidRDefault="00563586" w:rsidP="004D25D9">
            <w:pPr>
              <w:jc w:val="both"/>
              <w:rPr>
                <w:rFonts w:ascii="Calibri Light" w:eastAsia="Calibri" w:hAnsi="Calibri Light" w:cs="Calibri Light"/>
                <w:sz w:val="20"/>
                <w:szCs w:val="20"/>
              </w:rPr>
            </w:pPr>
          </w:p>
          <w:p w14:paraId="79A243F7" w14:textId="77777777" w:rsidR="00563586" w:rsidRDefault="00563586" w:rsidP="004D25D9">
            <w:pPr>
              <w:jc w:val="both"/>
              <w:rPr>
                <w:rFonts w:ascii="Calibri Light" w:eastAsia="Calibri" w:hAnsi="Calibri Light" w:cs="Calibri Light"/>
                <w:sz w:val="20"/>
                <w:szCs w:val="20"/>
              </w:rPr>
            </w:pPr>
          </w:p>
          <w:p w14:paraId="2DDA008B" w14:textId="77777777" w:rsidR="00563586" w:rsidRDefault="00563586" w:rsidP="004D25D9">
            <w:pPr>
              <w:jc w:val="both"/>
              <w:rPr>
                <w:rFonts w:ascii="Calibri Light" w:eastAsia="Calibri" w:hAnsi="Calibri Light" w:cs="Calibri Light"/>
                <w:sz w:val="20"/>
                <w:szCs w:val="20"/>
              </w:rPr>
            </w:pPr>
          </w:p>
          <w:p w14:paraId="66909F37" w14:textId="77777777" w:rsidR="00563586" w:rsidRDefault="00563586" w:rsidP="004D25D9">
            <w:pPr>
              <w:jc w:val="both"/>
              <w:rPr>
                <w:rFonts w:ascii="Calibri Light" w:eastAsia="Calibri" w:hAnsi="Calibri Light" w:cs="Calibri Light"/>
                <w:sz w:val="20"/>
                <w:szCs w:val="20"/>
              </w:rPr>
            </w:pPr>
          </w:p>
          <w:p w14:paraId="0617A373" w14:textId="77777777" w:rsidR="00563586" w:rsidRDefault="00563586" w:rsidP="004D25D9">
            <w:pPr>
              <w:jc w:val="both"/>
              <w:rPr>
                <w:rFonts w:ascii="Calibri Light" w:eastAsia="Calibri" w:hAnsi="Calibri Light" w:cs="Calibri Light"/>
                <w:sz w:val="20"/>
                <w:szCs w:val="20"/>
              </w:rPr>
            </w:pPr>
          </w:p>
          <w:p w14:paraId="3F987A50" w14:textId="77777777" w:rsidR="00563586" w:rsidRDefault="00563586" w:rsidP="004D25D9">
            <w:pPr>
              <w:jc w:val="both"/>
              <w:rPr>
                <w:rFonts w:ascii="Calibri Light" w:eastAsia="Calibri" w:hAnsi="Calibri Light" w:cs="Calibri Light"/>
                <w:sz w:val="20"/>
                <w:szCs w:val="20"/>
              </w:rPr>
            </w:pPr>
          </w:p>
          <w:p w14:paraId="26FCF789" w14:textId="77777777" w:rsidR="00563586" w:rsidRDefault="00563586" w:rsidP="004D25D9">
            <w:pPr>
              <w:jc w:val="both"/>
              <w:rPr>
                <w:rFonts w:ascii="Calibri Light" w:eastAsia="Calibri" w:hAnsi="Calibri Light" w:cs="Calibri Light"/>
                <w:sz w:val="20"/>
                <w:szCs w:val="20"/>
              </w:rPr>
            </w:pPr>
          </w:p>
          <w:p w14:paraId="0FE31E08" w14:textId="77777777" w:rsidR="00563586" w:rsidRDefault="00563586" w:rsidP="004D25D9">
            <w:pPr>
              <w:jc w:val="both"/>
              <w:rPr>
                <w:rFonts w:ascii="Calibri Light" w:eastAsia="Calibri" w:hAnsi="Calibri Light" w:cs="Calibri Light"/>
                <w:sz w:val="20"/>
                <w:szCs w:val="20"/>
              </w:rPr>
            </w:pPr>
          </w:p>
          <w:p w14:paraId="0987E8F9" w14:textId="77777777" w:rsidR="00563586" w:rsidRDefault="00563586" w:rsidP="004D25D9">
            <w:pPr>
              <w:jc w:val="both"/>
              <w:rPr>
                <w:rFonts w:ascii="Calibri Light" w:eastAsia="Calibri" w:hAnsi="Calibri Light" w:cs="Calibri Light"/>
                <w:sz w:val="20"/>
                <w:szCs w:val="20"/>
              </w:rPr>
            </w:pPr>
          </w:p>
          <w:p w14:paraId="537FF959" w14:textId="77777777" w:rsidR="00563586" w:rsidRDefault="00563586" w:rsidP="004D25D9">
            <w:pPr>
              <w:jc w:val="both"/>
              <w:rPr>
                <w:rFonts w:ascii="Calibri Light" w:eastAsia="Calibri" w:hAnsi="Calibri Light" w:cs="Calibri Light"/>
                <w:sz w:val="20"/>
                <w:szCs w:val="20"/>
              </w:rPr>
            </w:pPr>
          </w:p>
          <w:p w14:paraId="294B2C0B" w14:textId="77777777" w:rsidR="00563586" w:rsidRDefault="00563586" w:rsidP="004D25D9">
            <w:pPr>
              <w:jc w:val="both"/>
              <w:rPr>
                <w:rFonts w:ascii="Calibri Light" w:eastAsia="Calibri" w:hAnsi="Calibri Light" w:cs="Calibri Light"/>
                <w:sz w:val="20"/>
                <w:szCs w:val="20"/>
              </w:rPr>
            </w:pPr>
          </w:p>
          <w:p w14:paraId="54F21C3E" w14:textId="77777777" w:rsidR="00563586" w:rsidRDefault="00563586" w:rsidP="004D25D9">
            <w:pPr>
              <w:jc w:val="both"/>
              <w:rPr>
                <w:rFonts w:ascii="Calibri Light" w:eastAsia="Calibri" w:hAnsi="Calibri Light" w:cs="Calibri Light"/>
                <w:sz w:val="20"/>
                <w:szCs w:val="20"/>
              </w:rPr>
            </w:pPr>
          </w:p>
          <w:p w14:paraId="1122075F" w14:textId="77777777" w:rsidR="00563586" w:rsidRDefault="00563586" w:rsidP="004D25D9">
            <w:pPr>
              <w:jc w:val="both"/>
              <w:rPr>
                <w:rFonts w:ascii="Calibri Light" w:eastAsia="Calibri" w:hAnsi="Calibri Light" w:cs="Calibri Light"/>
                <w:sz w:val="20"/>
                <w:szCs w:val="20"/>
              </w:rPr>
            </w:pPr>
          </w:p>
          <w:p w14:paraId="42D8E53C" w14:textId="77777777" w:rsidR="00563586" w:rsidRDefault="00563586" w:rsidP="004D25D9">
            <w:pPr>
              <w:jc w:val="both"/>
              <w:rPr>
                <w:rFonts w:ascii="Calibri Light" w:eastAsia="Calibri" w:hAnsi="Calibri Light" w:cs="Calibri Light"/>
                <w:sz w:val="20"/>
                <w:szCs w:val="20"/>
              </w:rPr>
            </w:pPr>
          </w:p>
          <w:p w14:paraId="255309CE" w14:textId="77777777" w:rsidR="00563586" w:rsidRDefault="00563586" w:rsidP="004D25D9">
            <w:pPr>
              <w:jc w:val="both"/>
              <w:rPr>
                <w:rFonts w:ascii="Calibri Light" w:eastAsia="Calibri" w:hAnsi="Calibri Light" w:cs="Calibri Light"/>
                <w:sz w:val="20"/>
                <w:szCs w:val="20"/>
              </w:rPr>
            </w:pPr>
          </w:p>
          <w:p w14:paraId="4A242809" w14:textId="77777777" w:rsidR="00563586" w:rsidRDefault="00563586" w:rsidP="004D25D9">
            <w:pPr>
              <w:jc w:val="both"/>
              <w:rPr>
                <w:rFonts w:ascii="Calibri Light" w:eastAsia="Calibri" w:hAnsi="Calibri Light" w:cs="Calibri Light"/>
                <w:sz w:val="20"/>
                <w:szCs w:val="20"/>
              </w:rPr>
            </w:pPr>
          </w:p>
          <w:p w14:paraId="4D23D6E9" w14:textId="77777777" w:rsidR="00563586" w:rsidRDefault="00563586" w:rsidP="004D25D9">
            <w:pPr>
              <w:jc w:val="both"/>
              <w:rPr>
                <w:rFonts w:ascii="Calibri Light" w:eastAsia="Calibri" w:hAnsi="Calibri Light" w:cs="Calibri Light"/>
                <w:sz w:val="20"/>
                <w:szCs w:val="20"/>
              </w:rPr>
            </w:pPr>
          </w:p>
          <w:p w14:paraId="41766EF2" w14:textId="77777777" w:rsidR="00563586" w:rsidRDefault="00563586" w:rsidP="004D25D9">
            <w:pPr>
              <w:jc w:val="both"/>
              <w:rPr>
                <w:rFonts w:ascii="Calibri Light" w:eastAsia="Calibri" w:hAnsi="Calibri Light" w:cs="Calibri Light"/>
                <w:sz w:val="20"/>
                <w:szCs w:val="20"/>
              </w:rPr>
            </w:pPr>
          </w:p>
          <w:p w14:paraId="2C6231B8" w14:textId="77777777" w:rsidR="00563586" w:rsidRDefault="00563586" w:rsidP="004D25D9">
            <w:pPr>
              <w:jc w:val="both"/>
              <w:rPr>
                <w:rFonts w:ascii="Calibri Light" w:eastAsia="Calibri" w:hAnsi="Calibri Light" w:cs="Calibri Light"/>
                <w:sz w:val="20"/>
                <w:szCs w:val="20"/>
              </w:rPr>
            </w:pPr>
          </w:p>
          <w:p w14:paraId="5D9CD1D5" w14:textId="77777777" w:rsidR="00563586" w:rsidRDefault="00563586" w:rsidP="004D25D9">
            <w:pPr>
              <w:jc w:val="both"/>
              <w:rPr>
                <w:rFonts w:ascii="Calibri Light" w:eastAsia="Calibri" w:hAnsi="Calibri Light" w:cs="Calibri Light"/>
                <w:sz w:val="20"/>
                <w:szCs w:val="20"/>
              </w:rPr>
            </w:pPr>
          </w:p>
          <w:p w14:paraId="58737871" w14:textId="77777777" w:rsidR="00563586" w:rsidRDefault="00563586" w:rsidP="004D25D9">
            <w:pPr>
              <w:jc w:val="both"/>
              <w:rPr>
                <w:rFonts w:ascii="Calibri Light" w:eastAsia="Calibri" w:hAnsi="Calibri Light" w:cs="Calibri Light"/>
                <w:sz w:val="20"/>
                <w:szCs w:val="20"/>
              </w:rPr>
            </w:pPr>
          </w:p>
          <w:p w14:paraId="1B9E54BE" w14:textId="77777777" w:rsidR="00563586" w:rsidRDefault="00563586" w:rsidP="004D25D9">
            <w:pPr>
              <w:jc w:val="both"/>
              <w:rPr>
                <w:rFonts w:ascii="Calibri Light" w:eastAsia="Calibri" w:hAnsi="Calibri Light" w:cs="Calibri Light"/>
                <w:sz w:val="20"/>
                <w:szCs w:val="20"/>
              </w:rPr>
            </w:pPr>
          </w:p>
          <w:p w14:paraId="58100C38" w14:textId="77777777" w:rsidR="00563586" w:rsidRDefault="00563586" w:rsidP="004D25D9">
            <w:pPr>
              <w:jc w:val="both"/>
              <w:rPr>
                <w:rFonts w:ascii="Calibri Light" w:eastAsia="Calibri" w:hAnsi="Calibri Light" w:cs="Calibri Light"/>
                <w:sz w:val="20"/>
                <w:szCs w:val="20"/>
              </w:rPr>
            </w:pPr>
          </w:p>
          <w:p w14:paraId="0B2CC679" w14:textId="77777777" w:rsidR="00563586" w:rsidRDefault="00563586" w:rsidP="004D25D9">
            <w:pPr>
              <w:jc w:val="both"/>
              <w:rPr>
                <w:rFonts w:ascii="Calibri Light" w:eastAsia="Calibri" w:hAnsi="Calibri Light" w:cs="Calibri Light"/>
                <w:sz w:val="20"/>
                <w:szCs w:val="20"/>
              </w:rPr>
            </w:pPr>
          </w:p>
          <w:p w14:paraId="17F0C33D" w14:textId="77777777" w:rsidR="00563586" w:rsidRDefault="00563586" w:rsidP="004D25D9">
            <w:pPr>
              <w:jc w:val="both"/>
              <w:rPr>
                <w:rFonts w:ascii="Calibri Light" w:eastAsia="Calibri" w:hAnsi="Calibri Light" w:cs="Calibri Light"/>
                <w:sz w:val="20"/>
                <w:szCs w:val="20"/>
              </w:rPr>
            </w:pPr>
          </w:p>
          <w:p w14:paraId="3C1D90EF" w14:textId="77777777" w:rsidR="00563586" w:rsidRDefault="00563586" w:rsidP="004D25D9">
            <w:pPr>
              <w:jc w:val="both"/>
              <w:rPr>
                <w:rFonts w:ascii="Calibri Light" w:eastAsia="Calibri" w:hAnsi="Calibri Light" w:cs="Calibri Light"/>
                <w:sz w:val="20"/>
                <w:szCs w:val="20"/>
              </w:rPr>
            </w:pPr>
          </w:p>
          <w:p w14:paraId="51B9FDE6" w14:textId="77777777" w:rsidR="00563586" w:rsidRDefault="00563586" w:rsidP="00F664C2">
            <w:pPr>
              <w:jc w:val="both"/>
              <w:rPr>
                <w:rFonts w:ascii="Calibri Light" w:eastAsia="Calibri" w:hAnsi="Calibri Light" w:cs="Calibri Light"/>
                <w:b/>
                <w:bCs/>
                <w:sz w:val="20"/>
                <w:szCs w:val="20"/>
              </w:rPr>
            </w:pPr>
          </w:p>
          <w:p w14:paraId="3C44CC63" w14:textId="77777777" w:rsidR="00AD1D12" w:rsidRDefault="00AD1D12" w:rsidP="00F664C2">
            <w:pPr>
              <w:jc w:val="both"/>
              <w:rPr>
                <w:rFonts w:ascii="Calibri Light" w:eastAsia="Calibri" w:hAnsi="Calibri Light" w:cs="Calibri Light"/>
                <w:b/>
                <w:bCs/>
                <w:sz w:val="20"/>
                <w:szCs w:val="20"/>
              </w:rPr>
            </w:pPr>
          </w:p>
          <w:p w14:paraId="6124EBE3" w14:textId="77777777" w:rsidR="00AD1D12" w:rsidRDefault="00AD1D12" w:rsidP="00F664C2">
            <w:pPr>
              <w:jc w:val="both"/>
              <w:rPr>
                <w:rFonts w:ascii="Calibri Light" w:eastAsia="Calibri" w:hAnsi="Calibri Light" w:cs="Calibri Light"/>
                <w:b/>
                <w:bCs/>
                <w:sz w:val="20"/>
                <w:szCs w:val="20"/>
              </w:rPr>
            </w:pPr>
          </w:p>
          <w:p w14:paraId="4C71EC4D" w14:textId="77777777" w:rsidR="00AD1D12" w:rsidRDefault="00AD1D12" w:rsidP="00F664C2">
            <w:pPr>
              <w:jc w:val="both"/>
              <w:rPr>
                <w:rFonts w:ascii="Calibri Light" w:eastAsia="Calibri" w:hAnsi="Calibri Light" w:cs="Calibri Light"/>
                <w:b/>
                <w:bCs/>
                <w:sz w:val="20"/>
                <w:szCs w:val="20"/>
              </w:rPr>
            </w:pPr>
          </w:p>
          <w:p w14:paraId="46C43C19" w14:textId="77777777" w:rsidR="00AD1D12" w:rsidRDefault="00AD1D12" w:rsidP="00F664C2">
            <w:pPr>
              <w:jc w:val="both"/>
              <w:rPr>
                <w:rFonts w:ascii="Calibri Light" w:eastAsia="Calibri" w:hAnsi="Calibri Light" w:cs="Calibri Light"/>
                <w:b/>
                <w:bCs/>
                <w:sz w:val="20"/>
                <w:szCs w:val="20"/>
              </w:rPr>
            </w:pPr>
          </w:p>
          <w:p w14:paraId="18916127" w14:textId="77777777" w:rsidR="00AD1D12" w:rsidRDefault="00AD1D12" w:rsidP="00F664C2">
            <w:pPr>
              <w:jc w:val="both"/>
              <w:rPr>
                <w:rFonts w:ascii="Calibri Light" w:eastAsia="Calibri" w:hAnsi="Calibri Light" w:cs="Calibri Light"/>
                <w:b/>
                <w:bCs/>
                <w:sz w:val="20"/>
                <w:szCs w:val="20"/>
              </w:rPr>
            </w:pPr>
          </w:p>
          <w:p w14:paraId="33458593" w14:textId="77777777" w:rsidR="00AD1D12" w:rsidRDefault="00AD1D12" w:rsidP="00F664C2">
            <w:pPr>
              <w:jc w:val="both"/>
              <w:rPr>
                <w:rFonts w:ascii="Calibri Light" w:eastAsia="Calibri" w:hAnsi="Calibri Light" w:cs="Calibri Light"/>
                <w:b/>
                <w:bCs/>
                <w:sz w:val="20"/>
                <w:szCs w:val="20"/>
              </w:rPr>
            </w:pPr>
          </w:p>
          <w:p w14:paraId="72789701" w14:textId="77777777" w:rsidR="00AD1D12" w:rsidRDefault="00AD1D12" w:rsidP="00F664C2">
            <w:pPr>
              <w:jc w:val="both"/>
              <w:rPr>
                <w:rFonts w:ascii="Calibri Light" w:eastAsia="Calibri" w:hAnsi="Calibri Light" w:cs="Calibri Light"/>
                <w:b/>
                <w:bCs/>
                <w:sz w:val="20"/>
                <w:szCs w:val="20"/>
              </w:rPr>
            </w:pPr>
          </w:p>
          <w:p w14:paraId="7371EC86" w14:textId="77777777" w:rsidR="00AD1D12" w:rsidRDefault="00AD1D12" w:rsidP="00F664C2">
            <w:pPr>
              <w:jc w:val="both"/>
              <w:rPr>
                <w:rFonts w:ascii="Calibri Light" w:eastAsia="Calibri" w:hAnsi="Calibri Light" w:cs="Calibri Light"/>
                <w:b/>
                <w:bCs/>
                <w:sz w:val="20"/>
                <w:szCs w:val="20"/>
              </w:rPr>
            </w:pPr>
          </w:p>
          <w:p w14:paraId="3166709C" w14:textId="77777777" w:rsidR="00AD1D12" w:rsidRDefault="00AD1D12" w:rsidP="00F664C2">
            <w:pPr>
              <w:jc w:val="both"/>
              <w:rPr>
                <w:rFonts w:ascii="Calibri Light" w:eastAsia="Calibri" w:hAnsi="Calibri Light" w:cs="Calibri Light"/>
                <w:b/>
                <w:bCs/>
                <w:sz w:val="20"/>
                <w:szCs w:val="20"/>
              </w:rPr>
            </w:pPr>
          </w:p>
          <w:p w14:paraId="4D7A2982" w14:textId="77777777" w:rsidR="00AD1D12" w:rsidRDefault="00AD1D12" w:rsidP="00F664C2">
            <w:pPr>
              <w:jc w:val="both"/>
              <w:rPr>
                <w:rFonts w:ascii="Calibri Light" w:eastAsia="Calibri" w:hAnsi="Calibri Light" w:cs="Calibri Light"/>
                <w:b/>
                <w:bCs/>
                <w:sz w:val="20"/>
                <w:szCs w:val="20"/>
              </w:rPr>
            </w:pPr>
          </w:p>
          <w:p w14:paraId="60D4963D" w14:textId="77777777" w:rsidR="00AD1D12" w:rsidRDefault="00AD1D12" w:rsidP="00F664C2">
            <w:pPr>
              <w:jc w:val="both"/>
              <w:rPr>
                <w:rFonts w:ascii="Calibri Light" w:eastAsia="Calibri" w:hAnsi="Calibri Light" w:cs="Calibri Light"/>
                <w:b/>
                <w:bCs/>
                <w:sz w:val="20"/>
                <w:szCs w:val="20"/>
              </w:rPr>
            </w:pPr>
          </w:p>
          <w:p w14:paraId="1D87AE15" w14:textId="77777777" w:rsidR="00AD1D12" w:rsidRDefault="00AD1D12" w:rsidP="00F664C2">
            <w:pPr>
              <w:jc w:val="both"/>
              <w:rPr>
                <w:rFonts w:ascii="Calibri Light" w:eastAsia="Calibri" w:hAnsi="Calibri Light" w:cs="Calibri Light"/>
                <w:b/>
                <w:bCs/>
                <w:sz w:val="20"/>
                <w:szCs w:val="20"/>
              </w:rPr>
            </w:pPr>
          </w:p>
          <w:p w14:paraId="79A6F237" w14:textId="77777777" w:rsidR="00AD1D12" w:rsidRDefault="00AD1D12" w:rsidP="00F664C2">
            <w:pPr>
              <w:jc w:val="both"/>
              <w:rPr>
                <w:rFonts w:ascii="Calibri Light" w:eastAsia="Calibri" w:hAnsi="Calibri Light" w:cs="Calibri Light"/>
                <w:b/>
                <w:bCs/>
                <w:sz w:val="20"/>
                <w:szCs w:val="20"/>
              </w:rPr>
            </w:pPr>
          </w:p>
          <w:p w14:paraId="6AE2EEA6" w14:textId="77777777" w:rsidR="00AD1D12" w:rsidRDefault="00AD1D12" w:rsidP="00F664C2">
            <w:pPr>
              <w:jc w:val="both"/>
              <w:rPr>
                <w:rFonts w:ascii="Calibri Light" w:eastAsia="Calibri" w:hAnsi="Calibri Light" w:cs="Calibri Light"/>
                <w:b/>
                <w:bCs/>
                <w:sz w:val="20"/>
                <w:szCs w:val="20"/>
              </w:rPr>
            </w:pPr>
          </w:p>
          <w:p w14:paraId="1B315727" w14:textId="77777777" w:rsidR="00AD1D12" w:rsidRDefault="00AD1D12" w:rsidP="00F664C2">
            <w:pPr>
              <w:jc w:val="both"/>
              <w:rPr>
                <w:rFonts w:ascii="Calibri Light" w:eastAsia="Calibri" w:hAnsi="Calibri Light" w:cs="Calibri Light"/>
                <w:b/>
                <w:bCs/>
                <w:sz w:val="20"/>
                <w:szCs w:val="20"/>
              </w:rPr>
            </w:pPr>
          </w:p>
          <w:p w14:paraId="61627AC7" w14:textId="77777777" w:rsidR="00AD1D12" w:rsidRDefault="00AD1D12" w:rsidP="00F664C2">
            <w:pPr>
              <w:jc w:val="both"/>
              <w:rPr>
                <w:rFonts w:ascii="Calibri Light" w:eastAsia="Calibri" w:hAnsi="Calibri Light" w:cs="Calibri Light"/>
                <w:b/>
                <w:bCs/>
                <w:sz w:val="20"/>
                <w:szCs w:val="20"/>
              </w:rPr>
            </w:pPr>
          </w:p>
          <w:p w14:paraId="7F3C12FF" w14:textId="77777777" w:rsidR="00AD1D12" w:rsidRDefault="00AD1D12" w:rsidP="00F664C2">
            <w:pPr>
              <w:jc w:val="both"/>
              <w:rPr>
                <w:rFonts w:ascii="Calibri Light" w:eastAsia="Calibri" w:hAnsi="Calibri Light" w:cs="Calibri Light"/>
                <w:b/>
                <w:bCs/>
                <w:sz w:val="20"/>
                <w:szCs w:val="20"/>
              </w:rPr>
            </w:pPr>
          </w:p>
          <w:p w14:paraId="41238DC0" w14:textId="77777777" w:rsidR="00AD1D12" w:rsidRDefault="00AD1D12" w:rsidP="00F664C2">
            <w:pPr>
              <w:jc w:val="both"/>
              <w:rPr>
                <w:rFonts w:ascii="Calibri Light" w:eastAsia="Calibri" w:hAnsi="Calibri Light" w:cs="Calibri Light"/>
                <w:b/>
                <w:bCs/>
                <w:sz w:val="20"/>
                <w:szCs w:val="20"/>
              </w:rPr>
            </w:pPr>
          </w:p>
          <w:p w14:paraId="3E7D036A" w14:textId="77777777" w:rsidR="00AD1D12" w:rsidRDefault="00AD1D12" w:rsidP="00F664C2">
            <w:pPr>
              <w:jc w:val="both"/>
              <w:rPr>
                <w:rFonts w:ascii="Calibri Light" w:eastAsia="Calibri" w:hAnsi="Calibri Light" w:cs="Calibri Light"/>
                <w:b/>
                <w:bCs/>
                <w:sz w:val="20"/>
                <w:szCs w:val="20"/>
              </w:rPr>
            </w:pPr>
          </w:p>
          <w:p w14:paraId="5146A9B3" w14:textId="77777777" w:rsidR="00AD1D12" w:rsidRDefault="00AD1D12" w:rsidP="00F664C2">
            <w:pPr>
              <w:jc w:val="both"/>
              <w:rPr>
                <w:rFonts w:ascii="Calibri Light" w:eastAsia="Calibri" w:hAnsi="Calibri Light" w:cs="Calibri Light"/>
                <w:b/>
                <w:bCs/>
                <w:sz w:val="20"/>
                <w:szCs w:val="20"/>
              </w:rPr>
            </w:pPr>
          </w:p>
          <w:p w14:paraId="71BABCA6" w14:textId="77777777" w:rsidR="00AD1D12" w:rsidRDefault="00AD1D12" w:rsidP="00F664C2">
            <w:pPr>
              <w:jc w:val="both"/>
              <w:rPr>
                <w:rFonts w:ascii="Calibri Light" w:eastAsia="Calibri" w:hAnsi="Calibri Light" w:cs="Calibri Light"/>
                <w:b/>
                <w:bCs/>
                <w:sz w:val="20"/>
                <w:szCs w:val="20"/>
              </w:rPr>
            </w:pPr>
          </w:p>
          <w:p w14:paraId="02CBB191" w14:textId="77777777" w:rsidR="00AD1D12" w:rsidRDefault="00AD1D12" w:rsidP="00F664C2">
            <w:pPr>
              <w:jc w:val="both"/>
              <w:rPr>
                <w:rFonts w:ascii="Calibri Light" w:eastAsia="Calibri" w:hAnsi="Calibri Light" w:cs="Calibri Light"/>
                <w:b/>
                <w:bCs/>
                <w:sz w:val="20"/>
                <w:szCs w:val="20"/>
              </w:rPr>
            </w:pPr>
          </w:p>
          <w:p w14:paraId="3694AC8F" w14:textId="77777777" w:rsidR="00AD1D12" w:rsidRDefault="00AD1D12" w:rsidP="00F664C2">
            <w:pPr>
              <w:jc w:val="both"/>
              <w:rPr>
                <w:rFonts w:ascii="Calibri Light" w:eastAsia="Calibri" w:hAnsi="Calibri Light" w:cs="Calibri Light"/>
                <w:b/>
                <w:bCs/>
                <w:sz w:val="20"/>
                <w:szCs w:val="20"/>
              </w:rPr>
            </w:pPr>
          </w:p>
          <w:p w14:paraId="260C3F86" w14:textId="5B67C245" w:rsidR="00F664C2" w:rsidRDefault="00F664C2" w:rsidP="00F664C2">
            <w:pPr>
              <w:jc w:val="both"/>
              <w:rPr>
                <w:rFonts w:ascii="Calibri Light" w:eastAsia="Calibri" w:hAnsi="Calibri Light" w:cs="Calibri Light"/>
                <w:b/>
                <w:bCs/>
                <w:sz w:val="20"/>
                <w:szCs w:val="20"/>
              </w:rPr>
            </w:pPr>
            <w:r>
              <w:rPr>
                <w:rFonts w:ascii="Calibri Light" w:eastAsia="Calibri" w:hAnsi="Calibri Light" w:cs="Calibri Light"/>
                <w:b/>
                <w:bCs/>
                <w:sz w:val="20"/>
                <w:szCs w:val="20"/>
              </w:rPr>
              <w:t>Anexo “I”</w:t>
            </w:r>
          </w:p>
          <w:p w14:paraId="406F9C52" w14:textId="77777777" w:rsidR="00F664C2" w:rsidRPr="00DD37D3" w:rsidRDefault="00F664C2" w:rsidP="00F664C2">
            <w:pPr>
              <w:jc w:val="both"/>
              <w:rPr>
                <w:rFonts w:ascii="Calibri Light" w:eastAsia="Calibri" w:hAnsi="Calibri Light" w:cs="Calibri Light"/>
                <w:bCs/>
                <w:sz w:val="20"/>
                <w:szCs w:val="20"/>
              </w:rPr>
            </w:pPr>
            <w:r w:rsidRPr="00DD37D3">
              <w:rPr>
                <w:rFonts w:ascii="Calibri Light" w:eastAsia="Calibri" w:hAnsi="Calibri Light" w:cs="Calibri Light"/>
                <w:bCs/>
                <w:sz w:val="20"/>
                <w:szCs w:val="20"/>
              </w:rPr>
              <w:t>Se modifican los tiempos de traslado en áreas urbanas, suburbanas y poblaciones que no se encuentran descritas</w:t>
            </w:r>
            <w:r>
              <w:rPr>
                <w:rFonts w:ascii="Calibri Light" w:eastAsia="Calibri" w:hAnsi="Calibri Light" w:cs="Calibri Light"/>
                <w:bCs/>
                <w:sz w:val="20"/>
                <w:szCs w:val="20"/>
              </w:rPr>
              <w:t>.</w:t>
            </w:r>
          </w:p>
          <w:p w14:paraId="69B6D5B3" w14:textId="79A76DCD" w:rsidR="00F664C2" w:rsidRDefault="00F664C2" w:rsidP="004D25D9">
            <w:pPr>
              <w:jc w:val="both"/>
              <w:rPr>
                <w:rFonts w:ascii="Calibri Light" w:eastAsia="Calibri" w:hAnsi="Calibri Light" w:cs="Calibri Light"/>
                <w:sz w:val="20"/>
                <w:szCs w:val="20"/>
              </w:rPr>
            </w:pPr>
            <w:r>
              <w:object w:dxaOrig="9225" w:dyaOrig="915" w14:anchorId="102D9E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31.5pt" o:ole="">
                  <v:imagedata r:id="rId9" o:title=""/>
                </v:shape>
                <o:OLEObject Type="Embed" ProgID="PBrush" ShapeID="_x0000_i1025" DrawAspect="Content" ObjectID="_1814275312" r:id="rId10"/>
              </w:object>
            </w:r>
          </w:p>
          <w:p w14:paraId="26312E89" w14:textId="01A1CE25" w:rsidR="00F664C2" w:rsidRDefault="00E22FAB" w:rsidP="004D25D9">
            <w:pPr>
              <w:jc w:val="both"/>
              <w:rPr>
                <w:rFonts w:ascii="Calibri Light" w:eastAsia="Calibri" w:hAnsi="Calibri Light" w:cs="Calibri Light"/>
                <w:sz w:val="20"/>
                <w:szCs w:val="20"/>
              </w:rPr>
            </w:pPr>
            <w:r w:rsidRPr="00E22FAB">
              <w:rPr>
                <w:rFonts w:ascii="Calibri Light" w:eastAsia="Calibri" w:hAnsi="Calibri Light" w:cs="Calibri Light"/>
                <w:sz w:val="20"/>
                <w:szCs w:val="20"/>
              </w:rPr>
              <w:t xml:space="preserve">**El tiempo de traslado para las poblaciones que no se encuentran descritas en el presente Anexo I, será de </w:t>
            </w:r>
            <w:r w:rsidRPr="00E22FAB">
              <w:rPr>
                <w:rFonts w:ascii="Calibri Light" w:eastAsia="Calibri" w:hAnsi="Calibri Light" w:cs="Calibri Light"/>
                <w:strike/>
                <w:color w:val="0070C0"/>
                <w:sz w:val="20"/>
                <w:szCs w:val="20"/>
              </w:rPr>
              <w:t>2</w:t>
            </w:r>
            <w:r w:rsidRPr="00E22FAB">
              <w:rPr>
                <w:rFonts w:ascii="Calibri Light" w:eastAsia="Calibri" w:hAnsi="Calibri Light" w:cs="Calibri Light"/>
                <w:sz w:val="20"/>
                <w:szCs w:val="20"/>
              </w:rPr>
              <w:t xml:space="preserve">4 horas.  </w:t>
            </w:r>
          </w:p>
          <w:p w14:paraId="47D316EF" w14:textId="77777777" w:rsidR="002563BD" w:rsidRDefault="002563BD" w:rsidP="004D25D9">
            <w:pPr>
              <w:jc w:val="both"/>
              <w:rPr>
                <w:rFonts w:ascii="Calibri Light" w:eastAsia="Calibri" w:hAnsi="Calibri Light" w:cs="Calibri Light"/>
                <w:sz w:val="20"/>
                <w:szCs w:val="20"/>
              </w:rPr>
            </w:pPr>
          </w:p>
          <w:p w14:paraId="0823AE83" w14:textId="77777777" w:rsidR="002563BD" w:rsidRDefault="002563BD" w:rsidP="004D25D9">
            <w:pPr>
              <w:jc w:val="both"/>
              <w:rPr>
                <w:rFonts w:ascii="Calibri Light" w:eastAsia="Calibri" w:hAnsi="Calibri Light" w:cs="Calibri Light"/>
                <w:sz w:val="20"/>
                <w:szCs w:val="20"/>
              </w:rPr>
            </w:pPr>
          </w:p>
          <w:p w14:paraId="5BEA8957" w14:textId="77777777" w:rsidR="00F664C2" w:rsidRDefault="00F664C2" w:rsidP="004D25D9">
            <w:pPr>
              <w:jc w:val="both"/>
              <w:rPr>
                <w:rFonts w:ascii="Calibri Light" w:eastAsia="Calibri" w:hAnsi="Calibri Light" w:cs="Calibri Light"/>
                <w:sz w:val="20"/>
                <w:szCs w:val="20"/>
              </w:rPr>
            </w:pPr>
          </w:p>
          <w:p w14:paraId="4FA3BFD2" w14:textId="77777777" w:rsidR="00F664C2" w:rsidRDefault="00F664C2" w:rsidP="004D25D9">
            <w:pPr>
              <w:jc w:val="both"/>
              <w:rPr>
                <w:rFonts w:ascii="Calibri Light" w:eastAsia="Calibri" w:hAnsi="Calibri Light" w:cs="Calibri Light"/>
                <w:sz w:val="20"/>
                <w:szCs w:val="20"/>
              </w:rPr>
            </w:pPr>
          </w:p>
          <w:p w14:paraId="5802C6BC" w14:textId="77777777" w:rsidR="00F664C2" w:rsidRDefault="00F664C2" w:rsidP="004D25D9">
            <w:pPr>
              <w:jc w:val="both"/>
              <w:rPr>
                <w:rFonts w:ascii="Calibri Light" w:eastAsia="Calibri" w:hAnsi="Calibri Light" w:cs="Calibri Light"/>
                <w:sz w:val="20"/>
                <w:szCs w:val="20"/>
              </w:rPr>
            </w:pPr>
          </w:p>
          <w:p w14:paraId="549A7E6F" w14:textId="77777777" w:rsidR="00786807" w:rsidRDefault="00786807" w:rsidP="004D25D9">
            <w:pPr>
              <w:jc w:val="both"/>
              <w:rPr>
                <w:rFonts w:ascii="Calibri Light" w:eastAsia="Calibri" w:hAnsi="Calibri Light" w:cs="Calibri Light"/>
                <w:sz w:val="20"/>
                <w:szCs w:val="20"/>
              </w:rPr>
            </w:pPr>
          </w:p>
          <w:p w14:paraId="7B5396EB" w14:textId="77777777" w:rsidR="00AD1D12" w:rsidRDefault="00AD1D12" w:rsidP="004D25D9">
            <w:pPr>
              <w:jc w:val="both"/>
              <w:rPr>
                <w:rFonts w:ascii="Calibri Light" w:eastAsia="Calibri" w:hAnsi="Calibri Light" w:cs="Calibri Light"/>
                <w:sz w:val="20"/>
                <w:szCs w:val="20"/>
              </w:rPr>
            </w:pPr>
          </w:p>
          <w:p w14:paraId="17CDEA17" w14:textId="77777777" w:rsidR="00AD1D12" w:rsidRDefault="00AD1D12" w:rsidP="004D25D9">
            <w:pPr>
              <w:jc w:val="both"/>
              <w:rPr>
                <w:rFonts w:ascii="Calibri Light" w:eastAsia="Calibri" w:hAnsi="Calibri Light" w:cs="Calibri Light"/>
                <w:sz w:val="20"/>
                <w:szCs w:val="20"/>
              </w:rPr>
            </w:pPr>
          </w:p>
          <w:p w14:paraId="45F13A98" w14:textId="77777777" w:rsidR="00786807" w:rsidRDefault="00786807" w:rsidP="004D25D9">
            <w:pPr>
              <w:jc w:val="both"/>
              <w:rPr>
                <w:rFonts w:ascii="Calibri Light" w:eastAsia="Calibri" w:hAnsi="Calibri Light" w:cs="Calibri Light"/>
                <w:sz w:val="20"/>
                <w:szCs w:val="20"/>
              </w:rPr>
            </w:pPr>
          </w:p>
          <w:p w14:paraId="5261C3FE" w14:textId="77777777" w:rsidR="00786807" w:rsidRDefault="00786807" w:rsidP="004D25D9">
            <w:pPr>
              <w:jc w:val="both"/>
              <w:rPr>
                <w:rFonts w:ascii="Calibri Light" w:eastAsia="Calibri" w:hAnsi="Calibri Light" w:cs="Calibri Light"/>
                <w:sz w:val="20"/>
                <w:szCs w:val="20"/>
              </w:rPr>
            </w:pPr>
          </w:p>
          <w:p w14:paraId="0BA8BAE6" w14:textId="77777777" w:rsidR="00786807" w:rsidRDefault="00786807" w:rsidP="004D25D9">
            <w:pPr>
              <w:jc w:val="both"/>
              <w:rPr>
                <w:rFonts w:ascii="Calibri Light" w:eastAsia="Calibri" w:hAnsi="Calibri Light" w:cs="Calibri Light"/>
                <w:sz w:val="20"/>
                <w:szCs w:val="20"/>
              </w:rPr>
            </w:pPr>
          </w:p>
          <w:p w14:paraId="6316B1F0" w14:textId="77777777" w:rsidR="00786807" w:rsidRDefault="00786807" w:rsidP="004D25D9">
            <w:pPr>
              <w:jc w:val="both"/>
              <w:rPr>
                <w:rFonts w:ascii="Calibri Light" w:eastAsia="Calibri" w:hAnsi="Calibri Light" w:cs="Calibri Light"/>
                <w:sz w:val="20"/>
                <w:szCs w:val="20"/>
              </w:rPr>
            </w:pPr>
          </w:p>
          <w:p w14:paraId="78B540B7" w14:textId="77777777" w:rsidR="00786807" w:rsidRDefault="00786807" w:rsidP="004D25D9">
            <w:pPr>
              <w:jc w:val="both"/>
              <w:rPr>
                <w:rFonts w:ascii="Calibri Light" w:eastAsia="Calibri" w:hAnsi="Calibri Light" w:cs="Calibri Light"/>
                <w:sz w:val="20"/>
                <w:szCs w:val="20"/>
              </w:rPr>
            </w:pPr>
          </w:p>
          <w:p w14:paraId="5C80A856" w14:textId="77777777" w:rsidR="00786807" w:rsidRDefault="00786807" w:rsidP="004D25D9">
            <w:pPr>
              <w:jc w:val="both"/>
              <w:rPr>
                <w:rFonts w:ascii="Calibri Light" w:eastAsia="Calibri" w:hAnsi="Calibri Light" w:cs="Calibri Light"/>
                <w:sz w:val="20"/>
                <w:szCs w:val="20"/>
              </w:rPr>
            </w:pPr>
          </w:p>
          <w:p w14:paraId="4EC6CED2" w14:textId="77777777" w:rsidR="00786807" w:rsidRDefault="00786807" w:rsidP="004D25D9">
            <w:pPr>
              <w:jc w:val="both"/>
              <w:rPr>
                <w:rFonts w:ascii="Calibri Light" w:eastAsia="Calibri" w:hAnsi="Calibri Light" w:cs="Calibri Light"/>
                <w:sz w:val="20"/>
                <w:szCs w:val="20"/>
              </w:rPr>
            </w:pPr>
          </w:p>
          <w:p w14:paraId="3BF9377D" w14:textId="77777777" w:rsidR="00786807" w:rsidRDefault="00786807" w:rsidP="004D25D9">
            <w:pPr>
              <w:jc w:val="both"/>
              <w:rPr>
                <w:rFonts w:ascii="Calibri Light" w:eastAsia="Calibri" w:hAnsi="Calibri Light" w:cs="Calibri Light"/>
                <w:sz w:val="20"/>
                <w:szCs w:val="20"/>
              </w:rPr>
            </w:pPr>
          </w:p>
          <w:p w14:paraId="62D29126" w14:textId="77777777" w:rsidR="00786807" w:rsidRDefault="00786807" w:rsidP="004D25D9">
            <w:pPr>
              <w:jc w:val="both"/>
              <w:rPr>
                <w:rFonts w:ascii="Calibri Light" w:eastAsia="Calibri" w:hAnsi="Calibri Light" w:cs="Calibri Light"/>
                <w:sz w:val="20"/>
                <w:szCs w:val="20"/>
              </w:rPr>
            </w:pPr>
          </w:p>
          <w:p w14:paraId="4317375F" w14:textId="77777777" w:rsidR="00786807" w:rsidRDefault="00786807" w:rsidP="004D25D9">
            <w:pPr>
              <w:jc w:val="both"/>
              <w:rPr>
                <w:rFonts w:ascii="Calibri Light" w:eastAsia="Calibri" w:hAnsi="Calibri Light" w:cs="Calibri Light"/>
                <w:sz w:val="20"/>
                <w:szCs w:val="20"/>
              </w:rPr>
            </w:pPr>
          </w:p>
          <w:p w14:paraId="6CB405CF" w14:textId="77777777" w:rsidR="00786807" w:rsidRDefault="00786807" w:rsidP="004D25D9">
            <w:pPr>
              <w:jc w:val="both"/>
              <w:rPr>
                <w:rFonts w:ascii="Calibri Light" w:eastAsia="Calibri" w:hAnsi="Calibri Light" w:cs="Calibri Light"/>
                <w:sz w:val="20"/>
                <w:szCs w:val="20"/>
              </w:rPr>
            </w:pPr>
          </w:p>
          <w:p w14:paraId="514FCF48" w14:textId="77777777" w:rsidR="00786807" w:rsidRDefault="00786807" w:rsidP="004D25D9">
            <w:pPr>
              <w:jc w:val="both"/>
              <w:rPr>
                <w:rFonts w:ascii="Calibri Light" w:eastAsia="Calibri" w:hAnsi="Calibri Light" w:cs="Calibri Light"/>
                <w:sz w:val="20"/>
                <w:szCs w:val="20"/>
              </w:rPr>
            </w:pPr>
          </w:p>
          <w:p w14:paraId="73DFC403" w14:textId="77777777" w:rsidR="00E830CA" w:rsidRDefault="00E830CA" w:rsidP="004D25D9">
            <w:pPr>
              <w:jc w:val="both"/>
              <w:rPr>
                <w:rFonts w:ascii="Calibri Light" w:eastAsia="Calibri" w:hAnsi="Calibri Light" w:cs="Calibri Light"/>
                <w:sz w:val="20"/>
                <w:szCs w:val="20"/>
              </w:rPr>
            </w:pPr>
          </w:p>
          <w:p w14:paraId="2EBF0BB5" w14:textId="6C7C33E5" w:rsidR="00E72F3C" w:rsidRPr="00E67D4C" w:rsidRDefault="00E72F3C" w:rsidP="004D25D9">
            <w:pPr>
              <w:jc w:val="both"/>
              <w:rPr>
                <w:rFonts w:ascii="Calibri Light" w:eastAsia="Calibri" w:hAnsi="Calibri Light" w:cs="Calibri Light"/>
                <w:sz w:val="20"/>
                <w:szCs w:val="20"/>
              </w:rPr>
            </w:pPr>
            <w:r w:rsidRPr="00E67D4C">
              <w:rPr>
                <w:rFonts w:ascii="Calibri Light" w:eastAsia="Calibri" w:hAnsi="Calibri Light" w:cs="Calibri Light"/>
                <w:sz w:val="20"/>
                <w:szCs w:val="20"/>
              </w:rPr>
              <w:t>2.6.5</w:t>
            </w:r>
          </w:p>
          <w:p w14:paraId="7230FC7D" w14:textId="77777777" w:rsidR="00E72F3C" w:rsidRPr="00FB1163" w:rsidRDefault="00E72F3C" w:rsidP="004D25D9">
            <w:pPr>
              <w:jc w:val="both"/>
              <w:rPr>
                <w:rFonts w:ascii="Calibri Light" w:eastAsia="Calibri" w:hAnsi="Calibri Light" w:cs="Calibri Light"/>
                <w:b/>
                <w:bCs/>
                <w:sz w:val="20"/>
                <w:szCs w:val="20"/>
              </w:rPr>
            </w:pPr>
          </w:p>
          <w:p w14:paraId="5C532A2A" w14:textId="77777777" w:rsidR="00E72F3C" w:rsidRPr="00B91B39" w:rsidRDefault="00E72F3C" w:rsidP="004D25D9">
            <w:pPr>
              <w:jc w:val="both"/>
              <w:rPr>
                <w:rFonts w:ascii="Calibri Light" w:eastAsia="Calibri" w:hAnsi="Calibri Light" w:cs="Calibri Light"/>
                <w:sz w:val="20"/>
                <w:szCs w:val="20"/>
              </w:rPr>
            </w:pPr>
            <w:r w:rsidRPr="00B91B39">
              <w:rPr>
                <w:rFonts w:ascii="Calibri Light" w:eastAsia="Calibri" w:hAnsi="Calibri Light" w:cs="Calibri Light"/>
                <w:sz w:val="20"/>
                <w:szCs w:val="20"/>
              </w:rPr>
              <w:t>2.6.5 La División Mayorista de Telmex/Telnor garantizará el cumplimiento Anual de los siguientes parámetros de calidad para cada uno de los Enlaces Dedicados:</w:t>
            </w:r>
          </w:p>
          <w:p w14:paraId="7D8576AE" w14:textId="77777777" w:rsidR="00E72F3C" w:rsidRPr="00B91B39" w:rsidRDefault="00E72F3C" w:rsidP="004D25D9">
            <w:pPr>
              <w:jc w:val="both"/>
              <w:rPr>
                <w:rFonts w:ascii="Calibri Light" w:eastAsia="Calibri" w:hAnsi="Calibri Light" w:cs="Calibri Light"/>
                <w:sz w:val="20"/>
                <w:szCs w:val="20"/>
              </w:rPr>
            </w:pPr>
          </w:p>
          <w:p w14:paraId="0426E0DC" w14:textId="77777777" w:rsidR="00E72F3C" w:rsidRPr="003E5A4E" w:rsidRDefault="00E72F3C" w:rsidP="004D25D9">
            <w:pPr>
              <w:jc w:val="both"/>
              <w:rPr>
                <w:rFonts w:ascii="Calibri Light" w:eastAsia="Calibri" w:hAnsi="Calibri Light" w:cs="Calibri Light"/>
                <w:color w:val="0070C0"/>
                <w:sz w:val="20"/>
                <w:szCs w:val="20"/>
              </w:rPr>
            </w:pPr>
            <w:r w:rsidRPr="003E5A4E">
              <w:rPr>
                <w:rFonts w:ascii="Calibri Light" w:eastAsia="Calibri" w:hAnsi="Calibri Light" w:cs="Calibri Light"/>
                <w:color w:val="0070C0"/>
                <w:sz w:val="20"/>
                <w:szCs w:val="20"/>
              </w:rPr>
              <w:t>Servicios TDM:</w:t>
            </w:r>
          </w:p>
          <w:p w14:paraId="628CFDE9" w14:textId="77777777" w:rsidR="00E72F3C" w:rsidRPr="003E5A4E" w:rsidRDefault="00E72F3C" w:rsidP="004D25D9">
            <w:pPr>
              <w:jc w:val="both"/>
              <w:rPr>
                <w:rFonts w:ascii="Calibri Light" w:eastAsia="Calibri" w:hAnsi="Calibri Light" w:cs="Calibri Light"/>
                <w:color w:val="0070C0"/>
                <w:sz w:val="20"/>
                <w:szCs w:val="20"/>
              </w:rPr>
            </w:pPr>
          </w:p>
          <w:p w14:paraId="55F5B101" w14:textId="77777777" w:rsidR="00E72F3C" w:rsidRPr="003E5A4E" w:rsidRDefault="00E72F3C" w:rsidP="004D25D9">
            <w:pPr>
              <w:jc w:val="both"/>
              <w:rPr>
                <w:rFonts w:ascii="Calibri Light" w:eastAsia="Calibri" w:hAnsi="Calibri Light" w:cs="Calibri Light"/>
                <w:color w:val="0070C0"/>
                <w:sz w:val="20"/>
                <w:szCs w:val="20"/>
              </w:rPr>
            </w:pPr>
            <w:r w:rsidRPr="003E5A4E">
              <w:rPr>
                <w:rFonts w:ascii="Calibri Light" w:eastAsia="Calibri" w:hAnsi="Calibri Light" w:cs="Calibri Light"/>
                <w:color w:val="0070C0"/>
                <w:sz w:val="20"/>
                <w:szCs w:val="20"/>
              </w:rPr>
              <w:t>• Como consecuencia de la obsolescencia tecnológica mundial de TDM, fin de soporte técnico, falta de refacciones y suministro de equipos, no es posible calcular un plazo máximo de reparación, ni garantizar parámetros de disponibilidad. Por lo que no existe garantía en la disponibilidad de los Enlaces Dedicados sin redundancia y con redundancia para esta tecnología.</w:t>
            </w:r>
          </w:p>
          <w:p w14:paraId="4D9459A4" w14:textId="77777777" w:rsidR="00E72F3C" w:rsidRPr="00B91B39" w:rsidRDefault="00E72F3C" w:rsidP="004D25D9">
            <w:pPr>
              <w:jc w:val="both"/>
              <w:rPr>
                <w:rFonts w:ascii="Calibri Light" w:eastAsia="Calibri" w:hAnsi="Calibri Light" w:cs="Calibri Light"/>
                <w:sz w:val="20"/>
                <w:szCs w:val="20"/>
              </w:rPr>
            </w:pPr>
          </w:p>
          <w:p w14:paraId="4F3FC018" w14:textId="77777777" w:rsidR="00E72F3C" w:rsidRPr="003E5A4E" w:rsidRDefault="00E72F3C" w:rsidP="004D25D9">
            <w:pPr>
              <w:jc w:val="both"/>
              <w:rPr>
                <w:rFonts w:ascii="Calibri Light" w:eastAsia="Calibri" w:hAnsi="Calibri Light" w:cs="Calibri Light"/>
                <w:color w:val="0070C0"/>
                <w:sz w:val="20"/>
                <w:szCs w:val="20"/>
              </w:rPr>
            </w:pPr>
            <w:r w:rsidRPr="003E5A4E">
              <w:rPr>
                <w:rFonts w:ascii="Calibri Light" w:eastAsia="Calibri" w:hAnsi="Calibri Light" w:cs="Calibri Light"/>
                <w:color w:val="0070C0"/>
                <w:sz w:val="20"/>
                <w:szCs w:val="20"/>
              </w:rPr>
              <w:t>Servicios Ethernet:</w:t>
            </w:r>
          </w:p>
          <w:p w14:paraId="5BB9388D" w14:textId="77777777" w:rsidR="00E72F3C" w:rsidRPr="00B91B39" w:rsidRDefault="00E72F3C" w:rsidP="004D25D9">
            <w:pPr>
              <w:jc w:val="both"/>
              <w:rPr>
                <w:rFonts w:ascii="Calibri Light" w:eastAsia="Calibri" w:hAnsi="Calibri Light" w:cs="Calibri Light"/>
                <w:sz w:val="20"/>
                <w:szCs w:val="20"/>
              </w:rPr>
            </w:pPr>
            <w:r w:rsidRPr="00B91B39">
              <w:rPr>
                <w:rFonts w:ascii="Calibri Light" w:eastAsia="Calibri" w:hAnsi="Calibri Light" w:cs="Calibri Light"/>
                <w:sz w:val="20"/>
                <w:szCs w:val="20"/>
              </w:rPr>
              <w:t xml:space="preserve"> </w:t>
            </w:r>
          </w:p>
          <w:p w14:paraId="6BBB5F46" w14:textId="77777777" w:rsidR="00E72F3C" w:rsidRPr="00B91B39" w:rsidRDefault="00E72F3C" w:rsidP="004D25D9">
            <w:pPr>
              <w:jc w:val="both"/>
              <w:rPr>
                <w:rFonts w:ascii="Calibri Light" w:eastAsia="Calibri" w:hAnsi="Calibri Light" w:cs="Calibri Light"/>
                <w:sz w:val="20"/>
                <w:szCs w:val="20"/>
              </w:rPr>
            </w:pPr>
            <w:r w:rsidRPr="00B91B39">
              <w:rPr>
                <w:rFonts w:ascii="Calibri Light" w:eastAsia="Calibri" w:hAnsi="Calibri Light" w:cs="Calibri Light"/>
                <w:sz w:val="20"/>
                <w:szCs w:val="20"/>
              </w:rPr>
              <w:t>• Disponibilidad del Enlace Dedicado sin redundancia: 99.</w:t>
            </w:r>
            <w:r w:rsidR="00334EA7" w:rsidRPr="00334EA7">
              <w:rPr>
                <w:rFonts w:ascii="Calibri Light" w:eastAsia="Calibri" w:hAnsi="Calibri Light" w:cs="Calibri Light"/>
                <w:color w:val="0070C0"/>
                <w:sz w:val="20"/>
                <w:szCs w:val="20"/>
              </w:rPr>
              <w:t>5</w:t>
            </w:r>
            <w:r w:rsidRPr="00334EA7">
              <w:rPr>
                <w:rFonts w:ascii="Calibri Light" w:eastAsia="Calibri" w:hAnsi="Calibri Light" w:cs="Calibri Light"/>
                <w:strike/>
                <w:color w:val="0070C0"/>
                <w:sz w:val="20"/>
                <w:szCs w:val="20"/>
              </w:rPr>
              <w:t>83</w:t>
            </w:r>
            <w:r w:rsidRPr="00B91B39">
              <w:rPr>
                <w:rFonts w:ascii="Calibri Light" w:eastAsia="Calibri" w:hAnsi="Calibri Light" w:cs="Calibri Light"/>
                <w:sz w:val="20"/>
                <w:szCs w:val="20"/>
              </w:rPr>
              <w:t xml:space="preserve">% (noventa y </w:t>
            </w:r>
            <w:proofErr w:type="gramStart"/>
            <w:r w:rsidRPr="00B91B39">
              <w:rPr>
                <w:rFonts w:ascii="Calibri Light" w:eastAsia="Calibri" w:hAnsi="Calibri Light" w:cs="Calibri Light"/>
                <w:sz w:val="20"/>
                <w:szCs w:val="20"/>
              </w:rPr>
              <w:t>nueve</w:t>
            </w:r>
            <w:r>
              <w:rPr>
                <w:rFonts w:ascii="Calibri Light" w:eastAsia="Calibri" w:hAnsi="Calibri Light" w:cs="Calibri Light"/>
                <w:sz w:val="20"/>
                <w:szCs w:val="20"/>
              </w:rPr>
              <w:t xml:space="preserve"> </w:t>
            </w:r>
            <w:r w:rsidRPr="00B91B39">
              <w:rPr>
                <w:rFonts w:ascii="Calibri Light" w:eastAsia="Calibri" w:hAnsi="Calibri Light" w:cs="Calibri Light"/>
                <w:sz w:val="20"/>
                <w:szCs w:val="20"/>
              </w:rPr>
              <w:t>punto</w:t>
            </w:r>
            <w:proofErr w:type="gramEnd"/>
            <w:r w:rsidRPr="00B91B39">
              <w:rPr>
                <w:rFonts w:ascii="Calibri Light" w:eastAsia="Calibri" w:hAnsi="Calibri Light" w:cs="Calibri Light"/>
                <w:sz w:val="20"/>
                <w:szCs w:val="20"/>
              </w:rPr>
              <w:t xml:space="preserve"> </w:t>
            </w:r>
            <w:r w:rsidR="00334EA7" w:rsidRPr="00334EA7">
              <w:rPr>
                <w:rFonts w:ascii="Calibri Light" w:eastAsia="Calibri" w:hAnsi="Calibri Light" w:cs="Calibri Light"/>
                <w:color w:val="0070C0"/>
                <w:sz w:val="20"/>
                <w:szCs w:val="20"/>
              </w:rPr>
              <w:t xml:space="preserve">cinco </w:t>
            </w:r>
            <w:r w:rsidRPr="00334EA7">
              <w:rPr>
                <w:rFonts w:ascii="Calibri Light" w:eastAsia="Calibri" w:hAnsi="Calibri Light" w:cs="Calibri Light"/>
                <w:strike/>
                <w:color w:val="0070C0"/>
                <w:sz w:val="20"/>
                <w:szCs w:val="20"/>
              </w:rPr>
              <w:t>ochenta y tres</w:t>
            </w:r>
            <w:r w:rsidRPr="00B91B39">
              <w:rPr>
                <w:rFonts w:ascii="Calibri Light" w:eastAsia="Calibri" w:hAnsi="Calibri Light" w:cs="Calibri Light"/>
                <w:sz w:val="20"/>
                <w:szCs w:val="20"/>
              </w:rPr>
              <w:t xml:space="preserve"> por ciento).</w:t>
            </w:r>
          </w:p>
          <w:p w14:paraId="32B08A53" w14:textId="77777777" w:rsidR="002563BD" w:rsidRDefault="00E72F3C" w:rsidP="00041C36">
            <w:pPr>
              <w:jc w:val="both"/>
              <w:rPr>
                <w:rFonts w:ascii="Calibri Light" w:eastAsia="Calibri" w:hAnsi="Calibri Light" w:cs="Calibri Light"/>
                <w:sz w:val="20"/>
                <w:szCs w:val="20"/>
              </w:rPr>
            </w:pPr>
            <w:r w:rsidRPr="00B91B39">
              <w:rPr>
                <w:rFonts w:ascii="Calibri Light" w:eastAsia="Calibri" w:hAnsi="Calibri Light" w:cs="Calibri Light"/>
                <w:sz w:val="20"/>
                <w:szCs w:val="20"/>
              </w:rPr>
              <w:t>• Disponibilidad del Enlace Dedicado con redundancia: 99.</w:t>
            </w:r>
            <w:r w:rsidR="00334EA7" w:rsidRPr="00334EA7">
              <w:rPr>
                <w:rFonts w:ascii="Calibri Light" w:eastAsia="Calibri" w:hAnsi="Calibri Light" w:cs="Calibri Light"/>
                <w:color w:val="0070C0"/>
                <w:sz w:val="20"/>
                <w:szCs w:val="20"/>
              </w:rPr>
              <w:t>7</w:t>
            </w:r>
            <w:r w:rsidRPr="00334EA7">
              <w:rPr>
                <w:rFonts w:ascii="Calibri Light" w:eastAsia="Calibri" w:hAnsi="Calibri Light" w:cs="Calibri Light"/>
                <w:strike/>
                <w:color w:val="0070C0"/>
                <w:sz w:val="20"/>
                <w:szCs w:val="20"/>
              </w:rPr>
              <w:t>905</w:t>
            </w:r>
            <w:r w:rsidRPr="00B91B39">
              <w:rPr>
                <w:rFonts w:ascii="Calibri Light" w:eastAsia="Calibri" w:hAnsi="Calibri Light" w:cs="Calibri Light"/>
                <w:sz w:val="20"/>
                <w:szCs w:val="20"/>
              </w:rPr>
              <w:t xml:space="preserve">% (noventa y </w:t>
            </w:r>
            <w:proofErr w:type="gramStart"/>
            <w:r w:rsidRPr="00B91B39">
              <w:rPr>
                <w:rFonts w:ascii="Calibri Light" w:eastAsia="Calibri" w:hAnsi="Calibri Light" w:cs="Calibri Light"/>
                <w:sz w:val="20"/>
                <w:szCs w:val="20"/>
              </w:rPr>
              <w:t>nueve punto</w:t>
            </w:r>
            <w:proofErr w:type="gramEnd"/>
            <w:r w:rsidRPr="00B91B39">
              <w:rPr>
                <w:rFonts w:ascii="Calibri Light" w:eastAsia="Calibri" w:hAnsi="Calibri Light" w:cs="Calibri Light"/>
                <w:sz w:val="20"/>
                <w:szCs w:val="20"/>
              </w:rPr>
              <w:t xml:space="preserve"> </w:t>
            </w:r>
            <w:r w:rsidR="00334EA7" w:rsidRPr="00334EA7">
              <w:rPr>
                <w:rFonts w:ascii="Calibri Light" w:eastAsia="Calibri" w:hAnsi="Calibri Light" w:cs="Calibri Light"/>
                <w:color w:val="0070C0"/>
                <w:sz w:val="20"/>
                <w:szCs w:val="20"/>
              </w:rPr>
              <w:t xml:space="preserve">siete </w:t>
            </w:r>
            <w:r w:rsidRPr="00334EA7">
              <w:rPr>
                <w:rFonts w:ascii="Calibri Light" w:eastAsia="Calibri" w:hAnsi="Calibri Light" w:cs="Calibri Light"/>
                <w:strike/>
                <w:color w:val="0070C0"/>
                <w:sz w:val="20"/>
                <w:szCs w:val="20"/>
              </w:rPr>
              <w:t>novecientos cinco</w:t>
            </w:r>
            <w:r w:rsidRPr="00334EA7">
              <w:rPr>
                <w:rFonts w:ascii="Calibri Light" w:eastAsia="Calibri" w:hAnsi="Calibri Light" w:cs="Calibri Light"/>
                <w:color w:val="0070C0"/>
                <w:sz w:val="20"/>
                <w:szCs w:val="20"/>
              </w:rPr>
              <w:t xml:space="preserve"> </w:t>
            </w:r>
            <w:r w:rsidRPr="00B91B39">
              <w:rPr>
                <w:rFonts w:ascii="Calibri Light" w:eastAsia="Calibri" w:hAnsi="Calibri Light" w:cs="Calibri Light"/>
                <w:sz w:val="20"/>
                <w:szCs w:val="20"/>
              </w:rPr>
              <w:t>por ciento).</w:t>
            </w:r>
          </w:p>
          <w:p w14:paraId="23B319BB" w14:textId="77777777" w:rsidR="007B01DF" w:rsidRDefault="007B01DF" w:rsidP="00041C36">
            <w:pPr>
              <w:jc w:val="both"/>
              <w:rPr>
                <w:rFonts w:ascii="Calibri Light" w:eastAsia="Calibri" w:hAnsi="Calibri Light" w:cs="Calibri Light"/>
                <w:sz w:val="20"/>
                <w:szCs w:val="20"/>
              </w:rPr>
            </w:pPr>
          </w:p>
          <w:p w14:paraId="2A514B18" w14:textId="3C95ACB1" w:rsidR="009D0A27" w:rsidRPr="00687D49" w:rsidRDefault="009D0A27" w:rsidP="00041C36">
            <w:pPr>
              <w:jc w:val="both"/>
              <w:rPr>
                <w:rFonts w:ascii="Calibri Light" w:eastAsia="Calibri" w:hAnsi="Calibri Light" w:cs="Calibri Light"/>
                <w:sz w:val="20"/>
                <w:szCs w:val="20"/>
              </w:rPr>
            </w:pPr>
          </w:p>
        </w:tc>
        <w:tc>
          <w:tcPr>
            <w:tcW w:w="5893" w:type="dxa"/>
            <w:vMerge w:val="restart"/>
          </w:tcPr>
          <w:p w14:paraId="269E6B73" w14:textId="77777777" w:rsidR="00786807" w:rsidRPr="00786807" w:rsidRDefault="00786807" w:rsidP="00786807">
            <w:pPr>
              <w:jc w:val="both"/>
              <w:rPr>
                <w:rFonts w:ascii="Calibri Light" w:eastAsia="Calibri" w:hAnsi="Calibri Light" w:cs="Calibri Light"/>
                <w:sz w:val="20"/>
                <w:szCs w:val="20"/>
              </w:rPr>
            </w:pPr>
            <w:r w:rsidRPr="00786807">
              <w:rPr>
                <w:rFonts w:ascii="Calibri Light" w:eastAsia="Calibri" w:hAnsi="Calibri Light" w:cs="Calibri Light"/>
                <w:sz w:val="20"/>
                <w:szCs w:val="20"/>
              </w:rPr>
              <w:lastRenderedPageBreak/>
              <w:t>En el numeral 2.6.2, se propone que los plazos máximos de reparación para los Enlaces Dedicados que aún operan con tecnología TDM queden establecidos bajo el concepto de “</w:t>
            </w:r>
            <w:proofErr w:type="spellStart"/>
            <w:r w:rsidRPr="00786807">
              <w:rPr>
                <w:rFonts w:ascii="Calibri Light" w:eastAsia="Calibri" w:hAnsi="Calibri Light" w:cs="Calibri Light"/>
                <w:sz w:val="20"/>
                <w:szCs w:val="20"/>
              </w:rPr>
              <w:t>Best</w:t>
            </w:r>
            <w:proofErr w:type="spellEnd"/>
            <w:r w:rsidRPr="00786807">
              <w:rPr>
                <w:rFonts w:ascii="Calibri Light" w:eastAsia="Calibri" w:hAnsi="Calibri Light" w:cs="Calibri Light"/>
                <w:sz w:val="20"/>
                <w:szCs w:val="20"/>
              </w:rPr>
              <w:t xml:space="preserve"> </w:t>
            </w:r>
            <w:proofErr w:type="spellStart"/>
            <w:r w:rsidRPr="00786807">
              <w:rPr>
                <w:rFonts w:ascii="Calibri Light" w:eastAsia="Calibri" w:hAnsi="Calibri Light" w:cs="Calibri Light"/>
                <w:sz w:val="20"/>
                <w:szCs w:val="20"/>
              </w:rPr>
              <w:t>Effort</w:t>
            </w:r>
            <w:proofErr w:type="spellEnd"/>
            <w:r w:rsidRPr="00786807">
              <w:rPr>
                <w:rFonts w:ascii="Calibri Light" w:eastAsia="Calibri" w:hAnsi="Calibri Light" w:cs="Calibri Light"/>
                <w:sz w:val="20"/>
                <w:szCs w:val="20"/>
              </w:rPr>
              <w:t>” (“Mejor Esfuerzo”). Para ello, se sugiere incorporar en el recuadro correspondiente a la reparación de enlaces TDM, sin importar el nivel de prioridad, el siguiente texto:</w:t>
            </w:r>
          </w:p>
          <w:p w14:paraId="268CE0B0" w14:textId="77777777" w:rsidR="00786807" w:rsidRPr="00786807" w:rsidRDefault="00786807" w:rsidP="00786807">
            <w:pPr>
              <w:jc w:val="both"/>
              <w:rPr>
                <w:rFonts w:ascii="Calibri Light" w:eastAsia="Calibri" w:hAnsi="Calibri Light" w:cs="Calibri Light"/>
                <w:sz w:val="20"/>
                <w:szCs w:val="20"/>
              </w:rPr>
            </w:pPr>
          </w:p>
          <w:p w14:paraId="0594857A" w14:textId="445B09CB" w:rsidR="00786807" w:rsidRPr="00786807" w:rsidRDefault="00786807" w:rsidP="00786807">
            <w:pPr>
              <w:jc w:val="both"/>
              <w:rPr>
                <w:rFonts w:ascii="Calibri Light" w:eastAsia="Calibri" w:hAnsi="Calibri Light" w:cs="Calibri Light"/>
                <w:i/>
                <w:sz w:val="18"/>
                <w:szCs w:val="20"/>
              </w:rPr>
            </w:pPr>
            <w:r w:rsidRPr="00786807">
              <w:rPr>
                <w:rFonts w:ascii="Calibri Light" w:eastAsia="Calibri" w:hAnsi="Calibri Light" w:cs="Calibri Light"/>
                <w:i/>
                <w:sz w:val="18"/>
                <w:szCs w:val="20"/>
              </w:rPr>
              <w:t xml:space="preserve">“Como consecuencia de la obsolescencia tecnológica mundial de TDM, fin de soporte técnico, falta de refacciones y suministro de equipos, no es posible calcular un plazo máximo de reparación, ni garantizar parámetros de </w:t>
            </w:r>
            <w:r w:rsidRPr="00786807">
              <w:rPr>
                <w:rFonts w:ascii="Calibri Light" w:eastAsia="Calibri" w:hAnsi="Calibri Light" w:cs="Calibri Light"/>
                <w:i/>
                <w:sz w:val="18"/>
                <w:szCs w:val="20"/>
              </w:rPr>
              <w:lastRenderedPageBreak/>
              <w:t>disponibilidad. Por lo que los plazos de reparación para los Enlaces Dedicados con tecnología TDM se atenderán bajo el concepto de “</w:t>
            </w:r>
            <w:proofErr w:type="spellStart"/>
            <w:r w:rsidRPr="00786807">
              <w:rPr>
                <w:rFonts w:ascii="Calibri Light" w:eastAsia="Calibri" w:hAnsi="Calibri Light" w:cs="Calibri Light"/>
                <w:i/>
                <w:sz w:val="18"/>
                <w:szCs w:val="20"/>
              </w:rPr>
              <w:t>Best</w:t>
            </w:r>
            <w:proofErr w:type="spellEnd"/>
            <w:r w:rsidRPr="00786807">
              <w:rPr>
                <w:rFonts w:ascii="Calibri Light" w:eastAsia="Calibri" w:hAnsi="Calibri Light" w:cs="Calibri Light"/>
                <w:i/>
                <w:sz w:val="18"/>
                <w:szCs w:val="20"/>
              </w:rPr>
              <w:t xml:space="preserve"> </w:t>
            </w:r>
            <w:proofErr w:type="spellStart"/>
            <w:r w:rsidRPr="00786807">
              <w:rPr>
                <w:rFonts w:ascii="Calibri Light" w:eastAsia="Calibri" w:hAnsi="Calibri Light" w:cs="Calibri Light"/>
                <w:i/>
                <w:sz w:val="18"/>
                <w:szCs w:val="20"/>
              </w:rPr>
              <w:t>Effort</w:t>
            </w:r>
            <w:proofErr w:type="spellEnd"/>
            <w:r w:rsidRPr="00786807">
              <w:rPr>
                <w:rFonts w:ascii="Calibri Light" w:eastAsia="Calibri" w:hAnsi="Calibri Light" w:cs="Calibri Light"/>
                <w:i/>
                <w:sz w:val="18"/>
                <w:szCs w:val="20"/>
              </w:rPr>
              <w:t>” (Mejor Esfuerzo).”</w:t>
            </w:r>
          </w:p>
          <w:p w14:paraId="2DD13C03" w14:textId="77777777" w:rsidR="00786807" w:rsidRPr="00786807" w:rsidRDefault="00786807" w:rsidP="00786807">
            <w:pPr>
              <w:jc w:val="both"/>
              <w:rPr>
                <w:rFonts w:ascii="Calibri Light" w:eastAsia="Calibri" w:hAnsi="Calibri Light" w:cs="Calibri Light"/>
                <w:sz w:val="20"/>
                <w:szCs w:val="20"/>
              </w:rPr>
            </w:pPr>
          </w:p>
          <w:p w14:paraId="299657DB" w14:textId="4EF81CC0" w:rsidR="001B1935" w:rsidRDefault="00786807" w:rsidP="00786807">
            <w:pPr>
              <w:jc w:val="both"/>
              <w:rPr>
                <w:rFonts w:ascii="Calibri Light" w:eastAsia="Calibri" w:hAnsi="Calibri Light" w:cs="Calibri Light"/>
                <w:sz w:val="20"/>
                <w:szCs w:val="20"/>
              </w:rPr>
            </w:pPr>
            <w:r w:rsidRPr="00786807">
              <w:rPr>
                <w:rFonts w:ascii="Calibri Light" w:eastAsia="Calibri" w:hAnsi="Calibri Light" w:cs="Calibri Light"/>
                <w:sz w:val="20"/>
                <w:szCs w:val="20"/>
              </w:rPr>
              <w:t>Esta propuesta se sustenta en el hecho de que, tal como lo han señalado diversos fabricantes, la tecnología TDM ha cesado su desarrollo, manufactura y soporte técnico, debido a su reemplazo por tecnologías propias de Redes de Nueva Generación (NGN). Incluso en aquellos casos excepcionales en los que algún proveedor o fabricante asociado a Telmex ha ofrecido soporte limitado para esta tecnología, lo ha hecho expresamente bajo el esquema de “</w:t>
            </w:r>
            <w:proofErr w:type="spellStart"/>
            <w:r w:rsidRPr="00786807">
              <w:rPr>
                <w:rFonts w:ascii="Calibri Light" w:eastAsia="Calibri" w:hAnsi="Calibri Light" w:cs="Calibri Light"/>
                <w:sz w:val="20"/>
                <w:szCs w:val="20"/>
              </w:rPr>
              <w:t>Best</w:t>
            </w:r>
            <w:proofErr w:type="spellEnd"/>
            <w:r w:rsidRPr="00786807">
              <w:rPr>
                <w:rFonts w:ascii="Calibri Light" w:eastAsia="Calibri" w:hAnsi="Calibri Light" w:cs="Calibri Light"/>
                <w:sz w:val="20"/>
                <w:szCs w:val="20"/>
              </w:rPr>
              <w:t xml:space="preserve"> </w:t>
            </w:r>
            <w:proofErr w:type="spellStart"/>
            <w:r w:rsidRPr="00786807">
              <w:rPr>
                <w:rFonts w:ascii="Calibri Light" w:eastAsia="Calibri" w:hAnsi="Calibri Light" w:cs="Calibri Light"/>
                <w:sz w:val="20"/>
                <w:szCs w:val="20"/>
              </w:rPr>
              <w:t>Effort</w:t>
            </w:r>
            <w:proofErr w:type="spellEnd"/>
            <w:r w:rsidRPr="00786807">
              <w:rPr>
                <w:rFonts w:ascii="Calibri Light" w:eastAsia="Calibri" w:hAnsi="Calibri Light" w:cs="Calibri Light"/>
                <w:sz w:val="20"/>
                <w:szCs w:val="20"/>
              </w:rPr>
              <w:t>”, lo que implica que Telmex y Telnor enfrentan un riesgo operativo permanente ante la posible falta de refacciones o soporte técnico en caso de falla</w:t>
            </w:r>
            <w:r>
              <w:rPr>
                <w:rFonts w:ascii="Calibri Light" w:eastAsia="Calibri" w:hAnsi="Calibri Light" w:cs="Calibri Light"/>
                <w:sz w:val="20"/>
                <w:szCs w:val="20"/>
              </w:rPr>
              <w:t>.</w:t>
            </w:r>
          </w:p>
          <w:p w14:paraId="1F73CD8A" w14:textId="7BFC198C" w:rsidR="00786807" w:rsidRDefault="00786807" w:rsidP="00786807">
            <w:pPr>
              <w:jc w:val="both"/>
              <w:rPr>
                <w:rFonts w:ascii="Calibri Light" w:eastAsia="Calibri" w:hAnsi="Calibri Light" w:cs="Calibri Light"/>
                <w:sz w:val="20"/>
                <w:szCs w:val="20"/>
              </w:rPr>
            </w:pPr>
          </w:p>
          <w:p w14:paraId="44C1F72D" w14:textId="79CCC1C3" w:rsidR="00732A23" w:rsidRPr="00732A23" w:rsidRDefault="00732A23" w:rsidP="00732A23">
            <w:pPr>
              <w:jc w:val="both"/>
              <w:rPr>
                <w:rFonts w:ascii="Calibri Light" w:eastAsia="Calibri" w:hAnsi="Calibri Light" w:cs="Calibri Light"/>
                <w:sz w:val="20"/>
                <w:szCs w:val="20"/>
              </w:rPr>
            </w:pPr>
            <w:r w:rsidRPr="00732A23">
              <w:rPr>
                <w:rFonts w:ascii="Calibri Light" w:eastAsia="Calibri" w:hAnsi="Calibri Light" w:cs="Calibri Light"/>
                <w:sz w:val="20"/>
                <w:szCs w:val="20"/>
              </w:rPr>
              <w:t xml:space="preserve">En relación con los Enlaces Dedicados Ethernet, se solicita al Instituto que permita aplicar el mismo criterio en materia de plazos de reparación que ya fue expresamente aprobado por el propio Instituto en la Oferta de Referencia mayorista de Altán Redes, S.A.P.I. de </w:t>
            </w:r>
            <w:proofErr w:type="gramStart"/>
            <w:r w:rsidRPr="00732A23">
              <w:rPr>
                <w:rFonts w:ascii="Calibri Light" w:eastAsia="Calibri" w:hAnsi="Calibri Light" w:cs="Calibri Light"/>
                <w:sz w:val="20"/>
                <w:szCs w:val="20"/>
              </w:rPr>
              <w:t>C.V</w:t>
            </w:r>
            <w:proofErr w:type="gramEnd"/>
            <w:r>
              <w:rPr>
                <w:rStyle w:val="Refdenotaalpie"/>
                <w:rFonts w:ascii="Century Gothic" w:hAnsi="Century Gothic"/>
                <w:sz w:val="24"/>
                <w:szCs w:val="24"/>
              </w:rPr>
              <w:footnoteReference w:id="2"/>
            </w:r>
            <w:r w:rsidRPr="00732A23">
              <w:rPr>
                <w:rFonts w:ascii="Calibri Light" w:eastAsia="Calibri" w:hAnsi="Calibri Light" w:cs="Calibri Light"/>
                <w:sz w:val="20"/>
                <w:szCs w:val="20"/>
              </w:rPr>
              <w:t xml:space="preserve">. En dicha resolución, el IFT validó expresamente los plazos diferenciados de atención previstos en el Apéndice </w:t>
            </w:r>
            <w:r w:rsidR="00C61D72">
              <w:rPr>
                <w:rFonts w:ascii="Calibri Light" w:eastAsia="Calibri" w:hAnsi="Calibri Light" w:cs="Calibri Light"/>
                <w:sz w:val="20"/>
                <w:szCs w:val="20"/>
              </w:rPr>
              <w:t>1</w:t>
            </w:r>
            <w:r w:rsidRPr="00732A23">
              <w:rPr>
                <w:rFonts w:ascii="Calibri Light" w:eastAsia="Calibri" w:hAnsi="Calibri Light" w:cs="Calibri Light"/>
                <w:sz w:val="20"/>
                <w:szCs w:val="20"/>
              </w:rPr>
              <w:t xml:space="preserve">6.5 </w:t>
            </w:r>
            <w:r w:rsidR="009F5DC1" w:rsidRPr="00732A23">
              <w:rPr>
                <w:rFonts w:ascii="Calibri Light" w:eastAsia="Calibri" w:hAnsi="Calibri Light" w:cs="Calibri Light"/>
                <w:sz w:val="20"/>
                <w:szCs w:val="20"/>
              </w:rPr>
              <w:t xml:space="preserve">inciso a) del numeral 5.3 </w:t>
            </w:r>
            <w:r w:rsidRPr="00732A23">
              <w:rPr>
                <w:rFonts w:ascii="Calibri Light" w:eastAsia="Calibri" w:hAnsi="Calibri Light" w:cs="Calibri Light"/>
                <w:sz w:val="20"/>
                <w:szCs w:val="20"/>
              </w:rPr>
              <w:t xml:space="preserve">“Acuerdo de Nivel de Servicios y Gestión de Incidencias”, aplicables a los servicios LAN TO LAN. </w:t>
            </w:r>
            <w:r w:rsidR="009F5DC1">
              <w:rPr>
                <w:rFonts w:ascii="Calibri Light" w:eastAsia="Calibri" w:hAnsi="Calibri Light" w:cs="Calibri Light"/>
                <w:sz w:val="20"/>
                <w:szCs w:val="20"/>
              </w:rPr>
              <w:t>Donde</w:t>
            </w:r>
            <w:r w:rsidRPr="00732A23">
              <w:rPr>
                <w:rFonts w:ascii="Calibri Light" w:eastAsia="Calibri" w:hAnsi="Calibri Light" w:cs="Calibri Light"/>
                <w:sz w:val="20"/>
                <w:szCs w:val="20"/>
              </w:rPr>
              <w:t xml:space="preserve"> establece tres niveles de atención con tiempos de reparación distintos, lo que permite una gestión más realista y adecuada a las condiciones técnicas y operativas del país.</w:t>
            </w:r>
          </w:p>
          <w:p w14:paraId="603456B5" w14:textId="77777777" w:rsidR="00732A23" w:rsidRPr="00732A23" w:rsidRDefault="00732A23" w:rsidP="00732A23">
            <w:pPr>
              <w:jc w:val="both"/>
              <w:rPr>
                <w:rFonts w:ascii="Calibri Light" w:eastAsia="Calibri" w:hAnsi="Calibri Light" w:cs="Calibri Light"/>
                <w:sz w:val="20"/>
                <w:szCs w:val="20"/>
              </w:rPr>
            </w:pPr>
          </w:p>
          <w:p w14:paraId="52EF4408" w14:textId="1A8F93A1" w:rsidR="00732A23" w:rsidRPr="00732A23" w:rsidRDefault="00732A23" w:rsidP="00732A23">
            <w:pPr>
              <w:jc w:val="both"/>
              <w:rPr>
                <w:rFonts w:ascii="Calibri Light" w:eastAsia="Calibri" w:hAnsi="Calibri Light" w:cs="Calibri Light"/>
                <w:sz w:val="20"/>
                <w:szCs w:val="20"/>
              </w:rPr>
            </w:pPr>
            <w:r w:rsidRPr="00732A23">
              <w:rPr>
                <w:rFonts w:ascii="Calibri Light" w:eastAsia="Calibri" w:hAnsi="Calibri Light" w:cs="Calibri Light"/>
                <w:sz w:val="20"/>
                <w:szCs w:val="20"/>
              </w:rPr>
              <w:t xml:space="preserve">Esta condición fue aprobada por el Instituto mediante la Resolución </w:t>
            </w:r>
            <w:r w:rsidR="007F3531" w:rsidRPr="007F3531">
              <w:rPr>
                <w:rFonts w:ascii="Calibri Light" w:eastAsia="Calibri" w:hAnsi="Calibri Light" w:cs="Calibri Light"/>
                <w:sz w:val="20"/>
                <w:szCs w:val="20"/>
              </w:rPr>
              <w:t>P/IFT/210218/119</w:t>
            </w:r>
            <w:r w:rsidRPr="00732A23">
              <w:rPr>
                <w:rFonts w:ascii="Calibri Light" w:eastAsia="Calibri" w:hAnsi="Calibri Light" w:cs="Calibri Light"/>
                <w:sz w:val="20"/>
                <w:szCs w:val="20"/>
              </w:rPr>
              <w:t xml:space="preserve">, emitida el </w:t>
            </w:r>
            <w:r w:rsidR="007F3531" w:rsidRPr="007F3531">
              <w:rPr>
                <w:rFonts w:ascii="Calibri Light" w:eastAsia="Calibri" w:hAnsi="Calibri Light" w:cs="Calibri Light"/>
                <w:sz w:val="20"/>
                <w:szCs w:val="20"/>
              </w:rPr>
              <w:t>21 de febrero de 2018</w:t>
            </w:r>
            <w:r w:rsidRPr="00732A23">
              <w:rPr>
                <w:rFonts w:ascii="Calibri Light" w:eastAsia="Calibri" w:hAnsi="Calibri Light" w:cs="Calibri Light"/>
                <w:sz w:val="20"/>
                <w:szCs w:val="20"/>
              </w:rPr>
              <w:t>.</w:t>
            </w:r>
          </w:p>
          <w:p w14:paraId="4011BE6C" w14:textId="77777777" w:rsidR="00732A23" w:rsidRPr="00732A23" w:rsidRDefault="00732A23" w:rsidP="00732A23">
            <w:pPr>
              <w:jc w:val="both"/>
              <w:rPr>
                <w:rFonts w:ascii="Calibri Light" w:eastAsia="Calibri" w:hAnsi="Calibri Light" w:cs="Calibri Light"/>
                <w:sz w:val="20"/>
                <w:szCs w:val="20"/>
              </w:rPr>
            </w:pPr>
          </w:p>
          <w:p w14:paraId="03C31512" w14:textId="77777777" w:rsidR="00732A23" w:rsidRPr="00732A23" w:rsidRDefault="00732A23" w:rsidP="00732A23">
            <w:pPr>
              <w:jc w:val="both"/>
              <w:rPr>
                <w:rFonts w:ascii="Calibri Light" w:eastAsia="Calibri" w:hAnsi="Calibri Light" w:cs="Calibri Light"/>
                <w:sz w:val="20"/>
                <w:szCs w:val="20"/>
              </w:rPr>
            </w:pPr>
            <w:r w:rsidRPr="00732A23">
              <w:rPr>
                <w:rFonts w:ascii="Calibri Light" w:eastAsia="Calibri" w:hAnsi="Calibri Light" w:cs="Calibri Light"/>
                <w:sz w:val="20"/>
                <w:szCs w:val="20"/>
              </w:rPr>
              <w:t>A continuación, se transcribe el fragmento relevante:</w:t>
            </w:r>
          </w:p>
          <w:p w14:paraId="6E0C133A" w14:textId="77777777" w:rsidR="00732A23" w:rsidRPr="00732A23" w:rsidRDefault="00732A23" w:rsidP="00732A23">
            <w:pPr>
              <w:jc w:val="both"/>
              <w:rPr>
                <w:rFonts w:ascii="Calibri Light" w:eastAsia="Calibri" w:hAnsi="Calibri Light" w:cs="Calibri Light"/>
                <w:sz w:val="20"/>
                <w:szCs w:val="20"/>
              </w:rPr>
            </w:pPr>
          </w:p>
          <w:p w14:paraId="7BCDAB3C" w14:textId="4DDE88EF" w:rsidR="00070FDF" w:rsidRPr="00476935" w:rsidRDefault="00732A23" w:rsidP="003775C0">
            <w:pPr>
              <w:ind w:left="317"/>
              <w:jc w:val="both"/>
              <w:rPr>
                <w:rFonts w:ascii="Calibri Light" w:eastAsia="Calibri" w:hAnsi="Calibri Light" w:cs="Calibri Light"/>
                <w:i/>
                <w:iCs/>
                <w:sz w:val="20"/>
                <w:szCs w:val="20"/>
              </w:rPr>
            </w:pPr>
            <w:r>
              <w:rPr>
                <w:rFonts w:ascii="Calibri Light" w:eastAsia="Calibri" w:hAnsi="Calibri Light" w:cs="Calibri Light"/>
                <w:sz w:val="20"/>
                <w:szCs w:val="20"/>
              </w:rPr>
              <w:t xml:space="preserve"> </w:t>
            </w:r>
            <w:r w:rsidR="00476935">
              <w:rPr>
                <w:rFonts w:ascii="Calibri Light" w:eastAsia="Calibri" w:hAnsi="Calibri Light" w:cs="Calibri Light"/>
                <w:sz w:val="20"/>
                <w:szCs w:val="20"/>
              </w:rPr>
              <w:t>“</w:t>
            </w:r>
            <w:proofErr w:type="gramStart"/>
            <w:r w:rsidR="00070FDF" w:rsidRPr="00476935">
              <w:rPr>
                <w:rFonts w:ascii="Calibri Light" w:eastAsia="Calibri" w:hAnsi="Calibri Light" w:cs="Calibri Light"/>
                <w:i/>
                <w:iCs/>
                <w:sz w:val="20"/>
                <w:szCs w:val="20"/>
              </w:rPr>
              <w:t>5.3  Indicadores</w:t>
            </w:r>
            <w:proofErr w:type="gramEnd"/>
            <w:r w:rsidR="00070FDF" w:rsidRPr="00476935">
              <w:rPr>
                <w:rFonts w:ascii="Calibri Light" w:eastAsia="Calibri" w:hAnsi="Calibri Light" w:cs="Calibri Light"/>
                <w:i/>
                <w:iCs/>
                <w:sz w:val="20"/>
                <w:szCs w:val="20"/>
              </w:rPr>
              <w:t xml:space="preserve"> de Calidad de la Resolución de Incidencias.  </w:t>
            </w:r>
          </w:p>
          <w:p w14:paraId="34D98A18" w14:textId="48128756" w:rsidR="00070FDF" w:rsidRDefault="00070FDF" w:rsidP="003775C0">
            <w:pPr>
              <w:ind w:left="317"/>
              <w:jc w:val="both"/>
              <w:rPr>
                <w:rFonts w:ascii="Calibri Light" w:eastAsia="Calibri" w:hAnsi="Calibri Light" w:cs="Calibri Light"/>
                <w:sz w:val="20"/>
                <w:szCs w:val="20"/>
              </w:rPr>
            </w:pPr>
            <w:r w:rsidRPr="00476935">
              <w:rPr>
                <w:rFonts w:ascii="Calibri Light" w:eastAsia="Calibri" w:hAnsi="Calibri Light" w:cs="Calibri Light"/>
                <w:i/>
                <w:iCs/>
                <w:sz w:val="20"/>
                <w:szCs w:val="20"/>
              </w:rPr>
              <w:t>a) Se definen los siguientes indicadores de calidad para la resolución de</w:t>
            </w:r>
            <w:r w:rsidR="00476935">
              <w:rPr>
                <w:rFonts w:ascii="Calibri Light" w:eastAsia="Calibri" w:hAnsi="Calibri Light" w:cs="Calibri Light"/>
                <w:i/>
                <w:iCs/>
                <w:sz w:val="20"/>
                <w:szCs w:val="20"/>
              </w:rPr>
              <w:t xml:space="preserve"> </w:t>
            </w:r>
            <w:r w:rsidRPr="00476935">
              <w:rPr>
                <w:rFonts w:ascii="Calibri Light" w:eastAsia="Calibri" w:hAnsi="Calibri Light" w:cs="Calibri Light"/>
                <w:i/>
                <w:iCs/>
                <w:sz w:val="20"/>
                <w:szCs w:val="20"/>
              </w:rPr>
              <w:t>incidencias:</w:t>
            </w:r>
          </w:p>
          <w:p w14:paraId="069F9191" w14:textId="7822C7F2" w:rsidR="00070FDF" w:rsidRDefault="00070FDF" w:rsidP="00732A23">
            <w:pPr>
              <w:ind w:left="317"/>
              <w:jc w:val="both"/>
              <w:rPr>
                <w:rFonts w:ascii="Calibri Light" w:eastAsia="Calibri" w:hAnsi="Calibri Light" w:cs="Calibri Light"/>
                <w:sz w:val="20"/>
                <w:szCs w:val="20"/>
              </w:rPr>
            </w:pPr>
            <w:r>
              <w:rPr>
                <w:noProof/>
                <w:lang w:eastAsia="es-MX"/>
              </w:rPr>
              <w:lastRenderedPageBreak/>
              <w:drawing>
                <wp:inline distT="0" distB="0" distL="0" distR="0" wp14:anchorId="33BDE73D" wp14:editId="22FA1605">
                  <wp:extent cx="2971800" cy="768824"/>
                  <wp:effectExtent l="0" t="0" r="0" b="0"/>
                  <wp:docPr id="201395704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957048" name=""/>
                          <pic:cNvPicPr/>
                        </pic:nvPicPr>
                        <pic:blipFill rotWithShape="1">
                          <a:blip r:embed="rId11"/>
                          <a:srcRect b="64610"/>
                          <a:stretch>
                            <a:fillRect/>
                          </a:stretch>
                        </pic:blipFill>
                        <pic:spPr bwMode="auto">
                          <a:xfrm>
                            <a:off x="0" y="0"/>
                            <a:ext cx="2985650" cy="772407"/>
                          </a:xfrm>
                          <a:prstGeom prst="rect">
                            <a:avLst/>
                          </a:prstGeom>
                          <a:ln>
                            <a:noFill/>
                          </a:ln>
                          <a:extLst>
                            <a:ext uri="{53640926-AAD7-44D8-BBD7-CCE9431645EC}">
                              <a14:shadowObscured xmlns:a14="http://schemas.microsoft.com/office/drawing/2010/main"/>
                            </a:ext>
                          </a:extLst>
                        </pic:spPr>
                      </pic:pic>
                    </a:graphicData>
                  </a:graphic>
                </wp:inline>
              </w:drawing>
            </w:r>
            <w:r>
              <w:rPr>
                <w:noProof/>
              </w:rPr>
              <w:t xml:space="preserve"> </w:t>
            </w:r>
            <w:r>
              <w:rPr>
                <w:noProof/>
                <w:lang w:eastAsia="es-MX"/>
              </w:rPr>
              <w:drawing>
                <wp:inline distT="0" distB="0" distL="0" distR="0" wp14:anchorId="340B41E6" wp14:editId="45FA7BC0">
                  <wp:extent cx="2971800" cy="331679"/>
                  <wp:effectExtent l="0" t="0" r="0" b="0"/>
                  <wp:docPr id="51410816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108160" name=""/>
                          <pic:cNvPicPr/>
                        </pic:nvPicPr>
                        <pic:blipFill rotWithShape="1">
                          <a:blip r:embed="rId11"/>
                          <a:srcRect t="84732"/>
                          <a:stretch>
                            <a:fillRect/>
                          </a:stretch>
                        </pic:blipFill>
                        <pic:spPr bwMode="auto">
                          <a:xfrm>
                            <a:off x="0" y="0"/>
                            <a:ext cx="3082103" cy="343990"/>
                          </a:xfrm>
                          <a:prstGeom prst="rect">
                            <a:avLst/>
                          </a:prstGeom>
                          <a:ln>
                            <a:noFill/>
                          </a:ln>
                          <a:extLst>
                            <a:ext uri="{53640926-AAD7-44D8-BBD7-CCE9431645EC}">
                              <a14:shadowObscured xmlns:a14="http://schemas.microsoft.com/office/drawing/2010/main"/>
                            </a:ext>
                          </a:extLst>
                        </pic:spPr>
                      </pic:pic>
                    </a:graphicData>
                  </a:graphic>
                </wp:inline>
              </w:drawing>
            </w:r>
            <w:r w:rsidR="00476935">
              <w:rPr>
                <w:rFonts w:ascii="Calibri Light" w:eastAsia="Calibri" w:hAnsi="Calibri Light" w:cs="Calibri Light"/>
                <w:sz w:val="20"/>
                <w:szCs w:val="20"/>
              </w:rPr>
              <w:t>“</w:t>
            </w:r>
          </w:p>
          <w:p w14:paraId="695D9855" w14:textId="77777777" w:rsidR="00732A23" w:rsidRDefault="00732A23" w:rsidP="00D92D1E">
            <w:pPr>
              <w:jc w:val="both"/>
              <w:rPr>
                <w:rFonts w:ascii="Calibri Light" w:eastAsia="Calibri" w:hAnsi="Calibri Light" w:cs="Calibri Light"/>
                <w:sz w:val="20"/>
                <w:szCs w:val="20"/>
              </w:rPr>
            </w:pPr>
          </w:p>
          <w:p w14:paraId="005A7C0B" w14:textId="21BF30C4" w:rsidR="00F4208E" w:rsidRDefault="00F4208E" w:rsidP="00F4208E">
            <w:pPr>
              <w:jc w:val="both"/>
              <w:rPr>
                <w:rFonts w:ascii="Calibri Light" w:eastAsia="Calibri" w:hAnsi="Calibri Light" w:cs="Calibri Light"/>
                <w:sz w:val="20"/>
                <w:szCs w:val="20"/>
              </w:rPr>
            </w:pPr>
            <w:r w:rsidRPr="00546496">
              <w:rPr>
                <w:rFonts w:ascii="Calibri Light" w:eastAsia="Calibri" w:hAnsi="Calibri Light" w:cs="Calibri Light"/>
                <w:sz w:val="20"/>
                <w:szCs w:val="20"/>
              </w:rPr>
              <w:t>Adicionalmente</w:t>
            </w:r>
            <w:r w:rsidRPr="00F4208E">
              <w:rPr>
                <w:rFonts w:ascii="Calibri Light" w:eastAsia="Calibri" w:hAnsi="Calibri Light" w:cs="Calibri Light"/>
                <w:sz w:val="20"/>
                <w:szCs w:val="20"/>
              </w:rPr>
              <w:t>, se solicita al Instituto considerar que, más allá de que ya ha aprobado plazos de reparación más amplios en la Oferta de Refer</w:t>
            </w:r>
            <w:r w:rsidR="00227D8C">
              <w:rPr>
                <w:rFonts w:ascii="Calibri Light" w:eastAsia="Calibri" w:hAnsi="Calibri Light" w:cs="Calibri Light"/>
                <w:sz w:val="20"/>
                <w:szCs w:val="20"/>
              </w:rPr>
              <w:t>encia mayorista de Altán</w:t>
            </w:r>
            <w:r w:rsidRPr="00F4208E">
              <w:rPr>
                <w:rFonts w:ascii="Calibri Light" w:eastAsia="Calibri" w:hAnsi="Calibri Light" w:cs="Calibri Light"/>
                <w:sz w:val="20"/>
                <w:szCs w:val="20"/>
              </w:rPr>
              <w:t>, uno de los factores más críticos que actualmente limita la capacidad de atención en campo por parte de Telmex y Telnor es el creciente nivel de inseguridad en diversas regiones del país.</w:t>
            </w:r>
          </w:p>
          <w:p w14:paraId="4E742B5B" w14:textId="77777777" w:rsidR="00053658" w:rsidRPr="00F4208E" w:rsidRDefault="00053658" w:rsidP="00F4208E">
            <w:pPr>
              <w:jc w:val="both"/>
              <w:rPr>
                <w:rFonts w:ascii="Calibri Light" w:eastAsia="Calibri" w:hAnsi="Calibri Light" w:cs="Calibri Light"/>
                <w:sz w:val="20"/>
                <w:szCs w:val="20"/>
              </w:rPr>
            </w:pPr>
          </w:p>
          <w:p w14:paraId="2A55500B" w14:textId="77777777" w:rsidR="00F4208E" w:rsidRDefault="00F4208E" w:rsidP="00F4208E">
            <w:pPr>
              <w:jc w:val="both"/>
              <w:rPr>
                <w:rFonts w:ascii="Calibri Light" w:eastAsia="Calibri" w:hAnsi="Calibri Light" w:cs="Calibri Light"/>
                <w:sz w:val="20"/>
                <w:szCs w:val="20"/>
              </w:rPr>
            </w:pPr>
            <w:r w:rsidRPr="00F4208E">
              <w:rPr>
                <w:rFonts w:ascii="Calibri Light" w:eastAsia="Calibri" w:hAnsi="Calibri Light" w:cs="Calibri Light"/>
                <w:sz w:val="20"/>
                <w:szCs w:val="20"/>
              </w:rPr>
              <w:t>De acuerdo con el Informe de Incidencia Delictiva del Secretariado Ejecutivo del Sistema Nacional de Seguridad Pública (corte a mayo de 2025), México registra un promedio diario de 64.5 homicidios dolosos. Este fenómeno se concentra principalmente en siete entidades federativas —Guanajuato, Baja California, Estado de México, Chihuahua, Sinaloa, Guerrero y Jalisco— que en conjunto representan el 51% del total nacional.</w:t>
            </w:r>
          </w:p>
          <w:p w14:paraId="681BBDE6" w14:textId="77777777" w:rsidR="00227D8C" w:rsidRPr="00F4208E" w:rsidRDefault="00227D8C" w:rsidP="00F4208E">
            <w:pPr>
              <w:jc w:val="both"/>
              <w:rPr>
                <w:rFonts w:ascii="Calibri Light" w:eastAsia="Calibri" w:hAnsi="Calibri Light" w:cs="Calibri Light"/>
                <w:sz w:val="20"/>
                <w:szCs w:val="20"/>
              </w:rPr>
            </w:pPr>
          </w:p>
          <w:p w14:paraId="25EC899F" w14:textId="77777777" w:rsidR="00F4208E" w:rsidRDefault="00F4208E" w:rsidP="00F4208E">
            <w:pPr>
              <w:jc w:val="both"/>
              <w:rPr>
                <w:rFonts w:ascii="Calibri Light" w:eastAsia="Calibri" w:hAnsi="Calibri Light" w:cs="Calibri Light"/>
                <w:sz w:val="20"/>
                <w:szCs w:val="20"/>
              </w:rPr>
            </w:pPr>
            <w:r w:rsidRPr="00F4208E">
              <w:rPr>
                <w:rFonts w:ascii="Calibri Light" w:eastAsia="Calibri" w:hAnsi="Calibri Light" w:cs="Calibri Light"/>
                <w:sz w:val="20"/>
                <w:szCs w:val="20"/>
              </w:rPr>
              <w:t>Este entorno de riesgo constante impacta directamente al personal técnico encargado de la instalación y mantenimiento de los Enlaces Dedicados, ya sea con tecnología TDM o Ethernet, pues implica desplazamientos a múltiples zonas, muchas de ellas con altos niveles de violencia y riesgo operativo. Por ello, se considera necesario que el Instituto valore este contexto como un elemento adicional que justifica la adopción de plazos de reparación más realistas y adaptados a la realidad nacional.</w:t>
            </w:r>
          </w:p>
          <w:p w14:paraId="0B511FDD" w14:textId="77777777" w:rsidR="00227D8C" w:rsidRPr="00F4208E" w:rsidRDefault="00227D8C" w:rsidP="00F4208E">
            <w:pPr>
              <w:jc w:val="both"/>
              <w:rPr>
                <w:rFonts w:ascii="Calibri Light" w:eastAsia="Calibri" w:hAnsi="Calibri Light" w:cs="Calibri Light"/>
                <w:sz w:val="20"/>
                <w:szCs w:val="20"/>
              </w:rPr>
            </w:pPr>
          </w:p>
          <w:p w14:paraId="2E086A12" w14:textId="7E684F88" w:rsidR="00063081" w:rsidRDefault="00F4208E" w:rsidP="00F4208E">
            <w:pPr>
              <w:jc w:val="both"/>
              <w:rPr>
                <w:rFonts w:ascii="Calibri Light" w:eastAsia="Calibri" w:hAnsi="Calibri Light" w:cs="Calibri Light"/>
                <w:sz w:val="20"/>
                <w:szCs w:val="20"/>
              </w:rPr>
            </w:pPr>
            <w:r w:rsidRPr="00F4208E">
              <w:rPr>
                <w:rFonts w:ascii="Calibri Light" w:eastAsia="Calibri" w:hAnsi="Calibri Light" w:cs="Calibri Light"/>
                <w:sz w:val="20"/>
                <w:szCs w:val="20"/>
              </w:rPr>
              <w:t>En este sentido, se propone también la ampliación en los tiempos de traslado a sitio establecidos en el Anexo “I” de la Oferta, de manera que el tiempo considerado para atención en zona urbana se incremente de una a dos horas, y en zona suburbana, de dos a cuatro horas. Estas modificaciones buscan reflejar de forma objetiva y verificable las condiciones reales de movilidad y seguridad bajo las cuales se presta el servicio técnico en campo.</w:t>
            </w:r>
          </w:p>
          <w:p w14:paraId="424005B3" w14:textId="77777777" w:rsidR="00227D8C" w:rsidRDefault="00227D8C" w:rsidP="00F4208E">
            <w:pPr>
              <w:jc w:val="both"/>
              <w:rPr>
                <w:rFonts w:ascii="Calibri Light" w:eastAsia="Calibri" w:hAnsi="Calibri Light" w:cs="Calibri Light"/>
                <w:sz w:val="20"/>
                <w:szCs w:val="20"/>
              </w:rPr>
            </w:pPr>
          </w:p>
          <w:p w14:paraId="1FBAB547" w14:textId="622528FD" w:rsidR="00546496" w:rsidRDefault="00546496" w:rsidP="00D92D1E">
            <w:pPr>
              <w:jc w:val="both"/>
              <w:rPr>
                <w:rFonts w:ascii="Calibri Light" w:eastAsia="Calibri" w:hAnsi="Calibri Light" w:cs="Calibri Light"/>
                <w:sz w:val="20"/>
                <w:szCs w:val="20"/>
              </w:rPr>
            </w:pPr>
            <w:r w:rsidRPr="00546496">
              <w:rPr>
                <w:rFonts w:ascii="Calibri Light" w:eastAsia="Calibri" w:hAnsi="Calibri Light" w:cs="Calibri Light"/>
                <w:sz w:val="20"/>
                <w:szCs w:val="20"/>
              </w:rPr>
              <w:lastRenderedPageBreak/>
              <w:t xml:space="preserve">Asimismo, se destaca que el Instituto ha aprobado no solo plazos diferenciados de reparación, sino también rangos de cumplimiento porcentual en diversas Ofertas de Referencia, lo que permite establecer metas operativas realistas sin menoscabar la trazabilidad y supervisión regulatoria. </w:t>
            </w:r>
            <w:r w:rsidR="0059360B">
              <w:rPr>
                <w:rFonts w:ascii="Calibri Light" w:eastAsia="Calibri" w:hAnsi="Calibri Light" w:cs="Calibri Light"/>
                <w:sz w:val="20"/>
                <w:szCs w:val="20"/>
              </w:rPr>
              <w:t>La</w:t>
            </w:r>
            <w:r w:rsidRPr="00546496">
              <w:rPr>
                <w:rFonts w:ascii="Calibri Light" w:eastAsia="Calibri" w:hAnsi="Calibri Light" w:cs="Calibri Light"/>
                <w:sz w:val="20"/>
                <w:szCs w:val="20"/>
              </w:rPr>
              <w:t xml:space="preserve"> misma lógica </w:t>
            </w:r>
            <w:r w:rsidR="0059360B">
              <w:rPr>
                <w:rFonts w:ascii="Calibri Light" w:eastAsia="Calibri" w:hAnsi="Calibri Light" w:cs="Calibri Light"/>
                <w:sz w:val="20"/>
                <w:szCs w:val="20"/>
              </w:rPr>
              <w:t xml:space="preserve">aplicada a Altán </w:t>
            </w:r>
            <w:r w:rsidRPr="00546496">
              <w:rPr>
                <w:rFonts w:ascii="Calibri Light" w:eastAsia="Calibri" w:hAnsi="Calibri Light" w:cs="Calibri Light"/>
                <w:sz w:val="20"/>
                <w:szCs w:val="20"/>
              </w:rPr>
              <w:t xml:space="preserve">ha sido </w:t>
            </w:r>
            <w:r w:rsidR="00BA44A0">
              <w:rPr>
                <w:rFonts w:ascii="Calibri Light" w:eastAsia="Calibri" w:hAnsi="Calibri Light" w:cs="Calibri Light"/>
                <w:sz w:val="20"/>
                <w:szCs w:val="20"/>
              </w:rPr>
              <w:t>aprobada por el Instituto</w:t>
            </w:r>
            <w:r w:rsidRPr="00546496">
              <w:rPr>
                <w:rFonts w:ascii="Calibri Light" w:eastAsia="Calibri" w:hAnsi="Calibri Light" w:cs="Calibri Light"/>
                <w:sz w:val="20"/>
                <w:szCs w:val="20"/>
              </w:rPr>
              <w:t xml:space="preserve"> en la Oferta de Referencia de Desagregación (OREDA) y en la Oferta de Referencia de Compartición de Infraestructura (ORCI) de Telmex y Telnor, donde el Instituto ha validado umbrales porcentuales de cumplimiento respecto a tiempos de instalación, reparación y respuesta, reconociendo así las limitaciones operativas que pueden surgir en distintos contextos técnicos, geográficos y sociales.</w:t>
            </w:r>
            <w:r>
              <w:rPr>
                <w:rFonts w:ascii="Calibri Light" w:eastAsia="Calibri" w:hAnsi="Calibri Light" w:cs="Calibri Light"/>
                <w:sz w:val="20"/>
                <w:szCs w:val="20"/>
              </w:rPr>
              <w:t xml:space="preserve"> </w:t>
            </w:r>
            <w:r w:rsidRPr="00546496">
              <w:rPr>
                <w:rFonts w:ascii="Calibri Light" w:eastAsia="Calibri" w:hAnsi="Calibri Light" w:cs="Calibri Light"/>
                <w:sz w:val="20"/>
                <w:szCs w:val="20"/>
              </w:rPr>
              <w:t>Por tal motivo, se solicita expresamente que en la presente propuesta se utilicen los mismos rangos de cumplimiento porcentual que los aprobados por el Instituto para Altán Redes, en el entendido de que dichos umbrales han demostrado ser técnicamente viables, proporcionales a las capacidades reales de atención en campo, y adecuados para garantizar la supervisión y evaluación regulatoria de los niveles de servici</w:t>
            </w:r>
            <w:r>
              <w:rPr>
                <w:rFonts w:ascii="Calibri Light" w:eastAsia="Calibri" w:hAnsi="Calibri Light" w:cs="Calibri Light"/>
                <w:sz w:val="20"/>
                <w:szCs w:val="20"/>
              </w:rPr>
              <w:t>o.</w:t>
            </w:r>
          </w:p>
          <w:p w14:paraId="2F5BDBA2" w14:textId="5343DBED" w:rsidR="00D92D1E" w:rsidRPr="00015BE9" w:rsidRDefault="00D92D1E" w:rsidP="00D92D1E">
            <w:pPr>
              <w:jc w:val="both"/>
              <w:rPr>
                <w:rFonts w:ascii="Calibri Light" w:eastAsia="Calibri" w:hAnsi="Calibri Light" w:cs="Calibri Light"/>
                <w:sz w:val="20"/>
                <w:szCs w:val="20"/>
              </w:rPr>
            </w:pPr>
            <w:r>
              <w:rPr>
                <w:rFonts w:ascii="Calibri Light" w:eastAsia="Calibri" w:hAnsi="Calibri Light" w:cs="Calibri Light"/>
                <w:sz w:val="20"/>
                <w:szCs w:val="20"/>
              </w:rPr>
              <w:t>--</w:t>
            </w:r>
            <w:r w:rsidR="004766BA">
              <w:rPr>
                <w:rFonts w:ascii="Calibri Light" w:eastAsia="Calibri" w:hAnsi="Calibri Light" w:cs="Calibri Light"/>
                <w:sz w:val="20"/>
                <w:szCs w:val="20"/>
              </w:rPr>
              <w:t>-</w:t>
            </w:r>
          </w:p>
          <w:p w14:paraId="684CC32E" w14:textId="07E27941" w:rsidR="00FD4DAC" w:rsidRDefault="009E1366" w:rsidP="00D92D1E">
            <w:pPr>
              <w:jc w:val="both"/>
              <w:rPr>
                <w:rFonts w:ascii="Calibri Light" w:eastAsia="Calibri" w:hAnsi="Calibri Light" w:cs="Calibri Light"/>
                <w:sz w:val="20"/>
                <w:szCs w:val="20"/>
              </w:rPr>
            </w:pPr>
            <w:r w:rsidRPr="009E1366">
              <w:rPr>
                <w:rFonts w:ascii="Calibri Light" w:eastAsia="Calibri" w:hAnsi="Calibri Light" w:cs="Calibri Light"/>
                <w:sz w:val="20"/>
                <w:szCs w:val="20"/>
              </w:rPr>
              <w:t>Finalmente, respecto al numeral 2.6.5, se pr</w:t>
            </w:r>
            <w:r w:rsidR="00BA44A0">
              <w:rPr>
                <w:rFonts w:ascii="Calibri Light" w:eastAsia="Calibri" w:hAnsi="Calibri Light" w:cs="Calibri Light"/>
                <w:sz w:val="20"/>
                <w:szCs w:val="20"/>
              </w:rPr>
              <w:t>opone eliminar la medición del parámetro de “D</w:t>
            </w:r>
            <w:r w:rsidRPr="009E1366">
              <w:rPr>
                <w:rFonts w:ascii="Calibri Light" w:eastAsia="Calibri" w:hAnsi="Calibri Light" w:cs="Calibri Light"/>
                <w:sz w:val="20"/>
                <w:szCs w:val="20"/>
              </w:rPr>
              <w:t>isponibilidad</w:t>
            </w:r>
            <w:r w:rsidR="00BA44A0">
              <w:rPr>
                <w:rFonts w:ascii="Calibri Light" w:eastAsia="Calibri" w:hAnsi="Calibri Light" w:cs="Calibri Light"/>
                <w:sz w:val="20"/>
                <w:szCs w:val="20"/>
              </w:rPr>
              <w:t>”</w:t>
            </w:r>
            <w:r w:rsidRPr="009E1366">
              <w:rPr>
                <w:rFonts w:ascii="Calibri Light" w:eastAsia="Calibri" w:hAnsi="Calibri Light" w:cs="Calibri Light"/>
                <w:sz w:val="20"/>
                <w:szCs w:val="20"/>
              </w:rPr>
              <w:t xml:space="preserve"> anual para los Enlaces Dedicados que operan con tecnología TDM, ya que no es técnicamente viable aplicar dicho indicador a una tecnología obsoleta. Resulta aún menos adecuado exigir que cumpla con los mismos niveles de disponibilidad establecidos para </w:t>
            </w:r>
            <w:r w:rsidR="00E40295">
              <w:rPr>
                <w:rFonts w:ascii="Calibri Light" w:eastAsia="Calibri" w:hAnsi="Calibri Light" w:cs="Calibri Light"/>
                <w:sz w:val="20"/>
                <w:szCs w:val="20"/>
              </w:rPr>
              <w:t xml:space="preserve">tecnologías de nueva generación, </w:t>
            </w:r>
            <w:r w:rsidR="00D92D1E" w:rsidRPr="00D92D1E">
              <w:rPr>
                <w:rFonts w:ascii="Calibri Light" w:eastAsia="Calibri" w:hAnsi="Calibri Light" w:cs="Calibri Light"/>
                <w:sz w:val="20"/>
                <w:szCs w:val="20"/>
              </w:rPr>
              <w:t xml:space="preserve">con realidades operativas tan distintas no solo </w:t>
            </w:r>
            <w:r w:rsidR="00E40295">
              <w:rPr>
                <w:rFonts w:ascii="Calibri Light" w:eastAsia="Calibri" w:hAnsi="Calibri Light" w:cs="Calibri Light"/>
                <w:sz w:val="20"/>
                <w:szCs w:val="20"/>
              </w:rPr>
              <w:t>resulta</w:t>
            </w:r>
            <w:r w:rsidR="00D92D1E" w:rsidRPr="00D92D1E">
              <w:rPr>
                <w:rFonts w:ascii="Calibri Light" w:eastAsia="Calibri" w:hAnsi="Calibri Light" w:cs="Calibri Light"/>
                <w:sz w:val="20"/>
                <w:szCs w:val="20"/>
              </w:rPr>
              <w:t xml:space="preserve"> improcedente, sino que distorsiona la evaluación del servicio y genera obligaciones imposibles de cumplir.</w:t>
            </w:r>
          </w:p>
          <w:p w14:paraId="63E89F5D" w14:textId="77777777" w:rsidR="00E4538A" w:rsidRDefault="00E4538A" w:rsidP="00D92D1E">
            <w:pPr>
              <w:jc w:val="both"/>
              <w:rPr>
                <w:rFonts w:ascii="Calibri Light" w:eastAsia="Calibri" w:hAnsi="Calibri Light" w:cs="Calibri Light"/>
                <w:sz w:val="20"/>
                <w:szCs w:val="20"/>
              </w:rPr>
            </w:pPr>
          </w:p>
          <w:p w14:paraId="277D2BBE" w14:textId="7C486C5D" w:rsidR="001534A2" w:rsidRDefault="00E40295" w:rsidP="001534A2">
            <w:pPr>
              <w:jc w:val="both"/>
              <w:rPr>
                <w:rFonts w:ascii="Calibri Light" w:eastAsia="Calibri" w:hAnsi="Calibri Light" w:cs="Calibri Light"/>
                <w:sz w:val="20"/>
                <w:szCs w:val="20"/>
              </w:rPr>
            </w:pPr>
            <w:r w:rsidRPr="00E40295">
              <w:rPr>
                <w:rFonts w:ascii="Calibri Light" w:eastAsia="Calibri" w:hAnsi="Calibri Light" w:cs="Calibri Light"/>
                <w:sz w:val="20"/>
                <w:szCs w:val="20"/>
              </w:rPr>
              <w:t>Para los Enlaces Dedicados que operan con tecnología Ethernet, se propone ajustar el</w:t>
            </w:r>
            <w:r w:rsidR="00256AF0">
              <w:rPr>
                <w:rFonts w:ascii="Calibri Light" w:eastAsia="Calibri" w:hAnsi="Calibri Light" w:cs="Calibri Light"/>
                <w:sz w:val="20"/>
                <w:szCs w:val="20"/>
              </w:rPr>
              <w:t xml:space="preserve"> mismo</w:t>
            </w:r>
            <w:r w:rsidRPr="00E40295">
              <w:rPr>
                <w:rFonts w:ascii="Calibri Light" w:eastAsia="Calibri" w:hAnsi="Calibri Light" w:cs="Calibri Light"/>
                <w:sz w:val="20"/>
                <w:szCs w:val="20"/>
              </w:rPr>
              <w:t xml:space="preserve"> </w:t>
            </w:r>
            <w:r w:rsidR="00256AF0">
              <w:rPr>
                <w:rFonts w:ascii="Calibri Light" w:eastAsia="Calibri" w:hAnsi="Calibri Light" w:cs="Calibri Light"/>
                <w:sz w:val="20"/>
                <w:szCs w:val="20"/>
              </w:rPr>
              <w:t>porcentaje</w:t>
            </w:r>
            <w:r w:rsidRPr="00E40295">
              <w:rPr>
                <w:rFonts w:ascii="Calibri Light" w:eastAsia="Calibri" w:hAnsi="Calibri Light" w:cs="Calibri Light"/>
                <w:sz w:val="20"/>
                <w:szCs w:val="20"/>
              </w:rPr>
              <w:t xml:space="preserve"> de disponibilidad aprobado por el Instituto </w:t>
            </w:r>
            <w:r w:rsidR="00283328">
              <w:rPr>
                <w:rFonts w:ascii="Calibri Light" w:eastAsia="Calibri" w:hAnsi="Calibri Light" w:cs="Calibri Light"/>
                <w:sz w:val="20"/>
                <w:szCs w:val="20"/>
              </w:rPr>
              <w:t>para</w:t>
            </w:r>
            <w:r w:rsidRPr="00E40295">
              <w:rPr>
                <w:rFonts w:ascii="Calibri Light" w:eastAsia="Calibri" w:hAnsi="Calibri Light" w:cs="Calibri Light"/>
                <w:sz w:val="20"/>
                <w:szCs w:val="20"/>
              </w:rPr>
              <w:t xml:space="preserve"> la Oferta de Referencia mayorista de Altán Redes, S.A.P.I. de C.V. En dicha oferta</w:t>
            </w:r>
            <w:r w:rsidR="00256AF0" w:rsidRPr="00E40295">
              <w:rPr>
                <w:rFonts w:ascii="Calibri Light" w:eastAsia="Calibri" w:hAnsi="Calibri Light" w:cs="Calibri Light"/>
                <w:sz w:val="20"/>
                <w:szCs w:val="20"/>
              </w:rPr>
              <w:t xml:space="preserve"> para los servicios mayoristas LAN TO LAN</w:t>
            </w:r>
            <w:r w:rsidRPr="00E40295">
              <w:rPr>
                <w:rFonts w:ascii="Calibri Light" w:eastAsia="Calibri" w:hAnsi="Calibri Light" w:cs="Calibri Light"/>
                <w:sz w:val="20"/>
                <w:szCs w:val="20"/>
              </w:rPr>
              <w:t xml:space="preserve">, específicamente el Apéndice 16.5 “Acuerdo de Nivel de Servicios y Gestión de Incidencias”, </w:t>
            </w:r>
            <w:r w:rsidR="004F5044" w:rsidRPr="00E40295">
              <w:rPr>
                <w:rFonts w:ascii="Calibri Light" w:eastAsia="Calibri" w:hAnsi="Calibri Light" w:cs="Calibri Light"/>
                <w:sz w:val="20"/>
                <w:szCs w:val="20"/>
              </w:rPr>
              <w:t>el inciso c) del numeral 2.2</w:t>
            </w:r>
            <w:r w:rsidR="00256AF0">
              <w:rPr>
                <w:rFonts w:ascii="Calibri Light" w:eastAsia="Calibri" w:hAnsi="Calibri Light" w:cs="Calibri Light"/>
                <w:sz w:val="20"/>
                <w:szCs w:val="20"/>
              </w:rPr>
              <w:t>,</w:t>
            </w:r>
            <w:r w:rsidRPr="00E40295">
              <w:rPr>
                <w:rFonts w:ascii="Calibri Light" w:eastAsia="Calibri" w:hAnsi="Calibri Light" w:cs="Calibri Light"/>
                <w:sz w:val="20"/>
                <w:szCs w:val="20"/>
              </w:rPr>
              <w:t xml:space="preserve"> establece un nivel de disponibilidad del 99.5%</w:t>
            </w:r>
            <w:r w:rsidR="00256AF0">
              <w:rPr>
                <w:rFonts w:ascii="Calibri Light" w:eastAsia="Calibri" w:hAnsi="Calibri Light" w:cs="Calibri Light"/>
                <w:sz w:val="20"/>
                <w:szCs w:val="20"/>
              </w:rPr>
              <w:t>, texto que</w:t>
            </w:r>
            <w:r w:rsidRPr="00E40295">
              <w:rPr>
                <w:rFonts w:ascii="Calibri Light" w:eastAsia="Calibri" w:hAnsi="Calibri Light" w:cs="Calibri Light"/>
                <w:sz w:val="20"/>
                <w:szCs w:val="20"/>
              </w:rPr>
              <w:t xml:space="preserve"> se transcribe a continuación:</w:t>
            </w:r>
          </w:p>
          <w:p w14:paraId="0803DA91" w14:textId="77777777" w:rsidR="001534A2" w:rsidRDefault="001534A2" w:rsidP="001534A2">
            <w:pPr>
              <w:jc w:val="both"/>
              <w:rPr>
                <w:rFonts w:ascii="Calibri Light" w:eastAsia="Calibri" w:hAnsi="Calibri Light" w:cs="Calibri Light"/>
                <w:sz w:val="20"/>
                <w:szCs w:val="20"/>
              </w:rPr>
            </w:pPr>
          </w:p>
          <w:p w14:paraId="16E49391" w14:textId="7104F6CD" w:rsidR="001534A2" w:rsidRDefault="00041C36" w:rsidP="00041C36">
            <w:pPr>
              <w:ind w:left="708"/>
              <w:jc w:val="both"/>
              <w:rPr>
                <w:rFonts w:ascii="Calibri Light" w:eastAsia="Calibri" w:hAnsi="Calibri Light" w:cs="Calibri Light"/>
                <w:sz w:val="20"/>
                <w:szCs w:val="20"/>
              </w:rPr>
            </w:pPr>
            <w:r>
              <w:rPr>
                <w:rFonts w:ascii="Calibri Light" w:eastAsia="Calibri" w:hAnsi="Calibri Light" w:cs="Calibri Light"/>
                <w:sz w:val="20"/>
                <w:szCs w:val="20"/>
              </w:rPr>
              <w:t>“</w:t>
            </w:r>
            <w:r w:rsidR="001534A2" w:rsidRPr="00041C36">
              <w:rPr>
                <w:rFonts w:ascii="Calibri Light" w:eastAsia="Calibri" w:hAnsi="Calibri Light" w:cs="Calibri Light"/>
                <w:i/>
                <w:iCs/>
                <w:sz w:val="20"/>
                <w:szCs w:val="20"/>
              </w:rPr>
              <w:t>c</w:t>
            </w:r>
            <w:proofErr w:type="gramStart"/>
            <w:r w:rsidR="001534A2" w:rsidRPr="00041C36">
              <w:rPr>
                <w:rFonts w:ascii="Calibri Light" w:eastAsia="Calibri" w:hAnsi="Calibri Light" w:cs="Calibri Light"/>
                <w:i/>
                <w:iCs/>
                <w:sz w:val="20"/>
                <w:szCs w:val="20"/>
              </w:rPr>
              <w:t>)  Altán</w:t>
            </w:r>
            <w:proofErr w:type="gramEnd"/>
            <w:r w:rsidR="001534A2" w:rsidRPr="00041C36">
              <w:rPr>
                <w:rFonts w:ascii="Calibri Light" w:eastAsia="Calibri" w:hAnsi="Calibri Light" w:cs="Calibri Light"/>
                <w:i/>
                <w:iCs/>
                <w:sz w:val="20"/>
                <w:szCs w:val="20"/>
              </w:rPr>
              <w:t xml:space="preserve"> estará obligada a la siguiente disponibilidad para el Servicio de gestión mayorista:</w:t>
            </w:r>
          </w:p>
          <w:p w14:paraId="17AADD86" w14:textId="77777777" w:rsidR="00D92D1E" w:rsidRDefault="00D92D1E" w:rsidP="009E54D4">
            <w:pPr>
              <w:jc w:val="both"/>
              <w:rPr>
                <w:rFonts w:ascii="Calibri Light" w:eastAsia="Calibri" w:hAnsi="Calibri Light" w:cs="Calibri Light"/>
                <w:sz w:val="20"/>
                <w:szCs w:val="20"/>
              </w:rPr>
            </w:pPr>
          </w:p>
          <w:p w14:paraId="4C9D2152" w14:textId="77777777" w:rsidR="00C44313" w:rsidRDefault="00987EA3" w:rsidP="00041C36">
            <w:pPr>
              <w:ind w:left="708"/>
              <w:jc w:val="both"/>
              <w:rPr>
                <w:rFonts w:ascii="Calibri Light" w:eastAsia="Calibri" w:hAnsi="Calibri Light" w:cs="Calibri Light"/>
                <w:sz w:val="20"/>
                <w:szCs w:val="20"/>
              </w:rPr>
            </w:pPr>
            <w:r>
              <w:rPr>
                <w:noProof/>
                <w:lang w:eastAsia="es-MX"/>
              </w:rPr>
              <w:lastRenderedPageBreak/>
              <w:drawing>
                <wp:inline distT="0" distB="0" distL="0" distR="0" wp14:anchorId="526822D8" wp14:editId="040640C4">
                  <wp:extent cx="2952750" cy="467713"/>
                  <wp:effectExtent l="0" t="0" r="0" b="8890"/>
                  <wp:docPr id="125883218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8832181" name=""/>
                          <pic:cNvPicPr/>
                        </pic:nvPicPr>
                        <pic:blipFill>
                          <a:blip r:embed="rId12"/>
                          <a:stretch>
                            <a:fillRect/>
                          </a:stretch>
                        </pic:blipFill>
                        <pic:spPr>
                          <a:xfrm>
                            <a:off x="0" y="0"/>
                            <a:ext cx="2974143" cy="471102"/>
                          </a:xfrm>
                          <a:prstGeom prst="rect">
                            <a:avLst/>
                          </a:prstGeom>
                        </pic:spPr>
                      </pic:pic>
                    </a:graphicData>
                  </a:graphic>
                </wp:inline>
              </w:drawing>
            </w:r>
            <w:r w:rsidR="00041C36">
              <w:rPr>
                <w:rFonts w:ascii="Calibri Light" w:eastAsia="Calibri" w:hAnsi="Calibri Light" w:cs="Calibri Light"/>
                <w:sz w:val="20"/>
                <w:szCs w:val="20"/>
              </w:rPr>
              <w:t>”</w:t>
            </w:r>
          </w:p>
          <w:p w14:paraId="07D743EA" w14:textId="77777777" w:rsidR="009D0A27" w:rsidRDefault="009D0A27" w:rsidP="00E40295">
            <w:pPr>
              <w:jc w:val="both"/>
              <w:rPr>
                <w:rFonts w:ascii="Calibri Light" w:eastAsia="Calibri" w:hAnsi="Calibri Light" w:cs="Calibri Light"/>
                <w:sz w:val="20"/>
                <w:szCs w:val="20"/>
              </w:rPr>
            </w:pPr>
          </w:p>
          <w:p w14:paraId="28AC3149" w14:textId="21E2760B" w:rsidR="00063081" w:rsidRDefault="00E40295" w:rsidP="00E40295">
            <w:pPr>
              <w:jc w:val="both"/>
              <w:rPr>
                <w:rFonts w:ascii="Calibri Light" w:eastAsia="Calibri" w:hAnsi="Calibri Light" w:cs="Calibri Light"/>
                <w:sz w:val="20"/>
                <w:szCs w:val="20"/>
              </w:rPr>
            </w:pPr>
            <w:r w:rsidRPr="00E40295">
              <w:rPr>
                <w:rFonts w:ascii="Calibri Light" w:eastAsia="Calibri" w:hAnsi="Calibri Light" w:cs="Calibri Light"/>
                <w:sz w:val="20"/>
                <w:szCs w:val="20"/>
              </w:rPr>
              <w:t>Dicho umbral refleja un estándar razonable y equilibrado para servicios basados en tecnología Ethernet, compatible con las condiciones reales de operación, y ya validado por el propio Instituto como referencia técnica aceptable para servicios equivalentes.</w:t>
            </w:r>
          </w:p>
        </w:tc>
      </w:tr>
      <w:tr w:rsidR="00476935" w:rsidRPr="00C13F5A" w14:paraId="79350464" w14:textId="77777777" w:rsidTr="001D5424">
        <w:trPr>
          <w:trHeight w:val="637"/>
          <w:jc w:val="center"/>
        </w:trPr>
        <w:tc>
          <w:tcPr>
            <w:tcW w:w="1392" w:type="dxa"/>
            <w:vMerge/>
          </w:tcPr>
          <w:p w14:paraId="16B071E7" w14:textId="38A0EE2A" w:rsidR="00E72F3C" w:rsidRPr="00E43A57" w:rsidRDefault="00E72F3C" w:rsidP="004D25D9">
            <w:pPr>
              <w:jc w:val="center"/>
              <w:rPr>
                <w:sz w:val="20"/>
                <w:szCs w:val="20"/>
              </w:rPr>
            </w:pPr>
          </w:p>
        </w:tc>
        <w:tc>
          <w:tcPr>
            <w:tcW w:w="1576" w:type="dxa"/>
            <w:vAlign w:val="center"/>
          </w:tcPr>
          <w:p w14:paraId="0A0E61B2" w14:textId="77777777" w:rsidR="00E72F3C" w:rsidRDefault="00E72F3C" w:rsidP="004D25D9">
            <w:pPr>
              <w:jc w:val="center"/>
              <w:rPr>
                <w:rFonts w:cstheme="minorHAnsi"/>
                <w:sz w:val="20"/>
                <w:szCs w:val="20"/>
              </w:rPr>
            </w:pPr>
            <w:r>
              <w:rPr>
                <w:rFonts w:cstheme="minorHAnsi"/>
                <w:sz w:val="20"/>
                <w:szCs w:val="20"/>
              </w:rPr>
              <w:t>ANEXO “C”</w:t>
            </w:r>
          </w:p>
          <w:p w14:paraId="64C694AC" w14:textId="77777777" w:rsidR="00E72F3C" w:rsidRDefault="00E72F3C" w:rsidP="004D25D9">
            <w:pPr>
              <w:jc w:val="center"/>
              <w:rPr>
                <w:rFonts w:cstheme="minorHAnsi"/>
                <w:sz w:val="20"/>
                <w:szCs w:val="20"/>
              </w:rPr>
            </w:pPr>
            <w:r>
              <w:rPr>
                <w:rFonts w:cstheme="minorHAnsi"/>
                <w:sz w:val="20"/>
                <w:szCs w:val="20"/>
              </w:rPr>
              <w:t>Apartado A</w:t>
            </w:r>
          </w:p>
          <w:p w14:paraId="31426E5D" w14:textId="77777777" w:rsidR="00BA3EFF" w:rsidRPr="00E43A57" w:rsidRDefault="00BA3EFF" w:rsidP="004D25D9">
            <w:pPr>
              <w:jc w:val="center"/>
              <w:rPr>
                <w:rFonts w:cstheme="minorHAnsi"/>
                <w:sz w:val="20"/>
                <w:szCs w:val="20"/>
              </w:rPr>
            </w:pPr>
            <w:r w:rsidRPr="004D04C7">
              <w:rPr>
                <w:rFonts w:cstheme="minorHAnsi"/>
                <w:i/>
                <w:sz w:val="18"/>
                <w:szCs w:val="20"/>
              </w:rPr>
              <w:t>PÁG.</w:t>
            </w:r>
            <w:r>
              <w:rPr>
                <w:rFonts w:cstheme="minorHAnsi"/>
                <w:i/>
                <w:sz w:val="18"/>
                <w:szCs w:val="20"/>
              </w:rPr>
              <w:t xml:space="preserve"> 36</w:t>
            </w:r>
          </w:p>
        </w:tc>
        <w:tc>
          <w:tcPr>
            <w:tcW w:w="5958" w:type="dxa"/>
            <w:vAlign w:val="center"/>
          </w:tcPr>
          <w:p w14:paraId="5C90C47E" w14:textId="77777777" w:rsidR="00E72F3C" w:rsidRDefault="00E72F3C" w:rsidP="004D25D9">
            <w:pPr>
              <w:rPr>
                <w:rFonts w:ascii="Calibri Light" w:eastAsia="Calibri" w:hAnsi="Calibri Light" w:cs="Calibri Light"/>
                <w:sz w:val="20"/>
                <w:szCs w:val="20"/>
              </w:rPr>
            </w:pPr>
            <w:r>
              <w:rPr>
                <w:rFonts w:ascii="Calibri Light" w:eastAsia="Calibri" w:hAnsi="Calibri Light" w:cs="Calibri Light"/>
                <w:sz w:val="20"/>
                <w:szCs w:val="20"/>
              </w:rPr>
              <w:t>[Réplica de las modificaciones antes descritas]</w:t>
            </w:r>
          </w:p>
        </w:tc>
        <w:tc>
          <w:tcPr>
            <w:tcW w:w="5893" w:type="dxa"/>
            <w:vMerge/>
          </w:tcPr>
          <w:p w14:paraId="38CF0664" w14:textId="77777777" w:rsidR="00E72F3C" w:rsidRDefault="00E72F3C" w:rsidP="004D25D9">
            <w:pPr>
              <w:jc w:val="both"/>
              <w:rPr>
                <w:rFonts w:ascii="Calibri Light" w:eastAsia="Calibri" w:hAnsi="Calibri Light" w:cs="Calibri Light"/>
                <w:sz w:val="20"/>
                <w:szCs w:val="20"/>
              </w:rPr>
            </w:pPr>
          </w:p>
        </w:tc>
      </w:tr>
      <w:tr w:rsidR="00476935" w:rsidRPr="00C13F5A" w14:paraId="3E2C41DC" w14:textId="77777777" w:rsidTr="001D5424">
        <w:trPr>
          <w:trHeight w:val="150"/>
          <w:jc w:val="center"/>
        </w:trPr>
        <w:tc>
          <w:tcPr>
            <w:tcW w:w="1392" w:type="dxa"/>
            <w:vMerge/>
          </w:tcPr>
          <w:p w14:paraId="01F656E9" w14:textId="77777777" w:rsidR="00E72F3C" w:rsidRPr="00E43A57" w:rsidRDefault="00E72F3C" w:rsidP="004D25D9">
            <w:pPr>
              <w:jc w:val="center"/>
              <w:rPr>
                <w:sz w:val="20"/>
                <w:szCs w:val="20"/>
              </w:rPr>
            </w:pPr>
          </w:p>
        </w:tc>
        <w:tc>
          <w:tcPr>
            <w:tcW w:w="1576" w:type="dxa"/>
            <w:vAlign w:val="center"/>
          </w:tcPr>
          <w:p w14:paraId="6270CF61" w14:textId="77777777" w:rsidR="00E72F3C" w:rsidRDefault="00E72F3C" w:rsidP="004D25D9">
            <w:pPr>
              <w:jc w:val="center"/>
              <w:rPr>
                <w:rFonts w:cstheme="minorHAnsi"/>
                <w:sz w:val="20"/>
                <w:szCs w:val="20"/>
              </w:rPr>
            </w:pPr>
            <w:r>
              <w:rPr>
                <w:rFonts w:cstheme="minorHAnsi"/>
                <w:sz w:val="20"/>
                <w:szCs w:val="20"/>
              </w:rPr>
              <w:t>ANEXO “E”</w:t>
            </w:r>
          </w:p>
          <w:p w14:paraId="1CD0B8EC" w14:textId="77777777" w:rsidR="00E72F3C" w:rsidRDefault="00E72F3C" w:rsidP="004D25D9">
            <w:pPr>
              <w:jc w:val="center"/>
              <w:rPr>
                <w:rFonts w:cstheme="minorHAnsi"/>
                <w:sz w:val="20"/>
                <w:szCs w:val="20"/>
              </w:rPr>
            </w:pPr>
            <w:r>
              <w:rPr>
                <w:rFonts w:cstheme="minorHAnsi"/>
                <w:sz w:val="20"/>
                <w:szCs w:val="20"/>
              </w:rPr>
              <w:t>Numeral 6</w:t>
            </w:r>
          </w:p>
          <w:p w14:paraId="0E5309CF" w14:textId="77777777" w:rsidR="00BA3EFF" w:rsidRPr="00E43A57" w:rsidRDefault="00BA3EFF" w:rsidP="004D25D9">
            <w:pPr>
              <w:jc w:val="center"/>
              <w:rPr>
                <w:rFonts w:cstheme="minorHAnsi"/>
                <w:sz w:val="20"/>
                <w:szCs w:val="20"/>
              </w:rPr>
            </w:pPr>
            <w:r w:rsidRPr="004D04C7">
              <w:rPr>
                <w:rFonts w:cstheme="minorHAnsi"/>
                <w:i/>
                <w:sz w:val="18"/>
                <w:szCs w:val="20"/>
              </w:rPr>
              <w:t>PÁG.</w:t>
            </w:r>
            <w:r>
              <w:rPr>
                <w:rFonts w:cstheme="minorHAnsi"/>
                <w:i/>
                <w:sz w:val="18"/>
                <w:szCs w:val="20"/>
              </w:rPr>
              <w:t xml:space="preserve"> 55</w:t>
            </w:r>
          </w:p>
        </w:tc>
        <w:tc>
          <w:tcPr>
            <w:tcW w:w="5958" w:type="dxa"/>
            <w:vAlign w:val="center"/>
          </w:tcPr>
          <w:p w14:paraId="22ABF609" w14:textId="77777777" w:rsidR="00E72F3C" w:rsidRDefault="00E72F3C" w:rsidP="004D25D9">
            <w:pPr>
              <w:rPr>
                <w:rFonts w:ascii="Calibri Light" w:eastAsia="Calibri" w:hAnsi="Calibri Light" w:cs="Calibri Light"/>
                <w:sz w:val="20"/>
                <w:szCs w:val="20"/>
              </w:rPr>
            </w:pPr>
            <w:r>
              <w:rPr>
                <w:rFonts w:ascii="Calibri Light" w:eastAsia="Calibri" w:hAnsi="Calibri Light" w:cs="Calibri Light"/>
                <w:sz w:val="20"/>
                <w:szCs w:val="20"/>
              </w:rPr>
              <w:t>[Réplica de las modificaciones antes descritas]</w:t>
            </w:r>
          </w:p>
        </w:tc>
        <w:tc>
          <w:tcPr>
            <w:tcW w:w="5893" w:type="dxa"/>
            <w:vMerge/>
          </w:tcPr>
          <w:p w14:paraId="3A0A74B6" w14:textId="77777777" w:rsidR="00E72F3C" w:rsidRDefault="00E72F3C" w:rsidP="004D25D9">
            <w:pPr>
              <w:jc w:val="both"/>
              <w:rPr>
                <w:rFonts w:ascii="Calibri Light" w:eastAsia="Calibri" w:hAnsi="Calibri Light" w:cs="Calibri Light"/>
                <w:sz w:val="20"/>
                <w:szCs w:val="20"/>
              </w:rPr>
            </w:pPr>
          </w:p>
        </w:tc>
      </w:tr>
      <w:tr w:rsidR="00476935" w:rsidRPr="00E16021" w14:paraId="2FABC11D" w14:textId="77777777" w:rsidTr="001D5424">
        <w:tblPrEx>
          <w:jc w:val="left"/>
        </w:tblPrEx>
        <w:trPr>
          <w:trHeight w:val="824"/>
        </w:trPr>
        <w:tc>
          <w:tcPr>
            <w:tcW w:w="1392" w:type="dxa"/>
            <w:vMerge w:val="restart"/>
          </w:tcPr>
          <w:p w14:paraId="42E7634C" w14:textId="77777777" w:rsidR="00E72F3C" w:rsidRDefault="00E72F3C" w:rsidP="004D25D9">
            <w:pPr>
              <w:jc w:val="center"/>
              <w:rPr>
                <w:rFonts w:asciiTheme="majorHAnsi" w:hAnsiTheme="majorHAnsi" w:cstheme="majorHAnsi"/>
                <w:b/>
                <w:bCs/>
                <w:sz w:val="20"/>
                <w:szCs w:val="20"/>
              </w:rPr>
            </w:pPr>
          </w:p>
          <w:p w14:paraId="593D5F39" w14:textId="77777777" w:rsidR="000539D3" w:rsidRDefault="000539D3" w:rsidP="004D25D9">
            <w:pPr>
              <w:jc w:val="center"/>
              <w:rPr>
                <w:rFonts w:asciiTheme="majorHAnsi" w:hAnsiTheme="majorHAnsi" w:cstheme="majorHAnsi"/>
                <w:b/>
                <w:bCs/>
                <w:sz w:val="20"/>
                <w:szCs w:val="20"/>
              </w:rPr>
            </w:pPr>
          </w:p>
          <w:p w14:paraId="41D9344C" w14:textId="77777777" w:rsidR="00E72F3C" w:rsidRDefault="00E72F3C" w:rsidP="004D25D9">
            <w:pPr>
              <w:jc w:val="center"/>
              <w:rPr>
                <w:rFonts w:asciiTheme="majorHAnsi" w:hAnsiTheme="majorHAnsi" w:cstheme="majorHAnsi"/>
                <w:b/>
                <w:bCs/>
                <w:sz w:val="20"/>
                <w:szCs w:val="20"/>
              </w:rPr>
            </w:pPr>
          </w:p>
          <w:p w14:paraId="44B831B5" w14:textId="77777777" w:rsidR="00E72F3C" w:rsidRDefault="00E72F3C" w:rsidP="004D25D9">
            <w:pPr>
              <w:jc w:val="center"/>
              <w:rPr>
                <w:rFonts w:asciiTheme="majorHAnsi" w:hAnsiTheme="majorHAnsi" w:cstheme="majorHAnsi"/>
                <w:b/>
                <w:bCs/>
                <w:sz w:val="20"/>
                <w:szCs w:val="20"/>
              </w:rPr>
            </w:pPr>
          </w:p>
          <w:p w14:paraId="6957CE62" w14:textId="77777777" w:rsidR="00E72F3C" w:rsidRDefault="00E72F3C" w:rsidP="004D25D9">
            <w:pPr>
              <w:jc w:val="center"/>
              <w:rPr>
                <w:rFonts w:asciiTheme="majorHAnsi" w:hAnsiTheme="majorHAnsi" w:cstheme="majorHAnsi"/>
                <w:b/>
                <w:bCs/>
                <w:sz w:val="20"/>
                <w:szCs w:val="20"/>
              </w:rPr>
            </w:pPr>
            <w:r>
              <w:rPr>
                <w:rFonts w:asciiTheme="majorHAnsi" w:hAnsiTheme="majorHAnsi" w:cstheme="majorHAnsi"/>
                <w:b/>
                <w:bCs/>
                <w:sz w:val="20"/>
                <w:szCs w:val="20"/>
              </w:rPr>
              <w:t>#</w:t>
            </w:r>
            <w:r w:rsidR="009B7CE1">
              <w:rPr>
                <w:rFonts w:asciiTheme="majorHAnsi" w:hAnsiTheme="majorHAnsi" w:cstheme="majorHAnsi"/>
                <w:b/>
                <w:bCs/>
                <w:sz w:val="20"/>
                <w:szCs w:val="20"/>
              </w:rPr>
              <w:t>4</w:t>
            </w:r>
          </w:p>
          <w:p w14:paraId="68957970" w14:textId="77777777" w:rsidR="00E72F3C" w:rsidRDefault="00E72F3C" w:rsidP="004D25D9">
            <w:pPr>
              <w:jc w:val="center"/>
              <w:rPr>
                <w:rFonts w:asciiTheme="majorHAnsi" w:hAnsiTheme="majorHAnsi" w:cstheme="majorHAnsi"/>
                <w:b/>
                <w:bCs/>
                <w:sz w:val="20"/>
                <w:szCs w:val="20"/>
              </w:rPr>
            </w:pPr>
          </w:p>
          <w:p w14:paraId="4960B6D9" w14:textId="77777777" w:rsidR="00E72F3C" w:rsidRPr="00E16021" w:rsidRDefault="00E72F3C" w:rsidP="004D25D9">
            <w:pPr>
              <w:jc w:val="center"/>
              <w:rPr>
                <w:rFonts w:asciiTheme="majorHAnsi" w:hAnsiTheme="majorHAnsi" w:cstheme="majorHAnsi"/>
                <w:sz w:val="20"/>
                <w:szCs w:val="20"/>
              </w:rPr>
            </w:pPr>
            <w:r>
              <w:rPr>
                <w:rFonts w:asciiTheme="majorHAnsi" w:hAnsiTheme="majorHAnsi" w:cstheme="majorHAnsi"/>
                <w:b/>
                <w:bCs/>
                <w:sz w:val="20"/>
                <w:szCs w:val="20"/>
              </w:rPr>
              <w:t>Penalizaciones</w:t>
            </w:r>
          </w:p>
        </w:tc>
        <w:tc>
          <w:tcPr>
            <w:tcW w:w="1576" w:type="dxa"/>
          </w:tcPr>
          <w:p w14:paraId="1E5371A9" w14:textId="77777777" w:rsidR="00E72F3C" w:rsidRDefault="00E72F3C" w:rsidP="004D25D9">
            <w:pPr>
              <w:pStyle w:val="1TitPrin"/>
              <w:spacing w:line="240" w:lineRule="auto"/>
              <w:jc w:val="center"/>
              <w:rPr>
                <w:rFonts w:asciiTheme="majorHAnsi" w:hAnsiTheme="majorHAnsi" w:cstheme="majorHAnsi"/>
              </w:rPr>
            </w:pPr>
          </w:p>
          <w:p w14:paraId="023C172C" w14:textId="77777777" w:rsidR="00E72F3C" w:rsidRDefault="00E72F3C" w:rsidP="004D25D9">
            <w:pPr>
              <w:pStyle w:val="1TitPrin"/>
              <w:spacing w:line="240" w:lineRule="auto"/>
              <w:jc w:val="center"/>
              <w:rPr>
                <w:rFonts w:asciiTheme="majorHAnsi" w:hAnsiTheme="majorHAnsi" w:cstheme="majorHAnsi"/>
              </w:rPr>
            </w:pPr>
          </w:p>
          <w:p w14:paraId="56519DFE" w14:textId="77777777" w:rsidR="00E72F3C" w:rsidRDefault="00E72F3C" w:rsidP="004D25D9">
            <w:pPr>
              <w:pStyle w:val="1TitPrin"/>
              <w:spacing w:line="240" w:lineRule="auto"/>
              <w:jc w:val="center"/>
              <w:rPr>
                <w:rFonts w:asciiTheme="majorHAnsi" w:hAnsiTheme="majorHAnsi" w:cstheme="majorHAnsi"/>
              </w:rPr>
            </w:pPr>
          </w:p>
          <w:p w14:paraId="1426FD28" w14:textId="77777777" w:rsidR="00E72F3C" w:rsidRPr="00887D42" w:rsidRDefault="00E72F3C" w:rsidP="004D25D9">
            <w:pPr>
              <w:jc w:val="center"/>
              <w:rPr>
                <w:rFonts w:cstheme="minorHAnsi"/>
                <w:sz w:val="20"/>
                <w:szCs w:val="20"/>
              </w:rPr>
            </w:pPr>
            <w:r w:rsidRPr="00887D42">
              <w:rPr>
                <w:rFonts w:cstheme="minorHAnsi"/>
                <w:sz w:val="20"/>
                <w:szCs w:val="20"/>
              </w:rPr>
              <w:t>OFERTA</w:t>
            </w:r>
          </w:p>
          <w:p w14:paraId="36CAB6E2" w14:textId="77777777" w:rsidR="00E72F3C" w:rsidRPr="00887D42" w:rsidRDefault="00E72F3C" w:rsidP="004D25D9">
            <w:pPr>
              <w:jc w:val="center"/>
              <w:rPr>
                <w:rFonts w:cstheme="minorHAnsi"/>
                <w:sz w:val="20"/>
                <w:szCs w:val="20"/>
              </w:rPr>
            </w:pPr>
            <w:r w:rsidRPr="00887D42">
              <w:rPr>
                <w:rFonts w:cstheme="minorHAnsi"/>
                <w:sz w:val="20"/>
                <w:szCs w:val="20"/>
              </w:rPr>
              <w:t>2.7.1</w:t>
            </w:r>
          </w:p>
          <w:p w14:paraId="19D6BD4B" w14:textId="77777777" w:rsidR="00E72F3C" w:rsidRPr="00887D42" w:rsidRDefault="00E72F3C" w:rsidP="004D25D9">
            <w:pPr>
              <w:jc w:val="center"/>
              <w:rPr>
                <w:rFonts w:cstheme="minorHAnsi"/>
                <w:sz w:val="20"/>
                <w:szCs w:val="20"/>
              </w:rPr>
            </w:pPr>
            <w:r w:rsidRPr="00887D42">
              <w:rPr>
                <w:rFonts w:cstheme="minorHAnsi"/>
                <w:sz w:val="20"/>
                <w:szCs w:val="20"/>
              </w:rPr>
              <w:t>2.7.2</w:t>
            </w:r>
          </w:p>
          <w:p w14:paraId="5E289AC5" w14:textId="77777777" w:rsidR="00E72F3C" w:rsidRPr="00887D42" w:rsidRDefault="00E72F3C" w:rsidP="004D25D9">
            <w:pPr>
              <w:jc w:val="center"/>
              <w:rPr>
                <w:rFonts w:cstheme="minorHAnsi"/>
                <w:sz w:val="20"/>
                <w:szCs w:val="20"/>
              </w:rPr>
            </w:pPr>
            <w:r w:rsidRPr="00887D42">
              <w:rPr>
                <w:rFonts w:cstheme="minorHAnsi"/>
                <w:sz w:val="20"/>
                <w:szCs w:val="20"/>
              </w:rPr>
              <w:t>2.7.4</w:t>
            </w:r>
          </w:p>
          <w:p w14:paraId="56C65E11" w14:textId="77777777" w:rsidR="00E72F3C" w:rsidRDefault="00E72F3C" w:rsidP="004D25D9">
            <w:pPr>
              <w:jc w:val="center"/>
              <w:rPr>
                <w:rFonts w:cstheme="minorHAnsi"/>
                <w:sz w:val="20"/>
                <w:szCs w:val="20"/>
              </w:rPr>
            </w:pPr>
            <w:r w:rsidRPr="00887D42">
              <w:rPr>
                <w:rFonts w:cstheme="minorHAnsi"/>
                <w:sz w:val="20"/>
                <w:szCs w:val="20"/>
              </w:rPr>
              <w:t>2.7.5</w:t>
            </w:r>
          </w:p>
          <w:p w14:paraId="13139E9A" w14:textId="77777777" w:rsidR="00BA3EFF" w:rsidRPr="00E16021" w:rsidRDefault="00BA3EFF" w:rsidP="004D25D9">
            <w:pPr>
              <w:jc w:val="center"/>
              <w:rPr>
                <w:rFonts w:asciiTheme="majorHAnsi" w:hAnsiTheme="majorHAnsi" w:cstheme="majorHAnsi"/>
              </w:rPr>
            </w:pPr>
            <w:r w:rsidRPr="004D04C7">
              <w:rPr>
                <w:rFonts w:cstheme="minorHAnsi"/>
                <w:i/>
                <w:sz w:val="18"/>
                <w:szCs w:val="20"/>
              </w:rPr>
              <w:t>PÁG.</w:t>
            </w:r>
            <w:r>
              <w:rPr>
                <w:rFonts w:cstheme="minorHAnsi"/>
                <w:i/>
                <w:sz w:val="18"/>
                <w:szCs w:val="20"/>
              </w:rPr>
              <w:t xml:space="preserve"> 23</w:t>
            </w:r>
          </w:p>
        </w:tc>
        <w:tc>
          <w:tcPr>
            <w:tcW w:w="5958" w:type="dxa"/>
          </w:tcPr>
          <w:p w14:paraId="72B8270D" w14:textId="77777777" w:rsidR="00E72F3C" w:rsidRDefault="00E72F3C" w:rsidP="004D25D9">
            <w:pPr>
              <w:pStyle w:val="IFTnormal"/>
              <w:spacing w:after="0" w:line="240" w:lineRule="auto"/>
              <w:rPr>
                <w:rFonts w:asciiTheme="majorHAnsi" w:eastAsiaTheme="minorHAnsi" w:hAnsiTheme="majorHAnsi" w:cstheme="majorHAnsi"/>
                <w:sz w:val="20"/>
                <w:szCs w:val="20"/>
              </w:rPr>
            </w:pPr>
          </w:p>
          <w:p w14:paraId="1DBF04E7" w14:textId="77777777" w:rsidR="00E72F3C" w:rsidRDefault="00E72F3C" w:rsidP="004D25D9">
            <w:pPr>
              <w:pStyle w:val="IFTnormal"/>
              <w:spacing w:after="0" w:line="240" w:lineRule="auto"/>
              <w:rPr>
                <w:rFonts w:asciiTheme="majorHAnsi" w:eastAsiaTheme="minorHAnsi" w:hAnsiTheme="majorHAnsi" w:cstheme="majorHAnsi"/>
                <w:sz w:val="20"/>
                <w:szCs w:val="20"/>
              </w:rPr>
            </w:pPr>
            <w:r w:rsidRPr="004474BC">
              <w:rPr>
                <w:rFonts w:asciiTheme="majorHAnsi" w:eastAsiaTheme="minorHAnsi" w:hAnsiTheme="majorHAnsi" w:cstheme="majorHAnsi"/>
                <w:sz w:val="20"/>
                <w:szCs w:val="20"/>
              </w:rPr>
              <w:t>2.7 Penalizaciones.</w:t>
            </w:r>
          </w:p>
          <w:p w14:paraId="442BCA0A" w14:textId="77777777" w:rsidR="00E72F3C" w:rsidRPr="004474BC" w:rsidRDefault="00E72F3C" w:rsidP="004D25D9">
            <w:pPr>
              <w:pStyle w:val="IFTnormal"/>
              <w:spacing w:after="0" w:line="240" w:lineRule="auto"/>
              <w:rPr>
                <w:rFonts w:asciiTheme="majorHAnsi" w:eastAsiaTheme="minorHAnsi" w:hAnsiTheme="majorHAnsi" w:cstheme="majorHAnsi"/>
                <w:sz w:val="20"/>
                <w:szCs w:val="20"/>
              </w:rPr>
            </w:pPr>
          </w:p>
          <w:p w14:paraId="5EF2BD58" w14:textId="77777777" w:rsidR="00E72F3C" w:rsidRPr="004474BC" w:rsidRDefault="00E72F3C" w:rsidP="004D25D9">
            <w:pPr>
              <w:pStyle w:val="IFTnormal"/>
              <w:spacing w:after="0" w:line="240" w:lineRule="auto"/>
              <w:rPr>
                <w:rFonts w:asciiTheme="majorHAnsi" w:eastAsiaTheme="minorHAnsi" w:hAnsiTheme="majorHAnsi" w:cstheme="majorHAnsi"/>
                <w:sz w:val="20"/>
                <w:szCs w:val="20"/>
              </w:rPr>
            </w:pPr>
            <w:r w:rsidRPr="004474BC">
              <w:rPr>
                <w:rFonts w:asciiTheme="majorHAnsi" w:eastAsiaTheme="minorHAnsi" w:hAnsiTheme="majorHAnsi" w:cstheme="majorHAnsi"/>
                <w:sz w:val="20"/>
                <w:szCs w:val="20"/>
              </w:rPr>
              <w:t xml:space="preserve">2.7.1 La penalización por cualquier entrega tardía de los enlaces, conforme a la fecha aplicable, se calculará considerando </w:t>
            </w:r>
            <w:r w:rsidRPr="004474BC">
              <w:rPr>
                <w:rFonts w:asciiTheme="majorHAnsi" w:eastAsiaTheme="minorHAnsi" w:hAnsiTheme="majorHAnsi" w:cstheme="majorHAnsi"/>
                <w:color w:val="0070C0"/>
                <w:sz w:val="20"/>
                <w:szCs w:val="20"/>
              </w:rPr>
              <w:t xml:space="preserve">la parte proporcional del mes </w:t>
            </w:r>
            <w:r w:rsidRPr="00335340">
              <w:rPr>
                <w:rFonts w:asciiTheme="majorHAnsi" w:eastAsiaTheme="minorHAnsi" w:hAnsiTheme="majorHAnsi" w:cstheme="majorHAnsi"/>
                <w:color w:val="0070C0"/>
                <w:sz w:val="20"/>
                <w:szCs w:val="20"/>
              </w:rPr>
              <w:t xml:space="preserve">sobre </w:t>
            </w:r>
            <w:r w:rsidRPr="004474BC">
              <w:rPr>
                <w:rFonts w:asciiTheme="majorHAnsi" w:eastAsiaTheme="minorHAnsi" w:hAnsiTheme="majorHAnsi" w:cstheme="majorHAnsi"/>
                <w:sz w:val="20"/>
                <w:szCs w:val="20"/>
              </w:rPr>
              <w:t xml:space="preserve">el monto económico correspondiente </w:t>
            </w:r>
            <w:r w:rsidRPr="004474BC">
              <w:rPr>
                <w:rFonts w:asciiTheme="majorHAnsi" w:eastAsiaTheme="minorHAnsi" w:hAnsiTheme="majorHAnsi" w:cstheme="majorHAnsi"/>
                <w:strike/>
                <w:color w:val="0070C0"/>
                <w:sz w:val="20"/>
                <w:szCs w:val="20"/>
              </w:rPr>
              <w:t>al 10% de la renta mensual</w:t>
            </w:r>
            <w:r w:rsidRPr="004474BC">
              <w:rPr>
                <w:rFonts w:asciiTheme="majorHAnsi" w:eastAsiaTheme="minorHAnsi" w:hAnsiTheme="majorHAnsi" w:cstheme="majorHAnsi"/>
                <w:color w:val="0070C0"/>
                <w:sz w:val="20"/>
                <w:szCs w:val="20"/>
              </w:rPr>
              <w:t xml:space="preserve"> </w:t>
            </w:r>
            <w:r w:rsidRPr="004474BC">
              <w:rPr>
                <w:rFonts w:asciiTheme="majorHAnsi" w:eastAsiaTheme="minorHAnsi" w:hAnsiTheme="majorHAnsi" w:cstheme="majorHAnsi"/>
                <w:sz w:val="20"/>
                <w:szCs w:val="20"/>
              </w:rPr>
              <w:t>por cada día hábil de retraso en la entrega, respecto a las fechas vinculantes, o fechas compromiso (</w:t>
            </w:r>
            <w:proofErr w:type="spellStart"/>
            <w:r w:rsidRPr="004474BC">
              <w:rPr>
                <w:rFonts w:asciiTheme="majorHAnsi" w:eastAsiaTheme="minorHAnsi" w:hAnsiTheme="majorHAnsi" w:cstheme="majorHAnsi"/>
                <w:sz w:val="20"/>
                <w:szCs w:val="20"/>
              </w:rPr>
              <w:t>Due</w:t>
            </w:r>
            <w:proofErr w:type="spellEnd"/>
            <w:r w:rsidRPr="004474BC">
              <w:rPr>
                <w:rFonts w:asciiTheme="majorHAnsi" w:eastAsiaTheme="minorHAnsi" w:hAnsiTheme="majorHAnsi" w:cstheme="majorHAnsi"/>
                <w:sz w:val="20"/>
                <w:szCs w:val="20"/>
              </w:rPr>
              <w:t xml:space="preserve"> Date) del servicio en cuestión, hasta por un máximo de 1 (una) renta mensual. El cálculo del monto de penalización por enlace se realiza conforme la siguiente fórmula:</w:t>
            </w:r>
          </w:p>
          <w:p w14:paraId="2156BF66" w14:textId="77777777" w:rsidR="00E72F3C" w:rsidRPr="004474BC" w:rsidRDefault="00E72F3C" w:rsidP="004D25D9">
            <w:pPr>
              <w:pStyle w:val="IFTnormal"/>
              <w:spacing w:after="0" w:line="240" w:lineRule="auto"/>
              <w:jc w:val="center"/>
              <w:rPr>
                <w:rFonts w:asciiTheme="majorHAnsi" w:eastAsiaTheme="minorHAnsi" w:hAnsiTheme="majorHAnsi" w:cstheme="majorHAnsi"/>
                <w:sz w:val="20"/>
                <w:szCs w:val="20"/>
              </w:rPr>
            </w:pPr>
            <w:r>
              <w:rPr>
                <w:noProof/>
                <w:lang w:eastAsia="es-MX"/>
              </w:rPr>
              <w:drawing>
                <wp:inline distT="0" distB="0" distL="0" distR="0" wp14:anchorId="4136FE88" wp14:editId="75CF7AB9">
                  <wp:extent cx="2209800" cy="304743"/>
                  <wp:effectExtent l="0" t="0" r="0" b="635"/>
                  <wp:docPr id="132797840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7978403" name=""/>
                          <pic:cNvPicPr/>
                        </pic:nvPicPr>
                        <pic:blipFill>
                          <a:blip r:embed="rId13"/>
                          <a:stretch>
                            <a:fillRect/>
                          </a:stretch>
                        </pic:blipFill>
                        <pic:spPr>
                          <a:xfrm>
                            <a:off x="0" y="0"/>
                            <a:ext cx="2292361" cy="316129"/>
                          </a:xfrm>
                          <a:prstGeom prst="rect">
                            <a:avLst/>
                          </a:prstGeom>
                        </pic:spPr>
                      </pic:pic>
                    </a:graphicData>
                  </a:graphic>
                </wp:inline>
              </w:drawing>
            </w:r>
          </w:p>
          <w:p w14:paraId="17F96B26" w14:textId="77777777" w:rsidR="00E72F3C" w:rsidRPr="004474BC" w:rsidRDefault="00E72F3C" w:rsidP="004D25D9">
            <w:pPr>
              <w:pStyle w:val="IFTnormal"/>
              <w:spacing w:after="0" w:line="240" w:lineRule="auto"/>
              <w:rPr>
                <w:rFonts w:asciiTheme="majorHAnsi" w:eastAsiaTheme="minorHAnsi" w:hAnsiTheme="majorHAnsi" w:cstheme="majorHAnsi"/>
                <w:sz w:val="20"/>
                <w:szCs w:val="20"/>
              </w:rPr>
            </w:pPr>
            <w:r w:rsidRPr="004474BC">
              <w:rPr>
                <w:rFonts w:asciiTheme="majorHAnsi" w:eastAsiaTheme="minorHAnsi" w:hAnsiTheme="majorHAnsi" w:cstheme="majorHAnsi"/>
                <w:sz w:val="20"/>
                <w:szCs w:val="20"/>
              </w:rPr>
              <w:t>donde i es el enlace solicitado</w:t>
            </w:r>
          </w:p>
          <w:p w14:paraId="56904208" w14:textId="77777777" w:rsidR="00E72F3C" w:rsidRDefault="00E72F3C" w:rsidP="004D25D9">
            <w:pPr>
              <w:pStyle w:val="IFTnormal"/>
              <w:spacing w:after="0" w:line="240" w:lineRule="auto"/>
              <w:rPr>
                <w:rFonts w:asciiTheme="majorHAnsi" w:eastAsiaTheme="minorHAnsi" w:hAnsiTheme="majorHAnsi" w:cstheme="majorHAnsi"/>
                <w:sz w:val="20"/>
                <w:szCs w:val="20"/>
              </w:rPr>
            </w:pPr>
          </w:p>
          <w:p w14:paraId="774213B4" w14:textId="77777777" w:rsidR="00E72F3C" w:rsidRPr="004474BC" w:rsidRDefault="00E72F3C" w:rsidP="004D25D9">
            <w:pPr>
              <w:pStyle w:val="IFTnormal"/>
              <w:spacing w:after="0" w:line="240" w:lineRule="auto"/>
              <w:rPr>
                <w:rFonts w:asciiTheme="majorHAnsi" w:eastAsiaTheme="minorHAnsi" w:hAnsiTheme="majorHAnsi" w:cstheme="majorHAnsi"/>
                <w:sz w:val="20"/>
                <w:szCs w:val="20"/>
              </w:rPr>
            </w:pPr>
          </w:p>
          <w:p w14:paraId="3CFAE8B0" w14:textId="77777777" w:rsidR="00E72F3C" w:rsidRPr="004474BC" w:rsidRDefault="00E72F3C" w:rsidP="004D25D9">
            <w:pPr>
              <w:pStyle w:val="IFTnormal"/>
              <w:spacing w:after="0" w:line="240" w:lineRule="auto"/>
              <w:rPr>
                <w:rFonts w:asciiTheme="majorHAnsi" w:eastAsiaTheme="minorHAnsi" w:hAnsiTheme="majorHAnsi" w:cstheme="majorHAnsi"/>
                <w:sz w:val="20"/>
                <w:szCs w:val="20"/>
              </w:rPr>
            </w:pPr>
            <w:r w:rsidRPr="004474BC">
              <w:rPr>
                <w:rFonts w:asciiTheme="majorHAnsi" w:eastAsiaTheme="minorHAnsi" w:hAnsiTheme="majorHAnsi" w:cstheme="majorHAnsi"/>
                <w:sz w:val="20"/>
                <w:szCs w:val="20"/>
              </w:rPr>
              <w:t xml:space="preserve">2.7.2 </w:t>
            </w:r>
            <w:r w:rsidRPr="004474BC">
              <w:rPr>
                <w:rFonts w:asciiTheme="majorHAnsi" w:eastAsiaTheme="minorHAnsi" w:hAnsiTheme="majorHAnsi" w:cstheme="majorHAnsi"/>
                <w:color w:val="0070C0"/>
                <w:sz w:val="20"/>
                <w:szCs w:val="20"/>
              </w:rPr>
              <w:t>La parte proporcional del mes</w:t>
            </w:r>
            <w:r w:rsidRPr="004474BC">
              <w:rPr>
                <w:rFonts w:asciiTheme="majorHAnsi" w:eastAsiaTheme="minorHAnsi" w:hAnsiTheme="majorHAnsi" w:cstheme="majorHAnsi"/>
                <w:strike/>
                <w:color w:val="0070C0"/>
                <w:sz w:val="20"/>
                <w:szCs w:val="20"/>
              </w:rPr>
              <w:t xml:space="preserve"> El 6%</w:t>
            </w:r>
            <w:r w:rsidRPr="004474BC">
              <w:rPr>
                <w:rFonts w:asciiTheme="majorHAnsi" w:eastAsiaTheme="minorHAnsi" w:hAnsiTheme="majorHAnsi" w:cstheme="majorHAnsi"/>
                <w:sz w:val="20"/>
                <w:szCs w:val="20"/>
              </w:rPr>
              <w:t xml:space="preserve"> de la renta mensual del enlace por cada hora o fracción por incumplimiento en los parámetros de disponibilidad, esto es que el enlace no se encuentre disponible con los parámetros de calidad con los que fue contratado el servicio, hasta por un máximo de 1 (una) renta mensual.</w:t>
            </w:r>
          </w:p>
          <w:p w14:paraId="00BD6B01" w14:textId="77777777" w:rsidR="00E72F3C" w:rsidRPr="004474BC" w:rsidRDefault="00E72F3C" w:rsidP="004D25D9">
            <w:pPr>
              <w:pStyle w:val="IFTnormal"/>
              <w:spacing w:after="0" w:line="240" w:lineRule="auto"/>
              <w:jc w:val="center"/>
              <w:rPr>
                <w:rFonts w:asciiTheme="majorHAnsi" w:eastAsiaTheme="minorHAnsi" w:hAnsiTheme="majorHAnsi" w:cstheme="majorHAnsi"/>
                <w:sz w:val="20"/>
                <w:szCs w:val="20"/>
              </w:rPr>
            </w:pPr>
            <w:r>
              <w:rPr>
                <w:noProof/>
                <w:lang w:eastAsia="es-MX"/>
              </w:rPr>
              <w:drawing>
                <wp:inline distT="0" distB="0" distL="0" distR="0" wp14:anchorId="33A40AD0" wp14:editId="373F8DED">
                  <wp:extent cx="2209800" cy="276217"/>
                  <wp:effectExtent l="0" t="0" r="0" b="0"/>
                  <wp:docPr id="112984838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848382" name=""/>
                          <pic:cNvPicPr/>
                        </pic:nvPicPr>
                        <pic:blipFill>
                          <a:blip r:embed="rId14"/>
                          <a:stretch>
                            <a:fillRect/>
                          </a:stretch>
                        </pic:blipFill>
                        <pic:spPr>
                          <a:xfrm>
                            <a:off x="0" y="0"/>
                            <a:ext cx="2275150" cy="284386"/>
                          </a:xfrm>
                          <a:prstGeom prst="rect">
                            <a:avLst/>
                          </a:prstGeom>
                        </pic:spPr>
                      </pic:pic>
                    </a:graphicData>
                  </a:graphic>
                </wp:inline>
              </w:drawing>
            </w:r>
          </w:p>
          <w:p w14:paraId="3F8FE7BB" w14:textId="039C3C56" w:rsidR="00E72F3C" w:rsidRDefault="00E72F3C" w:rsidP="004D25D9">
            <w:pPr>
              <w:pStyle w:val="IFTnormal"/>
              <w:spacing w:after="0" w:line="240" w:lineRule="auto"/>
              <w:rPr>
                <w:rFonts w:asciiTheme="majorHAnsi" w:eastAsiaTheme="minorHAnsi" w:hAnsiTheme="majorHAnsi" w:cstheme="majorHAnsi"/>
                <w:sz w:val="20"/>
                <w:szCs w:val="20"/>
              </w:rPr>
            </w:pPr>
            <w:r w:rsidRPr="004474BC">
              <w:rPr>
                <w:rFonts w:asciiTheme="majorHAnsi" w:eastAsiaTheme="minorHAnsi" w:hAnsiTheme="majorHAnsi" w:cstheme="majorHAnsi"/>
                <w:sz w:val="20"/>
                <w:szCs w:val="20"/>
              </w:rPr>
              <w:t>donde i es el enlace solicitado</w:t>
            </w:r>
          </w:p>
          <w:p w14:paraId="33050F20" w14:textId="77777777" w:rsidR="00C34ACF" w:rsidRPr="00C34ACF" w:rsidRDefault="00C34ACF" w:rsidP="004D25D9">
            <w:pPr>
              <w:pStyle w:val="IFTnormal"/>
              <w:spacing w:after="0" w:line="240" w:lineRule="auto"/>
              <w:rPr>
                <w:rFonts w:asciiTheme="majorHAnsi" w:eastAsiaTheme="minorHAnsi" w:hAnsiTheme="majorHAnsi" w:cstheme="majorHAnsi"/>
                <w:sz w:val="20"/>
                <w:szCs w:val="20"/>
              </w:rPr>
            </w:pPr>
          </w:p>
          <w:p w14:paraId="0EB9C528" w14:textId="77777777" w:rsidR="001F57AA" w:rsidRDefault="001F57AA" w:rsidP="004D25D9">
            <w:pPr>
              <w:pStyle w:val="IFTnormal"/>
              <w:spacing w:after="0" w:line="240" w:lineRule="auto"/>
              <w:rPr>
                <w:rFonts w:asciiTheme="majorHAnsi" w:eastAsiaTheme="minorHAnsi" w:hAnsiTheme="majorHAnsi" w:cstheme="majorHAnsi"/>
                <w:color w:val="0070C0"/>
                <w:sz w:val="20"/>
                <w:szCs w:val="20"/>
              </w:rPr>
            </w:pPr>
          </w:p>
          <w:p w14:paraId="07CD494E" w14:textId="77777777" w:rsidR="001F57AA" w:rsidRDefault="001F57AA" w:rsidP="004D25D9">
            <w:pPr>
              <w:pStyle w:val="IFTnormal"/>
              <w:spacing w:after="0" w:line="240" w:lineRule="auto"/>
              <w:rPr>
                <w:rFonts w:asciiTheme="majorHAnsi" w:eastAsiaTheme="minorHAnsi" w:hAnsiTheme="majorHAnsi" w:cstheme="majorHAnsi"/>
                <w:color w:val="0070C0"/>
                <w:sz w:val="20"/>
                <w:szCs w:val="20"/>
              </w:rPr>
            </w:pPr>
          </w:p>
          <w:p w14:paraId="6981EA88" w14:textId="77777777" w:rsidR="001F57AA" w:rsidRDefault="001F57AA" w:rsidP="004D25D9">
            <w:pPr>
              <w:pStyle w:val="IFTnormal"/>
              <w:spacing w:after="0" w:line="240" w:lineRule="auto"/>
              <w:rPr>
                <w:rFonts w:asciiTheme="majorHAnsi" w:eastAsiaTheme="minorHAnsi" w:hAnsiTheme="majorHAnsi" w:cstheme="majorHAnsi"/>
                <w:color w:val="0070C0"/>
                <w:sz w:val="20"/>
                <w:szCs w:val="20"/>
              </w:rPr>
            </w:pPr>
          </w:p>
          <w:p w14:paraId="380F6243" w14:textId="77777777" w:rsidR="001F57AA" w:rsidRDefault="001F57AA" w:rsidP="004D25D9">
            <w:pPr>
              <w:pStyle w:val="IFTnormal"/>
              <w:spacing w:after="0" w:line="240" w:lineRule="auto"/>
              <w:rPr>
                <w:rFonts w:asciiTheme="majorHAnsi" w:eastAsiaTheme="minorHAnsi" w:hAnsiTheme="majorHAnsi" w:cstheme="majorHAnsi"/>
                <w:color w:val="0070C0"/>
                <w:sz w:val="20"/>
                <w:szCs w:val="20"/>
              </w:rPr>
            </w:pPr>
          </w:p>
          <w:p w14:paraId="41396BAC" w14:textId="77777777" w:rsidR="001F57AA" w:rsidRDefault="001F57AA" w:rsidP="004D25D9">
            <w:pPr>
              <w:pStyle w:val="IFTnormal"/>
              <w:spacing w:after="0" w:line="240" w:lineRule="auto"/>
              <w:rPr>
                <w:rFonts w:asciiTheme="majorHAnsi" w:eastAsiaTheme="minorHAnsi" w:hAnsiTheme="majorHAnsi" w:cstheme="majorHAnsi"/>
                <w:color w:val="0070C0"/>
                <w:sz w:val="20"/>
                <w:szCs w:val="20"/>
              </w:rPr>
            </w:pPr>
          </w:p>
          <w:p w14:paraId="52E47C53" w14:textId="77777777" w:rsidR="001F57AA" w:rsidRDefault="001F57AA" w:rsidP="004D25D9">
            <w:pPr>
              <w:pStyle w:val="IFTnormal"/>
              <w:spacing w:after="0" w:line="240" w:lineRule="auto"/>
              <w:rPr>
                <w:rFonts w:asciiTheme="majorHAnsi" w:eastAsiaTheme="minorHAnsi" w:hAnsiTheme="majorHAnsi" w:cstheme="majorHAnsi"/>
                <w:color w:val="0070C0"/>
                <w:sz w:val="20"/>
                <w:szCs w:val="20"/>
              </w:rPr>
            </w:pPr>
          </w:p>
          <w:p w14:paraId="22826A00" w14:textId="77777777" w:rsidR="001F57AA" w:rsidRDefault="001F57AA" w:rsidP="004D25D9">
            <w:pPr>
              <w:pStyle w:val="IFTnormal"/>
              <w:spacing w:after="0" w:line="240" w:lineRule="auto"/>
              <w:rPr>
                <w:rFonts w:asciiTheme="majorHAnsi" w:eastAsiaTheme="minorHAnsi" w:hAnsiTheme="majorHAnsi" w:cstheme="majorHAnsi"/>
                <w:color w:val="0070C0"/>
                <w:sz w:val="20"/>
                <w:szCs w:val="20"/>
              </w:rPr>
            </w:pPr>
          </w:p>
          <w:p w14:paraId="0029406B" w14:textId="77777777" w:rsidR="001F57AA" w:rsidRDefault="001F57AA" w:rsidP="004D25D9">
            <w:pPr>
              <w:pStyle w:val="IFTnormal"/>
              <w:spacing w:after="0" w:line="240" w:lineRule="auto"/>
              <w:rPr>
                <w:rFonts w:asciiTheme="majorHAnsi" w:eastAsiaTheme="minorHAnsi" w:hAnsiTheme="majorHAnsi" w:cstheme="majorHAnsi"/>
                <w:color w:val="0070C0"/>
                <w:sz w:val="20"/>
                <w:szCs w:val="20"/>
              </w:rPr>
            </w:pPr>
          </w:p>
          <w:p w14:paraId="4999081C" w14:textId="77777777" w:rsidR="001F57AA" w:rsidRDefault="001F57AA" w:rsidP="004D25D9">
            <w:pPr>
              <w:pStyle w:val="IFTnormal"/>
              <w:spacing w:after="0" w:line="240" w:lineRule="auto"/>
              <w:rPr>
                <w:rFonts w:asciiTheme="majorHAnsi" w:eastAsiaTheme="minorHAnsi" w:hAnsiTheme="majorHAnsi" w:cstheme="majorHAnsi"/>
                <w:color w:val="0070C0"/>
                <w:sz w:val="20"/>
                <w:szCs w:val="20"/>
              </w:rPr>
            </w:pPr>
          </w:p>
          <w:p w14:paraId="0ED8FFB4" w14:textId="77777777" w:rsidR="001F57AA" w:rsidRDefault="001F57AA" w:rsidP="004D25D9">
            <w:pPr>
              <w:pStyle w:val="IFTnormal"/>
              <w:spacing w:after="0" w:line="240" w:lineRule="auto"/>
              <w:rPr>
                <w:rFonts w:asciiTheme="majorHAnsi" w:eastAsiaTheme="minorHAnsi" w:hAnsiTheme="majorHAnsi" w:cstheme="majorHAnsi"/>
                <w:color w:val="0070C0"/>
                <w:sz w:val="20"/>
                <w:szCs w:val="20"/>
              </w:rPr>
            </w:pPr>
          </w:p>
          <w:p w14:paraId="35D662F9" w14:textId="77777777" w:rsidR="001F57AA" w:rsidRDefault="001F57AA" w:rsidP="004D25D9">
            <w:pPr>
              <w:pStyle w:val="IFTnormal"/>
              <w:spacing w:after="0" w:line="240" w:lineRule="auto"/>
              <w:rPr>
                <w:rFonts w:asciiTheme="majorHAnsi" w:eastAsiaTheme="minorHAnsi" w:hAnsiTheme="majorHAnsi" w:cstheme="majorHAnsi"/>
                <w:color w:val="0070C0"/>
                <w:sz w:val="20"/>
                <w:szCs w:val="20"/>
              </w:rPr>
            </w:pPr>
          </w:p>
          <w:p w14:paraId="7C9FC857" w14:textId="77777777" w:rsidR="001F57AA" w:rsidRDefault="001F57AA" w:rsidP="004D25D9">
            <w:pPr>
              <w:pStyle w:val="IFTnormal"/>
              <w:spacing w:after="0" w:line="240" w:lineRule="auto"/>
              <w:rPr>
                <w:rFonts w:asciiTheme="majorHAnsi" w:eastAsiaTheme="minorHAnsi" w:hAnsiTheme="majorHAnsi" w:cstheme="majorHAnsi"/>
                <w:color w:val="0070C0"/>
                <w:sz w:val="20"/>
                <w:szCs w:val="20"/>
              </w:rPr>
            </w:pPr>
          </w:p>
          <w:p w14:paraId="18D5A24D" w14:textId="77777777" w:rsidR="001F57AA" w:rsidRDefault="001F57AA" w:rsidP="004D25D9">
            <w:pPr>
              <w:pStyle w:val="IFTnormal"/>
              <w:spacing w:after="0" w:line="240" w:lineRule="auto"/>
              <w:rPr>
                <w:rFonts w:asciiTheme="majorHAnsi" w:eastAsiaTheme="minorHAnsi" w:hAnsiTheme="majorHAnsi" w:cstheme="majorHAnsi"/>
                <w:color w:val="0070C0"/>
                <w:sz w:val="20"/>
                <w:szCs w:val="20"/>
              </w:rPr>
            </w:pPr>
          </w:p>
          <w:p w14:paraId="56C01EA4" w14:textId="77777777" w:rsidR="001F57AA" w:rsidRDefault="001F57AA" w:rsidP="004D25D9">
            <w:pPr>
              <w:pStyle w:val="IFTnormal"/>
              <w:spacing w:after="0" w:line="240" w:lineRule="auto"/>
              <w:rPr>
                <w:rFonts w:asciiTheme="majorHAnsi" w:eastAsiaTheme="minorHAnsi" w:hAnsiTheme="majorHAnsi" w:cstheme="majorHAnsi"/>
                <w:color w:val="0070C0"/>
                <w:sz w:val="20"/>
                <w:szCs w:val="20"/>
              </w:rPr>
            </w:pPr>
          </w:p>
          <w:p w14:paraId="23645C09" w14:textId="77777777" w:rsidR="001F57AA" w:rsidRDefault="001F57AA" w:rsidP="004D25D9">
            <w:pPr>
              <w:pStyle w:val="IFTnormal"/>
              <w:spacing w:after="0" w:line="240" w:lineRule="auto"/>
              <w:rPr>
                <w:rFonts w:asciiTheme="majorHAnsi" w:eastAsiaTheme="minorHAnsi" w:hAnsiTheme="majorHAnsi" w:cstheme="majorHAnsi"/>
                <w:color w:val="0070C0"/>
                <w:sz w:val="20"/>
                <w:szCs w:val="20"/>
              </w:rPr>
            </w:pPr>
          </w:p>
          <w:p w14:paraId="5C2B92AB" w14:textId="77777777" w:rsidR="001F57AA" w:rsidRDefault="001F57AA" w:rsidP="004D25D9">
            <w:pPr>
              <w:pStyle w:val="IFTnormal"/>
              <w:spacing w:after="0" w:line="240" w:lineRule="auto"/>
              <w:rPr>
                <w:rFonts w:asciiTheme="majorHAnsi" w:eastAsiaTheme="minorHAnsi" w:hAnsiTheme="majorHAnsi" w:cstheme="majorHAnsi"/>
                <w:color w:val="0070C0"/>
                <w:sz w:val="20"/>
                <w:szCs w:val="20"/>
              </w:rPr>
            </w:pPr>
          </w:p>
          <w:p w14:paraId="0EA69C51" w14:textId="77777777" w:rsidR="001F57AA" w:rsidRDefault="001F57AA" w:rsidP="004D25D9">
            <w:pPr>
              <w:pStyle w:val="IFTnormal"/>
              <w:spacing w:after="0" w:line="240" w:lineRule="auto"/>
              <w:rPr>
                <w:rFonts w:asciiTheme="majorHAnsi" w:eastAsiaTheme="minorHAnsi" w:hAnsiTheme="majorHAnsi" w:cstheme="majorHAnsi"/>
                <w:color w:val="0070C0"/>
                <w:sz w:val="20"/>
                <w:szCs w:val="20"/>
              </w:rPr>
            </w:pPr>
          </w:p>
          <w:p w14:paraId="28C77C03" w14:textId="77777777" w:rsidR="001F57AA" w:rsidRDefault="001F57AA" w:rsidP="004D25D9">
            <w:pPr>
              <w:pStyle w:val="IFTnormal"/>
              <w:spacing w:after="0" w:line="240" w:lineRule="auto"/>
              <w:rPr>
                <w:rFonts w:asciiTheme="majorHAnsi" w:eastAsiaTheme="minorHAnsi" w:hAnsiTheme="majorHAnsi" w:cstheme="majorHAnsi"/>
                <w:color w:val="0070C0"/>
                <w:sz w:val="20"/>
                <w:szCs w:val="20"/>
              </w:rPr>
            </w:pPr>
          </w:p>
          <w:p w14:paraId="07ED357E" w14:textId="77777777" w:rsidR="001F57AA" w:rsidRDefault="001F57AA" w:rsidP="004D25D9">
            <w:pPr>
              <w:pStyle w:val="IFTnormal"/>
              <w:spacing w:after="0" w:line="240" w:lineRule="auto"/>
              <w:rPr>
                <w:rFonts w:asciiTheme="majorHAnsi" w:eastAsiaTheme="minorHAnsi" w:hAnsiTheme="majorHAnsi" w:cstheme="majorHAnsi"/>
                <w:color w:val="0070C0"/>
                <w:sz w:val="20"/>
                <w:szCs w:val="20"/>
              </w:rPr>
            </w:pPr>
          </w:p>
          <w:p w14:paraId="3229D14E" w14:textId="77777777" w:rsidR="001F57AA" w:rsidRDefault="001F57AA" w:rsidP="004D25D9">
            <w:pPr>
              <w:pStyle w:val="IFTnormal"/>
              <w:spacing w:after="0" w:line="240" w:lineRule="auto"/>
              <w:rPr>
                <w:rFonts w:asciiTheme="majorHAnsi" w:eastAsiaTheme="minorHAnsi" w:hAnsiTheme="majorHAnsi" w:cstheme="majorHAnsi"/>
                <w:color w:val="0070C0"/>
                <w:sz w:val="20"/>
                <w:szCs w:val="20"/>
              </w:rPr>
            </w:pPr>
          </w:p>
          <w:p w14:paraId="094F6F76" w14:textId="77777777" w:rsidR="001F57AA" w:rsidRDefault="001F57AA" w:rsidP="004D25D9">
            <w:pPr>
              <w:pStyle w:val="IFTnormal"/>
              <w:spacing w:after="0" w:line="240" w:lineRule="auto"/>
              <w:rPr>
                <w:rFonts w:asciiTheme="majorHAnsi" w:eastAsiaTheme="minorHAnsi" w:hAnsiTheme="majorHAnsi" w:cstheme="majorHAnsi"/>
                <w:color w:val="0070C0"/>
                <w:sz w:val="20"/>
                <w:szCs w:val="20"/>
              </w:rPr>
            </w:pPr>
          </w:p>
          <w:p w14:paraId="4773B857" w14:textId="77777777" w:rsidR="001F57AA" w:rsidRDefault="001F57AA" w:rsidP="004D25D9">
            <w:pPr>
              <w:pStyle w:val="IFTnormal"/>
              <w:spacing w:after="0" w:line="240" w:lineRule="auto"/>
              <w:rPr>
                <w:rFonts w:asciiTheme="majorHAnsi" w:eastAsiaTheme="minorHAnsi" w:hAnsiTheme="majorHAnsi" w:cstheme="majorHAnsi"/>
                <w:color w:val="0070C0"/>
                <w:sz w:val="20"/>
                <w:szCs w:val="20"/>
              </w:rPr>
            </w:pPr>
          </w:p>
          <w:p w14:paraId="3D73BD78" w14:textId="77777777" w:rsidR="001F57AA" w:rsidRDefault="001F57AA" w:rsidP="004D25D9">
            <w:pPr>
              <w:pStyle w:val="IFTnormal"/>
              <w:spacing w:after="0" w:line="240" w:lineRule="auto"/>
              <w:rPr>
                <w:rFonts w:asciiTheme="majorHAnsi" w:eastAsiaTheme="minorHAnsi" w:hAnsiTheme="majorHAnsi" w:cstheme="majorHAnsi"/>
                <w:color w:val="0070C0"/>
                <w:sz w:val="20"/>
                <w:szCs w:val="20"/>
              </w:rPr>
            </w:pPr>
          </w:p>
          <w:p w14:paraId="1C387299" w14:textId="77777777" w:rsidR="001F57AA" w:rsidRDefault="001F57AA" w:rsidP="004D25D9">
            <w:pPr>
              <w:pStyle w:val="IFTnormal"/>
              <w:spacing w:after="0" w:line="240" w:lineRule="auto"/>
              <w:rPr>
                <w:rFonts w:asciiTheme="majorHAnsi" w:eastAsiaTheme="minorHAnsi" w:hAnsiTheme="majorHAnsi" w:cstheme="majorHAnsi"/>
                <w:color w:val="0070C0"/>
                <w:sz w:val="20"/>
                <w:szCs w:val="20"/>
              </w:rPr>
            </w:pPr>
          </w:p>
          <w:p w14:paraId="3C910E6E" w14:textId="77777777" w:rsidR="001F57AA" w:rsidRDefault="001F57AA" w:rsidP="004D25D9">
            <w:pPr>
              <w:pStyle w:val="IFTnormal"/>
              <w:spacing w:after="0" w:line="240" w:lineRule="auto"/>
              <w:rPr>
                <w:rFonts w:asciiTheme="majorHAnsi" w:eastAsiaTheme="minorHAnsi" w:hAnsiTheme="majorHAnsi" w:cstheme="majorHAnsi"/>
                <w:color w:val="0070C0"/>
                <w:sz w:val="20"/>
                <w:szCs w:val="20"/>
              </w:rPr>
            </w:pPr>
          </w:p>
          <w:p w14:paraId="23E36A4E" w14:textId="77777777" w:rsidR="001F57AA" w:rsidRDefault="001F57AA" w:rsidP="004D25D9">
            <w:pPr>
              <w:pStyle w:val="IFTnormal"/>
              <w:spacing w:after="0" w:line="240" w:lineRule="auto"/>
              <w:rPr>
                <w:rFonts w:asciiTheme="majorHAnsi" w:eastAsiaTheme="minorHAnsi" w:hAnsiTheme="majorHAnsi" w:cstheme="majorHAnsi"/>
                <w:color w:val="0070C0"/>
                <w:sz w:val="20"/>
                <w:szCs w:val="20"/>
              </w:rPr>
            </w:pPr>
          </w:p>
          <w:p w14:paraId="6671EBBB" w14:textId="77777777" w:rsidR="001F57AA" w:rsidRDefault="001F57AA" w:rsidP="004D25D9">
            <w:pPr>
              <w:pStyle w:val="IFTnormal"/>
              <w:spacing w:after="0" w:line="240" w:lineRule="auto"/>
              <w:rPr>
                <w:rFonts w:asciiTheme="majorHAnsi" w:eastAsiaTheme="minorHAnsi" w:hAnsiTheme="majorHAnsi" w:cstheme="majorHAnsi"/>
                <w:color w:val="0070C0"/>
                <w:sz w:val="20"/>
                <w:szCs w:val="20"/>
              </w:rPr>
            </w:pPr>
          </w:p>
          <w:p w14:paraId="3B6D4405" w14:textId="77777777" w:rsidR="001F57AA" w:rsidRDefault="001F57AA" w:rsidP="004D25D9">
            <w:pPr>
              <w:pStyle w:val="IFTnormal"/>
              <w:spacing w:after="0" w:line="240" w:lineRule="auto"/>
              <w:rPr>
                <w:rFonts w:asciiTheme="majorHAnsi" w:eastAsiaTheme="minorHAnsi" w:hAnsiTheme="majorHAnsi" w:cstheme="majorHAnsi"/>
                <w:color w:val="0070C0"/>
                <w:sz w:val="20"/>
                <w:szCs w:val="20"/>
              </w:rPr>
            </w:pPr>
          </w:p>
          <w:p w14:paraId="69D73A8C" w14:textId="77777777" w:rsidR="001F57AA" w:rsidRDefault="001F57AA" w:rsidP="004D25D9">
            <w:pPr>
              <w:pStyle w:val="IFTnormal"/>
              <w:spacing w:after="0" w:line="240" w:lineRule="auto"/>
              <w:rPr>
                <w:rFonts w:asciiTheme="majorHAnsi" w:eastAsiaTheme="minorHAnsi" w:hAnsiTheme="majorHAnsi" w:cstheme="majorHAnsi"/>
                <w:color w:val="0070C0"/>
                <w:sz w:val="20"/>
                <w:szCs w:val="20"/>
              </w:rPr>
            </w:pPr>
          </w:p>
          <w:p w14:paraId="00EDF8AF" w14:textId="77777777" w:rsidR="001F57AA" w:rsidRDefault="001F57AA" w:rsidP="004D25D9">
            <w:pPr>
              <w:pStyle w:val="IFTnormal"/>
              <w:spacing w:after="0" w:line="240" w:lineRule="auto"/>
              <w:rPr>
                <w:rFonts w:asciiTheme="majorHAnsi" w:eastAsiaTheme="minorHAnsi" w:hAnsiTheme="majorHAnsi" w:cstheme="majorHAnsi"/>
                <w:color w:val="0070C0"/>
                <w:sz w:val="20"/>
                <w:szCs w:val="20"/>
              </w:rPr>
            </w:pPr>
          </w:p>
          <w:p w14:paraId="446A13A9" w14:textId="77777777" w:rsidR="001F57AA" w:rsidRDefault="001F57AA" w:rsidP="004D25D9">
            <w:pPr>
              <w:pStyle w:val="IFTnormal"/>
              <w:spacing w:after="0" w:line="240" w:lineRule="auto"/>
              <w:rPr>
                <w:rFonts w:asciiTheme="majorHAnsi" w:eastAsiaTheme="minorHAnsi" w:hAnsiTheme="majorHAnsi" w:cstheme="majorHAnsi"/>
                <w:color w:val="0070C0"/>
                <w:sz w:val="20"/>
                <w:szCs w:val="20"/>
              </w:rPr>
            </w:pPr>
          </w:p>
          <w:p w14:paraId="34811C2E" w14:textId="77777777" w:rsidR="001F57AA" w:rsidRDefault="001F57AA" w:rsidP="004D25D9">
            <w:pPr>
              <w:pStyle w:val="IFTnormal"/>
              <w:spacing w:after="0" w:line="240" w:lineRule="auto"/>
              <w:rPr>
                <w:rFonts w:asciiTheme="majorHAnsi" w:eastAsiaTheme="minorHAnsi" w:hAnsiTheme="majorHAnsi" w:cstheme="majorHAnsi"/>
                <w:color w:val="0070C0"/>
                <w:sz w:val="20"/>
                <w:szCs w:val="20"/>
              </w:rPr>
            </w:pPr>
          </w:p>
          <w:p w14:paraId="5822D139" w14:textId="77777777" w:rsidR="00CE3E41" w:rsidRDefault="00CE3E41" w:rsidP="004D25D9">
            <w:pPr>
              <w:pStyle w:val="IFTnormal"/>
              <w:spacing w:after="0" w:line="240" w:lineRule="auto"/>
              <w:rPr>
                <w:rFonts w:asciiTheme="majorHAnsi" w:eastAsiaTheme="minorHAnsi" w:hAnsiTheme="majorHAnsi" w:cstheme="majorHAnsi"/>
                <w:color w:val="0070C0"/>
                <w:sz w:val="20"/>
                <w:szCs w:val="20"/>
              </w:rPr>
            </w:pPr>
          </w:p>
          <w:p w14:paraId="4AC1609B" w14:textId="77777777" w:rsidR="00CE3E41" w:rsidRDefault="00CE3E41" w:rsidP="004D25D9">
            <w:pPr>
              <w:pStyle w:val="IFTnormal"/>
              <w:spacing w:after="0" w:line="240" w:lineRule="auto"/>
              <w:rPr>
                <w:rFonts w:asciiTheme="majorHAnsi" w:eastAsiaTheme="minorHAnsi" w:hAnsiTheme="majorHAnsi" w:cstheme="majorHAnsi"/>
                <w:color w:val="0070C0"/>
                <w:sz w:val="20"/>
                <w:szCs w:val="20"/>
              </w:rPr>
            </w:pPr>
          </w:p>
          <w:p w14:paraId="77A3FF89" w14:textId="77777777" w:rsidR="00CE3E41" w:rsidRDefault="00CE3E41" w:rsidP="004D25D9">
            <w:pPr>
              <w:pStyle w:val="IFTnormal"/>
              <w:spacing w:after="0" w:line="240" w:lineRule="auto"/>
              <w:rPr>
                <w:rFonts w:asciiTheme="majorHAnsi" w:eastAsiaTheme="minorHAnsi" w:hAnsiTheme="majorHAnsi" w:cstheme="majorHAnsi"/>
                <w:color w:val="0070C0"/>
                <w:sz w:val="20"/>
                <w:szCs w:val="20"/>
              </w:rPr>
            </w:pPr>
          </w:p>
          <w:p w14:paraId="698F13D1" w14:textId="77777777" w:rsidR="00CE3E41" w:rsidRDefault="00CE3E41" w:rsidP="004D25D9">
            <w:pPr>
              <w:pStyle w:val="IFTnormal"/>
              <w:spacing w:after="0" w:line="240" w:lineRule="auto"/>
              <w:rPr>
                <w:rFonts w:asciiTheme="majorHAnsi" w:eastAsiaTheme="minorHAnsi" w:hAnsiTheme="majorHAnsi" w:cstheme="majorHAnsi"/>
                <w:color w:val="0070C0"/>
                <w:sz w:val="20"/>
                <w:szCs w:val="20"/>
              </w:rPr>
            </w:pPr>
          </w:p>
          <w:p w14:paraId="30F82C3E" w14:textId="77777777" w:rsidR="00CE3E41" w:rsidRDefault="00CE3E41" w:rsidP="004D25D9">
            <w:pPr>
              <w:pStyle w:val="IFTnormal"/>
              <w:spacing w:after="0" w:line="240" w:lineRule="auto"/>
              <w:rPr>
                <w:rFonts w:asciiTheme="majorHAnsi" w:eastAsiaTheme="minorHAnsi" w:hAnsiTheme="majorHAnsi" w:cstheme="majorHAnsi"/>
                <w:color w:val="0070C0"/>
                <w:sz w:val="20"/>
                <w:szCs w:val="20"/>
              </w:rPr>
            </w:pPr>
          </w:p>
          <w:p w14:paraId="38369F97" w14:textId="77777777" w:rsidR="00CE3E41" w:rsidRDefault="00CE3E41" w:rsidP="004D25D9">
            <w:pPr>
              <w:pStyle w:val="IFTnormal"/>
              <w:spacing w:after="0" w:line="240" w:lineRule="auto"/>
              <w:rPr>
                <w:rFonts w:asciiTheme="majorHAnsi" w:eastAsiaTheme="minorHAnsi" w:hAnsiTheme="majorHAnsi" w:cstheme="majorHAnsi"/>
                <w:color w:val="0070C0"/>
                <w:sz w:val="20"/>
                <w:szCs w:val="20"/>
              </w:rPr>
            </w:pPr>
          </w:p>
          <w:p w14:paraId="22953E5F" w14:textId="77777777" w:rsidR="00CE3E41" w:rsidRDefault="00CE3E41" w:rsidP="004D25D9">
            <w:pPr>
              <w:pStyle w:val="IFTnormal"/>
              <w:spacing w:after="0" w:line="240" w:lineRule="auto"/>
              <w:rPr>
                <w:rFonts w:asciiTheme="majorHAnsi" w:eastAsiaTheme="minorHAnsi" w:hAnsiTheme="majorHAnsi" w:cstheme="majorHAnsi"/>
                <w:color w:val="0070C0"/>
                <w:sz w:val="20"/>
                <w:szCs w:val="20"/>
              </w:rPr>
            </w:pPr>
          </w:p>
          <w:p w14:paraId="5286862C" w14:textId="77777777" w:rsidR="00CE3E41" w:rsidRDefault="00CE3E41" w:rsidP="004D25D9">
            <w:pPr>
              <w:pStyle w:val="IFTnormal"/>
              <w:spacing w:after="0" w:line="240" w:lineRule="auto"/>
              <w:rPr>
                <w:rFonts w:asciiTheme="majorHAnsi" w:eastAsiaTheme="minorHAnsi" w:hAnsiTheme="majorHAnsi" w:cstheme="majorHAnsi"/>
                <w:color w:val="0070C0"/>
                <w:sz w:val="20"/>
                <w:szCs w:val="20"/>
              </w:rPr>
            </w:pPr>
          </w:p>
          <w:p w14:paraId="0DD620A7" w14:textId="77777777" w:rsidR="00CE3E41" w:rsidRDefault="00CE3E41" w:rsidP="004D25D9">
            <w:pPr>
              <w:pStyle w:val="IFTnormal"/>
              <w:spacing w:after="0" w:line="240" w:lineRule="auto"/>
              <w:rPr>
                <w:rFonts w:asciiTheme="majorHAnsi" w:eastAsiaTheme="minorHAnsi" w:hAnsiTheme="majorHAnsi" w:cstheme="majorHAnsi"/>
                <w:color w:val="0070C0"/>
                <w:sz w:val="20"/>
                <w:szCs w:val="20"/>
              </w:rPr>
            </w:pPr>
          </w:p>
          <w:p w14:paraId="6AAF51E6" w14:textId="77777777" w:rsidR="00CE3E41" w:rsidRDefault="00CE3E41" w:rsidP="004D25D9">
            <w:pPr>
              <w:pStyle w:val="IFTnormal"/>
              <w:spacing w:after="0" w:line="240" w:lineRule="auto"/>
              <w:rPr>
                <w:rFonts w:asciiTheme="majorHAnsi" w:eastAsiaTheme="minorHAnsi" w:hAnsiTheme="majorHAnsi" w:cstheme="majorHAnsi"/>
                <w:color w:val="0070C0"/>
                <w:sz w:val="20"/>
                <w:szCs w:val="20"/>
              </w:rPr>
            </w:pPr>
          </w:p>
          <w:p w14:paraId="40D3B819" w14:textId="77777777" w:rsidR="00E42D75" w:rsidRDefault="00E42D75" w:rsidP="004D25D9">
            <w:pPr>
              <w:pStyle w:val="IFTnormal"/>
              <w:spacing w:after="0" w:line="240" w:lineRule="auto"/>
              <w:rPr>
                <w:rFonts w:asciiTheme="majorHAnsi" w:eastAsiaTheme="minorHAnsi" w:hAnsiTheme="majorHAnsi" w:cstheme="majorHAnsi"/>
                <w:color w:val="0070C0"/>
                <w:sz w:val="20"/>
                <w:szCs w:val="20"/>
              </w:rPr>
            </w:pPr>
          </w:p>
          <w:p w14:paraId="62E5DD56" w14:textId="77777777" w:rsidR="00CE3E41" w:rsidRDefault="00CE3E41" w:rsidP="004D25D9">
            <w:pPr>
              <w:pStyle w:val="IFTnormal"/>
              <w:spacing w:after="0" w:line="240" w:lineRule="auto"/>
              <w:rPr>
                <w:rFonts w:asciiTheme="majorHAnsi" w:eastAsiaTheme="minorHAnsi" w:hAnsiTheme="majorHAnsi" w:cstheme="majorHAnsi"/>
                <w:color w:val="0070C0"/>
                <w:sz w:val="20"/>
                <w:szCs w:val="20"/>
              </w:rPr>
            </w:pPr>
          </w:p>
          <w:p w14:paraId="276924F4" w14:textId="77777777" w:rsidR="00CE3E41" w:rsidRDefault="00CE3E41" w:rsidP="004D25D9">
            <w:pPr>
              <w:pStyle w:val="IFTnormal"/>
              <w:spacing w:after="0" w:line="240" w:lineRule="auto"/>
              <w:rPr>
                <w:rFonts w:asciiTheme="majorHAnsi" w:eastAsiaTheme="minorHAnsi" w:hAnsiTheme="majorHAnsi" w:cstheme="majorHAnsi"/>
                <w:color w:val="0070C0"/>
                <w:sz w:val="20"/>
                <w:szCs w:val="20"/>
              </w:rPr>
            </w:pPr>
          </w:p>
          <w:p w14:paraId="07BB7006" w14:textId="77777777" w:rsidR="00CE3E41" w:rsidRDefault="00CE3E41" w:rsidP="004D25D9">
            <w:pPr>
              <w:pStyle w:val="IFTnormal"/>
              <w:spacing w:after="0" w:line="240" w:lineRule="auto"/>
              <w:rPr>
                <w:rFonts w:asciiTheme="majorHAnsi" w:eastAsiaTheme="minorHAnsi" w:hAnsiTheme="majorHAnsi" w:cstheme="majorHAnsi"/>
                <w:color w:val="0070C0"/>
                <w:sz w:val="20"/>
                <w:szCs w:val="20"/>
              </w:rPr>
            </w:pPr>
          </w:p>
          <w:p w14:paraId="3CC53F51" w14:textId="77777777" w:rsidR="00CE3E41" w:rsidRDefault="00CE3E41" w:rsidP="004D25D9">
            <w:pPr>
              <w:pStyle w:val="IFTnormal"/>
              <w:spacing w:after="0" w:line="240" w:lineRule="auto"/>
              <w:rPr>
                <w:rFonts w:asciiTheme="majorHAnsi" w:eastAsiaTheme="minorHAnsi" w:hAnsiTheme="majorHAnsi" w:cstheme="majorHAnsi"/>
                <w:color w:val="0070C0"/>
                <w:sz w:val="20"/>
                <w:szCs w:val="20"/>
              </w:rPr>
            </w:pPr>
          </w:p>
          <w:p w14:paraId="4406AC88" w14:textId="77777777" w:rsidR="00385E8F" w:rsidRPr="00E16021" w:rsidRDefault="00385E8F" w:rsidP="004D25D9">
            <w:pPr>
              <w:pStyle w:val="IFTnormal"/>
              <w:spacing w:after="0" w:line="240" w:lineRule="auto"/>
              <w:rPr>
                <w:rFonts w:asciiTheme="majorHAnsi" w:eastAsiaTheme="minorHAnsi" w:hAnsiTheme="majorHAnsi" w:cstheme="majorHAnsi"/>
                <w:color w:val="0070C0"/>
                <w:sz w:val="20"/>
                <w:szCs w:val="20"/>
              </w:rPr>
            </w:pPr>
          </w:p>
        </w:tc>
        <w:tc>
          <w:tcPr>
            <w:tcW w:w="5893" w:type="dxa"/>
            <w:vMerge w:val="restart"/>
          </w:tcPr>
          <w:p w14:paraId="4F15ADE1" w14:textId="641A13FC" w:rsidR="00F52908" w:rsidRPr="00053658" w:rsidRDefault="00F52908" w:rsidP="00F52908">
            <w:pPr>
              <w:jc w:val="both"/>
              <w:rPr>
                <w:rFonts w:ascii="Calibri Light" w:eastAsia="Calibri" w:hAnsi="Calibri Light" w:cs="Calibri Light"/>
                <w:sz w:val="20"/>
                <w:szCs w:val="20"/>
              </w:rPr>
            </w:pPr>
            <w:r w:rsidRPr="00053658">
              <w:rPr>
                <w:rFonts w:ascii="Calibri Light" w:eastAsia="Calibri" w:hAnsi="Calibri Light" w:cs="Calibri Light"/>
                <w:sz w:val="20"/>
                <w:szCs w:val="20"/>
              </w:rPr>
              <w:lastRenderedPageBreak/>
              <w:t>Respecto a</w:t>
            </w:r>
            <w:r w:rsidR="00DC05C0">
              <w:rPr>
                <w:rFonts w:ascii="Calibri Light" w:eastAsia="Calibri" w:hAnsi="Calibri Light" w:cs="Calibri Light"/>
                <w:sz w:val="20"/>
                <w:szCs w:val="20"/>
              </w:rPr>
              <w:t>l</w:t>
            </w:r>
            <w:r w:rsidRPr="00053658">
              <w:rPr>
                <w:rFonts w:ascii="Calibri Light" w:eastAsia="Calibri" w:hAnsi="Calibri Light" w:cs="Calibri Light"/>
                <w:sz w:val="20"/>
                <w:szCs w:val="20"/>
              </w:rPr>
              <w:t xml:space="preserve"> numeral 2.7.1 se propone que las penalizaciones por entregas fuera de plazo se calculen de forma proporcional al número de días hábiles de retraso respecto al mes en curso, lo cual permite una fórmula justa, transparente y alineada con la magnitud real del incumplimiento.</w:t>
            </w:r>
          </w:p>
          <w:p w14:paraId="0DBC6DBA" w14:textId="77777777" w:rsidR="00F52908" w:rsidRPr="00F52908" w:rsidRDefault="00F52908" w:rsidP="00F52908">
            <w:pPr>
              <w:jc w:val="both"/>
              <w:rPr>
                <w:rFonts w:asciiTheme="majorHAnsi" w:eastAsia="Calibri" w:hAnsiTheme="majorHAnsi" w:cstheme="majorHAnsi"/>
                <w:sz w:val="20"/>
                <w:szCs w:val="20"/>
              </w:rPr>
            </w:pPr>
          </w:p>
          <w:p w14:paraId="10CA3C02" w14:textId="1403C0D7" w:rsidR="00E72F3C" w:rsidRPr="00053658" w:rsidRDefault="00F52908" w:rsidP="00F52908">
            <w:pPr>
              <w:jc w:val="both"/>
              <w:rPr>
                <w:rFonts w:ascii="Calibri Light" w:eastAsia="Calibri" w:hAnsi="Calibri Light" w:cs="Calibri Light"/>
                <w:sz w:val="20"/>
                <w:szCs w:val="20"/>
              </w:rPr>
            </w:pPr>
            <w:r w:rsidRPr="00053658">
              <w:rPr>
                <w:rFonts w:ascii="Calibri Light" w:eastAsia="Calibri" w:hAnsi="Calibri Light" w:cs="Calibri Light"/>
                <w:sz w:val="20"/>
                <w:szCs w:val="20"/>
              </w:rPr>
              <w:t>De igual forma, en el caso de</w:t>
            </w:r>
            <w:r w:rsidR="00DC05C0">
              <w:rPr>
                <w:rFonts w:ascii="Calibri Light" w:eastAsia="Calibri" w:hAnsi="Calibri Light" w:cs="Calibri Light"/>
                <w:sz w:val="20"/>
                <w:szCs w:val="20"/>
              </w:rPr>
              <w:t xml:space="preserve">l numeral </w:t>
            </w:r>
            <w:r w:rsidR="00DC05C0" w:rsidRPr="00053658">
              <w:rPr>
                <w:rFonts w:ascii="Calibri Light" w:eastAsia="Calibri" w:hAnsi="Calibri Light" w:cs="Calibri Light"/>
                <w:sz w:val="20"/>
                <w:szCs w:val="20"/>
              </w:rPr>
              <w:t>2.7.2</w:t>
            </w:r>
            <w:r w:rsidRPr="00053658">
              <w:rPr>
                <w:rFonts w:ascii="Calibri Light" w:eastAsia="Calibri" w:hAnsi="Calibri Light" w:cs="Calibri Light"/>
                <w:sz w:val="20"/>
                <w:szCs w:val="20"/>
              </w:rPr>
              <w:t xml:space="preserve"> penalizaciones por fallas, se propone que éstas se apliquen con base en la proporción de horas afectadas respecto al total de horas del mes observado. Esta metodología asegura que las compensaciones reflejen con precisión el impacto efectivo del retraso o interrupción, evitando excesos desproporcionados y promoviendo un equilibrio operativo entre calidad de servicio y responsabilidad contractual.</w:t>
            </w:r>
          </w:p>
          <w:p w14:paraId="396CDE7C" w14:textId="77777777" w:rsidR="00F52908" w:rsidRDefault="00F52908" w:rsidP="00F52908">
            <w:pPr>
              <w:jc w:val="both"/>
              <w:rPr>
                <w:rFonts w:asciiTheme="majorHAnsi" w:eastAsia="Calibri" w:hAnsiTheme="majorHAnsi" w:cstheme="majorHAnsi"/>
                <w:sz w:val="20"/>
                <w:szCs w:val="20"/>
              </w:rPr>
            </w:pPr>
          </w:p>
          <w:p w14:paraId="20A01902" w14:textId="77777777" w:rsidR="00CF39C2" w:rsidRPr="00CF39C2" w:rsidRDefault="00CF39C2" w:rsidP="00CF39C2">
            <w:pPr>
              <w:jc w:val="both"/>
              <w:rPr>
                <w:rFonts w:asciiTheme="majorHAnsi" w:eastAsia="Calibri" w:hAnsiTheme="majorHAnsi" w:cstheme="majorHAnsi"/>
                <w:sz w:val="20"/>
                <w:szCs w:val="20"/>
              </w:rPr>
            </w:pPr>
            <w:r w:rsidRPr="00CF39C2">
              <w:rPr>
                <w:rFonts w:asciiTheme="majorHAnsi" w:eastAsia="Calibri" w:hAnsiTheme="majorHAnsi" w:cstheme="majorHAnsi"/>
                <w:sz w:val="20"/>
                <w:szCs w:val="20"/>
              </w:rPr>
              <w:t>Es importante destacar que la Suprema Corte de Justicia de la Nación en la tesis 2a./J. 167/2017 (10a.) se pronunció respecto la importancia del artículo 22 constitucional y ha señalado que dicho precepto constitucional “</w:t>
            </w:r>
            <w:r w:rsidRPr="00CF39C2">
              <w:rPr>
                <w:rFonts w:asciiTheme="majorHAnsi" w:eastAsia="Calibri" w:hAnsiTheme="majorHAnsi" w:cstheme="majorHAnsi"/>
                <w:i/>
                <w:iCs/>
                <w:sz w:val="20"/>
                <w:szCs w:val="20"/>
              </w:rPr>
              <w:t>prohíbe las multas excesivas, lo que implica que debe existir una relación entre las posibilidades económicas del infractor, la gravedad de la conducta y la sanción procedente</w:t>
            </w:r>
            <w:r w:rsidRPr="00CF39C2">
              <w:rPr>
                <w:rFonts w:asciiTheme="majorHAnsi" w:eastAsia="Calibri" w:hAnsiTheme="majorHAnsi" w:cstheme="majorHAnsi"/>
                <w:sz w:val="20"/>
                <w:szCs w:val="20"/>
              </w:rPr>
              <w:t>”. En este sentido la penalización establecida en la ORE no es acorde con el artículo 22 constitucional, es decir no resulta razonable y no corresponde con la afectación causada, por lo que a efecto de que sea proporcional debe atender a los días de retraso de conformidad con los días que tiene cada mes, ya que la penalización corresponde a una renta mensual, lo que conlleva que 10 días de retraso alcancen el 100% de la renta mensual, lo que evidencia la desproporcionalidad de la penalización. Misma desproporcionalidad se evidencia en la penalización conforme a las horas.</w:t>
            </w:r>
          </w:p>
          <w:p w14:paraId="38EC3306" w14:textId="77777777" w:rsidR="00CF39C2" w:rsidRPr="00CF39C2" w:rsidRDefault="00CF39C2" w:rsidP="00CF39C2">
            <w:pPr>
              <w:jc w:val="both"/>
              <w:rPr>
                <w:rFonts w:asciiTheme="majorHAnsi" w:eastAsia="Calibri" w:hAnsiTheme="majorHAnsi" w:cstheme="majorHAnsi"/>
                <w:sz w:val="20"/>
                <w:szCs w:val="20"/>
              </w:rPr>
            </w:pPr>
          </w:p>
          <w:p w14:paraId="586E4A17" w14:textId="77777777" w:rsidR="00CF39C2" w:rsidRPr="00CF39C2" w:rsidRDefault="00CF39C2" w:rsidP="00CF39C2">
            <w:pPr>
              <w:jc w:val="both"/>
              <w:rPr>
                <w:rFonts w:asciiTheme="majorHAnsi" w:eastAsia="Calibri" w:hAnsiTheme="majorHAnsi" w:cstheme="majorHAnsi"/>
                <w:sz w:val="20"/>
                <w:szCs w:val="20"/>
              </w:rPr>
            </w:pPr>
            <w:r w:rsidRPr="00053658">
              <w:rPr>
                <w:rFonts w:ascii="Calibri Light" w:eastAsia="Calibri" w:hAnsi="Calibri Light" w:cs="Calibri Light"/>
                <w:sz w:val="20"/>
                <w:szCs w:val="20"/>
              </w:rPr>
              <w:t xml:space="preserve">Asimismo, cabe mencionar que el Instituto ha permitido el pago de las penalidades de manera proporcional a otros concesionarios, a manera </w:t>
            </w:r>
            <w:r w:rsidRPr="00053658">
              <w:rPr>
                <w:rFonts w:ascii="Calibri Light" w:eastAsia="Calibri" w:hAnsi="Calibri Light" w:cs="Calibri Light"/>
                <w:sz w:val="20"/>
                <w:szCs w:val="20"/>
              </w:rPr>
              <w:lastRenderedPageBreak/>
              <w:t>de ejemplo se menciona el CONTRATO MARCO DE PRESTACIÓN DE SERVICIOS DE TELECOMUNICACIONES de ALTÁN REDES, S.A.P.I. DE C.V</w:t>
            </w:r>
            <w:r w:rsidRPr="00CF39C2">
              <w:rPr>
                <w:rFonts w:asciiTheme="majorHAnsi" w:eastAsia="Calibri" w:hAnsiTheme="majorHAnsi" w:cstheme="majorHAnsi"/>
                <w:sz w:val="20"/>
                <w:szCs w:val="20"/>
              </w:rPr>
              <w:t>.:</w:t>
            </w:r>
          </w:p>
          <w:p w14:paraId="1A1D3730" w14:textId="77777777" w:rsidR="00CF39C2" w:rsidRPr="00CF39C2" w:rsidRDefault="00CF39C2" w:rsidP="00CF39C2">
            <w:pPr>
              <w:jc w:val="both"/>
              <w:rPr>
                <w:rFonts w:asciiTheme="majorHAnsi" w:eastAsia="Calibri" w:hAnsiTheme="majorHAnsi" w:cstheme="majorHAnsi"/>
                <w:sz w:val="20"/>
                <w:szCs w:val="20"/>
              </w:rPr>
            </w:pPr>
          </w:p>
          <w:p w14:paraId="6DDAF650" w14:textId="77777777" w:rsidR="00CF39C2" w:rsidRPr="00CF39C2" w:rsidRDefault="00CF39C2" w:rsidP="00CF39C2">
            <w:pPr>
              <w:ind w:left="708"/>
              <w:jc w:val="both"/>
              <w:rPr>
                <w:rFonts w:asciiTheme="majorHAnsi" w:eastAsia="Calibri" w:hAnsiTheme="majorHAnsi" w:cstheme="majorHAnsi"/>
                <w:sz w:val="20"/>
                <w:szCs w:val="20"/>
              </w:rPr>
            </w:pPr>
            <w:r w:rsidRPr="00CF39C2">
              <w:rPr>
                <w:rFonts w:asciiTheme="majorHAnsi" w:eastAsia="Calibri" w:hAnsiTheme="majorHAnsi" w:cstheme="majorHAnsi"/>
                <w:i/>
                <w:iCs/>
                <w:sz w:val="20"/>
                <w:szCs w:val="20"/>
              </w:rPr>
              <w:t>Clausula CUARTA. Estructuras Tarifarias; Tarifas; Medición; Penalidades; Facturación; Garantías.</w:t>
            </w:r>
          </w:p>
          <w:p w14:paraId="04285F04" w14:textId="77777777" w:rsidR="00CF39C2" w:rsidRPr="00CF39C2" w:rsidRDefault="00CF39C2" w:rsidP="00CF39C2">
            <w:pPr>
              <w:ind w:left="708"/>
              <w:jc w:val="both"/>
              <w:rPr>
                <w:rFonts w:asciiTheme="majorHAnsi" w:eastAsia="Calibri" w:hAnsiTheme="majorHAnsi" w:cstheme="majorHAnsi"/>
                <w:sz w:val="20"/>
                <w:szCs w:val="20"/>
              </w:rPr>
            </w:pPr>
            <w:r w:rsidRPr="00CF39C2">
              <w:rPr>
                <w:rFonts w:asciiTheme="majorHAnsi" w:eastAsia="Calibri" w:hAnsiTheme="majorHAnsi" w:cstheme="majorHAnsi"/>
                <w:i/>
                <w:iCs/>
                <w:sz w:val="20"/>
                <w:szCs w:val="20"/>
              </w:rPr>
              <w:t> </w:t>
            </w:r>
          </w:p>
          <w:p w14:paraId="1BD1CAFC" w14:textId="77777777" w:rsidR="00CF39C2" w:rsidRPr="00CF39C2" w:rsidRDefault="00CF39C2" w:rsidP="00CF39C2">
            <w:pPr>
              <w:ind w:left="708"/>
              <w:jc w:val="both"/>
              <w:rPr>
                <w:rFonts w:asciiTheme="majorHAnsi" w:eastAsia="Calibri" w:hAnsiTheme="majorHAnsi" w:cstheme="majorHAnsi"/>
                <w:sz w:val="20"/>
                <w:szCs w:val="20"/>
              </w:rPr>
            </w:pPr>
            <w:r w:rsidRPr="00CF39C2">
              <w:rPr>
                <w:rFonts w:asciiTheme="majorHAnsi" w:eastAsia="Calibri" w:hAnsiTheme="majorHAnsi" w:cstheme="majorHAnsi"/>
                <w:i/>
                <w:iCs/>
                <w:sz w:val="20"/>
                <w:szCs w:val="20"/>
              </w:rPr>
              <w:t xml:space="preserve">4.3 Las Partes se obligan a pagar las </w:t>
            </w:r>
            <w:r w:rsidRPr="00CF39C2">
              <w:rPr>
                <w:rFonts w:asciiTheme="majorHAnsi" w:eastAsia="Calibri" w:hAnsiTheme="majorHAnsi" w:cstheme="majorHAnsi"/>
                <w:b/>
                <w:bCs/>
                <w:i/>
                <w:iCs/>
                <w:sz w:val="20"/>
                <w:szCs w:val="20"/>
              </w:rPr>
              <w:t xml:space="preserve">penalidades que por incumplimiento en sus respectivas obligaciones </w:t>
            </w:r>
            <w:r w:rsidRPr="00CF39C2">
              <w:rPr>
                <w:rFonts w:asciiTheme="majorHAnsi" w:eastAsia="Calibri" w:hAnsiTheme="majorHAnsi" w:cstheme="majorHAnsi"/>
                <w:i/>
                <w:iCs/>
                <w:sz w:val="20"/>
                <w:szCs w:val="20"/>
              </w:rPr>
              <w:t>se establezcan en los Anexos de Servicios correspondientes.</w:t>
            </w:r>
          </w:p>
          <w:p w14:paraId="5A64F7AB" w14:textId="77777777" w:rsidR="00CF39C2" w:rsidRPr="00CF39C2" w:rsidRDefault="00CF39C2" w:rsidP="00CF39C2">
            <w:pPr>
              <w:ind w:left="708"/>
              <w:jc w:val="both"/>
              <w:rPr>
                <w:rFonts w:asciiTheme="majorHAnsi" w:eastAsia="Calibri" w:hAnsiTheme="majorHAnsi" w:cstheme="majorHAnsi"/>
                <w:sz w:val="20"/>
                <w:szCs w:val="20"/>
              </w:rPr>
            </w:pPr>
          </w:p>
          <w:p w14:paraId="6E7E37F4" w14:textId="77777777" w:rsidR="00CF39C2" w:rsidRPr="00CF39C2" w:rsidRDefault="00CF39C2" w:rsidP="00CF39C2">
            <w:pPr>
              <w:ind w:left="708"/>
              <w:jc w:val="both"/>
              <w:rPr>
                <w:rFonts w:asciiTheme="majorHAnsi" w:eastAsia="Calibri" w:hAnsiTheme="majorHAnsi" w:cstheme="majorHAnsi"/>
                <w:i/>
                <w:iCs/>
                <w:sz w:val="20"/>
                <w:szCs w:val="20"/>
              </w:rPr>
            </w:pPr>
            <w:r w:rsidRPr="00CF39C2">
              <w:rPr>
                <w:rFonts w:asciiTheme="majorHAnsi" w:eastAsia="Calibri" w:hAnsiTheme="majorHAnsi" w:cstheme="majorHAnsi"/>
                <w:i/>
                <w:iCs/>
                <w:sz w:val="20"/>
                <w:szCs w:val="20"/>
              </w:rPr>
              <w:t>APÉNDICE 7.5 ACUERDO DE NIVEL DE SERVICIOS Y GESTIÓN DE INCIDENCIAS INTERNET HOGAR Y TELEFONÍA SIM ALTÁN</w:t>
            </w:r>
          </w:p>
          <w:p w14:paraId="7B358DDD" w14:textId="77777777" w:rsidR="00CF39C2" w:rsidRPr="00CF39C2" w:rsidRDefault="00CF39C2" w:rsidP="00CF39C2">
            <w:pPr>
              <w:ind w:left="708"/>
              <w:jc w:val="both"/>
              <w:rPr>
                <w:rFonts w:asciiTheme="majorHAnsi" w:eastAsia="Calibri" w:hAnsiTheme="majorHAnsi" w:cstheme="majorHAnsi"/>
                <w:sz w:val="20"/>
                <w:szCs w:val="20"/>
              </w:rPr>
            </w:pPr>
            <w:r w:rsidRPr="00CF39C2">
              <w:rPr>
                <w:rFonts w:asciiTheme="majorHAnsi" w:eastAsia="Calibri" w:hAnsiTheme="majorHAnsi" w:cstheme="majorHAnsi"/>
                <w:i/>
                <w:iCs/>
                <w:sz w:val="20"/>
                <w:szCs w:val="20"/>
              </w:rPr>
              <w:t xml:space="preserve">TERCERA. Penalizaciones </w:t>
            </w:r>
          </w:p>
          <w:p w14:paraId="50904BCC" w14:textId="77777777" w:rsidR="00CF39C2" w:rsidRPr="00CF39C2" w:rsidRDefault="00CF39C2" w:rsidP="00CF39C2">
            <w:pPr>
              <w:ind w:left="708"/>
              <w:jc w:val="both"/>
              <w:rPr>
                <w:rFonts w:asciiTheme="majorHAnsi" w:eastAsia="Calibri" w:hAnsiTheme="majorHAnsi" w:cstheme="majorHAnsi"/>
                <w:sz w:val="20"/>
                <w:szCs w:val="20"/>
              </w:rPr>
            </w:pPr>
            <w:r w:rsidRPr="00CF39C2">
              <w:rPr>
                <w:rFonts w:asciiTheme="majorHAnsi" w:eastAsia="Calibri" w:hAnsiTheme="majorHAnsi" w:cstheme="majorHAnsi"/>
                <w:i/>
                <w:iCs/>
                <w:sz w:val="20"/>
                <w:szCs w:val="20"/>
              </w:rPr>
              <w:t xml:space="preserve">3.1 En caso de que para un determinado mes calendario la disponibilidad del servicio de gestión mayorista esté por debajo del valor definido en la tabla del apartado 2.2, inciso c) anterior, </w:t>
            </w:r>
            <w:r w:rsidRPr="00CF39C2">
              <w:rPr>
                <w:rFonts w:asciiTheme="majorHAnsi" w:eastAsia="Calibri" w:hAnsiTheme="majorHAnsi" w:cstheme="majorHAnsi"/>
                <w:i/>
                <w:iCs/>
                <w:sz w:val="20"/>
                <w:szCs w:val="20"/>
                <w:u w:val="single"/>
              </w:rPr>
              <w:t xml:space="preserve">se aplicará una penalización que será resultante de aplicar el porcentaje de diferencia entre el compromiso de disponibilidad del Servicio y la </w:t>
            </w:r>
            <w:r w:rsidRPr="00CF39C2">
              <w:rPr>
                <w:rFonts w:asciiTheme="majorHAnsi" w:eastAsia="Calibri" w:hAnsiTheme="majorHAnsi" w:cstheme="majorHAnsi"/>
                <w:b/>
                <w:bCs/>
                <w:i/>
                <w:iCs/>
                <w:sz w:val="20"/>
                <w:szCs w:val="20"/>
                <w:u w:val="single"/>
              </w:rPr>
              <w:t>disponibilidad mensual</w:t>
            </w:r>
            <w:r w:rsidRPr="00CF39C2">
              <w:rPr>
                <w:rFonts w:asciiTheme="majorHAnsi" w:eastAsia="Calibri" w:hAnsiTheme="majorHAnsi" w:cstheme="majorHAnsi"/>
                <w:i/>
                <w:iCs/>
                <w:sz w:val="20"/>
                <w:szCs w:val="20"/>
              </w:rPr>
              <w:t>, multiplicado por la cantidad monetaria, antes de impuestos, de la última factura mensual emitida por parte de Altán al Cliente.</w:t>
            </w:r>
          </w:p>
          <w:p w14:paraId="4AB8BC55" w14:textId="77777777" w:rsidR="00CF39C2" w:rsidRPr="00CF39C2" w:rsidRDefault="00CF39C2" w:rsidP="00CF39C2">
            <w:pPr>
              <w:jc w:val="both"/>
              <w:rPr>
                <w:rFonts w:asciiTheme="majorHAnsi" w:eastAsia="Calibri" w:hAnsiTheme="majorHAnsi" w:cstheme="majorHAnsi"/>
                <w:sz w:val="20"/>
                <w:szCs w:val="20"/>
              </w:rPr>
            </w:pPr>
          </w:p>
          <w:p w14:paraId="2C1DDFF2" w14:textId="77777777" w:rsidR="00CF39C2" w:rsidRPr="00053658" w:rsidRDefault="00CF39C2" w:rsidP="00CF39C2">
            <w:pPr>
              <w:jc w:val="both"/>
              <w:rPr>
                <w:rFonts w:ascii="Calibri Light" w:eastAsia="Calibri" w:hAnsi="Calibri Light" w:cs="Calibri Light"/>
                <w:sz w:val="20"/>
                <w:szCs w:val="20"/>
              </w:rPr>
            </w:pPr>
            <w:r w:rsidRPr="00053658">
              <w:rPr>
                <w:rFonts w:ascii="Calibri Light" w:eastAsia="Calibri" w:hAnsi="Calibri Light" w:cs="Calibri Light"/>
                <w:sz w:val="20"/>
                <w:szCs w:val="20"/>
              </w:rPr>
              <w:t>En este mismo sentido, como lo establecen las normas de protección al consumidor las penalidades deben ser proporcionales, lo que va acorde con lo ya expuesto, como ejemplo la NOM-184-SCFI-2018 establece que:</w:t>
            </w:r>
          </w:p>
          <w:p w14:paraId="1125234E" w14:textId="77777777" w:rsidR="00CF39C2" w:rsidRPr="00CF39C2" w:rsidRDefault="00CF39C2" w:rsidP="00CF39C2">
            <w:pPr>
              <w:jc w:val="both"/>
              <w:rPr>
                <w:rFonts w:asciiTheme="majorHAnsi" w:eastAsia="Calibri" w:hAnsiTheme="majorHAnsi" w:cstheme="majorHAnsi"/>
                <w:b/>
                <w:bCs/>
                <w:sz w:val="20"/>
                <w:szCs w:val="20"/>
                <w:u w:val="single"/>
              </w:rPr>
            </w:pPr>
          </w:p>
          <w:p w14:paraId="58C81963" w14:textId="77777777" w:rsidR="00CF39C2" w:rsidRPr="00CF39C2" w:rsidRDefault="00CF39C2" w:rsidP="00CF39C2">
            <w:pPr>
              <w:ind w:left="708"/>
              <w:jc w:val="both"/>
              <w:rPr>
                <w:rFonts w:asciiTheme="majorHAnsi" w:eastAsia="Calibri" w:hAnsiTheme="majorHAnsi" w:cstheme="majorHAnsi"/>
                <w:i/>
                <w:iCs/>
                <w:sz w:val="20"/>
                <w:szCs w:val="20"/>
              </w:rPr>
            </w:pPr>
            <w:r w:rsidRPr="00CF39C2">
              <w:rPr>
                <w:rFonts w:asciiTheme="majorHAnsi" w:eastAsia="Calibri" w:hAnsiTheme="majorHAnsi" w:cstheme="majorHAnsi"/>
                <w:b/>
                <w:bCs/>
                <w:sz w:val="20"/>
                <w:szCs w:val="20"/>
              </w:rPr>
              <w:t>“</w:t>
            </w:r>
            <w:r w:rsidRPr="00CF39C2">
              <w:rPr>
                <w:rFonts w:asciiTheme="majorHAnsi" w:eastAsia="Calibri" w:hAnsiTheme="majorHAnsi" w:cstheme="majorHAnsi"/>
                <w:b/>
                <w:bCs/>
                <w:i/>
                <w:iCs/>
                <w:sz w:val="20"/>
                <w:szCs w:val="20"/>
              </w:rPr>
              <w:t>9 De las devoluciones y bonificaciones</w:t>
            </w:r>
          </w:p>
          <w:p w14:paraId="0F82D1B2" w14:textId="77777777" w:rsidR="00CF39C2" w:rsidRPr="00CF39C2" w:rsidRDefault="00CF39C2" w:rsidP="00CF39C2">
            <w:pPr>
              <w:ind w:left="708"/>
              <w:jc w:val="both"/>
              <w:rPr>
                <w:rFonts w:asciiTheme="majorHAnsi" w:eastAsia="Calibri" w:hAnsiTheme="majorHAnsi" w:cstheme="majorHAnsi"/>
                <w:sz w:val="20"/>
                <w:szCs w:val="20"/>
              </w:rPr>
            </w:pPr>
            <w:r w:rsidRPr="00CF39C2">
              <w:rPr>
                <w:rFonts w:asciiTheme="majorHAnsi" w:eastAsia="Calibri" w:hAnsiTheme="majorHAnsi" w:cstheme="majorHAnsi"/>
                <w:i/>
                <w:iCs/>
                <w:sz w:val="20"/>
                <w:szCs w:val="20"/>
              </w:rPr>
              <w:t xml:space="preserve">Establecer que en caso de que el servicio no se preste en la forma y términos convenidos, no se preste o proporcione por causas imputables al Proveedor de Servicios de Telecomunicaciones, </w:t>
            </w:r>
            <w:r w:rsidRPr="00CF39C2">
              <w:rPr>
                <w:rFonts w:asciiTheme="majorHAnsi" w:eastAsia="Calibri" w:hAnsiTheme="majorHAnsi" w:cstheme="majorHAnsi"/>
                <w:b/>
                <w:bCs/>
                <w:i/>
                <w:iCs/>
                <w:sz w:val="20"/>
                <w:szCs w:val="20"/>
              </w:rPr>
              <w:t>éste debe compensar al Consumidor la parte proporcional del precio del servicio de telecomunicaciones por el tiempo y/o periodo que se dejó de prestar</w:t>
            </w:r>
            <w:r w:rsidRPr="00CF39C2">
              <w:rPr>
                <w:rFonts w:asciiTheme="majorHAnsi" w:eastAsia="Calibri" w:hAnsiTheme="majorHAnsi" w:cstheme="majorHAnsi"/>
                <w:sz w:val="20"/>
                <w:szCs w:val="20"/>
              </w:rPr>
              <w:t>, (…)”.</w:t>
            </w:r>
          </w:p>
          <w:p w14:paraId="28B34E44" w14:textId="77777777" w:rsidR="00CF39C2" w:rsidRDefault="00CF39C2" w:rsidP="00CF39C2">
            <w:pPr>
              <w:jc w:val="both"/>
              <w:rPr>
                <w:rFonts w:asciiTheme="majorHAnsi" w:eastAsia="Calibri" w:hAnsiTheme="majorHAnsi" w:cstheme="majorHAnsi"/>
                <w:sz w:val="20"/>
                <w:szCs w:val="20"/>
              </w:rPr>
            </w:pPr>
          </w:p>
          <w:p w14:paraId="01CE4DD0" w14:textId="77777777" w:rsidR="00CF39C2" w:rsidRPr="00053658" w:rsidRDefault="00CF39C2" w:rsidP="00CF39C2">
            <w:pPr>
              <w:jc w:val="both"/>
              <w:rPr>
                <w:rFonts w:ascii="Calibri Light" w:eastAsia="Calibri" w:hAnsi="Calibri Light" w:cs="Calibri Light"/>
                <w:sz w:val="20"/>
                <w:szCs w:val="20"/>
              </w:rPr>
            </w:pPr>
            <w:r w:rsidRPr="00053658">
              <w:rPr>
                <w:rFonts w:ascii="Calibri Light" w:eastAsia="Calibri" w:hAnsi="Calibri Light" w:cs="Calibri Light"/>
                <w:sz w:val="20"/>
                <w:szCs w:val="20"/>
              </w:rPr>
              <w:t>De lo anterior se evidencia que la pena que el proveedor debe pagar debe ser proporcional, tal y como ya se refirió y explicó.</w:t>
            </w:r>
          </w:p>
          <w:p w14:paraId="628BE67F" w14:textId="77777777" w:rsidR="00CF39C2" w:rsidRPr="00053658" w:rsidRDefault="00CF39C2" w:rsidP="004D25D9">
            <w:pPr>
              <w:jc w:val="both"/>
              <w:rPr>
                <w:rFonts w:ascii="Calibri Light" w:eastAsia="Calibri" w:hAnsi="Calibri Light" w:cs="Calibri Light"/>
                <w:sz w:val="20"/>
                <w:szCs w:val="20"/>
              </w:rPr>
            </w:pPr>
          </w:p>
          <w:p w14:paraId="1F8796AA" w14:textId="0C3F3154" w:rsidR="00CE3E41" w:rsidRPr="00E16021" w:rsidRDefault="00E72F3C" w:rsidP="00C341A2">
            <w:pPr>
              <w:jc w:val="both"/>
              <w:rPr>
                <w:rFonts w:asciiTheme="majorHAnsi" w:eastAsia="Calibri" w:hAnsiTheme="majorHAnsi" w:cstheme="majorHAnsi"/>
                <w:sz w:val="20"/>
                <w:szCs w:val="20"/>
              </w:rPr>
            </w:pPr>
            <w:r w:rsidRPr="00053658">
              <w:rPr>
                <w:rFonts w:ascii="Calibri Light" w:eastAsia="Calibri" w:hAnsi="Calibri Light" w:cs="Calibri Light"/>
                <w:sz w:val="20"/>
                <w:szCs w:val="20"/>
              </w:rPr>
              <w:lastRenderedPageBreak/>
              <w:t>A efecto de que las penalizaciones sean justas para ambas partes conforme al tiempo excedido en el mes, se debe aplicar solo la parte proporcional que fue afectada.</w:t>
            </w:r>
          </w:p>
        </w:tc>
      </w:tr>
      <w:tr w:rsidR="00476935" w:rsidRPr="00C13F5A" w14:paraId="1B5ED23F" w14:textId="77777777" w:rsidTr="001D5424">
        <w:tblPrEx>
          <w:jc w:val="left"/>
        </w:tblPrEx>
        <w:trPr>
          <w:trHeight w:val="568"/>
        </w:trPr>
        <w:tc>
          <w:tcPr>
            <w:tcW w:w="1392" w:type="dxa"/>
            <w:vMerge/>
          </w:tcPr>
          <w:p w14:paraId="6B1C48B4" w14:textId="77777777" w:rsidR="00E72F3C" w:rsidRDefault="00E72F3C" w:rsidP="004D25D9">
            <w:pPr>
              <w:jc w:val="center"/>
              <w:rPr>
                <w:rFonts w:cstheme="minorHAnsi"/>
                <w:b/>
                <w:bCs/>
                <w:sz w:val="20"/>
                <w:szCs w:val="20"/>
              </w:rPr>
            </w:pPr>
          </w:p>
        </w:tc>
        <w:tc>
          <w:tcPr>
            <w:tcW w:w="1576" w:type="dxa"/>
            <w:vAlign w:val="center"/>
          </w:tcPr>
          <w:p w14:paraId="371E130F" w14:textId="77777777" w:rsidR="00E72F3C" w:rsidRDefault="00E72F3C" w:rsidP="004D25D9">
            <w:pPr>
              <w:jc w:val="center"/>
              <w:rPr>
                <w:rFonts w:cstheme="minorHAnsi"/>
                <w:sz w:val="20"/>
                <w:szCs w:val="20"/>
              </w:rPr>
            </w:pPr>
            <w:r>
              <w:rPr>
                <w:rFonts w:cstheme="minorHAnsi"/>
                <w:sz w:val="20"/>
                <w:szCs w:val="20"/>
              </w:rPr>
              <w:t>ANEXO “C”</w:t>
            </w:r>
          </w:p>
          <w:p w14:paraId="17CDEF0F" w14:textId="77777777" w:rsidR="00E72F3C" w:rsidRDefault="00E72F3C" w:rsidP="004D25D9">
            <w:pPr>
              <w:jc w:val="center"/>
              <w:rPr>
                <w:rFonts w:cstheme="minorHAnsi"/>
                <w:sz w:val="20"/>
                <w:szCs w:val="20"/>
              </w:rPr>
            </w:pPr>
            <w:r>
              <w:rPr>
                <w:rFonts w:cstheme="minorHAnsi"/>
                <w:sz w:val="20"/>
                <w:szCs w:val="20"/>
              </w:rPr>
              <w:t>Apartado C</w:t>
            </w:r>
          </w:p>
          <w:p w14:paraId="5258C64C" w14:textId="77777777" w:rsidR="00BA3EFF" w:rsidRDefault="00BA3EFF" w:rsidP="004D25D9">
            <w:pPr>
              <w:jc w:val="center"/>
              <w:rPr>
                <w:rFonts w:cstheme="minorHAnsi"/>
                <w:sz w:val="20"/>
                <w:szCs w:val="20"/>
              </w:rPr>
            </w:pPr>
            <w:r w:rsidRPr="004D04C7">
              <w:rPr>
                <w:rFonts w:cstheme="minorHAnsi"/>
                <w:i/>
                <w:sz w:val="18"/>
                <w:szCs w:val="20"/>
              </w:rPr>
              <w:t>PÁG.</w:t>
            </w:r>
            <w:r>
              <w:rPr>
                <w:rFonts w:cstheme="minorHAnsi"/>
                <w:i/>
                <w:sz w:val="18"/>
                <w:szCs w:val="20"/>
              </w:rPr>
              <w:t xml:space="preserve"> 48</w:t>
            </w:r>
          </w:p>
        </w:tc>
        <w:tc>
          <w:tcPr>
            <w:tcW w:w="5958" w:type="dxa"/>
            <w:vAlign w:val="center"/>
          </w:tcPr>
          <w:p w14:paraId="32BC4620" w14:textId="77777777" w:rsidR="00E72F3C" w:rsidRPr="003448D2" w:rsidRDefault="00E72F3C" w:rsidP="004D25D9">
            <w:pPr>
              <w:rPr>
                <w:rFonts w:ascii="Calibri Light" w:eastAsia="Calibri" w:hAnsi="Calibri Light" w:cs="Calibri Light"/>
                <w:sz w:val="20"/>
                <w:szCs w:val="20"/>
              </w:rPr>
            </w:pPr>
            <w:r>
              <w:rPr>
                <w:rFonts w:ascii="Calibri Light" w:eastAsia="Calibri" w:hAnsi="Calibri Light" w:cs="Calibri Light"/>
                <w:sz w:val="20"/>
                <w:szCs w:val="20"/>
              </w:rPr>
              <w:t>[Réplica de las modificaciones antes descritas]</w:t>
            </w:r>
          </w:p>
        </w:tc>
        <w:tc>
          <w:tcPr>
            <w:tcW w:w="5893" w:type="dxa"/>
            <w:vMerge/>
          </w:tcPr>
          <w:p w14:paraId="7BDAFE68" w14:textId="77777777" w:rsidR="00E72F3C" w:rsidRDefault="00E72F3C" w:rsidP="004D25D9">
            <w:pPr>
              <w:jc w:val="both"/>
              <w:rPr>
                <w:rFonts w:ascii="Calibri Light" w:eastAsia="Calibri" w:hAnsi="Calibri Light" w:cs="Calibri Light"/>
                <w:sz w:val="20"/>
                <w:szCs w:val="20"/>
              </w:rPr>
            </w:pPr>
          </w:p>
        </w:tc>
      </w:tr>
      <w:tr w:rsidR="00476935" w:rsidRPr="00C13F5A" w14:paraId="5E5DF88C" w14:textId="77777777" w:rsidTr="001D5424">
        <w:tblPrEx>
          <w:jc w:val="left"/>
        </w:tblPrEx>
        <w:trPr>
          <w:trHeight w:val="70"/>
        </w:trPr>
        <w:tc>
          <w:tcPr>
            <w:tcW w:w="1392" w:type="dxa"/>
            <w:vMerge w:val="restart"/>
          </w:tcPr>
          <w:p w14:paraId="1FB4751C" w14:textId="77777777" w:rsidR="0010297D" w:rsidRDefault="0010297D" w:rsidP="0010297D">
            <w:pPr>
              <w:jc w:val="center"/>
              <w:rPr>
                <w:rFonts w:cstheme="minorHAnsi"/>
                <w:b/>
                <w:bCs/>
                <w:sz w:val="20"/>
                <w:szCs w:val="20"/>
              </w:rPr>
            </w:pPr>
          </w:p>
          <w:p w14:paraId="5D1E170D" w14:textId="77777777" w:rsidR="0010297D" w:rsidRDefault="0010297D" w:rsidP="0010297D">
            <w:pPr>
              <w:jc w:val="center"/>
              <w:rPr>
                <w:rFonts w:cstheme="minorHAnsi"/>
                <w:b/>
                <w:bCs/>
                <w:sz w:val="20"/>
                <w:szCs w:val="20"/>
              </w:rPr>
            </w:pPr>
          </w:p>
          <w:p w14:paraId="66673DAA" w14:textId="77777777" w:rsidR="0010297D" w:rsidRDefault="0010297D" w:rsidP="0010297D">
            <w:pPr>
              <w:jc w:val="center"/>
              <w:rPr>
                <w:rFonts w:cstheme="minorHAnsi"/>
                <w:b/>
                <w:bCs/>
                <w:sz w:val="20"/>
                <w:szCs w:val="20"/>
              </w:rPr>
            </w:pPr>
            <w:r>
              <w:rPr>
                <w:rFonts w:cstheme="minorHAnsi"/>
                <w:b/>
                <w:bCs/>
                <w:sz w:val="20"/>
                <w:szCs w:val="20"/>
              </w:rPr>
              <w:t>#5</w:t>
            </w:r>
          </w:p>
          <w:p w14:paraId="21B58AD6" w14:textId="77777777" w:rsidR="0010297D" w:rsidRDefault="0010297D" w:rsidP="0010297D">
            <w:pPr>
              <w:jc w:val="center"/>
              <w:rPr>
                <w:rFonts w:cstheme="minorHAnsi"/>
                <w:b/>
                <w:bCs/>
                <w:sz w:val="20"/>
                <w:szCs w:val="20"/>
              </w:rPr>
            </w:pPr>
          </w:p>
          <w:p w14:paraId="4C9BF2AE" w14:textId="77777777" w:rsidR="0010297D" w:rsidRDefault="0010297D" w:rsidP="0010297D">
            <w:pPr>
              <w:jc w:val="center"/>
              <w:rPr>
                <w:rFonts w:cstheme="minorHAnsi"/>
                <w:b/>
                <w:bCs/>
                <w:sz w:val="20"/>
                <w:szCs w:val="20"/>
              </w:rPr>
            </w:pPr>
            <w:r>
              <w:rPr>
                <w:rFonts w:cstheme="minorHAnsi"/>
                <w:b/>
                <w:bCs/>
                <w:sz w:val="20"/>
                <w:szCs w:val="20"/>
              </w:rPr>
              <w:t>Responsable de la falla</w:t>
            </w:r>
          </w:p>
        </w:tc>
        <w:tc>
          <w:tcPr>
            <w:tcW w:w="1576" w:type="dxa"/>
          </w:tcPr>
          <w:p w14:paraId="15B9ED3B" w14:textId="77777777" w:rsidR="0010297D" w:rsidRDefault="0010297D" w:rsidP="0010297D">
            <w:pPr>
              <w:jc w:val="center"/>
              <w:rPr>
                <w:rFonts w:cstheme="minorHAnsi"/>
                <w:sz w:val="20"/>
                <w:szCs w:val="20"/>
              </w:rPr>
            </w:pPr>
          </w:p>
          <w:p w14:paraId="18CEB91E" w14:textId="77777777" w:rsidR="001732DC" w:rsidRDefault="001732DC" w:rsidP="0010297D">
            <w:pPr>
              <w:jc w:val="center"/>
              <w:rPr>
                <w:rFonts w:cstheme="minorHAnsi"/>
                <w:sz w:val="20"/>
                <w:szCs w:val="20"/>
              </w:rPr>
            </w:pPr>
          </w:p>
          <w:p w14:paraId="4DA06EB7" w14:textId="77777777" w:rsidR="001732DC" w:rsidRDefault="001732DC" w:rsidP="0010297D">
            <w:pPr>
              <w:jc w:val="center"/>
              <w:rPr>
                <w:rFonts w:cstheme="minorHAnsi"/>
                <w:sz w:val="20"/>
                <w:szCs w:val="20"/>
              </w:rPr>
            </w:pPr>
          </w:p>
          <w:p w14:paraId="1EC452E0" w14:textId="77777777" w:rsidR="0010297D" w:rsidRPr="00887D42" w:rsidRDefault="0010297D" w:rsidP="0010297D">
            <w:pPr>
              <w:jc w:val="center"/>
              <w:rPr>
                <w:rFonts w:cstheme="minorHAnsi"/>
                <w:sz w:val="20"/>
                <w:szCs w:val="20"/>
              </w:rPr>
            </w:pPr>
            <w:r w:rsidRPr="00887D42">
              <w:rPr>
                <w:rFonts w:cstheme="minorHAnsi"/>
                <w:sz w:val="20"/>
                <w:szCs w:val="20"/>
              </w:rPr>
              <w:t>OFERTA</w:t>
            </w:r>
          </w:p>
          <w:p w14:paraId="6CAC2088" w14:textId="77777777" w:rsidR="0010297D" w:rsidRDefault="0010297D" w:rsidP="0010297D">
            <w:pPr>
              <w:jc w:val="center"/>
              <w:rPr>
                <w:rFonts w:cstheme="minorHAnsi"/>
                <w:sz w:val="20"/>
                <w:szCs w:val="20"/>
              </w:rPr>
            </w:pPr>
            <w:r w:rsidRPr="00887D42">
              <w:rPr>
                <w:rFonts w:cstheme="minorHAnsi"/>
                <w:sz w:val="20"/>
                <w:szCs w:val="20"/>
              </w:rPr>
              <w:t>2</w:t>
            </w:r>
            <w:r>
              <w:rPr>
                <w:rFonts w:cstheme="minorHAnsi"/>
                <w:sz w:val="20"/>
                <w:szCs w:val="20"/>
              </w:rPr>
              <w:t>.6.</w:t>
            </w:r>
            <w:r w:rsidR="009855A2">
              <w:rPr>
                <w:rFonts w:cstheme="minorHAnsi"/>
                <w:sz w:val="20"/>
                <w:szCs w:val="20"/>
              </w:rPr>
              <w:t>6</w:t>
            </w:r>
          </w:p>
          <w:p w14:paraId="2268F459" w14:textId="77777777" w:rsidR="00BA3EFF" w:rsidRDefault="00BA3EFF" w:rsidP="0010297D">
            <w:pPr>
              <w:jc w:val="center"/>
              <w:rPr>
                <w:rFonts w:cstheme="minorHAnsi"/>
                <w:sz w:val="20"/>
                <w:szCs w:val="20"/>
              </w:rPr>
            </w:pPr>
            <w:r w:rsidRPr="004D04C7">
              <w:rPr>
                <w:rFonts w:cstheme="minorHAnsi"/>
                <w:i/>
                <w:sz w:val="18"/>
                <w:szCs w:val="20"/>
              </w:rPr>
              <w:t>PÁG.</w:t>
            </w:r>
            <w:r>
              <w:rPr>
                <w:rFonts w:cstheme="minorHAnsi"/>
                <w:i/>
                <w:sz w:val="18"/>
                <w:szCs w:val="20"/>
              </w:rPr>
              <w:t xml:space="preserve"> 19</w:t>
            </w:r>
          </w:p>
        </w:tc>
        <w:tc>
          <w:tcPr>
            <w:tcW w:w="5958" w:type="dxa"/>
          </w:tcPr>
          <w:p w14:paraId="2F72C663" w14:textId="77777777" w:rsidR="00EF6BEF" w:rsidRDefault="00EF6BEF" w:rsidP="0010297D">
            <w:pPr>
              <w:pStyle w:val="IFTnormal"/>
              <w:spacing w:after="0" w:line="240" w:lineRule="auto"/>
              <w:rPr>
                <w:rFonts w:ascii="Calibri Light" w:hAnsi="Calibri Light" w:cs="Calibri Light"/>
                <w:bCs w:val="0"/>
                <w:color w:val="0070C0"/>
                <w:sz w:val="20"/>
                <w:szCs w:val="20"/>
              </w:rPr>
            </w:pPr>
          </w:p>
          <w:p w14:paraId="45C4527D" w14:textId="77777777" w:rsidR="006149B6" w:rsidRDefault="006149B6" w:rsidP="0010297D">
            <w:pPr>
              <w:pStyle w:val="IFTnormal"/>
              <w:spacing w:after="0" w:line="240" w:lineRule="auto"/>
              <w:rPr>
                <w:rFonts w:ascii="Calibri Light" w:hAnsi="Calibri Light" w:cs="Calibri Light"/>
                <w:bCs w:val="0"/>
                <w:color w:val="0070C0"/>
                <w:sz w:val="20"/>
                <w:szCs w:val="20"/>
              </w:rPr>
            </w:pPr>
          </w:p>
          <w:p w14:paraId="61318573" w14:textId="77777777" w:rsidR="0010297D" w:rsidRDefault="0010297D" w:rsidP="00A92DA3">
            <w:pPr>
              <w:pStyle w:val="IFTnormal"/>
              <w:spacing w:after="0" w:line="240" w:lineRule="auto"/>
              <w:rPr>
                <w:rFonts w:asciiTheme="majorHAnsi" w:eastAsiaTheme="minorHAnsi" w:hAnsiTheme="majorHAnsi" w:cstheme="majorHAnsi"/>
                <w:color w:val="0070C0"/>
                <w:sz w:val="20"/>
                <w:szCs w:val="20"/>
              </w:rPr>
            </w:pPr>
            <w:r w:rsidRPr="00343C2A">
              <w:rPr>
                <w:rFonts w:ascii="Calibri Light" w:hAnsi="Calibri Light" w:cs="Calibri Light"/>
                <w:bCs w:val="0"/>
                <w:color w:val="0070C0"/>
                <w:sz w:val="20"/>
                <w:szCs w:val="20"/>
              </w:rPr>
              <w:t>2.6.</w:t>
            </w:r>
            <w:r w:rsidR="00343C2A" w:rsidRPr="00343C2A">
              <w:rPr>
                <w:rFonts w:ascii="Calibri Light" w:hAnsi="Calibri Light" w:cs="Calibri Light"/>
                <w:bCs w:val="0"/>
                <w:color w:val="0070C0"/>
                <w:sz w:val="20"/>
                <w:szCs w:val="20"/>
              </w:rPr>
              <w:t xml:space="preserve">6 </w:t>
            </w:r>
            <w:r w:rsidRPr="0098686D">
              <w:rPr>
                <w:rFonts w:asciiTheme="majorHAnsi" w:eastAsiaTheme="minorHAnsi" w:hAnsiTheme="majorHAnsi" w:cstheme="majorHAnsi"/>
                <w:color w:val="0070C0"/>
                <w:sz w:val="20"/>
                <w:szCs w:val="20"/>
              </w:rPr>
              <w:t xml:space="preserve">Para efectos de la medición de los </w:t>
            </w:r>
            <w:r w:rsidR="001B2A4D">
              <w:rPr>
                <w:rFonts w:asciiTheme="majorHAnsi" w:eastAsiaTheme="minorHAnsi" w:hAnsiTheme="majorHAnsi" w:cstheme="majorHAnsi"/>
                <w:color w:val="0070C0"/>
                <w:sz w:val="20"/>
                <w:szCs w:val="20"/>
              </w:rPr>
              <w:t xml:space="preserve">parámetros e </w:t>
            </w:r>
            <w:r w:rsidRPr="0098686D">
              <w:rPr>
                <w:rFonts w:asciiTheme="majorHAnsi" w:eastAsiaTheme="minorHAnsi" w:hAnsiTheme="majorHAnsi" w:cstheme="majorHAnsi"/>
                <w:color w:val="0070C0"/>
                <w:sz w:val="20"/>
                <w:szCs w:val="20"/>
              </w:rPr>
              <w:t>indicadores de reparación</w:t>
            </w:r>
            <w:r w:rsidR="00343C2A" w:rsidRPr="0098686D">
              <w:rPr>
                <w:rFonts w:asciiTheme="majorHAnsi" w:eastAsiaTheme="minorHAnsi" w:hAnsiTheme="majorHAnsi" w:cstheme="majorHAnsi"/>
                <w:color w:val="0070C0"/>
                <w:sz w:val="20"/>
                <w:szCs w:val="20"/>
              </w:rPr>
              <w:t xml:space="preserve"> y disponibilidad</w:t>
            </w:r>
            <w:r w:rsidR="00B16C3F" w:rsidRPr="0098686D">
              <w:rPr>
                <w:rFonts w:asciiTheme="majorHAnsi" w:eastAsiaTheme="minorHAnsi" w:hAnsiTheme="majorHAnsi" w:cstheme="majorHAnsi"/>
                <w:color w:val="0070C0"/>
                <w:sz w:val="20"/>
                <w:szCs w:val="20"/>
              </w:rPr>
              <w:t xml:space="preserve"> de la División Mayorista de Telmex/Telnor</w:t>
            </w:r>
            <w:r w:rsidRPr="0098686D">
              <w:rPr>
                <w:rFonts w:asciiTheme="majorHAnsi" w:eastAsiaTheme="minorHAnsi" w:hAnsiTheme="majorHAnsi" w:cstheme="majorHAnsi"/>
                <w:color w:val="0070C0"/>
                <w:sz w:val="20"/>
                <w:szCs w:val="20"/>
              </w:rPr>
              <w:t xml:space="preserve">, no se </w:t>
            </w:r>
            <w:r w:rsidR="00343C2A" w:rsidRPr="0098686D">
              <w:rPr>
                <w:rFonts w:asciiTheme="majorHAnsi" w:eastAsiaTheme="minorHAnsi" w:hAnsiTheme="majorHAnsi" w:cstheme="majorHAnsi"/>
                <w:color w:val="0070C0"/>
                <w:sz w:val="20"/>
                <w:szCs w:val="20"/>
              </w:rPr>
              <w:t>considerarán</w:t>
            </w:r>
            <w:r w:rsidRPr="0098686D">
              <w:rPr>
                <w:rFonts w:asciiTheme="majorHAnsi" w:eastAsiaTheme="minorHAnsi" w:hAnsiTheme="majorHAnsi" w:cstheme="majorHAnsi"/>
                <w:color w:val="0070C0"/>
                <w:sz w:val="20"/>
                <w:szCs w:val="20"/>
              </w:rPr>
              <w:t xml:space="preserve"> aquellas fallas atribuibles a fenómenos imprevisibles o de fuerza mayor</w:t>
            </w:r>
            <w:r w:rsidRPr="00FE79F9">
              <w:rPr>
                <w:rFonts w:asciiTheme="majorHAnsi" w:eastAsiaTheme="minorHAnsi" w:hAnsiTheme="majorHAnsi" w:cstheme="majorHAnsi"/>
                <w:color w:val="0070C0"/>
                <w:sz w:val="20"/>
                <w:szCs w:val="20"/>
              </w:rPr>
              <w:t xml:space="preserve">, a causas imputables a terceros, o a fallas que sean responsabilidad del </w:t>
            </w:r>
            <w:r w:rsidR="00244A87" w:rsidRPr="00244A87">
              <w:rPr>
                <w:rFonts w:asciiTheme="majorHAnsi" w:eastAsiaTheme="minorHAnsi" w:hAnsiTheme="majorHAnsi" w:cstheme="majorHAnsi"/>
                <w:color w:val="0070C0"/>
                <w:sz w:val="20"/>
                <w:szCs w:val="20"/>
              </w:rPr>
              <w:t>Concesionario Solicitante o Autorizado Solicitante</w:t>
            </w:r>
            <w:r w:rsidRPr="007B3D50">
              <w:rPr>
                <w:rFonts w:asciiTheme="majorHAnsi" w:eastAsiaTheme="minorHAnsi" w:hAnsiTheme="majorHAnsi" w:cstheme="majorHAnsi"/>
                <w:color w:val="0070C0"/>
                <w:sz w:val="20"/>
                <w:szCs w:val="20"/>
              </w:rPr>
              <w:t>.</w:t>
            </w:r>
          </w:p>
          <w:p w14:paraId="43D9838A" w14:textId="77777777" w:rsidR="0098083B" w:rsidRDefault="0098083B" w:rsidP="00A92DA3">
            <w:pPr>
              <w:pStyle w:val="IFTnormal"/>
              <w:spacing w:after="0" w:line="240" w:lineRule="auto"/>
              <w:rPr>
                <w:rFonts w:asciiTheme="majorHAnsi" w:eastAsiaTheme="minorHAnsi" w:hAnsiTheme="majorHAnsi" w:cstheme="majorHAnsi"/>
                <w:color w:val="0070C0"/>
                <w:sz w:val="20"/>
                <w:szCs w:val="20"/>
              </w:rPr>
            </w:pPr>
          </w:p>
          <w:p w14:paraId="0A981B27"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08566EBA"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76E29AF3"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6E5F641F"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5C90DF3D"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3CD1093E"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3A5C6072"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04ECD5DA"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0CD4B6E8"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5779AA49"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7186A1B6"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54F6B23C"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17209006"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5742030E"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1A7C17DD"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25AC42B8"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5C88409E"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7223DAF1"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64933ED1"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7FDDCE16"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7B380CFD"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30572E70"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1B9D4127"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7AD92D10"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78A2ABFB"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13ACAF0D"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62C44ABB"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1F73CCF0"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3889E755"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1D7C810C"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4C6F62AE"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68298553"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1BECB25F"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6283AB98"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705AD230"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673E71D2"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61A18531"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0C7F84F7"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131CBB3E"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50480640"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76249F16"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75F80706"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47327115"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75290EDD"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432C2521"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0F992BBF"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0230002E"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06838442"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7E759D82"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01288AA5"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0B5B7B0A"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4F8BF0B8"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469EB020"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50D7A5B9"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7BFD8BD6"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48EA8495"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67ED1B13"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0E3484AB"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0FD242A8" w14:textId="77777777" w:rsidR="00A30743" w:rsidRDefault="00A30743" w:rsidP="00A92DA3">
            <w:pPr>
              <w:pStyle w:val="IFTnormal"/>
              <w:spacing w:after="0" w:line="240" w:lineRule="auto"/>
              <w:rPr>
                <w:rFonts w:asciiTheme="majorHAnsi" w:eastAsiaTheme="minorHAnsi" w:hAnsiTheme="majorHAnsi" w:cstheme="majorHAnsi"/>
                <w:color w:val="0070C0"/>
                <w:sz w:val="20"/>
                <w:szCs w:val="20"/>
              </w:rPr>
            </w:pPr>
          </w:p>
          <w:p w14:paraId="1053D2CB" w14:textId="77777777" w:rsidR="00A30743" w:rsidRDefault="00A30743" w:rsidP="00A92DA3">
            <w:pPr>
              <w:pStyle w:val="IFTnormal"/>
              <w:spacing w:after="0" w:line="240" w:lineRule="auto"/>
              <w:rPr>
                <w:rFonts w:asciiTheme="majorHAnsi" w:eastAsiaTheme="minorHAnsi" w:hAnsiTheme="majorHAnsi" w:cstheme="majorHAnsi"/>
                <w:color w:val="0070C0"/>
                <w:sz w:val="20"/>
                <w:szCs w:val="20"/>
              </w:rPr>
            </w:pPr>
          </w:p>
          <w:p w14:paraId="7ACA6C37" w14:textId="77777777" w:rsidR="00A30743" w:rsidRDefault="00A30743" w:rsidP="00A92DA3">
            <w:pPr>
              <w:pStyle w:val="IFTnormal"/>
              <w:spacing w:after="0" w:line="240" w:lineRule="auto"/>
              <w:rPr>
                <w:rFonts w:asciiTheme="majorHAnsi" w:eastAsiaTheme="minorHAnsi" w:hAnsiTheme="majorHAnsi" w:cstheme="majorHAnsi"/>
                <w:color w:val="0070C0"/>
                <w:sz w:val="20"/>
                <w:szCs w:val="20"/>
              </w:rPr>
            </w:pPr>
          </w:p>
          <w:p w14:paraId="42A67C35" w14:textId="77777777" w:rsidR="00A30743" w:rsidRDefault="00A30743" w:rsidP="00A92DA3">
            <w:pPr>
              <w:pStyle w:val="IFTnormal"/>
              <w:spacing w:after="0" w:line="240" w:lineRule="auto"/>
              <w:rPr>
                <w:rFonts w:asciiTheme="majorHAnsi" w:eastAsiaTheme="minorHAnsi" w:hAnsiTheme="majorHAnsi" w:cstheme="majorHAnsi"/>
                <w:color w:val="0070C0"/>
                <w:sz w:val="20"/>
                <w:szCs w:val="20"/>
              </w:rPr>
            </w:pPr>
          </w:p>
          <w:p w14:paraId="07F7CB68" w14:textId="77777777" w:rsidR="00A30743" w:rsidRDefault="00A30743" w:rsidP="00A92DA3">
            <w:pPr>
              <w:pStyle w:val="IFTnormal"/>
              <w:spacing w:after="0" w:line="240" w:lineRule="auto"/>
              <w:rPr>
                <w:rFonts w:asciiTheme="majorHAnsi" w:eastAsiaTheme="minorHAnsi" w:hAnsiTheme="majorHAnsi" w:cstheme="majorHAnsi"/>
                <w:color w:val="0070C0"/>
                <w:sz w:val="20"/>
                <w:szCs w:val="20"/>
              </w:rPr>
            </w:pPr>
          </w:p>
          <w:p w14:paraId="48431991" w14:textId="77777777" w:rsidR="00A30743" w:rsidRDefault="00A30743" w:rsidP="00A92DA3">
            <w:pPr>
              <w:pStyle w:val="IFTnormal"/>
              <w:spacing w:after="0" w:line="240" w:lineRule="auto"/>
              <w:rPr>
                <w:rFonts w:asciiTheme="majorHAnsi" w:eastAsiaTheme="minorHAnsi" w:hAnsiTheme="majorHAnsi" w:cstheme="majorHAnsi"/>
                <w:color w:val="0070C0"/>
                <w:sz w:val="20"/>
                <w:szCs w:val="20"/>
              </w:rPr>
            </w:pPr>
          </w:p>
          <w:p w14:paraId="51389FC6" w14:textId="77777777" w:rsidR="00A30743" w:rsidRDefault="00A30743" w:rsidP="00A92DA3">
            <w:pPr>
              <w:pStyle w:val="IFTnormal"/>
              <w:spacing w:after="0" w:line="240" w:lineRule="auto"/>
              <w:rPr>
                <w:rFonts w:asciiTheme="majorHAnsi" w:eastAsiaTheme="minorHAnsi" w:hAnsiTheme="majorHAnsi" w:cstheme="majorHAnsi"/>
                <w:color w:val="0070C0"/>
                <w:sz w:val="20"/>
                <w:szCs w:val="20"/>
              </w:rPr>
            </w:pPr>
          </w:p>
          <w:p w14:paraId="04564F71" w14:textId="77777777" w:rsidR="00A30743" w:rsidRDefault="00A30743" w:rsidP="00A92DA3">
            <w:pPr>
              <w:pStyle w:val="IFTnormal"/>
              <w:spacing w:after="0" w:line="240" w:lineRule="auto"/>
              <w:rPr>
                <w:rFonts w:asciiTheme="majorHAnsi" w:eastAsiaTheme="minorHAnsi" w:hAnsiTheme="majorHAnsi" w:cstheme="majorHAnsi"/>
                <w:color w:val="0070C0"/>
                <w:sz w:val="20"/>
                <w:szCs w:val="20"/>
              </w:rPr>
            </w:pPr>
          </w:p>
          <w:p w14:paraId="7E3253BA" w14:textId="77777777" w:rsidR="00A30743" w:rsidRDefault="00A30743" w:rsidP="00A92DA3">
            <w:pPr>
              <w:pStyle w:val="IFTnormal"/>
              <w:spacing w:after="0" w:line="240" w:lineRule="auto"/>
              <w:rPr>
                <w:rFonts w:asciiTheme="majorHAnsi" w:eastAsiaTheme="minorHAnsi" w:hAnsiTheme="majorHAnsi" w:cstheme="majorHAnsi"/>
                <w:color w:val="0070C0"/>
                <w:sz w:val="20"/>
                <w:szCs w:val="20"/>
              </w:rPr>
            </w:pPr>
          </w:p>
          <w:p w14:paraId="6BC2F0D1" w14:textId="77777777" w:rsidR="00A30743" w:rsidRDefault="00A30743" w:rsidP="00A92DA3">
            <w:pPr>
              <w:pStyle w:val="IFTnormal"/>
              <w:spacing w:after="0" w:line="240" w:lineRule="auto"/>
              <w:rPr>
                <w:rFonts w:asciiTheme="majorHAnsi" w:eastAsiaTheme="minorHAnsi" w:hAnsiTheme="majorHAnsi" w:cstheme="majorHAnsi"/>
                <w:color w:val="0070C0"/>
                <w:sz w:val="20"/>
                <w:szCs w:val="20"/>
              </w:rPr>
            </w:pPr>
          </w:p>
          <w:p w14:paraId="309D71A5" w14:textId="77777777" w:rsidR="00A30743" w:rsidRDefault="00A30743" w:rsidP="00A92DA3">
            <w:pPr>
              <w:pStyle w:val="IFTnormal"/>
              <w:spacing w:after="0" w:line="240" w:lineRule="auto"/>
              <w:rPr>
                <w:rFonts w:asciiTheme="majorHAnsi" w:eastAsiaTheme="minorHAnsi" w:hAnsiTheme="majorHAnsi" w:cstheme="majorHAnsi"/>
                <w:color w:val="0070C0"/>
                <w:sz w:val="20"/>
                <w:szCs w:val="20"/>
              </w:rPr>
            </w:pPr>
          </w:p>
          <w:p w14:paraId="231D9A30" w14:textId="77777777" w:rsidR="00A30743" w:rsidRDefault="00A30743" w:rsidP="00A92DA3">
            <w:pPr>
              <w:pStyle w:val="IFTnormal"/>
              <w:spacing w:after="0" w:line="240" w:lineRule="auto"/>
              <w:rPr>
                <w:rFonts w:asciiTheme="majorHAnsi" w:eastAsiaTheme="minorHAnsi" w:hAnsiTheme="majorHAnsi" w:cstheme="majorHAnsi"/>
                <w:color w:val="0070C0"/>
                <w:sz w:val="20"/>
                <w:szCs w:val="20"/>
              </w:rPr>
            </w:pPr>
          </w:p>
          <w:p w14:paraId="41B0F5B6" w14:textId="77777777" w:rsidR="00A30743" w:rsidRDefault="00A30743" w:rsidP="00A92DA3">
            <w:pPr>
              <w:pStyle w:val="IFTnormal"/>
              <w:spacing w:after="0" w:line="240" w:lineRule="auto"/>
              <w:rPr>
                <w:rFonts w:asciiTheme="majorHAnsi" w:eastAsiaTheme="minorHAnsi" w:hAnsiTheme="majorHAnsi" w:cstheme="majorHAnsi"/>
                <w:color w:val="0070C0"/>
                <w:sz w:val="20"/>
                <w:szCs w:val="20"/>
              </w:rPr>
            </w:pPr>
          </w:p>
          <w:p w14:paraId="3CCF0B87" w14:textId="77777777" w:rsidR="00A30743" w:rsidRDefault="00A30743" w:rsidP="00A92DA3">
            <w:pPr>
              <w:pStyle w:val="IFTnormal"/>
              <w:spacing w:after="0" w:line="240" w:lineRule="auto"/>
              <w:rPr>
                <w:rFonts w:asciiTheme="majorHAnsi" w:eastAsiaTheme="minorHAnsi" w:hAnsiTheme="majorHAnsi" w:cstheme="majorHAnsi"/>
                <w:color w:val="0070C0"/>
                <w:sz w:val="20"/>
                <w:szCs w:val="20"/>
              </w:rPr>
            </w:pPr>
          </w:p>
          <w:p w14:paraId="6DFA0DA9" w14:textId="77777777" w:rsidR="00A30743" w:rsidRDefault="00A30743" w:rsidP="00A92DA3">
            <w:pPr>
              <w:pStyle w:val="IFTnormal"/>
              <w:spacing w:after="0" w:line="240" w:lineRule="auto"/>
              <w:rPr>
                <w:rFonts w:asciiTheme="majorHAnsi" w:eastAsiaTheme="minorHAnsi" w:hAnsiTheme="majorHAnsi" w:cstheme="majorHAnsi"/>
                <w:color w:val="0070C0"/>
                <w:sz w:val="20"/>
                <w:szCs w:val="20"/>
              </w:rPr>
            </w:pPr>
          </w:p>
          <w:p w14:paraId="2CEB0182" w14:textId="77777777" w:rsidR="00A30743" w:rsidRDefault="00A30743" w:rsidP="00A92DA3">
            <w:pPr>
              <w:pStyle w:val="IFTnormal"/>
              <w:spacing w:after="0" w:line="240" w:lineRule="auto"/>
              <w:rPr>
                <w:rFonts w:asciiTheme="majorHAnsi" w:eastAsiaTheme="minorHAnsi" w:hAnsiTheme="majorHAnsi" w:cstheme="majorHAnsi"/>
                <w:color w:val="0070C0"/>
                <w:sz w:val="20"/>
                <w:szCs w:val="20"/>
              </w:rPr>
            </w:pPr>
          </w:p>
          <w:p w14:paraId="4EA5AE78" w14:textId="77777777" w:rsidR="00A30743" w:rsidRDefault="00A30743" w:rsidP="00A92DA3">
            <w:pPr>
              <w:pStyle w:val="IFTnormal"/>
              <w:spacing w:after="0" w:line="240" w:lineRule="auto"/>
              <w:rPr>
                <w:rFonts w:asciiTheme="majorHAnsi" w:eastAsiaTheme="minorHAnsi" w:hAnsiTheme="majorHAnsi" w:cstheme="majorHAnsi"/>
                <w:color w:val="0070C0"/>
                <w:sz w:val="20"/>
                <w:szCs w:val="20"/>
              </w:rPr>
            </w:pPr>
          </w:p>
          <w:p w14:paraId="45230E0E" w14:textId="77777777" w:rsidR="00A30743" w:rsidRDefault="00A30743" w:rsidP="00A92DA3">
            <w:pPr>
              <w:pStyle w:val="IFTnormal"/>
              <w:spacing w:after="0" w:line="240" w:lineRule="auto"/>
              <w:rPr>
                <w:rFonts w:asciiTheme="majorHAnsi" w:eastAsiaTheme="minorHAnsi" w:hAnsiTheme="majorHAnsi" w:cstheme="majorHAnsi"/>
                <w:color w:val="0070C0"/>
                <w:sz w:val="20"/>
                <w:szCs w:val="20"/>
              </w:rPr>
            </w:pPr>
          </w:p>
          <w:p w14:paraId="3A050828"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6B357162"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7C4BA92B"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7DA5DE76"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5F546135"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43221056"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0CD9842B"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0FB01FB2" w14:textId="77777777" w:rsidR="00331E81" w:rsidRDefault="00331E81" w:rsidP="00A92DA3">
            <w:pPr>
              <w:pStyle w:val="IFTnormal"/>
              <w:spacing w:after="0" w:line="240" w:lineRule="auto"/>
              <w:rPr>
                <w:rFonts w:asciiTheme="majorHAnsi" w:eastAsiaTheme="minorHAnsi" w:hAnsiTheme="majorHAnsi" w:cstheme="majorHAnsi"/>
                <w:color w:val="0070C0"/>
                <w:sz w:val="20"/>
                <w:szCs w:val="20"/>
              </w:rPr>
            </w:pPr>
          </w:p>
          <w:p w14:paraId="72BC9A5F" w14:textId="77777777" w:rsidR="00331E81" w:rsidRPr="00A92DA3" w:rsidRDefault="00331E81" w:rsidP="00A92DA3">
            <w:pPr>
              <w:pStyle w:val="IFTnormal"/>
              <w:spacing w:after="0" w:line="240" w:lineRule="auto"/>
              <w:rPr>
                <w:rFonts w:asciiTheme="majorHAnsi" w:eastAsiaTheme="minorHAnsi" w:hAnsiTheme="majorHAnsi" w:cstheme="majorHAnsi"/>
                <w:color w:val="0070C0"/>
                <w:sz w:val="20"/>
                <w:szCs w:val="20"/>
              </w:rPr>
            </w:pPr>
          </w:p>
        </w:tc>
        <w:tc>
          <w:tcPr>
            <w:tcW w:w="5893" w:type="dxa"/>
            <w:vMerge w:val="restart"/>
          </w:tcPr>
          <w:p w14:paraId="487B1CE2" w14:textId="77777777" w:rsidR="00F31344" w:rsidRPr="00F31344" w:rsidRDefault="00F31344" w:rsidP="00F31344">
            <w:pPr>
              <w:jc w:val="both"/>
              <w:rPr>
                <w:rFonts w:ascii="Calibri Light" w:eastAsia="Calibri" w:hAnsi="Calibri Light" w:cs="Calibri Light"/>
                <w:sz w:val="20"/>
                <w:szCs w:val="20"/>
              </w:rPr>
            </w:pPr>
            <w:r w:rsidRPr="00F31344">
              <w:rPr>
                <w:rFonts w:ascii="Calibri Light" w:eastAsia="Calibri" w:hAnsi="Calibri Light" w:cs="Calibri Light"/>
                <w:sz w:val="20"/>
                <w:szCs w:val="20"/>
              </w:rPr>
              <w:lastRenderedPageBreak/>
              <w:t xml:space="preserve">Como es de conocimiento de esa autoridad existen excluyentes de responsabilidad establecidos en la propia oferta, dado que es evidente que si por algún </w:t>
            </w:r>
            <w:r w:rsidRPr="00F31344">
              <w:rPr>
                <w:rFonts w:ascii="Calibri Light" w:eastAsia="Calibri" w:hAnsi="Calibri Light" w:cs="Calibri Light"/>
                <w:b/>
                <w:sz w:val="20"/>
                <w:szCs w:val="20"/>
              </w:rPr>
              <w:t>evento ajeno a Telmex/Telnor</w:t>
            </w:r>
            <w:r w:rsidRPr="00F31344">
              <w:rPr>
                <w:rFonts w:ascii="Calibri Light" w:eastAsia="Calibri" w:hAnsi="Calibri Light" w:cs="Calibri Light"/>
                <w:sz w:val="20"/>
                <w:szCs w:val="20"/>
              </w:rPr>
              <w:t xml:space="preserve"> se complica la prestación del servicio (reparación y disponibilidad) resultaría </w:t>
            </w:r>
            <w:r w:rsidRPr="00F31344">
              <w:rPr>
                <w:rFonts w:ascii="Calibri Light" w:eastAsia="Calibri" w:hAnsi="Calibri Light" w:cs="Calibri Light"/>
                <w:b/>
                <w:sz w:val="20"/>
                <w:szCs w:val="20"/>
              </w:rPr>
              <w:t>desproporcional</w:t>
            </w:r>
            <w:r w:rsidRPr="00F31344">
              <w:rPr>
                <w:rFonts w:ascii="Calibri Light" w:eastAsia="Calibri" w:hAnsi="Calibri Light" w:cs="Calibri Light"/>
                <w:sz w:val="20"/>
                <w:szCs w:val="20"/>
              </w:rPr>
              <w:t xml:space="preserve"> que se les atribuya responsabilidad para la contabilización de plazos.</w:t>
            </w:r>
          </w:p>
          <w:p w14:paraId="360FD302" w14:textId="77777777" w:rsidR="00F31344" w:rsidRPr="00F31344" w:rsidRDefault="00F31344" w:rsidP="00F31344">
            <w:pPr>
              <w:jc w:val="both"/>
              <w:rPr>
                <w:rFonts w:ascii="Calibri Light" w:eastAsia="Calibri" w:hAnsi="Calibri Light" w:cs="Calibri Light"/>
                <w:sz w:val="20"/>
                <w:szCs w:val="20"/>
              </w:rPr>
            </w:pPr>
          </w:p>
          <w:p w14:paraId="181EC374" w14:textId="77777777" w:rsidR="00F31344" w:rsidRPr="00F31344" w:rsidRDefault="00F31344" w:rsidP="00F31344">
            <w:pPr>
              <w:jc w:val="both"/>
              <w:rPr>
                <w:rFonts w:ascii="Calibri Light" w:eastAsia="Calibri" w:hAnsi="Calibri Light" w:cs="Calibri Light"/>
                <w:sz w:val="20"/>
                <w:szCs w:val="20"/>
              </w:rPr>
            </w:pPr>
            <w:r w:rsidRPr="00F31344">
              <w:rPr>
                <w:rFonts w:ascii="Calibri Light" w:eastAsia="Calibri" w:hAnsi="Calibri Light" w:cs="Calibri Light"/>
                <w:sz w:val="20"/>
                <w:szCs w:val="20"/>
              </w:rPr>
              <w:t xml:space="preserve">En este sentido, resulta igualmente </w:t>
            </w:r>
            <w:r w:rsidRPr="00F31344">
              <w:rPr>
                <w:rFonts w:ascii="Calibri Light" w:eastAsia="Calibri" w:hAnsi="Calibri Light" w:cs="Calibri Light"/>
                <w:b/>
                <w:sz w:val="20"/>
                <w:szCs w:val="20"/>
              </w:rPr>
              <w:t>desproporcional</w:t>
            </w:r>
            <w:r w:rsidRPr="00F31344">
              <w:rPr>
                <w:rFonts w:ascii="Calibri Light" w:eastAsia="Calibri" w:hAnsi="Calibri Light" w:cs="Calibri Light"/>
                <w:sz w:val="20"/>
                <w:szCs w:val="20"/>
              </w:rPr>
              <w:t xml:space="preserve"> que si dichos eventos no son atribuibles a Telmex/Telnor, se consideren para medir los parámetros e indicadores de calidad, por la propia naturaleza de las </w:t>
            </w:r>
            <w:r w:rsidRPr="00F31344">
              <w:rPr>
                <w:rFonts w:ascii="Calibri Light" w:eastAsia="Calibri" w:hAnsi="Calibri Light" w:cs="Calibri Light"/>
                <w:b/>
                <w:sz w:val="20"/>
                <w:szCs w:val="20"/>
              </w:rPr>
              <w:t>excluyentes de responsabilidad</w:t>
            </w:r>
            <w:r w:rsidRPr="00F31344">
              <w:rPr>
                <w:rFonts w:ascii="Calibri Light" w:eastAsia="Calibri" w:hAnsi="Calibri Light" w:cs="Calibri Light"/>
                <w:sz w:val="20"/>
                <w:szCs w:val="20"/>
              </w:rPr>
              <w:t>.</w:t>
            </w:r>
          </w:p>
          <w:p w14:paraId="6F3CF6CE" w14:textId="77777777" w:rsidR="00F31344" w:rsidRPr="00F31344" w:rsidRDefault="00F31344" w:rsidP="00F31344">
            <w:pPr>
              <w:jc w:val="both"/>
              <w:rPr>
                <w:rFonts w:ascii="Calibri Light" w:eastAsia="Calibri" w:hAnsi="Calibri Light" w:cs="Calibri Light"/>
                <w:sz w:val="20"/>
                <w:szCs w:val="20"/>
              </w:rPr>
            </w:pPr>
          </w:p>
          <w:p w14:paraId="10D5297C" w14:textId="77777777" w:rsidR="00F31344" w:rsidRPr="00F31344" w:rsidRDefault="00F31344" w:rsidP="00F31344">
            <w:pPr>
              <w:jc w:val="both"/>
              <w:rPr>
                <w:rFonts w:ascii="Calibri Light" w:eastAsia="Calibri" w:hAnsi="Calibri Light" w:cs="Calibri Light"/>
                <w:sz w:val="20"/>
                <w:szCs w:val="20"/>
              </w:rPr>
            </w:pPr>
            <w:r w:rsidRPr="00F31344">
              <w:rPr>
                <w:rFonts w:ascii="Calibri Light" w:eastAsia="Calibri" w:hAnsi="Calibri Light" w:cs="Calibri Light"/>
                <w:sz w:val="20"/>
                <w:szCs w:val="20"/>
              </w:rPr>
              <w:t xml:space="preserve">Cabe resaltar que dichas excluyentes eliminan, precisa y exclusivamente, la culpabilidad del agente que ha cometido una conducta. Esto, </w:t>
            </w:r>
            <w:r w:rsidRPr="00F31344">
              <w:rPr>
                <w:rFonts w:ascii="Calibri Light" w:eastAsia="Calibri" w:hAnsi="Calibri Light" w:cs="Calibri Light"/>
                <w:b/>
                <w:sz w:val="20"/>
                <w:szCs w:val="20"/>
              </w:rPr>
              <w:t xml:space="preserve">por considerar en sentido amplio </w:t>
            </w:r>
            <w:r w:rsidRPr="00F31344">
              <w:rPr>
                <w:rFonts w:ascii="Calibri Light" w:eastAsia="Calibri" w:hAnsi="Calibri Light" w:cs="Calibri Light"/>
                <w:b/>
                <w:sz w:val="20"/>
                <w:szCs w:val="20"/>
                <w:u w:val="single"/>
              </w:rPr>
              <w:t>que no le era exigible otra conducta</w:t>
            </w:r>
            <w:r w:rsidRPr="00F31344">
              <w:rPr>
                <w:rStyle w:val="Refdenotaalpie"/>
                <w:rFonts w:ascii="Calibri Light" w:eastAsia="Calibri" w:hAnsi="Calibri Light" w:cs="Calibri Light"/>
                <w:sz w:val="20"/>
                <w:szCs w:val="20"/>
              </w:rPr>
              <w:footnoteReference w:id="3"/>
            </w:r>
            <w:r w:rsidRPr="00F31344">
              <w:rPr>
                <w:rFonts w:ascii="Calibri Light" w:eastAsia="Calibri" w:hAnsi="Calibri Light" w:cs="Calibri Light"/>
                <w:sz w:val="20"/>
                <w:szCs w:val="20"/>
              </w:rPr>
              <w:t>, lo anterior resulta aplicable de conformidad con los principios del derecho penal</w:t>
            </w:r>
            <w:r w:rsidRPr="00F31344">
              <w:rPr>
                <w:rStyle w:val="Refdenotaalpie"/>
                <w:rFonts w:ascii="Calibri Light" w:eastAsia="Calibri" w:hAnsi="Calibri Light" w:cs="Calibri Light"/>
                <w:sz w:val="20"/>
                <w:szCs w:val="20"/>
              </w:rPr>
              <w:footnoteReference w:id="4"/>
            </w:r>
            <w:r w:rsidRPr="00F31344">
              <w:rPr>
                <w:rFonts w:ascii="Calibri Light" w:eastAsia="Calibri" w:hAnsi="Calibri Light" w:cs="Calibri Light"/>
                <w:sz w:val="20"/>
                <w:szCs w:val="20"/>
              </w:rPr>
              <w:t>.</w:t>
            </w:r>
          </w:p>
          <w:p w14:paraId="5CA53C35" w14:textId="77777777" w:rsidR="00F31344" w:rsidRPr="00F31344" w:rsidRDefault="00F31344" w:rsidP="00F31344">
            <w:pPr>
              <w:jc w:val="both"/>
              <w:rPr>
                <w:rFonts w:ascii="Calibri Light" w:eastAsia="Calibri" w:hAnsi="Calibri Light" w:cs="Calibri Light"/>
                <w:sz w:val="20"/>
                <w:szCs w:val="20"/>
              </w:rPr>
            </w:pPr>
          </w:p>
          <w:p w14:paraId="4A03A601" w14:textId="77777777" w:rsidR="00F31344" w:rsidRPr="00F31344" w:rsidRDefault="00F31344" w:rsidP="00F31344">
            <w:pPr>
              <w:jc w:val="both"/>
              <w:rPr>
                <w:rFonts w:ascii="Calibri Light" w:eastAsia="Calibri" w:hAnsi="Calibri Light" w:cs="Calibri Light"/>
                <w:sz w:val="20"/>
                <w:szCs w:val="20"/>
              </w:rPr>
            </w:pPr>
            <w:r w:rsidRPr="00F31344">
              <w:rPr>
                <w:rFonts w:ascii="Calibri Light" w:eastAsia="Calibri" w:hAnsi="Calibri Light" w:cs="Calibri Light"/>
                <w:sz w:val="20"/>
                <w:szCs w:val="20"/>
              </w:rPr>
              <w:t xml:space="preserve">En este sentido, el cumplimiento de Telmex/Telnor está condicionado a que recaiga específicamente en su </w:t>
            </w:r>
            <w:r w:rsidRPr="00F31344">
              <w:rPr>
                <w:rFonts w:ascii="Calibri Light" w:eastAsia="Calibri" w:hAnsi="Calibri Light" w:cs="Calibri Light"/>
                <w:b/>
                <w:sz w:val="20"/>
                <w:szCs w:val="20"/>
              </w:rPr>
              <w:t>esfera de responsabilidad, es decir que le sea exigible,</w:t>
            </w:r>
            <w:r w:rsidRPr="00F31344">
              <w:rPr>
                <w:rFonts w:ascii="Calibri Light" w:eastAsia="Calibri" w:hAnsi="Calibri Light" w:cs="Calibri Light"/>
                <w:sz w:val="20"/>
                <w:szCs w:val="20"/>
              </w:rPr>
              <w:t xml:space="preserve"> de lo contrario se excluye para el cumplimiento de los plazos establecidos y por consiguiente en la medición de los parámetros e indicadores de calidad.</w:t>
            </w:r>
          </w:p>
          <w:p w14:paraId="09044BA9" w14:textId="77777777" w:rsidR="00F31344" w:rsidRPr="00F31344" w:rsidRDefault="00F31344" w:rsidP="00F31344">
            <w:pPr>
              <w:jc w:val="both"/>
              <w:rPr>
                <w:rFonts w:ascii="Calibri Light" w:eastAsia="Calibri" w:hAnsi="Calibri Light" w:cs="Calibri Light"/>
                <w:sz w:val="20"/>
                <w:szCs w:val="20"/>
              </w:rPr>
            </w:pPr>
          </w:p>
          <w:p w14:paraId="04D736F7" w14:textId="77777777" w:rsidR="00F31344" w:rsidRPr="00F31344" w:rsidRDefault="00F31344" w:rsidP="00F31344">
            <w:pPr>
              <w:jc w:val="both"/>
              <w:rPr>
                <w:rFonts w:ascii="Calibri Light" w:eastAsia="Calibri" w:hAnsi="Calibri Light" w:cs="Calibri Light"/>
                <w:sz w:val="20"/>
                <w:szCs w:val="20"/>
              </w:rPr>
            </w:pPr>
            <w:r w:rsidRPr="00F31344">
              <w:rPr>
                <w:rFonts w:ascii="Calibri Light" w:eastAsia="Calibri" w:hAnsi="Calibri Light" w:cs="Calibri Light"/>
                <w:sz w:val="20"/>
                <w:szCs w:val="20"/>
              </w:rPr>
              <w:t>Es importante resaltar que de conformidad con la ORE vigente las causas de la falla se clasifican, de forma general en las siguientes categorías:</w:t>
            </w:r>
          </w:p>
          <w:p w14:paraId="4F64476B" w14:textId="77777777" w:rsidR="00F31344" w:rsidRPr="00F31344" w:rsidRDefault="00F31344" w:rsidP="00F31344">
            <w:pPr>
              <w:jc w:val="both"/>
              <w:rPr>
                <w:rFonts w:ascii="Calibri Light" w:eastAsia="Calibri" w:hAnsi="Calibri Light" w:cs="Calibri Light"/>
                <w:sz w:val="20"/>
                <w:szCs w:val="20"/>
              </w:rPr>
            </w:pPr>
          </w:p>
          <w:p w14:paraId="5514BBB9" w14:textId="77777777" w:rsidR="00F31344" w:rsidRPr="00F31344" w:rsidRDefault="00F31344" w:rsidP="00F31344">
            <w:pPr>
              <w:pStyle w:val="Prrafodelista"/>
              <w:numPr>
                <w:ilvl w:val="0"/>
                <w:numId w:val="15"/>
              </w:numPr>
              <w:jc w:val="both"/>
              <w:rPr>
                <w:sz w:val="20"/>
              </w:rPr>
            </w:pPr>
            <w:r w:rsidRPr="00F31344">
              <w:rPr>
                <w:sz w:val="20"/>
              </w:rPr>
              <w:t>Causas de fuerza mayor y casos fortuitos no imputables a la División Mayorista de Telmex/Telnor ni al Concesionario Solicitante o Autorizado Solicitante.</w:t>
            </w:r>
          </w:p>
          <w:p w14:paraId="1772789C" w14:textId="77777777" w:rsidR="00F31344" w:rsidRPr="00F31344" w:rsidRDefault="00F31344" w:rsidP="00F31344">
            <w:pPr>
              <w:pStyle w:val="Prrafodelista"/>
              <w:numPr>
                <w:ilvl w:val="0"/>
                <w:numId w:val="15"/>
              </w:numPr>
              <w:jc w:val="both"/>
              <w:rPr>
                <w:rFonts w:ascii="Calibri Light" w:eastAsia="Calibri" w:hAnsi="Calibri Light" w:cs="Calibri Light"/>
                <w:sz w:val="18"/>
                <w:szCs w:val="20"/>
              </w:rPr>
            </w:pPr>
            <w:r w:rsidRPr="00F31344">
              <w:rPr>
                <w:sz w:val="20"/>
              </w:rPr>
              <w:t>Cualquier causa imputable al Concesionario Solicitante o Autorizado Solicitante o su cliente final.</w:t>
            </w:r>
          </w:p>
          <w:p w14:paraId="1D89A854" w14:textId="77777777" w:rsidR="00F31344" w:rsidRPr="00F31344" w:rsidRDefault="00F31344" w:rsidP="00F31344">
            <w:pPr>
              <w:pStyle w:val="Prrafodelista"/>
              <w:numPr>
                <w:ilvl w:val="0"/>
                <w:numId w:val="15"/>
              </w:numPr>
              <w:jc w:val="both"/>
              <w:rPr>
                <w:rFonts w:ascii="Calibri Light" w:eastAsia="Calibri" w:hAnsi="Calibri Light" w:cs="Calibri Light"/>
                <w:sz w:val="18"/>
                <w:szCs w:val="20"/>
              </w:rPr>
            </w:pPr>
            <w:r w:rsidRPr="00F31344">
              <w:rPr>
                <w:sz w:val="20"/>
              </w:rPr>
              <w:t>Causas imputables a terceros.</w:t>
            </w:r>
          </w:p>
          <w:p w14:paraId="450B6612" w14:textId="77777777" w:rsidR="00F31344" w:rsidRPr="00F31344" w:rsidRDefault="00F31344" w:rsidP="00F31344">
            <w:pPr>
              <w:jc w:val="both"/>
              <w:rPr>
                <w:rFonts w:ascii="Calibri Light" w:eastAsia="Calibri" w:hAnsi="Calibri Light" w:cs="Calibri Light"/>
                <w:sz w:val="18"/>
                <w:szCs w:val="20"/>
              </w:rPr>
            </w:pPr>
          </w:p>
          <w:p w14:paraId="6157AC49" w14:textId="77777777" w:rsidR="00F31344" w:rsidRPr="00F31344" w:rsidRDefault="00F31344" w:rsidP="00F31344">
            <w:pPr>
              <w:jc w:val="both"/>
              <w:rPr>
                <w:rFonts w:ascii="Calibri Light" w:eastAsia="Calibri" w:hAnsi="Calibri Light" w:cs="Calibri Light"/>
                <w:sz w:val="20"/>
                <w:szCs w:val="20"/>
              </w:rPr>
            </w:pPr>
            <w:r w:rsidRPr="00F31344">
              <w:rPr>
                <w:rFonts w:ascii="Calibri Light" w:eastAsia="Calibri" w:hAnsi="Calibri Light" w:cs="Calibri Light"/>
                <w:sz w:val="20"/>
                <w:szCs w:val="20"/>
              </w:rPr>
              <w:lastRenderedPageBreak/>
              <w:t>Derivado de lo transcrito, cualquier evento que ocurra por las causas anteriores, resulta en una excluyente para Telmex/Telnor.</w:t>
            </w:r>
          </w:p>
          <w:p w14:paraId="7B794DFF" w14:textId="77777777" w:rsidR="00F31344" w:rsidRPr="00F31344" w:rsidRDefault="00F31344" w:rsidP="00F31344">
            <w:pPr>
              <w:jc w:val="both"/>
              <w:rPr>
                <w:rFonts w:ascii="Calibri Light" w:eastAsia="Calibri" w:hAnsi="Calibri Light" w:cs="Calibri Light"/>
                <w:sz w:val="20"/>
                <w:szCs w:val="20"/>
              </w:rPr>
            </w:pPr>
          </w:p>
          <w:p w14:paraId="77B23BE6" w14:textId="77777777" w:rsidR="00F31344" w:rsidRPr="00F31344" w:rsidRDefault="00F31344" w:rsidP="00F31344">
            <w:pPr>
              <w:jc w:val="both"/>
              <w:rPr>
                <w:rFonts w:ascii="Calibri Light" w:eastAsia="Calibri" w:hAnsi="Calibri Light" w:cs="Calibri Light"/>
                <w:sz w:val="20"/>
                <w:szCs w:val="20"/>
              </w:rPr>
            </w:pPr>
            <w:r w:rsidRPr="00F31344">
              <w:rPr>
                <w:rFonts w:ascii="Calibri Light" w:eastAsia="Calibri" w:hAnsi="Calibri Light" w:cs="Calibri Light"/>
                <w:sz w:val="20"/>
                <w:szCs w:val="20"/>
              </w:rPr>
              <w:t xml:space="preserve">Cabe precisar que de conformidad con la propia oferta, existen herramientas diversas en la prestación de servicios, en particular la conciliación de penalizaciones por los incumplimientos del CS o </w:t>
            </w:r>
            <w:r w:rsidR="007F0356" w:rsidRPr="00F31344">
              <w:rPr>
                <w:rFonts w:ascii="Calibri Light" w:eastAsia="Calibri" w:hAnsi="Calibri Light" w:cs="Calibri Light"/>
                <w:sz w:val="20"/>
                <w:szCs w:val="20"/>
              </w:rPr>
              <w:t>de Telmex</w:t>
            </w:r>
            <w:r w:rsidRPr="00F31344">
              <w:rPr>
                <w:rFonts w:ascii="Calibri Light" w:eastAsia="Calibri" w:hAnsi="Calibri Light" w:cs="Calibri Light"/>
                <w:sz w:val="20"/>
                <w:szCs w:val="20"/>
              </w:rPr>
              <w:t>/Telnor con relación a la prestación de los servicios.</w:t>
            </w:r>
          </w:p>
          <w:p w14:paraId="0BB0E7F6" w14:textId="77777777" w:rsidR="00F31344" w:rsidRPr="00F31344" w:rsidRDefault="00F31344" w:rsidP="00F31344">
            <w:pPr>
              <w:jc w:val="both"/>
              <w:rPr>
                <w:rFonts w:ascii="Calibri Light" w:eastAsia="Calibri" w:hAnsi="Calibri Light" w:cs="Calibri Light"/>
                <w:sz w:val="20"/>
                <w:szCs w:val="20"/>
              </w:rPr>
            </w:pPr>
          </w:p>
          <w:p w14:paraId="1CBF7028" w14:textId="77777777" w:rsidR="00F31344" w:rsidRPr="00F31344" w:rsidRDefault="00F31344" w:rsidP="00F31344">
            <w:pPr>
              <w:jc w:val="both"/>
              <w:rPr>
                <w:rFonts w:ascii="Calibri Light" w:eastAsia="Calibri" w:hAnsi="Calibri Light" w:cs="Calibri Light"/>
                <w:sz w:val="20"/>
                <w:szCs w:val="20"/>
              </w:rPr>
            </w:pPr>
            <w:r w:rsidRPr="00F31344">
              <w:rPr>
                <w:rFonts w:ascii="Calibri Light" w:eastAsia="Calibri" w:hAnsi="Calibri Light" w:cs="Calibri Light"/>
                <w:sz w:val="20"/>
                <w:szCs w:val="20"/>
              </w:rPr>
              <w:t xml:space="preserve">Derivado de dicha conciliación se identifica en conjunto con los CS la causa de la falla y así se coloca en el SEG (una vez conciliada). Lo que corrobora a quien es atribuible, este procedimiento, transparenta las responsabilidades de cada una de las partes y la atribución de la falla, así </w:t>
            </w:r>
            <w:r w:rsidR="00967BC1" w:rsidRPr="00F31344">
              <w:rPr>
                <w:rFonts w:ascii="Calibri Light" w:eastAsia="Calibri" w:hAnsi="Calibri Light" w:cs="Calibri Light"/>
                <w:sz w:val="20"/>
                <w:szCs w:val="20"/>
              </w:rPr>
              <w:t>como la</w:t>
            </w:r>
            <w:r w:rsidRPr="00F31344">
              <w:rPr>
                <w:rFonts w:ascii="Calibri Light" w:eastAsia="Calibri" w:hAnsi="Calibri Light" w:cs="Calibri Light"/>
                <w:sz w:val="20"/>
                <w:szCs w:val="20"/>
              </w:rPr>
              <w:t xml:space="preserve"> existencia de alguna otra causa.</w:t>
            </w:r>
          </w:p>
          <w:p w14:paraId="773E7350" w14:textId="77777777" w:rsidR="00F31344" w:rsidRPr="00F31344" w:rsidRDefault="00F31344" w:rsidP="00F31344">
            <w:pPr>
              <w:jc w:val="both"/>
              <w:rPr>
                <w:rFonts w:ascii="Calibri Light" w:eastAsia="Calibri" w:hAnsi="Calibri Light" w:cs="Calibri Light"/>
                <w:sz w:val="20"/>
                <w:szCs w:val="20"/>
              </w:rPr>
            </w:pPr>
          </w:p>
          <w:p w14:paraId="31DABA86" w14:textId="77777777" w:rsidR="00F31344" w:rsidRPr="00F31344" w:rsidRDefault="00F31344" w:rsidP="00F31344">
            <w:pPr>
              <w:jc w:val="both"/>
              <w:rPr>
                <w:rFonts w:ascii="Calibri Light" w:eastAsia="Calibri" w:hAnsi="Calibri Light" w:cs="Calibri Light"/>
                <w:sz w:val="20"/>
                <w:szCs w:val="20"/>
              </w:rPr>
            </w:pPr>
            <w:r w:rsidRPr="00F31344">
              <w:rPr>
                <w:rFonts w:ascii="Calibri Light" w:eastAsia="Calibri" w:hAnsi="Calibri Light" w:cs="Calibri Light"/>
                <w:sz w:val="20"/>
                <w:szCs w:val="20"/>
              </w:rPr>
              <w:t>Por lo que, en la práctica resulta natural excluir de la responsabilidad de Telmex/Telnor aquellas fallas que no le son atribuibles para la correspondiente penalización.</w:t>
            </w:r>
          </w:p>
          <w:p w14:paraId="2F328743" w14:textId="77777777" w:rsidR="00F31344" w:rsidRPr="00F31344" w:rsidRDefault="00F31344" w:rsidP="00F31344">
            <w:pPr>
              <w:jc w:val="both"/>
              <w:rPr>
                <w:rFonts w:ascii="Calibri Light" w:eastAsia="Calibri" w:hAnsi="Calibri Light" w:cs="Calibri Light"/>
                <w:sz w:val="20"/>
                <w:szCs w:val="20"/>
              </w:rPr>
            </w:pPr>
          </w:p>
          <w:p w14:paraId="0904D873" w14:textId="0571852C" w:rsidR="00967BC1" w:rsidRDefault="00F31344" w:rsidP="00F31344">
            <w:pPr>
              <w:jc w:val="both"/>
              <w:rPr>
                <w:rFonts w:ascii="Calibri Light" w:eastAsia="Calibri" w:hAnsi="Calibri Light" w:cs="Calibri Light"/>
                <w:sz w:val="20"/>
                <w:szCs w:val="20"/>
              </w:rPr>
            </w:pPr>
            <w:r w:rsidRPr="00F31344">
              <w:rPr>
                <w:rFonts w:ascii="Calibri Light" w:eastAsia="Calibri" w:hAnsi="Calibri Light" w:cs="Calibri Light"/>
                <w:sz w:val="20"/>
                <w:szCs w:val="20"/>
              </w:rPr>
              <w:t xml:space="preserve">En conclusión, la adición de dicho párrafo además de ser congruente con la naturaleza de las excluyentes de </w:t>
            </w:r>
            <w:r w:rsidR="00967BC1" w:rsidRPr="00F31344">
              <w:rPr>
                <w:rFonts w:ascii="Calibri Light" w:eastAsia="Calibri" w:hAnsi="Calibri Light" w:cs="Calibri Light"/>
                <w:sz w:val="20"/>
                <w:szCs w:val="20"/>
              </w:rPr>
              <w:t>responsabilidad</w:t>
            </w:r>
            <w:r w:rsidRPr="00F31344">
              <w:rPr>
                <w:rFonts w:ascii="Calibri Light" w:eastAsia="Calibri" w:hAnsi="Calibri Light" w:cs="Calibri Light"/>
                <w:sz w:val="20"/>
                <w:szCs w:val="20"/>
              </w:rPr>
              <w:t xml:space="preserve"> resulta armónico con la operación actual, da claridad a la industria </w:t>
            </w:r>
            <w:r w:rsidR="00967BC1" w:rsidRPr="00F31344">
              <w:rPr>
                <w:rFonts w:ascii="Calibri Light" w:eastAsia="Calibri" w:hAnsi="Calibri Light" w:cs="Calibri Light"/>
                <w:sz w:val="20"/>
                <w:szCs w:val="20"/>
              </w:rPr>
              <w:t>y resulta</w:t>
            </w:r>
            <w:r w:rsidRPr="00F31344">
              <w:rPr>
                <w:rFonts w:ascii="Calibri Light" w:eastAsia="Calibri" w:hAnsi="Calibri Light" w:cs="Calibri Light"/>
                <w:sz w:val="20"/>
                <w:szCs w:val="20"/>
              </w:rPr>
              <w:t xml:space="preserve"> acorde con el enfoque de otras Ofertas de Referencia en el mercado nacional que el propio Pleno del Instituto ha aprobado, como:</w:t>
            </w:r>
          </w:p>
          <w:p w14:paraId="6A342ED5" w14:textId="77777777" w:rsidR="00053658" w:rsidRPr="00F31344" w:rsidRDefault="00053658" w:rsidP="00F31344">
            <w:pPr>
              <w:jc w:val="both"/>
              <w:rPr>
                <w:rFonts w:ascii="Calibri Light" w:eastAsia="Calibri" w:hAnsi="Calibri Light" w:cs="Calibri Light"/>
                <w:sz w:val="20"/>
                <w:szCs w:val="20"/>
              </w:rPr>
            </w:pPr>
          </w:p>
          <w:p w14:paraId="19F075A4" w14:textId="7A14A7AD" w:rsidR="00F31344" w:rsidRPr="00F31344" w:rsidRDefault="001D5424" w:rsidP="00F31344">
            <w:pPr>
              <w:pStyle w:val="Prrafodelista"/>
              <w:numPr>
                <w:ilvl w:val="0"/>
                <w:numId w:val="14"/>
              </w:numPr>
              <w:ind w:left="317" w:hanging="218"/>
              <w:jc w:val="both"/>
              <w:rPr>
                <w:rFonts w:ascii="Calibri Light" w:eastAsia="Calibri" w:hAnsi="Calibri Light" w:cs="Calibri Light"/>
                <w:sz w:val="20"/>
                <w:szCs w:val="20"/>
              </w:rPr>
            </w:pPr>
            <w:r>
              <w:rPr>
                <w:rFonts w:ascii="Calibri Light" w:eastAsia="Calibri" w:hAnsi="Calibri Light" w:cs="Calibri Light"/>
                <w:sz w:val="20"/>
                <w:szCs w:val="20"/>
              </w:rPr>
              <w:t>L</w:t>
            </w:r>
            <w:r w:rsidR="00F31344" w:rsidRPr="00F31344">
              <w:rPr>
                <w:rFonts w:ascii="Calibri Light" w:eastAsia="Calibri" w:hAnsi="Calibri Light" w:cs="Calibri Light"/>
                <w:sz w:val="20"/>
                <w:szCs w:val="20"/>
              </w:rPr>
              <w:t>a OREDA vigente, particularmente en el numeral 4.9 Parámetros e indicadores de calidad para los Servicios de Reventa, el cual establece de manera explícita que deben excluirse del cómputo de los indicadores de reparación aquellas fallas que no sean atribuibles a Telmex o Telnor.</w:t>
            </w:r>
          </w:p>
          <w:p w14:paraId="38DDE175" w14:textId="77777777" w:rsidR="00F31344" w:rsidRPr="00F31344" w:rsidRDefault="00F31344" w:rsidP="00F31344">
            <w:pPr>
              <w:pStyle w:val="Prrafodelista"/>
              <w:ind w:left="317"/>
              <w:jc w:val="both"/>
              <w:rPr>
                <w:rFonts w:ascii="Calibri Light" w:eastAsia="Calibri" w:hAnsi="Calibri Light" w:cs="Calibri Light"/>
                <w:sz w:val="20"/>
                <w:szCs w:val="20"/>
              </w:rPr>
            </w:pPr>
          </w:p>
          <w:p w14:paraId="331F06EB" w14:textId="38643FE1" w:rsidR="00F31344" w:rsidRPr="00F31344" w:rsidRDefault="001D5424" w:rsidP="00F31344">
            <w:pPr>
              <w:pStyle w:val="Prrafodelista"/>
              <w:numPr>
                <w:ilvl w:val="0"/>
                <w:numId w:val="14"/>
              </w:numPr>
              <w:ind w:left="317" w:hanging="218"/>
              <w:jc w:val="both"/>
              <w:rPr>
                <w:rFonts w:ascii="Calibri Light" w:eastAsia="Calibri" w:hAnsi="Calibri Light" w:cs="Calibri Light"/>
                <w:sz w:val="20"/>
                <w:szCs w:val="20"/>
              </w:rPr>
            </w:pPr>
            <w:r>
              <w:rPr>
                <w:rFonts w:ascii="Calibri Light" w:eastAsia="Calibri" w:hAnsi="Calibri Light" w:cs="Calibri Light"/>
                <w:sz w:val="20"/>
                <w:szCs w:val="20"/>
              </w:rPr>
              <w:t xml:space="preserve">La oferta de </w:t>
            </w:r>
            <w:r w:rsidR="00F31344" w:rsidRPr="00F31344">
              <w:rPr>
                <w:rFonts w:ascii="Calibri Light" w:eastAsia="Calibri" w:hAnsi="Calibri Light" w:cs="Calibri Light"/>
                <w:sz w:val="20"/>
                <w:szCs w:val="20"/>
              </w:rPr>
              <w:t xml:space="preserve">Altán Redes, S.A.P.I. de C.V. en el Apéndice </w:t>
            </w:r>
            <w:r w:rsidR="00384B10">
              <w:rPr>
                <w:rFonts w:ascii="Calibri Light" w:eastAsia="Calibri" w:hAnsi="Calibri Light" w:cs="Calibri Light"/>
                <w:sz w:val="20"/>
                <w:szCs w:val="20"/>
              </w:rPr>
              <w:t>1</w:t>
            </w:r>
            <w:r w:rsidR="00F31344" w:rsidRPr="00F31344">
              <w:rPr>
                <w:rFonts w:ascii="Calibri Light" w:eastAsia="Calibri" w:hAnsi="Calibri Light" w:cs="Calibri Light"/>
                <w:sz w:val="20"/>
                <w:szCs w:val="20"/>
              </w:rPr>
              <w:t xml:space="preserve">6.5 “ACUERDO DE NIVEL DE SERVICIOS Y GESTIÓN DE INCIDENCIAS” inciso b) del numeral 2.2 menciona que </w:t>
            </w:r>
            <w:r w:rsidR="00F31344" w:rsidRPr="00430CE3">
              <w:rPr>
                <w:rFonts w:ascii="Calibri Light" w:eastAsia="Calibri" w:hAnsi="Calibri Light" w:cs="Calibri Light"/>
                <w:b/>
                <w:bCs/>
                <w:sz w:val="20"/>
                <w:szCs w:val="20"/>
              </w:rPr>
              <w:t xml:space="preserve">no se considerarán como causales de indisponibilidad atribuibles a Altán y por lo tanto no están sujetas a los indicadores de calidad de servicio </w:t>
            </w:r>
            <w:r w:rsidR="00F31344" w:rsidRPr="00F31344">
              <w:rPr>
                <w:rFonts w:ascii="Calibri Light" w:eastAsia="Calibri" w:hAnsi="Calibri Light" w:cs="Calibri Light"/>
                <w:sz w:val="20"/>
                <w:szCs w:val="20"/>
              </w:rPr>
              <w:t xml:space="preserve">las labores de mantenimiento correctivo ocasionadas por hechos o actos no atribuibles a Altán (para Telmex/Telnor es lo definido como responsabilidad atribuible a Terceros o Fuerza Mayor) y las fallas imputables al cliente (para Telmex/Telnor es lo definido como responsabilidad atribuible al Concesionario), tal como se </w:t>
            </w:r>
            <w:r w:rsidR="00967BC1">
              <w:rPr>
                <w:rFonts w:ascii="Calibri Light" w:eastAsia="Calibri" w:hAnsi="Calibri Light" w:cs="Calibri Light"/>
                <w:sz w:val="20"/>
                <w:szCs w:val="20"/>
              </w:rPr>
              <w:t>transcribe</w:t>
            </w:r>
            <w:r w:rsidR="00F31344" w:rsidRPr="00F31344">
              <w:rPr>
                <w:rFonts w:ascii="Calibri Light" w:eastAsia="Calibri" w:hAnsi="Calibri Light" w:cs="Calibri Light"/>
                <w:sz w:val="20"/>
                <w:szCs w:val="20"/>
              </w:rPr>
              <w:t xml:space="preserve"> a continuación:</w:t>
            </w:r>
          </w:p>
          <w:p w14:paraId="48592ECD" w14:textId="77777777" w:rsidR="00F31344" w:rsidRPr="00F31344" w:rsidRDefault="00F31344" w:rsidP="00F31344">
            <w:pPr>
              <w:jc w:val="both"/>
              <w:rPr>
                <w:rFonts w:ascii="Calibri Light" w:eastAsia="Calibri" w:hAnsi="Calibri Light" w:cs="Calibri Light"/>
                <w:sz w:val="20"/>
                <w:szCs w:val="20"/>
              </w:rPr>
            </w:pPr>
          </w:p>
          <w:p w14:paraId="2065489D" w14:textId="77777777" w:rsidR="00F31344" w:rsidRPr="00F31344" w:rsidRDefault="00F31344" w:rsidP="00967BC1">
            <w:pPr>
              <w:ind w:left="708"/>
              <w:jc w:val="both"/>
              <w:rPr>
                <w:rFonts w:ascii="Calibri Light" w:eastAsia="Calibri" w:hAnsi="Calibri Light" w:cs="Calibri Light"/>
                <w:i/>
                <w:iCs/>
                <w:sz w:val="20"/>
                <w:szCs w:val="20"/>
              </w:rPr>
            </w:pPr>
            <w:r w:rsidRPr="00F31344">
              <w:rPr>
                <w:rFonts w:ascii="Calibri Light" w:eastAsia="Calibri" w:hAnsi="Calibri Light" w:cs="Calibri Light"/>
                <w:sz w:val="20"/>
                <w:szCs w:val="20"/>
              </w:rPr>
              <w:t>“</w:t>
            </w:r>
            <w:r w:rsidRPr="00F31344">
              <w:rPr>
                <w:rFonts w:ascii="Calibri Light" w:eastAsia="Calibri" w:hAnsi="Calibri Light" w:cs="Calibri Light"/>
                <w:i/>
                <w:iCs/>
                <w:sz w:val="20"/>
                <w:szCs w:val="20"/>
              </w:rPr>
              <w:t xml:space="preserve">El tiempo de indisponibilidad inicia desde el momento en que sea confirmada por el Centro de Operaciones (NOC). Al respecto, </w:t>
            </w:r>
            <w:r w:rsidRPr="00F31344">
              <w:rPr>
                <w:rFonts w:ascii="Calibri Light" w:eastAsia="Calibri" w:hAnsi="Calibri Light" w:cs="Calibri Light"/>
                <w:b/>
                <w:bCs/>
                <w:i/>
                <w:iCs/>
                <w:sz w:val="20"/>
                <w:szCs w:val="20"/>
              </w:rPr>
              <w:t>no se considerarán como causales de indisponibilidad atribuibles a Altán y, por lo tanto, no están sujetas a los indicadores de calidad del Servicio, las siguientes</w:t>
            </w:r>
            <w:r w:rsidRPr="00F31344">
              <w:rPr>
                <w:rFonts w:ascii="Calibri Light" w:eastAsia="Calibri" w:hAnsi="Calibri Light" w:cs="Calibri Light"/>
                <w:i/>
                <w:iCs/>
                <w:sz w:val="20"/>
                <w:szCs w:val="20"/>
              </w:rPr>
              <w:t>:</w:t>
            </w:r>
          </w:p>
          <w:p w14:paraId="689F7637" w14:textId="1DEEDF19" w:rsidR="00F31344" w:rsidRPr="00F31344" w:rsidRDefault="00F31344" w:rsidP="00967BC1">
            <w:pPr>
              <w:ind w:left="997"/>
              <w:jc w:val="both"/>
              <w:rPr>
                <w:rFonts w:ascii="Calibri Light" w:eastAsia="Calibri" w:hAnsi="Calibri Light" w:cs="Calibri Light"/>
                <w:i/>
                <w:iCs/>
                <w:sz w:val="20"/>
                <w:szCs w:val="20"/>
              </w:rPr>
            </w:pPr>
            <w:r w:rsidRPr="00F31344">
              <w:rPr>
                <w:rFonts w:ascii="Calibri Light" w:eastAsia="Calibri" w:hAnsi="Calibri Light" w:cs="Calibri Light"/>
                <w:i/>
                <w:iCs/>
                <w:sz w:val="20"/>
                <w:szCs w:val="20"/>
              </w:rPr>
              <w:t>i. Las fallas producidas en equipos y componentes diferentes a los</w:t>
            </w:r>
            <w:r w:rsidR="00B36D48">
              <w:t xml:space="preserve"> </w:t>
            </w:r>
            <w:r w:rsidR="00B36D48" w:rsidRPr="00B36D48">
              <w:rPr>
                <w:rFonts w:ascii="Calibri Light" w:eastAsia="Calibri" w:hAnsi="Calibri Light" w:cs="Calibri Light"/>
                <w:i/>
                <w:iCs/>
                <w:sz w:val="20"/>
                <w:szCs w:val="20"/>
              </w:rPr>
              <w:t>suministrados por Altán</w:t>
            </w:r>
            <w:r w:rsidRPr="00F31344">
              <w:rPr>
                <w:rFonts w:ascii="Calibri Light" w:eastAsia="Calibri" w:hAnsi="Calibri Light" w:cs="Calibri Light"/>
                <w:i/>
                <w:iCs/>
                <w:sz w:val="20"/>
                <w:szCs w:val="20"/>
              </w:rPr>
              <w:t>.</w:t>
            </w:r>
          </w:p>
          <w:p w14:paraId="48870B40" w14:textId="147B362C" w:rsidR="00F31344" w:rsidRPr="00F31344" w:rsidRDefault="00F31344" w:rsidP="0037001D">
            <w:pPr>
              <w:ind w:left="997"/>
              <w:jc w:val="both"/>
              <w:rPr>
                <w:rFonts w:ascii="Calibri Light" w:eastAsia="Calibri" w:hAnsi="Calibri Light" w:cs="Calibri Light"/>
                <w:i/>
                <w:iCs/>
                <w:sz w:val="20"/>
                <w:szCs w:val="20"/>
              </w:rPr>
            </w:pPr>
            <w:proofErr w:type="spellStart"/>
            <w:r w:rsidRPr="00F31344">
              <w:rPr>
                <w:rFonts w:ascii="Calibri Light" w:eastAsia="Calibri" w:hAnsi="Calibri Light" w:cs="Calibri Light"/>
                <w:i/>
                <w:iCs/>
                <w:sz w:val="20"/>
                <w:szCs w:val="20"/>
              </w:rPr>
              <w:t>ii</w:t>
            </w:r>
            <w:proofErr w:type="spellEnd"/>
            <w:r w:rsidRPr="00F31344">
              <w:rPr>
                <w:rFonts w:ascii="Calibri Light" w:eastAsia="Calibri" w:hAnsi="Calibri Light" w:cs="Calibri Light"/>
                <w:i/>
                <w:iCs/>
                <w:sz w:val="20"/>
                <w:szCs w:val="20"/>
              </w:rPr>
              <w:t xml:space="preserve">. </w:t>
            </w:r>
            <w:r w:rsidR="0037001D" w:rsidRPr="0037001D">
              <w:rPr>
                <w:rFonts w:ascii="Calibri Light" w:eastAsia="Calibri" w:hAnsi="Calibri Light" w:cs="Calibri Light"/>
                <w:b/>
                <w:bCs/>
                <w:i/>
                <w:iCs/>
                <w:sz w:val="20"/>
                <w:szCs w:val="20"/>
              </w:rPr>
              <w:t>Fallas imputables al Cliente en los elementos o plataformas de los que el Cliente es responsable</w:t>
            </w:r>
            <w:r w:rsidRPr="001E41C3">
              <w:rPr>
                <w:rFonts w:ascii="Calibri Light" w:eastAsia="Calibri" w:hAnsi="Calibri Light" w:cs="Calibri Light"/>
                <w:b/>
                <w:bCs/>
                <w:i/>
                <w:iCs/>
                <w:sz w:val="20"/>
                <w:szCs w:val="20"/>
              </w:rPr>
              <w:t>.</w:t>
            </w:r>
          </w:p>
          <w:p w14:paraId="7FC765F8" w14:textId="77777777" w:rsidR="00F31344" w:rsidRPr="00F31344" w:rsidRDefault="00F31344" w:rsidP="00967BC1">
            <w:pPr>
              <w:ind w:left="997"/>
              <w:jc w:val="both"/>
              <w:rPr>
                <w:rFonts w:ascii="Calibri Light" w:eastAsia="Calibri" w:hAnsi="Calibri Light" w:cs="Calibri Light"/>
                <w:sz w:val="20"/>
                <w:szCs w:val="20"/>
              </w:rPr>
            </w:pPr>
            <w:proofErr w:type="spellStart"/>
            <w:r w:rsidRPr="00F31344">
              <w:rPr>
                <w:rFonts w:ascii="Calibri Light" w:eastAsia="Calibri" w:hAnsi="Calibri Light" w:cs="Calibri Light"/>
                <w:i/>
                <w:iCs/>
                <w:sz w:val="20"/>
                <w:szCs w:val="20"/>
              </w:rPr>
              <w:t>iii</w:t>
            </w:r>
            <w:proofErr w:type="spellEnd"/>
            <w:r w:rsidRPr="00F31344">
              <w:rPr>
                <w:rFonts w:ascii="Calibri Light" w:eastAsia="Calibri" w:hAnsi="Calibri Light" w:cs="Calibri Light"/>
                <w:i/>
                <w:iCs/>
                <w:sz w:val="20"/>
                <w:szCs w:val="20"/>
              </w:rPr>
              <w:t xml:space="preserve">. </w:t>
            </w:r>
            <w:r w:rsidRPr="00F31344">
              <w:rPr>
                <w:rFonts w:ascii="Calibri Light" w:eastAsia="Calibri" w:hAnsi="Calibri Light" w:cs="Calibri Light"/>
                <w:b/>
                <w:bCs/>
                <w:i/>
                <w:iCs/>
                <w:sz w:val="20"/>
                <w:szCs w:val="20"/>
              </w:rPr>
              <w:t>La indisponibilidad debida</w:t>
            </w:r>
            <w:r w:rsidRPr="00F31344">
              <w:rPr>
                <w:rFonts w:ascii="Calibri Light" w:eastAsia="Calibri" w:hAnsi="Calibri Light" w:cs="Calibri Light"/>
                <w:i/>
                <w:iCs/>
                <w:sz w:val="20"/>
                <w:szCs w:val="20"/>
              </w:rPr>
              <w:t xml:space="preserve"> a todas las labores de mantenimiento preventivo y </w:t>
            </w:r>
            <w:r w:rsidRPr="00F31344">
              <w:rPr>
                <w:rFonts w:ascii="Calibri Light" w:eastAsia="Calibri" w:hAnsi="Calibri Light" w:cs="Calibri Light"/>
                <w:b/>
                <w:bCs/>
                <w:i/>
                <w:iCs/>
                <w:sz w:val="20"/>
                <w:szCs w:val="20"/>
              </w:rPr>
              <w:t>a las labores de mantenimiento correctivo ocasionadas por hechos o actos no atribuibles a Altán.</w:t>
            </w:r>
            <w:r w:rsidRPr="00F31344">
              <w:rPr>
                <w:rFonts w:ascii="Calibri Light" w:eastAsia="Calibri" w:hAnsi="Calibri Light" w:cs="Calibri Light"/>
                <w:sz w:val="20"/>
                <w:szCs w:val="20"/>
              </w:rPr>
              <w:t>”</w:t>
            </w:r>
          </w:p>
          <w:p w14:paraId="1F9FE57D" w14:textId="77777777" w:rsidR="00F31344" w:rsidRPr="00F31344" w:rsidRDefault="00F31344" w:rsidP="00F31344">
            <w:pPr>
              <w:jc w:val="both"/>
              <w:rPr>
                <w:rFonts w:ascii="Calibri Light" w:eastAsia="Calibri" w:hAnsi="Calibri Light" w:cs="Calibri Light"/>
                <w:sz w:val="20"/>
                <w:szCs w:val="20"/>
              </w:rPr>
            </w:pPr>
          </w:p>
          <w:p w14:paraId="5433B2C4" w14:textId="77777777" w:rsidR="00294A03" w:rsidRPr="001732DC" w:rsidRDefault="00F31344" w:rsidP="00F31344">
            <w:pPr>
              <w:jc w:val="both"/>
              <w:rPr>
                <w:rFonts w:ascii="Calibri Light" w:eastAsia="Calibri" w:hAnsi="Calibri Light" w:cs="Calibri Light"/>
                <w:sz w:val="20"/>
                <w:szCs w:val="20"/>
                <w:highlight w:val="magenta"/>
              </w:rPr>
            </w:pPr>
            <w:r w:rsidRPr="00F31344">
              <w:rPr>
                <w:rFonts w:ascii="Calibri Light" w:eastAsia="Calibri" w:hAnsi="Calibri Light" w:cs="Calibri Light"/>
                <w:sz w:val="20"/>
                <w:szCs w:val="20"/>
              </w:rPr>
              <w:t>Derivado de lo expuesto, la incorporación de este numeral tiene como finalidad dar sustento normativo a un procedimiento que ya se aplica de forma operativa, fortalecer la transparencia, estandarizar criterios técnicos, homologar las ofertas mayoristas del AEP y brindar mayor claridad y certeza a todas las partes en la medición de la calidad del servicio y disponibilidad.</w:t>
            </w:r>
          </w:p>
        </w:tc>
      </w:tr>
      <w:tr w:rsidR="00476935" w:rsidRPr="00C13F5A" w14:paraId="03135F85" w14:textId="77777777" w:rsidTr="001D5424">
        <w:tblPrEx>
          <w:jc w:val="left"/>
        </w:tblPrEx>
        <w:trPr>
          <w:trHeight w:val="568"/>
        </w:trPr>
        <w:tc>
          <w:tcPr>
            <w:tcW w:w="1392" w:type="dxa"/>
            <w:vMerge/>
          </w:tcPr>
          <w:p w14:paraId="5614E98D" w14:textId="77777777" w:rsidR="0010297D" w:rsidRDefault="0010297D" w:rsidP="0010297D">
            <w:pPr>
              <w:jc w:val="center"/>
              <w:rPr>
                <w:rFonts w:cstheme="minorHAnsi"/>
                <w:b/>
                <w:bCs/>
                <w:sz w:val="20"/>
                <w:szCs w:val="20"/>
              </w:rPr>
            </w:pPr>
          </w:p>
        </w:tc>
        <w:tc>
          <w:tcPr>
            <w:tcW w:w="1576" w:type="dxa"/>
            <w:vAlign w:val="center"/>
          </w:tcPr>
          <w:p w14:paraId="7B50A621" w14:textId="77777777" w:rsidR="0010297D" w:rsidRDefault="0010297D" w:rsidP="0010297D">
            <w:pPr>
              <w:jc w:val="center"/>
              <w:rPr>
                <w:rFonts w:cstheme="minorHAnsi"/>
                <w:sz w:val="20"/>
                <w:szCs w:val="20"/>
              </w:rPr>
            </w:pPr>
            <w:r>
              <w:rPr>
                <w:rFonts w:cstheme="minorHAnsi"/>
                <w:sz w:val="20"/>
                <w:szCs w:val="20"/>
              </w:rPr>
              <w:t>ANEXO “C”</w:t>
            </w:r>
          </w:p>
          <w:p w14:paraId="60022D02" w14:textId="77777777" w:rsidR="0010297D" w:rsidRDefault="0010297D" w:rsidP="0010297D">
            <w:pPr>
              <w:jc w:val="center"/>
              <w:rPr>
                <w:rFonts w:cstheme="minorHAnsi"/>
                <w:sz w:val="20"/>
                <w:szCs w:val="20"/>
              </w:rPr>
            </w:pPr>
            <w:r>
              <w:rPr>
                <w:rFonts w:cstheme="minorHAnsi"/>
                <w:sz w:val="20"/>
                <w:szCs w:val="20"/>
              </w:rPr>
              <w:t>Apartado A</w:t>
            </w:r>
          </w:p>
          <w:p w14:paraId="4E858AA8" w14:textId="77777777" w:rsidR="00BA3EFF" w:rsidRDefault="00BA3EFF" w:rsidP="0010297D">
            <w:pPr>
              <w:jc w:val="center"/>
              <w:rPr>
                <w:rFonts w:cstheme="minorHAnsi"/>
                <w:sz w:val="20"/>
                <w:szCs w:val="20"/>
              </w:rPr>
            </w:pPr>
            <w:r w:rsidRPr="004D04C7">
              <w:rPr>
                <w:rFonts w:cstheme="minorHAnsi"/>
                <w:i/>
                <w:sz w:val="18"/>
                <w:szCs w:val="20"/>
              </w:rPr>
              <w:t>PÁG.</w:t>
            </w:r>
            <w:r>
              <w:rPr>
                <w:rFonts w:cstheme="minorHAnsi"/>
                <w:i/>
                <w:sz w:val="18"/>
                <w:szCs w:val="20"/>
              </w:rPr>
              <w:t xml:space="preserve"> 36</w:t>
            </w:r>
          </w:p>
        </w:tc>
        <w:tc>
          <w:tcPr>
            <w:tcW w:w="5958" w:type="dxa"/>
            <w:vAlign w:val="center"/>
          </w:tcPr>
          <w:p w14:paraId="74251C34" w14:textId="77777777" w:rsidR="0010297D" w:rsidRDefault="0010297D" w:rsidP="0010297D">
            <w:pPr>
              <w:pStyle w:val="IFTnormal"/>
              <w:spacing w:after="0" w:line="240" w:lineRule="auto"/>
              <w:rPr>
                <w:rFonts w:ascii="Calibri Light" w:hAnsi="Calibri Light" w:cs="Calibri Light"/>
                <w:bCs w:val="0"/>
                <w:sz w:val="20"/>
                <w:szCs w:val="20"/>
              </w:rPr>
            </w:pPr>
            <w:r>
              <w:rPr>
                <w:rFonts w:ascii="Calibri Light" w:hAnsi="Calibri Light" w:cs="Calibri Light"/>
                <w:sz w:val="20"/>
                <w:szCs w:val="20"/>
              </w:rPr>
              <w:t>[Réplica de las modificaciones antes descritas]</w:t>
            </w:r>
          </w:p>
        </w:tc>
        <w:tc>
          <w:tcPr>
            <w:tcW w:w="5893" w:type="dxa"/>
            <w:vMerge/>
          </w:tcPr>
          <w:p w14:paraId="4EB7FA8A" w14:textId="77777777" w:rsidR="0010297D" w:rsidRDefault="0010297D" w:rsidP="0010297D">
            <w:pPr>
              <w:jc w:val="both"/>
              <w:rPr>
                <w:rFonts w:ascii="Calibri Light" w:eastAsia="Calibri" w:hAnsi="Calibri Light" w:cs="Calibri Light"/>
                <w:sz w:val="20"/>
                <w:szCs w:val="20"/>
              </w:rPr>
            </w:pPr>
          </w:p>
        </w:tc>
      </w:tr>
      <w:tr w:rsidR="00476935" w:rsidRPr="00C13F5A" w14:paraId="6C91F754" w14:textId="77777777" w:rsidTr="001D5424">
        <w:trPr>
          <w:trHeight w:val="3092"/>
          <w:jc w:val="center"/>
        </w:trPr>
        <w:tc>
          <w:tcPr>
            <w:tcW w:w="1392" w:type="dxa"/>
            <w:vMerge w:val="restart"/>
          </w:tcPr>
          <w:p w14:paraId="19442D90" w14:textId="77777777" w:rsidR="00266A2A" w:rsidRDefault="00266A2A" w:rsidP="0010297D">
            <w:pPr>
              <w:jc w:val="center"/>
              <w:rPr>
                <w:rFonts w:cstheme="minorHAnsi"/>
                <w:b/>
                <w:bCs/>
                <w:sz w:val="20"/>
                <w:szCs w:val="20"/>
              </w:rPr>
            </w:pPr>
          </w:p>
          <w:p w14:paraId="6794A249" w14:textId="77777777" w:rsidR="00266A2A" w:rsidRDefault="00266A2A" w:rsidP="0010297D">
            <w:pPr>
              <w:jc w:val="center"/>
              <w:rPr>
                <w:rFonts w:cstheme="minorHAnsi"/>
                <w:b/>
                <w:bCs/>
                <w:sz w:val="20"/>
                <w:szCs w:val="20"/>
              </w:rPr>
            </w:pPr>
          </w:p>
          <w:p w14:paraId="4C22CB78" w14:textId="77777777" w:rsidR="00266A2A" w:rsidRDefault="00266A2A" w:rsidP="0010297D">
            <w:pPr>
              <w:jc w:val="center"/>
              <w:rPr>
                <w:rFonts w:cstheme="minorHAnsi"/>
                <w:b/>
                <w:bCs/>
                <w:sz w:val="20"/>
                <w:szCs w:val="20"/>
              </w:rPr>
            </w:pPr>
            <w:r>
              <w:rPr>
                <w:rFonts w:cstheme="minorHAnsi"/>
                <w:b/>
                <w:bCs/>
                <w:sz w:val="20"/>
                <w:szCs w:val="20"/>
              </w:rPr>
              <w:t>#6</w:t>
            </w:r>
          </w:p>
          <w:p w14:paraId="6DE4AB95" w14:textId="77777777" w:rsidR="00266A2A" w:rsidRDefault="00266A2A" w:rsidP="0010297D">
            <w:pPr>
              <w:jc w:val="center"/>
              <w:rPr>
                <w:rFonts w:cstheme="minorHAnsi"/>
                <w:b/>
                <w:bCs/>
                <w:sz w:val="20"/>
                <w:szCs w:val="20"/>
              </w:rPr>
            </w:pPr>
          </w:p>
          <w:p w14:paraId="78977008" w14:textId="77777777" w:rsidR="00266A2A" w:rsidRDefault="00266A2A" w:rsidP="0010297D">
            <w:pPr>
              <w:jc w:val="center"/>
              <w:rPr>
                <w:sz w:val="20"/>
                <w:szCs w:val="20"/>
              </w:rPr>
            </w:pPr>
            <w:r>
              <w:rPr>
                <w:rFonts w:cstheme="minorHAnsi"/>
                <w:b/>
                <w:bCs/>
                <w:sz w:val="20"/>
                <w:szCs w:val="20"/>
              </w:rPr>
              <w:t>Eliminación de contenido sin uso</w:t>
            </w:r>
          </w:p>
        </w:tc>
        <w:tc>
          <w:tcPr>
            <w:tcW w:w="1576" w:type="dxa"/>
          </w:tcPr>
          <w:p w14:paraId="64B1DB50" w14:textId="77777777" w:rsidR="00266A2A" w:rsidRDefault="00266A2A" w:rsidP="0010297D">
            <w:pPr>
              <w:jc w:val="center"/>
              <w:rPr>
                <w:rFonts w:cstheme="minorHAnsi"/>
                <w:sz w:val="20"/>
                <w:szCs w:val="20"/>
              </w:rPr>
            </w:pPr>
            <w:r>
              <w:rPr>
                <w:rFonts w:cstheme="minorHAnsi"/>
                <w:sz w:val="20"/>
                <w:szCs w:val="20"/>
              </w:rPr>
              <w:t>OFERTA</w:t>
            </w:r>
          </w:p>
          <w:p w14:paraId="1637885F" w14:textId="77777777" w:rsidR="00266A2A" w:rsidRDefault="00266A2A" w:rsidP="0010297D">
            <w:pPr>
              <w:jc w:val="center"/>
              <w:rPr>
                <w:rFonts w:cstheme="minorHAnsi"/>
                <w:sz w:val="20"/>
                <w:szCs w:val="20"/>
              </w:rPr>
            </w:pPr>
            <w:r>
              <w:rPr>
                <w:rFonts w:cstheme="minorHAnsi"/>
                <w:sz w:val="20"/>
                <w:szCs w:val="20"/>
              </w:rPr>
              <w:t>2.4.1.2</w:t>
            </w:r>
          </w:p>
          <w:p w14:paraId="6B776519" w14:textId="77777777" w:rsidR="00266A2A" w:rsidRDefault="00266A2A" w:rsidP="00BA3EFF">
            <w:pPr>
              <w:jc w:val="center"/>
              <w:rPr>
                <w:rFonts w:cstheme="minorHAnsi"/>
                <w:sz w:val="20"/>
                <w:szCs w:val="20"/>
              </w:rPr>
            </w:pPr>
            <w:r w:rsidRPr="004D04C7">
              <w:rPr>
                <w:rFonts w:cstheme="minorHAnsi"/>
                <w:i/>
                <w:sz w:val="18"/>
                <w:szCs w:val="20"/>
              </w:rPr>
              <w:t>PÁG.</w:t>
            </w:r>
            <w:r>
              <w:rPr>
                <w:rFonts w:cstheme="minorHAnsi"/>
                <w:i/>
                <w:sz w:val="18"/>
                <w:szCs w:val="20"/>
              </w:rPr>
              <w:t xml:space="preserve"> 11</w:t>
            </w:r>
          </w:p>
          <w:p w14:paraId="5E6E5FF3" w14:textId="77777777" w:rsidR="00266A2A" w:rsidRDefault="00266A2A" w:rsidP="0010297D">
            <w:pPr>
              <w:jc w:val="center"/>
              <w:rPr>
                <w:rFonts w:cstheme="minorHAnsi"/>
                <w:sz w:val="20"/>
                <w:szCs w:val="20"/>
              </w:rPr>
            </w:pPr>
          </w:p>
          <w:p w14:paraId="4B63CE75" w14:textId="77777777" w:rsidR="00266A2A" w:rsidRDefault="00266A2A" w:rsidP="0010297D">
            <w:pPr>
              <w:jc w:val="center"/>
              <w:rPr>
                <w:rFonts w:cstheme="minorHAnsi"/>
                <w:sz w:val="20"/>
                <w:szCs w:val="20"/>
              </w:rPr>
            </w:pPr>
            <w:r>
              <w:rPr>
                <w:rFonts w:cstheme="minorHAnsi"/>
                <w:sz w:val="20"/>
                <w:szCs w:val="20"/>
              </w:rPr>
              <w:t>En un punto previamente contratado</w:t>
            </w:r>
          </w:p>
        </w:tc>
        <w:tc>
          <w:tcPr>
            <w:tcW w:w="5958" w:type="dxa"/>
          </w:tcPr>
          <w:p w14:paraId="4EF44EE5" w14:textId="77777777" w:rsidR="00266A2A" w:rsidRPr="00D06591" w:rsidRDefault="00266A2A" w:rsidP="0010297D">
            <w:pPr>
              <w:jc w:val="both"/>
              <w:rPr>
                <w:rFonts w:ascii="Calibri Light" w:eastAsia="Calibri" w:hAnsi="Calibri Light" w:cs="Calibri Light"/>
                <w:strike/>
                <w:color w:val="0070C0"/>
                <w:sz w:val="20"/>
                <w:szCs w:val="20"/>
              </w:rPr>
            </w:pPr>
            <w:r w:rsidRPr="002C56BF">
              <w:rPr>
                <w:rFonts w:ascii="Calibri Light" w:eastAsia="Calibri" w:hAnsi="Calibri Light" w:cs="Calibri Light"/>
                <w:color w:val="0070C0"/>
                <w:sz w:val="20"/>
                <w:szCs w:val="20"/>
              </w:rPr>
              <w:t xml:space="preserve">2.4.1.2 </w:t>
            </w:r>
            <w:r w:rsidRPr="00D06591">
              <w:rPr>
                <w:rFonts w:ascii="Calibri Light" w:eastAsia="Calibri" w:hAnsi="Calibri Light" w:cs="Calibri Light"/>
                <w:strike/>
                <w:color w:val="0070C0"/>
                <w:sz w:val="20"/>
                <w:szCs w:val="20"/>
              </w:rPr>
              <w:t>En caso de que un Concesionario Solicitante o Autorizado Solicitante requiera la entrega del Servicio de Arrendamiento de Enlaces Dedicados Entre Localidades y/o de Larga Distancia Internacional en un punto donde previamente tenga contratado dicho servicio, los plazos de entrega aplicables serán los siguientes:</w:t>
            </w:r>
          </w:p>
          <w:p w14:paraId="0D8392B8" w14:textId="77777777" w:rsidR="00266A2A" w:rsidRPr="00D06591" w:rsidRDefault="00266A2A" w:rsidP="0010297D">
            <w:pPr>
              <w:tabs>
                <w:tab w:val="num" w:pos="720"/>
              </w:tabs>
              <w:jc w:val="both"/>
              <w:rPr>
                <w:rFonts w:ascii="Calibri Light" w:eastAsia="Calibri" w:hAnsi="Calibri Light" w:cs="Calibri Light"/>
                <w:strike/>
                <w:color w:val="0070C0"/>
                <w:sz w:val="20"/>
                <w:szCs w:val="20"/>
              </w:rPr>
            </w:pPr>
            <w:r w:rsidRPr="00D06591">
              <w:rPr>
                <w:rFonts w:ascii="Calibri Light" w:eastAsia="Calibri" w:hAnsi="Calibri Light" w:cs="Calibri Light"/>
                <w:strike/>
                <w:color w:val="0070C0"/>
                <w:sz w:val="20"/>
                <w:szCs w:val="20"/>
              </w:rPr>
              <w:t>El 50% (cincuenta por ciento) del plazo original de entrega (tabla del numeral 2.4.1.1) cuando no se requiera la modificación del medio o del equipo de transmisión.</w:t>
            </w:r>
          </w:p>
          <w:p w14:paraId="0BA04310" w14:textId="77777777" w:rsidR="00266A2A" w:rsidRPr="00D06591" w:rsidRDefault="00266A2A" w:rsidP="0010297D">
            <w:pPr>
              <w:tabs>
                <w:tab w:val="num" w:pos="720"/>
              </w:tabs>
              <w:jc w:val="both"/>
              <w:rPr>
                <w:rFonts w:ascii="Calibri Light" w:eastAsia="Calibri" w:hAnsi="Calibri Light" w:cs="Calibri Light"/>
                <w:strike/>
                <w:color w:val="0070C0"/>
                <w:sz w:val="20"/>
                <w:szCs w:val="20"/>
              </w:rPr>
            </w:pPr>
            <w:r w:rsidRPr="00D06591">
              <w:rPr>
                <w:rFonts w:ascii="Calibri Light" w:eastAsia="Calibri" w:hAnsi="Calibri Light" w:cs="Calibri Light"/>
                <w:strike/>
                <w:color w:val="0070C0"/>
                <w:sz w:val="20"/>
                <w:szCs w:val="20"/>
              </w:rPr>
              <w:t>El 75% (setenta y cinco por ciento) del plazo original de entrega (tabla del numeral 2.4.1.1) cuando se requiera la modificación del medio o del equipo de transmisión.</w:t>
            </w:r>
          </w:p>
          <w:p w14:paraId="1E39625B" w14:textId="77777777" w:rsidR="00266A2A" w:rsidRPr="00D06591" w:rsidRDefault="00266A2A" w:rsidP="0010297D">
            <w:pPr>
              <w:tabs>
                <w:tab w:val="num" w:pos="720"/>
              </w:tabs>
              <w:jc w:val="both"/>
              <w:rPr>
                <w:rFonts w:ascii="Calibri Light" w:eastAsia="Calibri" w:hAnsi="Calibri Light" w:cs="Calibri Light"/>
                <w:strike/>
                <w:color w:val="0070C0"/>
                <w:sz w:val="20"/>
                <w:szCs w:val="20"/>
              </w:rPr>
            </w:pPr>
            <w:r w:rsidRPr="00D06591">
              <w:rPr>
                <w:rFonts w:ascii="Calibri Light" w:eastAsia="Calibri" w:hAnsi="Calibri Light" w:cs="Calibri Light"/>
                <w:strike/>
                <w:color w:val="0070C0"/>
                <w:sz w:val="20"/>
                <w:szCs w:val="20"/>
              </w:rPr>
              <w:t>El 100% (cien por ciento) cuando se requiera la ampliación de los medios y de los equipos de transmisión.</w:t>
            </w:r>
          </w:p>
          <w:p w14:paraId="1A7EF09D" w14:textId="77777777" w:rsidR="00266A2A" w:rsidRDefault="00266A2A" w:rsidP="0010297D">
            <w:pPr>
              <w:rPr>
                <w:rFonts w:ascii="Calibri Light" w:eastAsia="Calibri" w:hAnsi="Calibri Light" w:cs="Calibri Light"/>
                <w:sz w:val="20"/>
                <w:szCs w:val="20"/>
              </w:rPr>
            </w:pPr>
          </w:p>
        </w:tc>
        <w:tc>
          <w:tcPr>
            <w:tcW w:w="5893" w:type="dxa"/>
            <w:vMerge w:val="restart"/>
          </w:tcPr>
          <w:p w14:paraId="7F13D0E5" w14:textId="77777777" w:rsidR="00EF530C" w:rsidRDefault="00EF530C" w:rsidP="00637E9F">
            <w:pPr>
              <w:jc w:val="both"/>
              <w:rPr>
                <w:rFonts w:ascii="Calibri Light" w:eastAsia="Calibri" w:hAnsi="Calibri Light" w:cs="Calibri Light"/>
                <w:sz w:val="20"/>
                <w:szCs w:val="20"/>
              </w:rPr>
            </w:pPr>
          </w:p>
          <w:p w14:paraId="12E16951" w14:textId="4BB1CD0A" w:rsidR="00266A2A" w:rsidRPr="00FA7718" w:rsidRDefault="00266A2A" w:rsidP="00637E9F">
            <w:pPr>
              <w:jc w:val="both"/>
              <w:rPr>
                <w:rFonts w:ascii="Calibri Light" w:eastAsia="Calibri" w:hAnsi="Calibri Light" w:cs="Calibri Light"/>
                <w:sz w:val="20"/>
                <w:szCs w:val="20"/>
              </w:rPr>
            </w:pPr>
            <w:r w:rsidRPr="00637E9F">
              <w:rPr>
                <w:rFonts w:ascii="Calibri Light" w:eastAsia="Calibri" w:hAnsi="Calibri Light" w:cs="Calibri Light"/>
                <w:sz w:val="20"/>
                <w:szCs w:val="20"/>
              </w:rPr>
              <w:t xml:space="preserve">Se solicita al Instituto considerar que, cuando un Concesionario requiera la provisión de un servicio en un punto donde ya exista un servicio contratado previamente, </w:t>
            </w:r>
            <w:r>
              <w:rPr>
                <w:rFonts w:ascii="Calibri Light" w:eastAsia="Calibri" w:hAnsi="Calibri Light" w:cs="Calibri Light"/>
                <w:sz w:val="20"/>
                <w:szCs w:val="20"/>
              </w:rPr>
              <w:t>y sea</w:t>
            </w:r>
            <w:r w:rsidRPr="00637E9F">
              <w:rPr>
                <w:rFonts w:ascii="Calibri Light" w:eastAsia="Calibri" w:hAnsi="Calibri Light" w:cs="Calibri Light"/>
                <w:sz w:val="20"/>
                <w:szCs w:val="20"/>
              </w:rPr>
              <w:t xml:space="preserve"> necesario ampliar tanto los medios </w:t>
            </w:r>
            <w:r w:rsidR="00633E04">
              <w:rPr>
                <w:rFonts w:ascii="Calibri Light" w:eastAsia="Calibri" w:hAnsi="Calibri Light" w:cs="Calibri Light"/>
                <w:sz w:val="20"/>
                <w:szCs w:val="20"/>
              </w:rPr>
              <w:t xml:space="preserve">físicos del enlace contratado, </w:t>
            </w:r>
            <w:r w:rsidRPr="00637E9F">
              <w:rPr>
                <w:rFonts w:ascii="Calibri Light" w:eastAsia="Calibri" w:hAnsi="Calibri Light" w:cs="Calibri Light"/>
                <w:sz w:val="20"/>
                <w:szCs w:val="20"/>
              </w:rPr>
              <w:t xml:space="preserve">como los equipos utilizados para asegurar una implementación adecuada y eficiente del nuevo servicio. En consecuencia, no resultará aplicable la reducción de plazos basada en los porcentajes del 50% y 75% establecidos para entregas iniciales, </w:t>
            </w:r>
            <w:r>
              <w:rPr>
                <w:rFonts w:ascii="Calibri Light" w:eastAsia="Calibri" w:hAnsi="Calibri Light" w:cs="Calibri Light"/>
                <w:sz w:val="20"/>
                <w:szCs w:val="20"/>
              </w:rPr>
              <w:t xml:space="preserve">de esta manera se </w:t>
            </w:r>
            <w:r w:rsidRPr="00637E9F">
              <w:rPr>
                <w:rFonts w:ascii="Calibri Light" w:eastAsia="Calibri" w:hAnsi="Calibri Light" w:cs="Calibri Light"/>
                <w:sz w:val="20"/>
                <w:szCs w:val="20"/>
              </w:rPr>
              <w:t xml:space="preserve">garantiza la calidad y </w:t>
            </w:r>
            <w:r>
              <w:rPr>
                <w:rFonts w:ascii="Calibri Light" w:eastAsia="Calibri" w:hAnsi="Calibri Light" w:cs="Calibri Light"/>
                <w:sz w:val="20"/>
                <w:szCs w:val="20"/>
              </w:rPr>
              <w:t xml:space="preserve">la transparencia </w:t>
            </w:r>
            <w:r w:rsidRPr="00637E9F">
              <w:rPr>
                <w:rFonts w:ascii="Calibri Light" w:eastAsia="Calibri" w:hAnsi="Calibri Light" w:cs="Calibri Light"/>
                <w:sz w:val="20"/>
                <w:szCs w:val="20"/>
              </w:rPr>
              <w:t>en la prestación del servicio.</w:t>
            </w:r>
          </w:p>
        </w:tc>
      </w:tr>
      <w:tr w:rsidR="00476935" w:rsidRPr="00C13F5A" w14:paraId="26D5EEB2" w14:textId="77777777" w:rsidTr="001D5424">
        <w:trPr>
          <w:trHeight w:val="517"/>
          <w:jc w:val="center"/>
        </w:trPr>
        <w:tc>
          <w:tcPr>
            <w:tcW w:w="1392" w:type="dxa"/>
            <w:vMerge/>
          </w:tcPr>
          <w:p w14:paraId="36CA467B" w14:textId="77777777" w:rsidR="00266A2A" w:rsidRDefault="00266A2A" w:rsidP="0010297D">
            <w:pPr>
              <w:jc w:val="center"/>
              <w:rPr>
                <w:rFonts w:cstheme="minorHAnsi"/>
                <w:b/>
                <w:bCs/>
                <w:sz w:val="20"/>
                <w:szCs w:val="20"/>
              </w:rPr>
            </w:pPr>
          </w:p>
        </w:tc>
        <w:tc>
          <w:tcPr>
            <w:tcW w:w="1576" w:type="dxa"/>
            <w:vAlign w:val="center"/>
          </w:tcPr>
          <w:p w14:paraId="08FEA4FE" w14:textId="77777777" w:rsidR="00266A2A" w:rsidRDefault="00266A2A" w:rsidP="00266A2A">
            <w:pPr>
              <w:jc w:val="center"/>
              <w:rPr>
                <w:rFonts w:cstheme="minorHAnsi"/>
                <w:sz w:val="20"/>
                <w:szCs w:val="20"/>
              </w:rPr>
            </w:pPr>
            <w:r>
              <w:rPr>
                <w:rFonts w:cstheme="minorHAnsi"/>
                <w:sz w:val="20"/>
                <w:szCs w:val="20"/>
              </w:rPr>
              <w:t>ANEXO “C”</w:t>
            </w:r>
          </w:p>
          <w:p w14:paraId="2C0C629E" w14:textId="77777777" w:rsidR="00266A2A" w:rsidRDefault="00266A2A" w:rsidP="00266A2A">
            <w:pPr>
              <w:jc w:val="center"/>
              <w:rPr>
                <w:rFonts w:cstheme="minorHAnsi"/>
                <w:sz w:val="20"/>
                <w:szCs w:val="20"/>
              </w:rPr>
            </w:pPr>
            <w:r>
              <w:rPr>
                <w:rFonts w:cstheme="minorHAnsi"/>
                <w:sz w:val="20"/>
                <w:szCs w:val="20"/>
              </w:rPr>
              <w:t>Apartado B</w:t>
            </w:r>
          </w:p>
          <w:p w14:paraId="722FFFAB" w14:textId="77777777" w:rsidR="00266A2A" w:rsidRDefault="00266A2A" w:rsidP="00266A2A">
            <w:pPr>
              <w:jc w:val="center"/>
              <w:rPr>
                <w:rFonts w:cstheme="minorHAnsi"/>
                <w:sz w:val="20"/>
                <w:szCs w:val="20"/>
              </w:rPr>
            </w:pPr>
            <w:r w:rsidRPr="004D04C7">
              <w:rPr>
                <w:rFonts w:cstheme="minorHAnsi"/>
                <w:i/>
                <w:sz w:val="18"/>
                <w:szCs w:val="20"/>
              </w:rPr>
              <w:t>PÁG.</w:t>
            </w:r>
            <w:r>
              <w:rPr>
                <w:rFonts w:cstheme="minorHAnsi"/>
                <w:i/>
                <w:sz w:val="18"/>
                <w:szCs w:val="20"/>
              </w:rPr>
              <w:t xml:space="preserve"> 45</w:t>
            </w:r>
          </w:p>
        </w:tc>
        <w:tc>
          <w:tcPr>
            <w:tcW w:w="5958" w:type="dxa"/>
            <w:vAlign w:val="center"/>
          </w:tcPr>
          <w:p w14:paraId="36702CC5" w14:textId="77777777" w:rsidR="00266A2A" w:rsidRPr="002C56BF" w:rsidRDefault="00266A2A" w:rsidP="0010297D">
            <w:pPr>
              <w:jc w:val="both"/>
              <w:rPr>
                <w:rFonts w:ascii="Calibri Light" w:eastAsia="Calibri" w:hAnsi="Calibri Light" w:cs="Calibri Light"/>
                <w:color w:val="0070C0"/>
                <w:sz w:val="20"/>
                <w:szCs w:val="20"/>
              </w:rPr>
            </w:pPr>
            <w:r>
              <w:rPr>
                <w:rFonts w:ascii="Calibri Light" w:hAnsi="Calibri Light" w:cs="Calibri Light"/>
                <w:sz w:val="20"/>
                <w:szCs w:val="20"/>
              </w:rPr>
              <w:t>[Réplica de las modificaciones antes descritas]</w:t>
            </w:r>
          </w:p>
        </w:tc>
        <w:tc>
          <w:tcPr>
            <w:tcW w:w="5893" w:type="dxa"/>
            <w:vMerge/>
          </w:tcPr>
          <w:p w14:paraId="08725FE8" w14:textId="77777777" w:rsidR="00266A2A" w:rsidRPr="00637E9F" w:rsidRDefault="00266A2A" w:rsidP="00637E9F">
            <w:pPr>
              <w:jc w:val="both"/>
              <w:rPr>
                <w:rFonts w:ascii="Calibri Light" w:eastAsia="Calibri" w:hAnsi="Calibri Light" w:cs="Calibri Light"/>
                <w:sz w:val="20"/>
                <w:szCs w:val="20"/>
              </w:rPr>
            </w:pPr>
          </w:p>
        </w:tc>
      </w:tr>
      <w:tr w:rsidR="00476935" w:rsidRPr="00C13F5A" w14:paraId="3EEE15B0" w14:textId="77777777" w:rsidTr="001D5424">
        <w:tblPrEx>
          <w:jc w:val="left"/>
        </w:tblPrEx>
        <w:trPr>
          <w:trHeight w:val="568"/>
        </w:trPr>
        <w:tc>
          <w:tcPr>
            <w:tcW w:w="1392" w:type="dxa"/>
          </w:tcPr>
          <w:p w14:paraId="7832EAF7" w14:textId="77777777" w:rsidR="0010297D" w:rsidRDefault="0010297D" w:rsidP="0010297D">
            <w:pPr>
              <w:jc w:val="center"/>
              <w:rPr>
                <w:rFonts w:cstheme="minorHAnsi"/>
                <w:b/>
                <w:bCs/>
                <w:sz w:val="20"/>
                <w:szCs w:val="20"/>
              </w:rPr>
            </w:pPr>
          </w:p>
          <w:p w14:paraId="546D10CC" w14:textId="77777777" w:rsidR="0010297D" w:rsidRDefault="0010297D" w:rsidP="0010297D">
            <w:pPr>
              <w:jc w:val="center"/>
              <w:rPr>
                <w:rFonts w:cstheme="minorHAnsi"/>
                <w:b/>
                <w:bCs/>
                <w:sz w:val="20"/>
                <w:szCs w:val="20"/>
              </w:rPr>
            </w:pPr>
            <w:r>
              <w:rPr>
                <w:rFonts w:cstheme="minorHAnsi"/>
                <w:b/>
                <w:bCs/>
                <w:sz w:val="20"/>
                <w:szCs w:val="20"/>
              </w:rPr>
              <w:t>#7</w:t>
            </w:r>
          </w:p>
          <w:p w14:paraId="772A40BE" w14:textId="77777777" w:rsidR="0010297D" w:rsidRDefault="0010297D" w:rsidP="0010297D">
            <w:pPr>
              <w:jc w:val="center"/>
              <w:rPr>
                <w:rFonts w:cstheme="minorHAnsi"/>
                <w:b/>
                <w:bCs/>
                <w:sz w:val="20"/>
                <w:szCs w:val="20"/>
              </w:rPr>
            </w:pPr>
          </w:p>
          <w:p w14:paraId="2B02A2AD" w14:textId="77777777" w:rsidR="0010297D" w:rsidRDefault="0010297D" w:rsidP="0010297D">
            <w:pPr>
              <w:jc w:val="center"/>
              <w:rPr>
                <w:sz w:val="20"/>
                <w:szCs w:val="20"/>
              </w:rPr>
            </w:pPr>
            <w:r>
              <w:rPr>
                <w:rFonts w:cstheme="minorHAnsi"/>
                <w:b/>
                <w:bCs/>
                <w:sz w:val="20"/>
                <w:szCs w:val="20"/>
              </w:rPr>
              <w:lastRenderedPageBreak/>
              <w:t>Firma electrónica</w:t>
            </w:r>
          </w:p>
          <w:p w14:paraId="1F277ED2" w14:textId="77777777" w:rsidR="0010297D" w:rsidRDefault="0010297D" w:rsidP="0010297D">
            <w:pPr>
              <w:jc w:val="center"/>
              <w:rPr>
                <w:rFonts w:cstheme="minorHAnsi"/>
                <w:b/>
                <w:bCs/>
                <w:sz w:val="20"/>
                <w:szCs w:val="20"/>
              </w:rPr>
            </w:pPr>
          </w:p>
          <w:p w14:paraId="49390C10" w14:textId="77777777" w:rsidR="0010297D" w:rsidRDefault="0010297D" w:rsidP="0010297D">
            <w:pPr>
              <w:jc w:val="center"/>
              <w:rPr>
                <w:sz w:val="20"/>
                <w:szCs w:val="20"/>
              </w:rPr>
            </w:pPr>
          </w:p>
        </w:tc>
        <w:tc>
          <w:tcPr>
            <w:tcW w:w="1576" w:type="dxa"/>
          </w:tcPr>
          <w:p w14:paraId="2C90B07C" w14:textId="77777777" w:rsidR="0010297D" w:rsidRDefault="0010297D" w:rsidP="0010297D">
            <w:pPr>
              <w:jc w:val="center"/>
              <w:rPr>
                <w:rFonts w:cstheme="minorHAnsi"/>
                <w:sz w:val="20"/>
                <w:szCs w:val="20"/>
              </w:rPr>
            </w:pPr>
          </w:p>
          <w:p w14:paraId="45CF4363" w14:textId="77777777" w:rsidR="0010297D" w:rsidRDefault="0010297D" w:rsidP="0010297D">
            <w:pPr>
              <w:jc w:val="center"/>
              <w:rPr>
                <w:rFonts w:cstheme="minorHAnsi"/>
                <w:sz w:val="20"/>
                <w:szCs w:val="20"/>
              </w:rPr>
            </w:pPr>
            <w:r>
              <w:rPr>
                <w:rFonts w:cstheme="minorHAnsi"/>
                <w:sz w:val="20"/>
                <w:szCs w:val="20"/>
              </w:rPr>
              <w:t>CONVENIO</w:t>
            </w:r>
          </w:p>
          <w:p w14:paraId="3B590B9A" w14:textId="77777777" w:rsidR="0010297D" w:rsidRDefault="0010297D" w:rsidP="0010297D">
            <w:pPr>
              <w:jc w:val="center"/>
              <w:rPr>
                <w:rFonts w:cstheme="minorHAnsi"/>
                <w:sz w:val="20"/>
                <w:szCs w:val="20"/>
              </w:rPr>
            </w:pPr>
          </w:p>
          <w:p w14:paraId="621ED63B" w14:textId="77777777" w:rsidR="0010297D" w:rsidRDefault="0027388B" w:rsidP="0010297D">
            <w:pPr>
              <w:jc w:val="center"/>
              <w:rPr>
                <w:rFonts w:cstheme="minorHAnsi"/>
                <w:sz w:val="20"/>
                <w:szCs w:val="20"/>
              </w:rPr>
            </w:pPr>
            <w:r>
              <w:rPr>
                <w:rFonts w:cstheme="minorHAnsi"/>
                <w:sz w:val="20"/>
                <w:szCs w:val="20"/>
              </w:rPr>
              <w:lastRenderedPageBreak/>
              <w:t>DECLARACIONES</w:t>
            </w:r>
          </w:p>
        </w:tc>
        <w:tc>
          <w:tcPr>
            <w:tcW w:w="5958" w:type="dxa"/>
          </w:tcPr>
          <w:p w14:paraId="23195A9A" w14:textId="77777777" w:rsidR="0027388B" w:rsidRPr="0027388B" w:rsidRDefault="0027388B" w:rsidP="0027388B">
            <w:pPr>
              <w:jc w:val="both"/>
              <w:rPr>
                <w:rFonts w:ascii="Calibri Light" w:eastAsia="Calibri" w:hAnsi="Calibri Light" w:cs="Calibri Light"/>
                <w:sz w:val="20"/>
                <w:szCs w:val="20"/>
              </w:rPr>
            </w:pPr>
            <w:r w:rsidRPr="0027388B">
              <w:rPr>
                <w:rFonts w:ascii="Calibri Light" w:eastAsia="Calibri" w:hAnsi="Calibri Light" w:cs="Calibri Light"/>
                <w:sz w:val="20"/>
                <w:szCs w:val="20"/>
              </w:rPr>
              <w:lastRenderedPageBreak/>
              <w:t>III.- Las PARTES, por conducto de sus representantes legales y bajo protesta de decir verdad, declaran que:</w:t>
            </w:r>
          </w:p>
          <w:p w14:paraId="1EB5967F" w14:textId="77777777" w:rsidR="0027388B" w:rsidRPr="0027388B" w:rsidRDefault="0027388B" w:rsidP="0027388B">
            <w:pPr>
              <w:jc w:val="both"/>
              <w:rPr>
                <w:rFonts w:ascii="Calibri Light" w:eastAsia="Calibri" w:hAnsi="Calibri Light" w:cs="Calibri Light"/>
                <w:color w:val="0070C0"/>
                <w:sz w:val="20"/>
                <w:szCs w:val="20"/>
              </w:rPr>
            </w:pPr>
            <w:r w:rsidRPr="0027388B">
              <w:rPr>
                <w:rFonts w:ascii="Calibri Light" w:eastAsia="Calibri" w:hAnsi="Calibri Light" w:cs="Calibri Light"/>
                <w:color w:val="0070C0"/>
                <w:sz w:val="20"/>
                <w:szCs w:val="20"/>
              </w:rPr>
              <w:t xml:space="preserve"> </w:t>
            </w:r>
          </w:p>
          <w:p w14:paraId="375B43BB" w14:textId="77777777" w:rsidR="0027388B" w:rsidRPr="0027388B" w:rsidRDefault="0027388B" w:rsidP="0027388B">
            <w:pPr>
              <w:jc w:val="both"/>
              <w:rPr>
                <w:rFonts w:ascii="Calibri Light" w:eastAsia="Calibri" w:hAnsi="Calibri Light" w:cs="Calibri Light"/>
                <w:sz w:val="20"/>
                <w:szCs w:val="20"/>
              </w:rPr>
            </w:pPr>
            <w:proofErr w:type="spellStart"/>
            <w:r w:rsidRPr="0027388B">
              <w:rPr>
                <w:rFonts w:ascii="Calibri Light" w:eastAsia="Calibri" w:hAnsi="Calibri Light" w:cs="Calibri Light"/>
                <w:strike/>
                <w:color w:val="0070C0"/>
                <w:sz w:val="20"/>
                <w:szCs w:val="20"/>
              </w:rPr>
              <w:lastRenderedPageBreak/>
              <w:t>Único</w:t>
            </w:r>
            <w:r w:rsidRPr="0027388B">
              <w:rPr>
                <w:rFonts w:ascii="Calibri Light" w:eastAsia="Calibri" w:hAnsi="Calibri Light" w:cs="Calibri Light"/>
                <w:color w:val="0070C0"/>
                <w:sz w:val="20"/>
                <w:szCs w:val="20"/>
              </w:rPr>
              <w:t>Primero</w:t>
            </w:r>
            <w:proofErr w:type="spellEnd"/>
            <w:r>
              <w:rPr>
                <w:rFonts w:ascii="Calibri Light" w:eastAsia="Calibri" w:hAnsi="Calibri Light" w:cs="Calibri Light"/>
                <w:color w:val="0070C0"/>
                <w:sz w:val="20"/>
                <w:szCs w:val="20"/>
              </w:rPr>
              <w:t>.</w:t>
            </w:r>
            <w:r w:rsidRPr="0027388B">
              <w:rPr>
                <w:rFonts w:ascii="Calibri Light" w:eastAsia="Calibri" w:hAnsi="Calibri Light" w:cs="Calibri Light"/>
                <w:sz w:val="20"/>
                <w:szCs w:val="20"/>
              </w:rPr>
              <w:t xml:space="preserve"> - Para la aplicación del presente CONVENIO, se someten de manera expresa a lo previsto en su clausulado, sus anexos, ACUERDOS ESPECÍFICOS y la OFERTA.</w:t>
            </w:r>
          </w:p>
          <w:p w14:paraId="43421C40" w14:textId="77777777" w:rsidR="0027388B" w:rsidRDefault="0027388B" w:rsidP="0027388B">
            <w:pPr>
              <w:jc w:val="both"/>
              <w:rPr>
                <w:rFonts w:ascii="Calibri Light" w:eastAsia="Calibri" w:hAnsi="Calibri Light" w:cs="Calibri Light"/>
                <w:color w:val="0070C0"/>
                <w:sz w:val="20"/>
                <w:szCs w:val="20"/>
              </w:rPr>
            </w:pPr>
          </w:p>
          <w:p w14:paraId="5A428962" w14:textId="77777777" w:rsidR="0010297D" w:rsidRPr="00A937A8" w:rsidRDefault="00D01949" w:rsidP="0010297D">
            <w:pPr>
              <w:jc w:val="both"/>
              <w:rPr>
                <w:rFonts w:ascii="Calibri Light" w:eastAsia="Calibri" w:hAnsi="Calibri Light" w:cs="Calibri Light"/>
                <w:sz w:val="20"/>
                <w:szCs w:val="20"/>
              </w:rPr>
            </w:pPr>
            <w:r w:rsidRPr="00D01949">
              <w:rPr>
                <w:rFonts w:ascii="Calibri Light" w:eastAsia="Calibri" w:hAnsi="Calibri Light" w:cs="Calibri Light"/>
                <w:color w:val="0070C0"/>
                <w:sz w:val="20"/>
                <w:szCs w:val="20"/>
              </w:rPr>
              <w:t xml:space="preserve">Segundo. - </w:t>
            </w:r>
            <w:r w:rsidR="0010297D" w:rsidRPr="00EF338C">
              <w:rPr>
                <w:rFonts w:ascii="Calibri Light" w:eastAsia="Calibri" w:hAnsi="Calibri Light" w:cs="Calibri Light"/>
                <w:color w:val="0070C0"/>
                <w:sz w:val="20"/>
                <w:szCs w:val="20"/>
              </w:rPr>
              <w:t>Con fundamento en los artículos 78, 89 y 97 del Código de Comercio, así como 1803 y 1834 bis del Código Civil Federal de aplicación supletoria al primero, las Partes acuerdan que este Convenio y cualquier documento que se derive del mismo, pueden ser firmados electrónicamente y dichas firmas electrónicas producirán los mismos efectos jurídicos que una firma autógrafa, siendo admisibles como prueba en juicio.</w:t>
            </w:r>
          </w:p>
        </w:tc>
        <w:tc>
          <w:tcPr>
            <w:tcW w:w="5893" w:type="dxa"/>
          </w:tcPr>
          <w:p w14:paraId="4D1E9457" w14:textId="77777777" w:rsidR="00094E65" w:rsidRDefault="00094E65" w:rsidP="0010297D">
            <w:pPr>
              <w:jc w:val="both"/>
              <w:rPr>
                <w:rFonts w:ascii="Calibri Light" w:eastAsia="Calibri" w:hAnsi="Calibri Light" w:cs="Calibri Light"/>
                <w:sz w:val="20"/>
                <w:szCs w:val="20"/>
              </w:rPr>
            </w:pPr>
          </w:p>
          <w:p w14:paraId="459D4F0A" w14:textId="0501526F" w:rsidR="0010297D" w:rsidRPr="00E273CB" w:rsidRDefault="00A92DA3" w:rsidP="0010297D">
            <w:pPr>
              <w:jc w:val="both"/>
              <w:rPr>
                <w:rFonts w:ascii="Calibri Light" w:eastAsia="Calibri" w:hAnsi="Calibri Light" w:cs="Calibri Light"/>
                <w:sz w:val="20"/>
                <w:szCs w:val="20"/>
                <w:highlight w:val="yellow"/>
              </w:rPr>
            </w:pPr>
            <w:r w:rsidRPr="00A92DA3">
              <w:rPr>
                <w:rFonts w:ascii="Calibri Light" w:eastAsia="Calibri" w:hAnsi="Calibri Light" w:cs="Calibri Light"/>
                <w:sz w:val="20"/>
                <w:szCs w:val="20"/>
              </w:rPr>
              <w:t xml:space="preserve">Con la finalidad de agilizar la suscripción de Convenios se solicita adicionar los fundamentos del Código de Comercio y del Código Civil </w:t>
            </w:r>
            <w:r w:rsidR="00003BFD" w:rsidRPr="00A92DA3">
              <w:rPr>
                <w:rFonts w:ascii="Calibri Light" w:eastAsia="Calibri" w:hAnsi="Calibri Light" w:cs="Calibri Light"/>
                <w:sz w:val="20"/>
                <w:szCs w:val="20"/>
              </w:rPr>
              <w:lastRenderedPageBreak/>
              <w:t>Federal en</w:t>
            </w:r>
            <w:r w:rsidRPr="00A92DA3">
              <w:rPr>
                <w:rFonts w:ascii="Calibri Light" w:eastAsia="Calibri" w:hAnsi="Calibri Light" w:cs="Calibri Light"/>
                <w:sz w:val="20"/>
                <w:szCs w:val="20"/>
              </w:rPr>
              <w:t xml:space="preserve"> la parte de las declaraciones para que puedan ser firmados de manera electrónica. Lo anterior beneficia a las partes dado que se optimizan </w:t>
            </w:r>
            <w:r w:rsidR="00003BFD" w:rsidRPr="00A92DA3">
              <w:rPr>
                <w:rFonts w:ascii="Calibri Light" w:eastAsia="Calibri" w:hAnsi="Calibri Light" w:cs="Calibri Light"/>
                <w:sz w:val="20"/>
                <w:szCs w:val="20"/>
              </w:rPr>
              <w:t>los recursos</w:t>
            </w:r>
            <w:r w:rsidR="00F707D6">
              <w:rPr>
                <w:rFonts w:ascii="Calibri Light" w:eastAsia="Calibri" w:hAnsi="Calibri Light" w:cs="Calibri Light"/>
                <w:sz w:val="20"/>
                <w:szCs w:val="20"/>
              </w:rPr>
              <w:t xml:space="preserve">, se obtiene </w:t>
            </w:r>
            <w:r w:rsidR="00F707D6" w:rsidRPr="00F707D6">
              <w:rPr>
                <w:rFonts w:ascii="Calibri Light" w:eastAsia="Calibri" w:hAnsi="Calibri Light" w:cs="Calibri Light"/>
                <w:sz w:val="20"/>
                <w:szCs w:val="20"/>
              </w:rPr>
              <w:t>sostenibilidad ambiental</w:t>
            </w:r>
            <w:r w:rsidRPr="00A92DA3">
              <w:rPr>
                <w:rFonts w:ascii="Calibri Light" w:eastAsia="Calibri" w:hAnsi="Calibri Light" w:cs="Calibri Light"/>
                <w:sz w:val="20"/>
                <w:szCs w:val="20"/>
              </w:rPr>
              <w:t xml:space="preserve"> y se facilita la inscripción del Convenio en ventanilla electrónica del IFT, conforme lo ordenado por el Instituto.</w:t>
            </w:r>
          </w:p>
        </w:tc>
      </w:tr>
      <w:tr w:rsidR="00476935" w:rsidRPr="00C13F5A" w14:paraId="2F1278F2" w14:textId="77777777" w:rsidTr="001D5424">
        <w:tblPrEx>
          <w:jc w:val="left"/>
        </w:tblPrEx>
        <w:trPr>
          <w:trHeight w:val="568"/>
        </w:trPr>
        <w:tc>
          <w:tcPr>
            <w:tcW w:w="1392" w:type="dxa"/>
          </w:tcPr>
          <w:p w14:paraId="4EC2DFB9" w14:textId="77777777" w:rsidR="0010297D" w:rsidRDefault="0010297D" w:rsidP="0010297D">
            <w:pPr>
              <w:jc w:val="center"/>
              <w:rPr>
                <w:rFonts w:cstheme="minorHAnsi"/>
                <w:b/>
                <w:bCs/>
                <w:sz w:val="20"/>
                <w:szCs w:val="20"/>
              </w:rPr>
            </w:pPr>
            <w:bookmarkStart w:id="0" w:name="_Hlk172127592"/>
          </w:p>
          <w:p w14:paraId="250D8D6E" w14:textId="77777777" w:rsidR="0010297D" w:rsidRDefault="0010297D" w:rsidP="0010297D">
            <w:pPr>
              <w:jc w:val="center"/>
              <w:rPr>
                <w:rFonts w:cstheme="minorHAnsi"/>
                <w:b/>
                <w:bCs/>
                <w:sz w:val="20"/>
                <w:szCs w:val="20"/>
              </w:rPr>
            </w:pPr>
            <w:r>
              <w:rPr>
                <w:rFonts w:cstheme="minorHAnsi"/>
                <w:b/>
                <w:bCs/>
                <w:sz w:val="20"/>
                <w:szCs w:val="20"/>
              </w:rPr>
              <w:t>#8</w:t>
            </w:r>
          </w:p>
          <w:p w14:paraId="13F78AE8" w14:textId="77777777" w:rsidR="0010297D" w:rsidRDefault="0010297D" w:rsidP="0010297D">
            <w:pPr>
              <w:jc w:val="center"/>
              <w:rPr>
                <w:rFonts w:cstheme="minorHAnsi"/>
                <w:b/>
                <w:bCs/>
                <w:sz w:val="20"/>
                <w:szCs w:val="20"/>
              </w:rPr>
            </w:pPr>
          </w:p>
          <w:p w14:paraId="1A98A6DF" w14:textId="77777777" w:rsidR="0010297D" w:rsidRDefault="0010297D" w:rsidP="0010297D">
            <w:pPr>
              <w:jc w:val="center"/>
              <w:rPr>
                <w:sz w:val="20"/>
                <w:szCs w:val="20"/>
              </w:rPr>
            </w:pPr>
            <w:r w:rsidRPr="00B837D0">
              <w:rPr>
                <w:rFonts w:cstheme="minorHAnsi"/>
                <w:b/>
                <w:bCs/>
                <w:sz w:val="20"/>
                <w:szCs w:val="20"/>
              </w:rPr>
              <w:t>Tarifas</w:t>
            </w:r>
          </w:p>
          <w:p w14:paraId="6D468284" w14:textId="77777777" w:rsidR="0010297D" w:rsidRDefault="0010297D" w:rsidP="0010297D">
            <w:pPr>
              <w:jc w:val="center"/>
              <w:rPr>
                <w:rFonts w:cstheme="minorHAnsi"/>
                <w:b/>
                <w:bCs/>
                <w:sz w:val="20"/>
                <w:szCs w:val="20"/>
              </w:rPr>
            </w:pPr>
          </w:p>
          <w:p w14:paraId="4509E30F" w14:textId="77777777" w:rsidR="0010297D" w:rsidRDefault="0010297D" w:rsidP="0010297D">
            <w:pPr>
              <w:jc w:val="center"/>
              <w:rPr>
                <w:sz w:val="20"/>
                <w:szCs w:val="20"/>
              </w:rPr>
            </w:pPr>
          </w:p>
        </w:tc>
        <w:tc>
          <w:tcPr>
            <w:tcW w:w="1576" w:type="dxa"/>
          </w:tcPr>
          <w:p w14:paraId="27589FE0" w14:textId="77777777" w:rsidR="0010297D" w:rsidRDefault="0010297D" w:rsidP="0010297D">
            <w:pPr>
              <w:jc w:val="center"/>
              <w:rPr>
                <w:rFonts w:cstheme="minorHAnsi"/>
                <w:sz w:val="20"/>
                <w:szCs w:val="20"/>
              </w:rPr>
            </w:pPr>
          </w:p>
          <w:p w14:paraId="0DFA1DA9" w14:textId="77777777" w:rsidR="0010297D" w:rsidRDefault="0010297D" w:rsidP="0010297D">
            <w:pPr>
              <w:jc w:val="center"/>
              <w:rPr>
                <w:rFonts w:cstheme="minorHAnsi"/>
                <w:sz w:val="20"/>
                <w:szCs w:val="20"/>
              </w:rPr>
            </w:pPr>
            <w:r>
              <w:rPr>
                <w:rFonts w:cstheme="minorHAnsi"/>
                <w:sz w:val="20"/>
                <w:szCs w:val="20"/>
              </w:rPr>
              <w:t>CONVENIO</w:t>
            </w:r>
          </w:p>
          <w:p w14:paraId="4F50823C" w14:textId="77777777" w:rsidR="0010297D" w:rsidRDefault="0010297D" w:rsidP="0010297D">
            <w:pPr>
              <w:jc w:val="center"/>
              <w:rPr>
                <w:rFonts w:cstheme="minorHAnsi"/>
                <w:sz w:val="20"/>
                <w:szCs w:val="20"/>
              </w:rPr>
            </w:pPr>
            <w:r>
              <w:rPr>
                <w:rFonts w:cstheme="minorHAnsi"/>
                <w:sz w:val="20"/>
                <w:szCs w:val="20"/>
              </w:rPr>
              <w:t>Anexo “A”</w:t>
            </w:r>
          </w:p>
          <w:p w14:paraId="5EA10738" w14:textId="77777777" w:rsidR="0010297D" w:rsidRDefault="0010297D" w:rsidP="0010297D">
            <w:pPr>
              <w:jc w:val="center"/>
              <w:rPr>
                <w:rFonts w:cstheme="minorHAnsi"/>
                <w:sz w:val="20"/>
                <w:szCs w:val="20"/>
              </w:rPr>
            </w:pPr>
            <w:r>
              <w:rPr>
                <w:rFonts w:cstheme="minorHAnsi"/>
                <w:sz w:val="20"/>
                <w:szCs w:val="20"/>
              </w:rPr>
              <w:t>Tarifas</w:t>
            </w:r>
          </w:p>
        </w:tc>
        <w:tc>
          <w:tcPr>
            <w:tcW w:w="5958" w:type="dxa"/>
          </w:tcPr>
          <w:p w14:paraId="629EDDDC" w14:textId="77777777" w:rsidR="0010297D" w:rsidRDefault="0010297D" w:rsidP="0010297D">
            <w:pPr>
              <w:jc w:val="both"/>
              <w:rPr>
                <w:rFonts w:ascii="Calibri Light" w:eastAsia="Calibri" w:hAnsi="Calibri Light" w:cs="Calibri Light"/>
                <w:sz w:val="20"/>
                <w:szCs w:val="20"/>
              </w:rPr>
            </w:pPr>
          </w:p>
          <w:p w14:paraId="03B23E0E" w14:textId="77777777" w:rsidR="0010297D" w:rsidRDefault="0010297D" w:rsidP="0010297D">
            <w:pPr>
              <w:jc w:val="both"/>
              <w:rPr>
                <w:rFonts w:ascii="Calibri Light" w:eastAsia="Calibri" w:hAnsi="Calibri Light" w:cs="Calibri Light"/>
                <w:sz w:val="20"/>
                <w:szCs w:val="20"/>
              </w:rPr>
            </w:pPr>
          </w:p>
          <w:p w14:paraId="68035F99" w14:textId="77777777" w:rsidR="0010297D" w:rsidRPr="00A937A8" w:rsidRDefault="0010297D" w:rsidP="0010297D">
            <w:pPr>
              <w:jc w:val="both"/>
              <w:rPr>
                <w:rFonts w:ascii="Calibri Light" w:eastAsia="Calibri" w:hAnsi="Calibri Light" w:cs="Calibri Light"/>
                <w:sz w:val="20"/>
                <w:szCs w:val="20"/>
              </w:rPr>
            </w:pPr>
            <w:r>
              <w:rPr>
                <w:rFonts w:ascii="Calibri Light" w:eastAsia="Calibri" w:hAnsi="Calibri Light" w:cs="Calibri Light"/>
                <w:sz w:val="20"/>
                <w:szCs w:val="20"/>
              </w:rPr>
              <w:t>[Ver modificaciones en la propuesta ORE 2026]</w:t>
            </w:r>
          </w:p>
        </w:tc>
        <w:tc>
          <w:tcPr>
            <w:tcW w:w="5893" w:type="dxa"/>
          </w:tcPr>
          <w:p w14:paraId="6477597B" w14:textId="77777777" w:rsidR="00D07377" w:rsidRPr="00D07377" w:rsidRDefault="00D07377" w:rsidP="00D07377">
            <w:pPr>
              <w:jc w:val="both"/>
              <w:rPr>
                <w:rFonts w:ascii="Calibri Light" w:eastAsia="Calibri" w:hAnsi="Calibri Light" w:cs="Calibri Light"/>
                <w:sz w:val="20"/>
                <w:szCs w:val="20"/>
              </w:rPr>
            </w:pPr>
            <w:r w:rsidRPr="00D07377">
              <w:rPr>
                <w:rFonts w:ascii="Calibri Light" w:eastAsia="Calibri" w:hAnsi="Calibri Light" w:cs="Calibri Light"/>
                <w:sz w:val="20"/>
                <w:szCs w:val="20"/>
              </w:rPr>
              <w:t>Las tarifas que en este acto se someten a revisión y aprobación del Instituto únicamente reflejan el incremento que se ha verificado en los costos que enfrentan mis representadas para estar en posibilidad de proveer los servicios.</w:t>
            </w:r>
          </w:p>
          <w:p w14:paraId="51B0A8E9" w14:textId="77777777" w:rsidR="00D07377" w:rsidRPr="00D07377" w:rsidRDefault="00D07377" w:rsidP="00D07377">
            <w:pPr>
              <w:jc w:val="both"/>
              <w:rPr>
                <w:rFonts w:ascii="Calibri Light" w:eastAsia="Calibri" w:hAnsi="Calibri Light" w:cs="Calibri Light"/>
                <w:sz w:val="20"/>
                <w:szCs w:val="20"/>
              </w:rPr>
            </w:pPr>
          </w:p>
          <w:p w14:paraId="014CDBB3" w14:textId="77777777" w:rsidR="00D07377" w:rsidRPr="00D07377" w:rsidRDefault="00D07377" w:rsidP="00D07377">
            <w:pPr>
              <w:jc w:val="both"/>
              <w:rPr>
                <w:rFonts w:ascii="Calibri Light" w:eastAsia="Calibri" w:hAnsi="Calibri Light" w:cs="Calibri Light"/>
                <w:sz w:val="20"/>
                <w:szCs w:val="20"/>
              </w:rPr>
            </w:pPr>
            <w:r w:rsidRPr="00D07377">
              <w:rPr>
                <w:rFonts w:ascii="Calibri Light" w:eastAsia="Calibri" w:hAnsi="Calibri Light" w:cs="Calibri Light"/>
                <w:sz w:val="20"/>
                <w:szCs w:val="20"/>
              </w:rPr>
              <w:t>Esta propuesta de Tarifas para el Servicio de Enlaces Dedicados entre Localidades y de larga Distancia Internacional que se presenta, considera los incrementos de varios factores que inciden en los costos de los insumos que se presentaron durante el 2024 y lo que va del 2025:</w:t>
            </w:r>
          </w:p>
          <w:p w14:paraId="7C950876" w14:textId="77777777" w:rsidR="00D07377" w:rsidRPr="00D07377" w:rsidRDefault="00D07377" w:rsidP="00D07377">
            <w:pPr>
              <w:jc w:val="both"/>
              <w:rPr>
                <w:rFonts w:ascii="Calibri Light" w:eastAsia="Calibri" w:hAnsi="Calibri Light" w:cs="Calibri Light"/>
                <w:sz w:val="20"/>
                <w:szCs w:val="20"/>
              </w:rPr>
            </w:pPr>
          </w:p>
          <w:p w14:paraId="7C729E09" w14:textId="77777777" w:rsidR="00D07377" w:rsidRPr="00D07377" w:rsidRDefault="00D07377" w:rsidP="00D07377">
            <w:pPr>
              <w:pStyle w:val="Prrafodelista"/>
              <w:numPr>
                <w:ilvl w:val="0"/>
                <w:numId w:val="17"/>
              </w:numPr>
              <w:spacing w:after="160" w:line="259" w:lineRule="auto"/>
              <w:jc w:val="both"/>
              <w:rPr>
                <w:rFonts w:ascii="Calibri Light" w:eastAsia="Calibri" w:hAnsi="Calibri Light" w:cs="Calibri Light"/>
                <w:sz w:val="20"/>
                <w:szCs w:val="20"/>
              </w:rPr>
            </w:pPr>
            <w:r w:rsidRPr="00D07377">
              <w:rPr>
                <w:rFonts w:ascii="Calibri Light" w:eastAsia="Calibri" w:hAnsi="Calibri Light" w:cs="Calibri Light"/>
                <w:sz w:val="20"/>
                <w:szCs w:val="20"/>
              </w:rPr>
              <w:t>El 4.32% de inflación acumulada entre junio de 2024 y junio de 2025</w:t>
            </w:r>
          </w:p>
          <w:p w14:paraId="5425BEB9" w14:textId="77777777" w:rsidR="00D07377" w:rsidRPr="00D07377" w:rsidRDefault="00D07377" w:rsidP="00D07377">
            <w:pPr>
              <w:pStyle w:val="Prrafodelista"/>
              <w:numPr>
                <w:ilvl w:val="0"/>
                <w:numId w:val="16"/>
              </w:numPr>
              <w:spacing w:after="160" w:line="259" w:lineRule="auto"/>
              <w:jc w:val="both"/>
              <w:rPr>
                <w:rFonts w:ascii="Calibri Light" w:eastAsia="Calibri" w:hAnsi="Calibri Light" w:cs="Calibri Light"/>
                <w:sz w:val="20"/>
                <w:szCs w:val="20"/>
              </w:rPr>
            </w:pPr>
            <w:r w:rsidRPr="00D07377">
              <w:rPr>
                <w:rFonts w:ascii="Calibri Light" w:eastAsia="Calibri" w:hAnsi="Calibri Light" w:cs="Calibri Light"/>
                <w:sz w:val="20"/>
                <w:szCs w:val="20"/>
              </w:rPr>
              <w:t>Aumento anual salarial del personal del 5.1%</w:t>
            </w:r>
          </w:p>
          <w:p w14:paraId="471297FF" w14:textId="77777777" w:rsidR="00D07377" w:rsidRPr="00D07377" w:rsidRDefault="00D07377" w:rsidP="00D07377">
            <w:pPr>
              <w:pStyle w:val="Prrafodelista"/>
              <w:numPr>
                <w:ilvl w:val="0"/>
                <w:numId w:val="16"/>
              </w:numPr>
              <w:spacing w:after="160" w:line="259" w:lineRule="auto"/>
              <w:jc w:val="both"/>
              <w:rPr>
                <w:rFonts w:ascii="Calibri Light" w:eastAsia="Calibri" w:hAnsi="Calibri Light" w:cs="Calibri Light"/>
                <w:sz w:val="20"/>
                <w:szCs w:val="20"/>
              </w:rPr>
            </w:pPr>
            <w:r w:rsidRPr="00D07377">
              <w:rPr>
                <w:rFonts w:ascii="Calibri Light" w:eastAsia="Calibri" w:hAnsi="Calibri Light" w:cs="Calibri Light"/>
                <w:sz w:val="20"/>
                <w:szCs w:val="20"/>
              </w:rPr>
              <w:t>Aumento arancelario y otros, del 5.21%</w:t>
            </w:r>
          </w:p>
          <w:p w14:paraId="2F5DF4D8" w14:textId="77777777" w:rsidR="00D07377" w:rsidRPr="00D07377" w:rsidRDefault="00D07377" w:rsidP="00D07377">
            <w:pPr>
              <w:jc w:val="both"/>
              <w:rPr>
                <w:rFonts w:ascii="Calibri Light" w:eastAsia="Calibri" w:hAnsi="Calibri Light" w:cs="Calibri Light"/>
                <w:sz w:val="20"/>
                <w:szCs w:val="20"/>
              </w:rPr>
            </w:pPr>
          </w:p>
          <w:p w14:paraId="4286C8D4" w14:textId="77777777" w:rsidR="00D07377" w:rsidRPr="00D07377" w:rsidRDefault="00D07377" w:rsidP="00D07377">
            <w:pPr>
              <w:jc w:val="both"/>
              <w:rPr>
                <w:rFonts w:ascii="Calibri Light" w:eastAsia="Calibri" w:hAnsi="Calibri Light" w:cs="Calibri Light"/>
                <w:sz w:val="20"/>
                <w:szCs w:val="20"/>
              </w:rPr>
            </w:pPr>
            <w:r w:rsidRPr="00D07377">
              <w:rPr>
                <w:rFonts w:ascii="Calibri Light" w:eastAsia="Calibri" w:hAnsi="Calibri Light" w:cs="Calibri Light"/>
                <w:sz w:val="20"/>
                <w:szCs w:val="20"/>
              </w:rPr>
              <w:t>El aumento inflacionario del 4.32% registrado en el período de junio de 2024 a junio de 2025 es una señal de la persistente presión sobre los precios en la economía. Este incremento importante en el índice de precios al consumidor tiene implicaciones significativas en diversos aspectos socioeconómicos y requiere una atención cuidadosa, por parte de las autoridades, principalmente cuando los precios se determinan a través de modelos de costos.</w:t>
            </w:r>
          </w:p>
          <w:p w14:paraId="47D335FF" w14:textId="77777777" w:rsidR="00D07377" w:rsidRPr="00D07377" w:rsidRDefault="00D07377" w:rsidP="00D07377">
            <w:pPr>
              <w:jc w:val="both"/>
              <w:rPr>
                <w:rFonts w:ascii="Calibri Light" w:eastAsia="Calibri" w:hAnsi="Calibri Light" w:cs="Calibri Light"/>
                <w:sz w:val="20"/>
                <w:szCs w:val="20"/>
              </w:rPr>
            </w:pPr>
          </w:p>
          <w:p w14:paraId="0CCB4E55" w14:textId="77777777" w:rsidR="00D07377" w:rsidRPr="00D07377" w:rsidRDefault="00D07377" w:rsidP="00D07377">
            <w:pPr>
              <w:jc w:val="both"/>
              <w:rPr>
                <w:rFonts w:ascii="Calibri Light" w:eastAsia="Calibri" w:hAnsi="Calibri Light" w:cs="Calibri Light"/>
                <w:sz w:val="20"/>
                <w:szCs w:val="20"/>
              </w:rPr>
            </w:pPr>
            <w:r w:rsidRPr="00D07377">
              <w:rPr>
                <w:rFonts w:ascii="Calibri Light" w:eastAsia="Calibri" w:hAnsi="Calibri Light" w:cs="Calibri Light"/>
                <w:sz w:val="20"/>
                <w:szCs w:val="20"/>
              </w:rPr>
              <w:t>La inflación desincentiva la inversión a largo plazo y puede llevar a un mayor endeudamiento para cubrir las necesidades financieras actuales.</w:t>
            </w:r>
          </w:p>
          <w:p w14:paraId="6E88CC6C" w14:textId="77777777" w:rsidR="00D07377" w:rsidRPr="00D07377" w:rsidRDefault="00D07377" w:rsidP="00D07377">
            <w:pPr>
              <w:jc w:val="both"/>
              <w:rPr>
                <w:rFonts w:ascii="Calibri Light" w:eastAsia="Calibri" w:hAnsi="Calibri Light" w:cs="Calibri Light"/>
                <w:sz w:val="20"/>
                <w:szCs w:val="20"/>
              </w:rPr>
            </w:pPr>
          </w:p>
          <w:p w14:paraId="11173842" w14:textId="77777777" w:rsidR="00D07377" w:rsidRPr="00D07377" w:rsidRDefault="00D07377" w:rsidP="00D07377">
            <w:pPr>
              <w:jc w:val="both"/>
              <w:rPr>
                <w:rFonts w:ascii="Calibri Light" w:eastAsia="Calibri" w:hAnsi="Calibri Light" w:cs="Calibri Light"/>
                <w:sz w:val="20"/>
                <w:szCs w:val="20"/>
              </w:rPr>
            </w:pPr>
            <w:r w:rsidRPr="00D07377">
              <w:rPr>
                <w:rFonts w:ascii="Calibri Light" w:eastAsia="Calibri" w:hAnsi="Calibri Light" w:cs="Calibri Light"/>
                <w:sz w:val="20"/>
                <w:szCs w:val="20"/>
              </w:rPr>
              <w:t xml:space="preserve">De igual forma, puede generar incertidumbre para las empresas en sus procesos de planificación y toma de decisiones. Los costos de producción y operación pueden aumentar, lo que puede impactar los </w:t>
            </w:r>
            <w:r w:rsidRPr="00D07377">
              <w:rPr>
                <w:rFonts w:ascii="Calibri Light" w:eastAsia="Calibri" w:hAnsi="Calibri Light" w:cs="Calibri Light"/>
                <w:sz w:val="20"/>
                <w:szCs w:val="20"/>
              </w:rPr>
              <w:lastRenderedPageBreak/>
              <w:t>precios de venta y los márgenes. Esto puede llevar a una mayor volatilidad y dificultad para la toma de decisiones a largo plazo.</w:t>
            </w:r>
          </w:p>
          <w:p w14:paraId="42D5FA8B" w14:textId="77777777" w:rsidR="00D07377" w:rsidRPr="00D07377" w:rsidRDefault="00D07377" w:rsidP="00D07377">
            <w:pPr>
              <w:jc w:val="both"/>
              <w:rPr>
                <w:rFonts w:ascii="Calibri Light" w:eastAsia="Calibri" w:hAnsi="Calibri Light" w:cs="Calibri Light"/>
                <w:sz w:val="20"/>
                <w:szCs w:val="20"/>
              </w:rPr>
            </w:pPr>
          </w:p>
          <w:p w14:paraId="25F973AD" w14:textId="77777777" w:rsidR="00D07377" w:rsidRPr="00D07377" w:rsidRDefault="00D07377" w:rsidP="00D07377">
            <w:pPr>
              <w:jc w:val="both"/>
              <w:rPr>
                <w:rFonts w:ascii="Calibri Light" w:eastAsia="Calibri" w:hAnsi="Calibri Light" w:cs="Calibri Light"/>
                <w:sz w:val="20"/>
                <w:szCs w:val="20"/>
              </w:rPr>
            </w:pPr>
            <w:r w:rsidRPr="00D07377">
              <w:rPr>
                <w:rFonts w:ascii="Calibri Light" w:eastAsia="Calibri" w:hAnsi="Calibri Light" w:cs="Calibri Light"/>
                <w:sz w:val="20"/>
                <w:szCs w:val="20"/>
              </w:rPr>
              <w:t xml:space="preserve">En adición a lo anterior, el aumento inflacionario en los últimos 3 años (15.04%) ha ejercido una notable presión sobre el sector de telecomunicaciones, llevando a que los competidores en esta industria hayan incrementado significativamente sus precios, con ajustes considerables en sus tarifas mensuales desde 2022 y, en lo que va del año 2025. </w:t>
            </w:r>
          </w:p>
          <w:p w14:paraId="6DD76AC5" w14:textId="77777777" w:rsidR="00D07377" w:rsidRPr="00D07377" w:rsidRDefault="00D07377" w:rsidP="00D07377">
            <w:pPr>
              <w:jc w:val="both"/>
              <w:rPr>
                <w:rFonts w:ascii="Calibri Light" w:eastAsia="Calibri" w:hAnsi="Calibri Light" w:cs="Calibri Light"/>
                <w:sz w:val="20"/>
                <w:szCs w:val="20"/>
              </w:rPr>
            </w:pPr>
          </w:p>
          <w:p w14:paraId="7C27E6DF" w14:textId="77777777" w:rsidR="00D07377" w:rsidRPr="00D07377" w:rsidRDefault="00D07377" w:rsidP="00D07377">
            <w:pPr>
              <w:jc w:val="both"/>
              <w:rPr>
                <w:rFonts w:ascii="Calibri Light" w:eastAsia="Calibri" w:hAnsi="Calibri Light" w:cs="Calibri Light"/>
                <w:sz w:val="20"/>
                <w:szCs w:val="20"/>
              </w:rPr>
            </w:pPr>
            <w:r w:rsidRPr="00D07377">
              <w:rPr>
                <w:rFonts w:ascii="Calibri Light" w:eastAsia="Calibri" w:hAnsi="Calibri Light" w:cs="Calibri Light"/>
                <w:sz w:val="20"/>
                <w:szCs w:val="20"/>
              </w:rPr>
              <w:t>• Adicionalmente, Telmex otorgó un incremento salarial del 5.1% para los empleados activos y jubilados.</w:t>
            </w:r>
          </w:p>
          <w:p w14:paraId="21D0FB04" w14:textId="77777777" w:rsidR="00D07377" w:rsidRPr="00D07377" w:rsidRDefault="00D07377" w:rsidP="00D07377">
            <w:pPr>
              <w:jc w:val="both"/>
              <w:rPr>
                <w:rFonts w:ascii="Calibri Light" w:eastAsia="Calibri" w:hAnsi="Calibri Light" w:cs="Calibri Light"/>
                <w:sz w:val="20"/>
                <w:szCs w:val="20"/>
              </w:rPr>
            </w:pPr>
          </w:p>
          <w:p w14:paraId="693A819F" w14:textId="77777777" w:rsidR="00D07377" w:rsidRPr="00D07377" w:rsidRDefault="00D07377" w:rsidP="00D07377">
            <w:pPr>
              <w:jc w:val="both"/>
              <w:rPr>
                <w:rFonts w:ascii="Calibri Light" w:eastAsia="Calibri" w:hAnsi="Calibri Light" w:cs="Calibri Light"/>
                <w:sz w:val="20"/>
                <w:szCs w:val="20"/>
              </w:rPr>
            </w:pPr>
            <w:r w:rsidRPr="00D07377">
              <w:rPr>
                <w:rFonts w:ascii="Calibri Light" w:eastAsia="Calibri" w:hAnsi="Calibri Light" w:cs="Calibri Light"/>
                <w:sz w:val="20"/>
                <w:szCs w:val="20"/>
              </w:rPr>
              <w:t xml:space="preserve">• Finalmente, es importante considerar otros factores igualmente importantes que inciden en el incremento de costos de los servicios de enlaces dedicados, como son: </w:t>
            </w:r>
          </w:p>
          <w:p w14:paraId="048BA14F" w14:textId="77777777" w:rsidR="00D07377" w:rsidRPr="00D07377" w:rsidRDefault="00D07377" w:rsidP="00D07377">
            <w:pPr>
              <w:jc w:val="both"/>
              <w:rPr>
                <w:rFonts w:ascii="Calibri Light" w:eastAsia="Calibri" w:hAnsi="Calibri Light" w:cs="Calibri Light"/>
                <w:sz w:val="20"/>
                <w:szCs w:val="20"/>
              </w:rPr>
            </w:pPr>
          </w:p>
          <w:p w14:paraId="7BB8006E" w14:textId="77777777" w:rsidR="00D07377" w:rsidRPr="00D07377" w:rsidRDefault="00D07377" w:rsidP="00D07377">
            <w:pPr>
              <w:pStyle w:val="Prrafodelista"/>
              <w:numPr>
                <w:ilvl w:val="0"/>
                <w:numId w:val="18"/>
              </w:numPr>
              <w:spacing w:after="160" w:line="259" w:lineRule="auto"/>
              <w:jc w:val="both"/>
              <w:rPr>
                <w:rFonts w:ascii="Calibri Light" w:eastAsia="Calibri" w:hAnsi="Calibri Light" w:cs="Calibri Light"/>
                <w:sz w:val="20"/>
                <w:szCs w:val="20"/>
              </w:rPr>
            </w:pPr>
            <w:r w:rsidRPr="00D07377">
              <w:rPr>
                <w:rFonts w:ascii="Calibri Light" w:eastAsia="Calibri" w:hAnsi="Calibri Light" w:cs="Calibri Light"/>
                <w:sz w:val="20"/>
                <w:szCs w:val="20"/>
              </w:rPr>
              <w:t>Aumento de aranceles en fibra óptica, principalmente</w:t>
            </w:r>
          </w:p>
          <w:p w14:paraId="5CF566A8" w14:textId="77777777" w:rsidR="00D07377" w:rsidRPr="00D07377" w:rsidRDefault="00D07377" w:rsidP="00D07377">
            <w:pPr>
              <w:pStyle w:val="Prrafodelista"/>
              <w:numPr>
                <w:ilvl w:val="0"/>
                <w:numId w:val="18"/>
              </w:numPr>
              <w:spacing w:after="160" w:line="259" w:lineRule="auto"/>
              <w:jc w:val="both"/>
              <w:rPr>
                <w:rFonts w:ascii="Calibri Light" w:eastAsia="Calibri" w:hAnsi="Calibri Light" w:cs="Calibri Light"/>
                <w:sz w:val="20"/>
                <w:szCs w:val="20"/>
              </w:rPr>
            </w:pPr>
            <w:r w:rsidRPr="00D07377">
              <w:rPr>
                <w:rFonts w:ascii="Calibri Light" w:eastAsia="Calibri" w:hAnsi="Calibri Light" w:cs="Calibri Light"/>
                <w:sz w:val="20"/>
                <w:szCs w:val="20"/>
              </w:rPr>
              <w:t>Herramientas y equipo especializado para el personal que opera en campo</w:t>
            </w:r>
          </w:p>
          <w:p w14:paraId="4D702E0C" w14:textId="77777777" w:rsidR="00D07377" w:rsidRPr="00D07377" w:rsidRDefault="00D07377" w:rsidP="00D07377">
            <w:pPr>
              <w:pStyle w:val="Prrafodelista"/>
              <w:numPr>
                <w:ilvl w:val="0"/>
                <w:numId w:val="18"/>
              </w:numPr>
              <w:spacing w:after="160" w:line="259" w:lineRule="auto"/>
              <w:jc w:val="both"/>
              <w:rPr>
                <w:rFonts w:ascii="Calibri Light" w:eastAsia="Calibri" w:hAnsi="Calibri Light" w:cs="Calibri Light"/>
                <w:sz w:val="20"/>
                <w:szCs w:val="20"/>
              </w:rPr>
            </w:pPr>
            <w:r w:rsidRPr="00D07377">
              <w:rPr>
                <w:rFonts w:ascii="Calibri Light" w:eastAsia="Calibri" w:hAnsi="Calibri Light" w:cs="Calibri Light"/>
                <w:sz w:val="20"/>
                <w:szCs w:val="20"/>
              </w:rPr>
              <w:t>Renovación tecnológica y soporte</w:t>
            </w:r>
          </w:p>
          <w:p w14:paraId="63A3553A" w14:textId="77777777" w:rsidR="00D07377" w:rsidRPr="00D07377" w:rsidRDefault="00D07377" w:rsidP="00D07377">
            <w:pPr>
              <w:pStyle w:val="Prrafodelista"/>
              <w:numPr>
                <w:ilvl w:val="0"/>
                <w:numId w:val="18"/>
              </w:numPr>
              <w:spacing w:after="160" w:line="259" w:lineRule="auto"/>
              <w:jc w:val="both"/>
              <w:rPr>
                <w:rFonts w:ascii="Calibri Light" w:eastAsia="Calibri" w:hAnsi="Calibri Light" w:cs="Calibri Light"/>
                <w:sz w:val="20"/>
                <w:szCs w:val="20"/>
              </w:rPr>
            </w:pPr>
            <w:r w:rsidRPr="00D07377">
              <w:rPr>
                <w:rFonts w:ascii="Calibri Light" w:eastAsia="Calibri" w:hAnsi="Calibri Light" w:cs="Calibri Light"/>
                <w:sz w:val="20"/>
                <w:szCs w:val="20"/>
              </w:rPr>
              <w:t>Vandalismo o siniestros que afectan a la empresa y al servicio de enlaces dedicados (daño a la red por vandalismo y causas de fuerza mayor)</w:t>
            </w:r>
          </w:p>
          <w:p w14:paraId="0C098E3B" w14:textId="77777777" w:rsidR="00D07377" w:rsidRPr="00D07377" w:rsidRDefault="00D07377" w:rsidP="00D07377">
            <w:pPr>
              <w:pStyle w:val="Prrafodelista"/>
              <w:numPr>
                <w:ilvl w:val="0"/>
                <w:numId w:val="18"/>
              </w:numPr>
              <w:spacing w:after="160" w:line="259" w:lineRule="auto"/>
              <w:jc w:val="both"/>
              <w:rPr>
                <w:rFonts w:ascii="Calibri Light" w:eastAsia="Calibri" w:hAnsi="Calibri Light" w:cs="Calibri Light"/>
                <w:sz w:val="20"/>
                <w:szCs w:val="20"/>
              </w:rPr>
            </w:pPr>
            <w:r w:rsidRPr="00D07377">
              <w:rPr>
                <w:rFonts w:ascii="Calibri Light" w:eastAsia="Calibri" w:hAnsi="Calibri Light" w:cs="Calibri Light"/>
                <w:sz w:val="20"/>
                <w:szCs w:val="20"/>
              </w:rPr>
              <w:t>Mantenimiento preventivo y correctivo</w:t>
            </w:r>
          </w:p>
          <w:p w14:paraId="65A22015" w14:textId="77777777" w:rsidR="00D07377" w:rsidRPr="00D07377" w:rsidRDefault="00D07377" w:rsidP="00D07377">
            <w:pPr>
              <w:pStyle w:val="Prrafodelista"/>
              <w:numPr>
                <w:ilvl w:val="0"/>
                <w:numId w:val="18"/>
              </w:numPr>
              <w:spacing w:after="160" w:line="259" w:lineRule="auto"/>
              <w:jc w:val="both"/>
              <w:rPr>
                <w:rFonts w:ascii="Calibri Light" w:eastAsia="Calibri" w:hAnsi="Calibri Light" w:cs="Calibri Light"/>
                <w:sz w:val="20"/>
                <w:szCs w:val="20"/>
              </w:rPr>
            </w:pPr>
            <w:r w:rsidRPr="00D07377">
              <w:rPr>
                <w:rFonts w:ascii="Calibri Light" w:eastAsia="Calibri" w:hAnsi="Calibri Light" w:cs="Calibri Light"/>
                <w:sz w:val="20"/>
                <w:szCs w:val="20"/>
              </w:rPr>
              <w:t>Gestión de premisos y pago de derechos</w:t>
            </w:r>
          </w:p>
          <w:p w14:paraId="17B5BDBE" w14:textId="77777777" w:rsidR="00D07377" w:rsidRPr="00D07377" w:rsidRDefault="00D07377" w:rsidP="00D07377">
            <w:pPr>
              <w:pStyle w:val="Prrafodelista"/>
              <w:numPr>
                <w:ilvl w:val="0"/>
                <w:numId w:val="18"/>
              </w:numPr>
              <w:spacing w:after="160" w:line="259" w:lineRule="auto"/>
              <w:jc w:val="both"/>
              <w:rPr>
                <w:rFonts w:ascii="Calibri Light" w:eastAsia="Calibri" w:hAnsi="Calibri Light" w:cs="Calibri Light"/>
                <w:sz w:val="20"/>
                <w:szCs w:val="20"/>
              </w:rPr>
            </w:pPr>
            <w:r w:rsidRPr="00D07377">
              <w:rPr>
                <w:rFonts w:ascii="Calibri Light" w:eastAsia="Calibri" w:hAnsi="Calibri Light" w:cs="Calibri Light"/>
                <w:sz w:val="20"/>
                <w:szCs w:val="20"/>
              </w:rPr>
              <w:t>Gestión para el equipamiento en la red</w:t>
            </w:r>
          </w:p>
          <w:p w14:paraId="323CDC05" w14:textId="77777777" w:rsidR="00D07377" w:rsidRPr="00224F2C" w:rsidRDefault="00D07377" w:rsidP="00224F2C">
            <w:pPr>
              <w:pStyle w:val="Prrafodelista"/>
              <w:numPr>
                <w:ilvl w:val="0"/>
                <w:numId w:val="18"/>
              </w:numPr>
              <w:spacing w:after="160" w:line="259" w:lineRule="auto"/>
              <w:jc w:val="both"/>
              <w:rPr>
                <w:rFonts w:ascii="Calibri Light" w:eastAsia="Calibri" w:hAnsi="Calibri Light" w:cs="Calibri Light"/>
                <w:sz w:val="20"/>
                <w:szCs w:val="20"/>
              </w:rPr>
            </w:pPr>
            <w:r w:rsidRPr="00D07377">
              <w:rPr>
                <w:rFonts w:ascii="Calibri Light" w:eastAsia="Calibri" w:hAnsi="Calibri Light" w:cs="Calibri Light"/>
                <w:sz w:val="20"/>
                <w:szCs w:val="20"/>
              </w:rPr>
              <w:t>Energía eléctrica, automotriz, gasto de sistemas, entre otros</w:t>
            </w:r>
          </w:p>
          <w:p w14:paraId="63D175EB" w14:textId="77777777" w:rsidR="00D07377" w:rsidRPr="00D07377" w:rsidRDefault="00D07377" w:rsidP="00D07377">
            <w:pPr>
              <w:jc w:val="both"/>
              <w:rPr>
                <w:rFonts w:ascii="Calibri Light" w:eastAsia="Calibri" w:hAnsi="Calibri Light" w:cs="Calibri Light"/>
                <w:sz w:val="20"/>
                <w:szCs w:val="20"/>
              </w:rPr>
            </w:pPr>
            <w:r w:rsidRPr="00D07377">
              <w:rPr>
                <w:rFonts w:ascii="Calibri Light" w:eastAsia="Calibri" w:hAnsi="Calibri Light" w:cs="Calibri Light"/>
                <w:sz w:val="20"/>
                <w:szCs w:val="20"/>
              </w:rPr>
              <w:t>Al ponderar estos factores adicionales, se obtiene un incremento en costos del 5.21%.</w:t>
            </w:r>
          </w:p>
          <w:p w14:paraId="75A5AADC" w14:textId="77777777" w:rsidR="00D07377" w:rsidRPr="00D07377" w:rsidRDefault="00D07377" w:rsidP="00D07377">
            <w:pPr>
              <w:jc w:val="both"/>
              <w:rPr>
                <w:rFonts w:ascii="Calibri Light" w:eastAsia="Calibri" w:hAnsi="Calibri Light" w:cs="Calibri Light"/>
                <w:sz w:val="20"/>
                <w:szCs w:val="20"/>
              </w:rPr>
            </w:pPr>
          </w:p>
          <w:p w14:paraId="6F98A8BD" w14:textId="77777777" w:rsidR="00D07377" w:rsidRPr="00D07377" w:rsidRDefault="00D07377" w:rsidP="00D07377">
            <w:pPr>
              <w:jc w:val="both"/>
              <w:rPr>
                <w:rFonts w:ascii="Calibri Light" w:eastAsia="Calibri" w:hAnsi="Calibri Light" w:cs="Calibri Light"/>
                <w:sz w:val="20"/>
                <w:szCs w:val="20"/>
              </w:rPr>
            </w:pPr>
            <w:r w:rsidRPr="00D07377">
              <w:rPr>
                <w:rFonts w:ascii="Calibri Light" w:eastAsia="Calibri" w:hAnsi="Calibri Light" w:cs="Calibri Light"/>
                <w:sz w:val="20"/>
                <w:szCs w:val="20"/>
              </w:rPr>
              <w:t xml:space="preserve">Aplicando tanto el incremento de la inflación, el incremento al salario referido y un aumento en costos diversos, </w:t>
            </w:r>
            <w:r w:rsidRPr="00224F2C">
              <w:rPr>
                <w:rFonts w:ascii="Calibri Light" w:eastAsia="Calibri" w:hAnsi="Calibri Light" w:cs="Calibri Light"/>
                <w:b/>
                <w:sz w:val="20"/>
                <w:szCs w:val="20"/>
              </w:rPr>
              <w:t xml:space="preserve">se obtuvo un aumento de los costos del </w:t>
            </w:r>
            <w:r w:rsidRPr="00D07377">
              <w:rPr>
                <w:rFonts w:ascii="Calibri Light" w:eastAsia="Calibri" w:hAnsi="Calibri Light" w:cs="Calibri Light"/>
                <w:b/>
                <w:bCs/>
                <w:sz w:val="20"/>
                <w:szCs w:val="20"/>
                <w:u w:val="single"/>
              </w:rPr>
              <w:t>15.35%</w:t>
            </w:r>
            <w:r w:rsidRPr="00D07377">
              <w:rPr>
                <w:rFonts w:ascii="Calibri Light" w:eastAsia="Calibri" w:hAnsi="Calibri Light" w:cs="Calibri Light"/>
                <w:sz w:val="20"/>
                <w:szCs w:val="20"/>
                <w:u w:val="single"/>
              </w:rPr>
              <w:t>,</w:t>
            </w:r>
            <w:r w:rsidRPr="00D07377">
              <w:rPr>
                <w:rFonts w:ascii="Calibri Light" w:eastAsia="Calibri" w:hAnsi="Calibri Light" w:cs="Calibri Light"/>
                <w:sz w:val="20"/>
                <w:szCs w:val="20"/>
              </w:rPr>
              <w:t xml:space="preserve"> el cual se </w:t>
            </w:r>
            <w:proofErr w:type="gramStart"/>
            <w:r w:rsidRPr="00D07377">
              <w:rPr>
                <w:rFonts w:ascii="Calibri Light" w:eastAsia="Calibri" w:hAnsi="Calibri Light" w:cs="Calibri Light"/>
                <w:sz w:val="20"/>
                <w:szCs w:val="20"/>
              </w:rPr>
              <w:t>le</w:t>
            </w:r>
            <w:proofErr w:type="gramEnd"/>
            <w:r w:rsidRPr="00D07377">
              <w:rPr>
                <w:rFonts w:ascii="Calibri Light" w:eastAsia="Calibri" w:hAnsi="Calibri Light" w:cs="Calibri Light"/>
                <w:sz w:val="20"/>
                <w:szCs w:val="20"/>
              </w:rPr>
              <w:t xml:space="preserve"> aplicó a las tarifas vigentes aprobadas por el Instituto en la oferta vigente.</w:t>
            </w:r>
          </w:p>
          <w:p w14:paraId="4E8E4D60" w14:textId="77777777" w:rsidR="00D07377" w:rsidRPr="00D07377" w:rsidRDefault="00D07377" w:rsidP="00D07377">
            <w:pPr>
              <w:jc w:val="both"/>
              <w:rPr>
                <w:rFonts w:ascii="Calibri Light" w:eastAsia="Calibri" w:hAnsi="Calibri Light" w:cs="Calibri Light"/>
                <w:sz w:val="20"/>
                <w:szCs w:val="20"/>
              </w:rPr>
            </w:pPr>
          </w:p>
          <w:p w14:paraId="443B3950" w14:textId="77777777" w:rsidR="0010297D" w:rsidRPr="00E273CB" w:rsidRDefault="00D07377" w:rsidP="00D07377">
            <w:pPr>
              <w:jc w:val="both"/>
              <w:rPr>
                <w:rFonts w:ascii="Calibri Light" w:eastAsia="Calibri" w:hAnsi="Calibri Light" w:cs="Calibri Light"/>
                <w:sz w:val="20"/>
                <w:szCs w:val="20"/>
                <w:highlight w:val="yellow"/>
              </w:rPr>
            </w:pPr>
            <w:r w:rsidRPr="00D07377">
              <w:rPr>
                <w:rFonts w:ascii="Calibri Light" w:eastAsia="Calibri" w:hAnsi="Calibri Light" w:cs="Calibri Light"/>
                <w:sz w:val="20"/>
                <w:szCs w:val="20"/>
              </w:rPr>
              <w:t>En tal virtud, sólo a través de dichas tarifas Telmex y Telnor estarían en posibilidad de recuperar, cuando menos, los costos reales en los que incurren por la prestación de los servicios.</w:t>
            </w:r>
          </w:p>
        </w:tc>
      </w:tr>
      <w:bookmarkEnd w:id="0"/>
    </w:tbl>
    <w:p w14:paraId="72B6AF4E" w14:textId="77777777" w:rsidR="00FF5668" w:rsidRPr="00B80C4F" w:rsidRDefault="00FF5668" w:rsidP="004D25D9">
      <w:pPr>
        <w:spacing w:after="0" w:line="240" w:lineRule="auto"/>
        <w:rPr>
          <w:sz w:val="20"/>
          <w:szCs w:val="20"/>
        </w:rPr>
      </w:pPr>
    </w:p>
    <w:sectPr w:rsidR="00FF5668" w:rsidRPr="00B80C4F" w:rsidSect="00910A99">
      <w:footerReference w:type="default" r:id="rId15"/>
      <w:pgSz w:w="15840" w:h="12240" w:orient="landscape" w:code="1"/>
      <w:pgMar w:top="567" w:right="851" w:bottom="567"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55F2EE" w14:textId="77777777" w:rsidR="00434AD1" w:rsidRDefault="00434AD1" w:rsidP="00E756FA">
      <w:pPr>
        <w:spacing w:after="0" w:line="240" w:lineRule="auto"/>
      </w:pPr>
      <w:r>
        <w:separator/>
      </w:r>
    </w:p>
  </w:endnote>
  <w:endnote w:type="continuationSeparator" w:id="0">
    <w:p w14:paraId="6BD91391" w14:textId="77777777" w:rsidR="00434AD1" w:rsidRDefault="00434AD1" w:rsidP="00E756FA">
      <w:pPr>
        <w:spacing w:after="0" w:line="240" w:lineRule="auto"/>
      </w:pPr>
      <w:r>
        <w:continuationSeparator/>
      </w:r>
    </w:p>
  </w:endnote>
  <w:endnote w:type="continuationNotice" w:id="1">
    <w:p w14:paraId="3891EC82" w14:textId="77777777" w:rsidR="00434AD1" w:rsidRDefault="00434A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altName w:val="Calibri"/>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6166532"/>
      <w:docPartObj>
        <w:docPartGallery w:val="Page Numbers (Bottom of Page)"/>
        <w:docPartUnique/>
      </w:docPartObj>
    </w:sdtPr>
    <w:sdtContent>
      <w:sdt>
        <w:sdtPr>
          <w:id w:val="-1769616900"/>
          <w:docPartObj>
            <w:docPartGallery w:val="Page Numbers (Top of Page)"/>
            <w:docPartUnique/>
          </w:docPartObj>
        </w:sdtPr>
        <w:sdtContent>
          <w:p w14:paraId="19DAEDAA" w14:textId="77777777" w:rsidR="00053658" w:rsidRDefault="00053658">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E22FAB">
              <w:rPr>
                <w:b/>
                <w:bCs/>
                <w:noProof/>
              </w:rPr>
              <w:t>17</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E22FAB">
              <w:rPr>
                <w:b/>
                <w:bCs/>
                <w:noProof/>
              </w:rPr>
              <w:t>17</w:t>
            </w:r>
            <w:r>
              <w:rPr>
                <w:b/>
                <w:bCs/>
                <w:sz w:val="24"/>
                <w:szCs w:val="24"/>
              </w:rPr>
              <w:fldChar w:fldCharType="end"/>
            </w:r>
          </w:p>
        </w:sdtContent>
      </w:sdt>
    </w:sdtContent>
  </w:sdt>
  <w:p w14:paraId="7EDC40FC" w14:textId="77777777" w:rsidR="00053658" w:rsidRDefault="0005365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B49A50" w14:textId="77777777" w:rsidR="00434AD1" w:rsidRDefault="00434AD1" w:rsidP="00E756FA">
      <w:pPr>
        <w:spacing w:after="0" w:line="240" w:lineRule="auto"/>
      </w:pPr>
      <w:r>
        <w:separator/>
      </w:r>
    </w:p>
  </w:footnote>
  <w:footnote w:type="continuationSeparator" w:id="0">
    <w:p w14:paraId="4FC7E5EE" w14:textId="77777777" w:rsidR="00434AD1" w:rsidRDefault="00434AD1" w:rsidP="00E756FA">
      <w:pPr>
        <w:spacing w:after="0" w:line="240" w:lineRule="auto"/>
      </w:pPr>
      <w:r>
        <w:continuationSeparator/>
      </w:r>
    </w:p>
  </w:footnote>
  <w:footnote w:type="continuationNotice" w:id="1">
    <w:p w14:paraId="40D2EDF9" w14:textId="77777777" w:rsidR="00434AD1" w:rsidRDefault="00434AD1">
      <w:pPr>
        <w:spacing w:after="0" w:line="240" w:lineRule="auto"/>
      </w:pPr>
    </w:p>
  </w:footnote>
  <w:footnote w:id="2">
    <w:p w14:paraId="1307899B" w14:textId="07A6E171" w:rsidR="00053658" w:rsidRPr="00C72718" w:rsidRDefault="00053658" w:rsidP="00732A23">
      <w:pPr>
        <w:pStyle w:val="Textonotapie"/>
        <w:jc w:val="both"/>
        <w:rPr>
          <w:rFonts w:ascii="Century Gothic" w:hAnsi="Century Gothic"/>
          <w:sz w:val="16"/>
        </w:rPr>
      </w:pPr>
      <w:r w:rsidRPr="00C72718">
        <w:rPr>
          <w:rStyle w:val="Refdenotaalpie"/>
          <w:rFonts w:ascii="Century Gothic" w:hAnsi="Century Gothic"/>
          <w:sz w:val="16"/>
        </w:rPr>
        <w:footnoteRef/>
      </w:r>
      <w:r w:rsidRPr="00C72718">
        <w:rPr>
          <w:rFonts w:ascii="Century Gothic" w:hAnsi="Century Gothic"/>
          <w:sz w:val="16"/>
        </w:rPr>
        <w:t xml:space="preserve"> </w:t>
      </w:r>
      <w:r w:rsidRPr="00732A23">
        <w:rPr>
          <w:rFonts w:ascii="Century Gothic" w:hAnsi="Century Gothic"/>
          <w:sz w:val="16"/>
        </w:rPr>
        <w:t>https://www.altanredes.com/oferta-de-referencia.php</w:t>
      </w:r>
    </w:p>
  </w:footnote>
  <w:footnote w:id="3">
    <w:p w14:paraId="3FB47ED8" w14:textId="77777777" w:rsidR="00053658" w:rsidRPr="00224F2C" w:rsidRDefault="00053658" w:rsidP="00F31344">
      <w:pPr>
        <w:spacing w:after="0" w:line="360" w:lineRule="auto"/>
        <w:jc w:val="both"/>
        <w:rPr>
          <w:rFonts w:ascii="Arial" w:hAnsi="Arial" w:cs="Arial"/>
          <w:sz w:val="14"/>
          <w:szCs w:val="10"/>
        </w:rPr>
      </w:pPr>
      <w:r w:rsidRPr="006E4F8C">
        <w:rPr>
          <w:rStyle w:val="Refdenotaalpie"/>
          <w:rFonts w:ascii="Arial" w:hAnsi="Arial" w:cs="Arial"/>
          <w:sz w:val="10"/>
          <w:szCs w:val="10"/>
        </w:rPr>
        <w:footnoteRef/>
      </w:r>
      <w:r w:rsidRPr="006E4F8C">
        <w:rPr>
          <w:rFonts w:ascii="Arial" w:hAnsi="Arial" w:cs="Arial"/>
          <w:sz w:val="10"/>
          <w:szCs w:val="10"/>
        </w:rPr>
        <w:t xml:space="preserve"> </w:t>
      </w:r>
      <w:r w:rsidRPr="00224F2C">
        <w:rPr>
          <w:rFonts w:ascii="Arial" w:hAnsi="Arial" w:cs="Arial"/>
          <w:sz w:val="14"/>
          <w:szCs w:val="10"/>
        </w:rPr>
        <w:t>VOTO PARTICULAR QUE FORMULA LA MINISTRA NORMA LUCÍA PIÑA HERNÁNDEZ, EN EL AMPARO EN REVISIÓN 585/2020, RESUELTO POR LA PRIMERA SALA DE LA SUPREMA CORTE DE JUSTICIA DE LA NACIÓN, EN SESIÓN DE ONCE DE MAYO DE DOS MIL VEINTIDÓS.</w:t>
      </w:r>
    </w:p>
    <w:p w14:paraId="0A72ED14" w14:textId="77777777" w:rsidR="00053658" w:rsidRPr="00224F2C" w:rsidRDefault="00053658" w:rsidP="00F31344">
      <w:pPr>
        <w:pStyle w:val="Textonotapie"/>
        <w:rPr>
          <w:rFonts w:ascii="Arial" w:hAnsi="Arial" w:cs="Arial"/>
          <w:sz w:val="14"/>
          <w:szCs w:val="10"/>
        </w:rPr>
      </w:pPr>
    </w:p>
  </w:footnote>
  <w:footnote w:id="4">
    <w:p w14:paraId="75FDCC1D" w14:textId="77777777" w:rsidR="00053658" w:rsidRPr="006E4F8C" w:rsidRDefault="00053658" w:rsidP="00F31344">
      <w:pPr>
        <w:pStyle w:val="Textonotapie"/>
        <w:rPr>
          <w:rFonts w:ascii="Arial" w:hAnsi="Arial" w:cs="Arial"/>
        </w:rPr>
      </w:pPr>
      <w:r w:rsidRPr="00224F2C">
        <w:rPr>
          <w:rStyle w:val="Refdenotaalpie"/>
          <w:rFonts w:ascii="Arial" w:hAnsi="Arial" w:cs="Arial"/>
          <w:sz w:val="14"/>
          <w:szCs w:val="10"/>
        </w:rPr>
        <w:footnoteRef/>
      </w:r>
      <w:r w:rsidRPr="00224F2C">
        <w:rPr>
          <w:rFonts w:ascii="Arial" w:hAnsi="Arial" w:cs="Arial"/>
          <w:sz w:val="14"/>
          <w:szCs w:val="10"/>
        </w:rPr>
        <w:t xml:space="preserve"> Tesis: P./J. 99/2006 con registro digital: 174488 y robustecida con la tesis: I.1o.A.E.235 A (10a.)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B6A2F"/>
    <w:multiLevelType w:val="hybridMultilevel"/>
    <w:tmpl w:val="5C323D52"/>
    <w:lvl w:ilvl="0" w:tplc="F0FA28B6">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15:restartNumberingAfterBreak="0">
    <w:nsid w:val="125C148B"/>
    <w:multiLevelType w:val="hybridMultilevel"/>
    <w:tmpl w:val="A8180E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9E34322"/>
    <w:multiLevelType w:val="hybridMultilevel"/>
    <w:tmpl w:val="6C7ADE2C"/>
    <w:lvl w:ilvl="0" w:tplc="080A000F">
      <w:start w:val="1"/>
      <w:numFmt w:val="decimal"/>
      <w:lvlText w:val="%1."/>
      <w:lvlJc w:val="left"/>
      <w:pPr>
        <w:ind w:left="720" w:hanging="360"/>
      </w:pPr>
      <w:rPr>
        <w:rFonts w:hint="default"/>
        <w:i/>
        <w:u w:val="singl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B5A73A1"/>
    <w:multiLevelType w:val="hybridMultilevel"/>
    <w:tmpl w:val="7AB26F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2986C4B"/>
    <w:multiLevelType w:val="hybridMultilevel"/>
    <w:tmpl w:val="6B4483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3471B6A"/>
    <w:multiLevelType w:val="hybridMultilevel"/>
    <w:tmpl w:val="E4484180"/>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6" w15:restartNumberingAfterBreak="0">
    <w:nsid w:val="23CC7EEF"/>
    <w:multiLevelType w:val="hybridMultilevel"/>
    <w:tmpl w:val="8806DEFA"/>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DF5519E"/>
    <w:multiLevelType w:val="hybridMultilevel"/>
    <w:tmpl w:val="D1EA9B28"/>
    <w:lvl w:ilvl="0" w:tplc="1EB6A20A">
      <w:start w:val="1"/>
      <w:numFmt w:val="decimal"/>
      <w:lvlText w:val="%1."/>
      <w:lvlJc w:val="left"/>
      <w:pPr>
        <w:ind w:left="720" w:hanging="360"/>
      </w:pPr>
      <w:rPr>
        <w:rFonts w:ascii="Calibri" w:hAnsi="Calibri" w:hint="default"/>
        <w:i/>
        <w:u w:val="singl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E06542B"/>
    <w:multiLevelType w:val="hybridMultilevel"/>
    <w:tmpl w:val="C4FEEDB2"/>
    <w:lvl w:ilvl="0" w:tplc="4DD66136">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5524AB9"/>
    <w:multiLevelType w:val="hybridMultilevel"/>
    <w:tmpl w:val="BB0A214A"/>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0" w15:restartNumberingAfterBreak="0">
    <w:nsid w:val="35EC51E3"/>
    <w:multiLevelType w:val="hybridMultilevel"/>
    <w:tmpl w:val="A308E44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83878C3"/>
    <w:multiLevelType w:val="hybridMultilevel"/>
    <w:tmpl w:val="3E30427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DFF307C"/>
    <w:multiLevelType w:val="hybridMultilevel"/>
    <w:tmpl w:val="0A769E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20A3072"/>
    <w:multiLevelType w:val="hybridMultilevel"/>
    <w:tmpl w:val="DC5C6550"/>
    <w:lvl w:ilvl="0" w:tplc="7234D52E">
      <w:numFmt w:val="bullet"/>
      <w:lvlText w:val="-"/>
      <w:lvlJc w:val="left"/>
      <w:pPr>
        <w:ind w:left="786" w:hanging="360"/>
      </w:pPr>
      <w:rPr>
        <w:rFonts w:ascii="Arial" w:eastAsiaTheme="minorHAnsi" w:hAnsi="Arial" w:cs="Aria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14" w15:restartNumberingAfterBreak="0">
    <w:nsid w:val="43A149FC"/>
    <w:multiLevelType w:val="hybridMultilevel"/>
    <w:tmpl w:val="913E5E78"/>
    <w:lvl w:ilvl="0" w:tplc="975E961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B2C0D57"/>
    <w:multiLevelType w:val="hybridMultilevel"/>
    <w:tmpl w:val="CD5CFE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E275944"/>
    <w:multiLevelType w:val="hybridMultilevel"/>
    <w:tmpl w:val="8BE67330"/>
    <w:lvl w:ilvl="0" w:tplc="4EAECB1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A9446E3"/>
    <w:multiLevelType w:val="hybridMultilevel"/>
    <w:tmpl w:val="556C884C"/>
    <w:lvl w:ilvl="0" w:tplc="6F14CD10">
      <w:numFmt w:val="bullet"/>
      <w:lvlText w:val="•"/>
      <w:lvlJc w:val="left"/>
      <w:pPr>
        <w:ind w:left="720" w:hanging="360"/>
      </w:pPr>
      <w:rPr>
        <w:rFonts w:ascii="Calibri Light" w:eastAsia="Calibri" w:hAnsi="Calibri Light" w:cs="Calibri Light"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091125592">
    <w:abstractNumId w:val="7"/>
  </w:num>
  <w:num w:numId="2" w16cid:durableId="1651866000">
    <w:abstractNumId w:val="2"/>
  </w:num>
  <w:num w:numId="3" w16cid:durableId="1759671843">
    <w:abstractNumId w:val="5"/>
  </w:num>
  <w:num w:numId="4" w16cid:durableId="270549022">
    <w:abstractNumId w:val="1"/>
  </w:num>
  <w:num w:numId="5" w16cid:durableId="1048993008">
    <w:abstractNumId w:val="15"/>
  </w:num>
  <w:num w:numId="6" w16cid:durableId="517160285">
    <w:abstractNumId w:val="12"/>
  </w:num>
  <w:num w:numId="7" w16cid:durableId="1187475905">
    <w:abstractNumId w:val="8"/>
  </w:num>
  <w:num w:numId="8" w16cid:durableId="587152280">
    <w:abstractNumId w:val="16"/>
  </w:num>
  <w:num w:numId="9" w16cid:durableId="849876761">
    <w:abstractNumId w:val="0"/>
  </w:num>
  <w:num w:numId="10" w16cid:durableId="530191043">
    <w:abstractNumId w:val="10"/>
  </w:num>
  <w:num w:numId="11" w16cid:durableId="1082143987">
    <w:abstractNumId w:val="13"/>
  </w:num>
  <w:num w:numId="12" w16cid:durableId="577985325">
    <w:abstractNumId w:val="9"/>
  </w:num>
  <w:num w:numId="13" w16cid:durableId="1647852334">
    <w:abstractNumId w:val="3"/>
  </w:num>
  <w:num w:numId="14" w16cid:durableId="590282769">
    <w:abstractNumId w:val="6"/>
  </w:num>
  <w:num w:numId="15" w16cid:durableId="1692755751">
    <w:abstractNumId w:val="14"/>
  </w:num>
  <w:num w:numId="16" w16cid:durableId="2121484313">
    <w:abstractNumId w:val="4"/>
  </w:num>
  <w:num w:numId="17" w16cid:durableId="473790046">
    <w:abstractNumId w:val="17"/>
  </w:num>
  <w:num w:numId="18" w16cid:durableId="25212966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E1B"/>
    <w:rsid w:val="00001948"/>
    <w:rsid w:val="00001B34"/>
    <w:rsid w:val="00003BFD"/>
    <w:rsid w:val="00004279"/>
    <w:rsid w:val="000045D5"/>
    <w:rsid w:val="00005951"/>
    <w:rsid w:val="00006A2D"/>
    <w:rsid w:val="00007644"/>
    <w:rsid w:val="0001044C"/>
    <w:rsid w:val="000104B7"/>
    <w:rsid w:val="00011AFD"/>
    <w:rsid w:val="000143B0"/>
    <w:rsid w:val="00014724"/>
    <w:rsid w:val="00015BE9"/>
    <w:rsid w:val="00016368"/>
    <w:rsid w:val="00016816"/>
    <w:rsid w:val="0001780C"/>
    <w:rsid w:val="00017E7A"/>
    <w:rsid w:val="0002002F"/>
    <w:rsid w:val="0002085B"/>
    <w:rsid w:val="000214CA"/>
    <w:rsid w:val="00021A6A"/>
    <w:rsid w:val="00021D0A"/>
    <w:rsid w:val="00023E3C"/>
    <w:rsid w:val="00025232"/>
    <w:rsid w:val="00026397"/>
    <w:rsid w:val="000266A0"/>
    <w:rsid w:val="000304FB"/>
    <w:rsid w:val="00030F8D"/>
    <w:rsid w:val="00030FDA"/>
    <w:rsid w:val="00033762"/>
    <w:rsid w:val="0003500D"/>
    <w:rsid w:val="00041C36"/>
    <w:rsid w:val="00041F03"/>
    <w:rsid w:val="00042295"/>
    <w:rsid w:val="000423E2"/>
    <w:rsid w:val="00044157"/>
    <w:rsid w:val="000455BE"/>
    <w:rsid w:val="00045F1A"/>
    <w:rsid w:val="00046406"/>
    <w:rsid w:val="00046864"/>
    <w:rsid w:val="000507EE"/>
    <w:rsid w:val="00050846"/>
    <w:rsid w:val="00051C96"/>
    <w:rsid w:val="00052829"/>
    <w:rsid w:val="00053658"/>
    <w:rsid w:val="000539D3"/>
    <w:rsid w:val="00055D68"/>
    <w:rsid w:val="00056897"/>
    <w:rsid w:val="000569F4"/>
    <w:rsid w:val="0005772F"/>
    <w:rsid w:val="00057F1F"/>
    <w:rsid w:val="00063081"/>
    <w:rsid w:val="00067B31"/>
    <w:rsid w:val="000706E5"/>
    <w:rsid w:val="00070FDF"/>
    <w:rsid w:val="00072AD4"/>
    <w:rsid w:val="00073A10"/>
    <w:rsid w:val="000748D0"/>
    <w:rsid w:val="00075251"/>
    <w:rsid w:val="00075A66"/>
    <w:rsid w:val="00076430"/>
    <w:rsid w:val="000769E7"/>
    <w:rsid w:val="0008205C"/>
    <w:rsid w:val="00082383"/>
    <w:rsid w:val="00083367"/>
    <w:rsid w:val="000846D8"/>
    <w:rsid w:val="000867F3"/>
    <w:rsid w:val="0008710F"/>
    <w:rsid w:val="00087B2E"/>
    <w:rsid w:val="00087D24"/>
    <w:rsid w:val="0009313D"/>
    <w:rsid w:val="00093E1A"/>
    <w:rsid w:val="00094A4C"/>
    <w:rsid w:val="00094E65"/>
    <w:rsid w:val="0009735F"/>
    <w:rsid w:val="00097485"/>
    <w:rsid w:val="000977EB"/>
    <w:rsid w:val="000A2AA7"/>
    <w:rsid w:val="000A4A05"/>
    <w:rsid w:val="000A4DBB"/>
    <w:rsid w:val="000A5A67"/>
    <w:rsid w:val="000B0091"/>
    <w:rsid w:val="000B0374"/>
    <w:rsid w:val="000B1C51"/>
    <w:rsid w:val="000B212B"/>
    <w:rsid w:val="000B3AE0"/>
    <w:rsid w:val="000B77F4"/>
    <w:rsid w:val="000C127D"/>
    <w:rsid w:val="000C1B6E"/>
    <w:rsid w:val="000C26EC"/>
    <w:rsid w:val="000C2B69"/>
    <w:rsid w:val="000C3007"/>
    <w:rsid w:val="000C33DA"/>
    <w:rsid w:val="000C3D25"/>
    <w:rsid w:val="000C4825"/>
    <w:rsid w:val="000C63F5"/>
    <w:rsid w:val="000C7F7C"/>
    <w:rsid w:val="000D0AB7"/>
    <w:rsid w:val="000D103A"/>
    <w:rsid w:val="000D1C0C"/>
    <w:rsid w:val="000D3A16"/>
    <w:rsid w:val="000D61E1"/>
    <w:rsid w:val="000E02F8"/>
    <w:rsid w:val="000E0B3F"/>
    <w:rsid w:val="000E1383"/>
    <w:rsid w:val="000E22B5"/>
    <w:rsid w:val="000E22FF"/>
    <w:rsid w:val="000E649B"/>
    <w:rsid w:val="000E67DD"/>
    <w:rsid w:val="000F2592"/>
    <w:rsid w:val="000F2F78"/>
    <w:rsid w:val="000F4EDE"/>
    <w:rsid w:val="000F504E"/>
    <w:rsid w:val="000F5FDD"/>
    <w:rsid w:val="000F6407"/>
    <w:rsid w:val="000F793C"/>
    <w:rsid w:val="000F79EF"/>
    <w:rsid w:val="00100689"/>
    <w:rsid w:val="001009FC"/>
    <w:rsid w:val="0010297D"/>
    <w:rsid w:val="001044F2"/>
    <w:rsid w:val="001049BF"/>
    <w:rsid w:val="001056FB"/>
    <w:rsid w:val="00113389"/>
    <w:rsid w:val="00113D31"/>
    <w:rsid w:val="00117B0F"/>
    <w:rsid w:val="001202C7"/>
    <w:rsid w:val="0012123F"/>
    <w:rsid w:val="00122501"/>
    <w:rsid w:val="00124031"/>
    <w:rsid w:val="00125B03"/>
    <w:rsid w:val="00125E22"/>
    <w:rsid w:val="00127366"/>
    <w:rsid w:val="00132116"/>
    <w:rsid w:val="00132145"/>
    <w:rsid w:val="00132D13"/>
    <w:rsid w:val="001336AF"/>
    <w:rsid w:val="00133DEE"/>
    <w:rsid w:val="0013686C"/>
    <w:rsid w:val="001403D2"/>
    <w:rsid w:val="00140948"/>
    <w:rsid w:val="00140DC6"/>
    <w:rsid w:val="00141DD2"/>
    <w:rsid w:val="00142393"/>
    <w:rsid w:val="00142B3D"/>
    <w:rsid w:val="0014307B"/>
    <w:rsid w:val="00144C2D"/>
    <w:rsid w:val="001457D6"/>
    <w:rsid w:val="00145947"/>
    <w:rsid w:val="0014638A"/>
    <w:rsid w:val="00146932"/>
    <w:rsid w:val="00147636"/>
    <w:rsid w:val="00147F5D"/>
    <w:rsid w:val="0015077B"/>
    <w:rsid w:val="001534A2"/>
    <w:rsid w:val="00157148"/>
    <w:rsid w:val="00157AED"/>
    <w:rsid w:val="00163109"/>
    <w:rsid w:val="0016363C"/>
    <w:rsid w:val="001639C7"/>
    <w:rsid w:val="00164665"/>
    <w:rsid w:val="00166C6F"/>
    <w:rsid w:val="00172ECA"/>
    <w:rsid w:val="001732DC"/>
    <w:rsid w:val="001737EA"/>
    <w:rsid w:val="00174D3E"/>
    <w:rsid w:val="00175362"/>
    <w:rsid w:val="001803D4"/>
    <w:rsid w:val="00181398"/>
    <w:rsid w:val="00181C75"/>
    <w:rsid w:val="00182736"/>
    <w:rsid w:val="00182998"/>
    <w:rsid w:val="00183803"/>
    <w:rsid w:val="00184D48"/>
    <w:rsid w:val="00185DA2"/>
    <w:rsid w:val="001863F9"/>
    <w:rsid w:val="00186830"/>
    <w:rsid w:val="00186B8B"/>
    <w:rsid w:val="00190562"/>
    <w:rsid w:val="00190892"/>
    <w:rsid w:val="00190E2E"/>
    <w:rsid w:val="00194E7C"/>
    <w:rsid w:val="001A07D8"/>
    <w:rsid w:val="001A3715"/>
    <w:rsid w:val="001A4B64"/>
    <w:rsid w:val="001A6271"/>
    <w:rsid w:val="001A6FF8"/>
    <w:rsid w:val="001A780D"/>
    <w:rsid w:val="001A7DF1"/>
    <w:rsid w:val="001B0139"/>
    <w:rsid w:val="001B01FA"/>
    <w:rsid w:val="001B0541"/>
    <w:rsid w:val="001B1935"/>
    <w:rsid w:val="001B2A4D"/>
    <w:rsid w:val="001B2D39"/>
    <w:rsid w:val="001B6248"/>
    <w:rsid w:val="001C06A9"/>
    <w:rsid w:val="001C3590"/>
    <w:rsid w:val="001C4291"/>
    <w:rsid w:val="001D0A9E"/>
    <w:rsid w:val="001D0FFC"/>
    <w:rsid w:val="001D1A08"/>
    <w:rsid w:val="001D310D"/>
    <w:rsid w:val="001D3564"/>
    <w:rsid w:val="001D5424"/>
    <w:rsid w:val="001D6BCC"/>
    <w:rsid w:val="001D705C"/>
    <w:rsid w:val="001D7149"/>
    <w:rsid w:val="001E28DF"/>
    <w:rsid w:val="001E2A60"/>
    <w:rsid w:val="001E2EFE"/>
    <w:rsid w:val="001E41C3"/>
    <w:rsid w:val="001E7711"/>
    <w:rsid w:val="001F1916"/>
    <w:rsid w:val="001F1FB5"/>
    <w:rsid w:val="001F2223"/>
    <w:rsid w:val="001F3351"/>
    <w:rsid w:val="001F3589"/>
    <w:rsid w:val="001F57AA"/>
    <w:rsid w:val="001F5AB6"/>
    <w:rsid w:val="001F6DC1"/>
    <w:rsid w:val="001F76E2"/>
    <w:rsid w:val="00200C70"/>
    <w:rsid w:val="00206700"/>
    <w:rsid w:val="002073E5"/>
    <w:rsid w:val="0021280C"/>
    <w:rsid w:val="00213B42"/>
    <w:rsid w:val="00215AA9"/>
    <w:rsid w:val="00215B4C"/>
    <w:rsid w:val="0021669F"/>
    <w:rsid w:val="002204F7"/>
    <w:rsid w:val="002205CA"/>
    <w:rsid w:val="00223DE6"/>
    <w:rsid w:val="00224F2C"/>
    <w:rsid w:val="00225FAC"/>
    <w:rsid w:val="00227D8C"/>
    <w:rsid w:val="00234587"/>
    <w:rsid w:val="002353C3"/>
    <w:rsid w:val="002358B5"/>
    <w:rsid w:val="00235A17"/>
    <w:rsid w:val="00236F51"/>
    <w:rsid w:val="00237059"/>
    <w:rsid w:val="00240115"/>
    <w:rsid w:val="00240F1D"/>
    <w:rsid w:val="002410FA"/>
    <w:rsid w:val="00244A87"/>
    <w:rsid w:val="00245618"/>
    <w:rsid w:val="002461E4"/>
    <w:rsid w:val="00250F0A"/>
    <w:rsid w:val="00251EDA"/>
    <w:rsid w:val="00254111"/>
    <w:rsid w:val="00254392"/>
    <w:rsid w:val="00254539"/>
    <w:rsid w:val="00255C67"/>
    <w:rsid w:val="002563BD"/>
    <w:rsid w:val="0025659C"/>
    <w:rsid w:val="00256AF0"/>
    <w:rsid w:val="00256F85"/>
    <w:rsid w:val="00257141"/>
    <w:rsid w:val="002611E7"/>
    <w:rsid w:val="0026132E"/>
    <w:rsid w:val="002615E6"/>
    <w:rsid w:val="002618D3"/>
    <w:rsid w:val="0026285F"/>
    <w:rsid w:val="002643CD"/>
    <w:rsid w:val="00264F61"/>
    <w:rsid w:val="002669AC"/>
    <w:rsid w:val="00266A2A"/>
    <w:rsid w:val="00266A9C"/>
    <w:rsid w:val="002706B4"/>
    <w:rsid w:val="00271357"/>
    <w:rsid w:val="0027267B"/>
    <w:rsid w:val="0027382E"/>
    <w:rsid w:val="0027388B"/>
    <w:rsid w:val="002749E9"/>
    <w:rsid w:val="0027610E"/>
    <w:rsid w:val="0027733E"/>
    <w:rsid w:val="00280E49"/>
    <w:rsid w:val="00281D37"/>
    <w:rsid w:val="00282B3F"/>
    <w:rsid w:val="00283328"/>
    <w:rsid w:val="002840F9"/>
    <w:rsid w:val="00285FF4"/>
    <w:rsid w:val="00291497"/>
    <w:rsid w:val="00291C2E"/>
    <w:rsid w:val="00294A03"/>
    <w:rsid w:val="0029717A"/>
    <w:rsid w:val="002A2A1A"/>
    <w:rsid w:val="002A33EE"/>
    <w:rsid w:val="002A3E39"/>
    <w:rsid w:val="002A6E2F"/>
    <w:rsid w:val="002A7DB8"/>
    <w:rsid w:val="002B09BC"/>
    <w:rsid w:val="002B0EE6"/>
    <w:rsid w:val="002B5490"/>
    <w:rsid w:val="002B5CD4"/>
    <w:rsid w:val="002B66BB"/>
    <w:rsid w:val="002C0D0C"/>
    <w:rsid w:val="002C0D0E"/>
    <w:rsid w:val="002C0E1E"/>
    <w:rsid w:val="002C2D3F"/>
    <w:rsid w:val="002C457F"/>
    <w:rsid w:val="002C56BF"/>
    <w:rsid w:val="002C79CC"/>
    <w:rsid w:val="002C7E9D"/>
    <w:rsid w:val="002D2AC7"/>
    <w:rsid w:val="002D3AC8"/>
    <w:rsid w:val="002D46E8"/>
    <w:rsid w:val="002D5C3B"/>
    <w:rsid w:val="002D5DB2"/>
    <w:rsid w:val="002D6D78"/>
    <w:rsid w:val="002D7A89"/>
    <w:rsid w:val="002E0392"/>
    <w:rsid w:val="002E4827"/>
    <w:rsid w:val="002E675E"/>
    <w:rsid w:val="002E74AD"/>
    <w:rsid w:val="002F0A8B"/>
    <w:rsid w:val="002F1369"/>
    <w:rsid w:val="002F1BEF"/>
    <w:rsid w:val="002F3F4F"/>
    <w:rsid w:val="002F535B"/>
    <w:rsid w:val="002F7D84"/>
    <w:rsid w:val="00300917"/>
    <w:rsid w:val="00300C2C"/>
    <w:rsid w:val="00301CA8"/>
    <w:rsid w:val="00301E19"/>
    <w:rsid w:val="00302BA2"/>
    <w:rsid w:val="00302E09"/>
    <w:rsid w:val="00303456"/>
    <w:rsid w:val="00303A94"/>
    <w:rsid w:val="00304B92"/>
    <w:rsid w:val="00305083"/>
    <w:rsid w:val="00305811"/>
    <w:rsid w:val="003065DF"/>
    <w:rsid w:val="003068ED"/>
    <w:rsid w:val="00310655"/>
    <w:rsid w:val="003128C8"/>
    <w:rsid w:val="00314345"/>
    <w:rsid w:val="0031499E"/>
    <w:rsid w:val="00314BAC"/>
    <w:rsid w:val="0031524E"/>
    <w:rsid w:val="00315831"/>
    <w:rsid w:val="003206AD"/>
    <w:rsid w:val="00323291"/>
    <w:rsid w:val="003236DC"/>
    <w:rsid w:val="003238E7"/>
    <w:rsid w:val="00326954"/>
    <w:rsid w:val="00327268"/>
    <w:rsid w:val="00327536"/>
    <w:rsid w:val="00330911"/>
    <w:rsid w:val="00330FD7"/>
    <w:rsid w:val="003317E4"/>
    <w:rsid w:val="00331E57"/>
    <w:rsid w:val="00331E81"/>
    <w:rsid w:val="00333328"/>
    <w:rsid w:val="003335B5"/>
    <w:rsid w:val="00334EA7"/>
    <w:rsid w:val="00335340"/>
    <w:rsid w:val="0033668C"/>
    <w:rsid w:val="0034124D"/>
    <w:rsid w:val="00343C2A"/>
    <w:rsid w:val="003448D2"/>
    <w:rsid w:val="00344FEF"/>
    <w:rsid w:val="00345A59"/>
    <w:rsid w:val="00345D4A"/>
    <w:rsid w:val="00346E60"/>
    <w:rsid w:val="003506B6"/>
    <w:rsid w:val="00353158"/>
    <w:rsid w:val="00354290"/>
    <w:rsid w:val="00361D9C"/>
    <w:rsid w:val="003637C6"/>
    <w:rsid w:val="00364F69"/>
    <w:rsid w:val="003679CB"/>
    <w:rsid w:val="0037001D"/>
    <w:rsid w:val="00371B4E"/>
    <w:rsid w:val="0037404E"/>
    <w:rsid w:val="003742FD"/>
    <w:rsid w:val="00374D59"/>
    <w:rsid w:val="00375E3C"/>
    <w:rsid w:val="003763CE"/>
    <w:rsid w:val="003775C0"/>
    <w:rsid w:val="0038349F"/>
    <w:rsid w:val="00384B10"/>
    <w:rsid w:val="00385E8F"/>
    <w:rsid w:val="00387334"/>
    <w:rsid w:val="0038798E"/>
    <w:rsid w:val="0039017C"/>
    <w:rsid w:val="00390BAD"/>
    <w:rsid w:val="00390DB3"/>
    <w:rsid w:val="0039314C"/>
    <w:rsid w:val="00393826"/>
    <w:rsid w:val="00395BFA"/>
    <w:rsid w:val="00396041"/>
    <w:rsid w:val="00397046"/>
    <w:rsid w:val="00397EE8"/>
    <w:rsid w:val="003A14D0"/>
    <w:rsid w:val="003A2C81"/>
    <w:rsid w:val="003A2DF2"/>
    <w:rsid w:val="003A6B57"/>
    <w:rsid w:val="003A6EC2"/>
    <w:rsid w:val="003B494E"/>
    <w:rsid w:val="003B5486"/>
    <w:rsid w:val="003C234B"/>
    <w:rsid w:val="003C2F16"/>
    <w:rsid w:val="003C3768"/>
    <w:rsid w:val="003C52AD"/>
    <w:rsid w:val="003C6313"/>
    <w:rsid w:val="003C6475"/>
    <w:rsid w:val="003C70D5"/>
    <w:rsid w:val="003D0A58"/>
    <w:rsid w:val="003D4AE0"/>
    <w:rsid w:val="003D722F"/>
    <w:rsid w:val="003D74B7"/>
    <w:rsid w:val="003D7C62"/>
    <w:rsid w:val="003E0D21"/>
    <w:rsid w:val="003E14BC"/>
    <w:rsid w:val="003E38B9"/>
    <w:rsid w:val="003E5A4E"/>
    <w:rsid w:val="003E6392"/>
    <w:rsid w:val="003F3B8B"/>
    <w:rsid w:val="003F3DF5"/>
    <w:rsid w:val="003F6ECC"/>
    <w:rsid w:val="003F7C1E"/>
    <w:rsid w:val="00400904"/>
    <w:rsid w:val="00401D65"/>
    <w:rsid w:val="00402FAD"/>
    <w:rsid w:val="00404CA7"/>
    <w:rsid w:val="00405899"/>
    <w:rsid w:val="00406D07"/>
    <w:rsid w:val="00406EA6"/>
    <w:rsid w:val="00411CD9"/>
    <w:rsid w:val="00413645"/>
    <w:rsid w:val="00414937"/>
    <w:rsid w:val="004149D4"/>
    <w:rsid w:val="004162D1"/>
    <w:rsid w:val="004205C8"/>
    <w:rsid w:val="00421562"/>
    <w:rsid w:val="004236F8"/>
    <w:rsid w:val="00423FCA"/>
    <w:rsid w:val="00424417"/>
    <w:rsid w:val="00424CAD"/>
    <w:rsid w:val="00425226"/>
    <w:rsid w:val="00425775"/>
    <w:rsid w:val="004258BC"/>
    <w:rsid w:val="004275E4"/>
    <w:rsid w:val="00430235"/>
    <w:rsid w:val="00430638"/>
    <w:rsid w:val="0043081B"/>
    <w:rsid w:val="00430CE3"/>
    <w:rsid w:val="00430CFC"/>
    <w:rsid w:val="0043232E"/>
    <w:rsid w:val="00434AD1"/>
    <w:rsid w:val="00435A6E"/>
    <w:rsid w:val="00440FE6"/>
    <w:rsid w:val="00441CD5"/>
    <w:rsid w:val="00445A02"/>
    <w:rsid w:val="004474BC"/>
    <w:rsid w:val="00447A20"/>
    <w:rsid w:val="004520D9"/>
    <w:rsid w:val="00455C85"/>
    <w:rsid w:val="004567BE"/>
    <w:rsid w:val="0045732C"/>
    <w:rsid w:val="004621D6"/>
    <w:rsid w:val="00464559"/>
    <w:rsid w:val="00467315"/>
    <w:rsid w:val="00467BF8"/>
    <w:rsid w:val="004705DB"/>
    <w:rsid w:val="00472119"/>
    <w:rsid w:val="0047383D"/>
    <w:rsid w:val="004766BA"/>
    <w:rsid w:val="00476935"/>
    <w:rsid w:val="00477113"/>
    <w:rsid w:val="00481567"/>
    <w:rsid w:val="00481EAB"/>
    <w:rsid w:val="00483071"/>
    <w:rsid w:val="00483650"/>
    <w:rsid w:val="00483D6B"/>
    <w:rsid w:val="00484143"/>
    <w:rsid w:val="0048545F"/>
    <w:rsid w:val="004855E3"/>
    <w:rsid w:val="004858AF"/>
    <w:rsid w:val="00487C74"/>
    <w:rsid w:val="00490402"/>
    <w:rsid w:val="0049058D"/>
    <w:rsid w:val="004974E8"/>
    <w:rsid w:val="004A079C"/>
    <w:rsid w:val="004A1A35"/>
    <w:rsid w:val="004A314E"/>
    <w:rsid w:val="004A3771"/>
    <w:rsid w:val="004A3CA7"/>
    <w:rsid w:val="004A3E0C"/>
    <w:rsid w:val="004A4BE0"/>
    <w:rsid w:val="004A67E7"/>
    <w:rsid w:val="004B025A"/>
    <w:rsid w:val="004B12B6"/>
    <w:rsid w:val="004B2774"/>
    <w:rsid w:val="004B3436"/>
    <w:rsid w:val="004B392C"/>
    <w:rsid w:val="004B3A07"/>
    <w:rsid w:val="004B42BE"/>
    <w:rsid w:val="004B4539"/>
    <w:rsid w:val="004B658C"/>
    <w:rsid w:val="004B68DE"/>
    <w:rsid w:val="004B76CB"/>
    <w:rsid w:val="004B77EF"/>
    <w:rsid w:val="004C18FD"/>
    <w:rsid w:val="004C20F2"/>
    <w:rsid w:val="004C32E8"/>
    <w:rsid w:val="004C3C08"/>
    <w:rsid w:val="004C58A0"/>
    <w:rsid w:val="004C5D07"/>
    <w:rsid w:val="004C6014"/>
    <w:rsid w:val="004C69E8"/>
    <w:rsid w:val="004D0955"/>
    <w:rsid w:val="004D0CC4"/>
    <w:rsid w:val="004D1B45"/>
    <w:rsid w:val="004D205A"/>
    <w:rsid w:val="004D25D9"/>
    <w:rsid w:val="004D3C5D"/>
    <w:rsid w:val="004D3EF0"/>
    <w:rsid w:val="004D54BD"/>
    <w:rsid w:val="004D70A0"/>
    <w:rsid w:val="004D7180"/>
    <w:rsid w:val="004D7EF7"/>
    <w:rsid w:val="004E0830"/>
    <w:rsid w:val="004E1C34"/>
    <w:rsid w:val="004E3FD6"/>
    <w:rsid w:val="004E52B1"/>
    <w:rsid w:val="004E65E7"/>
    <w:rsid w:val="004F0B06"/>
    <w:rsid w:val="004F2D66"/>
    <w:rsid w:val="004F4547"/>
    <w:rsid w:val="004F5044"/>
    <w:rsid w:val="004F6B84"/>
    <w:rsid w:val="0050097B"/>
    <w:rsid w:val="00502CED"/>
    <w:rsid w:val="00504FBA"/>
    <w:rsid w:val="00506BD4"/>
    <w:rsid w:val="00506C31"/>
    <w:rsid w:val="00507915"/>
    <w:rsid w:val="00507F6B"/>
    <w:rsid w:val="005103F9"/>
    <w:rsid w:val="005109F0"/>
    <w:rsid w:val="005118C5"/>
    <w:rsid w:val="00511B55"/>
    <w:rsid w:val="00512AF5"/>
    <w:rsid w:val="0051572E"/>
    <w:rsid w:val="0051577F"/>
    <w:rsid w:val="00516BB2"/>
    <w:rsid w:val="005177D3"/>
    <w:rsid w:val="0052040D"/>
    <w:rsid w:val="00527658"/>
    <w:rsid w:val="00527EE6"/>
    <w:rsid w:val="00530C60"/>
    <w:rsid w:val="00532058"/>
    <w:rsid w:val="005346AA"/>
    <w:rsid w:val="005351E2"/>
    <w:rsid w:val="00536ADF"/>
    <w:rsid w:val="00536F85"/>
    <w:rsid w:val="0053707A"/>
    <w:rsid w:val="00537414"/>
    <w:rsid w:val="00543067"/>
    <w:rsid w:val="00544938"/>
    <w:rsid w:val="00544A24"/>
    <w:rsid w:val="0054531B"/>
    <w:rsid w:val="0054559C"/>
    <w:rsid w:val="005457E9"/>
    <w:rsid w:val="00546496"/>
    <w:rsid w:val="0055105E"/>
    <w:rsid w:val="00555AB1"/>
    <w:rsid w:val="005560B7"/>
    <w:rsid w:val="00556888"/>
    <w:rsid w:val="00561C56"/>
    <w:rsid w:val="00563586"/>
    <w:rsid w:val="00564E7B"/>
    <w:rsid w:val="00567B9C"/>
    <w:rsid w:val="00570AD0"/>
    <w:rsid w:val="00570C0E"/>
    <w:rsid w:val="00572CD4"/>
    <w:rsid w:val="00573F5C"/>
    <w:rsid w:val="00574094"/>
    <w:rsid w:val="005746FB"/>
    <w:rsid w:val="00574C48"/>
    <w:rsid w:val="00575DD9"/>
    <w:rsid w:val="00575FDA"/>
    <w:rsid w:val="005761E4"/>
    <w:rsid w:val="005768D6"/>
    <w:rsid w:val="00576974"/>
    <w:rsid w:val="005777B6"/>
    <w:rsid w:val="00580824"/>
    <w:rsid w:val="00582B96"/>
    <w:rsid w:val="005831D3"/>
    <w:rsid w:val="0058376B"/>
    <w:rsid w:val="00586BC8"/>
    <w:rsid w:val="00587BE8"/>
    <w:rsid w:val="00591B30"/>
    <w:rsid w:val="00591D2E"/>
    <w:rsid w:val="005922CD"/>
    <w:rsid w:val="00593451"/>
    <w:rsid w:val="0059360B"/>
    <w:rsid w:val="00593C3C"/>
    <w:rsid w:val="00594BA3"/>
    <w:rsid w:val="00595A20"/>
    <w:rsid w:val="00595A76"/>
    <w:rsid w:val="0059608E"/>
    <w:rsid w:val="005A1528"/>
    <w:rsid w:val="005A24D6"/>
    <w:rsid w:val="005A3CD4"/>
    <w:rsid w:val="005A3DC6"/>
    <w:rsid w:val="005A5850"/>
    <w:rsid w:val="005A777A"/>
    <w:rsid w:val="005B251E"/>
    <w:rsid w:val="005B3092"/>
    <w:rsid w:val="005B4797"/>
    <w:rsid w:val="005B5705"/>
    <w:rsid w:val="005B5D24"/>
    <w:rsid w:val="005B68D1"/>
    <w:rsid w:val="005C0C73"/>
    <w:rsid w:val="005C2034"/>
    <w:rsid w:val="005C37FD"/>
    <w:rsid w:val="005C431E"/>
    <w:rsid w:val="005C7BA4"/>
    <w:rsid w:val="005D07B7"/>
    <w:rsid w:val="005D3347"/>
    <w:rsid w:val="005D4681"/>
    <w:rsid w:val="005D62DF"/>
    <w:rsid w:val="005D6477"/>
    <w:rsid w:val="005E017A"/>
    <w:rsid w:val="005E1523"/>
    <w:rsid w:val="005E20BC"/>
    <w:rsid w:val="005E24E8"/>
    <w:rsid w:val="005E28D4"/>
    <w:rsid w:val="005E36CA"/>
    <w:rsid w:val="005E559F"/>
    <w:rsid w:val="005E723A"/>
    <w:rsid w:val="005E7E20"/>
    <w:rsid w:val="005F1379"/>
    <w:rsid w:val="005F1695"/>
    <w:rsid w:val="005F199B"/>
    <w:rsid w:val="005F23CA"/>
    <w:rsid w:val="005F2D3F"/>
    <w:rsid w:val="005F3376"/>
    <w:rsid w:val="005F4935"/>
    <w:rsid w:val="006007D8"/>
    <w:rsid w:val="00601008"/>
    <w:rsid w:val="0060241A"/>
    <w:rsid w:val="00602753"/>
    <w:rsid w:val="00602E31"/>
    <w:rsid w:val="00603901"/>
    <w:rsid w:val="00612C17"/>
    <w:rsid w:val="006149B6"/>
    <w:rsid w:val="0061503D"/>
    <w:rsid w:val="00615BB0"/>
    <w:rsid w:val="006162D1"/>
    <w:rsid w:val="00620410"/>
    <w:rsid w:val="00621A8C"/>
    <w:rsid w:val="006246C7"/>
    <w:rsid w:val="00630547"/>
    <w:rsid w:val="00630744"/>
    <w:rsid w:val="006308EB"/>
    <w:rsid w:val="00633E04"/>
    <w:rsid w:val="00633FCB"/>
    <w:rsid w:val="006354D9"/>
    <w:rsid w:val="00636276"/>
    <w:rsid w:val="00636C3A"/>
    <w:rsid w:val="006372B8"/>
    <w:rsid w:val="00637E9F"/>
    <w:rsid w:val="006404EC"/>
    <w:rsid w:val="006415F6"/>
    <w:rsid w:val="00643980"/>
    <w:rsid w:val="00644294"/>
    <w:rsid w:val="00645427"/>
    <w:rsid w:val="006458CB"/>
    <w:rsid w:val="0064601A"/>
    <w:rsid w:val="006461D9"/>
    <w:rsid w:val="00646D7A"/>
    <w:rsid w:val="0065039E"/>
    <w:rsid w:val="00650716"/>
    <w:rsid w:val="00653B07"/>
    <w:rsid w:val="0065607D"/>
    <w:rsid w:val="00656186"/>
    <w:rsid w:val="00661479"/>
    <w:rsid w:val="00663604"/>
    <w:rsid w:val="0066377A"/>
    <w:rsid w:val="00663950"/>
    <w:rsid w:val="006656A0"/>
    <w:rsid w:val="006657A3"/>
    <w:rsid w:val="0066627E"/>
    <w:rsid w:val="00666648"/>
    <w:rsid w:val="00666AAE"/>
    <w:rsid w:val="00666E18"/>
    <w:rsid w:val="00666F2F"/>
    <w:rsid w:val="00666FFD"/>
    <w:rsid w:val="0066723E"/>
    <w:rsid w:val="0067069E"/>
    <w:rsid w:val="0067105E"/>
    <w:rsid w:val="00673C3B"/>
    <w:rsid w:val="00677963"/>
    <w:rsid w:val="0068074D"/>
    <w:rsid w:val="0068236E"/>
    <w:rsid w:val="00683C9B"/>
    <w:rsid w:val="00684BBE"/>
    <w:rsid w:val="0068517E"/>
    <w:rsid w:val="0068539F"/>
    <w:rsid w:val="006858B1"/>
    <w:rsid w:val="00686732"/>
    <w:rsid w:val="006871D9"/>
    <w:rsid w:val="00687D49"/>
    <w:rsid w:val="00692D0A"/>
    <w:rsid w:val="00692FF0"/>
    <w:rsid w:val="006936C6"/>
    <w:rsid w:val="00694132"/>
    <w:rsid w:val="006948B2"/>
    <w:rsid w:val="006A27A6"/>
    <w:rsid w:val="006A2B20"/>
    <w:rsid w:val="006A2E47"/>
    <w:rsid w:val="006A33CA"/>
    <w:rsid w:val="006A34D0"/>
    <w:rsid w:val="006A362D"/>
    <w:rsid w:val="006A3F56"/>
    <w:rsid w:val="006A4460"/>
    <w:rsid w:val="006A4EB0"/>
    <w:rsid w:val="006A52AB"/>
    <w:rsid w:val="006A57DB"/>
    <w:rsid w:val="006A5DAB"/>
    <w:rsid w:val="006A6A83"/>
    <w:rsid w:val="006A6F04"/>
    <w:rsid w:val="006B12A3"/>
    <w:rsid w:val="006B1BC8"/>
    <w:rsid w:val="006B2B92"/>
    <w:rsid w:val="006B30CB"/>
    <w:rsid w:val="006B42E4"/>
    <w:rsid w:val="006B4E5A"/>
    <w:rsid w:val="006B5C15"/>
    <w:rsid w:val="006B5E34"/>
    <w:rsid w:val="006B759A"/>
    <w:rsid w:val="006C2241"/>
    <w:rsid w:val="006C23C8"/>
    <w:rsid w:val="006C2CF7"/>
    <w:rsid w:val="006C2F87"/>
    <w:rsid w:val="006C75C0"/>
    <w:rsid w:val="006D1E84"/>
    <w:rsid w:val="006D21A8"/>
    <w:rsid w:val="006D2ABB"/>
    <w:rsid w:val="006D4018"/>
    <w:rsid w:val="006D462A"/>
    <w:rsid w:val="006D773B"/>
    <w:rsid w:val="006D78BA"/>
    <w:rsid w:val="006D7A64"/>
    <w:rsid w:val="006E0414"/>
    <w:rsid w:val="006E1242"/>
    <w:rsid w:val="006E3019"/>
    <w:rsid w:val="006E3DA2"/>
    <w:rsid w:val="006E3DFB"/>
    <w:rsid w:val="006E42CA"/>
    <w:rsid w:val="006E4C15"/>
    <w:rsid w:val="006E5B49"/>
    <w:rsid w:val="006E67F7"/>
    <w:rsid w:val="006F1014"/>
    <w:rsid w:val="006F3CE5"/>
    <w:rsid w:val="006F3F42"/>
    <w:rsid w:val="006F4375"/>
    <w:rsid w:val="006F4501"/>
    <w:rsid w:val="006F5248"/>
    <w:rsid w:val="00700025"/>
    <w:rsid w:val="007011D5"/>
    <w:rsid w:val="00702ABF"/>
    <w:rsid w:val="00702F2A"/>
    <w:rsid w:val="007037E4"/>
    <w:rsid w:val="0070429B"/>
    <w:rsid w:val="00704906"/>
    <w:rsid w:val="00705266"/>
    <w:rsid w:val="00706466"/>
    <w:rsid w:val="00710A28"/>
    <w:rsid w:val="007124C9"/>
    <w:rsid w:val="00714CED"/>
    <w:rsid w:val="00714EDE"/>
    <w:rsid w:val="0071542E"/>
    <w:rsid w:val="00715EAF"/>
    <w:rsid w:val="007165AC"/>
    <w:rsid w:val="00716CF7"/>
    <w:rsid w:val="0072178A"/>
    <w:rsid w:val="00722070"/>
    <w:rsid w:val="00722143"/>
    <w:rsid w:val="0072268E"/>
    <w:rsid w:val="00722FFB"/>
    <w:rsid w:val="0072722D"/>
    <w:rsid w:val="00730E88"/>
    <w:rsid w:val="0073137C"/>
    <w:rsid w:val="007325A7"/>
    <w:rsid w:val="00732A23"/>
    <w:rsid w:val="00733B43"/>
    <w:rsid w:val="00741482"/>
    <w:rsid w:val="00743DD6"/>
    <w:rsid w:val="00744D65"/>
    <w:rsid w:val="00752977"/>
    <w:rsid w:val="00752B37"/>
    <w:rsid w:val="00754AA7"/>
    <w:rsid w:val="00760F7C"/>
    <w:rsid w:val="00761CF1"/>
    <w:rsid w:val="00762126"/>
    <w:rsid w:val="00763D10"/>
    <w:rsid w:val="00763E0C"/>
    <w:rsid w:val="00765DF9"/>
    <w:rsid w:val="007722C5"/>
    <w:rsid w:val="007727E9"/>
    <w:rsid w:val="00774F6B"/>
    <w:rsid w:val="00777CCD"/>
    <w:rsid w:val="00780924"/>
    <w:rsid w:val="00780A05"/>
    <w:rsid w:val="0078129B"/>
    <w:rsid w:val="0078143F"/>
    <w:rsid w:val="00781666"/>
    <w:rsid w:val="00781A50"/>
    <w:rsid w:val="00781D4E"/>
    <w:rsid w:val="00783509"/>
    <w:rsid w:val="007840ED"/>
    <w:rsid w:val="007846CF"/>
    <w:rsid w:val="00784CA9"/>
    <w:rsid w:val="00786807"/>
    <w:rsid w:val="00786A34"/>
    <w:rsid w:val="0078730A"/>
    <w:rsid w:val="007902E9"/>
    <w:rsid w:val="007907B7"/>
    <w:rsid w:val="0079342C"/>
    <w:rsid w:val="007955FF"/>
    <w:rsid w:val="0079602B"/>
    <w:rsid w:val="007977E5"/>
    <w:rsid w:val="007A00F1"/>
    <w:rsid w:val="007A09C7"/>
    <w:rsid w:val="007A0E9D"/>
    <w:rsid w:val="007A0F2D"/>
    <w:rsid w:val="007A2873"/>
    <w:rsid w:val="007A2E49"/>
    <w:rsid w:val="007A42C4"/>
    <w:rsid w:val="007A4AA7"/>
    <w:rsid w:val="007A509A"/>
    <w:rsid w:val="007A52FE"/>
    <w:rsid w:val="007B01DF"/>
    <w:rsid w:val="007B323A"/>
    <w:rsid w:val="007B328A"/>
    <w:rsid w:val="007B3AB2"/>
    <w:rsid w:val="007B3C84"/>
    <w:rsid w:val="007B3D50"/>
    <w:rsid w:val="007B4A12"/>
    <w:rsid w:val="007B53EE"/>
    <w:rsid w:val="007B5461"/>
    <w:rsid w:val="007C3875"/>
    <w:rsid w:val="007C75AA"/>
    <w:rsid w:val="007C75B3"/>
    <w:rsid w:val="007D1104"/>
    <w:rsid w:val="007D430C"/>
    <w:rsid w:val="007D7100"/>
    <w:rsid w:val="007E0E09"/>
    <w:rsid w:val="007E12A9"/>
    <w:rsid w:val="007E1B7C"/>
    <w:rsid w:val="007E1CA6"/>
    <w:rsid w:val="007E1FB0"/>
    <w:rsid w:val="007E34F5"/>
    <w:rsid w:val="007E4F22"/>
    <w:rsid w:val="007E7F6E"/>
    <w:rsid w:val="007F0356"/>
    <w:rsid w:val="007F0FA4"/>
    <w:rsid w:val="007F2263"/>
    <w:rsid w:val="007F3531"/>
    <w:rsid w:val="007F3550"/>
    <w:rsid w:val="007F463A"/>
    <w:rsid w:val="007F5EB3"/>
    <w:rsid w:val="007F64CA"/>
    <w:rsid w:val="00800D98"/>
    <w:rsid w:val="008034BB"/>
    <w:rsid w:val="00803FC4"/>
    <w:rsid w:val="00804289"/>
    <w:rsid w:val="00806381"/>
    <w:rsid w:val="0080646A"/>
    <w:rsid w:val="008074BC"/>
    <w:rsid w:val="00811E10"/>
    <w:rsid w:val="008121B4"/>
    <w:rsid w:val="00812A5E"/>
    <w:rsid w:val="00812B1E"/>
    <w:rsid w:val="0081798E"/>
    <w:rsid w:val="00820099"/>
    <w:rsid w:val="008205BE"/>
    <w:rsid w:val="00822A93"/>
    <w:rsid w:val="00823606"/>
    <w:rsid w:val="00823F92"/>
    <w:rsid w:val="00824318"/>
    <w:rsid w:val="008252FB"/>
    <w:rsid w:val="00826D18"/>
    <w:rsid w:val="008315A0"/>
    <w:rsid w:val="008317C9"/>
    <w:rsid w:val="0083344E"/>
    <w:rsid w:val="008341FD"/>
    <w:rsid w:val="00834762"/>
    <w:rsid w:val="00836E97"/>
    <w:rsid w:val="00837647"/>
    <w:rsid w:val="0084032E"/>
    <w:rsid w:val="008428E2"/>
    <w:rsid w:val="00844E34"/>
    <w:rsid w:val="00852787"/>
    <w:rsid w:val="00855168"/>
    <w:rsid w:val="00855534"/>
    <w:rsid w:val="00860226"/>
    <w:rsid w:val="008605E0"/>
    <w:rsid w:val="008622EF"/>
    <w:rsid w:val="00863B47"/>
    <w:rsid w:val="008647B2"/>
    <w:rsid w:val="00867480"/>
    <w:rsid w:val="00867BF8"/>
    <w:rsid w:val="0087229B"/>
    <w:rsid w:val="00873DCC"/>
    <w:rsid w:val="008742B1"/>
    <w:rsid w:val="00874772"/>
    <w:rsid w:val="008748A1"/>
    <w:rsid w:val="00875ACC"/>
    <w:rsid w:val="0087740B"/>
    <w:rsid w:val="008778B4"/>
    <w:rsid w:val="008820F2"/>
    <w:rsid w:val="00883A58"/>
    <w:rsid w:val="008851F2"/>
    <w:rsid w:val="0088533F"/>
    <w:rsid w:val="008867B2"/>
    <w:rsid w:val="00886954"/>
    <w:rsid w:val="00886CA7"/>
    <w:rsid w:val="00887D42"/>
    <w:rsid w:val="008901DC"/>
    <w:rsid w:val="00891A56"/>
    <w:rsid w:val="008924FB"/>
    <w:rsid w:val="00892AA7"/>
    <w:rsid w:val="00893BFD"/>
    <w:rsid w:val="00895132"/>
    <w:rsid w:val="00895877"/>
    <w:rsid w:val="00895D4F"/>
    <w:rsid w:val="008965E1"/>
    <w:rsid w:val="00896818"/>
    <w:rsid w:val="008A0F0A"/>
    <w:rsid w:val="008A1D29"/>
    <w:rsid w:val="008A34D2"/>
    <w:rsid w:val="008A3A63"/>
    <w:rsid w:val="008A5E65"/>
    <w:rsid w:val="008A6468"/>
    <w:rsid w:val="008B0B20"/>
    <w:rsid w:val="008B15BB"/>
    <w:rsid w:val="008B1D18"/>
    <w:rsid w:val="008B1F84"/>
    <w:rsid w:val="008B33F9"/>
    <w:rsid w:val="008B37E0"/>
    <w:rsid w:val="008B5014"/>
    <w:rsid w:val="008B6563"/>
    <w:rsid w:val="008B7D95"/>
    <w:rsid w:val="008C30F6"/>
    <w:rsid w:val="008C5F9B"/>
    <w:rsid w:val="008C7C17"/>
    <w:rsid w:val="008D0609"/>
    <w:rsid w:val="008D0ABB"/>
    <w:rsid w:val="008D0AD9"/>
    <w:rsid w:val="008D2973"/>
    <w:rsid w:val="008D5962"/>
    <w:rsid w:val="008E0029"/>
    <w:rsid w:val="008E17FA"/>
    <w:rsid w:val="008E2BDE"/>
    <w:rsid w:val="008E3839"/>
    <w:rsid w:val="008E4DBA"/>
    <w:rsid w:val="008E5425"/>
    <w:rsid w:val="008E5A78"/>
    <w:rsid w:val="008E6445"/>
    <w:rsid w:val="008E6576"/>
    <w:rsid w:val="008E67BF"/>
    <w:rsid w:val="008E6814"/>
    <w:rsid w:val="008E7B0D"/>
    <w:rsid w:val="008F0FFC"/>
    <w:rsid w:val="008F330D"/>
    <w:rsid w:val="008F3F04"/>
    <w:rsid w:val="008F6701"/>
    <w:rsid w:val="008F7722"/>
    <w:rsid w:val="00902EEA"/>
    <w:rsid w:val="00903532"/>
    <w:rsid w:val="00903CE3"/>
    <w:rsid w:val="0090695F"/>
    <w:rsid w:val="00906DB9"/>
    <w:rsid w:val="009079AC"/>
    <w:rsid w:val="00907F7C"/>
    <w:rsid w:val="00910A99"/>
    <w:rsid w:val="009114B0"/>
    <w:rsid w:val="00912453"/>
    <w:rsid w:val="00913502"/>
    <w:rsid w:val="00913D94"/>
    <w:rsid w:val="00914DF3"/>
    <w:rsid w:val="00921A76"/>
    <w:rsid w:val="009220DF"/>
    <w:rsid w:val="00922154"/>
    <w:rsid w:val="00923924"/>
    <w:rsid w:val="00924788"/>
    <w:rsid w:val="009275F8"/>
    <w:rsid w:val="00930EF5"/>
    <w:rsid w:val="009312A3"/>
    <w:rsid w:val="00931C8E"/>
    <w:rsid w:val="0093392D"/>
    <w:rsid w:val="00934C03"/>
    <w:rsid w:val="00935C09"/>
    <w:rsid w:val="00936129"/>
    <w:rsid w:val="00936673"/>
    <w:rsid w:val="009413E5"/>
    <w:rsid w:val="0094547B"/>
    <w:rsid w:val="00946F33"/>
    <w:rsid w:val="00951096"/>
    <w:rsid w:val="00954252"/>
    <w:rsid w:val="00954903"/>
    <w:rsid w:val="009562F3"/>
    <w:rsid w:val="009568FD"/>
    <w:rsid w:val="009606CF"/>
    <w:rsid w:val="00961115"/>
    <w:rsid w:val="009621DF"/>
    <w:rsid w:val="0096243A"/>
    <w:rsid w:val="009662FE"/>
    <w:rsid w:val="00967BC1"/>
    <w:rsid w:val="00967D4A"/>
    <w:rsid w:val="00971B00"/>
    <w:rsid w:val="0097321B"/>
    <w:rsid w:val="009747B7"/>
    <w:rsid w:val="009757CD"/>
    <w:rsid w:val="009761D3"/>
    <w:rsid w:val="00976249"/>
    <w:rsid w:val="0098083B"/>
    <w:rsid w:val="009815CE"/>
    <w:rsid w:val="00981AF0"/>
    <w:rsid w:val="0098228A"/>
    <w:rsid w:val="00984894"/>
    <w:rsid w:val="009855A2"/>
    <w:rsid w:val="00986063"/>
    <w:rsid w:val="0098686D"/>
    <w:rsid w:val="00987566"/>
    <w:rsid w:val="00987EA3"/>
    <w:rsid w:val="00990BE4"/>
    <w:rsid w:val="00992280"/>
    <w:rsid w:val="00992CF8"/>
    <w:rsid w:val="00996541"/>
    <w:rsid w:val="009A0236"/>
    <w:rsid w:val="009A05F0"/>
    <w:rsid w:val="009A0A5D"/>
    <w:rsid w:val="009A0C9E"/>
    <w:rsid w:val="009A2EDE"/>
    <w:rsid w:val="009A3E43"/>
    <w:rsid w:val="009A5233"/>
    <w:rsid w:val="009A5E65"/>
    <w:rsid w:val="009A73A9"/>
    <w:rsid w:val="009B21EE"/>
    <w:rsid w:val="009B3B56"/>
    <w:rsid w:val="009B45CF"/>
    <w:rsid w:val="009B4BA4"/>
    <w:rsid w:val="009B4BE7"/>
    <w:rsid w:val="009B629A"/>
    <w:rsid w:val="009B7245"/>
    <w:rsid w:val="009B7CE1"/>
    <w:rsid w:val="009C0148"/>
    <w:rsid w:val="009C1C3E"/>
    <w:rsid w:val="009C366A"/>
    <w:rsid w:val="009C3AEA"/>
    <w:rsid w:val="009C4610"/>
    <w:rsid w:val="009C4FA7"/>
    <w:rsid w:val="009C538C"/>
    <w:rsid w:val="009C5AB7"/>
    <w:rsid w:val="009C5F2B"/>
    <w:rsid w:val="009C6E77"/>
    <w:rsid w:val="009C7D41"/>
    <w:rsid w:val="009D0A27"/>
    <w:rsid w:val="009D120F"/>
    <w:rsid w:val="009D16F2"/>
    <w:rsid w:val="009D4131"/>
    <w:rsid w:val="009D450F"/>
    <w:rsid w:val="009D4522"/>
    <w:rsid w:val="009D5938"/>
    <w:rsid w:val="009D5C55"/>
    <w:rsid w:val="009D7586"/>
    <w:rsid w:val="009E09AC"/>
    <w:rsid w:val="009E1366"/>
    <w:rsid w:val="009E2276"/>
    <w:rsid w:val="009E2DC7"/>
    <w:rsid w:val="009E337F"/>
    <w:rsid w:val="009E54D4"/>
    <w:rsid w:val="009E64CE"/>
    <w:rsid w:val="009E6E88"/>
    <w:rsid w:val="009F5723"/>
    <w:rsid w:val="009F5DC1"/>
    <w:rsid w:val="009F6C30"/>
    <w:rsid w:val="009F6FF4"/>
    <w:rsid w:val="009F7BD6"/>
    <w:rsid w:val="00A0074A"/>
    <w:rsid w:val="00A0189D"/>
    <w:rsid w:val="00A031F0"/>
    <w:rsid w:val="00A03E15"/>
    <w:rsid w:val="00A040D8"/>
    <w:rsid w:val="00A06ABB"/>
    <w:rsid w:val="00A06CAB"/>
    <w:rsid w:val="00A06D30"/>
    <w:rsid w:val="00A1038E"/>
    <w:rsid w:val="00A11569"/>
    <w:rsid w:val="00A12314"/>
    <w:rsid w:val="00A13483"/>
    <w:rsid w:val="00A13F96"/>
    <w:rsid w:val="00A153BD"/>
    <w:rsid w:val="00A15D8B"/>
    <w:rsid w:val="00A218B7"/>
    <w:rsid w:val="00A21A68"/>
    <w:rsid w:val="00A2504E"/>
    <w:rsid w:val="00A2604D"/>
    <w:rsid w:val="00A260E6"/>
    <w:rsid w:val="00A275D5"/>
    <w:rsid w:val="00A30743"/>
    <w:rsid w:val="00A31364"/>
    <w:rsid w:val="00A334EC"/>
    <w:rsid w:val="00A337E7"/>
    <w:rsid w:val="00A3415C"/>
    <w:rsid w:val="00A3466C"/>
    <w:rsid w:val="00A44960"/>
    <w:rsid w:val="00A44989"/>
    <w:rsid w:val="00A44EF7"/>
    <w:rsid w:val="00A450AC"/>
    <w:rsid w:val="00A45348"/>
    <w:rsid w:val="00A46345"/>
    <w:rsid w:val="00A50265"/>
    <w:rsid w:val="00A54873"/>
    <w:rsid w:val="00A56ED0"/>
    <w:rsid w:val="00A575CA"/>
    <w:rsid w:val="00A60CC4"/>
    <w:rsid w:val="00A6220B"/>
    <w:rsid w:val="00A62380"/>
    <w:rsid w:val="00A648BF"/>
    <w:rsid w:val="00A65C11"/>
    <w:rsid w:val="00A65FF8"/>
    <w:rsid w:val="00A670EB"/>
    <w:rsid w:val="00A72A47"/>
    <w:rsid w:val="00A73091"/>
    <w:rsid w:val="00A73B6D"/>
    <w:rsid w:val="00A74764"/>
    <w:rsid w:val="00A75623"/>
    <w:rsid w:val="00A7729A"/>
    <w:rsid w:val="00A775F2"/>
    <w:rsid w:val="00A812DE"/>
    <w:rsid w:val="00A8178C"/>
    <w:rsid w:val="00A82297"/>
    <w:rsid w:val="00A827CB"/>
    <w:rsid w:val="00A8425A"/>
    <w:rsid w:val="00A86495"/>
    <w:rsid w:val="00A865BD"/>
    <w:rsid w:val="00A91213"/>
    <w:rsid w:val="00A92BB2"/>
    <w:rsid w:val="00A92DA3"/>
    <w:rsid w:val="00A936DD"/>
    <w:rsid w:val="00A937A8"/>
    <w:rsid w:val="00A9450A"/>
    <w:rsid w:val="00A9570E"/>
    <w:rsid w:val="00A95D38"/>
    <w:rsid w:val="00AA0B3B"/>
    <w:rsid w:val="00AA1721"/>
    <w:rsid w:val="00AA1E28"/>
    <w:rsid w:val="00AA34BD"/>
    <w:rsid w:val="00AA5304"/>
    <w:rsid w:val="00AA5BD1"/>
    <w:rsid w:val="00AA60CC"/>
    <w:rsid w:val="00AA632A"/>
    <w:rsid w:val="00AB1318"/>
    <w:rsid w:val="00AB5936"/>
    <w:rsid w:val="00AB5B3F"/>
    <w:rsid w:val="00AC0B06"/>
    <w:rsid w:val="00AC1D82"/>
    <w:rsid w:val="00AC3C0E"/>
    <w:rsid w:val="00AC7073"/>
    <w:rsid w:val="00AC7B67"/>
    <w:rsid w:val="00AD03A0"/>
    <w:rsid w:val="00AD0C0F"/>
    <w:rsid w:val="00AD141F"/>
    <w:rsid w:val="00AD182A"/>
    <w:rsid w:val="00AD1A35"/>
    <w:rsid w:val="00AD1D12"/>
    <w:rsid w:val="00AD2E70"/>
    <w:rsid w:val="00AD2FCF"/>
    <w:rsid w:val="00AD329D"/>
    <w:rsid w:val="00AD51CF"/>
    <w:rsid w:val="00AD5804"/>
    <w:rsid w:val="00AD5BD5"/>
    <w:rsid w:val="00AD648E"/>
    <w:rsid w:val="00AD6E1B"/>
    <w:rsid w:val="00AD6E7F"/>
    <w:rsid w:val="00AD6F2F"/>
    <w:rsid w:val="00AD7EF6"/>
    <w:rsid w:val="00AE178A"/>
    <w:rsid w:val="00AE1D66"/>
    <w:rsid w:val="00AE3849"/>
    <w:rsid w:val="00AE4386"/>
    <w:rsid w:val="00AE4AE0"/>
    <w:rsid w:val="00AE5CA4"/>
    <w:rsid w:val="00AE6ABC"/>
    <w:rsid w:val="00AE7C63"/>
    <w:rsid w:val="00AE7FBB"/>
    <w:rsid w:val="00AF0DCF"/>
    <w:rsid w:val="00AF1428"/>
    <w:rsid w:val="00AF1472"/>
    <w:rsid w:val="00AF4065"/>
    <w:rsid w:val="00AF441F"/>
    <w:rsid w:val="00AF5A3C"/>
    <w:rsid w:val="00AF6811"/>
    <w:rsid w:val="00B01405"/>
    <w:rsid w:val="00B036B8"/>
    <w:rsid w:val="00B03F37"/>
    <w:rsid w:val="00B04FC2"/>
    <w:rsid w:val="00B05503"/>
    <w:rsid w:val="00B06CC6"/>
    <w:rsid w:val="00B1060B"/>
    <w:rsid w:val="00B114CD"/>
    <w:rsid w:val="00B1298E"/>
    <w:rsid w:val="00B13488"/>
    <w:rsid w:val="00B1441C"/>
    <w:rsid w:val="00B16C3F"/>
    <w:rsid w:val="00B16F10"/>
    <w:rsid w:val="00B21C90"/>
    <w:rsid w:val="00B26104"/>
    <w:rsid w:val="00B274BB"/>
    <w:rsid w:val="00B30FE3"/>
    <w:rsid w:val="00B329DE"/>
    <w:rsid w:val="00B3301F"/>
    <w:rsid w:val="00B33413"/>
    <w:rsid w:val="00B33A24"/>
    <w:rsid w:val="00B33DC8"/>
    <w:rsid w:val="00B36D48"/>
    <w:rsid w:val="00B4280F"/>
    <w:rsid w:val="00B428FA"/>
    <w:rsid w:val="00B46327"/>
    <w:rsid w:val="00B46972"/>
    <w:rsid w:val="00B52310"/>
    <w:rsid w:val="00B52F9D"/>
    <w:rsid w:val="00B54C9C"/>
    <w:rsid w:val="00B5646E"/>
    <w:rsid w:val="00B56FB1"/>
    <w:rsid w:val="00B57314"/>
    <w:rsid w:val="00B577D5"/>
    <w:rsid w:val="00B60368"/>
    <w:rsid w:val="00B622AC"/>
    <w:rsid w:val="00B628B4"/>
    <w:rsid w:val="00B62931"/>
    <w:rsid w:val="00B62C95"/>
    <w:rsid w:val="00B64D87"/>
    <w:rsid w:val="00B64E55"/>
    <w:rsid w:val="00B658F4"/>
    <w:rsid w:val="00B670E3"/>
    <w:rsid w:val="00B708CA"/>
    <w:rsid w:val="00B70EF7"/>
    <w:rsid w:val="00B72439"/>
    <w:rsid w:val="00B729EB"/>
    <w:rsid w:val="00B74D80"/>
    <w:rsid w:val="00B75069"/>
    <w:rsid w:val="00B76CCD"/>
    <w:rsid w:val="00B77629"/>
    <w:rsid w:val="00B80C4F"/>
    <w:rsid w:val="00B837D0"/>
    <w:rsid w:val="00B83D5B"/>
    <w:rsid w:val="00B91B39"/>
    <w:rsid w:val="00B91C18"/>
    <w:rsid w:val="00B93CB1"/>
    <w:rsid w:val="00B95342"/>
    <w:rsid w:val="00B95E93"/>
    <w:rsid w:val="00B96530"/>
    <w:rsid w:val="00B96D2F"/>
    <w:rsid w:val="00B97575"/>
    <w:rsid w:val="00B975B9"/>
    <w:rsid w:val="00B979C6"/>
    <w:rsid w:val="00BA3EFF"/>
    <w:rsid w:val="00BA44A0"/>
    <w:rsid w:val="00BA58B0"/>
    <w:rsid w:val="00BA6ED9"/>
    <w:rsid w:val="00BA714E"/>
    <w:rsid w:val="00BB0937"/>
    <w:rsid w:val="00BB3761"/>
    <w:rsid w:val="00BB4847"/>
    <w:rsid w:val="00BB5C1E"/>
    <w:rsid w:val="00BB6622"/>
    <w:rsid w:val="00BC0FBF"/>
    <w:rsid w:val="00BC22B6"/>
    <w:rsid w:val="00BC76AE"/>
    <w:rsid w:val="00BD0743"/>
    <w:rsid w:val="00BD084A"/>
    <w:rsid w:val="00BD0C7C"/>
    <w:rsid w:val="00BD14AD"/>
    <w:rsid w:val="00BD20E9"/>
    <w:rsid w:val="00BD3400"/>
    <w:rsid w:val="00BD40CF"/>
    <w:rsid w:val="00BD4BEA"/>
    <w:rsid w:val="00BD508C"/>
    <w:rsid w:val="00BD5802"/>
    <w:rsid w:val="00BE09AE"/>
    <w:rsid w:val="00BE2CBA"/>
    <w:rsid w:val="00BE2E94"/>
    <w:rsid w:val="00BE478E"/>
    <w:rsid w:val="00BE4A2A"/>
    <w:rsid w:val="00BE58D1"/>
    <w:rsid w:val="00BE5BE6"/>
    <w:rsid w:val="00BE639D"/>
    <w:rsid w:val="00BE6F99"/>
    <w:rsid w:val="00BF025B"/>
    <w:rsid w:val="00BF14E1"/>
    <w:rsid w:val="00BF4C8F"/>
    <w:rsid w:val="00BF6111"/>
    <w:rsid w:val="00C02F6E"/>
    <w:rsid w:val="00C03836"/>
    <w:rsid w:val="00C0489E"/>
    <w:rsid w:val="00C06129"/>
    <w:rsid w:val="00C07C59"/>
    <w:rsid w:val="00C1047B"/>
    <w:rsid w:val="00C10C00"/>
    <w:rsid w:val="00C10F9B"/>
    <w:rsid w:val="00C11FAE"/>
    <w:rsid w:val="00C13197"/>
    <w:rsid w:val="00C13530"/>
    <w:rsid w:val="00C13A30"/>
    <w:rsid w:val="00C13F5A"/>
    <w:rsid w:val="00C143D4"/>
    <w:rsid w:val="00C143F7"/>
    <w:rsid w:val="00C167EE"/>
    <w:rsid w:val="00C20FEF"/>
    <w:rsid w:val="00C23A37"/>
    <w:rsid w:val="00C25A91"/>
    <w:rsid w:val="00C25D53"/>
    <w:rsid w:val="00C26A7D"/>
    <w:rsid w:val="00C26BC0"/>
    <w:rsid w:val="00C274F0"/>
    <w:rsid w:val="00C30A07"/>
    <w:rsid w:val="00C329EF"/>
    <w:rsid w:val="00C341A2"/>
    <w:rsid w:val="00C34ACF"/>
    <w:rsid w:val="00C365DB"/>
    <w:rsid w:val="00C378CE"/>
    <w:rsid w:val="00C40AA1"/>
    <w:rsid w:val="00C411ED"/>
    <w:rsid w:val="00C4218F"/>
    <w:rsid w:val="00C42E84"/>
    <w:rsid w:val="00C44313"/>
    <w:rsid w:val="00C44A68"/>
    <w:rsid w:val="00C47AB6"/>
    <w:rsid w:val="00C504EE"/>
    <w:rsid w:val="00C5185B"/>
    <w:rsid w:val="00C51DAE"/>
    <w:rsid w:val="00C51FBB"/>
    <w:rsid w:val="00C53326"/>
    <w:rsid w:val="00C6077D"/>
    <w:rsid w:val="00C60D0D"/>
    <w:rsid w:val="00C617D3"/>
    <w:rsid w:val="00C61A8A"/>
    <w:rsid w:val="00C61D72"/>
    <w:rsid w:val="00C621B9"/>
    <w:rsid w:val="00C6325D"/>
    <w:rsid w:val="00C64333"/>
    <w:rsid w:val="00C647AD"/>
    <w:rsid w:val="00C657F8"/>
    <w:rsid w:val="00C66047"/>
    <w:rsid w:val="00C66F15"/>
    <w:rsid w:val="00C67020"/>
    <w:rsid w:val="00C71D10"/>
    <w:rsid w:val="00C7206C"/>
    <w:rsid w:val="00C7244D"/>
    <w:rsid w:val="00C748C6"/>
    <w:rsid w:val="00C75925"/>
    <w:rsid w:val="00C7732E"/>
    <w:rsid w:val="00C80799"/>
    <w:rsid w:val="00C83153"/>
    <w:rsid w:val="00C8357C"/>
    <w:rsid w:val="00C83656"/>
    <w:rsid w:val="00C83B7B"/>
    <w:rsid w:val="00C85F47"/>
    <w:rsid w:val="00C860A4"/>
    <w:rsid w:val="00C86459"/>
    <w:rsid w:val="00C873DC"/>
    <w:rsid w:val="00C926D8"/>
    <w:rsid w:val="00C94141"/>
    <w:rsid w:val="00C9414C"/>
    <w:rsid w:val="00C944BE"/>
    <w:rsid w:val="00C9780A"/>
    <w:rsid w:val="00CA1D19"/>
    <w:rsid w:val="00CA2068"/>
    <w:rsid w:val="00CA3818"/>
    <w:rsid w:val="00CA3962"/>
    <w:rsid w:val="00CA5807"/>
    <w:rsid w:val="00CA59B6"/>
    <w:rsid w:val="00CA701F"/>
    <w:rsid w:val="00CA7B51"/>
    <w:rsid w:val="00CB0B1F"/>
    <w:rsid w:val="00CB1506"/>
    <w:rsid w:val="00CB2AC5"/>
    <w:rsid w:val="00CB3F8B"/>
    <w:rsid w:val="00CB4211"/>
    <w:rsid w:val="00CB450F"/>
    <w:rsid w:val="00CB6708"/>
    <w:rsid w:val="00CB6863"/>
    <w:rsid w:val="00CB78E1"/>
    <w:rsid w:val="00CB7B2E"/>
    <w:rsid w:val="00CC122B"/>
    <w:rsid w:val="00CC13F9"/>
    <w:rsid w:val="00CC2661"/>
    <w:rsid w:val="00CC6365"/>
    <w:rsid w:val="00CC6B4A"/>
    <w:rsid w:val="00CD0ADE"/>
    <w:rsid w:val="00CD0C0B"/>
    <w:rsid w:val="00CD119D"/>
    <w:rsid w:val="00CD1A3C"/>
    <w:rsid w:val="00CD2650"/>
    <w:rsid w:val="00CD4A86"/>
    <w:rsid w:val="00CD65C1"/>
    <w:rsid w:val="00CD6DC7"/>
    <w:rsid w:val="00CE15BE"/>
    <w:rsid w:val="00CE1D8A"/>
    <w:rsid w:val="00CE2218"/>
    <w:rsid w:val="00CE2E5B"/>
    <w:rsid w:val="00CE3E41"/>
    <w:rsid w:val="00CE4271"/>
    <w:rsid w:val="00CE69D2"/>
    <w:rsid w:val="00CF1EF7"/>
    <w:rsid w:val="00CF3428"/>
    <w:rsid w:val="00CF39C2"/>
    <w:rsid w:val="00CF3D88"/>
    <w:rsid w:val="00CF5AF7"/>
    <w:rsid w:val="00CF5FF7"/>
    <w:rsid w:val="00CF681D"/>
    <w:rsid w:val="00CF6878"/>
    <w:rsid w:val="00CF6E78"/>
    <w:rsid w:val="00CF6F19"/>
    <w:rsid w:val="00D01949"/>
    <w:rsid w:val="00D01DE9"/>
    <w:rsid w:val="00D0258A"/>
    <w:rsid w:val="00D037CF"/>
    <w:rsid w:val="00D06539"/>
    <w:rsid w:val="00D06591"/>
    <w:rsid w:val="00D07377"/>
    <w:rsid w:val="00D11705"/>
    <w:rsid w:val="00D11E0D"/>
    <w:rsid w:val="00D1210D"/>
    <w:rsid w:val="00D12707"/>
    <w:rsid w:val="00D12A5A"/>
    <w:rsid w:val="00D1308C"/>
    <w:rsid w:val="00D134A7"/>
    <w:rsid w:val="00D138BC"/>
    <w:rsid w:val="00D14B88"/>
    <w:rsid w:val="00D16982"/>
    <w:rsid w:val="00D16AE3"/>
    <w:rsid w:val="00D2032C"/>
    <w:rsid w:val="00D228DA"/>
    <w:rsid w:val="00D249A8"/>
    <w:rsid w:val="00D24FAD"/>
    <w:rsid w:val="00D26535"/>
    <w:rsid w:val="00D27F28"/>
    <w:rsid w:val="00D30A7C"/>
    <w:rsid w:val="00D36EBE"/>
    <w:rsid w:val="00D3727A"/>
    <w:rsid w:val="00D3791E"/>
    <w:rsid w:val="00D409BD"/>
    <w:rsid w:val="00D41388"/>
    <w:rsid w:val="00D42CEF"/>
    <w:rsid w:val="00D458D5"/>
    <w:rsid w:val="00D45A53"/>
    <w:rsid w:val="00D46D6D"/>
    <w:rsid w:val="00D50E4D"/>
    <w:rsid w:val="00D51717"/>
    <w:rsid w:val="00D53FC3"/>
    <w:rsid w:val="00D5484F"/>
    <w:rsid w:val="00D54CAD"/>
    <w:rsid w:val="00D55946"/>
    <w:rsid w:val="00D55F73"/>
    <w:rsid w:val="00D56051"/>
    <w:rsid w:val="00D56629"/>
    <w:rsid w:val="00D5674B"/>
    <w:rsid w:val="00D567AC"/>
    <w:rsid w:val="00D601A8"/>
    <w:rsid w:val="00D60E51"/>
    <w:rsid w:val="00D64504"/>
    <w:rsid w:val="00D64F12"/>
    <w:rsid w:val="00D64FBC"/>
    <w:rsid w:val="00D65B39"/>
    <w:rsid w:val="00D6748C"/>
    <w:rsid w:val="00D67B68"/>
    <w:rsid w:val="00D67E9B"/>
    <w:rsid w:val="00D703FE"/>
    <w:rsid w:val="00D706E6"/>
    <w:rsid w:val="00D713A4"/>
    <w:rsid w:val="00D73F0D"/>
    <w:rsid w:val="00D75188"/>
    <w:rsid w:val="00D75B37"/>
    <w:rsid w:val="00D75CEF"/>
    <w:rsid w:val="00D7679A"/>
    <w:rsid w:val="00D8004D"/>
    <w:rsid w:val="00D81459"/>
    <w:rsid w:val="00D8145F"/>
    <w:rsid w:val="00D83603"/>
    <w:rsid w:val="00D83673"/>
    <w:rsid w:val="00D84141"/>
    <w:rsid w:val="00D86787"/>
    <w:rsid w:val="00D867FB"/>
    <w:rsid w:val="00D907C1"/>
    <w:rsid w:val="00D92D1E"/>
    <w:rsid w:val="00D957E4"/>
    <w:rsid w:val="00D97D46"/>
    <w:rsid w:val="00DA1720"/>
    <w:rsid w:val="00DA1E5E"/>
    <w:rsid w:val="00DA57F8"/>
    <w:rsid w:val="00DB1405"/>
    <w:rsid w:val="00DB25CC"/>
    <w:rsid w:val="00DB30BB"/>
    <w:rsid w:val="00DB3954"/>
    <w:rsid w:val="00DB5319"/>
    <w:rsid w:val="00DB5F96"/>
    <w:rsid w:val="00DB68F8"/>
    <w:rsid w:val="00DC05C0"/>
    <w:rsid w:val="00DC1E68"/>
    <w:rsid w:val="00DC1E91"/>
    <w:rsid w:val="00DC2A7F"/>
    <w:rsid w:val="00DC3456"/>
    <w:rsid w:val="00DC4823"/>
    <w:rsid w:val="00DC4FAB"/>
    <w:rsid w:val="00DD0516"/>
    <w:rsid w:val="00DD0DDE"/>
    <w:rsid w:val="00DD11E7"/>
    <w:rsid w:val="00DD135D"/>
    <w:rsid w:val="00DD3326"/>
    <w:rsid w:val="00DD37D3"/>
    <w:rsid w:val="00DD4146"/>
    <w:rsid w:val="00DD4F41"/>
    <w:rsid w:val="00DD5D7F"/>
    <w:rsid w:val="00DD5F50"/>
    <w:rsid w:val="00DD7DCA"/>
    <w:rsid w:val="00DE00B8"/>
    <w:rsid w:val="00DE1701"/>
    <w:rsid w:val="00DE5A5C"/>
    <w:rsid w:val="00DE6CCF"/>
    <w:rsid w:val="00DE7AD9"/>
    <w:rsid w:val="00DF09C8"/>
    <w:rsid w:val="00DF0A2F"/>
    <w:rsid w:val="00DF125E"/>
    <w:rsid w:val="00DF1BB4"/>
    <w:rsid w:val="00DF2A2E"/>
    <w:rsid w:val="00DF2BCC"/>
    <w:rsid w:val="00DF3CA2"/>
    <w:rsid w:val="00DF4983"/>
    <w:rsid w:val="00DF5541"/>
    <w:rsid w:val="00DF6E58"/>
    <w:rsid w:val="00DF7D9A"/>
    <w:rsid w:val="00E016F6"/>
    <w:rsid w:val="00E02373"/>
    <w:rsid w:val="00E03C97"/>
    <w:rsid w:val="00E062B7"/>
    <w:rsid w:val="00E14BE8"/>
    <w:rsid w:val="00E14CBA"/>
    <w:rsid w:val="00E16021"/>
    <w:rsid w:val="00E16529"/>
    <w:rsid w:val="00E17132"/>
    <w:rsid w:val="00E20BE9"/>
    <w:rsid w:val="00E21E1C"/>
    <w:rsid w:val="00E22FAB"/>
    <w:rsid w:val="00E254A5"/>
    <w:rsid w:val="00E26D73"/>
    <w:rsid w:val="00E273CB"/>
    <w:rsid w:val="00E27EF7"/>
    <w:rsid w:val="00E30D2F"/>
    <w:rsid w:val="00E31812"/>
    <w:rsid w:val="00E31922"/>
    <w:rsid w:val="00E32C95"/>
    <w:rsid w:val="00E37486"/>
    <w:rsid w:val="00E37E27"/>
    <w:rsid w:val="00E37E43"/>
    <w:rsid w:val="00E37F89"/>
    <w:rsid w:val="00E40295"/>
    <w:rsid w:val="00E409A0"/>
    <w:rsid w:val="00E4214D"/>
    <w:rsid w:val="00E42B6F"/>
    <w:rsid w:val="00E42D75"/>
    <w:rsid w:val="00E43A57"/>
    <w:rsid w:val="00E4538A"/>
    <w:rsid w:val="00E45EE5"/>
    <w:rsid w:val="00E51593"/>
    <w:rsid w:val="00E52220"/>
    <w:rsid w:val="00E524AB"/>
    <w:rsid w:val="00E545B0"/>
    <w:rsid w:val="00E5721F"/>
    <w:rsid w:val="00E61F91"/>
    <w:rsid w:val="00E66AF0"/>
    <w:rsid w:val="00E671EE"/>
    <w:rsid w:val="00E67D4C"/>
    <w:rsid w:val="00E70389"/>
    <w:rsid w:val="00E71D1F"/>
    <w:rsid w:val="00E72AE7"/>
    <w:rsid w:val="00E72F3C"/>
    <w:rsid w:val="00E756FA"/>
    <w:rsid w:val="00E759DD"/>
    <w:rsid w:val="00E767EC"/>
    <w:rsid w:val="00E770B3"/>
    <w:rsid w:val="00E82C29"/>
    <w:rsid w:val="00E830CA"/>
    <w:rsid w:val="00E835CC"/>
    <w:rsid w:val="00E85638"/>
    <w:rsid w:val="00E85703"/>
    <w:rsid w:val="00E86210"/>
    <w:rsid w:val="00E872D3"/>
    <w:rsid w:val="00E926A6"/>
    <w:rsid w:val="00E934C2"/>
    <w:rsid w:val="00E943D0"/>
    <w:rsid w:val="00E94723"/>
    <w:rsid w:val="00E95915"/>
    <w:rsid w:val="00E95EC5"/>
    <w:rsid w:val="00E96B69"/>
    <w:rsid w:val="00E96F7C"/>
    <w:rsid w:val="00EA2456"/>
    <w:rsid w:val="00EA3189"/>
    <w:rsid w:val="00EA54EC"/>
    <w:rsid w:val="00EA65B4"/>
    <w:rsid w:val="00EA7CF4"/>
    <w:rsid w:val="00EB36DB"/>
    <w:rsid w:val="00EB433D"/>
    <w:rsid w:val="00EB4C4A"/>
    <w:rsid w:val="00EB6B6D"/>
    <w:rsid w:val="00EB7D29"/>
    <w:rsid w:val="00EC0785"/>
    <w:rsid w:val="00EC1657"/>
    <w:rsid w:val="00EC2BF0"/>
    <w:rsid w:val="00EC3592"/>
    <w:rsid w:val="00EC4054"/>
    <w:rsid w:val="00ED03BE"/>
    <w:rsid w:val="00ED0933"/>
    <w:rsid w:val="00ED1A54"/>
    <w:rsid w:val="00ED64D2"/>
    <w:rsid w:val="00ED655B"/>
    <w:rsid w:val="00ED6F24"/>
    <w:rsid w:val="00EE0473"/>
    <w:rsid w:val="00EE0640"/>
    <w:rsid w:val="00EE1FBD"/>
    <w:rsid w:val="00EE3027"/>
    <w:rsid w:val="00EE3BB4"/>
    <w:rsid w:val="00EE459F"/>
    <w:rsid w:val="00EE465F"/>
    <w:rsid w:val="00EE50BA"/>
    <w:rsid w:val="00EE61BC"/>
    <w:rsid w:val="00EE6630"/>
    <w:rsid w:val="00EF338C"/>
    <w:rsid w:val="00EF3661"/>
    <w:rsid w:val="00EF42D8"/>
    <w:rsid w:val="00EF530C"/>
    <w:rsid w:val="00EF657D"/>
    <w:rsid w:val="00EF6BEF"/>
    <w:rsid w:val="00EF6DC4"/>
    <w:rsid w:val="00EF6F58"/>
    <w:rsid w:val="00F01DA9"/>
    <w:rsid w:val="00F02069"/>
    <w:rsid w:val="00F05069"/>
    <w:rsid w:val="00F0588D"/>
    <w:rsid w:val="00F06A62"/>
    <w:rsid w:val="00F078D6"/>
    <w:rsid w:val="00F13075"/>
    <w:rsid w:val="00F13F51"/>
    <w:rsid w:val="00F14E24"/>
    <w:rsid w:val="00F15B49"/>
    <w:rsid w:val="00F166FA"/>
    <w:rsid w:val="00F210A6"/>
    <w:rsid w:val="00F21467"/>
    <w:rsid w:val="00F215B0"/>
    <w:rsid w:val="00F24C25"/>
    <w:rsid w:val="00F253D7"/>
    <w:rsid w:val="00F3025E"/>
    <w:rsid w:val="00F3108D"/>
    <w:rsid w:val="00F31344"/>
    <w:rsid w:val="00F3161F"/>
    <w:rsid w:val="00F319FC"/>
    <w:rsid w:val="00F32248"/>
    <w:rsid w:val="00F33C79"/>
    <w:rsid w:val="00F33F78"/>
    <w:rsid w:val="00F34DC9"/>
    <w:rsid w:val="00F3698B"/>
    <w:rsid w:val="00F40E70"/>
    <w:rsid w:val="00F4208E"/>
    <w:rsid w:val="00F42E1C"/>
    <w:rsid w:val="00F444A1"/>
    <w:rsid w:val="00F45C41"/>
    <w:rsid w:val="00F45CCE"/>
    <w:rsid w:val="00F523CC"/>
    <w:rsid w:val="00F52908"/>
    <w:rsid w:val="00F55F59"/>
    <w:rsid w:val="00F56081"/>
    <w:rsid w:val="00F566AF"/>
    <w:rsid w:val="00F56E3E"/>
    <w:rsid w:val="00F56F91"/>
    <w:rsid w:val="00F61E77"/>
    <w:rsid w:val="00F63B67"/>
    <w:rsid w:val="00F65F94"/>
    <w:rsid w:val="00F66300"/>
    <w:rsid w:val="00F664C2"/>
    <w:rsid w:val="00F66F05"/>
    <w:rsid w:val="00F66F34"/>
    <w:rsid w:val="00F707D6"/>
    <w:rsid w:val="00F731D4"/>
    <w:rsid w:val="00F73F39"/>
    <w:rsid w:val="00F804FE"/>
    <w:rsid w:val="00F81D41"/>
    <w:rsid w:val="00F82BE7"/>
    <w:rsid w:val="00F85E2E"/>
    <w:rsid w:val="00F86CDB"/>
    <w:rsid w:val="00F903A4"/>
    <w:rsid w:val="00F9056E"/>
    <w:rsid w:val="00F9110F"/>
    <w:rsid w:val="00F928A3"/>
    <w:rsid w:val="00F92ED9"/>
    <w:rsid w:val="00F9586B"/>
    <w:rsid w:val="00F97E3C"/>
    <w:rsid w:val="00F97E7F"/>
    <w:rsid w:val="00FA2B41"/>
    <w:rsid w:val="00FA55D4"/>
    <w:rsid w:val="00FA65B5"/>
    <w:rsid w:val="00FA7718"/>
    <w:rsid w:val="00FA7776"/>
    <w:rsid w:val="00FA79A9"/>
    <w:rsid w:val="00FB00E3"/>
    <w:rsid w:val="00FB0FA8"/>
    <w:rsid w:val="00FB1163"/>
    <w:rsid w:val="00FB3693"/>
    <w:rsid w:val="00FB45B9"/>
    <w:rsid w:val="00FB540C"/>
    <w:rsid w:val="00FB637F"/>
    <w:rsid w:val="00FB641D"/>
    <w:rsid w:val="00FB7853"/>
    <w:rsid w:val="00FC44AB"/>
    <w:rsid w:val="00FC4CE1"/>
    <w:rsid w:val="00FC6F53"/>
    <w:rsid w:val="00FD335D"/>
    <w:rsid w:val="00FD48EF"/>
    <w:rsid w:val="00FD4CB6"/>
    <w:rsid w:val="00FD4DAC"/>
    <w:rsid w:val="00FD5671"/>
    <w:rsid w:val="00FD58C3"/>
    <w:rsid w:val="00FD615E"/>
    <w:rsid w:val="00FD6BEC"/>
    <w:rsid w:val="00FE2E83"/>
    <w:rsid w:val="00FE3BD7"/>
    <w:rsid w:val="00FE3C0B"/>
    <w:rsid w:val="00FE64CE"/>
    <w:rsid w:val="00FE780D"/>
    <w:rsid w:val="00FE79F9"/>
    <w:rsid w:val="00FF08F3"/>
    <w:rsid w:val="00FF2196"/>
    <w:rsid w:val="00FF4DAB"/>
    <w:rsid w:val="00FF4E39"/>
    <w:rsid w:val="00FF5668"/>
    <w:rsid w:val="00FF63BB"/>
    <w:rsid w:val="00FF70E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691732"/>
  <w15:chartTrackingRefBased/>
  <w15:docId w15:val="{2114F69B-C40E-4BF0-84D7-4D2588F04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7A2E4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AD6E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List Paragraph,4 Viñ 1nivel,Estilo0,CNBV Parrafo1,Numeración 1,Bullet List,FooterText,numbered,List Paragraph1,Paragraphe de liste1,Bulletr List Paragraph,列出段落,列出段落1,Cuadros,Lista general,Cuadrícula media 1 - Énfasis 21"/>
    <w:basedOn w:val="Normal"/>
    <w:link w:val="PrrafodelistaCar"/>
    <w:uiPriority w:val="1"/>
    <w:qFormat/>
    <w:rsid w:val="009D7586"/>
    <w:pPr>
      <w:ind w:left="720"/>
      <w:contextualSpacing/>
    </w:pPr>
  </w:style>
  <w:style w:type="paragraph" w:styleId="Textoindependiente">
    <w:name w:val="Body Text"/>
    <w:basedOn w:val="Normal"/>
    <w:link w:val="TextoindependienteCar"/>
    <w:rsid w:val="00E254A5"/>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E254A5"/>
    <w:rPr>
      <w:rFonts w:ascii="Times New Roman" w:eastAsia="Times New Roman" w:hAnsi="Times New Roman" w:cs="Times New Roman"/>
      <w:sz w:val="24"/>
      <w:szCs w:val="24"/>
      <w:lang w:val="es-ES" w:eastAsia="es-ES"/>
    </w:rPr>
  </w:style>
  <w:style w:type="paragraph" w:customStyle="1" w:styleId="c2">
    <w:name w:val="c2"/>
    <w:basedOn w:val="Normal"/>
    <w:rsid w:val="007A42C4"/>
    <w:pPr>
      <w:widowControl w:val="0"/>
      <w:autoSpaceDE w:val="0"/>
      <w:autoSpaceDN w:val="0"/>
      <w:adjustRightInd w:val="0"/>
      <w:spacing w:after="0" w:line="240" w:lineRule="auto"/>
      <w:jc w:val="center"/>
    </w:pPr>
    <w:rPr>
      <w:rFonts w:ascii="Times New Roman" w:eastAsia="Times New Roman" w:hAnsi="Times New Roman" w:cs="Times New Roman"/>
      <w:sz w:val="24"/>
      <w:szCs w:val="24"/>
      <w:lang w:val="en-US" w:eastAsia="es-ES"/>
    </w:rPr>
  </w:style>
  <w:style w:type="paragraph" w:styleId="Textodeglobo">
    <w:name w:val="Balloon Text"/>
    <w:basedOn w:val="Normal"/>
    <w:link w:val="TextodegloboCar"/>
    <w:uiPriority w:val="99"/>
    <w:semiHidden/>
    <w:unhideWhenUsed/>
    <w:rsid w:val="0032753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27536"/>
    <w:rPr>
      <w:rFonts w:ascii="Segoe UI" w:hAnsi="Segoe UI" w:cs="Segoe UI"/>
      <w:sz w:val="18"/>
      <w:szCs w:val="18"/>
    </w:rPr>
  </w:style>
  <w:style w:type="character" w:styleId="Refdecomentario">
    <w:name w:val="annotation reference"/>
    <w:basedOn w:val="Fuentedeprrafopredeter"/>
    <w:uiPriority w:val="99"/>
    <w:semiHidden/>
    <w:unhideWhenUsed/>
    <w:rsid w:val="002A7DB8"/>
    <w:rPr>
      <w:sz w:val="16"/>
      <w:szCs w:val="16"/>
    </w:rPr>
  </w:style>
  <w:style w:type="paragraph" w:styleId="Textocomentario">
    <w:name w:val="annotation text"/>
    <w:basedOn w:val="Normal"/>
    <w:link w:val="TextocomentarioCar"/>
    <w:uiPriority w:val="99"/>
    <w:unhideWhenUsed/>
    <w:rsid w:val="002A7DB8"/>
    <w:pPr>
      <w:spacing w:line="240" w:lineRule="auto"/>
    </w:pPr>
    <w:rPr>
      <w:sz w:val="20"/>
      <w:szCs w:val="20"/>
    </w:rPr>
  </w:style>
  <w:style w:type="character" w:customStyle="1" w:styleId="TextocomentarioCar">
    <w:name w:val="Texto comentario Car"/>
    <w:basedOn w:val="Fuentedeprrafopredeter"/>
    <w:link w:val="Textocomentario"/>
    <w:uiPriority w:val="99"/>
    <w:rsid w:val="002A7DB8"/>
    <w:rPr>
      <w:sz w:val="20"/>
      <w:szCs w:val="20"/>
    </w:rPr>
  </w:style>
  <w:style w:type="paragraph" w:styleId="Asuntodelcomentario">
    <w:name w:val="annotation subject"/>
    <w:basedOn w:val="Textocomentario"/>
    <w:next w:val="Textocomentario"/>
    <w:link w:val="AsuntodelcomentarioCar"/>
    <w:uiPriority w:val="99"/>
    <w:semiHidden/>
    <w:unhideWhenUsed/>
    <w:rsid w:val="002A7DB8"/>
    <w:rPr>
      <w:b/>
      <w:bCs/>
    </w:rPr>
  </w:style>
  <w:style w:type="character" w:customStyle="1" w:styleId="AsuntodelcomentarioCar">
    <w:name w:val="Asunto del comentario Car"/>
    <w:basedOn w:val="TextocomentarioCar"/>
    <w:link w:val="Asuntodelcomentario"/>
    <w:uiPriority w:val="99"/>
    <w:semiHidden/>
    <w:rsid w:val="002A7DB8"/>
    <w:rPr>
      <w:b/>
      <w:bCs/>
      <w:sz w:val="20"/>
      <w:szCs w:val="20"/>
    </w:rPr>
  </w:style>
  <w:style w:type="paragraph" w:styleId="Revisin">
    <w:name w:val="Revision"/>
    <w:hidden/>
    <w:uiPriority w:val="99"/>
    <w:semiHidden/>
    <w:rsid w:val="00E43A57"/>
    <w:pPr>
      <w:spacing w:after="0" w:line="240" w:lineRule="auto"/>
    </w:pPr>
  </w:style>
  <w:style w:type="paragraph" w:customStyle="1" w:styleId="Texto">
    <w:name w:val="Texto"/>
    <w:basedOn w:val="Normal"/>
    <w:link w:val="TextoCar"/>
    <w:rsid w:val="00F928A3"/>
    <w:pPr>
      <w:spacing w:after="101" w:line="216" w:lineRule="exact"/>
      <w:ind w:firstLine="288"/>
      <w:jc w:val="both"/>
    </w:pPr>
    <w:rPr>
      <w:rFonts w:ascii="Arial" w:eastAsia="Times New Roman" w:hAnsi="Arial" w:cs="Times New Roman"/>
      <w:sz w:val="18"/>
      <w:szCs w:val="20"/>
      <w:lang w:val="es-ES" w:eastAsia="es-ES"/>
    </w:rPr>
  </w:style>
  <w:style w:type="character" w:customStyle="1" w:styleId="TextoCar">
    <w:name w:val="Texto Car"/>
    <w:link w:val="Texto"/>
    <w:locked/>
    <w:rsid w:val="00F928A3"/>
    <w:rPr>
      <w:rFonts w:ascii="Arial" w:eastAsia="Times New Roman" w:hAnsi="Arial" w:cs="Times New Roman"/>
      <w:sz w:val="18"/>
      <w:szCs w:val="20"/>
      <w:lang w:val="es-ES" w:eastAsia="es-ES"/>
    </w:rPr>
  </w:style>
  <w:style w:type="paragraph" w:styleId="Encabezado">
    <w:name w:val="header"/>
    <w:basedOn w:val="Normal"/>
    <w:link w:val="EncabezadoCar"/>
    <w:uiPriority w:val="99"/>
    <w:unhideWhenUsed/>
    <w:rsid w:val="00E756F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756FA"/>
  </w:style>
  <w:style w:type="paragraph" w:styleId="Piedepgina">
    <w:name w:val="footer"/>
    <w:basedOn w:val="Normal"/>
    <w:link w:val="PiedepginaCar"/>
    <w:uiPriority w:val="99"/>
    <w:unhideWhenUsed/>
    <w:rsid w:val="00E756F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756FA"/>
  </w:style>
  <w:style w:type="paragraph" w:styleId="Sinespaciado">
    <w:name w:val="No Spacing"/>
    <w:uiPriority w:val="1"/>
    <w:qFormat/>
    <w:rsid w:val="00677963"/>
    <w:pPr>
      <w:spacing w:after="0" w:line="240" w:lineRule="auto"/>
    </w:pPr>
  </w:style>
  <w:style w:type="character" w:styleId="Hipervnculo">
    <w:name w:val="Hyperlink"/>
    <w:basedOn w:val="Fuentedeprrafopredeter"/>
    <w:uiPriority w:val="99"/>
    <w:unhideWhenUsed/>
    <w:rsid w:val="00D713A4"/>
    <w:rPr>
      <w:color w:val="0563C1" w:themeColor="hyperlink"/>
      <w:u w:val="single"/>
    </w:rPr>
  </w:style>
  <w:style w:type="character" w:customStyle="1" w:styleId="Mencinsinresolver1">
    <w:name w:val="Mención sin resolver1"/>
    <w:basedOn w:val="Fuentedeprrafopredeter"/>
    <w:uiPriority w:val="99"/>
    <w:semiHidden/>
    <w:unhideWhenUsed/>
    <w:rsid w:val="00D713A4"/>
    <w:rPr>
      <w:color w:val="605E5C"/>
      <w:shd w:val="clear" w:color="auto" w:fill="E1DFDD"/>
    </w:rPr>
  </w:style>
  <w:style w:type="paragraph" w:customStyle="1" w:styleId="IFTnormal">
    <w:name w:val="IFT normal"/>
    <w:basedOn w:val="Normal"/>
    <w:link w:val="IFTnormalCar"/>
    <w:qFormat/>
    <w:rsid w:val="00C42E84"/>
    <w:pPr>
      <w:spacing w:after="200" w:line="276" w:lineRule="auto"/>
      <w:jc w:val="both"/>
    </w:pPr>
    <w:rPr>
      <w:rFonts w:ascii="ITC Avant Garde" w:eastAsia="Calibri" w:hAnsi="ITC Avant Garde" w:cs="Calibri"/>
      <w:bCs/>
    </w:rPr>
  </w:style>
  <w:style w:type="character" w:customStyle="1" w:styleId="IFTnormalCar">
    <w:name w:val="IFT normal Car"/>
    <w:link w:val="IFTnormal"/>
    <w:qFormat/>
    <w:rsid w:val="00C42E84"/>
    <w:rPr>
      <w:rFonts w:ascii="ITC Avant Garde" w:eastAsia="Calibri" w:hAnsi="ITC Avant Garde" w:cs="Calibri"/>
      <w:bCs/>
    </w:rPr>
  </w:style>
  <w:style w:type="character" w:customStyle="1" w:styleId="Mencinsinresolver2">
    <w:name w:val="Mención sin resolver2"/>
    <w:basedOn w:val="Fuentedeprrafopredeter"/>
    <w:uiPriority w:val="99"/>
    <w:semiHidden/>
    <w:unhideWhenUsed/>
    <w:rsid w:val="00C411ED"/>
    <w:rPr>
      <w:color w:val="605E5C"/>
      <w:shd w:val="clear" w:color="auto" w:fill="E1DFDD"/>
    </w:rPr>
  </w:style>
  <w:style w:type="paragraph" w:customStyle="1" w:styleId="1TitPrin">
    <w:name w:val="1TitPrin"/>
    <w:basedOn w:val="Ttulo1"/>
    <w:link w:val="1TitPrinCar"/>
    <w:autoRedefine/>
    <w:qFormat/>
    <w:rsid w:val="00E16021"/>
    <w:pPr>
      <w:keepNext w:val="0"/>
      <w:keepLines w:val="0"/>
      <w:spacing w:before="0" w:line="276" w:lineRule="auto"/>
      <w:jc w:val="both"/>
      <w:outlineLvl w:val="1"/>
    </w:pPr>
    <w:rPr>
      <w:rFonts w:ascii="Arial" w:eastAsia="Times New Roman" w:hAnsi="Arial" w:cs="Arial"/>
      <w:bCs/>
      <w:color w:val="auto"/>
      <w:sz w:val="22"/>
      <w:szCs w:val="22"/>
      <w:lang w:eastAsia="es-MX"/>
    </w:rPr>
  </w:style>
  <w:style w:type="character" w:customStyle="1" w:styleId="1TitPrinCar">
    <w:name w:val="1TitPrin Car"/>
    <w:link w:val="1TitPrin"/>
    <w:rsid w:val="00E16021"/>
    <w:rPr>
      <w:rFonts w:ascii="Arial" w:eastAsia="Times New Roman" w:hAnsi="Arial" w:cs="Arial"/>
      <w:bCs/>
      <w:lang w:eastAsia="es-MX"/>
    </w:rPr>
  </w:style>
  <w:style w:type="character" w:customStyle="1" w:styleId="Ttulo1Car">
    <w:name w:val="Título 1 Car"/>
    <w:basedOn w:val="Fuentedeprrafopredeter"/>
    <w:link w:val="Ttulo1"/>
    <w:uiPriority w:val="9"/>
    <w:rsid w:val="007A2E49"/>
    <w:rPr>
      <w:rFonts w:asciiTheme="majorHAnsi" w:eastAsiaTheme="majorEastAsia" w:hAnsiTheme="majorHAnsi" w:cstheme="majorBidi"/>
      <w:color w:val="2F5496" w:themeColor="accent1" w:themeShade="BF"/>
      <w:sz w:val="32"/>
      <w:szCs w:val="32"/>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Ca"/>
    <w:basedOn w:val="Normal"/>
    <w:link w:val="TextonotapieCar"/>
    <w:uiPriority w:val="99"/>
    <w:unhideWhenUsed/>
    <w:qFormat/>
    <w:rsid w:val="00C53326"/>
    <w:pPr>
      <w:spacing w:after="0" w:line="240" w:lineRule="auto"/>
    </w:pPr>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basedOn w:val="Fuentedeprrafopredeter"/>
    <w:link w:val="Textonotapie"/>
    <w:uiPriority w:val="99"/>
    <w:rsid w:val="00C53326"/>
    <w:rPr>
      <w:sz w:val="20"/>
      <w:szCs w:val="20"/>
    </w:rPr>
  </w:style>
  <w:style w:type="character" w:styleId="Refdenotaalpie">
    <w:name w:val="footnote reference"/>
    <w:aliases w:val="Ref,de nota al pie,(NECG) Footnote Reference,o,fr,Style 3,Appel note de bas de p,Style 12,Style 124,Ref. de nota al pie 2,Style 6,Footnote Reference Superscript,Style 13,FR,Style 17,Footnote Reference/,Texto de nota al pie,註腳內容,11 pt"/>
    <w:basedOn w:val="Fuentedeprrafopredeter"/>
    <w:uiPriority w:val="99"/>
    <w:unhideWhenUsed/>
    <w:qFormat/>
    <w:rsid w:val="00C53326"/>
    <w:rPr>
      <w:vertAlign w:val="superscript"/>
    </w:rPr>
  </w:style>
  <w:style w:type="character" w:customStyle="1" w:styleId="PrrafodelistaCar">
    <w:name w:val="Párrafo de lista Car"/>
    <w:aliases w:val="prueba1 Car,List Paragraph Car,4 Viñ 1nivel Car,Estilo0 Car,CNBV Parrafo1 Car,Numeración 1 Car,Bullet List Car,FooterText Car,numbered Car,List Paragraph1 Car,Paragraphe de liste1 Car,Bulletr List Paragraph Car,列出段落 Car,列出段落1 Car"/>
    <w:link w:val="Prrafodelista"/>
    <w:uiPriority w:val="1"/>
    <w:qFormat/>
    <w:rsid w:val="006948B2"/>
  </w:style>
  <w:style w:type="character" w:styleId="Hipervnculovisitado">
    <w:name w:val="FollowedHyperlink"/>
    <w:basedOn w:val="Fuentedeprrafopredeter"/>
    <w:uiPriority w:val="99"/>
    <w:semiHidden/>
    <w:unhideWhenUsed/>
    <w:rsid w:val="00E85703"/>
    <w:rPr>
      <w:color w:val="954F72" w:themeColor="followedHyperlink"/>
      <w:u w:val="single"/>
    </w:rPr>
  </w:style>
  <w:style w:type="character" w:customStyle="1" w:styleId="Mencinsinresolver3">
    <w:name w:val="Mención sin resolver3"/>
    <w:basedOn w:val="Fuentedeprrafopredeter"/>
    <w:uiPriority w:val="99"/>
    <w:semiHidden/>
    <w:unhideWhenUsed/>
    <w:rsid w:val="0066377A"/>
    <w:rPr>
      <w:color w:val="605E5C"/>
      <w:shd w:val="clear" w:color="auto" w:fill="E1DFDD"/>
    </w:rPr>
  </w:style>
  <w:style w:type="character" w:styleId="Textoennegrita">
    <w:name w:val="Strong"/>
    <w:basedOn w:val="Fuentedeprrafopredeter"/>
    <w:uiPriority w:val="22"/>
    <w:qFormat/>
    <w:rsid w:val="001029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554441">
      <w:bodyDiv w:val="1"/>
      <w:marLeft w:val="0"/>
      <w:marRight w:val="0"/>
      <w:marTop w:val="0"/>
      <w:marBottom w:val="0"/>
      <w:divBdr>
        <w:top w:val="none" w:sz="0" w:space="0" w:color="auto"/>
        <w:left w:val="none" w:sz="0" w:space="0" w:color="auto"/>
        <w:bottom w:val="none" w:sz="0" w:space="0" w:color="auto"/>
        <w:right w:val="none" w:sz="0" w:space="0" w:color="auto"/>
      </w:divBdr>
    </w:div>
    <w:div w:id="1629045372">
      <w:bodyDiv w:val="1"/>
      <w:marLeft w:val="0"/>
      <w:marRight w:val="0"/>
      <w:marTop w:val="0"/>
      <w:marBottom w:val="0"/>
      <w:divBdr>
        <w:top w:val="none" w:sz="0" w:space="0" w:color="auto"/>
        <w:left w:val="none" w:sz="0" w:space="0" w:color="auto"/>
        <w:bottom w:val="none" w:sz="0" w:space="0" w:color="auto"/>
        <w:right w:val="none" w:sz="0" w:space="0" w:color="auto"/>
      </w:divBdr>
    </w:div>
    <w:div w:id="1686782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3A48F0-2D4F-430A-9FC3-576DDA45B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16</Pages>
  <Words>6744</Words>
  <Characters>37097</Characters>
  <Application>Microsoft Office Word</Application>
  <DocSecurity>0</DocSecurity>
  <Lines>309</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Ramirez Rosas Esteban</dc:creator>
  <cp:keywords/>
  <dc:description/>
  <cp:lastModifiedBy>Ramirez Rosas Esteban</cp:lastModifiedBy>
  <cp:revision>40</cp:revision>
  <cp:lastPrinted>2025-07-11T23:07:00Z</cp:lastPrinted>
  <dcterms:created xsi:type="dcterms:W3CDTF">2025-07-17T00:08:00Z</dcterms:created>
  <dcterms:modified xsi:type="dcterms:W3CDTF">2025-07-17T22:35:00Z</dcterms:modified>
</cp:coreProperties>
</file>