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B48D" w14:textId="53D0C3D8" w:rsidR="001643F5" w:rsidRDefault="00AF54F4" w:rsidP="001643F5">
      <w:pPr>
        <w:pStyle w:val="IFTnormal"/>
        <w:tabs>
          <w:tab w:val="left" w:pos="5103"/>
        </w:tabs>
        <w:jc w:val="center"/>
        <w:rPr>
          <w:rFonts w:ascii="Arial" w:hAnsi="Arial" w:cs="Arial"/>
          <w:b/>
          <w:sz w:val="22"/>
          <w:szCs w:val="22"/>
          <w:u w:val="single"/>
          <w:lang w:val="es-ES" w:eastAsia="en-US"/>
        </w:rPr>
      </w:pPr>
      <w:bookmarkStart w:id="0" w:name="_GoBack"/>
      <w:bookmarkEnd w:id="0"/>
      <w:r>
        <w:rPr>
          <w:rFonts w:ascii="Arial" w:hAnsi="Arial" w:cs="Arial"/>
          <w:b/>
          <w:sz w:val="22"/>
          <w:szCs w:val="22"/>
          <w:u w:val="single"/>
          <w:lang w:val="es-ES" w:eastAsia="en-US"/>
        </w:rPr>
        <w:t xml:space="preserve">   </w:t>
      </w:r>
    </w:p>
    <w:p w14:paraId="00F74EE2" w14:textId="77777777" w:rsidR="001643F5" w:rsidRDefault="001643F5" w:rsidP="001643F5">
      <w:pPr>
        <w:pStyle w:val="IFTnormal"/>
        <w:jc w:val="center"/>
        <w:rPr>
          <w:rFonts w:ascii="Arial" w:hAnsi="Arial" w:cs="Arial"/>
          <w:b/>
          <w:u w:val="single"/>
          <w:lang w:val="es-ES"/>
        </w:rPr>
      </w:pPr>
    </w:p>
    <w:p w14:paraId="2A99D66C" w14:textId="77777777" w:rsidR="001643F5" w:rsidRDefault="001643F5" w:rsidP="001643F5">
      <w:pPr>
        <w:pStyle w:val="IFTnormal"/>
        <w:jc w:val="center"/>
        <w:rPr>
          <w:rFonts w:ascii="Arial" w:hAnsi="Arial" w:cs="Arial"/>
          <w:b/>
          <w:u w:val="single"/>
          <w:lang w:val="es-ES"/>
        </w:rPr>
      </w:pPr>
    </w:p>
    <w:p w14:paraId="6AC3A80D" w14:textId="77777777" w:rsidR="001643F5" w:rsidRDefault="001643F5" w:rsidP="001643F5">
      <w:pPr>
        <w:pStyle w:val="IFTnormal"/>
        <w:jc w:val="center"/>
        <w:rPr>
          <w:rFonts w:ascii="Arial" w:hAnsi="Arial" w:cs="Arial"/>
          <w:b/>
          <w:u w:val="single"/>
          <w:lang w:val="es-ES"/>
        </w:rPr>
      </w:pPr>
    </w:p>
    <w:p w14:paraId="6F12F69D" w14:textId="77777777" w:rsidR="001643F5" w:rsidRDefault="001643F5" w:rsidP="00BE6767">
      <w:pPr>
        <w:pStyle w:val="IFTnormal"/>
        <w:spacing w:after="0"/>
        <w:jc w:val="center"/>
        <w:rPr>
          <w:rFonts w:ascii="Arial" w:hAnsi="Arial" w:cs="Arial"/>
          <w:b/>
          <w:u w:val="single"/>
          <w:lang w:val="es-ES"/>
        </w:rPr>
      </w:pPr>
    </w:p>
    <w:p w14:paraId="458BDF2B" w14:textId="77777777" w:rsidR="001643F5" w:rsidRDefault="001643F5" w:rsidP="001643F5">
      <w:pPr>
        <w:pStyle w:val="IFTnormal"/>
        <w:ind w:left="708" w:hanging="708"/>
        <w:jc w:val="center"/>
        <w:rPr>
          <w:rFonts w:ascii="Arial" w:hAnsi="Arial" w:cs="Arial"/>
          <w:b/>
          <w:u w:val="single"/>
          <w:lang w:val="es-ES"/>
        </w:rPr>
      </w:pPr>
    </w:p>
    <w:p w14:paraId="21FD5176" w14:textId="77777777" w:rsidR="001643F5" w:rsidRDefault="001643F5" w:rsidP="001643F5">
      <w:pPr>
        <w:pStyle w:val="IFTnormal"/>
        <w:jc w:val="center"/>
        <w:rPr>
          <w:rFonts w:ascii="Arial" w:hAnsi="Arial" w:cs="Arial"/>
          <w:b/>
          <w:u w:val="single"/>
          <w:lang w:val="es-ES"/>
        </w:rPr>
      </w:pPr>
    </w:p>
    <w:p w14:paraId="0E2AD15F" w14:textId="7454524B" w:rsidR="001643F5" w:rsidRDefault="001643F5" w:rsidP="001643F5">
      <w:pPr>
        <w:pStyle w:val="IFTnormal"/>
        <w:jc w:val="center"/>
        <w:rPr>
          <w:rFonts w:ascii="Arial" w:hAnsi="Arial" w:cs="Arial"/>
          <w:b/>
          <w:sz w:val="36"/>
          <w:lang w:val="es-ES"/>
        </w:rPr>
      </w:pPr>
      <w:r>
        <w:rPr>
          <w:rFonts w:ascii="Arial" w:hAnsi="Arial" w:cs="Arial"/>
          <w:b/>
          <w:sz w:val="36"/>
          <w:lang w:val="es-ES"/>
        </w:rPr>
        <w:t>ANEXO 3</w:t>
      </w:r>
    </w:p>
    <w:p w14:paraId="1BAED127" w14:textId="77777777" w:rsidR="001643F5" w:rsidRDefault="001643F5" w:rsidP="001643F5">
      <w:pPr>
        <w:pStyle w:val="IFTnormal"/>
        <w:jc w:val="center"/>
        <w:rPr>
          <w:rFonts w:ascii="Arial" w:hAnsi="Arial" w:cs="Arial"/>
          <w:b/>
          <w:sz w:val="36"/>
          <w:u w:val="single"/>
          <w:lang w:val="es-ES"/>
        </w:rPr>
      </w:pPr>
    </w:p>
    <w:p w14:paraId="1C9A7C05" w14:textId="0D18E4D6" w:rsidR="001643F5" w:rsidRPr="001643F5" w:rsidRDefault="001643F5" w:rsidP="001643F5">
      <w:pPr>
        <w:pStyle w:val="IFTnormal"/>
        <w:jc w:val="center"/>
        <w:outlineLvl w:val="0"/>
        <w:rPr>
          <w:rFonts w:ascii="Arial" w:hAnsi="Arial" w:cs="Arial"/>
          <w:b/>
          <w:caps/>
          <w:color w:val="000000" w:themeColor="text1"/>
          <w:sz w:val="36"/>
          <w:lang w:val="es-ES"/>
        </w:rPr>
      </w:pPr>
      <w:bookmarkStart w:id="1" w:name="_Hlk83351310"/>
      <w:r w:rsidRPr="001643F5">
        <w:rPr>
          <w:rFonts w:ascii="Arial" w:hAnsi="Arial" w:cs="Arial"/>
          <w:b/>
          <w:caps/>
          <w:color w:val="000000" w:themeColor="text1"/>
          <w:sz w:val="36"/>
          <w:lang w:val="es-ES"/>
        </w:rPr>
        <w:t xml:space="preserve">Procedimiento de Atención de Fallas, Continuidad del Servicio y Gestión de Incidencias </w:t>
      </w:r>
    </w:p>
    <w:bookmarkEnd w:id="1"/>
    <w:p w14:paraId="6D947DCB" w14:textId="77777777" w:rsidR="001643F5" w:rsidRDefault="001643F5" w:rsidP="001643F5">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74AAB480" w14:textId="77777777" w:rsidR="001643F5" w:rsidRDefault="001643F5" w:rsidP="001643F5">
      <w:pPr>
        <w:pStyle w:val="IFTnormal"/>
        <w:rPr>
          <w:rFonts w:ascii="Arial" w:hAnsi="Arial" w:cs="Arial"/>
          <w:b/>
          <w:sz w:val="22"/>
          <w:szCs w:val="22"/>
          <w:u w:val="single"/>
          <w:lang w:val="es-ES"/>
        </w:rPr>
      </w:pPr>
    </w:p>
    <w:p w14:paraId="73FEB610" w14:textId="77777777" w:rsidR="008B3203" w:rsidRDefault="008B3203" w:rsidP="001643F5">
      <w:pPr>
        <w:pStyle w:val="IFTnormal"/>
        <w:rPr>
          <w:rFonts w:ascii="Arial" w:hAnsi="Arial" w:cs="Arial"/>
          <w:b/>
          <w:sz w:val="22"/>
          <w:szCs w:val="22"/>
          <w:u w:val="single"/>
          <w:lang w:val="es-ES"/>
        </w:rPr>
      </w:pPr>
    </w:p>
    <w:p w14:paraId="0D9B81D8" w14:textId="77777777" w:rsidR="008B3203" w:rsidRDefault="008B3203" w:rsidP="001643F5">
      <w:pPr>
        <w:pStyle w:val="IFTnormal"/>
        <w:rPr>
          <w:rFonts w:ascii="Arial" w:hAnsi="Arial" w:cs="Arial"/>
          <w:b/>
          <w:sz w:val="22"/>
          <w:szCs w:val="22"/>
          <w:u w:val="single"/>
          <w:lang w:val="es-ES"/>
        </w:rPr>
      </w:pPr>
    </w:p>
    <w:p w14:paraId="21D10307" w14:textId="77777777" w:rsidR="008B3203" w:rsidRDefault="008B3203" w:rsidP="001643F5">
      <w:pPr>
        <w:pStyle w:val="IFTnormal"/>
        <w:rPr>
          <w:rFonts w:ascii="Arial" w:hAnsi="Arial" w:cs="Arial"/>
          <w:b/>
          <w:sz w:val="22"/>
          <w:szCs w:val="22"/>
          <w:u w:val="single"/>
          <w:lang w:val="es-ES"/>
        </w:rPr>
      </w:pPr>
    </w:p>
    <w:p w14:paraId="6A6DE8ED" w14:textId="77777777" w:rsidR="008B3203" w:rsidRDefault="008B3203" w:rsidP="001643F5">
      <w:pPr>
        <w:pStyle w:val="IFTnormal"/>
        <w:rPr>
          <w:rFonts w:ascii="Arial" w:hAnsi="Arial" w:cs="Arial"/>
          <w:b/>
          <w:sz w:val="22"/>
          <w:szCs w:val="22"/>
          <w:u w:val="single"/>
          <w:lang w:val="es-ES"/>
        </w:rPr>
      </w:pPr>
    </w:p>
    <w:p w14:paraId="158DAD95" w14:textId="77777777" w:rsidR="008B3203" w:rsidRDefault="008B3203" w:rsidP="001643F5">
      <w:pPr>
        <w:pStyle w:val="IFTnormal"/>
        <w:rPr>
          <w:rFonts w:ascii="Arial" w:hAnsi="Arial" w:cs="Arial"/>
          <w:b/>
          <w:sz w:val="22"/>
          <w:szCs w:val="22"/>
          <w:u w:val="single"/>
          <w:lang w:val="es-ES"/>
        </w:rPr>
      </w:pPr>
    </w:p>
    <w:p w14:paraId="7748ECAA" w14:textId="77777777" w:rsidR="008B3203" w:rsidRDefault="008B3203" w:rsidP="001643F5">
      <w:pPr>
        <w:pStyle w:val="IFTnormal"/>
        <w:rPr>
          <w:rFonts w:ascii="Arial" w:hAnsi="Arial" w:cs="Arial"/>
          <w:b/>
          <w:sz w:val="22"/>
          <w:szCs w:val="22"/>
          <w:u w:val="single"/>
          <w:lang w:val="es-ES"/>
        </w:rPr>
      </w:pPr>
    </w:p>
    <w:p w14:paraId="43AC3729" w14:textId="77777777" w:rsidR="008B3203" w:rsidRDefault="008B3203" w:rsidP="001643F5">
      <w:pPr>
        <w:pStyle w:val="IFTnormal"/>
        <w:rPr>
          <w:rFonts w:ascii="Arial" w:hAnsi="Arial" w:cs="Arial"/>
          <w:b/>
          <w:sz w:val="22"/>
          <w:szCs w:val="22"/>
          <w:u w:val="single"/>
          <w:lang w:val="es-ES"/>
        </w:rPr>
      </w:pPr>
    </w:p>
    <w:p w14:paraId="53DB9819" w14:textId="77777777" w:rsidR="001643F5" w:rsidRDefault="001643F5" w:rsidP="001643F5">
      <w:pPr>
        <w:pStyle w:val="IFTnormal"/>
        <w:rPr>
          <w:rFonts w:ascii="Arial" w:hAnsi="Arial" w:cs="Arial"/>
          <w:b/>
          <w:u w:val="single"/>
          <w:lang w:val="es-ES"/>
        </w:rPr>
      </w:pPr>
    </w:p>
    <w:p w14:paraId="628F0638" w14:textId="3F7A4E19" w:rsidR="007B1124" w:rsidRPr="001643F5" w:rsidRDefault="007B1124" w:rsidP="005C1C06">
      <w:pPr>
        <w:jc w:val="center"/>
        <w:rPr>
          <w:rFonts w:ascii="Arial" w:hAnsi="Arial" w:cs="Arial"/>
          <w:b/>
          <w:sz w:val="22"/>
          <w:szCs w:val="22"/>
        </w:rPr>
      </w:pPr>
    </w:p>
    <w:p w14:paraId="628F063A" w14:textId="3C146F7C" w:rsidR="007B1124" w:rsidRDefault="007B1124" w:rsidP="00BE6767">
      <w:pPr>
        <w:spacing w:before="0" w:after="0" w:line="276" w:lineRule="auto"/>
        <w:rPr>
          <w:rFonts w:ascii="Arial" w:hAnsi="Arial" w:cs="Arial"/>
          <w:b/>
          <w:sz w:val="22"/>
          <w:szCs w:val="22"/>
        </w:rPr>
      </w:pPr>
      <w:r w:rsidRPr="00573C8A">
        <w:rPr>
          <w:rFonts w:ascii="Arial" w:hAnsi="Arial" w:cs="Arial"/>
          <w:b/>
          <w:sz w:val="22"/>
          <w:szCs w:val="22"/>
        </w:rPr>
        <w:lastRenderedPageBreak/>
        <w:t>Procedimiento de Atención de Fallas, Continuidad del Servicio y Gestión de Incidencias</w:t>
      </w:r>
    </w:p>
    <w:p w14:paraId="7705BCB6" w14:textId="77777777" w:rsidR="00BE6767" w:rsidRPr="00573C8A" w:rsidRDefault="00BE6767" w:rsidP="00BE6767">
      <w:pPr>
        <w:spacing w:before="0" w:after="0" w:line="276" w:lineRule="auto"/>
        <w:rPr>
          <w:rFonts w:ascii="Arial" w:hAnsi="Arial" w:cs="Arial"/>
          <w:b/>
          <w:sz w:val="22"/>
          <w:szCs w:val="22"/>
        </w:rPr>
      </w:pPr>
    </w:p>
    <w:p w14:paraId="628F063B" w14:textId="21DF58A3"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Introducción</w:t>
      </w:r>
    </w:p>
    <w:p w14:paraId="10583278" w14:textId="77777777" w:rsidR="00BE6767" w:rsidRPr="00BE6767" w:rsidRDefault="00BE6767" w:rsidP="00BE6767">
      <w:pPr>
        <w:spacing w:before="0" w:after="0" w:line="276" w:lineRule="auto"/>
        <w:rPr>
          <w:lang w:val="es-MX" w:eastAsia="es-MX"/>
        </w:rPr>
      </w:pPr>
    </w:p>
    <w:p w14:paraId="628F063C" w14:textId="70A38517"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 xml:space="preserve">de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14:paraId="37D64B74" w14:textId="77777777" w:rsidR="00BE6767" w:rsidRPr="00573C8A" w:rsidRDefault="00BE6767" w:rsidP="00BE6767">
      <w:pPr>
        <w:spacing w:before="0" w:after="0" w:line="276" w:lineRule="auto"/>
        <w:rPr>
          <w:rFonts w:ascii="Arial" w:hAnsi="Arial" w:cs="Arial"/>
          <w:sz w:val="22"/>
          <w:szCs w:val="22"/>
        </w:rPr>
      </w:pPr>
    </w:p>
    <w:p w14:paraId="628F063D" w14:textId="33196FD1"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Para ello, se definen los siguientes términos:</w:t>
      </w:r>
    </w:p>
    <w:p w14:paraId="71E3741F" w14:textId="77777777" w:rsidR="00BE6767" w:rsidRPr="00573C8A" w:rsidRDefault="00BE6767" w:rsidP="00BE6767">
      <w:pPr>
        <w:spacing w:before="0" w:after="0" w:line="276" w:lineRule="auto"/>
        <w:rPr>
          <w:rFonts w:ascii="Arial" w:hAnsi="Arial" w:cs="Arial"/>
          <w:sz w:val="22"/>
          <w:szCs w:val="22"/>
        </w:rPr>
      </w:pPr>
    </w:p>
    <w:p w14:paraId="628F063E"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14:paraId="628F063F"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14:paraId="628F0640"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14:paraId="1C5476AB" w14:textId="77777777" w:rsidR="00BE6767" w:rsidRDefault="00BE6767" w:rsidP="00BE6767">
      <w:pPr>
        <w:spacing w:before="0" w:after="0" w:line="276" w:lineRule="auto"/>
        <w:rPr>
          <w:rFonts w:ascii="Arial" w:hAnsi="Arial" w:cs="Arial"/>
          <w:b/>
          <w:sz w:val="22"/>
          <w:szCs w:val="22"/>
          <w:u w:val="single"/>
        </w:rPr>
      </w:pPr>
    </w:p>
    <w:p w14:paraId="628F0641" w14:textId="33C4B4AF"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Gestión de Incidencias</w:t>
      </w:r>
    </w:p>
    <w:p w14:paraId="4BA56E32" w14:textId="77777777" w:rsidR="00BE6767" w:rsidRDefault="00BE6767" w:rsidP="00BE6767">
      <w:pPr>
        <w:spacing w:before="0" w:after="0" w:line="276" w:lineRule="auto"/>
        <w:rPr>
          <w:rFonts w:ascii="Arial" w:hAnsi="Arial" w:cs="Arial"/>
          <w:sz w:val="22"/>
          <w:szCs w:val="22"/>
        </w:rPr>
      </w:pPr>
    </w:p>
    <w:p w14:paraId="628F0642" w14:textId="6F593078"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14:paraId="0D4FE86C" w14:textId="77777777" w:rsidR="00BE6767" w:rsidRDefault="00BE6767" w:rsidP="00BE6767">
      <w:pPr>
        <w:spacing w:before="0" w:after="0" w:line="276" w:lineRule="auto"/>
        <w:rPr>
          <w:rFonts w:ascii="Arial" w:hAnsi="Arial" w:cs="Arial"/>
          <w:b/>
          <w:sz w:val="22"/>
          <w:szCs w:val="22"/>
          <w:u w:val="single"/>
        </w:rPr>
      </w:pPr>
    </w:p>
    <w:p w14:paraId="628F0643" w14:textId="24813EB8"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Correctivo</w:t>
      </w:r>
    </w:p>
    <w:p w14:paraId="47A7A041" w14:textId="77777777" w:rsidR="00BE6767" w:rsidRDefault="00BE6767" w:rsidP="00BE6767">
      <w:pPr>
        <w:spacing w:before="0" w:after="0" w:line="276" w:lineRule="auto"/>
        <w:rPr>
          <w:rFonts w:ascii="Arial" w:hAnsi="Arial" w:cs="Arial"/>
          <w:sz w:val="22"/>
          <w:szCs w:val="22"/>
        </w:rPr>
      </w:pPr>
    </w:p>
    <w:p w14:paraId="628F0644" w14:textId="4D9426F7"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14:paraId="328A9705" w14:textId="77777777" w:rsidR="00BE6767" w:rsidRDefault="00BE6767" w:rsidP="00BE6767">
      <w:pPr>
        <w:spacing w:before="0" w:after="0" w:line="276" w:lineRule="auto"/>
        <w:rPr>
          <w:rFonts w:ascii="Arial" w:hAnsi="Arial" w:cs="Arial"/>
          <w:sz w:val="22"/>
          <w:szCs w:val="22"/>
        </w:rPr>
      </w:pPr>
    </w:p>
    <w:p w14:paraId="628F0645" w14:textId="04BBC53E"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14:paraId="18A0162D" w14:textId="77777777" w:rsidR="00BE6767" w:rsidRDefault="00BE6767" w:rsidP="00BE6767">
      <w:pPr>
        <w:spacing w:before="0" w:after="0" w:line="276" w:lineRule="auto"/>
        <w:rPr>
          <w:rFonts w:ascii="Arial" w:hAnsi="Arial" w:cs="Arial"/>
          <w:b/>
          <w:sz w:val="22"/>
          <w:szCs w:val="22"/>
          <w:u w:val="single"/>
        </w:rPr>
      </w:pPr>
    </w:p>
    <w:p w14:paraId="628F0646" w14:textId="09D056D6"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Preventivo</w:t>
      </w:r>
    </w:p>
    <w:p w14:paraId="4836122E" w14:textId="77777777" w:rsidR="00BE6767" w:rsidRDefault="00BE6767" w:rsidP="00BE6767">
      <w:pPr>
        <w:spacing w:before="0" w:after="0" w:line="276" w:lineRule="auto"/>
        <w:rPr>
          <w:rFonts w:ascii="Arial" w:hAnsi="Arial" w:cs="Arial"/>
          <w:sz w:val="22"/>
          <w:szCs w:val="22"/>
        </w:rPr>
      </w:pPr>
    </w:p>
    <w:p w14:paraId="628F0647" w14:textId="507F8C4C"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6C374FC5" w14:textId="77777777" w:rsidR="00BE6767" w:rsidRDefault="00BE6767" w:rsidP="00BE6767">
      <w:pPr>
        <w:spacing w:before="0" w:after="0" w:line="276" w:lineRule="auto"/>
        <w:rPr>
          <w:rFonts w:ascii="Arial" w:hAnsi="Arial" w:cs="Arial"/>
          <w:b/>
          <w:sz w:val="22"/>
          <w:szCs w:val="22"/>
          <w:u w:val="single"/>
        </w:rPr>
      </w:pPr>
    </w:p>
    <w:p w14:paraId="628F064A" w14:textId="5D644EFE"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Acceso de Emergencia a la Infraestructura Compartida</w:t>
      </w:r>
    </w:p>
    <w:p w14:paraId="05AABFDF" w14:textId="77777777" w:rsidR="00BE6767" w:rsidRDefault="00BE6767" w:rsidP="00BE6767">
      <w:pPr>
        <w:spacing w:before="0" w:after="0" w:line="276" w:lineRule="auto"/>
        <w:rPr>
          <w:rFonts w:ascii="Arial" w:hAnsi="Arial" w:cs="Arial"/>
          <w:sz w:val="22"/>
          <w:szCs w:val="22"/>
        </w:rPr>
      </w:pPr>
    </w:p>
    <w:p w14:paraId="628F064B" w14:textId="21AA1639"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los accesos para atender emergencias en los servicios de compartición de infraestructura y equipos e instalaciones </w:t>
      </w:r>
      <w:r w:rsidR="000A55DD" w:rsidRPr="00573C8A">
        <w:rPr>
          <w:rFonts w:ascii="Arial" w:hAnsi="Arial" w:cs="Arial"/>
          <w:sz w:val="22"/>
          <w:szCs w:val="22"/>
        </w:rPr>
        <w:t xml:space="preserve">de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14:paraId="01E076A4" w14:textId="77777777" w:rsidR="00BE6767" w:rsidRPr="00573C8A" w:rsidRDefault="00BE6767" w:rsidP="00BE6767">
      <w:pPr>
        <w:spacing w:before="0" w:after="0" w:line="276" w:lineRule="auto"/>
        <w:rPr>
          <w:rFonts w:ascii="Arial" w:hAnsi="Arial" w:cs="Arial"/>
          <w:sz w:val="22"/>
          <w:szCs w:val="22"/>
        </w:rPr>
      </w:pPr>
    </w:p>
    <w:p w14:paraId="628F064C" w14:textId="1B342C40"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lastRenderedPageBreak/>
        <w:t>Contacto</w:t>
      </w:r>
    </w:p>
    <w:p w14:paraId="3B924F58" w14:textId="77777777" w:rsidR="00BE6767" w:rsidRPr="00BE6767" w:rsidRDefault="00BE6767" w:rsidP="00BE6767">
      <w:pPr>
        <w:spacing w:before="0" w:after="0" w:line="276" w:lineRule="auto"/>
        <w:rPr>
          <w:lang w:val="es-MX" w:eastAsia="es-MX"/>
        </w:rPr>
      </w:pPr>
    </w:p>
    <w:p w14:paraId="628F064D" w14:textId="0450F110" w:rsidR="00EE2BC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w:t>
      </w:r>
      <w:r w:rsidR="006051EB">
        <w:rPr>
          <w:rFonts w:ascii="Arial" w:hAnsi="Arial" w:cs="Arial"/>
          <w:sz w:val="22"/>
          <w:szCs w:val="22"/>
        </w:rPr>
        <w:t>o</w:t>
      </w:r>
      <w:r w:rsidR="00846972" w:rsidRPr="00573C8A">
        <w:rPr>
          <w:rFonts w:ascii="Arial" w:hAnsi="Arial" w:cs="Arial"/>
          <w:sz w:val="22"/>
          <w:szCs w:val="22"/>
        </w:rPr>
        <w:t xml:space="preserve"> través de un medio alterno </w:t>
      </w:r>
      <w:r w:rsidR="001F07B0" w:rsidRPr="00573C8A">
        <w:rPr>
          <w:rFonts w:ascii="Arial" w:hAnsi="Arial" w:cs="Arial"/>
          <w:sz w:val="22"/>
          <w:szCs w:val="22"/>
        </w:rPr>
        <w:t>en caso de falla</w:t>
      </w:r>
      <w:r w:rsidR="00846972">
        <w:rPr>
          <w:rFonts w:ascii="Arial" w:hAnsi="Arial" w:cs="Arial"/>
          <w:sz w:val="22"/>
          <w:szCs w:val="22"/>
        </w:rPr>
        <w:t xml:space="preserve"> e intermitencias del SEG. </w:t>
      </w:r>
    </w:p>
    <w:p w14:paraId="303CB01B" w14:textId="77777777" w:rsidR="00BE6767" w:rsidRDefault="00BE6767" w:rsidP="00BE6767">
      <w:pPr>
        <w:spacing w:before="0" w:after="0" w:line="276" w:lineRule="auto"/>
        <w:rPr>
          <w:rFonts w:ascii="Arial" w:hAnsi="Arial" w:cs="Arial"/>
          <w:sz w:val="22"/>
          <w:szCs w:val="22"/>
        </w:rPr>
      </w:pPr>
    </w:p>
    <w:p w14:paraId="56BB0CC7" w14:textId="6C435C20" w:rsidR="006051EB" w:rsidRDefault="006051EB" w:rsidP="00BE6767">
      <w:pPr>
        <w:spacing w:before="0" w:after="0" w:line="276" w:lineRule="auto"/>
        <w:rPr>
          <w:rFonts w:ascii="Arial" w:hAnsi="Arial" w:cs="Arial"/>
          <w:b/>
          <w:sz w:val="22"/>
          <w:szCs w:val="22"/>
        </w:rPr>
      </w:pPr>
      <w:r w:rsidRPr="008A4D77">
        <w:rPr>
          <w:rFonts w:ascii="Arial" w:hAnsi="Arial" w:cs="Arial"/>
          <w:b/>
          <w:sz w:val="22"/>
          <w:szCs w:val="22"/>
        </w:rPr>
        <w:t>Contacto en caso de falla o intermitencias del SEG</w:t>
      </w:r>
    </w:p>
    <w:p w14:paraId="6F322398" w14:textId="77777777" w:rsidR="00BE6767" w:rsidRPr="008A4D77" w:rsidRDefault="00BE6767" w:rsidP="00BE6767">
      <w:pPr>
        <w:spacing w:before="0" w:after="0" w:line="276" w:lineRule="auto"/>
        <w:rPr>
          <w:rFonts w:ascii="Arial" w:hAnsi="Arial" w:cs="Arial"/>
          <w:b/>
          <w:sz w:val="22"/>
          <w:szCs w:val="22"/>
        </w:rPr>
      </w:pPr>
    </w:p>
    <w:p w14:paraId="564B1173" w14:textId="4983F1CB" w:rsidR="006051EB" w:rsidRDefault="009536C3" w:rsidP="00BE6767">
      <w:p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6051EB" w:rsidRPr="006051EB">
        <w:rPr>
          <w:rFonts w:ascii="Arial" w:hAnsi="Arial" w:cs="Arial"/>
          <w:sz w:val="22"/>
          <w:szCs w:val="22"/>
        </w:rPr>
        <w:t xml:space="preserve"> pondrá</w:t>
      </w:r>
      <w:r>
        <w:rPr>
          <w:rFonts w:ascii="Arial" w:hAnsi="Arial" w:cs="Arial"/>
          <w:sz w:val="22"/>
          <w:szCs w:val="22"/>
        </w:rPr>
        <w:t>n</w:t>
      </w:r>
      <w:r w:rsidR="006051EB" w:rsidRPr="006051EB">
        <w:rPr>
          <w:rFonts w:ascii="Arial" w:hAnsi="Arial" w:cs="Arial"/>
          <w:sz w:val="22"/>
          <w:szCs w:val="22"/>
        </w:rPr>
        <w:t xml:space="preserve"> a disposición del CS o AS el siguiente número telefónico </w:t>
      </w:r>
      <w:r w:rsidR="00843203" w:rsidRPr="00843203">
        <w:rPr>
          <w:rFonts w:ascii="Arial" w:hAnsi="Arial" w:cs="Arial"/>
          <w:sz w:val="22"/>
          <w:szCs w:val="22"/>
        </w:rPr>
        <w:t xml:space="preserve">800 7134 </w:t>
      </w:r>
      <w:r w:rsidR="00F60947">
        <w:rPr>
          <w:rFonts w:ascii="Arial" w:hAnsi="Arial" w:cs="Arial"/>
          <w:sz w:val="22"/>
          <w:szCs w:val="22"/>
        </w:rPr>
        <w:t>100</w:t>
      </w:r>
      <w:r w:rsidR="006051EB" w:rsidRPr="006051EB">
        <w:rPr>
          <w:rFonts w:ascii="Arial" w:hAnsi="Arial" w:cs="Arial"/>
          <w:sz w:val="22"/>
          <w:szCs w:val="22"/>
        </w:rPr>
        <w:t xml:space="preserve"> que corresponde al centro telefónico de atención, y/o el siguiente correo electrónico </w:t>
      </w:r>
      <w:hyperlink r:id="rId11" w:history="1">
        <w:r w:rsidR="00843203" w:rsidRPr="003B50AF">
          <w:rPr>
            <w:rStyle w:val="Hipervnculo"/>
            <w:rFonts w:cs="Calibri"/>
          </w:rPr>
          <w:t>caosuper@telmex.com</w:t>
        </w:r>
      </w:hyperlink>
      <w:r w:rsidR="006051EB" w:rsidRPr="006051EB">
        <w:rPr>
          <w:rFonts w:ascii="Arial" w:hAnsi="Arial" w:cs="Arial"/>
          <w:sz w:val="22"/>
          <w:szCs w:val="22"/>
        </w:rPr>
        <w:t xml:space="preserve"> los cuales representan el medio alterno al que se deberán remitir respetando los indicadores y términos señalados en la presente Oferta.</w:t>
      </w:r>
    </w:p>
    <w:p w14:paraId="346517CB" w14:textId="77777777" w:rsidR="00BE6767" w:rsidRDefault="00BE6767" w:rsidP="00BE6767">
      <w:pPr>
        <w:spacing w:before="0" w:after="0" w:line="276" w:lineRule="auto"/>
        <w:rPr>
          <w:rFonts w:ascii="Arial" w:hAnsi="Arial" w:cs="Arial"/>
          <w:sz w:val="22"/>
          <w:szCs w:val="22"/>
        </w:rPr>
      </w:pPr>
    </w:p>
    <w:p w14:paraId="0F8EBE25" w14:textId="1B61DABB" w:rsidR="00354C9B" w:rsidRDefault="00E2653D" w:rsidP="00BE6767">
      <w:pPr>
        <w:spacing w:before="0" w:after="0" w:line="276" w:lineRule="auto"/>
        <w:rPr>
          <w:rFonts w:ascii="Arial" w:hAnsi="Arial" w:cs="Arial"/>
          <w:sz w:val="22"/>
          <w:szCs w:val="22"/>
        </w:rPr>
      </w:pPr>
      <w:r>
        <w:rPr>
          <w:rFonts w:ascii="Arial" w:hAnsi="Arial" w:cs="Arial"/>
          <w:sz w:val="22"/>
          <w:szCs w:val="22"/>
        </w:rPr>
        <w:t>Cuando</w:t>
      </w:r>
      <w:r w:rsidR="00846972">
        <w:rPr>
          <w:rFonts w:ascii="Arial" w:hAnsi="Arial" w:cs="Arial"/>
          <w:sz w:val="22"/>
          <w:szCs w:val="22"/>
        </w:rPr>
        <w:t xml:space="preserve"> </w:t>
      </w:r>
      <w:r>
        <w:rPr>
          <w:rFonts w:ascii="Arial" w:hAnsi="Arial" w:cs="Arial"/>
          <w:sz w:val="22"/>
          <w:szCs w:val="22"/>
        </w:rPr>
        <w:t xml:space="preserve">se </w:t>
      </w:r>
      <w:r w:rsidR="00F17E35">
        <w:rPr>
          <w:rFonts w:ascii="Arial" w:hAnsi="Arial" w:cs="Arial"/>
          <w:sz w:val="22"/>
          <w:szCs w:val="22"/>
        </w:rPr>
        <w:t>presenten</w:t>
      </w:r>
      <w:r>
        <w:rPr>
          <w:rFonts w:ascii="Arial" w:hAnsi="Arial" w:cs="Arial"/>
          <w:sz w:val="22"/>
          <w:szCs w:val="22"/>
        </w:rPr>
        <w:t xml:space="preserve"> fallas e intermitencias en el SEG por la realización</w:t>
      </w:r>
      <w:r w:rsidR="00846972">
        <w:rPr>
          <w:rFonts w:ascii="Arial" w:hAnsi="Arial" w:cs="Arial"/>
          <w:sz w:val="22"/>
          <w:szCs w:val="22"/>
        </w:rPr>
        <w:t xml:space="preserve"> ventanas de mantenimiento a</w:t>
      </w:r>
      <w:r w:rsidR="00DE2A81">
        <w:rPr>
          <w:rFonts w:ascii="Arial" w:hAnsi="Arial" w:cs="Arial"/>
          <w:sz w:val="22"/>
          <w:szCs w:val="22"/>
        </w:rPr>
        <w:t>l SEG</w:t>
      </w:r>
      <w:r w:rsidR="00846972" w:rsidRPr="00846972">
        <w:rPr>
          <w:rFonts w:ascii="Arial" w:hAnsi="Arial" w:cs="Arial"/>
          <w:sz w:val="22"/>
          <w:szCs w:val="22"/>
        </w:rPr>
        <w:t xml:space="preserve"> en horario no laboral</w:t>
      </w:r>
      <w:r w:rsidR="00846972">
        <w:rPr>
          <w:rFonts w:ascii="Arial" w:hAnsi="Arial" w:cs="Arial"/>
          <w:sz w:val="22"/>
          <w:szCs w:val="22"/>
        </w:rPr>
        <w:t xml:space="preserve">, </w:t>
      </w:r>
      <w:r w:rsidR="00C96F2E">
        <w:rPr>
          <w:rFonts w:ascii="Arial" w:hAnsi="Arial" w:cs="Arial"/>
          <w:sz w:val="22"/>
          <w:szCs w:val="22"/>
        </w:rPr>
        <w:t xml:space="preserve">Telmex y </w:t>
      </w:r>
      <w:proofErr w:type="spellStart"/>
      <w:r w:rsidR="00C96F2E">
        <w:rPr>
          <w:rFonts w:ascii="Arial" w:hAnsi="Arial" w:cs="Arial"/>
          <w:sz w:val="22"/>
          <w:szCs w:val="22"/>
        </w:rPr>
        <w:t>Telnor</w:t>
      </w:r>
      <w:proofErr w:type="spellEnd"/>
      <w:r w:rsidR="00846972">
        <w:rPr>
          <w:rFonts w:ascii="Arial" w:hAnsi="Arial" w:cs="Arial"/>
          <w:sz w:val="22"/>
          <w:szCs w:val="22"/>
        </w:rPr>
        <w:t xml:space="preserve"> </w:t>
      </w:r>
      <w:r w:rsidR="00846972" w:rsidRPr="00846972">
        <w:rPr>
          <w:rFonts w:ascii="Arial" w:hAnsi="Arial" w:cs="Arial"/>
          <w:sz w:val="22"/>
          <w:szCs w:val="22"/>
        </w:rPr>
        <w:t>notificará</w:t>
      </w:r>
      <w:r w:rsidR="00C96F2E">
        <w:rPr>
          <w:rFonts w:ascii="Arial" w:hAnsi="Arial" w:cs="Arial"/>
          <w:sz w:val="22"/>
          <w:szCs w:val="22"/>
        </w:rPr>
        <w:t>n</w:t>
      </w:r>
      <w:r w:rsidR="00846972" w:rsidRPr="00846972">
        <w:rPr>
          <w:rFonts w:ascii="Arial" w:hAnsi="Arial" w:cs="Arial"/>
          <w:sz w:val="22"/>
          <w:szCs w:val="22"/>
        </w:rPr>
        <w:t>, vía el SEG y el correo electrónico registrado, a los CS, AS e Instituto, con al menos veinticuatro horas de anticipación</w:t>
      </w:r>
      <w:r w:rsidR="00846972">
        <w:rPr>
          <w:rFonts w:ascii="Arial" w:hAnsi="Arial" w:cs="Arial"/>
          <w:sz w:val="22"/>
          <w:szCs w:val="22"/>
        </w:rPr>
        <w:t xml:space="preserve"> a efecto de que </w:t>
      </w:r>
      <w:r w:rsidR="00F17E35">
        <w:rPr>
          <w:rFonts w:ascii="Arial" w:hAnsi="Arial" w:cs="Arial"/>
          <w:sz w:val="22"/>
          <w:szCs w:val="22"/>
        </w:rPr>
        <w:t>la</w:t>
      </w:r>
      <w:r w:rsidR="00F17E35" w:rsidRPr="00F17E35">
        <w:rPr>
          <w:rFonts w:ascii="Arial" w:hAnsi="Arial" w:cs="Arial"/>
          <w:sz w:val="22"/>
          <w:szCs w:val="22"/>
        </w:rPr>
        <w:t>s solicitudes de acceso</w:t>
      </w:r>
      <w:r w:rsidR="00F17E35">
        <w:rPr>
          <w:rFonts w:ascii="Arial" w:hAnsi="Arial" w:cs="Arial"/>
          <w:sz w:val="22"/>
          <w:szCs w:val="22"/>
        </w:rPr>
        <w:t>,</w:t>
      </w:r>
      <w:r w:rsidR="00F17E35" w:rsidRPr="00F17E35">
        <w:rPr>
          <w:rFonts w:ascii="Arial" w:hAnsi="Arial" w:cs="Arial"/>
          <w:sz w:val="22"/>
          <w:szCs w:val="22"/>
        </w:rPr>
        <w:t xml:space="preserve"> levanta</w:t>
      </w:r>
      <w:r w:rsidR="00F17E35">
        <w:rPr>
          <w:rFonts w:ascii="Arial" w:hAnsi="Arial" w:cs="Arial"/>
          <w:sz w:val="22"/>
          <w:szCs w:val="22"/>
        </w:rPr>
        <w:t>miento de</w:t>
      </w:r>
      <w:r w:rsidR="00F17E35" w:rsidRPr="00F17E35">
        <w:rPr>
          <w:rFonts w:ascii="Arial" w:hAnsi="Arial" w:cs="Arial"/>
          <w:sz w:val="22"/>
          <w:szCs w:val="22"/>
        </w:rPr>
        <w:t xml:space="preserve"> incidencias</w:t>
      </w:r>
      <w:r w:rsidR="001C09F2">
        <w:rPr>
          <w:rFonts w:ascii="Arial" w:hAnsi="Arial" w:cs="Arial"/>
          <w:sz w:val="22"/>
          <w:szCs w:val="22"/>
        </w:rPr>
        <w:t xml:space="preserve"> y</w:t>
      </w:r>
      <w:r w:rsidR="00F17E35">
        <w:rPr>
          <w:rFonts w:ascii="Arial" w:hAnsi="Arial" w:cs="Arial"/>
          <w:sz w:val="22"/>
          <w:szCs w:val="22"/>
        </w:rPr>
        <w:t xml:space="preserve"> </w:t>
      </w:r>
      <w:r w:rsidR="00846972">
        <w:rPr>
          <w:rFonts w:ascii="Arial" w:hAnsi="Arial" w:cs="Arial"/>
          <w:sz w:val="22"/>
          <w:szCs w:val="22"/>
        </w:rPr>
        <w:t xml:space="preserve">atención de eventos </w:t>
      </w:r>
      <w:r w:rsidR="00F17E35">
        <w:rPr>
          <w:rFonts w:ascii="Arial" w:hAnsi="Arial" w:cs="Arial"/>
          <w:sz w:val="22"/>
          <w:szCs w:val="22"/>
        </w:rPr>
        <w:t xml:space="preserve">del CS </w:t>
      </w:r>
      <w:r w:rsidR="00846972">
        <w:rPr>
          <w:rFonts w:ascii="Arial" w:hAnsi="Arial" w:cs="Arial"/>
          <w:sz w:val="22"/>
          <w:szCs w:val="22"/>
        </w:rPr>
        <w:t>que se presenten en ese intervalo de tiempo</w:t>
      </w:r>
      <w:r w:rsidR="001C09F2">
        <w:rPr>
          <w:rFonts w:ascii="Arial" w:hAnsi="Arial" w:cs="Arial"/>
          <w:sz w:val="22"/>
          <w:szCs w:val="22"/>
        </w:rPr>
        <w:t xml:space="preserve"> </w:t>
      </w:r>
      <w:r w:rsidR="00846972">
        <w:rPr>
          <w:rFonts w:ascii="Arial" w:hAnsi="Arial" w:cs="Arial"/>
          <w:sz w:val="22"/>
          <w:szCs w:val="22"/>
        </w:rPr>
        <w:t>sea</w:t>
      </w:r>
      <w:r w:rsidR="00F17E35">
        <w:rPr>
          <w:rFonts w:ascii="Arial" w:hAnsi="Arial" w:cs="Arial"/>
          <w:sz w:val="22"/>
          <w:szCs w:val="22"/>
        </w:rPr>
        <w:t>n gestionados</w:t>
      </w:r>
      <w:r>
        <w:rPr>
          <w:rFonts w:ascii="Arial" w:hAnsi="Arial" w:cs="Arial"/>
          <w:sz w:val="22"/>
          <w:szCs w:val="22"/>
        </w:rPr>
        <w:t xml:space="preserve"> </w:t>
      </w:r>
      <w:r w:rsidR="00846972">
        <w:rPr>
          <w:rFonts w:ascii="Arial" w:hAnsi="Arial" w:cs="Arial"/>
          <w:sz w:val="22"/>
          <w:szCs w:val="22"/>
        </w:rPr>
        <w:t>a través del medio alterno</w:t>
      </w:r>
      <w:r>
        <w:rPr>
          <w:rFonts w:ascii="Arial" w:hAnsi="Arial" w:cs="Arial"/>
          <w:sz w:val="22"/>
          <w:szCs w:val="22"/>
        </w:rPr>
        <w:t xml:space="preserve"> o de los puntos de contacto especificados. </w:t>
      </w:r>
    </w:p>
    <w:p w14:paraId="0340F590" w14:textId="77777777" w:rsidR="0065515D" w:rsidRDefault="0065515D" w:rsidP="00BE6767">
      <w:pPr>
        <w:spacing w:before="0" w:after="0" w:line="276" w:lineRule="auto"/>
        <w:rPr>
          <w:rFonts w:ascii="Arial" w:hAnsi="Arial" w:cs="Arial"/>
          <w:sz w:val="22"/>
          <w:szCs w:val="22"/>
        </w:rPr>
      </w:pPr>
    </w:p>
    <w:p w14:paraId="32D5A2E1" w14:textId="621024DB" w:rsidR="00E2653D" w:rsidRDefault="00E2653D" w:rsidP="00BE6767">
      <w:pPr>
        <w:spacing w:before="0" w:after="0" w:line="276" w:lineRule="auto"/>
        <w:rPr>
          <w:rFonts w:ascii="Arial" w:hAnsi="Arial" w:cs="Arial"/>
          <w:sz w:val="22"/>
          <w:szCs w:val="22"/>
        </w:rPr>
      </w:pPr>
      <w:r>
        <w:rPr>
          <w:rFonts w:ascii="Arial" w:hAnsi="Arial" w:cs="Arial"/>
          <w:sz w:val="22"/>
          <w:szCs w:val="22"/>
        </w:rPr>
        <w:t xml:space="preserve">Cuando se trate de intermitencias </w:t>
      </w:r>
      <w:r w:rsidR="00354C9B">
        <w:rPr>
          <w:rFonts w:ascii="Arial" w:hAnsi="Arial" w:cs="Arial"/>
          <w:sz w:val="22"/>
          <w:szCs w:val="22"/>
        </w:rPr>
        <w:t xml:space="preserve">del SEG que no fueron programadas,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354C9B">
        <w:rPr>
          <w:rFonts w:ascii="Arial" w:hAnsi="Arial" w:cs="Arial"/>
          <w:sz w:val="22"/>
          <w:szCs w:val="22"/>
        </w:rPr>
        <w:t xml:space="preserve"> </w:t>
      </w:r>
      <w:r w:rsidR="00354C9B" w:rsidRPr="00354C9B">
        <w:rPr>
          <w:rFonts w:ascii="Arial" w:hAnsi="Arial" w:cs="Arial"/>
          <w:sz w:val="22"/>
          <w:szCs w:val="22"/>
          <w:lang w:val="es-MX"/>
        </w:rPr>
        <w:t>notificará</w:t>
      </w:r>
      <w:r w:rsidR="00C96F2E">
        <w:rPr>
          <w:rFonts w:ascii="Arial" w:hAnsi="Arial" w:cs="Arial"/>
          <w:sz w:val="22"/>
          <w:szCs w:val="22"/>
          <w:lang w:val="es-MX"/>
        </w:rPr>
        <w:t>n</w:t>
      </w:r>
      <w:r w:rsidR="00354C9B" w:rsidRPr="00354C9B">
        <w:rPr>
          <w:rFonts w:ascii="Arial" w:hAnsi="Arial" w:cs="Arial"/>
          <w:sz w:val="22"/>
          <w:szCs w:val="22"/>
          <w:lang w:val="es-MX"/>
        </w:rPr>
        <w:t xml:space="preserve"> </w:t>
      </w:r>
      <w:r w:rsidR="00354C9B" w:rsidRPr="00354C9B">
        <w:rPr>
          <w:rFonts w:ascii="Arial" w:hAnsi="Arial" w:cs="Arial"/>
          <w:sz w:val="22"/>
          <w:szCs w:val="22"/>
          <w:lang w:val="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w:t>
      </w:r>
      <w:r w:rsidR="0002415D">
        <w:rPr>
          <w:rFonts w:ascii="Arial" w:hAnsi="Arial" w:cs="Arial"/>
          <w:sz w:val="22"/>
          <w:szCs w:val="22"/>
          <w:lang w:val="es-ES"/>
        </w:rPr>
        <w:t>a</w:t>
      </w:r>
      <w:r w:rsidR="00354C9B" w:rsidRPr="00354C9B">
        <w:rPr>
          <w:rFonts w:ascii="Arial" w:hAnsi="Arial" w:cs="Arial"/>
          <w:sz w:val="22"/>
          <w:szCs w:val="22"/>
          <w:lang w:val="es-ES"/>
        </w:rPr>
        <w:t xml:space="preserve"> el CS o AS</w:t>
      </w:r>
      <w:r w:rsidR="0002415D">
        <w:rPr>
          <w:rFonts w:ascii="Arial" w:hAnsi="Arial" w:cs="Arial"/>
          <w:sz w:val="22"/>
          <w:szCs w:val="22"/>
          <w:lang w:val="es-ES"/>
        </w:rPr>
        <w:t xml:space="preserve"> a </w:t>
      </w:r>
      <w:r w:rsidR="009536C3">
        <w:rPr>
          <w:rFonts w:ascii="Arial" w:hAnsi="Arial" w:cs="Arial"/>
          <w:sz w:val="22"/>
          <w:szCs w:val="22"/>
          <w:lang w:val="es-ES"/>
        </w:rPr>
        <w:t xml:space="preserve">Telmex y </w:t>
      </w:r>
      <w:proofErr w:type="spellStart"/>
      <w:r w:rsidR="009536C3">
        <w:rPr>
          <w:rFonts w:ascii="Arial" w:hAnsi="Arial" w:cs="Arial"/>
          <w:sz w:val="22"/>
          <w:szCs w:val="22"/>
          <w:lang w:val="es-ES"/>
        </w:rPr>
        <w:t>Telnor</w:t>
      </w:r>
      <w:proofErr w:type="spellEnd"/>
      <w:r w:rsidR="00354C9B" w:rsidRPr="00354C9B">
        <w:rPr>
          <w:rFonts w:ascii="Arial" w:hAnsi="Arial" w:cs="Arial"/>
          <w:sz w:val="22"/>
          <w:szCs w:val="22"/>
          <w:lang w:val="es-ES"/>
        </w:rPr>
        <w:t>, y al Instituto</w:t>
      </w:r>
      <w:r w:rsidR="00354C9B" w:rsidRPr="00354C9B">
        <w:rPr>
          <w:rFonts w:ascii="Arial" w:hAnsi="Arial" w:cs="Arial"/>
          <w:sz w:val="22"/>
          <w:szCs w:val="22"/>
          <w:lang w:val="es-MX"/>
        </w:rPr>
        <w:t xml:space="preserve"> al correo electrónico </w:t>
      </w:r>
      <w:hyperlink r:id="rId12" w:history="1">
        <w:r w:rsidR="00354C9B" w:rsidRPr="00354C9B">
          <w:rPr>
            <w:rStyle w:val="Hipervnculo"/>
            <w:rFonts w:ascii="Arial" w:hAnsi="Arial" w:cs="Arial"/>
            <w:sz w:val="22"/>
            <w:szCs w:val="22"/>
            <w:lang w:val="es-MX"/>
          </w:rPr>
          <w:t>oficialia@ift.org.mx</w:t>
        </w:r>
      </w:hyperlink>
      <w:r w:rsidR="002467B4">
        <w:rPr>
          <w:rFonts w:ascii="Arial" w:hAnsi="Arial" w:cs="Arial"/>
          <w:sz w:val="22"/>
          <w:szCs w:val="22"/>
        </w:rPr>
        <w:t xml:space="preserve">, y </w:t>
      </w:r>
      <w:r w:rsidR="002467B4" w:rsidRPr="002467B4">
        <w:rPr>
          <w:rFonts w:ascii="Arial" w:hAnsi="Arial" w:cs="Arial"/>
          <w:sz w:val="22"/>
          <w:szCs w:val="22"/>
        </w:rPr>
        <w:t>notificar</w:t>
      </w:r>
      <w:r w:rsidR="002467B4">
        <w:rPr>
          <w:rFonts w:ascii="Arial" w:hAnsi="Arial" w:cs="Arial"/>
          <w:sz w:val="22"/>
          <w:szCs w:val="22"/>
        </w:rPr>
        <w:t>á</w:t>
      </w:r>
      <w:r w:rsidR="002467B4" w:rsidRPr="002467B4">
        <w:rPr>
          <w:rFonts w:ascii="Arial" w:hAnsi="Arial" w:cs="Arial"/>
          <w:sz w:val="22"/>
          <w:szCs w:val="22"/>
        </w:rPr>
        <w:t xml:space="preserve"> por el mismo medio y de manera inmediata cuando dicha afectación se haya resuelto</w:t>
      </w:r>
      <w:r w:rsidR="002467B4">
        <w:rPr>
          <w:rFonts w:ascii="Arial" w:hAnsi="Arial" w:cs="Arial"/>
          <w:sz w:val="22"/>
          <w:szCs w:val="22"/>
        </w:rPr>
        <w:t>.</w:t>
      </w:r>
    </w:p>
    <w:p w14:paraId="5CEA4975" w14:textId="77777777" w:rsidR="0065515D" w:rsidRPr="00573C8A" w:rsidRDefault="0065515D" w:rsidP="00BE6767">
      <w:pPr>
        <w:spacing w:before="0" w:after="0" w:line="276" w:lineRule="auto"/>
        <w:rPr>
          <w:rFonts w:ascii="Arial" w:hAnsi="Arial" w:cs="Arial"/>
          <w:sz w:val="22"/>
          <w:szCs w:val="22"/>
        </w:rPr>
      </w:pPr>
    </w:p>
    <w:p w14:paraId="628F064E" w14:textId="46C1623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puntos de contacto </w:t>
      </w:r>
      <w:r w:rsidR="000C5B04">
        <w:rPr>
          <w:rFonts w:ascii="Arial" w:hAnsi="Arial" w:cs="Arial"/>
          <w:sz w:val="22"/>
          <w:szCs w:val="22"/>
        </w:rPr>
        <w:t>y medio alterno</w:t>
      </w:r>
      <w:r w:rsidR="000C5B04" w:rsidRPr="00573C8A">
        <w:rPr>
          <w:rFonts w:ascii="Arial" w:hAnsi="Arial" w:cs="Arial"/>
          <w:sz w:val="22"/>
          <w:szCs w:val="22"/>
        </w:rPr>
        <w:t xml:space="preserve"> </w:t>
      </w:r>
      <w:r w:rsidRPr="00573C8A">
        <w:rPr>
          <w:rFonts w:ascii="Arial" w:hAnsi="Arial" w:cs="Arial"/>
          <w:sz w:val="22"/>
          <w:szCs w:val="22"/>
        </w:rPr>
        <w:t xml:space="preserve">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14:paraId="3855866A" w14:textId="77777777" w:rsidR="0065515D" w:rsidRPr="00573C8A" w:rsidRDefault="0065515D" w:rsidP="0065515D">
      <w:pPr>
        <w:spacing w:before="0" w:after="0" w:line="276" w:lineRule="auto"/>
        <w:rPr>
          <w:rFonts w:ascii="Arial" w:hAnsi="Arial" w:cs="Arial"/>
          <w:sz w:val="22"/>
          <w:szCs w:val="22"/>
        </w:rPr>
      </w:pPr>
    </w:p>
    <w:p w14:paraId="628F064F" w14:textId="44125345"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Gestión de Incidencias</w:t>
      </w:r>
    </w:p>
    <w:p w14:paraId="0E1151D7" w14:textId="77777777" w:rsidR="0065515D" w:rsidRPr="0065515D" w:rsidRDefault="0065515D" w:rsidP="0065515D">
      <w:pPr>
        <w:spacing w:before="0" w:after="0" w:line="276" w:lineRule="auto"/>
        <w:rPr>
          <w:lang w:val="es-MX" w:eastAsia="es-MX"/>
        </w:rPr>
      </w:pPr>
    </w:p>
    <w:p w14:paraId="628F0650" w14:textId="03E263C7" w:rsidR="007B1124" w:rsidRDefault="00F86B70"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7B1124" w:rsidRPr="00573C8A">
        <w:rPr>
          <w:rFonts w:ascii="Arial" w:hAnsi="Arial" w:cs="Arial"/>
          <w:sz w:val="22"/>
          <w:szCs w:val="22"/>
        </w:rPr>
        <w:t>, podrá</w:t>
      </w:r>
      <w:r w:rsidR="009536C3">
        <w:rPr>
          <w:rFonts w:ascii="Arial" w:hAnsi="Arial" w:cs="Arial"/>
          <w:sz w:val="22"/>
          <w:szCs w:val="22"/>
        </w:rPr>
        <w:t>n</w:t>
      </w:r>
      <w:r w:rsidR="007B1124" w:rsidRPr="00573C8A">
        <w:rPr>
          <w:rFonts w:ascii="Arial" w:hAnsi="Arial" w:cs="Arial"/>
          <w:sz w:val="22"/>
          <w:szCs w:val="22"/>
        </w:rPr>
        <w:t xml:space="preserve"> levantar y registrar incidencias, relacionadas con fallas o posibles fallas que:</w:t>
      </w:r>
    </w:p>
    <w:p w14:paraId="3CEE1122" w14:textId="77777777" w:rsidR="0065515D" w:rsidRPr="00573C8A" w:rsidRDefault="0065515D" w:rsidP="0065515D">
      <w:pPr>
        <w:spacing w:before="0" w:after="0" w:line="276" w:lineRule="auto"/>
        <w:rPr>
          <w:rFonts w:ascii="Arial" w:hAnsi="Arial" w:cs="Arial"/>
          <w:sz w:val="22"/>
          <w:szCs w:val="22"/>
        </w:rPr>
      </w:pPr>
    </w:p>
    <w:p w14:paraId="628F0651" w14:textId="77777777" w:rsidR="007B1124" w:rsidRPr="00573C8A"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14:paraId="61FAB81C" w14:textId="4A18EFFD" w:rsidR="0065515D" w:rsidRPr="008B3203" w:rsidRDefault="007B1124" w:rsidP="008B3203">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14:paraId="628F0653" w14:textId="573F9715"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lastRenderedPageBreak/>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 xml:space="preserve">de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(circunstancia que se precisará en el reporte que para tal efecto se levante mediante un identificador que defina al “Concesionario Responsable”).</w:t>
      </w:r>
    </w:p>
    <w:p w14:paraId="690131AE" w14:textId="77777777" w:rsidR="00BD2374" w:rsidRPr="00573C8A" w:rsidRDefault="00BD2374" w:rsidP="0065515D">
      <w:pPr>
        <w:spacing w:before="0" w:after="0" w:line="276" w:lineRule="auto"/>
        <w:rPr>
          <w:rFonts w:ascii="Arial" w:hAnsi="Arial" w:cs="Arial"/>
          <w:sz w:val="22"/>
          <w:szCs w:val="22"/>
        </w:rPr>
      </w:pPr>
    </w:p>
    <w:p w14:paraId="628F0654" w14:textId="5F62C57E" w:rsidR="007B1124" w:rsidRDefault="007B1124" w:rsidP="0065515D">
      <w:pPr>
        <w:pStyle w:val="Ttulo3"/>
        <w:spacing w:before="0" w:line="276" w:lineRule="auto"/>
        <w:rPr>
          <w:rFonts w:ascii="Arial" w:hAnsi="Arial" w:cs="Arial"/>
          <w:sz w:val="22"/>
          <w:szCs w:val="22"/>
        </w:rPr>
      </w:pPr>
      <w:r w:rsidRPr="00BE5EF6">
        <w:rPr>
          <w:rStyle w:val="Ttulodellibro"/>
          <w:rFonts w:ascii="Arial" w:hAnsi="Arial" w:cs="Arial"/>
          <w:sz w:val="22"/>
          <w:szCs w:val="22"/>
          <w:u w:val="none"/>
        </w:rPr>
        <w:t>3.1.</w:t>
      </w:r>
      <w:r w:rsidRPr="00BE5EF6">
        <w:rPr>
          <w:rStyle w:val="Ttulodellibro"/>
          <w:rFonts w:ascii="Arial" w:hAnsi="Arial" w:cs="Arial"/>
          <w:sz w:val="22"/>
          <w:szCs w:val="22"/>
          <w:u w:val="none"/>
        </w:rPr>
        <w:tab/>
      </w:r>
      <w:r w:rsidRPr="00573C8A">
        <w:rPr>
          <w:rFonts w:ascii="Arial" w:hAnsi="Arial" w:cs="Arial"/>
          <w:sz w:val="22"/>
          <w:szCs w:val="22"/>
        </w:rPr>
        <w:t>Procedimiento de Gestión de Incidencias</w:t>
      </w:r>
    </w:p>
    <w:p w14:paraId="6B3F4BC9" w14:textId="77777777" w:rsidR="0065515D" w:rsidRPr="0065515D" w:rsidRDefault="0065515D" w:rsidP="0065515D">
      <w:pPr>
        <w:spacing w:before="0" w:after="0" w:line="276" w:lineRule="auto"/>
      </w:pPr>
    </w:p>
    <w:p w14:paraId="628F0655" w14:textId="7BA9016C"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000A55DD" w:rsidRPr="00573C8A">
        <w:rPr>
          <w:rFonts w:ascii="Arial" w:hAnsi="Arial" w:cs="Arial"/>
          <w:sz w:val="22"/>
          <w:szCs w:val="22"/>
        </w:rPr>
        <w:t>SEG</w:t>
      </w:r>
      <w:r w:rsidR="00EE2BC4" w:rsidRPr="00573C8A">
        <w:rPr>
          <w:rFonts w:ascii="Arial" w:hAnsi="Arial" w:cs="Arial"/>
          <w:sz w:val="22"/>
          <w:szCs w:val="22"/>
        </w:rPr>
        <w:t xml:space="preserve"> o medio alterno.</w:t>
      </w:r>
    </w:p>
    <w:p w14:paraId="628F0656" w14:textId="140D7EAB"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creará</w:t>
      </w:r>
      <w:r w:rsidR="00C96F2E">
        <w:rPr>
          <w:rFonts w:ascii="Arial" w:hAnsi="Arial" w:cs="Arial"/>
          <w:sz w:val="22"/>
          <w:szCs w:val="22"/>
        </w:rPr>
        <w:t>n</w:t>
      </w:r>
      <w:r w:rsidR="007B1124" w:rsidRPr="00573C8A">
        <w:rPr>
          <w:rFonts w:ascii="Arial" w:hAnsi="Arial" w:cs="Arial"/>
          <w:sz w:val="22"/>
          <w:szCs w:val="22"/>
        </w:rPr>
        <w:t xml:space="preserve"> el registro de la incidencia y proporcionará </w:t>
      </w:r>
      <w:r w:rsidR="00942668" w:rsidRPr="00573C8A">
        <w:rPr>
          <w:rFonts w:ascii="Arial" w:hAnsi="Arial" w:cs="Arial"/>
          <w:sz w:val="22"/>
          <w:szCs w:val="22"/>
        </w:rPr>
        <w:t xml:space="preserve">a través del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la misma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14:paraId="628F0657" w14:textId="40A4A889" w:rsidR="007B1124"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realizará</w:t>
      </w:r>
      <w:r w:rsidR="00C96F2E">
        <w:rPr>
          <w:rFonts w:ascii="Arial" w:hAnsi="Arial" w:cs="Arial"/>
          <w:sz w:val="22"/>
          <w:szCs w:val="22"/>
        </w:rPr>
        <w:t>n</w:t>
      </w:r>
      <w:r w:rsidR="007B1124" w:rsidRPr="00573C8A">
        <w:rPr>
          <w:rFonts w:ascii="Arial" w:hAnsi="Arial" w:cs="Arial"/>
          <w:sz w:val="22"/>
          <w:szCs w:val="22"/>
        </w:rPr>
        <w:t xml:space="preserve">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000A55DD" w:rsidRPr="00573C8A">
        <w:rPr>
          <w:rFonts w:ascii="Arial" w:hAnsi="Arial" w:cs="Arial"/>
          <w:sz w:val="22"/>
          <w:szCs w:val="22"/>
        </w:rPr>
        <w:t>SEG</w:t>
      </w:r>
      <w:r w:rsidR="007B1124" w:rsidRPr="00573C8A">
        <w:rPr>
          <w:rFonts w:ascii="Arial" w:hAnsi="Arial" w:cs="Arial"/>
          <w:sz w:val="22"/>
          <w:szCs w:val="22"/>
        </w:rPr>
        <w:t xml:space="preserve"> un diagnóstico:</w:t>
      </w:r>
    </w:p>
    <w:p w14:paraId="3CDAF973"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8" w14:textId="1357795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 xml:space="preserve">de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w:t>
      </w:r>
    </w:p>
    <w:p w14:paraId="26908E73"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9" w14:textId="318AB3B6" w:rsidR="007B1124" w:rsidRPr="00573C8A" w:rsidRDefault="009536C3" w:rsidP="0065515D">
      <w:pPr>
        <w:pStyle w:val="Prrafodelista"/>
        <w:numPr>
          <w:ilvl w:val="0"/>
          <w:numId w:val="6"/>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enviará</w:t>
      </w:r>
      <w:r w:rsidR="00C96F2E">
        <w:rPr>
          <w:rFonts w:ascii="Arial" w:hAnsi="Arial" w:cs="Arial"/>
          <w:sz w:val="22"/>
          <w:szCs w:val="22"/>
        </w:rPr>
        <w:t>n</w:t>
      </w:r>
      <w:r w:rsidR="007B1124" w:rsidRPr="00573C8A">
        <w:rPr>
          <w:rFonts w:ascii="Arial" w:hAnsi="Arial" w:cs="Arial"/>
          <w:sz w:val="22"/>
          <w:szCs w:val="22"/>
        </w:rPr>
        <w:t xml:space="preserve">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14:paraId="628F065A" w14:textId="6D523F67" w:rsidR="007B1124" w:rsidRPr="00573C8A"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generará</w:t>
      </w:r>
      <w:r w:rsidR="00C96F2E">
        <w:rPr>
          <w:rFonts w:ascii="Arial" w:hAnsi="Arial" w:cs="Arial"/>
          <w:sz w:val="22"/>
          <w:szCs w:val="22"/>
        </w:rPr>
        <w:t>n</w:t>
      </w:r>
      <w:r w:rsidRPr="00573C8A">
        <w:rPr>
          <w:rFonts w:ascii="Arial" w:hAnsi="Arial" w:cs="Arial"/>
          <w:sz w:val="22"/>
          <w:szCs w:val="22"/>
        </w:rPr>
        <w:t xml:space="preserve">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B" w14:textId="12B59930" w:rsidR="007B1124"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5BC27DE2"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5C" w14:textId="4F6430D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51B1F3CE"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D" w14:textId="063FEE3E" w:rsidR="007B1124" w:rsidRPr="00573C8A"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enviará</w:t>
      </w:r>
      <w:r w:rsidR="00C96F2E">
        <w:rPr>
          <w:rFonts w:ascii="Arial" w:hAnsi="Arial" w:cs="Arial"/>
          <w:sz w:val="22"/>
          <w:szCs w:val="22"/>
        </w:rPr>
        <w:t>n</w:t>
      </w:r>
      <w:r w:rsidR="007B1124" w:rsidRPr="00573C8A">
        <w:rPr>
          <w:rFonts w:ascii="Arial" w:hAnsi="Arial" w:cs="Arial"/>
          <w:sz w:val="22"/>
          <w:szCs w:val="22"/>
        </w:rPr>
        <w:t xml:space="preserve"> </w:t>
      </w:r>
      <w:r w:rsidR="00942668" w:rsidRPr="00573C8A">
        <w:rPr>
          <w:rFonts w:ascii="Arial" w:hAnsi="Arial" w:cs="Arial"/>
          <w:sz w:val="22"/>
          <w:szCs w:val="22"/>
        </w:rPr>
        <w:t xml:space="preserve">mediante 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del mismo.</w:t>
      </w:r>
    </w:p>
    <w:p w14:paraId="628F065E" w14:textId="2E98EBC3"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emitirá</w:t>
      </w:r>
      <w:r w:rsidR="009536C3">
        <w:rPr>
          <w:rFonts w:ascii="Arial" w:hAnsi="Arial" w:cs="Arial"/>
          <w:sz w:val="22"/>
          <w:szCs w:val="22"/>
        </w:rPr>
        <w:t>n</w:t>
      </w:r>
      <w:r w:rsidRPr="00573C8A">
        <w:rPr>
          <w:rFonts w:ascii="Arial" w:hAnsi="Arial" w:cs="Arial"/>
          <w:sz w:val="22"/>
          <w:szCs w:val="22"/>
        </w:rPr>
        <w:t xml:space="preserve">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w:t>
      </w:r>
      <w:r w:rsidR="00262E66">
        <w:rPr>
          <w:rFonts w:ascii="Arial" w:hAnsi="Arial" w:cs="Arial"/>
          <w:sz w:val="22"/>
          <w:szCs w:val="22"/>
        </w:rPr>
        <w:t xml:space="preserve"> </w:t>
      </w:r>
      <w:r w:rsidR="00A504BB" w:rsidRPr="00573C8A">
        <w:rPr>
          <w:rFonts w:ascii="Arial" w:hAnsi="Arial" w:cs="Arial"/>
          <w:sz w:val="22"/>
          <w:szCs w:val="22"/>
        </w:rPr>
        <w:t>solución</w:t>
      </w:r>
      <w:r w:rsidRPr="00573C8A">
        <w:rPr>
          <w:rFonts w:ascii="Arial" w:hAnsi="Arial" w:cs="Arial"/>
          <w:sz w:val="22"/>
          <w:szCs w:val="22"/>
        </w:rPr>
        <w:t>, y destinará los recursos técnicos y humanos para atender la falla en cuestión.</w:t>
      </w:r>
    </w:p>
    <w:p w14:paraId="628F065F" w14:textId="4AE08CCF"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podrá iniciar el proceso de desacuerdo técnico.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destinará</w:t>
      </w:r>
      <w:r w:rsidR="009536C3">
        <w:rPr>
          <w:rFonts w:ascii="Arial" w:hAnsi="Arial" w:cs="Arial"/>
          <w:sz w:val="22"/>
          <w:szCs w:val="22"/>
        </w:rPr>
        <w:t>n</w:t>
      </w:r>
      <w:r w:rsidRPr="00573C8A">
        <w:rPr>
          <w:rFonts w:ascii="Arial" w:hAnsi="Arial" w:cs="Arial"/>
          <w:sz w:val="22"/>
          <w:szCs w:val="22"/>
        </w:rPr>
        <w:t xml:space="preserve"> los recursos técnicos y humanos para atender la falla en cuestión, cuyos gastos serán pagados por el </w:t>
      </w:r>
      <w:r w:rsidR="00E50A92" w:rsidRPr="00573C8A">
        <w:rPr>
          <w:rFonts w:ascii="Arial" w:hAnsi="Arial" w:cs="Arial"/>
          <w:sz w:val="22"/>
          <w:szCs w:val="22"/>
        </w:rPr>
        <w:t xml:space="preserve">Concesionario </w:t>
      </w:r>
      <w:r w:rsidR="00E50A92" w:rsidRPr="00573C8A">
        <w:rPr>
          <w:rFonts w:ascii="Arial" w:hAnsi="Arial" w:cs="Arial"/>
          <w:sz w:val="22"/>
          <w:szCs w:val="22"/>
        </w:rPr>
        <w:lastRenderedPageBreak/>
        <w:t>(o Autorizado) solicitante</w:t>
      </w:r>
      <w:r w:rsidRPr="00573C8A">
        <w:rPr>
          <w:rFonts w:ascii="Arial" w:hAnsi="Arial" w:cs="Arial"/>
          <w:sz w:val="22"/>
          <w:szCs w:val="22"/>
        </w:rPr>
        <w:t xml:space="preserve"> a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60" w14:textId="4F6F3272" w:rsidR="007B1124"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 xml:space="preserve">Telmex y </w:t>
      </w:r>
      <w:proofErr w:type="spellStart"/>
      <w:r>
        <w:rPr>
          <w:rFonts w:ascii="Arial" w:hAnsi="Arial" w:cs="Arial"/>
          <w:sz w:val="22"/>
          <w:szCs w:val="22"/>
        </w:rPr>
        <w:t>Telnor</w:t>
      </w:r>
      <w:proofErr w:type="spellEnd"/>
      <w:r w:rsidR="007B1124" w:rsidRPr="00573C8A">
        <w:rPr>
          <w:rFonts w:ascii="Arial" w:hAnsi="Arial" w:cs="Arial"/>
          <w:sz w:val="22"/>
          <w:szCs w:val="22"/>
        </w:rPr>
        <w:t xml:space="preserve"> validará</w:t>
      </w:r>
      <w:r>
        <w:rPr>
          <w:rFonts w:ascii="Arial" w:hAnsi="Arial" w:cs="Arial"/>
          <w:sz w:val="22"/>
          <w:szCs w:val="22"/>
        </w:rPr>
        <w:t>n</w:t>
      </w:r>
      <w:r w:rsidR="007B1124" w:rsidRPr="00573C8A">
        <w:rPr>
          <w:rFonts w:ascii="Arial" w:hAnsi="Arial" w:cs="Arial"/>
          <w:sz w:val="22"/>
          <w:szCs w:val="22"/>
        </w:rPr>
        <w:t xml:space="preserve"> que la falla reportada en la incidencia haya sido atendida de forma exitosa, en cuyo caso podrá cerrar la incidencia. De lo contrario, podrá iniciar la conciliación de cierre de incidencias.</w:t>
      </w:r>
    </w:p>
    <w:p w14:paraId="4AB3934B"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61" w14:textId="662684AD" w:rsidR="007B1124" w:rsidRDefault="007B1124" w:rsidP="0065515D">
      <w:pPr>
        <w:pStyle w:val="Ttulo3"/>
        <w:spacing w:before="0" w:line="276" w:lineRule="auto"/>
        <w:rPr>
          <w:rStyle w:val="Ttulodellibro"/>
          <w:rFonts w:ascii="Arial" w:hAnsi="Arial" w:cs="Arial"/>
          <w:sz w:val="22"/>
          <w:szCs w:val="22"/>
        </w:rPr>
      </w:pPr>
      <w:r w:rsidRPr="00BE5EF6">
        <w:rPr>
          <w:rStyle w:val="Ttulodellibro"/>
          <w:rFonts w:ascii="Arial" w:hAnsi="Arial" w:cs="Arial"/>
          <w:sz w:val="22"/>
          <w:szCs w:val="22"/>
          <w:u w:val="none"/>
        </w:rPr>
        <w:t>3.2.</w:t>
      </w:r>
      <w:r w:rsidRPr="00BE5EF6">
        <w:rPr>
          <w:rStyle w:val="Ttulodellibro"/>
          <w:rFonts w:ascii="Arial" w:hAnsi="Arial" w:cs="Arial"/>
          <w:sz w:val="22"/>
          <w:szCs w:val="22"/>
          <w:u w:val="none"/>
        </w:rPr>
        <w:tab/>
      </w:r>
      <w:r w:rsidRPr="00573C8A">
        <w:rPr>
          <w:rStyle w:val="Ttulodellibro"/>
          <w:rFonts w:ascii="Arial" w:hAnsi="Arial" w:cs="Arial"/>
          <w:sz w:val="22"/>
          <w:szCs w:val="22"/>
        </w:rPr>
        <w:t xml:space="preserve">Cierre de incidencias </w:t>
      </w:r>
    </w:p>
    <w:p w14:paraId="6EBCD848" w14:textId="77777777" w:rsidR="0065515D" w:rsidRPr="0065515D" w:rsidRDefault="0065515D" w:rsidP="0065515D">
      <w:pPr>
        <w:pStyle w:val="Prrafodelista"/>
        <w:spacing w:before="0" w:after="0" w:line="276" w:lineRule="auto"/>
        <w:ind w:left="1428"/>
        <w:rPr>
          <w:rFonts w:ascii="Arial" w:hAnsi="Arial" w:cs="Arial"/>
          <w:sz w:val="22"/>
          <w:szCs w:val="22"/>
        </w:rPr>
      </w:pPr>
    </w:p>
    <w:p w14:paraId="628F0662" w14:textId="05A7A0DF"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la misma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14:paraId="149A3841" w14:textId="77777777" w:rsidR="0065515D" w:rsidRPr="00573C8A" w:rsidRDefault="0065515D" w:rsidP="0065515D">
      <w:pPr>
        <w:spacing w:before="0" w:after="0" w:line="276" w:lineRule="auto"/>
        <w:rPr>
          <w:rFonts w:ascii="Arial" w:hAnsi="Arial" w:cs="Arial"/>
          <w:sz w:val="22"/>
          <w:szCs w:val="22"/>
        </w:rPr>
      </w:pPr>
    </w:p>
    <w:p w14:paraId="628F0663" w14:textId="7B6CDAE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w:t>
      </w:r>
    </w:p>
    <w:p w14:paraId="1A176A40" w14:textId="77777777" w:rsidR="0065515D" w:rsidRPr="00573C8A" w:rsidRDefault="0065515D" w:rsidP="0065515D">
      <w:pPr>
        <w:spacing w:before="0" w:after="0" w:line="276" w:lineRule="auto"/>
        <w:rPr>
          <w:rFonts w:ascii="Arial" w:hAnsi="Arial" w:cs="Arial"/>
          <w:sz w:val="22"/>
          <w:szCs w:val="22"/>
        </w:rPr>
      </w:pPr>
    </w:p>
    <w:p w14:paraId="628F0664" w14:textId="0F53DCEA"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3.3.</w:t>
      </w:r>
      <w:r w:rsidRPr="00BE5EF6">
        <w:rPr>
          <w:rFonts w:ascii="Arial" w:hAnsi="Arial" w:cs="Arial"/>
          <w:sz w:val="22"/>
          <w:szCs w:val="22"/>
          <w:u w:val="none"/>
        </w:rPr>
        <w:tab/>
      </w:r>
      <w:r w:rsidRPr="00573C8A">
        <w:rPr>
          <w:rFonts w:ascii="Arial" w:hAnsi="Arial" w:cs="Arial"/>
          <w:sz w:val="22"/>
          <w:szCs w:val="22"/>
        </w:rPr>
        <w:t>Conciliación de Cierre de Incidenc</w:t>
      </w:r>
      <w:r w:rsidR="00BE5EF6">
        <w:rPr>
          <w:rFonts w:ascii="Arial" w:hAnsi="Arial" w:cs="Arial"/>
          <w:sz w:val="22"/>
          <w:szCs w:val="22"/>
        </w:rPr>
        <w:t>ias</w:t>
      </w:r>
    </w:p>
    <w:p w14:paraId="1F4EB14F" w14:textId="77777777" w:rsidR="0065515D" w:rsidRPr="0065515D" w:rsidRDefault="0065515D" w:rsidP="0065515D">
      <w:pPr>
        <w:spacing w:before="0" w:after="0" w:line="276" w:lineRule="auto"/>
      </w:pPr>
    </w:p>
    <w:p w14:paraId="628F0665" w14:textId="078759B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6E8A4242" w14:textId="77777777" w:rsidR="0065515D" w:rsidRPr="00573C8A" w:rsidRDefault="0065515D" w:rsidP="0065515D">
      <w:pPr>
        <w:spacing w:before="0" w:after="0" w:line="276" w:lineRule="auto"/>
        <w:rPr>
          <w:rFonts w:ascii="Arial" w:hAnsi="Arial" w:cs="Arial"/>
          <w:sz w:val="22"/>
          <w:szCs w:val="22"/>
        </w:rPr>
      </w:pPr>
    </w:p>
    <w:p w14:paraId="628F0666"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14:paraId="628F0667"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14:paraId="628F0668" w14:textId="491CCA53" w:rsidR="007B1124"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Expiración de los tiempos de atención o respuesta comprometidos.</w:t>
      </w:r>
    </w:p>
    <w:p w14:paraId="708A9ECD"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69" w14:textId="18273B4D"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AC0F55" w:rsidRPr="00573C8A">
        <w:rPr>
          <w:rFonts w:ascii="Arial" w:hAnsi="Arial" w:cs="Arial"/>
          <w:sz w:val="22"/>
          <w:szCs w:val="22"/>
        </w:rPr>
        <w:t xml:space="preserve"> </w:t>
      </w:r>
      <w:r w:rsidRPr="00573C8A">
        <w:rPr>
          <w:rFonts w:ascii="Arial" w:hAnsi="Arial" w:cs="Arial"/>
          <w:sz w:val="22"/>
          <w:szCs w:val="22"/>
        </w:rPr>
        <w:t>realice</w:t>
      </w:r>
      <w:r w:rsidR="009536C3">
        <w:rPr>
          <w:rFonts w:ascii="Arial" w:hAnsi="Arial" w:cs="Arial"/>
          <w:sz w:val="22"/>
          <w:szCs w:val="22"/>
        </w:rPr>
        <w:t>n</w:t>
      </w:r>
      <w:r w:rsidRPr="00573C8A">
        <w:rPr>
          <w:rFonts w:ascii="Arial" w:hAnsi="Arial" w:cs="Arial"/>
          <w:sz w:val="22"/>
          <w:szCs w:val="22"/>
        </w:rPr>
        <w:t xml:space="preserve"> el cierre de incidencia, la parte afectada deberá informar al responsable su desacuerdo sobre dicho cierre.</w:t>
      </w:r>
    </w:p>
    <w:p w14:paraId="628F066A" w14:textId="77777777"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analizará la información proporcionada por el afectado.</w:t>
      </w:r>
    </w:p>
    <w:p w14:paraId="628F066B" w14:textId="77777777" w:rsidR="007B1124" w:rsidRPr="00573C8A" w:rsidRDefault="00573C8A" w:rsidP="0065515D">
      <w:pPr>
        <w:pStyle w:val="Prrafodelista"/>
        <w:numPr>
          <w:ilvl w:val="0"/>
          <w:numId w:val="9"/>
        </w:numPr>
        <w:spacing w:before="0" w:after="0"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14:paraId="628F066C" w14:textId="10FB17B6" w:rsidR="007B1124"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y el afectado realizarán el cierre de la incidencia una vez que lleguen a un acuerdo.</w:t>
      </w:r>
    </w:p>
    <w:p w14:paraId="0BC950B3" w14:textId="77777777" w:rsidR="0065515D" w:rsidRPr="00573C8A" w:rsidRDefault="0065515D" w:rsidP="0065515D">
      <w:pPr>
        <w:pStyle w:val="Prrafodelista"/>
        <w:spacing w:before="0" w:after="0" w:line="276" w:lineRule="auto"/>
        <w:ind w:left="1080"/>
        <w:rPr>
          <w:rFonts w:ascii="Arial" w:hAnsi="Arial" w:cs="Arial"/>
          <w:sz w:val="22"/>
          <w:szCs w:val="22"/>
        </w:rPr>
      </w:pPr>
    </w:p>
    <w:p w14:paraId="628F066D" w14:textId="4529A39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14:paraId="6976ADE7" w14:textId="77777777" w:rsidR="0065515D" w:rsidRPr="00573C8A" w:rsidRDefault="0065515D" w:rsidP="0065515D">
      <w:pPr>
        <w:spacing w:before="0" w:after="0" w:line="276" w:lineRule="auto"/>
        <w:rPr>
          <w:rFonts w:ascii="Arial" w:hAnsi="Arial" w:cs="Arial"/>
          <w:sz w:val="22"/>
          <w:szCs w:val="22"/>
        </w:rPr>
      </w:pPr>
    </w:p>
    <w:p w14:paraId="628F066E" w14:textId="341AA9E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por los gastos incurridos durante la atención de la falla. </w:t>
      </w:r>
    </w:p>
    <w:p w14:paraId="070FC79C" w14:textId="77777777" w:rsidR="0065515D" w:rsidRPr="00573C8A" w:rsidRDefault="0065515D" w:rsidP="0065515D">
      <w:pPr>
        <w:spacing w:before="0" w:after="0" w:line="276" w:lineRule="auto"/>
        <w:rPr>
          <w:rFonts w:ascii="Arial" w:hAnsi="Arial" w:cs="Arial"/>
          <w:sz w:val="22"/>
          <w:szCs w:val="22"/>
        </w:rPr>
      </w:pPr>
    </w:p>
    <w:p w14:paraId="628F066F" w14:textId="3389C9E3"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De la misma forma, si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llegase</w:t>
      </w:r>
      <w:r w:rsidR="009536C3">
        <w:rPr>
          <w:rFonts w:ascii="Arial" w:hAnsi="Arial" w:cs="Arial"/>
          <w:sz w:val="22"/>
          <w:szCs w:val="22"/>
        </w:rPr>
        <w:t>n</w:t>
      </w:r>
      <w:r w:rsidRPr="00573C8A">
        <w:rPr>
          <w:rFonts w:ascii="Arial" w:hAnsi="Arial" w:cs="Arial"/>
          <w:sz w:val="22"/>
          <w:szCs w:val="22"/>
        </w:rPr>
        <w:t xml:space="preserv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14:paraId="3E42B95E" w14:textId="77777777" w:rsidR="009536C3" w:rsidRPr="00573C8A" w:rsidRDefault="009536C3" w:rsidP="0065515D">
      <w:pPr>
        <w:spacing w:before="0" w:after="0" w:line="276" w:lineRule="auto"/>
        <w:rPr>
          <w:rFonts w:ascii="Arial" w:hAnsi="Arial" w:cs="Arial"/>
          <w:sz w:val="22"/>
          <w:szCs w:val="22"/>
        </w:rPr>
      </w:pPr>
    </w:p>
    <w:p w14:paraId="628F0670" w14:textId="4812CB0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la misma,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14:paraId="3AFB0AE8" w14:textId="77777777" w:rsidR="0065515D" w:rsidRPr="00573C8A" w:rsidRDefault="0065515D" w:rsidP="0065515D">
      <w:pPr>
        <w:spacing w:before="0" w:after="0" w:line="276" w:lineRule="auto"/>
        <w:rPr>
          <w:rFonts w:ascii="Arial" w:hAnsi="Arial" w:cs="Arial"/>
          <w:sz w:val="22"/>
          <w:szCs w:val="22"/>
        </w:rPr>
      </w:pPr>
    </w:p>
    <w:p w14:paraId="628F0671" w14:textId="77777777"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Procedimiento para Mantenimiento Correctivo</w:t>
      </w:r>
    </w:p>
    <w:p w14:paraId="03A6D424" w14:textId="77777777" w:rsidR="00BE5EF6" w:rsidRDefault="00BE5EF6" w:rsidP="0065515D">
      <w:pPr>
        <w:spacing w:before="0" w:after="0" w:line="276" w:lineRule="auto"/>
        <w:rPr>
          <w:rFonts w:ascii="Arial" w:hAnsi="Arial" w:cs="Arial"/>
          <w:sz w:val="22"/>
          <w:szCs w:val="22"/>
        </w:rPr>
      </w:pPr>
    </w:p>
    <w:p w14:paraId="628F0673" w14:textId="27AD9B11"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4.1.</w:t>
      </w:r>
      <w:r w:rsidRPr="00BE5EF6">
        <w:rPr>
          <w:rFonts w:ascii="Arial" w:hAnsi="Arial" w:cs="Arial"/>
          <w:sz w:val="22"/>
          <w:szCs w:val="22"/>
          <w:u w:val="none"/>
        </w:rPr>
        <w:tab/>
      </w:r>
      <w:r w:rsidRPr="00573C8A">
        <w:rPr>
          <w:rFonts w:ascii="Arial" w:hAnsi="Arial" w:cs="Arial"/>
          <w:sz w:val="22"/>
          <w:szCs w:val="22"/>
        </w:rPr>
        <w:t>Verificación previa al reporte de falla</w:t>
      </w:r>
    </w:p>
    <w:p w14:paraId="4A22B517" w14:textId="77777777" w:rsidR="0065515D" w:rsidRPr="0065515D" w:rsidRDefault="0065515D" w:rsidP="0065515D">
      <w:pPr>
        <w:spacing w:before="0" w:after="0" w:line="276" w:lineRule="auto"/>
      </w:pPr>
    </w:p>
    <w:p w14:paraId="628F0674" w14:textId="15B4EFA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14:paraId="595AE1BD" w14:textId="77777777" w:rsidR="0065515D" w:rsidRPr="00573C8A" w:rsidRDefault="0065515D" w:rsidP="0065515D">
      <w:pPr>
        <w:spacing w:before="0" w:after="0" w:line="276" w:lineRule="auto"/>
        <w:rPr>
          <w:rFonts w:ascii="Arial" w:hAnsi="Arial" w:cs="Arial"/>
          <w:sz w:val="22"/>
          <w:szCs w:val="22"/>
        </w:rPr>
      </w:pPr>
    </w:p>
    <w:p w14:paraId="628F0675"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Mal funcionamiento de los propios elementos de red.</w:t>
      </w:r>
    </w:p>
    <w:p w14:paraId="628F0676"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14:paraId="628F0677"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14:paraId="628F0678" w14:textId="0E92E41C" w:rsidR="007B1124"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14:paraId="3445AE7C" w14:textId="77777777" w:rsidR="0065515D" w:rsidRPr="00573C8A" w:rsidRDefault="0065515D" w:rsidP="00E5647F">
      <w:pPr>
        <w:pStyle w:val="Prrafodelista"/>
        <w:spacing w:before="0" w:after="0" w:line="276" w:lineRule="auto"/>
        <w:ind w:left="720"/>
        <w:rPr>
          <w:rFonts w:ascii="Arial" w:hAnsi="Arial" w:cs="Arial"/>
          <w:sz w:val="22"/>
          <w:szCs w:val="22"/>
        </w:rPr>
      </w:pPr>
    </w:p>
    <w:p w14:paraId="628F0679" w14:textId="6A8D968A"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 xml:space="preserve">de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14:paraId="089DA103" w14:textId="77777777" w:rsidR="00EB68BF" w:rsidRDefault="00EB68BF" w:rsidP="0065515D">
      <w:pPr>
        <w:spacing w:before="0" w:after="0" w:line="276" w:lineRule="auto"/>
        <w:rPr>
          <w:rFonts w:ascii="Arial" w:hAnsi="Arial" w:cs="Arial"/>
          <w:sz w:val="22"/>
          <w:szCs w:val="22"/>
        </w:rPr>
      </w:pPr>
    </w:p>
    <w:p w14:paraId="628F067A" w14:textId="34FADDA2"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4.2.</w:t>
      </w:r>
      <w:r w:rsidRPr="00BE5EF6">
        <w:rPr>
          <w:rFonts w:ascii="Arial" w:hAnsi="Arial" w:cs="Arial"/>
          <w:sz w:val="22"/>
          <w:szCs w:val="22"/>
          <w:u w:val="none"/>
        </w:rPr>
        <w:tab/>
      </w:r>
      <w:r w:rsidRPr="00573C8A">
        <w:rPr>
          <w:rFonts w:ascii="Arial" w:hAnsi="Arial" w:cs="Arial"/>
          <w:sz w:val="22"/>
          <w:szCs w:val="22"/>
        </w:rPr>
        <w:t>Reporte de falla</w:t>
      </w:r>
    </w:p>
    <w:p w14:paraId="17154F52" w14:textId="77777777" w:rsidR="0065515D" w:rsidRPr="0065515D" w:rsidRDefault="0065515D" w:rsidP="0065515D">
      <w:pPr>
        <w:spacing w:before="0" w:after="0" w:line="276" w:lineRule="auto"/>
      </w:pPr>
    </w:p>
    <w:p w14:paraId="628F067B" w14:textId="36AB15B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deberán informar concretamente la falla, y proporcionar los siguientes datos:</w:t>
      </w:r>
    </w:p>
    <w:p w14:paraId="1FCDAD51" w14:textId="77777777" w:rsidR="0065515D" w:rsidRPr="00573C8A" w:rsidRDefault="0065515D" w:rsidP="0065515D">
      <w:pPr>
        <w:spacing w:before="0" w:after="0" w:line="276" w:lineRule="auto"/>
        <w:rPr>
          <w:rFonts w:ascii="Arial" w:hAnsi="Arial" w:cs="Arial"/>
          <w:sz w:val="22"/>
          <w:szCs w:val="22"/>
        </w:rPr>
      </w:pPr>
    </w:p>
    <w:p w14:paraId="628F067C"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w:t>
      </w:r>
      <w:r w:rsidR="00E50A92" w:rsidRPr="00573C8A">
        <w:rPr>
          <w:rFonts w:ascii="Arial" w:hAnsi="Arial" w:cs="Arial"/>
          <w:sz w:val="22"/>
          <w:szCs w:val="22"/>
        </w:rPr>
        <w:t xml:space="preserve"> quien reporta el servicio, Concesionario (o Autorizado) solicitante.</w:t>
      </w:r>
    </w:p>
    <w:p w14:paraId="628F067D"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14:paraId="628F067E"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14:paraId="628F067F"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Direcciones de correo electrónico (principal y alternativa)</w:t>
      </w:r>
      <w:r w:rsidR="00573C8A">
        <w:rPr>
          <w:rFonts w:ascii="Arial" w:hAnsi="Arial" w:cs="Arial"/>
          <w:sz w:val="22"/>
          <w:szCs w:val="22"/>
        </w:rPr>
        <w:t>.</w:t>
      </w:r>
    </w:p>
    <w:p w14:paraId="628F0680"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14:paraId="628F0681"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14:paraId="628F0682"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lastRenderedPageBreak/>
        <w:t>Prioridad de atención (prioridad urgente se refiere a una afectación total; las demás afectaciones tendrán menor prioridad)</w:t>
      </w:r>
      <w:r w:rsidR="00573C8A">
        <w:rPr>
          <w:rFonts w:ascii="Arial" w:hAnsi="Arial" w:cs="Arial"/>
          <w:sz w:val="22"/>
          <w:szCs w:val="22"/>
        </w:rPr>
        <w:t>.</w:t>
      </w:r>
    </w:p>
    <w:p w14:paraId="628F0683" w14:textId="307ECACD" w:rsidR="007B1124"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14:paraId="0B36F42A"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84" w14:textId="51BBBBE6"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14:paraId="2A2441E5" w14:textId="77777777" w:rsidR="00BE5EF6" w:rsidRPr="00573C8A" w:rsidRDefault="00BE5EF6" w:rsidP="0065515D">
      <w:pPr>
        <w:spacing w:before="0" w:after="0" w:line="276" w:lineRule="auto"/>
        <w:rPr>
          <w:rFonts w:ascii="Arial" w:hAnsi="Arial" w:cs="Arial"/>
          <w:sz w:val="22"/>
          <w:szCs w:val="22"/>
        </w:rPr>
      </w:pPr>
    </w:p>
    <w:p w14:paraId="628F0685" w14:textId="5A563155"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4.3.</w:t>
      </w:r>
      <w:r w:rsidRPr="00BE5EF6">
        <w:rPr>
          <w:rFonts w:ascii="Arial" w:hAnsi="Arial" w:cs="Arial"/>
          <w:sz w:val="22"/>
          <w:szCs w:val="22"/>
          <w:u w:val="none"/>
        </w:rPr>
        <w:tab/>
      </w:r>
      <w:r w:rsidRPr="00573C8A">
        <w:rPr>
          <w:rFonts w:ascii="Arial" w:hAnsi="Arial" w:cs="Arial"/>
          <w:sz w:val="22"/>
          <w:szCs w:val="22"/>
        </w:rPr>
        <w:t>Resolución de fallas</w:t>
      </w:r>
    </w:p>
    <w:p w14:paraId="6304FF2D" w14:textId="77777777" w:rsidR="00BE5EF6" w:rsidRPr="00BE5EF6" w:rsidRDefault="00BE5EF6" w:rsidP="0065515D">
      <w:pPr>
        <w:pStyle w:val="Prrafodelista"/>
        <w:spacing w:before="0" w:after="0" w:line="276" w:lineRule="auto"/>
        <w:ind w:left="720"/>
        <w:rPr>
          <w:rFonts w:ascii="Arial" w:hAnsi="Arial" w:cs="Arial"/>
          <w:sz w:val="28"/>
          <w:szCs w:val="22"/>
        </w:rPr>
      </w:pPr>
    </w:p>
    <w:p w14:paraId="628F0686" w14:textId="5C6CD4D0"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14:paraId="0267BA60" w14:textId="77777777" w:rsidR="0065515D" w:rsidRPr="00573C8A" w:rsidRDefault="0065515D" w:rsidP="0065515D">
      <w:pPr>
        <w:spacing w:before="0" w:after="0" w:line="276" w:lineRule="auto"/>
        <w:rPr>
          <w:rFonts w:ascii="Arial" w:hAnsi="Arial" w:cs="Arial"/>
          <w:sz w:val="22"/>
          <w:szCs w:val="22"/>
        </w:rPr>
      </w:pPr>
    </w:p>
    <w:p w14:paraId="628F0687" w14:textId="60659B8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notificará a la parte afectada la resolución de la misma.</w:t>
      </w:r>
    </w:p>
    <w:p w14:paraId="350CCC7C" w14:textId="77777777" w:rsidR="0065515D" w:rsidRPr="00573C8A" w:rsidRDefault="0065515D" w:rsidP="0065515D">
      <w:pPr>
        <w:spacing w:before="0" w:after="0" w:line="276" w:lineRule="auto"/>
        <w:rPr>
          <w:rFonts w:ascii="Arial" w:hAnsi="Arial" w:cs="Arial"/>
          <w:sz w:val="22"/>
          <w:szCs w:val="22"/>
        </w:rPr>
      </w:pPr>
    </w:p>
    <w:p w14:paraId="628F0688" w14:textId="470D893D"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14:paraId="6D56BAFB" w14:textId="77777777" w:rsidR="0065515D" w:rsidRPr="00573C8A" w:rsidRDefault="0065515D" w:rsidP="0065515D">
      <w:pPr>
        <w:spacing w:before="0" w:after="0" w:line="276" w:lineRule="auto"/>
        <w:rPr>
          <w:rFonts w:ascii="Arial" w:hAnsi="Arial" w:cs="Arial"/>
          <w:sz w:val="22"/>
          <w:szCs w:val="22"/>
        </w:rPr>
      </w:pPr>
    </w:p>
    <w:p w14:paraId="57C1A92E" w14:textId="430E56C2" w:rsidR="00BE5EF6"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que impliquen detener la contabilización del tiempo de la incidencia en el proceso de solución de la misma, será comunicada a la parte afectada y no se contabilizará para el cálculo de índices de calidad.</w:t>
      </w:r>
    </w:p>
    <w:p w14:paraId="7E7B6A63" w14:textId="77777777" w:rsidR="00EB68BF" w:rsidRPr="00573C8A" w:rsidRDefault="00EB68BF" w:rsidP="0065515D">
      <w:pPr>
        <w:spacing w:before="0" w:after="0" w:line="276" w:lineRule="auto"/>
        <w:rPr>
          <w:rFonts w:ascii="Arial" w:hAnsi="Arial" w:cs="Arial"/>
          <w:sz w:val="22"/>
          <w:szCs w:val="22"/>
        </w:rPr>
      </w:pPr>
    </w:p>
    <w:p w14:paraId="628F068A" w14:textId="0871E4C6"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4.4.</w:t>
      </w:r>
      <w:r w:rsidRPr="00BE5EF6">
        <w:rPr>
          <w:rFonts w:ascii="Arial" w:hAnsi="Arial" w:cs="Arial"/>
          <w:sz w:val="22"/>
          <w:szCs w:val="22"/>
          <w:u w:val="none"/>
        </w:rPr>
        <w:tab/>
      </w:r>
      <w:r w:rsidRPr="00573C8A">
        <w:rPr>
          <w:rFonts w:ascii="Arial" w:hAnsi="Arial" w:cs="Arial"/>
          <w:sz w:val="22"/>
          <w:szCs w:val="22"/>
        </w:rPr>
        <w:t>Procedimiento de Escalamiento para Resolución de Fallas</w:t>
      </w:r>
    </w:p>
    <w:p w14:paraId="1BB62544" w14:textId="77777777" w:rsidR="00BE5EF6" w:rsidRPr="00BE5EF6" w:rsidRDefault="00BE5EF6" w:rsidP="0065515D">
      <w:pPr>
        <w:spacing w:before="0" w:after="0" w:line="276" w:lineRule="auto"/>
        <w:rPr>
          <w:rFonts w:ascii="Arial" w:hAnsi="Arial" w:cs="Arial"/>
          <w:sz w:val="28"/>
          <w:szCs w:val="22"/>
        </w:rPr>
      </w:pPr>
    </w:p>
    <w:p w14:paraId="628F068B" w14:textId="195464C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14:paraId="55AAE71B" w14:textId="77777777" w:rsidR="0065515D" w:rsidRPr="00573C8A" w:rsidRDefault="0065515D" w:rsidP="0065515D">
      <w:pPr>
        <w:spacing w:before="0" w:after="0" w:line="276" w:lineRule="auto"/>
        <w:rPr>
          <w:rFonts w:ascii="Arial" w:hAnsi="Arial" w:cs="Arial"/>
          <w:sz w:val="22"/>
          <w:szCs w:val="22"/>
        </w:rPr>
      </w:pPr>
    </w:p>
    <w:p w14:paraId="628F068C" w14:textId="1870D53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escalamiento podrá hacerse solo para incidencias abiertas (activas/pendientes) independientemente del plazo transcurrido desde la solicitud de apertura, el procedimiento de escalamiento se iniciará vía telefónica. </w:t>
      </w:r>
    </w:p>
    <w:p w14:paraId="3BB09A17" w14:textId="77777777" w:rsidR="0065515D" w:rsidRPr="00573C8A" w:rsidRDefault="0065515D" w:rsidP="0065515D">
      <w:pPr>
        <w:spacing w:before="0" w:after="0" w:line="276" w:lineRule="auto"/>
        <w:rPr>
          <w:rFonts w:ascii="Arial" w:hAnsi="Arial" w:cs="Arial"/>
          <w:sz w:val="22"/>
          <w:szCs w:val="22"/>
        </w:rPr>
      </w:pPr>
    </w:p>
    <w:p w14:paraId="628F068D" w14:textId="185B8B44"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9536C3">
        <w:rPr>
          <w:rFonts w:ascii="Arial" w:hAnsi="Arial" w:cs="Arial"/>
          <w:sz w:val="22"/>
          <w:szCs w:val="22"/>
        </w:rPr>
        <w:t xml:space="preserve">Telmex y </w:t>
      </w:r>
      <w:proofErr w:type="spellStart"/>
      <w:r w:rsidR="009536C3">
        <w:rPr>
          <w:rFonts w:ascii="Arial" w:hAnsi="Arial" w:cs="Arial"/>
          <w:sz w:val="22"/>
          <w:szCs w:val="22"/>
        </w:rPr>
        <w:t>Telnor</w:t>
      </w:r>
      <w:proofErr w:type="spellEnd"/>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w:t>
      </w:r>
      <w:r w:rsidR="007D0A9C">
        <w:rPr>
          <w:rFonts w:ascii="Arial" w:hAnsi="Arial" w:cs="Arial"/>
          <w:sz w:val="22"/>
          <w:szCs w:val="22"/>
        </w:rPr>
        <w:t xml:space="preserve">siete </w:t>
      </w:r>
      <w:r w:rsidRPr="00573C8A">
        <w:rPr>
          <w:rFonts w:ascii="Arial" w:hAnsi="Arial" w:cs="Arial"/>
          <w:sz w:val="22"/>
          <w:szCs w:val="22"/>
        </w:rPr>
        <w:t>días de la semana, los 365 días del año.</w:t>
      </w:r>
    </w:p>
    <w:p w14:paraId="1B419027" w14:textId="4AC6E718" w:rsidR="00BE5EF6" w:rsidRDefault="00BE5EF6" w:rsidP="0065515D">
      <w:pPr>
        <w:spacing w:before="0" w:after="0" w:line="276" w:lineRule="auto"/>
        <w:rPr>
          <w:rFonts w:ascii="Arial" w:hAnsi="Arial" w:cs="Arial"/>
          <w:sz w:val="22"/>
          <w:szCs w:val="22"/>
        </w:rPr>
      </w:pPr>
    </w:p>
    <w:tbl>
      <w:tblPr>
        <w:tblW w:w="5000" w:type="pct"/>
        <w:tblCellMar>
          <w:left w:w="0" w:type="dxa"/>
          <w:right w:w="0" w:type="dxa"/>
        </w:tblCellMar>
        <w:tblLook w:val="00A0" w:firstRow="1" w:lastRow="0" w:firstColumn="1" w:lastColumn="0" w:noHBand="0" w:noVBand="0"/>
      </w:tblPr>
      <w:tblGrid>
        <w:gridCol w:w="2984"/>
        <w:gridCol w:w="4378"/>
        <w:gridCol w:w="2024"/>
      </w:tblGrid>
      <w:tr w:rsidR="007B1124" w:rsidRPr="00573C8A" w14:paraId="628F0690"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8E"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lastRenderedPageBreak/>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628F068F"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14:paraId="628F0694"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1"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2"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3"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14:paraId="628F069A"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5"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96"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97"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98"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99" w14:textId="77777777" w:rsidR="007B1124" w:rsidRPr="00573C8A" w:rsidRDefault="007B1124" w:rsidP="00573C8A">
            <w:pPr>
              <w:spacing w:before="0" w:after="60" w:line="276" w:lineRule="auto"/>
              <w:rPr>
                <w:rFonts w:ascii="Arial" w:hAnsi="Arial" w:cs="Arial"/>
                <w:sz w:val="20"/>
                <w:szCs w:val="20"/>
              </w:rPr>
            </w:pPr>
          </w:p>
        </w:tc>
      </w:tr>
      <w:tr w:rsidR="007B1124" w:rsidRPr="00573C8A" w14:paraId="628F069E"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B"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C"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D"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14:paraId="628F06A4"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F"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A0"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A1"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A2"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A3" w14:textId="77777777" w:rsidR="007B1124" w:rsidRPr="00573C8A" w:rsidRDefault="007B1124" w:rsidP="00573C8A">
            <w:pPr>
              <w:spacing w:before="0" w:after="60" w:line="276" w:lineRule="auto"/>
              <w:rPr>
                <w:rFonts w:ascii="Arial" w:hAnsi="Arial" w:cs="Arial"/>
                <w:sz w:val="20"/>
                <w:szCs w:val="20"/>
              </w:rPr>
            </w:pPr>
          </w:p>
        </w:tc>
      </w:tr>
    </w:tbl>
    <w:p w14:paraId="628F06A5" w14:textId="77777777" w:rsidR="00573C8A" w:rsidRDefault="00573C8A" w:rsidP="0065515D">
      <w:pPr>
        <w:spacing w:before="0" w:after="0" w:line="276" w:lineRule="auto"/>
        <w:rPr>
          <w:rFonts w:ascii="Arial" w:hAnsi="Arial" w:cs="Arial"/>
        </w:rPr>
      </w:pPr>
    </w:p>
    <w:p w14:paraId="628F06A6" w14:textId="6ACB0DB7"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4.5.</w:t>
      </w:r>
      <w:r w:rsidRPr="00BE5EF6">
        <w:rPr>
          <w:rFonts w:ascii="Arial" w:hAnsi="Arial" w:cs="Arial"/>
          <w:sz w:val="22"/>
          <w:u w:val="none"/>
        </w:rPr>
        <w:tab/>
      </w:r>
      <w:r w:rsidRPr="00BE5EF6">
        <w:rPr>
          <w:rFonts w:ascii="Arial" w:hAnsi="Arial" w:cs="Arial"/>
          <w:sz w:val="22"/>
        </w:rPr>
        <w:t>Plazos para la solución de fallas</w:t>
      </w:r>
    </w:p>
    <w:p w14:paraId="0ADA0D8F" w14:textId="77777777" w:rsidR="0065515D" w:rsidRPr="0065515D" w:rsidRDefault="0065515D" w:rsidP="0065515D">
      <w:pPr>
        <w:spacing w:before="0" w:after="0" w:line="276" w:lineRule="auto"/>
      </w:pPr>
    </w:p>
    <w:p w14:paraId="628F06A7" w14:textId="0567389F" w:rsidR="007B1124" w:rsidRDefault="007B1124" w:rsidP="0065515D">
      <w:pPr>
        <w:spacing w:before="0" w:after="0" w:line="276" w:lineRule="auto"/>
        <w:rPr>
          <w:rFonts w:ascii="Arial" w:hAnsi="Arial" w:cs="Arial"/>
        </w:rPr>
      </w:pPr>
      <w:r w:rsidRPr="00573C8A">
        <w:rPr>
          <w:rFonts w:ascii="Arial" w:hAnsi="Arial" w:cs="Arial"/>
        </w:rPr>
        <w:t>Las fallas se resolverán de acuerdo a los siguientes plazos:</w:t>
      </w:r>
    </w:p>
    <w:p w14:paraId="63F3E6F4" w14:textId="77777777" w:rsidR="0065515D" w:rsidRPr="00573C8A" w:rsidRDefault="0065515D" w:rsidP="0065515D">
      <w:pPr>
        <w:spacing w:before="0" w:after="0" w:line="276"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2892"/>
        <w:gridCol w:w="3065"/>
      </w:tblGrid>
      <w:tr w:rsidR="007B1124" w:rsidRPr="00573C8A" w14:paraId="628F06AB" w14:textId="77777777" w:rsidTr="005327A0">
        <w:trPr>
          <w:trHeight w:val="860"/>
        </w:trPr>
        <w:tc>
          <w:tcPr>
            <w:tcW w:w="1830" w:type="pct"/>
            <w:shd w:val="clear" w:color="auto" w:fill="548DD4"/>
            <w:vAlign w:val="center"/>
          </w:tcPr>
          <w:p w14:paraId="628F06A8"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14:paraId="628F06A9"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14:paraId="628F06AA"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14:paraId="628F06AF" w14:textId="77777777" w:rsidTr="005327A0">
        <w:tc>
          <w:tcPr>
            <w:tcW w:w="1830" w:type="pct"/>
            <w:vAlign w:val="center"/>
          </w:tcPr>
          <w:p w14:paraId="628F06AC" w14:textId="77C9B576"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14:paraId="628F06AD" w14:textId="7EF6DF64" w:rsidR="00D242D9" w:rsidRPr="00573C8A" w:rsidRDefault="005C7307" w:rsidP="00573C8A">
            <w:pPr>
              <w:spacing w:before="0" w:after="60" w:line="276" w:lineRule="auto"/>
              <w:rPr>
                <w:rFonts w:ascii="Arial" w:hAnsi="Arial" w:cs="Arial"/>
                <w:sz w:val="20"/>
                <w:szCs w:val="20"/>
              </w:rPr>
            </w:pPr>
            <w:proofErr w:type="gramStart"/>
            <w:r>
              <w:rPr>
                <w:rFonts w:ascii="Arial" w:hAnsi="Arial" w:cs="Arial"/>
                <w:sz w:val="20"/>
                <w:szCs w:val="20"/>
              </w:rPr>
              <w:t>ocho</w:t>
            </w:r>
            <w:proofErr w:type="gramEnd"/>
            <w:r>
              <w:rPr>
                <w:rFonts w:ascii="Arial" w:hAnsi="Arial" w:cs="Arial"/>
                <w:sz w:val="20"/>
                <w:szCs w:val="20"/>
              </w:rPr>
              <w:t xml:space="preserve"> </w:t>
            </w:r>
            <w:r w:rsidR="00D242D9" w:rsidRPr="00573C8A">
              <w:rPr>
                <w:rFonts w:ascii="Arial" w:hAnsi="Arial" w:cs="Arial"/>
                <w:sz w:val="20"/>
                <w:szCs w:val="20"/>
              </w:rPr>
              <w:t>horas (en horario no laboral el tiempo se incrementará un 50%)</w:t>
            </w:r>
          </w:p>
        </w:tc>
        <w:tc>
          <w:tcPr>
            <w:tcW w:w="1631" w:type="pct"/>
            <w:vMerge w:val="restart"/>
            <w:vAlign w:val="center"/>
          </w:tcPr>
          <w:p w14:paraId="628F06AE" w14:textId="092D2252"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generaron la falla</w:t>
            </w:r>
          </w:p>
        </w:tc>
      </w:tr>
      <w:tr w:rsidR="00D242D9" w:rsidRPr="00573C8A" w14:paraId="628F06B3" w14:textId="77777777" w:rsidTr="005327A0">
        <w:tc>
          <w:tcPr>
            <w:tcW w:w="1830" w:type="pct"/>
            <w:vAlign w:val="center"/>
          </w:tcPr>
          <w:p w14:paraId="628F06B0"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14:paraId="628F06B1" w14:textId="01E894CF" w:rsidR="00D242D9" w:rsidRPr="00573C8A" w:rsidRDefault="005C7307" w:rsidP="00573C8A">
            <w:pPr>
              <w:spacing w:before="0" w:after="60" w:line="276" w:lineRule="auto"/>
              <w:rPr>
                <w:rFonts w:ascii="Arial" w:hAnsi="Arial" w:cs="Arial"/>
                <w:sz w:val="20"/>
                <w:szCs w:val="20"/>
              </w:rPr>
            </w:pPr>
            <w:proofErr w:type="gramStart"/>
            <w:r>
              <w:rPr>
                <w:rFonts w:ascii="Arial" w:hAnsi="Arial" w:cs="Arial"/>
                <w:sz w:val="20"/>
                <w:szCs w:val="20"/>
              </w:rPr>
              <w:t>ocho</w:t>
            </w:r>
            <w:proofErr w:type="gramEnd"/>
            <w:r>
              <w:rPr>
                <w:rFonts w:ascii="Arial" w:hAnsi="Arial" w:cs="Arial"/>
                <w:sz w:val="20"/>
                <w:szCs w:val="20"/>
              </w:rPr>
              <w:t xml:space="preserve"> </w:t>
            </w:r>
            <w:r w:rsidR="00D242D9" w:rsidRPr="00573C8A">
              <w:rPr>
                <w:rFonts w:ascii="Arial" w:hAnsi="Arial" w:cs="Arial"/>
                <w:sz w:val="20"/>
                <w:szCs w:val="20"/>
              </w:rPr>
              <w:t>horas (en horario no laboral el tiempo se incrementará un 50%)</w:t>
            </w:r>
          </w:p>
        </w:tc>
        <w:tc>
          <w:tcPr>
            <w:tcW w:w="1631" w:type="pct"/>
            <w:vMerge/>
            <w:vAlign w:val="center"/>
          </w:tcPr>
          <w:p w14:paraId="628F06B2" w14:textId="77777777" w:rsidR="00D242D9" w:rsidRPr="00573C8A" w:rsidRDefault="00D242D9" w:rsidP="00573C8A">
            <w:pPr>
              <w:spacing w:before="0" w:after="60" w:line="276" w:lineRule="auto"/>
              <w:rPr>
                <w:rFonts w:ascii="Arial" w:hAnsi="Arial" w:cs="Arial"/>
                <w:sz w:val="20"/>
                <w:szCs w:val="20"/>
              </w:rPr>
            </w:pPr>
          </w:p>
        </w:tc>
      </w:tr>
    </w:tbl>
    <w:p w14:paraId="1E58FEE0" w14:textId="77777777" w:rsidR="0065515D" w:rsidRDefault="0065515D" w:rsidP="0065515D">
      <w:pPr>
        <w:spacing w:before="0" w:after="0" w:line="276" w:lineRule="auto"/>
        <w:rPr>
          <w:rFonts w:ascii="Arial" w:hAnsi="Arial" w:cs="Arial"/>
          <w:sz w:val="22"/>
        </w:rPr>
      </w:pPr>
    </w:p>
    <w:p w14:paraId="628F06B5" w14:textId="57369D95" w:rsidR="007B1124" w:rsidRDefault="007B1124" w:rsidP="0065515D">
      <w:pPr>
        <w:spacing w:before="0" w:after="0" w:line="276" w:lineRule="auto"/>
        <w:rPr>
          <w:rFonts w:ascii="Arial" w:hAnsi="Arial" w:cs="Arial"/>
          <w:sz w:val="22"/>
        </w:rPr>
      </w:pPr>
      <w:r w:rsidRPr="00573C8A">
        <w:rPr>
          <w:rFonts w:ascii="Arial" w:hAnsi="Arial" w:cs="Arial"/>
          <w:sz w:val="22"/>
        </w:rPr>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14:paraId="65483E89" w14:textId="77777777" w:rsidR="0065515D" w:rsidRPr="00573C8A" w:rsidRDefault="0065515D" w:rsidP="0065515D">
      <w:pPr>
        <w:spacing w:before="0" w:after="0" w:line="276" w:lineRule="auto"/>
        <w:rPr>
          <w:rFonts w:ascii="Arial" w:hAnsi="Arial" w:cs="Arial"/>
          <w:sz w:val="22"/>
        </w:rPr>
      </w:pPr>
    </w:p>
    <w:p w14:paraId="628F06B6" w14:textId="1F93ECB5"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4.6.</w:t>
      </w:r>
      <w:r w:rsidRPr="00BE5EF6">
        <w:rPr>
          <w:rFonts w:ascii="Arial" w:hAnsi="Arial" w:cs="Arial"/>
          <w:sz w:val="22"/>
          <w:u w:val="none"/>
        </w:rPr>
        <w:tab/>
      </w:r>
      <w:r w:rsidRPr="00573C8A">
        <w:rPr>
          <w:rFonts w:ascii="Arial" w:hAnsi="Arial" w:cs="Arial"/>
          <w:sz w:val="22"/>
        </w:rPr>
        <w:t xml:space="preserve">Procedimiento de Accesos a Infraestructura Compartida por Falla en los elementos de red del Concesionario Solicitante o Emergencia: </w:t>
      </w:r>
    </w:p>
    <w:p w14:paraId="08EC948E" w14:textId="77777777" w:rsidR="0065515D" w:rsidRPr="0065515D" w:rsidRDefault="0065515D" w:rsidP="0065515D">
      <w:pPr>
        <w:spacing w:before="0" w:after="0" w:line="276" w:lineRule="auto"/>
      </w:pPr>
    </w:p>
    <w:p w14:paraId="628F06B7" w14:textId="0AFA6E1F"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 xml:space="preserve">de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por falla en sus elementos de red, señalando los datos que permitan identificar al personal que ingresará y el lugar de acceso.</w:t>
      </w:r>
    </w:p>
    <w:p w14:paraId="628F06B8" w14:textId="47C52742"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t xml:space="preserve">Telmex y </w:t>
      </w:r>
      <w:proofErr w:type="spellStart"/>
      <w:r>
        <w:rPr>
          <w:rFonts w:ascii="Arial" w:hAnsi="Arial" w:cs="Arial"/>
          <w:sz w:val="22"/>
        </w:rPr>
        <w:t>Telnor</w:t>
      </w:r>
      <w:proofErr w:type="spellEnd"/>
      <w:r w:rsidR="007B1124" w:rsidRPr="00573C8A">
        <w:rPr>
          <w:rFonts w:ascii="Arial" w:hAnsi="Arial" w:cs="Arial"/>
          <w:sz w:val="22"/>
        </w:rPr>
        <w:t xml:space="preserve"> le</w:t>
      </w:r>
      <w:r w:rsidR="00C96F2E">
        <w:rPr>
          <w:rFonts w:ascii="Arial" w:hAnsi="Arial" w:cs="Arial"/>
          <w:sz w:val="22"/>
        </w:rPr>
        <w:t>s</w:t>
      </w:r>
      <w:r w:rsidR="007B1124" w:rsidRPr="00573C8A">
        <w:rPr>
          <w:rFonts w:ascii="Arial" w:hAnsi="Arial" w:cs="Arial"/>
          <w:sz w:val="22"/>
        </w:rPr>
        <w:t xml:space="preserve"> proporcionará</w:t>
      </w:r>
      <w:r>
        <w:rPr>
          <w:rFonts w:ascii="Arial" w:hAnsi="Arial" w:cs="Arial"/>
          <w:sz w:val="22"/>
        </w:rPr>
        <w:t>n</w:t>
      </w:r>
      <w:r w:rsidR="007B1124"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14:paraId="628F06B9" w14:textId="77777777"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En caso de tratarse de una emergencia el acceso deberá darse de forma inmediata.</w:t>
      </w:r>
    </w:p>
    <w:p w14:paraId="628F06BA" w14:textId="191FC608"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lastRenderedPageBreak/>
        <w:t xml:space="preserve">Si se tratase de una falla, en un plazo máximo de </w:t>
      </w:r>
      <w:r w:rsidR="005C7307">
        <w:rPr>
          <w:rFonts w:ascii="Arial" w:hAnsi="Arial" w:cs="Arial"/>
          <w:sz w:val="22"/>
        </w:rPr>
        <w:t xml:space="preserve">tres </w:t>
      </w:r>
      <w:r w:rsidRPr="00573C8A">
        <w:rPr>
          <w:rFonts w:ascii="Arial" w:hAnsi="Arial" w:cs="Arial"/>
          <w:sz w:val="22"/>
        </w:rPr>
        <w:t>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 xml:space="preserve">de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w:t>
      </w:r>
    </w:p>
    <w:p w14:paraId="628F06BB" w14:textId="5F518A72"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t xml:space="preserve">Telmex y </w:t>
      </w:r>
      <w:proofErr w:type="spellStart"/>
      <w:r>
        <w:rPr>
          <w:rFonts w:ascii="Arial" w:hAnsi="Arial" w:cs="Arial"/>
          <w:sz w:val="22"/>
        </w:rPr>
        <w:t>Telnor</w:t>
      </w:r>
      <w:proofErr w:type="spellEnd"/>
      <w:r w:rsidR="007B1124" w:rsidRPr="00573C8A">
        <w:rPr>
          <w:rFonts w:ascii="Arial" w:hAnsi="Arial" w:cs="Arial"/>
          <w:sz w:val="22"/>
        </w:rPr>
        <w:t xml:space="preserve"> asignará</w:t>
      </w:r>
      <w:r>
        <w:rPr>
          <w:rFonts w:ascii="Arial" w:hAnsi="Arial" w:cs="Arial"/>
          <w:sz w:val="22"/>
        </w:rPr>
        <w:t>n</w:t>
      </w:r>
      <w:r w:rsidR="007B1124" w:rsidRPr="00573C8A">
        <w:rPr>
          <w:rFonts w:ascii="Arial" w:hAnsi="Arial" w:cs="Arial"/>
          <w:sz w:val="22"/>
        </w:rPr>
        <w:t xml:space="preserve">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14:paraId="628F06BC" w14:textId="20C5F48B"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liquide</w:t>
      </w:r>
      <w:r w:rsidR="009536C3">
        <w:rPr>
          <w:rFonts w:ascii="Arial" w:hAnsi="Arial" w:cs="Arial"/>
          <w:sz w:val="22"/>
        </w:rPr>
        <w:t>n</w:t>
      </w:r>
      <w:r w:rsidRPr="00573C8A">
        <w:rPr>
          <w:rFonts w:ascii="Arial" w:hAnsi="Arial" w:cs="Arial"/>
          <w:sz w:val="22"/>
        </w:rPr>
        <w:t xml:space="preserve"> el incidente.</w:t>
      </w:r>
    </w:p>
    <w:p w14:paraId="628F06BD" w14:textId="516DFEDF" w:rsidR="007B1124"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9536C3">
        <w:rPr>
          <w:rFonts w:ascii="Arial" w:hAnsi="Arial" w:cs="Arial"/>
          <w:sz w:val="22"/>
        </w:rPr>
        <w:t xml:space="preserve">Telmex y </w:t>
      </w:r>
      <w:proofErr w:type="spellStart"/>
      <w:r w:rsidR="009536C3">
        <w:rPr>
          <w:rFonts w:ascii="Arial" w:hAnsi="Arial" w:cs="Arial"/>
          <w:sz w:val="22"/>
        </w:rPr>
        <w:t>Telnor</w:t>
      </w:r>
      <w:proofErr w:type="spellEnd"/>
      <w:r w:rsidR="00B9237F" w:rsidRPr="00573C8A">
        <w:rPr>
          <w:rFonts w:ascii="Arial" w:hAnsi="Arial" w:cs="Arial"/>
          <w:sz w:val="22"/>
        </w:rPr>
        <w:t xml:space="preserve"> dará</w:t>
      </w:r>
      <w:r w:rsidR="009536C3">
        <w:rPr>
          <w:rFonts w:ascii="Arial" w:hAnsi="Arial" w:cs="Arial"/>
          <w:sz w:val="22"/>
        </w:rPr>
        <w:t>n</w:t>
      </w:r>
      <w:r w:rsidR="00B9237F" w:rsidRPr="00573C8A">
        <w:rPr>
          <w:rFonts w:ascii="Arial" w:hAnsi="Arial" w:cs="Arial"/>
          <w:sz w:val="22"/>
        </w:rPr>
        <w:t xml:space="preserve"> por </w:t>
      </w:r>
      <w:r w:rsidRPr="00573C8A">
        <w:rPr>
          <w:rFonts w:ascii="Arial" w:hAnsi="Arial" w:cs="Arial"/>
          <w:sz w:val="22"/>
        </w:rPr>
        <w:t xml:space="preserve">cerrada la incidencia,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facturará</w:t>
      </w:r>
      <w:r w:rsidR="00C96F2E">
        <w:rPr>
          <w:rFonts w:ascii="Arial" w:hAnsi="Arial" w:cs="Arial"/>
          <w:sz w:val="22"/>
        </w:rPr>
        <w:t>n</w:t>
      </w:r>
      <w:r w:rsidRPr="00573C8A">
        <w:rPr>
          <w:rFonts w:ascii="Arial" w:hAnsi="Arial" w:cs="Arial"/>
          <w:sz w:val="22"/>
        </w:rPr>
        <w:t xml:space="preserve"> por los gastos incurridos por su personal</w:t>
      </w:r>
      <w:r w:rsidR="00573C8A">
        <w:rPr>
          <w:rFonts w:ascii="Arial" w:hAnsi="Arial" w:cs="Arial"/>
          <w:sz w:val="22"/>
        </w:rPr>
        <w:t>.</w:t>
      </w:r>
    </w:p>
    <w:p w14:paraId="4437C611" w14:textId="77777777" w:rsidR="0065515D" w:rsidRDefault="0065515D" w:rsidP="0065515D">
      <w:pPr>
        <w:pStyle w:val="Prrafodelista"/>
        <w:spacing w:before="0" w:after="0" w:line="276" w:lineRule="auto"/>
        <w:ind w:left="720"/>
        <w:rPr>
          <w:rFonts w:ascii="Arial" w:hAnsi="Arial" w:cs="Arial"/>
          <w:sz w:val="22"/>
        </w:rPr>
      </w:pPr>
    </w:p>
    <w:p w14:paraId="628F06BF" w14:textId="2AB65285" w:rsidR="007B1124" w:rsidRDefault="007B1124" w:rsidP="0065515D">
      <w:pPr>
        <w:pStyle w:val="Ttulo2"/>
        <w:spacing w:before="0" w:after="0" w:line="276" w:lineRule="auto"/>
        <w:rPr>
          <w:rFonts w:ascii="Arial" w:hAnsi="Arial" w:cs="Arial"/>
          <w:sz w:val="22"/>
        </w:rPr>
      </w:pPr>
      <w:r w:rsidRPr="00573C8A">
        <w:rPr>
          <w:rFonts w:ascii="Arial" w:hAnsi="Arial" w:cs="Arial"/>
          <w:sz w:val="22"/>
        </w:rPr>
        <w:t>Procedimiento para Mantenimiento Preventivo</w:t>
      </w:r>
    </w:p>
    <w:p w14:paraId="2F8871B6" w14:textId="77777777" w:rsidR="0065515D" w:rsidRPr="0065515D" w:rsidRDefault="0065515D" w:rsidP="0065515D">
      <w:pPr>
        <w:pStyle w:val="Prrafodelista"/>
        <w:spacing w:before="0" w:after="0" w:line="276" w:lineRule="auto"/>
        <w:ind w:left="720"/>
        <w:rPr>
          <w:lang w:val="es-MX" w:eastAsia="es-MX"/>
        </w:rPr>
      </w:pPr>
    </w:p>
    <w:p w14:paraId="628F06C0" w14:textId="27FF5667" w:rsidR="007B1124" w:rsidRDefault="005306C8" w:rsidP="0065515D">
      <w:pPr>
        <w:spacing w:before="0" w:after="0" w:line="276" w:lineRule="auto"/>
        <w:rPr>
          <w:rFonts w:ascii="Arial" w:hAnsi="Arial" w:cs="Arial"/>
          <w:sz w:val="22"/>
        </w:rPr>
      </w:pPr>
      <w:r w:rsidRPr="00573C8A">
        <w:rPr>
          <w:rFonts w:ascii="Arial" w:hAnsi="Arial" w:cs="Arial"/>
          <w:sz w:val="22"/>
        </w:rPr>
        <w:t xml:space="preserve">Ambas partes, tanto el Concesionario (o Autorizado) solicitante como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7CA4CA85" w14:textId="77777777" w:rsidR="0065515D" w:rsidRPr="00573C8A" w:rsidRDefault="0065515D" w:rsidP="0065515D">
      <w:pPr>
        <w:spacing w:before="0" w:after="0" w:line="276" w:lineRule="auto"/>
        <w:rPr>
          <w:rFonts w:ascii="Arial" w:hAnsi="Arial" w:cs="Arial"/>
          <w:sz w:val="22"/>
        </w:rPr>
      </w:pPr>
    </w:p>
    <w:p w14:paraId="628F06C1" w14:textId="0A17316E" w:rsidR="007B1124" w:rsidRPr="00573C8A"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14:paraId="628F06C2" w14:textId="58FA5264" w:rsidR="007B1124"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 xml:space="preserve">Servicio de Uso de </w:t>
      </w:r>
      <w:r w:rsidR="00164F6C">
        <w:rPr>
          <w:rFonts w:ascii="Arial" w:hAnsi="Arial" w:cs="Arial"/>
          <w:sz w:val="22"/>
        </w:rPr>
        <w:t xml:space="preserve">Sitios Predios y </w:t>
      </w:r>
      <w:r w:rsidRPr="00573C8A">
        <w:rPr>
          <w:rFonts w:ascii="Arial" w:hAnsi="Arial" w:cs="Arial"/>
          <w:sz w:val="22"/>
        </w:rPr>
        <w:t>Espacios Físicos</w:t>
      </w:r>
      <w:r w:rsidR="00573C8A">
        <w:rPr>
          <w:rFonts w:ascii="Arial" w:hAnsi="Arial" w:cs="Arial"/>
          <w:sz w:val="22"/>
        </w:rPr>
        <w:t>.</w:t>
      </w:r>
    </w:p>
    <w:p w14:paraId="1637ACC2" w14:textId="77777777" w:rsidR="0065515D" w:rsidRPr="00573C8A" w:rsidRDefault="0065515D" w:rsidP="0065515D">
      <w:pPr>
        <w:pStyle w:val="Prrafodelista"/>
        <w:spacing w:before="0" w:after="0" w:line="276" w:lineRule="auto"/>
        <w:ind w:left="720"/>
        <w:rPr>
          <w:rFonts w:ascii="Arial" w:hAnsi="Arial" w:cs="Arial"/>
          <w:sz w:val="22"/>
        </w:rPr>
      </w:pPr>
    </w:p>
    <w:p w14:paraId="628F06C3" w14:textId="70EB4D90"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5.1.</w:t>
      </w:r>
      <w:r w:rsidRPr="00BE5EF6">
        <w:rPr>
          <w:rFonts w:ascii="Arial" w:hAnsi="Arial" w:cs="Arial"/>
          <w:sz w:val="22"/>
          <w:u w:val="none"/>
        </w:rPr>
        <w:tab/>
      </w:r>
      <w:r w:rsidRPr="00573C8A">
        <w:rPr>
          <w:rFonts w:ascii="Arial" w:hAnsi="Arial" w:cs="Arial"/>
          <w:sz w:val="22"/>
        </w:rPr>
        <w:t xml:space="preserve">Procedimiento para el trámite de acceso a infraestructura para intervenciones programadas del </w:t>
      </w:r>
      <w:r w:rsidR="007303A1" w:rsidRPr="00573C8A">
        <w:rPr>
          <w:rFonts w:ascii="Arial" w:hAnsi="Arial" w:cs="Arial"/>
          <w:sz w:val="22"/>
        </w:rPr>
        <w:t>Concesionario (o Autorizado) solicitante</w:t>
      </w:r>
    </w:p>
    <w:p w14:paraId="0E0B8B45" w14:textId="77777777" w:rsidR="0065515D" w:rsidRPr="0065515D" w:rsidRDefault="0065515D" w:rsidP="0065515D">
      <w:pPr>
        <w:pStyle w:val="Prrafodelista"/>
        <w:spacing w:before="0" w:after="0" w:line="276" w:lineRule="auto"/>
        <w:ind w:left="720"/>
      </w:pPr>
    </w:p>
    <w:p w14:paraId="628F06C4" w14:textId="09A26851"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propiedad </w:t>
      </w:r>
      <w:r w:rsidR="000A55DD" w:rsidRPr="00573C8A">
        <w:rPr>
          <w:rFonts w:ascii="Arial" w:hAnsi="Arial" w:cs="Arial"/>
          <w:sz w:val="22"/>
        </w:rPr>
        <w:t xml:space="preserve">de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tres días hábiles de antelación. La solicitud deberá incluir los siguientes datos:</w:t>
      </w:r>
    </w:p>
    <w:p w14:paraId="226038CE" w14:textId="77777777" w:rsidR="0065515D" w:rsidRPr="00573C8A" w:rsidRDefault="0065515D" w:rsidP="0065515D">
      <w:pPr>
        <w:pStyle w:val="Prrafodelista"/>
        <w:spacing w:before="0" w:after="0" w:line="276" w:lineRule="auto"/>
        <w:ind w:left="720"/>
        <w:rPr>
          <w:rFonts w:ascii="Arial" w:hAnsi="Arial" w:cs="Arial"/>
          <w:sz w:val="22"/>
        </w:rPr>
      </w:pPr>
    </w:p>
    <w:p w14:paraId="628F06C5"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14:paraId="628F06C6"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Programa de actividades, detallando horarios, fechas, indicando el tramo de la ruta a trabajar y los planos correspondientes</w:t>
      </w:r>
      <w:r w:rsidR="00573C8A">
        <w:rPr>
          <w:rFonts w:ascii="Arial" w:hAnsi="Arial" w:cs="Arial"/>
          <w:sz w:val="22"/>
        </w:rPr>
        <w:t>.</w:t>
      </w:r>
    </w:p>
    <w:p w14:paraId="628F06C7" w14:textId="77777777" w:rsidR="007B1124" w:rsidRPr="00573C8A" w:rsidRDefault="00573C8A" w:rsidP="0065515D">
      <w:pPr>
        <w:pStyle w:val="Prrafodelista"/>
        <w:numPr>
          <w:ilvl w:val="0"/>
          <w:numId w:val="15"/>
        </w:numPr>
        <w:spacing w:before="0" w:after="0" w:line="276" w:lineRule="auto"/>
        <w:rPr>
          <w:rFonts w:ascii="Arial" w:hAnsi="Arial" w:cs="Arial"/>
          <w:sz w:val="22"/>
        </w:rPr>
      </w:pPr>
      <w:r>
        <w:rPr>
          <w:rFonts w:ascii="Arial" w:hAnsi="Arial" w:cs="Arial"/>
          <w:sz w:val="22"/>
        </w:rPr>
        <w:t>Descripción de las afectaciones.</w:t>
      </w:r>
    </w:p>
    <w:p w14:paraId="628F06C8"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14:paraId="628F06C9" w14:textId="606FF1BA" w:rsidR="007B1124"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14:paraId="419963EE" w14:textId="77777777" w:rsidR="0065515D" w:rsidRPr="00573C8A" w:rsidRDefault="0065515D" w:rsidP="0065515D">
      <w:pPr>
        <w:pStyle w:val="Prrafodelista"/>
        <w:spacing w:before="0" w:after="0" w:line="276" w:lineRule="auto"/>
        <w:ind w:left="1080"/>
        <w:rPr>
          <w:rFonts w:ascii="Arial" w:hAnsi="Arial" w:cs="Arial"/>
          <w:sz w:val="22"/>
        </w:rPr>
      </w:pPr>
    </w:p>
    <w:p w14:paraId="628F06CA" w14:textId="1DFFB771" w:rsidR="007B1124" w:rsidRDefault="009536C3" w:rsidP="0065515D">
      <w:pPr>
        <w:pStyle w:val="Prrafodelista"/>
        <w:numPr>
          <w:ilvl w:val="0"/>
          <w:numId w:val="14"/>
        </w:numPr>
        <w:spacing w:before="0" w:after="0" w:line="276" w:lineRule="auto"/>
        <w:rPr>
          <w:rFonts w:ascii="Arial" w:hAnsi="Arial" w:cs="Arial"/>
          <w:sz w:val="22"/>
        </w:rPr>
      </w:pPr>
      <w:r>
        <w:rPr>
          <w:rFonts w:ascii="Arial" w:hAnsi="Arial" w:cs="Arial"/>
          <w:sz w:val="22"/>
        </w:rPr>
        <w:t xml:space="preserve">Telmex y </w:t>
      </w:r>
      <w:proofErr w:type="spellStart"/>
      <w:r>
        <w:rPr>
          <w:rFonts w:ascii="Arial" w:hAnsi="Arial" w:cs="Arial"/>
          <w:sz w:val="22"/>
        </w:rPr>
        <w:t>Telnor</w:t>
      </w:r>
      <w:proofErr w:type="spellEnd"/>
      <w:r w:rsidR="007B1124" w:rsidRPr="00573C8A">
        <w:rPr>
          <w:rFonts w:ascii="Arial" w:hAnsi="Arial" w:cs="Arial"/>
          <w:sz w:val="22"/>
        </w:rPr>
        <w:t xml:space="preserve"> en un plazo no mayor a </w:t>
      </w:r>
      <w:r w:rsidR="005C7307">
        <w:rPr>
          <w:rFonts w:ascii="Arial" w:hAnsi="Arial" w:cs="Arial"/>
          <w:sz w:val="22"/>
        </w:rPr>
        <w:t xml:space="preserve">tres </w:t>
      </w:r>
      <w:r w:rsidR="007B1124" w:rsidRPr="00573C8A">
        <w:rPr>
          <w:rFonts w:ascii="Arial" w:hAnsi="Arial" w:cs="Arial"/>
          <w:sz w:val="22"/>
        </w:rPr>
        <w:t>días hábiles confirmará</w:t>
      </w:r>
      <w:r>
        <w:rPr>
          <w:rFonts w:ascii="Arial" w:hAnsi="Arial" w:cs="Arial"/>
          <w:sz w:val="22"/>
        </w:rPr>
        <w:t>n</w:t>
      </w:r>
      <w:r w:rsidR="007B1124"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14:paraId="4C0E3B24" w14:textId="77777777" w:rsidR="00021843" w:rsidRPr="00573C8A" w:rsidRDefault="00021843" w:rsidP="00021843">
      <w:pPr>
        <w:pStyle w:val="Prrafodelista"/>
        <w:spacing w:before="0" w:after="0" w:line="276" w:lineRule="auto"/>
        <w:ind w:left="720"/>
        <w:rPr>
          <w:rFonts w:ascii="Arial" w:hAnsi="Arial" w:cs="Arial"/>
          <w:sz w:val="22"/>
        </w:rPr>
      </w:pPr>
    </w:p>
    <w:p w14:paraId="628F06CB" w14:textId="34B98FDA"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lastRenderedPageBreak/>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informar la fecha en que se podrán realizar los trabajos que no sobrepase </w:t>
      </w:r>
      <w:r w:rsidR="005C7307">
        <w:rPr>
          <w:rFonts w:ascii="Arial" w:hAnsi="Arial" w:cs="Arial"/>
          <w:sz w:val="22"/>
        </w:rPr>
        <w:t>dos</w:t>
      </w:r>
      <w:r w:rsidRPr="00573C8A">
        <w:rPr>
          <w:rFonts w:ascii="Arial" w:hAnsi="Arial" w:cs="Arial"/>
          <w:sz w:val="22"/>
        </w:rPr>
        <w:t xml:space="preserve"> días de la fecha solicitada.</w:t>
      </w:r>
    </w:p>
    <w:p w14:paraId="642FFCFF" w14:textId="77777777" w:rsidR="00021843" w:rsidRPr="00021843" w:rsidRDefault="00021843" w:rsidP="00021843">
      <w:pPr>
        <w:spacing w:before="0" w:after="0" w:line="276" w:lineRule="auto"/>
        <w:rPr>
          <w:rFonts w:ascii="Arial" w:hAnsi="Arial" w:cs="Arial"/>
          <w:sz w:val="22"/>
        </w:rPr>
      </w:pPr>
    </w:p>
    <w:p w14:paraId="628F06CC" w14:textId="64F36AB5"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14:paraId="69519930" w14:textId="77777777" w:rsidR="00021843" w:rsidRPr="00021843" w:rsidRDefault="00021843" w:rsidP="00021843">
      <w:pPr>
        <w:spacing w:before="0" w:after="0" w:line="276" w:lineRule="auto"/>
        <w:rPr>
          <w:rFonts w:ascii="Arial" w:hAnsi="Arial" w:cs="Arial"/>
          <w:sz w:val="22"/>
        </w:rPr>
      </w:pPr>
    </w:p>
    <w:p w14:paraId="628F06CD" w14:textId="24E5DF84"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14:paraId="3DC0768C" w14:textId="77777777" w:rsidR="00021843" w:rsidRPr="00021843" w:rsidRDefault="00021843" w:rsidP="00021843">
      <w:pPr>
        <w:spacing w:before="0" w:after="0" w:line="276" w:lineRule="auto"/>
        <w:rPr>
          <w:rFonts w:ascii="Arial" w:hAnsi="Arial" w:cs="Arial"/>
          <w:sz w:val="22"/>
        </w:rPr>
      </w:pPr>
    </w:p>
    <w:p w14:paraId="628F06CE" w14:textId="22052EB3"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Finalizados los trabajos de validación de ausencia de daños, </w:t>
      </w:r>
      <w:r w:rsidR="009536C3">
        <w:rPr>
          <w:rFonts w:ascii="Arial" w:hAnsi="Arial" w:cs="Arial"/>
          <w:sz w:val="22"/>
        </w:rPr>
        <w:t xml:space="preserve">Telmex y </w:t>
      </w:r>
      <w:proofErr w:type="spellStart"/>
      <w:r w:rsidR="009536C3">
        <w:rPr>
          <w:rFonts w:ascii="Arial" w:hAnsi="Arial" w:cs="Arial"/>
          <w:sz w:val="22"/>
        </w:rPr>
        <w:t>Telnor</w:t>
      </w:r>
      <w:proofErr w:type="spellEnd"/>
      <w:r w:rsidRPr="00573C8A">
        <w:rPr>
          <w:rFonts w:ascii="Arial" w:hAnsi="Arial" w:cs="Arial"/>
          <w:sz w:val="22"/>
        </w:rPr>
        <w:t xml:space="preserve"> realizará</w:t>
      </w:r>
      <w:r w:rsidR="009536C3">
        <w:rPr>
          <w:rFonts w:ascii="Arial" w:hAnsi="Arial" w:cs="Arial"/>
          <w:sz w:val="22"/>
        </w:rPr>
        <w:t>n</w:t>
      </w:r>
      <w:r w:rsidRPr="00573C8A">
        <w:rPr>
          <w:rFonts w:ascii="Arial" w:hAnsi="Arial" w:cs="Arial"/>
          <w:sz w:val="22"/>
        </w:rPr>
        <w:t xml:space="preserve"> el cobro de los gastos incurridos durante la intervención programada.</w:t>
      </w:r>
    </w:p>
    <w:p w14:paraId="39CBAA5A" w14:textId="77777777" w:rsidR="00021843" w:rsidRPr="00021843" w:rsidRDefault="00021843" w:rsidP="00021843">
      <w:pPr>
        <w:spacing w:before="0" w:after="0" w:line="276" w:lineRule="auto"/>
        <w:rPr>
          <w:rFonts w:ascii="Arial" w:hAnsi="Arial" w:cs="Arial"/>
          <w:sz w:val="22"/>
        </w:rPr>
      </w:pPr>
    </w:p>
    <w:p w14:paraId="628F06CF" w14:textId="0CF07ABD"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5.2.</w:t>
      </w:r>
      <w:r w:rsidRPr="00BE5EF6">
        <w:rPr>
          <w:rFonts w:ascii="Arial" w:hAnsi="Arial" w:cs="Arial"/>
          <w:sz w:val="22"/>
          <w:u w:val="none"/>
        </w:rPr>
        <w:tab/>
      </w:r>
      <w:r w:rsidRPr="00573C8A">
        <w:rPr>
          <w:rFonts w:ascii="Arial" w:hAnsi="Arial" w:cs="Arial"/>
          <w:sz w:val="22"/>
        </w:rPr>
        <w:t xml:space="preserve">Procedimiento para intervenciones programadas </w:t>
      </w:r>
      <w:r w:rsidR="000A55DD" w:rsidRPr="00573C8A">
        <w:rPr>
          <w:rFonts w:ascii="Arial" w:hAnsi="Arial" w:cs="Arial"/>
          <w:sz w:val="22"/>
        </w:rPr>
        <w:t>de la División Mayorista</w:t>
      </w:r>
    </w:p>
    <w:p w14:paraId="00A15FA2" w14:textId="77777777" w:rsidR="00021843" w:rsidRPr="00021843" w:rsidRDefault="00021843" w:rsidP="00021843">
      <w:pPr>
        <w:spacing w:before="0" w:after="0" w:line="276" w:lineRule="auto"/>
      </w:pPr>
    </w:p>
    <w:p w14:paraId="628F06D0" w14:textId="7717CD59" w:rsidR="007B1124" w:rsidRDefault="007B1124" w:rsidP="0065515D">
      <w:pPr>
        <w:spacing w:before="0" w:after="0" w:line="276" w:lineRule="auto"/>
        <w:rPr>
          <w:rFonts w:ascii="Arial" w:hAnsi="Arial" w:cs="Arial"/>
          <w:sz w:val="22"/>
        </w:rPr>
      </w:pPr>
      <w:r w:rsidRPr="00573C8A">
        <w:rPr>
          <w:rFonts w:ascii="Arial" w:hAnsi="Arial" w:cs="Arial"/>
          <w:sz w:val="22"/>
        </w:rPr>
        <w:t xml:space="preserve">Cuando </w:t>
      </w:r>
      <w:r w:rsidR="00205634">
        <w:rPr>
          <w:rFonts w:ascii="Arial" w:hAnsi="Arial" w:cs="Arial"/>
          <w:sz w:val="22"/>
        </w:rPr>
        <w:t xml:space="preserve">Telmex y </w:t>
      </w:r>
      <w:proofErr w:type="spellStart"/>
      <w:r w:rsidR="00205634">
        <w:rPr>
          <w:rFonts w:ascii="Arial" w:hAnsi="Arial" w:cs="Arial"/>
          <w:sz w:val="22"/>
        </w:rPr>
        <w:t>Telnor</w:t>
      </w:r>
      <w:proofErr w:type="spellEnd"/>
      <w:r w:rsidRPr="00573C8A">
        <w:rPr>
          <w:rFonts w:ascii="Arial" w:hAnsi="Arial" w:cs="Arial"/>
          <w:sz w:val="22"/>
        </w:rPr>
        <w:t xml:space="preserve"> realice</w:t>
      </w:r>
      <w:r w:rsidR="00C96F2E">
        <w:rPr>
          <w:rFonts w:ascii="Arial" w:hAnsi="Arial" w:cs="Arial"/>
          <w:sz w:val="22"/>
        </w:rPr>
        <w:t>n</w:t>
      </w:r>
      <w:r w:rsidRPr="00573C8A">
        <w:rPr>
          <w:rFonts w:ascii="Arial" w:hAnsi="Arial" w:cs="Arial"/>
          <w:sz w:val="22"/>
        </w:rPr>
        <w:t xml:space="preserv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 xml:space="preserve">cuando se vea involucrada su infraestructura, con </w:t>
      </w:r>
      <w:r w:rsidR="005C7307">
        <w:rPr>
          <w:rFonts w:ascii="Arial" w:hAnsi="Arial" w:cs="Arial"/>
          <w:sz w:val="22"/>
        </w:rPr>
        <w:t>diez</w:t>
      </w:r>
      <w:r w:rsidRPr="00573C8A">
        <w:rPr>
          <w:rFonts w:ascii="Arial" w:hAnsi="Arial" w:cs="Arial"/>
          <w:sz w:val="22"/>
        </w:rPr>
        <w:t xml:space="preserve"> días de anticipación, señalando:</w:t>
      </w:r>
    </w:p>
    <w:p w14:paraId="04EF4577" w14:textId="77777777" w:rsidR="00021843" w:rsidRPr="00573C8A" w:rsidRDefault="00021843" w:rsidP="0065515D">
      <w:pPr>
        <w:spacing w:before="0" w:after="0" w:line="276" w:lineRule="auto"/>
        <w:rPr>
          <w:rFonts w:ascii="Arial" w:hAnsi="Arial" w:cs="Arial"/>
          <w:sz w:val="22"/>
        </w:rPr>
      </w:pPr>
    </w:p>
    <w:p w14:paraId="628F06D1" w14:textId="77777777" w:rsidR="00C87356" w:rsidRPr="00573C8A" w:rsidRDefault="00C87356"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NIS asociado a la intervención, para su seguimiento.</w:t>
      </w:r>
    </w:p>
    <w:p w14:paraId="628F06D2"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14:paraId="628F06D3"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14:paraId="628F06D4"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Posibles afectaciones</w:t>
      </w:r>
      <w:r w:rsidR="00573C8A">
        <w:rPr>
          <w:rFonts w:ascii="Arial" w:hAnsi="Arial" w:cs="Arial"/>
          <w:sz w:val="22"/>
        </w:rPr>
        <w:t>.</w:t>
      </w:r>
    </w:p>
    <w:p w14:paraId="628F06D5"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BE6767">
      <w:headerReference w:type="even" r:id="rId13"/>
      <w:headerReference w:type="default" r:id="rId14"/>
      <w:footerReference w:type="even" r:id="rId15"/>
      <w:footerReference w:type="default" r:id="rId16"/>
      <w:headerReference w:type="first" r:id="rId17"/>
      <w:footerReference w:type="first" r:id="rId18"/>
      <w:pgSz w:w="12242" w:h="15842" w:code="1"/>
      <w:pgMar w:top="1985" w:right="1418" w:bottom="1134"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0630C" w14:textId="77777777" w:rsidR="0044634D" w:rsidRDefault="0044634D" w:rsidP="005C1C06">
      <w:r>
        <w:separator/>
      </w:r>
    </w:p>
    <w:p w14:paraId="6E84AD01" w14:textId="77777777" w:rsidR="0044634D" w:rsidRDefault="0044634D" w:rsidP="005C1C06"/>
  </w:endnote>
  <w:endnote w:type="continuationSeparator" w:id="0">
    <w:p w14:paraId="3018E7EC" w14:textId="77777777" w:rsidR="0044634D" w:rsidRDefault="0044634D" w:rsidP="005C1C06">
      <w:r>
        <w:continuationSeparator/>
      </w:r>
    </w:p>
    <w:p w14:paraId="46862053" w14:textId="77777777" w:rsidR="0044634D" w:rsidRDefault="0044634D" w:rsidP="005C1C06"/>
  </w:endnote>
  <w:endnote w:type="continuationNotice" w:id="1">
    <w:p w14:paraId="7B18D092" w14:textId="77777777" w:rsidR="0044634D" w:rsidRDefault="0044634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3"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2"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628F06E3" w14:textId="77777777"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4" w14:textId="520D01A5" w:rsidR="007B1124" w:rsidRPr="00573C8A" w:rsidRDefault="007B1124"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04416A">
      <w:rPr>
        <w:rFonts w:ascii="Arial" w:hAnsi="Arial" w:cs="Arial"/>
        <w:noProof/>
        <w:sz w:val="18"/>
        <w:szCs w:val="18"/>
      </w:rPr>
      <w:t>10</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04416A">
      <w:rPr>
        <w:rFonts w:ascii="Arial" w:hAnsi="Arial" w:cs="Arial"/>
        <w:noProof/>
        <w:sz w:val="18"/>
        <w:szCs w:val="18"/>
      </w:rPr>
      <w:t>10</w:t>
    </w:r>
    <w:r w:rsidR="00572B58" w:rsidRPr="00573C8A">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3473" w14:textId="07047D77" w:rsidR="00BE5EF6" w:rsidRPr="00573C8A" w:rsidRDefault="00BE5EF6"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04416A">
      <w:rPr>
        <w:rFonts w:ascii="Arial" w:hAnsi="Arial" w:cs="Arial"/>
        <w:noProof/>
        <w:sz w:val="18"/>
        <w:szCs w:val="18"/>
      </w:rPr>
      <w:t>1</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04416A">
      <w:rPr>
        <w:rFonts w:ascii="Arial" w:hAnsi="Arial" w:cs="Arial"/>
        <w:noProof/>
        <w:sz w:val="18"/>
        <w:szCs w:val="18"/>
      </w:rPr>
      <w:t>10</w:t>
    </w:r>
    <w:r w:rsidRPr="00573C8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B4050" w14:textId="77777777" w:rsidR="0044634D" w:rsidRDefault="0044634D" w:rsidP="005C1C06">
      <w:r>
        <w:separator/>
      </w:r>
    </w:p>
    <w:p w14:paraId="3CCF1A20" w14:textId="77777777" w:rsidR="0044634D" w:rsidRDefault="0044634D" w:rsidP="005C1C06"/>
  </w:footnote>
  <w:footnote w:type="continuationSeparator" w:id="0">
    <w:p w14:paraId="1782DC8C" w14:textId="77777777" w:rsidR="0044634D" w:rsidRDefault="0044634D" w:rsidP="005C1C06">
      <w:r>
        <w:continuationSeparator/>
      </w:r>
    </w:p>
    <w:p w14:paraId="12539ED5" w14:textId="77777777" w:rsidR="0044634D" w:rsidRDefault="0044634D" w:rsidP="005C1C06"/>
  </w:footnote>
  <w:footnote w:type="continuationNotice" w:id="1">
    <w:p w14:paraId="1F1509D7" w14:textId="77777777" w:rsidR="0044634D" w:rsidRDefault="0044634D">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91568" w14:textId="77777777" w:rsidR="00C40574" w:rsidRDefault="00C4057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1" w14:textId="1B02A620" w:rsidR="007B1124" w:rsidRPr="00727B83" w:rsidRDefault="007B1124" w:rsidP="00AB270C">
    <w:pPr>
      <w:pStyle w:val="Encabezado"/>
      <w:spacing w:before="0" w:after="0" w:line="240" w:lineRule="auto"/>
      <w:jc w:val="left"/>
      <w:rPr>
        <w:rFonts w:ascii="Arial" w:hAnsi="Arial" w:cs="Arial"/>
        <w:b/>
        <w:sz w:val="22"/>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5" w14:textId="373DE3E4" w:rsidR="007B1124" w:rsidRPr="00751458" w:rsidRDefault="00774F77" w:rsidP="005C1C06">
    <w:pPr>
      <w:pStyle w:val="Encabezado"/>
    </w:pPr>
    <w:r>
      <w:t>ANEXO 3: PROCEDIMIENTO DE ATENCIÓN DE FALLAS ORCI 2026</w:t>
    </w:r>
  </w:p>
  <w:p w14:paraId="628F06E6" w14:textId="77777777"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07FB0"/>
    <w:rsid w:val="00010A5E"/>
    <w:rsid w:val="00021843"/>
    <w:rsid w:val="0002415D"/>
    <w:rsid w:val="00024A99"/>
    <w:rsid w:val="000378AA"/>
    <w:rsid w:val="000411F5"/>
    <w:rsid w:val="0004416A"/>
    <w:rsid w:val="00047A79"/>
    <w:rsid w:val="00047C9F"/>
    <w:rsid w:val="00052AB2"/>
    <w:rsid w:val="00055561"/>
    <w:rsid w:val="00057D6C"/>
    <w:rsid w:val="00061AE3"/>
    <w:rsid w:val="000714D5"/>
    <w:rsid w:val="00074615"/>
    <w:rsid w:val="00075E64"/>
    <w:rsid w:val="0007614B"/>
    <w:rsid w:val="000A4BAD"/>
    <w:rsid w:val="000A55DD"/>
    <w:rsid w:val="000A6B49"/>
    <w:rsid w:val="000B4353"/>
    <w:rsid w:val="000C565B"/>
    <w:rsid w:val="000C5B04"/>
    <w:rsid w:val="000D0BFC"/>
    <w:rsid w:val="000D1964"/>
    <w:rsid w:val="000D3F63"/>
    <w:rsid w:val="000D58E6"/>
    <w:rsid w:val="000E1F01"/>
    <w:rsid w:val="000F7223"/>
    <w:rsid w:val="001031D6"/>
    <w:rsid w:val="00107993"/>
    <w:rsid w:val="00107FFE"/>
    <w:rsid w:val="00110286"/>
    <w:rsid w:val="00110DEF"/>
    <w:rsid w:val="00110EA9"/>
    <w:rsid w:val="00115E54"/>
    <w:rsid w:val="001203E9"/>
    <w:rsid w:val="00125B59"/>
    <w:rsid w:val="00130154"/>
    <w:rsid w:val="001302E2"/>
    <w:rsid w:val="001309DD"/>
    <w:rsid w:val="0013527A"/>
    <w:rsid w:val="00146D5C"/>
    <w:rsid w:val="00151588"/>
    <w:rsid w:val="001518BC"/>
    <w:rsid w:val="00151B39"/>
    <w:rsid w:val="00154C7F"/>
    <w:rsid w:val="00154E7E"/>
    <w:rsid w:val="00155973"/>
    <w:rsid w:val="00157ABE"/>
    <w:rsid w:val="001643F5"/>
    <w:rsid w:val="00164F6C"/>
    <w:rsid w:val="00191F43"/>
    <w:rsid w:val="001923CF"/>
    <w:rsid w:val="00197BE3"/>
    <w:rsid w:val="001A4867"/>
    <w:rsid w:val="001B3F1B"/>
    <w:rsid w:val="001B42CF"/>
    <w:rsid w:val="001C09F2"/>
    <w:rsid w:val="001D29A9"/>
    <w:rsid w:val="001D732E"/>
    <w:rsid w:val="001E2258"/>
    <w:rsid w:val="001F07B0"/>
    <w:rsid w:val="001F5951"/>
    <w:rsid w:val="001F7108"/>
    <w:rsid w:val="00205634"/>
    <w:rsid w:val="0020603D"/>
    <w:rsid w:val="00207C4D"/>
    <w:rsid w:val="00212DBE"/>
    <w:rsid w:val="0021471D"/>
    <w:rsid w:val="0021629D"/>
    <w:rsid w:val="00234BD2"/>
    <w:rsid w:val="002467B4"/>
    <w:rsid w:val="0026070F"/>
    <w:rsid w:val="00262E66"/>
    <w:rsid w:val="00264975"/>
    <w:rsid w:val="00266019"/>
    <w:rsid w:val="00270041"/>
    <w:rsid w:val="002728D8"/>
    <w:rsid w:val="00273869"/>
    <w:rsid w:val="00280008"/>
    <w:rsid w:val="0028086D"/>
    <w:rsid w:val="00294399"/>
    <w:rsid w:val="002A0413"/>
    <w:rsid w:val="002B75D0"/>
    <w:rsid w:val="002C3A47"/>
    <w:rsid w:val="002C7189"/>
    <w:rsid w:val="002D061F"/>
    <w:rsid w:val="002E0DE2"/>
    <w:rsid w:val="002E1493"/>
    <w:rsid w:val="002E1B57"/>
    <w:rsid w:val="002E5101"/>
    <w:rsid w:val="002F78E3"/>
    <w:rsid w:val="003113E8"/>
    <w:rsid w:val="00311D6F"/>
    <w:rsid w:val="00314405"/>
    <w:rsid w:val="003163DF"/>
    <w:rsid w:val="00330F7E"/>
    <w:rsid w:val="003333E4"/>
    <w:rsid w:val="00333A61"/>
    <w:rsid w:val="0034025D"/>
    <w:rsid w:val="00341D88"/>
    <w:rsid w:val="00351D91"/>
    <w:rsid w:val="00354C9B"/>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35AD"/>
    <w:rsid w:val="00414197"/>
    <w:rsid w:val="00415ABC"/>
    <w:rsid w:val="00423A22"/>
    <w:rsid w:val="00423E18"/>
    <w:rsid w:val="00430B0B"/>
    <w:rsid w:val="00430B68"/>
    <w:rsid w:val="00434324"/>
    <w:rsid w:val="00435C6F"/>
    <w:rsid w:val="00437441"/>
    <w:rsid w:val="0044634D"/>
    <w:rsid w:val="0045206E"/>
    <w:rsid w:val="00457361"/>
    <w:rsid w:val="0046012C"/>
    <w:rsid w:val="004759A8"/>
    <w:rsid w:val="00476C77"/>
    <w:rsid w:val="00487B16"/>
    <w:rsid w:val="0049136C"/>
    <w:rsid w:val="004943AC"/>
    <w:rsid w:val="00494B82"/>
    <w:rsid w:val="004959D8"/>
    <w:rsid w:val="00496322"/>
    <w:rsid w:val="004A027F"/>
    <w:rsid w:val="004A4FB0"/>
    <w:rsid w:val="004B1C9D"/>
    <w:rsid w:val="004C0A5D"/>
    <w:rsid w:val="004C1478"/>
    <w:rsid w:val="004D1B33"/>
    <w:rsid w:val="004D218F"/>
    <w:rsid w:val="004D79E0"/>
    <w:rsid w:val="004E480B"/>
    <w:rsid w:val="004F5074"/>
    <w:rsid w:val="00505062"/>
    <w:rsid w:val="00515D0E"/>
    <w:rsid w:val="00516169"/>
    <w:rsid w:val="00516DA8"/>
    <w:rsid w:val="00524B1D"/>
    <w:rsid w:val="00525155"/>
    <w:rsid w:val="00527834"/>
    <w:rsid w:val="00527852"/>
    <w:rsid w:val="005304C8"/>
    <w:rsid w:val="005306C8"/>
    <w:rsid w:val="005327A0"/>
    <w:rsid w:val="00541210"/>
    <w:rsid w:val="00542061"/>
    <w:rsid w:val="005446A9"/>
    <w:rsid w:val="0054763F"/>
    <w:rsid w:val="00547F3F"/>
    <w:rsid w:val="00554FD8"/>
    <w:rsid w:val="00556BA3"/>
    <w:rsid w:val="00562CD8"/>
    <w:rsid w:val="00572B58"/>
    <w:rsid w:val="00573C8A"/>
    <w:rsid w:val="005803DE"/>
    <w:rsid w:val="00590E76"/>
    <w:rsid w:val="00592305"/>
    <w:rsid w:val="0059760A"/>
    <w:rsid w:val="005A2803"/>
    <w:rsid w:val="005A6DC5"/>
    <w:rsid w:val="005B2F21"/>
    <w:rsid w:val="005B3A0A"/>
    <w:rsid w:val="005B5011"/>
    <w:rsid w:val="005C1BB4"/>
    <w:rsid w:val="005C1C06"/>
    <w:rsid w:val="005C5464"/>
    <w:rsid w:val="005C7307"/>
    <w:rsid w:val="005E4800"/>
    <w:rsid w:val="005F3D69"/>
    <w:rsid w:val="006042C1"/>
    <w:rsid w:val="006051EB"/>
    <w:rsid w:val="00626472"/>
    <w:rsid w:val="00626931"/>
    <w:rsid w:val="00640895"/>
    <w:rsid w:val="00641387"/>
    <w:rsid w:val="00642F33"/>
    <w:rsid w:val="00650658"/>
    <w:rsid w:val="0065515D"/>
    <w:rsid w:val="00661533"/>
    <w:rsid w:val="0068111E"/>
    <w:rsid w:val="006944C4"/>
    <w:rsid w:val="00697B1B"/>
    <w:rsid w:val="006A3908"/>
    <w:rsid w:val="006A6730"/>
    <w:rsid w:val="006B1142"/>
    <w:rsid w:val="006B2438"/>
    <w:rsid w:val="006C5A8C"/>
    <w:rsid w:val="006C61AE"/>
    <w:rsid w:val="006C6C2F"/>
    <w:rsid w:val="006E0B03"/>
    <w:rsid w:val="007028DD"/>
    <w:rsid w:val="00710DCC"/>
    <w:rsid w:val="00720E9A"/>
    <w:rsid w:val="0072538C"/>
    <w:rsid w:val="00727B83"/>
    <w:rsid w:val="007303A1"/>
    <w:rsid w:val="007313D9"/>
    <w:rsid w:val="0074269F"/>
    <w:rsid w:val="007426FF"/>
    <w:rsid w:val="00751458"/>
    <w:rsid w:val="00756DC1"/>
    <w:rsid w:val="00760086"/>
    <w:rsid w:val="00760DB5"/>
    <w:rsid w:val="00760EFE"/>
    <w:rsid w:val="00764E21"/>
    <w:rsid w:val="007657C8"/>
    <w:rsid w:val="00770BF1"/>
    <w:rsid w:val="00774F77"/>
    <w:rsid w:val="00777A85"/>
    <w:rsid w:val="007903A9"/>
    <w:rsid w:val="00794F59"/>
    <w:rsid w:val="007A1E09"/>
    <w:rsid w:val="007B1124"/>
    <w:rsid w:val="007B1696"/>
    <w:rsid w:val="007C4886"/>
    <w:rsid w:val="007D0A9C"/>
    <w:rsid w:val="007D251E"/>
    <w:rsid w:val="007D7331"/>
    <w:rsid w:val="007E49B2"/>
    <w:rsid w:val="007F23B7"/>
    <w:rsid w:val="00800B5C"/>
    <w:rsid w:val="00802E19"/>
    <w:rsid w:val="00806CE0"/>
    <w:rsid w:val="00811CE1"/>
    <w:rsid w:val="008250B0"/>
    <w:rsid w:val="00832E15"/>
    <w:rsid w:val="0083597D"/>
    <w:rsid w:val="00840BA6"/>
    <w:rsid w:val="008412C1"/>
    <w:rsid w:val="00843203"/>
    <w:rsid w:val="00846972"/>
    <w:rsid w:val="00850BC7"/>
    <w:rsid w:val="008559DF"/>
    <w:rsid w:val="00857B8E"/>
    <w:rsid w:val="00860B1A"/>
    <w:rsid w:val="008626C6"/>
    <w:rsid w:val="008722CC"/>
    <w:rsid w:val="00876F7A"/>
    <w:rsid w:val="008842C1"/>
    <w:rsid w:val="008853ED"/>
    <w:rsid w:val="008876FC"/>
    <w:rsid w:val="00887D6C"/>
    <w:rsid w:val="008A42CC"/>
    <w:rsid w:val="008A4CC9"/>
    <w:rsid w:val="008A4D77"/>
    <w:rsid w:val="008B3203"/>
    <w:rsid w:val="008B55D7"/>
    <w:rsid w:val="008B5E83"/>
    <w:rsid w:val="008C3D71"/>
    <w:rsid w:val="008C4645"/>
    <w:rsid w:val="008C6E44"/>
    <w:rsid w:val="008C7499"/>
    <w:rsid w:val="008D0FEB"/>
    <w:rsid w:val="008D20FA"/>
    <w:rsid w:val="008D2B5A"/>
    <w:rsid w:val="008D3414"/>
    <w:rsid w:val="008D69EE"/>
    <w:rsid w:val="008E0939"/>
    <w:rsid w:val="008F3F22"/>
    <w:rsid w:val="00901896"/>
    <w:rsid w:val="00901DB9"/>
    <w:rsid w:val="00906E62"/>
    <w:rsid w:val="00913A10"/>
    <w:rsid w:val="0091549D"/>
    <w:rsid w:val="00922AE0"/>
    <w:rsid w:val="00923A69"/>
    <w:rsid w:val="00923FA5"/>
    <w:rsid w:val="00933DA4"/>
    <w:rsid w:val="00941A0E"/>
    <w:rsid w:val="00942668"/>
    <w:rsid w:val="009536C3"/>
    <w:rsid w:val="00964037"/>
    <w:rsid w:val="009641A4"/>
    <w:rsid w:val="00967DD0"/>
    <w:rsid w:val="00970D9B"/>
    <w:rsid w:val="00974239"/>
    <w:rsid w:val="00982A9C"/>
    <w:rsid w:val="00996905"/>
    <w:rsid w:val="009B25CC"/>
    <w:rsid w:val="009B2FE0"/>
    <w:rsid w:val="009B4A14"/>
    <w:rsid w:val="009B6B66"/>
    <w:rsid w:val="009C2D10"/>
    <w:rsid w:val="009E13F2"/>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77941"/>
    <w:rsid w:val="00A857A8"/>
    <w:rsid w:val="00A92915"/>
    <w:rsid w:val="00A93984"/>
    <w:rsid w:val="00AB270C"/>
    <w:rsid w:val="00AC0F55"/>
    <w:rsid w:val="00AC438F"/>
    <w:rsid w:val="00AF2532"/>
    <w:rsid w:val="00AF3674"/>
    <w:rsid w:val="00AF54F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B02AA"/>
    <w:rsid w:val="00BC132A"/>
    <w:rsid w:val="00BD0FD5"/>
    <w:rsid w:val="00BD1469"/>
    <w:rsid w:val="00BD2374"/>
    <w:rsid w:val="00BD6094"/>
    <w:rsid w:val="00BE122B"/>
    <w:rsid w:val="00BE5EF6"/>
    <w:rsid w:val="00BE6103"/>
    <w:rsid w:val="00BE6767"/>
    <w:rsid w:val="00BF3CE2"/>
    <w:rsid w:val="00BF6DDA"/>
    <w:rsid w:val="00C05C7B"/>
    <w:rsid w:val="00C070CA"/>
    <w:rsid w:val="00C079EB"/>
    <w:rsid w:val="00C14487"/>
    <w:rsid w:val="00C17B06"/>
    <w:rsid w:val="00C2091C"/>
    <w:rsid w:val="00C23940"/>
    <w:rsid w:val="00C23941"/>
    <w:rsid w:val="00C36127"/>
    <w:rsid w:val="00C40574"/>
    <w:rsid w:val="00C4532A"/>
    <w:rsid w:val="00C46B15"/>
    <w:rsid w:val="00C46ED3"/>
    <w:rsid w:val="00C63208"/>
    <w:rsid w:val="00C701E7"/>
    <w:rsid w:val="00C810E9"/>
    <w:rsid w:val="00C82C8B"/>
    <w:rsid w:val="00C87356"/>
    <w:rsid w:val="00C96F2E"/>
    <w:rsid w:val="00CA075A"/>
    <w:rsid w:val="00CB187A"/>
    <w:rsid w:val="00CB1CBD"/>
    <w:rsid w:val="00CB6438"/>
    <w:rsid w:val="00CC6AF6"/>
    <w:rsid w:val="00CC6CF0"/>
    <w:rsid w:val="00CD46C9"/>
    <w:rsid w:val="00CD4D5C"/>
    <w:rsid w:val="00CD6140"/>
    <w:rsid w:val="00CD68CD"/>
    <w:rsid w:val="00CE10D3"/>
    <w:rsid w:val="00D00948"/>
    <w:rsid w:val="00D046BF"/>
    <w:rsid w:val="00D100B1"/>
    <w:rsid w:val="00D242D9"/>
    <w:rsid w:val="00D24D3B"/>
    <w:rsid w:val="00D25317"/>
    <w:rsid w:val="00D267EA"/>
    <w:rsid w:val="00D4628F"/>
    <w:rsid w:val="00D77AAB"/>
    <w:rsid w:val="00D805B7"/>
    <w:rsid w:val="00D84058"/>
    <w:rsid w:val="00D873DD"/>
    <w:rsid w:val="00D945DB"/>
    <w:rsid w:val="00D9604D"/>
    <w:rsid w:val="00DA1DB8"/>
    <w:rsid w:val="00DA2FB6"/>
    <w:rsid w:val="00DA6ADB"/>
    <w:rsid w:val="00DB1071"/>
    <w:rsid w:val="00DC3852"/>
    <w:rsid w:val="00DC5FD1"/>
    <w:rsid w:val="00DD4A32"/>
    <w:rsid w:val="00DE0748"/>
    <w:rsid w:val="00DE2A81"/>
    <w:rsid w:val="00DE33E8"/>
    <w:rsid w:val="00DF71D7"/>
    <w:rsid w:val="00E028D0"/>
    <w:rsid w:val="00E10F2F"/>
    <w:rsid w:val="00E113C8"/>
    <w:rsid w:val="00E115E2"/>
    <w:rsid w:val="00E25810"/>
    <w:rsid w:val="00E2653D"/>
    <w:rsid w:val="00E32F84"/>
    <w:rsid w:val="00E348EC"/>
    <w:rsid w:val="00E426EF"/>
    <w:rsid w:val="00E50A92"/>
    <w:rsid w:val="00E5647F"/>
    <w:rsid w:val="00E57A5E"/>
    <w:rsid w:val="00E6130F"/>
    <w:rsid w:val="00E70C33"/>
    <w:rsid w:val="00E74743"/>
    <w:rsid w:val="00E75EDF"/>
    <w:rsid w:val="00E81120"/>
    <w:rsid w:val="00E84088"/>
    <w:rsid w:val="00E850B9"/>
    <w:rsid w:val="00E87967"/>
    <w:rsid w:val="00E90235"/>
    <w:rsid w:val="00EA064A"/>
    <w:rsid w:val="00EA5AF8"/>
    <w:rsid w:val="00EA6B55"/>
    <w:rsid w:val="00EB35B4"/>
    <w:rsid w:val="00EB68BF"/>
    <w:rsid w:val="00EC3780"/>
    <w:rsid w:val="00EC56A4"/>
    <w:rsid w:val="00EC59B8"/>
    <w:rsid w:val="00ED0704"/>
    <w:rsid w:val="00EE2BC4"/>
    <w:rsid w:val="00EF38FB"/>
    <w:rsid w:val="00F031DF"/>
    <w:rsid w:val="00F04CD4"/>
    <w:rsid w:val="00F10DF1"/>
    <w:rsid w:val="00F17E35"/>
    <w:rsid w:val="00F203A1"/>
    <w:rsid w:val="00F205CB"/>
    <w:rsid w:val="00F310A9"/>
    <w:rsid w:val="00F37E12"/>
    <w:rsid w:val="00F45023"/>
    <w:rsid w:val="00F505F0"/>
    <w:rsid w:val="00F51A04"/>
    <w:rsid w:val="00F54EDD"/>
    <w:rsid w:val="00F575CE"/>
    <w:rsid w:val="00F60947"/>
    <w:rsid w:val="00F65AFC"/>
    <w:rsid w:val="00F7071B"/>
    <w:rsid w:val="00F72F11"/>
    <w:rsid w:val="00F74D5F"/>
    <w:rsid w:val="00F82A11"/>
    <w:rsid w:val="00F854BF"/>
    <w:rsid w:val="00F86B70"/>
    <w:rsid w:val="00F929C8"/>
    <w:rsid w:val="00FA1CBC"/>
    <w:rsid w:val="00FA7655"/>
    <w:rsid w:val="00FB5C65"/>
    <w:rsid w:val="00FC2816"/>
    <w:rsid w:val="00FD4E96"/>
    <w:rsid w:val="00FE1062"/>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8F0636"/>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 w:type="character" w:customStyle="1" w:styleId="IFTnormalCar">
    <w:name w:val="IFT normal Car"/>
    <w:link w:val="IFTnormal"/>
    <w:qFormat/>
    <w:locked/>
    <w:rsid w:val="001643F5"/>
    <w:rPr>
      <w:rFonts w:ascii="ITC Avant Garde" w:eastAsia="MS Mincho" w:hAnsi="ITC Avant Garde" w:cs="Calibri"/>
      <w:bCs/>
    </w:rPr>
  </w:style>
  <w:style w:type="paragraph" w:customStyle="1" w:styleId="IFTnormal">
    <w:name w:val="IFT normal"/>
    <w:basedOn w:val="Normal"/>
    <w:link w:val="IFTnormalCar"/>
    <w:qFormat/>
    <w:rsid w:val="001643F5"/>
    <w:pPr>
      <w:spacing w:before="0" w:after="200" w:line="276" w:lineRule="auto"/>
    </w:pPr>
    <w:rPr>
      <w:rFonts w:ascii="ITC Avant Garde" w:eastAsia="MS Mincho" w:hAnsi="ITC Avant Garde" w:cs="Calibri"/>
      <w:bCs/>
      <w:sz w:val="20"/>
      <w:szCs w:val="20"/>
      <w:lang w:val="es-MX" w:eastAsia="es-MX"/>
    </w:rPr>
  </w:style>
  <w:style w:type="character" w:customStyle="1" w:styleId="Mencinsinresolver1">
    <w:name w:val="Mención sin resolver1"/>
    <w:basedOn w:val="Fuentedeprrafopredeter"/>
    <w:uiPriority w:val="99"/>
    <w:semiHidden/>
    <w:unhideWhenUsed/>
    <w:rsid w:val="00354C9B"/>
    <w:rPr>
      <w:color w:val="605E5C"/>
      <w:shd w:val="clear" w:color="auto" w:fill="E1DFDD"/>
    </w:rPr>
  </w:style>
  <w:style w:type="character" w:customStyle="1" w:styleId="UnresolvedMention">
    <w:name w:val="Unresolved Mention"/>
    <w:basedOn w:val="Fuentedeprrafopredeter"/>
    <w:uiPriority w:val="99"/>
    <w:semiHidden/>
    <w:unhideWhenUsed/>
    <w:rsid w:val="00D0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393144">
      <w:bodyDiv w:val="1"/>
      <w:marLeft w:val="0"/>
      <w:marRight w:val="0"/>
      <w:marTop w:val="0"/>
      <w:marBottom w:val="0"/>
      <w:divBdr>
        <w:top w:val="none" w:sz="0" w:space="0" w:color="auto"/>
        <w:left w:val="none" w:sz="0" w:space="0" w:color="auto"/>
        <w:bottom w:val="none" w:sz="0" w:space="0" w:color="auto"/>
        <w:right w:val="none" w:sz="0" w:space="0" w:color="auto"/>
      </w:divBdr>
    </w:div>
    <w:div w:id="1097166633">
      <w:bodyDiv w:val="1"/>
      <w:marLeft w:val="0"/>
      <w:marRight w:val="0"/>
      <w:marTop w:val="0"/>
      <w:marBottom w:val="0"/>
      <w:divBdr>
        <w:top w:val="none" w:sz="0" w:space="0" w:color="auto"/>
        <w:left w:val="none" w:sz="0" w:space="0" w:color="auto"/>
        <w:bottom w:val="none" w:sz="0" w:space="0" w:color="auto"/>
        <w:right w:val="none" w:sz="0" w:space="0" w:color="auto"/>
      </w:divBdr>
    </w:div>
    <w:div w:id="1761176456">
      <w:bodyDiv w:val="1"/>
      <w:marLeft w:val="0"/>
      <w:marRight w:val="0"/>
      <w:marTop w:val="0"/>
      <w:marBottom w:val="0"/>
      <w:divBdr>
        <w:top w:val="none" w:sz="0" w:space="0" w:color="auto"/>
        <w:left w:val="none" w:sz="0" w:space="0" w:color="auto"/>
        <w:bottom w:val="none" w:sz="0" w:space="0" w:color="auto"/>
        <w:right w:val="none" w:sz="0" w:space="0" w:color="auto"/>
      </w:divBdr>
    </w:div>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icialia@ift.org.m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osuper@telmex.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2.xml><?xml version="1.0" encoding="utf-8"?>
<ds:datastoreItem xmlns:ds="http://schemas.openxmlformats.org/officeDocument/2006/customXml" ds:itemID="{FF474446-DFDF-4EE0-894A-76B3CB263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A9C27E75-4D07-499B-98D7-B1CC90BA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3086</Words>
  <Characters>16979</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20025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Sánchez Avila José Carlos</cp:lastModifiedBy>
  <cp:revision>2</cp:revision>
  <cp:lastPrinted>2015-10-30T04:03:00Z</cp:lastPrinted>
  <dcterms:created xsi:type="dcterms:W3CDTF">2025-07-17T15:55:00Z</dcterms:created>
  <dcterms:modified xsi:type="dcterms:W3CDTF">2025-07-17T15:55:00Z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