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E51EA3" w14:textId="77777777" w:rsidR="000E3C92" w:rsidRPr="000E3C92" w:rsidRDefault="000E3C92" w:rsidP="000E3C92">
      <w:pPr>
        <w:ind w:left="567" w:right="594"/>
        <w:jc w:val="center"/>
        <w:rPr>
          <w:rFonts w:ascii="Arial" w:hAnsi="Arial" w:cs="Arial"/>
          <w:b/>
          <w:sz w:val="24"/>
        </w:rPr>
      </w:pPr>
      <w:r w:rsidRPr="000E3C92">
        <w:rPr>
          <w:rFonts w:ascii="Arial" w:hAnsi="Arial" w:cs="Arial"/>
          <w:b/>
          <w:sz w:val="24"/>
        </w:rPr>
        <w:t>PROPUESTA DE MODIFICACIONES A LA ORCI 2026</w:t>
      </w:r>
    </w:p>
    <w:p w14:paraId="79017354" w14:textId="68E60399" w:rsidR="00692AD9" w:rsidRPr="00692AD9" w:rsidRDefault="00692AD9" w:rsidP="00692AD9">
      <w:pPr>
        <w:ind w:left="567" w:right="594"/>
        <w:jc w:val="both"/>
        <w:rPr>
          <w:rFonts w:ascii="Arial" w:hAnsi="Arial" w:cs="Arial"/>
          <w:sz w:val="24"/>
        </w:rPr>
      </w:pPr>
      <w:r w:rsidRPr="00692AD9">
        <w:rPr>
          <w:rFonts w:ascii="Arial" w:hAnsi="Arial" w:cs="Arial"/>
          <w:sz w:val="24"/>
        </w:rPr>
        <w:t>Telmex y Telnor, en cumplimiento de la Medida Cuadragésima Primera del Anexo 2 de la Tercera Resolución Bienal, presentan para aprobación del Instituto las siguientes modificaciones a la Oferta de Referencia de los Servicios de Compartición de Infraestru</w:t>
      </w:r>
      <w:r w:rsidR="00AB53C2">
        <w:rPr>
          <w:rFonts w:ascii="Arial" w:hAnsi="Arial" w:cs="Arial"/>
          <w:sz w:val="24"/>
        </w:rPr>
        <w:t>ctura (ORCI) aplicables en 2026.</w:t>
      </w:r>
    </w:p>
    <w:p w14:paraId="47B251E1" w14:textId="77777777" w:rsidR="00692AD9" w:rsidRPr="00692AD9" w:rsidRDefault="00692AD9" w:rsidP="00692AD9">
      <w:pPr>
        <w:ind w:left="567" w:right="594"/>
        <w:jc w:val="both"/>
        <w:rPr>
          <w:rFonts w:ascii="Arial" w:hAnsi="Arial" w:cs="Arial"/>
          <w:b/>
          <w:sz w:val="24"/>
        </w:rPr>
      </w:pPr>
      <w:r w:rsidRPr="00692AD9">
        <w:rPr>
          <w:rFonts w:ascii="Arial" w:hAnsi="Arial" w:cs="Arial"/>
          <w:b/>
          <w:sz w:val="24"/>
        </w:rPr>
        <w:t>1. Necesidad de alineación operativa y comercial</w:t>
      </w:r>
    </w:p>
    <w:p w14:paraId="1EFC0207" w14:textId="328D3F33" w:rsidR="00692AD9" w:rsidRPr="00692AD9" w:rsidRDefault="00692AD9" w:rsidP="00692AD9">
      <w:pPr>
        <w:ind w:left="567" w:right="594"/>
        <w:jc w:val="both"/>
        <w:rPr>
          <w:rFonts w:ascii="Arial" w:hAnsi="Arial" w:cs="Arial"/>
          <w:sz w:val="24"/>
        </w:rPr>
      </w:pPr>
      <w:r w:rsidRPr="00692AD9">
        <w:rPr>
          <w:rFonts w:ascii="Arial" w:hAnsi="Arial" w:cs="Arial"/>
          <w:sz w:val="24"/>
        </w:rPr>
        <w:t xml:space="preserve">Se propone unificar los criterios </w:t>
      </w:r>
      <w:r w:rsidR="00CE44F0">
        <w:rPr>
          <w:rFonts w:ascii="Arial" w:hAnsi="Arial" w:cs="Arial"/>
          <w:sz w:val="24"/>
        </w:rPr>
        <w:t>de</w:t>
      </w:r>
      <w:r w:rsidRPr="00692AD9">
        <w:rPr>
          <w:rFonts w:ascii="Arial" w:hAnsi="Arial" w:cs="Arial"/>
          <w:sz w:val="24"/>
        </w:rPr>
        <w:t xml:space="preserve"> inicio de facturación por </w:t>
      </w:r>
      <w:r w:rsidR="00CE44F0">
        <w:rPr>
          <w:rFonts w:ascii="Arial" w:hAnsi="Arial" w:cs="Arial"/>
          <w:sz w:val="24"/>
        </w:rPr>
        <w:t xml:space="preserve">infraestructura pasiva y </w:t>
      </w:r>
      <w:r w:rsidR="00CE44F0" w:rsidRPr="00692AD9">
        <w:rPr>
          <w:rFonts w:ascii="Arial" w:hAnsi="Arial" w:cs="Arial"/>
          <w:sz w:val="24"/>
        </w:rPr>
        <w:t xml:space="preserve">de Trabajos Especiales </w:t>
      </w:r>
      <w:r w:rsidRPr="00692AD9">
        <w:rPr>
          <w:rFonts w:ascii="Arial" w:hAnsi="Arial" w:cs="Arial"/>
          <w:sz w:val="24"/>
        </w:rPr>
        <w:t xml:space="preserve">a fin de eliminar inconsistencias entre ofertas mayoristas </w:t>
      </w:r>
      <w:r w:rsidR="00AA25EB">
        <w:rPr>
          <w:rFonts w:ascii="Arial" w:hAnsi="Arial" w:cs="Arial"/>
          <w:sz w:val="24"/>
        </w:rPr>
        <w:t>y así asegurar el uso eficiente de los recursos de infraestructura</w:t>
      </w:r>
      <w:r w:rsidRPr="00692AD9">
        <w:rPr>
          <w:rFonts w:ascii="Arial" w:hAnsi="Arial" w:cs="Arial"/>
          <w:sz w:val="24"/>
        </w:rPr>
        <w:t xml:space="preserve">. </w:t>
      </w:r>
    </w:p>
    <w:p w14:paraId="44E67F7D" w14:textId="73C68B10" w:rsidR="00692AD9" w:rsidRPr="00692AD9" w:rsidRDefault="00692AD9" w:rsidP="00692AD9">
      <w:pPr>
        <w:ind w:left="567" w:right="594"/>
        <w:jc w:val="both"/>
        <w:rPr>
          <w:rFonts w:ascii="Arial" w:hAnsi="Arial" w:cs="Arial"/>
          <w:b/>
          <w:sz w:val="24"/>
        </w:rPr>
      </w:pPr>
      <w:r w:rsidRPr="00692AD9">
        <w:rPr>
          <w:rFonts w:ascii="Arial" w:hAnsi="Arial" w:cs="Arial"/>
          <w:b/>
          <w:sz w:val="24"/>
        </w:rPr>
        <w:t>2. Evolución de regulatoria</w:t>
      </w:r>
      <w:r w:rsidR="00505478">
        <w:rPr>
          <w:rFonts w:ascii="Arial" w:hAnsi="Arial" w:cs="Arial"/>
          <w:b/>
          <w:sz w:val="24"/>
        </w:rPr>
        <w:t xml:space="preserve"> </w:t>
      </w:r>
      <w:r w:rsidR="00505478" w:rsidRPr="00F3763C">
        <w:rPr>
          <w:rFonts w:ascii="Arial" w:hAnsi="Arial" w:cs="Arial"/>
          <w:b/>
          <w:sz w:val="24"/>
        </w:rPr>
        <w:t>y competencia técnica</w:t>
      </w:r>
    </w:p>
    <w:p w14:paraId="59B5BA0C" w14:textId="4C1BF31C" w:rsidR="00692AD9" w:rsidRPr="00692AD9" w:rsidRDefault="00505478" w:rsidP="00692AD9">
      <w:pPr>
        <w:ind w:left="567" w:right="594"/>
        <w:jc w:val="both"/>
        <w:rPr>
          <w:rFonts w:ascii="Arial" w:hAnsi="Arial" w:cs="Arial"/>
          <w:sz w:val="24"/>
        </w:rPr>
      </w:pPr>
      <w:r w:rsidRPr="00505478">
        <w:rPr>
          <w:rFonts w:ascii="Arial" w:hAnsi="Arial" w:cs="Arial"/>
          <w:sz w:val="24"/>
        </w:rPr>
        <w:t xml:space="preserve">La regulación vigente establece que la Constancia de No Interferencia (CNI) debe ser emitida por el </w:t>
      </w:r>
      <w:proofErr w:type="spellStart"/>
      <w:r w:rsidRPr="00505478">
        <w:rPr>
          <w:rFonts w:ascii="Arial" w:hAnsi="Arial" w:cs="Arial"/>
          <w:sz w:val="24"/>
        </w:rPr>
        <w:t>IFT</w:t>
      </w:r>
      <w:proofErr w:type="spellEnd"/>
      <w:r w:rsidRPr="00505478">
        <w:rPr>
          <w:rFonts w:ascii="Arial" w:hAnsi="Arial" w:cs="Arial"/>
          <w:sz w:val="24"/>
        </w:rPr>
        <w:t xml:space="preserve"> o por entidades certificadoras autorizadas. Telmex y Telnor no están facultados para realizar el análisis de frecuencias, por lo que su participación en esta actividad puede generar un conflicto de interés, particularmente cuando el resultado de su análisis difiere del contenido de la CNI emitida por la autoridad competente. Esta duplicidad, además de carecer de sustento normativo, genera incertidumbre y posibles inconsistencias técnicas y regulatorias. </w:t>
      </w:r>
    </w:p>
    <w:p w14:paraId="7AA0D954" w14:textId="13104414" w:rsidR="00272DFB" w:rsidRPr="000E3C92" w:rsidRDefault="00272DFB" w:rsidP="00692AD9">
      <w:pPr>
        <w:ind w:right="594"/>
        <w:jc w:val="both"/>
        <w:rPr>
          <w:rFonts w:ascii="Arial" w:hAnsi="Arial" w:cs="Arial"/>
          <w:sz w:val="24"/>
        </w:rPr>
      </w:pPr>
    </w:p>
    <w:tbl>
      <w:tblPr>
        <w:tblW w:w="44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1701"/>
        <w:gridCol w:w="1984"/>
        <w:gridCol w:w="4677"/>
        <w:gridCol w:w="4109"/>
      </w:tblGrid>
      <w:tr w:rsidR="00A9722B" w:rsidRPr="00053888" w14:paraId="256C19FA" w14:textId="77777777" w:rsidTr="00A30517">
        <w:trPr>
          <w:trHeight w:val="346"/>
          <w:tblHeader/>
          <w:jc w:val="center"/>
        </w:trPr>
        <w:tc>
          <w:tcPr>
            <w:tcW w:w="216" w:type="pct"/>
            <w:shd w:val="clear" w:color="auto" w:fill="1F497D" w:themeFill="text2"/>
            <w:vAlign w:val="center"/>
          </w:tcPr>
          <w:p w14:paraId="07BE6EB8" w14:textId="77777777" w:rsidR="00272DFB" w:rsidRPr="00053888" w:rsidRDefault="00272DFB" w:rsidP="001938B4">
            <w:pPr>
              <w:spacing w:after="0" w:line="240" w:lineRule="auto"/>
              <w:jc w:val="center"/>
              <w:rPr>
                <w:rFonts w:ascii="Verdana" w:eastAsia="Times New Roman" w:hAnsi="Verdana" w:cstheme="minorHAnsi"/>
                <w:color w:val="FFFFFF" w:themeColor="background1"/>
                <w:sz w:val="20"/>
                <w:szCs w:val="20"/>
                <w:lang w:eastAsia="es-MX"/>
              </w:rPr>
            </w:pPr>
            <w:r w:rsidRPr="00053888">
              <w:rPr>
                <w:rFonts w:ascii="Verdana" w:eastAsia="Times New Roman" w:hAnsi="Verdana" w:cstheme="minorHAnsi"/>
                <w:b/>
                <w:bCs/>
                <w:color w:val="FFFFFF" w:themeColor="background1"/>
                <w:sz w:val="20"/>
                <w:szCs w:val="20"/>
                <w:lang w:eastAsia="es-MX"/>
              </w:rPr>
              <w:t>No</w:t>
            </w:r>
          </w:p>
        </w:tc>
        <w:tc>
          <w:tcPr>
            <w:tcW w:w="652" w:type="pct"/>
            <w:shd w:val="clear" w:color="auto" w:fill="1F497D" w:themeFill="text2"/>
            <w:vAlign w:val="center"/>
          </w:tcPr>
          <w:p w14:paraId="2FAA3E6B" w14:textId="77777777" w:rsidR="00272DFB" w:rsidRPr="002C372F" w:rsidRDefault="00272DFB" w:rsidP="001938B4">
            <w:pPr>
              <w:spacing w:after="0" w:line="240" w:lineRule="auto"/>
              <w:jc w:val="center"/>
              <w:rPr>
                <w:rFonts w:ascii="Verdana" w:eastAsia="Times New Roman" w:hAnsi="Verdana" w:cstheme="minorHAnsi"/>
                <w:b/>
                <w:bCs/>
                <w:color w:val="FFFFFF" w:themeColor="background1"/>
                <w:sz w:val="16"/>
                <w:szCs w:val="20"/>
                <w:lang w:eastAsia="es-MX"/>
              </w:rPr>
            </w:pPr>
            <w:r w:rsidRPr="00053888">
              <w:rPr>
                <w:rFonts w:ascii="Verdana" w:eastAsia="Times New Roman" w:hAnsi="Verdana" w:cstheme="minorHAnsi"/>
                <w:b/>
                <w:bCs/>
                <w:color w:val="FFFFFF" w:themeColor="background1"/>
                <w:sz w:val="20"/>
                <w:szCs w:val="20"/>
                <w:lang w:eastAsia="es-MX"/>
              </w:rPr>
              <w:t>Tema</w:t>
            </w:r>
          </w:p>
        </w:tc>
        <w:tc>
          <w:tcPr>
            <w:tcW w:w="761" w:type="pct"/>
            <w:shd w:val="clear" w:color="auto" w:fill="1F497D" w:themeFill="text2"/>
            <w:vAlign w:val="center"/>
          </w:tcPr>
          <w:p w14:paraId="312963D7" w14:textId="77777777" w:rsidR="00272DFB" w:rsidRPr="00053888" w:rsidRDefault="00272DFB" w:rsidP="001938B4">
            <w:pPr>
              <w:spacing w:after="0" w:line="240" w:lineRule="auto"/>
              <w:jc w:val="center"/>
              <w:rPr>
                <w:rFonts w:ascii="Verdana" w:eastAsia="Times New Roman" w:hAnsi="Verdana" w:cstheme="minorHAnsi"/>
                <w:color w:val="FFFFFF" w:themeColor="background1"/>
                <w:sz w:val="20"/>
                <w:szCs w:val="20"/>
                <w:lang w:eastAsia="es-MX"/>
              </w:rPr>
            </w:pPr>
            <w:r w:rsidRPr="002C372F">
              <w:rPr>
                <w:rFonts w:ascii="Verdana" w:eastAsia="Times New Roman" w:hAnsi="Verdana" w:cstheme="minorHAnsi"/>
                <w:b/>
                <w:bCs/>
                <w:color w:val="FFFFFF" w:themeColor="background1"/>
                <w:sz w:val="16"/>
                <w:szCs w:val="20"/>
                <w:lang w:eastAsia="es-MX"/>
              </w:rPr>
              <w:t>Cláusula/Sección/Numeral</w:t>
            </w:r>
          </w:p>
        </w:tc>
        <w:tc>
          <w:tcPr>
            <w:tcW w:w="1794" w:type="pct"/>
            <w:shd w:val="clear" w:color="auto" w:fill="1F497D" w:themeFill="text2"/>
            <w:vAlign w:val="center"/>
          </w:tcPr>
          <w:p w14:paraId="1BE80833" w14:textId="77777777" w:rsidR="00272DFB" w:rsidRPr="00053888" w:rsidRDefault="00272DFB" w:rsidP="001938B4">
            <w:pPr>
              <w:spacing w:after="0" w:line="240" w:lineRule="auto"/>
              <w:jc w:val="center"/>
              <w:rPr>
                <w:rFonts w:ascii="Verdana" w:eastAsia="Times New Roman" w:hAnsi="Verdana" w:cstheme="minorHAnsi"/>
                <w:b/>
                <w:bCs/>
                <w:color w:val="FFFFFF" w:themeColor="background1"/>
                <w:sz w:val="20"/>
                <w:szCs w:val="20"/>
                <w:lang w:eastAsia="es-MX"/>
              </w:rPr>
            </w:pPr>
            <w:r w:rsidRPr="00053888">
              <w:rPr>
                <w:rFonts w:ascii="Verdana" w:eastAsia="Times New Roman" w:hAnsi="Verdana" w:cstheme="minorHAnsi"/>
                <w:b/>
                <w:bCs/>
                <w:color w:val="FFFFFF" w:themeColor="background1"/>
                <w:sz w:val="20"/>
                <w:szCs w:val="20"/>
                <w:lang w:eastAsia="es-MX"/>
              </w:rPr>
              <w:t>Modificación/Adición</w:t>
            </w:r>
          </w:p>
        </w:tc>
        <w:tc>
          <w:tcPr>
            <w:tcW w:w="1576" w:type="pct"/>
            <w:tcBorders>
              <w:bottom w:val="single" w:sz="4" w:space="0" w:color="000000" w:themeColor="text1"/>
            </w:tcBorders>
            <w:shd w:val="clear" w:color="auto" w:fill="1F497D" w:themeFill="text2"/>
            <w:vAlign w:val="center"/>
          </w:tcPr>
          <w:p w14:paraId="2F8F3EE1" w14:textId="77777777" w:rsidR="00272DFB" w:rsidRPr="00053888" w:rsidRDefault="00272DFB" w:rsidP="001938B4">
            <w:pPr>
              <w:spacing w:after="0" w:line="240" w:lineRule="auto"/>
              <w:jc w:val="center"/>
              <w:rPr>
                <w:rFonts w:ascii="Verdana" w:eastAsia="Times New Roman" w:hAnsi="Verdana" w:cstheme="minorHAnsi"/>
                <w:color w:val="FFFFFF" w:themeColor="background1"/>
                <w:sz w:val="20"/>
                <w:szCs w:val="20"/>
                <w:highlight w:val="green"/>
                <w:lang w:eastAsia="es-MX"/>
              </w:rPr>
            </w:pPr>
            <w:r w:rsidRPr="00053888">
              <w:rPr>
                <w:rFonts w:ascii="Verdana" w:eastAsia="Times New Roman" w:hAnsi="Verdana" w:cstheme="minorHAnsi"/>
                <w:b/>
                <w:bCs/>
                <w:color w:val="FFFFFF" w:themeColor="background1"/>
                <w:sz w:val="20"/>
                <w:szCs w:val="20"/>
                <w:lang w:eastAsia="es-MX"/>
              </w:rPr>
              <w:t>Justificación a Instituto</w:t>
            </w:r>
          </w:p>
        </w:tc>
      </w:tr>
      <w:tr w:rsidR="009A73BF" w:rsidRPr="00053888" w14:paraId="570893A6" w14:textId="77777777" w:rsidTr="002E3C6A">
        <w:trPr>
          <w:trHeight w:val="606"/>
          <w:jc w:val="center"/>
        </w:trPr>
        <w:tc>
          <w:tcPr>
            <w:tcW w:w="216" w:type="pct"/>
            <w:tcBorders>
              <w:top w:val="single" w:sz="4" w:space="0" w:color="auto"/>
              <w:left w:val="single" w:sz="4" w:space="0" w:color="auto"/>
              <w:bottom w:val="single" w:sz="4" w:space="0" w:color="auto"/>
              <w:right w:val="single" w:sz="4" w:space="0" w:color="auto"/>
            </w:tcBorders>
            <w:vAlign w:val="center"/>
          </w:tcPr>
          <w:p w14:paraId="3F2D564D" w14:textId="77777777" w:rsidR="008A3B3E" w:rsidRPr="00053888" w:rsidRDefault="00AD025F" w:rsidP="001938B4">
            <w:pPr>
              <w:spacing w:after="0" w:line="240" w:lineRule="auto"/>
              <w:jc w:val="center"/>
              <w:rPr>
                <w:rFonts w:ascii="Verdana" w:eastAsia="Times New Roman" w:hAnsi="Verdana" w:cstheme="minorHAnsi"/>
                <w:color w:val="000000"/>
                <w:sz w:val="20"/>
                <w:szCs w:val="20"/>
                <w:lang w:eastAsia="es-MX"/>
              </w:rPr>
            </w:pPr>
            <w:r>
              <w:rPr>
                <w:rFonts w:ascii="Verdana" w:eastAsia="Times New Roman" w:hAnsi="Verdana" w:cstheme="minorHAnsi"/>
                <w:color w:val="000000"/>
                <w:sz w:val="20"/>
                <w:szCs w:val="20"/>
                <w:lang w:eastAsia="es-MX"/>
              </w:rPr>
              <w:t>1</w:t>
            </w:r>
          </w:p>
        </w:tc>
        <w:tc>
          <w:tcPr>
            <w:tcW w:w="652" w:type="pct"/>
            <w:vMerge w:val="restart"/>
            <w:tcBorders>
              <w:top w:val="single" w:sz="4" w:space="0" w:color="auto"/>
              <w:left w:val="single" w:sz="4" w:space="0" w:color="auto"/>
              <w:right w:val="single" w:sz="4" w:space="0" w:color="auto"/>
            </w:tcBorders>
            <w:vAlign w:val="center"/>
          </w:tcPr>
          <w:p w14:paraId="49549094" w14:textId="77777777" w:rsidR="008A3B3E" w:rsidRDefault="008A3B3E" w:rsidP="008B0F5B">
            <w:pPr>
              <w:pStyle w:val="aaaIFTnormal"/>
              <w:spacing w:after="0"/>
              <w:jc w:val="center"/>
              <w:rPr>
                <w:rFonts w:ascii="Verdana" w:hAnsi="Verdana" w:cstheme="minorHAnsi"/>
                <w:b/>
                <w:sz w:val="20"/>
                <w:szCs w:val="20"/>
                <w:lang w:val="es-ES_tradnl"/>
              </w:rPr>
            </w:pPr>
          </w:p>
          <w:p w14:paraId="4C3B57FB" w14:textId="77777777" w:rsidR="008A3B3E" w:rsidRDefault="008A3B3E" w:rsidP="008B0F5B">
            <w:pPr>
              <w:pStyle w:val="aaaIFTnormal"/>
              <w:spacing w:after="0"/>
              <w:jc w:val="center"/>
              <w:rPr>
                <w:rFonts w:ascii="Verdana" w:hAnsi="Verdana" w:cstheme="minorHAnsi"/>
                <w:b/>
                <w:sz w:val="20"/>
                <w:szCs w:val="20"/>
                <w:lang w:val="es-ES_tradnl"/>
              </w:rPr>
            </w:pPr>
          </w:p>
          <w:p w14:paraId="1BAB0656" w14:textId="77777777" w:rsidR="008A3B3E" w:rsidRDefault="008A3B3E" w:rsidP="008B0F5B">
            <w:pPr>
              <w:pStyle w:val="aaaIFTnormal"/>
              <w:spacing w:after="0"/>
              <w:jc w:val="center"/>
              <w:rPr>
                <w:rFonts w:ascii="Verdana" w:hAnsi="Verdana" w:cstheme="minorHAnsi"/>
                <w:b/>
                <w:sz w:val="20"/>
                <w:szCs w:val="20"/>
                <w:lang w:val="es-ES_tradnl"/>
              </w:rPr>
            </w:pPr>
          </w:p>
          <w:p w14:paraId="0B1ED608" w14:textId="77777777" w:rsidR="008A3B3E" w:rsidRDefault="008A3B3E" w:rsidP="008B0F5B">
            <w:pPr>
              <w:pStyle w:val="aaaIFTnormal"/>
              <w:spacing w:after="0"/>
              <w:jc w:val="center"/>
              <w:rPr>
                <w:rFonts w:ascii="Verdana" w:hAnsi="Verdana" w:cstheme="minorHAnsi"/>
                <w:b/>
                <w:sz w:val="20"/>
                <w:szCs w:val="20"/>
                <w:lang w:val="es-ES_tradnl"/>
              </w:rPr>
            </w:pPr>
          </w:p>
          <w:p w14:paraId="39059AA4" w14:textId="77777777" w:rsidR="008A3B3E" w:rsidRDefault="008A3B3E" w:rsidP="008B0F5B">
            <w:pPr>
              <w:pStyle w:val="aaaIFTnormal"/>
              <w:spacing w:after="0"/>
              <w:jc w:val="center"/>
              <w:rPr>
                <w:rFonts w:ascii="Verdana" w:hAnsi="Verdana" w:cstheme="minorHAnsi"/>
                <w:b/>
                <w:sz w:val="20"/>
                <w:szCs w:val="20"/>
                <w:lang w:val="es-ES_tradnl"/>
              </w:rPr>
            </w:pPr>
          </w:p>
          <w:p w14:paraId="270A6616" w14:textId="77777777" w:rsidR="008A3B3E" w:rsidRDefault="008A3B3E" w:rsidP="008B0F5B">
            <w:pPr>
              <w:pStyle w:val="aaaIFTnormal"/>
              <w:spacing w:after="0"/>
              <w:jc w:val="center"/>
              <w:rPr>
                <w:rFonts w:ascii="Verdana" w:hAnsi="Verdana" w:cstheme="minorHAnsi"/>
                <w:b/>
                <w:sz w:val="20"/>
                <w:szCs w:val="20"/>
                <w:lang w:val="es-ES_tradnl"/>
              </w:rPr>
            </w:pPr>
          </w:p>
          <w:p w14:paraId="54FB3208" w14:textId="77777777" w:rsidR="008A3B3E" w:rsidRDefault="008A3B3E" w:rsidP="008B0F5B">
            <w:pPr>
              <w:pStyle w:val="aaaIFTnormal"/>
              <w:spacing w:after="0"/>
              <w:jc w:val="center"/>
              <w:rPr>
                <w:rFonts w:ascii="Verdana" w:hAnsi="Verdana" w:cstheme="minorHAnsi"/>
                <w:b/>
                <w:sz w:val="20"/>
                <w:szCs w:val="20"/>
                <w:lang w:val="es-ES_tradnl"/>
              </w:rPr>
            </w:pPr>
          </w:p>
          <w:p w14:paraId="43BB4728" w14:textId="77777777" w:rsidR="008A3B3E" w:rsidRDefault="008A3B3E" w:rsidP="008B0F5B">
            <w:pPr>
              <w:pStyle w:val="aaaIFTnormal"/>
              <w:spacing w:after="0"/>
              <w:jc w:val="center"/>
              <w:rPr>
                <w:rFonts w:ascii="Verdana" w:hAnsi="Verdana" w:cstheme="minorHAnsi"/>
                <w:b/>
                <w:sz w:val="20"/>
                <w:szCs w:val="20"/>
                <w:lang w:val="es-ES_tradnl"/>
              </w:rPr>
            </w:pPr>
          </w:p>
          <w:p w14:paraId="02A592BE" w14:textId="77777777" w:rsidR="008A3B3E" w:rsidRDefault="008A3B3E" w:rsidP="008B0F5B">
            <w:pPr>
              <w:pStyle w:val="aaaIFTnormal"/>
              <w:spacing w:after="0"/>
              <w:jc w:val="center"/>
              <w:rPr>
                <w:rFonts w:ascii="Verdana" w:hAnsi="Verdana" w:cstheme="minorHAnsi"/>
                <w:b/>
                <w:sz w:val="20"/>
                <w:szCs w:val="20"/>
                <w:lang w:val="es-ES_tradnl"/>
              </w:rPr>
            </w:pPr>
          </w:p>
          <w:p w14:paraId="24FB21E5" w14:textId="77777777" w:rsidR="008A3B3E" w:rsidRDefault="008A3B3E" w:rsidP="008B0F5B">
            <w:pPr>
              <w:pStyle w:val="aaaIFTnormal"/>
              <w:spacing w:after="0"/>
              <w:jc w:val="center"/>
              <w:rPr>
                <w:rFonts w:ascii="Verdana" w:hAnsi="Verdana" w:cstheme="minorHAnsi"/>
                <w:b/>
                <w:sz w:val="20"/>
                <w:szCs w:val="20"/>
                <w:lang w:val="es-ES_tradnl"/>
              </w:rPr>
            </w:pPr>
          </w:p>
          <w:p w14:paraId="515021BD" w14:textId="77777777" w:rsidR="008A3B3E" w:rsidRDefault="008A3B3E" w:rsidP="008B0F5B">
            <w:pPr>
              <w:pStyle w:val="aaaIFTnormal"/>
              <w:spacing w:after="0"/>
              <w:jc w:val="center"/>
              <w:rPr>
                <w:rFonts w:ascii="Verdana" w:hAnsi="Verdana" w:cstheme="minorHAnsi"/>
                <w:b/>
                <w:sz w:val="20"/>
                <w:szCs w:val="20"/>
                <w:lang w:val="es-ES_tradnl"/>
              </w:rPr>
            </w:pPr>
          </w:p>
          <w:p w14:paraId="0A2B2E73" w14:textId="77777777" w:rsidR="008A3B3E" w:rsidRDefault="008A3B3E" w:rsidP="008B0F5B">
            <w:pPr>
              <w:pStyle w:val="aaaIFTnormal"/>
              <w:spacing w:after="0"/>
              <w:jc w:val="center"/>
              <w:rPr>
                <w:rFonts w:ascii="Verdana" w:hAnsi="Verdana" w:cstheme="minorHAnsi"/>
                <w:b/>
                <w:sz w:val="20"/>
                <w:szCs w:val="20"/>
                <w:lang w:val="es-ES_tradnl"/>
              </w:rPr>
            </w:pPr>
          </w:p>
          <w:p w14:paraId="35A19CA3" w14:textId="77777777" w:rsidR="008A3B3E" w:rsidRDefault="008A3B3E" w:rsidP="008B0F5B">
            <w:pPr>
              <w:pStyle w:val="aaaIFTnormal"/>
              <w:spacing w:after="0"/>
              <w:jc w:val="center"/>
              <w:rPr>
                <w:rFonts w:ascii="Verdana" w:hAnsi="Verdana" w:cstheme="minorHAnsi"/>
                <w:b/>
                <w:sz w:val="20"/>
                <w:szCs w:val="20"/>
                <w:lang w:val="es-ES_tradnl"/>
              </w:rPr>
            </w:pPr>
          </w:p>
          <w:p w14:paraId="1402EF29" w14:textId="77777777" w:rsidR="008A3B3E" w:rsidRDefault="008A3B3E" w:rsidP="008B0F5B">
            <w:pPr>
              <w:pStyle w:val="aaaIFTnormal"/>
              <w:spacing w:after="0"/>
              <w:jc w:val="center"/>
              <w:rPr>
                <w:rFonts w:ascii="Verdana" w:hAnsi="Verdana" w:cstheme="minorHAnsi"/>
                <w:b/>
                <w:sz w:val="20"/>
                <w:szCs w:val="20"/>
                <w:lang w:val="es-ES_tradnl"/>
              </w:rPr>
            </w:pPr>
          </w:p>
          <w:p w14:paraId="4F9DB87B" w14:textId="77777777" w:rsidR="008A3B3E" w:rsidRPr="00DD6AF2" w:rsidRDefault="008A3B3E" w:rsidP="008B0F5B">
            <w:pPr>
              <w:pStyle w:val="aaaIFTnormal"/>
              <w:spacing w:after="0"/>
              <w:jc w:val="center"/>
              <w:rPr>
                <w:rFonts w:ascii="Verdana" w:hAnsi="Verdana" w:cstheme="minorHAnsi"/>
                <w:b/>
                <w:sz w:val="20"/>
                <w:szCs w:val="20"/>
                <w:lang w:val="es-ES_tradnl"/>
              </w:rPr>
            </w:pPr>
            <w:r>
              <w:rPr>
                <w:rFonts w:ascii="Verdana" w:hAnsi="Verdana" w:cstheme="minorHAnsi"/>
                <w:b/>
                <w:sz w:val="20"/>
                <w:szCs w:val="20"/>
                <w:lang w:val="es-ES_tradnl"/>
              </w:rPr>
              <w:t>E</w:t>
            </w:r>
            <w:r w:rsidRPr="008B0F5B">
              <w:rPr>
                <w:rFonts w:ascii="Verdana" w:hAnsi="Verdana" w:cstheme="minorHAnsi"/>
                <w:b/>
                <w:sz w:val="20"/>
                <w:szCs w:val="20"/>
                <w:lang w:val="es-ES_tradnl"/>
              </w:rPr>
              <w:t xml:space="preserve">ntrega </w:t>
            </w:r>
            <w:r>
              <w:rPr>
                <w:rFonts w:ascii="Verdana" w:hAnsi="Verdana" w:cstheme="minorHAnsi"/>
                <w:b/>
                <w:sz w:val="20"/>
                <w:szCs w:val="20"/>
                <w:lang w:val="es-ES_tradnl"/>
              </w:rPr>
              <w:t xml:space="preserve">de </w:t>
            </w:r>
            <w:r w:rsidRPr="008B0F5B">
              <w:rPr>
                <w:rFonts w:ascii="Verdana" w:hAnsi="Verdana" w:cstheme="minorHAnsi"/>
                <w:b/>
                <w:sz w:val="20"/>
                <w:szCs w:val="20"/>
                <w:lang w:val="es-ES_tradnl"/>
              </w:rPr>
              <w:t xml:space="preserve">la Constancia de No Interferencia </w:t>
            </w:r>
            <w:r w:rsidR="00FA343F">
              <w:rPr>
                <w:rFonts w:ascii="Verdana" w:hAnsi="Verdana" w:cstheme="minorHAnsi"/>
                <w:b/>
                <w:sz w:val="20"/>
                <w:szCs w:val="20"/>
                <w:lang w:val="es-ES_tradnl"/>
              </w:rPr>
              <w:t>(</w:t>
            </w:r>
            <w:r w:rsidRPr="008B0F5B">
              <w:rPr>
                <w:rFonts w:ascii="Verdana" w:hAnsi="Verdana" w:cstheme="minorHAnsi"/>
                <w:b/>
                <w:sz w:val="20"/>
                <w:szCs w:val="20"/>
                <w:lang w:val="es-ES_tradnl"/>
              </w:rPr>
              <w:t>CNI</w:t>
            </w:r>
            <w:r w:rsidR="00FA343F">
              <w:rPr>
                <w:rFonts w:ascii="Verdana" w:hAnsi="Verdana" w:cstheme="minorHAnsi"/>
                <w:b/>
                <w:sz w:val="20"/>
                <w:szCs w:val="20"/>
                <w:lang w:val="es-ES_tradnl"/>
              </w:rPr>
              <w:t>)</w:t>
            </w:r>
          </w:p>
        </w:tc>
        <w:tc>
          <w:tcPr>
            <w:tcW w:w="761" w:type="pct"/>
            <w:tcBorders>
              <w:top w:val="single" w:sz="4" w:space="0" w:color="auto"/>
              <w:left w:val="single" w:sz="4" w:space="0" w:color="auto"/>
              <w:bottom w:val="single" w:sz="4" w:space="0" w:color="auto"/>
              <w:right w:val="single" w:sz="4" w:space="0" w:color="auto"/>
            </w:tcBorders>
            <w:vAlign w:val="center"/>
          </w:tcPr>
          <w:p w14:paraId="70BB368D" w14:textId="77777777" w:rsidR="008A3B3E" w:rsidRPr="00B370AE" w:rsidRDefault="008A3B3E" w:rsidP="00B370AE">
            <w:pPr>
              <w:pStyle w:val="aaaIFTnormal"/>
              <w:spacing w:after="0"/>
              <w:ind w:left="5"/>
              <w:rPr>
                <w:rFonts w:ascii="Verdana" w:hAnsi="Verdana" w:cstheme="minorHAnsi"/>
                <w:b/>
                <w:sz w:val="20"/>
                <w:szCs w:val="20"/>
                <w:lang w:val="es-ES_tradnl"/>
              </w:rPr>
            </w:pPr>
            <w:bookmarkStart w:id="0" w:name="_Toc388972109"/>
            <w:bookmarkStart w:id="1" w:name="_Toc388869585"/>
            <w:bookmarkStart w:id="2" w:name="_Toc398890429"/>
            <w:bookmarkStart w:id="3" w:name="_Toc400610119"/>
            <w:bookmarkStart w:id="4" w:name="_Toc423018233"/>
            <w:bookmarkStart w:id="5" w:name="_Toc433915532"/>
            <w:bookmarkStart w:id="6" w:name="_Toc435555524"/>
            <w:bookmarkStart w:id="7" w:name="_Toc436229678"/>
            <w:bookmarkStart w:id="8" w:name="_Toc436230593"/>
            <w:bookmarkStart w:id="9" w:name="_Toc20138581"/>
            <w:bookmarkStart w:id="10" w:name="_Toc20147816"/>
            <w:bookmarkStart w:id="11" w:name="_Toc20148276"/>
            <w:bookmarkStart w:id="12" w:name="_Toc20152865"/>
            <w:bookmarkStart w:id="13" w:name="_Toc20153142"/>
            <w:bookmarkStart w:id="14" w:name="_Toc20157548"/>
            <w:bookmarkStart w:id="15" w:name="_Toc22919031"/>
            <w:bookmarkStart w:id="16" w:name="_Toc50574973"/>
            <w:bookmarkStart w:id="17" w:name="_Toc50984708"/>
            <w:bookmarkStart w:id="18" w:name="_Toc50985432"/>
            <w:bookmarkStart w:id="19" w:name="_Toc50985607"/>
            <w:bookmarkStart w:id="20" w:name="_Toc88580895"/>
            <w:r>
              <w:rPr>
                <w:rFonts w:ascii="Verdana" w:hAnsi="Verdana" w:cstheme="minorHAnsi"/>
                <w:b/>
                <w:sz w:val="20"/>
                <w:szCs w:val="20"/>
                <w:lang w:val="es-ES_tradnl"/>
              </w:rPr>
              <w:t xml:space="preserve">I. </w:t>
            </w:r>
            <w:r w:rsidRPr="00B370AE">
              <w:rPr>
                <w:rFonts w:ascii="Verdana" w:hAnsi="Verdana" w:cstheme="minorHAnsi"/>
                <w:b/>
                <w:sz w:val="20"/>
                <w:szCs w:val="20"/>
                <w:lang w:val="es-ES_tradnl"/>
              </w:rPr>
              <w:t>Introducción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14:paraId="63F34A15" w14:textId="213B1E8E" w:rsidR="009C0871" w:rsidRPr="00DD6AF2" w:rsidRDefault="009C0871" w:rsidP="009C0871">
            <w:pPr>
              <w:pStyle w:val="aaaIFTnormal"/>
              <w:spacing w:after="0"/>
              <w:jc w:val="left"/>
              <w:rPr>
                <w:rFonts w:ascii="Verdana" w:hAnsi="Verdana" w:cstheme="minorHAnsi"/>
                <w:sz w:val="20"/>
                <w:szCs w:val="20"/>
                <w:lang w:val="es-ES_tradnl"/>
              </w:rPr>
            </w:pPr>
            <w:r>
              <w:rPr>
                <w:rFonts w:ascii="Verdana" w:hAnsi="Verdana" w:cstheme="minorHAnsi"/>
                <w:sz w:val="20"/>
                <w:szCs w:val="20"/>
                <w:lang w:val="es-ES_tradnl"/>
              </w:rPr>
              <w:t>(Pág. 7)</w:t>
            </w:r>
          </w:p>
          <w:p w14:paraId="5928A054" w14:textId="77777777" w:rsidR="008A3B3E" w:rsidRPr="00053888" w:rsidRDefault="008A3B3E" w:rsidP="001938B4">
            <w:pPr>
              <w:pStyle w:val="aaaIFTnormal"/>
              <w:spacing w:after="0"/>
              <w:rPr>
                <w:rFonts w:ascii="Verdana" w:hAnsi="Verdana" w:cstheme="minorHAnsi"/>
                <w:b/>
                <w:sz w:val="20"/>
                <w:szCs w:val="20"/>
                <w:lang w:val="es-ES_tradnl"/>
              </w:rPr>
            </w:pPr>
          </w:p>
        </w:tc>
        <w:tc>
          <w:tcPr>
            <w:tcW w:w="1794" w:type="pct"/>
            <w:tcBorders>
              <w:top w:val="single" w:sz="4" w:space="0" w:color="auto"/>
              <w:left w:val="single" w:sz="4" w:space="0" w:color="auto"/>
              <w:bottom w:val="single" w:sz="4" w:space="0" w:color="auto"/>
              <w:right w:val="single" w:sz="4" w:space="0" w:color="auto"/>
            </w:tcBorders>
            <w:vAlign w:val="center"/>
          </w:tcPr>
          <w:p w14:paraId="069B9FF2" w14:textId="77777777" w:rsidR="008A3B3E" w:rsidRPr="00E3289D" w:rsidRDefault="008A3B3E" w:rsidP="00B370AE">
            <w:pPr>
              <w:pStyle w:val="IFTnormal"/>
              <w:spacing w:after="0"/>
              <w:ind w:left="8"/>
              <w:rPr>
                <w:rFonts w:ascii="Verdana" w:eastAsia="Times New Roman" w:hAnsi="Verdana" w:cstheme="minorHAnsi"/>
                <w:color w:val="000000"/>
                <w:sz w:val="20"/>
                <w:szCs w:val="20"/>
                <w:lang w:eastAsia="es-MX"/>
              </w:rPr>
            </w:pPr>
            <w:r w:rsidRPr="00E3289D">
              <w:rPr>
                <w:rFonts w:ascii="Verdana" w:eastAsia="Times New Roman" w:hAnsi="Verdana" w:cstheme="minorHAnsi"/>
                <w:color w:val="000000"/>
                <w:sz w:val="20"/>
                <w:szCs w:val="20"/>
                <w:lang w:eastAsia="es-MX"/>
              </w:rPr>
              <w:t xml:space="preserve">Adicionalmente, a efecto de garantizar la prestación de los servicios, se incluyen las actividades de apoyo contempladas para la eficiente y correcta instalación de los servicios en la infraestructura, las cuales son: </w:t>
            </w:r>
          </w:p>
          <w:p w14:paraId="1B53A9D5" w14:textId="77777777" w:rsidR="008A3B3E" w:rsidRPr="00E3289D" w:rsidRDefault="008A3B3E" w:rsidP="00B370AE">
            <w:pPr>
              <w:pStyle w:val="aaaIFTnormal"/>
              <w:spacing w:after="0"/>
              <w:rPr>
                <w:rFonts w:ascii="Verdana" w:hAnsi="Verdana" w:cs="Arial"/>
                <w:sz w:val="20"/>
                <w:szCs w:val="20"/>
                <w:lang w:val="es-ES_tradnl"/>
              </w:rPr>
            </w:pPr>
          </w:p>
          <w:p w14:paraId="73A71C94" w14:textId="77777777" w:rsidR="008A3B3E" w:rsidRPr="00E3289D" w:rsidRDefault="008A3B3E" w:rsidP="00B370AE">
            <w:pPr>
              <w:pStyle w:val="aaaIFTnormal"/>
              <w:numPr>
                <w:ilvl w:val="0"/>
                <w:numId w:val="10"/>
              </w:numPr>
              <w:spacing w:after="0"/>
              <w:ind w:left="292" w:hanging="357"/>
              <w:rPr>
                <w:rFonts w:ascii="Verdana" w:hAnsi="Verdana" w:cs="Arial"/>
                <w:sz w:val="20"/>
                <w:szCs w:val="20"/>
              </w:rPr>
            </w:pPr>
            <w:r w:rsidRPr="00E3289D">
              <w:rPr>
                <w:rFonts w:ascii="Verdana" w:hAnsi="Verdana" w:cs="Arial"/>
                <w:sz w:val="20"/>
                <w:szCs w:val="20"/>
                <w:lang w:val="es-ES_tradnl"/>
              </w:rPr>
              <w:t xml:space="preserve">Visita </w:t>
            </w:r>
            <w:r w:rsidRPr="00E3289D">
              <w:rPr>
                <w:rFonts w:ascii="Verdana" w:hAnsi="Verdana" w:cs="Arial"/>
                <w:sz w:val="20"/>
                <w:szCs w:val="20"/>
              </w:rPr>
              <w:t>Técnica,</w:t>
            </w:r>
          </w:p>
          <w:p w14:paraId="6D004F8D" w14:textId="77777777" w:rsidR="008A3B3E" w:rsidRPr="00E3289D" w:rsidRDefault="008A3B3E" w:rsidP="00B370AE">
            <w:pPr>
              <w:pStyle w:val="aaaIFTnormal"/>
              <w:numPr>
                <w:ilvl w:val="0"/>
                <w:numId w:val="10"/>
              </w:numPr>
              <w:spacing w:after="0"/>
              <w:ind w:left="292" w:hanging="357"/>
              <w:rPr>
                <w:rFonts w:ascii="Verdana" w:hAnsi="Verdana" w:cs="Arial"/>
                <w:sz w:val="20"/>
                <w:szCs w:val="20"/>
              </w:rPr>
            </w:pPr>
            <w:r w:rsidRPr="00E3289D">
              <w:rPr>
                <w:rFonts w:ascii="Verdana" w:hAnsi="Verdana" w:cs="Arial"/>
                <w:sz w:val="20"/>
                <w:szCs w:val="20"/>
              </w:rPr>
              <w:t xml:space="preserve">Análisis de Factibilidad </w:t>
            </w:r>
            <w:r w:rsidRPr="00E3289D">
              <w:rPr>
                <w:rFonts w:ascii="Verdana" w:hAnsi="Verdana" w:cs="Arial"/>
                <w:sz w:val="20"/>
                <w:szCs w:val="20"/>
                <w:lang w:val="es-ES_tradnl"/>
              </w:rPr>
              <w:t>(</w:t>
            </w:r>
            <w:r w:rsidRPr="00E3289D">
              <w:rPr>
                <w:rFonts w:ascii="Verdana" w:hAnsi="Verdana" w:cs="Arial"/>
                <w:strike/>
                <w:color w:val="0070C0"/>
                <w:sz w:val="20"/>
                <w:szCs w:val="20"/>
                <w:lang w:val="es-ES_tradnl"/>
              </w:rPr>
              <w:t>que puede incluir análisis de frecuencias,</w:t>
            </w:r>
            <w:r w:rsidRPr="00E3289D">
              <w:rPr>
                <w:rFonts w:ascii="Verdana" w:hAnsi="Verdana" w:cs="Arial"/>
                <w:color w:val="0070C0"/>
                <w:sz w:val="20"/>
                <w:szCs w:val="20"/>
                <w:lang w:val="es-ES_tradnl"/>
              </w:rPr>
              <w:t xml:space="preserve"> </w:t>
            </w:r>
            <w:r w:rsidRPr="00E3289D">
              <w:rPr>
                <w:rFonts w:ascii="Verdana" w:hAnsi="Verdana" w:cs="Arial"/>
                <w:sz w:val="20"/>
                <w:szCs w:val="20"/>
                <w:lang w:val="es-ES_tradnl"/>
              </w:rPr>
              <w:t>espacio en torres, fuerza y clima, y/o análisis en piso)</w:t>
            </w:r>
            <w:r w:rsidRPr="00E3289D">
              <w:rPr>
                <w:rFonts w:ascii="Verdana" w:hAnsi="Verdana" w:cs="Arial"/>
                <w:sz w:val="20"/>
                <w:szCs w:val="20"/>
              </w:rPr>
              <w:t>, y</w:t>
            </w:r>
          </w:p>
          <w:p w14:paraId="4553C9DE" w14:textId="6A5874E1" w:rsidR="008A3B3E" w:rsidRPr="00FB2882" w:rsidRDefault="008A3B3E" w:rsidP="001938B4">
            <w:pPr>
              <w:pStyle w:val="aaaIFTnormal"/>
              <w:numPr>
                <w:ilvl w:val="0"/>
                <w:numId w:val="10"/>
              </w:numPr>
              <w:spacing w:after="0"/>
              <w:ind w:left="292" w:hanging="357"/>
              <w:rPr>
                <w:rFonts w:ascii="Verdana" w:hAnsi="Verdana" w:cs="Arial"/>
                <w:sz w:val="20"/>
                <w:szCs w:val="20"/>
                <w:lang w:val="es-ES_tradnl"/>
              </w:rPr>
            </w:pPr>
            <w:r w:rsidRPr="00E3289D">
              <w:rPr>
                <w:rFonts w:ascii="Verdana" w:hAnsi="Verdana" w:cs="Arial"/>
                <w:sz w:val="20"/>
                <w:szCs w:val="20"/>
              </w:rPr>
              <w:t>Verificación.</w:t>
            </w:r>
          </w:p>
        </w:tc>
        <w:tc>
          <w:tcPr>
            <w:tcW w:w="1576" w:type="pct"/>
            <w:vMerge w:val="restart"/>
            <w:tcBorders>
              <w:top w:val="single" w:sz="4" w:space="0" w:color="auto"/>
              <w:left w:val="single" w:sz="4" w:space="0" w:color="auto"/>
              <w:right w:val="single" w:sz="4" w:space="0" w:color="auto"/>
            </w:tcBorders>
          </w:tcPr>
          <w:p w14:paraId="4A7691E4" w14:textId="77777777" w:rsidR="0060097A" w:rsidRDefault="000B1DA7" w:rsidP="002750D3">
            <w:pPr>
              <w:pStyle w:val="aaaIFTnormal"/>
              <w:spacing w:after="0"/>
              <w:ind w:left="113" w:right="57"/>
              <w:rPr>
                <w:rFonts w:ascii="Verdana" w:hAnsi="Verdana" w:cstheme="minorHAnsi"/>
                <w:sz w:val="20"/>
                <w:szCs w:val="20"/>
                <w:lang w:val="es-ES_tradnl"/>
              </w:rPr>
            </w:pPr>
            <w:r>
              <w:rPr>
                <w:rFonts w:ascii="Verdana" w:hAnsi="Verdana" w:cstheme="minorHAnsi"/>
                <w:sz w:val="20"/>
                <w:szCs w:val="20"/>
                <w:lang w:val="es-ES_tradnl"/>
              </w:rPr>
              <w:t xml:space="preserve">Se solicita </w:t>
            </w:r>
            <w:r w:rsidRPr="000B1DA7">
              <w:rPr>
                <w:rFonts w:ascii="Verdana" w:hAnsi="Verdana" w:cstheme="minorHAnsi"/>
                <w:sz w:val="20"/>
                <w:szCs w:val="20"/>
                <w:lang w:val="es-ES_tradnl"/>
              </w:rPr>
              <w:t xml:space="preserve"> al Instituto la inclusión de la presente modificación, </w:t>
            </w:r>
            <w:r w:rsidR="0060097A">
              <w:rPr>
                <w:rFonts w:ascii="Verdana" w:hAnsi="Verdana" w:cstheme="minorHAnsi"/>
                <w:sz w:val="20"/>
                <w:szCs w:val="20"/>
                <w:lang w:val="es-ES_tradnl"/>
              </w:rPr>
              <w:t>en virtud de lo siguiente:</w:t>
            </w:r>
          </w:p>
          <w:p w14:paraId="0773282E" w14:textId="77777777" w:rsidR="0060097A" w:rsidRDefault="0060097A" w:rsidP="002750D3">
            <w:pPr>
              <w:pStyle w:val="aaaIFTnormal"/>
              <w:spacing w:after="0"/>
              <w:ind w:left="113" w:right="57"/>
              <w:rPr>
                <w:rFonts w:ascii="Verdana" w:hAnsi="Verdana" w:cstheme="minorHAnsi"/>
                <w:sz w:val="20"/>
                <w:szCs w:val="20"/>
                <w:lang w:val="es-ES_tradnl"/>
              </w:rPr>
            </w:pPr>
          </w:p>
          <w:p w14:paraId="3D334999" w14:textId="66E739DC" w:rsidR="005B0E4F" w:rsidRDefault="00F200FA" w:rsidP="005B0E4F">
            <w:pPr>
              <w:pStyle w:val="aaaIFTnormal"/>
              <w:spacing w:after="0"/>
              <w:ind w:left="113" w:right="57"/>
            </w:pPr>
            <w:r>
              <w:rPr>
                <w:rFonts w:ascii="Verdana" w:hAnsi="Verdana" w:cstheme="minorHAnsi"/>
                <w:sz w:val="20"/>
                <w:szCs w:val="20"/>
                <w:lang w:val="es-ES_tradnl"/>
              </w:rPr>
              <w:t>Los</w:t>
            </w:r>
            <w:r w:rsidR="005B0E4F" w:rsidRPr="00A9722B">
              <w:rPr>
                <w:rFonts w:ascii="Verdana" w:hAnsi="Verdana" w:cstheme="minorHAnsi"/>
                <w:sz w:val="20"/>
                <w:szCs w:val="20"/>
                <w:lang w:val="es-ES_tradnl"/>
              </w:rPr>
              <w:t xml:space="preserve"> CS, entregan ya la Constancia de No Interferencia (CNI), por lo tanto, es redundante dedicar recursos a elaborar un análisis que ya está contemplado en la regulación vigente</w:t>
            </w:r>
            <w:r w:rsidR="00306491">
              <w:rPr>
                <w:rFonts w:ascii="Verdana" w:hAnsi="Verdana" w:cstheme="minorHAnsi"/>
                <w:sz w:val="20"/>
                <w:szCs w:val="20"/>
                <w:lang w:val="es-ES_tradnl"/>
              </w:rPr>
              <w:t>.</w:t>
            </w:r>
            <w:r w:rsidR="005B0E4F" w:rsidRPr="00A9722B">
              <w:rPr>
                <w:rFonts w:ascii="Verdana" w:hAnsi="Verdana" w:cstheme="minorHAnsi"/>
                <w:sz w:val="20"/>
                <w:szCs w:val="20"/>
                <w:lang w:val="es-ES_tradnl"/>
              </w:rPr>
              <w:t xml:space="preserve"> </w:t>
            </w:r>
          </w:p>
          <w:p w14:paraId="7D2D517F" w14:textId="77777777" w:rsidR="0060097A" w:rsidRDefault="0060097A" w:rsidP="00D04867">
            <w:pPr>
              <w:pStyle w:val="aaaIFTnormal"/>
              <w:spacing w:after="0"/>
              <w:ind w:right="57"/>
            </w:pPr>
          </w:p>
          <w:p w14:paraId="024B5B12" w14:textId="23C63AB2" w:rsidR="0060097A" w:rsidRPr="00A9722B" w:rsidRDefault="0060097A" w:rsidP="0060097A">
            <w:pPr>
              <w:pStyle w:val="aaaIFTnormal"/>
              <w:spacing w:after="0"/>
              <w:ind w:left="113" w:right="57"/>
              <w:rPr>
                <w:rFonts w:ascii="Verdana" w:hAnsi="Verdana" w:cstheme="minorHAnsi"/>
                <w:sz w:val="20"/>
                <w:szCs w:val="20"/>
                <w:lang w:val="es-ES_tradnl"/>
              </w:rPr>
            </w:pPr>
            <w:r w:rsidRPr="00A9722B">
              <w:rPr>
                <w:rFonts w:ascii="Verdana" w:hAnsi="Verdana" w:cstheme="minorHAnsi"/>
                <w:sz w:val="20"/>
                <w:szCs w:val="20"/>
                <w:lang w:val="es-ES_tradnl"/>
              </w:rPr>
              <w:t xml:space="preserve">Es importante destacar que </w:t>
            </w:r>
            <w:r w:rsidR="005B0E4F" w:rsidRPr="00A9722B">
              <w:rPr>
                <w:rFonts w:ascii="Verdana" w:hAnsi="Verdana" w:cstheme="minorHAnsi"/>
                <w:sz w:val="20"/>
                <w:szCs w:val="20"/>
                <w:lang w:val="es-ES_tradnl"/>
              </w:rPr>
              <w:t xml:space="preserve">Telmex / Telnor </w:t>
            </w:r>
            <w:r w:rsidRPr="00A9722B">
              <w:rPr>
                <w:rFonts w:ascii="Verdana" w:hAnsi="Verdana" w:cstheme="minorHAnsi"/>
                <w:sz w:val="20"/>
                <w:szCs w:val="20"/>
                <w:lang w:val="es-ES_tradnl"/>
              </w:rPr>
              <w:t xml:space="preserve">no </w:t>
            </w:r>
            <w:r w:rsidR="005B0E4F" w:rsidRPr="00A9722B">
              <w:rPr>
                <w:rFonts w:ascii="Verdana" w:hAnsi="Verdana" w:cstheme="minorHAnsi"/>
                <w:sz w:val="20"/>
                <w:szCs w:val="20"/>
                <w:lang w:val="es-ES_tradnl"/>
              </w:rPr>
              <w:t>deben de</w:t>
            </w:r>
            <w:r w:rsidRPr="00A9722B">
              <w:rPr>
                <w:rFonts w:ascii="Verdana" w:hAnsi="Verdana" w:cstheme="minorHAnsi"/>
                <w:sz w:val="20"/>
                <w:szCs w:val="20"/>
                <w:lang w:val="es-ES_tradnl"/>
              </w:rPr>
              <w:t xml:space="preserve"> actuar como juez y parte en este proceso, ya que ello podría generar conflictos de interés que perjudiquen el servicio del cliente. </w:t>
            </w:r>
          </w:p>
          <w:p w14:paraId="192F68DC" w14:textId="77777777" w:rsidR="0060097A" w:rsidRPr="00A9722B" w:rsidRDefault="0060097A" w:rsidP="00A9722B">
            <w:pPr>
              <w:pStyle w:val="aaaIFTnormal"/>
              <w:spacing w:after="0"/>
              <w:ind w:right="57"/>
              <w:rPr>
                <w:rFonts w:ascii="Verdana" w:hAnsi="Verdana" w:cstheme="minorHAnsi"/>
                <w:sz w:val="20"/>
                <w:szCs w:val="20"/>
                <w:lang w:val="es-ES_tradnl"/>
              </w:rPr>
            </w:pPr>
          </w:p>
          <w:p w14:paraId="190046BD" w14:textId="4D82F4A2" w:rsidR="0060097A" w:rsidRDefault="0060097A" w:rsidP="0060097A">
            <w:pPr>
              <w:pStyle w:val="aaaIFTnormal"/>
              <w:spacing w:after="0"/>
              <w:ind w:left="113" w:right="57"/>
              <w:rPr>
                <w:rFonts w:ascii="Verdana" w:hAnsi="Verdana" w:cstheme="minorHAnsi"/>
                <w:sz w:val="20"/>
                <w:szCs w:val="20"/>
                <w:lang w:val="es-ES_tradnl"/>
              </w:rPr>
            </w:pPr>
            <w:r w:rsidRPr="00A9722B">
              <w:rPr>
                <w:rFonts w:ascii="Verdana" w:hAnsi="Verdana" w:cstheme="minorHAnsi"/>
                <w:sz w:val="20"/>
                <w:szCs w:val="20"/>
                <w:lang w:val="es-ES_tradnl"/>
              </w:rPr>
              <w:t xml:space="preserve">Como </w:t>
            </w:r>
            <w:r w:rsidR="002167AE" w:rsidRPr="00A9722B">
              <w:rPr>
                <w:rFonts w:ascii="Verdana" w:hAnsi="Verdana" w:cstheme="minorHAnsi"/>
                <w:sz w:val="20"/>
                <w:szCs w:val="20"/>
                <w:lang w:val="es-ES_tradnl"/>
              </w:rPr>
              <w:t xml:space="preserve">se </w:t>
            </w:r>
            <w:r w:rsidRPr="00A9722B">
              <w:rPr>
                <w:rFonts w:ascii="Verdana" w:hAnsi="Verdana" w:cstheme="minorHAnsi"/>
                <w:sz w:val="20"/>
                <w:szCs w:val="20"/>
                <w:lang w:val="es-ES_tradnl"/>
              </w:rPr>
              <w:t>establece</w:t>
            </w:r>
            <w:r w:rsidR="002167AE" w:rsidRPr="00A9722B">
              <w:rPr>
                <w:rFonts w:ascii="Verdana" w:hAnsi="Verdana" w:cstheme="minorHAnsi"/>
                <w:sz w:val="20"/>
                <w:szCs w:val="20"/>
                <w:lang w:val="es-ES_tradnl"/>
              </w:rPr>
              <w:t xml:space="preserve"> en</w:t>
            </w:r>
            <w:r w:rsidRPr="00A9722B">
              <w:rPr>
                <w:rFonts w:ascii="Verdana" w:hAnsi="Verdana" w:cstheme="minorHAnsi"/>
                <w:sz w:val="20"/>
                <w:szCs w:val="20"/>
                <w:lang w:val="es-ES_tradnl"/>
              </w:rPr>
              <w:t xml:space="preserve"> </w:t>
            </w:r>
            <w:r w:rsidR="00940CEC">
              <w:rPr>
                <w:rFonts w:ascii="Verdana" w:hAnsi="Verdana" w:cstheme="minorHAnsi"/>
                <w:sz w:val="20"/>
                <w:szCs w:val="20"/>
                <w:lang w:val="es-ES_tradnl"/>
              </w:rPr>
              <w:t xml:space="preserve">el Acuerdo mediante el cual el Pleno del </w:t>
            </w:r>
            <w:proofErr w:type="spellStart"/>
            <w:r w:rsidR="00940CEC">
              <w:rPr>
                <w:rFonts w:ascii="Verdana" w:hAnsi="Verdana" w:cstheme="minorHAnsi"/>
                <w:sz w:val="20"/>
                <w:szCs w:val="20"/>
                <w:lang w:val="es-ES_tradnl"/>
              </w:rPr>
              <w:t>IFT</w:t>
            </w:r>
            <w:proofErr w:type="spellEnd"/>
            <w:r w:rsidR="00940CEC">
              <w:rPr>
                <w:rFonts w:ascii="Verdana" w:hAnsi="Verdana" w:cstheme="minorHAnsi"/>
                <w:sz w:val="20"/>
                <w:szCs w:val="20"/>
                <w:lang w:val="es-ES_tradnl"/>
              </w:rPr>
              <w:t xml:space="preserve"> emitió </w:t>
            </w:r>
            <w:r w:rsidR="002167AE" w:rsidRPr="00A9722B">
              <w:rPr>
                <w:rFonts w:ascii="Verdana" w:hAnsi="Verdana" w:cstheme="minorHAnsi"/>
                <w:sz w:val="20"/>
                <w:szCs w:val="20"/>
                <w:lang w:val="es-ES_tradnl"/>
              </w:rPr>
              <w:t>los Lineamientos para el registro de Radioenlaces Fijos</w:t>
            </w:r>
            <w:r w:rsidRPr="00A9722B">
              <w:rPr>
                <w:rFonts w:ascii="Verdana" w:hAnsi="Verdana" w:cstheme="minorHAnsi"/>
                <w:sz w:val="20"/>
                <w:szCs w:val="20"/>
                <w:lang w:val="es-ES_tradnl"/>
              </w:rPr>
              <w:t xml:space="preserve">, el Instituto está facultado para </w:t>
            </w:r>
            <w:r w:rsidR="002167AE" w:rsidRPr="00A9722B">
              <w:rPr>
                <w:rFonts w:ascii="Verdana" w:hAnsi="Verdana" w:cstheme="minorHAnsi"/>
                <w:sz w:val="20"/>
                <w:szCs w:val="20"/>
                <w:lang w:val="es-ES_tradnl"/>
              </w:rPr>
              <w:t>emitir</w:t>
            </w:r>
            <w:r w:rsidRPr="00A9722B">
              <w:rPr>
                <w:rFonts w:ascii="Verdana" w:hAnsi="Verdana" w:cstheme="minorHAnsi"/>
                <w:sz w:val="20"/>
                <w:szCs w:val="20"/>
                <w:lang w:val="es-ES_tradnl"/>
              </w:rPr>
              <w:t xml:space="preserve"> la</w:t>
            </w:r>
            <w:r w:rsidR="002167AE" w:rsidRPr="00A9722B">
              <w:rPr>
                <w:rFonts w:ascii="Verdana" w:hAnsi="Verdana" w:cstheme="minorHAnsi"/>
                <w:sz w:val="20"/>
                <w:szCs w:val="20"/>
                <w:lang w:val="es-ES_tradnl"/>
              </w:rPr>
              <w:t>s Constancias de No Interferencia</w:t>
            </w:r>
            <w:r w:rsidR="00940CEC">
              <w:rPr>
                <w:rFonts w:ascii="Verdana" w:hAnsi="Verdana" w:cstheme="minorHAnsi"/>
                <w:sz w:val="20"/>
                <w:szCs w:val="20"/>
                <w:lang w:val="es-ES_tradnl"/>
              </w:rPr>
              <w:t xml:space="preserve"> o en su caso, las Empresas Certificadoras autorizadas por el propio </w:t>
            </w:r>
            <w:proofErr w:type="spellStart"/>
            <w:r w:rsidR="00940CEC">
              <w:rPr>
                <w:rFonts w:ascii="Verdana" w:hAnsi="Verdana" w:cstheme="minorHAnsi"/>
                <w:sz w:val="20"/>
                <w:szCs w:val="20"/>
                <w:lang w:val="es-ES_tradnl"/>
              </w:rPr>
              <w:t>IFT</w:t>
            </w:r>
            <w:proofErr w:type="spellEnd"/>
            <w:r w:rsidRPr="00A9722B">
              <w:rPr>
                <w:rFonts w:ascii="Verdana" w:hAnsi="Verdana" w:cstheme="minorHAnsi"/>
                <w:sz w:val="20"/>
                <w:szCs w:val="20"/>
                <w:lang w:val="es-ES_tradnl"/>
              </w:rPr>
              <w:t>. Esta disposición permite que expertos especializados realicen esta evaluación, garantizando que se realicen con los estándares adecuados, sin que Telmex tenga que intervenir en este proceso.</w:t>
            </w:r>
          </w:p>
          <w:p w14:paraId="53284931" w14:textId="77777777" w:rsidR="00940CEC" w:rsidRDefault="00940CEC" w:rsidP="0060097A">
            <w:pPr>
              <w:pStyle w:val="aaaIFTnormal"/>
              <w:spacing w:after="0"/>
              <w:ind w:left="113" w:right="57"/>
              <w:rPr>
                <w:rFonts w:ascii="Verdana" w:hAnsi="Verdana" w:cstheme="minorHAnsi"/>
                <w:sz w:val="20"/>
                <w:szCs w:val="20"/>
                <w:lang w:val="es-ES_tradnl"/>
              </w:rPr>
            </w:pPr>
          </w:p>
          <w:p w14:paraId="7650BE14" w14:textId="3A3A1F80" w:rsidR="00940CEC" w:rsidRPr="00940CEC" w:rsidRDefault="00940CEC" w:rsidP="00940CEC">
            <w:pPr>
              <w:pStyle w:val="aaaIFTnormal"/>
              <w:spacing w:after="0"/>
              <w:ind w:left="113" w:right="57"/>
              <w:rPr>
                <w:rFonts w:ascii="Verdana" w:hAnsi="Verdana" w:cstheme="minorHAnsi"/>
                <w:sz w:val="20"/>
                <w:szCs w:val="20"/>
                <w:lang w:val="es-ES_tradnl"/>
              </w:rPr>
            </w:pPr>
            <w:r>
              <w:rPr>
                <w:rFonts w:ascii="Verdana" w:hAnsi="Verdana" w:cstheme="minorHAnsi"/>
                <w:sz w:val="20"/>
                <w:szCs w:val="20"/>
                <w:lang w:val="es-ES_tradnl"/>
              </w:rPr>
              <w:t xml:space="preserve">En este sentido, dicho </w:t>
            </w:r>
            <w:r w:rsidRPr="00940CEC">
              <w:rPr>
                <w:rFonts w:ascii="Verdana" w:hAnsi="Verdana" w:cstheme="minorHAnsi"/>
                <w:sz w:val="20"/>
                <w:szCs w:val="20"/>
                <w:lang w:val="es-ES_tradnl"/>
              </w:rPr>
              <w:t>ACUERDO establece en el transitorio segundo que:</w:t>
            </w:r>
          </w:p>
          <w:p w14:paraId="1298F450" w14:textId="77777777" w:rsidR="00940CEC" w:rsidRPr="00940CEC" w:rsidRDefault="00940CEC" w:rsidP="00940CEC">
            <w:pPr>
              <w:pStyle w:val="aaaIFTnormal"/>
              <w:spacing w:after="0"/>
              <w:ind w:left="113" w:right="57"/>
              <w:rPr>
                <w:rFonts w:ascii="Verdana" w:hAnsi="Verdana" w:cstheme="minorHAnsi"/>
                <w:sz w:val="20"/>
                <w:szCs w:val="20"/>
                <w:lang w:val="es-ES_tradnl"/>
              </w:rPr>
            </w:pPr>
          </w:p>
          <w:p w14:paraId="10E15C09" w14:textId="646E8E2E" w:rsidR="00940CEC" w:rsidRPr="005C42A6" w:rsidRDefault="00940CEC" w:rsidP="00940CEC">
            <w:pPr>
              <w:pStyle w:val="aaaIFTnormal"/>
              <w:spacing w:after="0"/>
              <w:ind w:left="113" w:right="57"/>
              <w:rPr>
                <w:rFonts w:ascii="Verdana" w:hAnsi="Verdana" w:cstheme="minorHAnsi"/>
                <w:i/>
                <w:sz w:val="20"/>
                <w:szCs w:val="20"/>
                <w:lang w:val="es-ES_tradnl"/>
              </w:rPr>
            </w:pPr>
            <w:r w:rsidRPr="005C42A6">
              <w:rPr>
                <w:rFonts w:ascii="Verdana" w:hAnsi="Verdana" w:cstheme="minorHAnsi"/>
                <w:i/>
                <w:sz w:val="20"/>
                <w:szCs w:val="20"/>
                <w:lang w:val="es-ES_tradnl"/>
              </w:rPr>
              <w:t>“Hasta en tanto se encuentre en funcionamiento el Módulo, los Concesionarios deberán gestionar la expedición de las Constancias de No Interferencia de los Radioenlaces Fijos que deseen instalar y operar, así como, modificar o cancelar enlaces, ante alguna de las Empresas Certificadoras autorizadas por el Instituto para tal propósito.</w:t>
            </w:r>
            <w:r>
              <w:rPr>
                <w:rFonts w:ascii="Verdana" w:hAnsi="Verdana" w:cstheme="minorHAnsi"/>
                <w:i/>
                <w:sz w:val="20"/>
                <w:szCs w:val="20"/>
                <w:lang w:val="es-ES_tradnl"/>
              </w:rPr>
              <w:t>”</w:t>
            </w:r>
          </w:p>
          <w:p w14:paraId="309476E0" w14:textId="77777777" w:rsidR="00940CEC" w:rsidRPr="00940CEC" w:rsidRDefault="00940CEC" w:rsidP="00940CEC">
            <w:pPr>
              <w:pStyle w:val="aaaIFTnormal"/>
              <w:spacing w:after="0"/>
              <w:ind w:left="113" w:right="57"/>
              <w:rPr>
                <w:rFonts w:ascii="Verdana" w:hAnsi="Verdana" w:cstheme="minorHAnsi"/>
                <w:sz w:val="20"/>
                <w:szCs w:val="20"/>
                <w:lang w:val="es-ES_tradnl"/>
              </w:rPr>
            </w:pPr>
          </w:p>
          <w:p w14:paraId="4AA12C4B" w14:textId="77777777" w:rsidR="00940CEC" w:rsidRPr="00940CEC" w:rsidRDefault="00940CEC" w:rsidP="00940CEC">
            <w:pPr>
              <w:pStyle w:val="aaaIFTnormal"/>
              <w:spacing w:after="0"/>
              <w:ind w:left="113" w:right="57"/>
              <w:rPr>
                <w:rFonts w:ascii="Verdana" w:hAnsi="Verdana" w:cstheme="minorHAnsi"/>
                <w:sz w:val="20"/>
                <w:szCs w:val="20"/>
                <w:lang w:val="es-ES_tradnl"/>
              </w:rPr>
            </w:pPr>
            <w:r w:rsidRPr="00940CEC">
              <w:rPr>
                <w:rFonts w:ascii="Verdana" w:hAnsi="Verdana" w:cstheme="minorHAnsi"/>
                <w:sz w:val="20"/>
                <w:szCs w:val="20"/>
                <w:lang w:val="es-ES_tradnl"/>
              </w:rPr>
              <w:t>Así mismo el numeral III) inciso e) del transitorio segundo, establece que:</w:t>
            </w:r>
          </w:p>
          <w:p w14:paraId="242D0693" w14:textId="77777777" w:rsidR="00940CEC" w:rsidRPr="005C42A6" w:rsidRDefault="00940CEC" w:rsidP="00940CEC">
            <w:pPr>
              <w:pStyle w:val="aaaIFTnormal"/>
              <w:spacing w:after="0"/>
              <w:ind w:left="113" w:right="57"/>
              <w:rPr>
                <w:rFonts w:ascii="Verdana" w:hAnsi="Verdana" w:cstheme="minorHAnsi"/>
                <w:i/>
                <w:sz w:val="20"/>
                <w:szCs w:val="20"/>
                <w:lang w:val="es-ES_tradnl"/>
              </w:rPr>
            </w:pPr>
          </w:p>
          <w:p w14:paraId="6E61FA42" w14:textId="1166638F" w:rsidR="00940CEC" w:rsidRPr="005C42A6" w:rsidRDefault="00940CEC" w:rsidP="00940CEC">
            <w:pPr>
              <w:pStyle w:val="aaaIFTnormal"/>
              <w:spacing w:after="0"/>
              <w:ind w:left="113" w:right="57"/>
              <w:rPr>
                <w:rFonts w:ascii="Verdana" w:hAnsi="Verdana" w:cstheme="minorHAnsi"/>
                <w:i/>
                <w:sz w:val="20"/>
                <w:szCs w:val="20"/>
                <w:lang w:val="es-ES_tradnl"/>
              </w:rPr>
            </w:pPr>
            <w:r w:rsidRPr="005C42A6">
              <w:rPr>
                <w:rFonts w:ascii="Verdana" w:hAnsi="Verdana" w:cstheme="minorHAnsi"/>
                <w:i/>
                <w:sz w:val="20"/>
                <w:szCs w:val="20"/>
                <w:lang w:val="es-ES_tradnl"/>
              </w:rPr>
              <w:t>“Para tal efecto, en el portal de Internet del Instituto se publicará el listado de las Empresa Certificadoras autorizada por la Unidad de Concesiones y Servicios.</w:t>
            </w:r>
            <w:r>
              <w:rPr>
                <w:rFonts w:ascii="Verdana" w:hAnsi="Verdana" w:cstheme="minorHAnsi"/>
                <w:i/>
                <w:sz w:val="20"/>
                <w:szCs w:val="20"/>
                <w:lang w:val="es-ES_tradnl"/>
              </w:rPr>
              <w:t>”</w:t>
            </w:r>
          </w:p>
          <w:p w14:paraId="5D4E7271" w14:textId="77777777" w:rsidR="00940CEC" w:rsidRPr="00A9722B" w:rsidRDefault="00940CEC" w:rsidP="0060097A">
            <w:pPr>
              <w:pStyle w:val="aaaIFTnormal"/>
              <w:spacing w:after="0"/>
              <w:ind w:left="113" w:right="57"/>
              <w:rPr>
                <w:rFonts w:ascii="Verdana" w:hAnsi="Verdana" w:cstheme="minorHAnsi"/>
                <w:sz w:val="20"/>
                <w:szCs w:val="20"/>
                <w:lang w:val="es-ES_tradnl"/>
              </w:rPr>
            </w:pPr>
          </w:p>
          <w:p w14:paraId="101799FE" w14:textId="0421C809" w:rsidR="0060097A" w:rsidRPr="00A9722B" w:rsidRDefault="0060097A" w:rsidP="00A9722B">
            <w:pPr>
              <w:pStyle w:val="aaaIFTnormal"/>
              <w:spacing w:after="0"/>
              <w:ind w:left="113" w:right="57"/>
              <w:rPr>
                <w:rFonts w:ascii="Verdana" w:hAnsi="Verdana" w:cstheme="minorHAnsi"/>
                <w:sz w:val="20"/>
                <w:szCs w:val="20"/>
                <w:lang w:val="es-ES_tradnl"/>
              </w:rPr>
            </w:pPr>
            <w:r w:rsidRPr="00A9722B">
              <w:rPr>
                <w:rFonts w:ascii="Verdana" w:hAnsi="Verdana" w:cstheme="minorHAnsi"/>
                <w:sz w:val="20"/>
                <w:szCs w:val="20"/>
                <w:lang w:val="es-ES_tradnl"/>
              </w:rPr>
              <w:t xml:space="preserve">Finalmente, es fundamental recordar que Telmex no está facultado para emitir las Constancias de No Interferencia. Por lo tanto, la entrega de un análisis de frecuencia por parte de </w:t>
            </w:r>
            <w:r w:rsidR="00286F13">
              <w:rPr>
                <w:rFonts w:ascii="Verdana" w:hAnsi="Verdana" w:cstheme="minorHAnsi"/>
                <w:sz w:val="20"/>
                <w:szCs w:val="20"/>
                <w:lang w:val="es-ES_tradnl"/>
              </w:rPr>
              <w:t xml:space="preserve">mis </w:t>
            </w:r>
            <w:proofErr w:type="gramStart"/>
            <w:r w:rsidR="00286F13">
              <w:rPr>
                <w:rFonts w:ascii="Verdana" w:hAnsi="Verdana" w:cstheme="minorHAnsi"/>
                <w:sz w:val="20"/>
                <w:szCs w:val="20"/>
                <w:lang w:val="es-ES_tradnl"/>
              </w:rPr>
              <w:t>mandantes,</w:t>
            </w:r>
            <w:proofErr w:type="gramEnd"/>
            <w:r w:rsidRPr="00A9722B">
              <w:rPr>
                <w:rFonts w:ascii="Verdana" w:hAnsi="Verdana" w:cstheme="minorHAnsi"/>
                <w:sz w:val="20"/>
                <w:szCs w:val="20"/>
                <w:lang w:val="es-ES_tradnl"/>
              </w:rPr>
              <w:t xml:space="preserve"> no solo es innecesaria, sino que también podría generar confusiones respecto a las competencias y responsabilidades en el ámbito regulatorio</w:t>
            </w:r>
            <w:r w:rsidR="00286F13">
              <w:rPr>
                <w:rFonts w:ascii="Verdana" w:hAnsi="Verdana" w:cstheme="minorHAnsi"/>
                <w:sz w:val="20"/>
                <w:szCs w:val="20"/>
                <w:lang w:val="es-ES_tradnl"/>
              </w:rPr>
              <w:t xml:space="preserve">, </w:t>
            </w:r>
            <w:r w:rsidR="00286F13" w:rsidRPr="00286F13">
              <w:rPr>
                <w:rFonts w:ascii="Verdana" w:hAnsi="Verdana" w:cstheme="minorHAnsi"/>
                <w:sz w:val="20"/>
                <w:szCs w:val="20"/>
                <w:lang w:val="es-ES_tradnl"/>
              </w:rPr>
              <w:t xml:space="preserve">particularmente cuando el resultado de su </w:t>
            </w:r>
            <w:r w:rsidR="00286F13">
              <w:rPr>
                <w:rFonts w:ascii="Verdana" w:hAnsi="Verdana" w:cstheme="minorHAnsi"/>
                <w:sz w:val="20"/>
                <w:szCs w:val="20"/>
                <w:lang w:val="es-ES_tradnl"/>
              </w:rPr>
              <w:t>A</w:t>
            </w:r>
            <w:r w:rsidR="00286F13" w:rsidRPr="00286F13">
              <w:rPr>
                <w:rFonts w:ascii="Verdana" w:hAnsi="Verdana" w:cstheme="minorHAnsi"/>
                <w:sz w:val="20"/>
                <w:szCs w:val="20"/>
                <w:lang w:val="es-ES_tradnl"/>
              </w:rPr>
              <w:t>nálisis</w:t>
            </w:r>
            <w:r w:rsidR="00286F13">
              <w:rPr>
                <w:rFonts w:ascii="Verdana" w:hAnsi="Verdana" w:cstheme="minorHAnsi"/>
                <w:sz w:val="20"/>
                <w:szCs w:val="20"/>
                <w:lang w:val="es-ES_tradnl"/>
              </w:rPr>
              <w:t xml:space="preserve"> de Factibilidad</w:t>
            </w:r>
            <w:r w:rsidR="00286F13" w:rsidRPr="00286F13">
              <w:rPr>
                <w:rFonts w:ascii="Verdana" w:hAnsi="Verdana" w:cstheme="minorHAnsi"/>
                <w:sz w:val="20"/>
                <w:szCs w:val="20"/>
                <w:lang w:val="es-ES_tradnl"/>
              </w:rPr>
              <w:t xml:space="preserve"> difiere del contenido de la CNI emitida por la autoridad competente</w:t>
            </w:r>
            <w:r w:rsidRPr="00A9722B">
              <w:rPr>
                <w:rFonts w:ascii="Verdana" w:hAnsi="Verdana" w:cstheme="minorHAnsi"/>
                <w:sz w:val="20"/>
                <w:szCs w:val="20"/>
                <w:lang w:val="es-ES_tradnl"/>
              </w:rPr>
              <w:t>.</w:t>
            </w:r>
          </w:p>
          <w:p w14:paraId="1F61B23B" w14:textId="77777777" w:rsidR="0060097A" w:rsidRDefault="0060097A" w:rsidP="00A9722B">
            <w:pPr>
              <w:pStyle w:val="aaaIFTnormal"/>
              <w:spacing w:after="0"/>
              <w:ind w:left="113" w:right="57"/>
            </w:pPr>
          </w:p>
          <w:p w14:paraId="112440D3" w14:textId="77777777" w:rsidR="0060097A" w:rsidRPr="0060097A" w:rsidRDefault="0060097A" w:rsidP="00A9722B">
            <w:pPr>
              <w:pStyle w:val="aaaIFTnormal"/>
              <w:spacing w:after="0"/>
              <w:ind w:left="113" w:right="57"/>
            </w:pPr>
          </w:p>
          <w:p w14:paraId="45F9EC2B" w14:textId="77777777" w:rsidR="0060097A" w:rsidRDefault="0060097A" w:rsidP="002750D3">
            <w:pPr>
              <w:pStyle w:val="aaaIFTnormal"/>
              <w:spacing w:after="0"/>
              <w:ind w:left="113" w:right="57"/>
            </w:pPr>
          </w:p>
          <w:p w14:paraId="708E3869" w14:textId="77777777" w:rsidR="0060097A" w:rsidRDefault="0060097A" w:rsidP="002750D3">
            <w:pPr>
              <w:pStyle w:val="aaaIFTnormal"/>
              <w:spacing w:after="0"/>
              <w:ind w:left="113" w:right="57"/>
              <w:rPr>
                <w:sz w:val="20"/>
                <w:szCs w:val="20"/>
                <w:lang w:val="es-ES_tradnl"/>
              </w:rPr>
            </w:pPr>
          </w:p>
          <w:p w14:paraId="219E7559" w14:textId="15FBEDA7" w:rsidR="008A3B3E" w:rsidRPr="00053888" w:rsidRDefault="008A3B3E" w:rsidP="002750D3">
            <w:pPr>
              <w:pStyle w:val="aaaIFTnormal"/>
              <w:spacing w:after="0"/>
              <w:ind w:left="113" w:right="57"/>
              <w:rPr>
                <w:rFonts w:ascii="Verdana" w:hAnsi="Verdana" w:cstheme="minorHAnsi"/>
                <w:sz w:val="20"/>
                <w:szCs w:val="20"/>
                <w:lang w:val="es-ES_tradnl"/>
              </w:rPr>
            </w:pPr>
          </w:p>
        </w:tc>
      </w:tr>
      <w:tr w:rsidR="009A73BF" w:rsidRPr="00053888" w14:paraId="0ED275CC" w14:textId="77777777" w:rsidTr="00A30517">
        <w:trPr>
          <w:trHeight w:val="893"/>
          <w:jc w:val="center"/>
        </w:trPr>
        <w:tc>
          <w:tcPr>
            <w:tcW w:w="216" w:type="pct"/>
            <w:tcBorders>
              <w:top w:val="single" w:sz="4" w:space="0" w:color="auto"/>
              <w:left w:val="single" w:sz="4" w:space="0" w:color="auto"/>
              <w:bottom w:val="single" w:sz="4" w:space="0" w:color="auto"/>
              <w:right w:val="single" w:sz="4" w:space="0" w:color="auto"/>
            </w:tcBorders>
            <w:vAlign w:val="center"/>
          </w:tcPr>
          <w:p w14:paraId="7F15299B" w14:textId="6CA38C60" w:rsidR="008A3B3E" w:rsidRPr="00053888" w:rsidRDefault="00AD025F" w:rsidP="00272DFB">
            <w:pPr>
              <w:spacing w:after="0" w:line="240" w:lineRule="auto"/>
              <w:jc w:val="center"/>
              <w:rPr>
                <w:rFonts w:ascii="Verdana" w:eastAsia="Times New Roman" w:hAnsi="Verdana" w:cstheme="minorHAnsi"/>
                <w:color w:val="000000"/>
                <w:sz w:val="20"/>
                <w:szCs w:val="20"/>
                <w:lang w:eastAsia="es-MX"/>
              </w:rPr>
            </w:pPr>
            <w:r>
              <w:rPr>
                <w:rFonts w:ascii="Verdana" w:eastAsia="Times New Roman" w:hAnsi="Verdana" w:cstheme="minorHAnsi"/>
                <w:color w:val="000000"/>
                <w:sz w:val="20"/>
                <w:szCs w:val="20"/>
                <w:lang w:eastAsia="es-MX"/>
              </w:rPr>
              <w:t>2</w:t>
            </w:r>
          </w:p>
        </w:tc>
        <w:tc>
          <w:tcPr>
            <w:tcW w:w="652" w:type="pct"/>
            <w:vMerge/>
            <w:tcBorders>
              <w:left w:val="single" w:sz="4" w:space="0" w:color="auto"/>
              <w:right w:val="single" w:sz="4" w:space="0" w:color="auto"/>
            </w:tcBorders>
            <w:vAlign w:val="center"/>
          </w:tcPr>
          <w:p w14:paraId="69EA2B7F" w14:textId="77777777" w:rsidR="008A3B3E" w:rsidRDefault="008A3B3E" w:rsidP="00272DFB">
            <w:pPr>
              <w:pStyle w:val="aaaIFTnormal"/>
              <w:spacing w:after="0"/>
              <w:rPr>
                <w:rFonts w:ascii="Verdana" w:hAnsi="Verdana" w:cstheme="minorHAnsi"/>
                <w:b/>
                <w:sz w:val="20"/>
                <w:szCs w:val="20"/>
                <w:lang w:val="es-ES_tradnl"/>
              </w:rPr>
            </w:pPr>
          </w:p>
        </w:tc>
        <w:tc>
          <w:tcPr>
            <w:tcW w:w="761" w:type="pct"/>
            <w:tcBorders>
              <w:top w:val="single" w:sz="4" w:space="0" w:color="auto"/>
              <w:left w:val="single" w:sz="4" w:space="0" w:color="auto"/>
              <w:bottom w:val="single" w:sz="4" w:space="0" w:color="auto"/>
              <w:right w:val="single" w:sz="4" w:space="0" w:color="auto"/>
            </w:tcBorders>
            <w:vAlign w:val="center"/>
          </w:tcPr>
          <w:p w14:paraId="5793A1A5" w14:textId="77777777" w:rsidR="008A3B3E" w:rsidRDefault="008A3B3E" w:rsidP="004F0FC0">
            <w:pPr>
              <w:pStyle w:val="aaaIFTnormal"/>
              <w:spacing w:after="0"/>
              <w:jc w:val="left"/>
              <w:rPr>
                <w:rFonts w:ascii="Verdana" w:hAnsi="Verdana" w:cstheme="minorHAnsi"/>
                <w:b/>
                <w:sz w:val="20"/>
                <w:szCs w:val="20"/>
                <w:lang w:val="es-ES_tradnl"/>
              </w:rPr>
            </w:pPr>
            <w:bookmarkStart w:id="21" w:name="_Toc50984718"/>
            <w:bookmarkStart w:id="22" w:name="_Toc50985442"/>
            <w:bookmarkStart w:id="23" w:name="_Toc50985617"/>
            <w:bookmarkStart w:id="24" w:name="_Toc88580904"/>
            <w:r w:rsidRPr="00DD6AF2">
              <w:rPr>
                <w:rFonts w:ascii="Verdana" w:hAnsi="Verdana" w:cstheme="minorHAnsi"/>
                <w:b/>
                <w:sz w:val="20"/>
                <w:szCs w:val="20"/>
                <w:lang w:val="es-ES_tradnl"/>
              </w:rPr>
              <w:t>V.1.4. Facturación</w:t>
            </w:r>
            <w:bookmarkEnd w:id="21"/>
            <w:bookmarkEnd w:id="22"/>
            <w:bookmarkEnd w:id="23"/>
            <w:bookmarkEnd w:id="24"/>
          </w:p>
          <w:p w14:paraId="55AD101B" w14:textId="77777777" w:rsidR="008A3B3E" w:rsidRPr="00DD6AF2" w:rsidRDefault="008A3B3E" w:rsidP="004F0FC0">
            <w:pPr>
              <w:pStyle w:val="aaaIFTnormal"/>
              <w:spacing w:after="0"/>
              <w:jc w:val="left"/>
              <w:rPr>
                <w:rFonts w:ascii="Verdana" w:hAnsi="Verdana" w:cstheme="minorHAnsi"/>
                <w:sz w:val="20"/>
                <w:szCs w:val="20"/>
                <w:lang w:val="es-ES_tradnl"/>
              </w:rPr>
            </w:pPr>
            <w:r>
              <w:rPr>
                <w:rFonts w:ascii="Verdana" w:hAnsi="Verdana" w:cstheme="minorHAnsi"/>
                <w:sz w:val="20"/>
                <w:szCs w:val="20"/>
                <w:lang w:val="es-ES_tradnl"/>
              </w:rPr>
              <w:t>(Pág. 14)</w:t>
            </w:r>
          </w:p>
          <w:p w14:paraId="6B4FBB7D" w14:textId="77777777" w:rsidR="008A3B3E" w:rsidRPr="00DD6AF2" w:rsidRDefault="008A3B3E" w:rsidP="00272DFB">
            <w:pPr>
              <w:pStyle w:val="aaaIFTnormal"/>
              <w:spacing w:after="0"/>
              <w:rPr>
                <w:rFonts w:ascii="Verdana" w:hAnsi="Verdana" w:cstheme="minorHAnsi"/>
                <w:b/>
                <w:sz w:val="20"/>
                <w:szCs w:val="20"/>
                <w:lang w:val="es-ES_tradnl"/>
              </w:rPr>
            </w:pPr>
          </w:p>
        </w:tc>
        <w:tc>
          <w:tcPr>
            <w:tcW w:w="1794" w:type="pct"/>
            <w:tcBorders>
              <w:top w:val="single" w:sz="4" w:space="0" w:color="auto"/>
              <w:left w:val="single" w:sz="4" w:space="0" w:color="auto"/>
              <w:bottom w:val="single" w:sz="4" w:space="0" w:color="auto"/>
              <w:right w:val="single" w:sz="4" w:space="0" w:color="auto"/>
            </w:tcBorders>
            <w:vAlign w:val="center"/>
          </w:tcPr>
          <w:p w14:paraId="6CD8A8E3" w14:textId="77777777" w:rsidR="008A3B3E" w:rsidRPr="00E3289D" w:rsidRDefault="008A3B3E" w:rsidP="00272DFB">
            <w:pPr>
              <w:pStyle w:val="IFTnormal"/>
              <w:spacing w:after="0"/>
              <w:rPr>
                <w:rFonts w:ascii="Verdana" w:eastAsia="Times New Roman" w:hAnsi="Verdana" w:cstheme="minorHAnsi"/>
                <w:b/>
                <w:color w:val="000000"/>
                <w:sz w:val="20"/>
                <w:szCs w:val="20"/>
                <w:lang w:eastAsia="es-MX"/>
              </w:rPr>
            </w:pPr>
            <w:r w:rsidRPr="00E3289D">
              <w:rPr>
                <w:rFonts w:ascii="Verdana" w:eastAsia="Times New Roman" w:hAnsi="Verdana" w:cstheme="minorHAnsi"/>
                <w:b/>
                <w:color w:val="000000"/>
                <w:sz w:val="20"/>
                <w:szCs w:val="20"/>
                <w:lang w:eastAsia="es-MX"/>
              </w:rPr>
              <w:t>V.1.4. Facturación</w:t>
            </w:r>
          </w:p>
          <w:p w14:paraId="4ED3FDAE" w14:textId="77777777" w:rsidR="008A3B3E" w:rsidRPr="00E3289D" w:rsidRDefault="008A3B3E" w:rsidP="00272DFB">
            <w:pPr>
              <w:pStyle w:val="IFTnormal"/>
              <w:spacing w:after="0"/>
              <w:ind w:left="297"/>
              <w:rPr>
                <w:rFonts w:ascii="Verdana" w:eastAsia="Times New Roman" w:hAnsi="Verdana" w:cstheme="minorHAnsi"/>
                <w:b/>
                <w:color w:val="000000"/>
                <w:sz w:val="20"/>
                <w:szCs w:val="20"/>
                <w:lang w:eastAsia="es-MX"/>
              </w:rPr>
            </w:pPr>
            <w:bookmarkStart w:id="25" w:name="_Toc525819049"/>
            <w:r w:rsidRPr="00E3289D">
              <w:rPr>
                <w:rFonts w:ascii="Verdana" w:eastAsia="Times New Roman" w:hAnsi="Verdana" w:cstheme="minorHAnsi"/>
                <w:b/>
                <w:color w:val="000000"/>
                <w:sz w:val="20"/>
                <w:szCs w:val="20"/>
                <w:lang w:eastAsia="es-MX"/>
              </w:rPr>
              <w:t>Cargos No Recurrentes:</w:t>
            </w:r>
            <w:bookmarkEnd w:id="25"/>
          </w:p>
          <w:p w14:paraId="35B7E7BC" w14:textId="77777777" w:rsidR="008A3B3E" w:rsidRPr="00E3289D" w:rsidRDefault="008A3B3E" w:rsidP="00272DFB">
            <w:pPr>
              <w:pStyle w:val="aaaIFTnormal"/>
              <w:spacing w:after="0"/>
              <w:ind w:left="1085"/>
              <w:rPr>
                <w:rFonts w:ascii="Verdana" w:hAnsi="Verdana" w:cs="Arial"/>
                <w:sz w:val="20"/>
                <w:szCs w:val="20"/>
                <w:lang w:val="es-ES"/>
              </w:rPr>
            </w:pPr>
          </w:p>
          <w:p w14:paraId="6B41E3DF" w14:textId="77777777" w:rsidR="008A3B3E" w:rsidRPr="00E3289D" w:rsidRDefault="008A3B3E" w:rsidP="00272DFB">
            <w:pPr>
              <w:pStyle w:val="aaaIFTnormal"/>
              <w:spacing w:after="0"/>
              <w:ind w:left="155"/>
              <w:rPr>
                <w:rFonts w:ascii="Verdana" w:hAnsi="Verdana" w:cs="Arial"/>
                <w:sz w:val="20"/>
                <w:szCs w:val="20"/>
              </w:rPr>
            </w:pPr>
            <w:r w:rsidRPr="00E3289D">
              <w:rPr>
                <w:rFonts w:ascii="Verdana" w:hAnsi="Verdana" w:cs="Arial"/>
                <w:sz w:val="20"/>
                <w:szCs w:val="20"/>
                <w:lang w:val="es-ES"/>
              </w:rPr>
              <w:t>El Servicio</w:t>
            </w:r>
            <w:r w:rsidRPr="00E3289D">
              <w:rPr>
                <w:rFonts w:ascii="Verdana" w:hAnsi="Verdana" w:cs="Arial"/>
                <w:sz w:val="20"/>
                <w:szCs w:val="20"/>
              </w:rPr>
              <w:t xml:space="preserve"> de Acceso y Uso Compartido de Torres contabiliza:</w:t>
            </w:r>
          </w:p>
          <w:p w14:paraId="59CFD447" w14:textId="77777777" w:rsidR="008A3B3E" w:rsidRPr="00E3289D" w:rsidRDefault="008A3B3E" w:rsidP="00272DFB">
            <w:pPr>
              <w:pStyle w:val="aaaIFTnormal"/>
              <w:spacing w:after="0"/>
              <w:ind w:left="580"/>
              <w:rPr>
                <w:rFonts w:ascii="Verdana" w:hAnsi="Verdana" w:cs="Arial"/>
                <w:sz w:val="20"/>
                <w:szCs w:val="20"/>
              </w:rPr>
            </w:pPr>
          </w:p>
          <w:p w14:paraId="150F81C9" w14:textId="77777777" w:rsidR="008A3B3E" w:rsidRPr="00E3289D" w:rsidRDefault="008A3B3E" w:rsidP="00272DFB">
            <w:pPr>
              <w:pStyle w:val="aaaIFTnormal"/>
              <w:numPr>
                <w:ilvl w:val="0"/>
                <w:numId w:val="33"/>
              </w:numPr>
              <w:spacing w:after="0"/>
              <w:ind w:left="580" w:hanging="357"/>
              <w:rPr>
                <w:rFonts w:ascii="Verdana" w:hAnsi="Verdana" w:cs="Arial"/>
                <w:sz w:val="20"/>
                <w:szCs w:val="20"/>
              </w:rPr>
            </w:pPr>
            <w:r w:rsidRPr="00E3289D">
              <w:rPr>
                <w:rFonts w:ascii="Verdana" w:hAnsi="Verdana" w:cs="Arial"/>
                <w:sz w:val="20"/>
                <w:szCs w:val="20"/>
              </w:rPr>
              <w:t>Visita Técnica.</w:t>
            </w:r>
          </w:p>
          <w:p w14:paraId="0EF2B545" w14:textId="77777777" w:rsidR="008A3B3E" w:rsidRPr="00E3289D" w:rsidRDefault="008A3B3E" w:rsidP="00272DFB">
            <w:pPr>
              <w:pStyle w:val="aaaIFTnormal"/>
              <w:numPr>
                <w:ilvl w:val="0"/>
                <w:numId w:val="33"/>
              </w:numPr>
              <w:spacing w:after="0"/>
              <w:ind w:left="580" w:hanging="357"/>
              <w:rPr>
                <w:rFonts w:ascii="Verdana" w:hAnsi="Verdana" w:cs="Arial"/>
                <w:sz w:val="20"/>
                <w:szCs w:val="20"/>
              </w:rPr>
            </w:pPr>
            <w:r w:rsidRPr="00E3289D">
              <w:rPr>
                <w:rFonts w:ascii="Verdana" w:hAnsi="Verdana" w:cs="Arial"/>
                <w:sz w:val="20"/>
                <w:szCs w:val="20"/>
              </w:rPr>
              <w:t>Trabajos requeridos dentro de la Visita Técnica.</w:t>
            </w:r>
          </w:p>
          <w:p w14:paraId="1020C2DB" w14:textId="77777777" w:rsidR="008A3B3E" w:rsidRPr="00E3289D" w:rsidRDefault="008A3B3E" w:rsidP="00272DFB">
            <w:pPr>
              <w:pStyle w:val="aaaIFTnormal"/>
              <w:numPr>
                <w:ilvl w:val="0"/>
                <w:numId w:val="33"/>
              </w:numPr>
              <w:spacing w:after="0"/>
              <w:ind w:left="580" w:hanging="357"/>
              <w:rPr>
                <w:rFonts w:ascii="Verdana" w:hAnsi="Verdana" w:cs="Arial"/>
                <w:strike/>
                <w:color w:val="0070C0"/>
                <w:sz w:val="20"/>
                <w:szCs w:val="20"/>
              </w:rPr>
            </w:pPr>
            <w:r w:rsidRPr="00E3289D">
              <w:rPr>
                <w:rFonts w:ascii="Verdana" w:hAnsi="Verdana" w:cs="Arial"/>
                <w:sz w:val="20"/>
                <w:szCs w:val="20"/>
              </w:rPr>
              <w:t xml:space="preserve">Análisis de Factibilidad para la compartición de torres </w:t>
            </w:r>
            <w:r w:rsidRPr="00E3289D">
              <w:rPr>
                <w:rFonts w:ascii="Verdana" w:hAnsi="Verdana" w:cs="Arial"/>
                <w:strike/>
                <w:color w:val="0070C0"/>
                <w:sz w:val="20"/>
                <w:szCs w:val="20"/>
              </w:rPr>
              <w:t>(incluye el análisis de frecuencias).</w:t>
            </w:r>
          </w:p>
          <w:p w14:paraId="53DFF42B" w14:textId="77777777" w:rsidR="008A3B3E" w:rsidRPr="00E3289D" w:rsidRDefault="008A3B3E" w:rsidP="00272DFB">
            <w:pPr>
              <w:pStyle w:val="IFTnormal"/>
              <w:spacing w:after="0"/>
              <w:rPr>
                <w:rFonts w:ascii="Verdana" w:eastAsia="Times New Roman" w:hAnsi="Verdana" w:cstheme="minorHAnsi"/>
                <w:b/>
                <w:color w:val="000000"/>
                <w:sz w:val="20"/>
                <w:szCs w:val="20"/>
                <w:lang w:eastAsia="es-MX"/>
              </w:rPr>
            </w:pPr>
          </w:p>
        </w:tc>
        <w:tc>
          <w:tcPr>
            <w:tcW w:w="1576" w:type="pct"/>
            <w:vMerge/>
            <w:tcBorders>
              <w:left w:val="single" w:sz="4" w:space="0" w:color="auto"/>
              <w:right w:val="single" w:sz="4" w:space="0" w:color="auto"/>
            </w:tcBorders>
          </w:tcPr>
          <w:p w14:paraId="51A700B1" w14:textId="77777777" w:rsidR="008A3B3E" w:rsidRPr="00053888" w:rsidRDefault="008A3B3E" w:rsidP="00272DFB">
            <w:pPr>
              <w:pStyle w:val="aaaIFTnormal"/>
              <w:spacing w:after="0"/>
              <w:ind w:left="113" w:right="57"/>
              <w:rPr>
                <w:rFonts w:ascii="Verdana" w:hAnsi="Verdana" w:cstheme="minorHAnsi"/>
                <w:sz w:val="20"/>
                <w:szCs w:val="20"/>
                <w:lang w:val="es-ES_tradnl"/>
              </w:rPr>
            </w:pPr>
          </w:p>
        </w:tc>
      </w:tr>
      <w:tr w:rsidR="009A73BF" w:rsidRPr="00053888" w14:paraId="129A0A95" w14:textId="77777777" w:rsidTr="00A30517">
        <w:trPr>
          <w:trHeight w:val="893"/>
          <w:jc w:val="center"/>
        </w:trPr>
        <w:tc>
          <w:tcPr>
            <w:tcW w:w="216" w:type="pct"/>
            <w:tcBorders>
              <w:top w:val="single" w:sz="4" w:space="0" w:color="auto"/>
              <w:left w:val="single" w:sz="4" w:space="0" w:color="auto"/>
              <w:bottom w:val="single" w:sz="4" w:space="0" w:color="auto"/>
              <w:right w:val="single" w:sz="4" w:space="0" w:color="auto"/>
            </w:tcBorders>
            <w:vAlign w:val="center"/>
          </w:tcPr>
          <w:p w14:paraId="3AFDD160" w14:textId="7171A435" w:rsidR="008A3B3E" w:rsidRPr="00053888" w:rsidRDefault="00AD025F" w:rsidP="00272DFB">
            <w:pPr>
              <w:spacing w:after="0" w:line="240" w:lineRule="auto"/>
              <w:jc w:val="center"/>
              <w:rPr>
                <w:rFonts w:ascii="Verdana" w:eastAsia="Times New Roman" w:hAnsi="Verdana" w:cstheme="minorHAnsi"/>
                <w:color w:val="000000"/>
                <w:sz w:val="20"/>
                <w:szCs w:val="20"/>
                <w:lang w:eastAsia="es-MX"/>
              </w:rPr>
            </w:pPr>
            <w:r>
              <w:rPr>
                <w:rFonts w:ascii="Verdana" w:eastAsia="Times New Roman" w:hAnsi="Verdana" w:cstheme="minorHAnsi"/>
                <w:color w:val="000000"/>
                <w:sz w:val="20"/>
                <w:szCs w:val="20"/>
                <w:lang w:eastAsia="es-MX"/>
              </w:rPr>
              <w:t>3</w:t>
            </w:r>
          </w:p>
        </w:tc>
        <w:tc>
          <w:tcPr>
            <w:tcW w:w="652" w:type="pct"/>
            <w:vMerge/>
            <w:tcBorders>
              <w:left w:val="single" w:sz="4" w:space="0" w:color="auto"/>
              <w:right w:val="single" w:sz="4" w:space="0" w:color="auto"/>
            </w:tcBorders>
            <w:vAlign w:val="center"/>
          </w:tcPr>
          <w:p w14:paraId="3656278B" w14:textId="77777777" w:rsidR="008A3B3E" w:rsidRPr="00053888" w:rsidRDefault="008A3B3E" w:rsidP="00272DFB">
            <w:pPr>
              <w:pStyle w:val="aaaIFTnormal"/>
              <w:spacing w:after="0"/>
              <w:rPr>
                <w:rFonts w:ascii="Verdana" w:eastAsia="Times New Roman" w:hAnsi="Verdana" w:cstheme="minorHAnsi"/>
                <w:b/>
                <w:color w:val="000000"/>
                <w:sz w:val="20"/>
                <w:szCs w:val="20"/>
                <w:lang w:eastAsia="es-MX"/>
              </w:rPr>
            </w:pPr>
          </w:p>
        </w:tc>
        <w:tc>
          <w:tcPr>
            <w:tcW w:w="761" w:type="pct"/>
            <w:tcBorders>
              <w:top w:val="single" w:sz="4" w:space="0" w:color="auto"/>
              <w:left w:val="single" w:sz="4" w:space="0" w:color="auto"/>
              <w:bottom w:val="single" w:sz="4" w:space="0" w:color="auto"/>
              <w:right w:val="single" w:sz="4" w:space="0" w:color="auto"/>
            </w:tcBorders>
            <w:vAlign w:val="center"/>
          </w:tcPr>
          <w:p w14:paraId="2237C6E8" w14:textId="77777777" w:rsidR="008A3B3E" w:rsidRDefault="008A3B3E" w:rsidP="004F0FC0">
            <w:pPr>
              <w:pStyle w:val="aaaIFTnormal"/>
              <w:spacing w:after="0"/>
              <w:jc w:val="left"/>
              <w:rPr>
                <w:rFonts w:ascii="Verdana" w:hAnsi="Verdana" w:cstheme="minorHAnsi"/>
                <w:b/>
                <w:sz w:val="20"/>
                <w:szCs w:val="20"/>
                <w:lang w:val="es-ES_tradnl"/>
              </w:rPr>
            </w:pPr>
            <w:r w:rsidRPr="00272DFB">
              <w:rPr>
                <w:rFonts w:ascii="Verdana" w:hAnsi="Verdana" w:cstheme="minorHAnsi"/>
                <w:b/>
                <w:sz w:val="20"/>
                <w:szCs w:val="20"/>
                <w:lang w:val="es-ES_tradnl"/>
              </w:rPr>
              <w:t>V.3.2. Análisis de Factibilidad</w:t>
            </w:r>
          </w:p>
          <w:p w14:paraId="50D669BA" w14:textId="77777777" w:rsidR="008A3B3E" w:rsidRDefault="008A3B3E" w:rsidP="004F0FC0">
            <w:pPr>
              <w:pStyle w:val="aaaIFTnormal"/>
              <w:spacing w:after="0"/>
              <w:jc w:val="left"/>
              <w:rPr>
                <w:rFonts w:ascii="Verdana" w:hAnsi="Verdana" w:cstheme="minorHAnsi"/>
                <w:b/>
                <w:sz w:val="20"/>
                <w:szCs w:val="20"/>
                <w:lang w:val="es-ES_tradnl"/>
              </w:rPr>
            </w:pPr>
            <w:r>
              <w:rPr>
                <w:rFonts w:ascii="Verdana" w:hAnsi="Verdana" w:cstheme="minorHAnsi"/>
                <w:sz w:val="20"/>
                <w:szCs w:val="20"/>
                <w:lang w:val="es-ES_tradnl"/>
              </w:rPr>
              <w:t>(Pág. 18)</w:t>
            </w:r>
          </w:p>
          <w:p w14:paraId="4CA2EE4B" w14:textId="77777777" w:rsidR="008A3B3E" w:rsidRPr="00272DFB" w:rsidRDefault="008A3B3E" w:rsidP="00272DFB">
            <w:pPr>
              <w:pStyle w:val="aaaIFTnormal"/>
              <w:spacing w:after="0"/>
              <w:rPr>
                <w:rFonts w:ascii="Verdana" w:hAnsi="Verdana" w:cstheme="minorHAnsi"/>
                <w:b/>
                <w:sz w:val="20"/>
                <w:szCs w:val="20"/>
                <w:lang w:val="es-ES_tradnl"/>
              </w:rPr>
            </w:pPr>
          </w:p>
          <w:p w14:paraId="219C9867" w14:textId="77777777" w:rsidR="008A3B3E" w:rsidRPr="00053888" w:rsidRDefault="008A3B3E" w:rsidP="00272DFB">
            <w:pPr>
              <w:pStyle w:val="aaaIFTnormal"/>
              <w:spacing w:after="0"/>
              <w:rPr>
                <w:rFonts w:ascii="Verdana" w:hAnsi="Verdana" w:cstheme="minorHAnsi"/>
                <w:b/>
                <w:sz w:val="20"/>
                <w:szCs w:val="20"/>
                <w:lang w:val="es-ES_tradnl"/>
              </w:rPr>
            </w:pPr>
          </w:p>
        </w:tc>
        <w:tc>
          <w:tcPr>
            <w:tcW w:w="1794" w:type="pct"/>
            <w:tcBorders>
              <w:top w:val="single" w:sz="4" w:space="0" w:color="auto"/>
              <w:left w:val="single" w:sz="4" w:space="0" w:color="auto"/>
              <w:bottom w:val="single" w:sz="4" w:space="0" w:color="auto"/>
              <w:right w:val="single" w:sz="4" w:space="0" w:color="auto"/>
            </w:tcBorders>
            <w:vAlign w:val="center"/>
          </w:tcPr>
          <w:p w14:paraId="0F8F6324" w14:textId="77777777" w:rsidR="008A3B3E" w:rsidRPr="00E3289D" w:rsidRDefault="008A3B3E" w:rsidP="00272DFB">
            <w:pPr>
              <w:pStyle w:val="aaaIFTnormal"/>
              <w:spacing w:after="0"/>
              <w:outlineLvl w:val="2"/>
              <w:rPr>
                <w:rFonts w:ascii="Verdana" w:hAnsi="Verdana" w:cs="Arial"/>
                <w:b/>
                <w:sz w:val="20"/>
                <w:szCs w:val="20"/>
                <w:lang w:val="es-ES_tradnl"/>
              </w:rPr>
            </w:pPr>
            <w:bookmarkStart w:id="26" w:name="_Toc525242671"/>
            <w:bookmarkStart w:id="27" w:name="_Toc525819088"/>
            <w:bookmarkStart w:id="28" w:name="_Toc20138771"/>
            <w:bookmarkStart w:id="29" w:name="_Toc20147895"/>
            <w:bookmarkStart w:id="30" w:name="_Toc20148355"/>
            <w:bookmarkStart w:id="31" w:name="_Toc20152944"/>
            <w:bookmarkStart w:id="32" w:name="_Toc20153221"/>
            <w:bookmarkStart w:id="33" w:name="_Toc20157627"/>
            <w:bookmarkStart w:id="34" w:name="_Toc20158904"/>
            <w:bookmarkStart w:id="35" w:name="_Toc22919502"/>
            <w:bookmarkStart w:id="36" w:name="_Toc50574991"/>
            <w:bookmarkStart w:id="37" w:name="_Toc50984723"/>
            <w:bookmarkStart w:id="38" w:name="_Toc50985447"/>
            <w:bookmarkStart w:id="39" w:name="_Toc50985622"/>
            <w:bookmarkStart w:id="40" w:name="_Toc88580910"/>
            <w:r w:rsidRPr="00E3289D">
              <w:rPr>
                <w:rFonts w:ascii="Verdana" w:hAnsi="Verdana" w:cs="Arial"/>
                <w:b/>
                <w:sz w:val="20"/>
                <w:szCs w:val="20"/>
                <w:lang w:val="es-ES_tradnl"/>
              </w:rPr>
              <w:t>V.3.2. Análisis de Factibilidad</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0ADB06A4" w14:textId="77777777" w:rsidR="008A3B3E" w:rsidRPr="00171FC2" w:rsidRDefault="008A3B3E" w:rsidP="00171FC2">
            <w:pPr>
              <w:pStyle w:val="aaaIFTnormal"/>
              <w:spacing w:after="0"/>
              <w:rPr>
                <w:rFonts w:ascii="Verdana" w:hAnsi="Verdana" w:cs="Arial"/>
                <w:sz w:val="20"/>
                <w:szCs w:val="20"/>
              </w:rPr>
            </w:pPr>
            <w:r w:rsidRPr="00171FC2">
              <w:rPr>
                <w:rFonts w:ascii="Verdana" w:hAnsi="Verdana" w:cs="Arial"/>
                <w:sz w:val="20"/>
                <w:szCs w:val="20"/>
              </w:rPr>
              <w:t>…</w:t>
            </w:r>
          </w:p>
          <w:p w14:paraId="0F9A7BA7" w14:textId="77777777" w:rsidR="008A3B3E" w:rsidRPr="00171FC2" w:rsidRDefault="008A3B3E" w:rsidP="00171FC2">
            <w:pPr>
              <w:pStyle w:val="aaaIFTnormal"/>
              <w:spacing w:after="0"/>
              <w:rPr>
                <w:rFonts w:ascii="Verdana" w:hAnsi="Verdana" w:cs="Arial"/>
                <w:sz w:val="20"/>
                <w:szCs w:val="20"/>
              </w:rPr>
            </w:pPr>
            <w:r w:rsidRPr="00171FC2">
              <w:rPr>
                <w:rFonts w:ascii="Verdana" w:hAnsi="Verdana" w:cs="Arial"/>
                <w:sz w:val="20"/>
                <w:szCs w:val="20"/>
              </w:rPr>
              <w:t>…</w:t>
            </w:r>
          </w:p>
          <w:p w14:paraId="34866061" w14:textId="77777777" w:rsidR="008A3B3E" w:rsidRPr="00171FC2" w:rsidRDefault="008A3B3E" w:rsidP="00171FC2">
            <w:pPr>
              <w:pStyle w:val="aaaIFTnormal"/>
              <w:spacing w:after="0"/>
              <w:rPr>
                <w:rFonts w:ascii="Verdana" w:hAnsi="Verdana" w:cs="Arial"/>
                <w:sz w:val="20"/>
                <w:szCs w:val="20"/>
              </w:rPr>
            </w:pPr>
            <w:r w:rsidRPr="00171FC2">
              <w:rPr>
                <w:rFonts w:ascii="Verdana" w:hAnsi="Verdana" w:cs="Arial"/>
                <w:sz w:val="20"/>
                <w:szCs w:val="20"/>
              </w:rPr>
              <w:t>…</w:t>
            </w:r>
          </w:p>
          <w:p w14:paraId="222C313F" w14:textId="77777777" w:rsidR="008A3B3E" w:rsidRPr="00E3289D" w:rsidRDefault="008A3B3E" w:rsidP="00E3289D">
            <w:pPr>
              <w:pStyle w:val="aaaIFTnormal"/>
              <w:spacing w:after="0"/>
              <w:rPr>
                <w:rFonts w:ascii="Verdana" w:hAnsi="Verdana" w:cs="Arial"/>
                <w:sz w:val="20"/>
                <w:szCs w:val="20"/>
                <w:lang w:val="es-ES"/>
              </w:rPr>
            </w:pPr>
          </w:p>
          <w:p w14:paraId="146A06B8" w14:textId="77777777" w:rsidR="008A3B3E" w:rsidRPr="00E3289D" w:rsidRDefault="008A3B3E" w:rsidP="00E3289D">
            <w:pPr>
              <w:pStyle w:val="aaaIFTnormal"/>
              <w:numPr>
                <w:ilvl w:val="0"/>
                <w:numId w:val="11"/>
              </w:numPr>
              <w:spacing w:after="0"/>
              <w:ind w:left="292" w:hanging="284"/>
              <w:rPr>
                <w:rFonts w:ascii="Verdana" w:hAnsi="Verdana" w:cs="Arial"/>
                <w:sz w:val="20"/>
                <w:szCs w:val="20"/>
                <w:lang w:val="es-ES"/>
              </w:rPr>
            </w:pPr>
            <w:r>
              <w:rPr>
                <w:rFonts w:ascii="Verdana" w:hAnsi="Verdana" w:cs="Arial"/>
                <w:sz w:val="20"/>
                <w:szCs w:val="20"/>
                <w:lang w:val="es-ES"/>
              </w:rPr>
              <w:t>…</w:t>
            </w:r>
          </w:p>
          <w:p w14:paraId="42908999" w14:textId="77777777" w:rsidR="008A3B3E" w:rsidRPr="00E3289D" w:rsidRDefault="008A3B3E" w:rsidP="00E3289D">
            <w:pPr>
              <w:pStyle w:val="aaaIFTnormal"/>
              <w:numPr>
                <w:ilvl w:val="0"/>
                <w:numId w:val="11"/>
              </w:numPr>
              <w:spacing w:after="0"/>
              <w:ind w:left="292" w:hanging="284"/>
              <w:rPr>
                <w:rFonts w:ascii="Verdana" w:hAnsi="Verdana" w:cs="Arial"/>
                <w:sz w:val="20"/>
                <w:szCs w:val="20"/>
                <w:lang w:val="es-ES"/>
              </w:rPr>
            </w:pPr>
            <w:bookmarkStart w:id="41" w:name="_Toc433915603"/>
            <w:r>
              <w:rPr>
                <w:rFonts w:ascii="Verdana" w:hAnsi="Verdana" w:cs="Arial"/>
                <w:sz w:val="20"/>
                <w:szCs w:val="20"/>
                <w:lang w:val="es-ES"/>
              </w:rPr>
              <w:t>…</w:t>
            </w:r>
          </w:p>
          <w:bookmarkEnd w:id="41"/>
          <w:p w14:paraId="3DFB9ABC" w14:textId="77777777" w:rsidR="008A3B3E" w:rsidRPr="00E3289D" w:rsidRDefault="008A3B3E" w:rsidP="00E3289D">
            <w:pPr>
              <w:pStyle w:val="aaaIFTnormal"/>
              <w:numPr>
                <w:ilvl w:val="0"/>
                <w:numId w:val="11"/>
              </w:numPr>
              <w:spacing w:after="0"/>
              <w:ind w:left="292" w:hanging="284"/>
              <w:rPr>
                <w:rFonts w:ascii="Verdana" w:hAnsi="Verdana" w:cs="Arial"/>
                <w:sz w:val="20"/>
                <w:szCs w:val="20"/>
                <w:lang w:val="es-ES"/>
              </w:rPr>
            </w:pPr>
            <w:r>
              <w:rPr>
                <w:rFonts w:ascii="Verdana" w:hAnsi="Verdana" w:cs="Arial"/>
                <w:sz w:val="20"/>
                <w:szCs w:val="20"/>
                <w:lang w:val="es-ES"/>
              </w:rPr>
              <w:t>…</w:t>
            </w:r>
          </w:p>
          <w:p w14:paraId="786BE434" w14:textId="77777777" w:rsidR="008A3B3E" w:rsidRPr="00E3289D" w:rsidRDefault="008A3B3E" w:rsidP="00E3289D">
            <w:pPr>
              <w:pStyle w:val="aaaIFTnormal"/>
              <w:numPr>
                <w:ilvl w:val="0"/>
                <w:numId w:val="11"/>
              </w:numPr>
              <w:spacing w:after="0"/>
              <w:ind w:left="292" w:hanging="284"/>
              <w:rPr>
                <w:rFonts w:ascii="Verdana" w:hAnsi="Verdana" w:cs="Arial"/>
                <w:sz w:val="20"/>
                <w:szCs w:val="20"/>
                <w:lang w:val="es-ES"/>
              </w:rPr>
            </w:pPr>
            <w:r>
              <w:rPr>
                <w:rFonts w:ascii="Verdana" w:hAnsi="Verdana" w:cs="Arial"/>
                <w:sz w:val="20"/>
                <w:szCs w:val="20"/>
                <w:lang w:val="es-ES"/>
              </w:rPr>
              <w:t>…</w:t>
            </w:r>
          </w:p>
          <w:p w14:paraId="5E1E8AC9" w14:textId="77777777" w:rsidR="008A3B3E" w:rsidRPr="00E3289D" w:rsidRDefault="008A3B3E" w:rsidP="00E3289D">
            <w:pPr>
              <w:pStyle w:val="aaaIFTnormal"/>
              <w:numPr>
                <w:ilvl w:val="0"/>
                <w:numId w:val="11"/>
              </w:numPr>
              <w:spacing w:after="0"/>
              <w:ind w:left="292" w:hanging="284"/>
              <w:rPr>
                <w:rFonts w:ascii="Verdana" w:hAnsi="Verdana" w:cs="Arial"/>
                <w:sz w:val="20"/>
                <w:szCs w:val="20"/>
                <w:lang w:val="es-ES"/>
              </w:rPr>
            </w:pPr>
            <w:r>
              <w:rPr>
                <w:rFonts w:ascii="Verdana" w:hAnsi="Verdana" w:cs="Arial"/>
                <w:sz w:val="20"/>
                <w:szCs w:val="20"/>
                <w:lang w:val="es-ES"/>
              </w:rPr>
              <w:t>…</w:t>
            </w:r>
          </w:p>
          <w:p w14:paraId="45B21659" w14:textId="7EF6297F" w:rsidR="008A3B3E" w:rsidRPr="002E3C6A" w:rsidRDefault="008A3B3E" w:rsidP="002E3C6A">
            <w:pPr>
              <w:pStyle w:val="aaaIFTnormal"/>
              <w:numPr>
                <w:ilvl w:val="0"/>
                <w:numId w:val="11"/>
              </w:numPr>
              <w:spacing w:after="0"/>
              <w:ind w:left="292" w:hanging="284"/>
              <w:rPr>
                <w:rFonts w:ascii="Verdana" w:hAnsi="Verdana" w:cs="Arial"/>
                <w:sz w:val="20"/>
                <w:szCs w:val="20"/>
                <w:lang w:val="es-ES"/>
              </w:rPr>
            </w:pPr>
            <w:r>
              <w:rPr>
                <w:rFonts w:ascii="Verdana" w:hAnsi="Verdana" w:cs="Arial"/>
                <w:sz w:val="20"/>
                <w:szCs w:val="20"/>
                <w:lang w:val="es-ES"/>
              </w:rPr>
              <w:t>...</w:t>
            </w:r>
          </w:p>
          <w:p w14:paraId="5C10301E" w14:textId="77777777" w:rsidR="008A3B3E" w:rsidRPr="00E3289D" w:rsidRDefault="008A3B3E" w:rsidP="00E3289D">
            <w:pPr>
              <w:pStyle w:val="aaaIFTnormal"/>
              <w:spacing w:after="0"/>
              <w:rPr>
                <w:rFonts w:ascii="Verdana" w:hAnsi="Verdana" w:cs="Arial"/>
                <w:sz w:val="20"/>
                <w:szCs w:val="20"/>
              </w:rPr>
            </w:pPr>
            <w:r w:rsidRPr="00E3289D">
              <w:rPr>
                <w:rFonts w:ascii="Verdana" w:hAnsi="Verdana" w:cs="Arial"/>
                <w:sz w:val="20"/>
                <w:szCs w:val="20"/>
              </w:rPr>
              <w:t xml:space="preserve">En consistencia con el Anexo 2: Normas técnicas, el Análisis de Factibilidad que realizará Telmex y Telnor </w:t>
            </w:r>
            <w:r w:rsidRPr="00E3289D">
              <w:rPr>
                <w:rFonts w:ascii="Verdana" w:hAnsi="Verdana" w:cs="Arial"/>
                <w:strike/>
                <w:color w:val="0070C0"/>
                <w:sz w:val="20"/>
                <w:szCs w:val="20"/>
              </w:rPr>
              <w:t xml:space="preserve">contemplará el Análisis de frecuencias necesarios para garantizar la correcta operación de los sistemas existentes, así como un uso adecuado del espectro radioeléctrico en puntos comunes. Asimismo, </w:t>
            </w:r>
            <w:r w:rsidRPr="00E3289D">
              <w:rPr>
                <w:rFonts w:ascii="Verdana" w:hAnsi="Verdana" w:cs="Arial"/>
                <w:sz w:val="20"/>
                <w:szCs w:val="20"/>
              </w:rPr>
              <w:t>deberá asegurar que la instalación cumpla con la normativa técnica sobre cargas gravitacionales sobre la estructura de la torre, fuerzas del viento y fuerzas de sismo.</w:t>
            </w:r>
          </w:p>
        </w:tc>
        <w:tc>
          <w:tcPr>
            <w:tcW w:w="1576" w:type="pct"/>
            <w:vMerge/>
            <w:tcBorders>
              <w:left w:val="single" w:sz="4" w:space="0" w:color="auto"/>
              <w:right w:val="single" w:sz="4" w:space="0" w:color="auto"/>
            </w:tcBorders>
          </w:tcPr>
          <w:p w14:paraId="7412DC4A" w14:textId="77777777" w:rsidR="008A3B3E" w:rsidRPr="00053888" w:rsidRDefault="008A3B3E" w:rsidP="00272DFB">
            <w:pPr>
              <w:pStyle w:val="aaaIFTnormal"/>
              <w:spacing w:after="0"/>
              <w:ind w:left="113" w:right="57"/>
              <w:rPr>
                <w:rFonts w:ascii="Verdana" w:hAnsi="Verdana" w:cstheme="minorHAnsi"/>
                <w:sz w:val="20"/>
                <w:szCs w:val="20"/>
                <w:lang w:val="es-ES_tradnl"/>
              </w:rPr>
            </w:pPr>
          </w:p>
        </w:tc>
      </w:tr>
      <w:tr w:rsidR="009A73BF" w:rsidRPr="00053888" w14:paraId="6539C933" w14:textId="77777777" w:rsidTr="00A30517">
        <w:trPr>
          <w:trHeight w:val="7151"/>
          <w:jc w:val="center"/>
        </w:trPr>
        <w:tc>
          <w:tcPr>
            <w:tcW w:w="216" w:type="pct"/>
            <w:tcBorders>
              <w:top w:val="single" w:sz="4" w:space="0" w:color="auto"/>
              <w:left w:val="single" w:sz="4" w:space="0" w:color="auto"/>
              <w:bottom w:val="single" w:sz="4" w:space="0" w:color="auto"/>
              <w:right w:val="single" w:sz="4" w:space="0" w:color="auto"/>
            </w:tcBorders>
            <w:vAlign w:val="center"/>
          </w:tcPr>
          <w:p w14:paraId="3A94A7CF" w14:textId="77777777" w:rsidR="008A3B3E" w:rsidRPr="00053888" w:rsidRDefault="00AD025F" w:rsidP="00272DFB">
            <w:pPr>
              <w:spacing w:after="0" w:line="240" w:lineRule="auto"/>
              <w:jc w:val="center"/>
              <w:rPr>
                <w:rFonts w:ascii="Verdana" w:eastAsia="Times New Roman" w:hAnsi="Verdana" w:cstheme="minorHAnsi"/>
                <w:color w:val="000000"/>
                <w:sz w:val="20"/>
                <w:szCs w:val="20"/>
                <w:lang w:eastAsia="es-MX"/>
              </w:rPr>
            </w:pPr>
            <w:r>
              <w:rPr>
                <w:rFonts w:ascii="Verdana" w:eastAsia="Times New Roman" w:hAnsi="Verdana" w:cstheme="minorHAnsi"/>
                <w:color w:val="000000"/>
                <w:sz w:val="20"/>
                <w:szCs w:val="20"/>
                <w:lang w:eastAsia="es-MX"/>
              </w:rPr>
              <w:t>4</w:t>
            </w:r>
          </w:p>
        </w:tc>
        <w:tc>
          <w:tcPr>
            <w:tcW w:w="652" w:type="pct"/>
            <w:vMerge/>
            <w:tcBorders>
              <w:left w:val="single" w:sz="4" w:space="0" w:color="auto"/>
              <w:right w:val="single" w:sz="4" w:space="0" w:color="auto"/>
            </w:tcBorders>
            <w:vAlign w:val="center"/>
          </w:tcPr>
          <w:p w14:paraId="73F67415" w14:textId="77777777" w:rsidR="008A3B3E" w:rsidRPr="00053888" w:rsidRDefault="008A3B3E" w:rsidP="00272DFB">
            <w:pPr>
              <w:pStyle w:val="aaaIFTnormal"/>
              <w:spacing w:after="0"/>
              <w:rPr>
                <w:rFonts w:ascii="Verdana" w:eastAsia="Times New Roman" w:hAnsi="Verdana" w:cstheme="minorHAnsi"/>
                <w:b/>
                <w:color w:val="000000"/>
                <w:sz w:val="20"/>
                <w:szCs w:val="20"/>
                <w:lang w:eastAsia="es-MX"/>
              </w:rPr>
            </w:pPr>
          </w:p>
        </w:tc>
        <w:tc>
          <w:tcPr>
            <w:tcW w:w="761" w:type="pct"/>
            <w:tcBorders>
              <w:top w:val="single" w:sz="4" w:space="0" w:color="auto"/>
              <w:left w:val="single" w:sz="4" w:space="0" w:color="auto"/>
              <w:bottom w:val="single" w:sz="4" w:space="0" w:color="auto"/>
              <w:right w:val="single" w:sz="4" w:space="0" w:color="auto"/>
            </w:tcBorders>
            <w:vAlign w:val="center"/>
          </w:tcPr>
          <w:p w14:paraId="2EEE635C" w14:textId="77777777" w:rsidR="008A3B3E" w:rsidRDefault="008A3B3E" w:rsidP="004F0FC0">
            <w:pPr>
              <w:pStyle w:val="aaaIFTnormal"/>
              <w:spacing w:after="0"/>
              <w:jc w:val="left"/>
              <w:rPr>
                <w:rFonts w:ascii="Verdana" w:hAnsi="Verdana" w:cstheme="minorHAnsi"/>
                <w:b/>
                <w:sz w:val="20"/>
                <w:szCs w:val="20"/>
                <w:lang w:val="es-ES_tradnl"/>
              </w:rPr>
            </w:pPr>
            <w:r>
              <w:rPr>
                <w:rFonts w:ascii="Verdana" w:hAnsi="Verdana" w:cstheme="minorHAnsi"/>
                <w:b/>
                <w:sz w:val="20"/>
                <w:szCs w:val="20"/>
                <w:lang w:val="es-ES_tradnl"/>
              </w:rPr>
              <w:t>Anexo 2. Normas Técnicas</w:t>
            </w:r>
          </w:p>
          <w:p w14:paraId="0A667EC4" w14:textId="45B222B1" w:rsidR="00164730" w:rsidRPr="00DD6AF2" w:rsidRDefault="00651783" w:rsidP="00164730">
            <w:pPr>
              <w:pStyle w:val="aaaIFTnormal"/>
              <w:spacing w:after="0"/>
              <w:jc w:val="left"/>
              <w:rPr>
                <w:rFonts w:ascii="Verdana" w:hAnsi="Verdana" w:cstheme="minorHAnsi"/>
                <w:sz w:val="20"/>
                <w:szCs w:val="20"/>
                <w:lang w:val="es-ES_tradnl"/>
              </w:rPr>
            </w:pPr>
            <w:r>
              <w:rPr>
                <w:rFonts w:ascii="Verdana" w:hAnsi="Verdana" w:cstheme="minorHAnsi"/>
                <w:sz w:val="20"/>
                <w:szCs w:val="20"/>
                <w:lang w:val="es-ES_tradnl"/>
              </w:rPr>
              <w:t>(Pág. 5</w:t>
            </w:r>
            <w:r w:rsidR="00164730">
              <w:rPr>
                <w:rFonts w:ascii="Verdana" w:hAnsi="Verdana" w:cstheme="minorHAnsi"/>
                <w:sz w:val="20"/>
                <w:szCs w:val="20"/>
                <w:lang w:val="es-ES_tradnl"/>
              </w:rPr>
              <w:t>)</w:t>
            </w:r>
          </w:p>
          <w:p w14:paraId="50D03932" w14:textId="77777777" w:rsidR="00164730" w:rsidRPr="00272DFB" w:rsidRDefault="00164730" w:rsidP="004F0FC0">
            <w:pPr>
              <w:pStyle w:val="aaaIFTnormal"/>
              <w:spacing w:after="0"/>
              <w:jc w:val="left"/>
              <w:rPr>
                <w:rFonts w:ascii="Verdana" w:hAnsi="Verdana" w:cstheme="minorHAnsi"/>
                <w:b/>
                <w:sz w:val="20"/>
                <w:szCs w:val="20"/>
                <w:lang w:val="es-ES_tradnl"/>
              </w:rPr>
            </w:pPr>
          </w:p>
        </w:tc>
        <w:tc>
          <w:tcPr>
            <w:tcW w:w="1794" w:type="pct"/>
            <w:tcBorders>
              <w:top w:val="single" w:sz="4" w:space="0" w:color="auto"/>
              <w:left w:val="single" w:sz="4" w:space="0" w:color="auto"/>
              <w:bottom w:val="single" w:sz="4" w:space="0" w:color="auto"/>
              <w:right w:val="single" w:sz="4" w:space="0" w:color="auto"/>
            </w:tcBorders>
            <w:vAlign w:val="center"/>
          </w:tcPr>
          <w:p w14:paraId="5F2F1ED6" w14:textId="77777777" w:rsidR="008A3B3E" w:rsidRPr="008B0F5B" w:rsidRDefault="008A3B3E" w:rsidP="008B0F5B">
            <w:pPr>
              <w:tabs>
                <w:tab w:val="left" w:pos="993"/>
              </w:tabs>
              <w:spacing w:after="0"/>
              <w:jc w:val="both"/>
              <w:outlineLvl w:val="1"/>
              <w:rPr>
                <w:rFonts w:cs="Arial"/>
                <w:b/>
              </w:rPr>
            </w:pPr>
            <w:bookmarkStart w:id="42" w:name="_Toc50647911"/>
            <w:bookmarkStart w:id="43" w:name="_Toc52280385"/>
            <w:r>
              <w:rPr>
                <w:rFonts w:cs="Arial"/>
                <w:b/>
              </w:rPr>
              <w:t>3.1</w:t>
            </w:r>
            <w:r w:rsidRPr="008B0F5B">
              <w:rPr>
                <w:rFonts w:cs="Arial"/>
                <w:b/>
              </w:rPr>
              <w:t>Condición para instalación de equipos de microondas</w:t>
            </w:r>
            <w:bookmarkEnd w:id="42"/>
            <w:bookmarkEnd w:id="43"/>
          </w:p>
          <w:p w14:paraId="2DBED242" w14:textId="77777777" w:rsidR="008A3B3E" w:rsidRDefault="008A3B3E" w:rsidP="008B0F5B">
            <w:pPr>
              <w:spacing w:after="0"/>
              <w:rPr>
                <w:rFonts w:cs="Arial"/>
                <w:lang w:val="es-ES"/>
              </w:rPr>
            </w:pPr>
          </w:p>
          <w:p w14:paraId="0C94F1A4" w14:textId="77777777" w:rsidR="008A3B3E" w:rsidRDefault="008A3B3E" w:rsidP="00631667">
            <w:pPr>
              <w:spacing w:after="0"/>
              <w:jc w:val="both"/>
              <w:rPr>
                <w:rFonts w:ascii="Verdana" w:eastAsia="MS Mincho" w:hAnsi="Verdana" w:cs="Arial"/>
                <w:bCs/>
                <w:sz w:val="20"/>
                <w:szCs w:val="20"/>
              </w:rPr>
            </w:pPr>
            <w:r w:rsidRPr="008B0F5B">
              <w:rPr>
                <w:rFonts w:ascii="Verdana" w:eastAsia="MS Mincho" w:hAnsi="Verdana" w:cs="Arial"/>
                <w:bCs/>
                <w:sz w:val="20"/>
                <w:szCs w:val="20"/>
              </w:rPr>
              <w:t xml:space="preserve">Todo sistema radiante que un CS o AS requiera instalar en infraestructura de Telmex y Telnor deberá contar con la homologación oficial por parte de la SCT y/o el </w:t>
            </w:r>
            <w:proofErr w:type="spellStart"/>
            <w:r w:rsidRPr="008B0F5B">
              <w:rPr>
                <w:rFonts w:ascii="Verdana" w:eastAsia="MS Mincho" w:hAnsi="Verdana" w:cs="Arial"/>
                <w:bCs/>
                <w:sz w:val="20"/>
                <w:szCs w:val="20"/>
              </w:rPr>
              <w:t>IFT</w:t>
            </w:r>
            <w:proofErr w:type="spellEnd"/>
            <w:r w:rsidRPr="008B0F5B">
              <w:rPr>
                <w:rFonts w:ascii="Verdana" w:eastAsia="MS Mincho" w:hAnsi="Verdana" w:cs="Arial"/>
                <w:bCs/>
                <w:sz w:val="20"/>
                <w:szCs w:val="20"/>
              </w:rPr>
              <w:t xml:space="preserve">, </w:t>
            </w:r>
            <w:r w:rsidRPr="008B0F5B">
              <w:rPr>
                <w:rFonts w:ascii="Verdana" w:eastAsia="MS Mincho" w:hAnsi="Verdana" w:cs="Arial"/>
                <w:bCs/>
                <w:color w:val="0070C0"/>
                <w:sz w:val="20"/>
                <w:szCs w:val="20"/>
              </w:rPr>
              <w:t xml:space="preserve">así como también entregar la Constancia de No Interferencia </w:t>
            </w:r>
            <w:r>
              <w:rPr>
                <w:rFonts w:ascii="Verdana" w:eastAsia="MS Mincho" w:hAnsi="Verdana" w:cs="Arial"/>
                <w:bCs/>
                <w:color w:val="0070C0"/>
                <w:sz w:val="20"/>
                <w:szCs w:val="20"/>
              </w:rPr>
              <w:t>(</w:t>
            </w:r>
            <w:r w:rsidRPr="008B0F5B">
              <w:rPr>
                <w:rFonts w:ascii="Verdana" w:eastAsia="MS Mincho" w:hAnsi="Verdana" w:cs="Arial"/>
                <w:bCs/>
                <w:color w:val="0070C0"/>
                <w:sz w:val="20"/>
                <w:szCs w:val="20"/>
              </w:rPr>
              <w:t>CNI</w:t>
            </w:r>
            <w:r>
              <w:rPr>
                <w:rFonts w:ascii="Verdana" w:eastAsia="MS Mincho" w:hAnsi="Verdana" w:cs="Arial"/>
                <w:bCs/>
                <w:color w:val="0070C0"/>
                <w:sz w:val="20"/>
                <w:szCs w:val="20"/>
              </w:rPr>
              <w:t>)</w:t>
            </w:r>
            <w:r w:rsidRPr="008B0F5B">
              <w:rPr>
                <w:rFonts w:ascii="Verdana" w:eastAsia="MS Mincho" w:hAnsi="Verdana" w:cs="Arial"/>
                <w:bCs/>
                <w:color w:val="0070C0"/>
                <w:sz w:val="20"/>
                <w:szCs w:val="20"/>
              </w:rPr>
              <w:t xml:space="preserve"> antes de la instalación del equipo</w:t>
            </w:r>
            <w:r w:rsidRPr="008B0F5B">
              <w:rPr>
                <w:rFonts w:ascii="Verdana" w:eastAsia="MS Mincho" w:hAnsi="Verdana" w:cs="Arial"/>
                <w:bCs/>
                <w:sz w:val="20"/>
                <w:szCs w:val="20"/>
              </w:rPr>
              <w:t xml:space="preserve">, por lo tanto, para el uso de dicha infraestructura, el CS o AS deberá proporcionar el Certificado de Homologación del equipo a instalar. </w:t>
            </w:r>
          </w:p>
          <w:p w14:paraId="4906D4E1" w14:textId="77777777" w:rsidR="008A3B3E" w:rsidRDefault="008A3B3E" w:rsidP="008B0F5B">
            <w:pPr>
              <w:spacing w:after="0"/>
              <w:rPr>
                <w:rFonts w:ascii="Verdana" w:eastAsia="MS Mincho" w:hAnsi="Verdana" w:cs="Arial"/>
                <w:bCs/>
                <w:sz w:val="20"/>
                <w:szCs w:val="20"/>
              </w:rPr>
            </w:pPr>
          </w:p>
          <w:p w14:paraId="26218D56" w14:textId="77777777" w:rsidR="008A3B3E" w:rsidRPr="008A3B3E" w:rsidRDefault="008A3B3E" w:rsidP="008A3B3E">
            <w:pPr>
              <w:spacing w:after="0"/>
              <w:rPr>
                <w:rFonts w:ascii="Verdana" w:eastAsia="MS Mincho" w:hAnsi="Verdana" w:cs="Arial"/>
                <w:bCs/>
                <w:strike/>
                <w:color w:val="0070C0"/>
                <w:sz w:val="20"/>
                <w:szCs w:val="20"/>
              </w:rPr>
            </w:pPr>
            <w:bookmarkStart w:id="44" w:name="_Toc20916939"/>
            <w:bookmarkStart w:id="45" w:name="_Toc50565389"/>
            <w:bookmarkStart w:id="46" w:name="_Toc50647912"/>
            <w:bookmarkStart w:id="47" w:name="_Toc52280386"/>
            <w:r w:rsidRPr="008A3B3E">
              <w:rPr>
                <w:rFonts w:ascii="Verdana" w:eastAsia="MS Mincho" w:hAnsi="Verdana" w:cs="Arial"/>
                <w:bCs/>
                <w:strike/>
                <w:color w:val="0070C0"/>
                <w:sz w:val="20"/>
                <w:szCs w:val="20"/>
              </w:rPr>
              <w:t>3.2Análisis de Factibilidad</w:t>
            </w:r>
            <w:bookmarkEnd w:id="44"/>
            <w:bookmarkEnd w:id="45"/>
            <w:bookmarkEnd w:id="46"/>
            <w:bookmarkEnd w:id="47"/>
          </w:p>
          <w:p w14:paraId="7037EEA9" w14:textId="77777777" w:rsidR="008A3B3E" w:rsidRPr="008A3B3E" w:rsidRDefault="008A3B3E" w:rsidP="008A3B3E">
            <w:pPr>
              <w:spacing w:after="0"/>
              <w:jc w:val="both"/>
              <w:rPr>
                <w:rFonts w:ascii="Verdana" w:eastAsia="MS Mincho" w:hAnsi="Verdana" w:cs="Arial"/>
                <w:bCs/>
                <w:strike/>
                <w:color w:val="0070C0"/>
                <w:sz w:val="20"/>
                <w:szCs w:val="20"/>
              </w:rPr>
            </w:pPr>
            <w:r w:rsidRPr="008A3B3E">
              <w:rPr>
                <w:rFonts w:ascii="Verdana" w:eastAsia="MS Mincho" w:hAnsi="Verdana" w:cs="Arial"/>
                <w:bCs/>
                <w:strike/>
                <w:color w:val="0070C0"/>
                <w:sz w:val="20"/>
                <w:szCs w:val="20"/>
              </w:rPr>
              <w:t>Con base en la información proporcionada por el CS o AS en su Anteproyecto, Telmex y Telnor realizarán el Análisis de Factibilidad que contemplará lo siguiente:</w:t>
            </w:r>
          </w:p>
          <w:p w14:paraId="2CCBC21B" w14:textId="77777777" w:rsidR="008A3B3E" w:rsidRPr="008A3B3E" w:rsidRDefault="008A3B3E" w:rsidP="008A3B3E">
            <w:pPr>
              <w:spacing w:after="0"/>
              <w:jc w:val="both"/>
              <w:rPr>
                <w:rFonts w:ascii="Verdana" w:eastAsia="MS Mincho" w:hAnsi="Verdana" w:cs="Arial"/>
                <w:bCs/>
                <w:strike/>
                <w:color w:val="0070C0"/>
                <w:sz w:val="20"/>
                <w:szCs w:val="20"/>
              </w:rPr>
            </w:pPr>
          </w:p>
          <w:p w14:paraId="1FE25143" w14:textId="77777777" w:rsidR="008A3B3E" w:rsidRPr="00E3289D" w:rsidRDefault="008A3B3E" w:rsidP="008A3B3E">
            <w:pPr>
              <w:spacing w:after="0"/>
              <w:jc w:val="both"/>
              <w:rPr>
                <w:rFonts w:ascii="Verdana" w:hAnsi="Verdana" w:cs="Arial"/>
                <w:b/>
                <w:sz w:val="20"/>
                <w:szCs w:val="20"/>
                <w:lang w:val="es-ES_tradnl"/>
              </w:rPr>
            </w:pPr>
            <w:r w:rsidRPr="008A3B3E">
              <w:rPr>
                <w:rFonts w:ascii="Verdana" w:eastAsia="MS Mincho" w:hAnsi="Verdana" w:cs="Arial"/>
                <w:bCs/>
                <w:strike/>
                <w:color w:val="0070C0"/>
                <w:sz w:val="20"/>
                <w:szCs w:val="20"/>
              </w:rPr>
              <w:t>Análisis de frecuencias necesarios para garantizar la correcta operación de los sistemas existentes, así como un uso adecuado del espectro radioeléctrico en puntos comunes.</w:t>
            </w:r>
            <w:r w:rsidRPr="008B0F5B">
              <w:rPr>
                <w:rFonts w:ascii="Verdana" w:eastAsia="MS Mincho" w:hAnsi="Verdana" w:cs="Arial"/>
                <w:bCs/>
                <w:sz w:val="20"/>
                <w:szCs w:val="20"/>
              </w:rPr>
              <w:t xml:space="preserve"> </w:t>
            </w:r>
          </w:p>
        </w:tc>
        <w:tc>
          <w:tcPr>
            <w:tcW w:w="1576" w:type="pct"/>
            <w:vMerge/>
            <w:tcBorders>
              <w:left w:val="single" w:sz="4" w:space="0" w:color="auto"/>
              <w:right w:val="single" w:sz="4" w:space="0" w:color="auto"/>
            </w:tcBorders>
          </w:tcPr>
          <w:p w14:paraId="48544DCF" w14:textId="77777777" w:rsidR="008A3B3E" w:rsidRPr="00053888" w:rsidRDefault="008A3B3E" w:rsidP="00272DFB">
            <w:pPr>
              <w:pStyle w:val="aaaIFTnormal"/>
              <w:spacing w:after="0"/>
              <w:ind w:left="113" w:right="57"/>
              <w:rPr>
                <w:rFonts w:ascii="Verdana" w:hAnsi="Verdana" w:cstheme="minorHAnsi"/>
                <w:sz w:val="20"/>
                <w:szCs w:val="20"/>
                <w:lang w:val="es-ES_tradnl"/>
              </w:rPr>
            </w:pPr>
          </w:p>
        </w:tc>
      </w:tr>
      <w:tr w:rsidR="009A73BF" w:rsidRPr="00053888" w14:paraId="1478B296" w14:textId="77777777" w:rsidTr="00A30517">
        <w:trPr>
          <w:trHeight w:val="893"/>
          <w:jc w:val="center"/>
        </w:trPr>
        <w:tc>
          <w:tcPr>
            <w:tcW w:w="216" w:type="pct"/>
            <w:tcBorders>
              <w:top w:val="single" w:sz="4" w:space="0" w:color="auto"/>
              <w:left w:val="single" w:sz="4" w:space="0" w:color="auto"/>
              <w:bottom w:val="single" w:sz="4" w:space="0" w:color="auto"/>
              <w:right w:val="single" w:sz="4" w:space="0" w:color="auto"/>
            </w:tcBorders>
            <w:vAlign w:val="center"/>
          </w:tcPr>
          <w:p w14:paraId="74E8A2E9" w14:textId="77777777" w:rsidR="008A3B3E" w:rsidRPr="00053888" w:rsidRDefault="00AD025F" w:rsidP="008A3B3E">
            <w:pPr>
              <w:spacing w:after="0" w:line="240" w:lineRule="auto"/>
              <w:jc w:val="center"/>
              <w:rPr>
                <w:rFonts w:ascii="Verdana" w:eastAsia="Times New Roman" w:hAnsi="Verdana" w:cstheme="minorHAnsi"/>
                <w:color w:val="000000"/>
                <w:sz w:val="20"/>
                <w:szCs w:val="20"/>
                <w:lang w:eastAsia="es-MX"/>
              </w:rPr>
            </w:pPr>
            <w:r>
              <w:rPr>
                <w:rFonts w:ascii="Verdana" w:eastAsia="Times New Roman" w:hAnsi="Verdana" w:cstheme="minorHAnsi"/>
                <w:color w:val="000000"/>
                <w:sz w:val="20"/>
                <w:szCs w:val="20"/>
                <w:lang w:eastAsia="es-MX"/>
              </w:rPr>
              <w:t>5</w:t>
            </w:r>
          </w:p>
        </w:tc>
        <w:tc>
          <w:tcPr>
            <w:tcW w:w="652" w:type="pct"/>
            <w:vMerge/>
            <w:tcBorders>
              <w:left w:val="single" w:sz="4" w:space="0" w:color="auto"/>
              <w:bottom w:val="single" w:sz="4" w:space="0" w:color="auto"/>
              <w:right w:val="single" w:sz="4" w:space="0" w:color="auto"/>
            </w:tcBorders>
            <w:vAlign w:val="center"/>
          </w:tcPr>
          <w:p w14:paraId="1BBEA860" w14:textId="77777777" w:rsidR="008A3B3E" w:rsidRPr="00053888" w:rsidRDefault="008A3B3E" w:rsidP="008A3B3E">
            <w:pPr>
              <w:pStyle w:val="aaaIFTnormal"/>
              <w:spacing w:after="0"/>
              <w:rPr>
                <w:rFonts w:ascii="Verdana" w:eastAsia="Times New Roman" w:hAnsi="Verdana" w:cstheme="minorHAnsi"/>
                <w:b/>
                <w:color w:val="000000"/>
                <w:sz w:val="20"/>
                <w:szCs w:val="20"/>
                <w:lang w:eastAsia="es-MX"/>
              </w:rPr>
            </w:pPr>
          </w:p>
        </w:tc>
        <w:tc>
          <w:tcPr>
            <w:tcW w:w="761" w:type="pct"/>
            <w:tcBorders>
              <w:top w:val="single" w:sz="4" w:space="0" w:color="auto"/>
              <w:left w:val="single" w:sz="4" w:space="0" w:color="auto"/>
              <w:bottom w:val="single" w:sz="4" w:space="0" w:color="auto"/>
              <w:right w:val="single" w:sz="4" w:space="0" w:color="auto"/>
            </w:tcBorders>
            <w:vAlign w:val="center"/>
          </w:tcPr>
          <w:p w14:paraId="7C4E3BB8" w14:textId="77777777" w:rsidR="008A3B3E" w:rsidRDefault="008A3B3E" w:rsidP="004F0FC0">
            <w:pPr>
              <w:pStyle w:val="aaaIFTnormal"/>
              <w:spacing w:after="0"/>
              <w:jc w:val="left"/>
              <w:rPr>
                <w:rFonts w:ascii="Verdana" w:hAnsi="Verdana" w:cstheme="minorHAnsi"/>
                <w:b/>
                <w:sz w:val="20"/>
                <w:szCs w:val="20"/>
                <w:lang w:val="es-ES_tradnl"/>
              </w:rPr>
            </w:pPr>
            <w:r>
              <w:rPr>
                <w:rFonts w:ascii="Verdana" w:hAnsi="Verdana" w:cstheme="minorHAnsi"/>
                <w:b/>
                <w:sz w:val="20"/>
                <w:szCs w:val="20"/>
                <w:lang w:val="es-ES_tradnl"/>
              </w:rPr>
              <w:t>ANEXO A TARIFAS del Convenio</w:t>
            </w:r>
          </w:p>
        </w:tc>
        <w:tc>
          <w:tcPr>
            <w:tcW w:w="1794" w:type="pct"/>
            <w:tcBorders>
              <w:top w:val="single" w:sz="4" w:space="0" w:color="auto"/>
              <w:left w:val="single" w:sz="4" w:space="0" w:color="auto"/>
              <w:bottom w:val="single" w:sz="4" w:space="0" w:color="auto"/>
              <w:right w:val="single" w:sz="4" w:space="0" w:color="auto"/>
            </w:tcBorders>
            <w:vAlign w:val="center"/>
          </w:tcPr>
          <w:p w14:paraId="605601AB" w14:textId="77777777" w:rsidR="008A3B3E" w:rsidRPr="008B0F5B" w:rsidRDefault="008A3B3E" w:rsidP="008A3B3E">
            <w:pPr>
              <w:pStyle w:val="aaaIFTnormal"/>
              <w:spacing w:after="0"/>
              <w:ind w:left="113" w:right="57"/>
              <w:rPr>
                <w:rFonts w:cs="Arial"/>
                <w:b/>
              </w:rPr>
            </w:pPr>
            <w:r w:rsidRPr="008A3B3E">
              <w:rPr>
                <w:rFonts w:ascii="Verdana" w:hAnsi="Verdana" w:cstheme="minorHAnsi"/>
                <w:sz w:val="20"/>
                <w:szCs w:val="20"/>
                <w:lang w:val="es-ES_tradnl"/>
              </w:rPr>
              <w:t>[Réplica de las modificaciones antes descritas]</w:t>
            </w:r>
          </w:p>
        </w:tc>
        <w:tc>
          <w:tcPr>
            <w:tcW w:w="1576" w:type="pct"/>
            <w:vMerge/>
            <w:tcBorders>
              <w:left w:val="single" w:sz="4" w:space="0" w:color="auto"/>
              <w:bottom w:val="single" w:sz="4" w:space="0" w:color="auto"/>
              <w:right w:val="single" w:sz="4" w:space="0" w:color="auto"/>
            </w:tcBorders>
          </w:tcPr>
          <w:p w14:paraId="5E8AF8D3" w14:textId="77777777" w:rsidR="008A3B3E" w:rsidRPr="00053888" w:rsidRDefault="008A3B3E" w:rsidP="008A3B3E">
            <w:pPr>
              <w:pStyle w:val="aaaIFTnormal"/>
              <w:spacing w:after="0"/>
              <w:ind w:left="113" w:right="57"/>
              <w:rPr>
                <w:rFonts w:ascii="Verdana" w:hAnsi="Verdana" w:cstheme="minorHAnsi"/>
                <w:sz w:val="20"/>
                <w:szCs w:val="20"/>
                <w:lang w:val="es-ES_tradnl"/>
              </w:rPr>
            </w:pPr>
          </w:p>
        </w:tc>
      </w:tr>
      <w:tr w:rsidR="002061DC" w:rsidRPr="00053888" w14:paraId="369E3A91" w14:textId="77777777" w:rsidTr="00DC2CF9">
        <w:trPr>
          <w:trHeight w:val="893"/>
          <w:jc w:val="center"/>
        </w:trPr>
        <w:tc>
          <w:tcPr>
            <w:tcW w:w="216" w:type="pct"/>
            <w:tcBorders>
              <w:top w:val="single" w:sz="4" w:space="0" w:color="auto"/>
              <w:left w:val="single" w:sz="4" w:space="0" w:color="auto"/>
              <w:bottom w:val="single" w:sz="4" w:space="0" w:color="auto"/>
              <w:right w:val="single" w:sz="4" w:space="0" w:color="auto"/>
            </w:tcBorders>
            <w:vAlign w:val="center"/>
          </w:tcPr>
          <w:p w14:paraId="7567E899" w14:textId="77777777" w:rsidR="002061DC" w:rsidRPr="00053888" w:rsidRDefault="002061DC" w:rsidP="008A3B3E">
            <w:pPr>
              <w:spacing w:after="0" w:line="240" w:lineRule="auto"/>
              <w:jc w:val="center"/>
              <w:rPr>
                <w:rFonts w:ascii="Verdana" w:eastAsia="Times New Roman" w:hAnsi="Verdana" w:cstheme="minorHAnsi"/>
                <w:color w:val="000000"/>
                <w:sz w:val="20"/>
                <w:szCs w:val="20"/>
                <w:lang w:eastAsia="es-MX"/>
              </w:rPr>
            </w:pPr>
            <w:r>
              <w:rPr>
                <w:rFonts w:ascii="Verdana" w:eastAsia="Times New Roman" w:hAnsi="Verdana" w:cstheme="minorHAnsi"/>
                <w:color w:val="000000"/>
                <w:sz w:val="20"/>
                <w:szCs w:val="20"/>
                <w:lang w:eastAsia="es-MX"/>
              </w:rPr>
              <w:t>6</w:t>
            </w:r>
          </w:p>
        </w:tc>
        <w:tc>
          <w:tcPr>
            <w:tcW w:w="652" w:type="pct"/>
            <w:vMerge w:val="restart"/>
            <w:tcBorders>
              <w:top w:val="single" w:sz="4" w:space="0" w:color="auto"/>
              <w:left w:val="single" w:sz="4" w:space="0" w:color="auto"/>
              <w:right w:val="single" w:sz="4" w:space="0" w:color="auto"/>
            </w:tcBorders>
            <w:vAlign w:val="center"/>
          </w:tcPr>
          <w:p w14:paraId="2E533A0F" w14:textId="11C45837" w:rsidR="002061DC" w:rsidRPr="00053888" w:rsidRDefault="002061DC" w:rsidP="000368EF">
            <w:pPr>
              <w:pStyle w:val="aaaIFTnormal"/>
              <w:spacing w:after="0"/>
              <w:rPr>
                <w:rFonts w:ascii="Verdana" w:hAnsi="Verdana" w:cstheme="minorHAnsi"/>
                <w:b/>
                <w:sz w:val="20"/>
                <w:szCs w:val="20"/>
                <w:lang w:val="es-ES_tradnl"/>
              </w:rPr>
            </w:pPr>
            <w:r w:rsidRPr="00053888">
              <w:rPr>
                <w:rFonts w:ascii="Verdana" w:eastAsia="Times New Roman" w:hAnsi="Verdana" w:cstheme="minorHAnsi"/>
                <w:b/>
                <w:color w:val="000000"/>
                <w:sz w:val="20"/>
                <w:szCs w:val="20"/>
                <w:lang w:eastAsia="es-MX"/>
              </w:rPr>
              <w:t>Inicio de facturación</w:t>
            </w:r>
            <w:r w:rsidR="000368EF">
              <w:rPr>
                <w:rFonts w:ascii="Verdana" w:eastAsia="Times New Roman" w:hAnsi="Verdana" w:cstheme="minorHAnsi"/>
                <w:b/>
                <w:color w:val="000000"/>
                <w:sz w:val="20"/>
                <w:szCs w:val="20"/>
                <w:lang w:eastAsia="es-MX"/>
              </w:rPr>
              <w:t xml:space="preserve"> de los servicios de compartición de infraestructura</w:t>
            </w:r>
          </w:p>
        </w:tc>
        <w:tc>
          <w:tcPr>
            <w:tcW w:w="761" w:type="pct"/>
            <w:tcBorders>
              <w:top w:val="single" w:sz="4" w:space="0" w:color="auto"/>
              <w:left w:val="single" w:sz="4" w:space="0" w:color="auto"/>
              <w:bottom w:val="single" w:sz="4" w:space="0" w:color="auto"/>
              <w:right w:val="single" w:sz="4" w:space="0" w:color="auto"/>
            </w:tcBorders>
            <w:vAlign w:val="center"/>
          </w:tcPr>
          <w:p w14:paraId="49E70A52" w14:textId="77777777" w:rsidR="002061DC" w:rsidRDefault="002061DC" w:rsidP="008A3B3E">
            <w:pPr>
              <w:pStyle w:val="aaaIFTnormal"/>
              <w:spacing w:after="0"/>
              <w:rPr>
                <w:rFonts w:ascii="Verdana" w:hAnsi="Verdana" w:cstheme="minorHAnsi"/>
                <w:b/>
                <w:sz w:val="20"/>
                <w:szCs w:val="20"/>
                <w:lang w:val="es-ES_tradnl"/>
              </w:rPr>
            </w:pPr>
            <w:r w:rsidRPr="00053888">
              <w:rPr>
                <w:rFonts w:ascii="Verdana" w:hAnsi="Verdana" w:cstheme="minorHAnsi"/>
                <w:b/>
                <w:sz w:val="20"/>
                <w:szCs w:val="20"/>
                <w:lang w:val="es-ES_tradnl"/>
              </w:rPr>
              <w:t>V.2.1. Facturación</w:t>
            </w:r>
          </w:p>
          <w:p w14:paraId="3F83C075" w14:textId="77777777" w:rsidR="002061DC" w:rsidRPr="009E663D" w:rsidRDefault="002061DC" w:rsidP="008A3B3E">
            <w:pPr>
              <w:pStyle w:val="aaaIFTnormal"/>
              <w:spacing w:after="0"/>
              <w:rPr>
                <w:rFonts w:ascii="Verdana" w:hAnsi="Verdana" w:cstheme="minorHAnsi"/>
                <w:sz w:val="20"/>
                <w:szCs w:val="20"/>
                <w:lang w:val="es-ES_tradnl"/>
              </w:rPr>
            </w:pPr>
            <w:r>
              <w:rPr>
                <w:rFonts w:ascii="Verdana" w:hAnsi="Verdana" w:cstheme="minorHAnsi"/>
                <w:sz w:val="20"/>
                <w:szCs w:val="20"/>
                <w:lang w:val="es-ES_tradnl"/>
              </w:rPr>
              <w:t>(</w:t>
            </w:r>
            <w:r w:rsidRPr="009E663D">
              <w:rPr>
                <w:rFonts w:ascii="Verdana" w:hAnsi="Verdana" w:cstheme="minorHAnsi"/>
                <w:sz w:val="20"/>
                <w:szCs w:val="20"/>
                <w:lang w:val="es-ES_tradnl"/>
              </w:rPr>
              <w:t>Pág. 15</w:t>
            </w:r>
            <w:r>
              <w:rPr>
                <w:rFonts w:ascii="Verdana" w:hAnsi="Verdana" w:cstheme="minorHAnsi"/>
                <w:sz w:val="20"/>
                <w:szCs w:val="20"/>
                <w:lang w:val="es-ES_tradnl"/>
              </w:rPr>
              <w:t>)</w:t>
            </w:r>
          </w:p>
          <w:p w14:paraId="3C7B2C16" w14:textId="77777777" w:rsidR="002061DC" w:rsidRPr="00053888" w:rsidRDefault="002061DC" w:rsidP="008A3B3E">
            <w:pPr>
              <w:pStyle w:val="IFTnormal"/>
              <w:spacing w:after="0"/>
              <w:rPr>
                <w:rFonts w:ascii="Verdana" w:eastAsia="Times New Roman" w:hAnsi="Verdana" w:cstheme="minorHAnsi"/>
                <w:color w:val="000000"/>
                <w:sz w:val="20"/>
                <w:szCs w:val="20"/>
                <w:lang w:eastAsia="es-MX"/>
              </w:rPr>
            </w:pPr>
          </w:p>
        </w:tc>
        <w:tc>
          <w:tcPr>
            <w:tcW w:w="1794" w:type="pct"/>
            <w:tcBorders>
              <w:top w:val="single" w:sz="4" w:space="0" w:color="auto"/>
              <w:left w:val="single" w:sz="4" w:space="0" w:color="auto"/>
              <w:bottom w:val="single" w:sz="4" w:space="0" w:color="auto"/>
              <w:right w:val="single" w:sz="4" w:space="0" w:color="auto"/>
            </w:tcBorders>
            <w:vAlign w:val="center"/>
          </w:tcPr>
          <w:p w14:paraId="5C570AD4" w14:textId="77777777" w:rsidR="002061DC" w:rsidRPr="00053888" w:rsidRDefault="002061DC" w:rsidP="002E3C6A">
            <w:pPr>
              <w:pStyle w:val="IFTnormal"/>
              <w:spacing w:after="0"/>
              <w:jc w:val="left"/>
              <w:rPr>
                <w:rFonts w:ascii="Verdana" w:eastAsia="Times New Roman" w:hAnsi="Verdana" w:cstheme="minorHAnsi"/>
                <w:b/>
                <w:color w:val="000000"/>
                <w:sz w:val="20"/>
                <w:szCs w:val="20"/>
                <w:lang w:eastAsia="es-MX"/>
              </w:rPr>
            </w:pPr>
            <w:r w:rsidRPr="00053888">
              <w:rPr>
                <w:rFonts w:ascii="Verdana" w:eastAsia="Times New Roman" w:hAnsi="Verdana" w:cstheme="minorHAnsi"/>
                <w:b/>
                <w:color w:val="000000"/>
                <w:sz w:val="20"/>
                <w:szCs w:val="20"/>
                <w:lang w:eastAsia="es-MX"/>
              </w:rPr>
              <w:t>V.2.1. Facturación</w:t>
            </w:r>
          </w:p>
          <w:p w14:paraId="124741C2" w14:textId="77777777" w:rsidR="002061DC" w:rsidRPr="00053888" w:rsidRDefault="002061DC" w:rsidP="002E3C6A">
            <w:pPr>
              <w:pStyle w:val="IFTnormal"/>
              <w:spacing w:after="0"/>
              <w:ind w:left="155"/>
              <w:jc w:val="left"/>
              <w:rPr>
                <w:rFonts w:ascii="Verdana" w:eastAsia="Times New Roman" w:hAnsi="Verdana" w:cstheme="minorHAnsi"/>
                <w:b/>
                <w:color w:val="000000"/>
                <w:sz w:val="20"/>
                <w:szCs w:val="20"/>
                <w:lang w:eastAsia="es-MX"/>
              </w:rPr>
            </w:pPr>
            <w:r w:rsidRPr="00053888">
              <w:rPr>
                <w:rFonts w:ascii="Verdana" w:eastAsia="Times New Roman" w:hAnsi="Verdana" w:cstheme="minorHAnsi"/>
                <w:b/>
                <w:color w:val="000000"/>
                <w:sz w:val="20"/>
                <w:szCs w:val="20"/>
                <w:lang w:eastAsia="es-MX"/>
              </w:rPr>
              <w:t>i) Cargos No Recurrentes:</w:t>
            </w:r>
          </w:p>
          <w:p w14:paraId="52B261AD" w14:textId="77777777" w:rsidR="002061DC" w:rsidRPr="00053888" w:rsidRDefault="002061DC" w:rsidP="008A3B3E">
            <w:pPr>
              <w:pStyle w:val="IFTnormal"/>
              <w:spacing w:after="0"/>
              <w:ind w:left="155"/>
              <w:rPr>
                <w:rFonts w:ascii="Verdana" w:eastAsia="Times New Roman" w:hAnsi="Verdana" w:cstheme="minorHAnsi"/>
                <w:color w:val="000000"/>
                <w:sz w:val="20"/>
                <w:szCs w:val="20"/>
                <w:lang w:eastAsia="es-MX"/>
              </w:rPr>
            </w:pPr>
            <w:r w:rsidRPr="00053888">
              <w:rPr>
                <w:rFonts w:ascii="Verdana" w:eastAsia="Times New Roman" w:hAnsi="Verdana" w:cstheme="minorHAnsi"/>
                <w:color w:val="000000"/>
                <w:sz w:val="20"/>
                <w:szCs w:val="20"/>
                <w:lang w:eastAsia="es-MX"/>
              </w:rPr>
              <w:t>El Servicio de Uso de Sitios, Predios y Espacios Físicos contabiliza:</w:t>
            </w:r>
          </w:p>
          <w:p w14:paraId="205A1E83" w14:textId="77777777" w:rsidR="002061DC" w:rsidRPr="00053888" w:rsidRDefault="002061DC" w:rsidP="008A3B3E">
            <w:pPr>
              <w:pStyle w:val="IFTnormal"/>
              <w:numPr>
                <w:ilvl w:val="0"/>
                <w:numId w:val="30"/>
              </w:numPr>
              <w:spacing w:after="0"/>
              <w:rPr>
                <w:rFonts w:ascii="Verdana" w:eastAsia="Times New Roman" w:hAnsi="Verdana" w:cstheme="minorHAnsi"/>
                <w:color w:val="000000"/>
                <w:sz w:val="20"/>
                <w:szCs w:val="20"/>
                <w:lang w:eastAsia="es-MX"/>
              </w:rPr>
            </w:pPr>
            <w:r w:rsidRPr="00053888">
              <w:rPr>
                <w:rFonts w:ascii="Verdana" w:eastAsia="Times New Roman" w:hAnsi="Verdana" w:cstheme="minorHAnsi"/>
                <w:color w:val="000000"/>
                <w:sz w:val="20"/>
                <w:szCs w:val="20"/>
                <w:lang w:eastAsia="es-MX"/>
              </w:rPr>
              <w:t xml:space="preserve">Visita Técnica para Sitios, Predios y Espacios Físicos, en caso de haber sido solicitada por el </w:t>
            </w:r>
            <w:r w:rsidRPr="00053888" w:rsidDel="0068201B">
              <w:rPr>
                <w:rFonts w:ascii="Verdana" w:eastAsia="Times New Roman" w:hAnsi="Verdana" w:cstheme="minorHAnsi"/>
                <w:color w:val="000000"/>
                <w:sz w:val="20"/>
                <w:szCs w:val="20"/>
                <w:lang w:eastAsia="es-MX"/>
              </w:rPr>
              <w:t>CS</w:t>
            </w:r>
            <w:r w:rsidRPr="00053888" w:rsidDel="00FC232A">
              <w:rPr>
                <w:rFonts w:ascii="Verdana" w:eastAsia="Times New Roman" w:hAnsi="Verdana" w:cstheme="minorHAnsi"/>
                <w:color w:val="000000"/>
                <w:sz w:val="20"/>
                <w:szCs w:val="20"/>
                <w:lang w:eastAsia="es-MX"/>
              </w:rPr>
              <w:t xml:space="preserve"> o AS</w:t>
            </w:r>
            <w:r w:rsidRPr="00053888">
              <w:rPr>
                <w:rFonts w:ascii="Verdana" w:eastAsia="Times New Roman" w:hAnsi="Verdana" w:cstheme="minorHAnsi"/>
                <w:color w:val="000000"/>
                <w:sz w:val="20"/>
                <w:szCs w:val="20"/>
                <w:lang w:eastAsia="es-MX"/>
              </w:rPr>
              <w:t>.</w:t>
            </w:r>
          </w:p>
          <w:p w14:paraId="3C515A50" w14:textId="77777777" w:rsidR="002061DC" w:rsidRPr="00053888" w:rsidRDefault="002061DC" w:rsidP="008A3B3E">
            <w:pPr>
              <w:pStyle w:val="IFTnormal"/>
              <w:numPr>
                <w:ilvl w:val="0"/>
                <w:numId w:val="30"/>
              </w:numPr>
              <w:spacing w:after="0"/>
              <w:rPr>
                <w:rFonts w:ascii="Verdana" w:eastAsia="Times New Roman" w:hAnsi="Verdana" w:cstheme="minorHAnsi"/>
                <w:color w:val="000000"/>
                <w:sz w:val="20"/>
                <w:szCs w:val="20"/>
                <w:lang w:eastAsia="es-MX"/>
              </w:rPr>
            </w:pPr>
            <w:r w:rsidRPr="00053888">
              <w:rPr>
                <w:rFonts w:ascii="Verdana" w:eastAsia="Times New Roman" w:hAnsi="Verdana" w:cstheme="minorHAnsi"/>
                <w:color w:val="000000"/>
                <w:sz w:val="20"/>
                <w:szCs w:val="20"/>
                <w:lang w:eastAsia="es-MX"/>
              </w:rPr>
              <w:t>Análisis de Factibilidad.</w:t>
            </w:r>
          </w:p>
          <w:p w14:paraId="180276EC" w14:textId="77777777" w:rsidR="002061DC" w:rsidRPr="008A3B3E" w:rsidRDefault="002061DC" w:rsidP="008A3B3E">
            <w:pPr>
              <w:pStyle w:val="IFTnormal"/>
              <w:numPr>
                <w:ilvl w:val="0"/>
                <w:numId w:val="30"/>
              </w:numPr>
              <w:spacing w:after="0"/>
              <w:rPr>
                <w:rFonts w:ascii="Verdana" w:eastAsia="Times New Roman" w:hAnsi="Verdana" w:cstheme="minorHAnsi"/>
                <w:strike/>
                <w:color w:val="0070C0"/>
                <w:sz w:val="20"/>
                <w:szCs w:val="20"/>
                <w:lang w:eastAsia="es-MX"/>
              </w:rPr>
            </w:pPr>
            <w:r w:rsidRPr="008A3B3E">
              <w:rPr>
                <w:rFonts w:ascii="Verdana" w:eastAsia="Times New Roman" w:hAnsi="Verdana" w:cstheme="minorHAnsi"/>
                <w:strike/>
                <w:color w:val="0070C0"/>
                <w:sz w:val="20"/>
                <w:szCs w:val="20"/>
                <w:lang w:eastAsia="es-MX"/>
              </w:rPr>
              <w:t>Acondicionamiento de Infraestructura Pasiva, en caso de que se requiera.</w:t>
            </w:r>
          </w:p>
          <w:p w14:paraId="3198F6A1" w14:textId="77777777" w:rsidR="002061DC" w:rsidRPr="00053888" w:rsidRDefault="002061DC" w:rsidP="008A3B3E">
            <w:pPr>
              <w:pStyle w:val="IFTnormal"/>
              <w:numPr>
                <w:ilvl w:val="0"/>
                <w:numId w:val="30"/>
              </w:numPr>
              <w:spacing w:after="0"/>
              <w:rPr>
                <w:rFonts w:ascii="Verdana" w:eastAsia="Times New Roman" w:hAnsi="Verdana" w:cstheme="minorHAnsi"/>
                <w:color w:val="000000"/>
                <w:sz w:val="20"/>
                <w:szCs w:val="20"/>
                <w:lang w:eastAsia="es-MX"/>
              </w:rPr>
            </w:pPr>
            <w:r w:rsidRPr="00053888">
              <w:rPr>
                <w:rFonts w:ascii="Verdana" w:eastAsia="Times New Roman" w:hAnsi="Verdana" w:cstheme="minorHAnsi"/>
                <w:color w:val="000000"/>
                <w:sz w:val="20"/>
                <w:szCs w:val="20"/>
                <w:lang w:eastAsia="es-MX"/>
              </w:rPr>
              <w:t>Recuperación de espacio, en caso de que se requiera.</w:t>
            </w:r>
          </w:p>
          <w:p w14:paraId="543A4F7C" w14:textId="77777777" w:rsidR="002061DC" w:rsidRDefault="002061DC" w:rsidP="008A3B3E">
            <w:pPr>
              <w:pStyle w:val="IFTnormal"/>
              <w:numPr>
                <w:ilvl w:val="0"/>
                <w:numId w:val="30"/>
              </w:numPr>
              <w:spacing w:after="0"/>
              <w:rPr>
                <w:rFonts w:ascii="Verdana" w:eastAsia="Times New Roman" w:hAnsi="Verdana" w:cstheme="minorHAnsi"/>
                <w:color w:val="000000"/>
                <w:sz w:val="20"/>
                <w:szCs w:val="20"/>
                <w:lang w:eastAsia="es-MX"/>
              </w:rPr>
            </w:pPr>
            <w:r w:rsidRPr="00053888">
              <w:rPr>
                <w:rFonts w:ascii="Verdana" w:eastAsia="Times New Roman" w:hAnsi="Verdana" w:cstheme="minorHAnsi"/>
                <w:color w:val="000000"/>
                <w:sz w:val="20"/>
                <w:szCs w:val="20"/>
                <w:lang w:eastAsia="es-MX"/>
              </w:rPr>
              <w:t>Segunda Verificación en adelante.</w:t>
            </w:r>
          </w:p>
          <w:p w14:paraId="5C082F72" w14:textId="77777777" w:rsidR="002061DC" w:rsidRPr="00D3533D" w:rsidRDefault="002061DC" w:rsidP="008A3B3E">
            <w:pPr>
              <w:pStyle w:val="IFTnormal"/>
              <w:spacing w:after="0"/>
              <w:ind w:left="360"/>
              <w:rPr>
                <w:rFonts w:ascii="Verdana" w:eastAsia="Times New Roman" w:hAnsi="Verdana" w:cstheme="minorHAnsi"/>
                <w:color w:val="000000"/>
                <w:sz w:val="20"/>
                <w:szCs w:val="20"/>
                <w:lang w:eastAsia="es-MX"/>
              </w:rPr>
            </w:pPr>
          </w:p>
          <w:p w14:paraId="41111BBB" w14:textId="77777777" w:rsidR="002061DC" w:rsidRPr="00053888" w:rsidRDefault="002061DC" w:rsidP="008A3B3E">
            <w:pPr>
              <w:pStyle w:val="IFTnormal"/>
              <w:spacing w:after="0"/>
              <w:rPr>
                <w:rFonts w:ascii="Verdana" w:eastAsia="Times New Roman" w:hAnsi="Verdana" w:cstheme="minorHAnsi"/>
                <w:color w:val="000000"/>
                <w:sz w:val="20"/>
                <w:szCs w:val="20"/>
                <w:lang w:eastAsia="es-MX"/>
              </w:rPr>
            </w:pPr>
            <w:r w:rsidRPr="00053888">
              <w:rPr>
                <w:rFonts w:ascii="Verdana" w:eastAsia="Times New Roman" w:hAnsi="Verdana" w:cstheme="minorHAnsi"/>
                <w:color w:val="000000"/>
                <w:sz w:val="20"/>
                <w:szCs w:val="20"/>
                <w:lang w:eastAsia="es-MX"/>
              </w:rPr>
              <w:t>La facturación de las actividades antes mencionadas se realizará posteriormente a su ejecución.</w:t>
            </w:r>
          </w:p>
          <w:p w14:paraId="48619D50" w14:textId="39DDEB9F" w:rsidR="002061DC" w:rsidRPr="00053888" w:rsidRDefault="002061DC" w:rsidP="00621587">
            <w:pPr>
              <w:pStyle w:val="aaaIFTnormal"/>
              <w:spacing w:after="0"/>
              <w:rPr>
                <w:rFonts w:ascii="Verdana" w:hAnsi="Verdana" w:cstheme="minorHAnsi"/>
                <w:strike/>
                <w:color w:val="FF0000"/>
                <w:sz w:val="20"/>
                <w:szCs w:val="20"/>
                <w:lang w:eastAsia="es-MX"/>
              </w:rPr>
            </w:pPr>
            <w:r w:rsidRPr="00053888">
              <w:rPr>
                <w:rFonts w:ascii="Verdana" w:eastAsia="Times New Roman" w:hAnsi="Verdana" w:cstheme="minorHAnsi"/>
                <w:color w:val="0070C0"/>
                <w:sz w:val="20"/>
                <w:szCs w:val="20"/>
                <w:lang w:eastAsia="es-MX"/>
              </w:rPr>
              <w:t xml:space="preserve">En el caso de los proyectos de Acondicionamiento de Infraestructura Pasiva y de Recuperación de Espacio, </w:t>
            </w:r>
            <w:r>
              <w:rPr>
                <w:rFonts w:ascii="Verdana" w:eastAsia="Times New Roman" w:hAnsi="Verdana" w:cstheme="minorHAnsi"/>
                <w:color w:val="0070C0"/>
                <w:sz w:val="20"/>
                <w:szCs w:val="20"/>
                <w:lang w:eastAsia="es-MX"/>
              </w:rPr>
              <w:t>l</w:t>
            </w:r>
            <w:r w:rsidRPr="00053888">
              <w:rPr>
                <w:rFonts w:ascii="Verdana" w:eastAsia="Times New Roman" w:hAnsi="Verdana" w:cstheme="minorHAnsi"/>
                <w:color w:val="0070C0"/>
                <w:sz w:val="20"/>
                <w:szCs w:val="20"/>
                <w:lang w:eastAsia="es-MX"/>
              </w:rPr>
              <w:t xml:space="preserve">a facturación del Trabajo Especial se realizará en el momento en que </w:t>
            </w:r>
            <w:r>
              <w:rPr>
                <w:rFonts w:ascii="Verdana" w:eastAsia="Times New Roman" w:hAnsi="Verdana" w:cstheme="minorHAnsi"/>
                <w:color w:val="0070C0"/>
                <w:sz w:val="20"/>
                <w:szCs w:val="20"/>
                <w:lang w:eastAsia="es-MX"/>
              </w:rPr>
              <w:t>el CS o AS</w:t>
            </w:r>
            <w:r w:rsidRPr="00053888">
              <w:rPr>
                <w:rFonts w:ascii="Verdana" w:eastAsia="Times New Roman" w:hAnsi="Verdana" w:cstheme="minorHAnsi"/>
                <w:color w:val="0070C0"/>
                <w:sz w:val="20"/>
                <w:szCs w:val="20"/>
                <w:lang w:eastAsia="es-MX"/>
              </w:rPr>
              <w:t xml:space="preserve"> acepte formalmente el proyecto.</w:t>
            </w:r>
            <w:r>
              <w:rPr>
                <w:rFonts w:ascii="Verdana" w:eastAsia="Times New Roman" w:hAnsi="Verdana" w:cstheme="minorHAnsi"/>
                <w:color w:val="0070C0"/>
                <w:sz w:val="20"/>
                <w:szCs w:val="20"/>
                <w:lang w:eastAsia="es-MX"/>
              </w:rPr>
              <w:t xml:space="preserve"> </w:t>
            </w:r>
            <w:r w:rsidRPr="00220B48">
              <w:rPr>
                <w:rFonts w:ascii="Verdana" w:eastAsia="Times New Roman" w:hAnsi="Verdana" w:cstheme="minorHAnsi"/>
                <w:color w:val="0070C0"/>
                <w:sz w:val="20"/>
                <w:szCs w:val="20"/>
                <w:lang w:eastAsia="es-MX"/>
              </w:rPr>
              <w:t xml:space="preserve">En caso de no recibir respuesta o no realizar el pago dentro del plazo de </w:t>
            </w:r>
            <w:r>
              <w:rPr>
                <w:rFonts w:ascii="Verdana" w:eastAsia="Times New Roman" w:hAnsi="Verdana" w:cstheme="minorHAnsi"/>
                <w:color w:val="0070C0"/>
                <w:sz w:val="20"/>
                <w:szCs w:val="20"/>
                <w:lang w:eastAsia="es-MX"/>
              </w:rPr>
              <w:t>5</w:t>
            </w:r>
            <w:r w:rsidRPr="00220B48">
              <w:rPr>
                <w:rFonts w:ascii="Verdana" w:eastAsia="Times New Roman" w:hAnsi="Verdana" w:cstheme="minorHAnsi"/>
                <w:color w:val="0070C0"/>
                <w:sz w:val="20"/>
                <w:szCs w:val="20"/>
                <w:lang w:eastAsia="es-MX"/>
              </w:rPr>
              <w:t xml:space="preserve"> (</w:t>
            </w:r>
            <w:r>
              <w:rPr>
                <w:rFonts w:ascii="Verdana" w:eastAsia="Times New Roman" w:hAnsi="Verdana" w:cstheme="minorHAnsi"/>
                <w:color w:val="0070C0"/>
                <w:sz w:val="20"/>
                <w:szCs w:val="20"/>
                <w:lang w:eastAsia="es-MX"/>
              </w:rPr>
              <w:t>cinco</w:t>
            </w:r>
            <w:r w:rsidRPr="00220B48">
              <w:rPr>
                <w:rFonts w:ascii="Verdana" w:eastAsia="Times New Roman" w:hAnsi="Verdana" w:cstheme="minorHAnsi"/>
                <w:color w:val="0070C0"/>
                <w:sz w:val="20"/>
                <w:szCs w:val="20"/>
                <w:lang w:eastAsia="es-MX"/>
              </w:rPr>
              <w:t>) días hábiles referido, se tendrá por cancelada la solicitud y la oferta comercial presentada</w:t>
            </w:r>
            <w:r>
              <w:rPr>
                <w:rFonts w:ascii="Verdana" w:eastAsia="Times New Roman" w:hAnsi="Verdana" w:cstheme="minorHAnsi"/>
                <w:color w:val="0070C0"/>
                <w:sz w:val="20"/>
                <w:szCs w:val="20"/>
                <w:lang w:eastAsia="es-MX"/>
              </w:rPr>
              <w:t>.</w:t>
            </w:r>
          </w:p>
        </w:tc>
        <w:tc>
          <w:tcPr>
            <w:tcW w:w="1576" w:type="pct"/>
            <w:vMerge w:val="restart"/>
            <w:tcBorders>
              <w:top w:val="single" w:sz="4" w:space="0" w:color="auto"/>
              <w:left w:val="single" w:sz="4" w:space="0" w:color="auto"/>
              <w:right w:val="single" w:sz="4" w:space="0" w:color="auto"/>
            </w:tcBorders>
          </w:tcPr>
          <w:p w14:paraId="4467C1BA" w14:textId="4942E2C2" w:rsidR="002061DC" w:rsidRPr="008458AD" w:rsidRDefault="002061DC" w:rsidP="008458AD">
            <w:pPr>
              <w:pStyle w:val="aaaIFTnormal"/>
              <w:spacing w:after="0"/>
              <w:ind w:left="113" w:right="57"/>
              <w:rPr>
                <w:rFonts w:ascii="Verdana" w:eastAsia="Times New Roman" w:hAnsi="Verdana" w:cstheme="minorHAnsi"/>
                <w:color w:val="000000"/>
                <w:sz w:val="20"/>
                <w:szCs w:val="20"/>
                <w:lang w:eastAsia="es-MX"/>
              </w:rPr>
            </w:pPr>
          </w:p>
          <w:p w14:paraId="77BDBDEE" w14:textId="4BCCBE8B" w:rsidR="002061DC" w:rsidRDefault="002061DC" w:rsidP="008A3B3E">
            <w:pPr>
              <w:pStyle w:val="aaaIFTnormal"/>
              <w:spacing w:after="0"/>
              <w:ind w:left="113" w:right="57"/>
              <w:rPr>
                <w:rFonts w:ascii="Verdana" w:hAnsi="Verdana" w:cstheme="minorHAnsi"/>
                <w:sz w:val="20"/>
                <w:szCs w:val="20"/>
                <w:lang w:val="es-ES_tradnl"/>
              </w:rPr>
            </w:pPr>
            <w:r w:rsidRPr="00F84DDB">
              <w:rPr>
                <w:rFonts w:ascii="Verdana" w:hAnsi="Verdana" w:cstheme="minorHAnsi"/>
                <w:sz w:val="20"/>
                <w:szCs w:val="20"/>
                <w:lang w:val="es-ES_tradnl"/>
              </w:rPr>
              <w:t>Se solicita al Instituto que el inicio del periodo</w:t>
            </w:r>
            <w:r>
              <w:rPr>
                <w:rFonts w:ascii="Verdana" w:hAnsi="Verdana" w:cstheme="minorHAnsi"/>
                <w:sz w:val="20"/>
                <w:szCs w:val="20"/>
                <w:lang w:val="es-ES_tradnl"/>
              </w:rPr>
              <w:t xml:space="preserve"> de</w:t>
            </w:r>
            <w:r w:rsidRPr="00F84DDB">
              <w:rPr>
                <w:rFonts w:ascii="Verdana" w:hAnsi="Verdana" w:cstheme="minorHAnsi"/>
                <w:sz w:val="20"/>
                <w:szCs w:val="20"/>
                <w:lang w:val="es-ES_tradnl"/>
              </w:rPr>
              <w:t xml:space="preserve"> facturación se modifique para que comience a partir del momento en que Telmex y Telnor aprueban el </w:t>
            </w:r>
            <w:r w:rsidR="00485650">
              <w:rPr>
                <w:rFonts w:ascii="Verdana" w:hAnsi="Verdana" w:cstheme="minorHAnsi"/>
                <w:sz w:val="20"/>
                <w:szCs w:val="20"/>
                <w:lang w:val="es-ES_tradnl"/>
              </w:rPr>
              <w:t>“A</w:t>
            </w:r>
            <w:r w:rsidRPr="00F84DDB">
              <w:rPr>
                <w:rFonts w:ascii="Verdana" w:hAnsi="Verdana" w:cstheme="minorHAnsi"/>
                <w:sz w:val="20"/>
                <w:szCs w:val="20"/>
                <w:lang w:val="es-ES_tradnl"/>
              </w:rPr>
              <w:t xml:space="preserve">nteproyecto </w:t>
            </w:r>
            <w:r w:rsidR="00967367">
              <w:rPr>
                <w:rFonts w:ascii="Verdana" w:hAnsi="Verdana" w:cstheme="minorHAnsi"/>
                <w:sz w:val="20"/>
                <w:szCs w:val="20"/>
                <w:lang w:val="es-ES_tradnl"/>
              </w:rPr>
              <w:t>T</w:t>
            </w:r>
            <w:r w:rsidRPr="00F84DDB">
              <w:rPr>
                <w:rFonts w:ascii="Verdana" w:hAnsi="Verdana" w:cstheme="minorHAnsi"/>
                <w:sz w:val="20"/>
                <w:szCs w:val="20"/>
                <w:lang w:val="es-ES_tradnl"/>
              </w:rPr>
              <w:t xml:space="preserve">écnico y reservan la infraestructura pasiva correspondiente. </w:t>
            </w:r>
          </w:p>
          <w:p w14:paraId="452C4FEB" w14:textId="77777777" w:rsidR="002061DC" w:rsidRPr="00F84DDB" w:rsidRDefault="002061DC" w:rsidP="008A3B3E">
            <w:pPr>
              <w:pStyle w:val="aaaIFTnormal"/>
              <w:spacing w:after="0"/>
              <w:ind w:left="113" w:right="57"/>
              <w:rPr>
                <w:rFonts w:ascii="Verdana" w:hAnsi="Verdana" w:cstheme="minorHAnsi"/>
                <w:sz w:val="20"/>
                <w:szCs w:val="20"/>
                <w:lang w:val="es-ES_tradnl"/>
              </w:rPr>
            </w:pPr>
          </w:p>
          <w:p w14:paraId="2A591598" w14:textId="5002B8F8" w:rsidR="002061DC" w:rsidRPr="00053888" w:rsidRDefault="002061DC" w:rsidP="008A3B3E">
            <w:pPr>
              <w:pStyle w:val="aaaIFTnormal"/>
              <w:spacing w:after="0"/>
              <w:ind w:left="113" w:right="57"/>
              <w:rPr>
                <w:rFonts w:ascii="Verdana" w:eastAsia="Times New Roman" w:hAnsi="Verdana" w:cstheme="minorHAnsi"/>
                <w:color w:val="000000"/>
                <w:sz w:val="20"/>
                <w:szCs w:val="20"/>
                <w:lang w:eastAsia="es-MX"/>
              </w:rPr>
            </w:pPr>
            <w:r w:rsidRPr="00B96847">
              <w:rPr>
                <w:rFonts w:ascii="Verdana" w:hAnsi="Verdana" w:cstheme="minorHAnsi"/>
                <w:sz w:val="20"/>
                <w:szCs w:val="20"/>
                <w:lang w:val="es-ES_tradnl"/>
              </w:rPr>
              <w:t>Esto en virtud de que, a partir de dicha aprobación, el Concesionario Solicitante ya cuenta con la certeza técnica, operativa y jurídica necesaria para iniciar la instalación de su infraestructura, y la infraestructura pasiva queda reservada para su uso exclusivo. Lo anterior implica que, desde ese momento, Telmex y Telnor dejan de tener plena disponibilidad sobre dichos recursos, lo cual justifica el inicio del cobro por la reserva efectiva de los elementos de los servicios de espacio en torre y de sitios, predios y espacios físicos.</w:t>
            </w:r>
          </w:p>
        </w:tc>
      </w:tr>
      <w:tr w:rsidR="002061DC" w:rsidRPr="00053888" w14:paraId="0A135879" w14:textId="77777777" w:rsidTr="00DC2CF9">
        <w:trPr>
          <w:trHeight w:val="904"/>
          <w:jc w:val="center"/>
        </w:trPr>
        <w:tc>
          <w:tcPr>
            <w:tcW w:w="216" w:type="pct"/>
            <w:tcBorders>
              <w:top w:val="single" w:sz="4" w:space="0" w:color="auto"/>
              <w:left w:val="single" w:sz="4" w:space="0" w:color="auto"/>
              <w:bottom w:val="single" w:sz="4" w:space="0" w:color="auto"/>
              <w:right w:val="single" w:sz="4" w:space="0" w:color="auto"/>
            </w:tcBorders>
            <w:vAlign w:val="center"/>
          </w:tcPr>
          <w:p w14:paraId="6F39980D" w14:textId="77777777" w:rsidR="002061DC" w:rsidRPr="00053888" w:rsidRDefault="002061DC" w:rsidP="008A3B3E">
            <w:pPr>
              <w:spacing w:after="0" w:line="240" w:lineRule="auto"/>
              <w:jc w:val="center"/>
              <w:rPr>
                <w:rFonts w:ascii="Verdana" w:eastAsia="Times New Roman" w:hAnsi="Verdana" w:cstheme="minorHAnsi"/>
                <w:color w:val="000000"/>
                <w:sz w:val="20"/>
                <w:szCs w:val="20"/>
                <w:lang w:eastAsia="es-MX"/>
              </w:rPr>
            </w:pPr>
            <w:r>
              <w:rPr>
                <w:rFonts w:ascii="Verdana" w:eastAsia="Times New Roman" w:hAnsi="Verdana" w:cstheme="minorHAnsi"/>
                <w:color w:val="000000"/>
                <w:sz w:val="20"/>
                <w:szCs w:val="20"/>
                <w:lang w:eastAsia="es-MX"/>
              </w:rPr>
              <w:t>7</w:t>
            </w:r>
          </w:p>
        </w:tc>
        <w:tc>
          <w:tcPr>
            <w:tcW w:w="652" w:type="pct"/>
            <w:vMerge/>
            <w:tcBorders>
              <w:left w:val="single" w:sz="4" w:space="0" w:color="auto"/>
              <w:right w:val="single" w:sz="4" w:space="0" w:color="auto"/>
            </w:tcBorders>
            <w:vAlign w:val="center"/>
          </w:tcPr>
          <w:p w14:paraId="0F8B2097" w14:textId="77777777" w:rsidR="002061DC" w:rsidRPr="00053888" w:rsidRDefault="002061DC" w:rsidP="008A3B3E">
            <w:pPr>
              <w:pStyle w:val="aaaIFTnormal"/>
              <w:spacing w:after="0"/>
              <w:rPr>
                <w:rFonts w:ascii="Verdana" w:hAnsi="Verdana" w:cstheme="minorHAnsi"/>
                <w:b/>
                <w:sz w:val="20"/>
                <w:szCs w:val="20"/>
                <w:lang w:val="es-ES_tradnl"/>
              </w:rPr>
            </w:pPr>
          </w:p>
        </w:tc>
        <w:tc>
          <w:tcPr>
            <w:tcW w:w="761" w:type="pct"/>
            <w:tcBorders>
              <w:top w:val="single" w:sz="4" w:space="0" w:color="auto"/>
              <w:left w:val="single" w:sz="4" w:space="0" w:color="auto"/>
              <w:bottom w:val="single" w:sz="4" w:space="0" w:color="auto"/>
              <w:right w:val="single" w:sz="4" w:space="0" w:color="auto"/>
            </w:tcBorders>
            <w:vAlign w:val="center"/>
          </w:tcPr>
          <w:p w14:paraId="676DE9B0" w14:textId="77777777" w:rsidR="002061DC" w:rsidRDefault="002061DC" w:rsidP="008A3B3E">
            <w:pPr>
              <w:pStyle w:val="aaaIFTnormal"/>
              <w:spacing w:after="0"/>
              <w:rPr>
                <w:rFonts w:ascii="Verdana" w:hAnsi="Verdana" w:cstheme="minorHAnsi"/>
                <w:b/>
                <w:sz w:val="20"/>
                <w:szCs w:val="20"/>
                <w:lang w:val="es-ES_tradnl"/>
              </w:rPr>
            </w:pPr>
            <w:bookmarkStart w:id="48" w:name="_Toc525242653"/>
            <w:bookmarkStart w:id="49" w:name="_Toc525819056"/>
            <w:bookmarkStart w:id="50" w:name="_Toc20138651"/>
            <w:bookmarkStart w:id="51" w:name="_Toc20147869"/>
            <w:bookmarkStart w:id="52" w:name="_Toc20148329"/>
            <w:bookmarkStart w:id="53" w:name="_Toc20152918"/>
            <w:bookmarkStart w:id="54" w:name="_Toc20153195"/>
            <w:bookmarkStart w:id="55" w:name="_Toc20157601"/>
            <w:bookmarkStart w:id="56" w:name="_Toc22919485"/>
            <w:bookmarkStart w:id="57" w:name="_Toc50574986"/>
            <w:r w:rsidRPr="00053888">
              <w:rPr>
                <w:rFonts w:ascii="Verdana" w:hAnsi="Verdana" w:cstheme="minorHAnsi"/>
                <w:b/>
                <w:sz w:val="20"/>
                <w:szCs w:val="20"/>
                <w:lang w:val="es-ES_tradnl"/>
              </w:rPr>
              <w:t>V.2.1. Facturación</w:t>
            </w:r>
            <w:bookmarkEnd w:id="48"/>
            <w:bookmarkEnd w:id="49"/>
            <w:bookmarkEnd w:id="50"/>
            <w:bookmarkEnd w:id="51"/>
            <w:bookmarkEnd w:id="52"/>
            <w:bookmarkEnd w:id="53"/>
            <w:bookmarkEnd w:id="54"/>
            <w:bookmarkEnd w:id="55"/>
            <w:bookmarkEnd w:id="56"/>
            <w:bookmarkEnd w:id="57"/>
          </w:p>
          <w:p w14:paraId="7EAB04E9" w14:textId="77777777" w:rsidR="002061DC" w:rsidRPr="009E663D" w:rsidRDefault="002061DC" w:rsidP="008A3B3E">
            <w:pPr>
              <w:pStyle w:val="aaaIFTnormal"/>
              <w:spacing w:after="0"/>
              <w:rPr>
                <w:rFonts w:ascii="Verdana" w:hAnsi="Verdana" w:cstheme="minorHAnsi"/>
                <w:sz w:val="20"/>
                <w:szCs w:val="20"/>
                <w:lang w:val="es-ES_tradnl"/>
              </w:rPr>
            </w:pPr>
            <w:r>
              <w:rPr>
                <w:rFonts w:ascii="Verdana" w:hAnsi="Verdana" w:cstheme="minorHAnsi"/>
                <w:sz w:val="20"/>
                <w:szCs w:val="20"/>
                <w:lang w:val="es-ES_tradnl"/>
              </w:rPr>
              <w:t>(</w:t>
            </w:r>
            <w:r w:rsidRPr="009E663D">
              <w:rPr>
                <w:rFonts w:ascii="Verdana" w:hAnsi="Verdana" w:cstheme="minorHAnsi"/>
                <w:sz w:val="20"/>
                <w:szCs w:val="20"/>
                <w:lang w:val="es-ES_tradnl"/>
              </w:rPr>
              <w:t>Pág. 1</w:t>
            </w:r>
            <w:r>
              <w:rPr>
                <w:rFonts w:ascii="Verdana" w:hAnsi="Verdana" w:cstheme="minorHAnsi"/>
                <w:sz w:val="20"/>
                <w:szCs w:val="20"/>
                <w:lang w:val="es-ES_tradnl"/>
              </w:rPr>
              <w:t>6)</w:t>
            </w:r>
          </w:p>
          <w:p w14:paraId="01E86824" w14:textId="77777777" w:rsidR="002061DC" w:rsidRPr="00053888" w:rsidRDefault="002061DC" w:rsidP="008A3B3E">
            <w:pPr>
              <w:pStyle w:val="aaaIFTnormal"/>
              <w:spacing w:after="0"/>
              <w:rPr>
                <w:rFonts w:ascii="Verdana" w:hAnsi="Verdana" w:cstheme="minorHAnsi"/>
                <w:b/>
                <w:sz w:val="20"/>
                <w:szCs w:val="20"/>
                <w:lang w:val="es-ES_tradnl"/>
              </w:rPr>
            </w:pPr>
          </w:p>
          <w:p w14:paraId="4BEFEC8B" w14:textId="77777777" w:rsidR="002061DC" w:rsidRPr="00053888" w:rsidRDefault="002061DC" w:rsidP="008A3B3E">
            <w:pPr>
              <w:pStyle w:val="IFTnormal"/>
              <w:spacing w:after="0"/>
              <w:rPr>
                <w:rFonts w:ascii="Verdana" w:eastAsia="Times New Roman" w:hAnsi="Verdana" w:cstheme="minorHAnsi"/>
                <w:color w:val="000000"/>
                <w:sz w:val="20"/>
                <w:szCs w:val="20"/>
                <w:lang w:eastAsia="es-MX"/>
              </w:rPr>
            </w:pPr>
          </w:p>
        </w:tc>
        <w:tc>
          <w:tcPr>
            <w:tcW w:w="1794" w:type="pct"/>
            <w:tcBorders>
              <w:top w:val="single" w:sz="4" w:space="0" w:color="auto"/>
              <w:left w:val="single" w:sz="4" w:space="0" w:color="auto"/>
              <w:bottom w:val="single" w:sz="4" w:space="0" w:color="auto"/>
              <w:right w:val="single" w:sz="4" w:space="0" w:color="auto"/>
            </w:tcBorders>
            <w:vAlign w:val="center"/>
          </w:tcPr>
          <w:p w14:paraId="4E526491" w14:textId="77777777" w:rsidR="002061DC" w:rsidRPr="00053888" w:rsidRDefault="002061DC" w:rsidP="008A3B3E">
            <w:pPr>
              <w:pStyle w:val="IFTnormal"/>
              <w:spacing w:after="0"/>
              <w:rPr>
                <w:rFonts w:ascii="Verdana" w:eastAsia="Times New Roman" w:hAnsi="Verdana" w:cstheme="minorHAnsi"/>
                <w:b/>
                <w:color w:val="000000"/>
                <w:sz w:val="20"/>
                <w:szCs w:val="20"/>
                <w:lang w:eastAsia="es-MX"/>
              </w:rPr>
            </w:pPr>
            <w:r w:rsidRPr="00053888">
              <w:rPr>
                <w:rFonts w:ascii="Verdana" w:eastAsia="Times New Roman" w:hAnsi="Verdana" w:cstheme="minorHAnsi"/>
                <w:b/>
                <w:color w:val="000000"/>
                <w:sz w:val="20"/>
                <w:szCs w:val="20"/>
                <w:lang w:eastAsia="es-MX"/>
              </w:rPr>
              <w:t>V.2.1. Facturación</w:t>
            </w:r>
          </w:p>
          <w:p w14:paraId="49E8F7E0" w14:textId="77777777" w:rsidR="002061DC" w:rsidRPr="00053888" w:rsidRDefault="002061DC" w:rsidP="008A3B3E">
            <w:pPr>
              <w:pStyle w:val="IFTnormal"/>
              <w:spacing w:after="0"/>
              <w:ind w:left="155"/>
              <w:rPr>
                <w:rFonts w:ascii="Verdana" w:eastAsia="Times New Roman" w:hAnsi="Verdana" w:cstheme="minorHAnsi"/>
                <w:b/>
                <w:color w:val="000000"/>
                <w:sz w:val="20"/>
                <w:szCs w:val="20"/>
                <w:lang w:eastAsia="es-MX"/>
              </w:rPr>
            </w:pPr>
            <w:bookmarkStart w:id="58" w:name="_Toc525819057"/>
            <w:r w:rsidRPr="00053888">
              <w:rPr>
                <w:rFonts w:ascii="Verdana" w:eastAsia="Times New Roman" w:hAnsi="Verdana" w:cstheme="minorHAnsi"/>
                <w:b/>
                <w:color w:val="000000"/>
                <w:sz w:val="20"/>
                <w:szCs w:val="20"/>
                <w:lang w:eastAsia="es-MX"/>
              </w:rPr>
              <w:t>i) Cargos No Recurrentes:</w:t>
            </w:r>
            <w:bookmarkEnd w:id="58"/>
          </w:p>
          <w:p w14:paraId="097A271E" w14:textId="77777777" w:rsidR="002061DC" w:rsidRPr="00053888" w:rsidRDefault="002061DC" w:rsidP="008A3B3E">
            <w:pPr>
              <w:pStyle w:val="IFTnormal"/>
              <w:spacing w:after="0"/>
              <w:rPr>
                <w:rFonts w:ascii="Verdana" w:eastAsia="Times New Roman" w:hAnsi="Verdana" w:cstheme="minorHAnsi"/>
                <w:b/>
                <w:color w:val="000000"/>
                <w:sz w:val="20"/>
                <w:szCs w:val="20"/>
                <w:lang w:eastAsia="es-MX"/>
              </w:rPr>
            </w:pPr>
            <w:r w:rsidRPr="00053888">
              <w:rPr>
                <w:rFonts w:ascii="Verdana" w:eastAsia="Times New Roman" w:hAnsi="Verdana" w:cstheme="minorHAnsi"/>
                <w:b/>
                <w:color w:val="000000"/>
                <w:sz w:val="20"/>
                <w:szCs w:val="20"/>
                <w:lang w:eastAsia="es-MX"/>
              </w:rPr>
              <w:t>…</w:t>
            </w:r>
          </w:p>
          <w:p w14:paraId="2E3B5C1A" w14:textId="77777777" w:rsidR="002061DC" w:rsidRPr="00053888" w:rsidRDefault="002061DC" w:rsidP="008A3B3E">
            <w:pPr>
              <w:pStyle w:val="IFTnormal"/>
              <w:spacing w:after="0"/>
              <w:rPr>
                <w:rFonts w:ascii="Verdana" w:eastAsia="Times New Roman" w:hAnsi="Verdana" w:cstheme="minorHAnsi"/>
                <w:b/>
                <w:color w:val="000000"/>
                <w:sz w:val="20"/>
                <w:szCs w:val="20"/>
                <w:lang w:eastAsia="es-MX"/>
              </w:rPr>
            </w:pPr>
            <w:r w:rsidRPr="00053888">
              <w:rPr>
                <w:rFonts w:ascii="Verdana" w:eastAsia="Times New Roman" w:hAnsi="Verdana" w:cstheme="minorHAnsi"/>
                <w:b/>
                <w:color w:val="000000"/>
                <w:sz w:val="20"/>
                <w:szCs w:val="20"/>
                <w:lang w:eastAsia="es-MX"/>
              </w:rPr>
              <w:t>…</w:t>
            </w:r>
          </w:p>
          <w:p w14:paraId="36491FBF" w14:textId="77777777" w:rsidR="002061DC" w:rsidRPr="00053888" w:rsidRDefault="002061DC" w:rsidP="008A3B3E">
            <w:pPr>
              <w:pStyle w:val="IFTnormal"/>
              <w:spacing w:after="0"/>
              <w:ind w:left="155"/>
              <w:rPr>
                <w:rFonts w:ascii="Verdana" w:eastAsia="Times New Roman" w:hAnsi="Verdana" w:cstheme="minorHAnsi"/>
                <w:b/>
                <w:color w:val="000000"/>
                <w:sz w:val="20"/>
                <w:szCs w:val="20"/>
                <w:lang w:eastAsia="es-MX"/>
              </w:rPr>
            </w:pPr>
            <w:proofErr w:type="spellStart"/>
            <w:r w:rsidRPr="00053888">
              <w:rPr>
                <w:rFonts w:ascii="Verdana" w:eastAsia="Times New Roman" w:hAnsi="Verdana" w:cstheme="minorHAnsi"/>
                <w:b/>
                <w:color w:val="000000"/>
                <w:sz w:val="20"/>
                <w:szCs w:val="20"/>
                <w:lang w:eastAsia="es-MX"/>
              </w:rPr>
              <w:t>ii</w:t>
            </w:r>
            <w:proofErr w:type="spellEnd"/>
            <w:r w:rsidRPr="00053888">
              <w:rPr>
                <w:rFonts w:ascii="Verdana" w:eastAsia="Times New Roman" w:hAnsi="Verdana" w:cstheme="minorHAnsi"/>
                <w:b/>
                <w:color w:val="000000"/>
                <w:sz w:val="20"/>
                <w:szCs w:val="20"/>
                <w:lang w:eastAsia="es-MX"/>
              </w:rPr>
              <w:t>) Cargos Recurrentes:</w:t>
            </w:r>
          </w:p>
          <w:p w14:paraId="2E53B51C" w14:textId="77777777" w:rsidR="002061DC" w:rsidRPr="00053888" w:rsidRDefault="002061DC" w:rsidP="008A3B3E">
            <w:pPr>
              <w:pStyle w:val="IFTnormal"/>
              <w:spacing w:after="0"/>
              <w:rPr>
                <w:rFonts w:ascii="Verdana" w:eastAsia="Times New Roman" w:hAnsi="Verdana" w:cstheme="minorHAnsi"/>
                <w:b/>
                <w:color w:val="000000"/>
                <w:sz w:val="20"/>
                <w:szCs w:val="20"/>
                <w:lang w:eastAsia="es-MX"/>
              </w:rPr>
            </w:pPr>
          </w:p>
          <w:p w14:paraId="5C57BB07" w14:textId="77777777" w:rsidR="002061DC" w:rsidRPr="00053888" w:rsidRDefault="002061DC" w:rsidP="008A3B3E">
            <w:pPr>
              <w:pStyle w:val="aaaIFTnormal"/>
              <w:spacing w:after="0"/>
              <w:rPr>
                <w:rFonts w:ascii="Verdana" w:hAnsi="Verdana" w:cstheme="minorHAnsi"/>
                <w:sz w:val="20"/>
                <w:szCs w:val="20"/>
                <w:lang w:val="es-ES_tradnl"/>
              </w:rPr>
            </w:pPr>
            <w:r w:rsidRPr="00053888">
              <w:rPr>
                <w:rFonts w:ascii="Verdana" w:hAnsi="Verdana" w:cstheme="minorHAnsi"/>
                <w:sz w:val="20"/>
                <w:szCs w:val="20"/>
                <w:lang w:val="es-ES_tradnl"/>
              </w:rPr>
              <w:t>La contraprestación mensual por el uso del espacio dependerá del proyecto y la zona del sitio, predio o espacio físico solicitado, y servicios auxiliares necesarios. Asimismo, se indicará la cuota de mantenimiento asociada al servicio cuando aplique.</w:t>
            </w:r>
          </w:p>
          <w:p w14:paraId="2CAEDCCD" w14:textId="77777777" w:rsidR="002061DC" w:rsidRPr="00053888" w:rsidRDefault="002061DC" w:rsidP="008A3B3E">
            <w:pPr>
              <w:pStyle w:val="aaaIFTnormal"/>
              <w:spacing w:after="0"/>
              <w:ind w:left="709"/>
              <w:rPr>
                <w:rFonts w:ascii="Verdana" w:hAnsi="Verdana" w:cstheme="minorHAnsi"/>
                <w:sz w:val="20"/>
                <w:szCs w:val="20"/>
                <w:lang w:val="es-ES_tradnl"/>
              </w:rPr>
            </w:pPr>
          </w:p>
          <w:p w14:paraId="4B597578" w14:textId="78088024" w:rsidR="002061DC" w:rsidRPr="00F84DDB" w:rsidRDefault="002061DC" w:rsidP="008A3B3E">
            <w:pPr>
              <w:pStyle w:val="aaaIFTnormal"/>
              <w:spacing w:after="0"/>
              <w:rPr>
                <w:rFonts w:ascii="Verdana" w:hAnsi="Verdana" w:cstheme="minorHAnsi"/>
                <w:sz w:val="20"/>
                <w:szCs w:val="20"/>
                <w:lang w:val="es-ES_tradnl"/>
              </w:rPr>
            </w:pPr>
            <w:r w:rsidRPr="00053888">
              <w:rPr>
                <w:rFonts w:ascii="Verdana" w:hAnsi="Verdana" w:cstheme="minorHAnsi"/>
                <w:sz w:val="20"/>
                <w:szCs w:val="20"/>
                <w:lang w:val="es-ES_tradnl"/>
              </w:rPr>
              <w:t xml:space="preserve">La facturación de los cargos recurrentes se realizará a mes corriente, </w:t>
            </w:r>
            <w:r w:rsidRPr="002E3C6A">
              <w:rPr>
                <w:rFonts w:ascii="Verdana" w:eastAsia="Times New Roman" w:hAnsi="Verdana" w:cstheme="minorHAnsi"/>
                <w:color w:val="0070C0"/>
                <w:sz w:val="20"/>
                <w:szCs w:val="20"/>
                <w:lang w:eastAsia="es-MX"/>
              </w:rPr>
              <w:t>y se iniciará posteriormente a la aprobación del anteproyecto</w:t>
            </w:r>
            <w:r w:rsidRPr="002E3C6A">
              <w:rPr>
                <w:rFonts w:ascii="Verdana" w:hAnsi="Verdana" w:cstheme="minorHAnsi"/>
                <w:sz w:val="20"/>
                <w:szCs w:val="20"/>
                <w:lang w:val="es-ES_tradnl"/>
              </w:rPr>
              <w:t xml:space="preserve"> </w:t>
            </w:r>
            <w:r w:rsidRPr="002E3C6A">
              <w:rPr>
                <w:rFonts w:ascii="Verdana" w:eastAsia="Times New Roman" w:hAnsi="Verdana" w:cstheme="minorHAnsi"/>
                <w:strike/>
                <w:color w:val="0070C0"/>
                <w:sz w:val="20"/>
                <w:szCs w:val="20"/>
                <w:lang w:eastAsia="es-MX"/>
              </w:rPr>
              <w:t>concluir las actividades previstas en el procedimiento una vez que se cuenten con los formatos y actas firmados.</w:t>
            </w:r>
          </w:p>
        </w:tc>
        <w:tc>
          <w:tcPr>
            <w:tcW w:w="1576" w:type="pct"/>
            <w:vMerge/>
            <w:tcBorders>
              <w:left w:val="single" w:sz="4" w:space="0" w:color="auto"/>
              <w:right w:val="single" w:sz="4" w:space="0" w:color="auto"/>
            </w:tcBorders>
          </w:tcPr>
          <w:p w14:paraId="105E3B3D" w14:textId="25CD0996" w:rsidR="002061DC" w:rsidRPr="00053888" w:rsidRDefault="002061DC" w:rsidP="008A3B3E">
            <w:pPr>
              <w:pStyle w:val="aaaIFTnormal"/>
              <w:spacing w:after="0"/>
              <w:ind w:left="113" w:right="57"/>
              <w:rPr>
                <w:rFonts w:ascii="Verdana" w:eastAsia="Times New Roman" w:hAnsi="Verdana" w:cstheme="minorHAnsi"/>
                <w:color w:val="000000"/>
                <w:sz w:val="20"/>
                <w:szCs w:val="20"/>
                <w:lang w:eastAsia="es-MX"/>
              </w:rPr>
            </w:pPr>
          </w:p>
        </w:tc>
      </w:tr>
      <w:tr w:rsidR="002061DC" w:rsidRPr="00053888" w14:paraId="527C1A53" w14:textId="77777777" w:rsidTr="00DC2CF9">
        <w:trPr>
          <w:trHeight w:val="904"/>
          <w:jc w:val="center"/>
        </w:trPr>
        <w:tc>
          <w:tcPr>
            <w:tcW w:w="216" w:type="pct"/>
            <w:tcBorders>
              <w:top w:val="single" w:sz="4" w:space="0" w:color="auto"/>
              <w:left w:val="single" w:sz="4" w:space="0" w:color="auto"/>
              <w:bottom w:val="single" w:sz="4" w:space="0" w:color="auto"/>
              <w:right w:val="single" w:sz="4" w:space="0" w:color="auto"/>
            </w:tcBorders>
            <w:vAlign w:val="center"/>
          </w:tcPr>
          <w:p w14:paraId="626EE5C4" w14:textId="3FD6628A" w:rsidR="002061DC" w:rsidRDefault="001150B8" w:rsidP="008A3B3E">
            <w:pPr>
              <w:spacing w:after="0" w:line="240" w:lineRule="auto"/>
              <w:jc w:val="center"/>
              <w:rPr>
                <w:rFonts w:ascii="Verdana" w:eastAsia="Times New Roman" w:hAnsi="Verdana" w:cstheme="minorHAnsi"/>
                <w:color w:val="000000"/>
                <w:sz w:val="20"/>
                <w:szCs w:val="20"/>
                <w:lang w:eastAsia="es-MX"/>
              </w:rPr>
            </w:pPr>
            <w:r>
              <w:rPr>
                <w:rFonts w:ascii="Verdana" w:eastAsia="Times New Roman" w:hAnsi="Verdana" w:cstheme="minorHAnsi"/>
                <w:color w:val="000000"/>
                <w:sz w:val="20"/>
                <w:szCs w:val="20"/>
                <w:lang w:eastAsia="es-MX"/>
              </w:rPr>
              <w:t>8</w:t>
            </w:r>
          </w:p>
        </w:tc>
        <w:tc>
          <w:tcPr>
            <w:tcW w:w="652" w:type="pct"/>
            <w:vMerge/>
            <w:tcBorders>
              <w:left w:val="single" w:sz="4" w:space="0" w:color="auto"/>
              <w:bottom w:val="single" w:sz="4" w:space="0" w:color="auto"/>
              <w:right w:val="single" w:sz="4" w:space="0" w:color="auto"/>
            </w:tcBorders>
            <w:vAlign w:val="center"/>
          </w:tcPr>
          <w:p w14:paraId="5371731C" w14:textId="77777777" w:rsidR="002061DC" w:rsidRPr="00053888" w:rsidRDefault="002061DC" w:rsidP="008A3B3E">
            <w:pPr>
              <w:pStyle w:val="aaaIFTnormal"/>
              <w:spacing w:after="0"/>
              <w:rPr>
                <w:rFonts w:ascii="Verdana" w:hAnsi="Verdana" w:cstheme="minorHAnsi"/>
                <w:b/>
                <w:sz w:val="20"/>
                <w:szCs w:val="20"/>
                <w:lang w:val="es-ES_tradnl"/>
              </w:rPr>
            </w:pPr>
          </w:p>
        </w:tc>
        <w:tc>
          <w:tcPr>
            <w:tcW w:w="761" w:type="pct"/>
            <w:tcBorders>
              <w:top w:val="single" w:sz="4" w:space="0" w:color="auto"/>
              <w:left w:val="single" w:sz="4" w:space="0" w:color="auto"/>
              <w:bottom w:val="single" w:sz="4" w:space="0" w:color="auto"/>
              <w:right w:val="single" w:sz="4" w:space="0" w:color="auto"/>
            </w:tcBorders>
            <w:vAlign w:val="center"/>
          </w:tcPr>
          <w:p w14:paraId="6A745562" w14:textId="7E0DAAB1" w:rsidR="002061DC" w:rsidRDefault="002061DC" w:rsidP="005201BB">
            <w:pPr>
              <w:pStyle w:val="aaaIFTnormal"/>
              <w:spacing w:after="0"/>
              <w:jc w:val="left"/>
              <w:outlineLvl w:val="0"/>
              <w:rPr>
                <w:rFonts w:ascii="Verdana" w:hAnsi="Verdana" w:cstheme="minorHAnsi"/>
                <w:b/>
                <w:sz w:val="20"/>
                <w:szCs w:val="20"/>
              </w:rPr>
            </w:pPr>
            <w:r w:rsidRPr="005201BB">
              <w:rPr>
                <w:rFonts w:ascii="Verdana" w:hAnsi="Verdana" w:cstheme="minorHAnsi"/>
                <w:b/>
                <w:sz w:val="20"/>
                <w:szCs w:val="20"/>
              </w:rPr>
              <w:t xml:space="preserve">ANEXO 6: procedimientos </w:t>
            </w:r>
            <w:r>
              <w:rPr>
                <w:rFonts w:ascii="Verdana" w:hAnsi="Verdana" w:cstheme="minorHAnsi"/>
                <w:b/>
                <w:sz w:val="20"/>
                <w:szCs w:val="20"/>
              </w:rPr>
              <w:t>de Contratación</w:t>
            </w:r>
          </w:p>
          <w:p w14:paraId="62718E38" w14:textId="67E212F5" w:rsidR="002061DC" w:rsidRPr="009E663D" w:rsidRDefault="002061DC" w:rsidP="002C2BAA">
            <w:pPr>
              <w:pStyle w:val="aaaIFTnormal"/>
              <w:spacing w:after="0"/>
              <w:rPr>
                <w:rFonts w:ascii="Verdana" w:hAnsi="Verdana" w:cstheme="minorHAnsi"/>
                <w:sz w:val="20"/>
                <w:szCs w:val="20"/>
                <w:lang w:val="es-ES_tradnl"/>
              </w:rPr>
            </w:pPr>
            <w:r>
              <w:rPr>
                <w:rFonts w:ascii="Verdana" w:hAnsi="Verdana" w:cstheme="minorHAnsi"/>
                <w:sz w:val="20"/>
                <w:szCs w:val="20"/>
                <w:lang w:val="es-ES_tradnl"/>
              </w:rPr>
              <w:t>(</w:t>
            </w:r>
            <w:r w:rsidRPr="009E663D">
              <w:rPr>
                <w:rFonts w:ascii="Verdana" w:hAnsi="Verdana" w:cstheme="minorHAnsi"/>
                <w:sz w:val="20"/>
                <w:szCs w:val="20"/>
                <w:lang w:val="es-ES_tradnl"/>
              </w:rPr>
              <w:t xml:space="preserve">Pág. </w:t>
            </w:r>
            <w:r>
              <w:rPr>
                <w:rFonts w:ascii="Verdana" w:hAnsi="Verdana" w:cstheme="minorHAnsi"/>
                <w:sz w:val="20"/>
                <w:szCs w:val="20"/>
                <w:lang w:val="es-ES_tradnl"/>
              </w:rPr>
              <w:t>6</w:t>
            </w:r>
            <w:r w:rsidR="001150B8">
              <w:rPr>
                <w:rFonts w:ascii="Verdana" w:hAnsi="Verdana" w:cstheme="minorHAnsi"/>
                <w:sz w:val="20"/>
                <w:szCs w:val="20"/>
                <w:lang w:val="es-ES_tradnl"/>
              </w:rPr>
              <w:t xml:space="preserve"> y 14</w:t>
            </w:r>
            <w:r>
              <w:rPr>
                <w:rFonts w:ascii="Verdana" w:hAnsi="Verdana" w:cstheme="minorHAnsi"/>
                <w:sz w:val="20"/>
                <w:szCs w:val="20"/>
                <w:lang w:val="es-ES_tradnl"/>
              </w:rPr>
              <w:t>)</w:t>
            </w:r>
          </w:p>
          <w:p w14:paraId="4353019C" w14:textId="77777777" w:rsidR="002061DC" w:rsidRPr="005201BB" w:rsidRDefault="002061DC" w:rsidP="005201BB">
            <w:pPr>
              <w:pStyle w:val="aaaIFTnormal"/>
              <w:spacing w:after="0"/>
              <w:jc w:val="left"/>
              <w:outlineLvl w:val="0"/>
              <w:rPr>
                <w:rFonts w:ascii="Verdana" w:hAnsi="Verdana" w:cstheme="minorHAnsi"/>
                <w:b/>
                <w:sz w:val="20"/>
                <w:szCs w:val="20"/>
              </w:rPr>
            </w:pPr>
          </w:p>
          <w:p w14:paraId="4259CA05" w14:textId="77777777" w:rsidR="002061DC" w:rsidRPr="00053888" w:rsidRDefault="002061DC" w:rsidP="008A3B3E">
            <w:pPr>
              <w:pStyle w:val="aaaIFTnormal"/>
              <w:spacing w:after="0"/>
              <w:rPr>
                <w:rFonts w:ascii="Verdana" w:hAnsi="Verdana" w:cstheme="minorHAnsi"/>
                <w:b/>
                <w:sz w:val="20"/>
                <w:szCs w:val="20"/>
                <w:lang w:val="es-ES_tradnl"/>
              </w:rPr>
            </w:pPr>
          </w:p>
        </w:tc>
        <w:tc>
          <w:tcPr>
            <w:tcW w:w="1794" w:type="pct"/>
            <w:tcBorders>
              <w:top w:val="single" w:sz="4" w:space="0" w:color="auto"/>
              <w:left w:val="single" w:sz="4" w:space="0" w:color="auto"/>
              <w:bottom w:val="single" w:sz="4" w:space="0" w:color="auto"/>
              <w:right w:val="single" w:sz="4" w:space="0" w:color="auto"/>
            </w:tcBorders>
            <w:vAlign w:val="center"/>
          </w:tcPr>
          <w:p w14:paraId="278359C0" w14:textId="393EE64C" w:rsidR="002061DC" w:rsidRPr="001150B8" w:rsidRDefault="002061DC" w:rsidP="002C2BAA">
            <w:pPr>
              <w:pStyle w:val="IFTnormal"/>
              <w:spacing w:after="0"/>
              <w:jc w:val="left"/>
              <w:rPr>
                <w:rFonts w:ascii="Arial" w:hAnsi="Arial"/>
                <w:b/>
                <w:u w:val="single"/>
              </w:rPr>
            </w:pPr>
            <w:r w:rsidRPr="002C2BAA">
              <w:rPr>
                <w:rFonts w:ascii="Verdana" w:eastAsia="Times New Roman" w:hAnsi="Verdana" w:cstheme="minorHAnsi"/>
                <w:b/>
                <w:color w:val="000000"/>
                <w:sz w:val="20"/>
                <w:szCs w:val="20"/>
                <w:lang w:eastAsia="es-MX"/>
              </w:rPr>
              <w:t>III.</w:t>
            </w:r>
            <w:r w:rsidRPr="002C2BAA">
              <w:rPr>
                <w:rFonts w:ascii="Verdana" w:eastAsia="Times New Roman" w:hAnsi="Verdana" w:cstheme="minorHAnsi"/>
                <w:b/>
                <w:color w:val="000000"/>
                <w:sz w:val="20"/>
                <w:szCs w:val="20"/>
                <w:lang w:eastAsia="es-MX"/>
              </w:rPr>
              <w:tab/>
              <w:t>Servicios de Acceso y Uso Compartido de Torres</w:t>
            </w:r>
            <w:r>
              <w:rPr>
                <w:rFonts w:ascii="Verdana" w:eastAsia="Times New Roman" w:hAnsi="Verdana" w:cstheme="minorHAnsi"/>
                <w:b/>
                <w:color w:val="000000"/>
                <w:sz w:val="20"/>
                <w:szCs w:val="20"/>
                <w:lang w:eastAsia="es-MX"/>
              </w:rPr>
              <w:t xml:space="preserve"> y </w:t>
            </w:r>
            <w:r w:rsidR="001150B8">
              <w:rPr>
                <w:rFonts w:ascii="Verdana" w:eastAsia="Times New Roman" w:hAnsi="Verdana" w:cstheme="minorHAnsi"/>
                <w:b/>
                <w:color w:val="000000"/>
                <w:sz w:val="20"/>
                <w:szCs w:val="20"/>
                <w:lang w:eastAsia="es-MX"/>
              </w:rPr>
              <w:t xml:space="preserve">IV </w:t>
            </w:r>
            <w:r w:rsidR="001150B8" w:rsidRPr="001150B8">
              <w:rPr>
                <w:rFonts w:ascii="Verdana" w:eastAsia="Times New Roman" w:hAnsi="Verdana" w:cstheme="minorHAnsi"/>
                <w:b/>
                <w:color w:val="000000"/>
                <w:sz w:val="20"/>
                <w:szCs w:val="20"/>
                <w:lang w:eastAsia="es-MX"/>
              </w:rPr>
              <w:t>Servicio</w:t>
            </w:r>
            <w:bookmarkStart w:id="59" w:name="_Toc388869607"/>
            <w:bookmarkStart w:id="60" w:name="_Toc398890440"/>
            <w:bookmarkStart w:id="61" w:name="_Toc400610130"/>
            <w:bookmarkStart w:id="62" w:name="_Toc423018245"/>
            <w:bookmarkStart w:id="63" w:name="_Toc433915567"/>
            <w:bookmarkStart w:id="64" w:name="_Toc435555546"/>
            <w:bookmarkStart w:id="65" w:name="_Toc436229700"/>
            <w:bookmarkStart w:id="66" w:name="_Toc436230615"/>
            <w:bookmarkStart w:id="67" w:name="_Toc525242651"/>
            <w:bookmarkStart w:id="68" w:name="_Toc525819054"/>
            <w:bookmarkStart w:id="69" w:name="_Toc20138647"/>
            <w:bookmarkStart w:id="70" w:name="_Toc20147867"/>
            <w:bookmarkStart w:id="71" w:name="_Toc20148327"/>
            <w:bookmarkStart w:id="72" w:name="_Toc20152916"/>
            <w:bookmarkStart w:id="73" w:name="_Toc20153193"/>
            <w:bookmarkStart w:id="74" w:name="_Toc20157599"/>
            <w:bookmarkStart w:id="75" w:name="_Toc20917211"/>
            <w:r w:rsidR="001150B8" w:rsidRPr="001150B8">
              <w:rPr>
                <w:rFonts w:ascii="Verdana" w:eastAsia="Times New Roman" w:hAnsi="Verdana" w:cstheme="minorHAnsi"/>
                <w:b/>
                <w:color w:val="000000"/>
                <w:sz w:val="20"/>
                <w:szCs w:val="20"/>
                <w:lang w:eastAsia="es-MX"/>
              </w:rPr>
              <w:t xml:space="preserve"> de Uso de Sitios, Predios y Espacios Físicos</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3E537EC6" w14:textId="4CE35033" w:rsidR="002061DC" w:rsidRDefault="002061DC" w:rsidP="002C2BAA">
            <w:pPr>
              <w:pStyle w:val="IFTnormal"/>
              <w:spacing w:after="0"/>
              <w:jc w:val="left"/>
              <w:rPr>
                <w:rFonts w:ascii="Verdana" w:eastAsia="Times New Roman" w:hAnsi="Verdana" w:cstheme="minorHAnsi"/>
                <w:b/>
                <w:color w:val="000000"/>
                <w:sz w:val="20"/>
                <w:szCs w:val="20"/>
                <w:lang w:eastAsia="es-MX"/>
              </w:rPr>
            </w:pPr>
            <w:r>
              <w:rPr>
                <w:rFonts w:ascii="Verdana" w:eastAsia="Times New Roman" w:hAnsi="Verdana" w:cstheme="minorHAnsi"/>
                <w:b/>
                <w:color w:val="000000"/>
                <w:sz w:val="20"/>
                <w:szCs w:val="20"/>
                <w:lang w:eastAsia="es-MX"/>
              </w:rPr>
              <w:t>…</w:t>
            </w:r>
          </w:p>
          <w:p w14:paraId="47889E2D" w14:textId="77777777" w:rsidR="002061DC" w:rsidRDefault="002061DC" w:rsidP="002C2BAA">
            <w:pPr>
              <w:pStyle w:val="IFTnormal"/>
              <w:spacing w:after="0"/>
              <w:jc w:val="left"/>
              <w:rPr>
                <w:rFonts w:ascii="Verdana" w:eastAsia="Times New Roman" w:hAnsi="Verdana" w:cstheme="minorHAnsi"/>
                <w:b/>
                <w:color w:val="000000"/>
                <w:sz w:val="20"/>
                <w:szCs w:val="20"/>
                <w:lang w:eastAsia="es-MX"/>
              </w:rPr>
            </w:pPr>
          </w:p>
          <w:p w14:paraId="1400551F" w14:textId="77777777" w:rsidR="002061DC" w:rsidRPr="002C2BAA" w:rsidRDefault="002061DC" w:rsidP="002C2BAA">
            <w:pPr>
              <w:pStyle w:val="IFTnormal"/>
              <w:spacing w:after="0"/>
              <w:rPr>
                <w:rFonts w:ascii="Verdana" w:eastAsia="Times New Roman" w:hAnsi="Verdana" w:cstheme="minorHAnsi"/>
                <w:b/>
                <w:color w:val="000000"/>
                <w:sz w:val="20"/>
                <w:szCs w:val="20"/>
                <w:lang w:eastAsia="es-MX"/>
              </w:rPr>
            </w:pPr>
            <w:r w:rsidRPr="002C2BAA">
              <w:rPr>
                <w:rFonts w:ascii="Verdana" w:eastAsia="Times New Roman" w:hAnsi="Verdana" w:cstheme="minorHAnsi"/>
                <w:b/>
                <w:color w:val="000000"/>
                <w:sz w:val="20"/>
                <w:szCs w:val="20"/>
                <w:lang w:eastAsia="es-MX"/>
              </w:rPr>
              <w:t>Etapa 7: Facturación</w:t>
            </w:r>
          </w:p>
          <w:p w14:paraId="6BCE3EE8" w14:textId="77777777" w:rsidR="002061DC" w:rsidRPr="002C2BAA" w:rsidRDefault="002061DC" w:rsidP="002C2BAA">
            <w:pPr>
              <w:pStyle w:val="IFTnormal"/>
              <w:spacing w:after="0"/>
              <w:rPr>
                <w:rFonts w:ascii="Verdana" w:eastAsia="Times New Roman" w:hAnsi="Verdana" w:cstheme="minorHAnsi"/>
                <w:b/>
                <w:color w:val="000000"/>
                <w:sz w:val="20"/>
                <w:szCs w:val="20"/>
                <w:lang w:eastAsia="es-MX"/>
              </w:rPr>
            </w:pPr>
          </w:p>
          <w:p w14:paraId="1049DDBB" w14:textId="77777777" w:rsidR="002061DC" w:rsidRDefault="002061DC" w:rsidP="002C2BAA">
            <w:pPr>
              <w:pStyle w:val="aaaIFTnormal"/>
              <w:spacing w:after="0"/>
              <w:rPr>
                <w:rFonts w:ascii="Verdana" w:eastAsia="Times New Roman" w:hAnsi="Verdana" w:cstheme="minorHAnsi"/>
                <w:color w:val="0070C0"/>
                <w:sz w:val="20"/>
                <w:szCs w:val="20"/>
                <w:lang w:eastAsia="es-MX"/>
              </w:rPr>
            </w:pPr>
            <w:r w:rsidRPr="002C2BAA">
              <w:rPr>
                <w:rFonts w:ascii="Verdana" w:eastAsia="Times New Roman" w:hAnsi="Verdana" w:cstheme="minorHAnsi"/>
                <w:color w:val="0070C0"/>
                <w:sz w:val="20"/>
                <w:szCs w:val="20"/>
                <w:lang w:eastAsia="es-MX"/>
              </w:rPr>
              <w:t>La facturación de los cargos recurrentes se realizará a mes corriente, y se iniciará posteriormente a la aprobación del anteproyecto</w:t>
            </w:r>
            <w:r>
              <w:rPr>
                <w:rFonts w:ascii="Verdana" w:eastAsia="Times New Roman" w:hAnsi="Verdana" w:cstheme="minorHAnsi"/>
                <w:color w:val="0070C0"/>
                <w:sz w:val="20"/>
                <w:szCs w:val="20"/>
                <w:lang w:eastAsia="es-MX"/>
              </w:rPr>
              <w:t>.</w:t>
            </w:r>
          </w:p>
          <w:p w14:paraId="2AA2ED33" w14:textId="77777777" w:rsidR="002061DC" w:rsidRPr="002C2BAA" w:rsidRDefault="002061DC" w:rsidP="002C2BAA">
            <w:pPr>
              <w:pStyle w:val="aaaIFTnormal"/>
              <w:spacing w:after="0"/>
              <w:rPr>
                <w:rFonts w:ascii="Verdana" w:eastAsia="Times New Roman" w:hAnsi="Verdana" w:cstheme="minorHAnsi"/>
                <w:strike/>
                <w:color w:val="0070C0"/>
                <w:sz w:val="20"/>
                <w:szCs w:val="20"/>
                <w:lang w:eastAsia="es-MX"/>
              </w:rPr>
            </w:pPr>
            <w:r w:rsidRPr="002C2BAA">
              <w:rPr>
                <w:rFonts w:ascii="Verdana" w:eastAsia="Times New Roman" w:hAnsi="Verdana" w:cstheme="minorHAnsi"/>
                <w:strike/>
                <w:color w:val="0070C0"/>
                <w:sz w:val="20"/>
                <w:szCs w:val="20"/>
                <w:lang w:eastAsia="es-MX"/>
              </w:rPr>
              <w:t>Una vez firmado el Formato de Acuerdo de Compartición de Infraestructura se inicia con la facturación del Servicio para lo cual, Telmex y Telnor integrarán el Formato firmado en el expediente del CS o AS en el SEG.</w:t>
            </w:r>
          </w:p>
          <w:p w14:paraId="6CC5B003" w14:textId="77777777" w:rsidR="002061DC" w:rsidRDefault="002061DC" w:rsidP="002C2BAA">
            <w:pPr>
              <w:pStyle w:val="aaaIFTnormal"/>
              <w:spacing w:after="0"/>
              <w:rPr>
                <w:rFonts w:cs="Arial"/>
              </w:rPr>
            </w:pPr>
            <w:r w:rsidRPr="009152F6">
              <w:rPr>
                <w:rFonts w:cs="Arial"/>
              </w:rPr>
              <w:t xml:space="preserve">Queda establecido que, mediante el envío </w:t>
            </w:r>
            <w:r>
              <w:rPr>
                <w:rFonts w:cs="Arial"/>
              </w:rPr>
              <w:t xml:space="preserve">de la aceptación del anteproyecto </w:t>
            </w:r>
            <w:r w:rsidRPr="002C2BAA">
              <w:rPr>
                <w:rFonts w:ascii="Verdana" w:eastAsia="Times New Roman" w:hAnsi="Verdana" w:cstheme="minorHAnsi"/>
                <w:strike/>
                <w:color w:val="0070C0"/>
                <w:sz w:val="20"/>
                <w:szCs w:val="20"/>
                <w:lang w:eastAsia="es-MX"/>
              </w:rPr>
              <w:t>del formato correspondiente</w:t>
            </w:r>
            <w:r w:rsidRPr="009152F6">
              <w:rPr>
                <w:rFonts w:cs="Arial"/>
              </w:rPr>
              <w:t>, los CS</w:t>
            </w:r>
            <w:r>
              <w:rPr>
                <w:rFonts w:cs="Arial"/>
              </w:rPr>
              <w:t xml:space="preserve"> o AS</w:t>
            </w:r>
            <w:r w:rsidRPr="009152F6">
              <w:rPr>
                <w:rFonts w:cs="Arial"/>
              </w:rPr>
              <w:t xml:space="preserve"> se obligan al pago por los servicios devengados establecidos en las secciones “Cargos no Recurrentes” así como por los elementos de cobro que conforman el servicio</w:t>
            </w:r>
          </w:p>
          <w:p w14:paraId="76FE63E3" w14:textId="77777777" w:rsidR="002061DC" w:rsidRDefault="002061DC" w:rsidP="002C2BAA">
            <w:pPr>
              <w:pStyle w:val="aaaIFTnormal"/>
              <w:spacing w:after="0"/>
              <w:rPr>
                <w:rFonts w:cs="Arial"/>
              </w:rPr>
            </w:pPr>
          </w:p>
          <w:p w14:paraId="184B04F6" w14:textId="5D7000F9" w:rsidR="002061DC" w:rsidRDefault="002061DC" w:rsidP="002C2BAA">
            <w:pPr>
              <w:pStyle w:val="IFTnormal"/>
              <w:spacing w:after="0"/>
              <w:outlineLvl w:val="2"/>
              <w:rPr>
                <w:rFonts w:ascii="Arial" w:hAnsi="Arial"/>
                <w:b/>
                <w:u w:val="single"/>
              </w:rPr>
            </w:pPr>
            <w:r>
              <w:rPr>
                <w:rFonts w:ascii="Arial" w:hAnsi="Arial"/>
                <w:b/>
                <w:u w:val="single"/>
                <w:lang w:val="es-ES"/>
              </w:rPr>
              <w:t xml:space="preserve">III.2 </w:t>
            </w:r>
            <w:r w:rsidRPr="00922C77">
              <w:rPr>
                <w:rFonts w:ascii="Arial" w:hAnsi="Arial"/>
                <w:b/>
                <w:u w:val="single"/>
                <w:lang w:val="es-ES"/>
              </w:rPr>
              <w:t>Modificación</w:t>
            </w:r>
            <w:r w:rsidRPr="00922C77">
              <w:rPr>
                <w:rFonts w:ascii="Arial" w:hAnsi="Arial"/>
                <w:b/>
                <w:u w:val="single"/>
              </w:rPr>
              <w:t xml:space="preserve"> de los </w:t>
            </w:r>
            <w:r w:rsidRPr="00922C77">
              <w:rPr>
                <w:rFonts w:ascii="Arial" w:hAnsi="Arial"/>
                <w:b/>
                <w:u w:val="single"/>
                <w:lang w:val="es-ES"/>
              </w:rPr>
              <w:t xml:space="preserve">Servicios </w:t>
            </w:r>
            <w:r w:rsidRPr="00922C77">
              <w:rPr>
                <w:rFonts w:ascii="Arial" w:hAnsi="Arial"/>
                <w:b/>
                <w:u w:val="single"/>
              </w:rPr>
              <w:t>de U</w:t>
            </w:r>
            <w:r>
              <w:rPr>
                <w:rFonts w:ascii="Arial" w:hAnsi="Arial"/>
                <w:b/>
                <w:u w:val="single"/>
              </w:rPr>
              <w:t>so Compartido de Torres</w:t>
            </w:r>
          </w:p>
          <w:p w14:paraId="4ED1F130" w14:textId="77777777" w:rsidR="002061DC" w:rsidRDefault="002061DC" w:rsidP="002061DC">
            <w:pPr>
              <w:pStyle w:val="IFTnormal"/>
              <w:spacing w:after="0"/>
              <w:rPr>
                <w:rFonts w:ascii="Arial" w:hAnsi="Arial"/>
                <w:b/>
              </w:rPr>
            </w:pPr>
            <w:r w:rsidRPr="00536594">
              <w:rPr>
                <w:rFonts w:ascii="Arial" w:hAnsi="Arial"/>
                <w:b/>
              </w:rPr>
              <w:t xml:space="preserve">Etapa </w:t>
            </w:r>
            <w:r>
              <w:rPr>
                <w:rFonts w:ascii="Arial" w:hAnsi="Arial"/>
                <w:b/>
              </w:rPr>
              <w:t>5</w:t>
            </w:r>
            <w:r w:rsidRPr="00536594">
              <w:rPr>
                <w:rFonts w:ascii="Arial" w:hAnsi="Arial"/>
                <w:b/>
              </w:rPr>
              <w:t>: Verificación de Instalación de Infraestructura</w:t>
            </w:r>
          </w:p>
          <w:p w14:paraId="3FB66E69" w14:textId="77777777" w:rsidR="002061DC" w:rsidRPr="002061DC" w:rsidRDefault="002061DC" w:rsidP="002C2BAA">
            <w:pPr>
              <w:pStyle w:val="IFTnormal"/>
              <w:spacing w:after="0"/>
              <w:outlineLvl w:val="2"/>
              <w:rPr>
                <w:rFonts w:ascii="Arial" w:hAnsi="Arial"/>
                <w:b/>
                <w:lang w:val="es-ES"/>
              </w:rPr>
            </w:pPr>
            <w:r w:rsidRPr="002061DC">
              <w:rPr>
                <w:rFonts w:ascii="Arial" w:hAnsi="Arial"/>
                <w:b/>
                <w:lang w:val="es-ES"/>
              </w:rPr>
              <w:t>5.2.2</w:t>
            </w:r>
          </w:p>
          <w:p w14:paraId="671EA5C3" w14:textId="1D0AA016" w:rsidR="002061DC" w:rsidRPr="002061DC" w:rsidRDefault="002061DC" w:rsidP="002C2BAA">
            <w:pPr>
              <w:pStyle w:val="IFTnormal"/>
              <w:spacing w:after="0"/>
              <w:outlineLvl w:val="2"/>
              <w:rPr>
                <w:rFonts w:ascii="Arial" w:hAnsi="Arial"/>
                <w:b/>
                <w:lang w:val="es-ES"/>
              </w:rPr>
            </w:pPr>
            <w:r w:rsidRPr="002061DC">
              <w:rPr>
                <w:rFonts w:ascii="Arial" w:hAnsi="Arial"/>
                <w:b/>
                <w:lang w:val="es-ES"/>
              </w:rPr>
              <w:t>…</w:t>
            </w:r>
          </w:p>
          <w:p w14:paraId="173A3EE7" w14:textId="3487EBE6" w:rsidR="002061DC" w:rsidRDefault="002061DC" w:rsidP="002061DC">
            <w:pPr>
              <w:pStyle w:val="IFTnormal"/>
              <w:spacing w:after="0"/>
              <w:rPr>
                <w:rFonts w:ascii="Arial" w:hAnsi="Arial"/>
              </w:rPr>
            </w:pPr>
            <w:r w:rsidRPr="00536594">
              <w:rPr>
                <w:rFonts w:ascii="Arial" w:hAnsi="Arial"/>
              </w:rPr>
              <w:t xml:space="preserve">Esta actividad deberá repetirse en tanto no se logre la Verificación satisfactoria </w:t>
            </w:r>
            <w:r>
              <w:rPr>
                <w:rFonts w:ascii="Arial" w:hAnsi="Arial"/>
              </w:rPr>
              <w:t xml:space="preserve">conforme a lo establecido en </w:t>
            </w:r>
            <w:r w:rsidRPr="00D21BCE">
              <w:rPr>
                <w:rFonts w:ascii="Arial" w:hAnsi="Arial"/>
              </w:rPr>
              <w:t xml:space="preserve">la </w:t>
            </w:r>
            <w:r w:rsidRPr="00953878">
              <w:rPr>
                <w:rFonts w:ascii="Arial" w:hAnsi="Arial"/>
                <w:lang w:val="es-ES"/>
              </w:rPr>
              <w:t>Actualización de Anteproyecto y Programa de Trabajo</w:t>
            </w:r>
            <w:r w:rsidRPr="002061DC">
              <w:rPr>
                <w:rFonts w:ascii="Verdana" w:eastAsia="Times New Roman" w:hAnsi="Verdana" w:cstheme="minorHAnsi"/>
                <w:strike/>
                <w:color w:val="0070C0"/>
                <w:sz w:val="20"/>
                <w:szCs w:val="20"/>
                <w:lang w:eastAsia="es-MX"/>
              </w:rPr>
              <w:t>, y la firma del Formato de Acuerdo de Compartición de Infraestructura</w:t>
            </w:r>
            <w:r w:rsidRPr="00953878">
              <w:rPr>
                <w:rFonts w:ascii="Arial" w:hAnsi="Arial"/>
              </w:rPr>
              <w:t>.</w:t>
            </w:r>
          </w:p>
          <w:p w14:paraId="3BAC1DE5" w14:textId="77777777" w:rsidR="002061DC" w:rsidRPr="00567457" w:rsidRDefault="002061DC" w:rsidP="002C2BAA">
            <w:pPr>
              <w:pStyle w:val="IFTnormal"/>
              <w:spacing w:after="0"/>
              <w:outlineLvl w:val="2"/>
              <w:rPr>
                <w:rFonts w:ascii="Arial" w:hAnsi="Arial"/>
                <w:b/>
                <w:u w:val="single"/>
                <w:lang w:val="es-ES"/>
              </w:rPr>
            </w:pPr>
          </w:p>
          <w:p w14:paraId="583CDA1A" w14:textId="77777777" w:rsidR="002061DC" w:rsidRPr="002061DC" w:rsidRDefault="002061DC" w:rsidP="002061DC">
            <w:pPr>
              <w:pStyle w:val="aaaIFTnormal"/>
              <w:spacing w:after="0"/>
              <w:rPr>
                <w:rFonts w:ascii="Verdana" w:eastAsia="Times New Roman" w:hAnsi="Verdana" w:cstheme="minorHAnsi"/>
                <w:color w:val="000000"/>
                <w:sz w:val="20"/>
                <w:szCs w:val="20"/>
                <w:lang w:eastAsia="es-MX"/>
              </w:rPr>
            </w:pPr>
            <w:r w:rsidRPr="002061DC">
              <w:rPr>
                <w:rFonts w:ascii="Verdana" w:eastAsia="Times New Roman" w:hAnsi="Verdana" w:cstheme="minorHAnsi"/>
                <w:color w:val="000000"/>
                <w:sz w:val="20"/>
                <w:szCs w:val="20"/>
                <w:lang w:eastAsia="es-MX"/>
              </w:rPr>
              <w:t>Etapa 6: Facturación</w:t>
            </w:r>
          </w:p>
          <w:p w14:paraId="3187ECDD" w14:textId="77777777" w:rsidR="002061DC" w:rsidRPr="002061DC" w:rsidRDefault="002061DC" w:rsidP="002061DC">
            <w:pPr>
              <w:pStyle w:val="aaaIFTnormal"/>
              <w:spacing w:after="0"/>
              <w:rPr>
                <w:rFonts w:ascii="Verdana" w:eastAsia="Times New Roman" w:hAnsi="Verdana" w:cstheme="minorHAnsi"/>
                <w:color w:val="000000"/>
                <w:sz w:val="20"/>
                <w:szCs w:val="20"/>
                <w:lang w:eastAsia="es-MX"/>
              </w:rPr>
            </w:pPr>
          </w:p>
          <w:p w14:paraId="09A7FB49" w14:textId="4696B6D2" w:rsidR="002061DC" w:rsidRPr="002C2BAA" w:rsidRDefault="002061DC" w:rsidP="002061DC">
            <w:pPr>
              <w:pStyle w:val="aaaIFTnormal"/>
              <w:spacing w:after="0"/>
              <w:rPr>
                <w:rFonts w:ascii="Verdana" w:eastAsia="Times New Roman" w:hAnsi="Verdana" w:cstheme="minorHAnsi"/>
                <w:color w:val="000000"/>
                <w:sz w:val="20"/>
                <w:szCs w:val="20"/>
                <w:lang w:eastAsia="es-MX"/>
              </w:rPr>
            </w:pPr>
            <w:r w:rsidRPr="002061DC">
              <w:rPr>
                <w:rFonts w:ascii="Verdana" w:eastAsia="Times New Roman" w:hAnsi="Verdana" w:cstheme="minorHAnsi"/>
                <w:color w:val="0070C0"/>
                <w:sz w:val="20"/>
                <w:szCs w:val="20"/>
                <w:lang w:eastAsia="es-MX"/>
              </w:rPr>
              <w:t>La facturación de los cargos recurrentes se realizará a mes corriente, y se iniciará posteriormente a la aprobación del anteproyecto</w:t>
            </w:r>
            <w:r w:rsidRPr="002061DC">
              <w:rPr>
                <w:rFonts w:ascii="Verdana" w:eastAsia="Times New Roman" w:hAnsi="Verdana" w:cstheme="minorHAnsi"/>
                <w:color w:val="000000"/>
                <w:sz w:val="20"/>
                <w:szCs w:val="20"/>
                <w:lang w:eastAsia="es-MX"/>
              </w:rPr>
              <w:t>. Una vez concluidos los procedimientos anteriores se firmará el Formato de Acuerdo de Compartición de Infraestructura, y Telmex y Telnor integrarán el formato correspondiente firmado en el expediente del CS o AS en el SEG.</w:t>
            </w:r>
          </w:p>
        </w:tc>
        <w:tc>
          <w:tcPr>
            <w:tcW w:w="1576" w:type="pct"/>
            <w:vMerge/>
            <w:tcBorders>
              <w:left w:val="single" w:sz="4" w:space="0" w:color="auto"/>
              <w:bottom w:val="single" w:sz="4" w:space="0" w:color="auto"/>
              <w:right w:val="single" w:sz="4" w:space="0" w:color="auto"/>
            </w:tcBorders>
          </w:tcPr>
          <w:p w14:paraId="0C5FCE5A" w14:textId="77777777" w:rsidR="002061DC" w:rsidRPr="00F84DDB" w:rsidRDefault="002061DC" w:rsidP="008A3B3E">
            <w:pPr>
              <w:pStyle w:val="aaaIFTnormal"/>
              <w:spacing w:after="0"/>
              <w:ind w:left="113" w:right="57"/>
              <w:rPr>
                <w:rFonts w:ascii="Verdana" w:hAnsi="Verdana" w:cstheme="minorHAnsi"/>
                <w:sz w:val="20"/>
                <w:szCs w:val="20"/>
                <w:lang w:val="es-ES_tradnl"/>
              </w:rPr>
            </w:pPr>
          </w:p>
        </w:tc>
      </w:tr>
      <w:tr w:rsidR="001150B8" w:rsidRPr="00053888" w14:paraId="30CF5D1C" w14:textId="77777777" w:rsidTr="00A30517">
        <w:trPr>
          <w:trHeight w:val="3303"/>
          <w:jc w:val="center"/>
        </w:trPr>
        <w:tc>
          <w:tcPr>
            <w:tcW w:w="216" w:type="pct"/>
            <w:vMerge w:val="restart"/>
            <w:tcBorders>
              <w:top w:val="single" w:sz="4" w:space="0" w:color="auto"/>
              <w:left w:val="single" w:sz="4" w:space="0" w:color="auto"/>
              <w:right w:val="single" w:sz="4" w:space="0" w:color="auto"/>
            </w:tcBorders>
            <w:vAlign w:val="center"/>
          </w:tcPr>
          <w:p w14:paraId="2335CE1C" w14:textId="75A98D05" w:rsidR="001150B8" w:rsidRPr="00053888" w:rsidRDefault="001150B8" w:rsidP="008A3B3E">
            <w:pPr>
              <w:spacing w:after="0" w:line="240" w:lineRule="auto"/>
              <w:jc w:val="center"/>
              <w:rPr>
                <w:rFonts w:ascii="Verdana" w:eastAsia="Times New Roman" w:hAnsi="Verdana" w:cstheme="minorHAnsi"/>
                <w:color w:val="000000"/>
                <w:sz w:val="20"/>
                <w:szCs w:val="20"/>
                <w:lang w:eastAsia="es-MX"/>
              </w:rPr>
            </w:pPr>
            <w:r>
              <w:rPr>
                <w:rFonts w:ascii="Verdana" w:eastAsia="Times New Roman" w:hAnsi="Verdana" w:cstheme="minorHAnsi"/>
                <w:color w:val="000000"/>
                <w:sz w:val="20"/>
                <w:szCs w:val="20"/>
                <w:lang w:eastAsia="es-MX"/>
              </w:rPr>
              <w:t>9</w:t>
            </w:r>
          </w:p>
        </w:tc>
        <w:tc>
          <w:tcPr>
            <w:tcW w:w="652" w:type="pct"/>
            <w:vMerge w:val="restart"/>
            <w:tcBorders>
              <w:top w:val="single" w:sz="4" w:space="0" w:color="auto"/>
              <w:left w:val="single" w:sz="4" w:space="0" w:color="auto"/>
              <w:right w:val="single" w:sz="4" w:space="0" w:color="auto"/>
            </w:tcBorders>
            <w:vAlign w:val="center"/>
          </w:tcPr>
          <w:p w14:paraId="6230CBD5" w14:textId="62A8216C" w:rsidR="001150B8" w:rsidRPr="00053888" w:rsidRDefault="001150B8" w:rsidP="008A3B3E">
            <w:pPr>
              <w:pStyle w:val="aaaIFTnormal"/>
              <w:spacing w:after="0"/>
              <w:outlineLvl w:val="0"/>
              <w:rPr>
                <w:rFonts w:ascii="Verdana" w:hAnsi="Verdana" w:cstheme="minorHAnsi"/>
                <w:b/>
                <w:sz w:val="20"/>
                <w:szCs w:val="20"/>
              </w:rPr>
            </w:pPr>
            <w:r>
              <w:rPr>
                <w:rFonts w:ascii="Verdana" w:hAnsi="Verdana" w:cstheme="minorHAnsi"/>
                <w:b/>
                <w:sz w:val="20"/>
                <w:szCs w:val="20"/>
              </w:rPr>
              <w:t xml:space="preserve">Pago </w:t>
            </w:r>
            <w:r w:rsidRPr="00053888">
              <w:rPr>
                <w:rFonts w:ascii="Verdana" w:hAnsi="Verdana" w:cstheme="minorHAnsi"/>
                <w:b/>
                <w:sz w:val="20"/>
                <w:szCs w:val="20"/>
              </w:rPr>
              <w:t>Trabajo Especial</w:t>
            </w:r>
          </w:p>
        </w:tc>
        <w:tc>
          <w:tcPr>
            <w:tcW w:w="761" w:type="pct"/>
            <w:tcBorders>
              <w:top w:val="single" w:sz="4" w:space="0" w:color="auto"/>
              <w:left w:val="single" w:sz="4" w:space="0" w:color="auto"/>
              <w:bottom w:val="single" w:sz="4" w:space="0" w:color="auto"/>
              <w:right w:val="single" w:sz="4" w:space="0" w:color="auto"/>
            </w:tcBorders>
            <w:vAlign w:val="center"/>
          </w:tcPr>
          <w:p w14:paraId="0508850C" w14:textId="77777777" w:rsidR="001150B8" w:rsidRPr="00053888" w:rsidRDefault="001150B8" w:rsidP="008A3B3E">
            <w:pPr>
              <w:pStyle w:val="aaaIFTnormal"/>
              <w:spacing w:after="0"/>
              <w:outlineLvl w:val="0"/>
              <w:rPr>
                <w:rFonts w:ascii="Verdana" w:hAnsi="Verdana" w:cstheme="minorHAnsi"/>
                <w:b/>
                <w:sz w:val="20"/>
                <w:szCs w:val="20"/>
              </w:rPr>
            </w:pPr>
            <w:bookmarkStart w:id="76" w:name="_Toc525242673"/>
            <w:bookmarkStart w:id="77" w:name="_Toc525819090"/>
            <w:bookmarkStart w:id="78" w:name="_Toc20138773"/>
            <w:bookmarkStart w:id="79" w:name="_Toc20147897"/>
            <w:bookmarkStart w:id="80" w:name="_Toc20148357"/>
            <w:bookmarkStart w:id="81" w:name="_Toc20152946"/>
            <w:bookmarkStart w:id="82" w:name="_Toc20153223"/>
            <w:bookmarkStart w:id="83" w:name="_Toc20157629"/>
            <w:bookmarkStart w:id="84" w:name="_Toc20158906"/>
            <w:bookmarkStart w:id="85" w:name="_Toc22919504"/>
            <w:bookmarkStart w:id="86" w:name="_Toc50574993"/>
            <w:bookmarkStart w:id="87" w:name="_Toc50984725"/>
            <w:bookmarkStart w:id="88" w:name="_Toc50985449"/>
            <w:bookmarkStart w:id="89" w:name="_Toc50985626"/>
            <w:bookmarkStart w:id="90" w:name="_Toc88580914"/>
            <w:r w:rsidRPr="00053888">
              <w:rPr>
                <w:rFonts w:ascii="Verdana" w:hAnsi="Verdana" w:cstheme="minorHAnsi"/>
                <w:b/>
                <w:sz w:val="20"/>
                <w:szCs w:val="20"/>
              </w:rPr>
              <w:t xml:space="preserve">VI. </w:t>
            </w:r>
          </w:p>
          <w:p w14:paraId="32E4C898" w14:textId="77777777" w:rsidR="001150B8" w:rsidRDefault="001150B8" w:rsidP="008A3B3E">
            <w:pPr>
              <w:pStyle w:val="aaaIFTnormal"/>
              <w:spacing w:after="0"/>
              <w:outlineLvl w:val="0"/>
              <w:rPr>
                <w:rFonts w:ascii="Verdana" w:hAnsi="Verdana" w:cstheme="minorHAnsi"/>
                <w:b/>
                <w:sz w:val="20"/>
                <w:szCs w:val="20"/>
              </w:rPr>
            </w:pPr>
            <w:r w:rsidRPr="00053888">
              <w:rPr>
                <w:rFonts w:ascii="Verdana" w:hAnsi="Verdana" w:cstheme="minorHAnsi"/>
                <w:b/>
                <w:sz w:val="20"/>
                <w:szCs w:val="20"/>
              </w:rPr>
              <w:t>Trabajos Especiales asociados a los servicios de Acceso y Uso Compartido de la Infraestructura Pasiva</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396BABFB" w14:textId="6DC1458E" w:rsidR="001150B8" w:rsidRPr="009E663D" w:rsidRDefault="001150B8" w:rsidP="00E52BB2">
            <w:pPr>
              <w:pStyle w:val="aaaIFTnormal"/>
              <w:spacing w:after="0"/>
              <w:rPr>
                <w:rFonts w:ascii="Verdana" w:hAnsi="Verdana" w:cstheme="minorHAnsi"/>
                <w:sz w:val="20"/>
                <w:szCs w:val="20"/>
                <w:lang w:val="es-ES_tradnl"/>
              </w:rPr>
            </w:pPr>
            <w:r>
              <w:rPr>
                <w:rFonts w:ascii="Verdana" w:hAnsi="Verdana" w:cstheme="minorHAnsi"/>
                <w:sz w:val="20"/>
                <w:szCs w:val="20"/>
                <w:lang w:val="es-ES_tradnl"/>
              </w:rPr>
              <w:t>(</w:t>
            </w:r>
            <w:r w:rsidRPr="009E663D">
              <w:rPr>
                <w:rFonts w:ascii="Verdana" w:hAnsi="Verdana" w:cstheme="minorHAnsi"/>
                <w:sz w:val="20"/>
                <w:szCs w:val="20"/>
                <w:lang w:val="es-ES_tradnl"/>
              </w:rPr>
              <w:t xml:space="preserve">Pág. </w:t>
            </w:r>
            <w:r>
              <w:rPr>
                <w:rFonts w:ascii="Verdana" w:hAnsi="Verdana" w:cstheme="minorHAnsi"/>
                <w:sz w:val="20"/>
                <w:szCs w:val="20"/>
                <w:lang w:val="es-ES_tradnl"/>
              </w:rPr>
              <w:t>20)</w:t>
            </w:r>
          </w:p>
          <w:p w14:paraId="5EAD4CE4" w14:textId="77777777" w:rsidR="001150B8" w:rsidRPr="00053888" w:rsidRDefault="001150B8" w:rsidP="008A3B3E">
            <w:pPr>
              <w:pStyle w:val="aaaIFTnormal"/>
              <w:spacing w:after="0"/>
              <w:outlineLvl w:val="0"/>
              <w:rPr>
                <w:rFonts w:ascii="Verdana" w:hAnsi="Verdana" w:cstheme="minorHAnsi"/>
                <w:b/>
                <w:sz w:val="20"/>
                <w:szCs w:val="20"/>
              </w:rPr>
            </w:pPr>
          </w:p>
          <w:p w14:paraId="0DF041A5" w14:textId="77777777" w:rsidR="001150B8" w:rsidRPr="00053888" w:rsidRDefault="001150B8" w:rsidP="008A3B3E">
            <w:pPr>
              <w:pStyle w:val="aaaIFTnormal"/>
              <w:spacing w:after="0"/>
              <w:rPr>
                <w:rFonts w:ascii="Verdana" w:hAnsi="Verdana" w:cstheme="minorHAnsi"/>
                <w:b/>
                <w:sz w:val="20"/>
                <w:szCs w:val="20"/>
                <w:lang w:val="es-ES_tradnl"/>
              </w:rPr>
            </w:pPr>
          </w:p>
        </w:tc>
        <w:tc>
          <w:tcPr>
            <w:tcW w:w="1794" w:type="pct"/>
            <w:tcBorders>
              <w:top w:val="single" w:sz="4" w:space="0" w:color="auto"/>
              <w:left w:val="single" w:sz="4" w:space="0" w:color="auto"/>
              <w:bottom w:val="single" w:sz="4" w:space="0" w:color="auto"/>
              <w:right w:val="single" w:sz="4" w:space="0" w:color="auto"/>
            </w:tcBorders>
            <w:vAlign w:val="center"/>
          </w:tcPr>
          <w:p w14:paraId="551302EC" w14:textId="77777777" w:rsidR="001150B8" w:rsidRPr="00053888" w:rsidRDefault="001150B8" w:rsidP="008A3B3E">
            <w:pPr>
              <w:pStyle w:val="IFTnormal"/>
              <w:spacing w:after="0"/>
              <w:ind w:left="155"/>
              <w:rPr>
                <w:rFonts w:ascii="Verdana" w:eastAsia="Times New Roman" w:hAnsi="Verdana" w:cstheme="minorHAnsi"/>
                <w:b/>
                <w:color w:val="000000"/>
                <w:sz w:val="20"/>
                <w:szCs w:val="20"/>
                <w:lang w:eastAsia="es-MX"/>
              </w:rPr>
            </w:pPr>
            <w:r w:rsidRPr="00053888">
              <w:rPr>
                <w:rFonts w:ascii="Verdana" w:eastAsia="Times New Roman" w:hAnsi="Verdana" w:cstheme="minorHAnsi"/>
                <w:b/>
                <w:color w:val="000000"/>
                <w:sz w:val="20"/>
                <w:szCs w:val="20"/>
                <w:lang w:eastAsia="es-MX"/>
              </w:rPr>
              <w:t>VI. Trabajos Especiales asociados a los servicios de Acceso y Uso Compartido de la Infraestructura Pasiva</w:t>
            </w:r>
          </w:p>
          <w:p w14:paraId="79CC5CD1" w14:textId="77777777" w:rsidR="001150B8" w:rsidRPr="00053888" w:rsidRDefault="001150B8" w:rsidP="008A3B3E">
            <w:pPr>
              <w:pStyle w:val="aaaIFTnormal"/>
              <w:spacing w:after="0"/>
              <w:rPr>
                <w:rFonts w:ascii="Verdana" w:hAnsi="Verdana" w:cstheme="minorHAnsi"/>
                <w:sz w:val="20"/>
                <w:szCs w:val="20"/>
                <w:lang w:val="es-ES_tradnl"/>
              </w:rPr>
            </w:pPr>
            <w:r w:rsidRPr="00053888">
              <w:rPr>
                <w:rFonts w:ascii="Verdana" w:hAnsi="Verdana" w:cstheme="minorHAnsi"/>
                <w:sz w:val="20"/>
                <w:szCs w:val="20"/>
                <w:lang w:val="es-ES_tradnl"/>
              </w:rPr>
              <w:t>...</w:t>
            </w:r>
          </w:p>
          <w:p w14:paraId="3011B36A" w14:textId="77777777" w:rsidR="001150B8" w:rsidRPr="00053888" w:rsidRDefault="001150B8" w:rsidP="008A3B3E">
            <w:pPr>
              <w:pStyle w:val="aaaIFTnormal"/>
              <w:spacing w:after="0"/>
              <w:rPr>
                <w:rFonts w:ascii="Verdana" w:hAnsi="Verdana" w:cstheme="minorHAnsi"/>
                <w:sz w:val="20"/>
                <w:szCs w:val="20"/>
                <w:lang w:val="es-ES_tradnl"/>
              </w:rPr>
            </w:pPr>
            <w:r w:rsidRPr="00053888">
              <w:rPr>
                <w:rFonts w:ascii="Verdana" w:hAnsi="Verdana" w:cstheme="minorHAnsi"/>
                <w:sz w:val="20"/>
                <w:szCs w:val="20"/>
                <w:lang w:val="es-ES_tradnl"/>
              </w:rPr>
              <w:t>…</w:t>
            </w:r>
          </w:p>
          <w:p w14:paraId="321CBC28" w14:textId="77777777" w:rsidR="001150B8" w:rsidRPr="00053888" w:rsidRDefault="001150B8" w:rsidP="008A3B3E">
            <w:pPr>
              <w:pStyle w:val="aaaIFTnormal"/>
              <w:spacing w:after="0"/>
              <w:rPr>
                <w:rFonts w:ascii="Verdana" w:hAnsi="Verdana" w:cstheme="minorHAnsi"/>
                <w:sz w:val="20"/>
                <w:szCs w:val="20"/>
                <w:lang w:val="es-ES_tradnl"/>
              </w:rPr>
            </w:pPr>
            <w:r w:rsidRPr="00053888">
              <w:rPr>
                <w:rFonts w:ascii="Verdana" w:hAnsi="Verdana" w:cstheme="minorHAnsi"/>
                <w:sz w:val="20"/>
                <w:szCs w:val="20"/>
                <w:lang w:val="es-ES_tradnl"/>
              </w:rPr>
              <w:t>…</w:t>
            </w:r>
          </w:p>
          <w:p w14:paraId="136B0B6C" w14:textId="77777777" w:rsidR="001150B8" w:rsidRDefault="001150B8" w:rsidP="008A3B3E">
            <w:pPr>
              <w:pStyle w:val="aaaIFTnormal"/>
              <w:spacing w:after="0"/>
              <w:rPr>
                <w:rFonts w:ascii="Verdana" w:hAnsi="Verdana" w:cstheme="minorHAnsi"/>
                <w:sz w:val="20"/>
                <w:szCs w:val="20"/>
                <w:lang w:val="es-ES_tradnl"/>
              </w:rPr>
            </w:pPr>
            <w:r w:rsidRPr="00053888">
              <w:rPr>
                <w:rFonts w:ascii="Verdana" w:hAnsi="Verdana" w:cstheme="minorHAnsi"/>
                <w:sz w:val="20"/>
                <w:szCs w:val="20"/>
                <w:lang w:val="es-ES_tradnl"/>
              </w:rPr>
              <w:t>Telmex y Telnor</w:t>
            </w:r>
            <w:r w:rsidRPr="00053888" w:rsidDel="00EA5C09">
              <w:rPr>
                <w:rFonts w:ascii="Verdana" w:hAnsi="Verdana" w:cstheme="minorHAnsi"/>
                <w:sz w:val="20"/>
                <w:szCs w:val="20"/>
                <w:lang w:val="es-ES_tradnl"/>
              </w:rPr>
              <w:t xml:space="preserve"> </w:t>
            </w:r>
            <w:r w:rsidRPr="00053888">
              <w:rPr>
                <w:rFonts w:ascii="Verdana" w:hAnsi="Verdana" w:cstheme="minorHAnsi"/>
                <w:sz w:val="20"/>
                <w:szCs w:val="20"/>
                <w:lang w:val="es-ES_tradnl"/>
              </w:rPr>
              <w:t xml:space="preserve">deberán proporcionar al </w:t>
            </w:r>
            <w:r w:rsidRPr="00053888" w:rsidDel="0068201B">
              <w:rPr>
                <w:rFonts w:ascii="Verdana" w:hAnsi="Verdana" w:cstheme="minorHAnsi"/>
                <w:sz w:val="20"/>
                <w:szCs w:val="20"/>
                <w:lang w:val="es-ES_tradnl"/>
              </w:rPr>
              <w:t>CS</w:t>
            </w:r>
            <w:r w:rsidRPr="00053888">
              <w:rPr>
                <w:rFonts w:ascii="Verdana" w:hAnsi="Verdana" w:cstheme="minorHAnsi"/>
                <w:sz w:val="20"/>
                <w:szCs w:val="20"/>
                <w:lang w:val="es-ES_tradnl"/>
              </w:rPr>
              <w:t xml:space="preserve"> o AS</w:t>
            </w:r>
            <w:r w:rsidRPr="00053888" w:rsidDel="00626A6A">
              <w:rPr>
                <w:rFonts w:ascii="Verdana" w:hAnsi="Verdana" w:cstheme="minorHAnsi"/>
                <w:sz w:val="20"/>
                <w:szCs w:val="20"/>
                <w:lang w:val="es-ES_tradnl"/>
              </w:rPr>
              <w:t xml:space="preserve"> </w:t>
            </w:r>
            <w:r w:rsidRPr="00053888">
              <w:rPr>
                <w:rFonts w:ascii="Verdana" w:hAnsi="Verdana" w:cstheme="minorHAnsi"/>
                <w:sz w:val="20"/>
                <w:szCs w:val="20"/>
                <w:lang w:val="es-ES_tradnl"/>
              </w:rPr>
              <w:t xml:space="preserve">la cotización detallada de los trabajos a realizar, a fin de que el </w:t>
            </w:r>
            <w:r w:rsidRPr="00053888" w:rsidDel="0068201B">
              <w:rPr>
                <w:rFonts w:ascii="Verdana" w:hAnsi="Verdana" w:cstheme="minorHAnsi"/>
                <w:sz w:val="20"/>
                <w:szCs w:val="20"/>
                <w:lang w:val="es-ES_tradnl"/>
              </w:rPr>
              <w:t>CS</w:t>
            </w:r>
            <w:r w:rsidRPr="00053888">
              <w:rPr>
                <w:rFonts w:ascii="Verdana" w:hAnsi="Verdana" w:cstheme="minorHAnsi"/>
                <w:sz w:val="20"/>
                <w:szCs w:val="20"/>
                <w:lang w:val="es-ES_tradnl"/>
              </w:rPr>
              <w:t xml:space="preserve"> o AS</w:t>
            </w:r>
            <w:r w:rsidRPr="00053888" w:rsidDel="00626A6A">
              <w:rPr>
                <w:rFonts w:ascii="Verdana" w:hAnsi="Verdana" w:cstheme="minorHAnsi"/>
                <w:sz w:val="20"/>
                <w:szCs w:val="20"/>
                <w:lang w:val="es-ES_tradnl"/>
              </w:rPr>
              <w:t xml:space="preserve"> </w:t>
            </w:r>
            <w:r w:rsidRPr="00053888">
              <w:rPr>
                <w:rFonts w:ascii="Verdana" w:hAnsi="Verdana" w:cstheme="minorHAnsi"/>
                <w:sz w:val="20"/>
                <w:szCs w:val="20"/>
                <w:lang w:val="es-ES_tradnl"/>
              </w:rPr>
              <w:t xml:space="preserve">examine y determine si lo acepta o no. En caso de que el </w:t>
            </w:r>
            <w:r w:rsidRPr="00053888" w:rsidDel="0068201B">
              <w:rPr>
                <w:rFonts w:ascii="Verdana" w:hAnsi="Verdana" w:cstheme="minorHAnsi"/>
                <w:sz w:val="20"/>
                <w:szCs w:val="20"/>
                <w:lang w:val="es-ES_tradnl"/>
              </w:rPr>
              <w:t>CS</w:t>
            </w:r>
            <w:r w:rsidRPr="00053888">
              <w:rPr>
                <w:rFonts w:ascii="Verdana" w:hAnsi="Verdana" w:cstheme="minorHAnsi"/>
                <w:sz w:val="20"/>
                <w:szCs w:val="20"/>
                <w:lang w:val="es-ES_tradnl"/>
              </w:rPr>
              <w:t xml:space="preserve"> o AS</w:t>
            </w:r>
            <w:r w:rsidRPr="00053888" w:rsidDel="00626A6A">
              <w:rPr>
                <w:rFonts w:ascii="Verdana" w:hAnsi="Verdana" w:cstheme="minorHAnsi"/>
                <w:sz w:val="20"/>
                <w:szCs w:val="20"/>
                <w:lang w:val="es-ES_tradnl"/>
              </w:rPr>
              <w:t xml:space="preserve"> </w:t>
            </w:r>
            <w:r w:rsidRPr="00053888">
              <w:rPr>
                <w:rFonts w:ascii="Verdana" w:hAnsi="Verdana" w:cstheme="minorHAnsi"/>
                <w:sz w:val="20"/>
                <w:szCs w:val="20"/>
                <w:lang w:val="es-ES_tradnl"/>
              </w:rPr>
              <w:t xml:space="preserve">confirme la continuidad del Trabajo Especial, Telmex y Telnor deberá entregar el Programa de Trabajo, así como la fecha de inicio y fin </w:t>
            </w:r>
            <w:proofErr w:type="gramStart"/>
            <w:r w:rsidRPr="00053888">
              <w:rPr>
                <w:rFonts w:ascii="Verdana" w:hAnsi="Verdana" w:cstheme="minorHAnsi"/>
                <w:sz w:val="20"/>
                <w:szCs w:val="20"/>
                <w:lang w:val="es-ES_tradnl"/>
              </w:rPr>
              <w:t>del mismo</w:t>
            </w:r>
            <w:proofErr w:type="gramEnd"/>
            <w:r w:rsidRPr="00053888">
              <w:rPr>
                <w:rFonts w:ascii="Verdana" w:hAnsi="Verdana" w:cstheme="minorHAnsi"/>
                <w:sz w:val="20"/>
                <w:szCs w:val="20"/>
                <w:lang w:val="es-ES_tradnl"/>
              </w:rPr>
              <w:t xml:space="preserve">. Telmex y Telnor deberán proporcionar al </w:t>
            </w:r>
            <w:r w:rsidRPr="00053888" w:rsidDel="0068201B">
              <w:rPr>
                <w:rFonts w:ascii="Verdana" w:hAnsi="Verdana" w:cstheme="minorHAnsi"/>
                <w:sz w:val="20"/>
                <w:szCs w:val="20"/>
                <w:lang w:val="es-ES_tradnl"/>
              </w:rPr>
              <w:t>CS</w:t>
            </w:r>
            <w:r w:rsidRPr="00053888">
              <w:rPr>
                <w:rFonts w:ascii="Verdana" w:hAnsi="Verdana" w:cstheme="minorHAnsi"/>
                <w:sz w:val="20"/>
                <w:szCs w:val="20"/>
                <w:lang w:val="es-ES_tradnl"/>
              </w:rPr>
              <w:t xml:space="preserve"> o AS toda la información necesaria para elaborar el Anteproyecto, de ser requerida.</w:t>
            </w:r>
          </w:p>
          <w:p w14:paraId="0CA1ED41" w14:textId="77777777" w:rsidR="001150B8" w:rsidRPr="00053888" w:rsidRDefault="001150B8" w:rsidP="008A3B3E">
            <w:pPr>
              <w:pStyle w:val="aaaIFTnormal"/>
              <w:spacing w:after="0"/>
              <w:rPr>
                <w:rFonts w:ascii="Verdana" w:hAnsi="Verdana" w:cstheme="minorHAnsi"/>
                <w:sz w:val="20"/>
                <w:szCs w:val="20"/>
                <w:lang w:val="es-ES_tradnl"/>
              </w:rPr>
            </w:pPr>
          </w:p>
          <w:p w14:paraId="3B1780E0" w14:textId="61023E8B" w:rsidR="001150B8" w:rsidRPr="00053888" w:rsidRDefault="001150B8" w:rsidP="005D4578">
            <w:pPr>
              <w:pStyle w:val="aaaIFTnormal"/>
              <w:spacing w:after="0"/>
              <w:rPr>
                <w:rFonts w:ascii="Verdana" w:hAnsi="Verdana" w:cstheme="minorHAnsi"/>
                <w:sz w:val="20"/>
                <w:szCs w:val="20"/>
                <w:lang w:val="es-ES_tradnl"/>
              </w:rPr>
            </w:pPr>
            <w:r w:rsidRPr="00220B48">
              <w:rPr>
                <w:rFonts w:ascii="Verdana" w:eastAsia="Times New Roman" w:hAnsi="Verdana" w:cstheme="minorHAnsi"/>
                <w:color w:val="0070C0"/>
                <w:sz w:val="20"/>
                <w:szCs w:val="20"/>
                <w:lang w:eastAsia="es-MX"/>
              </w:rPr>
              <w:t>El CS o AS realizará el pago del costo total del Trabajo Especial solicitado, y Telmex / Telnor deberá mantener al CS informado sobre los avances y reportar cualquier desviación del plan. En caso</w:t>
            </w:r>
            <w:r w:rsidRPr="00220B48">
              <w:rPr>
                <w:rFonts w:ascii="Verdana" w:hAnsi="Verdana" w:cstheme="minorHAnsi"/>
                <w:b/>
                <w:color w:val="0070C0"/>
                <w:sz w:val="20"/>
                <w:szCs w:val="20"/>
                <w:lang w:val="es-ES_tradnl"/>
              </w:rPr>
              <w:t xml:space="preserve"> </w:t>
            </w:r>
            <w:r w:rsidRPr="00220B48">
              <w:rPr>
                <w:rFonts w:ascii="Verdana" w:eastAsia="Times New Roman" w:hAnsi="Verdana" w:cstheme="minorHAnsi"/>
                <w:color w:val="0070C0"/>
                <w:sz w:val="20"/>
                <w:szCs w:val="20"/>
                <w:lang w:eastAsia="es-MX"/>
              </w:rPr>
              <w:t xml:space="preserve">de no recibir respuesta o no realizar el pago dentro del plazo de </w:t>
            </w:r>
            <w:r>
              <w:rPr>
                <w:rFonts w:ascii="Verdana" w:eastAsia="Times New Roman" w:hAnsi="Verdana" w:cstheme="minorHAnsi"/>
                <w:color w:val="0070C0"/>
                <w:sz w:val="20"/>
                <w:szCs w:val="20"/>
                <w:lang w:eastAsia="es-MX"/>
              </w:rPr>
              <w:t>5</w:t>
            </w:r>
            <w:r w:rsidRPr="00220B48">
              <w:rPr>
                <w:rFonts w:ascii="Verdana" w:eastAsia="Times New Roman" w:hAnsi="Verdana" w:cstheme="minorHAnsi"/>
                <w:color w:val="0070C0"/>
                <w:sz w:val="20"/>
                <w:szCs w:val="20"/>
                <w:lang w:eastAsia="es-MX"/>
              </w:rPr>
              <w:t xml:space="preserve"> (</w:t>
            </w:r>
            <w:r>
              <w:rPr>
                <w:rFonts w:ascii="Verdana" w:eastAsia="Times New Roman" w:hAnsi="Verdana" w:cstheme="minorHAnsi"/>
                <w:color w:val="0070C0"/>
                <w:sz w:val="20"/>
                <w:szCs w:val="20"/>
                <w:lang w:eastAsia="es-MX"/>
              </w:rPr>
              <w:t>cinco</w:t>
            </w:r>
            <w:r w:rsidRPr="00220B48">
              <w:rPr>
                <w:rFonts w:ascii="Verdana" w:eastAsia="Times New Roman" w:hAnsi="Verdana" w:cstheme="minorHAnsi"/>
                <w:color w:val="0070C0"/>
                <w:sz w:val="20"/>
                <w:szCs w:val="20"/>
                <w:lang w:eastAsia="es-MX"/>
              </w:rPr>
              <w:t>) días hábiles referido, se tendrá por cancelada la solicitud y la oferta</w:t>
            </w:r>
            <w:r w:rsidRPr="00220B48">
              <w:rPr>
                <w:rFonts w:ascii="Verdana" w:hAnsi="Verdana" w:cstheme="minorHAnsi"/>
                <w:b/>
                <w:color w:val="0070C0"/>
                <w:sz w:val="20"/>
                <w:szCs w:val="20"/>
                <w:lang w:val="es-ES_tradnl"/>
              </w:rPr>
              <w:t xml:space="preserve"> </w:t>
            </w:r>
            <w:r w:rsidRPr="00220B48">
              <w:rPr>
                <w:rFonts w:ascii="Verdana" w:eastAsia="Times New Roman" w:hAnsi="Verdana" w:cstheme="minorHAnsi"/>
                <w:color w:val="0070C0"/>
                <w:sz w:val="20"/>
                <w:szCs w:val="20"/>
                <w:lang w:eastAsia="es-MX"/>
              </w:rPr>
              <w:t>comercial presentada</w:t>
            </w:r>
            <w:r>
              <w:rPr>
                <w:rFonts w:ascii="Verdana" w:eastAsia="Times New Roman" w:hAnsi="Verdana" w:cstheme="minorHAnsi"/>
                <w:color w:val="0070C0"/>
                <w:sz w:val="20"/>
                <w:szCs w:val="20"/>
                <w:lang w:eastAsia="es-MX"/>
              </w:rPr>
              <w:t>.</w:t>
            </w:r>
          </w:p>
        </w:tc>
        <w:tc>
          <w:tcPr>
            <w:tcW w:w="1576" w:type="pct"/>
            <w:vMerge w:val="restart"/>
            <w:tcBorders>
              <w:top w:val="single" w:sz="4" w:space="0" w:color="auto"/>
              <w:left w:val="single" w:sz="4" w:space="0" w:color="auto"/>
              <w:right w:val="single" w:sz="4" w:space="0" w:color="auto"/>
            </w:tcBorders>
          </w:tcPr>
          <w:p w14:paraId="62B2FD0F" w14:textId="77777777" w:rsidR="00A55ADB" w:rsidRDefault="000368EF" w:rsidP="00F525C2">
            <w:pPr>
              <w:pStyle w:val="aaaIFTnormal"/>
              <w:spacing w:after="0"/>
              <w:ind w:left="113" w:right="57"/>
              <w:rPr>
                <w:rFonts w:ascii="Verdana" w:eastAsia="Times New Roman" w:hAnsi="Verdana" w:cstheme="minorHAnsi"/>
                <w:color w:val="000000"/>
                <w:sz w:val="20"/>
                <w:szCs w:val="20"/>
                <w:lang w:eastAsia="es-MX"/>
              </w:rPr>
            </w:pPr>
            <w:r w:rsidRPr="008458AD">
              <w:rPr>
                <w:rFonts w:ascii="Verdana" w:eastAsia="Times New Roman" w:hAnsi="Verdana" w:cstheme="minorHAnsi"/>
                <w:color w:val="000000"/>
                <w:sz w:val="20"/>
                <w:szCs w:val="20"/>
                <w:lang w:eastAsia="es-MX"/>
              </w:rPr>
              <w:t xml:space="preserve">La Oferta vigente presenta una omisión, al no establecer de forma clara el momento en que debe realizarse el pago por los Trabajos Especiales asociados a los servicios de Acceso y Uso Compartido de la Infraestructura Pasiva. </w:t>
            </w:r>
          </w:p>
          <w:p w14:paraId="20CAC3E5" w14:textId="77777777" w:rsidR="000E1E53" w:rsidRDefault="000E1E53" w:rsidP="00F525C2">
            <w:pPr>
              <w:pStyle w:val="aaaIFTnormal"/>
              <w:spacing w:after="0"/>
              <w:ind w:left="113" w:right="57"/>
              <w:rPr>
                <w:rFonts w:ascii="Verdana" w:eastAsia="Times New Roman" w:hAnsi="Verdana" w:cstheme="minorHAnsi"/>
                <w:color w:val="000000"/>
                <w:sz w:val="20"/>
                <w:szCs w:val="20"/>
                <w:lang w:eastAsia="es-MX"/>
              </w:rPr>
            </w:pPr>
          </w:p>
          <w:p w14:paraId="351B35B9" w14:textId="07A30630" w:rsidR="000368EF" w:rsidRDefault="000368EF" w:rsidP="00F525C2">
            <w:pPr>
              <w:pStyle w:val="aaaIFTnormal"/>
              <w:spacing w:after="0"/>
              <w:ind w:left="113" w:right="57"/>
              <w:rPr>
                <w:rFonts w:ascii="Verdana" w:eastAsia="Times New Roman" w:hAnsi="Verdana" w:cstheme="minorHAnsi"/>
                <w:color w:val="000000"/>
                <w:sz w:val="20"/>
                <w:szCs w:val="20"/>
                <w:lang w:eastAsia="es-MX"/>
              </w:rPr>
            </w:pPr>
            <w:r w:rsidRPr="008458AD">
              <w:rPr>
                <w:rFonts w:ascii="Verdana" w:eastAsia="Times New Roman" w:hAnsi="Verdana" w:cstheme="minorHAnsi"/>
                <w:color w:val="000000"/>
                <w:sz w:val="20"/>
                <w:szCs w:val="20"/>
                <w:lang w:eastAsia="es-MX"/>
              </w:rPr>
              <w:t>Esta falta de definición genera incertidumbre operativa y comercial, tanto para los Concesionarios Solicitantes como para Telmex y Telnor. Por ello, se propone establecer expresamente que la facturación y el pago correspondientes se llevarán a cabo una vez que el Trabajo Especial sea aceptado por el solicitante</w:t>
            </w:r>
            <w:r>
              <w:rPr>
                <w:rFonts w:ascii="Verdana" w:eastAsia="Times New Roman" w:hAnsi="Verdana" w:cstheme="minorHAnsi"/>
                <w:color w:val="000000"/>
                <w:sz w:val="20"/>
                <w:szCs w:val="20"/>
                <w:lang w:eastAsia="es-MX"/>
              </w:rPr>
              <w:t>.</w:t>
            </w:r>
          </w:p>
          <w:p w14:paraId="162EE9C4" w14:textId="77777777" w:rsidR="000E1E53" w:rsidRDefault="000E1E53" w:rsidP="00F525C2">
            <w:pPr>
              <w:pStyle w:val="aaaIFTnormal"/>
              <w:spacing w:after="0"/>
              <w:ind w:left="113" w:right="57"/>
              <w:rPr>
                <w:rFonts w:ascii="Verdana" w:eastAsia="Times New Roman" w:hAnsi="Verdana" w:cstheme="minorHAnsi"/>
                <w:color w:val="000000"/>
                <w:sz w:val="20"/>
                <w:szCs w:val="20"/>
                <w:lang w:eastAsia="es-MX"/>
              </w:rPr>
            </w:pPr>
          </w:p>
          <w:p w14:paraId="320502A6" w14:textId="087E7129" w:rsidR="00A55ADB" w:rsidRDefault="00A55ADB" w:rsidP="000368EF">
            <w:pPr>
              <w:pStyle w:val="aaaIFTnormal"/>
              <w:spacing w:after="0"/>
              <w:ind w:left="113" w:right="57"/>
              <w:rPr>
                <w:rFonts w:ascii="Verdana" w:eastAsia="Times New Roman" w:hAnsi="Verdana" w:cstheme="minorHAnsi"/>
                <w:color w:val="000000"/>
                <w:sz w:val="20"/>
                <w:szCs w:val="20"/>
                <w:lang w:eastAsia="es-MX"/>
              </w:rPr>
            </w:pPr>
            <w:r>
              <w:rPr>
                <w:rFonts w:ascii="Verdana" w:eastAsia="Times New Roman" w:hAnsi="Verdana" w:cstheme="minorHAnsi"/>
                <w:color w:val="000000"/>
                <w:sz w:val="20"/>
                <w:szCs w:val="20"/>
                <w:lang w:eastAsia="es-MX"/>
              </w:rPr>
              <w:t>Esta modificación considera el plazo que tiene el CS establecido actualmente para la aceptación de trabajos especiales</w:t>
            </w:r>
            <w:r w:rsidR="000368EF" w:rsidRPr="008458AD">
              <w:rPr>
                <w:rFonts w:ascii="Verdana" w:eastAsia="Times New Roman" w:hAnsi="Verdana" w:cstheme="minorHAnsi"/>
                <w:color w:val="000000"/>
                <w:sz w:val="20"/>
                <w:szCs w:val="20"/>
                <w:lang w:eastAsia="es-MX"/>
              </w:rPr>
              <w:t xml:space="preserve">, </w:t>
            </w:r>
            <w:r>
              <w:rPr>
                <w:rFonts w:ascii="Verdana" w:eastAsia="Times New Roman" w:hAnsi="Verdana" w:cstheme="minorHAnsi"/>
                <w:color w:val="000000"/>
                <w:sz w:val="20"/>
                <w:szCs w:val="20"/>
                <w:lang w:eastAsia="es-MX"/>
              </w:rPr>
              <w:t xml:space="preserve"> </w:t>
            </w:r>
            <w:r w:rsidR="000E1E53">
              <w:rPr>
                <w:rFonts w:ascii="Verdana" w:eastAsia="Times New Roman" w:hAnsi="Verdana" w:cstheme="minorHAnsi"/>
                <w:color w:val="000000"/>
                <w:sz w:val="20"/>
                <w:szCs w:val="20"/>
                <w:lang w:eastAsia="es-MX"/>
              </w:rPr>
              <w:t>lo</w:t>
            </w:r>
            <w:r w:rsidR="000368EF" w:rsidRPr="008458AD">
              <w:rPr>
                <w:rFonts w:ascii="Verdana" w:eastAsia="Times New Roman" w:hAnsi="Verdana" w:cstheme="minorHAnsi"/>
                <w:color w:val="000000"/>
                <w:sz w:val="20"/>
                <w:szCs w:val="20"/>
                <w:lang w:eastAsia="es-MX"/>
              </w:rPr>
              <w:t xml:space="preserve"> vincula </w:t>
            </w:r>
            <w:r w:rsidR="000E1E53">
              <w:rPr>
                <w:rFonts w:ascii="Verdana" w:eastAsia="Times New Roman" w:hAnsi="Verdana" w:cstheme="minorHAnsi"/>
                <w:color w:val="000000"/>
                <w:sz w:val="20"/>
                <w:szCs w:val="20"/>
                <w:lang w:eastAsia="es-MX"/>
              </w:rPr>
              <w:t xml:space="preserve">con </w:t>
            </w:r>
            <w:r w:rsidR="000368EF" w:rsidRPr="008458AD">
              <w:rPr>
                <w:rFonts w:ascii="Verdana" w:eastAsia="Times New Roman" w:hAnsi="Verdana" w:cstheme="minorHAnsi"/>
                <w:color w:val="000000"/>
                <w:sz w:val="20"/>
                <w:szCs w:val="20"/>
                <w:lang w:eastAsia="es-MX"/>
              </w:rPr>
              <w:t xml:space="preserve">el pago del trabajo, asegurando así que el Concesionario Solicitante tenga visibilidad sobre el alcance y condiciones del servicio antes de realizar el desembolso. </w:t>
            </w:r>
          </w:p>
          <w:p w14:paraId="00BC6C21" w14:textId="05436982" w:rsidR="000368EF" w:rsidRDefault="000368EF" w:rsidP="000368EF">
            <w:pPr>
              <w:pStyle w:val="aaaIFTnormal"/>
              <w:spacing w:after="0"/>
              <w:ind w:left="113" w:right="57"/>
              <w:rPr>
                <w:rFonts w:ascii="Verdana" w:eastAsia="Times New Roman" w:hAnsi="Verdana" w:cstheme="minorHAnsi"/>
                <w:color w:val="000000"/>
                <w:sz w:val="20"/>
                <w:szCs w:val="20"/>
                <w:lang w:eastAsia="es-MX"/>
              </w:rPr>
            </w:pPr>
            <w:r w:rsidRPr="008458AD">
              <w:rPr>
                <w:rFonts w:ascii="Verdana" w:eastAsia="Times New Roman" w:hAnsi="Verdana" w:cstheme="minorHAnsi"/>
                <w:color w:val="000000"/>
                <w:sz w:val="20"/>
                <w:szCs w:val="20"/>
                <w:lang w:eastAsia="es-MX"/>
              </w:rPr>
              <w:t>Al mismo tiempo, esta disposición permite a Telmex y Telnor iniciar oportunamente la planeación y ejecución de los trabajos, con base en un compromiso firme de pago.</w:t>
            </w:r>
          </w:p>
          <w:p w14:paraId="5F040353" w14:textId="77777777" w:rsidR="000368EF" w:rsidRPr="008458AD" w:rsidRDefault="000368EF" w:rsidP="000368EF">
            <w:pPr>
              <w:pStyle w:val="aaaIFTnormal"/>
              <w:spacing w:after="0"/>
              <w:ind w:left="113" w:right="57"/>
              <w:rPr>
                <w:rFonts w:ascii="Verdana" w:eastAsia="Times New Roman" w:hAnsi="Verdana" w:cstheme="minorHAnsi"/>
                <w:color w:val="000000"/>
                <w:sz w:val="20"/>
                <w:szCs w:val="20"/>
                <w:lang w:eastAsia="es-MX"/>
              </w:rPr>
            </w:pPr>
            <w:r w:rsidRPr="008458AD">
              <w:rPr>
                <w:rFonts w:ascii="Verdana" w:eastAsia="Times New Roman" w:hAnsi="Verdana" w:cstheme="minorHAnsi"/>
                <w:color w:val="000000"/>
                <w:sz w:val="20"/>
                <w:szCs w:val="20"/>
                <w:lang w:eastAsia="es-MX"/>
              </w:rPr>
              <w:t>Asimismo, se precisa que la facturación previa a la ejecución del Trabajo Especial es una práctica técnica y comercialmente justificada, dada la naturaleza personalizada y no recurrente de este tipo de servicios. A diferencia de los servicios estandarizados, los Trabajos Especiales deben diseñarse a la medida, tomando en cuenta las características técnicas y físicas específicas de cada sitio. Esto conlleva una inversión anticipada en recursos humanos, materiales y logísticos que no son reutilizables en otros proyectos.</w:t>
            </w:r>
          </w:p>
          <w:p w14:paraId="38006FE7" w14:textId="77777777" w:rsidR="000368EF" w:rsidRPr="008458AD" w:rsidRDefault="000368EF" w:rsidP="000368EF">
            <w:pPr>
              <w:pStyle w:val="aaaIFTnormal"/>
              <w:spacing w:after="0"/>
              <w:ind w:left="113" w:right="57"/>
              <w:rPr>
                <w:rFonts w:ascii="Verdana" w:eastAsia="Times New Roman" w:hAnsi="Verdana" w:cstheme="minorHAnsi"/>
                <w:color w:val="000000"/>
                <w:sz w:val="20"/>
                <w:szCs w:val="20"/>
                <w:lang w:eastAsia="es-MX"/>
              </w:rPr>
            </w:pPr>
          </w:p>
          <w:p w14:paraId="03D1C837" w14:textId="77777777" w:rsidR="000368EF" w:rsidRPr="00053888" w:rsidRDefault="000368EF" w:rsidP="000368EF">
            <w:pPr>
              <w:pStyle w:val="aaaIFTnormal"/>
              <w:spacing w:after="0"/>
              <w:ind w:left="113" w:right="57"/>
              <w:rPr>
                <w:rFonts w:ascii="Verdana" w:eastAsia="Times New Roman" w:hAnsi="Verdana" w:cstheme="minorHAnsi"/>
                <w:color w:val="000000"/>
                <w:sz w:val="20"/>
                <w:szCs w:val="20"/>
                <w:lang w:eastAsia="es-MX"/>
              </w:rPr>
            </w:pPr>
            <w:r w:rsidRPr="008458AD">
              <w:rPr>
                <w:rFonts w:ascii="Verdana" w:eastAsia="Times New Roman" w:hAnsi="Verdana" w:cstheme="minorHAnsi"/>
                <w:color w:val="000000"/>
                <w:sz w:val="20"/>
                <w:szCs w:val="20"/>
                <w:lang w:eastAsia="es-MX"/>
              </w:rPr>
              <w:t>Con esta propuesta, se homologan además los criterios aplicables a los Proyectos Especiales en la oferta de Enlaces de la División Mayorista de Telmex/Telnor (apartado 2.5.6.2 de la ORE DM vigente), fortaleciendo la coherencia regulatoria y operativa en el tratamiento de este tipo de servicios.</w:t>
            </w:r>
          </w:p>
          <w:p w14:paraId="62CC9F31" w14:textId="77777777" w:rsidR="000368EF" w:rsidRPr="008458AD" w:rsidRDefault="000368EF" w:rsidP="000368EF">
            <w:pPr>
              <w:pStyle w:val="aaaIFTnormal"/>
              <w:spacing w:after="0"/>
              <w:ind w:left="113" w:right="57"/>
              <w:rPr>
                <w:rFonts w:ascii="Verdana" w:eastAsia="Times New Roman" w:hAnsi="Verdana" w:cstheme="minorHAnsi"/>
                <w:color w:val="000000"/>
                <w:sz w:val="20"/>
                <w:szCs w:val="20"/>
                <w:lang w:eastAsia="es-MX"/>
              </w:rPr>
            </w:pPr>
          </w:p>
          <w:p w14:paraId="2C67A778" w14:textId="77777777" w:rsidR="000368EF" w:rsidRPr="00F525C2" w:rsidRDefault="000368EF" w:rsidP="00F525C2">
            <w:pPr>
              <w:pStyle w:val="aaaIFTnormal"/>
              <w:spacing w:after="0"/>
              <w:ind w:left="113" w:right="57"/>
              <w:rPr>
                <w:rFonts w:ascii="Verdana" w:hAnsi="Verdana" w:cstheme="minorHAnsi"/>
                <w:sz w:val="20"/>
                <w:szCs w:val="20"/>
                <w:lang w:val="es-ES_tradnl"/>
              </w:rPr>
            </w:pPr>
          </w:p>
          <w:p w14:paraId="1A971362" w14:textId="77777777" w:rsidR="001150B8" w:rsidRPr="00053888" w:rsidRDefault="001150B8" w:rsidP="008A3B3E">
            <w:pPr>
              <w:pStyle w:val="aaaIFTnormal"/>
              <w:spacing w:after="0"/>
              <w:outlineLvl w:val="0"/>
              <w:rPr>
                <w:rFonts w:ascii="Verdana" w:hAnsi="Verdana" w:cstheme="minorHAnsi"/>
                <w:b/>
                <w:sz w:val="20"/>
                <w:szCs w:val="20"/>
              </w:rPr>
            </w:pPr>
          </w:p>
        </w:tc>
      </w:tr>
      <w:tr w:rsidR="001150B8" w:rsidRPr="00053888" w14:paraId="65340EC8" w14:textId="77777777" w:rsidTr="00A30517">
        <w:trPr>
          <w:trHeight w:val="3303"/>
          <w:jc w:val="center"/>
        </w:trPr>
        <w:tc>
          <w:tcPr>
            <w:tcW w:w="216" w:type="pct"/>
            <w:vMerge/>
            <w:tcBorders>
              <w:left w:val="single" w:sz="4" w:space="0" w:color="auto"/>
              <w:right w:val="single" w:sz="4" w:space="0" w:color="auto"/>
            </w:tcBorders>
            <w:vAlign w:val="center"/>
          </w:tcPr>
          <w:p w14:paraId="2503502E" w14:textId="1F905FEB" w:rsidR="001150B8" w:rsidRDefault="001150B8" w:rsidP="008A3B3E">
            <w:pPr>
              <w:spacing w:after="0" w:line="240" w:lineRule="auto"/>
              <w:jc w:val="center"/>
              <w:rPr>
                <w:rFonts w:ascii="Verdana" w:eastAsia="Times New Roman" w:hAnsi="Verdana" w:cstheme="minorHAnsi"/>
                <w:color w:val="000000"/>
                <w:sz w:val="20"/>
                <w:szCs w:val="20"/>
                <w:lang w:eastAsia="es-MX"/>
              </w:rPr>
            </w:pPr>
          </w:p>
        </w:tc>
        <w:tc>
          <w:tcPr>
            <w:tcW w:w="652" w:type="pct"/>
            <w:vMerge/>
            <w:tcBorders>
              <w:left w:val="single" w:sz="4" w:space="0" w:color="auto"/>
              <w:right w:val="single" w:sz="4" w:space="0" w:color="auto"/>
            </w:tcBorders>
            <w:vAlign w:val="center"/>
          </w:tcPr>
          <w:p w14:paraId="0B27AFAF" w14:textId="77777777" w:rsidR="001150B8" w:rsidRDefault="001150B8" w:rsidP="008A3B3E">
            <w:pPr>
              <w:pStyle w:val="aaaIFTnormal"/>
              <w:spacing w:after="0"/>
              <w:outlineLvl w:val="0"/>
              <w:rPr>
                <w:rFonts w:ascii="Verdana" w:hAnsi="Verdana" w:cstheme="minorHAnsi"/>
                <w:b/>
                <w:sz w:val="20"/>
                <w:szCs w:val="20"/>
              </w:rPr>
            </w:pPr>
          </w:p>
        </w:tc>
        <w:tc>
          <w:tcPr>
            <w:tcW w:w="761" w:type="pct"/>
            <w:tcBorders>
              <w:top w:val="single" w:sz="4" w:space="0" w:color="auto"/>
              <w:left w:val="single" w:sz="4" w:space="0" w:color="auto"/>
              <w:bottom w:val="single" w:sz="4" w:space="0" w:color="auto"/>
              <w:right w:val="single" w:sz="4" w:space="0" w:color="auto"/>
            </w:tcBorders>
            <w:vAlign w:val="center"/>
          </w:tcPr>
          <w:p w14:paraId="2A965006" w14:textId="77777777" w:rsidR="001150B8" w:rsidRDefault="001150B8" w:rsidP="002229C5">
            <w:pPr>
              <w:pStyle w:val="aaaIFTnormal"/>
              <w:spacing w:after="0"/>
              <w:outlineLvl w:val="0"/>
              <w:rPr>
                <w:rFonts w:ascii="Verdana" w:hAnsi="Verdana" w:cstheme="minorHAnsi"/>
                <w:b/>
                <w:sz w:val="20"/>
                <w:szCs w:val="20"/>
              </w:rPr>
            </w:pPr>
            <w:r w:rsidRPr="002229C5">
              <w:rPr>
                <w:rFonts w:ascii="Verdana" w:hAnsi="Verdana" w:cstheme="minorHAnsi"/>
                <w:b/>
                <w:sz w:val="20"/>
                <w:szCs w:val="20"/>
              </w:rPr>
              <w:t xml:space="preserve">VI.1. </w:t>
            </w:r>
            <w:proofErr w:type="gramStart"/>
            <w:r w:rsidRPr="002229C5">
              <w:rPr>
                <w:rFonts w:ascii="Verdana" w:hAnsi="Verdana" w:cstheme="minorHAnsi"/>
                <w:b/>
                <w:sz w:val="20"/>
                <w:szCs w:val="20"/>
              </w:rPr>
              <w:t>Acondiciona</w:t>
            </w:r>
            <w:r>
              <w:rPr>
                <w:rFonts w:ascii="Verdana" w:hAnsi="Verdana" w:cstheme="minorHAnsi"/>
                <w:b/>
                <w:sz w:val="20"/>
                <w:szCs w:val="20"/>
              </w:rPr>
              <w:t>-</w:t>
            </w:r>
            <w:r w:rsidRPr="002229C5">
              <w:rPr>
                <w:rFonts w:ascii="Verdana" w:hAnsi="Verdana" w:cstheme="minorHAnsi"/>
                <w:b/>
                <w:sz w:val="20"/>
                <w:szCs w:val="20"/>
              </w:rPr>
              <w:t>mie</w:t>
            </w:r>
            <w:r>
              <w:rPr>
                <w:rFonts w:ascii="Verdana" w:hAnsi="Verdana" w:cstheme="minorHAnsi"/>
                <w:b/>
                <w:sz w:val="20"/>
                <w:szCs w:val="20"/>
              </w:rPr>
              <w:t>n</w:t>
            </w:r>
            <w:r w:rsidRPr="002229C5">
              <w:rPr>
                <w:rFonts w:ascii="Verdana" w:hAnsi="Verdana" w:cstheme="minorHAnsi"/>
                <w:b/>
                <w:sz w:val="20"/>
                <w:szCs w:val="20"/>
              </w:rPr>
              <w:t>to</w:t>
            </w:r>
            <w:proofErr w:type="gramEnd"/>
            <w:r w:rsidRPr="002229C5">
              <w:rPr>
                <w:rFonts w:ascii="Verdana" w:hAnsi="Verdana" w:cstheme="minorHAnsi"/>
                <w:b/>
                <w:sz w:val="20"/>
                <w:szCs w:val="20"/>
              </w:rPr>
              <w:t xml:space="preserve"> de la Infraestructura</w:t>
            </w:r>
          </w:p>
          <w:p w14:paraId="6388BE55" w14:textId="502243D8" w:rsidR="001150B8" w:rsidRPr="009E663D" w:rsidRDefault="001150B8" w:rsidP="00E52BB2">
            <w:pPr>
              <w:pStyle w:val="aaaIFTnormal"/>
              <w:spacing w:after="0"/>
              <w:rPr>
                <w:rFonts w:ascii="Verdana" w:hAnsi="Verdana" w:cstheme="minorHAnsi"/>
                <w:sz w:val="20"/>
                <w:szCs w:val="20"/>
                <w:lang w:val="es-ES_tradnl"/>
              </w:rPr>
            </w:pPr>
            <w:r>
              <w:rPr>
                <w:rFonts w:ascii="Verdana" w:hAnsi="Verdana" w:cstheme="minorHAnsi"/>
                <w:sz w:val="20"/>
                <w:szCs w:val="20"/>
                <w:lang w:val="es-ES_tradnl"/>
              </w:rPr>
              <w:t>(</w:t>
            </w:r>
            <w:r w:rsidRPr="009E663D">
              <w:rPr>
                <w:rFonts w:ascii="Verdana" w:hAnsi="Verdana" w:cstheme="minorHAnsi"/>
                <w:sz w:val="20"/>
                <w:szCs w:val="20"/>
                <w:lang w:val="es-ES_tradnl"/>
              </w:rPr>
              <w:t xml:space="preserve">Pág. </w:t>
            </w:r>
            <w:r>
              <w:rPr>
                <w:rFonts w:ascii="Verdana" w:hAnsi="Verdana" w:cstheme="minorHAnsi"/>
                <w:sz w:val="20"/>
                <w:szCs w:val="20"/>
                <w:lang w:val="es-ES_tradnl"/>
              </w:rPr>
              <w:t>21)</w:t>
            </w:r>
          </w:p>
          <w:p w14:paraId="0C8B7E2E" w14:textId="1461ADB0" w:rsidR="001150B8" w:rsidRPr="00053888" w:rsidRDefault="001150B8" w:rsidP="002229C5">
            <w:pPr>
              <w:pStyle w:val="aaaIFTnormal"/>
              <w:spacing w:after="0"/>
              <w:outlineLvl w:val="0"/>
              <w:rPr>
                <w:rFonts w:ascii="Verdana" w:hAnsi="Verdana" w:cstheme="minorHAnsi"/>
                <w:b/>
                <w:sz w:val="20"/>
                <w:szCs w:val="20"/>
              </w:rPr>
            </w:pPr>
          </w:p>
        </w:tc>
        <w:tc>
          <w:tcPr>
            <w:tcW w:w="1794" w:type="pct"/>
            <w:tcBorders>
              <w:top w:val="single" w:sz="4" w:space="0" w:color="auto"/>
              <w:left w:val="single" w:sz="4" w:space="0" w:color="auto"/>
              <w:bottom w:val="single" w:sz="4" w:space="0" w:color="auto"/>
              <w:right w:val="single" w:sz="4" w:space="0" w:color="auto"/>
            </w:tcBorders>
            <w:vAlign w:val="center"/>
          </w:tcPr>
          <w:p w14:paraId="018D3A78" w14:textId="77777777" w:rsidR="001150B8" w:rsidRDefault="001150B8" w:rsidP="002229C5">
            <w:pPr>
              <w:pStyle w:val="IFTnormal"/>
              <w:spacing w:after="0"/>
              <w:rPr>
                <w:rFonts w:ascii="Verdana" w:eastAsia="Times New Roman" w:hAnsi="Verdana" w:cstheme="minorHAnsi"/>
                <w:b/>
                <w:color w:val="000000"/>
                <w:sz w:val="20"/>
                <w:szCs w:val="20"/>
                <w:lang w:eastAsia="es-MX"/>
              </w:rPr>
            </w:pPr>
            <w:r w:rsidRPr="002229C5">
              <w:rPr>
                <w:rFonts w:ascii="Verdana" w:eastAsia="Times New Roman" w:hAnsi="Verdana" w:cstheme="minorHAnsi"/>
                <w:b/>
                <w:color w:val="000000"/>
                <w:sz w:val="20"/>
                <w:szCs w:val="20"/>
                <w:lang w:eastAsia="es-MX"/>
              </w:rPr>
              <w:t>VI.1. Acondicionamiento de la Infraestructura</w:t>
            </w:r>
          </w:p>
          <w:p w14:paraId="11937995" w14:textId="77777777" w:rsidR="001150B8" w:rsidRPr="002229C5" w:rsidRDefault="001150B8" w:rsidP="008A3B3E">
            <w:pPr>
              <w:pStyle w:val="IFTnormal"/>
              <w:spacing w:after="0"/>
              <w:ind w:left="155"/>
              <w:rPr>
                <w:rFonts w:ascii="Verdana" w:eastAsia="Times New Roman" w:hAnsi="Verdana" w:cstheme="minorHAnsi"/>
                <w:color w:val="000000"/>
                <w:sz w:val="20"/>
                <w:szCs w:val="20"/>
                <w:lang w:eastAsia="es-MX"/>
              </w:rPr>
            </w:pPr>
            <w:r w:rsidRPr="002229C5">
              <w:rPr>
                <w:rFonts w:ascii="Verdana" w:eastAsia="Times New Roman" w:hAnsi="Verdana" w:cstheme="minorHAnsi"/>
                <w:color w:val="000000"/>
                <w:sz w:val="20"/>
                <w:szCs w:val="20"/>
                <w:lang w:eastAsia="es-MX"/>
              </w:rPr>
              <w:t>…</w:t>
            </w:r>
          </w:p>
          <w:p w14:paraId="59860ECB" w14:textId="77777777" w:rsidR="001150B8" w:rsidRPr="002229C5" w:rsidRDefault="001150B8" w:rsidP="008A3B3E">
            <w:pPr>
              <w:pStyle w:val="IFTnormal"/>
              <w:spacing w:after="0"/>
              <w:ind w:left="155"/>
              <w:rPr>
                <w:rFonts w:ascii="Verdana" w:eastAsia="Times New Roman" w:hAnsi="Verdana" w:cstheme="minorHAnsi"/>
                <w:color w:val="000000"/>
                <w:sz w:val="20"/>
                <w:szCs w:val="20"/>
                <w:lang w:eastAsia="es-MX"/>
              </w:rPr>
            </w:pPr>
            <w:r w:rsidRPr="002229C5">
              <w:rPr>
                <w:rFonts w:ascii="Verdana" w:eastAsia="Times New Roman" w:hAnsi="Verdana" w:cstheme="minorHAnsi"/>
                <w:color w:val="000000"/>
                <w:sz w:val="20"/>
                <w:szCs w:val="20"/>
                <w:lang w:eastAsia="es-MX"/>
              </w:rPr>
              <w:t>…</w:t>
            </w:r>
          </w:p>
          <w:p w14:paraId="64BED3AF" w14:textId="77777777" w:rsidR="001150B8" w:rsidRPr="002229C5" w:rsidRDefault="001150B8" w:rsidP="008A3B3E">
            <w:pPr>
              <w:pStyle w:val="IFTnormal"/>
              <w:spacing w:after="0"/>
              <w:ind w:left="155"/>
              <w:rPr>
                <w:rFonts w:ascii="Verdana" w:eastAsia="Times New Roman" w:hAnsi="Verdana" w:cstheme="minorHAnsi"/>
                <w:color w:val="000000"/>
                <w:sz w:val="20"/>
                <w:szCs w:val="20"/>
                <w:lang w:eastAsia="es-MX"/>
              </w:rPr>
            </w:pPr>
            <w:r w:rsidRPr="003032C2">
              <w:rPr>
                <w:rFonts w:ascii="Verdana" w:eastAsia="Times New Roman" w:hAnsi="Verdana" w:cstheme="minorHAnsi"/>
                <w:color w:val="000000"/>
                <w:sz w:val="20"/>
                <w:szCs w:val="20"/>
                <w:u w:val="single"/>
                <w:lang w:eastAsia="es-MX"/>
              </w:rPr>
              <w:t>Criterios de determinación de Acondicionamiento de Infraestructura y Metodología</w:t>
            </w:r>
            <w:r w:rsidRPr="002229C5">
              <w:rPr>
                <w:rFonts w:ascii="Verdana" w:eastAsia="Times New Roman" w:hAnsi="Verdana" w:cstheme="minorHAnsi"/>
                <w:color w:val="000000"/>
                <w:sz w:val="20"/>
                <w:szCs w:val="20"/>
                <w:lang w:eastAsia="es-MX"/>
              </w:rPr>
              <w:t>:</w:t>
            </w:r>
          </w:p>
          <w:p w14:paraId="07CBCB20" w14:textId="77777777" w:rsidR="001150B8" w:rsidRPr="002229C5" w:rsidRDefault="001150B8" w:rsidP="008A3B3E">
            <w:pPr>
              <w:pStyle w:val="IFTnormal"/>
              <w:spacing w:after="0"/>
              <w:ind w:left="155"/>
              <w:rPr>
                <w:rFonts w:ascii="Verdana" w:eastAsia="Times New Roman" w:hAnsi="Verdana" w:cstheme="minorHAnsi"/>
                <w:color w:val="000000"/>
                <w:sz w:val="20"/>
                <w:szCs w:val="20"/>
                <w:lang w:eastAsia="es-MX"/>
              </w:rPr>
            </w:pPr>
            <w:r w:rsidRPr="002229C5">
              <w:rPr>
                <w:rFonts w:ascii="Verdana" w:eastAsia="Times New Roman" w:hAnsi="Verdana" w:cstheme="minorHAnsi"/>
                <w:color w:val="000000"/>
                <w:sz w:val="20"/>
                <w:szCs w:val="20"/>
                <w:lang w:eastAsia="es-MX"/>
              </w:rPr>
              <w:t>1.</w:t>
            </w:r>
          </w:p>
          <w:p w14:paraId="183A9E15" w14:textId="52693BD4" w:rsidR="001150B8" w:rsidRPr="002229C5" w:rsidRDefault="001150B8" w:rsidP="008A3B3E">
            <w:pPr>
              <w:pStyle w:val="IFTnormal"/>
              <w:spacing w:after="0"/>
              <w:ind w:left="155"/>
              <w:rPr>
                <w:rFonts w:ascii="Verdana" w:eastAsia="Times New Roman" w:hAnsi="Verdana" w:cstheme="minorHAnsi"/>
                <w:color w:val="000000"/>
                <w:sz w:val="20"/>
                <w:szCs w:val="20"/>
                <w:lang w:eastAsia="es-MX"/>
              </w:rPr>
            </w:pPr>
            <w:r>
              <w:rPr>
                <w:rFonts w:ascii="Verdana" w:eastAsia="Times New Roman" w:hAnsi="Verdana" w:cstheme="minorHAnsi"/>
                <w:color w:val="000000"/>
                <w:sz w:val="20"/>
                <w:szCs w:val="20"/>
                <w:lang w:eastAsia="es-MX"/>
              </w:rPr>
              <w:t>…</w:t>
            </w:r>
          </w:p>
          <w:p w14:paraId="5E7467A0" w14:textId="0D99AC19" w:rsidR="001150B8" w:rsidRPr="003032C2" w:rsidRDefault="001150B8" w:rsidP="003032C2">
            <w:pPr>
              <w:pStyle w:val="aaaIFTnormal"/>
              <w:spacing w:after="0"/>
              <w:rPr>
                <w:rFonts w:ascii="Verdana" w:eastAsia="Times New Roman" w:hAnsi="Verdana" w:cstheme="minorHAnsi"/>
                <w:b/>
                <w:strike/>
                <w:color w:val="000000"/>
                <w:sz w:val="20"/>
                <w:szCs w:val="20"/>
                <w:lang w:eastAsia="es-MX"/>
              </w:rPr>
            </w:pPr>
            <w:r w:rsidRPr="003032C2">
              <w:rPr>
                <w:rFonts w:ascii="Verdana" w:eastAsia="Times New Roman" w:hAnsi="Verdana" w:cstheme="minorHAnsi"/>
                <w:strike/>
                <w:color w:val="0070C0"/>
                <w:sz w:val="20"/>
                <w:szCs w:val="20"/>
                <w:lang w:eastAsia="es-MX"/>
              </w:rPr>
              <w:t>La facturación del Trabajo Especial “Acondicionamiento de Infraestructura” será posterior a la conclusión del procedimiento y deberá existir el acta de los trabajos firmada de conformidad por ambos.</w:t>
            </w:r>
          </w:p>
        </w:tc>
        <w:tc>
          <w:tcPr>
            <w:tcW w:w="1576" w:type="pct"/>
            <w:vMerge/>
            <w:tcBorders>
              <w:left w:val="single" w:sz="4" w:space="0" w:color="auto"/>
              <w:right w:val="single" w:sz="4" w:space="0" w:color="auto"/>
            </w:tcBorders>
          </w:tcPr>
          <w:p w14:paraId="32B858D1" w14:textId="77777777" w:rsidR="001150B8" w:rsidRPr="00F3263F" w:rsidRDefault="001150B8" w:rsidP="008A3B3E">
            <w:pPr>
              <w:jc w:val="both"/>
              <w:rPr>
                <w:rFonts w:ascii="Arial" w:hAnsi="Arial" w:cs="Arial"/>
                <w:color w:val="000000"/>
                <w:szCs w:val="32"/>
              </w:rPr>
            </w:pPr>
          </w:p>
        </w:tc>
      </w:tr>
      <w:tr w:rsidR="001150B8" w:rsidRPr="00053888" w14:paraId="7E47153F" w14:textId="77777777" w:rsidTr="00A30517">
        <w:trPr>
          <w:trHeight w:val="465"/>
          <w:jc w:val="center"/>
        </w:trPr>
        <w:tc>
          <w:tcPr>
            <w:tcW w:w="216" w:type="pct"/>
            <w:vMerge/>
            <w:tcBorders>
              <w:left w:val="single" w:sz="4" w:space="0" w:color="auto"/>
              <w:right w:val="single" w:sz="4" w:space="0" w:color="auto"/>
            </w:tcBorders>
            <w:vAlign w:val="center"/>
          </w:tcPr>
          <w:p w14:paraId="03691037" w14:textId="77777777" w:rsidR="001150B8" w:rsidRDefault="001150B8" w:rsidP="008A3B3E">
            <w:pPr>
              <w:spacing w:after="0" w:line="240" w:lineRule="auto"/>
              <w:jc w:val="center"/>
              <w:rPr>
                <w:rFonts w:ascii="Verdana" w:eastAsia="Times New Roman" w:hAnsi="Verdana" w:cstheme="minorHAnsi"/>
                <w:color w:val="000000"/>
                <w:sz w:val="20"/>
                <w:szCs w:val="20"/>
                <w:lang w:eastAsia="es-MX"/>
              </w:rPr>
            </w:pPr>
          </w:p>
        </w:tc>
        <w:tc>
          <w:tcPr>
            <w:tcW w:w="652" w:type="pct"/>
            <w:vMerge/>
            <w:tcBorders>
              <w:left w:val="single" w:sz="4" w:space="0" w:color="auto"/>
              <w:right w:val="single" w:sz="4" w:space="0" w:color="auto"/>
            </w:tcBorders>
            <w:vAlign w:val="center"/>
          </w:tcPr>
          <w:p w14:paraId="709FB9BC" w14:textId="77777777" w:rsidR="001150B8" w:rsidRDefault="001150B8" w:rsidP="008A3B3E">
            <w:pPr>
              <w:pStyle w:val="aaaIFTnormal"/>
              <w:spacing w:after="0"/>
              <w:outlineLvl w:val="0"/>
              <w:rPr>
                <w:rFonts w:ascii="Verdana" w:hAnsi="Verdana" w:cstheme="minorHAnsi"/>
                <w:b/>
                <w:sz w:val="20"/>
                <w:szCs w:val="20"/>
              </w:rPr>
            </w:pPr>
          </w:p>
        </w:tc>
        <w:tc>
          <w:tcPr>
            <w:tcW w:w="761" w:type="pct"/>
            <w:tcBorders>
              <w:top w:val="single" w:sz="4" w:space="0" w:color="auto"/>
              <w:left w:val="single" w:sz="4" w:space="0" w:color="auto"/>
              <w:bottom w:val="single" w:sz="4" w:space="0" w:color="auto"/>
              <w:right w:val="single" w:sz="4" w:space="0" w:color="auto"/>
            </w:tcBorders>
            <w:vAlign w:val="center"/>
          </w:tcPr>
          <w:p w14:paraId="0D59FC2D" w14:textId="77777777" w:rsidR="001150B8" w:rsidRDefault="001150B8" w:rsidP="003032C2">
            <w:pPr>
              <w:pStyle w:val="aaaIFTnormal"/>
              <w:spacing w:after="0"/>
              <w:outlineLvl w:val="0"/>
              <w:rPr>
                <w:rFonts w:ascii="Verdana" w:hAnsi="Verdana" w:cstheme="minorHAnsi"/>
                <w:b/>
                <w:sz w:val="20"/>
                <w:szCs w:val="20"/>
              </w:rPr>
            </w:pPr>
            <w:bookmarkStart w:id="91" w:name="_Toc50984727"/>
            <w:bookmarkStart w:id="92" w:name="_Toc50985451"/>
            <w:bookmarkStart w:id="93" w:name="_Toc50985628"/>
            <w:bookmarkStart w:id="94" w:name="_Toc88580916"/>
            <w:r w:rsidRPr="003032C2">
              <w:rPr>
                <w:rFonts w:ascii="Verdana" w:hAnsi="Verdana" w:cstheme="minorHAnsi"/>
                <w:b/>
                <w:sz w:val="20"/>
                <w:szCs w:val="20"/>
              </w:rPr>
              <w:t>VI.2. Recuperación de Espacio</w:t>
            </w:r>
            <w:bookmarkEnd w:id="91"/>
            <w:bookmarkEnd w:id="92"/>
            <w:bookmarkEnd w:id="93"/>
            <w:bookmarkEnd w:id="94"/>
          </w:p>
          <w:p w14:paraId="65E887B6" w14:textId="6DB2F747" w:rsidR="001150B8" w:rsidRPr="009E663D" w:rsidRDefault="001150B8" w:rsidP="00E52BB2">
            <w:pPr>
              <w:pStyle w:val="aaaIFTnormal"/>
              <w:spacing w:after="0"/>
              <w:rPr>
                <w:rFonts w:ascii="Verdana" w:hAnsi="Verdana" w:cstheme="minorHAnsi"/>
                <w:sz w:val="20"/>
                <w:szCs w:val="20"/>
                <w:lang w:val="es-ES_tradnl"/>
              </w:rPr>
            </w:pPr>
            <w:r>
              <w:rPr>
                <w:rFonts w:ascii="Verdana" w:hAnsi="Verdana" w:cstheme="minorHAnsi"/>
                <w:sz w:val="20"/>
                <w:szCs w:val="20"/>
                <w:lang w:val="es-ES_tradnl"/>
              </w:rPr>
              <w:t>(</w:t>
            </w:r>
            <w:r w:rsidRPr="009E663D">
              <w:rPr>
                <w:rFonts w:ascii="Verdana" w:hAnsi="Verdana" w:cstheme="minorHAnsi"/>
                <w:sz w:val="20"/>
                <w:szCs w:val="20"/>
                <w:lang w:val="es-ES_tradnl"/>
              </w:rPr>
              <w:t xml:space="preserve">Pág. </w:t>
            </w:r>
            <w:r>
              <w:rPr>
                <w:rFonts w:ascii="Verdana" w:hAnsi="Verdana" w:cstheme="minorHAnsi"/>
                <w:sz w:val="20"/>
                <w:szCs w:val="20"/>
                <w:lang w:val="es-ES_tradnl"/>
              </w:rPr>
              <w:t>23)</w:t>
            </w:r>
          </w:p>
          <w:p w14:paraId="4D919AB2" w14:textId="77777777" w:rsidR="001150B8" w:rsidRPr="003032C2" w:rsidRDefault="001150B8" w:rsidP="003032C2">
            <w:pPr>
              <w:pStyle w:val="aaaIFTnormal"/>
              <w:spacing w:after="0"/>
              <w:outlineLvl w:val="0"/>
              <w:rPr>
                <w:rFonts w:ascii="Verdana" w:hAnsi="Verdana" w:cstheme="minorHAnsi"/>
                <w:b/>
                <w:sz w:val="20"/>
                <w:szCs w:val="20"/>
              </w:rPr>
            </w:pPr>
          </w:p>
          <w:p w14:paraId="3AA5647F" w14:textId="77777777" w:rsidR="001150B8" w:rsidRPr="002229C5" w:rsidRDefault="001150B8" w:rsidP="002229C5">
            <w:pPr>
              <w:pStyle w:val="aaaIFTnormal"/>
              <w:spacing w:after="0"/>
              <w:outlineLvl w:val="0"/>
              <w:rPr>
                <w:rFonts w:ascii="Verdana" w:hAnsi="Verdana" w:cstheme="minorHAnsi"/>
                <w:b/>
                <w:sz w:val="20"/>
                <w:szCs w:val="20"/>
              </w:rPr>
            </w:pPr>
          </w:p>
        </w:tc>
        <w:tc>
          <w:tcPr>
            <w:tcW w:w="1794" w:type="pct"/>
            <w:tcBorders>
              <w:top w:val="single" w:sz="4" w:space="0" w:color="auto"/>
              <w:left w:val="single" w:sz="4" w:space="0" w:color="auto"/>
              <w:bottom w:val="single" w:sz="4" w:space="0" w:color="auto"/>
              <w:right w:val="single" w:sz="4" w:space="0" w:color="auto"/>
            </w:tcBorders>
            <w:vAlign w:val="center"/>
          </w:tcPr>
          <w:p w14:paraId="2F2F12B8" w14:textId="77777777" w:rsidR="001150B8" w:rsidRDefault="001150B8" w:rsidP="002229C5">
            <w:pPr>
              <w:pStyle w:val="IFTnormal"/>
              <w:spacing w:after="0"/>
              <w:rPr>
                <w:rFonts w:ascii="Verdana" w:eastAsia="Times New Roman" w:hAnsi="Verdana" w:cstheme="minorHAnsi"/>
                <w:b/>
                <w:color w:val="000000"/>
                <w:sz w:val="20"/>
                <w:szCs w:val="20"/>
                <w:lang w:eastAsia="es-MX"/>
              </w:rPr>
            </w:pPr>
            <w:r w:rsidRPr="003032C2">
              <w:rPr>
                <w:rFonts w:ascii="Verdana" w:eastAsia="Times New Roman" w:hAnsi="Verdana" w:cstheme="minorHAnsi"/>
                <w:b/>
                <w:color w:val="000000"/>
                <w:sz w:val="20"/>
                <w:szCs w:val="20"/>
                <w:lang w:eastAsia="es-MX"/>
              </w:rPr>
              <w:t>VI.2. Recuperación de Espacio</w:t>
            </w:r>
          </w:p>
          <w:p w14:paraId="6C673DA9" w14:textId="77777777" w:rsidR="001150B8" w:rsidRDefault="001150B8" w:rsidP="002229C5">
            <w:pPr>
              <w:pStyle w:val="IFTnormal"/>
              <w:spacing w:after="0"/>
              <w:rPr>
                <w:rFonts w:ascii="Verdana" w:eastAsia="Times New Roman" w:hAnsi="Verdana" w:cstheme="minorHAnsi"/>
                <w:b/>
                <w:color w:val="000000"/>
                <w:sz w:val="20"/>
                <w:szCs w:val="20"/>
                <w:lang w:eastAsia="es-MX"/>
              </w:rPr>
            </w:pPr>
            <w:r>
              <w:rPr>
                <w:rFonts w:ascii="Verdana" w:eastAsia="Times New Roman" w:hAnsi="Verdana" w:cstheme="minorHAnsi"/>
                <w:b/>
                <w:color w:val="000000"/>
                <w:sz w:val="20"/>
                <w:szCs w:val="20"/>
                <w:lang w:eastAsia="es-MX"/>
              </w:rPr>
              <w:t>…</w:t>
            </w:r>
          </w:p>
          <w:p w14:paraId="77F0BCFF" w14:textId="77777777" w:rsidR="001150B8" w:rsidRDefault="001150B8" w:rsidP="002229C5">
            <w:pPr>
              <w:pStyle w:val="IFTnormal"/>
              <w:spacing w:after="0"/>
              <w:rPr>
                <w:rFonts w:ascii="Verdana" w:eastAsia="Times New Roman" w:hAnsi="Verdana" w:cstheme="minorHAnsi"/>
                <w:b/>
                <w:color w:val="000000"/>
                <w:sz w:val="20"/>
                <w:szCs w:val="20"/>
                <w:lang w:eastAsia="es-MX"/>
              </w:rPr>
            </w:pPr>
            <w:r>
              <w:rPr>
                <w:rFonts w:ascii="Verdana" w:eastAsia="Times New Roman" w:hAnsi="Verdana" w:cstheme="minorHAnsi"/>
                <w:b/>
                <w:color w:val="000000"/>
                <w:sz w:val="20"/>
                <w:szCs w:val="20"/>
                <w:lang w:eastAsia="es-MX"/>
              </w:rPr>
              <w:t>…</w:t>
            </w:r>
          </w:p>
          <w:p w14:paraId="53586C94" w14:textId="77777777" w:rsidR="001150B8" w:rsidRDefault="001150B8" w:rsidP="002229C5">
            <w:pPr>
              <w:pStyle w:val="IFTnormal"/>
              <w:spacing w:after="0"/>
              <w:rPr>
                <w:rFonts w:ascii="Verdana" w:eastAsia="Times New Roman" w:hAnsi="Verdana" w:cstheme="minorHAnsi"/>
                <w:color w:val="000000"/>
                <w:sz w:val="20"/>
                <w:szCs w:val="20"/>
                <w:u w:val="single"/>
                <w:lang w:eastAsia="es-MX"/>
              </w:rPr>
            </w:pPr>
            <w:r w:rsidRPr="003032C2">
              <w:rPr>
                <w:rFonts w:ascii="Verdana" w:eastAsia="Times New Roman" w:hAnsi="Verdana" w:cstheme="minorHAnsi"/>
                <w:color w:val="000000"/>
                <w:sz w:val="20"/>
                <w:szCs w:val="20"/>
                <w:u w:val="single"/>
                <w:lang w:eastAsia="es-MX"/>
              </w:rPr>
              <w:t>Criterios de determinación de Recuperación de Espacios y Metodología:</w:t>
            </w:r>
          </w:p>
          <w:p w14:paraId="024A47F4" w14:textId="77777777" w:rsidR="001150B8" w:rsidRDefault="001150B8" w:rsidP="003032C2">
            <w:pPr>
              <w:pStyle w:val="IFTnormal"/>
              <w:spacing w:after="0"/>
              <w:ind w:left="155"/>
              <w:rPr>
                <w:rFonts w:ascii="Verdana" w:eastAsia="Times New Roman" w:hAnsi="Verdana" w:cstheme="minorHAnsi"/>
                <w:color w:val="000000"/>
                <w:sz w:val="20"/>
                <w:szCs w:val="20"/>
                <w:lang w:eastAsia="es-MX"/>
              </w:rPr>
            </w:pPr>
            <w:r w:rsidRPr="002229C5">
              <w:rPr>
                <w:rFonts w:ascii="Verdana" w:eastAsia="Times New Roman" w:hAnsi="Verdana" w:cstheme="minorHAnsi"/>
                <w:color w:val="000000"/>
                <w:sz w:val="20"/>
                <w:szCs w:val="20"/>
                <w:lang w:eastAsia="es-MX"/>
              </w:rPr>
              <w:t>1.</w:t>
            </w:r>
          </w:p>
          <w:p w14:paraId="0AD8E617" w14:textId="64EA1D2A" w:rsidR="001150B8" w:rsidRPr="002229C5" w:rsidRDefault="001150B8" w:rsidP="003032C2">
            <w:pPr>
              <w:pStyle w:val="IFTnormal"/>
              <w:spacing w:after="0"/>
              <w:ind w:left="155"/>
              <w:rPr>
                <w:rFonts w:ascii="Verdana" w:eastAsia="Times New Roman" w:hAnsi="Verdana" w:cstheme="minorHAnsi"/>
                <w:color w:val="000000"/>
                <w:sz w:val="20"/>
                <w:szCs w:val="20"/>
                <w:lang w:eastAsia="es-MX"/>
              </w:rPr>
            </w:pPr>
            <w:r>
              <w:rPr>
                <w:rFonts w:ascii="Verdana" w:eastAsia="Times New Roman" w:hAnsi="Verdana" w:cstheme="minorHAnsi"/>
                <w:color w:val="000000"/>
                <w:sz w:val="20"/>
                <w:szCs w:val="20"/>
                <w:lang w:eastAsia="es-MX"/>
              </w:rPr>
              <w:t>…</w:t>
            </w:r>
          </w:p>
          <w:p w14:paraId="79B88481" w14:textId="77777777" w:rsidR="001150B8" w:rsidRPr="002229C5" w:rsidRDefault="001150B8" w:rsidP="003032C2">
            <w:pPr>
              <w:pStyle w:val="IFTnormal"/>
              <w:spacing w:after="0"/>
              <w:ind w:left="155"/>
              <w:rPr>
                <w:rFonts w:ascii="Verdana" w:eastAsia="Times New Roman" w:hAnsi="Verdana" w:cstheme="minorHAnsi"/>
                <w:color w:val="000000"/>
                <w:sz w:val="20"/>
                <w:szCs w:val="20"/>
                <w:lang w:eastAsia="es-MX"/>
              </w:rPr>
            </w:pPr>
            <w:r w:rsidRPr="002229C5">
              <w:rPr>
                <w:rFonts w:ascii="Verdana" w:eastAsia="Times New Roman" w:hAnsi="Verdana" w:cstheme="minorHAnsi"/>
                <w:color w:val="000000"/>
                <w:sz w:val="20"/>
                <w:szCs w:val="20"/>
                <w:lang w:eastAsia="es-MX"/>
              </w:rPr>
              <w:t>6.</w:t>
            </w:r>
          </w:p>
          <w:p w14:paraId="19A9F623" w14:textId="77777777" w:rsidR="001150B8" w:rsidRDefault="001150B8" w:rsidP="002229C5">
            <w:pPr>
              <w:pStyle w:val="IFTnormal"/>
              <w:spacing w:after="0"/>
              <w:rPr>
                <w:rFonts w:ascii="Verdana" w:eastAsia="Times New Roman" w:hAnsi="Verdana" w:cstheme="minorHAnsi"/>
                <w:b/>
                <w:color w:val="000000"/>
                <w:sz w:val="20"/>
                <w:szCs w:val="20"/>
                <w:lang w:eastAsia="es-MX"/>
              </w:rPr>
            </w:pPr>
            <w:r>
              <w:rPr>
                <w:rFonts w:ascii="Verdana" w:eastAsia="Times New Roman" w:hAnsi="Verdana" w:cstheme="minorHAnsi"/>
                <w:b/>
                <w:color w:val="000000"/>
                <w:sz w:val="20"/>
                <w:szCs w:val="20"/>
                <w:lang w:eastAsia="es-MX"/>
              </w:rPr>
              <w:t>…</w:t>
            </w:r>
          </w:p>
          <w:p w14:paraId="7359A591" w14:textId="77777777" w:rsidR="001150B8" w:rsidRDefault="001150B8" w:rsidP="002229C5">
            <w:pPr>
              <w:pStyle w:val="IFTnormal"/>
              <w:spacing w:after="0"/>
              <w:rPr>
                <w:rFonts w:ascii="Verdana" w:eastAsia="Times New Roman" w:hAnsi="Verdana" w:cstheme="minorHAnsi"/>
                <w:b/>
                <w:color w:val="000000"/>
                <w:sz w:val="20"/>
                <w:szCs w:val="20"/>
                <w:lang w:eastAsia="es-MX"/>
              </w:rPr>
            </w:pPr>
            <w:r>
              <w:rPr>
                <w:rFonts w:ascii="Verdana" w:eastAsia="Times New Roman" w:hAnsi="Verdana" w:cstheme="minorHAnsi"/>
                <w:b/>
                <w:color w:val="000000"/>
                <w:sz w:val="20"/>
                <w:szCs w:val="20"/>
                <w:lang w:eastAsia="es-MX"/>
              </w:rPr>
              <w:t>…</w:t>
            </w:r>
          </w:p>
          <w:p w14:paraId="760D3812" w14:textId="709F1EBF" w:rsidR="001150B8" w:rsidRPr="002229C5" w:rsidRDefault="001150B8" w:rsidP="003032C2">
            <w:pPr>
              <w:pStyle w:val="aaaIFTnormal"/>
              <w:spacing w:after="0"/>
              <w:rPr>
                <w:rFonts w:ascii="Verdana" w:eastAsia="Times New Roman" w:hAnsi="Verdana" w:cstheme="minorHAnsi"/>
                <w:b/>
                <w:color w:val="000000"/>
                <w:sz w:val="20"/>
                <w:szCs w:val="20"/>
                <w:lang w:eastAsia="es-MX"/>
              </w:rPr>
            </w:pPr>
            <w:r w:rsidRPr="003032C2">
              <w:rPr>
                <w:rFonts w:ascii="Verdana" w:eastAsia="Times New Roman" w:hAnsi="Verdana" w:cstheme="minorHAnsi"/>
                <w:strike/>
                <w:color w:val="0070C0"/>
                <w:sz w:val="20"/>
                <w:szCs w:val="20"/>
                <w:lang w:eastAsia="es-MX"/>
              </w:rPr>
              <w:t>La facturación del Trabajo Especial “Recuperación de Espacio” será posterior a la conclusión del procedimiento y el Acta de Recepción de los trabajos deberá ser firmada de conformidad por ambos</w:t>
            </w:r>
          </w:p>
        </w:tc>
        <w:tc>
          <w:tcPr>
            <w:tcW w:w="1576" w:type="pct"/>
            <w:vMerge/>
            <w:tcBorders>
              <w:left w:val="single" w:sz="4" w:space="0" w:color="auto"/>
              <w:right w:val="single" w:sz="4" w:space="0" w:color="auto"/>
            </w:tcBorders>
          </w:tcPr>
          <w:p w14:paraId="742D05DE" w14:textId="77777777" w:rsidR="001150B8" w:rsidRPr="00F3263F" w:rsidRDefault="001150B8" w:rsidP="008A3B3E">
            <w:pPr>
              <w:jc w:val="both"/>
              <w:rPr>
                <w:rFonts w:ascii="Arial" w:hAnsi="Arial" w:cs="Arial"/>
                <w:color w:val="000000"/>
                <w:szCs w:val="32"/>
              </w:rPr>
            </w:pPr>
          </w:p>
        </w:tc>
      </w:tr>
      <w:tr w:rsidR="001150B8" w:rsidRPr="00053888" w14:paraId="6ED6C1D1" w14:textId="77777777" w:rsidTr="00A30517">
        <w:trPr>
          <w:trHeight w:val="465"/>
          <w:jc w:val="center"/>
        </w:trPr>
        <w:tc>
          <w:tcPr>
            <w:tcW w:w="216" w:type="pct"/>
            <w:tcBorders>
              <w:left w:val="single" w:sz="4" w:space="0" w:color="auto"/>
              <w:right w:val="single" w:sz="4" w:space="0" w:color="auto"/>
            </w:tcBorders>
            <w:vAlign w:val="center"/>
          </w:tcPr>
          <w:p w14:paraId="5CE8969D" w14:textId="0493F713" w:rsidR="001150B8" w:rsidRDefault="001150B8" w:rsidP="008A3B3E">
            <w:pPr>
              <w:spacing w:after="0" w:line="240" w:lineRule="auto"/>
              <w:jc w:val="center"/>
              <w:rPr>
                <w:rFonts w:ascii="Verdana" w:eastAsia="Times New Roman" w:hAnsi="Verdana" w:cstheme="minorHAnsi"/>
                <w:color w:val="000000"/>
                <w:sz w:val="20"/>
                <w:szCs w:val="20"/>
                <w:lang w:eastAsia="es-MX"/>
              </w:rPr>
            </w:pPr>
            <w:r>
              <w:rPr>
                <w:rFonts w:ascii="Verdana" w:eastAsia="Times New Roman" w:hAnsi="Verdana" w:cstheme="minorHAnsi"/>
                <w:color w:val="000000"/>
                <w:sz w:val="20"/>
                <w:szCs w:val="20"/>
                <w:lang w:eastAsia="es-MX"/>
              </w:rPr>
              <w:t>10</w:t>
            </w:r>
          </w:p>
        </w:tc>
        <w:tc>
          <w:tcPr>
            <w:tcW w:w="652" w:type="pct"/>
            <w:vMerge/>
            <w:tcBorders>
              <w:left w:val="single" w:sz="4" w:space="0" w:color="auto"/>
              <w:right w:val="single" w:sz="4" w:space="0" w:color="auto"/>
            </w:tcBorders>
            <w:vAlign w:val="center"/>
          </w:tcPr>
          <w:p w14:paraId="61E6E6AA" w14:textId="77777777" w:rsidR="001150B8" w:rsidRDefault="001150B8" w:rsidP="008A3B3E">
            <w:pPr>
              <w:pStyle w:val="aaaIFTnormal"/>
              <w:spacing w:after="0"/>
              <w:outlineLvl w:val="0"/>
              <w:rPr>
                <w:rFonts w:ascii="Verdana" w:hAnsi="Verdana" w:cstheme="minorHAnsi"/>
                <w:b/>
                <w:sz w:val="20"/>
                <w:szCs w:val="20"/>
              </w:rPr>
            </w:pPr>
          </w:p>
        </w:tc>
        <w:tc>
          <w:tcPr>
            <w:tcW w:w="761" w:type="pct"/>
            <w:tcBorders>
              <w:top w:val="single" w:sz="4" w:space="0" w:color="auto"/>
              <w:left w:val="single" w:sz="4" w:space="0" w:color="auto"/>
              <w:bottom w:val="single" w:sz="4" w:space="0" w:color="auto"/>
              <w:right w:val="single" w:sz="4" w:space="0" w:color="auto"/>
            </w:tcBorders>
            <w:vAlign w:val="center"/>
          </w:tcPr>
          <w:p w14:paraId="0C1D7422" w14:textId="77777777" w:rsidR="001150B8" w:rsidRDefault="001150B8" w:rsidP="001150B8">
            <w:pPr>
              <w:pStyle w:val="aaaIFTnormal"/>
              <w:spacing w:after="0"/>
              <w:jc w:val="left"/>
              <w:outlineLvl w:val="0"/>
              <w:rPr>
                <w:rFonts w:ascii="Verdana" w:hAnsi="Verdana" w:cstheme="minorHAnsi"/>
                <w:b/>
                <w:sz w:val="20"/>
                <w:szCs w:val="20"/>
              </w:rPr>
            </w:pPr>
            <w:r w:rsidRPr="005201BB">
              <w:rPr>
                <w:rFonts w:ascii="Verdana" w:hAnsi="Verdana" w:cstheme="minorHAnsi"/>
                <w:b/>
                <w:sz w:val="20"/>
                <w:szCs w:val="20"/>
              </w:rPr>
              <w:t xml:space="preserve">ANEXO 6: procedimientos </w:t>
            </w:r>
            <w:r>
              <w:rPr>
                <w:rFonts w:ascii="Verdana" w:hAnsi="Verdana" w:cstheme="minorHAnsi"/>
                <w:b/>
                <w:sz w:val="20"/>
                <w:szCs w:val="20"/>
              </w:rPr>
              <w:t>de Contratación</w:t>
            </w:r>
          </w:p>
          <w:p w14:paraId="2B1C162C" w14:textId="33FA825D" w:rsidR="001150B8" w:rsidRDefault="001150B8" w:rsidP="001150B8">
            <w:pPr>
              <w:pStyle w:val="aaaIFTnormal"/>
              <w:spacing w:after="0"/>
              <w:rPr>
                <w:rFonts w:ascii="Verdana" w:hAnsi="Verdana" w:cstheme="minorHAnsi"/>
                <w:sz w:val="20"/>
                <w:szCs w:val="20"/>
                <w:lang w:val="es-ES_tradnl"/>
              </w:rPr>
            </w:pPr>
            <w:r>
              <w:rPr>
                <w:rFonts w:ascii="Verdana" w:hAnsi="Verdana" w:cstheme="minorHAnsi"/>
                <w:sz w:val="20"/>
                <w:szCs w:val="20"/>
                <w:lang w:val="es-ES_tradnl"/>
              </w:rPr>
              <w:t>(</w:t>
            </w:r>
            <w:r w:rsidRPr="009E663D">
              <w:rPr>
                <w:rFonts w:ascii="Verdana" w:hAnsi="Verdana" w:cstheme="minorHAnsi"/>
                <w:sz w:val="20"/>
                <w:szCs w:val="20"/>
                <w:lang w:val="es-ES_tradnl"/>
              </w:rPr>
              <w:t xml:space="preserve">Pág. </w:t>
            </w:r>
            <w:r>
              <w:rPr>
                <w:rFonts w:ascii="Verdana" w:hAnsi="Verdana" w:cstheme="minorHAnsi"/>
                <w:sz w:val="20"/>
                <w:szCs w:val="20"/>
                <w:lang w:val="es-ES_tradnl"/>
              </w:rPr>
              <w:t>6</w:t>
            </w:r>
            <w:r w:rsidR="000368EF">
              <w:rPr>
                <w:rFonts w:ascii="Verdana" w:hAnsi="Verdana" w:cstheme="minorHAnsi"/>
                <w:sz w:val="20"/>
                <w:szCs w:val="20"/>
                <w:lang w:val="es-ES_tradnl"/>
              </w:rPr>
              <w:t xml:space="preserve"> y 18</w:t>
            </w:r>
            <w:r>
              <w:rPr>
                <w:rFonts w:ascii="Verdana" w:hAnsi="Verdana" w:cstheme="minorHAnsi"/>
                <w:sz w:val="20"/>
                <w:szCs w:val="20"/>
                <w:lang w:val="es-ES_tradnl"/>
              </w:rPr>
              <w:t>)</w:t>
            </w:r>
          </w:p>
          <w:p w14:paraId="722BFB98" w14:textId="62F6A4C5" w:rsidR="001150B8" w:rsidRPr="001150B8" w:rsidRDefault="001150B8" w:rsidP="001150B8">
            <w:pPr>
              <w:pStyle w:val="aaaIFTnormal"/>
              <w:spacing w:after="0"/>
              <w:rPr>
                <w:rFonts w:ascii="Verdana" w:hAnsi="Verdana" w:cstheme="minorHAnsi"/>
                <w:sz w:val="20"/>
                <w:szCs w:val="20"/>
                <w:lang w:val="es-ES_tradnl"/>
              </w:rPr>
            </w:pPr>
          </w:p>
        </w:tc>
        <w:tc>
          <w:tcPr>
            <w:tcW w:w="1794" w:type="pct"/>
            <w:tcBorders>
              <w:top w:val="single" w:sz="4" w:space="0" w:color="auto"/>
              <w:left w:val="single" w:sz="4" w:space="0" w:color="auto"/>
              <w:bottom w:val="single" w:sz="4" w:space="0" w:color="auto"/>
              <w:right w:val="single" w:sz="4" w:space="0" w:color="auto"/>
            </w:tcBorders>
            <w:vAlign w:val="center"/>
          </w:tcPr>
          <w:p w14:paraId="4D4C5AC4" w14:textId="77777777" w:rsidR="001150B8" w:rsidRPr="001150B8" w:rsidRDefault="001150B8" w:rsidP="001150B8">
            <w:pPr>
              <w:pStyle w:val="IFTnormal"/>
              <w:spacing w:after="0"/>
              <w:jc w:val="left"/>
              <w:rPr>
                <w:rFonts w:ascii="Arial" w:hAnsi="Arial"/>
                <w:b/>
                <w:u w:val="single"/>
              </w:rPr>
            </w:pPr>
            <w:r w:rsidRPr="002C2BAA">
              <w:rPr>
                <w:rFonts w:ascii="Verdana" w:eastAsia="Times New Roman" w:hAnsi="Verdana" w:cstheme="minorHAnsi"/>
                <w:b/>
                <w:color w:val="000000"/>
                <w:sz w:val="20"/>
                <w:szCs w:val="20"/>
                <w:lang w:eastAsia="es-MX"/>
              </w:rPr>
              <w:t>III.</w:t>
            </w:r>
            <w:r w:rsidRPr="002C2BAA">
              <w:rPr>
                <w:rFonts w:ascii="Verdana" w:eastAsia="Times New Roman" w:hAnsi="Verdana" w:cstheme="minorHAnsi"/>
                <w:b/>
                <w:color w:val="000000"/>
                <w:sz w:val="20"/>
                <w:szCs w:val="20"/>
                <w:lang w:eastAsia="es-MX"/>
              </w:rPr>
              <w:tab/>
              <w:t>Servicios de Acceso y Uso Compartido de Torres</w:t>
            </w:r>
            <w:r>
              <w:rPr>
                <w:rFonts w:ascii="Verdana" w:eastAsia="Times New Roman" w:hAnsi="Verdana" w:cstheme="minorHAnsi"/>
                <w:b/>
                <w:color w:val="000000"/>
                <w:sz w:val="20"/>
                <w:szCs w:val="20"/>
                <w:lang w:eastAsia="es-MX"/>
              </w:rPr>
              <w:t xml:space="preserve"> y IV </w:t>
            </w:r>
            <w:r w:rsidRPr="001150B8">
              <w:rPr>
                <w:rFonts w:ascii="Verdana" w:eastAsia="Times New Roman" w:hAnsi="Verdana" w:cstheme="minorHAnsi"/>
                <w:b/>
                <w:color w:val="000000"/>
                <w:sz w:val="20"/>
                <w:szCs w:val="20"/>
                <w:lang w:eastAsia="es-MX"/>
              </w:rPr>
              <w:t>Servicio de Uso de Sitios, Predios y Espacios Físicos</w:t>
            </w:r>
          </w:p>
          <w:p w14:paraId="759E19B0" w14:textId="77777777" w:rsidR="001150B8" w:rsidRDefault="001150B8" w:rsidP="001150B8">
            <w:pPr>
              <w:spacing w:after="0"/>
              <w:jc w:val="both"/>
              <w:outlineLvl w:val="3"/>
              <w:rPr>
                <w:rFonts w:ascii="Arial" w:hAnsi="Arial" w:cs="Arial"/>
                <w:b/>
                <w:lang w:val="es-ES"/>
              </w:rPr>
            </w:pPr>
          </w:p>
          <w:p w14:paraId="53B25ECC" w14:textId="77777777" w:rsidR="001150B8" w:rsidRDefault="001150B8" w:rsidP="001150B8">
            <w:pPr>
              <w:spacing w:after="0"/>
              <w:jc w:val="both"/>
              <w:outlineLvl w:val="3"/>
              <w:rPr>
                <w:rFonts w:ascii="Arial" w:hAnsi="Arial" w:cs="Arial"/>
                <w:b/>
                <w:lang w:val="es-ES"/>
              </w:rPr>
            </w:pPr>
            <w:r w:rsidRPr="009152F6">
              <w:rPr>
                <w:rFonts w:ascii="Arial" w:hAnsi="Arial" w:cs="Arial"/>
                <w:b/>
                <w:lang w:val="es-ES"/>
              </w:rPr>
              <w:t>Etapa 2: Programación y realización de Visita Técnica</w:t>
            </w:r>
          </w:p>
          <w:p w14:paraId="0542E55A" w14:textId="3633C7D2" w:rsidR="001150B8" w:rsidRDefault="001150B8" w:rsidP="001150B8">
            <w:pPr>
              <w:spacing w:after="0"/>
              <w:jc w:val="both"/>
              <w:outlineLvl w:val="3"/>
              <w:rPr>
                <w:rFonts w:ascii="Arial" w:hAnsi="Arial"/>
              </w:rPr>
            </w:pPr>
            <w:r w:rsidRPr="009152F6">
              <w:rPr>
                <w:rFonts w:ascii="Arial" w:hAnsi="Arial"/>
              </w:rPr>
              <w:t>2.</w:t>
            </w:r>
            <w:r>
              <w:rPr>
                <w:rFonts w:ascii="Arial" w:hAnsi="Arial"/>
              </w:rPr>
              <w:t>3</w:t>
            </w:r>
            <w:r w:rsidRPr="009152F6">
              <w:rPr>
                <w:rFonts w:ascii="Arial" w:hAnsi="Arial"/>
              </w:rPr>
              <w:t>.</w:t>
            </w:r>
            <w:r>
              <w:rPr>
                <w:rFonts w:ascii="Arial" w:hAnsi="Arial"/>
              </w:rPr>
              <w:t>1</w:t>
            </w:r>
            <w:r w:rsidRPr="009152F6">
              <w:rPr>
                <w:rFonts w:ascii="Arial" w:hAnsi="Arial"/>
              </w:rPr>
              <w:t>.2.1</w:t>
            </w:r>
          </w:p>
          <w:p w14:paraId="7B859B7A" w14:textId="0F131DB6" w:rsidR="001150B8" w:rsidRDefault="000368EF" w:rsidP="001150B8">
            <w:pPr>
              <w:spacing w:after="0"/>
              <w:jc w:val="both"/>
              <w:outlineLvl w:val="3"/>
              <w:rPr>
                <w:rFonts w:ascii="Arial" w:hAnsi="Arial" w:cs="Arial"/>
                <w:b/>
                <w:lang w:val="es-ES"/>
              </w:rPr>
            </w:pPr>
            <w:r>
              <w:rPr>
                <w:rFonts w:ascii="Arial" w:hAnsi="Arial"/>
              </w:rPr>
              <w:t xml:space="preserve">a) </w:t>
            </w:r>
            <w:r w:rsidR="001150B8" w:rsidRPr="009152F6">
              <w:rPr>
                <w:rFonts w:ascii="Arial" w:hAnsi="Arial"/>
              </w:rPr>
              <w:t>Aceptada. - El CS o AS acepta y autoriza la cotización de los Trabajos Especiales dentro de un plazo de cinco días hábiles a partir de su notificación a través del SEG</w:t>
            </w:r>
            <w:r w:rsidR="001150B8">
              <w:rPr>
                <w:rFonts w:ascii="Arial" w:hAnsi="Arial"/>
              </w:rPr>
              <w:t xml:space="preserve">, </w:t>
            </w:r>
            <w:r w:rsidR="001150B8" w:rsidRPr="000368EF">
              <w:rPr>
                <w:rFonts w:ascii="Verdana" w:eastAsia="Times New Roman" w:hAnsi="Verdana" w:cstheme="minorHAnsi"/>
                <w:bCs/>
                <w:color w:val="0070C0"/>
                <w:sz w:val="20"/>
                <w:szCs w:val="20"/>
                <w:lang w:eastAsia="es-MX"/>
              </w:rPr>
              <w:t>en caso de no recibir el pago dentro del plazo de 5 (cinco) días hábiles referido, se tendrá por cancelada la solicitud</w:t>
            </w:r>
            <w:r w:rsidR="001150B8" w:rsidRPr="007D640F">
              <w:rPr>
                <w:rFonts w:ascii="Arial" w:hAnsi="Arial"/>
              </w:rPr>
              <w:t xml:space="preserve"> </w:t>
            </w:r>
            <w:r w:rsidR="001150B8" w:rsidRPr="000368EF">
              <w:rPr>
                <w:rFonts w:ascii="Verdana" w:eastAsia="Times New Roman" w:hAnsi="Verdana" w:cstheme="minorHAnsi"/>
                <w:bCs/>
                <w:color w:val="0070C0"/>
                <w:sz w:val="20"/>
                <w:szCs w:val="20"/>
                <w:lang w:eastAsia="es-MX"/>
              </w:rPr>
              <w:t>y la oferta comercial presentada</w:t>
            </w:r>
            <w:r w:rsidR="001150B8" w:rsidRPr="009152F6">
              <w:rPr>
                <w:rFonts w:ascii="Arial" w:hAnsi="Arial"/>
              </w:rPr>
              <w:t xml:space="preserve">. </w:t>
            </w:r>
            <w:r w:rsidR="001150B8">
              <w:rPr>
                <w:rFonts w:ascii="Arial" w:hAnsi="Arial"/>
              </w:rPr>
              <w:t>Telmex y Telnor</w:t>
            </w:r>
            <w:r w:rsidR="001150B8" w:rsidRPr="009152F6">
              <w:rPr>
                <w:rFonts w:ascii="Arial" w:hAnsi="Arial"/>
              </w:rPr>
              <w:t xml:space="preserve"> realizará</w:t>
            </w:r>
            <w:r w:rsidR="001150B8">
              <w:rPr>
                <w:rFonts w:ascii="Arial" w:hAnsi="Arial"/>
              </w:rPr>
              <w:t>n</w:t>
            </w:r>
            <w:r w:rsidR="001150B8" w:rsidRPr="009152F6">
              <w:rPr>
                <w:rFonts w:ascii="Arial" w:hAnsi="Arial"/>
              </w:rPr>
              <w:t xml:space="preserve"> la ejecución de los trabajos notificando dentro de los siguientes cinco</w:t>
            </w:r>
            <w:r w:rsidR="001150B8">
              <w:rPr>
                <w:rFonts w:ascii="Arial" w:hAnsi="Arial"/>
              </w:rPr>
              <w:t xml:space="preserve"> </w:t>
            </w:r>
            <w:r w:rsidR="001150B8" w:rsidRPr="009152F6">
              <w:rPr>
                <w:rFonts w:ascii="Arial" w:hAnsi="Arial"/>
              </w:rPr>
              <w:t>días hábiles después de la aceptación al</w:t>
            </w:r>
          </w:p>
          <w:p w14:paraId="1C5FEF61" w14:textId="77777777" w:rsidR="001150B8" w:rsidRPr="003032C2" w:rsidRDefault="001150B8" w:rsidP="002229C5">
            <w:pPr>
              <w:pStyle w:val="IFTnormal"/>
              <w:spacing w:after="0"/>
              <w:rPr>
                <w:rFonts w:ascii="Verdana" w:eastAsia="Times New Roman" w:hAnsi="Verdana" w:cstheme="minorHAnsi"/>
                <w:b/>
                <w:color w:val="000000"/>
                <w:sz w:val="20"/>
                <w:szCs w:val="20"/>
                <w:lang w:eastAsia="es-MX"/>
              </w:rPr>
            </w:pPr>
          </w:p>
        </w:tc>
        <w:tc>
          <w:tcPr>
            <w:tcW w:w="1576" w:type="pct"/>
            <w:vMerge/>
            <w:tcBorders>
              <w:left w:val="single" w:sz="4" w:space="0" w:color="auto"/>
              <w:right w:val="single" w:sz="4" w:space="0" w:color="auto"/>
            </w:tcBorders>
          </w:tcPr>
          <w:p w14:paraId="276F2B24" w14:textId="77777777" w:rsidR="001150B8" w:rsidRPr="00F3263F" w:rsidRDefault="001150B8" w:rsidP="008A3B3E">
            <w:pPr>
              <w:jc w:val="both"/>
              <w:rPr>
                <w:rFonts w:ascii="Arial" w:hAnsi="Arial" w:cs="Arial"/>
                <w:color w:val="000000"/>
                <w:szCs w:val="32"/>
              </w:rPr>
            </w:pPr>
          </w:p>
        </w:tc>
      </w:tr>
      <w:tr w:rsidR="00A30517" w:rsidRPr="00053888" w14:paraId="58137308" w14:textId="77777777" w:rsidTr="009C0871">
        <w:trPr>
          <w:trHeight w:val="465"/>
          <w:jc w:val="center"/>
        </w:trPr>
        <w:tc>
          <w:tcPr>
            <w:tcW w:w="216" w:type="pct"/>
            <w:tcBorders>
              <w:left w:val="single" w:sz="4" w:space="0" w:color="auto"/>
              <w:right w:val="single" w:sz="4" w:space="0" w:color="auto"/>
            </w:tcBorders>
            <w:vAlign w:val="center"/>
          </w:tcPr>
          <w:p w14:paraId="3A884993" w14:textId="1B424552" w:rsidR="00A30517" w:rsidRDefault="001150B8" w:rsidP="008A3B3E">
            <w:pPr>
              <w:spacing w:after="0" w:line="240" w:lineRule="auto"/>
              <w:jc w:val="center"/>
              <w:rPr>
                <w:rFonts w:ascii="Verdana" w:eastAsia="Times New Roman" w:hAnsi="Verdana" w:cstheme="minorHAnsi"/>
                <w:color w:val="000000"/>
                <w:sz w:val="20"/>
                <w:szCs w:val="20"/>
                <w:lang w:eastAsia="es-MX"/>
              </w:rPr>
            </w:pPr>
            <w:r>
              <w:rPr>
                <w:rFonts w:ascii="Verdana" w:eastAsia="Times New Roman" w:hAnsi="Verdana" w:cstheme="minorHAnsi"/>
                <w:color w:val="000000"/>
                <w:sz w:val="20"/>
                <w:szCs w:val="20"/>
                <w:lang w:eastAsia="es-MX"/>
              </w:rPr>
              <w:t>11</w:t>
            </w:r>
          </w:p>
        </w:tc>
        <w:tc>
          <w:tcPr>
            <w:tcW w:w="652" w:type="pct"/>
            <w:tcBorders>
              <w:left w:val="single" w:sz="4" w:space="0" w:color="auto"/>
              <w:right w:val="single" w:sz="4" w:space="0" w:color="auto"/>
            </w:tcBorders>
            <w:vAlign w:val="center"/>
          </w:tcPr>
          <w:p w14:paraId="197B4F3E" w14:textId="783DBE0B" w:rsidR="00A30517" w:rsidRDefault="00A30517" w:rsidP="008A3B3E">
            <w:pPr>
              <w:pStyle w:val="aaaIFTnormal"/>
              <w:spacing w:after="0"/>
              <w:outlineLvl w:val="0"/>
              <w:rPr>
                <w:rFonts w:ascii="Verdana" w:hAnsi="Verdana" w:cstheme="minorHAnsi"/>
                <w:b/>
                <w:sz w:val="20"/>
                <w:szCs w:val="20"/>
              </w:rPr>
            </w:pPr>
            <w:r>
              <w:rPr>
                <w:rFonts w:ascii="Verdana" w:hAnsi="Verdana" w:cstheme="minorHAnsi"/>
                <w:b/>
                <w:sz w:val="20"/>
                <w:szCs w:val="20"/>
              </w:rPr>
              <w:t>Convenio Electrónico</w:t>
            </w:r>
          </w:p>
        </w:tc>
        <w:tc>
          <w:tcPr>
            <w:tcW w:w="761" w:type="pct"/>
            <w:tcBorders>
              <w:top w:val="single" w:sz="4" w:space="0" w:color="auto"/>
              <w:left w:val="single" w:sz="4" w:space="0" w:color="auto"/>
              <w:bottom w:val="single" w:sz="4" w:space="0" w:color="auto"/>
              <w:right w:val="single" w:sz="4" w:space="0" w:color="auto"/>
            </w:tcBorders>
            <w:vAlign w:val="center"/>
          </w:tcPr>
          <w:p w14:paraId="05C55EED" w14:textId="77777777" w:rsidR="00A30517" w:rsidRDefault="00A30517" w:rsidP="00A30517">
            <w:pPr>
              <w:pStyle w:val="aaaIFTnormal"/>
              <w:spacing w:after="0"/>
              <w:jc w:val="left"/>
              <w:outlineLvl w:val="0"/>
              <w:rPr>
                <w:rFonts w:ascii="Verdana" w:hAnsi="Verdana" w:cstheme="minorHAnsi"/>
                <w:b/>
                <w:sz w:val="20"/>
                <w:szCs w:val="20"/>
              </w:rPr>
            </w:pPr>
            <w:r>
              <w:rPr>
                <w:rFonts w:ascii="Verdana" w:hAnsi="Verdana" w:cstheme="minorHAnsi"/>
                <w:b/>
                <w:sz w:val="20"/>
                <w:szCs w:val="20"/>
              </w:rPr>
              <w:t>Anexo 5. Convenio</w:t>
            </w:r>
          </w:p>
          <w:p w14:paraId="7FD74E96" w14:textId="070CFEAA" w:rsidR="00E52BB2" w:rsidRPr="009E663D" w:rsidRDefault="00E52BB2" w:rsidP="00E52BB2">
            <w:pPr>
              <w:pStyle w:val="aaaIFTnormal"/>
              <w:spacing w:after="0"/>
              <w:rPr>
                <w:rFonts w:ascii="Verdana" w:hAnsi="Verdana" w:cstheme="minorHAnsi"/>
                <w:sz w:val="20"/>
                <w:szCs w:val="20"/>
                <w:lang w:val="es-ES_tradnl"/>
              </w:rPr>
            </w:pPr>
            <w:r>
              <w:rPr>
                <w:rFonts w:ascii="Verdana" w:hAnsi="Verdana" w:cstheme="minorHAnsi"/>
                <w:sz w:val="20"/>
                <w:szCs w:val="20"/>
                <w:lang w:val="es-ES_tradnl"/>
              </w:rPr>
              <w:t>(</w:t>
            </w:r>
            <w:r w:rsidRPr="009E663D">
              <w:rPr>
                <w:rFonts w:ascii="Verdana" w:hAnsi="Verdana" w:cstheme="minorHAnsi"/>
                <w:sz w:val="20"/>
                <w:szCs w:val="20"/>
                <w:lang w:val="es-ES_tradnl"/>
              </w:rPr>
              <w:t xml:space="preserve">Pág. </w:t>
            </w:r>
            <w:r>
              <w:rPr>
                <w:rFonts w:ascii="Verdana" w:hAnsi="Verdana" w:cstheme="minorHAnsi"/>
                <w:sz w:val="20"/>
                <w:szCs w:val="20"/>
                <w:lang w:val="es-ES_tradnl"/>
              </w:rPr>
              <w:t>2)</w:t>
            </w:r>
          </w:p>
          <w:p w14:paraId="2A9BB1E6" w14:textId="55253539" w:rsidR="00E52BB2" w:rsidRPr="003032C2" w:rsidRDefault="00E52BB2" w:rsidP="00A30517">
            <w:pPr>
              <w:pStyle w:val="aaaIFTnormal"/>
              <w:spacing w:after="0"/>
              <w:jc w:val="left"/>
              <w:outlineLvl w:val="0"/>
              <w:rPr>
                <w:rFonts w:ascii="Verdana" w:hAnsi="Verdana" w:cstheme="minorHAnsi"/>
                <w:b/>
                <w:sz w:val="20"/>
                <w:szCs w:val="20"/>
              </w:rPr>
            </w:pPr>
          </w:p>
        </w:tc>
        <w:tc>
          <w:tcPr>
            <w:tcW w:w="1794" w:type="pct"/>
            <w:tcBorders>
              <w:top w:val="single" w:sz="4" w:space="0" w:color="auto"/>
              <w:left w:val="single" w:sz="4" w:space="0" w:color="auto"/>
              <w:bottom w:val="single" w:sz="4" w:space="0" w:color="auto"/>
              <w:right w:val="single" w:sz="4" w:space="0" w:color="auto"/>
            </w:tcBorders>
            <w:vAlign w:val="center"/>
          </w:tcPr>
          <w:p w14:paraId="471DB4C6" w14:textId="5ED9D773" w:rsidR="009C0871" w:rsidRDefault="009C0871" w:rsidP="00A30517">
            <w:pPr>
              <w:pStyle w:val="aaaIFTnormal"/>
              <w:spacing w:after="0"/>
              <w:rPr>
                <w:rFonts w:ascii="Verdana" w:eastAsia="Times New Roman" w:hAnsi="Verdana" w:cstheme="minorHAnsi"/>
                <w:color w:val="0070C0"/>
                <w:sz w:val="20"/>
                <w:szCs w:val="20"/>
                <w:lang w:eastAsia="es-MX"/>
              </w:rPr>
            </w:pPr>
            <w:r>
              <w:rPr>
                <w:rFonts w:ascii="Verdana" w:eastAsia="Times New Roman" w:hAnsi="Verdana" w:cstheme="minorHAnsi"/>
                <w:color w:val="0070C0"/>
                <w:sz w:val="20"/>
                <w:szCs w:val="20"/>
                <w:lang w:eastAsia="es-MX"/>
              </w:rPr>
              <w:t>Declaraciones:</w:t>
            </w:r>
          </w:p>
          <w:p w14:paraId="2CCB3B64" w14:textId="77777777" w:rsidR="00A30517" w:rsidRPr="00A30517" w:rsidRDefault="00A30517" w:rsidP="00A30517">
            <w:pPr>
              <w:pStyle w:val="aaaIFTnormal"/>
              <w:spacing w:after="0"/>
              <w:rPr>
                <w:rFonts w:ascii="Verdana" w:eastAsia="Times New Roman" w:hAnsi="Verdana" w:cstheme="minorHAnsi"/>
                <w:color w:val="0070C0"/>
                <w:sz w:val="20"/>
                <w:szCs w:val="20"/>
                <w:lang w:eastAsia="es-MX"/>
              </w:rPr>
            </w:pPr>
            <w:r w:rsidRPr="00A30517">
              <w:rPr>
                <w:rFonts w:ascii="Verdana" w:eastAsia="Times New Roman" w:hAnsi="Verdana" w:cstheme="minorHAnsi"/>
                <w:color w:val="0070C0"/>
                <w:sz w:val="20"/>
                <w:szCs w:val="20"/>
                <w:lang w:eastAsia="es-MX"/>
              </w:rPr>
              <w:t>III. Las Partes declaran y convienen:</w:t>
            </w:r>
          </w:p>
          <w:p w14:paraId="32049D1F" w14:textId="2C78BDB4" w:rsidR="00A30517" w:rsidRPr="003032C2" w:rsidRDefault="00A30517" w:rsidP="00A30517">
            <w:pPr>
              <w:pStyle w:val="aaaIFTnormal"/>
              <w:spacing w:after="0"/>
              <w:rPr>
                <w:rFonts w:ascii="Verdana" w:eastAsia="Times New Roman" w:hAnsi="Verdana" w:cstheme="minorHAnsi"/>
                <w:b/>
                <w:color w:val="000000"/>
                <w:sz w:val="20"/>
                <w:szCs w:val="20"/>
                <w:lang w:eastAsia="es-MX"/>
              </w:rPr>
            </w:pPr>
            <w:r w:rsidRPr="00A30517">
              <w:rPr>
                <w:rFonts w:ascii="Verdana" w:eastAsia="Times New Roman" w:hAnsi="Verdana" w:cstheme="minorHAnsi"/>
                <w:color w:val="0070C0"/>
                <w:sz w:val="20"/>
                <w:szCs w:val="20"/>
                <w:lang w:eastAsia="es-MX"/>
              </w:rPr>
              <w:t>Único.- Con fundamento en los artículos 78, 89 y 97 del Código de Comercio, así como 1803 y 1834 bis del Código Civil Federal de aplicación supletoria al primero,  las Partes acuerdan que este Convenio y cualquier documento que se derive del mismo, pueden ser firmados electrónicamente y dichas firmas electrónicas producirán los mismos efectos jurídicos que una firma autógrafa, siendo admisibles como prueba en juicio.</w:t>
            </w:r>
          </w:p>
        </w:tc>
        <w:tc>
          <w:tcPr>
            <w:tcW w:w="1576" w:type="pct"/>
            <w:tcBorders>
              <w:left w:val="single" w:sz="4" w:space="0" w:color="auto"/>
              <w:right w:val="single" w:sz="4" w:space="0" w:color="auto"/>
            </w:tcBorders>
          </w:tcPr>
          <w:p w14:paraId="760C7C8F" w14:textId="6E349E45" w:rsidR="00A30517" w:rsidRPr="00F525C2" w:rsidRDefault="00E70853" w:rsidP="00F525C2">
            <w:pPr>
              <w:pStyle w:val="aaaIFTnormal"/>
              <w:spacing w:after="0"/>
              <w:ind w:left="113" w:right="57"/>
              <w:rPr>
                <w:rFonts w:cs="Arial"/>
                <w:color w:val="000000"/>
                <w:szCs w:val="32"/>
              </w:rPr>
            </w:pPr>
            <w:r w:rsidRPr="00F525C2">
              <w:rPr>
                <w:rFonts w:ascii="Verdana" w:hAnsi="Verdana" w:cstheme="minorHAnsi"/>
                <w:sz w:val="20"/>
                <w:szCs w:val="20"/>
                <w:lang w:val="es-ES_tradnl"/>
              </w:rPr>
              <w:t xml:space="preserve">Con la finalidad de agilizar la suscripción de Convenios se solicita adicionar los fundamentos del Código de Comercio y del Código Civil Federal en la parte de las declaraciones para que puedan ser firmados de manera electrónica. Lo anterior beneficia a las partes dado que se optimizan los recursos y se facilita la inscripción del Convenio en ventanilla electrónica del </w:t>
            </w:r>
            <w:proofErr w:type="spellStart"/>
            <w:r w:rsidRPr="00F525C2">
              <w:rPr>
                <w:rFonts w:ascii="Verdana" w:hAnsi="Verdana" w:cstheme="minorHAnsi"/>
                <w:sz w:val="20"/>
                <w:szCs w:val="20"/>
                <w:lang w:val="es-ES_tradnl"/>
              </w:rPr>
              <w:t>IFT</w:t>
            </w:r>
            <w:proofErr w:type="spellEnd"/>
            <w:r w:rsidRPr="00F525C2">
              <w:rPr>
                <w:rFonts w:ascii="Verdana" w:hAnsi="Verdana" w:cstheme="minorHAnsi"/>
                <w:sz w:val="20"/>
                <w:szCs w:val="20"/>
                <w:lang w:val="es-ES_tradnl"/>
              </w:rPr>
              <w:t>, conforme lo ordenado por el Instituto.</w:t>
            </w:r>
          </w:p>
        </w:tc>
      </w:tr>
      <w:tr w:rsidR="009C0871" w:rsidRPr="00053888" w14:paraId="0D22D383" w14:textId="77777777" w:rsidTr="00A30517">
        <w:trPr>
          <w:trHeight w:val="465"/>
          <w:jc w:val="center"/>
        </w:trPr>
        <w:tc>
          <w:tcPr>
            <w:tcW w:w="216" w:type="pct"/>
            <w:tcBorders>
              <w:left w:val="single" w:sz="4" w:space="0" w:color="auto"/>
              <w:bottom w:val="single" w:sz="4" w:space="0" w:color="auto"/>
              <w:right w:val="single" w:sz="4" w:space="0" w:color="auto"/>
            </w:tcBorders>
            <w:vAlign w:val="center"/>
          </w:tcPr>
          <w:p w14:paraId="4ECD732D" w14:textId="77DD366F" w:rsidR="009C0871" w:rsidRDefault="001150B8" w:rsidP="008A3B3E">
            <w:pPr>
              <w:spacing w:after="0" w:line="240" w:lineRule="auto"/>
              <w:jc w:val="center"/>
              <w:rPr>
                <w:rFonts w:ascii="Verdana" w:eastAsia="Times New Roman" w:hAnsi="Verdana" w:cstheme="minorHAnsi"/>
                <w:color w:val="000000"/>
                <w:sz w:val="20"/>
                <w:szCs w:val="20"/>
                <w:lang w:eastAsia="es-MX"/>
              </w:rPr>
            </w:pPr>
            <w:r>
              <w:rPr>
                <w:rFonts w:ascii="Verdana" w:eastAsia="Times New Roman" w:hAnsi="Verdana" w:cstheme="minorHAnsi"/>
                <w:color w:val="000000"/>
                <w:sz w:val="20"/>
                <w:szCs w:val="20"/>
                <w:lang w:eastAsia="es-MX"/>
              </w:rPr>
              <w:t>12</w:t>
            </w:r>
          </w:p>
        </w:tc>
        <w:tc>
          <w:tcPr>
            <w:tcW w:w="652" w:type="pct"/>
            <w:tcBorders>
              <w:left w:val="single" w:sz="4" w:space="0" w:color="auto"/>
              <w:bottom w:val="single" w:sz="4" w:space="0" w:color="auto"/>
              <w:right w:val="single" w:sz="4" w:space="0" w:color="auto"/>
            </w:tcBorders>
            <w:vAlign w:val="center"/>
          </w:tcPr>
          <w:p w14:paraId="3AC86BB3" w14:textId="77777777" w:rsidR="009C0871" w:rsidRDefault="009C0871" w:rsidP="008A3B3E">
            <w:pPr>
              <w:pStyle w:val="aaaIFTnormal"/>
              <w:spacing w:after="0"/>
              <w:outlineLvl w:val="0"/>
              <w:rPr>
                <w:rFonts w:ascii="Verdana" w:hAnsi="Verdana" w:cstheme="minorHAnsi"/>
                <w:b/>
                <w:sz w:val="20"/>
                <w:szCs w:val="20"/>
              </w:rPr>
            </w:pPr>
          </w:p>
        </w:tc>
        <w:tc>
          <w:tcPr>
            <w:tcW w:w="761" w:type="pct"/>
            <w:tcBorders>
              <w:top w:val="single" w:sz="4" w:space="0" w:color="auto"/>
              <w:left w:val="single" w:sz="4" w:space="0" w:color="auto"/>
              <w:bottom w:val="single" w:sz="4" w:space="0" w:color="auto"/>
              <w:right w:val="single" w:sz="4" w:space="0" w:color="auto"/>
            </w:tcBorders>
            <w:vAlign w:val="center"/>
          </w:tcPr>
          <w:p w14:paraId="3927DB1A" w14:textId="77777777" w:rsidR="009C0871" w:rsidRDefault="009C0871" w:rsidP="009C0871">
            <w:pPr>
              <w:pStyle w:val="IFTnormal"/>
              <w:spacing w:after="0"/>
              <w:rPr>
                <w:rFonts w:ascii="Verdana" w:eastAsia="Times New Roman" w:hAnsi="Verdana" w:cstheme="minorHAnsi"/>
                <w:b/>
                <w:color w:val="000000"/>
                <w:sz w:val="20"/>
                <w:szCs w:val="20"/>
                <w:lang w:eastAsia="es-MX"/>
              </w:rPr>
            </w:pPr>
            <w:r w:rsidRPr="009C0871">
              <w:rPr>
                <w:rFonts w:ascii="Verdana" w:hAnsi="Verdana" w:cstheme="minorHAnsi"/>
                <w:b/>
                <w:sz w:val="20"/>
                <w:szCs w:val="20"/>
              </w:rPr>
              <w:t xml:space="preserve">Cláusula </w:t>
            </w:r>
            <w:r w:rsidRPr="009C0871">
              <w:rPr>
                <w:rFonts w:ascii="Verdana" w:eastAsia="Times New Roman" w:hAnsi="Verdana" w:cstheme="minorHAnsi"/>
                <w:b/>
                <w:color w:val="000000"/>
                <w:sz w:val="20"/>
                <w:szCs w:val="20"/>
                <w:lang w:eastAsia="es-MX"/>
              </w:rPr>
              <w:t>PRECIO Y CONDICIONES DE PAGO</w:t>
            </w:r>
          </w:p>
          <w:p w14:paraId="47865D82" w14:textId="4103E4E6" w:rsidR="00E52BB2" w:rsidRPr="009E663D" w:rsidRDefault="00E52BB2" w:rsidP="00E52BB2">
            <w:pPr>
              <w:pStyle w:val="aaaIFTnormal"/>
              <w:spacing w:after="0"/>
              <w:rPr>
                <w:rFonts w:ascii="Verdana" w:hAnsi="Verdana" w:cstheme="minorHAnsi"/>
                <w:sz w:val="20"/>
                <w:szCs w:val="20"/>
                <w:lang w:val="es-ES_tradnl"/>
              </w:rPr>
            </w:pPr>
            <w:r>
              <w:rPr>
                <w:rFonts w:ascii="Verdana" w:hAnsi="Verdana" w:cstheme="minorHAnsi"/>
                <w:sz w:val="20"/>
                <w:szCs w:val="20"/>
                <w:lang w:val="es-ES_tradnl"/>
              </w:rPr>
              <w:t>(</w:t>
            </w:r>
            <w:r w:rsidRPr="009E663D">
              <w:rPr>
                <w:rFonts w:ascii="Verdana" w:hAnsi="Verdana" w:cstheme="minorHAnsi"/>
                <w:sz w:val="20"/>
                <w:szCs w:val="20"/>
                <w:lang w:val="es-ES_tradnl"/>
              </w:rPr>
              <w:t xml:space="preserve">Pág. </w:t>
            </w:r>
            <w:r>
              <w:rPr>
                <w:rFonts w:ascii="Verdana" w:hAnsi="Verdana" w:cstheme="minorHAnsi"/>
                <w:sz w:val="20"/>
                <w:szCs w:val="20"/>
                <w:lang w:val="es-ES_tradnl"/>
              </w:rPr>
              <w:t>5)</w:t>
            </w:r>
          </w:p>
          <w:p w14:paraId="189281B3" w14:textId="77777777" w:rsidR="00E52BB2" w:rsidRPr="009C0871" w:rsidRDefault="00E52BB2" w:rsidP="009C0871">
            <w:pPr>
              <w:pStyle w:val="IFTnormal"/>
              <w:spacing w:after="0"/>
              <w:rPr>
                <w:rFonts w:ascii="Verdana" w:eastAsia="Times New Roman" w:hAnsi="Verdana" w:cstheme="minorHAnsi"/>
                <w:b/>
                <w:color w:val="000000"/>
                <w:sz w:val="20"/>
                <w:szCs w:val="20"/>
                <w:lang w:eastAsia="es-MX"/>
              </w:rPr>
            </w:pPr>
          </w:p>
          <w:p w14:paraId="1F97362F" w14:textId="452F0D8E" w:rsidR="009C0871" w:rsidRDefault="009C0871" w:rsidP="009C0871">
            <w:pPr>
              <w:pStyle w:val="aaaIFTnormal"/>
              <w:spacing w:after="0"/>
              <w:jc w:val="left"/>
              <w:outlineLvl w:val="0"/>
              <w:rPr>
                <w:rFonts w:ascii="Verdana" w:hAnsi="Verdana" w:cstheme="minorHAnsi"/>
                <w:b/>
                <w:sz w:val="20"/>
                <w:szCs w:val="20"/>
              </w:rPr>
            </w:pPr>
          </w:p>
          <w:p w14:paraId="35D89083" w14:textId="03D9D9FE" w:rsidR="009C0871" w:rsidRDefault="009C0871" w:rsidP="009C0871">
            <w:pPr>
              <w:pStyle w:val="aaaIFTnormal"/>
              <w:spacing w:after="0"/>
              <w:jc w:val="left"/>
              <w:outlineLvl w:val="0"/>
              <w:rPr>
                <w:rFonts w:ascii="Verdana" w:hAnsi="Verdana" w:cstheme="minorHAnsi"/>
                <w:b/>
                <w:sz w:val="20"/>
                <w:szCs w:val="20"/>
              </w:rPr>
            </w:pPr>
          </w:p>
        </w:tc>
        <w:tc>
          <w:tcPr>
            <w:tcW w:w="1794" w:type="pct"/>
            <w:tcBorders>
              <w:top w:val="single" w:sz="4" w:space="0" w:color="auto"/>
              <w:left w:val="single" w:sz="4" w:space="0" w:color="auto"/>
              <w:bottom w:val="single" w:sz="4" w:space="0" w:color="auto"/>
              <w:right w:val="single" w:sz="4" w:space="0" w:color="auto"/>
            </w:tcBorders>
            <w:vAlign w:val="center"/>
          </w:tcPr>
          <w:p w14:paraId="614D09B1" w14:textId="4B3255AD" w:rsidR="009C0871" w:rsidRPr="009C0871" w:rsidRDefault="009C0871" w:rsidP="009C0871">
            <w:pPr>
              <w:pStyle w:val="IFTnormal"/>
              <w:spacing w:after="0"/>
              <w:rPr>
                <w:rFonts w:ascii="Verdana" w:eastAsia="Times New Roman" w:hAnsi="Verdana" w:cstheme="minorHAnsi"/>
                <w:b/>
                <w:color w:val="000000"/>
                <w:sz w:val="20"/>
                <w:szCs w:val="20"/>
                <w:lang w:eastAsia="es-MX"/>
              </w:rPr>
            </w:pPr>
            <w:r w:rsidRPr="009C0871">
              <w:rPr>
                <w:rFonts w:ascii="Verdana" w:eastAsia="Times New Roman" w:hAnsi="Verdana" w:cstheme="minorHAnsi"/>
                <w:b/>
                <w:color w:val="000000"/>
                <w:sz w:val="20"/>
                <w:szCs w:val="20"/>
                <w:lang w:eastAsia="es-MX"/>
              </w:rPr>
              <w:t>TERCER</w:t>
            </w:r>
            <w:r>
              <w:rPr>
                <w:rFonts w:ascii="Verdana" w:eastAsia="Times New Roman" w:hAnsi="Verdana" w:cstheme="minorHAnsi"/>
                <w:b/>
                <w:color w:val="000000"/>
                <w:sz w:val="20"/>
                <w:szCs w:val="20"/>
                <w:lang w:eastAsia="es-MX"/>
              </w:rPr>
              <w:t>A.</w:t>
            </w:r>
            <w:r>
              <w:rPr>
                <w:rFonts w:ascii="Verdana" w:eastAsia="Times New Roman" w:hAnsi="Verdana" w:cstheme="minorHAnsi"/>
                <w:b/>
                <w:color w:val="000000"/>
                <w:sz w:val="20"/>
                <w:szCs w:val="20"/>
                <w:lang w:eastAsia="es-MX"/>
              </w:rPr>
              <w:tab/>
              <w:t>PRECIO Y CONDICIONES DE PAGO</w:t>
            </w:r>
          </w:p>
          <w:p w14:paraId="661933A8" w14:textId="77777777" w:rsidR="009C0871" w:rsidRPr="009C0871" w:rsidRDefault="009C0871" w:rsidP="009C0871">
            <w:pPr>
              <w:pStyle w:val="aaaIFTnormal"/>
              <w:numPr>
                <w:ilvl w:val="0"/>
                <w:numId w:val="37"/>
              </w:numPr>
              <w:spacing w:after="0"/>
              <w:rPr>
                <w:rFonts w:ascii="Verdana" w:eastAsia="Times New Roman" w:hAnsi="Verdana" w:cstheme="minorHAnsi"/>
                <w:color w:val="0070C0"/>
                <w:sz w:val="20"/>
                <w:szCs w:val="20"/>
                <w:lang w:eastAsia="es-MX"/>
              </w:rPr>
            </w:pPr>
            <w:r w:rsidRPr="009C0871">
              <w:rPr>
                <w:rFonts w:ascii="Verdana" w:hAnsi="Verdana" w:cstheme="minorHAnsi"/>
                <w:sz w:val="20"/>
                <w:szCs w:val="20"/>
                <w:lang w:val="es-ES_tradnl"/>
              </w:rPr>
              <w:t>Pago de los SERVICIOS</w:t>
            </w:r>
          </w:p>
          <w:p w14:paraId="1F77CF2E" w14:textId="77777777" w:rsidR="009C0871" w:rsidRPr="009C0871" w:rsidRDefault="009C0871" w:rsidP="009C0871">
            <w:pPr>
              <w:pStyle w:val="aaaIFTnormal"/>
              <w:spacing w:after="0"/>
              <w:rPr>
                <w:rFonts w:ascii="Verdana" w:eastAsia="Times New Roman" w:hAnsi="Verdana" w:cstheme="minorHAnsi"/>
                <w:color w:val="0070C0"/>
                <w:sz w:val="20"/>
                <w:szCs w:val="20"/>
                <w:lang w:eastAsia="es-MX"/>
              </w:rPr>
            </w:pPr>
            <w:r w:rsidRPr="009C0871">
              <w:rPr>
                <w:rFonts w:ascii="Verdana" w:eastAsia="Times New Roman" w:hAnsi="Verdana" w:cstheme="minorHAnsi"/>
                <w:color w:val="0070C0"/>
                <w:sz w:val="20"/>
                <w:szCs w:val="20"/>
                <w:lang w:eastAsia="es-MX"/>
              </w:rPr>
              <w:t xml:space="preserve">DIVISIÓN MAYORISTA TELMEX/TELNOR y el [CONCESIONARIO O AUTORIZADO SOLICITANTE] acuerdan que en el evento de que este último incumpla con cualesquiera de las obligaciones de pago a su cargo bajo el presente CONVENIO, DIVISIÓN MAYORISTA TELMEX/TELNOR estará debidamente facultado para: (i) suspender, sin responsabilidad alguna, la prestación de los SERVICIOS, una vez realizada la notificación al [CONCESIONARIO O AUTORIZADO SOLICITANTE]. </w:t>
            </w:r>
          </w:p>
          <w:p w14:paraId="502CCD4D" w14:textId="42EDF170" w:rsidR="009C0871" w:rsidRDefault="009C0871" w:rsidP="009C0871">
            <w:pPr>
              <w:pStyle w:val="aaaIFTnormal"/>
              <w:spacing w:after="0"/>
              <w:rPr>
                <w:rFonts w:ascii="Verdana" w:eastAsia="Times New Roman" w:hAnsi="Verdana" w:cstheme="minorHAnsi"/>
                <w:color w:val="0070C0"/>
                <w:sz w:val="20"/>
                <w:szCs w:val="20"/>
                <w:lang w:eastAsia="es-MX"/>
              </w:rPr>
            </w:pPr>
            <w:r w:rsidRPr="009C0871">
              <w:rPr>
                <w:rFonts w:ascii="Verdana" w:eastAsia="Times New Roman" w:hAnsi="Verdana" w:cstheme="minorHAnsi"/>
                <w:color w:val="0070C0"/>
                <w:sz w:val="20"/>
                <w:szCs w:val="20"/>
                <w:lang w:eastAsia="es-MX"/>
              </w:rPr>
              <w:t>Una vez realizada la notificación por parte de DIVISIÓN MAYORISTA TELMEX/TELNOR, el [CONCESIONARIO O AUTORIZADO SOLICITANTE] contará con un periodo de gracia de 10 (diez) días hábiles para subsanar cualquier incumplimiento de pago, DIVISIÓN MAYORISTA TELMEX/TELNOR podrá, rescindir el presente CONVENIO en observancia a lo dispuesto en la cláusula DÉCIMA TERCERA. RESCISIÓN DEL CONVENIO. En este último caso, DIVISIÓN MAYORISTA TELMEX/TELNOR podrá exigir el pago de daños y perjuicios</w:t>
            </w:r>
            <w:r w:rsidR="00F525C2">
              <w:rPr>
                <w:rFonts w:ascii="Verdana" w:eastAsia="Times New Roman" w:hAnsi="Verdana" w:cstheme="minorHAnsi"/>
                <w:color w:val="0070C0"/>
                <w:sz w:val="20"/>
                <w:szCs w:val="20"/>
                <w:lang w:eastAsia="es-MX"/>
              </w:rPr>
              <w:t>.</w:t>
            </w:r>
          </w:p>
        </w:tc>
        <w:tc>
          <w:tcPr>
            <w:tcW w:w="1576" w:type="pct"/>
            <w:tcBorders>
              <w:left w:val="single" w:sz="4" w:space="0" w:color="auto"/>
              <w:bottom w:val="single" w:sz="4" w:space="0" w:color="auto"/>
              <w:right w:val="single" w:sz="4" w:space="0" w:color="auto"/>
            </w:tcBorders>
          </w:tcPr>
          <w:p w14:paraId="5F3B88FB" w14:textId="77777777" w:rsidR="009C0871" w:rsidRPr="00F525C2" w:rsidRDefault="009C0871" w:rsidP="00F525C2">
            <w:pPr>
              <w:pStyle w:val="aaaIFTnormal"/>
              <w:spacing w:after="0"/>
              <w:ind w:left="113" w:right="57"/>
              <w:rPr>
                <w:rFonts w:ascii="Verdana" w:hAnsi="Verdana" w:cstheme="minorHAnsi"/>
                <w:sz w:val="20"/>
                <w:szCs w:val="20"/>
                <w:lang w:val="es-ES_tradnl"/>
              </w:rPr>
            </w:pPr>
            <w:r w:rsidRPr="00F525C2">
              <w:rPr>
                <w:rFonts w:ascii="Verdana" w:hAnsi="Verdana" w:cstheme="minorHAnsi"/>
                <w:sz w:val="20"/>
                <w:szCs w:val="20"/>
                <w:lang w:val="es-ES_tradnl"/>
              </w:rPr>
              <w:t>Con el propósito de homologar las condiciones de pago en las ofertas de referencia, se solicita adicionar el párrafo “b) Pago mensual de los SERVICIOS” de la cláusula “TERCERA. PRECIO Y CONDICIONES DE PAGO” del “Convenio Marco para la prestación del Servicio Mayorista de Arrendamiento de Enlaces Dedicados entre Localidades, y de Larga Distancia Internacional para Concesionarios de Redes Públicas de Telecomunicaciones y Autorizados de Telecomunicaciones” de las Divisiones Mayoristas de Telmex y Telnor vigente.</w:t>
            </w:r>
          </w:p>
          <w:p w14:paraId="3D54379F" w14:textId="77777777" w:rsidR="00F525C2" w:rsidRPr="00F525C2" w:rsidRDefault="00F525C2" w:rsidP="00F525C2">
            <w:pPr>
              <w:pStyle w:val="aaaIFTnormal"/>
              <w:spacing w:after="0"/>
              <w:ind w:left="113" w:right="57"/>
              <w:rPr>
                <w:rFonts w:ascii="Verdana" w:hAnsi="Verdana" w:cstheme="minorHAnsi"/>
                <w:sz w:val="20"/>
                <w:szCs w:val="20"/>
                <w:lang w:val="es-ES_tradnl"/>
              </w:rPr>
            </w:pPr>
          </w:p>
          <w:p w14:paraId="61CCE966" w14:textId="0A02E672" w:rsidR="009C0871" w:rsidRPr="00F525C2" w:rsidRDefault="009C0871" w:rsidP="00F525C2">
            <w:pPr>
              <w:pStyle w:val="aaaIFTnormal"/>
              <w:spacing w:after="0"/>
              <w:ind w:left="113" w:right="57"/>
              <w:rPr>
                <w:rFonts w:cs="Arial"/>
                <w:color w:val="000000"/>
                <w:szCs w:val="32"/>
              </w:rPr>
            </w:pPr>
            <w:r w:rsidRPr="00F525C2">
              <w:rPr>
                <w:rFonts w:ascii="Verdana" w:hAnsi="Verdana" w:cstheme="minorHAnsi"/>
                <w:sz w:val="20"/>
                <w:szCs w:val="20"/>
                <w:lang w:val="es-ES_tradnl"/>
              </w:rPr>
              <w:t>Lo anterior, además de homologar las Ofertas de referencia brindará certeza jurídica para el cumplimiento de las obligaciones de las partes.</w:t>
            </w:r>
          </w:p>
        </w:tc>
      </w:tr>
    </w:tbl>
    <w:p w14:paraId="1E33D217" w14:textId="33645284" w:rsidR="00D90DAB" w:rsidRDefault="00D90DAB" w:rsidP="002E3C6A"/>
    <w:sectPr w:rsidR="00D90DAB" w:rsidSect="007547DA">
      <w:headerReference w:type="default" r:id="rId8"/>
      <w:pgSz w:w="15840" w:h="12240" w:orient="landscape"/>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EEB3A" w14:textId="77777777" w:rsidR="00DC13BB" w:rsidRDefault="00DC13BB" w:rsidP="00C36698">
      <w:pPr>
        <w:spacing w:after="0" w:line="240" w:lineRule="auto"/>
      </w:pPr>
      <w:r>
        <w:separator/>
      </w:r>
    </w:p>
  </w:endnote>
  <w:endnote w:type="continuationSeparator" w:id="0">
    <w:p w14:paraId="07814563" w14:textId="77777777" w:rsidR="00DC13BB" w:rsidRDefault="00DC13BB" w:rsidP="00C36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ITC Avant Garde">
    <w:altName w:val="Century Gothic"/>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EC5EE" w14:textId="77777777" w:rsidR="00DC13BB" w:rsidRDefault="00DC13BB" w:rsidP="00C36698">
      <w:pPr>
        <w:spacing w:after="0" w:line="240" w:lineRule="auto"/>
      </w:pPr>
      <w:r>
        <w:separator/>
      </w:r>
    </w:p>
  </w:footnote>
  <w:footnote w:type="continuationSeparator" w:id="0">
    <w:p w14:paraId="565B92E3" w14:textId="77777777" w:rsidR="00DC13BB" w:rsidRDefault="00DC13BB" w:rsidP="00C366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0825809"/>
      <w:docPartObj>
        <w:docPartGallery w:val="Page Numbers (Top of Page)"/>
        <w:docPartUnique/>
      </w:docPartObj>
    </w:sdtPr>
    <w:sdtEndPr/>
    <w:sdtContent>
      <w:p w14:paraId="65BF20DD" w14:textId="77777777" w:rsidR="00E26D24" w:rsidRDefault="00E26D24">
        <w:pPr>
          <w:pStyle w:val="Encabezado"/>
          <w:jc w:val="right"/>
        </w:pPr>
        <w:r>
          <w:fldChar w:fldCharType="begin"/>
        </w:r>
        <w:r>
          <w:instrText>PAGE   \* MERGEFORMAT</w:instrText>
        </w:r>
        <w:r>
          <w:fldChar w:fldCharType="separate"/>
        </w:r>
        <w:r w:rsidR="000E1E53" w:rsidRPr="000E1E53">
          <w:rPr>
            <w:noProof/>
            <w:lang w:val="es-ES"/>
          </w:rPr>
          <w:t>10</w:t>
        </w:r>
        <w:r>
          <w:fldChar w:fldCharType="end"/>
        </w:r>
      </w:p>
    </w:sdtContent>
  </w:sdt>
  <w:p w14:paraId="705CA010" w14:textId="77777777" w:rsidR="00E26D24" w:rsidRDefault="00E26D2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B00A0"/>
    <w:multiLevelType w:val="multilevel"/>
    <w:tmpl w:val="51B02F8A"/>
    <w:lvl w:ilvl="0">
      <w:start w:val="1"/>
      <w:numFmt w:val="decimal"/>
      <w:lvlText w:val="%1."/>
      <w:lvlJc w:val="left"/>
      <w:pPr>
        <w:ind w:left="364" w:hanging="360"/>
      </w:pPr>
      <w:rPr>
        <w:rFonts w:hint="default"/>
      </w:rPr>
    </w:lvl>
    <w:lvl w:ilvl="1">
      <w:start w:val="1"/>
      <w:numFmt w:val="decimal"/>
      <w:lvlText w:val="V.2.%2"/>
      <w:lvlJc w:val="left"/>
      <w:pPr>
        <w:ind w:left="724" w:hanging="360"/>
      </w:pPr>
      <w:rPr>
        <w:rFonts w:hint="default"/>
      </w:rPr>
    </w:lvl>
    <w:lvl w:ilvl="2">
      <w:start w:val="1"/>
      <w:numFmt w:val="lowerRoman"/>
      <w:lvlText w:val="%3)"/>
      <w:lvlJc w:val="left"/>
      <w:pPr>
        <w:ind w:left="1084" w:hanging="360"/>
      </w:pPr>
      <w:rPr>
        <w:rFonts w:hint="default"/>
      </w:rPr>
    </w:lvl>
    <w:lvl w:ilvl="3">
      <w:start w:val="1"/>
      <w:numFmt w:val="decimal"/>
      <w:lvlText w:val="%4."/>
      <w:lvlJc w:val="left"/>
      <w:pPr>
        <w:ind w:left="1444" w:hanging="360"/>
      </w:pPr>
      <w:rPr>
        <w:rFonts w:hint="default"/>
      </w:rPr>
    </w:lvl>
    <w:lvl w:ilvl="4">
      <w:start w:val="1"/>
      <w:numFmt w:val="lowerLetter"/>
      <w:lvlText w:val="(%5)"/>
      <w:lvlJc w:val="left"/>
      <w:pPr>
        <w:ind w:left="1804" w:hanging="360"/>
      </w:pPr>
      <w:rPr>
        <w:rFonts w:hint="default"/>
      </w:rPr>
    </w:lvl>
    <w:lvl w:ilvl="5">
      <w:start w:val="1"/>
      <w:numFmt w:val="lowerRoman"/>
      <w:lvlText w:val="(%6)"/>
      <w:lvlJc w:val="left"/>
      <w:pPr>
        <w:ind w:left="2164" w:hanging="360"/>
      </w:pPr>
      <w:rPr>
        <w:rFonts w:hint="default"/>
      </w:rPr>
    </w:lvl>
    <w:lvl w:ilvl="6">
      <w:start w:val="1"/>
      <w:numFmt w:val="decimal"/>
      <w:lvlText w:val="%7."/>
      <w:lvlJc w:val="left"/>
      <w:pPr>
        <w:ind w:left="2524" w:hanging="360"/>
      </w:pPr>
      <w:rPr>
        <w:rFonts w:hint="default"/>
      </w:rPr>
    </w:lvl>
    <w:lvl w:ilvl="7">
      <w:start w:val="1"/>
      <w:numFmt w:val="lowerLetter"/>
      <w:lvlText w:val="%8."/>
      <w:lvlJc w:val="left"/>
      <w:pPr>
        <w:ind w:left="2884" w:hanging="360"/>
      </w:pPr>
      <w:rPr>
        <w:rFonts w:hint="default"/>
      </w:rPr>
    </w:lvl>
    <w:lvl w:ilvl="8">
      <w:start w:val="1"/>
      <w:numFmt w:val="lowerRoman"/>
      <w:lvlText w:val="%9."/>
      <w:lvlJc w:val="left"/>
      <w:pPr>
        <w:ind w:left="3244" w:hanging="360"/>
      </w:pPr>
      <w:rPr>
        <w:rFonts w:hint="default"/>
      </w:rPr>
    </w:lvl>
  </w:abstractNum>
  <w:abstractNum w:abstractNumId="1" w15:restartNumberingAfterBreak="0">
    <w:nsid w:val="02714DDA"/>
    <w:multiLevelType w:val="hybridMultilevel"/>
    <w:tmpl w:val="511AC4F2"/>
    <w:lvl w:ilvl="0" w:tplc="9BA4481A">
      <w:start w:val="1"/>
      <w:numFmt w:val="upperRoman"/>
      <w:lvlText w:val="%1."/>
      <w:lvlJc w:val="left"/>
      <w:pPr>
        <w:ind w:left="720" w:hanging="360"/>
      </w:pPr>
      <w:rPr>
        <w:rFonts w:ascii="Arial" w:hAnsi="Arial" w:hint="default"/>
      </w:rPr>
    </w:lvl>
    <w:lvl w:ilvl="1" w:tplc="35E86BC6">
      <w:start w:val="1"/>
      <w:numFmt w:val="decimal"/>
      <w:lvlText w:val="IV.%2"/>
      <w:lvlJc w:val="left"/>
      <w:pPr>
        <w:ind w:left="5606"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1814F9"/>
    <w:multiLevelType w:val="hybridMultilevel"/>
    <w:tmpl w:val="A0BA7F0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DF934E8"/>
    <w:multiLevelType w:val="hybridMultilevel"/>
    <w:tmpl w:val="BC78EAF0"/>
    <w:lvl w:ilvl="0" w:tplc="080A0015">
      <w:start w:val="1"/>
      <w:numFmt w:val="upp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12741059"/>
    <w:multiLevelType w:val="hybridMultilevel"/>
    <w:tmpl w:val="9484F594"/>
    <w:lvl w:ilvl="0" w:tplc="14FEC18C">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9992FE5"/>
    <w:multiLevelType w:val="hybridMultilevel"/>
    <w:tmpl w:val="F84C31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9EA63FF"/>
    <w:multiLevelType w:val="hybridMultilevel"/>
    <w:tmpl w:val="FE98DB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391E6E"/>
    <w:multiLevelType w:val="multilevel"/>
    <w:tmpl w:val="3D66020E"/>
    <w:lvl w:ilvl="0">
      <w:start w:val="1"/>
      <w:numFmt w:val="decimal"/>
      <w:pStyle w:val="aaaNumeral1"/>
      <w:lvlText w:val="%1."/>
      <w:lvlJc w:val="left"/>
      <w:pPr>
        <w:ind w:left="1637"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2FB3168"/>
    <w:multiLevelType w:val="hybridMultilevel"/>
    <w:tmpl w:val="30DCB8C2"/>
    <w:lvl w:ilvl="0" w:tplc="770A570E">
      <w:start w:val="6"/>
      <w:numFmt w:val="lowerLetter"/>
      <w:lvlText w:val="%1)"/>
      <w:lvlJc w:val="left"/>
      <w:pPr>
        <w:ind w:left="494" w:hanging="360"/>
      </w:pPr>
      <w:rPr>
        <w:rFonts w:hint="default"/>
      </w:rPr>
    </w:lvl>
    <w:lvl w:ilvl="1" w:tplc="080A0019" w:tentative="1">
      <w:start w:val="1"/>
      <w:numFmt w:val="lowerLetter"/>
      <w:lvlText w:val="%2."/>
      <w:lvlJc w:val="left"/>
      <w:pPr>
        <w:ind w:left="1214" w:hanging="360"/>
      </w:pPr>
    </w:lvl>
    <w:lvl w:ilvl="2" w:tplc="080A001B" w:tentative="1">
      <w:start w:val="1"/>
      <w:numFmt w:val="lowerRoman"/>
      <w:lvlText w:val="%3."/>
      <w:lvlJc w:val="right"/>
      <w:pPr>
        <w:ind w:left="1934" w:hanging="180"/>
      </w:pPr>
    </w:lvl>
    <w:lvl w:ilvl="3" w:tplc="080A000F" w:tentative="1">
      <w:start w:val="1"/>
      <w:numFmt w:val="decimal"/>
      <w:lvlText w:val="%4."/>
      <w:lvlJc w:val="left"/>
      <w:pPr>
        <w:ind w:left="2654" w:hanging="360"/>
      </w:pPr>
    </w:lvl>
    <w:lvl w:ilvl="4" w:tplc="080A0019" w:tentative="1">
      <w:start w:val="1"/>
      <w:numFmt w:val="lowerLetter"/>
      <w:lvlText w:val="%5."/>
      <w:lvlJc w:val="left"/>
      <w:pPr>
        <w:ind w:left="3374" w:hanging="360"/>
      </w:pPr>
    </w:lvl>
    <w:lvl w:ilvl="5" w:tplc="080A001B" w:tentative="1">
      <w:start w:val="1"/>
      <w:numFmt w:val="lowerRoman"/>
      <w:lvlText w:val="%6."/>
      <w:lvlJc w:val="right"/>
      <w:pPr>
        <w:ind w:left="4094" w:hanging="180"/>
      </w:pPr>
    </w:lvl>
    <w:lvl w:ilvl="6" w:tplc="080A000F" w:tentative="1">
      <w:start w:val="1"/>
      <w:numFmt w:val="decimal"/>
      <w:lvlText w:val="%7."/>
      <w:lvlJc w:val="left"/>
      <w:pPr>
        <w:ind w:left="4814" w:hanging="360"/>
      </w:pPr>
    </w:lvl>
    <w:lvl w:ilvl="7" w:tplc="080A0019" w:tentative="1">
      <w:start w:val="1"/>
      <w:numFmt w:val="lowerLetter"/>
      <w:lvlText w:val="%8."/>
      <w:lvlJc w:val="left"/>
      <w:pPr>
        <w:ind w:left="5534" w:hanging="360"/>
      </w:pPr>
    </w:lvl>
    <w:lvl w:ilvl="8" w:tplc="080A001B" w:tentative="1">
      <w:start w:val="1"/>
      <w:numFmt w:val="lowerRoman"/>
      <w:lvlText w:val="%9."/>
      <w:lvlJc w:val="right"/>
      <w:pPr>
        <w:ind w:left="6254" w:hanging="180"/>
      </w:pPr>
    </w:lvl>
  </w:abstractNum>
  <w:abstractNum w:abstractNumId="9" w15:restartNumberingAfterBreak="0">
    <w:nsid w:val="26123AE1"/>
    <w:multiLevelType w:val="multilevel"/>
    <w:tmpl w:val="06847A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6400C88"/>
    <w:multiLevelType w:val="hybridMultilevel"/>
    <w:tmpl w:val="BCEE73D6"/>
    <w:lvl w:ilvl="0" w:tplc="8F6EE480">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1" w15:restartNumberingAfterBreak="0">
    <w:nsid w:val="29F83776"/>
    <w:multiLevelType w:val="hybridMultilevel"/>
    <w:tmpl w:val="AFB0A3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B005B54"/>
    <w:multiLevelType w:val="hybridMultilevel"/>
    <w:tmpl w:val="EBC2F13A"/>
    <w:lvl w:ilvl="0" w:tplc="AE2A1148">
      <w:start w:val="1"/>
      <w:numFmt w:val="lowerRoman"/>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F337E05"/>
    <w:multiLevelType w:val="multilevel"/>
    <w:tmpl w:val="EFECB048"/>
    <w:lvl w:ilvl="0">
      <w:start w:val="3"/>
      <w:numFmt w:val="upperRoman"/>
      <w:lvlText w:val="%1."/>
      <w:lvlJc w:val="left"/>
      <w:pPr>
        <w:ind w:left="360" w:hanging="360"/>
      </w:pPr>
      <w:rPr>
        <w:rFonts w:ascii="Arial" w:hAnsi="Arial" w:hint="default"/>
        <w:u w:val="none"/>
      </w:rPr>
    </w:lvl>
    <w:lvl w:ilvl="1">
      <w:start w:val="1"/>
      <w:numFmt w:val="decimal"/>
      <w:lvlText w:val="III.%2."/>
      <w:lvlJc w:val="left"/>
      <w:pPr>
        <w:ind w:left="1440" w:hanging="360"/>
      </w:pPr>
      <w:rPr>
        <w:rFonts w:hint="default"/>
        <w:u w:val="none"/>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08635CC"/>
    <w:multiLevelType w:val="multilevel"/>
    <w:tmpl w:val="CB0E9070"/>
    <w:lvl w:ilvl="0">
      <w:start w:val="1"/>
      <w:numFmt w:val="decimal"/>
      <w:lvlText w:val="V.2.%1"/>
      <w:lvlJc w:val="left"/>
      <w:pPr>
        <w:ind w:left="362" w:hanging="360"/>
      </w:pPr>
      <w:rPr>
        <w:rFonts w:hint="default"/>
      </w:rPr>
    </w:lvl>
    <w:lvl w:ilvl="1">
      <w:start w:val="1"/>
      <w:numFmt w:val="decimal"/>
      <w:lvlText w:val="V.2.%2"/>
      <w:lvlJc w:val="left"/>
      <w:pPr>
        <w:ind w:left="722" w:hanging="360"/>
      </w:pPr>
      <w:rPr>
        <w:rFonts w:hint="default"/>
      </w:rPr>
    </w:lvl>
    <w:lvl w:ilvl="2">
      <w:start w:val="1"/>
      <w:numFmt w:val="lowerRoman"/>
      <w:lvlText w:val="%3)"/>
      <w:lvlJc w:val="left"/>
      <w:pPr>
        <w:ind w:left="1082" w:hanging="360"/>
      </w:pPr>
      <w:rPr>
        <w:rFonts w:hint="default"/>
        <w:b/>
        <w:bCs w:val="0"/>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15" w15:restartNumberingAfterBreak="0">
    <w:nsid w:val="30E86E05"/>
    <w:multiLevelType w:val="hybridMultilevel"/>
    <w:tmpl w:val="1DC45A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B7256CB"/>
    <w:multiLevelType w:val="hybridMultilevel"/>
    <w:tmpl w:val="E96451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0F960F1"/>
    <w:multiLevelType w:val="hybridMultilevel"/>
    <w:tmpl w:val="A5E4B954"/>
    <w:lvl w:ilvl="0" w:tplc="05106EE6">
      <w:start w:val="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0A3072"/>
    <w:multiLevelType w:val="hybridMultilevel"/>
    <w:tmpl w:val="DC5C6550"/>
    <w:lvl w:ilvl="0" w:tplc="7234D52E">
      <w:numFmt w:val="bullet"/>
      <w:lvlText w:val="-"/>
      <w:lvlJc w:val="left"/>
      <w:pPr>
        <w:ind w:left="786" w:hanging="360"/>
      </w:pPr>
      <w:rPr>
        <w:rFonts w:ascii="Arial" w:eastAsiaTheme="minorHAnsi" w:hAnsi="Arial" w:cs="Aria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19" w15:restartNumberingAfterBreak="0">
    <w:nsid w:val="426F69B1"/>
    <w:multiLevelType w:val="hybridMultilevel"/>
    <w:tmpl w:val="CDEC6AD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39B45B2"/>
    <w:multiLevelType w:val="multilevel"/>
    <w:tmpl w:val="2102BCFA"/>
    <w:lvl w:ilvl="0">
      <w:start w:val="1"/>
      <w:numFmt w:val="decimal"/>
      <w:lvlText w:val="%1."/>
      <w:lvlJc w:val="left"/>
      <w:pPr>
        <w:ind w:left="364" w:hanging="360"/>
      </w:pPr>
      <w:rPr>
        <w:rFonts w:hint="default"/>
      </w:rPr>
    </w:lvl>
    <w:lvl w:ilvl="1">
      <w:start w:val="1"/>
      <w:numFmt w:val="decimal"/>
      <w:lvlText w:val="V.1.%2"/>
      <w:lvlJc w:val="left"/>
      <w:pPr>
        <w:ind w:left="724" w:hanging="360"/>
      </w:pPr>
      <w:rPr>
        <w:rFonts w:hint="default"/>
      </w:rPr>
    </w:lvl>
    <w:lvl w:ilvl="2">
      <w:start w:val="1"/>
      <w:numFmt w:val="lowerRoman"/>
      <w:lvlText w:val="%3)"/>
      <w:lvlJc w:val="left"/>
      <w:pPr>
        <w:ind w:left="1084" w:hanging="360"/>
      </w:pPr>
      <w:rPr>
        <w:rFonts w:hint="default"/>
      </w:rPr>
    </w:lvl>
    <w:lvl w:ilvl="3">
      <w:start w:val="1"/>
      <w:numFmt w:val="decimal"/>
      <w:lvlText w:val="(%4)"/>
      <w:lvlJc w:val="left"/>
      <w:pPr>
        <w:ind w:left="1444" w:hanging="360"/>
      </w:pPr>
      <w:rPr>
        <w:rFonts w:hint="default"/>
      </w:rPr>
    </w:lvl>
    <w:lvl w:ilvl="4">
      <w:start w:val="1"/>
      <w:numFmt w:val="lowerLetter"/>
      <w:lvlText w:val="(%5)"/>
      <w:lvlJc w:val="left"/>
      <w:pPr>
        <w:ind w:left="1804" w:hanging="360"/>
      </w:pPr>
      <w:rPr>
        <w:rFonts w:hint="default"/>
      </w:rPr>
    </w:lvl>
    <w:lvl w:ilvl="5">
      <w:start w:val="1"/>
      <w:numFmt w:val="lowerRoman"/>
      <w:lvlText w:val="(%6)"/>
      <w:lvlJc w:val="left"/>
      <w:pPr>
        <w:ind w:left="2164" w:hanging="360"/>
      </w:pPr>
      <w:rPr>
        <w:rFonts w:hint="default"/>
      </w:rPr>
    </w:lvl>
    <w:lvl w:ilvl="6">
      <w:start w:val="1"/>
      <w:numFmt w:val="decimal"/>
      <w:lvlText w:val="%7."/>
      <w:lvlJc w:val="left"/>
      <w:pPr>
        <w:ind w:left="2524" w:hanging="360"/>
      </w:pPr>
      <w:rPr>
        <w:rFonts w:hint="default"/>
      </w:rPr>
    </w:lvl>
    <w:lvl w:ilvl="7">
      <w:start w:val="1"/>
      <w:numFmt w:val="lowerLetter"/>
      <w:lvlText w:val="%8."/>
      <w:lvlJc w:val="left"/>
      <w:pPr>
        <w:ind w:left="2884" w:hanging="360"/>
      </w:pPr>
      <w:rPr>
        <w:rFonts w:hint="default"/>
      </w:rPr>
    </w:lvl>
    <w:lvl w:ilvl="8">
      <w:start w:val="1"/>
      <w:numFmt w:val="lowerRoman"/>
      <w:lvlText w:val="%9."/>
      <w:lvlJc w:val="left"/>
      <w:pPr>
        <w:ind w:left="3244" w:hanging="360"/>
      </w:pPr>
      <w:rPr>
        <w:rFonts w:hint="default"/>
      </w:rPr>
    </w:lvl>
  </w:abstractNum>
  <w:abstractNum w:abstractNumId="21" w15:restartNumberingAfterBreak="0">
    <w:nsid w:val="43FD126C"/>
    <w:multiLevelType w:val="hybridMultilevel"/>
    <w:tmpl w:val="D9E24E76"/>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2" w15:restartNumberingAfterBreak="0">
    <w:nsid w:val="4C8B25A9"/>
    <w:multiLevelType w:val="hybridMultilevel"/>
    <w:tmpl w:val="9258D0CA"/>
    <w:lvl w:ilvl="0" w:tplc="3DAE96C6">
      <w:start w:val="1"/>
      <w:numFmt w:val="lowerLetter"/>
      <w:lvlText w:val="%1)"/>
      <w:lvlJc w:val="left"/>
      <w:pPr>
        <w:ind w:left="360" w:hanging="360"/>
      </w:pPr>
      <w:rPr>
        <w:rFonts w:eastAsia="MS Mincho" w:hint="default"/>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3" w15:restartNumberingAfterBreak="0">
    <w:nsid w:val="4F6D416D"/>
    <w:multiLevelType w:val="multilevel"/>
    <w:tmpl w:val="5ECC5466"/>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1881FEB"/>
    <w:multiLevelType w:val="hybridMultilevel"/>
    <w:tmpl w:val="6FD6F98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5" w15:restartNumberingAfterBreak="0">
    <w:nsid w:val="519517EF"/>
    <w:multiLevelType w:val="hybridMultilevel"/>
    <w:tmpl w:val="BD666D5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2CB0BD0"/>
    <w:multiLevelType w:val="hybridMultilevel"/>
    <w:tmpl w:val="0E02B4B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4964219"/>
    <w:multiLevelType w:val="multilevel"/>
    <w:tmpl w:val="FB2430F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692605B"/>
    <w:multiLevelType w:val="hybridMultilevel"/>
    <w:tmpl w:val="80DAC860"/>
    <w:lvl w:ilvl="0" w:tplc="04090019">
      <w:start w:val="1"/>
      <w:numFmt w:val="lowerLetter"/>
      <w:lvlText w:val="%1."/>
      <w:lvlJc w:val="left"/>
      <w:pPr>
        <w:ind w:left="723" w:hanging="360"/>
      </w:pPr>
    </w:lvl>
    <w:lvl w:ilvl="1" w:tplc="080A0019">
      <w:start w:val="1"/>
      <w:numFmt w:val="lowerLetter"/>
      <w:lvlText w:val="%2."/>
      <w:lvlJc w:val="left"/>
      <w:pPr>
        <w:ind w:left="1443" w:hanging="360"/>
      </w:pPr>
    </w:lvl>
    <w:lvl w:ilvl="2" w:tplc="080A001B" w:tentative="1">
      <w:start w:val="1"/>
      <w:numFmt w:val="lowerRoman"/>
      <w:lvlText w:val="%3."/>
      <w:lvlJc w:val="right"/>
      <w:pPr>
        <w:ind w:left="2163" w:hanging="180"/>
      </w:pPr>
    </w:lvl>
    <w:lvl w:ilvl="3" w:tplc="080A000F" w:tentative="1">
      <w:start w:val="1"/>
      <w:numFmt w:val="decimal"/>
      <w:lvlText w:val="%4."/>
      <w:lvlJc w:val="left"/>
      <w:pPr>
        <w:ind w:left="2883" w:hanging="360"/>
      </w:pPr>
    </w:lvl>
    <w:lvl w:ilvl="4" w:tplc="080A0019" w:tentative="1">
      <w:start w:val="1"/>
      <w:numFmt w:val="lowerLetter"/>
      <w:lvlText w:val="%5."/>
      <w:lvlJc w:val="left"/>
      <w:pPr>
        <w:ind w:left="3603" w:hanging="360"/>
      </w:pPr>
    </w:lvl>
    <w:lvl w:ilvl="5" w:tplc="080A001B" w:tentative="1">
      <w:start w:val="1"/>
      <w:numFmt w:val="lowerRoman"/>
      <w:lvlText w:val="%6."/>
      <w:lvlJc w:val="right"/>
      <w:pPr>
        <w:ind w:left="4323" w:hanging="180"/>
      </w:pPr>
    </w:lvl>
    <w:lvl w:ilvl="6" w:tplc="080A000F" w:tentative="1">
      <w:start w:val="1"/>
      <w:numFmt w:val="decimal"/>
      <w:lvlText w:val="%7."/>
      <w:lvlJc w:val="left"/>
      <w:pPr>
        <w:ind w:left="5043" w:hanging="360"/>
      </w:pPr>
    </w:lvl>
    <w:lvl w:ilvl="7" w:tplc="080A0019" w:tentative="1">
      <w:start w:val="1"/>
      <w:numFmt w:val="lowerLetter"/>
      <w:lvlText w:val="%8."/>
      <w:lvlJc w:val="left"/>
      <w:pPr>
        <w:ind w:left="5763" w:hanging="360"/>
      </w:pPr>
    </w:lvl>
    <w:lvl w:ilvl="8" w:tplc="080A001B" w:tentative="1">
      <w:start w:val="1"/>
      <w:numFmt w:val="lowerRoman"/>
      <w:lvlText w:val="%9."/>
      <w:lvlJc w:val="right"/>
      <w:pPr>
        <w:ind w:left="6483" w:hanging="180"/>
      </w:pPr>
    </w:lvl>
  </w:abstractNum>
  <w:abstractNum w:abstractNumId="29" w15:restartNumberingAfterBreak="0">
    <w:nsid w:val="57424B9E"/>
    <w:multiLevelType w:val="hybridMultilevel"/>
    <w:tmpl w:val="51D252C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0" w15:restartNumberingAfterBreak="0">
    <w:nsid w:val="59C40129"/>
    <w:multiLevelType w:val="multilevel"/>
    <w:tmpl w:val="668A555E"/>
    <w:lvl w:ilvl="0">
      <w:start w:val="4"/>
      <w:numFmt w:val="decimal"/>
      <w:lvlText w:val="%1"/>
      <w:lvlJc w:val="left"/>
      <w:pPr>
        <w:ind w:left="360" w:hanging="360"/>
      </w:pPr>
      <w:rPr>
        <w:rFonts w:hint="default"/>
      </w:rPr>
    </w:lvl>
    <w:lvl w:ilvl="1">
      <w:start w:val="7"/>
      <w:numFmt w:val="decimal"/>
      <w:lvlText w:val="%1.%2"/>
      <w:lvlJc w:val="left"/>
      <w:pPr>
        <w:ind w:left="502"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31" w15:restartNumberingAfterBreak="0">
    <w:nsid w:val="5B772A0F"/>
    <w:multiLevelType w:val="multilevel"/>
    <w:tmpl w:val="4DC4A932"/>
    <w:lvl w:ilvl="0">
      <w:start w:val="1"/>
      <w:numFmt w:val="decimal"/>
      <w:lvlText w:val="V.%1"/>
      <w:lvlJc w:val="left"/>
      <w:pPr>
        <w:ind w:left="365" w:hanging="360"/>
      </w:pPr>
      <w:rPr>
        <w:rFonts w:hint="default"/>
      </w:rPr>
    </w:lvl>
    <w:lvl w:ilvl="1">
      <w:start w:val="1"/>
      <w:numFmt w:val="decimal"/>
      <w:lvlText w:val="V.4.%2"/>
      <w:lvlJc w:val="left"/>
      <w:pPr>
        <w:ind w:left="725" w:hanging="360"/>
      </w:pPr>
      <w:rPr>
        <w:rFonts w:hint="default"/>
      </w:rPr>
    </w:lvl>
    <w:lvl w:ilvl="2">
      <w:start w:val="1"/>
      <w:numFmt w:val="lowerRoman"/>
      <w:lvlText w:val="%3)"/>
      <w:lvlJc w:val="left"/>
      <w:pPr>
        <w:ind w:left="1085" w:hanging="360"/>
      </w:pPr>
      <w:rPr>
        <w:rFonts w:hint="default"/>
      </w:rPr>
    </w:lvl>
    <w:lvl w:ilvl="3">
      <w:start w:val="1"/>
      <w:numFmt w:val="decimal"/>
      <w:lvlText w:val="(%4)"/>
      <w:lvlJc w:val="left"/>
      <w:pPr>
        <w:ind w:left="1445" w:hanging="360"/>
      </w:pPr>
      <w:rPr>
        <w:rFonts w:hint="default"/>
      </w:rPr>
    </w:lvl>
    <w:lvl w:ilvl="4">
      <w:start w:val="1"/>
      <w:numFmt w:val="lowerLetter"/>
      <w:lvlText w:val="(%5)"/>
      <w:lvlJc w:val="left"/>
      <w:pPr>
        <w:ind w:left="1805" w:hanging="360"/>
      </w:pPr>
      <w:rPr>
        <w:rFonts w:hint="default"/>
      </w:rPr>
    </w:lvl>
    <w:lvl w:ilvl="5">
      <w:start w:val="1"/>
      <w:numFmt w:val="lowerRoman"/>
      <w:lvlText w:val="(%6)"/>
      <w:lvlJc w:val="left"/>
      <w:pPr>
        <w:ind w:left="2165" w:hanging="360"/>
      </w:pPr>
      <w:rPr>
        <w:rFonts w:hint="default"/>
      </w:rPr>
    </w:lvl>
    <w:lvl w:ilvl="6">
      <w:start w:val="1"/>
      <w:numFmt w:val="decimal"/>
      <w:lvlText w:val="%7."/>
      <w:lvlJc w:val="left"/>
      <w:pPr>
        <w:ind w:left="2525" w:hanging="360"/>
      </w:pPr>
      <w:rPr>
        <w:rFonts w:hint="default"/>
      </w:rPr>
    </w:lvl>
    <w:lvl w:ilvl="7">
      <w:start w:val="1"/>
      <w:numFmt w:val="lowerLetter"/>
      <w:lvlText w:val="%8."/>
      <w:lvlJc w:val="left"/>
      <w:pPr>
        <w:ind w:left="2885" w:hanging="360"/>
      </w:pPr>
      <w:rPr>
        <w:rFonts w:hint="default"/>
      </w:rPr>
    </w:lvl>
    <w:lvl w:ilvl="8">
      <w:start w:val="1"/>
      <w:numFmt w:val="lowerRoman"/>
      <w:lvlText w:val="%9."/>
      <w:lvlJc w:val="left"/>
      <w:pPr>
        <w:ind w:left="3245" w:hanging="360"/>
      </w:pPr>
      <w:rPr>
        <w:rFonts w:hint="default"/>
      </w:rPr>
    </w:lvl>
  </w:abstractNum>
  <w:abstractNum w:abstractNumId="32" w15:restartNumberingAfterBreak="0">
    <w:nsid w:val="632B3F11"/>
    <w:multiLevelType w:val="multilevel"/>
    <w:tmpl w:val="62D4E8CE"/>
    <w:lvl w:ilvl="0">
      <w:start w:val="1"/>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88541D"/>
    <w:multiLevelType w:val="hybridMultilevel"/>
    <w:tmpl w:val="511E4546"/>
    <w:lvl w:ilvl="0" w:tplc="080A0001">
      <w:start w:val="1"/>
      <w:numFmt w:val="bullet"/>
      <w:lvlText w:val=""/>
      <w:lvlJc w:val="left"/>
      <w:pPr>
        <w:ind w:left="2629"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4" w15:restartNumberingAfterBreak="0">
    <w:nsid w:val="66910E11"/>
    <w:multiLevelType w:val="hybridMultilevel"/>
    <w:tmpl w:val="9DCE684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4F81D90"/>
    <w:multiLevelType w:val="hybridMultilevel"/>
    <w:tmpl w:val="29B42130"/>
    <w:lvl w:ilvl="0" w:tplc="CE2E71C2">
      <w:start w:val="1"/>
      <w:numFmt w:val="bullet"/>
      <w:lvlText w:val="­"/>
      <w:lvlJc w:val="left"/>
      <w:pPr>
        <w:ind w:left="1142" w:hanging="360"/>
      </w:pPr>
      <w:rPr>
        <w:rFonts w:ascii="Courier New" w:hAnsi="Courier New" w:hint="default"/>
      </w:rPr>
    </w:lvl>
    <w:lvl w:ilvl="1" w:tplc="080A0003">
      <w:start w:val="1"/>
      <w:numFmt w:val="bullet"/>
      <w:lvlText w:val="o"/>
      <w:lvlJc w:val="left"/>
      <w:pPr>
        <w:ind w:left="1862" w:hanging="360"/>
      </w:pPr>
      <w:rPr>
        <w:rFonts w:ascii="Courier New" w:hAnsi="Courier New" w:cs="Courier New" w:hint="default"/>
      </w:rPr>
    </w:lvl>
    <w:lvl w:ilvl="2" w:tplc="CE2E71C2">
      <w:start w:val="1"/>
      <w:numFmt w:val="bullet"/>
      <w:lvlText w:val="­"/>
      <w:lvlJc w:val="left"/>
      <w:pPr>
        <w:ind w:left="2582" w:hanging="360"/>
      </w:pPr>
      <w:rPr>
        <w:rFonts w:ascii="Courier New" w:hAnsi="Courier New" w:hint="default"/>
      </w:rPr>
    </w:lvl>
    <w:lvl w:ilvl="3" w:tplc="080A0001" w:tentative="1">
      <w:start w:val="1"/>
      <w:numFmt w:val="bullet"/>
      <w:lvlText w:val=""/>
      <w:lvlJc w:val="left"/>
      <w:pPr>
        <w:ind w:left="3302" w:hanging="360"/>
      </w:pPr>
      <w:rPr>
        <w:rFonts w:ascii="Symbol" w:hAnsi="Symbol" w:hint="default"/>
      </w:rPr>
    </w:lvl>
    <w:lvl w:ilvl="4" w:tplc="080A0003" w:tentative="1">
      <w:start w:val="1"/>
      <w:numFmt w:val="bullet"/>
      <w:lvlText w:val="o"/>
      <w:lvlJc w:val="left"/>
      <w:pPr>
        <w:ind w:left="4022" w:hanging="360"/>
      </w:pPr>
      <w:rPr>
        <w:rFonts w:ascii="Courier New" w:hAnsi="Courier New" w:cs="Courier New" w:hint="default"/>
      </w:rPr>
    </w:lvl>
    <w:lvl w:ilvl="5" w:tplc="080A0005" w:tentative="1">
      <w:start w:val="1"/>
      <w:numFmt w:val="bullet"/>
      <w:lvlText w:val=""/>
      <w:lvlJc w:val="left"/>
      <w:pPr>
        <w:ind w:left="4742" w:hanging="360"/>
      </w:pPr>
      <w:rPr>
        <w:rFonts w:ascii="Wingdings" w:hAnsi="Wingdings" w:hint="default"/>
      </w:rPr>
    </w:lvl>
    <w:lvl w:ilvl="6" w:tplc="080A0001" w:tentative="1">
      <w:start w:val="1"/>
      <w:numFmt w:val="bullet"/>
      <w:lvlText w:val=""/>
      <w:lvlJc w:val="left"/>
      <w:pPr>
        <w:ind w:left="5462" w:hanging="360"/>
      </w:pPr>
      <w:rPr>
        <w:rFonts w:ascii="Symbol" w:hAnsi="Symbol" w:hint="default"/>
      </w:rPr>
    </w:lvl>
    <w:lvl w:ilvl="7" w:tplc="080A0003" w:tentative="1">
      <w:start w:val="1"/>
      <w:numFmt w:val="bullet"/>
      <w:lvlText w:val="o"/>
      <w:lvlJc w:val="left"/>
      <w:pPr>
        <w:ind w:left="6182" w:hanging="360"/>
      </w:pPr>
      <w:rPr>
        <w:rFonts w:ascii="Courier New" w:hAnsi="Courier New" w:cs="Courier New" w:hint="default"/>
      </w:rPr>
    </w:lvl>
    <w:lvl w:ilvl="8" w:tplc="080A0005" w:tentative="1">
      <w:start w:val="1"/>
      <w:numFmt w:val="bullet"/>
      <w:lvlText w:val=""/>
      <w:lvlJc w:val="left"/>
      <w:pPr>
        <w:ind w:left="6902" w:hanging="360"/>
      </w:pPr>
      <w:rPr>
        <w:rFonts w:ascii="Wingdings" w:hAnsi="Wingdings" w:hint="default"/>
      </w:rPr>
    </w:lvl>
  </w:abstractNum>
  <w:abstractNum w:abstractNumId="36" w15:restartNumberingAfterBreak="0">
    <w:nsid w:val="7B316302"/>
    <w:multiLevelType w:val="multilevel"/>
    <w:tmpl w:val="EE9A0D92"/>
    <w:lvl w:ilvl="0">
      <w:start w:val="4"/>
      <w:numFmt w:val="decimal"/>
      <w:lvlText w:val="%1"/>
      <w:lvlJc w:val="left"/>
      <w:pPr>
        <w:ind w:left="360" w:hanging="360"/>
      </w:pPr>
      <w:rPr>
        <w:rFonts w:hint="default"/>
      </w:rPr>
    </w:lvl>
    <w:lvl w:ilvl="1">
      <w:start w:val="7"/>
      <w:numFmt w:val="decimal"/>
      <w:pStyle w:val="1TitPrin"/>
      <w:lvlText w:val="%1.%2"/>
      <w:lvlJc w:val="left"/>
      <w:pPr>
        <w:ind w:left="50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728" w:hanging="72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num w:numId="1" w16cid:durableId="660279955">
    <w:abstractNumId w:val="35"/>
  </w:num>
  <w:num w:numId="2" w16cid:durableId="1212619741">
    <w:abstractNumId w:val="16"/>
  </w:num>
  <w:num w:numId="3" w16cid:durableId="1468545821">
    <w:abstractNumId w:val="2"/>
  </w:num>
  <w:num w:numId="4" w16cid:durableId="1913586120">
    <w:abstractNumId w:val="34"/>
  </w:num>
  <w:num w:numId="5" w16cid:durableId="1587299149">
    <w:abstractNumId w:val="27"/>
  </w:num>
  <w:num w:numId="6" w16cid:durableId="1979721605">
    <w:abstractNumId w:val="36"/>
  </w:num>
  <w:num w:numId="7" w16cid:durableId="307980894">
    <w:abstractNumId w:val="30"/>
  </w:num>
  <w:num w:numId="8" w16cid:durableId="1297103204">
    <w:abstractNumId w:val="26"/>
  </w:num>
  <w:num w:numId="9" w16cid:durableId="269899353">
    <w:abstractNumId w:val="25"/>
  </w:num>
  <w:num w:numId="10" w16cid:durableId="871386837">
    <w:abstractNumId w:val="6"/>
  </w:num>
  <w:num w:numId="11" w16cid:durableId="1009917031">
    <w:abstractNumId w:val="10"/>
  </w:num>
  <w:num w:numId="12" w16cid:durableId="147868302">
    <w:abstractNumId w:val="21"/>
  </w:num>
  <w:num w:numId="13" w16cid:durableId="3436961">
    <w:abstractNumId w:val="5"/>
  </w:num>
  <w:num w:numId="14" w16cid:durableId="1684286120">
    <w:abstractNumId w:val="3"/>
  </w:num>
  <w:num w:numId="15" w16cid:durableId="1513570527">
    <w:abstractNumId w:val="19"/>
  </w:num>
  <w:num w:numId="16" w16cid:durableId="1027176667">
    <w:abstractNumId w:val="33"/>
  </w:num>
  <w:num w:numId="17" w16cid:durableId="633415439">
    <w:abstractNumId w:val="8"/>
  </w:num>
  <w:num w:numId="18" w16cid:durableId="1587962782">
    <w:abstractNumId w:val="1"/>
  </w:num>
  <w:num w:numId="19" w16cid:durableId="760102042">
    <w:abstractNumId w:val="9"/>
  </w:num>
  <w:num w:numId="20" w16cid:durableId="1842698520">
    <w:abstractNumId w:val="32"/>
  </w:num>
  <w:num w:numId="21" w16cid:durableId="72633573">
    <w:abstractNumId w:val="11"/>
  </w:num>
  <w:num w:numId="22" w16cid:durableId="1814247638">
    <w:abstractNumId w:val="15"/>
  </w:num>
  <w:num w:numId="23" w16cid:durableId="1566378038">
    <w:abstractNumId w:val="12"/>
  </w:num>
  <w:num w:numId="24" w16cid:durableId="1224096104">
    <w:abstractNumId w:val="28"/>
  </w:num>
  <w:num w:numId="25" w16cid:durableId="572206453">
    <w:abstractNumId w:val="7"/>
  </w:num>
  <w:num w:numId="26" w16cid:durableId="1682972475">
    <w:abstractNumId w:val="23"/>
  </w:num>
  <w:num w:numId="27" w16cid:durableId="770782049">
    <w:abstractNumId w:val="18"/>
  </w:num>
  <w:num w:numId="28" w16cid:durableId="1781337656">
    <w:abstractNumId w:val="14"/>
  </w:num>
  <w:num w:numId="29" w16cid:durableId="1078358042">
    <w:abstractNumId w:val="0"/>
  </w:num>
  <w:num w:numId="30" w16cid:durableId="966473269">
    <w:abstractNumId w:val="29"/>
  </w:num>
  <w:num w:numId="31" w16cid:durableId="284235715">
    <w:abstractNumId w:val="24"/>
  </w:num>
  <w:num w:numId="32" w16cid:durableId="1572959314">
    <w:abstractNumId w:val="31"/>
  </w:num>
  <w:num w:numId="33" w16cid:durableId="245118106">
    <w:abstractNumId w:val="20"/>
  </w:num>
  <w:num w:numId="34" w16cid:durableId="1017125058">
    <w:abstractNumId w:val="4"/>
  </w:num>
  <w:num w:numId="35" w16cid:durableId="2004313526">
    <w:abstractNumId w:val="17"/>
  </w:num>
  <w:num w:numId="36" w16cid:durableId="1029720014">
    <w:abstractNumId w:val="7"/>
    <w:lvlOverride w:ilvl="0">
      <w:startOverride w:val="3"/>
    </w:lvlOverride>
    <w:lvlOverride w:ilvl="1">
      <w:startOverride w:val="1"/>
    </w:lvlOverride>
  </w:num>
  <w:num w:numId="37" w16cid:durableId="2069961553">
    <w:abstractNumId w:val="22"/>
  </w:num>
  <w:num w:numId="38" w16cid:durableId="96778500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698"/>
    <w:rsid w:val="00000341"/>
    <w:rsid w:val="00000708"/>
    <w:rsid w:val="00002373"/>
    <w:rsid w:val="00002EC7"/>
    <w:rsid w:val="00016209"/>
    <w:rsid w:val="0002586E"/>
    <w:rsid w:val="00031E17"/>
    <w:rsid w:val="000368EF"/>
    <w:rsid w:val="000419D3"/>
    <w:rsid w:val="00053888"/>
    <w:rsid w:val="00056AD8"/>
    <w:rsid w:val="00061B57"/>
    <w:rsid w:val="000662E1"/>
    <w:rsid w:val="00066DD9"/>
    <w:rsid w:val="000679A6"/>
    <w:rsid w:val="0007024B"/>
    <w:rsid w:val="0007306E"/>
    <w:rsid w:val="000807B4"/>
    <w:rsid w:val="00082EA6"/>
    <w:rsid w:val="000835A8"/>
    <w:rsid w:val="00083FFE"/>
    <w:rsid w:val="000843C2"/>
    <w:rsid w:val="00085592"/>
    <w:rsid w:val="0009167D"/>
    <w:rsid w:val="00092E6C"/>
    <w:rsid w:val="000941B9"/>
    <w:rsid w:val="0009677B"/>
    <w:rsid w:val="0009743F"/>
    <w:rsid w:val="00097632"/>
    <w:rsid w:val="000B1DA7"/>
    <w:rsid w:val="000B585E"/>
    <w:rsid w:val="000C53D8"/>
    <w:rsid w:val="000C6730"/>
    <w:rsid w:val="000D06F8"/>
    <w:rsid w:val="000D2BF6"/>
    <w:rsid w:val="000D49C7"/>
    <w:rsid w:val="000D74A5"/>
    <w:rsid w:val="000D74F6"/>
    <w:rsid w:val="000E1E53"/>
    <w:rsid w:val="000E2A50"/>
    <w:rsid w:val="000E3C92"/>
    <w:rsid w:val="000F3513"/>
    <w:rsid w:val="00112B28"/>
    <w:rsid w:val="001150B8"/>
    <w:rsid w:val="00116E00"/>
    <w:rsid w:val="00117F0E"/>
    <w:rsid w:val="00123921"/>
    <w:rsid w:val="00125439"/>
    <w:rsid w:val="00125787"/>
    <w:rsid w:val="0012683D"/>
    <w:rsid w:val="001274D9"/>
    <w:rsid w:val="0013177C"/>
    <w:rsid w:val="00132CCF"/>
    <w:rsid w:val="0013301F"/>
    <w:rsid w:val="001339DB"/>
    <w:rsid w:val="00135C46"/>
    <w:rsid w:val="001373B2"/>
    <w:rsid w:val="0014115E"/>
    <w:rsid w:val="00141CD2"/>
    <w:rsid w:val="001531A2"/>
    <w:rsid w:val="0015380C"/>
    <w:rsid w:val="0015627D"/>
    <w:rsid w:val="0016067D"/>
    <w:rsid w:val="00164730"/>
    <w:rsid w:val="001654B8"/>
    <w:rsid w:val="00165A0C"/>
    <w:rsid w:val="00170117"/>
    <w:rsid w:val="00171FC2"/>
    <w:rsid w:val="001938B4"/>
    <w:rsid w:val="00196812"/>
    <w:rsid w:val="0019681A"/>
    <w:rsid w:val="001B325B"/>
    <w:rsid w:val="001B5BCA"/>
    <w:rsid w:val="001C6CCC"/>
    <w:rsid w:val="001C766D"/>
    <w:rsid w:val="001D63F1"/>
    <w:rsid w:val="001E126E"/>
    <w:rsid w:val="001E2816"/>
    <w:rsid w:val="001F1F0C"/>
    <w:rsid w:val="001F322B"/>
    <w:rsid w:val="00200850"/>
    <w:rsid w:val="00201A5A"/>
    <w:rsid w:val="00201EB5"/>
    <w:rsid w:val="002061DC"/>
    <w:rsid w:val="00210B4E"/>
    <w:rsid w:val="002167AE"/>
    <w:rsid w:val="00220B48"/>
    <w:rsid w:val="002229C5"/>
    <w:rsid w:val="00245E21"/>
    <w:rsid w:val="00250734"/>
    <w:rsid w:val="00251D6E"/>
    <w:rsid w:val="0025387B"/>
    <w:rsid w:val="00253A7A"/>
    <w:rsid w:val="002610AB"/>
    <w:rsid w:val="00266713"/>
    <w:rsid w:val="00272DFB"/>
    <w:rsid w:val="00273F16"/>
    <w:rsid w:val="002750D3"/>
    <w:rsid w:val="00276F87"/>
    <w:rsid w:val="0028193D"/>
    <w:rsid w:val="00286F13"/>
    <w:rsid w:val="0029611E"/>
    <w:rsid w:val="00296DA2"/>
    <w:rsid w:val="002A3147"/>
    <w:rsid w:val="002A39A3"/>
    <w:rsid w:val="002C2B6F"/>
    <w:rsid w:val="002C2BAA"/>
    <w:rsid w:val="002C372F"/>
    <w:rsid w:val="002C67C8"/>
    <w:rsid w:val="002D0E25"/>
    <w:rsid w:val="002D4484"/>
    <w:rsid w:val="002D72B2"/>
    <w:rsid w:val="002E3C6A"/>
    <w:rsid w:val="002F0A10"/>
    <w:rsid w:val="002F203E"/>
    <w:rsid w:val="002F2D42"/>
    <w:rsid w:val="003032C2"/>
    <w:rsid w:val="00306491"/>
    <w:rsid w:val="00310CCA"/>
    <w:rsid w:val="00317A62"/>
    <w:rsid w:val="00320E9B"/>
    <w:rsid w:val="003248BC"/>
    <w:rsid w:val="00326C4B"/>
    <w:rsid w:val="00336E55"/>
    <w:rsid w:val="003423C1"/>
    <w:rsid w:val="00343207"/>
    <w:rsid w:val="00343257"/>
    <w:rsid w:val="00343FAC"/>
    <w:rsid w:val="00346B5D"/>
    <w:rsid w:val="00347EE7"/>
    <w:rsid w:val="003555C8"/>
    <w:rsid w:val="0035582D"/>
    <w:rsid w:val="00355C3E"/>
    <w:rsid w:val="00361D0B"/>
    <w:rsid w:val="00362CD8"/>
    <w:rsid w:val="0036515A"/>
    <w:rsid w:val="003669A8"/>
    <w:rsid w:val="003708AE"/>
    <w:rsid w:val="00373C74"/>
    <w:rsid w:val="00377926"/>
    <w:rsid w:val="0037796C"/>
    <w:rsid w:val="003812C9"/>
    <w:rsid w:val="003828B6"/>
    <w:rsid w:val="00384000"/>
    <w:rsid w:val="003A0AF2"/>
    <w:rsid w:val="003A5EF8"/>
    <w:rsid w:val="003B0857"/>
    <w:rsid w:val="003B3D4D"/>
    <w:rsid w:val="003B48FA"/>
    <w:rsid w:val="003B4981"/>
    <w:rsid w:val="003C047C"/>
    <w:rsid w:val="003C666B"/>
    <w:rsid w:val="003D2861"/>
    <w:rsid w:val="003D4420"/>
    <w:rsid w:val="003E4B35"/>
    <w:rsid w:val="003F20BB"/>
    <w:rsid w:val="003F48E9"/>
    <w:rsid w:val="003F49DE"/>
    <w:rsid w:val="003F50A9"/>
    <w:rsid w:val="00403427"/>
    <w:rsid w:val="00404949"/>
    <w:rsid w:val="00407D69"/>
    <w:rsid w:val="00420EF9"/>
    <w:rsid w:val="00430BD4"/>
    <w:rsid w:val="00437E02"/>
    <w:rsid w:val="0044059B"/>
    <w:rsid w:val="00447B13"/>
    <w:rsid w:val="00453BBD"/>
    <w:rsid w:val="00455198"/>
    <w:rsid w:val="00456541"/>
    <w:rsid w:val="00472FC2"/>
    <w:rsid w:val="0047456B"/>
    <w:rsid w:val="00476FD3"/>
    <w:rsid w:val="004804C5"/>
    <w:rsid w:val="004809C0"/>
    <w:rsid w:val="00484BB5"/>
    <w:rsid w:val="00485650"/>
    <w:rsid w:val="00485CA8"/>
    <w:rsid w:val="0048604B"/>
    <w:rsid w:val="004919FB"/>
    <w:rsid w:val="004A23E0"/>
    <w:rsid w:val="004A2F1B"/>
    <w:rsid w:val="004A3CBA"/>
    <w:rsid w:val="004A5964"/>
    <w:rsid w:val="004A5E5F"/>
    <w:rsid w:val="004A6DE1"/>
    <w:rsid w:val="004B3B17"/>
    <w:rsid w:val="004B55F5"/>
    <w:rsid w:val="004B5B3B"/>
    <w:rsid w:val="004C2655"/>
    <w:rsid w:val="004C4377"/>
    <w:rsid w:val="004C5512"/>
    <w:rsid w:val="004C59A7"/>
    <w:rsid w:val="004C5A09"/>
    <w:rsid w:val="004D6E9D"/>
    <w:rsid w:val="004E05E1"/>
    <w:rsid w:val="004E0A47"/>
    <w:rsid w:val="004F03D1"/>
    <w:rsid w:val="004F07D5"/>
    <w:rsid w:val="004F0FC0"/>
    <w:rsid w:val="004F518A"/>
    <w:rsid w:val="004F6138"/>
    <w:rsid w:val="004F62C8"/>
    <w:rsid w:val="00503FD1"/>
    <w:rsid w:val="00505478"/>
    <w:rsid w:val="005201BB"/>
    <w:rsid w:val="00533377"/>
    <w:rsid w:val="005339D0"/>
    <w:rsid w:val="00540EDE"/>
    <w:rsid w:val="0054657A"/>
    <w:rsid w:val="005500CC"/>
    <w:rsid w:val="005510F0"/>
    <w:rsid w:val="00551471"/>
    <w:rsid w:val="005525F9"/>
    <w:rsid w:val="00552D0E"/>
    <w:rsid w:val="00560274"/>
    <w:rsid w:val="00560789"/>
    <w:rsid w:val="00560C47"/>
    <w:rsid w:val="00561667"/>
    <w:rsid w:val="00573243"/>
    <w:rsid w:val="00576DB9"/>
    <w:rsid w:val="005821C2"/>
    <w:rsid w:val="00582458"/>
    <w:rsid w:val="00582B22"/>
    <w:rsid w:val="00585001"/>
    <w:rsid w:val="00592DE7"/>
    <w:rsid w:val="005944AD"/>
    <w:rsid w:val="00594EE9"/>
    <w:rsid w:val="005A4667"/>
    <w:rsid w:val="005B02B8"/>
    <w:rsid w:val="005B0338"/>
    <w:rsid w:val="005B0E4F"/>
    <w:rsid w:val="005B25D1"/>
    <w:rsid w:val="005B4107"/>
    <w:rsid w:val="005B5AB9"/>
    <w:rsid w:val="005B674E"/>
    <w:rsid w:val="005C232C"/>
    <w:rsid w:val="005C28C7"/>
    <w:rsid w:val="005C2D06"/>
    <w:rsid w:val="005C3037"/>
    <w:rsid w:val="005C3D28"/>
    <w:rsid w:val="005C42A6"/>
    <w:rsid w:val="005D3E91"/>
    <w:rsid w:val="005D401F"/>
    <w:rsid w:val="005D4578"/>
    <w:rsid w:val="005D519E"/>
    <w:rsid w:val="005D5501"/>
    <w:rsid w:val="005D5C87"/>
    <w:rsid w:val="005D676C"/>
    <w:rsid w:val="005E6640"/>
    <w:rsid w:val="005E740F"/>
    <w:rsid w:val="005F5EEF"/>
    <w:rsid w:val="0060097A"/>
    <w:rsid w:val="00604EE9"/>
    <w:rsid w:val="006051A4"/>
    <w:rsid w:val="00613216"/>
    <w:rsid w:val="00613ABA"/>
    <w:rsid w:val="00621587"/>
    <w:rsid w:val="00621FF7"/>
    <w:rsid w:val="0062473D"/>
    <w:rsid w:val="00625DB6"/>
    <w:rsid w:val="0062707C"/>
    <w:rsid w:val="00631667"/>
    <w:rsid w:val="0064476E"/>
    <w:rsid w:val="0064580D"/>
    <w:rsid w:val="00650217"/>
    <w:rsid w:val="00651783"/>
    <w:rsid w:val="00651CC0"/>
    <w:rsid w:val="006577DF"/>
    <w:rsid w:val="00660E71"/>
    <w:rsid w:val="00662938"/>
    <w:rsid w:val="00664447"/>
    <w:rsid w:val="00665627"/>
    <w:rsid w:val="0067106C"/>
    <w:rsid w:val="00673C34"/>
    <w:rsid w:val="006764F2"/>
    <w:rsid w:val="006769C8"/>
    <w:rsid w:val="006803A7"/>
    <w:rsid w:val="006829C7"/>
    <w:rsid w:val="00684AC7"/>
    <w:rsid w:val="00684BBD"/>
    <w:rsid w:val="00684C7A"/>
    <w:rsid w:val="00685963"/>
    <w:rsid w:val="00692AD9"/>
    <w:rsid w:val="00694C19"/>
    <w:rsid w:val="006A78B4"/>
    <w:rsid w:val="006B5D43"/>
    <w:rsid w:val="006C038C"/>
    <w:rsid w:val="006C1E4C"/>
    <w:rsid w:val="006D0F41"/>
    <w:rsid w:val="006D2AAD"/>
    <w:rsid w:val="006D3DA6"/>
    <w:rsid w:val="006F7D2F"/>
    <w:rsid w:val="00704E59"/>
    <w:rsid w:val="00707650"/>
    <w:rsid w:val="00712368"/>
    <w:rsid w:val="00712764"/>
    <w:rsid w:val="0071565A"/>
    <w:rsid w:val="00717847"/>
    <w:rsid w:val="00727772"/>
    <w:rsid w:val="00733295"/>
    <w:rsid w:val="00735BA4"/>
    <w:rsid w:val="0074419F"/>
    <w:rsid w:val="00745F8D"/>
    <w:rsid w:val="007476F5"/>
    <w:rsid w:val="00750A44"/>
    <w:rsid w:val="00751D13"/>
    <w:rsid w:val="007547DA"/>
    <w:rsid w:val="007560D8"/>
    <w:rsid w:val="00756D53"/>
    <w:rsid w:val="0075737A"/>
    <w:rsid w:val="00757421"/>
    <w:rsid w:val="007623B9"/>
    <w:rsid w:val="00762767"/>
    <w:rsid w:val="00763AFA"/>
    <w:rsid w:val="00776F09"/>
    <w:rsid w:val="00781C4A"/>
    <w:rsid w:val="0078283B"/>
    <w:rsid w:val="00783595"/>
    <w:rsid w:val="00787CD7"/>
    <w:rsid w:val="007942FD"/>
    <w:rsid w:val="007954EC"/>
    <w:rsid w:val="00797121"/>
    <w:rsid w:val="007B14B5"/>
    <w:rsid w:val="007B5EBF"/>
    <w:rsid w:val="007B7E38"/>
    <w:rsid w:val="007C47C3"/>
    <w:rsid w:val="007C7B15"/>
    <w:rsid w:val="007D1FF9"/>
    <w:rsid w:val="007D6059"/>
    <w:rsid w:val="007E41A8"/>
    <w:rsid w:val="007E420A"/>
    <w:rsid w:val="007E4F80"/>
    <w:rsid w:val="007E61B4"/>
    <w:rsid w:val="007E7779"/>
    <w:rsid w:val="007F48BC"/>
    <w:rsid w:val="00800A20"/>
    <w:rsid w:val="00804584"/>
    <w:rsid w:val="0080688F"/>
    <w:rsid w:val="00812708"/>
    <w:rsid w:val="00822437"/>
    <w:rsid w:val="008249C1"/>
    <w:rsid w:val="00827BE4"/>
    <w:rsid w:val="00833701"/>
    <w:rsid w:val="0083582C"/>
    <w:rsid w:val="00842F7F"/>
    <w:rsid w:val="008458AD"/>
    <w:rsid w:val="00845CC9"/>
    <w:rsid w:val="00855266"/>
    <w:rsid w:val="00862E48"/>
    <w:rsid w:val="00871243"/>
    <w:rsid w:val="00876AAF"/>
    <w:rsid w:val="00877B5C"/>
    <w:rsid w:val="00877CA3"/>
    <w:rsid w:val="00881790"/>
    <w:rsid w:val="00884741"/>
    <w:rsid w:val="008939BC"/>
    <w:rsid w:val="008A22A6"/>
    <w:rsid w:val="008A3B3E"/>
    <w:rsid w:val="008B0F5B"/>
    <w:rsid w:val="008B1735"/>
    <w:rsid w:val="008B2733"/>
    <w:rsid w:val="008B47FC"/>
    <w:rsid w:val="008B6183"/>
    <w:rsid w:val="008B6CED"/>
    <w:rsid w:val="008D0F79"/>
    <w:rsid w:val="008D1E66"/>
    <w:rsid w:val="008D44C0"/>
    <w:rsid w:val="008D47A0"/>
    <w:rsid w:val="008D7D90"/>
    <w:rsid w:val="008E1327"/>
    <w:rsid w:val="008E3369"/>
    <w:rsid w:val="008F3204"/>
    <w:rsid w:val="008F5885"/>
    <w:rsid w:val="00902E80"/>
    <w:rsid w:val="009034B4"/>
    <w:rsid w:val="00905708"/>
    <w:rsid w:val="00912BDE"/>
    <w:rsid w:val="00917D04"/>
    <w:rsid w:val="00926DB8"/>
    <w:rsid w:val="00930E62"/>
    <w:rsid w:val="00935630"/>
    <w:rsid w:val="00940CEC"/>
    <w:rsid w:val="00943946"/>
    <w:rsid w:val="00944B38"/>
    <w:rsid w:val="0094737E"/>
    <w:rsid w:val="00950414"/>
    <w:rsid w:val="00961A26"/>
    <w:rsid w:val="00963EF2"/>
    <w:rsid w:val="00964385"/>
    <w:rsid w:val="00966D3B"/>
    <w:rsid w:val="00967367"/>
    <w:rsid w:val="009816D9"/>
    <w:rsid w:val="00983387"/>
    <w:rsid w:val="00986CAD"/>
    <w:rsid w:val="00995D73"/>
    <w:rsid w:val="00997C52"/>
    <w:rsid w:val="009A05B9"/>
    <w:rsid w:val="009A14AF"/>
    <w:rsid w:val="009A156F"/>
    <w:rsid w:val="009A4138"/>
    <w:rsid w:val="009A73BF"/>
    <w:rsid w:val="009B0FA9"/>
    <w:rsid w:val="009B246C"/>
    <w:rsid w:val="009B7E41"/>
    <w:rsid w:val="009C0871"/>
    <w:rsid w:val="009C08EC"/>
    <w:rsid w:val="009C4B83"/>
    <w:rsid w:val="009D3DA3"/>
    <w:rsid w:val="009E6329"/>
    <w:rsid w:val="009E663D"/>
    <w:rsid w:val="009F1747"/>
    <w:rsid w:val="009F4147"/>
    <w:rsid w:val="009F4D18"/>
    <w:rsid w:val="00A01125"/>
    <w:rsid w:val="00A031B8"/>
    <w:rsid w:val="00A07E71"/>
    <w:rsid w:val="00A132F2"/>
    <w:rsid w:val="00A23101"/>
    <w:rsid w:val="00A23604"/>
    <w:rsid w:val="00A23F53"/>
    <w:rsid w:val="00A30517"/>
    <w:rsid w:val="00A42044"/>
    <w:rsid w:val="00A428C4"/>
    <w:rsid w:val="00A45DDB"/>
    <w:rsid w:val="00A4659A"/>
    <w:rsid w:val="00A51914"/>
    <w:rsid w:val="00A536B5"/>
    <w:rsid w:val="00A55855"/>
    <w:rsid w:val="00A55ADB"/>
    <w:rsid w:val="00A57CC9"/>
    <w:rsid w:val="00A60DBF"/>
    <w:rsid w:val="00A613A8"/>
    <w:rsid w:val="00A66D09"/>
    <w:rsid w:val="00A66D2A"/>
    <w:rsid w:val="00A670FF"/>
    <w:rsid w:val="00A72003"/>
    <w:rsid w:val="00A8291C"/>
    <w:rsid w:val="00A836F0"/>
    <w:rsid w:val="00A92C4B"/>
    <w:rsid w:val="00A93F41"/>
    <w:rsid w:val="00A94BEE"/>
    <w:rsid w:val="00A9722B"/>
    <w:rsid w:val="00AA00E7"/>
    <w:rsid w:val="00AA1964"/>
    <w:rsid w:val="00AA25EB"/>
    <w:rsid w:val="00AA6318"/>
    <w:rsid w:val="00AB0F8E"/>
    <w:rsid w:val="00AB174F"/>
    <w:rsid w:val="00AB3AEB"/>
    <w:rsid w:val="00AB53C2"/>
    <w:rsid w:val="00AB68FD"/>
    <w:rsid w:val="00AC0B20"/>
    <w:rsid w:val="00AD0194"/>
    <w:rsid w:val="00AD025F"/>
    <w:rsid w:val="00AD5B2F"/>
    <w:rsid w:val="00AD7EB2"/>
    <w:rsid w:val="00AE0B02"/>
    <w:rsid w:val="00AE75D5"/>
    <w:rsid w:val="00AF6CDD"/>
    <w:rsid w:val="00B00EF9"/>
    <w:rsid w:val="00B023D5"/>
    <w:rsid w:val="00B05B97"/>
    <w:rsid w:val="00B10F83"/>
    <w:rsid w:val="00B121C8"/>
    <w:rsid w:val="00B134CC"/>
    <w:rsid w:val="00B13D7D"/>
    <w:rsid w:val="00B1713B"/>
    <w:rsid w:val="00B20AE9"/>
    <w:rsid w:val="00B21128"/>
    <w:rsid w:val="00B256BB"/>
    <w:rsid w:val="00B265C5"/>
    <w:rsid w:val="00B279FA"/>
    <w:rsid w:val="00B335A6"/>
    <w:rsid w:val="00B34F9C"/>
    <w:rsid w:val="00B36EBB"/>
    <w:rsid w:val="00B370AE"/>
    <w:rsid w:val="00B3792A"/>
    <w:rsid w:val="00B40F35"/>
    <w:rsid w:val="00B41DD2"/>
    <w:rsid w:val="00B43C67"/>
    <w:rsid w:val="00B44D90"/>
    <w:rsid w:val="00B5073A"/>
    <w:rsid w:val="00B5742C"/>
    <w:rsid w:val="00B616D3"/>
    <w:rsid w:val="00B64AEE"/>
    <w:rsid w:val="00B73CE7"/>
    <w:rsid w:val="00B7544B"/>
    <w:rsid w:val="00B77186"/>
    <w:rsid w:val="00B96847"/>
    <w:rsid w:val="00BA0BED"/>
    <w:rsid w:val="00BA3604"/>
    <w:rsid w:val="00BA3B9B"/>
    <w:rsid w:val="00BA6910"/>
    <w:rsid w:val="00BA709C"/>
    <w:rsid w:val="00BB2CA9"/>
    <w:rsid w:val="00BC792E"/>
    <w:rsid w:val="00BD0211"/>
    <w:rsid w:val="00BD2166"/>
    <w:rsid w:val="00BD310B"/>
    <w:rsid w:val="00BE6D3B"/>
    <w:rsid w:val="00C0204F"/>
    <w:rsid w:val="00C069E7"/>
    <w:rsid w:val="00C134E6"/>
    <w:rsid w:val="00C147A9"/>
    <w:rsid w:val="00C25C8F"/>
    <w:rsid w:val="00C27330"/>
    <w:rsid w:val="00C34D79"/>
    <w:rsid w:val="00C35B82"/>
    <w:rsid w:val="00C36698"/>
    <w:rsid w:val="00C422F7"/>
    <w:rsid w:val="00C435FA"/>
    <w:rsid w:val="00C45807"/>
    <w:rsid w:val="00C52A5D"/>
    <w:rsid w:val="00C574E7"/>
    <w:rsid w:val="00C576AA"/>
    <w:rsid w:val="00C57ED3"/>
    <w:rsid w:val="00C61074"/>
    <w:rsid w:val="00C70C38"/>
    <w:rsid w:val="00C70E7C"/>
    <w:rsid w:val="00C711D1"/>
    <w:rsid w:val="00C764F4"/>
    <w:rsid w:val="00C84FF7"/>
    <w:rsid w:val="00C85C35"/>
    <w:rsid w:val="00C9346A"/>
    <w:rsid w:val="00CA011A"/>
    <w:rsid w:val="00CA7729"/>
    <w:rsid w:val="00CB2472"/>
    <w:rsid w:val="00CB5163"/>
    <w:rsid w:val="00CB5739"/>
    <w:rsid w:val="00CC4C47"/>
    <w:rsid w:val="00CC579D"/>
    <w:rsid w:val="00CC6544"/>
    <w:rsid w:val="00CD262D"/>
    <w:rsid w:val="00CD44AC"/>
    <w:rsid w:val="00CD6674"/>
    <w:rsid w:val="00CE0ABC"/>
    <w:rsid w:val="00CE187D"/>
    <w:rsid w:val="00CE3474"/>
    <w:rsid w:val="00CE44F0"/>
    <w:rsid w:val="00CE64A5"/>
    <w:rsid w:val="00CF25A4"/>
    <w:rsid w:val="00CF3BBF"/>
    <w:rsid w:val="00CF637E"/>
    <w:rsid w:val="00CF70FA"/>
    <w:rsid w:val="00D02308"/>
    <w:rsid w:val="00D02FE3"/>
    <w:rsid w:val="00D04867"/>
    <w:rsid w:val="00D06F3F"/>
    <w:rsid w:val="00D0720B"/>
    <w:rsid w:val="00D13A37"/>
    <w:rsid w:val="00D16202"/>
    <w:rsid w:val="00D17A87"/>
    <w:rsid w:val="00D230B9"/>
    <w:rsid w:val="00D27815"/>
    <w:rsid w:val="00D30C1D"/>
    <w:rsid w:val="00D3533D"/>
    <w:rsid w:val="00D35E13"/>
    <w:rsid w:val="00D36CF8"/>
    <w:rsid w:val="00D44FA9"/>
    <w:rsid w:val="00D543BC"/>
    <w:rsid w:val="00D66FC4"/>
    <w:rsid w:val="00D75253"/>
    <w:rsid w:val="00D75BCD"/>
    <w:rsid w:val="00D863D3"/>
    <w:rsid w:val="00D87C13"/>
    <w:rsid w:val="00D902AE"/>
    <w:rsid w:val="00D90DAB"/>
    <w:rsid w:val="00D95CCB"/>
    <w:rsid w:val="00D97270"/>
    <w:rsid w:val="00DA28B5"/>
    <w:rsid w:val="00DA571E"/>
    <w:rsid w:val="00DA6597"/>
    <w:rsid w:val="00DB642A"/>
    <w:rsid w:val="00DC13BB"/>
    <w:rsid w:val="00DC1DD2"/>
    <w:rsid w:val="00DD698D"/>
    <w:rsid w:val="00DD6AF2"/>
    <w:rsid w:val="00DD6E4D"/>
    <w:rsid w:val="00DF22A6"/>
    <w:rsid w:val="00E04B89"/>
    <w:rsid w:val="00E055EB"/>
    <w:rsid w:val="00E06DB9"/>
    <w:rsid w:val="00E14CFB"/>
    <w:rsid w:val="00E2531D"/>
    <w:rsid w:val="00E25BA4"/>
    <w:rsid w:val="00E26D24"/>
    <w:rsid w:val="00E277F5"/>
    <w:rsid w:val="00E3289D"/>
    <w:rsid w:val="00E369AD"/>
    <w:rsid w:val="00E443EF"/>
    <w:rsid w:val="00E44664"/>
    <w:rsid w:val="00E45947"/>
    <w:rsid w:val="00E466EB"/>
    <w:rsid w:val="00E506EE"/>
    <w:rsid w:val="00E52BB2"/>
    <w:rsid w:val="00E63D05"/>
    <w:rsid w:val="00E63E25"/>
    <w:rsid w:val="00E66A54"/>
    <w:rsid w:val="00E67D0E"/>
    <w:rsid w:val="00E70853"/>
    <w:rsid w:val="00E90104"/>
    <w:rsid w:val="00E918E9"/>
    <w:rsid w:val="00EB52E8"/>
    <w:rsid w:val="00EB761F"/>
    <w:rsid w:val="00EC62A2"/>
    <w:rsid w:val="00ED4B47"/>
    <w:rsid w:val="00EE7163"/>
    <w:rsid w:val="00EF33B0"/>
    <w:rsid w:val="00EF7248"/>
    <w:rsid w:val="00F02F75"/>
    <w:rsid w:val="00F136D9"/>
    <w:rsid w:val="00F15706"/>
    <w:rsid w:val="00F200FA"/>
    <w:rsid w:val="00F2090D"/>
    <w:rsid w:val="00F232E9"/>
    <w:rsid w:val="00F257F6"/>
    <w:rsid w:val="00F26CE3"/>
    <w:rsid w:val="00F36768"/>
    <w:rsid w:val="00F36F05"/>
    <w:rsid w:val="00F3763C"/>
    <w:rsid w:val="00F37AE5"/>
    <w:rsid w:val="00F42CD3"/>
    <w:rsid w:val="00F525C2"/>
    <w:rsid w:val="00F55FA7"/>
    <w:rsid w:val="00F5789F"/>
    <w:rsid w:val="00F61A77"/>
    <w:rsid w:val="00F645B9"/>
    <w:rsid w:val="00F66F1F"/>
    <w:rsid w:val="00F71E02"/>
    <w:rsid w:val="00F7359A"/>
    <w:rsid w:val="00F81BD1"/>
    <w:rsid w:val="00F84DDB"/>
    <w:rsid w:val="00F84FD4"/>
    <w:rsid w:val="00F91439"/>
    <w:rsid w:val="00F920D3"/>
    <w:rsid w:val="00F9529A"/>
    <w:rsid w:val="00FA343F"/>
    <w:rsid w:val="00FA36BF"/>
    <w:rsid w:val="00FA3CB3"/>
    <w:rsid w:val="00FA5E50"/>
    <w:rsid w:val="00FA7053"/>
    <w:rsid w:val="00FB14B7"/>
    <w:rsid w:val="00FB2882"/>
    <w:rsid w:val="00FB420C"/>
    <w:rsid w:val="00FB5CBB"/>
    <w:rsid w:val="00FB645C"/>
    <w:rsid w:val="00FB6CE5"/>
    <w:rsid w:val="00FC1859"/>
    <w:rsid w:val="00FC42A2"/>
    <w:rsid w:val="00FC6E8C"/>
    <w:rsid w:val="00FD4953"/>
    <w:rsid w:val="00FD513A"/>
    <w:rsid w:val="00FD6665"/>
    <w:rsid w:val="00FD767B"/>
    <w:rsid w:val="00FF163B"/>
    <w:rsid w:val="00FF47B7"/>
    <w:rsid w:val="00FF76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BA8DEF"/>
  <w15:docId w15:val="{B1484095-4964-4208-996B-E388B64C3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6698"/>
  </w:style>
  <w:style w:type="paragraph" w:styleId="Ttulo1">
    <w:name w:val="heading 1"/>
    <w:basedOn w:val="Normal"/>
    <w:next w:val="Normal"/>
    <w:link w:val="Ttulo1Car"/>
    <w:uiPriority w:val="9"/>
    <w:qFormat/>
    <w:rsid w:val="00C3669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ar"/>
    <w:uiPriority w:val="9"/>
    <w:semiHidden/>
    <w:unhideWhenUsed/>
    <w:qFormat/>
    <w:rsid w:val="003708A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aliases w:val="Ref,de nota al pie,(NECG) Footnote Reference,o,fr,Style 3,Appel note de bas de p,Style 12,Style 124,Ref. de nota al pie 2,Style 6,Footnote Reference Superscript,Style 13,FR,Style 17,Footnote Reference/,Texto de nota al pie,註腳內容,11 pt"/>
    <w:uiPriority w:val="99"/>
    <w:unhideWhenUsed/>
    <w:qFormat/>
    <w:rsid w:val="00C36698"/>
    <w:rPr>
      <w:vertAlign w:val="superscript"/>
    </w:rPr>
  </w:style>
  <w:style w:type="paragraph" w:customStyle="1" w:styleId="1TitPrin">
    <w:name w:val="1TitPrin"/>
    <w:basedOn w:val="Ttulo1"/>
    <w:link w:val="1TitPrinCar"/>
    <w:autoRedefine/>
    <w:qFormat/>
    <w:rsid w:val="00C36698"/>
    <w:pPr>
      <w:keepNext w:val="0"/>
      <w:keepLines w:val="0"/>
      <w:numPr>
        <w:ilvl w:val="1"/>
        <w:numId w:val="6"/>
      </w:numPr>
      <w:spacing w:before="0"/>
      <w:ind w:left="862"/>
      <w:jc w:val="both"/>
      <w:outlineLvl w:val="1"/>
    </w:pPr>
    <w:rPr>
      <w:rFonts w:asciiTheme="minorHAnsi" w:eastAsia="Calibri" w:hAnsiTheme="minorHAnsi" w:cs="Times New Roman"/>
      <w:b w:val="0"/>
      <w:color w:val="auto"/>
      <w:sz w:val="20"/>
      <w:szCs w:val="20"/>
      <w:lang w:eastAsia="es-ES"/>
    </w:rPr>
  </w:style>
  <w:style w:type="character" w:customStyle="1" w:styleId="1TitPrinCar">
    <w:name w:val="1TitPrin Car"/>
    <w:link w:val="1TitPrin"/>
    <w:rsid w:val="00C36698"/>
    <w:rPr>
      <w:rFonts w:eastAsia="Calibri" w:cs="Times New Roman"/>
      <w:bCs/>
      <w:sz w:val="20"/>
      <w:szCs w:val="20"/>
      <w:lang w:eastAsia="es-ES"/>
    </w:rPr>
  </w:style>
  <w:style w:type="paragraph" w:customStyle="1" w:styleId="IFTnormal">
    <w:name w:val="IFT normal"/>
    <w:basedOn w:val="Normal"/>
    <w:link w:val="IFTnormalCar"/>
    <w:qFormat/>
    <w:rsid w:val="00C36698"/>
    <w:pPr>
      <w:jc w:val="both"/>
    </w:pPr>
    <w:rPr>
      <w:rFonts w:ascii="ITC Avant Garde" w:eastAsia="Calibri" w:hAnsi="ITC Avant Garde" w:cs="Calibri"/>
      <w:bCs/>
    </w:rPr>
  </w:style>
  <w:style w:type="character" w:customStyle="1" w:styleId="IFTnormalCar">
    <w:name w:val="IFT normal Car"/>
    <w:link w:val="IFTnormal"/>
    <w:qFormat/>
    <w:rsid w:val="00C36698"/>
    <w:rPr>
      <w:rFonts w:ascii="ITC Avant Garde" w:eastAsia="Calibri" w:hAnsi="ITC Avant Garde" w:cs="Calibri"/>
      <w:bCs/>
    </w:rPr>
  </w:style>
  <w:style w:type="paragraph" w:customStyle="1" w:styleId="Texto1">
    <w:name w:val="Texto 1"/>
    <w:basedOn w:val="Normal"/>
    <w:uiPriority w:val="99"/>
    <w:rsid w:val="00C36698"/>
    <w:pPr>
      <w:spacing w:after="0" w:line="240" w:lineRule="auto"/>
      <w:ind w:left="352"/>
      <w:jc w:val="both"/>
    </w:pPr>
    <w:rPr>
      <w:rFonts w:eastAsia="Times New Roman" w:cs="Times New Roman"/>
      <w:sz w:val="24"/>
      <w:szCs w:val="24"/>
      <w:lang w:val="es-ES_tradnl" w:eastAsia="es-ES"/>
    </w:rPr>
  </w:style>
  <w:style w:type="paragraph" w:styleId="Prrafodelista">
    <w:name w:val="List Paragraph"/>
    <w:aliases w:val="prueba1,List Paragraph,4 Viñ 1nivel,Estilo0,CNBV Parrafo1,Numeración 1,Bullet List,FooterText,numbered,List Paragraph1,Paragraphe de liste1,Bulletr List Paragraph,列出段落,列出段落1,Cuadros,Lista general,Cuadrícula media 1 - Énfasis 21"/>
    <w:basedOn w:val="Normal"/>
    <w:link w:val="PrrafodelistaCar"/>
    <w:uiPriority w:val="99"/>
    <w:qFormat/>
    <w:rsid w:val="00C36698"/>
    <w:pPr>
      <w:ind w:left="720"/>
      <w:contextualSpacing/>
    </w:pPr>
    <w:rPr>
      <w:rFonts w:ascii="Calibri" w:eastAsia="Calibri" w:hAnsi="Calibri" w:cs="Times New Roman"/>
    </w:rPr>
  </w:style>
  <w:style w:type="character" w:customStyle="1" w:styleId="PrrafodelistaCar">
    <w:name w:val="Párrafo de lista Car"/>
    <w:aliases w:val="prueba1 Car,List Paragraph Car,4 Viñ 1nivel Car,Estilo0 Car,CNBV Parrafo1 Car,Numeración 1 Car,Bullet List Car,FooterText Car,numbered Car,List Paragraph1 Car,Paragraphe de liste1 Car,Bulletr List Paragraph Car,列出段落 Car,列出段落1 Car"/>
    <w:link w:val="Prrafodelista"/>
    <w:uiPriority w:val="99"/>
    <w:qFormat/>
    <w:rsid w:val="00C36698"/>
    <w:rPr>
      <w:rFonts w:ascii="Calibri" w:eastAsia="Calibri" w:hAnsi="Calibri" w:cs="Times New Roman"/>
    </w:rPr>
  </w:style>
  <w:style w:type="paragraph" w:customStyle="1" w:styleId="xxxNotaelpiemt">
    <w:name w:val="xxx Nota el pie mt"/>
    <w:basedOn w:val="Textonotapie"/>
    <w:link w:val="xxxNotaelpiemtCar"/>
    <w:qFormat/>
    <w:rsid w:val="00C36698"/>
    <w:pPr>
      <w:tabs>
        <w:tab w:val="left" w:pos="284"/>
      </w:tabs>
      <w:spacing w:line="276" w:lineRule="auto"/>
      <w:ind w:left="284" w:hanging="284"/>
      <w:jc w:val="both"/>
    </w:pPr>
    <w:rPr>
      <w:rFonts w:ascii="Arial" w:eastAsia="Calibri" w:hAnsi="Arial" w:cs="Times New Roman"/>
      <w:color w:val="595959" w:themeColor="text1" w:themeTint="A6"/>
      <w:sz w:val="14"/>
      <w:szCs w:val="14"/>
      <w:lang w:val="es-ES" w:eastAsia="es-ES"/>
    </w:rPr>
  </w:style>
  <w:style w:type="character" w:customStyle="1" w:styleId="xxxNotaelpiemtCar">
    <w:name w:val="xxx Nota el pie mt Car"/>
    <w:basedOn w:val="Fuentedeprrafopredeter"/>
    <w:link w:val="xxxNotaelpiemt"/>
    <w:rsid w:val="00C36698"/>
    <w:rPr>
      <w:rFonts w:ascii="Arial" w:eastAsia="Calibri" w:hAnsi="Arial" w:cs="Times New Roman"/>
      <w:color w:val="595959" w:themeColor="text1" w:themeTint="A6"/>
      <w:sz w:val="14"/>
      <w:szCs w:val="14"/>
      <w:lang w:val="es-ES" w:eastAsia="es-ES"/>
    </w:rPr>
  </w:style>
  <w:style w:type="character" w:customStyle="1" w:styleId="Ttulo1Car">
    <w:name w:val="Título 1 Car"/>
    <w:basedOn w:val="Fuentedeprrafopredeter"/>
    <w:link w:val="Ttulo1"/>
    <w:uiPriority w:val="9"/>
    <w:rsid w:val="00C36698"/>
    <w:rPr>
      <w:rFonts w:asciiTheme="majorHAnsi" w:eastAsiaTheme="majorEastAsia" w:hAnsiTheme="majorHAnsi" w:cstheme="majorBidi"/>
      <w:b/>
      <w:bCs/>
      <w:color w:val="365F91" w:themeColor="accent1" w:themeShade="BF"/>
      <w:sz w:val="28"/>
      <w:szCs w:val="28"/>
    </w:rPr>
  </w:style>
  <w:style w:type="paragraph" w:styleId="Textonotapie">
    <w:name w:val="footnote text"/>
    <w:aliases w:val="Footnote Text Char3,Footnote Text Char2 Char,Footnote Text Char Char Char1 Char,Footnote Text Char1 Char1 Char,Footnote Text Char Char Char2,Footnote Text Char Char Char Char,Footnote Text Char1 Char Char Char Char,ALTS FOOTNOTE,Car,5_G"/>
    <w:basedOn w:val="Normal"/>
    <w:link w:val="TextonotapieCar"/>
    <w:uiPriority w:val="99"/>
    <w:unhideWhenUsed/>
    <w:qFormat/>
    <w:rsid w:val="00C36698"/>
    <w:pPr>
      <w:spacing w:after="0" w:line="240" w:lineRule="auto"/>
    </w:pPr>
    <w:rPr>
      <w:sz w:val="20"/>
      <w:szCs w:val="20"/>
    </w:rPr>
  </w:style>
  <w:style w:type="character" w:customStyle="1" w:styleId="TextonotapieCar">
    <w:name w:val="Texto nota pie Car"/>
    <w:aliases w:val="Footnote Text Char3 Car,Footnote Text Char2 Char Car,Footnote Text Char Char Char1 Char Car,Footnote Text Char1 Char1 Char Car,Footnote Text Char Char Char2 Car,Footnote Text Char Char Char Char Car,ALTS FOOTNOTE Car,Car Car,5_G Car"/>
    <w:basedOn w:val="Fuentedeprrafopredeter"/>
    <w:link w:val="Textonotapie"/>
    <w:uiPriority w:val="99"/>
    <w:rsid w:val="00C36698"/>
    <w:rPr>
      <w:sz w:val="20"/>
      <w:szCs w:val="20"/>
    </w:rPr>
  </w:style>
  <w:style w:type="paragraph" w:styleId="Textodeglobo">
    <w:name w:val="Balloon Text"/>
    <w:basedOn w:val="Normal"/>
    <w:link w:val="TextodegloboCar"/>
    <w:uiPriority w:val="99"/>
    <w:semiHidden/>
    <w:unhideWhenUsed/>
    <w:rsid w:val="00C366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6698"/>
    <w:rPr>
      <w:rFonts w:ascii="Tahoma" w:hAnsi="Tahoma" w:cs="Tahoma"/>
      <w:sz w:val="16"/>
      <w:szCs w:val="16"/>
    </w:rPr>
  </w:style>
  <w:style w:type="paragraph" w:styleId="Encabezado">
    <w:name w:val="header"/>
    <w:basedOn w:val="Normal"/>
    <w:link w:val="EncabezadoCar"/>
    <w:uiPriority w:val="99"/>
    <w:unhideWhenUsed/>
    <w:rsid w:val="00877CA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7CA3"/>
  </w:style>
  <w:style w:type="paragraph" w:styleId="Piedepgina">
    <w:name w:val="footer"/>
    <w:basedOn w:val="Normal"/>
    <w:link w:val="PiedepginaCar"/>
    <w:uiPriority w:val="99"/>
    <w:unhideWhenUsed/>
    <w:rsid w:val="00877CA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7CA3"/>
  </w:style>
  <w:style w:type="table" w:customStyle="1" w:styleId="Estilo1">
    <w:name w:val="Estilo1"/>
    <w:basedOn w:val="Tablanormal"/>
    <w:uiPriority w:val="99"/>
    <w:rsid w:val="00877CA3"/>
    <w:pPr>
      <w:spacing w:after="0" w:line="240" w:lineRule="auto"/>
    </w:pPr>
    <w:tblPr/>
  </w:style>
  <w:style w:type="character" w:styleId="Refdecomentario">
    <w:name w:val="annotation reference"/>
    <w:basedOn w:val="Fuentedeprrafopredeter"/>
    <w:uiPriority w:val="99"/>
    <w:unhideWhenUsed/>
    <w:rsid w:val="00BD2166"/>
    <w:rPr>
      <w:sz w:val="16"/>
      <w:szCs w:val="16"/>
    </w:rPr>
  </w:style>
  <w:style w:type="paragraph" w:styleId="Textocomentario">
    <w:name w:val="annotation text"/>
    <w:basedOn w:val="Normal"/>
    <w:link w:val="TextocomentarioCar"/>
    <w:uiPriority w:val="99"/>
    <w:unhideWhenUsed/>
    <w:rsid w:val="00BD2166"/>
    <w:pPr>
      <w:spacing w:line="240" w:lineRule="auto"/>
    </w:pPr>
    <w:rPr>
      <w:sz w:val="20"/>
      <w:szCs w:val="20"/>
    </w:rPr>
  </w:style>
  <w:style w:type="character" w:customStyle="1" w:styleId="TextocomentarioCar">
    <w:name w:val="Texto comentario Car"/>
    <w:basedOn w:val="Fuentedeprrafopredeter"/>
    <w:link w:val="Textocomentario"/>
    <w:uiPriority w:val="99"/>
    <w:qFormat/>
    <w:rsid w:val="00BD2166"/>
    <w:rPr>
      <w:sz w:val="20"/>
      <w:szCs w:val="20"/>
    </w:rPr>
  </w:style>
  <w:style w:type="paragraph" w:styleId="Asuntodelcomentario">
    <w:name w:val="annotation subject"/>
    <w:basedOn w:val="Textocomentario"/>
    <w:next w:val="Textocomentario"/>
    <w:link w:val="AsuntodelcomentarioCar"/>
    <w:uiPriority w:val="99"/>
    <w:semiHidden/>
    <w:unhideWhenUsed/>
    <w:rsid w:val="00BD2166"/>
    <w:rPr>
      <w:b/>
      <w:bCs/>
    </w:rPr>
  </w:style>
  <w:style w:type="character" w:customStyle="1" w:styleId="AsuntodelcomentarioCar">
    <w:name w:val="Asunto del comentario Car"/>
    <w:basedOn w:val="TextocomentarioCar"/>
    <w:link w:val="Asuntodelcomentario"/>
    <w:uiPriority w:val="99"/>
    <w:semiHidden/>
    <w:rsid w:val="00BD2166"/>
    <w:rPr>
      <w:b/>
      <w:bCs/>
      <w:sz w:val="20"/>
      <w:szCs w:val="20"/>
    </w:rPr>
  </w:style>
  <w:style w:type="paragraph" w:styleId="Sinespaciado">
    <w:name w:val="No Spacing"/>
    <w:uiPriority w:val="1"/>
    <w:qFormat/>
    <w:rsid w:val="005C28C7"/>
    <w:pPr>
      <w:spacing w:after="0" w:line="240" w:lineRule="auto"/>
    </w:pPr>
  </w:style>
  <w:style w:type="paragraph" w:styleId="Revisin">
    <w:name w:val="Revision"/>
    <w:hidden/>
    <w:uiPriority w:val="99"/>
    <w:semiHidden/>
    <w:rsid w:val="001B325B"/>
    <w:pPr>
      <w:spacing w:after="0" w:line="240" w:lineRule="auto"/>
    </w:pPr>
  </w:style>
  <w:style w:type="paragraph" w:customStyle="1" w:styleId="aaaIFTnormal">
    <w:name w:val="aaa IFT normal"/>
    <w:basedOn w:val="Normal"/>
    <w:link w:val="aaaIFTnormalCar"/>
    <w:qFormat/>
    <w:rsid w:val="0075737A"/>
    <w:pPr>
      <w:spacing w:after="240"/>
      <w:jc w:val="both"/>
    </w:pPr>
    <w:rPr>
      <w:rFonts w:ascii="Arial" w:eastAsia="MS Mincho" w:hAnsi="Arial" w:cs="Calibri"/>
      <w:bCs/>
    </w:rPr>
  </w:style>
  <w:style w:type="character" w:customStyle="1" w:styleId="aaaIFTnormalCar">
    <w:name w:val="aaa IFT normal Car"/>
    <w:link w:val="aaaIFTnormal"/>
    <w:qFormat/>
    <w:rsid w:val="0075737A"/>
    <w:rPr>
      <w:rFonts w:ascii="Arial" w:eastAsia="MS Mincho" w:hAnsi="Arial" w:cs="Calibri"/>
      <w:bCs/>
    </w:rPr>
  </w:style>
  <w:style w:type="paragraph" w:customStyle="1" w:styleId="pf0">
    <w:name w:val="pf0"/>
    <w:basedOn w:val="Normal"/>
    <w:rsid w:val="001274D9"/>
    <w:pPr>
      <w:spacing w:before="100" w:beforeAutospacing="1" w:after="100" w:afterAutospacing="1" w:line="240" w:lineRule="auto"/>
    </w:pPr>
    <w:rPr>
      <w:rFonts w:ascii="Calibri" w:hAnsi="Calibri" w:cs="Calibri"/>
      <w:lang w:eastAsia="es-MX"/>
    </w:rPr>
  </w:style>
  <w:style w:type="character" w:customStyle="1" w:styleId="cf01">
    <w:name w:val="cf01"/>
    <w:basedOn w:val="Fuentedeprrafopredeter"/>
    <w:rsid w:val="001274D9"/>
    <w:rPr>
      <w:rFonts w:ascii="Segoe UI" w:hAnsi="Segoe UI" w:cs="Segoe UI" w:hint="default"/>
    </w:rPr>
  </w:style>
  <w:style w:type="paragraph" w:customStyle="1" w:styleId="CitaIFT">
    <w:name w:val="Cita IFT"/>
    <w:basedOn w:val="Normal"/>
    <w:link w:val="CitaIFTCar"/>
    <w:qFormat/>
    <w:rsid w:val="005D5501"/>
    <w:pPr>
      <w:adjustRightInd w:val="0"/>
      <w:ind w:left="851" w:right="760"/>
      <w:jc w:val="both"/>
    </w:pPr>
    <w:rPr>
      <w:rFonts w:ascii="ITC Avant Garde" w:eastAsia="Times New Roman" w:hAnsi="ITC Avant Garde" w:cs="Times New Roman"/>
      <w:i/>
      <w:color w:val="000000"/>
      <w:sz w:val="18"/>
      <w:szCs w:val="20"/>
      <w:lang w:val="es-ES_tradnl" w:eastAsia="es-ES"/>
    </w:rPr>
  </w:style>
  <w:style w:type="character" w:customStyle="1" w:styleId="CitaIFTCar">
    <w:name w:val="Cita IFT Car"/>
    <w:link w:val="CitaIFT"/>
    <w:qFormat/>
    <w:locked/>
    <w:rsid w:val="005D5501"/>
    <w:rPr>
      <w:rFonts w:ascii="ITC Avant Garde" w:eastAsia="Times New Roman" w:hAnsi="ITC Avant Garde" w:cs="Times New Roman"/>
      <w:i/>
      <w:color w:val="000000"/>
      <w:sz w:val="18"/>
      <w:szCs w:val="20"/>
      <w:lang w:val="es-ES_tradnl" w:eastAsia="es-ES"/>
    </w:rPr>
  </w:style>
  <w:style w:type="paragraph" w:customStyle="1" w:styleId="pieizq">
    <w:name w:val="pie izq"/>
    <w:basedOn w:val="Normal"/>
    <w:uiPriority w:val="99"/>
    <w:rsid w:val="006D3DA6"/>
    <w:pPr>
      <w:tabs>
        <w:tab w:val="center" w:pos="4252"/>
        <w:tab w:val="right" w:pos="8504"/>
        <w:tab w:val="left" w:pos="9498"/>
      </w:tabs>
      <w:suppressAutoHyphens/>
      <w:spacing w:after="120" w:line="360" w:lineRule="auto"/>
      <w:ind w:left="4252" w:right="-115" w:hanging="4252"/>
      <w:contextualSpacing/>
      <w:jc w:val="both"/>
    </w:pPr>
    <w:rPr>
      <w:rFonts w:ascii="Calibri" w:eastAsia="Times New Roman" w:hAnsi="Calibri" w:cs="Times New Roman"/>
      <w:b/>
      <w:sz w:val="28"/>
      <w:szCs w:val="24"/>
      <w:lang w:eastAsia="es-ES"/>
    </w:rPr>
  </w:style>
  <w:style w:type="paragraph" w:customStyle="1" w:styleId="aaaNumeral1">
    <w:name w:val="aaa Numeral 1"/>
    <w:basedOn w:val="Prrafodelista"/>
    <w:qFormat/>
    <w:rsid w:val="0013177C"/>
    <w:pPr>
      <w:numPr>
        <w:numId w:val="25"/>
      </w:numPr>
      <w:spacing w:before="240" w:after="360"/>
      <w:ind w:left="283" w:hanging="357"/>
      <w:jc w:val="both"/>
      <w:outlineLvl w:val="0"/>
    </w:pPr>
    <w:rPr>
      <w:rFonts w:ascii="Arial" w:eastAsiaTheme="minorHAnsi" w:hAnsi="Arial" w:cs="Arial"/>
      <w:b/>
    </w:rPr>
  </w:style>
  <w:style w:type="table" w:styleId="Tablaconcuadrcula">
    <w:name w:val="Table Grid"/>
    <w:basedOn w:val="Tablanormal"/>
    <w:uiPriority w:val="59"/>
    <w:rsid w:val="000003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CF3BBF"/>
    <w:rPr>
      <w:color w:val="0000FF" w:themeColor="hyperlink"/>
      <w:u w:val="single"/>
    </w:rPr>
  </w:style>
  <w:style w:type="character" w:customStyle="1" w:styleId="Ttulo4Car">
    <w:name w:val="Título 4 Car"/>
    <w:basedOn w:val="Fuentedeprrafopredeter"/>
    <w:link w:val="Ttulo4"/>
    <w:uiPriority w:val="99"/>
    <w:rsid w:val="003708AE"/>
    <w:rPr>
      <w:rFonts w:asciiTheme="majorHAnsi" w:eastAsiaTheme="majorEastAsia" w:hAnsiTheme="majorHAnsi" w:cstheme="majorBidi"/>
      <w:i/>
      <w:iCs/>
      <w:color w:val="365F91" w:themeColor="accent1" w:themeShade="BF"/>
    </w:rPr>
  </w:style>
  <w:style w:type="character" w:styleId="Textoennegrita">
    <w:name w:val="Strong"/>
    <w:basedOn w:val="Fuentedeprrafopredeter"/>
    <w:uiPriority w:val="22"/>
    <w:qFormat/>
    <w:rsid w:val="000D74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9314409">
      <w:bodyDiv w:val="1"/>
      <w:marLeft w:val="0"/>
      <w:marRight w:val="0"/>
      <w:marTop w:val="0"/>
      <w:marBottom w:val="0"/>
      <w:divBdr>
        <w:top w:val="none" w:sz="0" w:space="0" w:color="auto"/>
        <w:left w:val="none" w:sz="0" w:space="0" w:color="auto"/>
        <w:bottom w:val="none" w:sz="0" w:space="0" w:color="auto"/>
        <w:right w:val="none" w:sz="0" w:space="0" w:color="auto"/>
      </w:divBdr>
    </w:div>
    <w:div w:id="702289597">
      <w:bodyDiv w:val="1"/>
      <w:marLeft w:val="0"/>
      <w:marRight w:val="0"/>
      <w:marTop w:val="0"/>
      <w:marBottom w:val="0"/>
      <w:divBdr>
        <w:top w:val="none" w:sz="0" w:space="0" w:color="auto"/>
        <w:left w:val="none" w:sz="0" w:space="0" w:color="auto"/>
        <w:bottom w:val="none" w:sz="0" w:space="0" w:color="auto"/>
        <w:right w:val="none" w:sz="0" w:space="0" w:color="auto"/>
      </w:divBdr>
    </w:div>
    <w:div w:id="1159149949">
      <w:bodyDiv w:val="1"/>
      <w:marLeft w:val="0"/>
      <w:marRight w:val="0"/>
      <w:marTop w:val="0"/>
      <w:marBottom w:val="0"/>
      <w:divBdr>
        <w:top w:val="none" w:sz="0" w:space="0" w:color="auto"/>
        <w:left w:val="none" w:sz="0" w:space="0" w:color="auto"/>
        <w:bottom w:val="none" w:sz="0" w:space="0" w:color="auto"/>
        <w:right w:val="none" w:sz="0" w:space="0" w:color="auto"/>
      </w:divBdr>
    </w:div>
    <w:div w:id="1259564907">
      <w:bodyDiv w:val="1"/>
      <w:marLeft w:val="0"/>
      <w:marRight w:val="0"/>
      <w:marTop w:val="0"/>
      <w:marBottom w:val="0"/>
      <w:divBdr>
        <w:top w:val="none" w:sz="0" w:space="0" w:color="auto"/>
        <w:left w:val="none" w:sz="0" w:space="0" w:color="auto"/>
        <w:bottom w:val="none" w:sz="0" w:space="0" w:color="auto"/>
        <w:right w:val="none" w:sz="0" w:space="0" w:color="auto"/>
      </w:divBdr>
    </w:div>
    <w:div w:id="1345279291">
      <w:bodyDiv w:val="1"/>
      <w:marLeft w:val="0"/>
      <w:marRight w:val="0"/>
      <w:marTop w:val="0"/>
      <w:marBottom w:val="0"/>
      <w:divBdr>
        <w:top w:val="none" w:sz="0" w:space="0" w:color="auto"/>
        <w:left w:val="none" w:sz="0" w:space="0" w:color="auto"/>
        <w:bottom w:val="none" w:sz="0" w:space="0" w:color="auto"/>
        <w:right w:val="none" w:sz="0" w:space="0" w:color="auto"/>
      </w:divBdr>
    </w:div>
    <w:div w:id="1693721644">
      <w:bodyDiv w:val="1"/>
      <w:marLeft w:val="0"/>
      <w:marRight w:val="0"/>
      <w:marTop w:val="0"/>
      <w:marBottom w:val="0"/>
      <w:divBdr>
        <w:top w:val="none" w:sz="0" w:space="0" w:color="auto"/>
        <w:left w:val="none" w:sz="0" w:space="0" w:color="auto"/>
        <w:bottom w:val="none" w:sz="0" w:space="0" w:color="auto"/>
        <w:right w:val="none" w:sz="0" w:space="0" w:color="auto"/>
      </w:divBdr>
    </w:div>
    <w:div w:id="208236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E30417-0D42-46B8-8D9B-FF30D5C67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1399</TotalTime>
  <Pages>1</Pages>
  <Words>2563</Words>
  <Characters>14099</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16629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jsavila</dc:creator>
  <cp:lastModifiedBy>Sánchez Avila José Carlos</cp:lastModifiedBy>
  <cp:revision>26</cp:revision>
  <cp:lastPrinted>2025-07-02T21:35:00Z</cp:lastPrinted>
  <dcterms:created xsi:type="dcterms:W3CDTF">2025-07-15T16:25:00Z</dcterms:created>
  <dcterms:modified xsi:type="dcterms:W3CDTF">2025-07-17T18:47:00Z</dcterms:modified>
</cp:coreProperties>
</file>