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jc w:val="both"/>
        <w:rPr>
          <w:rFonts w:ascii="Noto Sans" w:cs="Noto Sans" w:eastAsia="Noto Sans" w:hAnsi="Noto Sans"/>
          <w:b w:val="1"/>
          <w:bCs w:val="1"/>
        </w:rPr>
      </w:pPr>
      <w:bookmarkStart w:colFirst="0" w:colLast="0" w:name="_heading=h.h0oyuosfye6d" w:id="0"/>
      <w:bookmarkEnd w:id="0"/>
      <w:r w:rsidDel="00000000" w:rsidR="00000000" w:rsidRPr="00000000">
        <w:rPr>
          <w:rFonts w:ascii="Noto Sans" w:cs="Noto Sans" w:eastAsia="Noto Sans" w:hAnsi="Noto Sans"/>
          <w:b w:val="1"/>
          <w:bCs w:val="1"/>
          <w:rtl w:val="0"/>
        </w:rPr>
        <w:t xml:space="preserve">INFORME DE CONSIDERACIONES SOBRE LAS MANIFESTACIONES, OPINIONES, COMENTARIOS Y PROPUESTAS, PRESENTADOS DURANTE LA CONSULTA PÚBLICA SOBRE LA “PROPUESTA DE OFERTA DE REFERENCIA PARA LA PRESTACIÓN DEL SERVICIO DE ACCESO Y USO COMPARTIDO DE INFRAESTRUCTURA PASIVA PRESENTADA POR TELÉFONOS DE MÉXICO, S.A.B. DE C.V. Y TELÉFONOS DEL NOROESTE, S.A. DE C.V., APLICABLE DEL 1 DE ENERO AL 31 DE DICIEMBRE DE 2026”.</w:t>
      </w:r>
    </w:p>
    <w:p w:rsidR="00000000" w:rsidDel="00000000" w:rsidP="00000000" w:rsidRDefault="00000000" w:rsidRPr="00000000" w14:paraId="00000002">
      <w:pPr>
        <w:spacing w:after="0" w:lineRule="auto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jc w:val="both"/>
        <w:rPr>
          <w:rFonts w:ascii="Noto Sans" w:cs="Noto Sans" w:eastAsia="Noto Sans" w:hAnsi="Noto Sans"/>
          <w:b w:val="1"/>
          <w:bCs w:val="1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rtl w:val="0"/>
        </w:rPr>
        <w:t xml:space="preserve">Título o denominación de la Consulta Pública</w:t>
      </w:r>
    </w:p>
    <w:p w:rsidR="00000000" w:rsidDel="00000000" w:rsidP="00000000" w:rsidRDefault="00000000" w:rsidRPr="00000000" w14:paraId="00000004">
      <w:pPr>
        <w:spacing w:after="0" w:lineRule="auto"/>
        <w:jc w:val="both"/>
        <w:rPr>
          <w:rFonts w:ascii="Noto Sans" w:cs="Noto Sans" w:eastAsia="Noto Sans" w:hAnsi="Noto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jc w:val="both"/>
        <w:rPr>
          <w:rFonts w:ascii="Noto Sans" w:cs="Noto Sans" w:eastAsia="Noto Sans" w:hAnsi="Noto Sans"/>
          <w:i w:val="1"/>
          <w:iCs w:val="1"/>
        </w:rPr>
      </w:pPr>
      <w:r w:rsidDel="00000000" w:rsidR="00000000" w:rsidRPr="00000000">
        <w:rPr>
          <w:rFonts w:ascii="Noto Sans" w:cs="Noto Sans" w:eastAsia="Noto Sans" w:hAnsi="Noto Sans"/>
          <w:i w:val="1"/>
          <w:iCs w:val="1"/>
          <w:rtl w:val="0"/>
        </w:rPr>
        <w:t xml:space="preserve">“Consulta Pública sobre las Propuestas de Ofertas de Referencia de Compartición de Infraestructura y de Enlaces Dedicados presentadas por Teléfonos de México, S.A.B. de C.V. y Teléfonos del Noroeste, S.A. de C.V.”</w:t>
      </w:r>
    </w:p>
    <w:p w:rsidR="00000000" w:rsidDel="00000000" w:rsidP="00000000" w:rsidRDefault="00000000" w:rsidRPr="00000000" w14:paraId="00000006">
      <w:pPr>
        <w:spacing w:after="0" w:lineRule="auto"/>
        <w:jc w:val="both"/>
        <w:rPr>
          <w:rFonts w:ascii="Noto Sans" w:cs="Noto Sans" w:eastAsia="Noto Sans" w:hAnsi="Noto Sans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jc w:val="both"/>
        <w:rPr>
          <w:rFonts w:ascii="Noto Sans" w:cs="Noto Sans" w:eastAsia="Noto Sans" w:hAnsi="Noto Sans"/>
          <w:b w:val="1"/>
          <w:bCs w:val="1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rtl w:val="0"/>
        </w:rPr>
        <w:t xml:space="preserve">Descripción de la Consulta Pública</w:t>
      </w:r>
    </w:p>
    <w:p w:rsidR="00000000" w:rsidDel="00000000" w:rsidP="00000000" w:rsidRDefault="00000000" w:rsidRPr="00000000" w14:paraId="00000008">
      <w:pPr>
        <w:spacing w:after="0" w:lineRule="auto"/>
        <w:jc w:val="both"/>
        <w:rPr>
          <w:rFonts w:ascii="Noto Sans" w:cs="Noto Sans" w:eastAsia="Noto Sans" w:hAnsi="Noto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Del 18 de agosto de 2025 al 16 de septiembre de 2025 (30 días naturales) el extinto Instituto Federal de Telecomunicaciones (en lo sucesivo, “Instituto”) llevó a cabo el proceso de Consulta Pública de la “</w:t>
      </w:r>
      <w:r w:rsidDel="00000000" w:rsidR="00000000" w:rsidRPr="00000000">
        <w:rPr>
          <w:rFonts w:ascii="Noto Sans" w:cs="Noto Sans" w:eastAsia="Noto Sans" w:hAnsi="Noto Sans"/>
          <w:i w:val="1"/>
          <w:iCs w:val="1"/>
          <w:rtl w:val="0"/>
        </w:rPr>
        <w:t xml:space="preserve">Propuesta de Oferta de Referencia para la prestación del Servicio de Acceso y Uso Compartido de Infraestructura Pasiva y la Propuesta de Oferta de Referencia para la prestación del Servicio Mayorista de Enlaces Dedicados entre Localidades y de Larga Distancia Internacional presentadas por Teléfonos de México, S.A.B. de C.V. y Teléfonos del Noroeste, S.A. de C.V., aplicables del 1 de enero al 31 de diciembre de 2026”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.</w:t>
      </w:r>
    </w:p>
    <w:p w:rsidR="00000000" w:rsidDel="00000000" w:rsidP="00000000" w:rsidRDefault="00000000" w:rsidRPr="00000000" w14:paraId="0000000A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La información y opiniones que los interesados hicieron llegar, de acuerdo con los plazos y términos descritos en esta mecánica, no tienen carácter vinculante, sin perjuicio de que pueda ponderarse en un documento que refleje los resultados de dicha consulta.</w:t>
      </w:r>
    </w:p>
    <w:p w:rsidR="00000000" w:rsidDel="00000000" w:rsidP="00000000" w:rsidRDefault="00000000" w:rsidRPr="00000000" w14:paraId="0000000C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De igual forma, se señala que de conformidad con los artículos Décimo Noveno y Vigésimo Octavo Transitorios de la Ley en Materia de Telecomunicaciones y Radiodifusión (en lo sucesivo, “LMTR”), los asuntos y procedimientos que se encontraban en trámite ante el extinto Instituto continuarán su trámite a cargo de la Comisión Reguladora de Telecomunicaciones (en lo sucesivo, “Comisión”), en términos de la legislación aplicable al momento de su inicio.</w:t>
      </w:r>
    </w:p>
    <w:p w:rsidR="00000000" w:rsidDel="00000000" w:rsidP="00000000" w:rsidRDefault="00000000" w:rsidRPr="00000000" w14:paraId="0000000E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jc w:val="both"/>
        <w:rPr>
          <w:rFonts w:ascii="Noto Sans" w:cs="Noto Sans" w:eastAsia="Noto Sans" w:hAnsi="Noto Sans"/>
          <w:b w:val="1"/>
          <w:bCs w:val="1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rtl w:val="0"/>
        </w:rPr>
        <w:t xml:space="preserve">Objetivo de la Consulta Pública</w:t>
      </w:r>
    </w:p>
    <w:p w:rsidR="00000000" w:rsidDel="00000000" w:rsidP="00000000" w:rsidRDefault="00000000" w:rsidRPr="00000000" w14:paraId="00000010">
      <w:pPr>
        <w:spacing w:after="0" w:lineRule="auto"/>
        <w:jc w:val="both"/>
        <w:rPr>
          <w:rFonts w:ascii="Noto Sans" w:cs="Noto Sans" w:eastAsia="Noto Sans" w:hAnsi="Noto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Los objetivos principales de la Consulta Pública consisten en: i) contar con mayores elementos para determinar las condiciones bajo las cuales se deberán aprobar las Ofertas de Referencia; ii) favorecer la transparencia y participación ciudadana con el fin de recibir los comentarios, opiniones y aportaciones de la industria, académicos, analistas, gobierno, ámbito internacional y sociedad en general sobre las Ofertas de Referencia, y iii) establecer las bases para aprobar o modificar las mismas.</w:t>
      </w:r>
    </w:p>
    <w:p w:rsidR="00000000" w:rsidDel="00000000" w:rsidP="00000000" w:rsidRDefault="00000000" w:rsidRPr="00000000" w14:paraId="00000012">
      <w:pPr>
        <w:spacing w:after="0" w:lineRule="auto"/>
        <w:jc w:val="both"/>
        <w:rPr>
          <w:rFonts w:ascii="Noto Sans" w:cs="Noto Sans" w:eastAsia="Noto Sans" w:hAnsi="Noto Sans"/>
        </w:rPr>
      </w:pPr>
      <w:bookmarkStart w:colFirst="0" w:colLast="0" w:name="_heading=h.e0h8op678l3n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jc w:val="both"/>
        <w:rPr>
          <w:rFonts w:ascii="Noto Sans" w:cs="Noto Sans" w:eastAsia="Noto Sans" w:hAnsi="Noto Sans"/>
          <w:b w:val="1"/>
          <w:bCs w:val="1"/>
        </w:rPr>
      </w:pPr>
      <w:bookmarkStart w:colFirst="0" w:colLast="0" w:name="_heading=h.7iwsvmy60e9x" w:id="2"/>
      <w:bookmarkEnd w:id="2"/>
      <w:r w:rsidDel="00000000" w:rsidR="00000000" w:rsidRPr="00000000">
        <w:rPr>
          <w:rFonts w:ascii="Noto Sans" w:cs="Noto Sans" w:eastAsia="Noto Sans" w:hAnsi="Noto Sans"/>
          <w:b w:val="1"/>
          <w:bCs w:val="1"/>
          <w:rtl w:val="0"/>
        </w:rPr>
        <w:t xml:space="preserve">Descripción de los participantes en la Consulta Pública</w:t>
      </w:r>
    </w:p>
    <w:p w:rsidR="00000000" w:rsidDel="00000000" w:rsidP="00000000" w:rsidRDefault="00000000" w:rsidRPr="00000000" w14:paraId="00000014">
      <w:pPr>
        <w:spacing w:after="0" w:lineRule="auto"/>
        <w:jc w:val="both"/>
        <w:rPr>
          <w:rFonts w:ascii="Noto Sans" w:cs="Noto Sans" w:eastAsia="Noto Sans" w:hAnsi="Noto Sans"/>
          <w:b w:val="1"/>
          <w:bCs w:val="1"/>
        </w:rPr>
      </w:pPr>
      <w:bookmarkStart w:colFirst="0" w:colLast="0" w:name="_heading=h.ptg7wqw4d40k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lineRule="auto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Durante el periodo de la Consulta Pública de mérito no se recibieron comentarios referentes a la Propuesta de Oferta de Referencia para la prestación del Servicio de Acceso y Uso Compartido de Infraestructura Pasiva presentada por Teléfonos de México, S.A.B. de C.V. y Teléfonos del Noroeste, S.A. de C.V., aplicable del 1 de enero al 31 de diciembre de 2026.</w:t>
      </w:r>
    </w:p>
    <w:p w:rsidR="00000000" w:rsidDel="00000000" w:rsidP="00000000" w:rsidRDefault="00000000" w:rsidRPr="00000000" w14:paraId="00000016">
      <w:pPr>
        <w:spacing w:after="0" w:lineRule="auto"/>
        <w:jc w:val="both"/>
        <w:rPr>
          <w:rFonts w:ascii="Noto Sans" w:cs="Noto Sans" w:eastAsia="Noto Sans" w:hAnsi="Noto Sans"/>
          <w:b w:val="1"/>
          <w:bCs w:val="1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rtl w:val="0"/>
        </w:rPr>
        <w:t xml:space="preserve">Respuestas o posicionamientos</w:t>
      </w:r>
    </w:p>
    <w:p w:rsidR="00000000" w:rsidDel="00000000" w:rsidP="00000000" w:rsidRDefault="00000000" w:rsidRPr="00000000" w14:paraId="00000017">
      <w:pPr>
        <w:spacing w:after="0" w:lineRule="auto"/>
        <w:jc w:val="both"/>
        <w:rPr>
          <w:rFonts w:ascii="Noto Sans" w:cs="Noto Sans" w:eastAsia="Noto Sans" w:hAnsi="Noto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lineRule="auto"/>
        <w:jc w:val="both"/>
        <w:rPr>
          <w:rFonts w:ascii="Noto Sans" w:cs="Noto Sans" w:eastAsia="Noto Sans" w:hAnsi="Noto Sans"/>
        </w:rPr>
      </w:pPr>
      <w:bookmarkStart w:colFirst="0" w:colLast="0" w:name="_heading=h.v69x80mjcll1" w:id="4"/>
      <w:bookmarkEnd w:id="4"/>
      <w:r w:rsidDel="00000000" w:rsidR="00000000" w:rsidRPr="00000000">
        <w:rPr>
          <w:rFonts w:ascii="Noto Sans" w:cs="Noto Sans" w:eastAsia="Noto Sans" w:hAnsi="Noto Sans"/>
          <w:rtl w:val="0"/>
        </w:rPr>
        <w:t xml:space="preserve">Durante la Consulta Pública no se recibieron manifestaciones referentes a la Propuesta de Oferta de Referencia para la prestación del Servicio de Acceso y Uso Compartido de Infraestructura Pasiva presentada por Teléfonos de México, S.A.B. de C.V. y Teléfonos del Noroeste, S.A. de C.V., aplicable del 1 de enero al 31 de diciembre de 2026.</w:t>
      </w:r>
    </w:p>
    <w:p w:rsidR="00000000" w:rsidDel="00000000" w:rsidP="00000000" w:rsidRDefault="00000000" w:rsidRPr="00000000" w14:paraId="00000019">
      <w:pPr>
        <w:spacing w:after="240" w:lineRule="auto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133" w:left="1440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rPr/>
    </w:pPr>
    <w:r w:rsidDel="00000000" w:rsidR="00000000" w:rsidRPr="00000000">
      <w:rPr>
        <w:rtl w:val="0"/>
      </w:rPr>
    </w:r>
  </w:p>
  <w:tbl>
    <w:tblPr>
      <w:tblStyle w:val="Table2"/>
      <w:tblW w:w="9540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3000"/>
      <w:gridCol w:w="3000"/>
      <w:gridCol w:w="3540"/>
      <w:tblGridChange w:id="0">
        <w:tblGrid>
          <w:gridCol w:w="3000"/>
          <w:gridCol w:w="3000"/>
          <w:gridCol w:w="3540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24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771650" cy="762000"/>
                <wp:effectExtent b="0" l="0" r="0" t="0"/>
                <wp:docPr id="2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1650" cy="762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25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jc w:val="center"/>
            <w:rPr>
              <w:rFonts w:ascii="Noto Sans" w:cs="Noto Sans" w:eastAsia="Noto Sans" w:hAnsi="Noto Sans"/>
            </w:rPr>
          </w:pPr>
          <w:r w:rsidDel="00000000" w:rsidR="00000000" w:rsidRPr="00000000">
            <w:rPr>
              <w:rFonts w:ascii="Noto Sans" w:cs="Noto Sans" w:eastAsia="Noto Sans" w:hAnsi="Noto Sans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tcMar>
            <w:top w:w="113.0" w:type="dxa"/>
            <w:left w:w="113.0" w:type="dxa"/>
            <w:bottom w:w="113.0" w:type="dxa"/>
            <w:right w:w="113.0" w:type="dxa"/>
          </w:tcMar>
          <w:vAlign w:val="bottom"/>
        </w:tcPr>
        <w:p w:rsidR="00000000" w:rsidDel="00000000" w:rsidP="00000000" w:rsidRDefault="00000000" w:rsidRPr="00000000" w14:paraId="00000026">
          <w:pPr>
            <w:ind w:right="111"/>
            <w:jc w:val="right"/>
            <w:rPr>
              <w:rFonts w:ascii="Noto Sans" w:cs="Noto Sans" w:eastAsia="Noto Sans" w:hAnsi="Noto Sans"/>
              <w:color w:val="666666"/>
              <w:sz w:val="16"/>
              <w:szCs w:val="16"/>
            </w:rPr>
          </w:pPr>
          <w:r w:rsidDel="00000000" w:rsidR="00000000" w:rsidRPr="00000000">
            <w:rPr>
              <w:rFonts w:ascii="Noto Sans" w:cs="Noto Sans" w:eastAsia="Noto Sans" w:hAnsi="Noto Sans"/>
              <w:color w:val="666666"/>
              <w:sz w:val="16"/>
              <w:szCs w:val="16"/>
              <w:rtl w:val="0"/>
            </w:rPr>
            <w:t xml:space="preserve">Insurgentes Sur 1143, Col. Nochebuena,</w:t>
          </w:r>
        </w:p>
        <w:p w:rsidR="00000000" w:rsidDel="00000000" w:rsidP="00000000" w:rsidRDefault="00000000" w:rsidRPr="00000000" w14:paraId="00000027">
          <w:pPr>
            <w:ind w:right="111"/>
            <w:jc w:val="right"/>
            <w:rPr>
              <w:rFonts w:ascii="Calibri" w:cs="Calibri" w:eastAsia="Calibri" w:hAnsi="Calibri"/>
            </w:rPr>
          </w:pPr>
          <w:r w:rsidDel="00000000" w:rsidR="00000000" w:rsidRPr="00000000">
            <w:rPr>
              <w:rFonts w:ascii="Noto Sans" w:cs="Noto Sans" w:eastAsia="Noto Sans" w:hAnsi="Noto Sans"/>
              <w:color w:val="666666"/>
              <w:sz w:val="16"/>
              <w:szCs w:val="16"/>
              <w:rtl w:val="0"/>
            </w:rPr>
            <w:t xml:space="preserve">Alcaldía Benito Juárez, CDMX, C.P. 03720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8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rPr/>
    </w:pPr>
    <w:r w:rsidDel="00000000" w:rsidR="00000000" w:rsidRPr="00000000">
      <w:rPr>
        <w:rtl w:val="0"/>
      </w:rPr>
    </w:r>
  </w:p>
  <w:tbl>
    <w:tblPr>
      <w:tblStyle w:val="Table1"/>
      <w:tblW w:w="9000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3315"/>
      <w:gridCol w:w="2685"/>
      <w:gridCol w:w="3000"/>
      <w:tblGridChange w:id="0">
        <w:tblGrid>
          <w:gridCol w:w="3315"/>
          <w:gridCol w:w="2685"/>
          <w:gridCol w:w="3000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tcMar>
            <w:top w:w="-283.0" w:type="dxa"/>
            <w:left w:w="-283.0" w:type="dxa"/>
            <w:bottom w:w="-283.0" w:type="dxa"/>
            <w:right w:w="-283.0" w:type="dxa"/>
          </w:tcMar>
          <w:vAlign w:val="bottom"/>
        </w:tcPr>
        <w:p w:rsidR="00000000" w:rsidDel="00000000" w:rsidP="00000000" w:rsidRDefault="00000000" w:rsidRPr="00000000" w14:paraId="0000001C">
          <w:pPr>
            <w:widowControl w:val="0"/>
            <w:spacing w:line="240" w:lineRule="auto"/>
            <w:jc w:val="both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895475" cy="215900"/>
                <wp:effectExtent b="0" l="0" r="0" t="0"/>
                <wp:docPr id="1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5475" cy="2159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tcMar>
            <w:top w:w="-283.0" w:type="dxa"/>
            <w:left w:w="-283.0" w:type="dxa"/>
            <w:bottom w:w="-283.0" w:type="dxa"/>
            <w:right w:w="-283.0" w:type="dxa"/>
          </w:tcMar>
          <w:vAlign w:val="bottom"/>
        </w:tcPr>
        <w:p w:rsidR="00000000" w:rsidDel="00000000" w:rsidP="00000000" w:rsidRDefault="00000000" w:rsidRPr="00000000" w14:paraId="0000001D">
          <w:pPr>
            <w:jc w:val="both"/>
            <w:rPr/>
          </w:pPr>
          <w:r w:rsidDel="00000000" w:rsidR="00000000" w:rsidRPr="00000000">
            <w:rPr/>
            <w:drawing>
              <wp:inline distB="19050" distT="19050" distL="19050" distR="19050">
                <wp:extent cx="1159669" cy="240854"/>
                <wp:effectExtent b="0" l="0" r="0" t="0"/>
                <wp:docPr descr="CRT - logo-horizontal.png" id="19" name="image1.png"/>
                <a:graphic>
                  <a:graphicData uri="http://schemas.openxmlformats.org/drawingml/2006/picture">
                    <pic:pic>
                      <pic:nvPicPr>
                        <pic:cNvPr descr="CRT - logo-horizontal.png"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9669" cy="24085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tcMar>
            <w:top w:w="-283.0" w:type="dxa"/>
            <w:left w:w="-283.0" w:type="dxa"/>
            <w:bottom w:w="-283.0" w:type="dxa"/>
            <w:right w:w="-283.0" w:type="dxa"/>
          </w:tcMar>
          <w:vAlign w:val="center"/>
        </w:tcPr>
        <w:p w:rsidR="00000000" w:rsidDel="00000000" w:rsidP="00000000" w:rsidRDefault="00000000" w:rsidRPr="00000000" w14:paraId="0000001E">
          <w:pPr>
            <w:widowControl w:val="0"/>
            <w:spacing w:line="240" w:lineRule="auto"/>
            <w:jc w:val="right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588158" cy="620506"/>
                <wp:effectExtent b="0" l="0" r="0" t="0"/>
                <wp:docPr id="1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158" cy="62050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tcMar>
            <w:top w:w="-283.0" w:type="dxa"/>
            <w:left w:w="-283.0" w:type="dxa"/>
            <w:bottom w:w="-283.0" w:type="dxa"/>
            <w:right w:w="-283.0" w:type="dxa"/>
          </w:tcMar>
          <w:vAlign w:val="bottom"/>
        </w:tcPr>
        <w:p w:rsidR="00000000" w:rsidDel="00000000" w:rsidP="00000000" w:rsidRDefault="00000000" w:rsidRPr="00000000" w14:paraId="0000001F">
          <w:pPr>
            <w:widowControl w:val="0"/>
            <w:spacing w:line="240" w:lineRule="auto"/>
            <w:jc w:val="both"/>
            <w:rPr/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tcMar>
            <w:top w:w="-283.0" w:type="dxa"/>
            <w:left w:w="-283.0" w:type="dxa"/>
            <w:bottom w:w="-283.0" w:type="dxa"/>
            <w:right w:w="-283.0" w:type="dxa"/>
          </w:tcMar>
          <w:vAlign w:val="bottom"/>
        </w:tcPr>
        <w:p w:rsidR="00000000" w:rsidDel="00000000" w:rsidP="00000000" w:rsidRDefault="00000000" w:rsidRPr="00000000" w14:paraId="00000020">
          <w:pPr>
            <w:jc w:val="both"/>
            <w:rPr/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tcMar>
            <w:top w:w="-283.0" w:type="dxa"/>
            <w:left w:w="-283.0" w:type="dxa"/>
            <w:bottom w:w="-283.0" w:type="dxa"/>
            <w:right w:w="-283.0" w:type="dxa"/>
          </w:tcMar>
          <w:vAlign w:val="center"/>
        </w:tcPr>
        <w:p w:rsidR="00000000" w:rsidDel="00000000" w:rsidP="00000000" w:rsidRDefault="00000000" w:rsidRPr="00000000" w14:paraId="00000021">
          <w:pPr>
            <w:widowControl w:val="0"/>
            <w:spacing w:line="240" w:lineRule="auto"/>
            <w:jc w:val="right"/>
            <w:rPr/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2">
    <w:pPr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279731" cy="11999316"/>
          <wp:effectExtent b="0" l="0" r="0" t="0"/>
          <wp:wrapNone/>
          <wp:docPr id="16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279731" cy="1199931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" w:customStyle="1">
    <w:basedOn w:val="TableNormal0"/>
    <w:tblPr>
      <w:tblStyleRowBandSize w:val="1"/>
      <w:tblStyleColBandSize w:val="1"/>
    </w:tblPr>
  </w:style>
  <w:style w:type="table" w:styleId="a0" w:customStyle="1">
    <w:basedOn w:val="TableNormal0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 w:val="1"/>
    <w:rsid w:val="0083553C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3553C"/>
  </w:style>
  <w:style w:type="paragraph" w:styleId="Piedepgina">
    <w:name w:val="footer"/>
    <w:basedOn w:val="Normal"/>
    <w:link w:val="PiedepginaCar"/>
    <w:uiPriority w:val="99"/>
    <w:unhideWhenUsed w:val="1"/>
    <w:rsid w:val="0083553C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3553C"/>
  </w:style>
  <w:style w:type="table" w:styleId="a1" w:customStyle="1">
    <w:basedOn w:val="TableNormal0"/>
    <w:tblPr>
      <w:tblStyleRowBandSize w:val="1"/>
      <w:tblStyleColBandSize w:val="1"/>
    </w:tblPr>
  </w:style>
  <w:style w:type="table" w:styleId="a2" w:customStyle="1">
    <w:basedOn w:val="TableNormal0"/>
    <w:tblPr>
      <w:tblStyleRowBandSize w:val="1"/>
      <w:tblStyleColBandSize w:val="1"/>
    </w:tbl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A7339A"/>
    <w:pPr>
      <w:spacing w:line="240" w:lineRule="auto"/>
    </w:pPr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A7339A"/>
    <w:rPr>
      <w:rFonts w:ascii="Segoe UI" w:cs="Segoe UI" w:hAnsi="Segoe UI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unhideWhenUsed w:val="1"/>
    <w:rsid w:val="00473EF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473EF0"/>
    <w:rPr>
      <w:sz w:val="20"/>
      <w:szCs w:val="20"/>
    </w:rPr>
  </w:style>
  <w:style w:type="character" w:styleId="Refdecomentario">
    <w:name w:val="annotation reference"/>
    <w:uiPriority w:val="99"/>
    <w:unhideWhenUsed w:val="1"/>
    <w:rsid w:val="00473EF0"/>
    <w:rPr>
      <w:sz w:val="16"/>
      <w:szCs w:val="16"/>
    </w:rPr>
  </w:style>
  <w:style w:type="paragraph" w:styleId="Cita">
    <w:name w:val="Quote"/>
    <w:basedOn w:val="Normal"/>
    <w:next w:val="Normal"/>
    <w:link w:val="CitaCar"/>
    <w:uiPriority w:val="29"/>
    <w:qFormat w:val="1"/>
    <w:rsid w:val="004B4CE2"/>
    <w:pPr>
      <w:spacing w:after="160" w:before="200"/>
      <w:ind w:left="864" w:right="864"/>
      <w:jc w:val="center"/>
    </w:pPr>
    <w:rPr>
      <w:i w:val="1"/>
      <w:iCs w:val="1"/>
      <w:color w:val="404040" w:themeColor="text1" w:themeTint="0000BF"/>
    </w:rPr>
  </w:style>
  <w:style w:type="character" w:styleId="CitaCar" w:customStyle="1">
    <w:name w:val="Cita Car"/>
    <w:basedOn w:val="Fuentedeprrafopredeter"/>
    <w:link w:val="Cita"/>
    <w:uiPriority w:val="29"/>
    <w:rsid w:val="004B4CE2"/>
    <w:rPr>
      <w:i w:val="1"/>
      <w:iCs w:val="1"/>
      <w:color w:val="404040" w:themeColor="text1" w:themeTint="0000BF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6A3182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6A3182"/>
    <w:rPr>
      <w:b w:val="1"/>
      <w:bCs w:val="1"/>
      <w:sz w:val="20"/>
      <w:szCs w:val="20"/>
    </w:rPr>
  </w:style>
  <w:style w:type="paragraph" w:styleId="Citaift" w:customStyle="1">
    <w:name w:val="Cita ift"/>
    <w:next w:val="Normal"/>
    <w:link w:val="CitaiftCar"/>
    <w:qFormat w:val="1"/>
    <w:rsid w:val="005F7449"/>
    <w:pPr>
      <w:adjustRightInd w:val="0"/>
      <w:ind w:left="851" w:right="760"/>
      <w:jc w:val="both"/>
    </w:pPr>
    <w:rPr>
      <w:rFonts w:eastAsia="Times New Roman"/>
      <w:i w:val="1"/>
      <w:color w:val="000000"/>
      <w:sz w:val="18"/>
      <w:szCs w:val="18"/>
      <w:lang w:eastAsia="es-ES"/>
    </w:rPr>
  </w:style>
  <w:style w:type="character" w:styleId="CitaiftCar" w:customStyle="1">
    <w:name w:val="Cita ift Car"/>
    <w:link w:val="Citaift"/>
    <w:rsid w:val="005F7449"/>
    <w:rPr>
      <w:rFonts w:eastAsia="Times New Roman"/>
      <w:i w:val="1"/>
      <w:color w:val="000000"/>
      <w:sz w:val="18"/>
      <w:szCs w:val="18"/>
      <w:lang w:eastAsia="es-ES"/>
    </w:rPr>
  </w:style>
  <w:style w:type="character" w:styleId="Hipervnculo">
    <w:name w:val="Hyperlink"/>
    <w:basedOn w:val="Fuentedeprrafopredeter"/>
    <w:uiPriority w:val="99"/>
    <w:unhideWhenUsed w:val="1"/>
    <w:rsid w:val="005F7449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5F7449"/>
    <w:rPr>
      <w:color w:val="605e5c"/>
      <w:shd w:color="auto" w:fill="e1dfdd" w:val="clear"/>
    </w:rPr>
  </w:style>
  <w:style w:type="paragraph" w:styleId="IFTnormal" w:customStyle="1">
    <w:name w:val="IFT normal"/>
    <w:basedOn w:val="Normal"/>
    <w:link w:val="IFTnormalCar"/>
    <w:qFormat w:val="1"/>
    <w:rsid w:val="00136C02"/>
    <w:pPr>
      <w:spacing w:after="200"/>
      <w:jc w:val="both"/>
    </w:pPr>
    <w:rPr>
      <w:rFonts w:ascii="ITC Avant Garde" w:eastAsia="Calibri" w:hAnsi="ITC Avant Garde"/>
      <w:color w:val="000000"/>
      <w:lang w:eastAsia="es-ES" w:val="es-ES_tradnl"/>
    </w:rPr>
  </w:style>
  <w:style w:type="character" w:styleId="IFTnormalCar" w:customStyle="1">
    <w:name w:val="IFT normal Car"/>
    <w:basedOn w:val="Fuentedeprrafopredeter"/>
    <w:link w:val="IFTnormal"/>
    <w:qFormat w:val="1"/>
    <w:rsid w:val="00136C02"/>
    <w:rPr>
      <w:rFonts w:ascii="ITC Avant Garde" w:eastAsia="Calibri" w:hAnsi="ITC Avant Garde"/>
      <w:color w:val="000000"/>
      <w:lang w:eastAsia="es-ES" w:val="es-ES_tradnl"/>
    </w:rPr>
  </w:style>
  <w:style w:type="paragraph" w:styleId="Revisin">
    <w:name w:val="Revision"/>
    <w:hidden w:val="1"/>
    <w:uiPriority w:val="99"/>
    <w:semiHidden w:val="1"/>
    <w:rsid w:val="00F91298"/>
    <w:pPr>
      <w:spacing w:line="240" w:lineRule="auto"/>
    </w:pPr>
  </w:style>
  <w:style w:type="paragraph" w:styleId="Sinespaciado">
    <w:name w:val="No Spacing"/>
    <w:link w:val="SinespaciadoCar"/>
    <w:uiPriority w:val="1"/>
    <w:qFormat w:val="1"/>
    <w:rsid w:val="000037A9"/>
    <w:rPr>
      <w:rFonts w:cs="Times New Roman" w:eastAsia="Calibri"/>
      <w:szCs w:val="20"/>
      <w:lang w:eastAsia="en-US" w:val="en-US"/>
    </w:rPr>
  </w:style>
  <w:style w:type="paragraph" w:styleId="Prrafodelista">
    <w:name w:val="List Paragraph"/>
    <w:basedOn w:val="Normal"/>
    <w:uiPriority w:val="34"/>
    <w:qFormat w:val="1"/>
    <w:rsid w:val="000037A9"/>
    <w:pPr>
      <w:widowControl w:val="0"/>
      <w:kinsoku w:val="0"/>
      <w:spacing w:line="240" w:lineRule="auto"/>
      <w:ind w:left="708"/>
      <w:jc w:val="both"/>
    </w:pPr>
    <w:rPr>
      <w:rFonts w:ascii="Times New Roman" w:eastAsia="Calibri" w:hAnsi="Times New Roman"/>
      <w:sz w:val="24"/>
      <w:szCs w:val="24"/>
    </w:rPr>
  </w:style>
  <w:style w:type="paragraph" w:styleId="Textoindependiente">
    <w:name w:val="Body Text"/>
    <w:basedOn w:val="Normal"/>
    <w:link w:val="TextoindependienteCar"/>
    <w:rsid w:val="000037A9"/>
    <w:pPr>
      <w:jc w:val="both"/>
    </w:pPr>
    <w:rPr>
      <w:rFonts w:ascii="Noto Sans" w:eastAsia="Calibri" w:hAnsi="Noto Sans"/>
      <w:szCs w:val="20"/>
      <w:lang w:eastAsia="en-US"/>
    </w:rPr>
  </w:style>
  <w:style w:type="character" w:styleId="TextoindependienteCar" w:customStyle="1">
    <w:name w:val="Texto independiente Car"/>
    <w:basedOn w:val="Fuentedeprrafopredeter"/>
    <w:link w:val="Textoindependiente"/>
    <w:rsid w:val="000037A9"/>
    <w:rPr>
      <w:rFonts w:ascii="Noto Sans" w:eastAsia="Calibri" w:hAnsi="Noto Sans"/>
      <w:szCs w:val="20"/>
      <w:lang w:eastAsia="en-US"/>
    </w:rPr>
  </w:style>
  <w:style w:type="paragraph" w:styleId="CONTRATOS" w:customStyle="1">
    <w:name w:val="CONTRATOS"/>
    <w:basedOn w:val="Normal"/>
    <w:rsid w:val="000037A9"/>
    <w:pPr>
      <w:jc w:val="both"/>
    </w:pPr>
    <w:rPr>
      <w:rFonts w:ascii="Courier" w:eastAsia="Calibri" w:hAnsi="Courier"/>
      <w:szCs w:val="20"/>
      <w:lang w:eastAsia="en-US"/>
    </w:rPr>
  </w:style>
  <w:style w:type="paragraph" w:styleId="CondicionesFinales" w:customStyle="1">
    <w:name w:val="CondicionesFinales"/>
    <w:basedOn w:val="Citaift"/>
    <w:qFormat w:val="1"/>
    <w:rsid w:val="000037A9"/>
    <w:pPr>
      <w:spacing w:after="200"/>
    </w:pPr>
    <w:rPr>
      <w:rFonts w:ascii="ITC Avant Garde" w:hAnsi="ITC Avant Garde"/>
      <w:bCs w:val="1"/>
      <w:i w:val="0"/>
      <w:sz w:val="22"/>
      <w:szCs w:val="22"/>
      <w:lang w:val="es-ES_tradnl"/>
    </w:rPr>
  </w:style>
  <w:style w:type="paragraph" w:styleId="Listamedia2-nfasis41" w:customStyle="1">
    <w:name w:val="Lista media 2 - Énfasis 41"/>
    <w:basedOn w:val="Normal"/>
    <w:uiPriority w:val="34"/>
    <w:qFormat w:val="1"/>
    <w:rsid w:val="000037A9"/>
    <w:pPr>
      <w:spacing w:line="240" w:lineRule="auto"/>
      <w:ind w:left="720"/>
      <w:contextualSpacing w:val="1"/>
    </w:pPr>
    <w:rPr>
      <w:rFonts w:ascii="Times New Roman" w:cs="Times New Roman" w:eastAsia="Times New Roman" w:hAnsi="Times New Roman"/>
      <w:sz w:val="20"/>
      <w:szCs w:val="20"/>
      <w:lang w:eastAsia="en-US" w:val="en-US"/>
    </w:rPr>
  </w:style>
  <w:style w:type="character" w:styleId="SinespaciadoCar" w:customStyle="1">
    <w:name w:val="Sin espaciado Car"/>
    <w:basedOn w:val="Fuentedeprrafopredeter"/>
    <w:link w:val="Sinespaciado"/>
    <w:uiPriority w:val="1"/>
    <w:rsid w:val="000037A9"/>
    <w:rPr>
      <w:rFonts w:cs="Times New Roman" w:eastAsia="Calibri"/>
      <w:szCs w:val="20"/>
      <w:lang w:eastAsia="en-US" w:val="en-US"/>
    </w:rPr>
  </w:style>
  <w:style w:type="table" w:styleId="Tablaconcuadrcula">
    <w:name w:val="Table Grid"/>
    <w:basedOn w:val="Tablanormal"/>
    <w:uiPriority w:val="99"/>
    <w:rsid w:val="00B32AC8"/>
    <w:pPr>
      <w:spacing w:line="240" w:lineRule="auto"/>
    </w:pPr>
    <w:rPr>
      <w:rFonts w:ascii="Calibri" w:cs="Times New Roman" w:eastAsia="Calibri" w:hAnsi="Calibri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notapie">
    <w:name w:val="footnote text"/>
    <w:basedOn w:val="Normal"/>
    <w:link w:val="TextonotapieCar"/>
    <w:uiPriority w:val="99"/>
    <w:semiHidden w:val="1"/>
    <w:unhideWhenUsed w:val="1"/>
    <w:rsid w:val="00353EB9"/>
    <w:pPr>
      <w:spacing w:line="240" w:lineRule="auto"/>
      <w:jc w:val="both"/>
    </w:pPr>
    <w:rPr>
      <w:rFonts w:ascii="Noto Sans" w:hAnsi="Noto Sans"/>
      <w:sz w:val="14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 w:val="1"/>
    <w:rsid w:val="00353EB9"/>
    <w:rPr>
      <w:rFonts w:ascii="Noto Sans" w:hAnsi="Noto Sans"/>
      <w:sz w:val="14"/>
      <w:szCs w:val="20"/>
    </w:rPr>
  </w:style>
  <w:style w:type="character" w:styleId="Refdenotaalpie">
    <w:name w:val="footnote reference"/>
    <w:aliases w:val="Footnote Reference Superscript,fr,o,Style 6,(NECG) Footnote Reference,Style 3,Appel note de bas de p,Style 12,Style 124,Style 13,FR,Style 17,Footnote Reference/,Ref,de nota al pie,Ref. de nota al pie 2"/>
    <w:basedOn w:val="Fuentedeprrafopredeter"/>
    <w:uiPriority w:val="99"/>
    <w:unhideWhenUsed w:val="1"/>
    <w:rsid w:val="00353EB9"/>
    <w:rPr>
      <w:rFonts w:ascii="Arial" w:hAnsi="Arial"/>
      <w:b w:val="0"/>
      <w:i w:val="0"/>
      <w:sz w:val="20"/>
      <w:vertAlign w:val="superscript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353EB9"/>
    <w:rPr>
      <w:color w:val="605e5c"/>
      <w:shd w:color="auto" w:fill="e1dfdd" w:val="clear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Relationship Id="rId3" Type="http://schemas.openxmlformats.org/officeDocument/2006/relationships/image" Target="media/image5.png"/><Relationship Id="rId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ChuBx0e9MmutbMdyEMBjtTXS1w==">CgMxLjAyDmguaDBveXVvc2Z5ZTZkMg5oLmUwaDhvcDY3OGwzbjIOaC43aXdzdm15NjBlOXgyDmgucHRnN3dxdzRkNDBrMg5oLnY2OXg4MG1qY2xsMTgAciExSUFVbmFiRy0zRFl3b3VGYnA0Tnpab2xBZUdTT29wMGg=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2025-12-02T23:17:00Z</dcterms:created>
  <dc:creator>Gabriel_dominguez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VData">
    <vt:lpwstr>ew0KICAiZG9jSUQiOiAiZGY4YTY2NzMtNmM3Ni00NmUyLTg1YjEtOTYzYTA4MmViNzUzIg0KfQ==</vt:lpwstr>
  </property>
  <property fmtid="{D5CDD505-2E9C-101B-9397-08002B2CF9AE}" pid="3" name="GVData0">
    <vt:lpwstr>(end)</vt:lpwstr>
  </property>
</Properties>
</file>