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7D8F8" w14:textId="77777777" w:rsidR="00E722FE" w:rsidRDefault="00E722FE" w:rsidP="00E722FE">
      <w:pPr>
        <w:ind w:left="567" w:right="594"/>
        <w:jc w:val="center"/>
        <w:rPr>
          <w:rFonts w:ascii="Arial" w:hAnsi="Arial" w:cs="Arial"/>
          <w:b/>
          <w:sz w:val="36"/>
        </w:rPr>
      </w:pPr>
      <w:r w:rsidRPr="00C03384">
        <w:rPr>
          <w:rFonts w:ascii="Arial" w:hAnsi="Arial" w:cs="Arial"/>
          <w:b/>
          <w:sz w:val="36"/>
        </w:rPr>
        <w:t xml:space="preserve">PROPUESTA </w:t>
      </w:r>
      <w:r>
        <w:rPr>
          <w:rFonts w:ascii="Arial" w:hAnsi="Arial" w:cs="Arial"/>
          <w:b/>
          <w:sz w:val="36"/>
        </w:rPr>
        <w:t xml:space="preserve">DE MODIFICACIONES </w:t>
      </w:r>
      <w:r w:rsidR="00F67814">
        <w:rPr>
          <w:rFonts w:ascii="Arial" w:hAnsi="Arial" w:cs="Arial"/>
          <w:b/>
          <w:sz w:val="36"/>
        </w:rPr>
        <w:t xml:space="preserve">Y SUS JUSTIFICACIONES </w:t>
      </w:r>
      <w:r>
        <w:rPr>
          <w:rFonts w:ascii="Arial" w:hAnsi="Arial" w:cs="Arial"/>
          <w:b/>
          <w:sz w:val="36"/>
        </w:rPr>
        <w:t xml:space="preserve">PARA LA </w:t>
      </w:r>
      <w:r w:rsidR="00195AF3">
        <w:rPr>
          <w:rFonts w:ascii="Arial" w:hAnsi="Arial" w:cs="Arial"/>
          <w:b/>
          <w:sz w:val="36"/>
        </w:rPr>
        <w:t>OREDA 2026</w:t>
      </w:r>
    </w:p>
    <w:p w14:paraId="7F47D8F9" w14:textId="77777777" w:rsidR="00C321F3" w:rsidRPr="00C03384" w:rsidRDefault="00C321F3" w:rsidP="00C321F3">
      <w:pPr>
        <w:ind w:left="567" w:right="594"/>
        <w:jc w:val="both"/>
        <w:rPr>
          <w:rFonts w:ascii="Arial" w:hAnsi="Arial" w:cs="Arial"/>
        </w:rPr>
      </w:pPr>
      <w:r w:rsidRPr="00C03384">
        <w:rPr>
          <w:rFonts w:ascii="Arial" w:hAnsi="Arial" w:cs="Arial"/>
        </w:rPr>
        <w:t xml:space="preserve">Telmex y Telnor, en cumplimiento a la medida Quinta de las Medidas de Desagregación presenta para aprobación del Instituto, las siguientes modificaciones y actualizaciones </w:t>
      </w:r>
      <w:r>
        <w:rPr>
          <w:rFonts w:ascii="Arial" w:hAnsi="Arial" w:cs="Arial"/>
        </w:rPr>
        <w:t>de</w:t>
      </w:r>
      <w:r w:rsidRPr="00C03384">
        <w:rPr>
          <w:rFonts w:ascii="Arial" w:hAnsi="Arial" w:cs="Arial"/>
        </w:rPr>
        <w:t xml:space="preserve"> la Oferta de Referencia de los Servici</w:t>
      </w:r>
      <w:r>
        <w:rPr>
          <w:rFonts w:ascii="Arial" w:hAnsi="Arial" w:cs="Arial"/>
        </w:rPr>
        <w:t>os de Desagregación para el 2026</w:t>
      </w:r>
      <w:r w:rsidRPr="00C03384">
        <w:rPr>
          <w:rFonts w:ascii="Arial" w:hAnsi="Arial" w:cs="Arial"/>
        </w:rPr>
        <w:t>.</w:t>
      </w:r>
      <w:r w:rsidR="00F12C22">
        <w:rPr>
          <w:rFonts w:ascii="Arial" w:hAnsi="Arial" w:cs="Arial"/>
        </w:rPr>
        <w:t xml:space="preserve"> </w:t>
      </w:r>
      <w:r w:rsidRPr="00C03384">
        <w:rPr>
          <w:rFonts w:ascii="Arial" w:hAnsi="Arial" w:cs="Arial"/>
        </w:rPr>
        <w:t>En virtud de lo anterior, y con el objetivo de esclarecer las condiciones propuestas mis representadas presentan las siguientes:</w:t>
      </w:r>
    </w:p>
    <w:p w14:paraId="7F47D8FA" w14:textId="77777777" w:rsidR="00C321F3" w:rsidRPr="00B81C37" w:rsidRDefault="00C321F3" w:rsidP="00C321F3">
      <w:pPr>
        <w:ind w:left="567" w:right="594"/>
        <w:jc w:val="center"/>
        <w:rPr>
          <w:rFonts w:ascii="Arial" w:hAnsi="Arial" w:cs="Arial"/>
          <w:b/>
          <w:sz w:val="26"/>
          <w:szCs w:val="26"/>
        </w:rPr>
      </w:pPr>
      <w:r w:rsidRPr="00B81C37">
        <w:rPr>
          <w:rFonts w:ascii="Arial" w:hAnsi="Arial" w:cs="Arial"/>
          <w:b/>
          <w:sz w:val="26"/>
          <w:szCs w:val="26"/>
        </w:rPr>
        <w:t>CONSIDERACIONES PREVIAS</w:t>
      </w:r>
    </w:p>
    <w:p w14:paraId="7F47D8FB" w14:textId="77777777" w:rsidR="00C321F3" w:rsidRPr="00C03384" w:rsidRDefault="00C321F3" w:rsidP="00CB0C3E">
      <w:pPr>
        <w:ind w:left="567" w:right="594"/>
        <w:jc w:val="both"/>
        <w:rPr>
          <w:rFonts w:ascii="Arial" w:hAnsi="Arial" w:cs="Arial"/>
          <w:b/>
        </w:rPr>
      </w:pPr>
      <w:r w:rsidRPr="00C03384">
        <w:rPr>
          <w:rFonts w:ascii="Arial" w:hAnsi="Arial" w:cs="Arial"/>
          <w:b/>
        </w:rPr>
        <w:t>PRIMERO. Incentivar la venta de servicios mayoristas.</w:t>
      </w:r>
    </w:p>
    <w:p w14:paraId="7F47D8FC" w14:textId="77777777" w:rsidR="00F12C22" w:rsidRDefault="00F12C22" w:rsidP="00F12C22">
      <w:pPr>
        <w:ind w:left="567" w:right="594"/>
        <w:jc w:val="both"/>
        <w:rPr>
          <w:rFonts w:ascii="Arial" w:hAnsi="Arial" w:cs="Arial"/>
        </w:rPr>
      </w:pPr>
      <w:r w:rsidRPr="00F12C22">
        <w:rPr>
          <w:rFonts w:ascii="Arial" w:hAnsi="Arial" w:cs="Arial"/>
        </w:rPr>
        <w:t xml:space="preserve">Telmex y Telnor, en su carácter de Agente Económico Preponderante (AEP) y en cumplimiento de la regulación asimétrica aplicable, presentan la Propuesta de Modificaciones a la OREDA 2026 con el objetivo de incentivar la participación de </w:t>
      </w:r>
      <w:r w:rsidR="005F13E5">
        <w:rPr>
          <w:rFonts w:ascii="Arial" w:hAnsi="Arial" w:cs="Arial"/>
        </w:rPr>
        <w:t>nuevos</w:t>
      </w:r>
      <w:r w:rsidRPr="00F12C22">
        <w:rPr>
          <w:rFonts w:ascii="Arial" w:hAnsi="Arial" w:cs="Arial"/>
        </w:rPr>
        <w:t xml:space="preserve"> Concesionarios Solicitantes (CS) en los servicios de Desagregación.</w:t>
      </w:r>
      <w:r w:rsidR="005F13E5">
        <w:rPr>
          <w:rFonts w:ascii="Arial" w:hAnsi="Arial" w:cs="Arial"/>
        </w:rPr>
        <w:t xml:space="preserve"> </w:t>
      </w:r>
      <w:r w:rsidRPr="00F12C22">
        <w:rPr>
          <w:rFonts w:ascii="Arial" w:hAnsi="Arial" w:cs="Arial"/>
        </w:rPr>
        <w:t>Esta propuesta incorpora alternativas alineadas con las necesid</w:t>
      </w:r>
      <w:r w:rsidR="005F13E5">
        <w:rPr>
          <w:rFonts w:ascii="Arial" w:hAnsi="Arial" w:cs="Arial"/>
        </w:rPr>
        <w:t>ades actuales del mercado fijo</w:t>
      </w:r>
      <w:r w:rsidRPr="00F12C22">
        <w:rPr>
          <w:rFonts w:ascii="Arial" w:hAnsi="Arial" w:cs="Arial"/>
        </w:rPr>
        <w:t xml:space="preserve">, en un entorno de competencia efectiva y </w:t>
      </w:r>
      <w:r w:rsidR="001C1B79" w:rsidRPr="00F12C22">
        <w:rPr>
          <w:rFonts w:ascii="Arial" w:hAnsi="Arial" w:cs="Arial"/>
        </w:rPr>
        <w:t>orientada</w:t>
      </w:r>
      <w:r w:rsidRPr="00F12C22">
        <w:rPr>
          <w:rFonts w:ascii="Arial" w:hAnsi="Arial" w:cs="Arial"/>
        </w:rPr>
        <w:t xml:space="preserve"> a garantizar los más altos estándares de calidad en la prestación de los servicios</w:t>
      </w:r>
      <w:r w:rsidR="005F13E5">
        <w:rPr>
          <w:rFonts w:ascii="Arial" w:hAnsi="Arial" w:cs="Arial"/>
        </w:rPr>
        <w:t>.</w:t>
      </w:r>
    </w:p>
    <w:p w14:paraId="7F47D8FD" w14:textId="77777777" w:rsidR="00C321F3" w:rsidRPr="00C03384" w:rsidRDefault="00C321F3" w:rsidP="00CB0C3E">
      <w:pPr>
        <w:ind w:left="567" w:right="594"/>
        <w:jc w:val="both"/>
        <w:rPr>
          <w:rFonts w:ascii="Arial" w:hAnsi="Arial" w:cs="Arial"/>
          <w:b/>
        </w:rPr>
      </w:pPr>
      <w:r w:rsidRPr="00C03384">
        <w:rPr>
          <w:rFonts w:ascii="Arial" w:hAnsi="Arial" w:cs="Arial"/>
          <w:b/>
        </w:rPr>
        <w:t xml:space="preserve">SEGUNDO. Establecer procesos claros y </w:t>
      </w:r>
      <w:r>
        <w:rPr>
          <w:rFonts w:ascii="Arial" w:hAnsi="Arial" w:cs="Arial"/>
          <w:b/>
        </w:rPr>
        <w:t>simplificados</w:t>
      </w:r>
      <w:r w:rsidRPr="00C03384">
        <w:rPr>
          <w:rFonts w:ascii="Arial" w:hAnsi="Arial" w:cs="Arial"/>
          <w:b/>
        </w:rPr>
        <w:t>.</w:t>
      </w:r>
    </w:p>
    <w:p w14:paraId="7F47D8FE" w14:textId="77777777" w:rsidR="00C321F3" w:rsidRPr="00C03384" w:rsidRDefault="00C321F3" w:rsidP="00CB0C3E">
      <w:pPr>
        <w:ind w:left="567" w:right="594"/>
        <w:jc w:val="both"/>
        <w:rPr>
          <w:rFonts w:ascii="Arial" w:hAnsi="Arial" w:cs="Arial"/>
        </w:rPr>
      </w:pPr>
      <w:r w:rsidRPr="00C03384">
        <w:rPr>
          <w:rFonts w:ascii="Arial" w:hAnsi="Arial" w:cs="Arial"/>
        </w:rPr>
        <w:t xml:space="preserve">Las </w:t>
      </w:r>
      <w:r>
        <w:rPr>
          <w:rFonts w:ascii="Arial" w:hAnsi="Arial" w:cs="Arial"/>
        </w:rPr>
        <w:t xml:space="preserve">presentes </w:t>
      </w:r>
      <w:r w:rsidRPr="00C03384">
        <w:rPr>
          <w:rFonts w:ascii="Arial" w:hAnsi="Arial" w:cs="Arial"/>
        </w:rPr>
        <w:t xml:space="preserve">modificaciones están enfocadas en desarrollar procesos operativos claros, concisos, directos y agiles tanto para los CS como para </w:t>
      </w:r>
      <w:r>
        <w:rPr>
          <w:rFonts w:ascii="Arial" w:hAnsi="Arial" w:cs="Arial"/>
        </w:rPr>
        <w:t>la DM</w:t>
      </w:r>
      <w:r w:rsidRPr="00C03384">
        <w:rPr>
          <w:rFonts w:ascii="Arial" w:hAnsi="Arial" w:cs="Arial"/>
        </w:rPr>
        <w:t>. Se ofrecen actualizaciones en diferentes etapas del proceso de contratación ya que el flujo en la OREDA vigente.</w:t>
      </w:r>
    </w:p>
    <w:p w14:paraId="7F47D8FF" w14:textId="77777777" w:rsidR="00B16C50" w:rsidRDefault="00C321F3" w:rsidP="00CB0C3E">
      <w:pPr>
        <w:ind w:left="567" w:right="594"/>
        <w:jc w:val="both"/>
        <w:rPr>
          <w:rFonts w:ascii="Arial" w:hAnsi="Arial" w:cs="Arial"/>
        </w:rPr>
      </w:pPr>
      <w:r>
        <w:rPr>
          <w:rFonts w:ascii="Arial" w:hAnsi="Arial" w:cs="Arial"/>
        </w:rPr>
        <w:t xml:space="preserve">En esta propuesta se suprimen las opciones de </w:t>
      </w:r>
      <w:r>
        <w:rPr>
          <w:rFonts w:ascii="Arial" w:hAnsi="Arial" w:cs="Arial"/>
          <w:b/>
        </w:rPr>
        <w:t xml:space="preserve">Instalación de la acometida por parte de </w:t>
      </w:r>
      <w:r w:rsidR="00B16C50">
        <w:rPr>
          <w:rFonts w:ascii="Arial" w:hAnsi="Arial" w:cs="Arial"/>
          <w:b/>
        </w:rPr>
        <w:t>los</w:t>
      </w:r>
      <w:r>
        <w:rPr>
          <w:rFonts w:ascii="Arial" w:hAnsi="Arial" w:cs="Arial"/>
          <w:b/>
        </w:rPr>
        <w:t xml:space="preserve"> Concesionarios </w:t>
      </w:r>
      <w:r w:rsidR="00B16C50">
        <w:rPr>
          <w:rFonts w:ascii="Arial" w:hAnsi="Arial" w:cs="Arial"/>
          <w:b/>
        </w:rPr>
        <w:t>Solicitantes</w:t>
      </w:r>
      <w:r>
        <w:rPr>
          <w:rFonts w:ascii="Arial" w:hAnsi="Arial" w:cs="Arial"/>
        </w:rPr>
        <w:t xml:space="preserve"> así como la opción de </w:t>
      </w:r>
      <w:r w:rsidR="00B16C50" w:rsidRPr="00B16C50">
        <w:rPr>
          <w:rFonts w:ascii="Arial" w:hAnsi="Arial" w:cs="Arial"/>
          <w:b/>
        </w:rPr>
        <w:t>Acceso a la información en el sitio de Internet, Acceso a la información de manera presencial o medio alternativo</w:t>
      </w:r>
      <w:r>
        <w:rPr>
          <w:rFonts w:ascii="Arial" w:hAnsi="Arial" w:cs="Arial"/>
        </w:rPr>
        <w:t>.</w:t>
      </w:r>
      <w:r w:rsidRPr="00C03384">
        <w:rPr>
          <w:rFonts w:ascii="Arial" w:hAnsi="Arial" w:cs="Arial"/>
        </w:rPr>
        <w:t xml:space="preserve"> </w:t>
      </w:r>
      <w:r>
        <w:rPr>
          <w:rFonts w:ascii="Arial" w:hAnsi="Arial" w:cs="Arial"/>
        </w:rPr>
        <w:t>E</w:t>
      </w:r>
      <w:r w:rsidRPr="00C03384">
        <w:rPr>
          <w:rFonts w:ascii="Arial" w:hAnsi="Arial" w:cs="Arial"/>
        </w:rPr>
        <w:t xml:space="preserve">stas </w:t>
      </w:r>
      <w:r>
        <w:rPr>
          <w:rFonts w:ascii="Arial" w:hAnsi="Arial" w:cs="Arial"/>
        </w:rPr>
        <w:t xml:space="preserve">funcionalidades, además de no ser utilizadas por los CS, tampoco resultan </w:t>
      </w:r>
      <w:r w:rsidRPr="00C03384">
        <w:rPr>
          <w:rFonts w:ascii="Arial" w:hAnsi="Arial" w:cs="Arial"/>
        </w:rPr>
        <w:t>útiles</w:t>
      </w:r>
      <w:r>
        <w:rPr>
          <w:rFonts w:ascii="Arial" w:hAnsi="Arial" w:cs="Arial"/>
        </w:rPr>
        <w:t xml:space="preserve"> durante el proceso de aprovisionamiento de los servicios de Desagregación ya que</w:t>
      </w:r>
      <w:r w:rsidRPr="00C03384">
        <w:rPr>
          <w:rFonts w:ascii="Arial" w:hAnsi="Arial" w:cs="Arial"/>
        </w:rPr>
        <w:t xml:space="preserve"> interfieren en el </w:t>
      </w:r>
      <w:r>
        <w:rPr>
          <w:rFonts w:ascii="Arial" w:hAnsi="Arial" w:cs="Arial"/>
        </w:rPr>
        <w:t>flujo operativo</w:t>
      </w:r>
      <w:r w:rsidRPr="00C03384">
        <w:rPr>
          <w:rFonts w:ascii="Arial" w:hAnsi="Arial" w:cs="Arial"/>
        </w:rPr>
        <w:t xml:space="preserve"> y </w:t>
      </w:r>
      <w:r>
        <w:rPr>
          <w:rFonts w:ascii="Arial" w:hAnsi="Arial" w:cs="Arial"/>
        </w:rPr>
        <w:t>representan dependencias de factores externos</w:t>
      </w:r>
      <w:r w:rsidRPr="00C03384">
        <w:rPr>
          <w:rFonts w:ascii="Arial" w:hAnsi="Arial" w:cs="Arial"/>
        </w:rPr>
        <w:t>, y en caso de seguir</w:t>
      </w:r>
      <w:r>
        <w:rPr>
          <w:rFonts w:ascii="Arial" w:hAnsi="Arial" w:cs="Arial"/>
        </w:rPr>
        <w:t xml:space="preserve"> estas opciones solo complicará</w:t>
      </w:r>
      <w:r w:rsidRPr="00C03384">
        <w:rPr>
          <w:rFonts w:ascii="Arial" w:hAnsi="Arial" w:cs="Arial"/>
        </w:rPr>
        <w:t xml:space="preserve">n las estrategias </w:t>
      </w:r>
      <w:r>
        <w:rPr>
          <w:rFonts w:ascii="Arial" w:hAnsi="Arial" w:cs="Arial"/>
        </w:rPr>
        <w:t xml:space="preserve">y logísticas </w:t>
      </w:r>
      <w:r w:rsidRPr="00C03384">
        <w:rPr>
          <w:rFonts w:ascii="Arial" w:hAnsi="Arial" w:cs="Arial"/>
        </w:rPr>
        <w:t>operativas.</w:t>
      </w:r>
      <w:r w:rsidR="00CB0C3E">
        <w:rPr>
          <w:rFonts w:ascii="Arial" w:hAnsi="Arial" w:cs="Arial"/>
        </w:rPr>
        <w:t xml:space="preserve"> </w:t>
      </w:r>
      <w:r w:rsidRPr="00C03384">
        <w:rPr>
          <w:rFonts w:ascii="Arial" w:hAnsi="Arial" w:cs="Arial"/>
        </w:rPr>
        <w:t>La intención de los cambios propuestos por Telmex</w:t>
      </w:r>
      <w:r>
        <w:rPr>
          <w:rFonts w:ascii="Arial" w:hAnsi="Arial" w:cs="Arial"/>
        </w:rPr>
        <w:t>/Telnor</w:t>
      </w:r>
      <w:r w:rsidRPr="00C03384">
        <w:rPr>
          <w:rFonts w:ascii="Arial" w:hAnsi="Arial" w:cs="Arial"/>
        </w:rPr>
        <w:t xml:space="preserve"> es mantener los procesos operativos alineados entre el mercado mayorista y minorista, lo cual evita retrasos en la provisión de servicios</w:t>
      </w:r>
      <w:r>
        <w:rPr>
          <w:rFonts w:ascii="Arial" w:hAnsi="Arial" w:cs="Arial"/>
        </w:rPr>
        <w:t xml:space="preserve"> y elimina punt</w:t>
      </w:r>
      <w:r w:rsidR="00B16C50">
        <w:rPr>
          <w:rFonts w:ascii="Arial" w:hAnsi="Arial" w:cs="Arial"/>
        </w:rPr>
        <w:t>os de riesgo durante el proceso, como pueden ser la dependencia de un tercero para la instalación de la acometida, que coincida durante la instalación con la presencia del cliente, técnico instalador y representante del CS.</w:t>
      </w:r>
    </w:p>
    <w:p w14:paraId="7F47D900" w14:textId="77777777" w:rsidR="00B16C50" w:rsidRPr="00C03384" w:rsidRDefault="00B16C50" w:rsidP="00CB0C3E">
      <w:pPr>
        <w:ind w:left="567" w:right="594"/>
        <w:jc w:val="both"/>
        <w:rPr>
          <w:rFonts w:ascii="Arial" w:hAnsi="Arial" w:cs="Arial"/>
          <w:b/>
        </w:rPr>
      </w:pPr>
      <w:r w:rsidRPr="00C03384">
        <w:rPr>
          <w:rFonts w:ascii="Arial" w:hAnsi="Arial" w:cs="Arial"/>
          <w:b/>
        </w:rPr>
        <w:t>TERCERO. Homologación de criterios.</w:t>
      </w:r>
    </w:p>
    <w:p w14:paraId="7F47D901" w14:textId="77777777" w:rsidR="00B16C50" w:rsidRPr="00B16C50" w:rsidRDefault="00B16C50" w:rsidP="00CB0C3E">
      <w:pPr>
        <w:ind w:left="567" w:right="594"/>
        <w:jc w:val="both"/>
        <w:rPr>
          <w:rFonts w:ascii="Arial" w:hAnsi="Arial" w:cs="Arial"/>
        </w:rPr>
      </w:pPr>
      <w:r w:rsidRPr="00B16C50">
        <w:rPr>
          <w:rFonts w:ascii="Arial" w:hAnsi="Arial" w:cs="Arial"/>
        </w:rPr>
        <w:t xml:space="preserve">Actualmente, existe una falta de homologación en los criterios de medición de plazos entre las distintas ofertas mayoristas, lo que ha generado complicaciones logísticas y operativas en la atención de los servicios. Esto se vuelve aún más crítico considerando que el </w:t>
      </w:r>
      <w:r w:rsidRPr="00CB0C3E">
        <w:rPr>
          <w:rFonts w:ascii="Arial" w:hAnsi="Arial" w:cs="Arial"/>
        </w:rPr>
        <w:t>personal operativo es el mismo</w:t>
      </w:r>
      <w:r w:rsidRPr="00B16C50">
        <w:rPr>
          <w:rFonts w:ascii="Arial" w:hAnsi="Arial" w:cs="Arial"/>
        </w:rPr>
        <w:t xml:space="preserve"> que atiende tanto servicios mayoristas como minoristas. Cambiar la mecánica operativa dependiendo del tipo de servicio, mercado u oferta implica una pérdida de eficiencia y aumenta la posibilidad de errores operativos.</w:t>
      </w:r>
      <w:r w:rsidR="001C1B79">
        <w:rPr>
          <w:rFonts w:ascii="Arial" w:hAnsi="Arial" w:cs="Arial"/>
        </w:rPr>
        <w:t xml:space="preserve"> </w:t>
      </w:r>
      <w:r w:rsidRPr="00B16C50">
        <w:rPr>
          <w:rFonts w:ascii="Arial" w:hAnsi="Arial" w:cs="Arial"/>
        </w:rPr>
        <w:t xml:space="preserve">Por ello, resulta necesario </w:t>
      </w:r>
      <w:r w:rsidRPr="00CB0C3E">
        <w:rPr>
          <w:rFonts w:ascii="Arial" w:hAnsi="Arial" w:cs="Arial"/>
          <w:b/>
        </w:rPr>
        <w:t xml:space="preserve">homologar los criterios de medición </w:t>
      </w:r>
      <w:r w:rsidR="005F13E5">
        <w:rPr>
          <w:rFonts w:ascii="Arial" w:hAnsi="Arial" w:cs="Arial"/>
          <w:b/>
        </w:rPr>
        <w:t xml:space="preserve">de los indicadores de calidad </w:t>
      </w:r>
      <w:r w:rsidRPr="00CB0C3E">
        <w:rPr>
          <w:rFonts w:ascii="Arial" w:hAnsi="Arial" w:cs="Arial"/>
          <w:b/>
        </w:rPr>
        <w:t>y los mecanismos de supervisión</w:t>
      </w:r>
      <w:r w:rsidRPr="00B16C50">
        <w:rPr>
          <w:rFonts w:ascii="Arial" w:hAnsi="Arial" w:cs="Arial"/>
        </w:rPr>
        <w:t>, de forma que se facilite una operación más coherente, eficiente y alineada con la realidad del personal técnico en campo.</w:t>
      </w:r>
    </w:p>
    <w:p w14:paraId="7F47D902" w14:textId="77777777" w:rsidR="00B16C50" w:rsidRDefault="005F13E5" w:rsidP="005F13E5">
      <w:pPr>
        <w:spacing w:after="0" w:line="240" w:lineRule="auto"/>
        <w:ind w:firstLine="567"/>
        <w:rPr>
          <w:rFonts w:ascii="Arial" w:hAnsi="Arial" w:cs="Arial"/>
          <w:b/>
        </w:rPr>
      </w:pPr>
      <w:r>
        <w:rPr>
          <w:rFonts w:ascii="Arial" w:hAnsi="Arial" w:cs="Arial"/>
          <w:b/>
        </w:rPr>
        <w:t>CUARTO</w:t>
      </w:r>
      <w:r w:rsidRPr="00C03384">
        <w:rPr>
          <w:rFonts w:ascii="Arial" w:hAnsi="Arial" w:cs="Arial"/>
          <w:b/>
        </w:rPr>
        <w:t xml:space="preserve">. </w:t>
      </w:r>
      <w:r w:rsidRPr="005E291D">
        <w:rPr>
          <w:rFonts w:ascii="Arial" w:hAnsi="Arial" w:cs="Arial"/>
          <w:b/>
        </w:rPr>
        <w:t>SOBRE EL MODELO DE COSTOS DE</w:t>
      </w:r>
      <w:r>
        <w:rPr>
          <w:rFonts w:ascii="Arial" w:hAnsi="Arial" w:cs="Arial"/>
          <w:b/>
        </w:rPr>
        <w:t xml:space="preserve"> RETAIL MINUS PARA LA OREDA 2026</w:t>
      </w:r>
      <w:r w:rsidRPr="00C03384">
        <w:rPr>
          <w:rFonts w:ascii="Arial" w:hAnsi="Arial" w:cs="Arial"/>
          <w:b/>
        </w:rPr>
        <w:t>.</w:t>
      </w:r>
    </w:p>
    <w:p w14:paraId="7F47D903" w14:textId="77777777" w:rsidR="00AC0FBE" w:rsidRDefault="00AC0FBE" w:rsidP="005F13E5">
      <w:pPr>
        <w:spacing w:after="0" w:line="240" w:lineRule="auto"/>
        <w:ind w:firstLine="567"/>
        <w:rPr>
          <w:rFonts w:ascii="Arial" w:hAnsi="Arial" w:cs="Arial"/>
          <w:b/>
        </w:rPr>
      </w:pPr>
    </w:p>
    <w:p w14:paraId="7F47D904" w14:textId="77777777" w:rsidR="00B81C37" w:rsidRPr="005E291D" w:rsidRDefault="00B81C37" w:rsidP="00B81C37">
      <w:pPr>
        <w:ind w:left="567" w:right="594"/>
        <w:jc w:val="both"/>
        <w:rPr>
          <w:rFonts w:ascii="Arial" w:hAnsi="Arial" w:cs="Arial"/>
        </w:rPr>
      </w:pPr>
      <w:r w:rsidRPr="005E291D">
        <w:rPr>
          <w:rFonts w:ascii="Arial" w:hAnsi="Arial" w:cs="Arial"/>
        </w:rPr>
        <w:t>Es importante señalar que los servicios de telecomunicaciones que Telmex ofrece a sus clientes finales han mantenido precios fijos, contrario a los aumentos frecuentes de tarifas a los que recurre la competencia. Lo primero, por un lado, implica un beneficio evidente hacia el mercado y en términos reales se traduce en reducciones importantes en los precios que los usuarios finales pagan. Por otro lado, estos servicios constantemente muestran mejores y más beneficios, como aumentos de velocidad</w:t>
      </w:r>
      <w:r>
        <w:t xml:space="preserve"> </w:t>
      </w:r>
      <w:r w:rsidRPr="005E291D">
        <w:rPr>
          <w:rFonts w:ascii="Arial" w:hAnsi="Arial" w:cs="Arial"/>
        </w:rPr>
        <w:t xml:space="preserve">y simetrías en las velocidades de subida y bajada, lo que también significa un decremento directo en el precio por </w:t>
      </w:r>
      <w:proofErr w:type="spellStart"/>
      <w:r w:rsidRPr="005E291D">
        <w:rPr>
          <w:rFonts w:ascii="Arial" w:hAnsi="Arial" w:cs="Arial"/>
        </w:rPr>
        <w:t>Mpbs</w:t>
      </w:r>
      <w:proofErr w:type="spellEnd"/>
      <w:r w:rsidRPr="005E291D">
        <w:rPr>
          <w:rFonts w:ascii="Arial" w:hAnsi="Arial" w:cs="Arial"/>
        </w:rPr>
        <w:t>. Estos beneficios también se trasladan directamente al servicio mayorista de reventa de internet y paquetes, es decir, a los competidores de Telmex y a sus clientes, ya que a través de la Oferta obtienen descuentos importantes. Sin embargo, los beneficios descritos previamente no son considerados por el modelo de costos evitados, pues este no pondera ni por las mejoras en aumentos de velocidades de bajada y subida y simetría de la oferta comercial que modela, ni por la preservación constante de precios año con año.</w:t>
      </w:r>
    </w:p>
    <w:p w14:paraId="7F47D905" w14:textId="77777777" w:rsidR="00B81C37" w:rsidRDefault="00B81C37" w:rsidP="00B81C37">
      <w:pPr>
        <w:ind w:left="567" w:right="594"/>
        <w:jc w:val="both"/>
        <w:rPr>
          <w:rFonts w:ascii="Arial" w:hAnsi="Arial" w:cs="Arial"/>
        </w:rPr>
      </w:pPr>
      <w:r w:rsidRPr="005E291D">
        <w:rPr>
          <w:rFonts w:ascii="Arial" w:hAnsi="Arial" w:cs="Arial"/>
        </w:rPr>
        <w:lastRenderedPageBreak/>
        <w:t xml:space="preserve">Por otro lado, la experiencia internacional, principalmente en la Unión Europea, muestra cómo los reguladores tienden a dejar de implementar mecanismos como el de </w:t>
      </w:r>
      <w:proofErr w:type="spellStart"/>
      <w:r w:rsidRPr="005E291D">
        <w:rPr>
          <w:rFonts w:ascii="Arial" w:hAnsi="Arial" w:cs="Arial"/>
          <w:i/>
          <w:iCs/>
        </w:rPr>
        <w:t>retail</w:t>
      </w:r>
      <w:proofErr w:type="spellEnd"/>
      <w:r w:rsidRPr="005E291D">
        <w:rPr>
          <w:rFonts w:ascii="Arial" w:hAnsi="Arial" w:cs="Arial"/>
          <w:i/>
          <w:iCs/>
        </w:rPr>
        <w:t xml:space="preserve"> </w:t>
      </w:r>
      <w:proofErr w:type="spellStart"/>
      <w:r w:rsidRPr="005E291D">
        <w:rPr>
          <w:rFonts w:ascii="Arial" w:hAnsi="Arial" w:cs="Arial"/>
          <w:i/>
          <w:iCs/>
        </w:rPr>
        <w:t>minus</w:t>
      </w:r>
      <w:proofErr w:type="spellEnd"/>
      <w:r>
        <w:rPr>
          <w:rStyle w:val="Refdenotaalpie"/>
        </w:rPr>
        <w:footnoteReference w:id="1"/>
      </w:r>
      <w:r>
        <w:rPr>
          <w:i/>
          <w:iCs/>
        </w:rPr>
        <w:t xml:space="preserve"> </w:t>
      </w:r>
      <w:r w:rsidRPr="005E291D">
        <w:rPr>
          <w:rFonts w:ascii="Arial" w:hAnsi="Arial" w:cs="Arial"/>
        </w:rPr>
        <w:t>o incluso, desregular. En el mismo sentido, el solo hecho de considerar los costos en los que realmente incurre Telmex</w:t>
      </w:r>
      <w:r w:rsidRPr="00AC0FBE">
        <w:rPr>
          <w:rFonts w:ascii="Arial" w:hAnsi="Arial" w:cs="Arial"/>
          <w:b/>
        </w:rPr>
        <w:t>, sin recurrir a una metodología de precios implícitos</w:t>
      </w:r>
      <w:r w:rsidRPr="005E291D">
        <w:rPr>
          <w:rFonts w:ascii="Arial" w:hAnsi="Arial" w:cs="Arial"/>
        </w:rPr>
        <w:t>, la cual resulta exógena a la de costos evitados e incrementa arbitrariamente el descuento, reconocería la estabilidad de los precios de Telmex en su oferta comercial y los beneficios adicionales en servicios de internet en cuanto a mejores y mayores velocidades.</w:t>
      </w:r>
    </w:p>
    <w:p w14:paraId="7F47D906" w14:textId="77777777" w:rsidR="00C943A8" w:rsidRDefault="00C943A8">
      <w:pPr>
        <w:rPr>
          <w:rFonts w:ascii="Arial" w:hAnsi="Arial" w:cs="Arial"/>
        </w:rPr>
        <w:sectPr w:rsidR="00C943A8" w:rsidSect="00C943A8">
          <w:footerReference w:type="default" r:id="rId11"/>
          <w:pgSz w:w="12240" w:h="20160" w:code="5"/>
          <w:pgMar w:top="720" w:right="720" w:bottom="720" w:left="720" w:header="709" w:footer="709" w:gutter="0"/>
          <w:cols w:space="708"/>
          <w:docGrid w:linePitch="360"/>
        </w:sectPr>
      </w:pPr>
    </w:p>
    <w:p w14:paraId="7F47D907" w14:textId="77777777" w:rsidR="00C943A8" w:rsidRDefault="00C943A8">
      <w:pPr>
        <w:rPr>
          <w:rFonts w:ascii="Arial" w:hAnsi="Arial" w:cs="Arial"/>
        </w:rPr>
      </w:pPr>
      <w:r>
        <w:rPr>
          <w:rFonts w:ascii="Arial" w:hAnsi="Arial" w:cs="Arial"/>
        </w:rPr>
        <w:lastRenderedPageBreak/>
        <w:br w:type="page"/>
      </w:r>
    </w:p>
    <w:p w14:paraId="7F47D908" w14:textId="77777777" w:rsidR="00B81C37" w:rsidRDefault="00B81C37" w:rsidP="00B81C37">
      <w:pPr>
        <w:ind w:left="567" w:right="594"/>
        <w:jc w:val="both"/>
        <w:rPr>
          <w:rFonts w:ascii="Arial" w:hAnsi="Arial" w:cs="Arial"/>
        </w:rPr>
      </w:pPr>
    </w:p>
    <w:p w14:paraId="7F47D909" w14:textId="77777777" w:rsidR="00B81C37" w:rsidRPr="00B81C37" w:rsidRDefault="00B81C37" w:rsidP="00B81C37">
      <w:pPr>
        <w:ind w:left="567" w:right="594"/>
        <w:jc w:val="center"/>
        <w:rPr>
          <w:rFonts w:ascii="Arial" w:hAnsi="Arial" w:cs="Arial"/>
          <w:b/>
          <w:sz w:val="26"/>
          <w:szCs w:val="26"/>
        </w:rPr>
      </w:pPr>
      <w:r w:rsidRPr="00B81C37">
        <w:rPr>
          <w:rFonts w:ascii="Arial" w:hAnsi="Arial" w:cs="Arial"/>
          <w:b/>
          <w:sz w:val="26"/>
          <w:szCs w:val="26"/>
        </w:rPr>
        <w:t>CONSIDERACIONES P</w:t>
      </w:r>
      <w:r>
        <w:rPr>
          <w:rFonts w:ascii="Arial" w:hAnsi="Arial" w:cs="Arial"/>
          <w:b/>
          <w:sz w:val="26"/>
          <w:szCs w:val="26"/>
        </w:rPr>
        <w:t>ARTICULARES</w:t>
      </w:r>
    </w:p>
    <w:tbl>
      <w:tblPr>
        <w:tblpPr w:leftFromText="141" w:rightFromText="141" w:vertAnchor="text" w:tblpY="1"/>
        <w:tblOverlap w:val="neve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4"/>
        <w:gridCol w:w="1806"/>
        <w:gridCol w:w="1674"/>
        <w:gridCol w:w="6946"/>
        <w:gridCol w:w="7370"/>
      </w:tblGrid>
      <w:tr w:rsidR="00AF1674" w:rsidRPr="00C83E51" w14:paraId="7F47D90F" w14:textId="77777777" w:rsidTr="00466FA2">
        <w:trPr>
          <w:trHeight w:val="346"/>
          <w:tblHeader/>
        </w:trPr>
        <w:tc>
          <w:tcPr>
            <w:tcW w:w="132" w:type="pct"/>
            <w:shd w:val="clear" w:color="auto" w:fill="1F497D" w:themeFill="text2"/>
            <w:vAlign w:val="center"/>
          </w:tcPr>
          <w:p w14:paraId="7F47D90A" w14:textId="77777777" w:rsidR="00DE0749" w:rsidRPr="00DE0749" w:rsidRDefault="00DE0749" w:rsidP="001D14D5">
            <w:pPr>
              <w:spacing w:after="0" w:line="240" w:lineRule="auto"/>
              <w:rPr>
                <w:rFonts w:ascii="Arial" w:eastAsia="Times New Roman" w:hAnsi="Arial" w:cs="Arial"/>
                <w:color w:val="FFFFFF" w:themeColor="background1"/>
                <w:szCs w:val="24"/>
                <w:lang w:eastAsia="es-MX"/>
              </w:rPr>
            </w:pPr>
            <w:r w:rsidRPr="00DE0749">
              <w:rPr>
                <w:rFonts w:ascii="Arial" w:eastAsia="Times New Roman" w:hAnsi="Arial" w:cs="Arial"/>
                <w:color w:val="FFFFFF" w:themeColor="background1"/>
                <w:szCs w:val="24"/>
                <w:lang w:eastAsia="es-MX"/>
              </w:rPr>
              <w:t>No.</w:t>
            </w:r>
          </w:p>
        </w:tc>
        <w:tc>
          <w:tcPr>
            <w:tcW w:w="494" w:type="pct"/>
            <w:shd w:val="clear" w:color="auto" w:fill="1F497D" w:themeFill="text2"/>
            <w:vAlign w:val="center"/>
          </w:tcPr>
          <w:p w14:paraId="7F47D90B" w14:textId="77777777" w:rsidR="00DE0749" w:rsidRPr="00DE0749" w:rsidRDefault="00DE0749" w:rsidP="001D14D5">
            <w:pPr>
              <w:spacing w:after="0" w:line="240" w:lineRule="auto"/>
              <w:jc w:val="center"/>
              <w:rPr>
                <w:rFonts w:ascii="Arial" w:eastAsia="Times New Roman" w:hAnsi="Arial" w:cs="Arial"/>
                <w:color w:val="FFFFFF" w:themeColor="background1"/>
                <w:szCs w:val="24"/>
                <w:lang w:eastAsia="es-MX"/>
              </w:rPr>
            </w:pPr>
            <w:r w:rsidRPr="00DE0749">
              <w:rPr>
                <w:rFonts w:ascii="Arial" w:eastAsia="Times New Roman" w:hAnsi="Arial" w:cs="Arial"/>
                <w:b/>
                <w:bCs/>
                <w:color w:val="FFFFFF" w:themeColor="background1"/>
                <w:szCs w:val="24"/>
                <w:lang w:eastAsia="es-MX"/>
              </w:rPr>
              <w:t>Numeral Oferta</w:t>
            </w:r>
          </w:p>
        </w:tc>
        <w:tc>
          <w:tcPr>
            <w:tcW w:w="458" w:type="pct"/>
            <w:shd w:val="clear" w:color="auto" w:fill="1F497D" w:themeFill="text2"/>
            <w:vAlign w:val="center"/>
          </w:tcPr>
          <w:p w14:paraId="7F47D90C" w14:textId="77777777" w:rsidR="00DE0749" w:rsidRPr="00DE0749" w:rsidRDefault="00DE0749" w:rsidP="001D14D5">
            <w:pPr>
              <w:spacing w:after="0" w:line="240" w:lineRule="auto"/>
              <w:jc w:val="center"/>
              <w:rPr>
                <w:rFonts w:ascii="Arial" w:eastAsia="Times New Roman" w:hAnsi="Arial" w:cs="Arial"/>
                <w:b/>
                <w:bCs/>
                <w:color w:val="FFFFFF" w:themeColor="background1"/>
                <w:szCs w:val="24"/>
                <w:lang w:eastAsia="es-MX"/>
              </w:rPr>
            </w:pPr>
            <w:r w:rsidRPr="00DE0749">
              <w:rPr>
                <w:rFonts w:ascii="Arial" w:eastAsia="Times New Roman" w:hAnsi="Arial" w:cs="Arial"/>
                <w:b/>
                <w:bCs/>
                <w:color w:val="FFFFFF" w:themeColor="background1"/>
                <w:szCs w:val="24"/>
                <w:lang w:eastAsia="es-MX"/>
              </w:rPr>
              <w:t>Tema</w:t>
            </w:r>
          </w:p>
        </w:tc>
        <w:tc>
          <w:tcPr>
            <w:tcW w:w="1900" w:type="pct"/>
            <w:shd w:val="clear" w:color="auto" w:fill="1F497D" w:themeFill="text2"/>
            <w:vAlign w:val="center"/>
          </w:tcPr>
          <w:p w14:paraId="7F47D90D" w14:textId="77777777" w:rsidR="00DE0749" w:rsidRPr="00DE0749" w:rsidRDefault="00DE0749" w:rsidP="001D14D5">
            <w:pPr>
              <w:spacing w:after="0" w:line="240" w:lineRule="auto"/>
              <w:jc w:val="center"/>
              <w:rPr>
                <w:rFonts w:ascii="Arial" w:eastAsia="Times New Roman" w:hAnsi="Arial" w:cs="Arial"/>
                <w:b/>
                <w:bCs/>
                <w:color w:val="FFFFFF" w:themeColor="background1"/>
                <w:szCs w:val="24"/>
                <w:lang w:eastAsia="es-MX"/>
              </w:rPr>
            </w:pPr>
            <w:r w:rsidRPr="00DE0749">
              <w:rPr>
                <w:rFonts w:ascii="Arial" w:eastAsia="Times New Roman" w:hAnsi="Arial" w:cs="Arial"/>
                <w:b/>
                <w:bCs/>
                <w:color w:val="FFFFFF" w:themeColor="background1"/>
                <w:szCs w:val="24"/>
                <w:lang w:eastAsia="es-MX"/>
              </w:rPr>
              <w:t>Modificación</w:t>
            </w:r>
          </w:p>
        </w:tc>
        <w:tc>
          <w:tcPr>
            <w:tcW w:w="2016" w:type="pct"/>
            <w:tcBorders>
              <w:bottom w:val="single" w:sz="4" w:space="0" w:color="000000" w:themeColor="text1"/>
            </w:tcBorders>
            <w:shd w:val="clear" w:color="auto" w:fill="1F497D" w:themeFill="text2"/>
          </w:tcPr>
          <w:p w14:paraId="7F47D90E" w14:textId="77777777" w:rsidR="00DE0749" w:rsidRPr="00DE0749" w:rsidRDefault="00DE0749" w:rsidP="001D14D5">
            <w:pPr>
              <w:spacing w:after="0" w:line="240" w:lineRule="auto"/>
              <w:jc w:val="center"/>
              <w:rPr>
                <w:rFonts w:ascii="Arial" w:eastAsia="Times New Roman" w:hAnsi="Arial" w:cs="Arial"/>
                <w:b/>
                <w:bCs/>
                <w:color w:val="FFFFFF" w:themeColor="background1"/>
                <w:sz w:val="18"/>
                <w:szCs w:val="18"/>
                <w:lang w:eastAsia="es-MX"/>
              </w:rPr>
            </w:pPr>
            <w:r w:rsidRPr="00DE0749">
              <w:rPr>
                <w:rFonts w:ascii="Arial" w:eastAsia="Times New Roman" w:hAnsi="Arial" w:cs="Arial"/>
                <w:b/>
                <w:bCs/>
                <w:color w:val="FFFFFF" w:themeColor="background1"/>
                <w:sz w:val="18"/>
                <w:szCs w:val="18"/>
                <w:lang w:eastAsia="es-MX"/>
              </w:rPr>
              <w:t>Justificación</w:t>
            </w:r>
          </w:p>
        </w:tc>
      </w:tr>
      <w:tr w:rsidR="00AF1674" w:rsidRPr="00C83E51" w14:paraId="7F47D91D" w14:textId="77777777" w:rsidTr="00466FA2">
        <w:trPr>
          <w:trHeight w:val="1052"/>
        </w:trPr>
        <w:tc>
          <w:tcPr>
            <w:tcW w:w="132" w:type="pct"/>
            <w:vAlign w:val="center"/>
          </w:tcPr>
          <w:p w14:paraId="7F47D910" w14:textId="77777777" w:rsidR="00DE0749" w:rsidRDefault="00DE0749"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t>1</w:t>
            </w:r>
          </w:p>
        </w:tc>
        <w:tc>
          <w:tcPr>
            <w:tcW w:w="494" w:type="pct"/>
            <w:vAlign w:val="center"/>
          </w:tcPr>
          <w:p w14:paraId="7F47D911" w14:textId="77777777" w:rsidR="00DE0749" w:rsidRDefault="00DE0749" w:rsidP="00E10DDC">
            <w:pPr>
              <w:pStyle w:val="1TitPrin"/>
              <w:framePr w:hSpace="0" w:wrap="auto" w:vAnchor="margin" w:yAlign="inline"/>
              <w:suppressOverlap w:val="0"/>
            </w:pPr>
            <w:r>
              <w:t>1.Introduccion y generales</w:t>
            </w:r>
          </w:p>
          <w:p w14:paraId="7F47D912" w14:textId="77777777" w:rsidR="00DE0749" w:rsidRPr="00ED50A1" w:rsidRDefault="00DE0749" w:rsidP="00E10DDC">
            <w:pPr>
              <w:pStyle w:val="1TitPrin"/>
              <w:framePr w:hSpace="0" w:wrap="auto" w:vAnchor="margin" w:yAlign="inline"/>
              <w:suppressOverlap w:val="0"/>
            </w:pPr>
            <w:r>
              <w:t xml:space="preserve"> </w:t>
            </w:r>
          </w:p>
        </w:tc>
        <w:tc>
          <w:tcPr>
            <w:tcW w:w="458" w:type="pct"/>
            <w:shd w:val="clear" w:color="auto" w:fill="auto"/>
            <w:vAlign w:val="center"/>
          </w:tcPr>
          <w:p w14:paraId="7F47D913" w14:textId="77777777" w:rsidR="00DE0749" w:rsidRPr="00C83E51" w:rsidRDefault="00DE0749" w:rsidP="001D14D5">
            <w:pPr>
              <w:spacing w:after="0" w:line="240" w:lineRule="auto"/>
              <w:jc w:val="center"/>
              <w:rPr>
                <w:rFonts w:ascii="Arial" w:eastAsia="Times New Roman" w:hAnsi="Arial" w:cs="Arial"/>
                <w:b/>
                <w:bCs/>
                <w:i/>
                <w:iCs/>
                <w:sz w:val="20"/>
                <w:szCs w:val="20"/>
                <w:lang w:eastAsia="es-MX"/>
              </w:rPr>
            </w:pPr>
            <w:r>
              <w:rPr>
                <w:rFonts w:ascii="Arial" w:eastAsia="Times New Roman" w:hAnsi="Arial" w:cs="Arial"/>
                <w:b/>
                <w:bCs/>
                <w:i/>
                <w:iCs/>
                <w:sz w:val="20"/>
                <w:szCs w:val="20"/>
                <w:lang w:eastAsia="es-MX"/>
              </w:rPr>
              <w:t>Cobertura</w:t>
            </w:r>
          </w:p>
        </w:tc>
        <w:tc>
          <w:tcPr>
            <w:tcW w:w="1900" w:type="pct"/>
            <w:shd w:val="clear" w:color="auto" w:fill="auto"/>
            <w:vAlign w:val="center"/>
          </w:tcPr>
          <w:p w14:paraId="7F47D914" w14:textId="77777777" w:rsidR="00DE0749" w:rsidRPr="00F67814" w:rsidRDefault="00DE0749" w:rsidP="00E10DDC">
            <w:pPr>
              <w:pStyle w:val="1TitPrin"/>
              <w:framePr w:hSpace="0" w:wrap="auto" w:vAnchor="margin" w:yAlign="inline"/>
              <w:suppressOverlap w:val="0"/>
            </w:pPr>
            <w:r w:rsidRPr="00F67814">
              <w:t>1.Introduccion y generales</w:t>
            </w:r>
          </w:p>
          <w:p w14:paraId="7F47D915" w14:textId="77777777" w:rsidR="00DE0749" w:rsidRPr="00F67814" w:rsidRDefault="00DE0749" w:rsidP="001D14D5">
            <w:pPr>
              <w:pStyle w:val="IFTnormal"/>
              <w:spacing w:after="0"/>
              <w:rPr>
                <w:rFonts w:ascii="Arial" w:hAnsi="Arial" w:cs="Arial"/>
                <w:sz w:val="18"/>
                <w:szCs w:val="18"/>
              </w:rPr>
            </w:pPr>
            <w:r w:rsidRPr="00F67814">
              <w:rPr>
                <w:rFonts w:ascii="Arial" w:hAnsi="Arial" w:cs="Arial"/>
                <w:sz w:val="18"/>
                <w:szCs w:val="18"/>
              </w:rPr>
              <w:t>…</w:t>
            </w:r>
          </w:p>
          <w:p w14:paraId="7F47D916" w14:textId="77777777" w:rsidR="00DE0749" w:rsidRPr="00F67814" w:rsidRDefault="00DE0749" w:rsidP="001D14D5">
            <w:pPr>
              <w:pStyle w:val="IFTnormal"/>
              <w:spacing w:after="0"/>
              <w:rPr>
                <w:rFonts w:ascii="Arial" w:hAnsi="Arial" w:cs="Arial"/>
                <w:sz w:val="18"/>
                <w:szCs w:val="18"/>
              </w:rPr>
            </w:pPr>
          </w:p>
          <w:p w14:paraId="7F47D917" w14:textId="77777777" w:rsidR="00DE0749" w:rsidRPr="00F67814" w:rsidRDefault="00DE0749" w:rsidP="001D14D5">
            <w:pPr>
              <w:pStyle w:val="IFTnormal"/>
              <w:spacing w:after="0"/>
              <w:rPr>
                <w:rFonts w:ascii="Arial" w:hAnsi="Arial" w:cs="Arial"/>
                <w:sz w:val="18"/>
                <w:szCs w:val="18"/>
              </w:rPr>
            </w:pPr>
            <w:r w:rsidRPr="00F67814">
              <w:rPr>
                <w:rFonts w:ascii="Arial" w:hAnsi="Arial" w:cs="Arial"/>
                <w:sz w:val="18"/>
                <w:szCs w:val="18"/>
              </w:rPr>
              <w:t xml:space="preserve">Todos los servicios de Desagregación se prestan </w:t>
            </w:r>
            <w:r w:rsidRPr="00F67814">
              <w:rPr>
                <w:rFonts w:ascii="Arial" w:hAnsi="Arial" w:cs="Arial"/>
                <w:strike/>
                <w:color w:val="FF0000"/>
                <w:sz w:val="18"/>
                <w:szCs w:val="18"/>
              </w:rPr>
              <w:t>a nivel nacional</w:t>
            </w:r>
            <w:r w:rsidRPr="00F67814">
              <w:rPr>
                <w:rFonts w:ascii="Arial" w:hAnsi="Arial" w:cs="Arial"/>
                <w:color w:val="FF0000"/>
                <w:sz w:val="18"/>
                <w:szCs w:val="18"/>
              </w:rPr>
              <w:t xml:space="preserve"> </w:t>
            </w:r>
            <w:r w:rsidRPr="00F67814">
              <w:rPr>
                <w:rFonts w:ascii="Arial" w:hAnsi="Arial" w:cs="Arial"/>
                <w:b/>
                <w:color w:val="0070C0"/>
                <w:sz w:val="18"/>
                <w:szCs w:val="18"/>
              </w:rPr>
              <w:t>conforme a la cobertura autorizada en los Titulas de Concesión de Telmex / Telnor</w:t>
            </w:r>
            <w:r w:rsidRPr="00F67814">
              <w:rPr>
                <w:rFonts w:ascii="Arial" w:hAnsi="Arial" w:cs="Arial"/>
                <w:sz w:val="18"/>
                <w:szCs w:val="18"/>
              </w:rPr>
              <w:t>, junto con sus servicios auxiliares asociados.</w:t>
            </w:r>
          </w:p>
          <w:p w14:paraId="7F47D918" w14:textId="77777777" w:rsidR="00DE0749" w:rsidRPr="001626A0" w:rsidRDefault="00DE0749" w:rsidP="001D14D5">
            <w:pPr>
              <w:pStyle w:val="IFTnormal"/>
              <w:spacing w:after="0"/>
              <w:rPr>
                <w:rFonts w:ascii="Arial" w:hAnsi="Arial" w:cs="Arial"/>
                <w:sz w:val="16"/>
                <w:szCs w:val="20"/>
              </w:rPr>
            </w:pPr>
          </w:p>
          <w:p w14:paraId="7F47D919" w14:textId="77777777" w:rsidR="00DE0749" w:rsidRPr="00EF0AB1" w:rsidRDefault="00DE0749" w:rsidP="00907852">
            <w:pPr>
              <w:pStyle w:val="IFTnormal"/>
              <w:spacing w:after="0" w:line="240" w:lineRule="auto"/>
              <w:rPr>
                <w:rFonts w:asciiTheme="minorHAnsi" w:hAnsiTheme="minorHAnsi" w:cstheme="minorHAnsi"/>
                <w:szCs w:val="20"/>
              </w:rPr>
            </w:pPr>
          </w:p>
        </w:tc>
        <w:tc>
          <w:tcPr>
            <w:tcW w:w="2016" w:type="pct"/>
            <w:tcBorders>
              <w:top w:val="single" w:sz="4" w:space="0" w:color="000000" w:themeColor="text1"/>
            </w:tcBorders>
          </w:tcPr>
          <w:p w14:paraId="7F47D91A" w14:textId="77777777" w:rsidR="00DE0749" w:rsidRPr="00F735AE" w:rsidRDefault="00DE0749" w:rsidP="00E10DDC">
            <w:pPr>
              <w:pStyle w:val="1TitPrin"/>
              <w:framePr w:hSpace="0" w:wrap="auto" w:vAnchor="margin" w:yAlign="inline"/>
              <w:suppressOverlap w:val="0"/>
            </w:pPr>
          </w:p>
          <w:p w14:paraId="7F47D91B" w14:textId="77777777" w:rsidR="00DE0749" w:rsidRPr="00DC0C7F" w:rsidRDefault="00DE0749" w:rsidP="00E10DDC">
            <w:pPr>
              <w:pStyle w:val="1TitPrin"/>
              <w:framePr w:hSpace="0" w:wrap="auto" w:vAnchor="margin" w:yAlign="inline"/>
              <w:suppressOverlap w:val="0"/>
            </w:pPr>
            <w:r w:rsidRPr="00DC0C7F">
              <w:t>Se propone redacción para establecer los alcances de cobertura conforme a los Títulos de Concesión de Telmex y Telnor. La prestación de los servicios de Desagregación está sujeta a la cobertura de la red así como la disponibilidad de facilidades.</w:t>
            </w:r>
          </w:p>
          <w:p w14:paraId="7F47D91C" w14:textId="77777777" w:rsidR="00EC122D" w:rsidRPr="00291DC2" w:rsidRDefault="00EC122D" w:rsidP="00E10DDC">
            <w:pPr>
              <w:pStyle w:val="1TitPrin"/>
              <w:framePr w:hSpace="0" w:wrap="auto" w:vAnchor="margin" w:yAlign="inline"/>
              <w:suppressOverlap w:val="0"/>
            </w:pPr>
          </w:p>
        </w:tc>
      </w:tr>
      <w:tr w:rsidR="00AF1674" w:rsidRPr="00C83E51" w14:paraId="7F47D93C" w14:textId="77777777" w:rsidTr="00466FA2">
        <w:trPr>
          <w:trHeight w:val="565"/>
        </w:trPr>
        <w:tc>
          <w:tcPr>
            <w:tcW w:w="132" w:type="pct"/>
            <w:vAlign w:val="center"/>
          </w:tcPr>
          <w:p w14:paraId="7F47D91E" w14:textId="77777777" w:rsidR="00DE0749" w:rsidRPr="00C83E51" w:rsidRDefault="00DE0749"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t>2</w:t>
            </w:r>
          </w:p>
        </w:tc>
        <w:tc>
          <w:tcPr>
            <w:tcW w:w="494" w:type="pct"/>
            <w:vAlign w:val="center"/>
          </w:tcPr>
          <w:p w14:paraId="7F47D91F" w14:textId="77777777" w:rsidR="00DE0749" w:rsidRPr="00ED50A1" w:rsidRDefault="00DE0749" w:rsidP="00E10DDC">
            <w:pPr>
              <w:pStyle w:val="1TitPrin"/>
              <w:framePr w:hSpace="0" w:wrap="auto" w:vAnchor="margin" w:yAlign="inline"/>
              <w:suppressOverlap w:val="0"/>
            </w:pPr>
            <w:r w:rsidRPr="00ED50A1">
              <w:t xml:space="preserve">1.2 Situación de la Acometida del  usuario final </w:t>
            </w:r>
          </w:p>
          <w:p w14:paraId="7F47D920" w14:textId="77777777" w:rsidR="00DE0749" w:rsidRPr="00C83E51" w:rsidRDefault="00DE0749" w:rsidP="00E10DDC">
            <w:pPr>
              <w:pStyle w:val="1TitPrin"/>
              <w:framePr w:hSpace="0" w:wrap="auto" w:vAnchor="margin" w:yAlign="inline"/>
              <w:suppressOverlap w:val="0"/>
            </w:pPr>
          </w:p>
        </w:tc>
        <w:tc>
          <w:tcPr>
            <w:tcW w:w="458" w:type="pct"/>
            <w:shd w:val="clear" w:color="auto" w:fill="auto"/>
            <w:vAlign w:val="center"/>
          </w:tcPr>
          <w:p w14:paraId="7F47D921" w14:textId="77777777" w:rsidR="00DE0749" w:rsidRPr="00C83E51" w:rsidRDefault="00DE0749" w:rsidP="001D14D5">
            <w:pPr>
              <w:spacing w:after="0" w:line="240" w:lineRule="auto"/>
              <w:jc w:val="center"/>
              <w:rPr>
                <w:rFonts w:ascii="Arial" w:eastAsia="Times New Roman" w:hAnsi="Arial" w:cs="Arial"/>
                <w:b/>
                <w:bCs/>
                <w:i/>
                <w:iCs/>
                <w:sz w:val="20"/>
                <w:szCs w:val="20"/>
                <w:lang w:eastAsia="es-MX"/>
              </w:rPr>
            </w:pPr>
            <w:r>
              <w:rPr>
                <w:rFonts w:ascii="Arial" w:eastAsia="Times New Roman" w:hAnsi="Arial" w:cs="Arial"/>
                <w:b/>
                <w:bCs/>
                <w:i/>
                <w:iCs/>
                <w:sz w:val="20"/>
                <w:szCs w:val="20"/>
                <w:lang w:eastAsia="es-MX"/>
              </w:rPr>
              <w:t>Visita en falso</w:t>
            </w:r>
            <w:r w:rsidRPr="00C83E51">
              <w:rPr>
                <w:rFonts w:ascii="Arial" w:eastAsia="Times New Roman" w:hAnsi="Arial" w:cs="Arial"/>
                <w:b/>
                <w:bCs/>
                <w:i/>
                <w:iCs/>
                <w:sz w:val="20"/>
                <w:szCs w:val="20"/>
                <w:lang w:eastAsia="es-MX"/>
              </w:rPr>
              <w:t xml:space="preserve"> </w:t>
            </w:r>
          </w:p>
        </w:tc>
        <w:tc>
          <w:tcPr>
            <w:tcW w:w="1900" w:type="pct"/>
            <w:shd w:val="clear" w:color="auto" w:fill="auto"/>
            <w:vAlign w:val="center"/>
          </w:tcPr>
          <w:p w14:paraId="7F47D922" w14:textId="77777777" w:rsidR="00DE0749" w:rsidRPr="00F67814" w:rsidRDefault="00DE0749" w:rsidP="001D14D5">
            <w:pPr>
              <w:jc w:val="both"/>
              <w:rPr>
                <w:rFonts w:ascii="Arial" w:hAnsi="Arial" w:cs="Arial"/>
                <w:bCs/>
                <w:color w:val="000000"/>
                <w:sz w:val="18"/>
                <w:szCs w:val="18"/>
              </w:rPr>
            </w:pPr>
            <w:r w:rsidRPr="00F67814">
              <w:rPr>
                <w:rFonts w:ascii="Arial" w:hAnsi="Arial" w:cs="Arial"/>
                <w:bCs/>
                <w:color w:val="000000"/>
                <w:sz w:val="18"/>
                <w:szCs w:val="18"/>
              </w:rPr>
              <w:t xml:space="preserve">1.2 </w:t>
            </w:r>
            <w:r w:rsidRPr="00F67814">
              <w:rPr>
                <w:rFonts w:ascii="Arial" w:hAnsi="Arial" w:cs="Arial"/>
                <w:bCs/>
                <w:color w:val="000000"/>
                <w:sz w:val="18"/>
                <w:szCs w:val="18"/>
              </w:rPr>
              <w:tab/>
              <w:t>Situación de la Acometida del usuario final.</w:t>
            </w:r>
          </w:p>
          <w:p w14:paraId="7F47D923" w14:textId="77777777" w:rsidR="00DE0749" w:rsidRPr="00F67814" w:rsidRDefault="00DE0749" w:rsidP="001626A0">
            <w:pPr>
              <w:pStyle w:val="Texto1"/>
              <w:spacing w:after="240" w:line="276" w:lineRule="auto"/>
              <w:ind w:left="0"/>
              <w:rPr>
                <w:rFonts w:ascii="Arial" w:hAnsi="Arial" w:cs="Arial"/>
                <w:strike/>
                <w:color w:val="FF0000"/>
                <w:sz w:val="18"/>
                <w:szCs w:val="18"/>
                <w:lang w:val="es-ES"/>
              </w:rPr>
            </w:pPr>
            <w:r w:rsidRPr="00F67814">
              <w:rPr>
                <w:rFonts w:ascii="Arial" w:hAnsi="Arial" w:cs="Arial"/>
                <w:sz w:val="18"/>
                <w:szCs w:val="18"/>
                <w:lang w:val="es-ES"/>
              </w:rPr>
              <w:t xml:space="preserve">La acometida al domicilio del usuario final </w:t>
            </w:r>
            <w:r w:rsidRPr="00F67814">
              <w:rPr>
                <w:rFonts w:ascii="Arial" w:hAnsi="Arial" w:cs="Arial"/>
                <w:sz w:val="18"/>
                <w:szCs w:val="18"/>
              </w:rPr>
              <w:t>constituye el último segmento de la red para la conexión de los servicios de desagregación</w:t>
            </w:r>
            <w:r w:rsidRPr="00F67814">
              <w:rPr>
                <w:rFonts w:ascii="Arial" w:hAnsi="Arial" w:cs="Arial"/>
                <w:sz w:val="18"/>
                <w:szCs w:val="18"/>
                <w:lang w:val="es-ES"/>
              </w:rPr>
              <w:t>,</w:t>
            </w:r>
            <w:r w:rsidRPr="00F67814">
              <w:rPr>
                <w:rFonts w:ascii="Arial" w:hAnsi="Arial" w:cs="Arial"/>
                <w:color w:val="FF0000"/>
                <w:sz w:val="18"/>
                <w:szCs w:val="18"/>
                <w:lang w:val="es-ES"/>
              </w:rPr>
              <w:t xml:space="preserve"> </w:t>
            </w:r>
            <w:r w:rsidRPr="00F67814">
              <w:rPr>
                <w:rFonts w:ascii="Arial" w:hAnsi="Arial" w:cs="Arial"/>
                <w:strike/>
                <w:color w:val="FF0000"/>
                <w:sz w:val="18"/>
                <w:szCs w:val="18"/>
                <w:lang w:val="es-ES"/>
              </w:rPr>
              <w:t>y a continuación se describe el alcance del servicio para los posibles escenarios que se pueden presentar.</w:t>
            </w:r>
          </w:p>
          <w:p w14:paraId="7F47D924" w14:textId="77777777" w:rsidR="00DE0749" w:rsidRPr="00F67814" w:rsidRDefault="00DE0749" w:rsidP="006971B4">
            <w:pPr>
              <w:pStyle w:val="Texto1"/>
              <w:numPr>
                <w:ilvl w:val="0"/>
                <w:numId w:val="11"/>
              </w:numPr>
              <w:spacing w:after="240" w:line="276" w:lineRule="auto"/>
              <w:ind w:left="583" w:hanging="284"/>
              <w:rPr>
                <w:rFonts w:ascii="Arial" w:hAnsi="Arial" w:cs="Arial"/>
                <w:strike/>
                <w:color w:val="FF0000"/>
                <w:sz w:val="18"/>
                <w:szCs w:val="18"/>
              </w:rPr>
            </w:pPr>
            <w:r w:rsidRPr="00F67814">
              <w:rPr>
                <w:rFonts w:ascii="Arial" w:hAnsi="Arial" w:cs="Arial"/>
                <w:strike/>
                <w:color w:val="FF0000"/>
                <w:sz w:val="18"/>
                <w:szCs w:val="18"/>
              </w:rPr>
              <w:t>Escenario en que existe acometida directa a la casa o edificio del usuario final y permite brindar los servicios solicitados por el CS, el servicio de desagregación se entregará con la acometida actual.</w:t>
            </w:r>
          </w:p>
          <w:p w14:paraId="7F47D925" w14:textId="77777777" w:rsidR="00DE0749" w:rsidRPr="00F67814" w:rsidRDefault="00DE0749" w:rsidP="006971B4">
            <w:pPr>
              <w:pStyle w:val="Prrafodelista"/>
              <w:numPr>
                <w:ilvl w:val="0"/>
                <w:numId w:val="11"/>
              </w:numPr>
              <w:ind w:left="583" w:hanging="284"/>
              <w:jc w:val="both"/>
              <w:rPr>
                <w:rFonts w:ascii="Arial" w:hAnsi="Arial" w:cs="Arial"/>
                <w:strike/>
                <w:color w:val="FF0000"/>
                <w:sz w:val="18"/>
                <w:szCs w:val="18"/>
              </w:rPr>
            </w:pPr>
            <w:r w:rsidRPr="00F67814">
              <w:rPr>
                <w:rFonts w:ascii="Arial" w:hAnsi="Arial" w:cs="Arial"/>
                <w:strike/>
                <w:color w:val="FF0000"/>
                <w:sz w:val="18"/>
                <w:szCs w:val="18"/>
              </w:rPr>
              <w:t>Escenarios donde no existe acometida directa a la casa o edificio del usuario final o la existente no permite brindar los servicios solicitados por el CS, el alcance del servicio incluirá la instalación de ésta, así como el DIT</w:t>
            </w:r>
            <w:r w:rsidRPr="00F67814">
              <w:rPr>
                <w:color w:val="FF0000"/>
                <w:sz w:val="18"/>
                <w:szCs w:val="18"/>
                <w:vertAlign w:val="superscript"/>
              </w:rPr>
              <w:footnoteReference w:id="2"/>
            </w:r>
            <w:r w:rsidRPr="00F67814">
              <w:rPr>
                <w:rFonts w:ascii="Arial" w:hAnsi="Arial" w:cs="Arial"/>
                <w:strike/>
                <w:color w:val="FF0000"/>
                <w:sz w:val="18"/>
                <w:szCs w:val="18"/>
                <w:vertAlign w:val="superscript"/>
              </w:rPr>
              <w:t>,</w:t>
            </w:r>
            <w:r w:rsidRPr="00F67814">
              <w:rPr>
                <w:rFonts w:ascii="Arial" w:hAnsi="Arial" w:cs="Arial"/>
                <w:strike/>
                <w:color w:val="FF0000"/>
                <w:sz w:val="18"/>
                <w:szCs w:val="18"/>
              </w:rPr>
              <w:t xml:space="preserve"> bajo las condiciones que técnicamente sean factibles y con cargo al CS, por lo que el servicio incluye el cableado necesario para cubrir la acometida de cobre (Bajante, DIT, Roseta) y para la acometida de fibra (Bajante óptico, Jumper, Roseta óptica)</w:t>
            </w:r>
          </w:p>
          <w:p w14:paraId="7F47D926" w14:textId="77777777" w:rsidR="00DE0749" w:rsidRPr="00F67814" w:rsidRDefault="00DE0749" w:rsidP="001F73DB">
            <w:pPr>
              <w:jc w:val="both"/>
              <w:rPr>
                <w:rFonts w:ascii="Arial" w:hAnsi="Arial" w:cs="Arial"/>
                <w:bCs/>
                <w:color w:val="000000"/>
                <w:sz w:val="18"/>
                <w:szCs w:val="18"/>
              </w:rPr>
            </w:pPr>
            <w:r w:rsidRPr="00F67814">
              <w:rPr>
                <w:rFonts w:ascii="Arial" w:hAnsi="Arial" w:cs="Arial"/>
                <w:bCs/>
                <w:color w:val="000000"/>
                <w:sz w:val="18"/>
                <w:szCs w:val="18"/>
              </w:rPr>
              <w:t>Cuando Telmex / Telnor provea la acometida o sea necesario que adecue la acometida existente, el CS deberá procurar que el usuario se encuentre en el domicilio, y que éste permitirá el acceso a Telmex / Telnor para la instalación del CIC que va acompañado con la instalación de la acometida para la entrega del servicio ya sea en cobre o fibra óptica.</w:t>
            </w:r>
            <w:r w:rsidRPr="00F67814">
              <w:rPr>
                <w:rFonts w:ascii="Arial" w:hAnsi="Arial" w:cs="Arial"/>
                <w:b/>
                <w:bCs/>
                <w:color w:val="000000"/>
                <w:sz w:val="18"/>
                <w:szCs w:val="18"/>
              </w:rPr>
              <w:t xml:space="preserve"> </w:t>
            </w:r>
            <w:r w:rsidRPr="00F67814">
              <w:rPr>
                <w:rFonts w:ascii="Arial" w:hAnsi="Arial" w:cs="Arial"/>
                <w:sz w:val="18"/>
                <w:szCs w:val="18"/>
                <w:lang w:val="es-ES"/>
              </w:rPr>
              <w:t xml:space="preserve">En caso de visita en falso se aplicará cobro al CS de </w:t>
            </w:r>
            <w:r w:rsidRPr="00F67814">
              <w:rPr>
                <w:rFonts w:ascii="Arial" w:hAnsi="Arial" w:cs="Arial"/>
                <w:sz w:val="18"/>
                <w:szCs w:val="18"/>
                <w:lang w:val="es-ES"/>
              </w:rPr>
              <w:lastRenderedPageBreak/>
              <w:t>acuerdo con lo establecido en esta Oferta</w:t>
            </w:r>
            <w:r w:rsidRPr="00F67814">
              <w:rPr>
                <w:rFonts w:ascii="Arial" w:hAnsi="Arial" w:cs="Arial"/>
                <w:b/>
                <w:bCs/>
                <w:color w:val="000000"/>
                <w:sz w:val="18"/>
                <w:szCs w:val="18"/>
              </w:rPr>
              <w:t xml:space="preserve">. </w:t>
            </w:r>
            <w:r w:rsidRPr="00F67814">
              <w:rPr>
                <w:rFonts w:ascii="Arial" w:hAnsi="Arial" w:cs="Arial"/>
                <w:bCs/>
                <w:color w:val="000000"/>
                <w:sz w:val="18"/>
                <w:szCs w:val="18"/>
              </w:rPr>
              <w:t>En caso de visita en falso o que no se instale la acometida por responsabilidad de Telmex / Telnor, éste se hará acreedor a la pena correspondiente según lo estipulado en el Anexo B.</w:t>
            </w:r>
            <w:r w:rsidRPr="00F67814">
              <w:rPr>
                <w:rFonts w:ascii="Arial" w:hAnsi="Arial" w:cs="Arial"/>
                <w:b/>
                <w:bCs/>
                <w:color w:val="000000"/>
                <w:sz w:val="18"/>
                <w:szCs w:val="18"/>
              </w:rPr>
              <w:t xml:space="preserve"> </w:t>
            </w:r>
            <w:r w:rsidRPr="00F67814">
              <w:rPr>
                <w:rFonts w:ascii="Arial" w:hAnsi="Arial" w:cs="Arial"/>
                <w:bCs/>
                <w:color w:val="000000"/>
                <w:sz w:val="18"/>
                <w:szCs w:val="18"/>
              </w:rPr>
              <w:t xml:space="preserve">Cuando se trate de un cambio de tecnología de cobre a fibra óptica, se considerará como modificación del servicio conforme al procedimiento  </w:t>
            </w:r>
            <w:r w:rsidRPr="00F67814">
              <w:rPr>
                <w:rFonts w:ascii="Arial" w:hAnsi="Arial" w:cs="Arial"/>
                <w:b/>
                <w:bCs/>
                <w:color w:val="0070C0"/>
                <w:sz w:val="18"/>
                <w:szCs w:val="18"/>
              </w:rPr>
              <w:t>y plazos</w:t>
            </w:r>
            <w:r w:rsidRPr="00F67814">
              <w:rPr>
                <w:rFonts w:ascii="Arial" w:hAnsi="Arial" w:cs="Arial"/>
                <w:bCs/>
                <w:color w:val="0070C0"/>
                <w:sz w:val="18"/>
                <w:szCs w:val="18"/>
              </w:rPr>
              <w:t xml:space="preserve">  </w:t>
            </w:r>
            <w:r w:rsidRPr="00F67814">
              <w:rPr>
                <w:rFonts w:ascii="Arial" w:hAnsi="Arial" w:cs="Arial"/>
                <w:b/>
                <w:bCs/>
                <w:color w:val="0070C0"/>
                <w:sz w:val="18"/>
                <w:szCs w:val="18"/>
              </w:rPr>
              <w:t>establecidos</w:t>
            </w:r>
            <w:r w:rsidRPr="00F67814">
              <w:rPr>
                <w:rFonts w:ascii="Arial" w:hAnsi="Arial" w:cs="Arial"/>
                <w:bCs/>
                <w:color w:val="0070C0"/>
                <w:sz w:val="18"/>
                <w:szCs w:val="18"/>
              </w:rPr>
              <w:t xml:space="preserve"> </w:t>
            </w:r>
            <w:r w:rsidRPr="00F67814">
              <w:rPr>
                <w:rFonts w:ascii="Arial" w:hAnsi="Arial" w:cs="Arial"/>
                <w:bCs/>
                <w:strike/>
                <w:color w:val="FF0000"/>
                <w:sz w:val="18"/>
                <w:szCs w:val="18"/>
              </w:rPr>
              <w:t>para cada servicio</w:t>
            </w:r>
            <w:r w:rsidRPr="00F67814">
              <w:rPr>
                <w:rFonts w:ascii="Arial" w:hAnsi="Arial" w:cs="Arial"/>
                <w:bCs/>
                <w:color w:val="FF0000"/>
                <w:sz w:val="18"/>
                <w:szCs w:val="18"/>
              </w:rPr>
              <w:t xml:space="preserve"> </w:t>
            </w:r>
            <w:r w:rsidRPr="00F67814">
              <w:rPr>
                <w:rFonts w:ascii="Arial" w:hAnsi="Arial" w:cs="Arial"/>
                <w:b/>
                <w:bCs/>
                <w:color w:val="0070C0"/>
                <w:sz w:val="18"/>
                <w:szCs w:val="18"/>
              </w:rPr>
              <w:t>para la contratación y entrega del numeral 4.7 de la presente Oferta</w:t>
            </w:r>
            <w:r w:rsidRPr="00F67814">
              <w:rPr>
                <w:rFonts w:ascii="Arial" w:hAnsi="Arial" w:cs="Arial"/>
                <w:bCs/>
                <w:color w:val="000000"/>
                <w:sz w:val="18"/>
                <w:szCs w:val="18"/>
              </w:rPr>
              <w:t xml:space="preserve">. </w:t>
            </w:r>
            <w:r w:rsidRPr="00F67814">
              <w:rPr>
                <w:rFonts w:ascii="Arial" w:hAnsi="Arial" w:cs="Arial"/>
                <w:bCs/>
                <w:sz w:val="18"/>
                <w:szCs w:val="18"/>
              </w:rPr>
              <w:t>Lo señalado en el presente numeral no será aplicable en caso de que: i) la acometida sea propiedad de un tercero o del CS; y/o ii) acuerdo entre las Partes</w:t>
            </w:r>
            <w:r w:rsidRPr="00F67814">
              <w:rPr>
                <w:rFonts w:ascii="Arial" w:hAnsi="Arial" w:cs="Arial"/>
                <w:bCs/>
                <w:color w:val="000000"/>
                <w:sz w:val="18"/>
                <w:szCs w:val="18"/>
              </w:rPr>
              <w:t>. En ambos casos, quien sea propietario de la acometida será sujeto de los derechos y obligaciones que respecto de ella se establecen en la OREDA.</w:t>
            </w:r>
          </w:p>
          <w:p w14:paraId="7F47D927" w14:textId="77777777" w:rsidR="001A27E6" w:rsidRPr="001A27E6" w:rsidRDefault="001A27E6" w:rsidP="001F73DB">
            <w:pPr>
              <w:jc w:val="both"/>
              <w:rPr>
                <w:rFonts w:ascii="Arial" w:hAnsi="Arial" w:cs="Arial"/>
                <w:bCs/>
                <w:strike/>
                <w:color w:val="000000"/>
                <w:sz w:val="20"/>
                <w:szCs w:val="20"/>
              </w:rPr>
            </w:pPr>
            <w:r w:rsidRPr="00F67814">
              <w:rPr>
                <w:rFonts w:ascii="Arial" w:hAnsi="Arial" w:cs="Arial"/>
                <w:bCs/>
                <w:strike/>
                <w:color w:val="FF0000"/>
                <w:sz w:val="18"/>
                <w:szCs w:val="20"/>
              </w:rPr>
              <w:t>Cuando el CS provea la acometida o adecue la existente tendrá bajo su responsabilidad todas las previsiones necesarias para su instalación incluyendo el CIC, cumpliendo con las condiciones y especificaciones técnicas para la entrega del servicio ya sea en cobre o fibra óptica.</w:t>
            </w:r>
          </w:p>
        </w:tc>
        <w:tc>
          <w:tcPr>
            <w:tcW w:w="2016" w:type="pct"/>
            <w:tcBorders>
              <w:top w:val="single" w:sz="4" w:space="0" w:color="000000" w:themeColor="text1"/>
            </w:tcBorders>
          </w:tcPr>
          <w:p w14:paraId="7F47D928" w14:textId="77777777" w:rsidR="00DE0749" w:rsidRPr="00F735AE" w:rsidRDefault="00DE0749" w:rsidP="00E10DDC">
            <w:pPr>
              <w:pStyle w:val="1TitPrin"/>
              <w:framePr w:hSpace="0" w:wrap="auto" w:vAnchor="margin" w:yAlign="inline"/>
              <w:suppressOverlap w:val="0"/>
            </w:pPr>
          </w:p>
          <w:p w14:paraId="7F47D929" w14:textId="77777777" w:rsidR="001A27E6" w:rsidRDefault="004951ED" w:rsidP="00E10DDC">
            <w:pPr>
              <w:pStyle w:val="1TitPrin"/>
              <w:framePr w:hSpace="0" w:wrap="auto" w:vAnchor="margin" w:yAlign="inline"/>
              <w:suppressOverlap w:val="0"/>
            </w:pPr>
            <w:r>
              <w:t>Se propone eliminar la descripción de los escenarios de acometida, ya sea nueva o existente, toda vez que, independientemente de su condición, los servicios de reventa son integrales e incluyen dicha acometida de forma implícita.</w:t>
            </w:r>
          </w:p>
          <w:p w14:paraId="7F47D92A" w14:textId="77777777" w:rsidR="001A27E6" w:rsidRDefault="001A27E6" w:rsidP="00E10DDC">
            <w:pPr>
              <w:pStyle w:val="1TitPrin"/>
              <w:framePr w:hSpace="0" w:wrap="auto" w:vAnchor="margin" w:yAlign="inline"/>
              <w:suppressOverlap w:val="0"/>
            </w:pPr>
          </w:p>
          <w:p w14:paraId="7F47D92B" w14:textId="77777777" w:rsidR="00CB0C3E" w:rsidRPr="00276C4D" w:rsidRDefault="00CB0C3E" w:rsidP="00E10DDC">
            <w:pPr>
              <w:pStyle w:val="1TitPrin"/>
              <w:framePr w:hSpace="0" w:wrap="auto" w:vAnchor="margin" w:yAlign="inline"/>
              <w:suppressOverlap w:val="0"/>
            </w:pPr>
          </w:p>
          <w:p w14:paraId="7F47D92C" w14:textId="77777777" w:rsidR="00DE0749" w:rsidRPr="00276C4D" w:rsidRDefault="00DE0749" w:rsidP="00E10DDC">
            <w:pPr>
              <w:pStyle w:val="1TitPrin"/>
              <w:framePr w:hSpace="0" w:wrap="auto" w:vAnchor="margin" w:yAlign="inline"/>
              <w:suppressOverlap w:val="0"/>
            </w:pPr>
          </w:p>
          <w:p w14:paraId="7F47D92D" w14:textId="77777777" w:rsidR="004951ED" w:rsidRDefault="004951ED" w:rsidP="00E10DDC">
            <w:pPr>
              <w:pStyle w:val="1TitPrin"/>
              <w:framePr w:hSpace="0" w:wrap="auto" w:vAnchor="margin" w:yAlign="inline"/>
              <w:suppressOverlap w:val="0"/>
            </w:pPr>
          </w:p>
          <w:p w14:paraId="7F47D92E" w14:textId="77777777" w:rsidR="004951ED" w:rsidRDefault="004951ED" w:rsidP="00E10DDC">
            <w:pPr>
              <w:pStyle w:val="1TitPrin"/>
              <w:framePr w:hSpace="0" w:wrap="auto" w:vAnchor="margin" w:yAlign="inline"/>
              <w:suppressOverlap w:val="0"/>
            </w:pPr>
          </w:p>
          <w:p w14:paraId="7F47D92F" w14:textId="77777777" w:rsidR="004951ED" w:rsidRDefault="004951ED" w:rsidP="00E10DDC">
            <w:pPr>
              <w:pStyle w:val="1TitPrin"/>
              <w:framePr w:hSpace="0" w:wrap="auto" w:vAnchor="margin" w:yAlign="inline"/>
              <w:suppressOverlap w:val="0"/>
            </w:pPr>
          </w:p>
          <w:p w14:paraId="7F47D930" w14:textId="77777777" w:rsidR="004951ED" w:rsidRDefault="004951ED" w:rsidP="00E10DDC">
            <w:pPr>
              <w:pStyle w:val="1TitPrin"/>
              <w:framePr w:hSpace="0" w:wrap="auto" w:vAnchor="margin" w:yAlign="inline"/>
              <w:suppressOverlap w:val="0"/>
            </w:pPr>
          </w:p>
          <w:p w14:paraId="7F47D931" w14:textId="77777777" w:rsidR="004951ED" w:rsidRDefault="004951ED" w:rsidP="00E10DDC">
            <w:pPr>
              <w:pStyle w:val="1TitPrin"/>
              <w:framePr w:hSpace="0" w:wrap="auto" w:vAnchor="margin" w:yAlign="inline"/>
              <w:suppressOverlap w:val="0"/>
            </w:pPr>
          </w:p>
          <w:p w14:paraId="7F47D932" w14:textId="77777777" w:rsidR="004951ED" w:rsidRDefault="004951ED" w:rsidP="00E10DDC">
            <w:pPr>
              <w:pStyle w:val="1TitPrin"/>
              <w:framePr w:hSpace="0" w:wrap="auto" w:vAnchor="margin" w:yAlign="inline"/>
              <w:suppressOverlap w:val="0"/>
            </w:pPr>
          </w:p>
          <w:p w14:paraId="7F47D933" w14:textId="77777777" w:rsidR="004951ED" w:rsidRDefault="00726C7C" w:rsidP="00E10DDC">
            <w:pPr>
              <w:pStyle w:val="1TitPrin"/>
              <w:framePr w:hSpace="0" w:wrap="auto" w:vAnchor="margin" w:yAlign="inline"/>
              <w:suppressOverlap w:val="0"/>
            </w:pPr>
            <w:r>
              <w:t>------</w:t>
            </w:r>
          </w:p>
          <w:p w14:paraId="7F47D934" w14:textId="77777777" w:rsidR="00DE0749" w:rsidRPr="00EC122D" w:rsidRDefault="004951ED" w:rsidP="00E10DDC">
            <w:pPr>
              <w:pStyle w:val="1TitPrin"/>
              <w:framePr w:hSpace="0" w:wrap="auto" w:vAnchor="margin" w:yAlign="inline"/>
              <w:suppressOverlap w:val="0"/>
            </w:pPr>
            <w:r>
              <w:t>S</w:t>
            </w:r>
            <w:r w:rsidR="00DE0749" w:rsidRPr="00EC122D">
              <w:t>e propone al Instituto aclarar que un cambio de tecnología requiere de la instalación de nueva acometida y provisión de equipo terminal (ONT), por lo tanto los plazos de atención deben ser los mismos que se aplican a una contratación nueva.</w:t>
            </w:r>
          </w:p>
          <w:p w14:paraId="7F47D935" w14:textId="77777777" w:rsidR="00EC122D" w:rsidRPr="001A27E6" w:rsidRDefault="00EC122D" w:rsidP="00E10DDC">
            <w:pPr>
              <w:pStyle w:val="1TitPrin"/>
              <w:framePr w:hSpace="0" w:wrap="auto" w:vAnchor="margin" w:yAlign="inline"/>
              <w:suppressOverlap w:val="0"/>
            </w:pPr>
          </w:p>
          <w:p w14:paraId="7F47D936" w14:textId="77777777" w:rsidR="001A27E6" w:rsidRDefault="001A27E6" w:rsidP="00DC0C7F">
            <w:pPr>
              <w:pStyle w:val="Textocomentario"/>
              <w:jc w:val="both"/>
            </w:pPr>
          </w:p>
          <w:p w14:paraId="7F47D937" w14:textId="77777777" w:rsidR="001A27E6" w:rsidRDefault="001A27E6" w:rsidP="00DC0C7F">
            <w:pPr>
              <w:pStyle w:val="Textocomentario"/>
              <w:jc w:val="both"/>
            </w:pPr>
          </w:p>
          <w:p w14:paraId="7F47D938" w14:textId="77777777" w:rsidR="001A27E6" w:rsidRDefault="001A27E6" w:rsidP="00DC0C7F">
            <w:pPr>
              <w:pStyle w:val="Textocomentario"/>
              <w:jc w:val="both"/>
            </w:pPr>
          </w:p>
          <w:p w14:paraId="7F47D939" w14:textId="77777777" w:rsidR="00CB0C3E" w:rsidRDefault="00CB0C3E" w:rsidP="00DC0C7F">
            <w:pPr>
              <w:pStyle w:val="Textocomentario"/>
              <w:jc w:val="both"/>
            </w:pPr>
          </w:p>
          <w:p w14:paraId="7F47D93A" w14:textId="77777777" w:rsidR="00726C7C" w:rsidRDefault="00726C7C" w:rsidP="00DC0C7F">
            <w:pPr>
              <w:pStyle w:val="Textocomentario"/>
              <w:jc w:val="both"/>
            </w:pPr>
            <w:r>
              <w:t>-----</w:t>
            </w:r>
          </w:p>
          <w:p w14:paraId="7F47D93B" w14:textId="77777777" w:rsidR="00DF058F" w:rsidRPr="001A27E6" w:rsidRDefault="00DC0C7F" w:rsidP="002222ED">
            <w:pPr>
              <w:pStyle w:val="1TitPrin"/>
              <w:framePr w:hSpace="0" w:wrap="auto" w:vAnchor="margin" w:yAlign="inline"/>
              <w:suppressOverlap w:val="0"/>
            </w:pPr>
            <w:r>
              <w:t xml:space="preserve">En el caso de los servicios de Reventa, permitir que el CS tenga la opción de proveer o adecuar la acometida resulta completamente inoperante y contrario a la naturaleza del servicio, el cual debe ser entregado como una solución integral ('llave en mano'). Incluir dicha opción genera ineficiencias, retrasa la puesta en marcha y compromete la funcionalidad esperada del servicio. </w:t>
            </w:r>
            <w:r w:rsidR="001A27E6" w:rsidRPr="001A27E6">
              <w:t xml:space="preserve">El permitir que el CS provea la acometida supone dependencias de agentes externos, coordinación de personal, dependencia de recursos técnicos y </w:t>
            </w:r>
            <w:r>
              <w:t>no benefician al usuario final</w:t>
            </w:r>
            <w:r w:rsidR="001A27E6" w:rsidRPr="001A27E6">
              <w:t>.</w:t>
            </w:r>
          </w:p>
        </w:tc>
      </w:tr>
      <w:tr w:rsidR="00AF1674" w:rsidRPr="00C83E51" w14:paraId="7F47D96B" w14:textId="77777777" w:rsidTr="00466FA2">
        <w:trPr>
          <w:trHeight w:val="1052"/>
        </w:trPr>
        <w:tc>
          <w:tcPr>
            <w:tcW w:w="132" w:type="pct"/>
            <w:vAlign w:val="center"/>
          </w:tcPr>
          <w:p w14:paraId="7F47D93D" w14:textId="77777777" w:rsidR="00DE0749" w:rsidRDefault="00981659"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lastRenderedPageBreak/>
              <w:t>3</w:t>
            </w:r>
          </w:p>
        </w:tc>
        <w:tc>
          <w:tcPr>
            <w:tcW w:w="494" w:type="pct"/>
            <w:vAlign w:val="center"/>
          </w:tcPr>
          <w:p w14:paraId="7F47D93E" w14:textId="77777777" w:rsidR="00DE0749" w:rsidRPr="001D62A9" w:rsidRDefault="00DE0749" w:rsidP="001D62A9">
            <w:pPr>
              <w:jc w:val="both"/>
              <w:rPr>
                <w:rFonts w:ascii="Arial" w:hAnsi="Arial" w:cs="Arial"/>
                <w:color w:val="000000"/>
                <w:sz w:val="20"/>
                <w:szCs w:val="20"/>
              </w:rPr>
            </w:pPr>
            <w:r>
              <w:rPr>
                <w:rFonts w:ascii="Arial" w:hAnsi="Arial" w:cs="Arial"/>
                <w:color w:val="000000"/>
                <w:sz w:val="20"/>
                <w:szCs w:val="20"/>
              </w:rPr>
              <w:t xml:space="preserve">1.5 </w:t>
            </w:r>
            <w:r w:rsidRPr="001D62A9">
              <w:rPr>
                <w:rFonts w:ascii="Arial" w:hAnsi="Arial" w:cs="Arial"/>
                <w:color w:val="000000"/>
                <w:sz w:val="20"/>
                <w:szCs w:val="20"/>
              </w:rPr>
              <w:t>Procedimiento para la verificaci</w:t>
            </w:r>
            <w:r>
              <w:rPr>
                <w:rFonts w:ascii="Arial" w:hAnsi="Arial" w:cs="Arial"/>
                <w:color w:val="000000"/>
                <w:sz w:val="20"/>
                <w:szCs w:val="20"/>
              </w:rPr>
              <w:t>ón de la voluntad del suscriptor</w:t>
            </w:r>
          </w:p>
        </w:tc>
        <w:tc>
          <w:tcPr>
            <w:tcW w:w="458" w:type="pct"/>
            <w:shd w:val="clear" w:color="auto" w:fill="auto"/>
            <w:vAlign w:val="center"/>
          </w:tcPr>
          <w:p w14:paraId="7F47D93F" w14:textId="77777777" w:rsidR="00DE0749" w:rsidRPr="00C83E51" w:rsidRDefault="00DE0749" w:rsidP="001D14D5">
            <w:pPr>
              <w:spacing w:after="0" w:line="240" w:lineRule="auto"/>
              <w:jc w:val="center"/>
              <w:rPr>
                <w:rFonts w:ascii="Arial" w:eastAsia="Times New Roman" w:hAnsi="Arial" w:cs="Arial"/>
                <w:b/>
                <w:bCs/>
                <w:i/>
                <w:iCs/>
                <w:sz w:val="20"/>
                <w:szCs w:val="20"/>
                <w:lang w:eastAsia="es-MX"/>
              </w:rPr>
            </w:pPr>
            <w:r>
              <w:rPr>
                <w:rFonts w:ascii="Arial" w:eastAsia="Times New Roman" w:hAnsi="Arial" w:cs="Arial"/>
                <w:b/>
                <w:bCs/>
                <w:i/>
                <w:iCs/>
                <w:sz w:val="20"/>
                <w:szCs w:val="20"/>
                <w:lang w:eastAsia="es-MX"/>
              </w:rPr>
              <w:t>Voluntad del suscriptor</w:t>
            </w:r>
          </w:p>
        </w:tc>
        <w:tc>
          <w:tcPr>
            <w:tcW w:w="1900" w:type="pct"/>
            <w:shd w:val="clear" w:color="auto" w:fill="auto"/>
            <w:vAlign w:val="center"/>
          </w:tcPr>
          <w:p w14:paraId="7F47D940" w14:textId="77777777" w:rsidR="00DE0749" w:rsidRPr="00DC0C7F" w:rsidRDefault="00DE0749" w:rsidP="001D62A9">
            <w:pPr>
              <w:spacing w:after="120"/>
              <w:jc w:val="both"/>
              <w:rPr>
                <w:rStyle w:val="IFTnormalCar"/>
                <w:rFonts w:ascii="Arial" w:hAnsi="Arial"/>
                <w:sz w:val="18"/>
                <w:szCs w:val="18"/>
              </w:rPr>
            </w:pPr>
            <w:r w:rsidRPr="00DC0C7F">
              <w:rPr>
                <w:rStyle w:val="IFTnormalCar"/>
                <w:rFonts w:ascii="Arial" w:hAnsi="Arial"/>
                <w:sz w:val="18"/>
                <w:szCs w:val="18"/>
              </w:rPr>
              <w:t>1.5 Procedimiento para la verificación de la voluntad del suscriptor</w:t>
            </w:r>
          </w:p>
          <w:p w14:paraId="7F47D941" w14:textId="77777777" w:rsidR="00DE0749" w:rsidRPr="00DC0C7F" w:rsidRDefault="00DE0749" w:rsidP="001D62A9">
            <w:pPr>
              <w:spacing w:after="120"/>
              <w:jc w:val="both"/>
              <w:rPr>
                <w:rStyle w:val="IFTnormalCar"/>
                <w:rFonts w:ascii="Arial" w:hAnsi="Arial"/>
                <w:sz w:val="18"/>
                <w:szCs w:val="18"/>
              </w:rPr>
            </w:pPr>
            <w:r w:rsidRPr="00DC0C7F">
              <w:rPr>
                <w:rStyle w:val="IFTnormalCar"/>
                <w:rFonts w:ascii="Arial" w:hAnsi="Arial"/>
                <w:sz w:val="18"/>
                <w:szCs w:val="18"/>
              </w:rPr>
              <w:t>…</w:t>
            </w:r>
          </w:p>
          <w:p w14:paraId="7F47D942" w14:textId="77777777" w:rsidR="00DE0749" w:rsidRPr="00DC0C7F" w:rsidRDefault="00DE0749" w:rsidP="001D62A9">
            <w:pPr>
              <w:spacing w:after="120"/>
              <w:jc w:val="both"/>
              <w:rPr>
                <w:rFonts w:ascii="Arial" w:hAnsi="Arial" w:cs="Arial"/>
                <w:sz w:val="18"/>
                <w:szCs w:val="18"/>
                <w:lang w:val="es-ES"/>
              </w:rPr>
            </w:pPr>
            <w:r w:rsidRPr="00DC0C7F">
              <w:rPr>
                <w:rFonts w:ascii="Arial" w:hAnsi="Arial" w:cs="Arial"/>
                <w:strike/>
                <w:color w:val="FF0000"/>
                <w:sz w:val="18"/>
                <w:szCs w:val="18"/>
                <w:lang w:val="es-ES"/>
              </w:rPr>
              <w:t>La verificación de la voluntad del suscriptor corresponde exclusivamente para aquellos casos en que el suscriptor/usuario final desea cambiar de proveedor de los servicios de telecomunicaciones que tiene contratados.</w:t>
            </w:r>
            <w:r w:rsidRPr="00DC0C7F">
              <w:rPr>
                <w:rFonts w:ascii="Arial" w:hAnsi="Arial" w:cs="Arial"/>
                <w:sz w:val="18"/>
                <w:szCs w:val="18"/>
                <w:lang w:val="es-ES"/>
              </w:rPr>
              <w:t xml:space="preserve"> El nuevo proveedor del servicio será responsable de la verificación de la voluntad para el cambio de proveedor, así como de ejecutar la portabilidad cuando se requiera, en los términos dispuestos por las Reglas de Portabilidad Numérica publicadas el 12 de noviembre de 2014 en el Diario Oficial de la Federación, así como sus posteriores modificaciones. </w:t>
            </w:r>
          </w:p>
          <w:p w14:paraId="7F47D943" w14:textId="77777777" w:rsidR="00DE0749" w:rsidRDefault="00DE0749" w:rsidP="00E10DDC">
            <w:pPr>
              <w:spacing w:after="0"/>
              <w:jc w:val="both"/>
              <w:rPr>
                <w:rFonts w:ascii="Arial" w:hAnsi="Arial" w:cs="Arial"/>
                <w:sz w:val="18"/>
                <w:szCs w:val="18"/>
                <w:lang w:val="es-ES"/>
              </w:rPr>
            </w:pPr>
            <w:r w:rsidRPr="00DC0C7F">
              <w:rPr>
                <w:rFonts w:ascii="Arial" w:hAnsi="Arial" w:cs="Arial"/>
                <w:sz w:val="18"/>
                <w:szCs w:val="18"/>
                <w:lang w:val="es-ES"/>
              </w:rPr>
              <w:t>…</w:t>
            </w:r>
          </w:p>
          <w:p w14:paraId="7F47D944" w14:textId="77777777" w:rsidR="00E10DDC" w:rsidRDefault="00E10DDC" w:rsidP="00E10DDC">
            <w:pPr>
              <w:spacing w:after="0"/>
              <w:jc w:val="both"/>
              <w:rPr>
                <w:rFonts w:ascii="Arial" w:hAnsi="Arial" w:cs="Arial"/>
                <w:sz w:val="18"/>
                <w:szCs w:val="18"/>
                <w:lang w:val="es-ES"/>
              </w:rPr>
            </w:pPr>
            <w:r>
              <w:rPr>
                <w:rFonts w:ascii="Arial" w:hAnsi="Arial" w:cs="Arial"/>
                <w:sz w:val="18"/>
                <w:szCs w:val="18"/>
                <w:lang w:val="es-ES"/>
              </w:rPr>
              <w:t>…</w:t>
            </w:r>
          </w:p>
          <w:p w14:paraId="7F47D945" w14:textId="77777777" w:rsidR="00E10DDC" w:rsidRDefault="00E10DDC" w:rsidP="00E10DDC">
            <w:pPr>
              <w:spacing w:after="0"/>
              <w:jc w:val="both"/>
              <w:rPr>
                <w:rFonts w:ascii="Arial" w:hAnsi="Arial" w:cs="Arial"/>
                <w:sz w:val="18"/>
                <w:szCs w:val="18"/>
                <w:lang w:val="es-ES"/>
              </w:rPr>
            </w:pPr>
            <w:r>
              <w:rPr>
                <w:rFonts w:ascii="Arial" w:hAnsi="Arial" w:cs="Arial"/>
                <w:sz w:val="18"/>
                <w:szCs w:val="18"/>
                <w:lang w:val="es-ES"/>
              </w:rPr>
              <w:t>…</w:t>
            </w:r>
          </w:p>
          <w:p w14:paraId="7F47D946" w14:textId="77777777" w:rsidR="00DE0749" w:rsidRPr="00DC0C7F" w:rsidRDefault="00DE0749" w:rsidP="001D62A9">
            <w:pPr>
              <w:spacing w:after="120"/>
              <w:jc w:val="both"/>
              <w:rPr>
                <w:rFonts w:ascii="Arial" w:hAnsi="Arial" w:cs="Arial"/>
                <w:sz w:val="18"/>
                <w:szCs w:val="18"/>
                <w:lang w:val="es-ES"/>
              </w:rPr>
            </w:pPr>
            <w:r w:rsidRPr="00DC0C7F">
              <w:rPr>
                <w:rFonts w:ascii="Arial" w:hAnsi="Arial" w:cs="Arial"/>
                <w:sz w:val="18"/>
                <w:szCs w:val="18"/>
                <w:lang w:val="es-ES"/>
              </w:rPr>
              <w:t xml:space="preserve">Las solicitudes que se reciban serán atendidas como alta de servicio, por tanto, se dará de baja el servicio con el proveedor actual (donador) y se hará el cambio con el nuevo proveedor del servicio (receptor). Para realizar la verificación de la voluntad el suscriptor/usuario final se cuenta con tres escenarios </w:t>
            </w:r>
            <w:r w:rsidRPr="00DC0C7F">
              <w:rPr>
                <w:rFonts w:ascii="Arial" w:hAnsi="Arial" w:cs="Arial"/>
                <w:b/>
                <w:color w:val="0070C0"/>
                <w:sz w:val="18"/>
                <w:szCs w:val="18"/>
                <w:lang w:val="es-ES"/>
              </w:rPr>
              <w:t>bajo los siguientes procedimientos</w:t>
            </w:r>
            <w:r w:rsidRPr="00DC0C7F">
              <w:rPr>
                <w:rFonts w:ascii="Arial" w:hAnsi="Arial" w:cs="Arial"/>
                <w:sz w:val="18"/>
                <w:szCs w:val="18"/>
                <w:lang w:val="es-ES"/>
              </w:rPr>
              <w:t>:</w:t>
            </w:r>
          </w:p>
          <w:p w14:paraId="7F47D947" w14:textId="77777777" w:rsidR="00DE0749" w:rsidRPr="00DC0C7F" w:rsidRDefault="00DE0749" w:rsidP="006971B4">
            <w:pPr>
              <w:pStyle w:val="Prrafodelista"/>
              <w:numPr>
                <w:ilvl w:val="0"/>
                <w:numId w:val="7"/>
              </w:numPr>
              <w:spacing w:after="0"/>
              <w:contextualSpacing w:val="0"/>
              <w:jc w:val="both"/>
              <w:rPr>
                <w:rFonts w:ascii="Arial" w:hAnsi="Arial" w:cs="Arial"/>
                <w:strike/>
                <w:color w:val="FF0000"/>
                <w:sz w:val="18"/>
                <w:szCs w:val="18"/>
                <w:lang w:val="es-ES"/>
              </w:rPr>
            </w:pPr>
            <w:r w:rsidRPr="00DC0C7F">
              <w:rPr>
                <w:rFonts w:ascii="Arial" w:hAnsi="Arial" w:cs="Arial"/>
                <w:strike/>
                <w:color w:val="FF0000"/>
                <w:sz w:val="18"/>
                <w:szCs w:val="18"/>
                <w:lang w:val="es-ES"/>
              </w:rPr>
              <w:t>De Telmex / Telnor a CS: El CS realiza ante Telmex / Telnor el cambio de proveedor del servicio de telecomunicaciones.</w:t>
            </w:r>
          </w:p>
          <w:p w14:paraId="7F47D948" w14:textId="77777777" w:rsidR="00DE0749" w:rsidRPr="00DC0C7F" w:rsidRDefault="00DE0749" w:rsidP="006971B4">
            <w:pPr>
              <w:pStyle w:val="Prrafodelista"/>
              <w:numPr>
                <w:ilvl w:val="0"/>
                <w:numId w:val="7"/>
              </w:numPr>
              <w:spacing w:after="0"/>
              <w:contextualSpacing w:val="0"/>
              <w:jc w:val="both"/>
              <w:rPr>
                <w:rFonts w:ascii="Arial" w:hAnsi="Arial" w:cs="Arial"/>
                <w:strike/>
                <w:color w:val="FF0000"/>
                <w:sz w:val="18"/>
                <w:szCs w:val="18"/>
                <w:lang w:val="es-ES"/>
              </w:rPr>
            </w:pPr>
            <w:r w:rsidRPr="00DC0C7F">
              <w:rPr>
                <w:rFonts w:ascii="Arial" w:hAnsi="Arial" w:cs="Arial"/>
                <w:strike/>
                <w:color w:val="FF0000"/>
                <w:sz w:val="18"/>
                <w:szCs w:val="18"/>
                <w:lang w:val="es-ES"/>
              </w:rPr>
              <w:lastRenderedPageBreak/>
              <w:t>De CS a Telmex / Telnor: el CS realiza ante el proveedor actual el cambio de proveedor del servicio de telecomunicaciones.</w:t>
            </w:r>
          </w:p>
          <w:p w14:paraId="7F47D949" w14:textId="77777777" w:rsidR="00DE0749" w:rsidRPr="00DC0C7F" w:rsidRDefault="00DE0749" w:rsidP="006971B4">
            <w:pPr>
              <w:pStyle w:val="Prrafodelista"/>
              <w:numPr>
                <w:ilvl w:val="0"/>
                <w:numId w:val="7"/>
              </w:numPr>
              <w:spacing w:after="240"/>
              <w:ind w:left="714" w:hanging="357"/>
              <w:contextualSpacing w:val="0"/>
              <w:jc w:val="both"/>
              <w:rPr>
                <w:rFonts w:ascii="Arial" w:hAnsi="Arial" w:cs="Arial"/>
                <w:strike/>
                <w:color w:val="FF0000"/>
                <w:sz w:val="18"/>
                <w:szCs w:val="18"/>
                <w:lang w:val="es-ES"/>
              </w:rPr>
            </w:pPr>
            <w:r w:rsidRPr="00DC0C7F">
              <w:rPr>
                <w:rFonts w:ascii="Arial" w:hAnsi="Arial" w:cs="Arial"/>
                <w:strike/>
                <w:color w:val="FF0000"/>
                <w:sz w:val="18"/>
                <w:szCs w:val="18"/>
                <w:lang w:val="es-ES"/>
              </w:rPr>
              <w:t>De CS a CS: Un CS (nuevo proveedor del servicio) realiza el cambio de proveedor del servicio de telecomunicaciones ante el proveedor actual y Telmex / Telnor. En este caso se incluirá a Telmex / Telnor para que ésta realice las adecuaciones correspondientes a los servicios de desagregación.</w:t>
            </w:r>
          </w:p>
          <w:p w14:paraId="7F47D94A" w14:textId="77777777" w:rsidR="00DE0749" w:rsidRPr="00DC0C7F" w:rsidRDefault="00DE0749" w:rsidP="001F73DB">
            <w:pPr>
              <w:spacing w:after="240"/>
              <w:jc w:val="both"/>
              <w:rPr>
                <w:rFonts w:ascii="Arial" w:hAnsi="Arial" w:cs="Arial"/>
                <w:sz w:val="18"/>
                <w:szCs w:val="18"/>
                <w:lang w:val="es-ES"/>
              </w:rPr>
            </w:pPr>
            <w:r w:rsidRPr="00DC0C7F">
              <w:rPr>
                <w:rFonts w:ascii="Arial" w:hAnsi="Arial" w:cs="Arial"/>
                <w:sz w:val="18"/>
                <w:szCs w:val="18"/>
                <w:lang w:val="es-ES"/>
              </w:rPr>
              <w:t>…</w:t>
            </w:r>
          </w:p>
          <w:p w14:paraId="7F47D94B" w14:textId="77777777" w:rsidR="00DE0749" w:rsidRDefault="00DE0749" w:rsidP="00DE0749">
            <w:pPr>
              <w:spacing w:before="240" w:after="240"/>
              <w:jc w:val="both"/>
              <w:rPr>
                <w:rFonts w:ascii="Arial" w:hAnsi="Arial" w:cs="Arial"/>
                <w:b/>
                <w:strike/>
                <w:color w:val="FF0000"/>
                <w:sz w:val="18"/>
                <w:szCs w:val="18"/>
                <w:lang w:val="es-ES"/>
              </w:rPr>
            </w:pPr>
            <w:r w:rsidRPr="00DC0C7F">
              <w:rPr>
                <w:rFonts w:ascii="Arial" w:hAnsi="Arial" w:cs="Arial"/>
                <w:b/>
                <w:strike/>
                <w:color w:val="FF0000"/>
                <w:sz w:val="18"/>
                <w:szCs w:val="18"/>
                <w:lang w:val="es-ES"/>
              </w:rPr>
              <w:t xml:space="preserve">Contratación o modificación de alguno de los servicios de telecomunicaciones del suscriptor/usuario final. </w:t>
            </w:r>
          </w:p>
          <w:p w14:paraId="7F47D94C" w14:textId="77777777" w:rsidR="00981659" w:rsidRDefault="00981659" w:rsidP="00981659">
            <w:pPr>
              <w:spacing w:after="120"/>
              <w:jc w:val="both"/>
              <w:rPr>
                <w:rFonts w:ascii="Arial" w:hAnsi="Arial" w:cs="Arial"/>
                <w:b/>
                <w:sz w:val="16"/>
                <w:szCs w:val="16"/>
                <w:lang w:val="es-ES"/>
              </w:rPr>
            </w:pPr>
            <w:r w:rsidRPr="00981659">
              <w:rPr>
                <w:rFonts w:ascii="Arial" w:hAnsi="Arial" w:cs="Arial"/>
                <w:b/>
                <w:sz w:val="16"/>
                <w:szCs w:val="16"/>
                <w:lang w:val="es-ES"/>
              </w:rPr>
              <w:t>Procedimiento de verificación de voluntad del suscriptor/usuario final y cambio de Concesionario Escenarios de Telmex / Telnor al CS, del CS a Telmex / Telnor y del CS al CS (donador – receptor):</w:t>
            </w:r>
          </w:p>
          <w:p w14:paraId="7F47D94D" w14:textId="77777777" w:rsidR="00981659" w:rsidRDefault="00981659" w:rsidP="00981659">
            <w:pPr>
              <w:spacing w:after="0"/>
              <w:jc w:val="both"/>
              <w:rPr>
                <w:rFonts w:ascii="Arial" w:hAnsi="Arial" w:cs="Arial"/>
                <w:sz w:val="18"/>
                <w:szCs w:val="18"/>
                <w:lang w:val="es-ES"/>
              </w:rPr>
            </w:pPr>
            <w:r w:rsidRPr="00DC0C7F">
              <w:rPr>
                <w:rFonts w:ascii="Arial" w:hAnsi="Arial" w:cs="Arial"/>
                <w:sz w:val="18"/>
                <w:szCs w:val="18"/>
                <w:lang w:val="es-ES"/>
              </w:rPr>
              <w:t>…</w:t>
            </w:r>
          </w:p>
          <w:p w14:paraId="7F47D94E" w14:textId="77777777" w:rsidR="00981659" w:rsidRDefault="00981659" w:rsidP="00981659">
            <w:pPr>
              <w:spacing w:after="0"/>
              <w:jc w:val="both"/>
              <w:rPr>
                <w:rFonts w:ascii="Arial" w:hAnsi="Arial" w:cs="Arial"/>
                <w:sz w:val="18"/>
                <w:szCs w:val="18"/>
                <w:lang w:val="es-ES"/>
              </w:rPr>
            </w:pPr>
            <w:r>
              <w:rPr>
                <w:rFonts w:ascii="Arial" w:hAnsi="Arial" w:cs="Arial"/>
                <w:sz w:val="18"/>
                <w:szCs w:val="18"/>
                <w:lang w:val="es-ES"/>
              </w:rPr>
              <w:t>…</w:t>
            </w:r>
          </w:p>
          <w:p w14:paraId="7F47D94F" w14:textId="77777777" w:rsidR="00981659" w:rsidRDefault="00981659" w:rsidP="00981659">
            <w:pPr>
              <w:spacing w:after="0"/>
              <w:jc w:val="both"/>
              <w:rPr>
                <w:rFonts w:ascii="Arial" w:hAnsi="Arial" w:cs="Arial"/>
                <w:sz w:val="18"/>
                <w:szCs w:val="18"/>
                <w:lang w:val="es-ES"/>
              </w:rPr>
            </w:pPr>
            <w:r>
              <w:rPr>
                <w:rFonts w:ascii="Arial" w:hAnsi="Arial" w:cs="Arial"/>
                <w:sz w:val="18"/>
                <w:szCs w:val="18"/>
                <w:lang w:val="es-ES"/>
              </w:rPr>
              <w:t>…</w:t>
            </w:r>
          </w:p>
          <w:p w14:paraId="7F47D950" w14:textId="77777777" w:rsidR="00DE0749" w:rsidRPr="00DE0749" w:rsidRDefault="00DE0749" w:rsidP="00DE0749">
            <w:pPr>
              <w:spacing w:after="120"/>
              <w:jc w:val="both"/>
              <w:rPr>
                <w:rFonts w:ascii="Arial" w:hAnsi="Arial" w:cs="Arial"/>
                <w:strike/>
                <w:color w:val="FF0000"/>
                <w:sz w:val="16"/>
                <w:szCs w:val="16"/>
                <w:lang w:val="es-ES"/>
              </w:rPr>
            </w:pPr>
            <w:r w:rsidRPr="00DE0749">
              <w:rPr>
                <w:rFonts w:ascii="Arial" w:hAnsi="Arial" w:cs="Arial"/>
                <w:sz w:val="16"/>
                <w:szCs w:val="16"/>
                <w:lang w:val="es-ES"/>
              </w:rPr>
              <w:t xml:space="preserve">En caso de que el CS desee contratar o modificar alguno de los servicios de telecomunicaciones que hubiera contratado derivado de esta OREDA </w:t>
            </w:r>
            <w:r w:rsidRPr="00DE0749">
              <w:rPr>
                <w:rFonts w:ascii="Arial" w:hAnsi="Arial" w:cs="Arial"/>
                <w:b/>
                <w:color w:val="0070C0"/>
                <w:sz w:val="16"/>
                <w:szCs w:val="16"/>
                <w:lang w:val="es-ES"/>
              </w:rPr>
              <w:t>ya no será necesario solicitar nuevamente el formato de verificación de voluntad.</w:t>
            </w:r>
            <w:r w:rsidRPr="00DE0749">
              <w:rPr>
                <w:rFonts w:ascii="Arial" w:hAnsi="Arial" w:cs="Arial"/>
                <w:strike/>
                <w:color w:val="FF0000"/>
                <w:sz w:val="16"/>
                <w:szCs w:val="16"/>
                <w:lang w:val="es-ES"/>
              </w:rPr>
              <w:t>, deberá:</w:t>
            </w:r>
          </w:p>
          <w:p w14:paraId="7F47D951" w14:textId="77777777" w:rsidR="00DE0749" w:rsidRPr="00DE0749" w:rsidRDefault="00DE0749" w:rsidP="006971B4">
            <w:pPr>
              <w:pStyle w:val="Prrafodelista"/>
              <w:numPr>
                <w:ilvl w:val="0"/>
                <w:numId w:val="12"/>
              </w:numPr>
              <w:spacing w:after="0"/>
              <w:contextualSpacing w:val="0"/>
              <w:jc w:val="both"/>
              <w:rPr>
                <w:rFonts w:ascii="Arial" w:hAnsi="Arial" w:cs="Arial"/>
                <w:strike/>
                <w:color w:val="FF0000"/>
                <w:sz w:val="16"/>
                <w:szCs w:val="16"/>
                <w:lang w:val="es-ES"/>
              </w:rPr>
            </w:pPr>
            <w:r w:rsidRPr="00DE0749">
              <w:rPr>
                <w:rFonts w:ascii="Arial" w:hAnsi="Arial" w:cs="Arial"/>
                <w:strike/>
                <w:color w:val="FF0000"/>
                <w:sz w:val="16"/>
                <w:szCs w:val="16"/>
                <w:lang w:val="es-ES"/>
              </w:rPr>
              <w:t>Resguardar el documento que refleje el consentimiento por parte del suscriptor/usuario final para realizar la contratación o modificación de los servicios de telecomunicaciones.</w:t>
            </w:r>
          </w:p>
          <w:p w14:paraId="7F47D952" w14:textId="77777777" w:rsidR="00DE0749" w:rsidRPr="00DE0749" w:rsidRDefault="00DE0749" w:rsidP="006971B4">
            <w:pPr>
              <w:pStyle w:val="Prrafodelista"/>
              <w:numPr>
                <w:ilvl w:val="0"/>
                <w:numId w:val="12"/>
              </w:numPr>
              <w:spacing w:after="0"/>
              <w:contextualSpacing w:val="0"/>
              <w:jc w:val="both"/>
              <w:rPr>
                <w:rFonts w:ascii="Arial" w:hAnsi="Arial" w:cs="Arial"/>
                <w:strike/>
                <w:color w:val="FF0000"/>
                <w:sz w:val="16"/>
                <w:szCs w:val="16"/>
                <w:lang w:val="es-ES"/>
              </w:rPr>
            </w:pPr>
            <w:r w:rsidRPr="00DE0749">
              <w:rPr>
                <w:rFonts w:ascii="Arial" w:hAnsi="Arial" w:cs="Arial"/>
                <w:strike/>
                <w:color w:val="FF0000"/>
                <w:sz w:val="16"/>
                <w:szCs w:val="16"/>
                <w:lang w:val="es-ES"/>
              </w:rPr>
              <w:t xml:space="preserve">En caso de que el CS requiera modificar servicios de desagregación para proveer los servicios de telecomunicaciones al suscriptor/usuario final, Telmex / Telnor no podrá solicitar nuevamente al CS el formato de verificación de voluntad. </w:t>
            </w:r>
          </w:p>
          <w:p w14:paraId="7F47D953" w14:textId="77777777" w:rsidR="00DE0749" w:rsidRPr="00DE0749" w:rsidRDefault="00DE0749" w:rsidP="006971B4">
            <w:pPr>
              <w:pStyle w:val="Prrafodelista"/>
              <w:numPr>
                <w:ilvl w:val="0"/>
                <w:numId w:val="12"/>
              </w:numPr>
              <w:spacing w:after="120"/>
              <w:ind w:left="714" w:hanging="357"/>
              <w:contextualSpacing w:val="0"/>
              <w:jc w:val="both"/>
              <w:rPr>
                <w:rFonts w:ascii="Arial" w:hAnsi="Arial" w:cs="Arial"/>
                <w:strike/>
                <w:color w:val="FF0000"/>
                <w:sz w:val="16"/>
                <w:szCs w:val="16"/>
                <w:lang w:val="es-ES"/>
              </w:rPr>
            </w:pPr>
            <w:r w:rsidRPr="00DE0749">
              <w:rPr>
                <w:rFonts w:ascii="Arial" w:hAnsi="Arial" w:cs="Arial"/>
                <w:strike/>
                <w:color w:val="FF0000"/>
                <w:sz w:val="16"/>
                <w:szCs w:val="16"/>
                <w:lang w:val="es-ES"/>
              </w:rPr>
              <w:t>Las contrataciones o modificaciones solicitadas serán atendidas conforme a los procedimientos que para cada uno de los servicios se señalan a lo largo de la presente OREDA.</w:t>
            </w:r>
          </w:p>
        </w:tc>
        <w:tc>
          <w:tcPr>
            <w:tcW w:w="2016" w:type="pct"/>
            <w:tcBorders>
              <w:top w:val="single" w:sz="4" w:space="0" w:color="000000" w:themeColor="text1"/>
            </w:tcBorders>
          </w:tcPr>
          <w:p w14:paraId="7F47D954" w14:textId="77777777" w:rsidR="00DE0749" w:rsidRPr="00DE0749" w:rsidRDefault="00DE0749" w:rsidP="001D14D5">
            <w:pPr>
              <w:jc w:val="both"/>
              <w:rPr>
                <w:rFonts w:ascii="Arial" w:hAnsi="Arial" w:cs="Arial"/>
                <w:sz w:val="18"/>
                <w:szCs w:val="18"/>
              </w:rPr>
            </w:pPr>
          </w:p>
          <w:p w14:paraId="7F47D955" w14:textId="77777777" w:rsidR="00DC0C7F" w:rsidRDefault="00DC0C7F" w:rsidP="001D14D5">
            <w:pPr>
              <w:jc w:val="both"/>
              <w:rPr>
                <w:rFonts w:ascii="Arial" w:hAnsi="Arial" w:cs="Arial"/>
                <w:sz w:val="20"/>
                <w:szCs w:val="18"/>
              </w:rPr>
            </w:pPr>
          </w:p>
          <w:p w14:paraId="7F47D956" w14:textId="77777777" w:rsidR="00DE0749" w:rsidRPr="00DC0C7F" w:rsidRDefault="00E10DDC" w:rsidP="001D14D5">
            <w:pPr>
              <w:jc w:val="both"/>
              <w:rPr>
                <w:rFonts w:ascii="Arial" w:hAnsi="Arial" w:cs="Arial"/>
              </w:rPr>
            </w:pPr>
            <w:r>
              <w:rPr>
                <w:rFonts w:ascii="Arial" w:hAnsi="Arial" w:cs="Arial"/>
              </w:rPr>
              <w:t xml:space="preserve">Se elimina </w:t>
            </w:r>
            <w:r w:rsidR="00C321F3">
              <w:rPr>
                <w:rFonts w:ascii="Arial" w:hAnsi="Arial" w:cs="Arial"/>
              </w:rPr>
              <w:t>esta</w:t>
            </w:r>
            <w:r w:rsidR="00DE0749" w:rsidRPr="00DC0C7F">
              <w:rPr>
                <w:rFonts w:ascii="Arial" w:hAnsi="Arial" w:cs="Arial"/>
              </w:rPr>
              <w:t xml:space="preserve"> </w:t>
            </w:r>
            <w:r w:rsidR="00C321F3">
              <w:rPr>
                <w:rFonts w:ascii="Arial" w:hAnsi="Arial" w:cs="Arial"/>
              </w:rPr>
              <w:t>frase</w:t>
            </w:r>
            <w:r w:rsidR="00DE0749" w:rsidRPr="00DC0C7F">
              <w:rPr>
                <w:rFonts w:ascii="Arial" w:hAnsi="Arial" w:cs="Arial"/>
              </w:rPr>
              <w:t xml:space="preserve"> que es repetitiva con el párrafo anterior.</w:t>
            </w:r>
          </w:p>
          <w:p w14:paraId="7F47D957" w14:textId="77777777" w:rsidR="00DE0749" w:rsidRPr="00DC0C7F" w:rsidRDefault="00DE0749" w:rsidP="001D14D5">
            <w:pPr>
              <w:jc w:val="both"/>
              <w:rPr>
                <w:rFonts w:ascii="Arial" w:hAnsi="Arial" w:cs="Arial"/>
              </w:rPr>
            </w:pPr>
          </w:p>
          <w:p w14:paraId="7F47D958" w14:textId="77777777" w:rsidR="00DE0749" w:rsidRPr="00DC0C7F" w:rsidRDefault="00DE0749" w:rsidP="001D14D5">
            <w:pPr>
              <w:jc w:val="both"/>
              <w:rPr>
                <w:rFonts w:ascii="Arial" w:hAnsi="Arial" w:cs="Arial"/>
              </w:rPr>
            </w:pPr>
          </w:p>
          <w:p w14:paraId="7F47D959" w14:textId="77777777" w:rsidR="00DE0749" w:rsidRPr="00DC0C7F" w:rsidRDefault="00DE0749" w:rsidP="001D14D5">
            <w:pPr>
              <w:jc w:val="both"/>
              <w:rPr>
                <w:rFonts w:ascii="Arial" w:hAnsi="Arial" w:cs="Arial"/>
              </w:rPr>
            </w:pPr>
          </w:p>
          <w:p w14:paraId="7F47D95A" w14:textId="77777777" w:rsidR="00DC0C7F" w:rsidRDefault="00AC0FBE" w:rsidP="00215CE8">
            <w:pPr>
              <w:pStyle w:val="Textocomentario"/>
              <w:rPr>
                <w:rFonts w:ascii="Arial" w:hAnsi="Arial" w:cs="Arial"/>
                <w:sz w:val="22"/>
                <w:szCs w:val="22"/>
              </w:rPr>
            </w:pPr>
            <w:r>
              <w:rPr>
                <w:rFonts w:ascii="Arial" w:hAnsi="Arial" w:cs="Arial"/>
                <w:sz w:val="22"/>
                <w:szCs w:val="22"/>
              </w:rPr>
              <w:t>----</w:t>
            </w:r>
          </w:p>
          <w:p w14:paraId="7F47D95B" w14:textId="77777777" w:rsidR="00DE0749" w:rsidRPr="00726C7C" w:rsidRDefault="00DE0749" w:rsidP="00981659">
            <w:pPr>
              <w:pStyle w:val="Textocomentario"/>
              <w:jc w:val="both"/>
              <w:rPr>
                <w:rFonts w:ascii="Arial" w:eastAsia="Times New Roman" w:hAnsi="Arial" w:cs="Arial"/>
                <w:bCs/>
                <w:color w:val="000000"/>
                <w:sz w:val="22"/>
                <w:lang w:eastAsia="es-MX"/>
              </w:rPr>
            </w:pPr>
            <w:r w:rsidRPr="00726C7C">
              <w:rPr>
                <w:rFonts w:ascii="Arial" w:eastAsia="Times New Roman" w:hAnsi="Arial" w:cs="Arial"/>
                <w:bCs/>
                <w:color w:val="000000"/>
                <w:sz w:val="22"/>
                <w:lang w:eastAsia="es-MX"/>
              </w:rPr>
              <w:t>Se adecua el párrafo para simplicidad del apartado. Se elimina</w:t>
            </w:r>
            <w:r w:rsidR="00981659" w:rsidRPr="00726C7C">
              <w:rPr>
                <w:rFonts w:ascii="Arial" w:eastAsia="Times New Roman" w:hAnsi="Arial" w:cs="Arial"/>
                <w:bCs/>
                <w:color w:val="000000"/>
                <w:sz w:val="22"/>
                <w:lang w:eastAsia="es-MX"/>
              </w:rPr>
              <w:t>n los numerales de los tres escenarios para verificar la voluntad del suscriptor</w:t>
            </w:r>
            <w:r w:rsidRPr="00726C7C">
              <w:rPr>
                <w:rFonts w:ascii="Arial" w:eastAsia="Times New Roman" w:hAnsi="Arial" w:cs="Arial"/>
                <w:bCs/>
                <w:color w:val="000000"/>
                <w:sz w:val="22"/>
                <w:lang w:eastAsia="es-MX"/>
              </w:rPr>
              <w:t xml:space="preserve"> ya que en el</w:t>
            </w:r>
            <w:r w:rsidR="00981659" w:rsidRPr="00726C7C">
              <w:rPr>
                <w:rFonts w:ascii="Arial" w:eastAsia="Times New Roman" w:hAnsi="Arial" w:cs="Arial"/>
                <w:bCs/>
                <w:color w:val="000000"/>
                <w:sz w:val="22"/>
                <w:lang w:eastAsia="es-MX"/>
              </w:rPr>
              <w:t xml:space="preserve"> </w:t>
            </w:r>
            <w:r w:rsidRPr="00726C7C">
              <w:rPr>
                <w:rFonts w:ascii="Arial" w:eastAsia="Times New Roman" w:hAnsi="Arial" w:cs="Arial"/>
                <w:bCs/>
                <w:color w:val="000000"/>
                <w:sz w:val="22"/>
                <w:lang w:eastAsia="es-MX"/>
              </w:rPr>
              <w:t xml:space="preserve">procedimiento se explican </w:t>
            </w:r>
            <w:r w:rsidR="00981659" w:rsidRPr="00726C7C">
              <w:rPr>
                <w:rFonts w:ascii="Arial" w:eastAsia="Times New Roman" w:hAnsi="Arial" w:cs="Arial"/>
                <w:bCs/>
                <w:color w:val="000000"/>
                <w:sz w:val="22"/>
                <w:lang w:eastAsia="es-MX"/>
              </w:rPr>
              <w:t xml:space="preserve">dichos </w:t>
            </w:r>
            <w:r w:rsidRPr="00726C7C">
              <w:rPr>
                <w:rFonts w:ascii="Arial" w:eastAsia="Times New Roman" w:hAnsi="Arial" w:cs="Arial"/>
                <w:bCs/>
                <w:color w:val="000000"/>
                <w:sz w:val="22"/>
                <w:lang w:eastAsia="es-MX"/>
              </w:rPr>
              <w:t>los escenarios.</w:t>
            </w:r>
          </w:p>
          <w:p w14:paraId="7F47D95C" w14:textId="77777777" w:rsidR="00DE0749" w:rsidRPr="00DC0C7F" w:rsidRDefault="00DE0749" w:rsidP="00215CE8">
            <w:pPr>
              <w:pStyle w:val="Textocomentario"/>
              <w:rPr>
                <w:rFonts w:ascii="Arial" w:hAnsi="Arial" w:cs="Arial"/>
                <w:sz w:val="22"/>
                <w:szCs w:val="22"/>
              </w:rPr>
            </w:pPr>
          </w:p>
          <w:p w14:paraId="7F47D95D" w14:textId="77777777" w:rsidR="00DE0749" w:rsidRPr="00DC0C7F" w:rsidRDefault="00DE0749" w:rsidP="00215CE8">
            <w:pPr>
              <w:pStyle w:val="Textocomentario"/>
              <w:rPr>
                <w:rFonts w:ascii="Arial" w:hAnsi="Arial" w:cs="Arial"/>
                <w:sz w:val="22"/>
                <w:szCs w:val="22"/>
              </w:rPr>
            </w:pPr>
          </w:p>
          <w:p w14:paraId="7F47D95E" w14:textId="77777777" w:rsidR="00DE0749" w:rsidRPr="00DC0C7F" w:rsidRDefault="00DE0749" w:rsidP="00215CE8">
            <w:pPr>
              <w:pStyle w:val="Textocomentario"/>
              <w:rPr>
                <w:rFonts w:ascii="Arial" w:hAnsi="Arial" w:cs="Arial"/>
                <w:sz w:val="22"/>
                <w:szCs w:val="22"/>
              </w:rPr>
            </w:pPr>
          </w:p>
          <w:p w14:paraId="7F47D95F" w14:textId="77777777" w:rsidR="00F735AE" w:rsidRPr="00DC0C7F" w:rsidRDefault="00F735AE" w:rsidP="00215CE8">
            <w:pPr>
              <w:pStyle w:val="Textocomentario"/>
              <w:rPr>
                <w:rFonts w:ascii="Arial" w:hAnsi="Arial" w:cs="Arial"/>
                <w:sz w:val="22"/>
                <w:szCs w:val="22"/>
              </w:rPr>
            </w:pPr>
          </w:p>
          <w:p w14:paraId="7F47D960" w14:textId="77777777" w:rsidR="00F735AE" w:rsidRPr="00DC0C7F" w:rsidRDefault="00F735AE" w:rsidP="00215CE8">
            <w:pPr>
              <w:pStyle w:val="Textocomentario"/>
              <w:rPr>
                <w:rFonts w:ascii="Arial" w:hAnsi="Arial" w:cs="Arial"/>
                <w:sz w:val="22"/>
                <w:szCs w:val="22"/>
              </w:rPr>
            </w:pPr>
          </w:p>
          <w:p w14:paraId="7F47D961" w14:textId="77777777" w:rsidR="00DE0749" w:rsidRPr="00DC0C7F" w:rsidRDefault="00DE0749" w:rsidP="00215CE8">
            <w:pPr>
              <w:pStyle w:val="Textocomentario"/>
              <w:rPr>
                <w:rFonts w:ascii="Arial" w:hAnsi="Arial" w:cs="Arial"/>
                <w:sz w:val="22"/>
                <w:szCs w:val="22"/>
              </w:rPr>
            </w:pPr>
          </w:p>
          <w:p w14:paraId="7F47D962" w14:textId="77777777" w:rsidR="00981659" w:rsidRDefault="00981659" w:rsidP="00DE0749">
            <w:pPr>
              <w:pStyle w:val="Textocomentario"/>
              <w:rPr>
                <w:rFonts w:ascii="Arial" w:hAnsi="Arial" w:cs="Arial"/>
                <w:sz w:val="22"/>
                <w:szCs w:val="22"/>
              </w:rPr>
            </w:pPr>
          </w:p>
          <w:p w14:paraId="7F47D963" w14:textId="77777777" w:rsidR="00981659" w:rsidRDefault="00981659" w:rsidP="00DE0749">
            <w:pPr>
              <w:pStyle w:val="Textocomentario"/>
              <w:rPr>
                <w:rFonts w:ascii="Arial" w:hAnsi="Arial" w:cs="Arial"/>
                <w:sz w:val="22"/>
                <w:szCs w:val="22"/>
              </w:rPr>
            </w:pPr>
          </w:p>
          <w:p w14:paraId="7F47D964" w14:textId="77777777" w:rsidR="00981659" w:rsidRDefault="00981659" w:rsidP="00DE0749">
            <w:pPr>
              <w:pStyle w:val="Textocomentario"/>
              <w:rPr>
                <w:rFonts w:ascii="Arial" w:hAnsi="Arial" w:cs="Arial"/>
                <w:sz w:val="22"/>
                <w:szCs w:val="22"/>
              </w:rPr>
            </w:pPr>
          </w:p>
          <w:p w14:paraId="7F47D965" w14:textId="77777777" w:rsidR="00981659" w:rsidRDefault="00981659" w:rsidP="00DE0749">
            <w:pPr>
              <w:pStyle w:val="Textocomentario"/>
              <w:rPr>
                <w:rFonts w:ascii="Arial" w:hAnsi="Arial" w:cs="Arial"/>
                <w:sz w:val="22"/>
                <w:szCs w:val="22"/>
              </w:rPr>
            </w:pPr>
          </w:p>
          <w:p w14:paraId="7F47D966" w14:textId="77777777" w:rsidR="00981659" w:rsidRDefault="00981659" w:rsidP="00DE0749">
            <w:pPr>
              <w:pStyle w:val="Textocomentario"/>
              <w:rPr>
                <w:rFonts w:ascii="Arial" w:hAnsi="Arial" w:cs="Arial"/>
                <w:sz w:val="22"/>
                <w:szCs w:val="22"/>
              </w:rPr>
            </w:pPr>
          </w:p>
          <w:p w14:paraId="7F47D967" w14:textId="77777777" w:rsidR="00726C7C" w:rsidRDefault="00726C7C" w:rsidP="00DE0749">
            <w:pPr>
              <w:pStyle w:val="Textocomentario"/>
              <w:rPr>
                <w:rFonts w:ascii="Arial" w:hAnsi="Arial" w:cs="Arial"/>
                <w:sz w:val="22"/>
                <w:szCs w:val="22"/>
              </w:rPr>
            </w:pPr>
            <w:r>
              <w:rPr>
                <w:rFonts w:ascii="Arial" w:hAnsi="Arial" w:cs="Arial"/>
                <w:sz w:val="22"/>
                <w:szCs w:val="22"/>
              </w:rPr>
              <w:t>---</w:t>
            </w:r>
          </w:p>
          <w:p w14:paraId="7F47D968" w14:textId="77777777" w:rsidR="00DE0749" w:rsidRPr="00DC0C7F" w:rsidRDefault="00DE0749" w:rsidP="00981659">
            <w:pPr>
              <w:pStyle w:val="Textocomentario"/>
              <w:jc w:val="both"/>
              <w:rPr>
                <w:rFonts w:ascii="Arial" w:hAnsi="Arial" w:cs="Arial"/>
                <w:sz w:val="22"/>
                <w:szCs w:val="22"/>
              </w:rPr>
            </w:pPr>
            <w:r w:rsidRPr="00DC0C7F">
              <w:rPr>
                <w:rFonts w:ascii="Arial" w:hAnsi="Arial" w:cs="Arial"/>
                <w:sz w:val="22"/>
                <w:szCs w:val="22"/>
              </w:rPr>
              <w:t xml:space="preserve">Se simplifica la redacción </w:t>
            </w:r>
            <w:r w:rsidR="00F735AE" w:rsidRPr="00DC0C7F">
              <w:rPr>
                <w:rFonts w:ascii="Arial" w:hAnsi="Arial" w:cs="Arial"/>
                <w:sz w:val="22"/>
                <w:szCs w:val="22"/>
              </w:rPr>
              <w:t>relativa a la verificación de voluntad en las solicitudes de modificación de servicios existentes.</w:t>
            </w:r>
            <w:r w:rsidRPr="00DC0C7F">
              <w:rPr>
                <w:rFonts w:ascii="Arial" w:hAnsi="Arial" w:cs="Arial"/>
                <w:sz w:val="22"/>
                <w:szCs w:val="22"/>
              </w:rPr>
              <w:t xml:space="preserve"> </w:t>
            </w:r>
          </w:p>
          <w:p w14:paraId="7F47D969" w14:textId="77777777" w:rsidR="00DE0749" w:rsidRPr="00DE0749" w:rsidRDefault="00DE0749" w:rsidP="00215CE8">
            <w:pPr>
              <w:pStyle w:val="Textocomentario"/>
              <w:rPr>
                <w:rFonts w:ascii="Arial" w:hAnsi="Arial" w:cs="Arial"/>
                <w:sz w:val="18"/>
                <w:szCs w:val="18"/>
              </w:rPr>
            </w:pPr>
          </w:p>
          <w:p w14:paraId="7F47D96A" w14:textId="77777777" w:rsidR="00DE0749" w:rsidRPr="00DE0749" w:rsidRDefault="00DE0749" w:rsidP="001D14D5">
            <w:pPr>
              <w:jc w:val="both"/>
              <w:rPr>
                <w:rFonts w:ascii="Arial" w:hAnsi="Arial" w:cs="Arial"/>
                <w:sz w:val="18"/>
                <w:szCs w:val="18"/>
              </w:rPr>
            </w:pPr>
          </w:p>
        </w:tc>
      </w:tr>
      <w:tr w:rsidR="00AF1674" w:rsidRPr="00C83E51" w14:paraId="7F47D975" w14:textId="77777777" w:rsidTr="00466FA2">
        <w:trPr>
          <w:trHeight w:val="564"/>
        </w:trPr>
        <w:tc>
          <w:tcPr>
            <w:tcW w:w="132" w:type="pct"/>
            <w:vAlign w:val="center"/>
          </w:tcPr>
          <w:p w14:paraId="7F47D96C" w14:textId="77777777" w:rsidR="00DE0749" w:rsidRDefault="00981659"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lastRenderedPageBreak/>
              <w:t>4</w:t>
            </w:r>
          </w:p>
        </w:tc>
        <w:tc>
          <w:tcPr>
            <w:tcW w:w="494" w:type="pct"/>
            <w:vAlign w:val="center"/>
          </w:tcPr>
          <w:p w14:paraId="7F47D96D" w14:textId="77777777" w:rsidR="00DE0749" w:rsidRPr="00C83E51" w:rsidRDefault="00DE0749" w:rsidP="001D62A9">
            <w:pPr>
              <w:jc w:val="both"/>
              <w:rPr>
                <w:rFonts w:ascii="Arial" w:hAnsi="Arial" w:cs="Arial"/>
                <w:color w:val="000000"/>
                <w:sz w:val="20"/>
                <w:szCs w:val="20"/>
              </w:rPr>
            </w:pPr>
            <w:r>
              <w:rPr>
                <w:rFonts w:ascii="Arial" w:hAnsi="Arial" w:cs="Arial"/>
                <w:color w:val="000000"/>
                <w:sz w:val="20"/>
                <w:szCs w:val="20"/>
              </w:rPr>
              <w:t xml:space="preserve">2. Condiciones generales para la prestaciones de los servicios </w:t>
            </w:r>
          </w:p>
        </w:tc>
        <w:tc>
          <w:tcPr>
            <w:tcW w:w="458" w:type="pct"/>
            <w:shd w:val="clear" w:color="auto" w:fill="auto"/>
            <w:vAlign w:val="center"/>
          </w:tcPr>
          <w:p w14:paraId="7F47D96E" w14:textId="77777777" w:rsidR="00DE0749" w:rsidRPr="00DE0749" w:rsidRDefault="00DE0749" w:rsidP="001D14D5">
            <w:pPr>
              <w:pStyle w:val="IFTnormal"/>
              <w:spacing w:after="0"/>
              <w:jc w:val="left"/>
              <w:rPr>
                <w:rFonts w:ascii="Arial" w:hAnsi="Arial" w:cs="Arial"/>
                <w:b/>
                <w:sz w:val="18"/>
                <w:szCs w:val="20"/>
                <w:lang w:eastAsia="es-MX"/>
              </w:rPr>
            </w:pPr>
            <w:r w:rsidRPr="00DE0749">
              <w:rPr>
                <w:rFonts w:ascii="Arial" w:hAnsi="Arial" w:cs="Arial"/>
                <w:b/>
                <w:sz w:val="18"/>
                <w:szCs w:val="20"/>
                <w:lang w:eastAsia="es-MX"/>
              </w:rPr>
              <w:t>Notificación de cierre de Centrales</w:t>
            </w:r>
          </w:p>
        </w:tc>
        <w:tc>
          <w:tcPr>
            <w:tcW w:w="1900" w:type="pct"/>
            <w:shd w:val="clear" w:color="auto" w:fill="auto"/>
            <w:vAlign w:val="center"/>
          </w:tcPr>
          <w:p w14:paraId="7F47D96F" w14:textId="77777777" w:rsidR="00DE0749" w:rsidRPr="00981659" w:rsidRDefault="00DE0749" w:rsidP="001D14D5">
            <w:pPr>
              <w:spacing w:before="240" w:after="240"/>
              <w:jc w:val="both"/>
              <w:rPr>
                <w:rFonts w:ascii="Arial" w:hAnsi="Arial" w:cs="Arial"/>
                <w:b/>
                <w:sz w:val="18"/>
                <w:szCs w:val="18"/>
              </w:rPr>
            </w:pPr>
            <w:bookmarkStart w:id="0" w:name="_Toc525904549"/>
            <w:bookmarkStart w:id="1" w:name="_Toc525913945"/>
            <w:bookmarkStart w:id="2" w:name="_Toc525919184"/>
            <w:bookmarkStart w:id="3" w:name="_Toc525919308"/>
            <w:bookmarkStart w:id="4" w:name="_Toc2957118"/>
            <w:bookmarkStart w:id="5" w:name="_Toc26273057"/>
            <w:bookmarkStart w:id="6" w:name="_Toc26284455"/>
            <w:bookmarkStart w:id="7" w:name="_Toc54106555"/>
            <w:bookmarkStart w:id="8" w:name="_Toc178438956"/>
            <w:r w:rsidRPr="00981659">
              <w:rPr>
                <w:rFonts w:ascii="Arial" w:hAnsi="Arial" w:cs="Arial"/>
                <w:b/>
                <w:sz w:val="18"/>
                <w:szCs w:val="18"/>
              </w:rPr>
              <w:t xml:space="preserve">2. </w:t>
            </w:r>
            <w:r w:rsidRPr="00981659" w:rsidDel="00F3565A">
              <w:rPr>
                <w:rFonts w:ascii="Arial" w:hAnsi="Arial" w:cs="Arial"/>
                <w:b/>
                <w:sz w:val="18"/>
                <w:szCs w:val="18"/>
              </w:rPr>
              <w:t>Condiciones generales para la prestación de los servicios.</w:t>
            </w:r>
            <w:bookmarkEnd w:id="0"/>
            <w:bookmarkEnd w:id="1"/>
            <w:bookmarkEnd w:id="2"/>
            <w:bookmarkEnd w:id="3"/>
            <w:bookmarkEnd w:id="4"/>
            <w:bookmarkEnd w:id="5"/>
            <w:bookmarkEnd w:id="6"/>
            <w:bookmarkEnd w:id="7"/>
            <w:bookmarkEnd w:id="8"/>
            <w:r w:rsidRPr="00981659" w:rsidDel="00F3565A">
              <w:rPr>
                <w:rFonts w:ascii="Arial" w:hAnsi="Arial" w:cs="Arial"/>
                <w:b/>
                <w:sz w:val="18"/>
                <w:szCs w:val="18"/>
              </w:rPr>
              <w:t xml:space="preserve"> </w:t>
            </w:r>
          </w:p>
          <w:p w14:paraId="7F47D970" w14:textId="77777777" w:rsidR="00F735AE" w:rsidRPr="00981659" w:rsidRDefault="00F735AE" w:rsidP="001D14D5">
            <w:pPr>
              <w:spacing w:before="240" w:after="240"/>
              <w:jc w:val="both"/>
              <w:rPr>
                <w:rFonts w:ascii="Arial" w:hAnsi="Arial" w:cs="Arial"/>
                <w:b/>
                <w:sz w:val="18"/>
                <w:szCs w:val="18"/>
              </w:rPr>
            </w:pPr>
            <w:r w:rsidRPr="00981659">
              <w:rPr>
                <w:rFonts w:ascii="Arial" w:hAnsi="Arial" w:cs="Arial"/>
                <w:b/>
                <w:sz w:val="18"/>
                <w:szCs w:val="18"/>
              </w:rPr>
              <w:t>…</w:t>
            </w:r>
          </w:p>
          <w:p w14:paraId="7F47D971" w14:textId="77777777" w:rsidR="00DE0749" w:rsidRPr="00F735AE" w:rsidRDefault="00F735AE" w:rsidP="00F735AE">
            <w:pPr>
              <w:spacing w:after="0"/>
              <w:jc w:val="both"/>
              <w:rPr>
                <w:rFonts w:ascii="Arial" w:hAnsi="Arial" w:cs="Arial"/>
                <w:sz w:val="20"/>
                <w:szCs w:val="20"/>
              </w:rPr>
            </w:pPr>
            <w:r w:rsidRPr="00981659">
              <w:rPr>
                <w:rFonts w:ascii="Arial" w:hAnsi="Arial" w:cs="Arial"/>
                <w:b/>
                <w:sz w:val="18"/>
                <w:szCs w:val="18"/>
              </w:rPr>
              <w:t>9.</w:t>
            </w:r>
            <w:r w:rsidRPr="00981659">
              <w:rPr>
                <w:rFonts w:ascii="Arial" w:hAnsi="Arial" w:cs="Arial"/>
                <w:sz w:val="18"/>
                <w:szCs w:val="18"/>
              </w:rPr>
              <w:t xml:space="preserve"> </w:t>
            </w:r>
            <w:r w:rsidR="00DE0749" w:rsidRPr="00981659">
              <w:rPr>
                <w:rFonts w:ascii="Arial" w:hAnsi="Arial" w:cs="Arial"/>
                <w:sz w:val="18"/>
                <w:szCs w:val="18"/>
              </w:rPr>
              <w:t xml:space="preserve">Telmex / Telnor notificará a la EM, al Instituto, así como a los CS con al menos 36 meses de anticipación el cierre de una Central </w:t>
            </w:r>
            <w:r w:rsidR="00DE0749" w:rsidRPr="00981659">
              <w:rPr>
                <w:rFonts w:ascii="Arial" w:hAnsi="Arial" w:cs="Arial"/>
                <w:b/>
                <w:color w:val="0070C0"/>
                <w:spacing w:val="-1"/>
                <w:sz w:val="18"/>
                <w:szCs w:val="18"/>
              </w:rPr>
              <w:t xml:space="preserve">cuando </w:t>
            </w:r>
            <w:r w:rsidR="00DE0749" w:rsidRPr="00981659">
              <w:rPr>
                <w:rFonts w:ascii="Arial" w:hAnsi="Arial" w:cs="Arial"/>
                <w:b/>
                <w:color w:val="0070C0"/>
                <w:sz w:val="18"/>
                <w:szCs w:val="18"/>
              </w:rPr>
              <w:t>la EM y/o el CS</w:t>
            </w:r>
            <w:r w:rsidR="00DE0749" w:rsidRPr="00981659">
              <w:rPr>
                <w:rFonts w:ascii="Arial" w:hAnsi="Arial" w:cs="Arial"/>
                <w:b/>
                <w:color w:val="0070C0"/>
                <w:spacing w:val="-1"/>
                <w:sz w:val="18"/>
                <w:szCs w:val="18"/>
              </w:rPr>
              <w:t xml:space="preserve"> tengan presencia física en dicha Central </w:t>
            </w:r>
            <w:r w:rsidR="00DE0749" w:rsidRPr="00981659">
              <w:rPr>
                <w:rFonts w:ascii="Arial" w:hAnsi="Arial" w:cs="Arial"/>
                <w:bCs/>
                <w:sz w:val="18"/>
                <w:szCs w:val="18"/>
              </w:rPr>
              <w:t>a</w:t>
            </w:r>
            <w:r w:rsidR="00DE0749" w:rsidRPr="00981659">
              <w:rPr>
                <w:rFonts w:ascii="Arial" w:hAnsi="Arial" w:cs="Arial"/>
                <w:b/>
                <w:color w:val="0070C0"/>
                <w:spacing w:val="-1"/>
                <w:sz w:val="18"/>
                <w:szCs w:val="18"/>
              </w:rPr>
              <w:t xml:space="preserve"> </w:t>
            </w:r>
            <w:r w:rsidR="00DE0749" w:rsidRPr="00981659">
              <w:rPr>
                <w:rFonts w:ascii="Arial" w:hAnsi="Arial" w:cs="Arial"/>
                <w:bCs/>
                <w:sz w:val="18"/>
                <w:szCs w:val="18"/>
              </w:rPr>
              <w:t xml:space="preserve">fin de coordinar con </w:t>
            </w:r>
            <w:r w:rsidR="00DE0749" w:rsidRPr="00981659">
              <w:rPr>
                <w:rFonts w:ascii="Arial" w:hAnsi="Arial" w:cs="Arial"/>
                <w:sz w:val="18"/>
                <w:szCs w:val="18"/>
              </w:rPr>
              <w:t>cada uno de los CS</w:t>
            </w:r>
            <w:r w:rsidR="00DE0749" w:rsidRPr="00981659">
              <w:rPr>
                <w:rFonts w:ascii="Arial" w:hAnsi="Arial" w:cs="Arial"/>
                <w:bCs/>
                <w:sz w:val="18"/>
                <w:szCs w:val="18"/>
              </w:rPr>
              <w:t xml:space="preserve"> su reubicación</w:t>
            </w:r>
            <w:r w:rsidR="00DE0749" w:rsidRPr="00981659">
              <w:rPr>
                <w:rFonts w:ascii="Arial" w:hAnsi="Arial" w:cs="Arial"/>
                <w:sz w:val="18"/>
                <w:szCs w:val="18"/>
              </w:rPr>
              <w:t>. Podrá acordarse un tiempo menor entre Telmex / Telnor la EM y el CS debido a un uso más eficiente o una modernización en las tecnologías de acceso, para lo cual solicitará autorización al Instituto.</w:t>
            </w:r>
          </w:p>
        </w:tc>
        <w:tc>
          <w:tcPr>
            <w:tcW w:w="2016" w:type="pct"/>
            <w:tcBorders>
              <w:top w:val="single" w:sz="4" w:space="0" w:color="000000" w:themeColor="text1"/>
              <w:bottom w:val="single" w:sz="4" w:space="0" w:color="000000" w:themeColor="text1"/>
            </w:tcBorders>
          </w:tcPr>
          <w:p w14:paraId="7F47D972" w14:textId="77777777" w:rsidR="00DE0749" w:rsidRPr="00DE0749" w:rsidRDefault="00DE0749" w:rsidP="001D14D5">
            <w:pPr>
              <w:jc w:val="both"/>
              <w:rPr>
                <w:rFonts w:ascii="Arial" w:hAnsi="Arial" w:cs="Arial"/>
                <w:color w:val="000000"/>
                <w:sz w:val="18"/>
                <w:szCs w:val="18"/>
              </w:rPr>
            </w:pPr>
          </w:p>
          <w:p w14:paraId="7F47D973" w14:textId="77777777" w:rsidR="00DE0749" w:rsidRPr="00981659" w:rsidRDefault="00DE0749" w:rsidP="001D14D5">
            <w:pPr>
              <w:jc w:val="both"/>
              <w:rPr>
                <w:rFonts w:ascii="Arial" w:hAnsi="Arial" w:cs="Arial"/>
                <w:color w:val="000000"/>
              </w:rPr>
            </w:pPr>
            <w:r w:rsidRPr="00981659">
              <w:rPr>
                <w:rFonts w:ascii="Arial" w:hAnsi="Arial" w:cs="Arial"/>
                <w:color w:val="000000"/>
              </w:rPr>
              <w:t>Ajustes conforme a la medida TRIGESIMA del Anexo 3, 3ra revisión bienal Resolución P/IFT/301024/428</w:t>
            </w:r>
          </w:p>
          <w:p w14:paraId="7F47D974" w14:textId="77777777" w:rsidR="00DE0749" w:rsidRPr="00DF058F" w:rsidRDefault="00DE0749" w:rsidP="001D14D5">
            <w:pPr>
              <w:jc w:val="both"/>
              <w:rPr>
                <w:rFonts w:ascii="Arial" w:hAnsi="Arial" w:cs="Arial"/>
                <w:b/>
                <w:color w:val="000000"/>
                <w:sz w:val="18"/>
                <w:szCs w:val="18"/>
              </w:rPr>
            </w:pPr>
          </w:p>
        </w:tc>
      </w:tr>
      <w:tr w:rsidR="00AF1674" w:rsidRPr="00C83E51" w14:paraId="7F47D989" w14:textId="77777777" w:rsidTr="00466FA2">
        <w:trPr>
          <w:trHeight w:val="564"/>
        </w:trPr>
        <w:tc>
          <w:tcPr>
            <w:tcW w:w="132" w:type="pct"/>
            <w:vAlign w:val="center"/>
          </w:tcPr>
          <w:p w14:paraId="7F47D976" w14:textId="77777777" w:rsidR="00AF1674" w:rsidRDefault="00981659"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lastRenderedPageBreak/>
              <w:t>5</w:t>
            </w:r>
          </w:p>
        </w:tc>
        <w:tc>
          <w:tcPr>
            <w:tcW w:w="494" w:type="pct"/>
            <w:vAlign w:val="center"/>
          </w:tcPr>
          <w:p w14:paraId="7F47D977" w14:textId="77777777" w:rsidR="00AF1674" w:rsidRDefault="00AF1674" w:rsidP="001D62A9">
            <w:pPr>
              <w:jc w:val="both"/>
              <w:rPr>
                <w:rFonts w:ascii="Arial" w:hAnsi="Arial" w:cs="Arial"/>
                <w:color w:val="000000"/>
                <w:sz w:val="20"/>
                <w:szCs w:val="20"/>
              </w:rPr>
            </w:pPr>
            <w:r>
              <w:rPr>
                <w:rFonts w:ascii="Arial" w:hAnsi="Arial" w:cs="Arial"/>
                <w:color w:val="000000"/>
                <w:sz w:val="20"/>
                <w:szCs w:val="20"/>
              </w:rPr>
              <w:t>3.</w:t>
            </w:r>
            <w:r w:rsidRPr="00AF1674">
              <w:rPr>
                <w:rFonts w:ascii="Arial" w:hAnsi="Arial" w:cs="Arial"/>
                <w:color w:val="000000"/>
                <w:sz w:val="20"/>
                <w:szCs w:val="20"/>
              </w:rPr>
              <w:t>Información relacionada con los servicios</w:t>
            </w:r>
          </w:p>
        </w:tc>
        <w:tc>
          <w:tcPr>
            <w:tcW w:w="458" w:type="pct"/>
            <w:shd w:val="clear" w:color="auto" w:fill="auto"/>
            <w:vAlign w:val="center"/>
          </w:tcPr>
          <w:p w14:paraId="7F47D978" w14:textId="77777777" w:rsidR="009A5B53" w:rsidRPr="00FF2732" w:rsidRDefault="00FF2732" w:rsidP="009A5B53">
            <w:pPr>
              <w:jc w:val="both"/>
              <w:rPr>
                <w:rFonts w:ascii="Arial" w:hAnsi="Arial" w:cs="Arial"/>
                <w:b/>
                <w:color w:val="000000"/>
                <w:sz w:val="20"/>
                <w:szCs w:val="20"/>
              </w:rPr>
            </w:pPr>
            <w:r w:rsidRPr="00FF2732">
              <w:rPr>
                <w:rFonts w:ascii="Arial" w:hAnsi="Arial" w:cs="Arial"/>
                <w:b/>
                <w:color w:val="000000"/>
                <w:sz w:val="20"/>
                <w:szCs w:val="20"/>
              </w:rPr>
              <w:t>A</w:t>
            </w:r>
            <w:r w:rsidR="009A5B53" w:rsidRPr="00FF2732">
              <w:rPr>
                <w:rFonts w:ascii="Arial" w:hAnsi="Arial" w:cs="Arial"/>
                <w:b/>
                <w:color w:val="000000"/>
                <w:sz w:val="20"/>
                <w:szCs w:val="20"/>
              </w:rPr>
              <w:t xml:space="preserve">cceso a la información en el sitio de Internet </w:t>
            </w:r>
          </w:p>
          <w:p w14:paraId="7F47D979" w14:textId="77777777" w:rsidR="00AF1674" w:rsidRPr="00DE0749" w:rsidRDefault="00AF1674" w:rsidP="001D14D5">
            <w:pPr>
              <w:pStyle w:val="IFTnormal"/>
              <w:spacing w:after="0"/>
              <w:jc w:val="left"/>
              <w:rPr>
                <w:rFonts w:ascii="Arial" w:hAnsi="Arial" w:cs="Arial"/>
                <w:b/>
                <w:sz w:val="18"/>
                <w:szCs w:val="20"/>
                <w:lang w:eastAsia="es-MX"/>
              </w:rPr>
            </w:pPr>
          </w:p>
        </w:tc>
        <w:tc>
          <w:tcPr>
            <w:tcW w:w="1900" w:type="pct"/>
            <w:shd w:val="clear" w:color="auto" w:fill="auto"/>
            <w:vAlign w:val="center"/>
          </w:tcPr>
          <w:p w14:paraId="7F47D97A" w14:textId="77777777" w:rsidR="00AF1674" w:rsidRPr="00981659" w:rsidRDefault="00AF1674" w:rsidP="00AF1674">
            <w:pPr>
              <w:pStyle w:val="Ttulo1"/>
              <w:keepLines w:val="0"/>
              <w:tabs>
                <w:tab w:val="left" w:pos="284"/>
              </w:tabs>
              <w:spacing w:before="240" w:after="240"/>
              <w:rPr>
                <w:rFonts w:ascii="Arial" w:hAnsi="Arial" w:cs="Arial"/>
                <w:color w:val="auto"/>
                <w:sz w:val="18"/>
                <w:szCs w:val="18"/>
              </w:rPr>
            </w:pPr>
            <w:bookmarkStart w:id="9" w:name="_Toc436840873"/>
            <w:bookmarkStart w:id="10" w:name="_Toc436846310"/>
            <w:bookmarkStart w:id="11" w:name="_Toc436848260"/>
            <w:bookmarkStart w:id="12" w:name="_Toc436856508"/>
            <w:bookmarkStart w:id="13" w:name="_Toc436862654"/>
            <w:bookmarkStart w:id="14" w:name="_Toc436866304"/>
            <w:bookmarkStart w:id="15" w:name="_Toc436870883"/>
            <w:bookmarkStart w:id="16" w:name="_Toc436875875"/>
            <w:bookmarkStart w:id="17" w:name="_Toc467248688"/>
            <w:bookmarkStart w:id="18" w:name="_Toc525904552"/>
            <w:bookmarkStart w:id="19" w:name="_Toc525913948"/>
            <w:bookmarkStart w:id="20" w:name="_Toc525919187"/>
            <w:bookmarkStart w:id="21" w:name="_Toc525919311"/>
            <w:bookmarkStart w:id="22" w:name="_Toc2957121"/>
            <w:bookmarkStart w:id="23" w:name="_Toc26273060"/>
            <w:bookmarkStart w:id="24" w:name="_Toc26284458"/>
            <w:bookmarkStart w:id="25" w:name="_Toc54106559"/>
            <w:bookmarkStart w:id="26" w:name="_Toc178438957"/>
            <w:r w:rsidRPr="00981659">
              <w:rPr>
                <w:rFonts w:ascii="Arial" w:hAnsi="Arial" w:cs="Arial"/>
                <w:color w:val="auto"/>
                <w:sz w:val="18"/>
                <w:szCs w:val="18"/>
              </w:rPr>
              <w:t>3. Información relacionada con los servicios</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7F47D97B" w14:textId="77777777" w:rsidR="00AF1674" w:rsidRPr="00981659" w:rsidRDefault="00AF1674" w:rsidP="0058345C">
            <w:pPr>
              <w:pStyle w:val="IFTnormal"/>
              <w:spacing w:after="120"/>
              <w:rPr>
                <w:rFonts w:ascii="Arial" w:hAnsi="Arial" w:cs="Arial"/>
                <w:sz w:val="18"/>
                <w:szCs w:val="18"/>
              </w:rPr>
            </w:pPr>
            <w:r w:rsidRPr="00981659">
              <w:rPr>
                <w:rFonts w:ascii="Arial" w:hAnsi="Arial" w:cs="Arial"/>
                <w:sz w:val="18"/>
                <w:szCs w:val="18"/>
              </w:rPr>
              <w:t xml:space="preserve">La información con la que cuenta Telmex / Telnor se pone a disposición de los CS </w:t>
            </w:r>
            <w:r w:rsidRPr="00981659">
              <w:rPr>
                <w:rFonts w:ascii="Arial" w:hAnsi="Arial" w:cs="Arial"/>
                <w:strike/>
                <w:color w:val="FF0000"/>
                <w:sz w:val="18"/>
                <w:szCs w:val="18"/>
              </w:rPr>
              <w:t xml:space="preserve">a través de una interfaz en el sitio de Internet en el que Telmex / Telnor publica su OREDA </w:t>
            </w:r>
            <w:r w:rsidRPr="00981659">
              <w:rPr>
                <w:rFonts w:ascii="Arial" w:hAnsi="Arial" w:cs="Arial"/>
                <w:sz w:val="18"/>
                <w:szCs w:val="18"/>
              </w:rPr>
              <w:t>o a través del SEG, la cual debe cumplir con lo establecido en el Acuerdo de Separación Funcional respecto a su independencia. Todos los CS, incluyendo a los concesionarios del AEP, contarán con los mismos sistemas y herramie</w:t>
            </w:r>
            <w:r w:rsidR="0058345C" w:rsidRPr="00981659">
              <w:rPr>
                <w:rFonts w:ascii="Arial" w:hAnsi="Arial" w:cs="Arial"/>
                <w:sz w:val="18"/>
                <w:szCs w:val="18"/>
              </w:rPr>
              <w:t>ntas de consulta e información.</w:t>
            </w:r>
          </w:p>
          <w:p w14:paraId="7F47D97C" w14:textId="77777777" w:rsidR="00437C39" w:rsidRPr="00981659" w:rsidRDefault="00437C39" w:rsidP="0058345C">
            <w:pPr>
              <w:pStyle w:val="IFTnormal"/>
              <w:spacing w:after="120"/>
              <w:rPr>
                <w:rFonts w:ascii="Arial" w:hAnsi="Arial" w:cs="Arial"/>
                <w:sz w:val="18"/>
                <w:szCs w:val="18"/>
              </w:rPr>
            </w:pPr>
            <w:r w:rsidRPr="00981659">
              <w:rPr>
                <w:rFonts w:ascii="Arial" w:hAnsi="Arial" w:cs="Arial"/>
                <w:sz w:val="18"/>
                <w:szCs w:val="18"/>
              </w:rPr>
              <w:t>…</w:t>
            </w:r>
          </w:p>
          <w:p w14:paraId="7F47D97D" w14:textId="77777777" w:rsidR="00437C39" w:rsidRPr="00981659" w:rsidRDefault="00437C39" w:rsidP="00437C39">
            <w:pPr>
              <w:pStyle w:val="IFTnormal"/>
              <w:spacing w:after="120"/>
              <w:rPr>
                <w:rFonts w:ascii="Arial" w:hAnsi="Arial" w:cs="Arial"/>
                <w:strike/>
                <w:color w:val="FF0000"/>
                <w:sz w:val="18"/>
                <w:szCs w:val="18"/>
              </w:rPr>
            </w:pPr>
            <w:r w:rsidRPr="00981659">
              <w:rPr>
                <w:rFonts w:ascii="Arial" w:hAnsi="Arial" w:cs="Arial"/>
                <w:strike/>
                <w:color w:val="FF0000"/>
                <w:sz w:val="18"/>
                <w:szCs w:val="18"/>
              </w:rPr>
              <w:t xml:space="preserve">3.4 Procedimiento de acceso a la información contenida en el sitio de Internet </w:t>
            </w:r>
          </w:p>
          <w:p w14:paraId="7F47D97E" w14:textId="77777777" w:rsidR="00437C39" w:rsidRPr="00981659" w:rsidRDefault="00437C39" w:rsidP="00437C39">
            <w:pPr>
              <w:pStyle w:val="IFTnormal"/>
              <w:spacing w:after="120"/>
              <w:rPr>
                <w:rFonts w:ascii="Arial" w:hAnsi="Arial" w:cs="Arial"/>
                <w:strike/>
                <w:color w:val="FF0000"/>
                <w:sz w:val="18"/>
                <w:szCs w:val="18"/>
              </w:rPr>
            </w:pPr>
            <w:r w:rsidRPr="00981659">
              <w:rPr>
                <w:rFonts w:ascii="Arial" w:hAnsi="Arial" w:cs="Arial"/>
                <w:strike/>
                <w:color w:val="FF0000"/>
                <w:sz w:val="18"/>
                <w:szCs w:val="18"/>
              </w:rPr>
              <w:t>Para el acceso a la información a través de la interfaz en la página de internet de Telmex / Telnor, el CS deberá contar con el usuario y contraseña descritos en el punto 3.1.</w:t>
            </w:r>
          </w:p>
          <w:p w14:paraId="7F47D97F" w14:textId="77777777" w:rsidR="00437C39" w:rsidRPr="00981659" w:rsidRDefault="00437C39" w:rsidP="00437C39">
            <w:pPr>
              <w:pStyle w:val="IFTnormal"/>
              <w:spacing w:after="120"/>
              <w:rPr>
                <w:rFonts w:ascii="Arial" w:hAnsi="Arial" w:cs="Arial"/>
                <w:strike/>
                <w:color w:val="FF0000"/>
                <w:sz w:val="18"/>
                <w:szCs w:val="18"/>
              </w:rPr>
            </w:pPr>
            <w:r w:rsidRPr="00981659">
              <w:rPr>
                <w:rFonts w:ascii="Arial" w:hAnsi="Arial" w:cs="Arial"/>
                <w:strike/>
                <w:color w:val="FF0000"/>
                <w:sz w:val="18"/>
                <w:szCs w:val="18"/>
              </w:rPr>
              <w:t>Los pasos para ingresar al Sitio y realizar consultas serán los siguientes:</w:t>
            </w:r>
          </w:p>
          <w:p w14:paraId="7F47D980"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Entrar al sitio http://www.telmex.com/</w:t>
            </w:r>
          </w:p>
          <w:p w14:paraId="7F47D981"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Seleccionar el apartado “Ofertas de Servicios Mayoristas”.</w:t>
            </w:r>
          </w:p>
          <w:p w14:paraId="7F47D982"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Seleccionar el apartado “Oferta de Referencia para la Desagregación del Bucle Local”.</w:t>
            </w:r>
          </w:p>
          <w:p w14:paraId="7F47D983"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Seleccionar el apartado “Consulta de Información”.</w:t>
            </w:r>
          </w:p>
          <w:p w14:paraId="7F47D984"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Ingresar las credenciales (Usuario y Contraseña) que le fueron otorgadas por Telmex / Telnor.</w:t>
            </w:r>
          </w:p>
          <w:p w14:paraId="7F47D985"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El CS deberá seleccionar el tipo de información en la cual está interesado.</w:t>
            </w:r>
          </w:p>
          <w:p w14:paraId="7F47D986" w14:textId="77777777" w:rsidR="00437C39" w:rsidRPr="00981659" w:rsidRDefault="00437C39" w:rsidP="006971B4">
            <w:pPr>
              <w:pStyle w:val="IFTnormal"/>
              <w:numPr>
                <w:ilvl w:val="0"/>
                <w:numId w:val="13"/>
              </w:numPr>
              <w:spacing w:after="0" w:line="240" w:lineRule="auto"/>
              <w:rPr>
                <w:rFonts w:ascii="Arial" w:hAnsi="Arial" w:cs="Arial"/>
                <w:strike/>
                <w:color w:val="FF0000"/>
                <w:sz w:val="18"/>
                <w:szCs w:val="18"/>
              </w:rPr>
            </w:pPr>
            <w:r w:rsidRPr="00981659">
              <w:rPr>
                <w:rFonts w:ascii="Arial" w:hAnsi="Arial" w:cs="Arial"/>
                <w:strike/>
                <w:color w:val="FF0000"/>
                <w:sz w:val="18"/>
                <w:szCs w:val="18"/>
              </w:rPr>
              <w:t>En la página de internet se desplegará la información solicitada.</w:t>
            </w:r>
          </w:p>
        </w:tc>
        <w:tc>
          <w:tcPr>
            <w:tcW w:w="2016" w:type="pct"/>
            <w:tcBorders>
              <w:top w:val="single" w:sz="4" w:space="0" w:color="000000" w:themeColor="text1"/>
              <w:bottom w:val="single" w:sz="4" w:space="0" w:color="000000" w:themeColor="text1"/>
            </w:tcBorders>
          </w:tcPr>
          <w:p w14:paraId="7F47D987" w14:textId="77777777" w:rsidR="0058345C" w:rsidRDefault="0058345C" w:rsidP="001D14D5">
            <w:pPr>
              <w:jc w:val="both"/>
              <w:rPr>
                <w:rFonts w:ascii="Arial" w:hAnsi="Arial" w:cs="Arial"/>
                <w:color w:val="000000"/>
                <w:sz w:val="18"/>
                <w:szCs w:val="18"/>
              </w:rPr>
            </w:pPr>
          </w:p>
          <w:p w14:paraId="7F47D988" w14:textId="77777777" w:rsidR="00573667" w:rsidRPr="00573667" w:rsidRDefault="009A5B53" w:rsidP="00BE09DB">
            <w:pPr>
              <w:jc w:val="both"/>
              <w:rPr>
                <w:rFonts w:ascii="Arial" w:hAnsi="Arial" w:cs="Arial"/>
                <w:b/>
                <w:color w:val="000000"/>
                <w:sz w:val="18"/>
                <w:szCs w:val="18"/>
              </w:rPr>
            </w:pPr>
            <w:r w:rsidRPr="009A5B53">
              <w:rPr>
                <w:rFonts w:ascii="Arial" w:hAnsi="Arial" w:cs="Arial"/>
                <w:color w:val="000000"/>
              </w:rPr>
              <w:t xml:space="preserve">Se solicita eliminar el acceso a la información a través del sitio de Internet, toda vez que el único medio oficial de comunicación </w:t>
            </w:r>
            <w:r w:rsidR="00BE09DB">
              <w:rPr>
                <w:rFonts w:ascii="Arial" w:hAnsi="Arial" w:cs="Arial"/>
                <w:color w:val="000000"/>
              </w:rPr>
              <w:t>determinado en la M</w:t>
            </w:r>
            <w:r w:rsidRPr="009A5B53">
              <w:rPr>
                <w:rFonts w:ascii="Arial" w:hAnsi="Arial" w:cs="Arial"/>
                <w:color w:val="000000"/>
              </w:rPr>
              <w:t xml:space="preserve">edidas de </w:t>
            </w:r>
            <w:r w:rsidR="00BE09DB">
              <w:rPr>
                <w:rFonts w:ascii="Arial" w:hAnsi="Arial" w:cs="Arial"/>
                <w:color w:val="000000"/>
              </w:rPr>
              <w:t>P</w:t>
            </w:r>
            <w:r w:rsidRPr="009A5B53">
              <w:rPr>
                <w:rFonts w:ascii="Arial" w:hAnsi="Arial" w:cs="Arial"/>
                <w:color w:val="000000"/>
              </w:rPr>
              <w:t>reponderancia es el SEG. Este sistema ya proporciona el acceso completo y oportuno a las bases de datos referidas en el presente numeral, por lo que mantener un c</w:t>
            </w:r>
            <w:r w:rsidR="00726C7C">
              <w:rPr>
                <w:rFonts w:ascii="Arial" w:hAnsi="Arial" w:cs="Arial"/>
                <w:color w:val="000000"/>
              </w:rPr>
              <w:t>anal alterno resulta redundante e</w:t>
            </w:r>
            <w:r w:rsidRPr="009A5B53">
              <w:rPr>
                <w:rFonts w:ascii="Arial" w:hAnsi="Arial" w:cs="Arial"/>
                <w:color w:val="000000"/>
              </w:rPr>
              <w:t xml:space="preserve"> innecesario</w:t>
            </w:r>
            <w:r>
              <w:rPr>
                <w:rFonts w:ascii="Arial" w:hAnsi="Arial" w:cs="Arial"/>
                <w:color w:val="000000"/>
              </w:rPr>
              <w:t>.</w:t>
            </w:r>
          </w:p>
        </w:tc>
      </w:tr>
      <w:tr w:rsidR="00AF1674" w:rsidRPr="00C83E51" w14:paraId="7F47D9A0" w14:textId="77777777" w:rsidTr="00466FA2">
        <w:trPr>
          <w:trHeight w:val="1052"/>
        </w:trPr>
        <w:tc>
          <w:tcPr>
            <w:tcW w:w="132" w:type="pct"/>
            <w:vAlign w:val="center"/>
          </w:tcPr>
          <w:p w14:paraId="7F47D98A" w14:textId="77777777" w:rsidR="00DE0749" w:rsidRDefault="009A5B53" w:rsidP="000E7E9F">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t>6</w:t>
            </w:r>
          </w:p>
        </w:tc>
        <w:tc>
          <w:tcPr>
            <w:tcW w:w="494" w:type="pct"/>
            <w:vAlign w:val="center"/>
          </w:tcPr>
          <w:p w14:paraId="7F47D98B" w14:textId="77777777" w:rsidR="009A5B53" w:rsidRPr="009A5B53" w:rsidRDefault="009A5B53" w:rsidP="009A5B53">
            <w:pPr>
              <w:jc w:val="both"/>
              <w:rPr>
                <w:rFonts w:ascii="Arial" w:hAnsi="Arial" w:cs="Arial"/>
                <w:color w:val="000000"/>
                <w:sz w:val="20"/>
                <w:szCs w:val="20"/>
              </w:rPr>
            </w:pPr>
            <w:r>
              <w:rPr>
                <w:rFonts w:ascii="Arial" w:hAnsi="Arial" w:cs="Arial"/>
                <w:color w:val="000000"/>
                <w:sz w:val="20"/>
                <w:szCs w:val="20"/>
              </w:rPr>
              <w:t xml:space="preserve"> </w:t>
            </w:r>
            <w:r w:rsidRPr="009A5B53">
              <w:rPr>
                <w:rFonts w:ascii="Arial" w:hAnsi="Arial" w:cs="Arial"/>
                <w:color w:val="000000"/>
                <w:sz w:val="20"/>
                <w:szCs w:val="20"/>
              </w:rPr>
              <w:t>3.6 Procedimiento de acceso a la información de forma presencial</w:t>
            </w:r>
            <w:r>
              <w:rPr>
                <w:rFonts w:ascii="Arial" w:hAnsi="Arial" w:cs="Arial"/>
                <w:color w:val="000000"/>
                <w:sz w:val="20"/>
                <w:szCs w:val="20"/>
              </w:rPr>
              <w:t xml:space="preserve"> y</w:t>
            </w:r>
          </w:p>
          <w:p w14:paraId="7F47D98C" w14:textId="77777777" w:rsidR="00DE0749" w:rsidRDefault="00DE0749" w:rsidP="000E7E9F">
            <w:pPr>
              <w:jc w:val="both"/>
              <w:rPr>
                <w:rFonts w:ascii="Arial" w:hAnsi="Arial" w:cs="Arial"/>
                <w:color w:val="000000"/>
                <w:sz w:val="20"/>
                <w:szCs w:val="20"/>
              </w:rPr>
            </w:pPr>
            <w:r>
              <w:rPr>
                <w:rFonts w:ascii="Arial" w:hAnsi="Arial" w:cs="Arial"/>
                <w:color w:val="000000"/>
                <w:sz w:val="20"/>
                <w:szCs w:val="20"/>
              </w:rPr>
              <w:t>3.7 P</w:t>
            </w:r>
            <w:r w:rsidRPr="00323135">
              <w:rPr>
                <w:rFonts w:ascii="Arial" w:hAnsi="Arial" w:cs="Arial"/>
                <w:color w:val="000000"/>
                <w:sz w:val="20"/>
                <w:szCs w:val="20"/>
              </w:rPr>
              <w:t>rocedimiento de acceso a la información a través del medio alterno</w:t>
            </w:r>
            <w:r>
              <w:rPr>
                <w:rFonts w:ascii="Arial" w:hAnsi="Arial" w:cs="Arial"/>
                <w:color w:val="000000"/>
                <w:sz w:val="20"/>
                <w:szCs w:val="20"/>
              </w:rPr>
              <w:t>.</w:t>
            </w:r>
          </w:p>
        </w:tc>
        <w:tc>
          <w:tcPr>
            <w:tcW w:w="458" w:type="pct"/>
            <w:shd w:val="clear" w:color="auto" w:fill="auto"/>
            <w:vAlign w:val="center"/>
          </w:tcPr>
          <w:p w14:paraId="7F47D98D" w14:textId="77777777" w:rsidR="00DE0749" w:rsidRDefault="00DE0749" w:rsidP="009A5B53">
            <w:pPr>
              <w:pStyle w:val="IFTnormal"/>
              <w:spacing w:after="0"/>
              <w:jc w:val="left"/>
              <w:rPr>
                <w:rFonts w:ascii="Arial" w:hAnsi="Arial" w:cs="Arial"/>
                <w:b/>
                <w:sz w:val="20"/>
                <w:szCs w:val="20"/>
                <w:lang w:eastAsia="es-MX"/>
              </w:rPr>
            </w:pPr>
            <w:r>
              <w:rPr>
                <w:rFonts w:ascii="Arial" w:hAnsi="Arial" w:cs="Arial"/>
                <w:b/>
                <w:sz w:val="20"/>
                <w:szCs w:val="20"/>
                <w:lang w:eastAsia="es-MX"/>
              </w:rPr>
              <w:t>Acceso a la información de manera presencial</w:t>
            </w:r>
            <w:r w:rsidR="009A5B53">
              <w:rPr>
                <w:rFonts w:ascii="Arial" w:hAnsi="Arial" w:cs="Arial"/>
                <w:b/>
                <w:sz w:val="20"/>
                <w:szCs w:val="20"/>
                <w:lang w:eastAsia="es-MX"/>
              </w:rPr>
              <w:t xml:space="preserve"> o medio alternativo</w:t>
            </w:r>
          </w:p>
        </w:tc>
        <w:tc>
          <w:tcPr>
            <w:tcW w:w="1900" w:type="pct"/>
            <w:shd w:val="clear" w:color="auto" w:fill="auto"/>
            <w:vAlign w:val="center"/>
          </w:tcPr>
          <w:p w14:paraId="7F47D98E" w14:textId="77777777" w:rsidR="009A5B53" w:rsidRDefault="009A5B53" w:rsidP="000E7E9F">
            <w:pPr>
              <w:pStyle w:val="Texto1"/>
              <w:spacing w:after="240" w:line="276" w:lineRule="auto"/>
              <w:ind w:left="0"/>
              <w:rPr>
                <w:rFonts w:ascii="Arial" w:hAnsi="Arial" w:cs="Arial"/>
                <w:b/>
                <w:strike/>
                <w:color w:val="FF0000"/>
                <w:sz w:val="18"/>
                <w:szCs w:val="18"/>
              </w:rPr>
            </w:pPr>
            <w:bookmarkStart w:id="27" w:name="_Toc436840879"/>
            <w:bookmarkStart w:id="28" w:name="_Toc436846316"/>
            <w:bookmarkStart w:id="29" w:name="_Toc436848266"/>
            <w:bookmarkStart w:id="30" w:name="_Toc436856514"/>
            <w:bookmarkStart w:id="31" w:name="_Toc436862660"/>
            <w:bookmarkStart w:id="32" w:name="_Toc436866310"/>
            <w:bookmarkStart w:id="33" w:name="_Toc436870889"/>
            <w:bookmarkStart w:id="34" w:name="_Toc436875881"/>
            <w:bookmarkStart w:id="35" w:name="_Toc467248694"/>
            <w:bookmarkStart w:id="36" w:name="_Toc525904558"/>
            <w:bookmarkStart w:id="37" w:name="_Toc525913954"/>
            <w:bookmarkStart w:id="38" w:name="_Toc525919193"/>
            <w:bookmarkStart w:id="39" w:name="_Toc525919317"/>
            <w:bookmarkStart w:id="40" w:name="_Toc26273065"/>
            <w:bookmarkStart w:id="41" w:name="_Toc26284463"/>
            <w:bookmarkStart w:id="42" w:name="_Toc2957127"/>
            <w:bookmarkStart w:id="43" w:name="_Toc54106568"/>
            <w:bookmarkStart w:id="44" w:name="_Toc178438964"/>
          </w:p>
          <w:p w14:paraId="7F47D98F" w14:textId="77777777" w:rsidR="00DE0749" w:rsidRPr="00981659" w:rsidRDefault="00DE0749" w:rsidP="009A5B53">
            <w:pPr>
              <w:pStyle w:val="Texto1"/>
              <w:spacing w:after="120" w:line="276" w:lineRule="auto"/>
              <w:ind w:left="0"/>
              <w:rPr>
                <w:rFonts w:ascii="Arial" w:hAnsi="Arial" w:cs="Arial"/>
                <w:b/>
                <w:strike/>
                <w:color w:val="FF0000"/>
                <w:sz w:val="18"/>
                <w:szCs w:val="18"/>
              </w:rPr>
            </w:pPr>
            <w:r w:rsidRPr="00981659">
              <w:rPr>
                <w:rFonts w:ascii="Arial" w:hAnsi="Arial" w:cs="Arial"/>
                <w:b/>
                <w:strike/>
                <w:color w:val="FF0000"/>
                <w:sz w:val="18"/>
                <w:szCs w:val="18"/>
              </w:rPr>
              <w:t>3.6 Procedimiento de acceso a la información de forma presencial</w:t>
            </w:r>
          </w:p>
          <w:p w14:paraId="7F47D990" w14:textId="77777777" w:rsidR="00DE0749" w:rsidRPr="00981659" w:rsidRDefault="00DE0749" w:rsidP="009A5B53">
            <w:pPr>
              <w:pStyle w:val="Texto1"/>
              <w:spacing w:after="120" w:line="276" w:lineRule="auto"/>
              <w:ind w:left="0"/>
              <w:rPr>
                <w:rFonts w:ascii="Arial" w:hAnsi="Arial" w:cs="Arial"/>
                <w:strike/>
                <w:color w:val="FF0000"/>
                <w:sz w:val="18"/>
                <w:szCs w:val="18"/>
              </w:rPr>
            </w:pPr>
            <w:r w:rsidRPr="00981659">
              <w:rPr>
                <w:rFonts w:ascii="Arial" w:hAnsi="Arial" w:cs="Arial"/>
                <w:strike/>
                <w:color w:val="FF0000"/>
                <w:sz w:val="18"/>
                <w:szCs w:val="18"/>
              </w:rPr>
              <w:t>Este procedimiento aplicará en caso de que el acceso vía internet no esté operando adecuadamente, o cuando el CS lo requiera; para acceder al mismo se deberá llevar a cabo el siguiente procedimiento:</w:t>
            </w:r>
          </w:p>
          <w:p w14:paraId="7F47D991" w14:textId="77777777" w:rsidR="00DE0749" w:rsidRPr="00981659" w:rsidRDefault="00DE0749" w:rsidP="006971B4">
            <w:pPr>
              <w:pStyle w:val="Texto1"/>
              <w:numPr>
                <w:ilvl w:val="0"/>
                <w:numId w:val="10"/>
              </w:numPr>
              <w:spacing w:line="276" w:lineRule="auto"/>
              <w:rPr>
                <w:rFonts w:ascii="Arial" w:hAnsi="Arial" w:cs="Arial"/>
                <w:strike/>
                <w:color w:val="FF0000"/>
                <w:sz w:val="18"/>
                <w:szCs w:val="18"/>
              </w:rPr>
            </w:pPr>
            <w:r w:rsidRPr="00981659">
              <w:rPr>
                <w:rFonts w:ascii="Arial" w:hAnsi="Arial" w:cs="Arial"/>
                <w:strike/>
                <w:color w:val="FF0000"/>
                <w:sz w:val="18"/>
                <w:szCs w:val="18"/>
              </w:rPr>
              <w:t xml:space="preserve">El Responsable del CS deberá acudir a las instalaciones de Telmex / Telnor  (Parque Vía 190, Colonia Cuauhtémoc, Demarcación Territorial Cuauhtémoc, C.P. 06500, Ciudad de México), Piso 9, Área de Atención a Operadores, Grupo de Servicios de Desagregación, en un horario de 09:00 a 14:00 y de 16:00 a 19:00 horas de lunes a viernes, e identificarse adecuadamente, mostrando una identificación oficial, la credencial vigente de su empresa, y una carta membretada debidamente firmada por el representante legal del CS, en la cual se le autorice para solicitar y recibir </w:t>
            </w:r>
            <w:r w:rsidRPr="00981659">
              <w:rPr>
                <w:rFonts w:ascii="Arial" w:hAnsi="Arial" w:cs="Arial"/>
                <w:strike/>
                <w:color w:val="FF0000"/>
                <w:sz w:val="18"/>
                <w:szCs w:val="18"/>
              </w:rPr>
              <w:lastRenderedPageBreak/>
              <w:t>acceso a consulta de información presencial, la cual se acompañará del acta notarial en el que conste la personalidad del representante legal del CS.</w:t>
            </w:r>
          </w:p>
          <w:p w14:paraId="7F47D992" w14:textId="77777777" w:rsidR="00DE0749" w:rsidRPr="00981659" w:rsidRDefault="00DE0749" w:rsidP="006971B4">
            <w:pPr>
              <w:pStyle w:val="Texto1"/>
              <w:numPr>
                <w:ilvl w:val="0"/>
                <w:numId w:val="10"/>
              </w:numPr>
              <w:spacing w:line="276" w:lineRule="auto"/>
              <w:rPr>
                <w:rFonts w:ascii="Arial" w:hAnsi="Arial" w:cs="Arial"/>
                <w:strike/>
                <w:color w:val="FF0000"/>
                <w:sz w:val="18"/>
                <w:szCs w:val="18"/>
              </w:rPr>
            </w:pPr>
            <w:r w:rsidRPr="00981659">
              <w:rPr>
                <w:rFonts w:ascii="Arial" w:hAnsi="Arial" w:cs="Arial"/>
                <w:strike/>
                <w:color w:val="FF0000"/>
                <w:sz w:val="18"/>
                <w:szCs w:val="18"/>
              </w:rPr>
              <w:t>Una vez acreditada la identidad y autorización del responsable del CS, éste deberá llenar el formato de solicitud de información y entregarlo al personal de Telmex / Telnor para efectuar la validación. La solicitud de información podrá contemplar la totalidad de la información de las bases de datos establecidas en esta sección de la OREDA.</w:t>
            </w:r>
          </w:p>
          <w:p w14:paraId="7F47D993" w14:textId="77777777" w:rsidR="00DE0749" w:rsidRPr="00981659" w:rsidRDefault="00DE0749" w:rsidP="006971B4">
            <w:pPr>
              <w:pStyle w:val="Texto1"/>
              <w:numPr>
                <w:ilvl w:val="0"/>
                <w:numId w:val="10"/>
              </w:numPr>
              <w:spacing w:after="240" w:line="276" w:lineRule="auto"/>
              <w:ind w:left="714" w:hanging="357"/>
              <w:rPr>
                <w:rFonts w:ascii="Arial" w:hAnsi="Arial" w:cs="Arial"/>
                <w:strike/>
                <w:color w:val="FF0000"/>
                <w:sz w:val="18"/>
                <w:szCs w:val="18"/>
              </w:rPr>
            </w:pPr>
            <w:r w:rsidRPr="00981659">
              <w:rPr>
                <w:rFonts w:ascii="Arial" w:hAnsi="Arial" w:cs="Arial"/>
                <w:strike/>
                <w:color w:val="FF0000"/>
                <w:sz w:val="18"/>
                <w:szCs w:val="18"/>
              </w:rPr>
              <w:t>Cubierto el punto anterior, en un día hábil Telmex / Telnor entregará la información solicitada mediante discos compactos o unidades de almacenamiento digital.</w:t>
            </w:r>
          </w:p>
          <w:p w14:paraId="7F47D994" w14:textId="77777777" w:rsidR="00DE0749" w:rsidRPr="00981659" w:rsidRDefault="00DE0749" w:rsidP="009939F7">
            <w:pPr>
              <w:spacing w:after="0"/>
              <w:jc w:val="both"/>
              <w:rPr>
                <w:rFonts w:ascii="Arial" w:hAnsi="Arial" w:cs="Arial"/>
                <w:b/>
                <w:strike/>
                <w:color w:val="FF0000"/>
                <w:sz w:val="18"/>
                <w:szCs w:val="18"/>
              </w:rPr>
            </w:pPr>
            <w:r w:rsidRPr="00981659">
              <w:rPr>
                <w:rFonts w:ascii="Arial" w:hAnsi="Arial" w:cs="Arial"/>
                <w:b/>
                <w:strike/>
                <w:color w:val="FF0000"/>
                <w:sz w:val="18"/>
                <w:szCs w:val="18"/>
              </w:rPr>
              <w:t>3.7 Procedimiento de acceso a la información a través del medio alterno</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7F47D995" w14:textId="77777777" w:rsidR="00DE0749" w:rsidRPr="00981659" w:rsidRDefault="00DE0749" w:rsidP="000E7E9F">
            <w:pPr>
              <w:spacing w:after="0"/>
              <w:jc w:val="both"/>
              <w:rPr>
                <w:rFonts w:ascii="Arial" w:hAnsi="Arial" w:cs="Arial"/>
                <w:b/>
                <w:strike/>
                <w:color w:val="FF0000"/>
                <w:sz w:val="18"/>
                <w:szCs w:val="18"/>
              </w:rPr>
            </w:pPr>
          </w:p>
          <w:p w14:paraId="7F47D996" w14:textId="77777777" w:rsidR="00DE0749" w:rsidRPr="00981659" w:rsidRDefault="00DE0749" w:rsidP="000E7E9F">
            <w:pPr>
              <w:spacing w:after="0"/>
              <w:jc w:val="both"/>
              <w:rPr>
                <w:rFonts w:ascii="Arial" w:hAnsi="Arial" w:cs="Arial"/>
                <w:strike/>
                <w:color w:val="FF0000"/>
                <w:sz w:val="18"/>
                <w:szCs w:val="18"/>
              </w:rPr>
            </w:pPr>
            <w:r w:rsidRPr="00981659">
              <w:rPr>
                <w:rFonts w:ascii="Arial" w:hAnsi="Arial" w:cs="Arial"/>
                <w:strike/>
                <w:color w:val="FF0000"/>
                <w:sz w:val="18"/>
                <w:szCs w:val="18"/>
              </w:rPr>
              <w:t xml:space="preserve">El medio alterno para que los CS accedan a la información señalada en los puntos anteriores en caso de que el SEG no se encuentre disponible, es el siguiente: </w:t>
            </w:r>
          </w:p>
          <w:p w14:paraId="7F47D997" w14:textId="77777777" w:rsidR="00DE0749" w:rsidRPr="00981659" w:rsidRDefault="00DE0749" w:rsidP="000E7E9F">
            <w:pPr>
              <w:spacing w:after="0"/>
              <w:jc w:val="both"/>
              <w:rPr>
                <w:rFonts w:ascii="Arial" w:hAnsi="Arial" w:cs="Arial"/>
                <w:strike/>
                <w:color w:val="FF0000"/>
                <w:sz w:val="18"/>
                <w:szCs w:val="18"/>
              </w:rPr>
            </w:pPr>
          </w:p>
          <w:p w14:paraId="7F47D998" w14:textId="77777777" w:rsidR="00DE0749" w:rsidRPr="00981659" w:rsidRDefault="00DE0749" w:rsidP="006971B4">
            <w:pPr>
              <w:pStyle w:val="Texto1"/>
              <w:numPr>
                <w:ilvl w:val="0"/>
                <w:numId w:val="8"/>
              </w:numPr>
              <w:spacing w:line="276" w:lineRule="auto"/>
              <w:rPr>
                <w:rFonts w:ascii="Arial" w:hAnsi="Arial" w:cs="Arial"/>
                <w:strike/>
                <w:color w:val="FF0000"/>
                <w:sz w:val="18"/>
                <w:szCs w:val="18"/>
              </w:rPr>
            </w:pPr>
            <w:r w:rsidRPr="00981659">
              <w:rPr>
                <w:rFonts w:ascii="Arial" w:hAnsi="Arial" w:cs="Arial"/>
                <w:strike/>
                <w:color w:val="FF0000"/>
                <w:sz w:val="18"/>
                <w:szCs w:val="18"/>
              </w:rPr>
              <w:t xml:space="preserve">El Responsable del CS deberá acudir a las instalaciones de Telmex / Telnor  (Parque Vía 190, Colonia Cuauhtémoc, Demarcación Territorial Cuauhtémoc, C.P. 06500, Ciudad de México), Piso 9, Área de Atención a Operadores, Grupo de Servicios de Desagregación, en un horario de 09:00 a 14:00 y de 16:00 a 19:00 horas de lunes a viernes, e identificarse adecuadamente, mostrando una identificación oficial, la credencial vigente de su empresa, y una carta membretada de autorización debidamente firmada por el representante legal del CS, acompañada del acta notarial en la que consten sus facultades. </w:t>
            </w:r>
          </w:p>
          <w:p w14:paraId="7F47D999" w14:textId="77777777" w:rsidR="00DE0749" w:rsidRPr="00981659" w:rsidRDefault="00DE0749" w:rsidP="006971B4">
            <w:pPr>
              <w:pStyle w:val="Texto1"/>
              <w:numPr>
                <w:ilvl w:val="0"/>
                <w:numId w:val="8"/>
              </w:numPr>
              <w:spacing w:line="276" w:lineRule="auto"/>
              <w:rPr>
                <w:rFonts w:ascii="Arial" w:hAnsi="Arial" w:cs="Arial"/>
                <w:strike/>
                <w:color w:val="FF0000"/>
                <w:sz w:val="18"/>
                <w:szCs w:val="18"/>
              </w:rPr>
            </w:pPr>
            <w:r w:rsidRPr="00981659">
              <w:rPr>
                <w:rFonts w:ascii="Arial" w:hAnsi="Arial" w:cs="Arial"/>
                <w:strike/>
                <w:color w:val="FF0000"/>
                <w:sz w:val="18"/>
                <w:szCs w:val="18"/>
              </w:rPr>
              <w:t>Una vez acreditada la identidad y autorización del responsable del CS, Telmex / Telnor facilitará un equipo de cómputo para que el CS realice la consulta de información.</w:t>
            </w:r>
          </w:p>
          <w:p w14:paraId="7F47D99A" w14:textId="77777777" w:rsidR="00DE0749" w:rsidRPr="00981659" w:rsidRDefault="00DE0749" w:rsidP="006971B4">
            <w:pPr>
              <w:pStyle w:val="Texto1"/>
              <w:numPr>
                <w:ilvl w:val="0"/>
                <w:numId w:val="8"/>
              </w:numPr>
              <w:spacing w:line="276" w:lineRule="auto"/>
              <w:rPr>
                <w:rFonts w:ascii="Arial" w:hAnsi="Arial" w:cs="Arial"/>
                <w:strike/>
                <w:sz w:val="18"/>
                <w:szCs w:val="18"/>
              </w:rPr>
            </w:pPr>
            <w:r w:rsidRPr="00981659">
              <w:rPr>
                <w:rFonts w:ascii="Arial" w:hAnsi="Arial" w:cs="Arial"/>
                <w:strike/>
                <w:color w:val="FF0000"/>
                <w:sz w:val="18"/>
                <w:szCs w:val="18"/>
              </w:rPr>
              <w:t xml:space="preserve"> El acceso a la información se realizará con el mismo usuario y contraseña que el CS utiliza en la interfaz de consulta a través de la página de internet de Telmex / Telnor.</w:t>
            </w:r>
          </w:p>
        </w:tc>
        <w:tc>
          <w:tcPr>
            <w:tcW w:w="2016" w:type="pct"/>
            <w:tcBorders>
              <w:top w:val="single" w:sz="4" w:space="0" w:color="000000" w:themeColor="text1"/>
              <w:bottom w:val="single" w:sz="4" w:space="0" w:color="000000" w:themeColor="text1"/>
            </w:tcBorders>
          </w:tcPr>
          <w:p w14:paraId="7F47D99B" w14:textId="77777777" w:rsidR="00DE0749" w:rsidRPr="00DE0749" w:rsidRDefault="00DE0749" w:rsidP="000E7E9F">
            <w:pPr>
              <w:jc w:val="both"/>
              <w:rPr>
                <w:rFonts w:ascii="Arial" w:hAnsi="Arial" w:cs="Arial"/>
                <w:color w:val="000000"/>
                <w:sz w:val="18"/>
                <w:szCs w:val="18"/>
              </w:rPr>
            </w:pPr>
          </w:p>
          <w:p w14:paraId="7F47D99C" w14:textId="77777777" w:rsidR="005D172B" w:rsidRPr="005D172B" w:rsidRDefault="005D172B" w:rsidP="005D172B">
            <w:pPr>
              <w:jc w:val="both"/>
              <w:rPr>
                <w:rFonts w:ascii="Arial" w:hAnsi="Arial" w:cs="Arial"/>
                <w:color w:val="000000"/>
              </w:rPr>
            </w:pPr>
            <w:r w:rsidRPr="005D172B">
              <w:rPr>
                <w:rFonts w:ascii="Arial" w:hAnsi="Arial" w:cs="Arial"/>
                <w:color w:val="000000"/>
              </w:rPr>
              <w:t>Se propone la eliminación de los numerales 3.6 y 3.7, que contemplan el acceso presencial a la información de las bases de datos tipo A y B, por tratarse de un mecanismo obsoleto y completamente desalineado con las prácticas actuales.</w:t>
            </w:r>
          </w:p>
          <w:p w14:paraId="7F47D99D" w14:textId="77777777" w:rsidR="005D172B" w:rsidRPr="005D172B" w:rsidRDefault="005D172B" w:rsidP="005D172B">
            <w:pPr>
              <w:jc w:val="both"/>
              <w:rPr>
                <w:rFonts w:ascii="Arial" w:hAnsi="Arial" w:cs="Arial"/>
                <w:color w:val="000000"/>
              </w:rPr>
            </w:pPr>
            <w:r w:rsidRPr="005D172B">
              <w:rPr>
                <w:rFonts w:ascii="Arial" w:hAnsi="Arial" w:cs="Arial"/>
                <w:color w:val="000000"/>
              </w:rPr>
              <w:t>El SEG ha sido establecido como la única ventanilla oficial de atención para los servicios mayoristas, concentrando de manera eficiente, segura y centralizada toda la información relevante. Mantener procedimientos presenciales representa una duplicidad innecesaria que carece de justificación operativa.</w:t>
            </w:r>
          </w:p>
          <w:p w14:paraId="7F47D99E" w14:textId="77777777" w:rsidR="005D172B" w:rsidRPr="005D172B" w:rsidRDefault="005D172B" w:rsidP="005D172B">
            <w:pPr>
              <w:jc w:val="both"/>
              <w:rPr>
                <w:rFonts w:ascii="Arial" w:hAnsi="Arial" w:cs="Arial"/>
                <w:color w:val="000000"/>
              </w:rPr>
            </w:pPr>
            <w:r w:rsidRPr="005D172B">
              <w:rPr>
                <w:rFonts w:ascii="Arial" w:hAnsi="Arial" w:cs="Arial"/>
                <w:color w:val="000000"/>
              </w:rPr>
              <w:lastRenderedPageBreak/>
              <w:t xml:space="preserve">Adicionalmente, desde </w:t>
            </w:r>
            <w:r>
              <w:rPr>
                <w:rFonts w:ascii="Arial" w:hAnsi="Arial" w:cs="Arial"/>
                <w:color w:val="000000"/>
              </w:rPr>
              <w:t>el último lustro</w:t>
            </w:r>
            <w:r w:rsidRPr="005D172B">
              <w:rPr>
                <w:rFonts w:ascii="Arial" w:hAnsi="Arial" w:cs="Arial"/>
                <w:color w:val="000000"/>
              </w:rPr>
              <w:t>, no se ha recibido ni una sola solicitud de acceso presencial, lo que demuestra su total desuso y la falta de interés por parte de los CS.</w:t>
            </w:r>
          </w:p>
          <w:p w14:paraId="7F47D99F" w14:textId="77777777" w:rsidR="00573667" w:rsidRPr="00D52656" w:rsidRDefault="005D172B" w:rsidP="005D172B">
            <w:pPr>
              <w:jc w:val="both"/>
              <w:rPr>
                <w:rFonts w:ascii="Arial" w:hAnsi="Arial" w:cs="Arial"/>
                <w:color w:val="000000"/>
                <w:sz w:val="20"/>
                <w:szCs w:val="18"/>
              </w:rPr>
            </w:pPr>
            <w:r w:rsidRPr="005D172B">
              <w:rPr>
                <w:rFonts w:ascii="Arial" w:hAnsi="Arial" w:cs="Arial"/>
                <w:color w:val="000000"/>
              </w:rPr>
              <w:t xml:space="preserve">En este sentido, y con el objetivo de simplificar y actualizar el marco operativo de la OREDA, se </w:t>
            </w:r>
            <w:r>
              <w:rPr>
                <w:rFonts w:ascii="Arial" w:hAnsi="Arial" w:cs="Arial"/>
                <w:color w:val="000000"/>
              </w:rPr>
              <w:t>solicita</w:t>
            </w:r>
            <w:r w:rsidRPr="005D172B">
              <w:rPr>
                <w:rFonts w:ascii="Arial" w:hAnsi="Arial" w:cs="Arial"/>
                <w:color w:val="000000"/>
              </w:rPr>
              <w:t xml:space="preserve"> la eliminación de los numerales referidos</w:t>
            </w:r>
            <w:r w:rsidR="00DE0749" w:rsidRPr="005D172B">
              <w:rPr>
                <w:rFonts w:ascii="Arial" w:hAnsi="Arial" w:cs="Arial"/>
                <w:color w:val="000000"/>
              </w:rPr>
              <w:t>.</w:t>
            </w:r>
            <w:r w:rsidR="00DE0749" w:rsidRPr="00F735AE">
              <w:rPr>
                <w:rFonts w:ascii="Arial" w:hAnsi="Arial" w:cs="Arial"/>
                <w:color w:val="000000"/>
                <w:sz w:val="20"/>
                <w:szCs w:val="18"/>
              </w:rPr>
              <w:t xml:space="preserve"> </w:t>
            </w:r>
          </w:p>
        </w:tc>
      </w:tr>
      <w:tr w:rsidR="00AF1674" w:rsidRPr="00C83E51" w14:paraId="7F47D9A9" w14:textId="77777777" w:rsidTr="00466FA2">
        <w:trPr>
          <w:trHeight w:val="1052"/>
        </w:trPr>
        <w:tc>
          <w:tcPr>
            <w:tcW w:w="132" w:type="pct"/>
            <w:vAlign w:val="center"/>
          </w:tcPr>
          <w:p w14:paraId="7F47D9A1" w14:textId="77777777" w:rsidR="00DE0749" w:rsidRDefault="00FF2732" w:rsidP="000E7E9F">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lastRenderedPageBreak/>
              <w:t>7</w:t>
            </w:r>
          </w:p>
        </w:tc>
        <w:tc>
          <w:tcPr>
            <w:tcW w:w="494" w:type="pct"/>
            <w:vAlign w:val="center"/>
          </w:tcPr>
          <w:p w14:paraId="7F47D9A2" w14:textId="77777777" w:rsidR="00DE0749" w:rsidRDefault="00DE0749" w:rsidP="009939F7">
            <w:pPr>
              <w:jc w:val="both"/>
              <w:rPr>
                <w:rFonts w:ascii="Arial" w:hAnsi="Arial" w:cs="Arial"/>
                <w:color w:val="000000"/>
                <w:sz w:val="20"/>
                <w:szCs w:val="20"/>
              </w:rPr>
            </w:pPr>
            <w:r w:rsidRPr="009939F7">
              <w:rPr>
                <w:rFonts w:ascii="Arial" w:hAnsi="Arial" w:cs="Arial"/>
                <w:color w:val="000000"/>
                <w:sz w:val="20"/>
                <w:szCs w:val="20"/>
              </w:rPr>
              <w:t>4.4</w:t>
            </w:r>
            <w:r>
              <w:rPr>
                <w:rFonts w:ascii="Arial" w:hAnsi="Arial" w:cs="Arial"/>
                <w:color w:val="000000"/>
                <w:sz w:val="20"/>
                <w:szCs w:val="20"/>
              </w:rPr>
              <w:t xml:space="preserve"> </w:t>
            </w:r>
            <w:r w:rsidRPr="009939F7">
              <w:rPr>
                <w:rFonts w:ascii="Arial" w:hAnsi="Arial" w:cs="Arial"/>
                <w:color w:val="000000"/>
                <w:sz w:val="20"/>
                <w:szCs w:val="20"/>
              </w:rPr>
              <w:t>Velocidades Simétricas</w:t>
            </w:r>
          </w:p>
        </w:tc>
        <w:tc>
          <w:tcPr>
            <w:tcW w:w="458" w:type="pct"/>
            <w:shd w:val="clear" w:color="auto" w:fill="auto"/>
            <w:vAlign w:val="center"/>
          </w:tcPr>
          <w:p w14:paraId="7F47D9A3" w14:textId="77777777" w:rsidR="00DE0749" w:rsidRDefault="00FF2732" w:rsidP="000E7E9F">
            <w:pPr>
              <w:pStyle w:val="IFTnormal"/>
              <w:spacing w:after="0"/>
              <w:jc w:val="left"/>
              <w:rPr>
                <w:rFonts w:ascii="Arial" w:hAnsi="Arial" w:cs="Arial"/>
                <w:b/>
                <w:sz w:val="20"/>
                <w:szCs w:val="20"/>
                <w:lang w:eastAsia="es-MX"/>
              </w:rPr>
            </w:pPr>
            <w:r>
              <w:rPr>
                <w:rFonts w:ascii="Arial" w:hAnsi="Arial" w:cs="Arial"/>
                <w:b/>
                <w:sz w:val="20"/>
                <w:szCs w:val="20"/>
                <w:lang w:eastAsia="es-MX"/>
              </w:rPr>
              <w:t>Paquetes comerciales</w:t>
            </w:r>
          </w:p>
        </w:tc>
        <w:tc>
          <w:tcPr>
            <w:tcW w:w="1900" w:type="pct"/>
            <w:shd w:val="clear" w:color="auto" w:fill="auto"/>
            <w:vAlign w:val="center"/>
          </w:tcPr>
          <w:p w14:paraId="7F47D9A4" w14:textId="77777777" w:rsidR="00AF1674" w:rsidRPr="004F1957" w:rsidRDefault="00DE0749" w:rsidP="009939F7">
            <w:pPr>
              <w:pStyle w:val="Texto1"/>
              <w:spacing w:after="240"/>
              <w:ind w:left="0"/>
              <w:rPr>
                <w:rFonts w:ascii="Arial" w:hAnsi="Arial" w:cs="Arial"/>
                <w:strike/>
                <w:color w:val="FF0000"/>
                <w:sz w:val="18"/>
                <w:szCs w:val="18"/>
              </w:rPr>
            </w:pPr>
            <w:r w:rsidRPr="004F1957">
              <w:rPr>
                <w:rFonts w:ascii="Arial" w:hAnsi="Arial" w:cs="Arial"/>
                <w:strike/>
                <w:color w:val="FF0000"/>
                <w:sz w:val="18"/>
                <w:szCs w:val="18"/>
              </w:rPr>
              <w:t>4.4 Velocidades Simétricas</w:t>
            </w:r>
          </w:p>
          <w:p w14:paraId="7F47D9A5" w14:textId="77777777" w:rsidR="00DE0749" w:rsidRPr="004F1957" w:rsidRDefault="00DE0749" w:rsidP="009939F7">
            <w:pPr>
              <w:pStyle w:val="Texto1"/>
              <w:spacing w:after="240"/>
              <w:ind w:left="0"/>
              <w:rPr>
                <w:rFonts w:ascii="Arial" w:hAnsi="Arial" w:cs="Arial"/>
                <w:strike/>
                <w:color w:val="FF0000"/>
                <w:sz w:val="18"/>
                <w:szCs w:val="18"/>
              </w:rPr>
            </w:pPr>
            <w:r w:rsidRPr="004F1957">
              <w:rPr>
                <w:rFonts w:ascii="Arial" w:hAnsi="Arial" w:cs="Arial"/>
                <w:strike/>
                <w:color w:val="FF0000"/>
                <w:sz w:val="18"/>
                <w:szCs w:val="18"/>
              </w:rPr>
              <w:t>Telmex / Telnor pondrá a disposición de los CS en el SEG, moléculas de velocidades simétricas de acuerdo con los registros de tarifas vigentes y autorizadas por el Instituto las cuales se verán reflejadas en el Anexo A y deberán estar publicadas en su totalidad en el SEG. Telmex / Telnor publicará y pondrá en operación las nuevas ofertas comerciales autorizadas por el Instituto en el SEG a más tardar cinco días hábiles posteriores a su autorización.</w:t>
            </w:r>
          </w:p>
          <w:p w14:paraId="7F47D9A6" w14:textId="77777777" w:rsidR="00DE0749" w:rsidRPr="007952C1" w:rsidRDefault="00DE0749" w:rsidP="009939F7">
            <w:pPr>
              <w:pStyle w:val="Texto1"/>
              <w:spacing w:after="240" w:line="276" w:lineRule="auto"/>
              <w:ind w:left="0"/>
              <w:rPr>
                <w:rFonts w:ascii="Arial" w:hAnsi="Arial" w:cs="Arial"/>
                <w:b/>
                <w:strike/>
                <w:sz w:val="20"/>
                <w:szCs w:val="20"/>
              </w:rPr>
            </w:pPr>
            <w:r w:rsidRPr="004F1957">
              <w:rPr>
                <w:rFonts w:ascii="Arial" w:hAnsi="Arial" w:cs="Arial"/>
                <w:strike/>
                <w:color w:val="FF0000"/>
                <w:sz w:val="18"/>
                <w:szCs w:val="18"/>
              </w:rPr>
              <w:lastRenderedPageBreak/>
              <w:t>Las moléculas de velocidad se proporcionarán a los CS en condiciones no discriminatorias.</w:t>
            </w:r>
          </w:p>
        </w:tc>
        <w:tc>
          <w:tcPr>
            <w:tcW w:w="2016" w:type="pct"/>
            <w:tcBorders>
              <w:top w:val="single" w:sz="4" w:space="0" w:color="000000" w:themeColor="text1"/>
              <w:bottom w:val="single" w:sz="4" w:space="0" w:color="000000" w:themeColor="text1"/>
            </w:tcBorders>
          </w:tcPr>
          <w:p w14:paraId="7F47D9A7" w14:textId="77777777" w:rsidR="00573667" w:rsidRPr="004F1957" w:rsidRDefault="004F1957" w:rsidP="000E7E9F">
            <w:pPr>
              <w:jc w:val="both"/>
              <w:rPr>
                <w:rFonts w:ascii="Arial" w:hAnsi="Arial" w:cs="Arial"/>
                <w:color w:val="000000"/>
              </w:rPr>
            </w:pPr>
            <w:r w:rsidRPr="004F1957">
              <w:rPr>
                <w:rFonts w:ascii="Arial" w:hAnsi="Arial" w:cs="Arial"/>
                <w:color w:val="000000"/>
              </w:rPr>
              <w:lastRenderedPageBreak/>
              <w:t>El catálogo de productos disponibles ya se encuentra plenamente identificado tanto en el SEG como en el Anexo A de Tarifas, por lo que esta sección resulta redundante. En consecuencia, se solicita su eliminación para evitar duplicidades y asegurar una presentación más clara y eficiente de la información</w:t>
            </w:r>
            <w:r>
              <w:rPr>
                <w:rFonts w:ascii="Arial" w:hAnsi="Arial" w:cs="Arial"/>
                <w:color w:val="000000"/>
              </w:rPr>
              <w:t xml:space="preserve"> para </w:t>
            </w:r>
            <w:r w:rsidR="00FF2732">
              <w:rPr>
                <w:rFonts w:ascii="Arial" w:hAnsi="Arial" w:cs="Arial"/>
                <w:color w:val="000000"/>
              </w:rPr>
              <w:t>los concesionarios solicitantes</w:t>
            </w:r>
            <w:r>
              <w:rPr>
                <w:rFonts w:ascii="Arial" w:hAnsi="Arial" w:cs="Arial"/>
                <w:color w:val="000000"/>
              </w:rPr>
              <w:t>.</w:t>
            </w:r>
          </w:p>
          <w:p w14:paraId="7F47D9A8" w14:textId="77777777" w:rsidR="00573667" w:rsidRPr="00573667" w:rsidRDefault="00573667" w:rsidP="000E7E9F">
            <w:pPr>
              <w:jc w:val="both"/>
              <w:rPr>
                <w:rFonts w:ascii="Arial" w:hAnsi="Arial" w:cs="Arial"/>
                <w:b/>
                <w:color w:val="000000"/>
                <w:sz w:val="18"/>
                <w:szCs w:val="18"/>
              </w:rPr>
            </w:pPr>
          </w:p>
        </w:tc>
      </w:tr>
      <w:tr w:rsidR="00AF1674" w:rsidRPr="00C83E51" w14:paraId="7F47D9ED" w14:textId="77777777" w:rsidTr="00466FA2">
        <w:trPr>
          <w:trHeight w:val="1052"/>
        </w:trPr>
        <w:tc>
          <w:tcPr>
            <w:tcW w:w="132" w:type="pct"/>
            <w:vAlign w:val="center"/>
          </w:tcPr>
          <w:p w14:paraId="7F47D9AA" w14:textId="77777777" w:rsidR="00DE0749" w:rsidRDefault="00FF2732"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t>8</w:t>
            </w:r>
          </w:p>
        </w:tc>
        <w:tc>
          <w:tcPr>
            <w:tcW w:w="494" w:type="pct"/>
            <w:vAlign w:val="center"/>
          </w:tcPr>
          <w:p w14:paraId="7F47D9AB" w14:textId="77777777" w:rsidR="00DE0749" w:rsidRPr="00323135" w:rsidRDefault="00DE0749" w:rsidP="001D14D5">
            <w:pPr>
              <w:jc w:val="both"/>
              <w:rPr>
                <w:rFonts w:ascii="Arial" w:hAnsi="Arial" w:cs="Arial"/>
                <w:color w:val="000000"/>
                <w:sz w:val="20"/>
                <w:szCs w:val="20"/>
              </w:rPr>
            </w:pPr>
            <w:bookmarkStart w:id="45" w:name="_Toc2957135"/>
            <w:bookmarkStart w:id="46" w:name="_Toc26273072"/>
            <w:bookmarkStart w:id="47" w:name="_Toc26284470"/>
            <w:bookmarkStart w:id="48" w:name="_Toc54106574"/>
            <w:bookmarkStart w:id="49" w:name="_Toc178438970"/>
            <w:r>
              <w:rPr>
                <w:rFonts w:ascii="Arial" w:hAnsi="Arial" w:cs="Arial"/>
                <w:color w:val="000000"/>
                <w:sz w:val="20"/>
                <w:szCs w:val="20"/>
              </w:rPr>
              <w:t xml:space="preserve">4.5 </w:t>
            </w:r>
            <w:r w:rsidRPr="00323135">
              <w:rPr>
                <w:rFonts w:ascii="Arial" w:hAnsi="Arial" w:cs="Arial"/>
                <w:color w:val="000000"/>
                <w:sz w:val="20"/>
                <w:szCs w:val="20"/>
              </w:rPr>
              <w:t>Venta de Módem y ONT para Reventa.</w:t>
            </w:r>
            <w:bookmarkEnd w:id="45"/>
            <w:bookmarkEnd w:id="46"/>
            <w:bookmarkEnd w:id="47"/>
            <w:bookmarkEnd w:id="48"/>
            <w:bookmarkEnd w:id="49"/>
            <w:r>
              <w:rPr>
                <w:rFonts w:ascii="Arial" w:hAnsi="Arial" w:cs="Arial"/>
                <w:color w:val="000000"/>
                <w:sz w:val="20"/>
                <w:szCs w:val="20"/>
              </w:rPr>
              <w:t xml:space="preserve"> (pág.37)</w:t>
            </w:r>
          </w:p>
          <w:p w14:paraId="7F47D9AC" w14:textId="77777777" w:rsidR="00DE0749" w:rsidRPr="00C83E51" w:rsidRDefault="00DE0749" w:rsidP="001D14D5">
            <w:pPr>
              <w:jc w:val="both"/>
              <w:rPr>
                <w:rFonts w:ascii="Arial" w:hAnsi="Arial" w:cs="Arial"/>
                <w:color w:val="000000"/>
                <w:sz w:val="20"/>
                <w:szCs w:val="20"/>
              </w:rPr>
            </w:pPr>
          </w:p>
        </w:tc>
        <w:tc>
          <w:tcPr>
            <w:tcW w:w="458" w:type="pct"/>
            <w:shd w:val="clear" w:color="auto" w:fill="auto"/>
            <w:vAlign w:val="center"/>
          </w:tcPr>
          <w:p w14:paraId="7F47D9AD" w14:textId="77777777" w:rsidR="00DE0749" w:rsidRDefault="00FF2732" w:rsidP="00FF2732">
            <w:pPr>
              <w:pStyle w:val="IFTnormal"/>
              <w:spacing w:after="0"/>
              <w:jc w:val="left"/>
              <w:rPr>
                <w:rFonts w:ascii="Arial" w:hAnsi="Arial" w:cs="Arial"/>
                <w:b/>
                <w:sz w:val="20"/>
                <w:szCs w:val="20"/>
                <w:lang w:eastAsia="es-MX"/>
              </w:rPr>
            </w:pPr>
            <w:r>
              <w:rPr>
                <w:rFonts w:ascii="Arial" w:hAnsi="Arial" w:cs="Arial"/>
                <w:b/>
                <w:sz w:val="20"/>
                <w:szCs w:val="20"/>
                <w:lang w:eastAsia="es-MX"/>
              </w:rPr>
              <w:t xml:space="preserve">Venta </w:t>
            </w:r>
            <w:r w:rsidR="001C1B79">
              <w:rPr>
                <w:rFonts w:ascii="Arial" w:hAnsi="Arial" w:cs="Arial"/>
                <w:b/>
                <w:sz w:val="20"/>
                <w:szCs w:val="20"/>
                <w:lang w:eastAsia="es-MX"/>
              </w:rPr>
              <w:t>Módems</w:t>
            </w:r>
            <w:r>
              <w:rPr>
                <w:rFonts w:ascii="Arial" w:hAnsi="Arial" w:cs="Arial"/>
                <w:b/>
                <w:sz w:val="20"/>
                <w:szCs w:val="20"/>
                <w:lang w:eastAsia="es-MX"/>
              </w:rPr>
              <w:t xml:space="preserve"> /</w:t>
            </w:r>
            <w:proofErr w:type="spellStart"/>
            <w:r>
              <w:rPr>
                <w:rFonts w:ascii="Arial" w:hAnsi="Arial" w:cs="Arial"/>
                <w:b/>
                <w:sz w:val="20"/>
                <w:szCs w:val="20"/>
                <w:lang w:eastAsia="es-MX"/>
              </w:rPr>
              <w:t>ONT´s</w:t>
            </w:r>
            <w:proofErr w:type="spellEnd"/>
            <w:r>
              <w:rPr>
                <w:rFonts w:ascii="Arial" w:hAnsi="Arial" w:cs="Arial"/>
                <w:b/>
                <w:sz w:val="20"/>
                <w:szCs w:val="20"/>
                <w:lang w:eastAsia="es-MX"/>
              </w:rPr>
              <w:t xml:space="preserve"> Blancos</w:t>
            </w:r>
          </w:p>
        </w:tc>
        <w:tc>
          <w:tcPr>
            <w:tcW w:w="1900" w:type="pct"/>
            <w:shd w:val="clear" w:color="auto" w:fill="auto"/>
            <w:vAlign w:val="center"/>
          </w:tcPr>
          <w:p w14:paraId="7F47D9AE" w14:textId="77777777" w:rsidR="005142BF" w:rsidRPr="00FF2732" w:rsidRDefault="005142BF" w:rsidP="00E10DDC">
            <w:pPr>
              <w:pStyle w:val="1TitPrin"/>
              <w:framePr w:hSpace="0" w:wrap="auto" w:vAnchor="margin" w:yAlign="inline"/>
              <w:suppressOverlap w:val="0"/>
              <w:rPr>
                <w:sz w:val="18"/>
                <w:szCs w:val="18"/>
              </w:rPr>
            </w:pPr>
            <w:r w:rsidRPr="0075080B">
              <w:t>4</w:t>
            </w:r>
            <w:r w:rsidRPr="00FF2732">
              <w:rPr>
                <w:sz w:val="18"/>
                <w:szCs w:val="18"/>
              </w:rPr>
              <w:t>.5 Venta de Módem y ONT para Reventa.</w:t>
            </w:r>
          </w:p>
          <w:p w14:paraId="7F47D9AF" w14:textId="77777777" w:rsidR="005142BF" w:rsidRPr="00FF2732" w:rsidRDefault="005142BF" w:rsidP="005142BF">
            <w:pPr>
              <w:pStyle w:val="CondicionesFinales"/>
              <w:ind w:left="0" w:right="0"/>
              <w:rPr>
                <w:color w:val="auto"/>
                <w:sz w:val="18"/>
                <w:szCs w:val="18"/>
              </w:rPr>
            </w:pPr>
          </w:p>
          <w:p w14:paraId="7F47D9B0" w14:textId="77777777" w:rsidR="005142BF" w:rsidRPr="00FF2732" w:rsidRDefault="005142BF" w:rsidP="005142BF">
            <w:pPr>
              <w:pStyle w:val="CondicionesFinales"/>
              <w:ind w:left="0" w:right="0"/>
              <w:rPr>
                <w:color w:val="auto"/>
                <w:sz w:val="18"/>
                <w:szCs w:val="18"/>
              </w:rPr>
            </w:pPr>
            <w:r w:rsidRPr="00FF2732">
              <w:rPr>
                <w:color w:val="auto"/>
                <w:sz w:val="18"/>
                <w:szCs w:val="18"/>
              </w:rPr>
              <w:t>…</w:t>
            </w:r>
          </w:p>
          <w:p w14:paraId="7F47D9B1" w14:textId="77777777" w:rsidR="005142BF" w:rsidRPr="00FF2732" w:rsidRDefault="005142BF" w:rsidP="005142BF">
            <w:pPr>
              <w:pStyle w:val="CondicionesFinales"/>
              <w:ind w:left="0" w:right="0"/>
              <w:rPr>
                <w:color w:val="auto"/>
                <w:sz w:val="18"/>
                <w:szCs w:val="18"/>
              </w:rPr>
            </w:pPr>
          </w:p>
          <w:p w14:paraId="7F47D9B2" w14:textId="77777777" w:rsidR="005142BF" w:rsidRPr="00FF2732" w:rsidRDefault="005142BF" w:rsidP="005142BF">
            <w:pPr>
              <w:pStyle w:val="CondicionesFinales"/>
              <w:ind w:left="0" w:right="0"/>
              <w:rPr>
                <w:b/>
                <w:strike/>
                <w:color w:val="FF0000"/>
                <w:sz w:val="18"/>
                <w:szCs w:val="18"/>
                <w:u w:val="single"/>
              </w:rPr>
            </w:pPr>
            <w:r w:rsidRPr="00FF2732">
              <w:rPr>
                <w:b/>
                <w:strike/>
                <w:color w:val="FF0000"/>
                <w:sz w:val="18"/>
                <w:szCs w:val="18"/>
                <w:u w:val="single"/>
              </w:rPr>
              <w:t>Entrega de equipos vendidos por Telmex / Telnor (blanco)</w:t>
            </w:r>
          </w:p>
          <w:p w14:paraId="7F47D9B3" w14:textId="77777777" w:rsidR="005142BF" w:rsidRPr="00FF2732" w:rsidRDefault="005142BF" w:rsidP="005142BF">
            <w:pPr>
              <w:pStyle w:val="CondicionesFinales"/>
              <w:ind w:left="0" w:right="0"/>
              <w:rPr>
                <w:b/>
                <w:strike/>
                <w:color w:val="FF0000"/>
                <w:sz w:val="18"/>
                <w:szCs w:val="18"/>
                <w:u w:val="single"/>
              </w:rPr>
            </w:pPr>
          </w:p>
          <w:p w14:paraId="7F47D9B4" w14:textId="77777777" w:rsidR="005142BF" w:rsidRPr="00FF2732" w:rsidRDefault="005142BF" w:rsidP="005142BF">
            <w:pPr>
              <w:pStyle w:val="CondicionesFinales"/>
              <w:ind w:left="0" w:right="0"/>
              <w:rPr>
                <w:strike/>
                <w:color w:val="FF0000"/>
                <w:sz w:val="18"/>
                <w:szCs w:val="18"/>
                <w:lang w:val="es-ES"/>
              </w:rPr>
            </w:pPr>
            <w:r w:rsidRPr="00FF2732">
              <w:rPr>
                <w:strike/>
                <w:color w:val="FF0000"/>
                <w:sz w:val="18"/>
                <w:szCs w:val="18"/>
              </w:rPr>
              <w:t xml:space="preserve">El CS podrá adquirir, bajo la contraprestación correspondiente los módems y ONT directamente con Telmex / Telnor, sin logotipos o identificadores (blancos). </w:t>
            </w:r>
            <w:r w:rsidRPr="00FF2732">
              <w:rPr>
                <w:strike/>
                <w:color w:val="FF0000"/>
                <w:sz w:val="18"/>
                <w:szCs w:val="18"/>
                <w:lang w:val="es-ES"/>
              </w:rPr>
              <w:t>La entrega del modem será directamente a través del técnico del AEP. La distribución y entrega de módems se realizará a nivel nacional.</w:t>
            </w:r>
          </w:p>
          <w:p w14:paraId="7F47D9B5" w14:textId="77777777" w:rsidR="005142BF" w:rsidRPr="00FF2732" w:rsidRDefault="005142BF" w:rsidP="005142BF">
            <w:pPr>
              <w:pStyle w:val="CondicionesFinales"/>
              <w:ind w:left="0" w:right="0"/>
              <w:rPr>
                <w:strike/>
                <w:color w:val="FF0000"/>
                <w:sz w:val="18"/>
                <w:szCs w:val="18"/>
                <w:lang w:val="es-ES"/>
              </w:rPr>
            </w:pPr>
          </w:p>
          <w:p w14:paraId="7F47D9B6" w14:textId="77777777" w:rsidR="005142BF" w:rsidRPr="00FF2732" w:rsidRDefault="005142BF" w:rsidP="005142BF">
            <w:pPr>
              <w:pStyle w:val="CondicionesFinales"/>
              <w:ind w:left="0" w:right="0"/>
              <w:rPr>
                <w:strike/>
                <w:color w:val="FF0000"/>
                <w:sz w:val="18"/>
                <w:szCs w:val="18"/>
                <w:lang w:val="es-ES"/>
              </w:rPr>
            </w:pPr>
            <w:r w:rsidRPr="00FF2732">
              <w:rPr>
                <w:strike/>
                <w:color w:val="FF0000"/>
                <w:sz w:val="18"/>
                <w:szCs w:val="18"/>
                <w:lang w:val="es-ES"/>
              </w:rPr>
              <w:t xml:space="preserve">Para la provisión de los módems y ONT blancos para reventa, el CS tendrá que presentar su solicitud para que Telmex / Telnor adquiera los inventarios en las cantidades y tiempos estimados. Telmex / Telnor deberá procurar el almacenamiento y logística de entrega de los equipos contemplados en la solicitud. </w:t>
            </w:r>
          </w:p>
          <w:p w14:paraId="7F47D9B7" w14:textId="77777777" w:rsidR="005142BF" w:rsidRPr="00FF2732" w:rsidRDefault="005142BF" w:rsidP="005142BF">
            <w:pPr>
              <w:pStyle w:val="CondicionesFinales"/>
              <w:ind w:left="0" w:right="0"/>
              <w:rPr>
                <w:strike/>
                <w:color w:val="FF0000"/>
                <w:sz w:val="18"/>
                <w:szCs w:val="18"/>
              </w:rPr>
            </w:pPr>
            <w:r w:rsidRPr="00FF2732">
              <w:rPr>
                <w:strike/>
                <w:color w:val="FF0000"/>
                <w:sz w:val="18"/>
                <w:szCs w:val="18"/>
              </w:rPr>
              <w:t>Para el caso de ONT es indispensable que sean instalados por Telmex / Telnor, por lo cual en este caso se entregarán directamente en el domicilio de los usuarios bajo los mismos procedimientos que el AEP sigue para sus propias operaciones.</w:t>
            </w:r>
          </w:p>
          <w:p w14:paraId="7F47D9B8" w14:textId="77777777" w:rsidR="0075080B" w:rsidRPr="00FF2732" w:rsidRDefault="0075080B" w:rsidP="005142BF">
            <w:pPr>
              <w:spacing w:after="0"/>
              <w:jc w:val="both"/>
              <w:rPr>
                <w:rFonts w:ascii="Arial" w:hAnsi="Arial" w:cs="Arial"/>
                <w:b/>
                <w:bCs/>
                <w:sz w:val="18"/>
                <w:szCs w:val="18"/>
                <w:u w:val="single"/>
              </w:rPr>
            </w:pPr>
          </w:p>
          <w:p w14:paraId="7F47D9B9" w14:textId="77777777" w:rsidR="0075080B" w:rsidRPr="00FF2732" w:rsidRDefault="0075080B" w:rsidP="005142BF">
            <w:pPr>
              <w:spacing w:after="0"/>
              <w:jc w:val="both"/>
              <w:rPr>
                <w:rFonts w:ascii="Arial" w:hAnsi="Arial" w:cs="Arial"/>
                <w:b/>
                <w:bCs/>
                <w:sz w:val="18"/>
                <w:szCs w:val="18"/>
                <w:u w:val="single"/>
              </w:rPr>
            </w:pPr>
          </w:p>
          <w:p w14:paraId="7F47D9BA" w14:textId="77777777" w:rsidR="005142BF" w:rsidRPr="00FF2732" w:rsidRDefault="005142BF" w:rsidP="005142BF">
            <w:pPr>
              <w:spacing w:after="0"/>
              <w:jc w:val="both"/>
              <w:rPr>
                <w:rFonts w:ascii="Arial" w:hAnsi="Arial" w:cs="Arial"/>
                <w:b/>
                <w:bCs/>
                <w:sz w:val="18"/>
                <w:szCs w:val="18"/>
                <w:u w:val="single"/>
              </w:rPr>
            </w:pPr>
            <w:r w:rsidRPr="00FF2732">
              <w:rPr>
                <w:rFonts w:ascii="Arial" w:hAnsi="Arial" w:cs="Arial"/>
                <w:b/>
                <w:bCs/>
                <w:sz w:val="18"/>
                <w:szCs w:val="18"/>
                <w:u w:val="single"/>
              </w:rPr>
              <w:t>Mantenimiento</w:t>
            </w:r>
            <w:r w:rsidRPr="00FF2732">
              <w:rPr>
                <w:rFonts w:ascii="Arial" w:hAnsi="Arial" w:cs="Arial"/>
                <w:b/>
                <w:sz w:val="18"/>
                <w:szCs w:val="18"/>
                <w:u w:val="single"/>
              </w:rPr>
              <w:t xml:space="preserve"> y </w:t>
            </w:r>
            <w:r w:rsidRPr="00FF2732">
              <w:rPr>
                <w:rFonts w:ascii="Arial" w:hAnsi="Arial" w:cs="Arial"/>
                <w:b/>
                <w:bCs/>
                <w:sz w:val="18"/>
                <w:szCs w:val="18"/>
                <w:u w:val="single"/>
              </w:rPr>
              <w:t>aplicación de garantías</w:t>
            </w:r>
          </w:p>
          <w:p w14:paraId="7F47D9BB" w14:textId="77777777" w:rsidR="005142BF" w:rsidRPr="00FF2732" w:rsidRDefault="005142BF" w:rsidP="005142BF">
            <w:pPr>
              <w:pStyle w:val="IFTnormal"/>
              <w:spacing w:after="0"/>
              <w:rPr>
                <w:rFonts w:ascii="Arial" w:hAnsi="Arial"/>
                <w:sz w:val="18"/>
                <w:szCs w:val="18"/>
              </w:rPr>
            </w:pPr>
          </w:p>
          <w:p w14:paraId="7F47D9BC" w14:textId="77777777" w:rsidR="005142BF" w:rsidRPr="00FF2732" w:rsidRDefault="005142BF" w:rsidP="005142BF">
            <w:pPr>
              <w:pStyle w:val="IFTnormal"/>
              <w:spacing w:after="0"/>
              <w:rPr>
                <w:rFonts w:ascii="Arial" w:hAnsi="Arial"/>
                <w:strike/>
                <w:color w:val="FF0000"/>
                <w:sz w:val="18"/>
                <w:szCs w:val="18"/>
              </w:rPr>
            </w:pPr>
            <w:r w:rsidRPr="00FF2732" w:rsidDel="00610F2C">
              <w:rPr>
                <w:rFonts w:ascii="Arial" w:hAnsi="Arial"/>
                <w:strike/>
                <w:color w:val="FF0000"/>
                <w:sz w:val="18"/>
                <w:szCs w:val="18"/>
              </w:rPr>
              <w:t xml:space="preserve">Para el caso de fallas atribuibles a los módems u ONT blancos, y derivado de que la propiedad de los mismos será del CS, </w:t>
            </w:r>
            <w:r w:rsidRPr="00FF2732">
              <w:rPr>
                <w:rFonts w:ascii="Arial" w:hAnsi="Arial"/>
                <w:strike/>
                <w:color w:val="FF0000"/>
                <w:sz w:val="18"/>
                <w:szCs w:val="18"/>
              </w:rPr>
              <w:t xml:space="preserve">Telmex / Telnor </w:t>
            </w:r>
            <w:r w:rsidRPr="00FF2732" w:rsidDel="00610F2C">
              <w:rPr>
                <w:rFonts w:ascii="Arial" w:hAnsi="Arial"/>
                <w:strike/>
                <w:color w:val="FF0000"/>
                <w:sz w:val="18"/>
                <w:szCs w:val="18"/>
              </w:rPr>
              <w:t xml:space="preserve">otorgará un periodo de garantía de un año, en caso de ser necesario el reemplazo del equipo </w:t>
            </w:r>
            <w:r w:rsidRPr="00FF2732">
              <w:rPr>
                <w:rFonts w:ascii="Arial" w:hAnsi="Arial"/>
                <w:strike/>
                <w:color w:val="FF0000"/>
                <w:sz w:val="18"/>
                <w:szCs w:val="18"/>
              </w:rPr>
              <w:t xml:space="preserve">lo realizará </w:t>
            </w:r>
            <w:r w:rsidRPr="00FF2732" w:rsidDel="00610F2C">
              <w:rPr>
                <w:rFonts w:ascii="Arial" w:hAnsi="Arial"/>
                <w:strike/>
                <w:color w:val="FF0000"/>
                <w:sz w:val="18"/>
                <w:szCs w:val="18"/>
              </w:rPr>
              <w:t>vía</w:t>
            </w:r>
            <w:r w:rsidRPr="00FF2732">
              <w:rPr>
                <w:rFonts w:ascii="Arial" w:hAnsi="Arial"/>
                <w:strike/>
                <w:color w:val="FF0000"/>
                <w:sz w:val="18"/>
                <w:szCs w:val="18"/>
              </w:rPr>
              <w:t xml:space="preserve"> el técnico de Telmex/Telnor</w:t>
            </w:r>
            <w:r w:rsidRPr="00FF2732" w:rsidDel="00610F2C">
              <w:rPr>
                <w:rFonts w:ascii="Arial" w:hAnsi="Arial"/>
                <w:strike/>
                <w:color w:val="FF0000"/>
                <w:sz w:val="18"/>
                <w:szCs w:val="18"/>
              </w:rPr>
              <w:t>.</w:t>
            </w:r>
          </w:p>
          <w:p w14:paraId="7F47D9BD" w14:textId="77777777" w:rsidR="005142BF" w:rsidRPr="00FF2732" w:rsidRDefault="005142BF" w:rsidP="001D14D5">
            <w:pPr>
              <w:pStyle w:val="CondicionesFinales"/>
              <w:ind w:left="0" w:right="0"/>
              <w:rPr>
                <w:rFonts w:eastAsia="Calibri"/>
                <w:b/>
                <w:bCs w:val="0"/>
                <w:sz w:val="18"/>
                <w:szCs w:val="18"/>
                <w:u w:val="single"/>
              </w:rPr>
            </w:pPr>
          </w:p>
          <w:p w14:paraId="7F47D9BE" w14:textId="77777777" w:rsidR="00DE0749" w:rsidRPr="00FF2732" w:rsidRDefault="00DE0749" w:rsidP="001D14D5">
            <w:pPr>
              <w:pStyle w:val="CondicionesFinales"/>
              <w:ind w:left="0" w:right="0"/>
              <w:rPr>
                <w:rFonts w:eastAsia="Calibri"/>
                <w:b/>
                <w:bCs w:val="0"/>
                <w:sz w:val="18"/>
                <w:szCs w:val="18"/>
                <w:u w:val="single"/>
              </w:rPr>
            </w:pPr>
            <w:r w:rsidRPr="00FF2732">
              <w:rPr>
                <w:rFonts w:eastAsia="Calibri"/>
                <w:b/>
                <w:bCs w:val="0"/>
                <w:sz w:val="18"/>
                <w:szCs w:val="18"/>
                <w:u w:val="single"/>
              </w:rPr>
              <w:t>Compra de Módems y ONT por lote</w:t>
            </w:r>
          </w:p>
          <w:p w14:paraId="7F47D9BF" w14:textId="77777777" w:rsidR="00DE0749" w:rsidRPr="00FF2732" w:rsidRDefault="00DE0749" w:rsidP="001D14D5">
            <w:pPr>
              <w:jc w:val="both"/>
              <w:rPr>
                <w:rFonts w:ascii="Arial" w:hAnsi="Arial" w:cs="Arial"/>
                <w:bCs/>
                <w:color w:val="000000"/>
                <w:sz w:val="18"/>
                <w:szCs w:val="18"/>
              </w:rPr>
            </w:pPr>
            <w:r w:rsidRPr="00FF2732">
              <w:rPr>
                <w:rFonts w:ascii="Arial" w:hAnsi="Arial" w:cs="Arial"/>
                <w:bCs/>
                <w:color w:val="000000"/>
                <w:sz w:val="18"/>
                <w:szCs w:val="18"/>
              </w:rPr>
              <w:t>[…]</w:t>
            </w:r>
          </w:p>
          <w:p w14:paraId="7F47D9C0" w14:textId="77777777" w:rsidR="00DE0749" w:rsidRPr="00FF2732" w:rsidRDefault="00DE0749" w:rsidP="001D14D5">
            <w:pPr>
              <w:pStyle w:val="CondicionesFinales"/>
              <w:ind w:left="0" w:right="0"/>
              <w:rPr>
                <w:rFonts w:eastAsia="Calibri"/>
                <w:b/>
                <w:bCs w:val="0"/>
                <w:sz w:val="18"/>
                <w:szCs w:val="18"/>
                <w:u w:val="single"/>
              </w:rPr>
            </w:pPr>
            <w:r w:rsidRPr="00FF2732">
              <w:rPr>
                <w:sz w:val="18"/>
                <w:szCs w:val="18"/>
              </w:rPr>
              <w:t>En resumen, l</w:t>
            </w:r>
            <w:r w:rsidRPr="00FF2732">
              <w:rPr>
                <w:sz w:val="18"/>
                <w:szCs w:val="18"/>
                <w:lang w:val="es-ES"/>
              </w:rPr>
              <w:t>os escenarios para la entrega o instalación del Módem u ONT para el servicio de Reventa son los siguientes:</w:t>
            </w:r>
          </w:p>
          <w:tbl>
            <w:tblPr>
              <w:tblStyle w:val="Tablaconcuadrcula3"/>
              <w:tblW w:w="4316" w:type="pct"/>
              <w:jc w:val="center"/>
              <w:tblLayout w:type="fixed"/>
              <w:tblLook w:val="04A0" w:firstRow="1" w:lastRow="0" w:firstColumn="1" w:lastColumn="0" w:noHBand="0" w:noVBand="1"/>
            </w:tblPr>
            <w:tblGrid>
              <w:gridCol w:w="877"/>
              <w:gridCol w:w="2589"/>
              <w:gridCol w:w="2400"/>
            </w:tblGrid>
            <w:tr w:rsidR="00DE0749" w:rsidRPr="00FF2732" w14:paraId="7F47D9C4" w14:textId="77777777" w:rsidTr="005142BF">
              <w:trPr>
                <w:trHeight w:val="170"/>
                <w:jc w:val="center"/>
              </w:trPr>
              <w:tc>
                <w:tcPr>
                  <w:tcW w:w="747" w:type="pct"/>
                  <w:tcBorders>
                    <w:top w:val="single" w:sz="4" w:space="0" w:color="auto"/>
                    <w:left w:val="single" w:sz="4" w:space="0" w:color="auto"/>
                    <w:bottom w:val="single" w:sz="4" w:space="0" w:color="auto"/>
                    <w:right w:val="single" w:sz="4" w:space="0" w:color="auto"/>
                  </w:tcBorders>
                  <w:hideMark/>
                </w:tcPr>
                <w:p w14:paraId="7F47D9C1" w14:textId="77777777" w:rsidR="00DE0749" w:rsidRPr="00FF2732" w:rsidRDefault="00DE0749" w:rsidP="0034086A">
                  <w:pPr>
                    <w:pStyle w:val="IFTnormal"/>
                    <w:framePr w:hSpace="141" w:wrap="around" w:vAnchor="text" w:hAnchor="text" w:y="1"/>
                    <w:suppressOverlap/>
                    <w:jc w:val="center"/>
                    <w:rPr>
                      <w:rFonts w:ascii="Arial" w:hAnsi="Arial" w:cs="Arial"/>
                      <w:b/>
                      <w:sz w:val="18"/>
                      <w:szCs w:val="18"/>
                    </w:rPr>
                  </w:pPr>
                  <w:r w:rsidRPr="00FF2732">
                    <w:rPr>
                      <w:rFonts w:ascii="Arial" w:hAnsi="Arial" w:cs="Arial"/>
                      <w:b/>
                      <w:sz w:val="18"/>
                      <w:szCs w:val="18"/>
                    </w:rPr>
                    <w:t>Usuario</w:t>
                  </w:r>
                </w:p>
              </w:tc>
              <w:tc>
                <w:tcPr>
                  <w:tcW w:w="2207" w:type="pct"/>
                  <w:tcBorders>
                    <w:top w:val="single" w:sz="4" w:space="0" w:color="auto"/>
                    <w:left w:val="single" w:sz="4" w:space="0" w:color="auto"/>
                    <w:bottom w:val="single" w:sz="4" w:space="0" w:color="auto"/>
                    <w:right w:val="single" w:sz="4" w:space="0" w:color="auto"/>
                  </w:tcBorders>
                  <w:hideMark/>
                </w:tcPr>
                <w:p w14:paraId="7F47D9C2" w14:textId="77777777" w:rsidR="00DE0749" w:rsidRPr="00FF2732" w:rsidRDefault="00DE0749" w:rsidP="0034086A">
                  <w:pPr>
                    <w:pStyle w:val="IFTnormal"/>
                    <w:framePr w:hSpace="141" w:wrap="around" w:vAnchor="text" w:hAnchor="text" w:y="1"/>
                    <w:suppressOverlap/>
                    <w:jc w:val="center"/>
                    <w:rPr>
                      <w:rFonts w:ascii="Arial" w:hAnsi="Arial" w:cs="Arial"/>
                      <w:b/>
                      <w:sz w:val="18"/>
                      <w:szCs w:val="18"/>
                    </w:rPr>
                  </w:pPr>
                  <w:r w:rsidRPr="00FF2732">
                    <w:rPr>
                      <w:rFonts w:ascii="Arial" w:hAnsi="Arial" w:cs="Arial"/>
                      <w:b/>
                      <w:sz w:val="18"/>
                      <w:szCs w:val="18"/>
                    </w:rPr>
                    <w:t>Equipo Terminal</w:t>
                  </w:r>
                </w:p>
              </w:tc>
              <w:tc>
                <w:tcPr>
                  <w:tcW w:w="2046" w:type="pct"/>
                  <w:tcBorders>
                    <w:top w:val="single" w:sz="4" w:space="0" w:color="auto"/>
                    <w:left w:val="single" w:sz="4" w:space="0" w:color="auto"/>
                    <w:bottom w:val="single" w:sz="4" w:space="0" w:color="auto"/>
                    <w:right w:val="single" w:sz="4" w:space="0" w:color="auto"/>
                  </w:tcBorders>
                  <w:hideMark/>
                </w:tcPr>
                <w:p w14:paraId="7F47D9C3" w14:textId="77777777" w:rsidR="00DE0749" w:rsidRPr="00FF2732" w:rsidRDefault="00DE0749" w:rsidP="0034086A">
                  <w:pPr>
                    <w:pStyle w:val="IFTnormal"/>
                    <w:framePr w:hSpace="141" w:wrap="around" w:vAnchor="text" w:hAnchor="text" w:y="1"/>
                    <w:suppressOverlap/>
                    <w:jc w:val="center"/>
                    <w:rPr>
                      <w:rFonts w:ascii="Arial" w:hAnsi="Arial" w:cs="Arial"/>
                      <w:b/>
                      <w:sz w:val="18"/>
                      <w:szCs w:val="18"/>
                    </w:rPr>
                  </w:pPr>
                  <w:r w:rsidRPr="00FF2732">
                    <w:rPr>
                      <w:rFonts w:ascii="Arial" w:hAnsi="Arial" w:cs="Arial"/>
                      <w:b/>
                      <w:sz w:val="18"/>
                      <w:szCs w:val="18"/>
                    </w:rPr>
                    <w:t>Modalidad de entrega</w:t>
                  </w:r>
                </w:p>
              </w:tc>
            </w:tr>
            <w:tr w:rsidR="00DE0749" w:rsidRPr="00FF2732" w14:paraId="7F47D9C6" w14:textId="77777777" w:rsidTr="005142BF">
              <w:trPr>
                <w:trHeight w:val="340"/>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7F47D9C5" w14:textId="77777777" w:rsidR="00DE0749" w:rsidRPr="00FF2732" w:rsidRDefault="00DE0749" w:rsidP="0034086A">
                  <w:pPr>
                    <w:pStyle w:val="IFTnormal"/>
                    <w:framePr w:hSpace="141" w:wrap="around" w:vAnchor="text" w:hAnchor="text" w:y="1"/>
                    <w:suppressOverlap/>
                    <w:jc w:val="center"/>
                    <w:rPr>
                      <w:rFonts w:ascii="Arial" w:hAnsi="Arial" w:cs="Arial"/>
                      <w:sz w:val="18"/>
                      <w:szCs w:val="18"/>
                    </w:rPr>
                  </w:pPr>
                  <w:r w:rsidRPr="00FF2732">
                    <w:rPr>
                      <w:rFonts w:ascii="Arial" w:hAnsi="Arial" w:cs="Arial"/>
                      <w:sz w:val="18"/>
                      <w:szCs w:val="18"/>
                    </w:rPr>
                    <w:t>Equipo del AEP (Módem / ONT)</w:t>
                  </w:r>
                </w:p>
              </w:tc>
            </w:tr>
            <w:tr w:rsidR="00DE0749" w:rsidRPr="00FF2732" w14:paraId="7F47D9CA"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hideMark/>
                </w:tcPr>
                <w:p w14:paraId="7F47D9C7"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lastRenderedPageBreak/>
                    <w:t>Existente</w:t>
                  </w:r>
                </w:p>
              </w:tc>
              <w:tc>
                <w:tcPr>
                  <w:tcW w:w="2207" w:type="pct"/>
                  <w:tcBorders>
                    <w:top w:val="single" w:sz="4" w:space="0" w:color="auto"/>
                    <w:left w:val="single" w:sz="4" w:space="0" w:color="auto"/>
                    <w:bottom w:val="single" w:sz="4" w:space="0" w:color="auto"/>
                    <w:right w:val="single" w:sz="4" w:space="0" w:color="auto"/>
                  </w:tcBorders>
                  <w:hideMark/>
                </w:tcPr>
                <w:p w14:paraId="7F47D9C8"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Módem del AEP</w:t>
                  </w:r>
                </w:p>
              </w:tc>
              <w:tc>
                <w:tcPr>
                  <w:tcW w:w="2046" w:type="pct"/>
                  <w:tcBorders>
                    <w:top w:val="single" w:sz="4" w:space="0" w:color="auto"/>
                    <w:left w:val="single" w:sz="4" w:space="0" w:color="auto"/>
                    <w:bottom w:val="single" w:sz="4" w:space="0" w:color="auto"/>
                    <w:right w:val="single" w:sz="4" w:space="0" w:color="auto"/>
                  </w:tcBorders>
                  <w:hideMark/>
                </w:tcPr>
                <w:p w14:paraId="7F47D9C9"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Se utiliza el Módem del AEP en operación con el usuario final.</w:t>
                  </w:r>
                </w:p>
              </w:tc>
            </w:tr>
            <w:tr w:rsidR="00DE0749" w:rsidRPr="00FF2732" w14:paraId="7F47D9CE"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hideMark/>
                </w:tcPr>
                <w:p w14:paraId="7F47D9CB"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Existente</w:t>
                  </w:r>
                </w:p>
              </w:tc>
              <w:tc>
                <w:tcPr>
                  <w:tcW w:w="2207" w:type="pct"/>
                  <w:tcBorders>
                    <w:top w:val="single" w:sz="4" w:space="0" w:color="auto"/>
                    <w:left w:val="single" w:sz="4" w:space="0" w:color="auto"/>
                    <w:bottom w:val="single" w:sz="4" w:space="0" w:color="auto"/>
                    <w:right w:val="single" w:sz="4" w:space="0" w:color="auto"/>
                  </w:tcBorders>
                  <w:hideMark/>
                </w:tcPr>
                <w:p w14:paraId="7F47D9CC"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ONT del AEP</w:t>
                  </w:r>
                </w:p>
              </w:tc>
              <w:tc>
                <w:tcPr>
                  <w:tcW w:w="2046" w:type="pct"/>
                  <w:tcBorders>
                    <w:top w:val="single" w:sz="4" w:space="0" w:color="auto"/>
                    <w:left w:val="single" w:sz="4" w:space="0" w:color="auto"/>
                    <w:bottom w:val="single" w:sz="4" w:space="0" w:color="auto"/>
                    <w:right w:val="single" w:sz="4" w:space="0" w:color="auto"/>
                  </w:tcBorders>
                  <w:hideMark/>
                </w:tcPr>
                <w:p w14:paraId="7F47D9CD"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Se utiliza el ONT del AEP en operación con el usuario final.</w:t>
                  </w:r>
                </w:p>
              </w:tc>
            </w:tr>
            <w:tr w:rsidR="00DE0749" w:rsidRPr="00FF2732" w14:paraId="7F47D9D2"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hideMark/>
                </w:tcPr>
                <w:p w14:paraId="7F47D9CF"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Nuevo</w:t>
                  </w:r>
                </w:p>
              </w:tc>
              <w:tc>
                <w:tcPr>
                  <w:tcW w:w="2207" w:type="pct"/>
                  <w:tcBorders>
                    <w:top w:val="single" w:sz="4" w:space="0" w:color="auto"/>
                    <w:left w:val="single" w:sz="4" w:space="0" w:color="auto"/>
                    <w:bottom w:val="single" w:sz="4" w:space="0" w:color="auto"/>
                    <w:right w:val="single" w:sz="4" w:space="0" w:color="auto"/>
                  </w:tcBorders>
                  <w:hideMark/>
                </w:tcPr>
                <w:p w14:paraId="7F47D9D0"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Módem del AEP</w:t>
                  </w:r>
                </w:p>
              </w:tc>
              <w:tc>
                <w:tcPr>
                  <w:tcW w:w="2046" w:type="pct"/>
                  <w:tcBorders>
                    <w:top w:val="single" w:sz="4" w:space="0" w:color="auto"/>
                    <w:left w:val="single" w:sz="4" w:space="0" w:color="auto"/>
                    <w:bottom w:val="single" w:sz="4" w:space="0" w:color="auto"/>
                    <w:right w:val="single" w:sz="4" w:space="0" w:color="auto"/>
                  </w:tcBorders>
                  <w:hideMark/>
                </w:tcPr>
                <w:p w14:paraId="7F47D9D1"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 xml:space="preserve">Técnico </w:t>
                  </w:r>
                </w:p>
              </w:tc>
            </w:tr>
            <w:tr w:rsidR="00DE0749" w:rsidRPr="00FF2732" w14:paraId="7F47D9D6"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hideMark/>
                </w:tcPr>
                <w:p w14:paraId="7F47D9D3"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Nuevo</w:t>
                  </w:r>
                </w:p>
              </w:tc>
              <w:tc>
                <w:tcPr>
                  <w:tcW w:w="2207" w:type="pct"/>
                  <w:tcBorders>
                    <w:top w:val="single" w:sz="4" w:space="0" w:color="auto"/>
                    <w:left w:val="single" w:sz="4" w:space="0" w:color="auto"/>
                    <w:bottom w:val="single" w:sz="4" w:space="0" w:color="auto"/>
                    <w:right w:val="single" w:sz="4" w:space="0" w:color="auto"/>
                  </w:tcBorders>
                  <w:hideMark/>
                </w:tcPr>
                <w:p w14:paraId="7F47D9D4"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ONT del AEP</w:t>
                  </w:r>
                </w:p>
              </w:tc>
              <w:tc>
                <w:tcPr>
                  <w:tcW w:w="2046" w:type="pct"/>
                  <w:tcBorders>
                    <w:top w:val="single" w:sz="4" w:space="0" w:color="auto"/>
                    <w:left w:val="single" w:sz="4" w:space="0" w:color="auto"/>
                    <w:bottom w:val="single" w:sz="4" w:space="0" w:color="auto"/>
                    <w:right w:val="single" w:sz="4" w:space="0" w:color="auto"/>
                  </w:tcBorders>
                  <w:hideMark/>
                </w:tcPr>
                <w:p w14:paraId="7F47D9D5" w14:textId="77777777" w:rsidR="00DE0749" w:rsidRPr="00FF2732" w:rsidRDefault="00DE0749" w:rsidP="0034086A">
                  <w:pPr>
                    <w:pStyle w:val="IFTnormal"/>
                    <w:framePr w:hSpace="141" w:wrap="around" w:vAnchor="text" w:hAnchor="text" w:y="1"/>
                    <w:suppressOverlap/>
                    <w:rPr>
                      <w:rFonts w:ascii="Arial" w:hAnsi="Arial" w:cs="Arial"/>
                      <w:sz w:val="18"/>
                      <w:szCs w:val="18"/>
                    </w:rPr>
                  </w:pPr>
                  <w:r w:rsidRPr="00FF2732">
                    <w:rPr>
                      <w:rFonts w:ascii="Arial" w:hAnsi="Arial" w:cs="Arial"/>
                      <w:sz w:val="18"/>
                      <w:szCs w:val="18"/>
                    </w:rPr>
                    <w:t>Telmex / Telnor entrega e instala el ONT equipo terminal al usuario final.</w:t>
                  </w:r>
                </w:p>
              </w:tc>
            </w:tr>
            <w:tr w:rsidR="00DE0749" w:rsidRPr="00FF2732" w14:paraId="7F47D9D8" w14:textId="77777777" w:rsidTr="005142BF">
              <w:trPr>
                <w:jc w:val="center"/>
              </w:trPr>
              <w:tc>
                <w:tcPr>
                  <w:tcW w:w="5000" w:type="pct"/>
                  <w:gridSpan w:val="3"/>
                  <w:tcBorders>
                    <w:top w:val="single" w:sz="4" w:space="0" w:color="auto"/>
                    <w:left w:val="single" w:sz="4" w:space="0" w:color="auto"/>
                    <w:bottom w:val="single" w:sz="4" w:space="0" w:color="auto"/>
                    <w:right w:val="single" w:sz="4" w:space="0" w:color="auto"/>
                  </w:tcBorders>
                  <w:hideMark/>
                </w:tcPr>
                <w:p w14:paraId="7F47D9D7" w14:textId="77777777" w:rsidR="00DE0749" w:rsidRPr="00FF2732" w:rsidRDefault="00DE0749" w:rsidP="0034086A">
                  <w:pPr>
                    <w:pStyle w:val="IFTnormal"/>
                    <w:framePr w:hSpace="141" w:wrap="around" w:vAnchor="text" w:hAnchor="text" w:y="1"/>
                    <w:suppressOverlap/>
                    <w:jc w:val="center"/>
                    <w:rPr>
                      <w:rFonts w:ascii="Arial" w:hAnsi="Arial" w:cs="Arial"/>
                      <w:b/>
                      <w:strike/>
                      <w:color w:val="FF0000"/>
                      <w:sz w:val="18"/>
                      <w:szCs w:val="18"/>
                    </w:rPr>
                  </w:pPr>
                  <w:r w:rsidRPr="00FF2732">
                    <w:rPr>
                      <w:rFonts w:ascii="Arial" w:hAnsi="Arial" w:cs="Arial"/>
                      <w:b/>
                      <w:strike/>
                      <w:color w:val="FF0000"/>
                      <w:sz w:val="18"/>
                      <w:szCs w:val="18"/>
                    </w:rPr>
                    <w:t>Equipo Blanco del AEP (Módem / ONT)</w:t>
                  </w:r>
                  <w:r w:rsidRPr="00FF2732">
                    <w:rPr>
                      <w:rStyle w:val="Refdenotaalpie"/>
                      <w:rFonts w:ascii="Arial" w:hAnsi="Arial" w:cs="Arial"/>
                      <w:b/>
                      <w:strike/>
                      <w:color w:val="FF0000"/>
                      <w:sz w:val="18"/>
                      <w:szCs w:val="18"/>
                    </w:rPr>
                    <w:footnoteReference w:id="3"/>
                  </w:r>
                  <w:r w:rsidRPr="00FF2732">
                    <w:rPr>
                      <w:rFonts w:ascii="Arial" w:hAnsi="Arial" w:cs="Arial"/>
                      <w:b/>
                      <w:strike/>
                      <w:color w:val="FF0000"/>
                      <w:sz w:val="18"/>
                      <w:szCs w:val="18"/>
                    </w:rPr>
                    <w:t xml:space="preserve"> </w:t>
                  </w:r>
                </w:p>
              </w:tc>
            </w:tr>
            <w:tr w:rsidR="00DE0749" w:rsidRPr="00FF2732" w14:paraId="7F47D9DC"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vAlign w:val="center"/>
                  <w:hideMark/>
                </w:tcPr>
                <w:p w14:paraId="7F47D9D9" w14:textId="77777777" w:rsidR="00DE0749" w:rsidRPr="00FF2732" w:rsidRDefault="00DE0749" w:rsidP="0034086A">
                  <w:pPr>
                    <w:pStyle w:val="IFTnormal"/>
                    <w:framePr w:hSpace="141" w:wrap="around" w:vAnchor="text" w:hAnchor="text" w:y="1"/>
                    <w:suppressOverlap/>
                    <w:jc w:val="left"/>
                    <w:rPr>
                      <w:rFonts w:ascii="Arial" w:hAnsi="Arial" w:cs="Arial"/>
                      <w:strike/>
                      <w:color w:val="FF0000"/>
                      <w:sz w:val="18"/>
                      <w:szCs w:val="18"/>
                    </w:rPr>
                  </w:pPr>
                  <w:r w:rsidRPr="00FF2732">
                    <w:rPr>
                      <w:rFonts w:ascii="Arial" w:hAnsi="Arial" w:cs="Arial"/>
                      <w:strike/>
                      <w:color w:val="FF0000"/>
                      <w:sz w:val="18"/>
                      <w:szCs w:val="18"/>
                    </w:rPr>
                    <w:t>Existente</w:t>
                  </w:r>
                </w:p>
              </w:tc>
              <w:tc>
                <w:tcPr>
                  <w:tcW w:w="2207" w:type="pct"/>
                  <w:tcBorders>
                    <w:top w:val="single" w:sz="4" w:space="0" w:color="auto"/>
                    <w:left w:val="single" w:sz="4" w:space="0" w:color="auto"/>
                    <w:bottom w:val="single" w:sz="4" w:space="0" w:color="auto"/>
                    <w:right w:val="single" w:sz="4" w:space="0" w:color="auto"/>
                  </w:tcBorders>
                  <w:vAlign w:val="center"/>
                  <w:hideMark/>
                </w:tcPr>
                <w:p w14:paraId="7F47D9DA" w14:textId="77777777" w:rsidR="00DE0749" w:rsidRPr="00FF2732" w:rsidRDefault="00DE0749" w:rsidP="0034086A">
                  <w:pPr>
                    <w:pStyle w:val="IFTnormal"/>
                    <w:framePr w:hSpace="141" w:wrap="around" w:vAnchor="text" w:hAnchor="text" w:y="1"/>
                    <w:suppressOverlap/>
                    <w:jc w:val="left"/>
                    <w:rPr>
                      <w:rFonts w:ascii="Arial" w:hAnsi="Arial" w:cs="Arial"/>
                      <w:strike/>
                      <w:color w:val="FF0000"/>
                      <w:sz w:val="18"/>
                      <w:szCs w:val="18"/>
                    </w:rPr>
                  </w:pPr>
                  <w:r w:rsidRPr="00FF2732">
                    <w:rPr>
                      <w:rFonts w:ascii="Arial" w:hAnsi="Arial" w:cs="Arial"/>
                      <w:strike/>
                      <w:color w:val="FF0000"/>
                      <w:sz w:val="18"/>
                      <w:szCs w:val="18"/>
                    </w:rPr>
                    <w:t>Módem Blanco</w:t>
                  </w:r>
                </w:p>
              </w:tc>
              <w:tc>
                <w:tcPr>
                  <w:tcW w:w="2046" w:type="pct"/>
                  <w:tcBorders>
                    <w:top w:val="single" w:sz="4" w:space="0" w:color="auto"/>
                    <w:left w:val="single" w:sz="4" w:space="0" w:color="auto"/>
                    <w:bottom w:val="single" w:sz="4" w:space="0" w:color="auto"/>
                    <w:right w:val="single" w:sz="4" w:space="0" w:color="auto"/>
                  </w:tcBorders>
                  <w:vAlign w:val="center"/>
                  <w:hideMark/>
                </w:tcPr>
                <w:p w14:paraId="7F47D9DB" w14:textId="77777777" w:rsidR="00DE0749" w:rsidRPr="00FF2732" w:rsidRDefault="005142BF" w:rsidP="0034086A">
                  <w:pPr>
                    <w:pStyle w:val="IFTnormal"/>
                    <w:framePr w:hSpace="141" w:wrap="around" w:vAnchor="text" w:hAnchor="text" w:y="1"/>
                    <w:suppressOverlap/>
                    <w:jc w:val="left"/>
                    <w:rPr>
                      <w:rFonts w:ascii="Arial" w:hAnsi="Arial" w:cs="Arial"/>
                      <w:strike/>
                      <w:color w:val="FF0000"/>
                      <w:sz w:val="18"/>
                      <w:szCs w:val="18"/>
                    </w:rPr>
                  </w:pPr>
                  <w:r w:rsidRPr="00FF2732">
                    <w:rPr>
                      <w:rFonts w:ascii="Arial" w:hAnsi="Arial" w:cs="Arial"/>
                      <w:strike/>
                      <w:color w:val="FF0000"/>
                      <w:sz w:val="18"/>
                      <w:szCs w:val="18"/>
                    </w:rPr>
                    <w:t>Técnico</w:t>
                  </w:r>
                </w:p>
              </w:tc>
            </w:tr>
            <w:tr w:rsidR="00DE0749" w:rsidRPr="00FF2732" w14:paraId="7F47D9E0"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vAlign w:val="center"/>
                  <w:hideMark/>
                </w:tcPr>
                <w:p w14:paraId="7F47D9DD" w14:textId="77777777" w:rsidR="00DE0749" w:rsidRPr="00FF2732" w:rsidRDefault="00DE0749" w:rsidP="0034086A">
                  <w:pPr>
                    <w:pStyle w:val="IFTnormal"/>
                    <w:framePr w:hSpace="141" w:wrap="around" w:vAnchor="text" w:hAnchor="text" w:y="1"/>
                    <w:suppressOverlap/>
                    <w:jc w:val="left"/>
                    <w:rPr>
                      <w:rFonts w:ascii="Arial" w:hAnsi="Arial" w:cs="Arial"/>
                      <w:strike/>
                      <w:color w:val="FF0000"/>
                      <w:sz w:val="18"/>
                      <w:szCs w:val="18"/>
                    </w:rPr>
                  </w:pPr>
                  <w:r w:rsidRPr="00FF2732">
                    <w:rPr>
                      <w:rFonts w:ascii="Arial" w:hAnsi="Arial" w:cs="Arial"/>
                      <w:strike/>
                      <w:color w:val="FF0000"/>
                      <w:sz w:val="18"/>
                      <w:szCs w:val="18"/>
                    </w:rPr>
                    <w:t>Existente</w:t>
                  </w:r>
                </w:p>
              </w:tc>
              <w:tc>
                <w:tcPr>
                  <w:tcW w:w="2207" w:type="pct"/>
                  <w:tcBorders>
                    <w:top w:val="single" w:sz="4" w:space="0" w:color="auto"/>
                    <w:left w:val="single" w:sz="4" w:space="0" w:color="auto"/>
                    <w:bottom w:val="single" w:sz="4" w:space="0" w:color="auto"/>
                    <w:right w:val="single" w:sz="4" w:space="0" w:color="auto"/>
                  </w:tcBorders>
                  <w:vAlign w:val="center"/>
                  <w:hideMark/>
                </w:tcPr>
                <w:p w14:paraId="7F47D9DE" w14:textId="77777777" w:rsidR="00DE0749" w:rsidRPr="00FF2732" w:rsidRDefault="00DE0749" w:rsidP="0034086A">
                  <w:pPr>
                    <w:pStyle w:val="IFTnormal"/>
                    <w:framePr w:hSpace="141" w:wrap="around" w:vAnchor="text" w:hAnchor="text" w:y="1"/>
                    <w:suppressOverlap/>
                    <w:jc w:val="left"/>
                    <w:rPr>
                      <w:rFonts w:ascii="Arial" w:hAnsi="Arial" w:cs="Arial"/>
                      <w:strike/>
                      <w:color w:val="FF0000"/>
                      <w:sz w:val="18"/>
                      <w:szCs w:val="18"/>
                    </w:rPr>
                  </w:pPr>
                  <w:r w:rsidRPr="00FF2732">
                    <w:rPr>
                      <w:rFonts w:ascii="Arial" w:hAnsi="Arial" w:cs="Arial"/>
                      <w:strike/>
                      <w:color w:val="FF0000"/>
                      <w:sz w:val="18"/>
                      <w:szCs w:val="18"/>
                    </w:rPr>
                    <w:t>ONT Blanco</w:t>
                  </w:r>
                </w:p>
              </w:tc>
              <w:tc>
                <w:tcPr>
                  <w:tcW w:w="2046" w:type="pct"/>
                  <w:tcBorders>
                    <w:top w:val="single" w:sz="4" w:space="0" w:color="auto"/>
                    <w:left w:val="single" w:sz="4" w:space="0" w:color="auto"/>
                    <w:bottom w:val="single" w:sz="4" w:space="0" w:color="auto"/>
                    <w:right w:val="single" w:sz="4" w:space="0" w:color="auto"/>
                  </w:tcBorders>
                  <w:vAlign w:val="center"/>
                  <w:hideMark/>
                </w:tcPr>
                <w:p w14:paraId="7F47D9DF" w14:textId="77777777" w:rsidR="00DE0749" w:rsidRPr="00FF2732" w:rsidRDefault="00DE0749" w:rsidP="0034086A">
                  <w:pPr>
                    <w:pStyle w:val="IFTnormal"/>
                    <w:framePr w:hSpace="141" w:wrap="around" w:vAnchor="text" w:hAnchor="text" w:y="1"/>
                    <w:suppressOverlap/>
                    <w:jc w:val="left"/>
                    <w:rPr>
                      <w:rFonts w:ascii="Arial" w:hAnsi="Arial" w:cs="Arial"/>
                      <w:strike/>
                      <w:color w:val="FF0000"/>
                      <w:sz w:val="18"/>
                      <w:szCs w:val="18"/>
                    </w:rPr>
                  </w:pPr>
                  <w:r w:rsidRPr="00FF2732">
                    <w:rPr>
                      <w:rFonts w:ascii="Arial" w:hAnsi="Arial" w:cs="Arial"/>
                      <w:strike/>
                      <w:color w:val="FF0000"/>
                      <w:sz w:val="18"/>
                      <w:szCs w:val="18"/>
                    </w:rPr>
                    <w:t>Telmex / Telnor entrega e instala el ONT equipo terminal al usuario final.</w:t>
                  </w:r>
                </w:p>
              </w:tc>
            </w:tr>
            <w:tr w:rsidR="00DE0749" w:rsidRPr="00FF2732" w14:paraId="7F47D9E4"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hideMark/>
                </w:tcPr>
                <w:p w14:paraId="7F47D9E1" w14:textId="77777777" w:rsidR="00DE0749" w:rsidRPr="00FF2732" w:rsidRDefault="00DE0749" w:rsidP="0034086A">
                  <w:pPr>
                    <w:pStyle w:val="IFTnormal"/>
                    <w:framePr w:hSpace="141" w:wrap="around" w:vAnchor="text" w:hAnchor="text" w:y="1"/>
                    <w:suppressOverlap/>
                    <w:rPr>
                      <w:rFonts w:ascii="Arial" w:hAnsi="Arial" w:cs="Arial"/>
                      <w:strike/>
                      <w:color w:val="FF0000"/>
                      <w:sz w:val="18"/>
                      <w:szCs w:val="18"/>
                    </w:rPr>
                  </w:pPr>
                  <w:r w:rsidRPr="00FF2732">
                    <w:rPr>
                      <w:rFonts w:ascii="Arial" w:hAnsi="Arial" w:cs="Arial"/>
                      <w:strike/>
                      <w:color w:val="FF0000"/>
                      <w:sz w:val="18"/>
                      <w:szCs w:val="18"/>
                    </w:rPr>
                    <w:t>Nuevo</w:t>
                  </w:r>
                </w:p>
              </w:tc>
              <w:tc>
                <w:tcPr>
                  <w:tcW w:w="2207" w:type="pct"/>
                  <w:tcBorders>
                    <w:top w:val="single" w:sz="4" w:space="0" w:color="auto"/>
                    <w:left w:val="single" w:sz="4" w:space="0" w:color="auto"/>
                    <w:bottom w:val="single" w:sz="4" w:space="0" w:color="auto"/>
                    <w:right w:val="single" w:sz="4" w:space="0" w:color="auto"/>
                  </w:tcBorders>
                  <w:hideMark/>
                </w:tcPr>
                <w:p w14:paraId="7F47D9E2" w14:textId="77777777" w:rsidR="00DE0749" w:rsidRPr="00FF2732" w:rsidRDefault="00DE0749" w:rsidP="0034086A">
                  <w:pPr>
                    <w:pStyle w:val="IFTnormal"/>
                    <w:framePr w:hSpace="141" w:wrap="around" w:vAnchor="text" w:hAnchor="text" w:y="1"/>
                    <w:suppressOverlap/>
                    <w:rPr>
                      <w:rFonts w:ascii="Arial" w:hAnsi="Arial" w:cs="Arial"/>
                      <w:strike/>
                      <w:color w:val="FF0000"/>
                      <w:sz w:val="18"/>
                      <w:szCs w:val="18"/>
                    </w:rPr>
                  </w:pPr>
                  <w:r w:rsidRPr="00FF2732">
                    <w:rPr>
                      <w:rFonts w:ascii="Arial" w:hAnsi="Arial" w:cs="Arial"/>
                      <w:strike/>
                      <w:color w:val="FF0000"/>
                      <w:sz w:val="18"/>
                      <w:szCs w:val="18"/>
                    </w:rPr>
                    <w:t>Módem Blanco</w:t>
                  </w:r>
                </w:p>
              </w:tc>
              <w:tc>
                <w:tcPr>
                  <w:tcW w:w="2046" w:type="pct"/>
                  <w:tcBorders>
                    <w:top w:val="single" w:sz="4" w:space="0" w:color="auto"/>
                    <w:left w:val="single" w:sz="4" w:space="0" w:color="auto"/>
                    <w:bottom w:val="single" w:sz="4" w:space="0" w:color="auto"/>
                    <w:right w:val="single" w:sz="4" w:space="0" w:color="auto"/>
                  </w:tcBorders>
                  <w:hideMark/>
                </w:tcPr>
                <w:p w14:paraId="7F47D9E3" w14:textId="77777777" w:rsidR="00DE0749" w:rsidRPr="00FF2732" w:rsidRDefault="0075080B" w:rsidP="0034086A">
                  <w:pPr>
                    <w:pStyle w:val="IFTnormal"/>
                    <w:framePr w:hSpace="141" w:wrap="around" w:vAnchor="text" w:hAnchor="text" w:y="1"/>
                    <w:suppressOverlap/>
                    <w:rPr>
                      <w:rFonts w:ascii="Arial" w:hAnsi="Arial" w:cs="Arial"/>
                      <w:strike/>
                      <w:color w:val="FF0000"/>
                      <w:sz w:val="18"/>
                      <w:szCs w:val="18"/>
                    </w:rPr>
                  </w:pPr>
                  <w:r w:rsidRPr="00FF2732">
                    <w:rPr>
                      <w:rFonts w:ascii="Arial" w:hAnsi="Arial" w:cs="Arial"/>
                      <w:strike/>
                      <w:color w:val="FF0000"/>
                      <w:sz w:val="18"/>
                      <w:szCs w:val="18"/>
                    </w:rPr>
                    <w:t>Técnico</w:t>
                  </w:r>
                </w:p>
              </w:tc>
            </w:tr>
            <w:tr w:rsidR="00DE0749" w:rsidRPr="00FF2732" w14:paraId="7F47D9E8" w14:textId="77777777" w:rsidTr="005142BF">
              <w:trPr>
                <w:jc w:val="center"/>
              </w:trPr>
              <w:tc>
                <w:tcPr>
                  <w:tcW w:w="747" w:type="pct"/>
                  <w:tcBorders>
                    <w:top w:val="single" w:sz="4" w:space="0" w:color="auto"/>
                    <w:left w:val="single" w:sz="4" w:space="0" w:color="auto"/>
                    <w:bottom w:val="single" w:sz="4" w:space="0" w:color="auto"/>
                    <w:right w:val="single" w:sz="4" w:space="0" w:color="auto"/>
                  </w:tcBorders>
                  <w:hideMark/>
                </w:tcPr>
                <w:p w14:paraId="7F47D9E5" w14:textId="77777777" w:rsidR="00DE0749" w:rsidRPr="00FF2732" w:rsidRDefault="00DE0749" w:rsidP="0034086A">
                  <w:pPr>
                    <w:pStyle w:val="IFTnormal"/>
                    <w:framePr w:hSpace="141" w:wrap="around" w:vAnchor="text" w:hAnchor="text" w:y="1"/>
                    <w:suppressOverlap/>
                    <w:rPr>
                      <w:rFonts w:ascii="Arial" w:hAnsi="Arial" w:cs="Arial"/>
                      <w:strike/>
                      <w:color w:val="FF0000"/>
                      <w:sz w:val="18"/>
                      <w:szCs w:val="18"/>
                    </w:rPr>
                  </w:pPr>
                  <w:r w:rsidRPr="00FF2732">
                    <w:rPr>
                      <w:rFonts w:ascii="Arial" w:hAnsi="Arial" w:cs="Arial"/>
                      <w:strike/>
                      <w:color w:val="FF0000"/>
                      <w:sz w:val="18"/>
                      <w:szCs w:val="18"/>
                    </w:rPr>
                    <w:t>Nuevo</w:t>
                  </w:r>
                </w:p>
              </w:tc>
              <w:tc>
                <w:tcPr>
                  <w:tcW w:w="2207" w:type="pct"/>
                  <w:tcBorders>
                    <w:top w:val="single" w:sz="4" w:space="0" w:color="auto"/>
                    <w:left w:val="single" w:sz="4" w:space="0" w:color="auto"/>
                    <w:bottom w:val="single" w:sz="4" w:space="0" w:color="auto"/>
                    <w:right w:val="single" w:sz="4" w:space="0" w:color="auto"/>
                  </w:tcBorders>
                  <w:hideMark/>
                </w:tcPr>
                <w:p w14:paraId="7F47D9E6" w14:textId="77777777" w:rsidR="00DE0749" w:rsidRPr="00FF2732" w:rsidRDefault="00DE0749" w:rsidP="0034086A">
                  <w:pPr>
                    <w:pStyle w:val="IFTnormal"/>
                    <w:framePr w:hSpace="141" w:wrap="around" w:vAnchor="text" w:hAnchor="text" w:y="1"/>
                    <w:suppressOverlap/>
                    <w:rPr>
                      <w:rFonts w:ascii="Arial" w:hAnsi="Arial" w:cs="Arial"/>
                      <w:strike/>
                      <w:color w:val="FF0000"/>
                      <w:sz w:val="18"/>
                      <w:szCs w:val="18"/>
                    </w:rPr>
                  </w:pPr>
                  <w:r w:rsidRPr="00FF2732">
                    <w:rPr>
                      <w:rFonts w:ascii="Arial" w:hAnsi="Arial" w:cs="Arial"/>
                      <w:strike/>
                      <w:color w:val="FF0000"/>
                      <w:sz w:val="18"/>
                      <w:szCs w:val="18"/>
                    </w:rPr>
                    <w:t>ONT Blanco</w:t>
                  </w:r>
                </w:p>
              </w:tc>
              <w:tc>
                <w:tcPr>
                  <w:tcW w:w="2046" w:type="pct"/>
                  <w:tcBorders>
                    <w:top w:val="single" w:sz="4" w:space="0" w:color="auto"/>
                    <w:left w:val="single" w:sz="4" w:space="0" w:color="auto"/>
                    <w:bottom w:val="single" w:sz="4" w:space="0" w:color="auto"/>
                    <w:right w:val="single" w:sz="4" w:space="0" w:color="auto"/>
                  </w:tcBorders>
                  <w:hideMark/>
                </w:tcPr>
                <w:p w14:paraId="7F47D9E7" w14:textId="77777777" w:rsidR="00DE0749" w:rsidRPr="00FF2732" w:rsidRDefault="00DE0749" w:rsidP="0034086A">
                  <w:pPr>
                    <w:pStyle w:val="IFTnormal"/>
                    <w:framePr w:hSpace="141" w:wrap="around" w:vAnchor="text" w:hAnchor="text" w:y="1"/>
                    <w:suppressOverlap/>
                    <w:rPr>
                      <w:rFonts w:ascii="Arial" w:hAnsi="Arial" w:cs="Arial"/>
                      <w:strike/>
                      <w:color w:val="FF0000"/>
                      <w:sz w:val="18"/>
                      <w:szCs w:val="18"/>
                    </w:rPr>
                  </w:pPr>
                  <w:r w:rsidRPr="00FF2732">
                    <w:rPr>
                      <w:rFonts w:ascii="Arial" w:hAnsi="Arial" w:cs="Arial"/>
                      <w:strike/>
                      <w:color w:val="FF0000"/>
                      <w:sz w:val="18"/>
                      <w:szCs w:val="18"/>
                    </w:rPr>
                    <w:t>Telmex / Telnor entrega e instala el ONT equipo terminal al usuario final.</w:t>
                  </w:r>
                </w:p>
              </w:tc>
            </w:tr>
          </w:tbl>
          <w:p w14:paraId="7F47D9E9" w14:textId="77777777" w:rsidR="0075080B" w:rsidRPr="00C83E51" w:rsidRDefault="0075080B" w:rsidP="00E10DDC">
            <w:pPr>
              <w:pStyle w:val="1TitPrin"/>
              <w:framePr w:hSpace="0" w:wrap="auto" w:vAnchor="margin" w:yAlign="inline"/>
              <w:suppressOverlap w:val="0"/>
            </w:pPr>
          </w:p>
        </w:tc>
        <w:tc>
          <w:tcPr>
            <w:tcW w:w="2016" w:type="pct"/>
            <w:tcBorders>
              <w:top w:val="single" w:sz="4" w:space="0" w:color="000000" w:themeColor="text1"/>
              <w:bottom w:val="single" w:sz="4" w:space="0" w:color="000000" w:themeColor="text1"/>
            </w:tcBorders>
          </w:tcPr>
          <w:p w14:paraId="7F47D9EA" w14:textId="77777777" w:rsidR="0075080B" w:rsidRDefault="0075080B" w:rsidP="005142BF">
            <w:pPr>
              <w:pStyle w:val="Textocomentario"/>
            </w:pPr>
          </w:p>
          <w:p w14:paraId="7F47D9EB" w14:textId="77777777" w:rsidR="00DE0749" w:rsidRDefault="00FF2732" w:rsidP="00FF2732">
            <w:pPr>
              <w:jc w:val="both"/>
              <w:rPr>
                <w:rFonts w:ascii="Arial" w:hAnsi="Arial" w:cs="Arial"/>
                <w:color w:val="000000"/>
              </w:rPr>
            </w:pPr>
            <w:r w:rsidRPr="00FF2732">
              <w:rPr>
                <w:rFonts w:ascii="Arial" w:hAnsi="Arial" w:cs="Arial"/>
                <w:color w:val="000000"/>
              </w:rPr>
              <w:t>Se propone eliminar la venta de módems blancos, ya que este producto no ha generado interés entre los CS. En los últimos cinco años no se ha recibido ninguna solicitud de compra, lo que demuestra que no respond</w:t>
            </w:r>
            <w:r>
              <w:rPr>
                <w:rFonts w:ascii="Arial" w:hAnsi="Arial" w:cs="Arial"/>
                <w:color w:val="000000"/>
              </w:rPr>
              <w:t>e a las necesidades del mercado.</w:t>
            </w:r>
          </w:p>
          <w:p w14:paraId="7F47D9EC" w14:textId="77777777" w:rsidR="00FF2732" w:rsidRPr="00D52656" w:rsidRDefault="00FF2732" w:rsidP="00FF2732">
            <w:pPr>
              <w:jc w:val="both"/>
              <w:rPr>
                <w:rFonts w:ascii="Arial" w:hAnsi="Arial" w:cs="Arial"/>
                <w:sz w:val="20"/>
                <w:szCs w:val="20"/>
              </w:rPr>
            </w:pPr>
            <w:r w:rsidRPr="00FF2732">
              <w:rPr>
                <w:rFonts w:ascii="Arial" w:hAnsi="Arial" w:cs="Arial"/>
                <w:color w:val="000000"/>
              </w:rPr>
              <w:t>Los CS actualmente demandan soluciones integrales y gestionadas, más que la compra de equipos individuales como módems</w:t>
            </w:r>
            <w:r w:rsidR="00BE09DB">
              <w:rPr>
                <w:rFonts w:ascii="Arial" w:hAnsi="Arial" w:cs="Arial"/>
                <w:color w:val="000000"/>
              </w:rPr>
              <w:t xml:space="preserve"> / </w:t>
            </w:r>
            <w:proofErr w:type="spellStart"/>
            <w:r w:rsidR="00BE09DB">
              <w:rPr>
                <w:rFonts w:ascii="Arial" w:hAnsi="Arial" w:cs="Arial"/>
                <w:color w:val="000000"/>
              </w:rPr>
              <w:t>ONT´s</w:t>
            </w:r>
            <w:proofErr w:type="spellEnd"/>
            <w:r w:rsidRPr="00FF2732">
              <w:rPr>
                <w:rFonts w:ascii="Arial" w:hAnsi="Arial" w:cs="Arial"/>
                <w:color w:val="000000"/>
              </w:rPr>
              <w:t>. La permanencia de esta oferta va en contra de la tendencia de servicios llave en mano</w:t>
            </w:r>
            <w:r>
              <w:rPr>
                <w:rFonts w:ascii="Arial" w:hAnsi="Arial" w:cs="Arial"/>
                <w:color w:val="000000"/>
              </w:rPr>
              <w:t>.</w:t>
            </w:r>
          </w:p>
        </w:tc>
      </w:tr>
      <w:tr w:rsidR="00AF1674" w:rsidRPr="00C83E51" w14:paraId="7F47DA08" w14:textId="77777777" w:rsidTr="00466FA2">
        <w:trPr>
          <w:trHeight w:val="1052"/>
        </w:trPr>
        <w:tc>
          <w:tcPr>
            <w:tcW w:w="132" w:type="pct"/>
            <w:vAlign w:val="center"/>
          </w:tcPr>
          <w:p w14:paraId="7F47D9EE" w14:textId="77777777" w:rsidR="00DE0749" w:rsidRPr="00C83E51" w:rsidRDefault="00FF2732"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t>9</w:t>
            </w:r>
          </w:p>
        </w:tc>
        <w:tc>
          <w:tcPr>
            <w:tcW w:w="494" w:type="pct"/>
            <w:vAlign w:val="center"/>
          </w:tcPr>
          <w:p w14:paraId="7F47D9EF" w14:textId="77777777" w:rsidR="00DE0749" w:rsidRPr="00C83E51" w:rsidRDefault="00DE0749" w:rsidP="001D14D5">
            <w:pPr>
              <w:jc w:val="both"/>
              <w:rPr>
                <w:rFonts w:ascii="Arial" w:hAnsi="Arial" w:cs="Arial"/>
                <w:color w:val="000000"/>
                <w:sz w:val="20"/>
                <w:szCs w:val="20"/>
              </w:rPr>
            </w:pPr>
            <w:r w:rsidRPr="00C83E51">
              <w:rPr>
                <w:rFonts w:ascii="Arial" w:hAnsi="Arial" w:cs="Arial"/>
                <w:color w:val="000000"/>
                <w:sz w:val="20"/>
                <w:szCs w:val="20"/>
              </w:rPr>
              <w:t>4.7 Procedimientos de contratación, modificación y baja de los servicios de Reventa</w:t>
            </w:r>
            <w:r w:rsidRPr="00C83E51">
              <w:rPr>
                <w:rFonts w:ascii="Arial" w:hAnsi="Arial" w:cs="Arial"/>
                <w:color w:val="000000"/>
                <w:sz w:val="20"/>
                <w:szCs w:val="20"/>
              </w:rPr>
              <w:br/>
              <w:t>(pág. 43 a 45)</w:t>
            </w:r>
          </w:p>
          <w:p w14:paraId="7F47D9F0" w14:textId="77777777" w:rsidR="00DE0749" w:rsidRPr="00C83E51" w:rsidRDefault="00DE0749" w:rsidP="001D14D5">
            <w:pPr>
              <w:spacing w:after="0"/>
              <w:jc w:val="both"/>
              <w:outlineLvl w:val="1"/>
              <w:rPr>
                <w:rFonts w:ascii="Arial" w:hAnsi="Arial" w:cs="Arial"/>
                <w:b/>
                <w:vanish/>
                <w:color w:val="000000"/>
                <w:sz w:val="20"/>
                <w:szCs w:val="20"/>
                <w:lang w:eastAsia="es-ES"/>
              </w:rPr>
            </w:pPr>
          </w:p>
        </w:tc>
        <w:tc>
          <w:tcPr>
            <w:tcW w:w="458" w:type="pct"/>
            <w:shd w:val="clear" w:color="auto" w:fill="auto"/>
            <w:vAlign w:val="center"/>
          </w:tcPr>
          <w:p w14:paraId="7F47D9F1" w14:textId="77777777" w:rsidR="00DE0749" w:rsidRPr="00C83E51" w:rsidRDefault="00466FA2" w:rsidP="001D14D5">
            <w:pPr>
              <w:pStyle w:val="IFTnormal"/>
              <w:spacing w:after="0"/>
              <w:jc w:val="left"/>
              <w:rPr>
                <w:rFonts w:ascii="Arial" w:hAnsi="Arial" w:cs="Arial"/>
                <w:b/>
                <w:sz w:val="20"/>
                <w:szCs w:val="20"/>
                <w:lang w:eastAsia="es-MX"/>
              </w:rPr>
            </w:pPr>
            <w:r>
              <w:rPr>
                <w:rFonts w:ascii="Arial" w:hAnsi="Arial" w:cs="Arial"/>
                <w:b/>
                <w:sz w:val="20"/>
                <w:szCs w:val="20"/>
                <w:lang w:eastAsia="es-MX"/>
              </w:rPr>
              <w:t>I</w:t>
            </w:r>
            <w:r w:rsidR="00DE0749">
              <w:rPr>
                <w:rFonts w:ascii="Arial" w:hAnsi="Arial" w:cs="Arial"/>
                <w:b/>
                <w:sz w:val="20"/>
                <w:szCs w:val="20"/>
                <w:lang w:eastAsia="es-MX"/>
              </w:rPr>
              <w:t>deas repetidas</w:t>
            </w:r>
          </w:p>
        </w:tc>
        <w:tc>
          <w:tcPr>
            <w:tcW w:w="1900" w:type="pct"/>
            <w:shd w:val="clear" w:color="auto" w:fill="auto"/>
            <w:vAlign w:val="center"/>
          </w:tcPr>
          <w:p w14:paraId="7F47D9F2" w14:textId="77777777" w:rsidR="00DE0749" w:rsidRPr="00CB0C3E" w:rsidRDefault="00DE0749" w:rsidP="00E10DDC">
            <w:pPr>
              <w:pStyle w:val="1TitPrin"/>
              <w:framePr w:hSpace="0" w:wrap="auto" w:vAnchor="margin" w:yAlign="inline"/>
              <w:suppressOverlap w:val="0"/>
              <w:rPr>
                <w:sz w:val="20"/>
              </w:rPr>
            </w:pPr>
            <w:r w:rsidRPr="00CB0C3E">
              <w:rPr>
                <w:sz w:val="20"/>
              </w:rPr>
              <w:t xml:space="preserve">4.7 </w:t>
            </w:r>
            <w:bookmarkStart w:id="50" w:name="_Toc147850715"/>
            <w:r w:rsidRPr="00CB0C3E">
              <w:rPr>
                <w:sz w:val="20"/>
              </w:rPr>
              <w:t>Procedimientos de contratación, modificación y baja de los servicios de Reventa</w:t>
            </w:r>
            <w:bookmarkEnd w:id="50"/>
          </w:p>
          <w:p w14:paraId="7F47D9F3" w14:textId="77777777" w:rsidR="00DE0749" w:rsidRPr="00CB0C3E" w:rsidRDefault="00DE0749" w:rsidP="001D14D5">
            <w:pPr>
              <w:jc w:val="both"/>
              <w:rPr>
                <w:rFonts w:ascii="Arial" w:hAnsi="Arial" w:cs="Arial"/>
                <w:bCs/>
                <w:color w:val="000000"/>
                <w:sz w:val="20"/>
                <w:szCs w:val="20"/>
              </w:rPr>
            </w:pPr>
            <w:r w:rsidRPr="00CB0C3E">
              <w:rPr>
                <w:rFonts w:ascii="Arial" w:hAnsi="Arial" w:cs="Arial"/>
                <w:bCs/>
                <w:color w:val="000000"/>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0"/>
              <w:gridCol w:w="4836"/>
            </w:tblGrid>
            <w:tr w:rsidR="00DE0749" w:rsidRPr="0075080B" w14:paraId="7F47D9F6" w14:textId="77777777" w:rsidTr="00DE0749">
              <w:tc>
                <w:tcPr>
                  <w:tcW w:w="1442" w:type="pct"/>
                  <w:shd w:val="clear" w:color="auto" w:fill="auto"/>
                </w:tcPr>
                <w:p w14:paraId="7F47D9F4" w14:textId="77777777" w:rsidR="00DE0749" w:rsidRPr="00CB0C3E" w:rsidRDefault="00DE0749" w:rsidP="0034086A">
                  <w:pPr>
                    <w:pStyle w:val="IFTnormal"/>
                    <w:framePr w:hSpace="141" w:wrap="around" w:vAnchor="text" w:hAnchor="text" w:y="1"/>
                    <w:spacing w:after="0"/>
                    <w:suppressOverlap/>
                    <w:jc w:val="center"/>
                    <w:rPr>
                      <w:rFonts w:ascii="Arial" w:hAnsi="Arial"/>
                      <w:b/>
                      <w:sz w:val="18"/>
                      <w:szCs w:val="18"/>
                      <w:lang w:eastAsia="es-MX"/>
                    </w:rPr>
                  </w:pPr>
                  <w:r w:rsidRPr="00CB0C3E">
                    <w:rPr>
                      <w:rFonts w:ascii="Arial" w:hAnsi="Arial"/>
                      <w:b/>
                      <w:sz w:val="18"/>
                      <w:szCs w:val="18"/>
                      <w:lang w:eastAsia="es-MX"/>
                    </w:rPr>
                    <w:t>Etapa</w:t>
                  </w:r>
                </w:p>
              </w:tc>
              <w:tc>
                <w:tcPr>
                  <w:tcW w:w="3558" w:type="pct"/>
                  <w:shd w:val="clear" w:color="auto" w:fill="auto"/>
                </w:tcPr>
                <w:p w14:paraId="7F47D9F5" w14:textId="77777777" w:rsidR="00DE0749" w:rsidRPr="00CB0C3E" w:rsidRDefault="00DE0749" w:rsidP="0034086A">
                  <w:pPr>
                    <w:pStyle w:val="IFTnormal"/>
                    <w:framePr w:hSpace="141" w:wrap="around" w:vAnchor="text" w:hAnchor="text" w:y="1"/>
                    <w:spacing w:after="0"/>
                    <w:suppressOverlap/>
                    <w:jc w:val="center"/>
                    <w:rPr>
                      <w:rFonts w:ascii="Arial" w:hAnsi="Arial"/>
                      <w:b/>
                      <w:sz w:val="18"/>
                      <w:szCs w:val="18"/>
                      <w:lang w:eastAsia="es-MX"/>
                    </w:rPr>
                  </w:pPr>
                  <w:r w:rsidRPr="00CB0C3E">
                    <w:rPr>
                      <w:rFonts w:ascii="Arial" w:hAnsi="Arial"/>
                      <w:b/>
                      <w:sz w:val="18"/>
                      <w:szCs w:val="18"/>
                      <w:lang w:eastAsia="es-MX"/>
                    </w:rPr>
                    <w:t>Descripción</w:t>
                  </w:r>
                </w:p>
              </w:tc>
            </w:tr>
            <w:tr w:rsidR="00DE0749" w:rsidRPr="0075080B" w14:paraId="7F47D9FA" w14:textId="77777777" w:rsidTr="00DE0749">
              <w:tc>
                <w:tcPr>
                  <w:tcW w:w="1442" w:type="pct"/>
                  <w:shd w:val="clear" w:color="auto" w:fill="auto"/>
                </w:tcPr>
                <w:p w14:paraId="7F47D9F7" w14:textId="77777777" w:rsidR="00DE0749" w:rsidRPr="00CB0C3E" w:rsidRDefault="00DE0749" w:rsidP="0034086A">
                  <w:pPr>
                    <w:pStyle w:val="IFTnormal"/>
                    <w:framePr w:hSpace="141" w:wrap="around" w:vAnchor="text" w:hAnchor="text" w:y="1"/>
                    <w:spacing w:after="0"/>
                    <w:suppressOverlap/>
                    <w:jc w:val="left"/>
                    <w:rPr>
                      <w:rFonts w:ascii="Arial" w:hAnsi="Arial"/>
                      <w:b/>
                      <w:sz w:val="18"/>
                      <w:szCs w:val="18"/>
                      <w:lang w:eastAsia="es-MX"/>
                    </w:rPr>
                  </w:pPr>
                  <w:r w:rsidRPr="00CB0C3E">
                    <w:rPr>
                      <w:rFonts w:ascii="Arial" w:hAnsi="Arial"/>
                      <w:b/>
                      <w:sz w:val="18"/>
                      <w:szCs w:val="18"/>
                      <w:lang w:eastAsia="es-MX"/>
                    </w:rPr>
                    <w:t>Autorización del suscriptor/usuario final</w:t>
                  </w:r>
                </w:p>
              </w:tc>
              <w:tc>
                <w:tcPr>
                  <w:tcW w:w="3558" w:type="pct"/>
                  <w:shd w:val="clear" w:color="auto" w:fill="auto"/>
                </w:tcPr>
                <w:p w14:paraId="7F47D9F8" w14:textId="77777777" w:rsidR="00DE0749" w:rsidRPr="00CB0C3E" w:rsidRDefault="00DE0749" w:rsidP="0034086A">
                  <w:pPr>
                    <w:pStyle w:val="IFTnormal"/>
                    <w:framePr w:hSpace="141" w:wrap="around" w:vAnchor="text" w:hAnchor="text" w:y="1"/>
                    <w:spacing w:after="0"/>
                    <w:suppressOverlap/>
                    <w:rPr>
                      <w:rFonts w:ascii="Arial" w:hAnsi="Arial"/>
                      <w:sz w:val="18"/>
                      <w:szCs w:val="18"/>
                      <w:lang w:eastAsia="es-MX"/>
                    </w:rPr>
                  </w:pPr>
                  <w:r w:rsidRPr="00CB0C3E">
                    <w:rPr>
                      <w:rFonts w:ascii="Arial" w:hAnsi="Arial"/>
                      <w:sz w:val="18"/>
                      <w:szCs w:val="18"/>
                      <w:lang w:eastAsia="es-MX"/>
                    </w:rPr>
                    <w:t xml:space="preserve"> Presentación del formato de verificación de la voluntad del suscriptor/usuario final. Aplica sólo usuarios existentes.</w:t>
                  </w:r>
                </w:p>
                <w:p w14:paraId="7F47D9F9" w14:textId="77777777" w:rsidR="00DE0749" w:rsidRPr="00CB0C3E" w:rsidRDefault="00DE0749" w:rsidP="0034086A">
                  <w:pPr>
                    <w:pStyle w:val="IFTnormal"/>
                    <w:framePr w:hSpace="141" w:wrap="around" w:vAnchor="text" w:hAnchor="text" w:y="1"/>
                    <w:spacing w:after="0"/>
                    <w:suppressOverlap/>
                    <w:rPr>
                      <w:rFonts w:ascii="Arial" w:hAnsi="Arial"/>
                      <w:sz w:val="18"/>
                      <w:szCs w:val="18"/>
                      <w:lang w:eastAsia="es-MX"/>
                    </w:rPr>
                  </w:pPr>
                  <w:r w:rsidRPr="00CB0C3E">
                    <w:rPr>
                      <w:rFonts w:ascii="Arial" w:hAnsi="Arial"/>
                      <w:sz w:val="18"/>
                      <w:szCs w:val="18"/>
                      <w:lang w:eastAsia="es-MX"/>
                    </w:rPr>
                    <w:t>La presentación también podrá ser en formato electrónico cargado en el SEG (PDF o .</w:t>
                  </w:r>
                  <w:proofErr w:type="spellStart"/>
                  <w:r w:rsidRPr="00CB0C3E">
                    <w:rPr>
                      <w:rFonts w:ascii="Arial" w:hAnsi="Arial"/>
                      <w:sz w:val="18"/>
                      <w:szCs w:val="18"/>
                      <w:lang w:eastAsia="es-MX"/>
                    </w:rPr>
                    <w:t>jpg</w:t>
                  </w:r>
                  <w:proofErr w:type="spellEnd"/>
                  <w:r w:rsidRPr="00CB0C3E">
                    <w:rPr>
                      <w:rFonts w:ascii="Arial" w:hAnsi="Arial"/>
                      <w:sz w:val="18"/>
                      <w:szCs w:val="18"/>
                      <w:lang w:eastAsia="es-MX"/>
                    </w:rPr>
                    <w:t xml:space="preserve"> legible).  </w:t>
                  </w:r>
                </w:p>
              </w:tc>
            </w:tr>
            <w:tr w:rsidR="00DE0749" w:rsidRPr="0075080B" w14:paraId="7F47DA02" w14:textId="77777777" w:rsidTr="00DE0749">
              <w:tc>
                <w:tcPr>
                  <w:tcW w:w="1442" w:type="pct"/>
                  <w:shd w:val="clear" w:color="auto" w:fill="auto"/>
                </w:tcPr>
                <w:p w14:paraId="7F47D9FB" w14:textId="77777777" w:rsidR="00DE0749" w:rsidRPr="00CB0C3E" w:rsidRDefault="00DE0749" w:rsidP="0034086A">
                  <w:pPr>
                    <w:pStyle w:val="IFTnormal"/>
                    <w:framePr w:hSpace="141" w:wrap="around" w:vAnchor="text" w:hAnchor="text" w:y="1"/>
                    <w:spacing w:after="0"/>
                    <w:suppressOverlap/>
                    <w:jc w:val="left"/>
                    <w:rPr>
                      <w:rFonts w:ascii="Arial" w:hAnsi="Arial"/>
                      <w:b/>
                      <w:sz w:val="18"/>
                      <w:szCs w:val="18"/>
                      <w:lang w:eastAsia="es-MX"/>
                    </w:rPr>
                  </w:pPr>
                  <w:r w:rsidRPr="00CB0C3E">
                    <w:rPr>
                      <w:rFonts w:ascii="Arial" w:hAnsi="Arial"/>
                      <w:b/>
                      <w:sz w:val="18"/>
                      <w:szCs w:val="18"/>
                      <w:lang w:eastAsia="es-MX"/>
                    </w:rPr>
                    <w:t>Envío, Validación y Factibilidad Técnica de la solicitud</w:t>
                  </w:r>
                </w:p>
                <w:p w14:paraId="7F47D9FC" w14:textId="77777777" w:rsidR="00DE0749" w:rsidRPr="00CB0C3E" w:rsidRDefault="00DE0749" w:rsidP="0034086A">
                  <w:pPr>
                    <w:pStyle w:val="IFTnormal"/>
                    <w:framePr w:hSpace="141" w:wrap="around" w:vAnchor="text" w:hAnchor="text" w:y="1"/>
                    <w:spacing w:after="0"/>
                    <w:suppressOverlap/>
                    <w:jc w:val="left"/>
                    <w:rPr>
                      <w:rFonts w:ascii="Arial" w:hAnsi="Arial"/>
                      <w:b/>
                      <w:sz w:val="18"/>
                      <w:szCs w:val="18"/>
                      <w:lang w:eastAsia="es-MX"/>
                    </w:rPr>
                  </w:pPr>
                  <w:r w:rsidRPr="00CB0C3E">
                    <w:rPr>
                      <w:rFonts w:ascii="Arial" w:hAnsi="Arial"/>
                      <w:sz w:val="18"/>
                      <w:szCs w:val="18"/>
                      <w:lang w:eastAsia="es-MX"/>
                    </w:rPr>
                    <w:t>(No aplica a SRL)</w:t>
                  </w:r>
                </w:p>
              </w:tc>
              <w:tc>
                <w:tcPr>
                  <w:tcW w:w="3558" w:type="pct"/>
                  <w:shd w:val="clear" w:color="auto" w:fill="auto"/>
                </w:tcPr>
                <w:p w14:paraId="7F47D9FD" w14:textId="77777777" w:rsidR="00DE0749" w:rsidRPr="00CB0C3E" w:rsidRDefault="00DE0749" w:rsidP="0034086A">
                  <w:pPr>
                    <w:framePr w:hSpace="141" w:wrap="around" w:vAnchor="text" w:hAnchor="text" w:y="1"/>
                    <w:suppressOverlap/>
                    <w:jc w:val="both"/>
                    <w:rPr>
                      <w:rFonts w:ascii="Arial" w:hAnsi="Arial" w:cs="Arial"/>
                      <w:bCs/>
                      <w:color w:val="000000"/>
                      <w:sz w:val="18"/>
                      <w:szCs w:val="18"/>
                    </w:rPr>
                  </w:pPr>
                  <w:r w:rsidRPr="00CB0C3E">
                    <w:rPr>
                      <w:rFonts w:ascii="Arial" w:hAnsi="Arial" w:cs="Arial"/>
                      <w:bCs/>
                      <w:color w:val="000000"/>
                      <w:sz w:val="18"/>
                      <w:szCs w:val="18"/>
                    </w:rPr>
                    <w:t>[…]</w:t>
                  </w:r>
                </w:p>
                <w:p w14:paraId="7F47D9FE" w14:textId="77777777" w:rsidR="00DE0749" w:rsidRPr="00CB0C3E" w:rsidRDefault="00DE0749" w:rsidP="0034086A">
                  <w:pPr>
                    <w:pStyle w:val="IFTnormal"/>
                    <w:framePr w:hSpace="141" w:wrap="around" w:vAnchor="text" w:hAnchor="text" w:y="1"/>
                    <w:numPr>
                      <w:ilvl w:val="0"/>
                      <w:numId w:val="1"/>
                    </w:numPr>
                    <w:spacing w:after="0"/>
                    <w:ind w:left="343" w:hanging="425"/>
                    <w:suppressOverlap/>
                    <w:rPr>
                      <w:rFonts w:ascii="Arial" w:hAnsi="Arial"/>
                      <w:sz w:val="18"/>
                      <w:szCs w:val="18"/>
                      <w:lang w:eastAsia="es-MX"/>
                    </w:rPr>
                  </w:pPr>
                  <w:r w:rsidRPr="00CB0C3E">
                    <w:rPr>
                      <w:rFonts w:ascii="Arial" w:hAnsi="Arial"/>
                      <w:sz w:val="18"/>
                      <w:szCs w:val="18"/>
                      <w:lang w:eastAsia="es-MX"/>
                    </w:rPr>
                    <w:t xml:space="preserve"> Seleccionar programación de cita (fecha y hora o fecha y rango de horario) para la atención del servicio.</w:t>
                  </w:r>
                </w:p>
                <w:p w14:paraId="7F47D9FF" w14:textId="77777777" w:rsidR="00DE0749" w:rsidRPr="00CB0C3E" w:rsidRDefault="00DE0749" w:rsidP="0034086A">
                  <w:pPr>
                    <w:pStyle w:val="IFTnormal"/>
                    <w:framePr w:hSpace="141" w:wrap="around" w:vAnchor="text" w:hAnchor="text" w:y="1"/>
                    <w:spacing w:after="0"/>
                    <w:suppressOverlap/>
                    <w:rPr>
                      <w:rFonts w:ascii="Arial" w:hAnsi="Arial"/>
                      <w:sz w:val="18"/>
                      <w:szCs w:val="18"/>
                      <w:lang w:eastAsia="es-MX"/>
                    </w:rPr>
                  </w:pPr>
                  <w:r w:rsidRPr="00CB0C3E">
                    <w:rPr>
                      <w:rFonts w:ascii="Arial" w:hAnsi="Arial"/>
                      <w:sz w:val="18"/>
                      <w:szCs w:val="18"/>
                      <w:lang w:eastAsia="es-MX"/>
                    </w:rPr>
                    <w:t>La ONT y el Módem siempre se entregarán en el domicilio del usuario el día de la instalación.</w:t>
                  </w:r>
                  <w:r w:rsidRPr="00CB0C3E">
                    <w:rPr>
                      <w:rFonts w:ascii="Arial" w:hAnsi="Arial"/>
                      <w:sz w:val="18"/>
                      <w:szCs w:val="18"/>
                    </w:rPr>
                    <w:t xml:space="preserve"> </w:t>
                  </w:r>
                </w:p>
                <w:p w14:paraId="7F47DA00" w14:textId="77777777" w:rsidR="00DE0749" w:rsidRPr="00CB0C3E" w:rsidRDefault="00DE0749" w:rsidP="0034086A">
                  <w:pPr>
                    <w:pStyle w:val="IFTnormal"/>
                    <w:framePr w:hSpace="141" w:wrap="around" w:vAnchor="text" w:hAnchor="text" w:y="1"/>
                    <w:spacing w:after="0"/>
                    <w:suppressOverlap/>
                    <w:rPr>
                      <w:rFonts w:ascii="Arial" w:hAnsi="Arial"/>
                      <w:b/>
                      <w:strike/>
                      <w:color w:val="FF0000"/>
                      <w:sz w:val="18"/>
                      <w:szCs w:val="18"/>
                      <w:lang w:eastAsia="es-MX"/>
                    </w:rPr>
                  </w:pPr>
                  <w:r w:rsidRPr="00CB0C3E">
                    <w:rPr>
                      <w:rFonts w:ascii="Arial" w:hAnsi="Arial"/>
                      <w:b/>
                      <w:strike/>
                      <w:color w:val="FF0000"/>
                      <w:sz w:val="18"/>
                      <w:szCs w:val="18"/>
                      <w:lang w:eastAsia="es-MX"/>
                    </w:rPr>
                    <w:t xml:space="preserve">**La ONT siempre se entrega en el domicilio del usuario el día de la instalación. </w:t>
                  </w:r>
                </w:p>
                <w:p w14:paraId="7F47DA01" w14:textId="77777777" w:rsidR="00DE0749" w:rsidRPr="00CB0C3E" w:rsidRDefault="00DE0749" w:rsidP="0034086A">
                  <w:pPr>
                    <w:pStyle w:val="IFTnormal"/>
                    <w:framePr w:hSpace="141" w:wrap="around" w:vAnchor="text" w:hAnchor="text" w:y="1"/>
                    <w:spacing w:after="0"/>
                    <w:suppressOverlap/>
                    <w:rPr>
                      <w:rFonts w:ascii="Arial" w:hAnsi="Arial"/>
                      <w:sz w:val="18"/>
                      <w:szCs w:val="18"/>
                      <w:lang w:eastAsia="es-MX"/>
                    </w:rPr>
                  </w:pPr>
                  <w:r w:rsidRPr="00CB0C3E">
                    <w:rPr>
                      <w:rFonts w:ascii="Arial" w:hAnsi="Arial"/>
                      <w:sz w:val="18"/>
                      <w:szCs w:val="18"/>
                      <w:lang w:eastAsia="es-MX"/>
                    </w:rPr>
                    <w:t xml:space="preserve">… </w:t>
                  </w:r>
                </w:p>
              </w:tc>
            </w:tr>
          </w:tbl>
          <w:p w14:paraId="7F47DA03" w14:textId="77777777" w:rsidR="00DE0749" w:rsidRPr="00C83E51" w:rsidRDefault="00DE0749" w:rsidP="001D14D5">
            <w:pPr>
              <w:jc w:val="both"/>
              <w:rPr>
                <w:rFonts w:ascii="Arial" w:hAnsi="Arial" w:cs="Arial"/>
                <w:color w:val="000000"/>
                <w:sz w:val="20"/>
                <w:szCs w:val="20"/>
              </w:rPr>
            </w:pPr>
          </w:p>
        </w:tc>
        <w:tc>
          <w:tcPr>
            <w:tcW w:w="2016" w:type="pct"/>
            <w:tcBorders>
              <w:top w:val="single" w:sz="4" w:space="0" w:color="000000" w:themeColor="text1"/>
              <w:bottom w:val="single" w:sz="4" w:space="0" w:color="000000" w:themeColor="text1"/>
            </w:tcBorders>
          </w:tcPr>
          <w:p w14:paraId="7F47DA04" w14:textId="77777777" w:rsidR="00DE0749" w:rsidRPr="00DE0749" w:rsidRDefault="00DE0749" w:rsidP="001D14D5">
            <w:pPr>
              <w:jc w:val="both"/>
              <w:rPr>
                <w:rFonts w:ascii="Arial" w:hAnsi="Arial" w:cs="Arial"/>
                <w:color w:val="000000"/>
                <w:sz w:val="18"/>
                <w:szCs w:val="18"/>
              </w:rPr>
            </w:pPr>
          </w:p>
          <w:p w14:paraId="7F47DA05" w14:textId="77777777" w:rsidR="00DE0749" w:rsidRPr="00DE0749" w:rsidRDefault="00DE0749" w:rsidP="001D14D5">
            <w:pPr>
              <w:jc w:val="both"/>
              <w:rPr>
                <w:rFonts w:ascii="Arial" w:hAnsi="Arial" w:cs="Arial"/>
                <w:color w:val="000000"/>
                <w:sz w:val="18"/>
                <w:szCs w:val="18"/>
              </w:rPr>
            </w:pPr>
          </w:p>
          <w:p w14:paraId="7F47DA06" w14:textId="77777777" w:rsidR="00DE0749" w:rsidRPr="00466FA2" w:rsidRDefault="00DE0749" w:rsidP="001D14D5">
            <w:pPr>
              <w:jc w:val="both"/>
              <w:rPr>
                <w:rFonts w:ascii="Arial" w:hAnsi="Arial" w:cs="Arial"/>
                <w:color w:val="000000"/>
                <w:szCs w:val="18"/>
              </w:rPr>
            </w:pPr>
            <w:r w:rsidRPr="00466FA2">
              <w:rPr>
                <w:rFonts w:ascii="Arial" w:hAnsi="Arial" w:cs="Arial"/>
                <w:color w:val="000000"/>
                <w:szCs w:val="18"/>
              </w:rPr>
              <w:t>Se propone la eliminación del párrafo ya que se duplica en la idea con el párrafo inmediato anterior</w:t>
            </w:r>
            <w:r w:rsidR="00573667" w:rsidRPr="00466FA2">
              <w:rPr>
                <w:rFonts w:ascii="Arial" w:hAnsi="Arial" w:cs="Arial"/>
                <w:color w:val="000000"/>
                <w:szCs w:val="18"/>
              </w:rPr>
              <w:t>.</w:t>
            </w:r>
          </w:p>
          <w:p w14:paraId="7F47DA07" w14:textId="77777777" w:rsidR="00573667" w:rsidRPr="00573667" w:rsidRDefault="00573667" w:rsidP="001D14D5">
            <w:pPr>
              <w:jc w:val="both"/>
              <w:rPr>
                <w:rFonts w:ascii="Arial" w:hAnsi="Arial" w:cs="Arial"/>
                <w:b/>
                <w:color w:val="000000"/>
                <w:sz w:val="18"/>
                <w:szCs w:val="18"/>
              </w:rPr>
            </w:pPr>
          </w:p>
        </w:tc>
      </w:tr>
      <w:tr w:rsidR="00AF1674" w:rsidRPr="00C83E51" w14:paraId="7F47DA42" w14:textId="77777777" w:rsidTr="00466FA2">
        <w:trPr>
          <w:trHeight w:val="1052"/>
        </w:trPr>
        <w:tc>
          <w:tcPr>
            <w:tcW w:w="132" w:type="pct"/>
            <w:vAlign w:val="center"/>
          </w:tcPr>
          <w:p w14:paraId="7F47DA09" w14:textId="77777777" w:rsidR="00DE0749" w:rsidRPr="00C83E51" w:rsidRDefault="00466FA2"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lastRenderedPageBreak/>
              <w:t>10</w:t>
            </w:r>
          </w:p>
        </w:tc>
        <w:tc>
          <w:tcPr>
            <w:tcW w:w="494" w:type="pct"/>
            <w:vAlign w:val="center"/>
          </w:tcPr>
          <w:p w14:paraId="7F47DA0A" w14:textId="77777777" w:rsidR="00DE0749" w:rsidRPr="00F77233" w:rsidRDefault="00DE0749" w:rsidP="00E10DDC">
            <w:pPr>
              <w:pStyle w:val="1TitPrin"/>
              <w:framePr w:hSpace="0" w:wrap="auto" w:vAnchor="margin" w:yAlign="inline"/>
              <w:suppressOverlap w:val="0"/>
            </w:pPr>
            <w:r w:rsidRPr="00F77233">
              <w:t>4.9 Parámetros e Indicadores de calidad para los servicios de Reventa</w:t>
            </w:r>
          </w:p>
        </w:tc>
        <w:tc>
          <w:tcPr>
            <w:tcW w:w="458" w:type="pct"/>
            <w:shd w:val="clear" w:color="auto" w:fill="auto"/>
            <w:vAlign w:val="center"/>
          </w:tcPr>
          <w:p w14:paraId="7F47DA0B" w14:textId="77777777" w:rsidR="00DE0749" w:rsidRPr="00466FA2" w:rsidRDefault="00DE0749" w:rsidP="001D14D5">
            <w:pPr>
              <w:spacing w:after="0" w:line="240" w:lineRule="auto"/>
              <w:jc w:val="center"/>
              <w:rPr>
                <w:rFonts w:ascii="Arial" w:hAnsi="Arial" w:cs="Arial"/>
                <w:b/>
                <w:sz w:val="18"/>
                <w:szCs w:val="18"/>
              </w:rPr>
            </w:pPr>
            <w:r w:rsidRPr="00466FA2">
              <w:rPr>
                <w:rFonts w:ascii="Arial" w:hAnsi="Arial" w:cs="Arial"/>
                <w:b/>
                <w:sz w:val="18"/>
                <w:szCs w:val="18"/>
              </w:rPr>
              <w:t>Metodología de medición</w:t>
            </w:r>
          </w:p>
        </w:tc>
        <w:tc>
          <w:tcPr>
            <w:tcW w:w="1900" w:type="pct"/>
            <w:shd w:val="clear" w:color="auto" w:fill="auto"/>
          </w:tcPr>
          <w:p w14:paraId="7F47DA0C" w14:textId="77777777" w:rsidR="00DE0749" w:rsidRPr="00CB0C3E" w:rsidRDefault="00DE0749" w:rsidP="00E10DDC">
            <w:pPr>
              <w:pStyle w:val="1TitPrin"/>
              <w:framePr w:hSpace="0" w:wrap="auto" w:vAnchor="margin" w:yAlign="inline"/>
              <w:suppressOverlap w:val="0"/>
              <w:rPr>
                <w:sz w:val="20"/>
                <w:szCs w:val="18"/>
              </w:rPr>
            </w:pPr>
            <w:bookmarkStart w:id="51" w:name="_Toc436840891"/>
            <w:bookmarkStart w:id="52" w:name="_Toc436846328"/>
            <w:bookmarkStart w:id="53" w:name="_Toc436848278"/>
            <w:bookmarkStart w:id="54" w:name="_Toc436856526"/>
            <w:bookmarkStart w:id="55" w:name="_Toc436862672"/>
            <w:bookmarkStart w:id="56" w:name="_Toc436866322"/>
            <w:bookmarkStart w:id="57" w:name="_Toc436870901"/>
            <w:bookmarkStart w:id="58" w:name="_Toc436875893"/>
            <w:bookmarkStart w:id="59" w:name="_Toc467248705"/>
            <w:bookmarkStart w:id="60" w:name="_Toc525904571"/>
            <w:bookmarkStart w:id="61" w:name="_Toc525913967"/>
            <w:bookmarkStart w:id="62" w:name="_Toc525919206"/>
            <w:bookmarkStart w:id="63" w:name="_Toc525919330"/>
            <w:bookmarkStart w:id="64" w:name="_Toc2957140"/>
            <w:bookmarkStart w:id="65" w:name="_Toc26273077"/>
            <w:bookmarkStart w:id="66" w:name="_Toc26284474"/>
            <w:bookmarkStart w:id="67" w:name="_Toc54106578"/>
            <w:bookmarkStart w:id="68" w:name="_Toc178438974"/>
            <w:bookmarkStart w:id="69" w:name="_Hlk146287858"/>
            <w:r w:rsidRPr="00CB0C3E">
              <w:rPr>
                <w:sz w:val="20"/>
                <w:szCs w:val="18"/>
              </w:rPr>
              <w:t>Parámetros e indicadores de calidad para los Servicios de Reventa</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F47DA0D" w14:textId="77777777" w:rsidR="00DE0749" w:rsidRPr="00CB0C3E" w:rsidRDefault="00DE0749" w:rsidP="00E10DDC">
            <w:pPr>
              <w:pStyle w:val="1TitPrin"/>
              <w:framePr w:hSpace="0" w:wrap="auto" w:vAnchor="margin" w:yAlign="inline"/>
              <w:suppressOverlap w:val="0"/>
              <w:rPr>
                <w:sz w:val="20"/>
                <w:szCs w:val="18"/>
              </w:rPr>
            </w:pPr>
          </w:p>
          <w:p w14:paraId="7F47DA0E" w14:textId="77777777" w:rsidR="0075080B" w:rsidRPr="00CB0C3E" w:rsidRDefault="0075080B" w:rsidP="00E10DDC">
            <w:pPr>
              <w:pStyle w:val="1TitPrin"/>
              <w:framePr w:hSpace="0" w:wrap="auto" w:vAnchor="margin" w:yAlign="inline"/>
              <w:suppressOverlap w:val="0"/>
              <w:rPr>
                <w:sz w:val="20"/>
                <w:szCs w:val="18"/>
              </w:rPr>
            </w:pPr>
          </w:p>
          <w:p w14:paraId="7F47DA0F" w14:textId="77777777" w:rsidR="00DE0749" w:rsidRPr="00CB0C3E" w:rsidRDefault="00DE0749" w:rsidP="001D14D5">
            <w:pPr>
              <w:jc w:val="both"/>
              <w:rPr>
                <w:rFonts w:ascii="Arial" w:hAnsi="Arial" w:cs="Arial"/>
                <w:bCs/>
                <w:color w:val="000000"/>
                <w:sz w:val="20"/>
                <w:szCs w:val="18"/>
              </w:rPr>
            </w:pPr>
            <w:r w:rsidRPr="00CB0C3E">
              <w:rPr>
                <w:rFonts w:ascii="Arial" w:hAnsi="Arial" w:cs="Arial"/>
                <w:bCs/>
                <w:color w:val="000000"/>
                <w:sz w:val="20"/>
                <w:szCs w:val="18"/>
              </w:rPr>
              <w:t xml:space="preserve">En esta sección se muestran los parámetros e indicadores de calidad referentes a la provisión, continuidad y atención de fallas del Servicio de Reventa. Estos parámetros e indicadores corresponden a los utilizados en la propia operación de Telmex, y se medirán con una periodicidad </w:t>
            </w:r>
            <w:r w:rsidRPr="00CB0C3E">
              <w:rPr>
                <w:rFonts w:ascii="Arial" w:hAnsi="Arial" w:cs="Arial"/>
                <w:bCs/>
                <w:strike/>
                <w:color w:val="FF0000"/>
                <w:sz w:val="20"/>
                <w:szCs w:val="18"/>
              </w:rPr>
              <w:t>trimestral</w:t>
            </w:r>
            <w:r w:rsidRPr="00CB0C3E">
              <w:rPr>
                <w:rFonts w:ascii="Arial" w:hAnsi="Arial" w:cs="Arial"/>
                <w:bCs/>
                <w:color w:val="FF0000"/>
                <w:sz w:val="20"/>
                <w:szCs w:val="18"/>
              </w:rPr>
              <w:t xml:space="preserve"> </w:t>
            </w:r>
            <w:r w:rsidR="00427A7A" w:rsidRPr="00CB0C3E">
              <w:rPr>
                <w:rFonts w:ascii="Arial" w:hAnsi="Arial" w:cs="Arial"/>
                <w:b/>
                <w:bCs/>
                <w:color w:val="0070C0"/>
                <w:sz w:val="20"/>
                <w:szCs w:val="18"/>
              </w:rPr>
              <w:t xml:space="preserve">anual </w:t>
            </w:r>
            <w:r w:rsidRPr="00CB0C3E">
              <w:rPr>
                <w:rFonts w:ascii="Arial" w:hAnsi="Arial" w:cs="Arial"/>
                <w:bCs/>
                <w:color w:val="000000"/>
                <w:sz w:val="20"/>
                <w:szCs w:val="18"/>
              </w:rPr>
              <w:t xml:space="preserve">por </w:t>
            </w:r>
            <w:r w:rsidRPr="00CB0C3E">
              <w:rPr>
                <w:rFonts w:ascii="Arial" w:eastAsia="Calibri" w:hAnsi="Arial" w:cs="Calibri"/>
                <w:b/>
                <w:bCs/>
                <w:color w:val="0070C0"/>
                <w:sz w:val="20"/>
                <w:szCs w:val="18"/>
                <w:lang w:eastAsia="es-MX"/>
              </w:rPr>
              <w:t>todos</w:t>
            </w:r>
            <w:r w:rsidRPr="00CB0C3E">
              <w:rPr>
                <w:rFonts w:ascii="Arial" w:eastAsia="Calibri" w:hAnsi="Arial" w:cs="Calibri"/>
                <w:bCs/>
                <w:color w:val="0070C0"/>
                <w:sz w:val="20"/>
                <w:szCs w:val="18"/>
                <w:lang w:eastAsia="es-MX"/>
              </w:rPr>
              <w:t xml:space="preserve"> </w:t>
            </w:r>
            <w:r w:rsidRPr="00CB0C3E">
              <w:rPr>
                <w:rFonts w:ascii="Arial" w:eastAsia="Calibri" w:hAnsi="Arial" w:cs="Calibri"/>
                <w:b/>
                <w:bCs/>
                <w:color w:val="0070C0"/>
                <w:sz w:val="20"/>
                <w:szCs w:val="18"/>
                <w:lang w:eastAsia="es-MX"/>
              </w:rPr>
              <w:t>los servicios provistos</w:t>
            </w:r>
            <w:r w:rsidRPr="00CB0C3E">
              <w:rPr>
                <w:rFonts w:ascii="Arial" w:hAnsi="Arial" w:cs="Arial"/>
                <w:bCs/>
                <w:color w:val="000000"/>
                <w:sz w:val="20"/>
                <w:szCs w:val="18"/>
              </w:rPr>
              <w:t xml:space="preserve"> a </w:t>
            </w:r>
            <w:r w:rsidRPr="00CB0C3E">
              <w:rPr>
                <w:rFonts w:ascii="Arial" w:hAnsi="Arial" w:cs="Arial"/>
                <w:bCs/>
                <w:strike/>
                <w:color w:val="0070C0"/>
                <w:sz w:val="20"/>
                <w:szCs w:val="18"/>
              </w:rPr>
              <w:t>cada uno de</w:t>
            </w:r>
            <w:r w:rsidRPr="00CB0C3E">
              <w:rPr>
                <w:rFonts w:ascii="Arial" w:hAnsi="Arial" w:cs="Arial"/>
                <w:bCs/>
                <w:color w:val="0070C0"/>
                <w:sz w:val="20"/>
                <w:szCs w:val="18"/>
              </w:rPr>
              <w:t xml:space="preserve"> </w:t>
            </w:r>
            <w:r w:rsidRPr="00CB0C3E">
              <w:rPr>
                <w:rFonts w:ascii="Arial" w:hAnsi="Arial" w:cs="Arial"/>
                <w:bCs/>
                <w:color w:val="000000"/>
                <w:sz w:val="20"/>
                <w:szCs w:val="18"/>
              </w:rPr>
              <w:t>los CS.</w:t>
            </w:r>
            <w:bookmarkEnd w:id="69"/>
          </w:p>
          <w:p w14:paraId="7F47DA10" w14:textId="77777777" w:rsidR="00DE0749" w:rsidRPr="00466FA2" w:rsidRDefault="00DE0749" w:rsidP="001D14D5">
            <w:pPr>
              <w:jc w:val="both"/>
              <w:rPr>
                <w:rFonts w:ascii="Arial" w:hAnsi="Arial" w:cs="Arial"/>
                <w:bCs/>
                <w:color w:val="000000"/>
                <w:sz w:val="18"/>
                <w:szCs w:val="18"/>
              </w:rPr>
            </w:pPr>
          </w:p>
          <w:p w14:paraId="7F47DA11" w14:textId="77777777" w:rsidR="00DE0749" w:rsidRPr="00466FA2" w:rsidRDefault="00DE0749" w:rsidP="001D14D5">
            <w:pPr>
              <w:jc w:val="both"/>
              <w:rPr>
                <w:rFonts w:ascii="Arial" w:hAnsi="Arial" w:cs="Arial"/>
                <w:bCs/>
                <w:color w:val="000000"/>
                <w:sz w:val="18"/>
                <w:szCs w:val="18"/>
              </w:rPr>
            </w:pPr>
          </w:p>
          <w:p w14:paraId="7F47DA12" w14:textId="77777777" w:rsidR="00DE0749" w:rsidRPr="00466FA2" w:rsidRDefault="00DE0749" w:rsidP="001D14D5">
            <w:pPr>
              <w:jc w:val="both"/>
              <w:rPr>
                <w:rFonts w:ascii="Arial" w:hAnsi="Arial" w:cs="Arial"/>
                <w:bCs/>
                <w:color w:val="000000"/>
                <w:sz w:val="18"/>
                <w:szCs w:val="18"/>
              </w:rPr>
            </w:pPr>
          </w:p>
          <w:p w14:paraId="7F47DA13" w14:textId="77777777" w:rsidR="00DE0749" w:rsidRPr="00466FA2" w:rsidRDefault="00DE0749" w:rsidP="001D14D5">
            <w:pPr>
              <w:jc w:val="both"/>
              <w:rPr>
                <w:rFonts w:ascii="Arial" w:hAnsi="Arial" w:cs="Arial"/>
                <w:bCs/>
                <w:color w:val="000000"/>
                <w:sz w:val="18"/>
                <w:szCs w:val="18"/>
              </w:rPr>
            </w:pPr>
          </w:p>
          <w:p w14:paraId="7F47DA14" w14:textId="77777777" w:rsidR="00DE0749" w:rsidRPr="00466FA2" w:rsidRDefault="00DE0749" w:rsidP="001D14D5">
            <w:pPr>
              <w:jc w:val="both"/>
              <w:rPr>
                <w:rFonts w:ascii="Arial" w:hAnsi="Arial" w:cs="Arial"/>
                <w:bCs/>
                <w:color w:val="000000"/>
                <w:sz w:val="18"/>
                <w:szCs w:val="18"/>
              </w:rPr>
            </w:pPr>
          </w:p>
          <w:p w14:paraId="7F47DA15" w14:textId="77777777" w:rsidR="00DE0749" w:rsidRPr="00466FA2" w:rsidRDefault="00DE0749" w:rsidP="001D14D5">
            <w:pPr>
              <w:jc w:val="both"/>
              <w:rPr>
                <w:rFonts w:ascii="Arial" w:hAnsi="Arial" w:cs="Arial"/>
                <w:bCs/>
                <w:color w:val="000000"/>
                <w:sz w:val="18"/>
                <w:szCs w:val="18"/>
              </w:rPr>
            </w:pPr>
          </w:p>
          <w:p w14:paraId="7F47DA16" w14:textId="77777777" w:rsidR="00DE0749" w:rsidRPr="00466FA2" w:rsidRDefault="00DE0749" w:rsidP="001D14D5">
            <w:pPr>
              <w:jc w:val="both"/>
              <w:rPr>
                <w:rFonts w:ascii="Arial" w:hAnsi="Arial" w:cs="Arial"/>
                <w:bCs/>
                <w:color w:val="000000"/>
                <w:sz w:val="18"/>
                <w:szCs w:val="18"/>
              </w:rPr>
            </w:pPr>
          </w:p>
          <w:p w14:paraId="7F47DA17" w14:textId="77777777" w:rsidR="00DE0749" w:rsidRPr="00466FA2" w:rsidRDefault="00DE0749" w:rsidP="001D14D5">
            <w:pPr>
              <w:jc w:val="both"/>
              <w:rPr>
                <w:rFonts w:ascii="Arial" w:hAnsi="Arial" w:cs="Arial"/>
                <w:bCs/>
                <w:color w:val="000000"/>
                <w:sz w:val="18"/>
                <w:szCs w:val="18"/>
              </w:rPr>
            </w:pPr>
          </w:p>
          <w:p w14:paraId="7F47DA18" w14:textId="77777777" w:rsidR="00DE0749" w:rsidRPr="00466FA2" w:rsidRDefault="00DE0749" w:rsidP="001D14D5">
            <w:pPr>
              <w:jc w:val="both"/>
              <w:rPr>
                <w:rFonts w:ascii="Arial" w:hAnsi="Arial" w:cs="Arial"/>
                <w:bCs/>
                <w:color w:val="000000"/>
                <w:sz w:val="18"/>
                <w:szCs w:val="18"/>
              </w:rPr>
            </w:pPr>
          </w:p>
          <w:p w14:paraId="7F47DA19" w14:textId="77777777" w:rsidR="00DE0749" w:rsidRPr="00466FA2" w:rsidRDefault="00DE0749" w:rsidP="001D14D5">
            <w:pPr>
              <w:jc w:val="both"/>
              <w:rPr>
                <w:rFonts w:ascii="Arial" w:hAnsi="Arial" w:cs="Arial"/>
                <w:bCs/>
                <w:color w:val="000000"/>
                <w:sz w:val="18"/>
                <w:szCs w:val="18"/>
              </w:rPr>
            </w:pPr>
          </w:p>
          <w:p w14:paraId="7F47DA1A" w14:textId="77777777" w:rsidR="00DE0749" w:rsidRPr="00466FA2" w:rsidRDefault="00DE0749" w:rsidP="001D14D5">
            <w:pPr>
              <w:jc w:val="both"/>
              <w:rPr>
                <w:rFonts w:ascii="Arial" w:hAnsi="Arial" w:cs="Arial"/>
                <w:bCs/>
                <w:color w:val="000000"/>
                <w:sz w:val="18"/>
                <w:szCs w:val="18"/>
              </w:rPr>
            </w:pPr>
          </w:p>
          <w:p w14:paraId="7F47DA1B" w14:textId="77777777" w:rsidR="00DE0749" w:rsidRPr="00466FA2" w:rsidRDefault="00DE0749" w:rsidP="001D14D5">
            <w:pPr>
              <w:jc w:val="both"/>
              <w:rPr>
                <w:rFonts w:ascii="Arial" w:hAnsi="Arial" w:cs="Arial"/>
                <w:bCs/>
                <w:color w:val="000000"/>
                <w:sz w:val="18"/>
                <w:szCs w:val="18"/>
              </w:rPr>
            </w:pPr>
          </w:p>
          <w:p w14:paraId="7F47DA1C" w14:textId="77777777" w:rsidR="00DE0749" w:rsidRPr="00466FA2" w:rsidRDefault="00DE0749" w:rsidP="001D14D5">
            <w:pPr>
              <w:jc w:val="both"/>
              <w:rPr>
                <w:rFonts w:ascii="Arial" w:hAnsi="Arial" w:cs="Arial"/>
                <w:bCs/>
                <w:color w:val="000000"/>
                <w:sz w:val="18"/>
                <w:szCs w:val="18"/>
              </w:rPr>
            </w:pPr>
          </w:p>
          <w:p w14:paraId="7F47DA1D" w14:textId="77777777" w:rsidR="00DE0749" w:rsidRPr="00466FA2" w:rsidRDefault="00DE0749" w:rsidP="001D14D5">
            <w:pPr>
              <w:jc w:val="both"/>
              <w:rPr>
                <w:rFonts w:ascii="Arial" w:hAnsi="Arial" w:cs="Arial"/>
                <w:bCs/>
                <w:color w:val="000000"/>
                <w:sz w:val="18"/>
                <w:szCs w:val="18"/>
              </w:rPr>
            </w:pPr>
          </w:p>
          <w:p w14:paraId="7F47DA1E" w14:textId="77777777" w:rsidR="00DE0749" w:rsidRPr="00466FA2" w:rsidRDefault="00DE0749" w:rsidP="001D14D5">
            <w:pPr>
              <w:jc w:val="both"/>
              <w:rPr>
                <w:rFonts w:ascii="Arial" w:hAnsi="Arial" w:cs="Arial"/>
                <w:bCs/>
                <w:color w:val="000000"/>
                <w:sz w:val="18"/>
                <w:szCs w:val="18"/>
              </w:rPr>
            </w:pPr>
          </w:p>
          <w:p w14:paraId="7F47DA1F" w14:textId="77777777" w:rsidR="00DE0749" w:rsidRDefault="00DE0749" w:rsidP="001D14D5">
            <w:pPr>
              <w:jc w:val="both"/>
              <w:rPr>
                <w:rFonts w:ascii="Arial" w:hAnsi="Arial" w:cs="Arial"/>
                <w:bCs/>
                <w:color w:val="000000"/>
                <w:sz w:val="18"/>
                <w:szCs w:val="18"/>
              </w:rPr>
            </w:pPr>
          </w:p>
          <w:p w14:paraId="7F47DA20" w14:textId="77777777" w:rsidR="00795817" w:rsidRDefault="00795817" w:rsidP="001D14D5">
            <w:pPr>
              <w:jc w:val="both"/>
              <w:rPr>
                <w:rFonts w:ascii="Arial" w:hAnsi="Arial" w:cs="Arial"/>
                <w:bCs/>
                <w:color w:val="000000"/>
                <w:sz w:val="18"/>
                <w:szCs w:val="18"/>
              </w:rPr>
            </w:pPr>
          </w:p>
          <w:p w14:paraId="7F47DA21" w14:textId="77777777" w:rsidR="00795817" w:rsidRDefault="00795817" w:rsidP="001D14D5">
            <w:pPr>
              <w:jc w:val="both"/>
              <w:rPr>
                <w:rFonts w:ascii="Arial" w:hAnsi="Arial" w:cs="Arial"/>
                <w:bCs/>
                <w:color w:val="000000"/>
                <w:sz w:val="18"/>
                <w:szCs w:val="18"/>
              </w:rPr>
            </w:pPr>
          </w:p>
          <w:p w14:paraId="7F47DA22" w14:textId="77777777" w:rsidR="00795817" w:rsidRDefault="00795817" w:rsidP="001D14D5">
            <w:pPr>
              <w:jc w:val="both"/>
              <w:rPr>
                <w:rFonts w:ascii="Arial" w:hAnsi="Arial" w:cs="Arial"/>
                <w:bCs/>
                <w:color w:val="000000"/>
                <w:sz w:val="18"/>
                <w:szCs w:val="18"/>
              </w:rPr>
            </w:pPr>
          </w:p>
          <w:p w14:paraId="7F47DA23" w14:textId="77777777" w:rsidR="00795817" w:rsidRDefault="00795817" w:rsidP="001D14D5">
            <w:pPr>
              <w:jc w:val="both"/>
              <w:rPr>
                <w:rFonts w:ascii="Arial" w:hAnsi="Arial" w:cs="Arial"/>
                <w:bCs/>
                <w:color w:val="000000"/>
                <w:sz w:val="18"/>
                <w:szCs w:val="18"/>
              </w:rPr>
            </w:pPr>
          </w:p>
          <w:p w14:paraId="7F47DA24" w14:textId="77777777" w:rsidR="00795817" w:rsidRDefault="00795817" w:rsidP="001D14D5">
            <w:pPr>
              <w:jc w:val="both"/>
              <w:rPr>
                <w:rFonts w:ascii="Arial" w:hAnsi="Arial" w:cs="Arial"/>
                <w:bCs/>
                <w:color w:val="000000"/>
                <w:sz w:val="18"/>
                <w:szCs w:val="18"/>
              </w:rPr>
            </w:pPr>
          </w:p>
          <w:p w14:paraId="7F47DA25" w14:textId="77777777" w:rsidR="00795817" w:rsidRDefault="00795817" w:rsidP="001D14D5">
            <w:pPr>
              <w:jc w:val="both"/>
              <w:rPr>
                <w:rFonts w:ascii="Arial" w:hAnsi="Arial" w:cs="Arial"/>
                <w:bCs/>
                <w:color w:val="000000"/>
                <w:sz w:val="18"/>
                <w:szCs w:val="18"/>
              </w:rPr>
            </w:pPr>
          </w:p>
          <w:p w14:paraId="7F47DA26" w14:textId="77777777" w:rsidR="00795817" w:rsidRDefault="00795817" w:rsidP="001D14D5">
            <w:pPr>
              <w:jc w:val="both"/>
              <w:rPr>
                <w:rFonts w:ascii="Arial" w:hAnsi="Arial" w:cs="Arial"/>
                <w:bCs/>
                <w:color w:val="000000"/>
                <w:sz w:val="18"/>
                <w:szCs w:val="18"/>
              </w:rPr>
            </w:pPr>
          </w:p>
          <w:p w14:paraId="7F47DA27" w14:textId="77777777" w:rsidR="00795817" w:rsidRDefault="00795817" w:rsidP="001D14D5">
            <w:pPr>
              <w:jc w:val="both"/>
              <w:rPr>
                <w:rFonts w:ascii="Arial" w:hAnsi="Arial" w:cs="Arial"/>
                <w:bCs/>
                <w:color w:val="000000"/>
                <w:sz w:val="18"/>
                <w:szCs w:val="18"/>
              </w:rPr>
            </w:pPr>
          </w:p>
          <w:p w14:paraId="7F47DA28" w14:textId="77777777" w:rsidR="00795817" w:rsidRDefault="00795817" w:rsidP="001D14D5">
            <w:pPr>
              <w:jc w:val="both"/>
              <w:rPr>
                <w:rFonts w:ascii="Arial" w:hAnsi="Arial" w:cs="Arial"/>
                <w:bCs/>
                <w:color w:val="000000"/>
                <w:sz w:val="18"/>
                <w:szCs w:val="18"/>
              </w:rPr>
            </w:pPr>
          </w:p>
          <w:p w14:paraId="7F47DA29" w14:textId="77777777" w:rsidR="00795817" w:rsidRPr="00466FA2" w:rsidRDefault="00795817" w:rsidP="001D14D5">
            <w:pPr>
              <w:jc w:val="both"/>
              <w:rPr>
                <w:rFonts w:ascii="Arial" w:hAnsi="Arial" w:cs="Arial"/>
                <w:bCs/>
                <w:color w:val="000000"/>
                <w:sz w:val="18"/>
                <w:szCs w:val="18"/>
              </w:rPr>
            </w:pPr>
          </w:p>
          <w:p w14:paraId="7F47DA2A" w14:textId="77777777" w:rsidR="00DE0749" w:rsidRDefault="00DE0749" w:rsidP="001D14D5">
            <w:pPr>
              <w:jc w:val="both"/>
              <w:rPr>
                <w:rFonts w:ascii="Arial" w:hAnsi="Arial" w:cs="Arial"/>
                <w:bCs/>
                <w:color w:val="000000"/>
                <w:sz w:val="18"/>
                <w:szCs w:val="18"/>
              </w:rPr>
            </w:pPr>
          </w:p>
          <w:p w14:paraId="7F47DA2B" w14:textId="77777777" w:rsidR="00795817" w:rsidRDefault="00795817" w:rsidP="001D14D5">
            <w:pPr>
              <w:jc w:val="both"/>
              <w:rPr>
                <w:rFonts w:ascii="Arial" w:hAnsi="Arial" w:cs="Arial"/>
                <w:bCs/>
                <w:color w:val="000000"/>
                <w:sz w:val="18"/>
                <w:szCs w:val="18"/>
              </w:rPr>
            </w:pPr>
          </w:p>
          <w:p w14:paraId="7F47DA2C" w14:textId="77777777" w:rsidR="00AC0FBE" w:rsidRDefault="00AC0FBE" w:rsidP="001D14D5">
            <w:pPr>
              <w:jc w:val="both"/>
              <w:rPr>
                <w:rFonts w:ascii="Arial" w:hAnsi="Arial" w:cs="Arial"/>
                <w:bCs/>
                <w:color w:val="000000"/>
                <w:sz w:val="18"/>
                <w:szCs w:val="18"/>
              </w:rPr>
            </w:pPr>
          </w:p>
          <w:p w14:paraId="7F47DA2D" w14:textId="77777777" w:rsidR="00B81C37" w:rsidRPr="00466FA2" w:rsidRDefault="00B81C37" w:rsidP="001D14D5">
            <w:pPr>
              <w:jc w:val="both"/>
              <w:rPr>
                <w:rFonts w:ascii="Arial" w:hAnsi="Arial" w:cs="Arial"/>
                <w:bCs/>
                <w:color w:val="000000"/>
                <w:sz w:val="18"/>
                <w:szCs w:val="18"/>
              </w:rPr>
            </w:pPr>
          </w:p>
          <w:p w14:paraId="7F47DA2E" w14:textId="77777777" w:rsidR="00DE0749" w:rsidRPr="00466FA2" w:rsidRDefault="00DE0749" w:rsidP="001D14D5">
            <w:pPr>
              <w:spacing w:after="0"/>
              <w:jc w:val="both"/>
              <w:rPr>
                <w:rFonts w:ascii="Arial" w:hAnsi="Arial" w:cs="Arial"/>
                <w:b/>
                <w:sz w:val="20"/>
                <w:szCs w:val="20"/>
              </w:rPr>
            </w:pPr>
            <w:r w:rsidRPr="00466FA2">
              <w:rPr>
                <w:rFonts w:ascii="Arial" w:hAnsi="Arial" w:cs="Arial"/>
                <w:b/>
                <w:sz w:val="20"/>
                <w:szCs w:val="20"/>
              </w:rPr>
              <w:t>Parámetros e Indicadores para Provisión del Servicio</w:t>
            </w:r>
          </w:p>
          <w:p w14:paraId="7F47DA2F" w14:textId="77777777" w:rsidR="00DE0749" w:rsidRPr="00466FA2" w:rsidRDefault="00DE0749" w:rsidP="001D14D5">
            <w:pPr>
              <w:jc w:val="both"/>
              <w:rPr>
                <w:rFonts w:ascii="Arial" w:hAnsi="Arial" w:cs="Arial"/>
                <w:bCs/>
                <w:color w:val="000000"/>
                <w:sz w:val="20"/>
                <w:szCs w:val="20"/>
              </w:rPr>
            </w:pPr>
            <w:r w:rsidRPr="00466FA2">
              <w:rPr>
                <w:rFonts w:ascii="Arial" w:hAnsi="Arial" w:cs="Arial"/>
                <w:bCs/>
                <w:color w:val="000000"/>
                <w:sz w:val="20"/>
                <w:szCs w:val="20"/>
              </w:rPr>
              <w:t>[…]</w:t>
            </w:r>
          </w:p>
          <w:p w14:paraId="7F47DA30" w14:textId="77777777" w:rsidR="00DE0749" w:rsidRPr="00466FA2" w:rsidRDefault="00DE0749" w:rsidP="006971B4">
            <w:pPr>
              <w:pStyle w:val="Prrafodelista"/>
              <w:numPr>
                <w:ilvl w:val="0"/>
                <w:numId w:val="9"/>
              </w:numPr>
              <w:spacing w:after="0"/>
              <w:contextualSpacing w:val="0"/>
              <w:jc w:val="both"/>
              <w:rPr>
                <w:rFonts w:ascii="Arial" w:hAnsi="Arial" w:cs="Arial"/>
                <w:bCs/>
                <w:color w:val="000000"/>
                <w:sz w:val="18"/>
                <w:szCs w:val="18"/>
              </w:rPr>
            </w:pPr>
            <w:r w:rsidRPr="00466FA2">
              <w:rPr>
                <w:rFonts w:ascii="Arial" w:hAnsi="Arial" w:cs="Arial"/>
                <w:sz w:val="20"/>
                <w:szCs w:val="20"/>
              </w:rPr>
              <w:t xml:space="preserve">Porcentaje de servicios suspendidos y reactivados en tiempo (60%). El 40% restante de servicios suspendidos en 48 horas y de reactivaciones en </w:t>
            </w:r>
            <w:r w:rsidRPr="00466FA2">
              <w:rPr>
                <w:rFonts w:ascii="Arial" w:hAnsi="Arial" w:cs="Arial"/>
                <w:strike/>
                <w:color w:val="FF0000"/>
                <w:sz w:val="20"/>
                <w:szCs w:val="20"/>
              </w:rPr>
              <w:t>cuatro</w:t>
            </w:r>
            <w:r w:rsidRPr="00466FA2">
              <w:rPr>
                <w:rFonts w:ascii="Arial" w:hAnsi="Arial" w:cs="Arial"/>
                <w:color w:val="FF0000"/>
                <w:sz w:val="20"/>
                <w:szCs w:val="20"/>
              </w:rPr>
              <w:t xml:space="preserve"> </w:t>
            </w:r>
            <w:r w:rsidRPr="00466FA2">
              <w:rPr>
                <w:rFonts w:ascii="Arial" w:hAnsi="Arial" w:cs="Arial"/>
                <w:b/>
                <w:color w:val="0070C0"/>
                <w:sz w:val="20"/>
                <w:szCs w:val="20"/>
              </w:rPr>
              <w:t>48</w:t>
            </w:r>
            <w:r w:rsidRPr="00466FA2">
              <w:rPr>
                <w:rFonts w:ascii="Arial" w:hAnsi="Arial" w:cs="Arial"/>
                <w:sz w:val="20"/>
                <w:szCs w:val="20"/>
              </w:rPr>
              <w:t xml:space="preserve"> horas a partir de las solicitudes realizadas.</w:t>
            </w:r>
          </w:p>
        </w:tc>
        <w:tc>
          <w:tcPr>
            <w:tcW w:w="2016" w:type="pct"/>
            <w:tcBorders>
              <w:top w:val="single" w:sz="4" w:space="0" w:color="000000" w:themeColor="text1"/>
              <w:bottom w:val="single" w:sz="4" w:space="0" w:color="000000" w:themeColor="text1"/>
            </w:tcBorders>
          </w:tcPr>
          <w:p w14:paraId="7F47DA31" w14:textId="77777777" w:rsidR="00E44CA3" w:rsidRPr="00795817" w:rsidRDefault="00E44CA3" w:rsidP="00E44CA3">
            <w:pPr>
              <w:jc w:val="both"/>
              <w:rPr>
                <w:rFonts w:ascii="Arial" w:hAnsi="Arial" w:cs="Arial"/>
                <w:color w:val="000000"/>
                <w:szCs w:val="18"/>
              </w:rPr>
            </w:pPr>
            <w:r w:rsidRPr="00795817">
              <w:rPr>
                <w:rFonts w:ascii="Arial" w:hAnsi="Arial" w:cs="Arial"/>
                <w:color w:val="000000"/>
                <w:szCs w:val="18"/>
              </w:rPr>
              <w:lastRenderedPageBreak/>
              <w:t>Se solicita modificar el criterio de aplicación de los parámetros e indicadores de calidad, de manera que la evaluación se realice considerando el universo total de solicitudes gestionadas de forma agregada, sin segmentarlas individualmente por CS. Esta modificación permitiría generar métricas más representati</w:t>
            </w:r>
            <w:r w:rsidR="00AC0FBE">
              <w:rPr>
                <w:rFonts w:ascii="Arial" w:hAnsi="Arial" w:cs="Arial"/>
                <w:color w:val="000000"/>
                <w:szCs w:val="18"/>
              </w:rPr>
              <w:t>vas,</w:t>
            </w:r>
            <w:r w:rsidRPr="00795817">
              <w:rPr>
                <w:rFonts w:ascii="Arial" w:hAnsi="Arial" w:cs="Arial"/>
                <w:color w:val="000000"/>
                <w:szCs w:val="18"/>
              </w:rPr>
              <w:t xml:space="preserve"> consistentes, eliminando distorsiones que suelen surgir al analizar muestras pequeñas o con comportamientos atípicos</w:t>
            </w:r>
            <w:r w:rsidR="00AC0FBE">
              <w:rPr>
                <w:rFonts w:ascii="Arial" w:hAnsi="Arial" w:cs="Arial"/>
                <w:color w:val="000000"/>
                <w:szCs w:val="18"/>
              </w:rPr>
              <w:t xml:space="preserve"> o estacionales</w:t>
            </w:r>
            <w:r w:rsidRPr="00795817">
              <w:rPr>
                <w:rFonts w:ascii="Arial" w:hAnsi="Arial" w:cs="Arial"/>
                <w:color w:val="000000"/>
                <w:szCs w:val="18"/>
              </w:rPr>
              <w:t>. Evaluaciones desagregadas por CS pueden inducir conclusiones erróneas, especialmente en casos con bajo volumen de operaciones o condiciones operativas particulares. Una medición centralizada garantiza mayor objetividad, reduce la variabilidad estadística artificial y facilita una supervisión más eficiente orientada a la mejora continua del servicio.</w:t>
            </w:r>
          </w:p>
          <w:p w14:paraId="7F47DA32" w14:textId="77777777" w:rsidR="00E44CA3" w:rsidRPr="00795817" w:rsidRDefault="00E44CA3" w:rsidP="00E44CA3">
            <w:pPr>
              <w:jc w:val="both"/>
              <w:rPr>
                <w:rFonts w:ascii="Arial" w:hAnsi="Arial" w:cs="Arial"/>
                <w:color w:val="000000"/>
                <w:szCs w:val="18"/>
              </w:rPr>
            </w:pPr>
            <w:r w:rsidRPr="00795817">
              <w:rPr>
                <w:rFonts w:ascii="Arial" w:hAnsi="Arial" w:cs="Arial"/>
                <w:color w:val="000000"/>
                <w:szCs w:val="18"/>
              </w:rPr>
              <w:t>Adicionalmente, se considera adecuado que los parámetros e indicadores de calidad para los Servicios de Reventa se soliciten con una periodicidad anual, con base en los siguientes elementos técnicos, regulatorios y de referencia internacional:</w:t>
            </w:r>
          </w:p>
          <w:p w14:paraId="7F47DA33" w14:textId="77777777" w:rsidR="00E44CA3" w:rsidRPr="00795817" w:rsidRDefault="00E44CA3" w:rsidP="006971B4">
            <w:pPr>
              <w:pStyle w:val="Prrafodelista"/>
              <w:numPr>
                <w:ilvl w:val="0"/>
                <w:numId w:val="14"/>
              </w:numPr>
              <w:spacing w:before="120" w:after="120"/>
              <w:ind w:left="357" w:hanging="357"/>
              <w:contextualSpacing w:val="0"/>
              <w:jc w:val="both"/>
              <w:rPr>
                <w:rFonts w:ascii="Arial" w:hAnsi="Arial" w:cs="Arial"/>
                <w:color w:val="000000"/>
                <w:szCs w:val="18"/>
              </w:rPr>
            </w:pPr>
            <w:r w:rsidRPr="00BE09DB">
              <w:rPr>
                <w:rFonts w:ascii="Arial" w:hAnsi="Arial" w:cs="Arial"/>
                <w:b/>
                <w:color w:val="000000"/>
                <w:szCs w:val="18"/>
              </w:rPr>
              <w:t>Estabilidad estructural del servicio:</w:t>
            </w:r>
            <w:r w:rsidRPr="00795817">
              <w:rPr>
                <w:rFonts w:ascii="Arial" w:hAnsi="Arial" w:cs="Arial"/>
                <w:color w:val="000000"/>
                <w:szCs w:val="18"/>
              </w:rPr>
              <w:t xml:space="preserve"> Los indicadores de calidad en servicios mayoristas como el de Reventa suelen presentar estabilidad operativa en el tiempo, ya que están soportados por infraestructura madura, procesos normalizados y marcos contractuales definidos. En este contexto, evaluaciones trimestrales tienden a </w:t>
            </w:r>
            <w:proofErr w:type="spellStart"/>
            <w:r w:rsidRPr="00795817">
              <w:rPr>
                <w:rFonts w:ascii="Arial" w:hAnsi="Arial" w:cs="Arial"/>
                <w:color w:val="000000"/>
                <w:szCs w:val="18"/>
              </w:rPr>
              <w:t>s</w:t>
            </w:r>
            <w:r w:rsidR="00795817">
              <w:rPr>
                <w:rFonts w:ascii="Arial" w:hAnsi="Arial" w:cs="Arial"/>
                <w:color w:val="000000"/>
                <w:szCs w:val="18"/>
              </w:rPr>
              <w:t>u</w:t>
            </w:r>
            <w:r w:rsidRPr="00795817">
              <w:rPr>
                <w:rFonts w:ascii="Arial" w:hAnsi="Arial" w:cs="Arial"/>
                <w:color w:val="000000"/>
                <w:szCs w:val="18"/>
              </w:rPr>
              <w:t>b</w:t>
            </w:r>
            <w:r w:rsidR="00795817">
              <w:rPr>
                <w:rFonts w:ascii="Arial" w:hAnsi="Arial" w:cs="Arial"/>
                <w:color w:val="000000"/>
                <w:szCs w:val="18"/>
              </w:rPr>
              <w:t>reaccionar</w:t>
            </w:r>
            <w:proofErr w:type="spellEnd"/>
            <w:r w:rsidR="00795817">
              <w:rPr>
                <w:rFonts w:ascii="Arial" w:hAnsi="Arial" w:cs="Arial"/>
                <w:color w:val="000000"/>
                <w:szCs w:val="18"/>
              </w:rPr>
              <w:t xml:space="preserve"> </w:t>
            </w:r>
            <w:r w:rsidRPr="00795817">
              <w:rPr>
                <w:rFonts w:ascii="Arial" w:hAnsi="Arial" w:cs="Arial"/>
                <w:color w:val="000000"/>
                <w:szCs w:val="18"/>
              </w:rPr>
              <w:t>ante fluctuaciones marginales sin relevancia estadística ni operativa, mientras que una medición anual refleja mejor la tendencia real del desempeño.</w:t>
            </w:r>
          </w:p>
          <w:p w14:paraId="7F47DA34" w14:textId="77777777" w:rsidR="00E44CA3" w:rsidRDefault="00E44CA3" w:rsidP="006971B4">
            <w:pPr>
              <w:pStyle w:val="Prrafodelista"/>
              <w:numPr>
                <w:ilvl w:val="0"/>
                <w:numId w:val="14"/>
              </w:numPr>
              <w:spacing w:before="120" w:after="120"/>
              <w:ind w:left="357" w:hanging="357"/>
              <w:contextualSpacing w:val="0"/>
              <w:jc w:val="both"/>
              <w:rPr>
                <w:rFonts w:ascii="Arial" w:hAnsi="Arial" w:cs="Arial"/>
                <w:color w:val="000000"/>
                <w:szCs w:val="18"/>
              </w:rPr>
            </w:pPr>
            <w:r w:rsidRPr="00B041B3">
              <w:rPr>
                <w:rFonts w:ascii="Arial" w:hAnsi="Arial" w:cs="Arial"/>
                <w:b/>
                <w:color w:val="000000"/>
                <w:szCs w:val="18"/>
              </w:rPr>
              <w:t>Mejores prácticas regulatorias internacionales</w:t>
            </w:r>
            <w:r w:rsidRPr="00795817">
              <w:rPr>
                <w:rFonts w:ascii="Arial" w:hAnsi="Arial" w:cs="Arial"/>
                <w:color w:val="000000"/>
                <w:szCs w:val="18"/>
              </w:rPr>
              <w:t>: Existen precedentes relevantes en otros marcos regulatorios:</w:t>
            </w:r>
          </w:p>
          <w:p w14:paraId="7F47DA35" w14:textId="77777777" w:rsidR="00E44CA3" w:rsidRPr="00795817" w:rsidRDefault="00E44CA3" w:rsidP="006971B4">
            <w:pPr>
              <w:pStyle w:val="Prrafodelista"/>
              <w:numPr>
                <w:ilvl w:val="1"/>
                <w:numId w:val="15"/>
              </w:numPr>
              <w:spacing w:before="240" w:after="0"/>
              <w:ind w:left="635" w:hanging="357"/>
              <w:jc w:val="both"/>
              <w:rPr>
                <w:rFonts w:ascii="Arial" w:hAnsi="Arial" w:cs="Arial"/>
                <w:color w:val="000000"/>
                <w:szCs w:val="18"/>
              </w:rPr>
            </w:pPr>
            <w:r w:rsidRPr="00795817">
              <w:rPr>
                <w:rFonts w:ascii="Arial" w:hAnsi="Arial" w:cs="Arial"/>
                <w:color w:val="000000"/>
                <w:szCs w:val="18"/>
              </w:rPr>
              <w:t xml:space="preserve">En el caso de </w:t>
            </w:r>
            <w:proofErr w:type="spellStart"/>
            <w:r w:rsidRPr="00795817">
              <w:rPr>
                <w:rFonts w:ascii="Arial" w:hAnsi="Arial" w:cs="Arial"/>
                <w:color w:val="000000"/>
                <w:szCs w:val="18"/>
              </w:rPr>
              <w:t>Ofcom</w:t>
            </w:r>
            <w:proofErr w:type="spellEnd"/>
            <w:r w:rsidRPr="00795817">
              <w:rPr>
                <w:rFonts w:ascii="Arial" w:hAnsi="Arial" w:cs="Arial"/>
                <w:color w:val="000000"/>
                <w:szCs w:val="18"/>
              </w:rPr>
              <w:t xml:space="preserve"> (Reino Unido), el operador </w:t>
            </w:r>
            <w:proofErr w:type="spellStart"/>
            <w:r w:rsidRPr="00795817">
              <w:rPr>
                <w:rFonts w:ascii="Arial" w:hAnsi="Arial" w:cs="Arial"/>
                <w:color w:val="000000"/>
                <w:szCs w:val="18"/>
              </w:rPr>
              <w:t>Openreach</w:t>
            </w:r>
            <w:proofErr w:type="spellEnd"/>
            <w:r w:rsidRPr="00795817">
              <w:rPr>
                <w:rFonts w:ascii="Arial" w:hAnsi="Arial" w:cs="Arial"/>
                <w:color w:val="000000"/>
                <w:szCs w:val="18"/>
              </w:rPr>
              <w:t xml:space="preserve"> publica reportes anuales sobre sus estándares de calidad, disponibles en su sitio oficial:</w:t>
            </w:r>
            <w:r w:rsidR="00795817">
              <w:rPr>
                <w:rFonts w:ascii="Arial" w:hAnsi="Arial" w:cs="Arial"/>
                <w:color w:val="000000"/>
                <w:szCs w:val="18"/>
              </w:rPr>
              <w:t xml:space="preserve"> </w:t>
            </w:r>
            <w:r w:rsidRPr="00795817">
              <w:rPr>
                <w:rFonts w:ascii="Arial" w:hAnsi="Arial" w:cs="Arial"/>
                <w:color w:val="000000"/>
                <w:szCs w:val="18"/>
              </w:rPr>
              <w:t>https://www.ofcom.org.uk/__data/assets/pdf_file/0015/222121/openreach-performance-reports.pdf</w:t>
            </w:r>
          </w:p>
          <w:p w14:paraId="7F47DA36" w14:textId="77777777" w:rsidR="00E44CA3" w:rsidRPr="00795817" w:rsidRDefault="00E44CA3" w:rsidP="006971B4">
            <w:pPr>
              <w:pStyle w:val="Prrafodelista"/>
              <w:numPr>
                <w:ilvl w:val="1"/>
                <w:numId w:val="15"/>
              </w:numPr>
              <w:spacing w:before="240" w:after="0"/>
              <w:ind w:left="635" w:hanging="357"/>
              <w:jc w:val="both"/>
              <w:rPr>
                <w:rFonts w:ascii="Arial" w:hAnsi="Arial" w:cs="Arial"/>
                <w:color w:val="000000"/>
                <w:szCs w:val="18"/>
              </w:rPr>
            </w:pPr>
            <w:r w:rsidRPr="00795817">
              <w:rPr>
                <w:rFonts w:ascii="Arial" w:hAnsi="Arial" w:cs="Arial"/>
                <w:color w:val="000000"/>
                <w:szCs w:val="18"/>
              </w:rPr>
              <w:lastRenderedPageBreak/>
              <w:t xml:space="preserve">En Qatar, la </w:t>
            </w:r>
            <w:proofErr w:type="spellStart"/>
            <w:r w:rsidRPr="00795817">
              <w:rPr>
                <w:rFonts w:ascii="Arial" w:hAnsi="Arial" w:cs="Arial"/>
                <w:color w:val="000000"/>
                <w:szCs w:val="18"/>
              </w:rPr>
              <w:t>Communications</w:t>
            </w:r>
            <w:proofErr w:type="spellEnd"/>
            <w:r w:rsidRPr="00795817">
              <w:rPr>
                <w:rFonts w:ascii="Arial" w:hAnsi="Arial" w:cs="Arial"/>
                <w:color w:val="000000"/>
                <w:szCs w:val="18"/>
              </w:rPr>
              <w:t xml:space="preserve"> </w:t>
            </w:r>
            <w:proofErr w:type="spellStart"/>
            <w:r w:rsidRPr="00795817">
              <w:rPr>
                <w:rFonts w:ascii="Arial" w:hAnsi="Arial" w:cs="Arial"/>
                <w:color w:val="000000"/>
                <w:szCs w:val="18"/>
              </w:rPr>
              <w:t>Regulatory</w:t>
            </w:r>
            <w:proofErr w:type="spellEnd"/>
            <w:r w:rsidRPr="00795817">
              <w:rPr>
                <w:rFonts w:ascii="Arial" w:hAnsi="Arial" w:cs="Arial"/>
                <w:color w:val="000000"/>
                <w:szCs w:val="18"/>
              </w:rPr>
              <w:t xml:space="preserve"> </w:t>
            </w:r>
            <w:proofErr w:type="spellStart"/>
            <w:r w:rsidRPr="00795817">
              <w:rPr>
                <w:rFonts w:ascii="Arial" w:hAnsi="Arial" w:cs="Arial"/>
                <w:color w:val="000000"/>
                <w:szCs w:val="18"/>
              </w:rPr>
              <w:t>Authority</w:t>
            </w:r>
            <w:proofErr w:type="spellEnd"/>
            <w:r w:rsidRPr="00795817">
              <w:rPr>
                <w:rFonts w:ascii="Arial" w:hAnsi="Arial" w:cs="Arial"/>
                <w:color w:val="000000"/>
                <w:szCs w:val="18"/>
              </w:rPr>
              <w:t xml:space="preserve"> (CRA) publica reportes anuales de indicadores clave para servicios mayoristas para apoyar la competencia y la transparencia:</w:t>
            </w:r>
            <w:r w:rsidR="00795817" w:rsidRPr="00795817">
              <w:rPr>
                <w:rFonts w:ascii="Arial" w:hAnsi="Arial" w:cs="Arial"/>
                <w:color w:val="000000"/>
                <w:szCs w:val="18"/>
              </w:rPr>
              <w:t xml:space="preserve"> </w:t>
            </w:r>
            <w:r w:rsidRPr="00795817">
              <w:rPr>
                <w:rFonts w:ascii="Arial" w:hAnsi="Arial" w:cs="Arial"/>
                <w:color w:val="000000"/>
                <w:szCs w:val="18"/>
              </w:rPr>
              <w:t>https://cra.gov.qa/en/Reports/Qatar-Telecommunications-Annual-Report/</w:t>
            </w:r>
          </w:p>
          <w:p w14:paraId="7F47DA37" w14:textId="77777777" w:rsidR="00E44CA3" w:rsidRPr="00795817" w:rsidRDefault="00E44CA3" w:rsidP="006971B4">
            <w:pPr>
              <w:pStyle w:val="Prrafodelista"/>
              <w:numPr>
                <w:ilvl w:val="1"/>
                <w:numId w:val="15"/>
              </w:numPr>
              <w:spacing w:before="240" w:after="0"/>
              <w:ind w:left="635" w:hanging="357"/>
              <w:jc w:val="both"/>
              <w:rPr>
                <w:rFonts w:ascii="Arial" w:hAnsi="Arial" w:cs="Arial"/>
                <w:color w:val="000000"/>
                <w:szCs w:val="18"/>
              </w:rPr>
            </w:pPr>
            <w:r w:rsidRPr="00795817">
              <w:rPr>
                <w:rFonts w:ascii="Arial" w:hAnsi="Arial" w:cs="Arial"/>
                <w:color w:val="000000"/>
                <w:szCs w:val="18"/>
              </w:rPr>
              <w:t>Código Europeo de Comunicaciones Electrónicas: https://eur-lex.europa.eu/legal-content/ES/TXT/?uri=CELEX%3A32018L1972</w:t>
            </w:r>
          </w:p>
          <w:p w14:paraId="7F47DA38" w14:textId="77777777" w:rsidR="00E44CA3" w:rsidRPr="00795817" w:rsidRDefault="00E44CA3" w:rsidP="006971B4">
            <w:pPr>
              <w:pStyle w:val="Prrafodelista"/>
              <w:numPr>
                <w:ilvl w:val="0"/>
                <w:numId w:val="14"/>
              </w:numPr>
              <w:spacing w:before="120" w:after="120"/>
              <w:ind w:left="357" w:hanging="357"/>
              <w:contextualSpacing w:val="0"/>
              <w:jc w:val="both"/>
              <w:rPr>
                <w:rFonts w:ascii="Arial" w:hAnsi="Arial" w:cs="Arial"/>
                <w:color w:val="000000"/>
                <w:szCs w:val="18"/>
              </w:rPr>
            </w:pPr>
            <w:r w:rsidRPr="00BE09DB">
              <w:rPr>
                <w:rFonts w:ascii="Arial" w:hAnsi="Arial" w:cs="Arial"/>
                <w:b/>
                <w:color w:val="000000"/>
                <w:szCs w:val="18"/>
              </w:rPr>
              <w:t>Principio de proporcionalidad:</w:t>
            </w:r>
            <w:r w:rsidRPr="00795817">
              <w:rPr>
                <w:rFonts w:ascii="Arial" w:hAnsi="Arial" w:cs="Arial"/>
                <w:color w:val="000000"/>
                <w:szCs w:val="18"/>
              </w:rPr>
              <w:t xml:space="preserve"> Conforme a este principio regulatorio, la intensidad de la supervisión debe guardar proporción con el nivel de riesgo o impacto. Dado que los servicios mayoristas de Reventa ya se encuentran regulados en otros aspectos sustanciales (como tarifas y condiciones de acceso), una frecuencia anual resulta razonable, evitando una carga administrativa innecesaria y permitiendo al regulador concentrarse en los aspectos de mayor impacto.</w:t>
            </w:r>
          </w:p>
          <w:p w14:paraId="7F47DA39" w14:textId="77777777" w:rsidR="00E44CA3" w:rsidRPr="00795817" w:rsidRDefault="00E44CA3" w:rsidP="00E44CA3">
            <w:pPr>
              <w:jc w:val="both"/>
              <w:rPr>
                <w:rFonts w:ascii="Arial" w:hAnsi="Arial" w:cs="Arial"/>
                <w:color w:val="000000"/>
                <w:szCs w:val="18"/>
              </w:rPr>
            </w:pPr>
            <w:r w:rsidRPr="00795817">
              <w:rPr>
                <w:rFonts w:ascii="Arial" w:hAnsi="Arial" w:cs="Arial"/>
                <w:color w:val="000000"/>
                <w:szCs w:val="18"/>
              </w:rPr>
              <w:t xml:space="preserve">En conjunto, estos elementos sustentan técnica y jurídicamente la conveniencia de establecer una </w:t>
            </w:r>
            <w:r w:rsidRPr="00040C1E">
              <w:rPr>
                <w:rFonts w:ascii="Arial" w:hAnsi="Arial" w:cs="Arial"/>
                <w:b/>
                <w:color w:val="000000"/>
                <w:szCs w:val="18"/>
                <w:u w:val="single"/>
              </w:rPr>
              <w:t>metodología de evaluación anual, consolidada y no segmentada</w:t>
            </w:r>
            <w:r w:rsidRPr="00795817">
              <w:rPr>
                <w:rFonts w:ascii="Arial" w:hAnsi="Arial" w:cs="Arial"/>
                <w:color w:val="000000"/>
                <w:szCs w:val="18"/>
              </w:rPr>
              <w:t>, que garantice representatividad, eficiencia regulatoria y alineación con estándares internacionales.</w:t>
            </w:r>
          </w:p>
          <w:p w14:paraId="7F47DA3A" w14:textId="77777777" w:rsidR="00040C1E" w:rsidRDefault="00AC0FBE" w:rsidP="00795817">
            <w:pPr>
              <w:jc w:val="both"/>
              <w:rPr>
                <w:rFonts w:ascii="Arial" w:hAnsi="Arial" w:cs="Arial"/>
                <w:color w:val="000000"/>
                <w:szCs w:val="18"/>
              </w:rPr>
            </w:pPr>
            <w:r>
              <w:rPr>
                <w:rFonts w:ascii="Arial" w:hAnsi="Arial" w:cs="Arial"/>
                <w:color w:val="000000"/>
                <w:szCs w:val="18"/>
              </w:rPr>
              <w:t>----</w:t>
            </w:r>
          </w:p>
          <w:p w14:paraId="7F47DA3B" w14:textId="77777777" w:rsidR="00795817" w:rsidRPr="00BE09DB" w:rsidRDefault="00795817" w:rsidP="00795817">
            <w:pPr>
              <w:jc w:val="both"/>
              <w:rPr>
                <w:rFonts w:ascii="Arial" w:hAnsi="Arial" w:cs="Arial"/>
                <w:color w:val="000000"/>
                <w:szCs w:val="18"/>
              </w:rPr>
            </w:pPr>
            <w:r w:rsidRPr="00BE09DB">
              <w:rPr>
                <w:rFonts w:ascii="Arial" w:hAnsi="Arial" w:cs="Arial"/>
                <w:color w:val="000000"/>
                <w:szCs w:val="18"/>
              </w:rPr>
              <w:t>Homologación de parámetros de medición para solicitudes de suspensión y reactivación</w:t>
            </w:r>
          </w:p>
          <w:p w14:paraId="7F47DA3C" w14:textId="77777777" w:rsidR="00795817" w:rsidRPr="00795817" w:rsidRDefault="00795817" w:rsidP="00795817">
            <w:pPr>
              <w:jc w:val="both"/>
              <w:rPr>
                <w:rFonts w:ascii="Arial" w:hAnsi="Arial" w:cs="Arial"/>
                <w:color w:val="000000"/>
                <w:szCs w:val="18"/>
              </w:rPr>
            </w:pPr>
            <w:r w:rsidRPr="00795817">
              <w:rPr>
                <w:rFonts w:ascii="Arial" w:hAnsi="Arial" w:cs="Arial"/>
                <w:color w:val="000000"/>
                <w:szCs w:val="18"/>
              </w:rPr>
              <w:t>Actualmente, los parámetros e indicadores de calidad contemplan dos niveles de cumplimiento: un primer porcentaje asociado a un plazo más corto, y un segundo porcentaje vinculado a un plazo más amplio. Sin embargo, en el caso específico de las solicitudes de Reactivación, se ha establecido que el 60% debe ser atendido en un día hábil, y el 40% restante en un tiempo aún menor (4 horas), lo cual resulta contradictorio y operativamente inadecuado.</w:t>
            </w:r>
          </w:p>
          <w:p w14:paraId="7F47DA3D" w14:textId="77777777" w:rsidR="00795817" w:rsidRPr="00795817" w:rsidRDefault="00795817" w:rsidP="00795817">
            <w:pPr>
              <w:jc w:val="both"/>
              <w:rPr>
                <w:rFonts w:ascii="Arial" w:hAnsi="Arial" w:cs="Arial"/>
                <w:color w:val="000000"/>
                <w:szCs w:val="18"/>
              </w:rPr>
            </w:pPr>
            <w:r w:rsidRPr="00795817">
              <w:rPr>
                <w:rFonts w:ascii="Arial" w:hAnsi="Arial" w:cs="Arial"/>
                <w:color w:val="000000"/>
                <w:szCs w:val="18"/>
              </w:rPr>
              <w:t xml:space="preserve">Este diseño de medición es inconsistente con el enfoque aplicado a otros servicios comparables y genera una exigencia desproporcionada para el </w:t>
            </w:r>
            <w:r w:rsidRPr="00795817">
              <w:rPr>
                <w:rFonts w:ascii="Arial" w:hAnsi="Arial" w:cs="Arial"/>
                <w:color w:val="000000"/>
                <w:szCs w:val="18"/>
              </w:rPr>
              <w:lastRenderedPageBreak/>
              <w:t>40% de los casos, al requerir atención en un plazo más estricto que el establecido para el porcentaje mayoritario.</w:t>
            </w:r>
          </w:p>
          <w:p w14:paraId="7F47DA3E" w14:textId="77777777" w:rsidR="00795817" w:rsidRPr="00795817" w:rsidRDefault="00795817" w:rsidP="00795817">
            <w:pPr>
              <w:jc w:val="both"/>
              <w:rPr>
                <w:rFonts w:ascii="Arial" w:hAnsi="Arial" w:cs="Arial"/>
                <w:color w:val="000000"/>
                <w:szCs w:val="18"/>
              </w:rPr>
            </w:pPr>
            <w:r w:rsidRPr="00795817">
              <w:rPr>
                <w:rFonts w:ascii="Arial" w:hAnsi="Arial" w:cs="Arial"/>
                <w:color w:val="000000"/>
                <w:szCs w:val="18"/>
              </w:rPr>
              <w:t>Por lo anterior, se solicita la homologación de los criterios de medición para las solicitudes de Suspensión y Reactivación, de manera que ambos servicios se evalúen bajo los mismos parámetros:</w:t>
            </w:r>
          </w:p>
          <w:p w14:paraId="7F47DA3F" w14:textId="77777777" w:rsidR="00795817" w:rsidRPr="0095057B" w:rsidRDefault="00795817" w:rsidP="006971B4">
            <w:pPr>
              <w:pStyle w:val="Prrafodelista"/>
              <w:numPr>
                <w:ilvl w:val="0"/>
                <w:numId w:val="16"/>
              </w:numPr>
              <w:jc w:val="both"/>
              <w:rPr>
                <w:rFonts w:ascii="Arial" w:hAnsi="Arial" w:cs="Arial"/>
                <w:color w:val="000000"/>
                <w:szCs w:val="18"/>
              </w:rPr>
            </w:pPr>
            <w:r w:rsidRPr="0095057B">
              <w:rPr>
                <w:rFonts w:ascii="Arial" w:hAnsi="Arial" w:cs="Arial"/>
                <w:color w:val="000000"/>
                <w:szCs w:val="18"/>
              </w:rPr>
              <w:t>60% de las solicitudes atendidas en 1 día hábil</w:t>
            </w:r>
          </w:p>
          <w:p w14:paraId="7F47DA40" w14:textId="77777777" w:rsidR="00795817" w:rsidRPr="0095057B" w:rsidRDefault="00795817" w:rsidP="006971B4">
            <w:pPr>
              <w:pStyle w:val="Prrafodelista"/>
              <w:numPr>
                <w:ilvl w:val="0"/>
                <w:numId w:val="16"/>
              </w:numPr>
              <w:jc w:val="both"/>
              <w:rPr>
                <w:rFonts w:ascii="Arial" w:hAnsi="Arial" w:cs="Arial"/>
                <w:color w:val="000000"/>
                <w:szCs w:val="18"/>
              </w:rPr>
            </w:pPr>
            <w:r w:rsidRPr="0095057B">
              <w:rPr>
                <w:rFonts w:ascii="Arial" w:hAnsi="Arial" w:cs="Arial"/>
                <w:color w:val="000000"/>
                <w:szCs w:val="18"/>
              </w:rPr>
              <w:t>40% restantes atendidas en un plazo máximo de 48 horas</w:t>
            </w:r>
          </w:p>
          <w:p w14:paraId="7F47DA41" w14:textId="77777777" w:rsidR="00795817" w:rsidRPr="00D52656" w:rsidRDefault="00795817" w:rsidP="00795817">
            <w:pPr>
              <w:jc w:val="both"/>
              <w:rPr>
                <w:rFonts w:ascii="Arial" w:hAnsi="Arial" w:cs="Arial"/>
                <w:color w:val="000000"/>
                <w:sz w:val="20"/>
                <w:szCs w:val="18"/>
              </w:rPr>
            </w:pPr>
            <w:r w:rsidRPr="00795817">
              <w:rPr>
                <w:rFonts w:ascii="Arial" w:hAnsi="Arial" w:cs="Arial"/>
                <w:color w:val="000000"/>
                <w:szCs w:val="18"/>
              </w:rPr>
              <w:t>Esta propuesta busca garantizar coherencia regulatoria, viabilidad operativa y alineación con prácticas técnicas razonables para la atención de solicitudes mayoristas.</w:t>
            </w:r>
          </w:p>
        </w:tc>
      </w:tr>
      <w:tr w:rsidR="00466FA2" w:rsidRPr="00C83E51" w14:paraId="7F47DA59" w14:textId="77777777" w:rsidTr="00466FA2">
        <w:trPr>
          <w:trHeight w:val="1052"/>
        </w:trPr>
        <w:tc>
          <w:tcPr>
            <w:tcW w:w="132" w:type="pct"/>
            <w:vAlign w:val="center"/>
          </w:tcPr>
          <w:p w14:paraId="7F47DA43" w14:textId="77777777" w:rsidR="00466FA2" w:rsidRDefault="00466FA2" w:rsidP="001D14D5">
            <w:pPr>
              <w:spacing w:after="0" w:line="240" w:lineRule="auto"/>
              <w:jc w:val="center"/>
              <w:rPr>
                <w:rFonts w:ascii="Arial" w:eastAsia="Times New Roman" w:hAnsi="Arial" w:cs="Arial"/>
                <w:b/>
                <w:sz w:val="20"/>
                <w:szCs w:val="20"/>
                <w:lang w:eastAsia="es-MX"/>
              </w:rPr>
            </w:pPr>
            <w:r>
              <w:rPr>
                <w:rFonts w:ascii="Arial" w:eastAsia="Times New Roman" w:hAnsi="Arial" w:cs="Arial"/>
                <w:b/>
                <w:sz w:val="20"/>
                <w:szCs w:val="20"/>
                <w:lang w:eastAsia="es-MX"/>
              </w:rPr>
              <w:lastRenderedPageBreak/>
              <w:t>11</w:t>
            </w:r>
          </w:p>
        </w:tc>
        <w:tc>
          <w:tcPr>
            <w:tcW w:w="494" w:type="pct"/>
            <w:vAlign w:val="center"/>
          </w:tcPr>
          <w:p w14:paraId="7F47DA44" w14:textId="77777777" w:rsidR="00466FA2" w:rsidRPr="00F77233" w:rsidRDefault="00466FA2" w:rsidP="00466FA2">
            <w:pPr>
              <w:pStyle w:val="1TitPrin"/>
              <w:framePr w:hSpace="0" w:wrap="auto" w:vAnchor="margin" w:yAlign="inline"/>
              <w:suppressOverlap w:val="0"/>
            </w:pPr>
            <w:r>
              <w:t>Anexo “A”</w:t>
            </w:r>
          </w:p>
        </w:tc>
        <w:tc>
          <w:tcPr>
            <w:tcW w:w="458" w:type="pct"/>
            <w:shd w:val="clear" w:color="auto" w:fill="auto"/>
            <w:vAlign w:val="center"/>
          </w:tcPr>
          <w:p w14:paraId="7F47DA45" w14:textId="77777777" w:rsidR="00466FA2" w:rsidRPr="00466FA2" w:rsidRDefault="00466FA2" w:rsidP="001D14D5">
            <w:pPr>
              <w:spacing w:after="0" w:line="240" w:lineRule="auto"/>
              <w:jc w:val="center"/>
              <w:rPr>
                <w:rFonts w:ascii="Arial" w:hAnsi="Arial" w:cs="Arial"/>
                <w:b/>
                <w:szCs w:val="18"/>
              </w:rPr>
            </w:pPr>
            <w:r w:rsidRPr="00466FA2">
              <w:rPr>
                <w:rFonts w:ascii="Arial" w:hAnsi="Arial" w:cs="Arial"/>
                <w:b/>
                <w:szCs w:val="18"/>
              </w:rPr>
              <w:t>Tarifas</w:t>
            </w:r>
          </w:p>
        </w:tc>
        <w:tc>
          <w:tcPr>
            <w:tcW w:w="1900" w:type="pct"/>
            <w:shd w:val="clear" w:color="auto" w:fill="auto"/>
          </w:tcPr>
          <w:p w14:paraId="7F47DA46" w14:textId="77777777" w:rsidR="00AA2677" w:rsidRDefault="00AA2677" w:rsidP="00AA2677">
            <w:pPr>
              <w:pStyle w:val="1TitPrin"/>
              <w:framePr w:hSpace="0" w:wrap="auto" w:vAnchor="margin" w:yAlign="inline"/>
              <w:suppressOverlap w:val="0"/>
              <w:rPr>
                <w:color w:val="auto"/>
                <w:sz w:val="16"/>
                <w:szCs w:val="16"/>
              </w:rPr>
            </w:pPr>
            <w:r>
              <w:rPr>
                <w:color w:val="auto"/>
                <w:sz w:val="16"/>
                <w:szCs w:val="16"/>
              </w:rPr>
              <w:t>…</w:t>
            </w:r>
          </w:p>
          <w:p w14:paraId="7F47DA47" w14:textId="77777777" w:rsidR="00AA2677" w:rsidRPr="00F03D55" w:rsidRDefault="00AA2677" w:rsidP="00AA2677">
            <w:pPr>
              <w:pStyle w:val="1TitPrin"/>
              <w:framePr w:hSpace="0" w:wrap="auto" w:vAnchor="margin" w:yAlign="inline"/>
              <w:suppressOverlap w:val="0"/>
              <w:rPr>
                <w:color w:val="auto"/>
                <w:sz w:val="10"/>
                <w:szCs w:val="16"/>
              </w:rPr>
            </w:pPr>
          </w:p>
          <w:p w14:paraId="7F47DA48" w14:textId="77777777" w:rsidR="00AA2677" w:rsidRPr="00F03D55" w:rsidRDefault="00AA2677" w:rsidP="00AA2677">
            <w:pPr>
              <w:spacing w:before="20" w:after="120" w:line="264" w:lineRule="auto"/>
              <w:jc w:val="both"/>
              <w:rPr>
                <w:rFonts w:ascii="Arial" w:eastAsia="Times New Roman" w:hAnsi="Arial" w:cs="Arial"/>
                <w:b/>
                <w:i/>
                <w:strike/>
                <w:color w:val="FF0000"/>
                <w:sz w:val="16"/>
              </w:rPr>
            </w:pPr>
            <w:r w:rsidRPr="00F03D55">
              <w:rPr>
                <w:rFonts w:ascii="Arial" w:eastAsia="Times New Roman" w:hAnsi="Arial" w:cs="Arial"/>
                <w:b/>
                <w:i/>
                <w:sz w:val="16"/>
              </w:rPr>
              <w:t xml:space="preserve">- </w:t>
            </w:r>
            <w:r w:rsidRPr="00F03D55">
              <w:rPr>
                <w:rFonts w:ascii="Arial" w:eastAsia="Times New Roman" w:hAnsi="Arial" w:cs="Arial"/>
                <w:b/>
                <w:i/>
                <w:strike/>
                <w:color w:val="FF0000"/>
                <w:sz w:val="16"/>
              </w:rPr>
              <w:t>Equipos Modem blanco y ONT para Acceso de Datos provisto por unidad</w:t>
            </w:r>
          </w:p>
          <w:tbl>
            <w:tblPr>
              <w:tblStyle w:val="Tablanormal1"/>
              <w:tblW w:w="4105" w:type="pct"/>
              <w:tblLayout w:type="fixed"/>
              <w:tblLook w:val="04A0" w:firstRow="1" w:lastRow="0" w:firstColumn="1" w:lastColumn="0" w:noHBand="0" w:noVBand="1"/>
            </w:tblPr>
            <w:tblGrid>
              <w:gridCol w:w="1687"/>
              <w:gridCol w:w="3893"/>
            </w:tblGrid>
            <w:tr w:rsidR="00AA2677" w:rsidRPr="00F03D55" w14:paraId="7F47DA4B" w14:textId="77777777" w:rsidTr="003252D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512" w:type="pct"/>
                </w:tcPr>
                <w:p w14:paraId="7F47DA49" w14:textId="77777777" w:rsidR="00AA2677" w:rsidRPr="00F03D55" w:rsidRDefault="00AA2677" w:rsidP="0034086A">
                  <w:pPr>
                    <w:framePr w:hSpace="141" w:wrap="around" w:vAnchor="text" w:hAnchor="text" w:y="1"/>
                    <w:adjustRightInd w:val="0"/>
                    <w:ind w:right="39"/>
                    <w:suppressOverlap/>
                    <w:jc w:val="center"/>
                    <w:rPr>
                      <w:rFonts w:ascii="Arial" w:eastAsia="Times New Roman" w:hAnsi="Arial" w:cs="Arial"/>
                      <w:strike/>
                      <w:color w:val="FF0000"/>
                      <w:sz w:val="16"/>
                      <w:szCs w:val="20"/>
                      <w:lang w:val="es-ES_tradnl" w:eastAsia="es-ES"/>
                    </w:rPr>
                  </w:pPr>
                  <w:r w:rsidRPr="00F03D55">
                    <w:rPr>
                      <w:rFonts w:ascii="Arial" w:eastAsia="Times New Roman" w:hAnsi="Arial" w:cs="Arial"/>
                      <w:strike/>
                      <w:color w:val="FF0000"/>
                      <w:sz w:val="16"/>
                      <w:szCs w:val="20"/>
                      <w:lang w:val="es-ES_tradnl" w:eastAsia="es-ES"/>
                    </w:rPr>
                    <w:t>Tecnología</w:t>
                  </w:r>
                </w:p>
              </w:tc>
              <w:tc>
                <w:tcPr>
                  <w:tcW w:w="3488" w:type="pct"/>
                </w:tcPr>
                <w:p w14:paraId="7F47DA4A" w14:textId="77777777" w:rsidR="00AA2677" w:rsidRPr="00F03D55" w:rsidRDefault="00AA2677" w:rsidP="0034086A">
                  <w:pPr>
                    <w:framePr w:hSpace="141" w:wrap="around" w:vAnchor="text" w:hAnchor="text" w:y="1"/>
                    <w:suppressOverlap/>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trike/>
                      <w:color w:val="FF0000"/>
                      <w:sz w:val="16"/>
                      <w:szCs w:val="20"/>
                      <w:lang w:val="es-ES_tradnl" w:eastAsia="es-ES"/>
                    </w:rPr>
                  </w:pPr>
                  <w:r w:rsidRPr="00F03D55">
                    <w:rPr>
                      <w:rFonts w:ascii="Arial" w:eastAsia="Times New Roman" w:hAnsi="Arial" w:cs="Arial"/>
                      <w:strike/>
                      <w:color w:val="FF0000"/>
                      <w:sz w:val="16"/>
                      <w:szCs w:val="20"/>
                      <w:lang w:val="es-ES_tradnl" w:eastAsia="es-ES"/>
                    </w:rPr>
                    <w:t>Precio</w:t>
                  </w:r>
                </w:p>
              </w:tc>
            </w:tr>
            <w:tr w:rsidR="00AA2677" w:rsidRPr="00F03D55" w14:paraId="7F47DA4E" w14:textId="77777777" w:rsidTr="003252D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512" w:type="pct"/>
                </w:tcPr>
                <w:p w14:paraId="7F47DA4C" w14:textId="77777777" w:rsidR="00AA2677" w:rsidRPr="00F03D55" w:rsidRDefault="00AA2677" w:rsidP="0034086A">
                  <w:pPr>
                    <w:framePr w:hSpace="141" w:wrap="around" w:vAnchor="text" w:hAnchor="text" w:y="1"/>
                    <w:adjustRightInd w:val="0"/>
                    <w:ind w:right="39"/>
                    <w:suppressOverlap/>
                    <w:jc w:val="center"/>
                    <w:rPr>
                      <w:rFonts w:ascii="Arial" w:eastAsia="Times New Roman" w:hAnsi="Arial" w:cs="Arial"/>
                      <w:strike/>
                      <w:color w:val="FF0000"/>
                      <w:sz w:val="16"/>
                      <w:szCs w:val="20"/>
                      <w:lang w:val="es-ES_tradnl" w:eastAsia="es-ES"/>
                    </w:rPr>
                  </w:pPr>
                  <w:r w:rsidRPr="00F03D55">
                    <w:rPr>
                      <w:rFonts w:ascii="Arial" w:eastAsia="Times New Roman" w:hAnsi="Arial" w:cs="Arial"/>
                      <w:strike/>
                      <w:color w:val="FF0000"/>
                      <w:sz w:val="16"/>
                      <w:szCs w:val="20"/>
                      <w:lang w:val="es-ES_tradnl" w:eastAsia="es-ES"/>
                    </w:rPr>
                    <w:t>ADSL</w:t>
                  </w:r>
                </w:p>
              </w:tc>
              <w:tc>
                <w:tcPr>
                  <w:tcW w:w="3488" w:type="pct"/>
                </w:tcPr>
                <w:p w14:paraId="7F47DA4D" w14:textId="77777777" w:rsidR="00AA2677" w:rsidRPr="00F03D55" w:rsidRDefault="00AA2677" w:rsidP="0034086A">
                  <w:pPr>
                    <w:framePr w:hSpace="141" w:wrap="around" w:vAnchor="text" w:hAnchor="text" w:y="1"/>
                    <w:adjustRightInd w:val="0"/>
                    <w:ind w:right="39"/>
                    <w:suppressOverlap/>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trike/>
                      <w:color w:val="FF0000"/>
                      <w:sz w:val="16"/>
                      <w:szCs w:val="20"/>
                      <w:lang w:val="es-ES_tradnl" w:eastAsia="es-ES"/>
                    </w:rPr>
                  </w:pPr>
                  <w:r w:rsidRPr="00F03D55">
                    <w:rPr>
                      <w:rFonts w:ascii="Arial" w:eastAsia="Times New Roman" w:hAnsi="Arial" w:cs="Arial"/>
                      <w:bCs/>
                      <w:strike/>
                      <w:color w:val="FF0000"/>
                      <w:sz w:val="16"/>
                      <w:szCs w:val="20"/>
                      <w:lang w:val="es-ES_tradnl" w:eastAsia="es-ES"/>
                    </w:rPr>
                    <w:t>688.80 MXN</w:t>
                  </w:r>
                </w:p>
              </w:tc>
            </w:tr>
            <w:tr w:rsidR="00AA2677" w:rsidRPr="00F03D55" w14:paraId="7F47DA51" w14:textId="77777777" w:rsidTr="003252D9">
              <w:trPr>
                <w:trHeight w:val="283"/>
              </w:trPr>
              <w:tc>
                <w:tcPr>
                  <w:cnfStyle w:val="001000000000" w:firstRow="0" w:lastRow="0" w:firstColumn="1" w:lastColumn="0" w:oddVBand="0" w:evenVBand="0" w:oddHBand="0" w:evenHBand="0" w:firstRowFirstColumn="0" w:firstRowLastColumn="0" w:lastRowFirstColumn="0" w:lastRowLastColumn="0"/>
                  <w:tcW w:w="1512" w:type="pct"/>
                </w:tcPr>
                <w:p w14:paraId="7F47DA4F" w14:textId="77777777" w:rsidR="00AA2677" w:rsidRPr="00F03D55" w:rsidRDefault="00AA2677" w:rsidP="0034086A">
                  <w:pPr>
                    <w:framePr w:hSpace="141" w:wrap="around" w:vAnchor="text" w:hAnchor="text" w:y="1"/>
                    <w:adjustRightInd w:val="0"/>
                    <w:ind w:right="39"/>
                    <w:suppressOverlap/>
                    <w:jc w:val="center"/>
                    <w:rPr>
                      <w:rFonts w:ascii="Arial" w:eastAsia="Times New Roman" w:hAnsi="Arial" w:cs="Arial"/>
                      <w:strike/>
                      <w:color w:val="FF0000"/>
                      <w:sz w:val="16"/>
                      <w:szCs w:val="20"/>
                      <w:lang w:val="es-ES_tradnl" w:eastAsia="es-ES"/>
                    </w:rPr>
                  </w:pPr>
                  <w:r w:rsidRPr="00F03D55">
                    <w:rPr>
                      <w:rFonts w:ascii="Arial" w:eastAsia="Times New Roman" w:hAnsi="Arial" w:cs="Arial"/>
                      <w:strike/>
                      <w:color w:val="FF0000"/>
                      <w:sz w:val="16"/>
                      <w:szCs w:val="20"/>
                      <w:lang w:val="es-ES_tradnl" w:eastAsia="es-ES"/>
                    </w:rPr>
                    <w:t>VDSL</w:t>
                  </w:r>
                </w:p>
              </w:tc>
              <w:tc>
                <w:tcPr>
                  <w:tcW w:w="3488" w:type="pct"/>
                </w:tcPr>
                <w:p w14:paraId="7F47DA50" w14:textId="77777777" w:rsidR="00AA2677" w:rsidRPr="00F03D55" w:rsidRDefault="00AA2677" w:rsidP="0034086A">
                  <w:pPr>
                    <w:framePr w:hSpace="141" w:wrap="around" w:vAnchor="text" w:hAnchor="text" w:y="1"/>
                    <w:adjustRightInd w:val="0"/>
                    <w:ind w:right="39"/>
                    <w:suppressOverlap/>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trike/>
                      <w:color w:val="FF0000"/>
                      <w:sz w:val="16"/>
                      <w:szCs w:val="20"/>
                      <w:lang w:val="es-ES_tradnl" w:eastAsia="es-ES"/>
                    </w:rPr>
                  </w:pPr>
                  <w:r w:rsidRPr="00F03D55">
                    <w:rPr>
                      <w:rFonts w:ascii="Arial" w:eastAsia="Times New Roman" w:hAnsi="Arial" w:cs="Arial"/>
                      <w:bCs/>
                      <w:strike/>
                      <w:color w:val="FF0000"/>
                      <w:sz w:val="16"/>
                      <w:szCs w:val="20"/>
                      <w:lang w:val="es-ES_tradnl" w:eastAsia="es-ES"/>
                    </w:rPr>
                    <w:t xml:space="preserve">1,378.45 MXN </w:t>
                  </w:r>
                </w:p>
              </w:tc>
            </w:tr>
            <w:tr w:rsidR="00AA2677" w:rsidRPr="00F03D55" w14:paraId="7F47DA54" w14:textId="77777777" w:rsidTr="003252D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512" w:type="pct"/>
                </w:tcPr>
                <w:p w14:paraId="7F47DA52" w14:textId="77777777" w:rsidR="00AA2677" w:rsidRPr="00F03D55" w:rsidRDefault="00AA2677" w:rsidP="0034086A">
                  <w:pPr>
                    <w:framePr w:hSpace="141" w:wrap="around" w:vAnchor="text" w:hAnchor="text" w:y="1"/>
                    <w:adjustRightInd w:val="0"/>
                    <w:ind w:right="39"/>
                    <w:suppressOverlap/>
                    <w:jc w:val="center"/>
                    <w:rPr>
                      <w:rFonts w:ascii="Arial" w:eastAsia="Times New Roman" w:hAnsi="Arial" w:cs="Arial"/>
                      <w:strike/>
                      <w:color w:val="FF0000"/>
                      <w:sz w:val="16"/>
                      <w:szCs w:val="20"/>
                      <w:lang w:val="es-ES_tradnl" w:eastAsia="es-ES"/>
                    </w:rPr>
                  </w:pPr>
                  <w:r w:rsidRPr="00F03D55">
                    <w:rPr>
                      <w:rFonts w:ascii="Arial" w:eastAsia="Times New Roman" w:hAnsi="Arial" w:cs="Arial"/>
                      <w:strike/>
                      <w:color w:val="FF0000"/>
                      <w:sz w:val="16"/>
                      <w:szCs w:val="20"/>
                      <w:lang w:val="es-ES_tradnl" w:eastAsia="es-ES"/>
                    </w:rPr>
                    <w:t>ONT</w:t>
                  </w:r>
                </w:p>
              </w:tc>
              <w:tc>
                <w:tcPr>
                  <w:tcW w:w="3488" w:type="pct"/>
                </w:tcPr>
                <w:p w14:paraId="7F47DA53" w14:textId="77777777" w:rsidR="00AA2677" w:rsidRPr="00F03D55" w:rsidRDefault="00AA2677" w:rsidP="0034086A">
                  <w:pPr>
                    <w:framePr w:hSpace="141" w:wrap="around" w:vAnchor="text" w:hAnchor="text" w:y="1"/>
                    <w:adjustRightInd w:val="0"/>
                    <w:ind w:right="39"/>
                    <w:suppressOverlap/>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strike/>
                      <w:color w:val="FF0000"/>
                      <w:sz w:val="16"/>
                      <w:szCs w:val="20"/>
                      <w:lang w:val="es-ES_tradnl" w:eastAsia="es-ES"/>
                    </w:rPr>
                  </w:pPr>
                  <w:r w:rsidRPr="00F03D55">
                    <w:rPr>
                      <w:rFonts w:ascii="Arial" w:eastAsia="Times New Roman" w:hAnsi="Arial" w:cs="Arial"/>
                      <w:bCs/>
                      <w:strike/>
                      <w:color w:val="FF0000"/>
                      <w:sz w:val="16"/>
                      <w:szCs w:val="20"/>
                      <w:lang w:val="es-ES_tradnl" w:eastAsia="es-ES"/>
                    </w:rPr>
                    <w:t xml:space="preserve">1,921.55 MXN </w:t>
                  </w:r>
                </w:p>
              </w:tc>
            </w:tr>
          </w:tbl>
          <w:p w14:paraId="7F47DA55" w14:textId="77777777" w:rsidR="00466FA2" w:rsidRPr="00466FA2" w:rsidRDefault="00466FA2" w:rsidP="00E10DDC">
            <w:pPr>
              <w:pStyle w:val="1TitPrin"/>
              <w:framePr w:hSpace="0" w:wrap="auto" w:vAnchor="margin" w:yAlign="inline"/>
              <w:suppressOverlap w:val="0"/>
              <w:rPr>
                <w:sz w:val="18"/>
                <w:szCs w:val="18"/>
              </w:rPr>
            </w:pPr>
          </w:p>
        </w:tc>
        <w:tc>
          <w:tcPr>
            <w:tcW w:w="2016" w:type="pct"/>
            <w:tcBorders>
              <w:top w:val="single" w:sz="4" w:space="0" w:color="000000" w:themeColor="text1"/>
              <w:bottom w:val="single" w:sz="4" w:space="0" w:color="000000" w:themeColor="text1"/>
            </w:tcBorders>
          </w:tcPr>
          <w:p w14:paraId="7F47DA56" w14:textId="77777777" w:rsidR="00AA2677" w:rsidRPr="00AA2677" w:rsidRDefault="00AA2677" w:rsidP="00AA2677">
            <w:pPr>
              <w:jc w:val="both"/>
              <w:rPr>
                <w:rFonts w:ascii="Arial" w:hAnsi="Arial" w:cs="Arial"/>
                <w:color w:val="000000"/>
                <w:szCs w:val="18"/>
              </w:rPr>
            </w:pPr>
            <w:r w:rsidRPr="00AA2677">
              <w:rPr>
                <w:rFonts w:ascii="Arial" w:hAnsi="Arial" w:cs="Arial"/>
                <w:color w:val="000000"/>
                <w:szCs w:val="18"/>
              </w:rPr>
              <w:t>En consistencia con la solicitud 8 del presente documento de eliminar la venta de modem blanco por pieza, se eliminan sus respectivas tarifas.</w:t>
            </w:r>
          </w:p>
          <w:p w14:paraId="7F47DA57" w14:textId="77777777" w:rsidR="00AA2677" w:rsidRPr="00CB0C3E" w:rsidRDefault="005F13E5" w:rsidP="00AA2677">
            <w:pPr>
              <w:jc w:val="both"/>
              <w:rPr>
                <w:rFonts w:ascii="Arial" w:hAnsi="Arial" w:cs="Arial"/>
                <w:color w:val="000000"/>
                <w:szCs w:val="18"/>
              </w:rPr>
            </w:pPr>
            <w:r>
              <w:rPr>
                <w:rFonts w:ascii="Arial" w:hAnsi="Arial" w:cs="Arial"/>
                <w:color w:val="000000"/>
                <w:szCs w:val="18"/>
              </w:rPr>
              <w:t>Por otro lado s</w:t>
            </w:r>
            <w:r w:rsidR="00CB0C3E">
              <w:rPr>
                <w:rFonts w:ascii="Arial" w:hAnsi="Arial" w:cs="Arial"/>
                <w:color w:val="000000"/>
                <w:szCs w:val="18"/>
              </w:rPr>
              <w:t xml:space="preserve">e solicita al Instituto que se considere </w:t>
            </w:r>
            <w:r w:rsidR="00CB0C3E" w:rsidRPr="00CB0C3E">
              <w:rPr>
                <w:rFonts w:ascii="Arial" w:hAnsi="Arial" w:cs="Arial"/>
                <w:color w:val="000000"/>
                <w:szCs w:val="18"/>
              </w:rPr>
              <w:t>un descuento del 14.13%</w:t>
            </w:r>
            <w:r w:rsidR="00CB0C3E">
              <w:rPr>
                <w:rFonts w:ascii="Arial" w:hAnsi="Arial" w:cs="Arial"/>
                <w:color w:val="000000"/>
                <w:szCs w:val="18"/>
              </w:rPr>
              <w:t xml:space="preserve"> único para todos los servicios de reventa</w:t>
            </w:r>
            <w:r w:rsidR="00CB0C3E" w:rsidRPr="00CB0C3E">
              <w:rPr>
                <w:rFonts w:ascii="Arial" w:hAnsi="Arial" w:cs="Arial"/>
                <w:color w:val="000000"/>
                <w:szCs w:val="18"/>
              </w:rPr>
              <w:t>, el cual se encuentra alineado con los niveles de costos evitados que Telmex y Telnor efectivamente erogan, y cuya trazabilidad está debidamente documentada.</w:t>
            </w:r>
            <w:r w:rsidR="00AA2677">
              <w:rPr>
                <w:rFonts w:ascii="Arial" w:hAnsi="Arial" w:cs="Arial"/>
                <w:color w:val="000000"/>
                <w:szCs w:val="18"/>
              </w:rPr>
              <w:t xml:space="preserve"> </w:t>
            </w:r>
            <w:r w:rsidR="00AA2677" w:rsidRPr="00CB0C3E">
              <w:rPr>
                <w:rFonts w:ascii="Arial" w:hAnsi="Arial" w:cs="Arial"/>
                <w:color w:val="000000"/>
                <w:szCs w:val="18"/>
              </w:rPr>
              <w:t xml:space="preserve"> Las modificaciones presentadas </w:t>
            </w:r>
            <w:r w:rsidR="00AA2677">
              <w:rPr>
                <w:rFonts w:ascii="Arial" w:hAnsi="Arial" w:cs="Arial"/>
                <w:color w:val="000000"/>
                <w:szCs w:val="18"/>
              </w:rPr>
              <w:t xml:space="preserve">en el Anexo “A”, también </w:t>
            </w:r>
            <w:r w:rsidR="00AA2677" w:rsidRPr="00CB0C3E">
              <w:rPr>
                <w:rFonts w:ascii="Arial" w:hAnsi="Arial" w:cs="Arial"/>
                <w:color w:val="000000"/>
                <w:szCs w:val="18"/>
              </w:rPr>
              <w:t>derivan de la actualización de los servici</w:t>
            </w:r>
            <w:r w:rsidR="00AA2677">
              <w:rPr>
                <w:rFonts w:ascii="Arial" w:hAnsi="Arial" w:cs="Arial"/>
                <w:color w:val="000000"/>
                <w:szCs w:val="18"/>
              </w:rPr>
              <w:t>os autorizados por el Instituto</w:t>
            </w:r>
            <w:r w:rsidR="00AA2677" w:rsidRPr="00CB0C3E">
              <w:rPr>
                <w:rFonts w:ascii="Arial" w:hAnsi="Arial" w:cs="Arial"/>
                <w:color w:val="000000"/>
                <w:szCs w:val="18"/>
              </w:rPr>
              <w:t xml:space="preserve"> vigentes hasta la f</w:t>
            </w:r>
            <w:r w:rsidR="00AA2677">
              <w:rPr>
                <w:rFonts w:ascii="Arial" w:hAnsi="Arial" w:cs="Arial"/>
                <w:color w:val="000000"/>
                <w:szCs w:val="18"/>
              </w:rPr>
              <w:t>echa de emisión de la presente p</w:t>
            </w:r>
            <w:r w:rsidR="00AA2677" w:rsidRPr="00CB0C3E">
              <w:rPr>
                <w:rFonts w:ascii="Arial" w:hAnsi="Arial" w:cs="Arial"/>
                <w:color w:val="000000"/>
                <w:szCs w:val="18"/>
              </w:rPr>
              <w:t>ropuesta de l</w:t>
            </w:r>
            <w:r w:rsidR="00AA2677">
              <w:rPr>
                <w:rFonts w:ascii="Arial" w:hAnsi="Arial" w:cs="Arial"/>
                <w:color w:val="000000"/>
                <w:szCs w:val="18"/>
              </w:rPr>
              <w:t>a oferta.</w:t>
            </w:r>
          </w:p>
          <w:p w14:paraId="7F47DA58" w14:textId="77777777" w:rsidR="00466FA2" w:rsidRPr="00CB0C3E" w:rsidRDefault="00CB0C3E" w:rsidP="00CB0C3E">
            <w:pPr>
              <w:jc w:val="both"/>
              <w:rPr>
                <w:rFonts w:ascii="Arial" w:hAnsi="Arial" w:cs="Arial"/>
                <w:color w:val="000000"/>
                <w:szCs w:val="18"/>
              </w:rPr>
            </w:pPr>
            <w:r w:rsidRPr="00CB0C3E">
              <w:rPr>
                <w:rFonts w:ascii="Arial" w:hAnsi="Arial" w:cs="Arial"/>
                <w:color w:val="000000"/>
                <w:szCs w:val="18"/>
              </w:rPr>
              <w:t>Por razones de economía procesal, no se detallan en este cuadro todos los cambios realizados, los cuales pueden consultarse en los apartados específicos correspondientes.</w:t>
            </w:r>
          </w:p>
        </w:tc>
      </w:tr>
      <w:tr w:rsidR="00AF1674" w:rsidRPr="00C83E51" w14:paraId="7F47DAC7" w14:textId="77777777" w:rsidTr="00466FA2">
        <w:trPr>
          <w:trHeight w:val="1052"/>
        </w:trPr>
        <w:tc>
          <w:tcPr>
            <w:tcW w:w="132" w:type="pct"/>
            <w:vAlign w:val="center"/>
          </w:tcPr>
          <w:p w14:paraId="7F47DA5A" w14:textId="77777777" w:rsidR="00DE0749" w:rsidRPr="00C83E51" w:rsidRDefault="00DE0749" w:rsidP="001D14D5">
            <w:pPr>
              <w:spacing w:after="0" w:line="240" w:lineRule="auto"/>
              <w:jc w:val="center"/>
              <w:rPr>
                <w:rFonts w:ascii="Arial" w:eastAsia="Times New Roman" w:hAnsi="Arial" w:cs="Arial"/>
                <w:b/>
                <w:sz w:val="20"/>
                <w:szCs w:val="20"/>
                <w:lang w:eastAsia="es-MX"/>
              </w:rPr>
            </w:pPr>
            <w:r w:rsidRPr="00C83E51">
              <w:rPr>
                <w:rFonts w:ascii="Arial" w:eastAsia="Times New Roman" w:hAnsi="Arial" w:cs="Arial"/>
                <w:b/>
                <w:sz w:val="20"/>
                <w:szCs w:val="20"/>
                <w:lang w:eastAsia="es-MX"/>
              </w:rPr>
              <w:t>1</w:t>
            </w:r>
            <w:r w:rsidR="00466FA2">
              <w:rPr>
                <w:rFonts w:ascii="Arial" w:eastAsia="Times New Roman" w:hAnsi="Arial" w:cs="Arial"/>
                <w:b/>
                <w:sz w:val="20"/>
                <w:szCs w:val="20"/>
                <w:lang w:eastAsia="es-MX"/>
              </w:rPr>
              <w:t>2</w:t>
            </w:r>
          </w:p>
        </w:tc>
        <w:tc>
          <w:tcPr>
            <w:tcW w:w="494" w:type="pct"/>
            <w:vAlign w:val="center"/>
          </w:tcPr>
          <w:p w14:paraId="7F47DA5B" w14:textId="77777777" w:rsidR="00DE0749" w:rsidRPr="00C83E51" w:rsidRDefault="00DE0749" w:rsidP="00E10DDC">
            <w:pPr>
              <w:pStyle w:val="1TitPrin"/>
              <w:framePr w:hSpace="0" w:wrap="auto" w:vAnchor="margin" w:yAlign="inline"/>
              <w:suppressOverlap w:val="0"/>
            </w:pPr>
            <w:r w:rsidRPr="00C83E51">
              <w:t>Anexo B</w:t>
            </w:r>
          </w:p>
        </w:tc>
        <w:tc>
          <w:tcPr>
            <w:tcW w:w="458" w:type="pct"/>
            <w:shd w:val="clear" w:color="auto" w:fill="auto"/>
            <w:vAlign w:val="center"/>
          </w:tcPr>
          <w:p w14:paraId="7F47DA5C" w14:textId="77777777" w:rsidR="00DE0749" w:rsidRPr="00466FA2" w:rsidRDefault="00DE0749" w:rsidP="001D14D5">
            <w:pPr>
              <w:spacing w:after="0" w:line="240" w:lineRule="auto"/>
              <w:jc w:val="center"/>
              <w:rPr>
                <w:rFonts w:ascii="Arial" w:hAnsi="Arial" w:cs="Arial"/>
                <w:b/>
                <w:szCs w:val="20"/>
              </w:rPr>
            </w:pPr>
            <w:r w:rsidRPr="00466FA2">
              <w:rPr>
                <w:rFonts w:ascii="Arial" w:hAnsi="Arial" w:cs="Arial"/>
                <w:b/>
                <w:sz w:val="20"/>
                <w:szCs w:val="20"/>
              </w:rPr>
              <w:t>Penas convencionales</w:t>
            </w:r>
          </w:p>
        </w:tc>
        <w:tc>
          <w:tcPr>
            <w:tcW w:w="1900" w:type="pct"/>
            <w:shd w:val="clear" w:color="auto" w:fill="auto"/>
          </w:tcPr>
          <w:p w14:paraId="7F47DA5D" w14:textId="77777777" w:rsidR="00DE0749" w:rsidRPr="00C83E51" w:rsidRDefault="00DE0749" w:rsidP="001D14D5">
            <w:pPr>
              <w:jc w:val="both"/>
              <w:rPr>
                <w:rFonts w:ascii="Arial" w:hAnsi="Arial" w:cs="Arial"/>
                <w:b/>
                <w:bCs/>
                <w:color w:val="000000"/>
                <w:sz w:val="20"/>
                <w:szCs w:val="20"/>
                <w:u w:val="single"/>
              </w:rPr>
            </w:pPr>
            <w:r w:rsidRPr="00C83E51">
              <w:rPr>
                <w:rFonts w:ascii="Arial" w:hAnsi="Arial" w:cs="Arial"/>
                <w:b/>
                <w:bCs/>
                <w:color w:val="000000"/>
                <w:sz w:val="20"/>
                <w:szCs w:val="20"/>
                <w:u w:val="single"/>
              </w:rPr>
              <w:t>Penas Convencionales</w:t>
            </w:r>
          </w:p>
          <w:p w14:paraId="7F47DA5E" w14:textId="77777777" w:rsidR="00DE0749" w:rsidRDefault="00DE0749" w:rsidP="001D14D5">
            <w:pPr>
              <w:jc w:val="both"/>
              <w:rPr>
                <w:rFonts w:ascii="Arial" w:hAnsi="Arial" w:cs="Arial"/>
                <w:bCs/>
                <w:color w:val="000000"/>
                <w:sz w:val="20"/>
                <w:szCs w:val="20"/>
              </w:rPr>
            </w:pPr>
            <w:r w:rsidRPr="00C83E51">
              <w:rPr>
                <w:rFonts w:ascii="Arial" w:hAnsi="Arial" w:cs="Arial"/>
                <w:bCs/>
                <w:color w:val="000000"/>
                <w:sz w:val="20"/>
                <w:szCs w:val="20"/>
              </w:rPr>
              <w:t xml:space="preserve">Telmex / Telnor realizará el aprovisionamiento y atención de reportes de incidencias o fallas de los servicios dentro de los tiempos establecidos en la presente oferta y en caso de incumplimiento. Salvo los casos que eximan de responsabilidad a Telmex /Telnor, se aplicarán las siguientes penas convencionales tomando en cuenta que en ningún caso la pena aplicable </w:t>
            </w:r>
            <w:r w:rsidRPr="00C83E51">
              <w:rPr>
                <w:rFonts w:ascii="Arial" w:hAnsi="Arial" w:cs="Arial"/>
                <w:bCs/>
                <w:color w:val="000000"/>
                <w:sz w:val="20"/>
                <w:szCs w:val="20"/>
              </w:rPr>
              <w:lastRenderedPageBreak/>
              <w:t>deberá superar el valor del servicio (gastos de habilitación + renta mensual) donde aplique esta base.</w:t>
            </w:r>
          </w:p>
          <w:p w14:paraId="7F47DA5F" w14:textId="77777777" w:rsidR="00DE0749" w:rsidRPr="00C83E51" w:rsidRDefault="00DE0749" w:rsidP="001D14D5">
            <w:pPr>
              <w:jc w:val="both"/>
              <w:rPr>
                <w:rFonts w:ascii="Arial" w:hAnsi="Arial" w:cs="Arial"/>
                <w:bCs/>
                <w:color w:val="000000"/>
                <w:sz w:val="20"/>
                <w:szCs w:val="20"/>
              </w:rPr>
            </w:pPr>
          </w:p>
          <w:p w14:paraId="7F47DA60" w14:textId="77777777" w:rsidR="00DE0749" w:rsidRPr="00C83E51" w:rsidRDefault="00DE0749" w:rsidP="001D14D5">
            <w:pPr>
              <w:jc w:val="both"/>
              <w:rPr>
                <w:rFonts w:ascii="Arial" w:hAnsi="Arial" w:cs="Arial"/>
                <w:b/>
                <w:bCs/>
                <w:color w:val="000000"/>
                <w:sz w:val="20"/>
                <w:szCs w:val="20"/>
                <w:u w:val="single"/>
              </w:rPr>
            </w:pPr>
            <w:r w:rsidRPr="00C83E51">
              <w:rPr>
                <w:rFonts w:ascii="Arial" w:hAnsi="Arial" w:cs="Arial"/>
                <w:b/>
                <w:bCs/>
                <w:color w:val="000000"/>
                <w:sz w:val="20"/>
                <w:szCs w:val="20"/>
                <w:u w:val="single"/>
              </w:rPr>
              <w:t xml:space="preserve">Aprovisionamiento de servicios </w:t>
            </w:r>
          </w:p>
          <w:p w14:paraId="7F47DA61" w14:textId="77777777" w:rsidR="00DE0749" w:rsidRPr="00C83E51" w:rsidRDefault="00DE0749" w:rsidP="001D14D5">
            <w:pPr>
              <w:jc w:val="both"/>
              <w:rPr>
                <w:rFonts w:ascii="Arial" w:hAnsi="Arial" w:cs="Arial"/>
                <w:b/>
                <w:bCs/>
                <w:color w:val="000000"/>
                <w:sz w:val="20"/>
                <w:szCs w:val="20"/>
              </w:rPr>
            </w:pPr>
            <w:r w:rsidRPr="00C83E51">
              <w:rPr>
                <w:rFonts w:ascii="Arial" w:hAnsi="Arial" w:cs="Arial"/>
                <w:b/>
                <w:bCs/>
                <w:color w:val="000000"/>
                <w:sz w:val="20"/>
                <w:szCs w:val="20"/>
              </w:rPr>
              <w:t>Validación y factibilidad</w:t>
            </w:r>
          </w:p>
          <w:p w14:paraId="7F47DA62" w14:textId="77777777" w:rsidR="00DE0749" w:rsidRPr="00C83E51" w:rsidRDefault="00DE0749" w:rsidP="001D14D5">
            <w:pPr>
              <w:jc w:val="both"/>
              <w:rPr>
                <w:rFonts w:ascii="Arial" w:hAnsi="Arial" w:cs="Arial"/>
                <w:bCs/>
                <w:color w:val="000000"/>
                <w:sz w:val="20"/>
                <w:szCs w:val="20"/>
              </w:rPr>
            </w:pPr>
            <w:r w:rsidRPr="00C83E51">
              <w:rPr>
                <w:rFonts w:ascii="Arial" w:hAnsi="Arial" w:cs="Arial"/>
                <w:bCs/>
                <w:color w:val="000000"/>
                <w:sz w:val="20"/>
                <w:szCs w:val="20"/>
              </w:rPr>
              <w:t>[…]</w:t>
            </w:r>
          </w:p>
          <w:p w14:paraId="7F47DA63" w14:textId="77777777" w:rsidR="00DE0749" w:rsidRPr="00C83E51" w:rsidRDefault="00DE0749" w:rsidP="006971B4">
            <w:pPr>
              <w:pStyle w:val="Prrafodelista"/>
              <w:numPr>
                <w:ilvl w:val="0"/>
                <w:numId w:val="2"/>
              </w:numPr>
              <w:ind w:left="339"/>
              <w:jc w:val="both"/>
              <w:rPr>
                <w:rFonts w:ascii="Arial" w:hAnsi="Arial" w:cs="Arial"/>
                <w:bCs/>
                <w:color w:val="000000"/>
                <w:sz w:val="20"/>
                <w:szCs w:val="20"/>
              </w:rPr>
            </w:pPr>
            <w:r w:rsidRPr="00C83E51">
              <w:rPr>
                <w:rFonts w:ascii="Arial" w:hAnsi="Arial" w:cs="Arial"/>
                <w:bCs/>
                <w:color w:val="000000"/>
                <w:sz w:val="20"/>
                <w:szCs w:val="20"/>
              </w:rPr>
              <w:t>Para aquellos servicios donde aplique la validación de la solicitud junto con verificación de la factibilidad: 95% de las solicitudes en máximo de T1 días naturales. El 5% restante en un máximo de T2  días naturales.</w:t>
            </w:r>
          </w:p>
          <w:p w14:paraId="7F47DA64" w14:textId="77777777" w:rsidR="00DE0749" w:rsidRPr="00C83E51" w:rsidRDefault="00DE0749" w:rsidP="006971B4">
            <w:pPr>
              <w:pStyle w:val="Prrafodelista"/>
              <w:numPr>
                <w:ilvl w:val="0"/>
                <w:numId w:val="3"/>
              </w:numPr>
              <w:jc w:val="both"/>
              <w:rPr>
                <w:rFonts w:ascii="Arial" w:hAnsi="Arial" w:cs="Arial"/>
                <w:bCs/>
                <w:color w:val="000000"/>
                <w:sz w:val="20"/>
                <w:szCs w:val="20"/>
              </w:rPr>
            </w:pPr>
            <w:r w:rsidRPr="00C83E51">
              <w:rPr>
                <w:rFonts w:ascii="Arial" w:hAnsi="Arial" w:cs="Arial"/>
                <w:bCs/>
                <w:color w:val="000000"/>
                <w:sz w:val="20"/>
                <w:szCs w:val="20"/>
              </w:rPr>
              <w:t>En caso de que no se cumpla el 95% del indicador. Serán acreedores de una pena la totalidad de los eventos que superen los T1 días naturales y se aplicará una pena de 50% del valor de la renta mensual al servicio que está asociada la solicitud.</w:t>
            </w:r>
          </w:p>
          <w:p w14:paraId="7F47DA65" w14:textId="77777777" w:rsidR="00DE0749" w:rsidRPr="00C83E51" w:rsidRDefault="00DE0749" w:rsidP="006971B4">
            <w:pPr>
              <w:pStyle w:val="Prrafodelista"/>
              <w:numPr>
                <w:ilvl w:val="0"/>
                <w:numId w:val="3"/>
              </w:numPr>
              <w:jc w:val="both"/>
              <w:rPr>
                <w:rFonts w:ascii="Arial" w:hAnsi="Arial" w:cs="Arial"/>
                <w:bCs/>
                <w:color w:val="000000"/>
                <w:sz w:val="20"/>
                <w:szCs w:val="20"/>
              </w:rPr>
            </w:pPr>
            <w:r w:rsidRPr="00C83E51">
              <w:rPr>
                <w:rFonts w:ascii="Arial" w:hAnsi="Arial" w:cs="Arial"/>
                <w:bCs/>
                <w:color w:val="000000"/>
                <w:sz w:val="20"/>
                <w:szCs w:val="20"/>
              </w:rPr>
              <w:t>En caso de que se cumpla el 95% del indicador.  Serán acreedores de una pena la totalidad de los eventos que superen los T2 días naturales y se aplicará una pena de 50% del valor de la renta mensual al servicio que está asociada la solicitud.</w:t>
            </w:r>
          </w:p>
          <w:tbl>
            <w:tblPr>
              <w:tblW w:w="5000" w:type="pct"/>
              <w:jc w:val="center"/>
              <w:tblLayout w:type="fixed"/>
              <w:tblCellMar>
                <w:left w:w="70" w:type="dxa"/>
                <w:right w:w="70" w:type="dxa"/>
              </w:tblCellMar>
              <w:tblLook w:val="04A0" w:firstRow="1" w:lastRow="0" w:firstColumn="1" w:lastColumn="0" w:noHBand="0" w:noVBand="1"/>
            </w:tblPr>
            <w:tblGrid>
              <w:gridCol w:w="4433"/>
              <w:gridCol w:w="966"/>
              <w:gridCol w:w="1407"/>
            </w:tblGrid>
            <w:tr w:rsidR="00DE0749" w:rsidRPr="00C83E51" w14:paraId="7F47DA67" w14:textId="77777777" w:rsidTr="00DE0749">
              <w:trPr>
                <w:trHeight w:val="588"/>
                <w:jc w:val="center"/>
              </w:trPr>
              <w:tc>
                <w:tcPr>
                  <w:tcW w:w="5000" w:type="pct"/>
                  <w:gridSpan w:val="3"/>
                  <w:shd w:val="clear" w:color="auto" w:fill="2F75B5"/>
                  <w:vAlign w:val="center"/>
                  <w:hideMark/>
                </w:tcPr>
                <w:p w14:paraId="7F47DA66" w14:textId="77777777" w:rsidR="00DE0749" w:rsidRPr="00C83E51" w:rsidRDefault="00DE0749" w:rsidP="0034086A">
                  <w:pPr>
                    <w:framePr w:hSpace="141" w:wrap="around" w:vAnchor="text" w:hAnchor="text" w:y="1"/>
                    <w:spacing w:after="0"/>
                    <w:suppressOverlap/>
                    <w:jc w:val="center"/>
                    <w:rPr>
                      <w:rFonts w:ascii="Arial" w:hAnsi="Arial" w:cs="Arial"/>
                      <w:b/>
                      <w:bCs/>
                      <w:color w:val="FFFFFF"/>
                      <w:sz w:val="20"/>
                      <w:szCs w:val="20"/>
                    </w:rPr>
                  </w:pPr>
                  <w:r w:rsidRPr="00C83E51">
                    <w:rPr>
                      <w:rFonts w:ascii="Arial" w:hAnsi="Arial" w:cs="Arial"/>
                      <w:b/>
                      <w:bCs/>
                      <w:color w:val="FFFFFF"/>
                      <w:sz w:val="20"/>
                      <w:szCs w:val="20"/>
                    </w:rPr>
                    <w:t>Validación de solicitud junto con verificación de la factibilidad</w:t>
                  </w:r>
                </w:p>
              </w:tc>
            </w:tr>
            <w:tr w:rsidR="00DE0749" w:rsidRPr="00C83E51" w14:paraId="7F47DA6B" w14:textId="77777777" w:rsidTr="00DE0749">
              <w:trPr>
                <w:trHeight w:val="361"/>
                <w:jc w:val="center"/>
              </w:trPr>
              <w:tc>
                <w:tcPr>
                  <w:tcW w:w="3256" w:type="pct"/>
                  <w:tcBorders>
                    <w:top w:val="nil"/>
                    <w:left w:val="nil"/>
                    <w:bottom w:val="single" w:sz="4" w:space="0" w:color="auto"/>
                    <w:right w:val="nil"/>
                  </w:tcBorders>
                  <w:vAlign w:val="center"/>
                  <w:hideMark/>
                </w:tcPr>
                <w:p w14:paraId="7F47DA68" w14:textId="77777777" w:rsidR="00DE0749" w:rsidRPr="00C83E51" w:rsidRDefault="00DE0749" w:rsidP="0034086A">
                  <w:pPr>
                    <w:framePr w:hSpace="141" w:wrap="around" w:vAnchor="text" w:hAnchor="text" w:y="1"/>
                    <w:suppressOverlap/>
                    <w:rPr>
                      <w:rFonts w:ascii="Arial" w:hAnsi="Arial" w:cs="Arial"/>
                      <w:b/>
                      <w:bCs/>
                      <w:color w:val="FFFFFF"/>
                      <w:sz w:val="20"/>
                      <w:szCs w:val="20"/>
                    </w:rPr>
                  </w:pPr>
                </w:p>
              </w:tc>
              <w:tc>
                <w:tcPr>
                  <w:tcW w:w="710" w:type="pct"/>
                  <w:tcBorders>
                    <w:top w:val="nil"/>
                    <w:left w:val="nil"/>
                    <w:bottom w:val="single" w:sz="4" w:space="0" w:color="auto"/>
                    <w:right w:val="nil"/>
                  </w:tcBorders>
                  <w:vAlign w:val="center"/>
                  <w:hideMark/>
                </w:tcPr>
                <w:p w14:paraId="7F47DA69"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T1</w:t>
                  </w:r>
                </w:p>
              </w:tc>
              <w:tc>
                <w:tcPr>
                  <w:tcW w:w="1034" w:type="pct"/>
                  <w:tcBorders>
                    <w:top w:val="nil"/>
                    <w:left w:val="nil"/>
                    <w:bottom w:val="single" w:sz="4" w:space="0" w:color="auto"/>
                    <w:right w:val="nil"/>
                  </w:tcBorders>
                  <w:vAlign w:val="center"/>
                  <w:hideMark/>
                </w:tcPr>
                <w:p w14:paraId="7F47DA6A"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T2</w:t>
                  </w:r>
                </w:p>
              </w:tc>
            </w:tr>
            <w:tr w:rsidR="00DE0749" w:rsidRPr="00C83E51" w14:paraId="7F47DA6F" w14:textId="77777777" w:rsidTr="00DE0749">
              <w:trPr>
                <w:trHeight w:val="509"/>
                <w:jc w:val="center"/>
              </w:trPr>
              <w:tc>
                <w:tcPr>
                  <w:tcW w:w="3256" w:type="pct"/>
                  <w:vMerge w:val="restart"/>
                  <w:tcBorders>
                    <w:top w:val="single" w:sz="4" w:space="0" w:color="auto"/>
                    <w:left w:val="nil"/>
                    <w:bottom w:val="single" w:sz="4" w:space="0" w:color="auto"/>
                    <w:right w:val="nil"/>
                  </w:tcBorders>
                  <w:vAlign w:val="center"/>
                  <w:hideMark/>
                </w:tcPr>
                <w:p w14:paraId="7F47DA6C"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r w:rsidRPr="00C83E51">
                    <w:rPr>
                      <w:rFonts w:ascii="Arial" w:hAnsi="Arial" w:cs="Arial"/>
                      <w:color w:val="000000"/>
                      <w:sz w:val="20"/>
                      <w:szCs w:val="20"/>
                    </w:rPr>
                    <w:t>Usuarios existentes</w:t>
                  </w:r>
                  <w:r w:rsidRPr="00C83E51">
                    <w:rPr>
                      <w:rStyle w:val="Refdenotaalpie"/>
                      <w:color w:val="000000"/>
                      <w:sz w:val="20"/>
                      <w:szCs w:val="20"/>
                    </w:rPr>
                    <w:footnoteReference w:id="4"/>
                  </w:r>
                  <w:r w:rsidRPr="00C83E51">
                    <w:rPr>
                      <w:rFonts w:ascii="Arial" w:hAnsi="Arial" w:cs="Arial"/>
                      <w:color w:val="000000"/>
                      <w:sz w:val="20"/>
                      <w:szCs w:val="20"/>
                    </w:rPr>
                    <w:t xml:space="preserve">: SRL, SRI, SRP, </w:t>
                  </w:r>
                  <w:r w:rsidRPr="00C83E51">
                    <w:rPr>
                      <w:rFonts w:ascii="Arial" w:hAnsi="Arial" w:cs="Arial"/>
                      <w:strike/>
                      <w:color w:val="000000"/>
                      <w:sz w:val="20"/>
                      <w:szCs w:val="20"/>
                    </w:rPr>
                    <w:t>SRMLT</w:t>
                  </w:r>
                </w:p>
              </w:tc>
              <w:tc>
                <w:tcPr>
                  <w:tcW w:w="710" w:type="pct"/>
                  <w:vMerge w:val="restart"/>
                  <w:tcBorders>
                    <w:top w:val="single" w:sz="4" w:space="0" w:color="auto"/>
                    <w:left w:val="nil"/>
                    <w:bottom w:val="single" w:sz="4" w:space="0" w:color="auto"/>
                    <w:right w:val="nil"/>
                  </w:tcBorders>
                  <w:vAlign w:val="center"/>
                  <w:hideMark/>
                </w:tcPr>
                <w:p w14:paraId="7F47DA6D"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1</w:t>
                  </w:r>
                </w:p>
              </w:tc>
              <w:tc>
                <w:tcPr>
                  <w:tcW w:w="1034" w:type="pct"/>
                  <w:vMerge w:val="restart"/>
                  <w:tcBorders>
                    <w:top w:val="single" w:sz="4" w:space="0" w:color="auto"/>
                    <w:left w:val="nil"/>
                    <w:bottom w:val="single" w:sz="4" w:space="0" w:color="auto"/>
                    <w:right w:val="nil"/>
                  </w:tcBorders>
                  <w:vAlign w:val="center"/>
                  <w:hideMark/>
                </w:tcPr>
                <w:p w14:paraId="7F47DA6E"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2</w:t>
                  </w:r>
                </w:p>
              </w:tc>
            </w:tr>
            <w:tr w:rsidR="00DE0749" w:rsidRPr="00C83E51" w14:paraId="7F47DA73" w14:textId="77777777" w:rsidTr="00DE0749">
              <w:trPr>
                <w:trHeight w:val="509"/>
                <w:jc w:val="center"/>
              </w:trPr>
              <w:tc>
                <w:tcPr>
                  <w:tcW w:w="3256" w:type="pct"/>
                  <w:vMerge/>
                  <w:tcBorders>
                    <w:top w:val="single" w:sz="4" w:space="0" w:color="auto"/>
                    <w:left w:val="nil"/>
                    <w:bottom w:val="single" w:sz="4" w:space="0" w:color="auto"/>
                    <w:right w:val="nil"/>
                  </w:tcBorders>
                  <w:vAlign w:val="center"/>
                  <w:hideMark/>
                </w:tcPr>
                <w:p w14:paraId="7F47DA70"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p>
              </w:tc>
              <w:tc>
                <w:tcPr>
                  <w:tcW w:w="710" w:type="pct"/>
                  <w:vMerge/>
                  <w:tcBorders>
                    <w:top w:val="single" w:sz="4" w:space="0" w:color="auto"/>
                    <w:left w:val="nil"/>
                    <w:bottom w:val="single" w:sz="4" w:space="0" w:color="auto"/>
                    <w:right w:val="nil"/>
                  </w:tcBorders>
                  <w:vAlign w:val="center"/>
                  <w:hideMark/>
                </w:tcPr>
                <w:p w14:paraId="7F47DA71"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p>
              </w:tc>
              <w:tc>
                <w:tcPr>
                  <w:tcW w:w="1034" w:type="pct"/>
                  <w:vMerge/>
                  <w:tcBorders>
                    <w:top w:val="single" w:sz="4" w:space="0" w:color="auto"/>
                    <w:left w:val="nil"/>
                    <w:bottom w:val="single" w:sz="4" w:space="0" w:color="auto"/>
                    <w:right w:val="nil"/>
                  </w:tcBorders>
                  <w:vAlign w:val="center"/>
                  <w:hideMark/>
                </w:tcPr>
                <w:p w14:paraId="7F47DA72"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p>
              </w:tc>
            </w:tr>
            <w:tr w:rsidR="00DE0749" w:rsidRPr="00C83E51" w14:paraId="7F47DA77" w14:textId="77777777" w:rsidTr="00DE0749">
              <w:trPr>
                <w:trHeight w:val="509"/>
                <w:jc w:val="center"/>
              </w:trPr>
              <w:tc>
                <w:tcPr>
                  <w:tcW w:w="3256" w:type="pct"/>
                  <w:vMerge/>
                  <w:tcBorders>
                    <w:top w:val="single" w:sz="4" w:space="0" w:color="auto"/>
                    <w:left w:val="nil"/>
                    <w:bottom w:val="single" w:sz="4" w:space="0" w:color="auto"/>
                    <w:right w:val="nil"/>
                  </w:tcBorders>
                  <w:vAlign w:val="center"/>
                  <w:hideMark/>
                </w:tcPr>
                <w:p w14:paraId="7F47DA74"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p>
              </w:tc>
              <w:tc>
                <w:tcPr>
                  <w:tcW w:w="710" w:type="pct"/>
                  <w:vMerge/>
                  <w:tcBorders>
                    <w:top w:val="single" w:sz="4" w:space="0" w:color="auto"/>
                    <w:left w:val="nil"/>
                    <w:bottom w:val="single" w:sz="4" w:space="0" w:color="auto"/>
                    <w:right w:val="nil"/>
                  </w:tcBorders>
                  <w:vAlign w:val="center"/>
                  <w:hideMark/>
                </w:tcPr>
                <w:p w14:paraId="7F47DA75"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p>
              </w:tc>
              <w:tc>
                <w:tcPr>
                  <w:tcW w:w="1034" w:type="pct"/>
                  <w:vMerge/>
                  <w:tcBorders>
                    <w:top w:val="single" w:sz="4" w:space="0" w:color="auto"/>
                    <w:left w:val="nil"/>
                    <w:bottom w:val="single" w:sz="4" w:space="0" w:color="auto"/>
                    <w:right w:val="nil"/>
                  </w:tcBorders>
                  <w:vAlign w:val="center"/>
                  <w:hideMark/>
                </w:tcPr>
                <w:p w14:paraId="7F47DA76"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p>
              </w:tc>
            </w:tr>
            <w:tr w:rsidR="00DE0749" w:rsidRPr="00C83E51" w14:paraId="7F47DA7B" w14:textId="77777777" w:rsidTr="00DE0749">
              <w:trPr>
                <w:trHeight w:val="346"/>
                <w:jc w:val="center"/>
              </w:trPr>
              <w:tc>
                <w:tcPr>
                  <w:tcW w:w="3256" w:type="pct"/>
                  <w:tcBorders>
                    <w:top w:val="nil"/>
                    <w:left w:val="nil"/>
                    <w:bottom w:val="single" w:sz="4" w:space="0" w:color="auto"/>
                    <w:right w:val="nil"/>
                  </w:tcBorders>
                  <w:vAlign w:val="center"/>
                  <w:hideMark/>
                </w:tcPr>
                <w:p w14:paraId="7F47DA78"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r w:rsidRPr="00C83E51">
                    <w:rPr>
                      <w:rFonts w:ascii="Arial" w:hAnsi="Arial" w:cs="Arial"/>
                      <w:color w:val="000000"/>
                      <w:sz w:val="20"/>
                      <w:szCs w:val="20"/>
                    </w:rPr>
                    <w:t xml:space="preserve">Usuarios nuevos: SRL, SRI, SRP, </w:t>
                  </w:r>
                  <w:r w:rsidRPr="00C83E51">
                    <w:rPr>
                      <w:rFonts w:ascii="Arial" w:hAnsi="Arial" w:cs="Arial"/>
                      <w:strike/>
                      <w:color w:val="000000"/>
                      <w:sz w:val="20"/>
                      <w:szCs w:val="20"/>
                    </w:rPr>
                    <w:t>SRMLT</w:t>
                  </w:r>
                </w:p>
              </w:tc>
              <w:tc>
                <w:tcPr>
                  <w:tcW w:w="710" w:type="pct"/>
                  <w:tcBorders>
                    <w:top w:val="nil"/>
                    <w:left w:val="nil"/>
                    <w:bottom w:val="single" w:sz="4" w:space="0" w:color="auto"/>
                    <w:right w:val="nil"/>
                  </w:tcBorders>
                  <w:vAlign w:val="center"/>
                  <w:hideMark/>
                </w:tcPr>
                <w:p w14:paraId="7F47DA79"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1</w:t>
                  </w:r>
                </w:p>
              </w:tc>
              <w:tc>
                <w:tcPr>
                  <w:tcW w:w="1034" w:type="pct"/>
                  <w:tcBorders>
                    <w:top w:val="nil"/>
                    <w:left w:val="nil"/>
                    <w:bottom w:val="single" w:sz="4" w:space="0" w:color="auto"/>
                    <w:right w:val="nil"/>
                  </w:tcBorders>
                  <w:vAlign w:val="center"/>
                  <w:hideMark/>
                </w:tcPr>
                <w:p w14:paraId="7F47DA7A"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2</w:t>
                  </w:r>
                </w:p>
              </w:tc>
            </w:tr>
            <w:tr w:rsidR="00DE0749" w:rsidRPr="00C83E51" w14:paraId="7F47DA7F" w14:textId="77777777" w:rsidTr="00DE0749">
              <w:trPr>
                <w:trHeight w:val="346"/>
                <w:jc w:val="center"/>
              </w:trPr>
              <w:tc>
                <w:tcPr>
                  <w:tcW w:w="3256" w:type="pct"/>
                  <w:tcBorders>
                    <w:top w:val="single" w:sz="4" w:space="0" w:color="auto"/>
                    <w:left w:val="nil"/>
                    <w:bottom w:val="single" w:sz="4" w:space="0" w:color="auto"/>
                    <w:right w:val="nil"/>
                  </w:tcBorders>
                  <w:vAlign w:val="center"/>
                  <w:hideMark/>
                </w:tcPr>
                <w:p w14:paraId="7F47DA7C" w14:textId="77777777" w:rsidR="00DE0749" w:rsidRPr="00C83E51" w:rsidRDefault="00DE0749" w:rsidP="0034086A">
                  <w:pPr>
                    <w:framePr w:hSpace="141" w:wrap="around" w:vAnchor="text" w:hAnchor="text" w:y="1"/>
                    <w:spacing w:after="0"/>
                    <w:suppressOverlap/>
                    <w:rPr>
                      <w:rFonts w:ascii="Arial" w:hAnsi="Arial" w:cs="Arial"/>
                      <w:color w:val="000000"/>
                      <w:sz w:val="20"/>
                      <w:szCs w:val="20"/>
                    </w:rPr>
                  </w:pPr>
                  <w:r w:rsidRPr="00C83E51">
                    <w:rPr>
                      <w:rFonts w:ascii="Arial" w:hAnsi="Arial" w:cs="Arial"/>
                      <w:color w:val="000000"/>
                      <w:sz w:val="20"/>
                      <w:szCs w:val="20"/>
                    </w:rPr>
                    <w:t>Trabajos especiales (entrega de los términos bajo los cuales se ofrecerá el servicio en tiempo)</w:t>
                  </w:r>
                </w:p>
              </w:tc>
              <w:tc>
                <w:tcPr>
                  <w:tcW w:w="710" w:type="pct"/>
                  <w:tcBorders>
                    <w:top w:val="single" w:sz="4" w:space="0" w:color="auto"/>
                    <w:left w:val="nil"/>
                    <w:bottom w:val="single" w:sz="4" w:space="0" w:color="auto"/>
                    <w:right w:val="nil"/>
                  </w:tcBorders>
                  <w:vAlign w:val="center"/>
                  <w:hideMark/>
                </w:tcPr>
                <w:p w14:paraId="7F47DA7D"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10</w:t>
                  </w:r>
                </w:p>
              </w:tc>
              <w:tc>
                <w:tcPr>
                  <w:tcW w:w="1034" w:type="pct"/>
                  <w:tcBorders>
                    <w:top w:val="single" w:sz="4" w:space="0" w:color="auto"/>
                    <w:left w:val="nil"/>
                    <w:bottom w:val="single" w:sz="4" w:space="0" w:color="auto"/>
                    <w:right w:val="nil"/>
                  </w:tcBorders>
                  <w:vAlign w:val="center"/>
                  <w:hideMark/>
                </w:tcPr>
                <w:p w14:paraId="7F47DA7E" w14:textId="77777777" w:rsidR="00DE0749" w:rsidRPr="00C83E51" w:rsidRDefault="00DE0749" w:rsidP="0034086A">
                  <w:pPr>
                    <w:framePr w:hSpace="141" w:wrap="around" w:vAnchor="text" w:hAnchor="text" w:y="1"/>
                    <w:spacing w:after="0"/>
                    <w:suppressOverlap/>
                    <w:jc w:val="center"/>
                    <w:rPr>
                      <w:rFonts w:ascii="Arial" w:hAnsi="Arial" w:cs="Arial"/>
                      <w:color w:val="000000"/>
                      <w:sz w:val="20"/>
                      <w:szCs w:val="20"/>
                    </w:rPr>
                  </w:pPr>
                  <w:r w:rsidRPr="00C83E51">
                    <w:rPr>
                      <w:rFonts w:ascii="Arial" w:hAnsi="Arial" w:cs="Arial"/>
                      <w:color w:val="000000"/>
                      <w:sz w:val="20"/>
                      <w:szCs w:val="20"/>
                    </w:rPr>
                    <w:t>15</w:t>
                  </w:r>
                </w:p>
              </w:tc>
            </w:tr>
          </w:tbl>
          <w:p w14:paraId="7F47DA80" w14:textId="77777777" w:rsidR="00DE0749" w:rsidRPr="00C83E51" w:rsidRDefault="00DE0749" w:rsidP="001D14D5">
            <w:pPr>
              <w:jc w:val="both"/>
              <w:rPr>
                <w:rFonts w:ascii="Arial" w:hAnsi="Arial" w:cs="Arial"/>
                <w:b/>
                <w:bCs/>
                <w:color w:val="000000"/>
                <w:sz w:val="20"/>
                <w:szCs w:val="20"/>
              </w:rPr>
            </w:pPr>
            <w:r w:rsidRPr="00C83E51">
              <w:rPr>
                <w:rFonts w:ascii="Arial" w:hAnsi="Arial" w:cs="Arial"/>
                <w:b/>
                <w:bCs/>
                <w:color w:val="000000"/>
                <w:sz w:val="20"/>
                <w:szCs w:val="20"/>
              </w:rPr>
              <w:lastRenderedPageBreak/>
              <w:t>Habilitaciones</w:t>
            </w:r>
          </w:p>
          <w:p w14:paraId="7F47DA81" w14:textId="77777777" w:rsidR="00DE0749" w:rsidRPr="00C83E51" w:rsidRDefault="00DE0749" w:rsidP="001D14D5">
            <w:pPr>
              <w:jc w:val="both"/>
              <w:rPr>
                <w:rFonts w:ascii="Arial" w:hAnsi="Arial" w:cs="Arial"/>
                <w:b/>
                <w:bCs/>
                <w:color w:val="0070C0"/>
                <w:sz w:val="20"/>
                <w:szCs w:val="20"/>
              </w:rPr>
            </w:pPr>
            <w:r w:rsidRPr="00C83E51">
              <w:rPr>
                <w:rFonts w:ascii="Arial" w:hAnsi="Arial" w:cs="Arial"/>
                <w:b/>
                <w:bCs/>
                <w:color w:val="0070C0"/>
                <w:sz w:val="20"/>
                <w:szCs w:val="20"/>
              </w:rPr>
              <w:t>Las penas convencionales para la habilitación de usuarios existentes (línea activa) o la habilitación en fechas específicas acordadas (usuarios nuevos), se aplicará una pena calculada de acuerdo con la siguiente ecuación:</w:t>
            </w:r>
          </w:p>
          <w:p w14:paraId="7F47DA82" w14:textId="77777777" w:rsidR="00DE0749" w:rsidRPr="00C83E51" w:rsidRDefault="00466FA2" w:rsidP="001D14D5">
            <w:pPr>
              <w:jc w:val="both"/>
              <w:rPr>
                <w:rFonts w:ascii="Arial" w:hAnsi="Arial" w:cs="Arial"/>
                <w:b/>
                <w:bCs/>
                <w:color w:val="0070C0"/>
                <w:sz w:val="20"/>
                <w:szCs w:val="20"/>
              </w:rPr>
            </w:pPr>
            <m:oMathPara>
              <m:oMath>
                <m:r>
                  <m:rPr>
                    <m:sty m:val="bi"/>
                  </m:rPr>
                  <w:rPr>
                    <w:rFonts w:ascii="Cambria Math" w:hAnsi="Cambria Math" w:cs="Arial"/>
                    <w:color w:val="0070C0"/>
                    <w:sz w:val="20"/>
                    <w:szCs w:val="20"/>
                  </w:rPr>
                  <m:t>Pena</m:t>
                </m:r>
                <m:r>
                  <m:rPr>
                    <m:sty m:val="b"/>
                  </m:rPr>
                  <w:rPr>
                    <w:rFonts w:ascii="Cambria Math" w:hAnsi="Cambria Math" w:cs="Arial"/>
                    <w:color w:val="0070C0"/>
                    <w:sz w:val="20"/>
                    <w:szCs w:val="20"/>
                  </w:rPr>
                  <m:t>=</m:t>
                </m:r>
                <m:f>
                  <m:fPr>
                    <m:ctrlPr>
                      <w:rPr>
                        <w:rFonts w:ascii="Cambria Math" w:hAnsi="Cambria Math" w:cs="Arial"/>
                        <w:b/>
                        <w:bCs/>
                        <w:color w:val="0070C0"/>
                        <w:sz w:val="20"/>
                        <w:szCs w:val="20"/>
                      </w:rPr>
                    </m:ctrlPr>
                  </m:fPr>
                  <m:num>
                    <m:d>
                      <m:dPr>
                        <m:ctrlPr>
                          <w:rPr>
                            <w:rFonts w:ascii="Cambria Math" w:hAnsi="Cambria Math" w:cs="Arial"/>
                            <w:b/>
                            <w:bCs/>
                            <w:color w:val="0070C0"/>
                            <w:sz w:val="20"/>
                            <w:szCs w:val="20"/>
                          </w:rPr>
                        </m:ctrlPr>
                      </m:dPr>
                      <m:e>
                        <m:sSub>
                          <m:sSubPr>
                            <m:ctrlPr>
                              <w:rPr>
                                <w:rFonts w:ascii="Cambria Math" w:hAnsi="Cambria Math" w:cs="Arial"/>
                                <w:b/>
                                <w:bCs/>
                                <w:color w:val="0070C0"/>
                                <w:sz w:val="20"/>
                                <w:szCs w:val="20"/>
                              </w:rPr>
                            </m:ctrlPr>
                          </m:sSubPr>
                          <m:e>
                            <m:r>
                              <m:rPr>
                                <m:sty m:val="b"/>
                              </m:rPr>
                              <w:rPr>
                                <w:rFonts w:ascii="Cambria Math" w:hAnsi="Cambria Math" w:cs="Arial"/>
                                <w:color w:val="0070C0"/>
                                <w:sz w:val="20"/>
                                <w:szCs w:val="20"/>
                              </w:rPr>
                              <m:t>Días de retraso</m:t>
                            </m:r>
                          </m:e>
                          <m:sub>
                            <m:r>
                              <m:rPr>
                                <m:sty m:val="b"/>
                              </m:rPr>
                              <w:rPr>
                                <w:rFonts w:ascii="Cambria Math" w:hAnsi="Cambria Math" w:cs="Arial"/>
                                <w:color w:val="0070C0"/>
                                <w:sz w:val="20"/>
                                <w:szCs w:val="20"/>
                              </w:rPr>
                              <m:t>i</m:t>
                            </m:r>
                          </m:sub>
                        </m:sSub>
                      </m:e>
                    </m:d>
                  </m:num>
                  <m:den>
                    <m:r>
                      <m:rPr>
                        <m:sty m:val="b"/>
                      </m:rPr>
                      <w:rPr>
                        <w:rFonts w:ascii="Cambria Math" w:hAnsi="Cambria Math" w:cs="Arial"/>
                        <w:color w:val="0070C0"/>
                        <w:sz w:val="20"/>
                        <w:szCs w:val="20"/>
                      </w:rPr>
                      <m:t>(</m:t>
                    </m:r>
                    <m:r>
                      <m:rPr>
                        <m:sty m:val="bi"/>
                      </m:rPr>
                      <w:rPr>
                        <w:rFonts w:ascii="Cambria Math" w:hAnsi="Cambria Math" w:cs="Arial"/>
                        <w:color w:val="0070C0"/>
                        <w:sz w:val="20"/>
                        <w:szCs w:val="20"/>
                      </w:rPr>
                      <m:t>Total</m:t>
                    </m:r>
                    <m:r>
                      <m:rPr>
                        <m:sty m:val="b"/>
                      </m:rPr>
                      <w:rPr>
                        <w:rFonts w:ascii="Cambria Math" w:hAnsi="Cambria Math" w:cs="Arial"/>
                        <w:color w:val="0070C0"/>
                        <w:sz w:val="20"/>
                        <w:szCs w:val="20"/>
                      </w:rPr>
                      <m:t> </m:t>
                    </m:r>
                    <m:r>
                      <m:rPr>
                        <m:sty m:val="bi"/>
                      </m:rPr>
                      <w:rPr>
                        <w:rFonts w:ascii="Cambria Math" w:hAnsi="Cambria Math" w:cs="Arial"/>
                        <w:color w:val="0070C0"/>
                        <w:sz w:val="20"/>
                        <w:szCs w:val="20"/>
                      </w:rPr>
                      <m:t>de</m:t>
                    </m:r>
                    <m:r>
                      <m:rPr>
                        <m:sty m:val="b"/>
                      </m:rPr>
                      <w:rPr>
                        <w:rFonts w:ascii="Cambria Math" w:hAnsi="Cambria Math" w:cs="Arial"/>
                        <w:color w:val="0070C0"/>
                        <w:sz w:val="20"/>
                        <w:szCs w:val="20"/>
                      </w:rPr>
                      <m:t> </m:t>
                    </m:r>
                    <m:r>
                      <m:rPr>
                        <m:sty m:val="bi"/>
                      </m:rPr>
                      <w:rPr>
                        <w:rFonts w:ascii="Cambria Math" w:hAnsi="Cambria Math" w:cs="Arial"/>
                        <w:color w:val="0070C0"/>
                        <w:sz w:val="20"/>
                        <w:szCs w:val="20"/>
                      </w:rPr>
                      <m:t>d</m:t>
                    </m:r>
                    <m:r>
                      <m:rPr>
                        <m:sty m:val="b"/>
                      </m:rPr>
                      <w:rPr>
                        <w:rFonts w:ascii="Cambria Math" w:hAnsi="Cambria Math" w:cs="Arial"/>
                        <w:color w:val="0070C0"/>
                        <w:sz w:val="20"/>
                        <w:szCs w:val="20"/>
                      </w:rPr>
                      <m:t>í</m:t>
                    </m:r>
                    <m:r>
                      <m:rPr>
                        <m:sty m:val="bi"/>
                      </m:rPr>
                      <w:rPr>
                        <w:rFonts w:ascii="Cambria Math" w:hAnsi="Cambria Math" w:cs="Arial"/>
                        <w:color w:val="0070C0"/>
                        <w:sz w:val="20"/>
                        <w:szCs w:val="20"/>
                      </w:rPr>
                      <m:t>as</m:t>
                    </m:r>
                    <m:r>
                      <m:rPr>
                        <m:sty m:val="b"/>
                      </m:rPr>
                      <w:rPr>
                        <w:rFonts w:ascii="Cambria Math" w:hAnsi="Cambria Math" w:cs="Arial"/>
                        <w:color w:val="0070C0"/>
                        <w:sz w:val="20"/>
                        <w:szCs w:val="20"/>
                      </w:rPr>
                      <m:t> </m:t>
                    </m:r>
                    <m:r>
                      <m:rPr>
                        <m:sty m:val="bi"/>
                      </m:rPr>
                      <w:rPr>
                        <w:rFonts w:ascii="Cambria Math" w:hAnsi="Cambria Math" w:cs="Arial"/>
                        <w:color w:val="0070C0"/>
                        <w:sz w:val="20"/>
                        <w:szCs w:val="20"/>
                      </w:rPr>
                      <m:t>en</m:t>
                    </m:r>
                    <m:r>
                      <m:rPr>
                        <m:sty m:val="b"/>
                      </m:rPr>
                      <w:rPr>
                        <w:rFonts w:ascii="Cambria Math" w:hAnsi="Cambria Math" w:cs="Arial"/>
                        <w:color w:val="0070C0"/>
                        <w:sz w:val="20"/>
                        <w:szCs w:val="20"/>
                      </w:rPr>
                      <m:t> </m:t>
                    </m:r>
                    <m:r>
                      <m:rPr>
                        <m:sty m:val="bi"/>
                      </m:rPr>
                      <w:rPr>
                        <w:rFonts w:ascii="Cambria Math" w:hAnsi="Cambria Math" w:cs="Arial"/>
                        <w:color w:val="0070C0"/>
                        <w:sz w:val="20"/>
                        <w:szCs w:val="20"/>
                      </w:rPr>
                      <m:t>el</m:t>
                    </m:r>
                    <m:r>
                      <m:rPr>
                        <m:sty m:val="b"/>
                      </m:rPr>
                      <w:rPr>
                        <w:rFonts w:ascii="Cambria Math" w:hAnsi="Cambria Math" w:cs="Arial"/>
                        <w:color w:val="0070C0"/>
                        <w:sz w:val="20"/>
                        <w:szCs w:val="20"/>
                      </w:rPr>
                      <m:t> </m:t>
                    </m:r>
                    <m:r>
                      <m:rPr>
                        <m:sty m:val="bi"/>
                      </m:rPr>
                      <w:rPr>
                        <w:rFonts w:ascii="Cambria Math" w:hAnsi="Cambria Math" w:cs="Arial"/>
                        <w:color w:val="0070C0"/>
                        <w:sz w:val="20"/>
                        <w:szCs w:val="20"/>
                      </w:rPr>
                      <m:t>mes</m:t>
                    </m:r>
                    <m:r>
                      <m:rPr>
                        <m:sty m:val="b"/>
                      </m:rPr>
                      <w:rPr>
                        <w:rFonts w:ascii="Cambria Math" w:hAnsi="Cambria Math" w:cs="Arial"/>
                        <w:color w:val="0070C0"/>
                        <w:sz w:val="20"/>
                        <w:szCs w:val="20"/>
                      </w:rPr>
                      <m:t>)</m:t>
                    </m:r>
                  </m:den>
                </m:f>
                <m:r>
                  <m:rPr>
                    <m:sty m:val="b"/>
                  </m:rPr>
                  <w:rPr>
                    <w:rFonts w:ascii="Cambria Math" w:hAnsi="Cambria Math" w:cs="Arial"/>
                    <w:color w:val="0070C0"/>
                    <w:sz w:val="20"/>
                    <w:szCs w:val="20"/>
                  </w:rPr>
                  <m:t>*(</m:t>
                </m:r>
                <m:sSub>
                  <m:sSubPr>
                    <m:ctrlPr>
                      <w:rPr>
                        <w:rFonts w:ascii="Cambria Math" w:hAnsi="Cambria Math" w:cs="Arial"/>
                        <w:b/>
                        <w:bCs/>
                        <w:color w:val="0070C0"/>
                        <w:sz w:val="20"/>
                        <w:szCs w:val="20"/>
                      </w:rPr>
                    </m:ctrlPr>
                  </m:sSubPr>
                  <m:e>
                    <m:r>
                      <m:rPr>
                        <m:sty m:val="b"/>
                      </m:rPr>
                      <w:rPr>
                        <w:rFonts w:ascii="Cambria Math" w:hAnsi="Cambria Math" w:cs="Arial"/>
                        <w:color w:val="0070C0"/>
                        <w:sz w:val="20"/>
                        <w:szCs w:val="20"/>
                      </w:rPr>
                      <m:t>Renta mensual</m:t>
                    </m:r>
                  </m:e>
                  <m:sub>
                    <m:r>
                      <m:rPr>
                        <m:sty m:val="b"/>
                      </m:rPr>
                      <w:rPr>
                        <w:rFonts w:ascii="Cambria Math" w:hAnsi="Cambria Math" w:cs="Arial"/>
                        <w:color w:val="0070C0"/>
                        <w:sz w:val="20"/>
                        <w:szCs w:val="20"/>
                      </w:rPr>
                      <m:t>i</m:t>
                    </m:r>
                  </m:sub>
                </m:sSub>
              </m:oMath>
            </m:oMathPara>
          </w:p>
          <w:p w14:paraId="7F47DA83"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t>Los parámetros e Indicadores de calidad correspondientes a la habilitación de los servicios objeto de la Oferta, son los siguientes:</w:t>
            </w:r>
          </w:p>
          <w:p w14:paraId="7F47DA84"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t>En caso de que los parámetros e Indicadores de calidad sobre habilitación del servicio con usuarios existentes, aplicables a SRL, SRI, SRPI, SRMLT:</w:t>
            </w:r>
          </w:p>
          <w:p w14:paraId="7F47DA85" w14:textId="77777777" w:rsidR="00DE0749" w:rsidRPr="002701E6" w:rsidRDefault="00DE0749" w:rsidP="006971B4">
            <w:pPr>
              <w:pStyle w:val="Prrafodelista"/>
              <w:numPr>
                <w:ilvl w:val="0"/>
                <w:numId w:val="2"/>
              </w:numPr>
              <w:ind w:left="481"/>
              <w:jc w:val="both"/>
              <w:rPr>
                <w:rFonts w:ascii="Arial" w:hAnsi="Arial" w:cs="Arial"/>
                <w:bCs/>
                <w:strike/>
                <w:color w:val="FF0000"/>
                <w:sz w:val="20"/>
                <w:szCs w:val="20"/>
              </w:rPr>
            </w:pPr>
            <w:r w:rsidRPr="002701E6">
              <w:rPr>
                <w:rFonts w:ascii="Arial" w:hAnsi="Arial" w:cs="Arial"/>
                <w:bCs/>
                <w:strike/>
                <w:color w:val="FF0000"/>
                <w:sz w:val="20"/>
                <w:szCs w:val="20"/>
              </w:rPr>
              <w:t>Habilitación para usuarios existentes (línea activa) en tiempo: 90% en un máximo de T1 días hábiles. El 10% restante validada en un máximo de T2 días hábiles.</w:t>
            </w:r>
          </w:p>
          <w:p w14:paraId="7F47DA86" w14:textId="77777777" w:rsidR="00DE0749" w:rsidRPr="002701E6" w:rsidRDefault="00DE0749" w:rsidP="006971B4">
            <w:pPr>
              <w:pStyle w:val="Prrafodelista"/>
              <w:numPr>
                <w:ilvl w:val="0"/>
                <w:numId w:val="4"/>
              </w:numPr>
              <w:jc w:val="both"/>
              <w:rPr>
                <w:rFonts w:ascii="Arial" w:hAnsi="Arial" w:cs="Arial"/>
                <w:bCs/>
                <w:strike/>
                <w:color w:val="FF0000"/>
                <w:sz w:val="20"/>
                <w:szCs w:val="20"/>
              </w:rPr>
            </w:pPr>
            <w:r w:rsidRPr="002701E6">
              <w:rPr>
                <w:rFonts w:ascii="Arial" w:hAnsi="Arial" w:cs="Arial"/>
                <w:bCs/>
                <w:strike/>
                <w:color w:val="FF0000"/>
                <w:sz w:val="20"/>
                <w:szCs w:val="20"/>
              </w:rPr>
              <w:t>En caso de que no se cumpla el 100% o el 90% del indicador, según corresponda. Telmex / Telnor será acreedor a una pena la totalidad de los eventos que superen los T1 días hábiles y se aplicará una pena conforme a lo siguiente:</w:t>
            </w:r>
          </w:p>
          <w:p w14:paraId="7F47DA87" w14:textId="77777777" w:rsidR="00DE0749" w:rsidRPr="002701E6" w:rsidRDefault="00DE0749" w:rsidP="006971B4">
            <w:pPr>
              <w:pStyle w:val="Prrafodelista"/>
              <w:numPr>
                <w:ilvl w:val="0"/>
                <w:numId w:val="5"/>
              </w:numPr>
              <w:jc w:val="both"/>
              <w:rPr>
                <w:rFonts w:ascii="Arial" w:hAnsi="Arial" w:cs="Arial"/>
                <w:bCs/>
                <w:strike/>
                <w:color w:val="FF0000"/>
                <w:sz w:val="20"/>
                <w:szCs w:val="20"/>
              </w:rPr>
            </w:pPr>
            <w:r w:rsidRPr="002701E6">
              <w:rPr>
                <w:rFonts w:ascii="Arial" w:hAnsi="Arial" w:cs="Arial"/>
                <w:bCs/>
                <w:strike/>
                <w:color w:val="FF0000"/>
                <w:sz w:val="20"/>
                <w:szCs w:val="20"/>
              </w:rPr>
              <w:t>Cuando exista un retraso que sea menor al 20% del plazo establecido, se aplicará una pena equivalente al 30% del costo de la renta mensual correspondiente</w:t>
            </w:r>
          </w:p>
          <w:p w14:paraId="7F47DA88" w14:textId="77777777" w:rsidR="00DE0749" w:rsidRPr="002701E6" w:rsidRDefault="00DE0749" w:rsidP="006971B4">
            <w:pPr>
              <w:pStyle w:val="Prrafodelista"/>
              <w:numPr>
                <w:ilvl w:val="0"/>
                <w:numId w:val="5"/>
              </w:numPr>
              <w:jc w:val="both"/>
              <w:rPr>
                <w:rFonts w:ascii="Arial" w:hAnsi="Arial" w:cs="Arial"/>
                <w:bCs/>
                <w:strike/>
                <w:color w:val="FF0000"/>
                <w:sz w:val="20"/>
                <w:szCs w:val="20"/>
              </w:rPr>
            </w:pPr>
            <w:r w:rsidRPr="002701E6">
              <w:rPr>
                <w:rFonts w:ascii="Arial" w:hAnsi="Arial" w:cs="Arial"/>
                <w:bCs/>
                <w:strike/>
                <w:color w:val="FF0000"/>
                <w:sz w:val="20"/>
                <w:szCs w:val="20"/>
              </w:rPr>
              <w:t>Cuando exista un retraso comprendido entre el 20% y el 40% del plazo establecido, se aplicará una pena equivalente al 60% del costo de la renta mensual correspondiente.</w:t>
            </w:r>
          </w:p>
          <w:p w14:paraId="7F47DA89" w14:textId="77777777" w:rsidR="00DE0749" w:rsidRPr="002701E6" w:rsidRDefault="00DE0749" w:rsidP="006971B4">
            <w:pPr>
              <w:pStyle w:val="Prrafodelista"/>
              <w:numPr>
                <w:ilvl w:val="0"/>
                <w:numId w:val="5"/>
              </w:numPr>
              <w:jc w:val="both"/>
              <w:rPr>
                <w:rFonts w:ascii="Arial" w:hAnsi="Arial" w:cs="Arial"/>
                <w:bCs/>
                <w:strike/>
                <w:color w:val="FF0000"/>
                <w:sz w:val="20"/>
                <w:szCs w:val="20"/>
              </w:rPr>
            </w:pPr>
            <w:r w:rsidRPr="002701E6">
              <w:rPr>
                <w:rFonts w:ascii="Arial" w:hAnsi="Arial" w:cs="Arial"/>
                <w:bCs/>
                <w:strike/>
                <w:color w:val="FF0000"/>
                <w:sz w:val="20"/>
                <w:szCs w:val="20"/>
              </w:rPr>
              <w:t xml:space="preserve">Cuando el retraso sea mayor al 40% del plazo establecido, se aplicará una pena calculada de acuerdo con la ecuación: </w:t>
            </w:r>
          </w:p>
          <w:p w14:paraId="7F47DA8A"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t xml:space="preserve">"Pena = (60% + Retraso%) × Renta Mensual" </w:t>
            </w:r>
          </w:p>
          <w:p w14:paraId="7F47DA8B" w14:textId="77777777" w:rsidR="00DE0749" w:rsidRPr="002701E6" w:rsidRDefault="00DE0749" w:rsidP="006971B4">
            <w:pPr>
              <w:pStyle w:val="Prrafodelista"/>
              <w:numPr>
                <w:ilvl w:val="0"/>
                <w:numId w:val="4"/>
              </w:numPr>
              <w:jc w:val="both"/>
              <w:rPr>
                <w:rFonts w:ascii="Arial" w:hAnsi="Arial" w:cs="Arial"/>
                <w:bCs/>
                <w:strike/>
                <w:color w:val="FF0000"/>
                <w:sz w:val="20"/>
                <w:szCs w:val="20"/>
              </w:rPr>
            </w:pPr>
            <w:r w:rsidRPr="002701E6">
              <w:rPr>
                <w:rFonts w:ascii="Arial" w:hAnsi="Arial" w:cs="Arial"/>
                <w:bCs/>
                <w:strike/>
                <w:color w:val="FF0000"/>
                <w:sz w:val="20"/>
                <w:szCs w:val="20"/>
              </w:rPr>
              <w:t>En caso de que se cumpla el 90% del indicador, Telmex / Telnor será acreedor a una pena por la totalidad de los eventos que superen los T2 días hábiles y se aplicará una pena conforme a lo siguiente:</w:t>
            </w:r>
          </w:p>
          <w:p w14:paraId="7F47DA8C"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lastRenderedPageBreak/>
              <w:t xml:space="preserve">"Pena = (60% + Retraso%) × Renta Mensual" </w:t>
            </w:r>
          </w:p>
          <w:tbl>
            <w:tblPr>
              <w:tblW w:w="5000" w:type="pct"/>
              <w:jc w:val="center"/>
              <w:tblLayout w:type="fixed"/>
              <w:tblCellMar>
                <w:left w:w="70" w:type="dxa"/>
                <w:right w:w="70" w:type="dxa"/>
              </w:tblCellMar>
              <w:tblLook w:val="04A0" w:firstRow="1" w:lastRow="0" w:firstColumn="1" w:lastColumn="0" w:noHBand="0" w:noVBand="1"/>
            </w:tblPr>
            <w:tblGrid>
              <w:gridCol w:w="4298"/>
              <w:gridCol w:w="1254"/>
              <w:gridCol w:w="1254"/>
            </w:tblGrid>
            <w:tr w:rsidR="002701E6" w:rsidRPr="002701E6" w14:paraId="7F47DA8E" w14:textId="77777777" w:rsidTr="00DE0749">
              <w:trPr>
                <w:trHeight w:val="586"/>
                <w:tblHeader/>
                <w:jc w:val="center"/>
              </w:trPr>
              <w:tc>
                <w:tcPr>
                  <w:tcW w:w="5000" w:type="pct"/>
                  <w:gridSpan w:val="3"/>
                  <w:shd w:val="clear" w:color="auto" w:fill="2F75B5"/>
                  <w:vAlign w:val="center"/>
                  <w:hideMark/>
                </w:tcPr>
                <w:p w14:paraId="7F47DA8D" w14:textId="77777777" w:rsidR="00DE0749" w:rsidRPr="002701E6" w:rsidRDefault="00DE0749" w:rsidP="0034086A">
                  <w:pPr>
                    <w:framePr w:hSpace="141" w:wrap="around" w:vAnchor="text" w:hAnchor="text" w:y="1"/>
                    <w:spacing w:after="0"/>
                    <w:suppressOverlap/>
                    <w:jc w:val="center"/>
                    <w:rPr>
                      <w:rFonts w:ascii="Arial" w:hAnsi="Arial" w:cs="Arial"/>
                      <w:b/>
                      <w:bCs/>
                      <w:strike/>
                      <w:color w:val="FF0000"/>
                      <w:sz w:val="20"/>
                      <w:szCs w:val="20"/>
                    </w:rPr>
                  </w:pPr>
                  <w:r w:rsidRPr="002701E6">
                    <w:rPr>
                      <w:rFonts w:ascii="Arial" w:hAnsi="Arial" w:cs="Arial"/>
                      <w:b/>
                      <w:bCs/>
                      <w:strike/>
                      <w:color w:val="FF0000"/>
                      <w:sz w:val="20"/>
                      <w:szCs w:val="20"/>
                    </w:rPr>
                    <w:t>Habilitación y entrega de servicios</w:t>
                  </w:r>
                </w:p>
              </w:tc>
            </w:tr>
            <w:tr w:rsidR="002701E6" w:rsidRPr="002701E6" w14:paraId="7F47DA92" w14:textId="77777777" w:rsidTr="00DE0749">
              <w:trPr>
                <w:trHeight w:val="351"/>
                <w:jc w:val="center"/>
              </w:trPr>
              <w:tc>
                <w:tcPr>
                  <w:tcW w:w="3158" w:type="pct"/>
                  <w:vAlign w:val="center"/>
                  <w:hideMark/>
                </w:tcPr>
                <w:p w14:paraId="7F47DA8F" w14:textId="77777777" w:rsidR="00DE0749" w:rsidRPr="002701E6" w:rsidRDefault="00DE0749" w:rsidP="0034086A">
                  <w:pPr>
                    <w:framePr w:hSpace="141" w:wrap="around" w:vAnchor="text" w:hAnchor="text" w:y="1"/>
                    <w:suppressOverlap/>
                    <w:rPr>
                      <w:rFonts w:ascii="Arial" w:hAnsi="Arial" w:cs="Arial"/>
                      <w:b/>
                      <w:bCs/>
                      <w:strike/>
                      <w:color w:val="FF0000"/>
                      <w:sz w:val="20"/>
                      <w:szCs w:val="20"/>
                    </w:rPr>
                  </w:pPr>
                </w:p>
              </w:tc>
              <w:tc>
                <w:tcPr>
                  <w:tcW w:w="921" w:type="pct"/>
                  <w:vAlign w:val="center"/>
                  <w:hideMark/>
                </w:tcPr>
                <w:p w14:paraId="7F47DA90"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T1</w:t>
                  </w:r>
                </w:p>
              </w:tc>
              <w:tc>
                <w:tcPr>
                  <w:tcW w:w="921" w:type="pct"/>
                  <w:vAlign w:val="center"/>
                  <w:hideMark/>
                </w:tcPr>
                <w:p w14:paraId="7F47DA91"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T2</w:t>
                  </w:r>
                </w:p>
              </w:tc>
            </w:tr>
            <w:tr w:rsidR="002701E6" w:rsidRPr="002701E6" w14:paraId="7F47DA96"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93"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Usuarios nuevos y existentes: SRL, SRI, SRP (servicio con módem u ONT de que estuviera en funcionamiento para Reventa)</w:t>
                  </w:r>
                </w:p>
              </w:tc>
              <w:tc>
                <w:tcPr>
                  <w:tcW w:w="921" w:type="pct"/>
                  <w:tcBorders>
                    <w:top w:val="single" w:sz="4" w:space="0" w:color="auto"/>
                    <w:left w:val="nil"/>
                    <w:bottom w:val="single" w:sz="4" w:space="0" w:color="auto"/>
                    <w:right w:val="nil"/>
                  </w:tcBorders>
                  <w:vAlign w:val="center"/>
                  <w:hideMark/>
                </w:tcPr>
                <w:p w14:paraId="7F47DA94"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6</w:t>
                  </w:r>
                </w:p>
              </w:tc>
              <w:tc>
                <w:tcPr>
                  <w:tcW w:w="921" w:type="pct"/>
                  <w:tcBorders>
                    <w:top w:val="single" w:sz="4" w:space="0" w:color="auto"/>
                    <w:left w:val="nil"/>
                    <w:bottom w:val="single" w:sz="4" w:space="0" w:color="auto"/>
                    <w:right w:val="nil"/>
                  </w:tcBorders>
                  <w:vAlign w:val="center"/>
                  <w:hideMark/>
                </w:tcPr>
                <w:p w14:paraId="7F47DA95"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r>
            <w:tr w:rsidR="002701E6" w:rsidRPr="002701E6" w14:paraId="7F47DA9A" w14:textId="77777777" w:rsidTr="00DE0749">
              <w:trPr>
                <w:trHeight w:val="586"/>
                <w:jc w:val="center"/>
              </w:trPr>
              <w:tc>
                <w:tcPr>
                  <w:tcW w:w="3158" w:type="pct"/>
                  <w:tcBorders>
                    <w:top w:val="nil"/>
                    <w:left w:val="nil"/>
                    <w:bottom w:val="single" w:sz="4" w:space="0" w:color="auto"/>
                    <w:right w:val="nil"/>
                  </w:tcBorders>
                  <w:vAlign w:val="center"/>
                  <w:hideMark/>
                </w:tcPr>
                <w:p w14:paraId="7F47DA97"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Usuarios nuevos y existentes: SRL, SRI, SRP (El AEP entrega algún equipo a solicitud del CS)</w:t>
                  </w:r>
                </w:p>
              </w:tc>
              <w:tc>
                <w:tcPr>
                  <w:tcW w:w="921" w:type="pct"/>
                  <w:tcBorders>
                    <w:top w:val="single" w:sz="4" w:space="0" w:color="auto"/>
                    <w:left w:val="nil"/>
                    <w:bottom w:val="single" w:sz="4" w:space="0" w:color="auto"/>
                    <w:right w:val="nil"/>
                  </w:tcBorders>
                  <w:vAlign w:val="center"/>
                  <w:hideMark/>
                </w:tcPr>
                <w:p w14:paraId="7F47DA98"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c>
                <w:tcPr>
                  <w:tcW w:w="921" w:type="pct"/>
                  <w:tcBorders>
                    <w:top w:val="single" w:sz="4" w:space="0" w:color="auto"/>
                    <w:left w:val="nil"/>
                    <w:bottom w:val="single" w:sz="4" w:space="0" w:color="auto"/>
                    <w:right w:val="nil"/>
                  </w:tcBorders>
                  <w:vAlign w:val="center"/>
                  <w:hideMark/>
                </w:tcPr>
                <w:p w14:paraId="7F47DA99"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10</w:t>
                  </w:r>
                </w:p>
              </w:tc>
            </w:tr>
            <w:tr w:rsidR="002701E6" w:rsidRPr="002701E6" w14:paraId="7F47DA9E"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9B"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Usuarios existentes: SRMLT (servicio con módem u ONT de que estuviera en funcionamiento para Reventa)</w:t>
                  </w:r>
                </w:p>
              </w:tc>
              <w:tc>
                <w:tcPr>
                  <w:tcW w:w="921" w:type="pct"/>
                  <w:tcBorders>
                    <w:top w:val="single" w:sz="4" w:space="0" w:color="auto"/>
                    <w:left w:val="nil"/>
                    <w:bottom w:val="single" w:sz="4" w:space="0" w:color="auto"/>
                    <w:right w:val="nil"/>
                  </w:tcBorders>
                  <w:vAlign w:val="center"/>
                  <w:hideMark/>
                </w:tcPr>
                <w:p w14:paraId="7F47DA9C"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6</w:t>
                  </w:r>
                </w:p>
              </w:tc>
              <w:tc>
                <w:tcPr>
                  <w:tcW w:w="921" w:type="pct"/>
                  <w:tcBorders>
                    <w:top w:val="single" w:sz="4" w:space="0" w:color="auto"/>
                    <w:left w:val="nil"/>
                    <w:bottom w:val="single" w:sz="4" w:space="0" w:color="auto"/>
                    <w:right w:val="nil"/>
                  </w:tcBorders>
                  <w:vAlign w:val="center"/>
                  <w:hideMark/>
                </w:tcPr>
                <w:p w14:paraId="7F47DA9D"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r>
            <w:tr w:rsidR="002701E6" w:rsidRPr="002701E6" w14:paraId="7F47DAA2"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9F"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Usuarios existentes: SRMLT (El AEP entrega algún equipo a solicitud del CS)</w:t>
                  </w:r>
                </w:p>
              </w:tc>
              <w:tc>
                <w:tcPr>
                  <w:tcW w:w="921" w:type="pct"/>
                  <w:tcBorders>
                    <w:top w:val="single" w:sz="4" w:space="0" w:color="auto"/>
                    <w:left w:val="nil"/>
                    <w:bottom w:val="single" w:sz="4" w:space="0" w:color="auto"/>
                    <w:right w:val="nil"/>
                  </w:tcBorders>
                  <w:vAlign w:val="center"/>
                  <w:hideMark/>
                </w:tcPr>
                <w:p w14:paraId="7F47DAA0"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c>
                <w:tcPr>
                  <w:tcW w:w="921" w:type="pct"/>
                  <w:tcBorders>
                    <w:top w:val="single" w:sz="4" w:space="0" w:color="auto"/>
                    <w:left w:val="nil"/>
                    <w:bottom w:val="single" w:sz="4" w:space="0" w:color="auto"/>
                    <w:right w:val="nil"/>
                  </w:tcBorders>
                  <w:vAlign w:val="center"/>
                  <w:hideMark/>
                </w:tcPr>
                <w:p w14:paraId="7F47DAA1"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10</w:t>
                  </w:r>
                </w:p>
              </w:tc>
            </w:tr>
            <w:tr w:rsidR="002701E6" w:rsidRPr="002701E6" w14:paraId="7F47DAA7"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A3"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 xml:space="preserve">Usuarios nuevos: SRMLT </w:t>
                  </w:r>
                </w:p>
                <w:p w14:paraId="7F47DAA4"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(Con acometida y recursos de red sin provisión de equipo)</w:t>
                  </w:r>
                </w:p>
              </w:tc>
              <w:tc>
                <w:tcPr>
                  <w:tcW w:w="921" w:type="pct"/>
                  <w:tcBorders>
                    <w:top w:val="single" w:sz="4" w:space="0" w:color="auto"/>
                    <w:left w:val="nil"/>
                    <w:bottom w:val="single" w:sz="4" w:space="0" w:color="auto"/>
                    <w:right w:val="nil"/>
                  </w:tcBorders>
                  <w:vAlign w:val="center"/>
                  <w:hideMark/>
                </w:tcPr>
                <w:p w14:paraId="7F47DAA5"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6</w:t>
                  </w:r>
                </w:p>
              </w:tc>
              <w:tc>
                <w:tcPr>
                  <w:tcW w:w="921" w:type="pct"/>
                  <w:tcBorders>
                    <w:top w:val="single" w:sz="4" w:space="0" w:color="auto"/>
                    <w:left w:val="nil"/>
                    <w:bottom w:val="single" w:sz="4" w:space="0" w:color="auto"/>
                    <w:right w:val="nil"/>
                  </w:tcBorders>
                  <w:vAlign w:val="center"/>
                  <w:hideMark/>
                </w:tcPr>
                <w:p w14:paraId="7F47DAA6"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r>
            <w:tr w:rsidR="002701E6" w:rsidRPr="002701E6" w14:paraId="7F47DAAC"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A8"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 xml:space="preserve">Usuarios nuevos: SRMTL </w:t>
                  </w:r>
                </w:p>
                <w:p w14:paraId="7F47DAA9"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(Con acometida y recursos de red con provisión de equipo)</w:t>
                  </w:r>
                </w:p>
              </w:tc>
              <w:tc>
                <w:tcPr>
                  <w:tcW w:w="921" w:type="pct"/>
                  <w:tcBorders>
                    <w:top w:val="single" w:sz="4" w:space="0" w:color="auto"/>
                    <w:left w:val="nil"/>
                    <w:bottom w:val="single" w:sz="4" w:space="0" w:color="auto"/>
                    <w:right w:val="nil"/>
                  </w:tcBorders>
                  <w:vAlign w:val="center"/>
                  <w:hideMark/>
                </w:tcPr>
                <w:p w14:paraId="7F47DAAA"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c>
                <w:tcPr>
                  <w:tcW w:w="921" w:type="pct"/>
                  <w:tcBorders>
                    <w:top w:val="single" w:sz="4" w:space="0" w:color="auto"/>
                    <w:left w:val="nil"/>
                    <w:bottom w:val="single" w:sz="4" w:space="0" w:color="auto"/>
                    <w:right w:val="nil"/>
                  </w:tcBorders>
                  <w:vAlign w:val="center"/>
                  <w:hideMark/>
                </w:tcPr>
                <w:p w14:paraId="7F47DAAB"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10</w:t>
                  </w:r>
                </w:p>
              </w:tc>
            </w:tr>
            <w:tr w:rsidR="002701E6" w:rsidRPr="002701E6" w14:paraId="7F47DAB1"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AD"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 xml:space="preserve">Usuarios nuevos sin acometida SRMLT </w:t>
                  </w:r>
                </w:p>
                <w:p w14:paraId="7F47DAAE"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(Sin provisión del equipo)</w:t>
                  </w:r>
                </w:p>
              </w:tc>
              <w:tc>
                <w:tcPr>
                  <w:tcW w:w="921" w:type="pct"/>
                  <w:tcBorders>
                    <w:top w:val="single" w:sz="4" w:space="0" w:color="auto"/>
                    <w:left w:val="nil"/>
                    <w:bottom w:val="single" w:sz="4" w:space="0" w:color="auto"/>
                    <w:right w:val="nil"/>
                  </w:tcBorders>
                  <w:vAlign w:val="center"/>
                  <w:hideMark/>
                </w:tcPr>
                <w:p w14:paraId="7F47DAAF"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6</w:t>
                  </w:r>
                </w:p>
              </w:tc>
              <w:tc>
                <w:tcPr>
                  <w:tcW w:w="921" w:type="pct"/>
                  <w:tcBorders>
                    <w:top w:val="single" w:sz="4" w:space="0" w:color="auto"/>
                    <w:left w:val="nil"/>
                    <w:bottom w:val="single" w:sz="4" w:space="0" w:color="auto"/>
                    <w:right w:val="nil"/>
                  </w:tcBorders>
                  <w:vAlign w:val="center"/>
                  <w:hideMark/>
                </w:tcPr>
                <w:p w14:paraId="7F47DAB0"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r>
            <w:tr w:rsidR="002701E6" w:rsidRPr="002701E6" w14:paraId="7F47DAB6" w14:textId="77777777" w:rsidTr="00DE0749">
              <w:trPr>
                <w:trHeight w:val="879"/>
                <w:jc w:val="center"/>
              </w:trPr>
              <w:tc>
                <w:tcPr>
                  <w:tcW w:w="3158" w:type="pct"/>
                  <w:tcBorders>
                    <w:top w:val="single" w:sz="4" w:space="0" w:color="auto"/>
                    <w:left w:val="nil"/>
                    <w:bottom w:val="single" w:sz="4" w:space="0" w:color="000000"/>
                    <w:right w:val="nil"/>
                  </w:tcBorders>
                  <w:vAlign w:val="center"/>
                  <w:hideMark/>
                </w:tcPr>
                <w:p w14:paraId="7F47DAB2"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 xml:space="preserve">Usuarios nuevos sin acometida SRMLT </w:t>
                  </w:r>
                </w:p>
                <w:p w14:paraId="7F47DAB3"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(Con provisión del equipo)</w:t>
                  </w:r>
                </w:p>
              </w:tc>
              <w:tc>
                <w:tcPr>
                  <w:tcW w:w="921" w:type="pct"/>
                  <w:tcBorders>
                    <w:top w:val="single" w:sz="4" w:space="0" w:color="auto"/>
                    <w:left w:val="nil"/>
                    <w:bottom w:val="single" w:sz="4" w:space="0" w:color="auto"/>
                    <w:right w:val="nil"/>
                  </w:tcBorders>
                  <w:vAlign w:val="center"/>
                  <w:hideMark/>
                </w:tcPr>
                <w:p w14:paraId="7F47DAB4"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8</w:t>
                  </w:r>
                </w:p>
              </w:tc>
              <w:tc>
                <w:tcPr>
                  <w:tcW w:w="921" w:type="pct"/>
                  <w:tcBorders>
                    <w:top w:val="single" w:sz="4" w:space="0" w:color="auto"/>
                    <w:left w:val="nil"/>
                    <w:bottom w:val="single" w:sz="4" w:space="0" w:color="auto"/>
                    <w:right w:val="nil"/>
                  </w:tcBorders>
                  <w:vAlign w:val="center"/>
                  <w:hideMark/>
                </w:tcPr>
                <w:p w14:paraId="7F47DAB5"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10</w:t>
                  </w:r>
                </w:p>
              </w:tc>
            </w:tr>
            <w:tr w:rsidR="002701E6" w:rsidRPr="002701E6" w14:paraId="7F47DABA" w14:textId="77777777" w:rsidTr="00DE0749">
              <w:trPr>
                <w:trHeight w:val="586"/>
                <w:jc w:val="center"/>
              </w:trPr>
              <w:tc>
                <w:tcPr>
                  <w:tcW w:w="3158" w:type="pct"/>
                  <w:tcBorders>
                    <w:top w:val="nil"/>
                    <w:left w:val="nil"/>
                    <w:bottom w:val="single" w:sz="4" w:space="0" w:color="auto"/>
                    <w:right w:val="nil"/>
                  </w:tcBorders>
                  <w:vAlign w:val="center"/>
                  <w:hideMark/>
                </w:tcPr>
                <w:p w14:paraId="7F47DAB7" w14:textId="77777777" w:rsidR="00DE0749" w:rsidRPr="002701E6" w:rsidRDefault="00DE0749" w:rsidP="0034086A">
                  <w:pPr>
                    <w:framePr w:hSpace="141" w:wrap="around" w:vAnchor="text" w:hAnchor="text" w:y="1"/>
                    <w:spacing w:after="0"/>
                    <w:suppressOverlap/>
                    <w:rPr>
                      <w:rFonts w:ascii="Arial" w:hAnsi="Arial" w:cs="Arial"/>
                      <w:strike/>
                      <w:color w:val="FF0000"/>
                      <w:sz w:val="20"/>
                      <w:szCs w:val="20"/>
                    </w:rPr>
                  </w:pPr>
                  <w:r w:rsidRPr="002701E6">
                    <w:rPr>
                      <w:rFonts w:ascii="Arial" w:hAnsi="Arial" w:cs="Arial"/>
                      <w:strike/>
                      <w:color w:val="FF0000"/>
                      <w:sz w:val="20"/>
                      <w:szCs w:val="20"/>
                    </w:rPr>
                    <w:t>Trabajos especiales (Servicios habilitados en tiempo)</w:t>
                  </w:r>
                </w:p>
              </w:tc>
              <w:tc>
                <w:tcPr>
                  <w:tcW w:w="921" w:type="pct"/>
                  <w:tcBorders>
                    <w:top w:val="nil"/>
                    <w:left w:val="nil"/>
                    <w:bottom w:val="single" w:sz="4" w:space="0" w:color="auto"/>
                    <w:right w:val="nil"/>
                  </w:tcBorders>
                  <w:vAlign w:val="center"/>
                  <w:hideMark/>
                </w:tcPr>
                <w:p w14:paraId="7F47DAB8"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Plazo compromiso</w:t>
                  </w:r>
                </w:p>
              </w:tc>
              <w:tc>
                <w:tcPr>
                  <w:tcW w:w="921" w:type="pct"/>
                  <w:tcBorders>
                    <w:top w:val="nil"/>
                    <w:left w:val="nil"/>
                    <w:bottom w:val="single" w:sz="4" w:space="0" w:color="auto"/>
                    <w:right w:val="nil"/>
                  </w:tcBorders>
                  <w:vAlign w:val="center"/>
                  <w:hideMark/>
                </w:tcPr>
                <w:p w14:paraId="7F47DAB9" w14:textId="77777777" w:rsidR="00DE0749" w:rsidRPr="002701E6" w:rsidRDefault="00DE0749" w:rsidP="0034086A">
                  <w:pPr>
                    <w:framePr w:hSpace="141" w:wrap="around" w:vAnchor="text" w:hAnchor="text" w:y="1"/>
                    <w:spacing w:after="0"/>
                    <w:suppressOverlap/>
                    <w:jc w:val="center"/>
                    <w:rPr>
                      <w:rFonts w:ascii="Arial" w:hAnsi="Arial" w:cs="Arial"/>
                      <w:strike/>
                      <w:color w:val="FF0000"/>
                      <w:sz w:val="20"/>
                      <w:szCs w:val="20"/>
                    </w:rPr>
                  </w:pPr>
                  <w:r w:rsidRPr="002701E6">
                    <w:rPr>
                      <w:rFonts w:ascii="Arial" w:hAnsi="Arial" w:cs="Arial"/>
                      <w:strike/>
                      <w:color w:val="FF0000"/>
                      <w:sz w:val="20"/>
                      <w:szCs w:val="20"/>
                    </w:rPr>
                    <w:t>50% extra del plazo compromiso</w:t>
                  </w:r>
                </w:p>
              </w:tc>
            </w:tr>
          </w:tbl>
          <w:p w14:paraId="7F47DABB" w14:textId="77777777" w:rsidR="00DE0749" w:rsidRPr="002701E6" w:rsidRDefault="00DE0749" w:rsidP="001D14D5">
            <w:pPr>
              <w:jc w:val="both"/>
              <w:rPr>
                <w:rFonts w:ascii="Arial" w:hAnsi="Arial" w:cs="Arial"/>
                <w:bCs/>
                <w:color w:val="FF0000"/>
                <w:sz w:val="20"/>
                <w:szCs w:val="20"/>
              </w:rPr>
            </w:pPr>
          </w:p>
          <w:p w14:paraId="7F47DABC" w14:textId="77777777" w:rsidR="00DE0749" w:rsidRPr="002701E6" w:rsidRDefault="00DE0749" w:rsidP="001D14D5">
            <w:pPr>
              <w:jc w:val="both"/>
              <w:rPr>
                <w:rFonts w:ascii="Arial" w:hAnsi="Arial" w:cs="Arial"/>
                <w:bCs/>
                <w:color w:val="FF0000"/>
                <w:sz w:val="20"/>
                <w:szCs w:val="20"/>
              </w:rPr>
            </w:pPr>
            <w:r w:rsidRPr="002701E6">
              <w:rPr>
                <w:rFonts w:ascii="Arial" w:hAnsi="Arial" w:cs="Arial"/>
                <w:bCs/>
                <w:color w:val="FF0000"/>
                <w:sz w:val="20"/>
                <w:szCs w:val="20"/>
              </w:rPr>
              <w:lastRenderedPageBreak/>
              <w:t>(…)</w:t>
            </w:r>
          </w:p>
          <w:p w14:paraId="7F47DABD" w14:textId="77777777" w:rsidR="00DE0749" w:rsidRPr="002701E6" w:rsidRDefault="00DE0749" w:rsidP="001D14D5">
            <w:pPr>
              <w:jc w:val="both"/>
              <w:rPr>
                <w:rFonts w:ascii="Arial" w:hAnsi="Arial" w:cs="Arial"/>
                <w:b/>
                <w:bCs/>
                <w:strike/>
                <w:color w:val="FF0000"/>
                <w:sz w:val="20"/>
                <w:szCs w:val="20"/>
              </w:rPr>
            </w:pPr>
            <w:r w:rsidRPr="002701E6">
              <w:rPr>
                <w:rFonts w:ascii="Arial" w:hAnsi="Arial" w:cs="Arial"/>
                <w:b/>
                <w:bCs/>
                <w:strike/>
                <w:color w:val="FF0000"/>
                <w:sz w:val="20"/>
                <w:szCs w:val="20"/>
              </w:rPr>
              <w:t>Habilitación en fechas específicas acordadas</w:t>
            </w:r>
          </w:p>
          <w:p w14:paraId="7F47DABE"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t>Cuando el CS solicite una fecha específica para la habilitación de los servicios, que exceda los plazos establecidos en la OREDA (</w:t>
            </w:r>
            <w:proofErr w:type="spellStart"/>
            <w:r w:rsidRPr="002701E6">
              <w:rPr>
                <w:rFonts w:ascii="Arial" w:hAnsi="Arial" w:cs="Arial"/>
                <w:bCs/>
                <w:strike/>
                <w:color w:val="FF0000"/>
                <w:sz w:val="20"/>
                <w:szCs w:val="20"/>
              </w:rPr>
              <w:t>Due</w:t>
            </w:r>
            <w:proofErr w:type="spellEnd"/>
            <w:r w:rsidRPr="002701E6">
              <w:rPr>
                <w:rFonts w:ascii="Arial" w:hAnsi="Arial" w:cs="Arial"/>
                <w:bCs/>
                <w:strike/>
                <w:color w:val="FF0000"/>
                <w:sz w:val="20"/>
                <w:szCs w:val="20"/>
              </w:rPr>
              <w:t xml:space="preserve"> date), los parámetros e Indicadores de calidad sobre habilitación del servicio con servicio no activo (ya sea que cuente con acometida o no cuente con ella, pero sí con recursos de red), aplicables a SRL SRI, SRPI, SRMLT son:</w:t>
            </w:r>
          </w:p>
          <w:p w14:paraId="7F47DABF" w14:textId="77777777" w:rsidR="00DE0749" w:rsidRPr="002701E6" w:rsidRDefault="00DE0749" w:rsidP="006971B4">
            <w:pPr>
              <w:pStyle w:val="Prrafodelista"/>
              <w:numPr>
                <w:ilvl w:val="0"/>
                <w:numId w:val="6"/>
              </w:numPr>
              <w:jc w:val="both"/>
              <w:rPr>
                <w:rFonts w:ascii="Arial" w:hAnsi="Arial" w:cs="Arial"/>
                <w:bCs/>
                <w:strike/>
                <w:color w:val="FF0000"/>
                <w:sz w:val="20"/>
                <w:szCs w:val="20"/>
              </w:rPr>
            </w:pPr>
            <w:r w:rsidRPr="002701E6">
              <w:rPr>
                <w:rFonts w:ascii="Arial" w:hAnsi="Arial" w:cs="Arial"/>
                <w:bCs/>
                <w:strike/>
                <w:color w:val="FF0000"/>
                <w:sz w:val="20"/>
                <w:szCs w:val="20"/>
              </w:rPr>
              <w:t>Habilitación para usuarios nuevos con acometida o recursos de red el día indicado por el CS en la solicitud.</w:t>
            </w:r>
          </w:p>
          <w:p w14:paraId="7F47DAC0"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t>Serán acreedores de una pena los eventos que se realicen posteriormente a la fecha que el CS indique en la solicitud, calculada según lo siguiente:</w:t>
            </w:r>
          </w:p>
          <w:p w14:paraId="7F47DAC1" w14:textId="77777777" w:rsidR="00DE0749" w:rsidRPr="002701E6" w:rsidRDefault="00DE0749" w:rsidP="006971B4">
            <w:pPr>
              <w:pStyle w:val="Prrafodelista"/>
              <w:numPr>
                <w:ilvl w:val="0"/>
                <w:numId w:val="6"/>
              </w:numPr>
              <w:jc w:val="both"/>
              <w:rPr>
                <w:rFonts w:ascii="Arial" w:hAnsi="Arial" w:cs="Arial"/>
                <w:bCs/>
                <w:strike/>
                <w:color w:val="FF0000"/>
                <w:sz w:val="20"/>
                <w:szCs w:val="20"/>
              </w:rPr>
            </w:pPr>
            <w:r w:rsidRPr="002701E6">
              <w:rPr>
                <w:rFonts w:ascii="Arial" w:hAnsi="Arial" w:cs="Arial"/>
                <w:bCs/>
                <w:strike/>
                <w:color w:val="FF0000"/>
                <w:sz w:val="20"/>
                <w:szCs w:val="20"/>
              </w:rPr>
              <w:t>Habilitación para usuarios nuevos en la fecha indicada por el CS: 90%.</w:t>
            </w:r>
          </w:p>
          <w:p w14:paraId="7F47DAC2" w14:textId="77777777" w:rsidR="00DE0749" w:rsidRPr="002701E6" w:rsidRDefault="00DE0749" w:rsidP="006971B4">
            <w:pPr>
              <w:pStyle w:val="Prrafodelista"/>
              <w:numPr>
                <w:ilvl w:val="0"/>
                <w:numId w:val="6"/>
              </w:numPr>
              <w:jc w:val="both"/>
              <w:rPr>
                <w:rFonts w:ascii="Arial" w:hAnsi="Arial" w:cs="Arial"/>
                <w:bCs/>
                <w:strike/>
                <w:color w:val="FF0000"/>
                <w:sz w:val="20"/>
                <w:szCs w:val="20"/>
              </w:rPr>
            </w:pPr>
            <w:r w:rsidRPr="002701E6">
              <w:rPr>
                <w:rFonts w:ascii="Arial" w:hAnsi="Arial" w:cs="Arial"/>
                <w:bCs/>
                <w:strike/>
                <w:color w:val="FF0000"/>
                <w:sz w:val="20"/>
                <w:szCs w:val="20"/>
              </w:rPr>
              <w:t>En caso de que no se cumpla el 90% del indicador. Serán acreedores de una pena la totalidad de los eventos que superen los 2 días hábiles adicionales y se aplicará una pena conforme a lo siguiente:</w:t>
            </w:r>
          </w:p>
          <w:p w14:paraId="7F47DAC3" w14:textId="77777777" w:rsidR="00DE0749" w:rsidRPr="002701E6" w:rsidRDefault="00DE0749" w:rsidP="001D14D5">
            <w:pPr>
              <w:jc w:val="both"/>
              <w:rPr>
                <w:rFonts w:ascii="Arial" w:hAnsi="Arial" w:cs="Arial"/>
                <w:bCs/>
                <w:strike/>
                <w:color w:val="FF0000"/>
                <w:sz w:val="20"/>
                <w:szCs w:val="20"/>
              </w:rPr>
            </w:pPr>
            <w:r w:rsidRPr="002701E6">
              <w:rPr>
                <w:rFonts w:ascii="Arial" w:hAnsi="Arial" w:cs="Arial"/>
                <w:bCs/>
                <w:strike/>
                <w:color w:val="FF0000"/>
                <w:sz w:val="20"/>
                <w:szCs w:val="20"/>
              </w:rPr>
              <w:t xml:space="preserve">Pena = Renta mensual + Gasto de habilitación del servicio </w:t>
            </w:r>
          </w:p>
          <w:p w14:paraId="7F47DAC4" w14:textId="77777777" w:rsidR="00DE0749" w:rsidRPr="00C83E51" w:rsidRDefault="00DE0749" w:rsidP="001D14D5">
            <w:pPr>
              <w:jc w:val="both"/>
              <w:rPr>
                <w:rFonts w:ascii="Arial" w:hAnsi="Arial" w:cs="Arial"/>
                <w:b/>
                <w:bCs/>
                <w:color w:val="000000"/>
                <w:sz w:val="20"/>
                <w:szCs w:val="20"/>
              </w:rPr>
            </w:pPr>
            <w:r w:rsidRPr="002701E6">
              <w:rPr>
                <w:rFonts w:ascii="Arial" w:hAnsi="Arial" w:cs="Arial"/>
                <w:bCs/>
                <w:strike/>
                <w:color w:val="FF0000"/>
                <w:sz w:val="20"/>
                <w:szCs w:val="20"/>
              </w:rPr>
              <w:t xml:space="preserve">En estos casos el CS re-agendará la cita o podrá cancelar el servicio y Telmex / Telnor no cobrará la habilitación del servicio. Si nuevamente Telmex / Telnor no se presenta a la habilitación del servicio el CS podrá entender que se está denegando el servicio por lo que podrá recurrir a las instancias jurisdiccionales necesarias sin perjuicio de que mantenga el monto acumulado de las penas como adeudo por parte de Telmex / Telnor. </w:t>
            </w:r>
            <w:r w:rsidRPr="002701E6">
              <w:rPr>
                <w:rFonts w:ascii="Arial" w:hAnsi="Arial" w:cs="Arial"/>
                <w:bCs/>
                <w:color w:val="FF0000"/>
                <w:sz w:val="20"/>
                <w:szCs w:val="20"/>
              </w:rPr>
              <w:t>[…]</w:t>
            </w:r>
          </w:p>
        </w:tc>
        <w:tc>
          <w:tcPr>
            <w:tcW w:w="2016" w:type="pct"/>
            <w:tcBorders>
              <w:top w:val="single" w:sz="4" w:space="0" w:color="000000" w:themeColor="text1"/>
              <w:bottom w:val="single" w:sz="4" w:space="0" w:color="000000" w:themeColor="text1"/>
            </w:tcBorders>
          </w:tcPr>
          <w:p w14:paraId="7F47DAC5" w14:textId="77777777" w:rsidR="00DE0749" w:rsidRPr="00496E39" w:rsidRDefault="00DE0749" w:rsidP="001D14D5">
            <w:pPr>
              <w:jc w:val="both"/>
              <w:rPr>
                <w:rFonts w:ascii="Arial" w:hAnsi="Arial" w:cs="Arial"/>
                <w:color w:val="000000"/>
                <w:szCs w:val="18"/>
              </w:rPr>
            </w:pPr>
            <w:r w:rsidRPr="00496E39">
              <w:rPr>
                <w:rFonts w:ascii="Arial" w:hAnsi="Arial" w:cs="Arial"/>
                <w:color w:val="000000"/>
                <w:szCs w:val="18"/>
              </w:rPr>
              <w:lastRenderedPageBreak/>
              <w:t>No hay proporcionalidad en las penas convencionales vigentes, alta complejidad de cálculo y se solicita homologar la mecánica de O</w:t>
            </w:r>
            <w:r w:rsidR="00496E39">
              <w:rPr>
                <w:rFonts w:ascii="Arial" w:hAnsi="Arial" w:cs="Arial"/>
                <w:color w:val="000000"/>
                <w:szCs w:val="18"/>
              </w:rPr>
              <w:t xml:space="preserve">ferta de </w:t>
            </w:r>
            <w:r w:rsidRPr="00496E39">
              <w:rPr>
                <w:rFonts w:ascii="Arial" w:hAnsi="Arial" w:cs="Arial"/>
                <w:color w:val="000000"/>
                <w:szCs w:val="18"/>
              </w:rPr>
              <w:t>R</w:t>
            </w:r>
            <w:r w:rsidR="00496E39">
              <w:rPr>
                <w:rFonts w:ascii="Arial" w:hAnsi="Arial" w:cs="Arial"/>
                <w:color w:val="000000"/>
                <w:szCs w:val="18"/>
              </w:rPr>
              <w:t xml:space="preserve">eferencia de </w:t>
            </w:r>
            <w:r w:rsidRPr="00496E39">
              <w:rPr>
                <w:rFonts w:ascii="Arial" w:hAnsi="Arial" w:cs="Arial"/>
                <w:color w:val="000000"/>
                <w:szCs w:val="18"/>
              </w:rPr>
              <w:t>E</w:t>
            </w:r>
            <w:r w:rsidR="00496E39">
              <w:rPr>
                <w:rFonts w:ascii="Arial" w:hAnsi="Arial" w:cs="Arial"/>
                <w:color w:val="000000"/>
                <w:szCs w:val="18"/>
              </w:rPr>
              <w:t>nlaces</w:t>
            </w:r>
            <w:r w:rsidR="004951ED">
              <w:rPr>
                <w:rFonts w:ascii="Arial" w:hAnsi="Arial" w:cs="Arial"/>
                <w:color w:val="000000"/>
                <w:szCs w:val="18"/>
              </w:rPr>
              <w:t xml:space="preserve"> de la División mayorista</w:t>
            </w:r>
            <w:r w:rsidR="00496E39">
              <w:rPr>
                <w:rFonts w:ascii="Arial" w:hAnsi="Arial" w:cs="Arial"/>
                <w:color w:val="000000"/>
                <w:szCs w:val="18"/>
              </w:rPr>
              <w:t xml:space="preserve"> (</w:t>
            </w:r>
            <w:r w:rsidR="004951ED" w:rsidRPr="004951ED">
              <w:rPr>
                <w:rFonts w:ascii="Arial" w:hAnsi="Arial" w:cs="Arial"/>
                <w:color w:val="000000"/>
                <w:szCs w:val="18"/>
              </w:rPr>
              <w:t>2.7 Penalizaciones</w:t>
            </w:r>
            <w:r w:rsidR="00496E39">
              <w:rPr>
                <w:rFonts w:ascii="Arial" w:hAnsi="Arial" w:cs="Arial"/>
                <w:color w:val="000000"/>
                <w:szCs w:val="18"/>
              </w:rPr>
              <w:t>)</w:t>
            </w:r>
            <w:r w:rsidRPr="00496E39">
              <w:rPr>
                <w:rFonts w:ascii="Arial" w:hAnsi="Arial" w:cs="Arial"/>
                <w:color w:val="000000"/>
                <w:szCs w:val="18"/>
              </w:rPr>
              <w:t xml:space="preserve"> vigente. </w:t>
            </w:r>
          </w:p>
          <w:p w14:paraId="7F47DAC6" w14:textId="77777777" w:rsidR="00DE0749" w:rsidRPr="00D52656" w:rsidRDefault="00DE0749" w:rsidP="001D14D5">
            <w:pPr>
              <w:jc w:val="both"/>
              <w:rPr>
                <w:rFonts w:ascii="Arial" w:hAnsi="Arial" w:cs="Arial"/>
                <w:b/>
                <w:color w:val="000000"/>
                <w:sz w:val="20"/>
                <w:szCs w:val="18"/>
              </w:rPr>
            </w:pPr>
            <w:r w:rsidRPr="00496E39">
              <w:rPr>
                <w:rFonts w:ascii="Arial" w:hAnsi="Arial" w:cs="Arial"/>
                <w:color w:val="000000"/>
                <w:szCs w:val="18"/>
              </w:rPr>
              <w:lastRenderedPageBreak/>
              <w:t>Se propone que el monto de la pena sea la parte proporcional diaria del monto de la renta mensual por cada día de retraso en la atención en habilitaciones, tanto de los usuarios existentes como de los nuevos</w:t>
            </w:r>
            <w:r w:rsidR="00EA0A84" w:rsidRPr="00496E39">
              <w:rPr>
                <w:rFonts w:ascii="Arial" w:hAnsi="Arial" w:cs="Arial"/>
                <w:color w:val="000000"/>
                <w:szCs w:val="18"/>
              </w:rPr>
              <w:t>.</w:t>
            </w:r>
          </w:p>
        </w:tc>
      </w:tr>
    </w:tbl>
    <w:p w14:paraId="7F47DAC8" w14:textId="77777777" w:rsidR="005E6EF0" w:rsidRDefault="005E6EF0"/>
    <w:sectPr w:rsidR="005E6EF0" w:rsidSect="00706AE5">
      <w:pgSz w:w="20160" w:h="12240" w:orient="landscape" w:code="5"/>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3AB4D" w14:textId="77777777" w:rsidR="000F2B62" w:rsidRDefault="000F2B62" w:rsidP="00C36698">
      <w:pPr>
        <w:spacing w:after="0" w:line="240" w:lineRule="auto"/>
      </w:pPr>
      <w:r>
        <w:separator/>
      </w:r>
    </w:p>
  </w:endnote>
  <w:endnote w:type="continuationSeparator" w:id="0">
    <w:p w14:paraId="016912F9" w14:textId="77777777" w:rsidR="000F2B62" w:rsidRDefault="000F2B62"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TC Avant Garde">
    <w:altName w:val="Century Gothic"/>
    <w:panose1 w:val="020B0402020203020304"/>
    <w:charset w:val="00"/>
    <w:family w:val="swiss"/>
    <w:pitch w:val="variable"/>
    <w:sig w:usb0="00000003"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618756"/>
      <w:docPartObj>
        <w:docPartGallery w:val="Page Numbers (Bottom of Page)"/>
        <w:docPartUnique/>
      </w:docPartObj>
    </w:sdtPr>
    <w:sdtContent>
      <w:sdt>
        <w:sdtPr>
          <w:id w:val="-1769616900"/>
          <w:docPartObj>
            <w:docPartGallery w:val="Page Numbers (Top of Page)"/>
            <w:docPartUnique/>
          </w:docPartObj>
        </w:sdtPr>
        <w:sdtContent>
          <w:p w14:paraId="7F47DACD" w14:textId="77777777" w:rsidR="00323135" w:rsidRDefault="00323135">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3446E">
              <w:rPr>
                <w:b/>
                <w:bCs/>
                <w:noProof/>
              </w:rPr>
              <w:t>17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3446E">
              <w:rPr>
                <w:b/>
                <w:bCs/>
                <w:noProof/>
              </w:rPr>
              <w:t>17</w:t>
            </w:r>
            <w:r>
              <w:rPr>
                <w:b/>
                <w:bCs/>
                <w:sz w:val="24"/>
                <w:szCs w:val="24"/>
              </w:rPr>
              <w:fldChar w:fldCharType="end"/>
            </w:r>
          </w:p>
        </w:sdtContent>
      </w:sdt>
    </w:sdtContent>
  </w:sdt>
  <w:p w14:paraId="7F47DACE" w14:textId="77777777" w:rsidR="00323135" w:rsidRDefault="003231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FEC1C" w14:textId="77777777" w:rsidR="000F2B62" w:rsidRDefault="000F2B62" w:rsidP="00C36698">
      <w:pPr>
        <w:spacing w:after="0" w:line="240" w:lineRule="auto"/>
      </w:pPr>
      <w:r>
        <w:separator/>
      </w:r>
    </w:p>
  </w:footnote>
  <w:footnote w:type="continuationSeparator" w:id="0">
    <w:p w14:paraId="56AFC059" w14:textId="77777777" w:rsidR="000F2B62" w:rsidRDefault="000F2B62" w:rsidP="00C36698">
      <w:pPr>
        <w:spacing w:after="0" w:line="240" w:lineRule="auto"/>
      </w:pPr>
      <w:r>
        <w:continuationSeparator/>
      </w:r>
    </w:p>
  </w:footnote>
  <w:footnote w:id="1">
    <w:p w14:paraId="7F47DACF" w14:textId="77777777" w:rsidR="00B81C37" w:rsidRDefault="00B81C37" w:rsidP="00B81C37">
      <w:pPr>
        <w:pStyle w:val="Textonotapie"/>
        <w:jc w:val="both"/>
        <w:rPr>
          <w:lang w:val="en-US"/>
        </w:rPr>
      </w:pPr>
      <w:r>
        <w:rPr>
          <w:rStyle w:val="Refdenotaalpie"/>
        </w:rPr>
        <w:footnoteRef/>
      </w:r>
      <w:r w:rsidRPr="003A4EA2">
        <w:rPr>
          <w:lang w:val="en-US"/>
        </w:rPr>
        <w:t xml:space="preserve"> BEREC Report</w:t>
      </w:r>
      <w:r>
        <w:rPr>
          <w:lang w:val="en-US"/>
        </w:rPr>
        <w:t xml:space="preserve"> </w:t>
      </w:r>
      <w:r w:rsidRPr="003A4EA2">
        <w:rPr>
          <w:lang w:val="en-US"/>
        </w:rPr>
        <w:t>Regulatory Accounting in Practice 2023</w:t>
      </w:r>
      <w:r>
        <w:rPr>
          <w:lang w:val="en-US"/>
        </w:rPr>
        <w:t>,</w:t>
      </w:r>
      <w:r w:rsidRPr="003A4EA2">
        <w:rPr>
          <w:lang w:val="en-US"/>
        </w:rPr>
        <w:t xml:space="preserve"> pág. 45</w:t>
      </w:r>
      <w:r>
        <w:rPr>
          <w:lang w:val="en-US"/>
        </w:rPr>
        <w:t xml:space="preserve">, disponible en: </w:t>
      </w:r>
      <w:hyperlink r:id="rId1" w:history="1">
        <w:r w:rsidRPr="00421809">
          <w:rPr>
            <w:rStyle w:val="Hipervnculo"/>
            <w:lang w:val="en-US"/>
          </w:rPr>
          <w:t>https://www.berec.europa.eu/system/files/2023-12/BoR%20%2823%29%20196%20BEREC%20Report%20Regulatory%20Accounting%20in%20Practice%202023.pdf</w:t>
        </w:r>
      </w:hyperlink>
    </w:p>
    <w:p w14:paraId="7F47DAD0" w14:textId="77777777" w:rsidR="00B81C37" w:rsidRPr="003A4EA2" w:rsidRDefault="00B81C37" w:rsidP="00B81C37">
      <w:pPr>
        <w:pStyle w:val="Textonotapie"/>
        <w:rPr>
          <w:lang w:val="en-US"/>
        </w:rPr>
      </w:pPr>
    </w:p>
  </w:footnote>
  <w:footnote w:id="2">
    <w:p w14:paraId="7F47DAD1" w14:textId="77777777" w:rsidR="003252D9" w:rsidRDefault="003252D9"/>
    <w:p w14:paraId="7F47DAD2" w14:textId="77777777" w:rsidR="00DE0749" w:rsidRPr="006C2A4C" w:rsidRDefault="00DE0749" w:rsidP="001626A0"/>
  </w:footnote>
  <w:footnote w:id="3">
    <w:p w14:paraId="7F47DAD3" w14:textId="77777777" w:rsidR="00DE0749" w:rsidRDefault="00DE0749" w:rsidP="003C30ED">
      <w:pPr>
        <w:pStyle w:val="Textonotapie"/>
      </w:pPr>
      <w:r>
        <w:rPr>
          <w:rStyle w:val="Refdenotaalpie"/>
        </w:rPr>
        <w:footnoteRef/>
      </w:r>
      <w:r>
        <w:t xml:space="preserve"> </w:t>
      </w:r>
      <w:r>
        <w:rPr>
          <w:rFonts w:cs="Arial"/>
        </w:rPr>
        <w:t>La provisión del equipo terminal blanco, se deberá de realizar una vez concluida la desagregación</w:t>
      </w:r>
      <w:r w:rsidRPr="00BD121E">
        <w:rPr>
          <w:rFonts w:cs="Arial"/>
        </w:rPr>
        <w:t>.</w:t>
      </w:r>
    </w:p>
  </w:footnote>
  <w:footnote w:id="4">
    <w:p w14:paraId="7F47DAD4" w14:textId="77777777" w:rsidR="00DE0749" w:rsidRDefault="00DE0749" w:rsidP="00D56B34">
      <w:pPr>
        <w:pStyle w:val="Textonotapie"/>
      </w:pPr>
      <w:r>
        <w:rPr>
          <w:rStyle w:val="Refdenotaalpie"/>
          <w:sz w:val="14"/>
        </w:rPr>
        <w:footnoteRef/>
      </w:r>
      <w:r>
        <w:rPr>
          <w:rFonts w:ascii="Arial" w:hAnsi="Arial" w:cs="Arial"/>
          <w:sz w:val="14"/>
        </w:rPr>
        <w:t xml:space="preserve"> Mismas condiciones de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759E3"/>
    <w:multiLevelType w:val="hybridMultilevel"/>
    <w:tmpl w:val="ABC8AB0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CA67D14"/>
    <w:multiLevelType w:val="hybridMultilevel"/>
    <w:tmpl w:val="BBD8F3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D0C4109"/>
    <w:multiLevelType w:val="hybridMultilevel"/>
    <w:tmpl w:val="87C04E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720" w:hanging="360"/>
      </w:pPr>
      <w:rPr>
        <w:rFonts w:ascii="Courier New" w:hAnsi="Courier New" w:cs="Courier New" w:hint="default"/>
      </w:rPr>
    </w:lvl>
    <w:lvl w:ilvl="2" w:tplc="080A0005" w:tentative="1">
      <w:start w:val="1"/>
      <w:numFmt w:val="bullet"/>
      <w:lvlText w:val=""/>
      <w:lvlJc w:val="left"/>
      <w:pPr>
        <w:ind w:left="1440" w:hanging="360"/>
      </w:pPr>
      <w:rPr>
        <w:rFonts w:ascii="Wingdings" w:hAnsi="Wingdings" w:hint="default"/>
      </w:rPr>
    </w:lvl>
    <w:lvl w:ilvl="3" w:tplc="080A0001" w:tentative="1">
      <w:start w:val="1"/>
      <w:numFmt w:val="bullet"/>
      <w:lvlText w:val=""/>
      <w:lvlJc w:val="left"/>
      <w:pPr>
        <w:ind w:left="2160" w:hanging="360"/>
      </w:pPr>
      <w:rPr>
        <w:rFonts w:ascii="Symbol" w:hAnsi="Symbol" w:hint="default"/>
      </w:rPr>
    </w:lvl>
    <w:lvl w:ilvl="4" w:tplc="080A0003" w:tentative="1">
      <w:start w:val="1"/>
      <w:numFmt w:val="bullet"/>
      <w:lvlText w:val="o"/>
      <w:lvlJc w:val="left"/>
      <w:pPr>
        <w:ind w:left="2880" w:hanging="360"/>
      </w:pPr>
      <w:rPr>
        <w:rFonts w:ascii="Courier New" w:hAnsi="Courier New" w:cs="Courier New" w:hint="default"/>
      </w:rPr>
    </w:lvl>
    <w:lvl w:ilvl="5" w:tplc="080A0005" w:tentative="1">
      <w:start w:val="1"/>
      <w:numFmt w:val="bullet"/>
      <w:lvlText w:val=""/>
      <w:lvlJc w:val="left"/>
      <w:pPr>
        <w:ind w:left="3600" w:hanging="360"/>
      </w:pPr>
      <w:rPr>
        <w:rFonts w:ascii="Wingdings" w:hAnsi="Wingdings" w:hint="default"/>
      </w:rPr>
    </w:lvl>
    <w:lvl w:ilvl="6" w:tplc="080A0001" w:tentative="1">
      <w:start w:val="1"/>
      <w:numFmt w:val="bullet"/>
      <w:lvlText w:val=""/>
      <w:lvlJc w:val="left"/>
      <w:pPr>
        <w:ind w:left="4320" w:hanging="360"/>
      </w:pPr>
      <w:rPr>
        <w:rFonts w:ascii="Symbol" w:hAnsi="Symbol" w:hint="default"/>
      </w:rPr>
    </w:lvl>
    <w:lvl w:ilvl="7" w:tplc="080A0003" w:tentative="1">
      <w:start w:val="1"/>
      <w:numFmt w:val="bullet"/>
      <w:lvlText w:val="o"/>
      <w:lvlJc w:val="left"/>
      <w:pPr>
        <w:ind w:left="5040" w:hanging="360"/>
      </w:pPr>
      <w:rPr>
        <w:rFonts w:ascii="Courier New" w:hAnsi="Courier New" w:cs="Courier New" w:hint="default"/>
      </w:rPr>
    </w:lvl>
    <w:lvl w:ilvl="8" w:tplc="080A0005" w:tentative="1">
      <w:start w:val="1"/>
      <w:numFmt w:val="bullet"/>
      <w:lvlText w:val=""/>
      <w:lvlJc w:val="left"/>
      <w:pPr>
        <w:ind w:left="5760" w:hanging="360"/>
      </w:pPr>
      <w:rPr>
        <w:rFonts w:ascii="Wingdings" w:hAnsi="Wingdings" w:hint="default"/>
      </w:rPr>
    </w:lvl>
  </w:abstractNum>
  <w:abstractNum w:abstractNumId="3" w15:restartNumberingAfterBreak="0">
    <w:nsid w:val="0FA27EE3"/>
    <w:multiLevelType w:val="hybridMultilevel"/>
    <w:tmpl w:val="5BE0281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5"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37380B72"/>
    <w:multiLevelType w:val="hybridMultilevel"/>
    <w:tmpl w:val="10F86B72"/>
    <w:lvl w:ilvl="0" w:tplc="49D04636">
      <w:start w:val="11"/>
      <w:numFmt w:val="bullet"/>
      <w:lvlText w:val="-"/>
      <w:lvlJc w:val="left"/>
      <w:pPr>
        <w:ind w:left="1080" w:hanging="360"/>
      </w:pPr>
      <w:rPr>
        <w:rFonts w:ascii="Arial" w:eastAsia="Calibri"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395123C1"/>
    <w:multiLevelType w:val="hybridMultilevel"/>
    <w:tmpl w:val="05C49538"/>
    <w:lvl w:ilvl="0" w:tplc="492EE0A0">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3B986689"/>
    <w:multiLevelType w:val="hybridMultilevel"/>
    <w:tmpl w:val="B294456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0E43AF4"/>
    <w:multiLevelType w:val="hybridMultilevel"/>
    <w:tmpl w:val="E2DA432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81E6792"/>
    <w:multiLevelType w:val="hybridMultilevel"/>
    <w:tmpl w:val="A11C52D8"/>
    <w:lvl w:ilvl="0" w:tplc="080A000B">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4ECA622C"/>
    <w:multiLevelType w:val="hybridMultilevel"/>
    <w:tmpl w:val="68DEA4D8"/>
    <w:lvl w:ilvl="0" w:tplc="921A86B6">
      <w:start w:val="1"/>
      <w:numFmt w:val="decimal"/>
      <w:lvlText w:val="%1)"/>
      <w:lvlJc w:val="left"/>
      <w:pPr>
        <w:ind w:left="720" w:hanging="360"/>
      </w:pPr>
      <w:rPr>
        <w:rFonts w:hint="default"/>
        <w:color w:val="FF0000"/>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2"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B154939"/>
    <w:multiLevelType w:val="hybridMultilevel"/>
    <w:tmpl w:val="B1D491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3B235B5"/>
    <w:multiLevelType w:val="hybridMultilevel"/>
    <w:tmpl w:val="53E0507C"/>
    <w:lvl w:ilvl="0" w:tplc="080A000B">
      <w:start w:val="1"/>
      <w:numFmt w:val="bullet"/>
      <w:lvlText w:val=""/>
      <w:lvlJc w:val="left"/>
      <w:pPr>
        <w:ind w:left="360" w:hanging="360"/>
      </w:pPr>
      <w:rPr>
        <w:rFonts w:ascii="Wingdings" w:hAnsi="Wingdings" w:hint="default"/>
      </w:rPr>
    </w:lvl>
    <w:lvl w:ilvl="1" w:tplc="080A0001">
      <w:start w:val="1"/>
      <w:numFmt w:val="bullet"/>
      <w:lvlText w:val=""/>
      <w:lvlJc w:val="left"/>
      <w:pPr>
        <w:ind w:left="1080" w:hanging="360"/>
      </w:pPr>
      <w:rPr>
        <w:rFonts w:ascii="Symbol" w:hAnsi="Symbol"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2108890796">
    <w:abstractNumId w:val="12"/>
  </w:num>
  <w:num w:numId="2" w16cid:durableId="974528704">
    <w:abstractNumId w:val="1"/>
  </w:num>
  <w:num w:numId="3" w16cid:durableId="2051418113">
    <w:abstractNumId w:val="9"/>
  </w:num>
  <w:num w:numId="4" w16cid:durableId="1359816125">
    <w:abstractNumId w:val="8"/>
  </w:num>
  <w:num w:numId="5" w16cid:durableId="195967659">
    <w:abstractNumId w:val="6"/>
  </w:num>
  <w:num w:numId="6" w16cid:durableId="1365666398">
    <w:abstractNumId w:val="2"/>
  </w:num>
  <w:num w:numId="7" w16cid:durableId="1391660329">
    <w:abstractNumId w:val="5"/>
  </w:num>
  <w:num w:numId="8" w16cid:durableId="2891706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3423324">
    <w:abstractNumId w:val="3"/>
  </w:num>
  <w:num w:numId="10" w16cid:durableId="576944079">
    <w:abstractNumId w:val="15"/>
  </w:num>
  <w:num w:numId="11" w16cid:durableId="1994988676">
    <w:abstractNumId w:val="7"/>
  </w:num>
  <w:num w:numId="12" w16cid:durableId="2019849667">
    <w:abstractNumId w:val="4"/>
  </w:num>
  <w:num w:numId="13" w16cid:durableId="1243487750">
    <w:abstractNumId w:val="0"/>
  </w:num>
  <w:num w:numId="14" w16cid:durableId="918098506">
    <w:abstractNumId w:val="10"/>
  </w:num>
  <w:num w:numId="15" w16cid:durableId="186528719">
    <w:abstractNumId w:val="14"/>
  </w:num>
  <w:num w:numId="16" w16cid:durableId="1338283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VData" w:val="ew0KICAiZG9jSUQiOiAiMmNhNWMzODctZjEyNi00YmJmLTg5NDUtOGI5MDY0M2I3NDYzIg0KfQ=="/>
    <w:docVar w:name="GVData0" w:val="(end)"/>
  </w:docVars>
  <w:rsids>
    <w:rsidRoot w:val="00C36698"/>
    <w:rsid w:val="00004302"/>
    <w:rsid w:val="00004E42"/>
    <w:rsid w:val="0000740E"/>
    <w:rsid w:val="0001196C"/>
    <w:rsid w:val="000143DD"/>
    <w:rsid w:val="0001467E"/>
    <w:rsid w:val="0001543B"/>
    <w:rsid w:val="00016246"/>
    <w:rsid w:val="000214B1"/>
    <w:rsid w:val="000311A5"/>
    <w:rsid w:val="00031DCC"/>
    <w:rsid w:val="00034902"/>
    <w:rsid w:val="00040C1E"/>
    <w:rsid w:val="00043AFC"/>
    <w:rsid w:val="00053AA1"/>
    <w:rsid w:val="000561AB"/>
    <w:rsid w:val="000601A9"/>
    <w:rsid w:val="00061F8E"/>
    <w:rsid w:val="00062074"/>
    <w:rsid w:val="000625A7"/>
    <w:rsid w:val="00063CE9"/>
    <w:rsid w:val="000655AC"/>
    <w:rsid w:val="00066935"/>
    <w:rsid w:val="00067E46"/>
    <w:rsid w:val="00072D9D"/>
    <w:rsid w:val="00073092"/>
    <w:rsid w:val="00076703"/>
    <w:rsid w:val="000807B4"/>
    <w:rsid w:val="00082AC0"/>
    <w:rsid w:val="00082BC6"/>
    <w:rsid w:val="000842A9"/>
    <w:rsid w:val="00084407"/>
    <w:rsid w:val="0008731A"/>
    <w:rsid w:val="00090286"/>
    <w:rsid w:val="0009273E"/>
    <w:rsid w:val="000936D7"/>
    <w:rsid w:val="00096603"/>
    <w:rsid w:val="000A2507"/>
    <w:rsid w:val="000A7122"/>
    <w:rsid w:val="000B2DC8"/>
    <w:rsid w:val="000C2120"/>
    <w:rsid w:val="000C24E1"/>
    <w:rsid w:val="000C5D6B"/>
    <w:rsid w:val="000C6C30"/>
    <w:rsid w:val="000C6E35"/>
    <w:rsid w:val="000C7AB6"/>
    <w:rsid w:val="000D3274"/>
    <w:rsid w:val="000E0284"/>
    <w:rsid w:val="000E0730"/>
    <w:rsid w:val="000E0C8E"/>
    <w:rsid w:val="000E4B98"/>
    <w:rsid w:val="000E5B07"/>
    <w:rsid w:val="000E7422"/>
    <w:rsid w:val="000E7E9F"/>
    <w:rsid w:val="000F2B62"/>
    <w:rsid w:val="000F4371"/>
    <w:rsid w:val="000F52A4"/>
    <w:rsid w:val="0010038E"/>
    <w:rsid w:val="00103F24"/>
    <w:rsid w:val="001047B5"/>
    <w:rsid w:val="001101A9"/>
    <w:rsid w:val="00112A4A"/>
    <w:rsid w:val="0011312B"/>
    <w:rsid w:val="0011469C"/>
    <w:rsid w:val="001150B9"/>
    <w:rsid w:val="00120A04"/>
    <w:rsid w:val="00120D49"/>
    <w:rsid w:val="0012500D"/>
    <w:rsid w:val="00125439"/>
    <w:rsid w:val="00133C7D"/>
    <w:rsid w:val="00135BAD"/>
    <w:rsid w:val="00144D19"/>
    <w:rsid w:val="0014509C"/>
    <w:rsid w:val="0015380C"/>
    <w:rsid w:val="00154225"/>
    <w:rsid w:val="00154BFD"/>
    <w:rsid w:val="0015627D"/>
    <w:rsid w:val="001626A0"/>
    <w:rsid w:val="00163920"/>
    <w:rsid w:val="00164B4E"/>
    <w:rsid w:val="00165A0C"/>
    <w:rsid w:val="00167BFC"/>
    <w:rsid w:val="00172B21"/>
    <w:rsid w:val="00173B90"/>
    <w:rsid w:val="00175D85"/>
    <w:rsid w:val="00180FA0"/>
    <w:rsid w:val="0018268D"/>
    <w:rsid w:val="00184273"/>
    <w:rsid w:val="001912ED"/>
    <w:rsid w:val="001927DC"/>
    <w:rsid w:val="00195AF3"/>
    <w:rsid w:val="001A02FE"/>
    <w:rsid w:val="001A0B40"/>
    <w:rsid w:val="001A2081"/>
    <w:rsid w:val="001A27E6"/>
    <w:rsid w:val="001A4217"/>
    <w:rsid w:val="001A4D9D"/>
    <w:rsid w:val="001A5BA3"/>
    <w:rsid w:val="001A66AC"/>
    <w:rsid w:val="001B072A"/>
    <w:rsid w:val="001B1E2C"/>
    <w:rsid w:val="001C1B12"/>
    <w:rsid w:val="001C1B79"/>
    <w:rsid w:val="001C2480"/>
    <w:rsid w:val="001D10A5"/>
    <w:rsid w:val="001D14D5"/>
    <w:rsid w:val="001D2AEB"/>
    <w:rsid w:val="001D62A9"/>
    <w:rsid w:val="001D7E86"/>
    <w:rsid w:val="001E0952"/>
    <w:rsid w:val="001E0E1D"/>
    <w:rsid w:val="001E33F2"/>
    <w:rsid w:val="001E6196"/>
    <w:rsid w:val="001F73DB"/>
    <w:rsid w:val="00202CF6"/>
    <w:rsid w:val="00205ADF"/>
    <w:rsid w:val="00207611"/>
    <w:rsid w:val="00210C49"/>
    <w:rsid w:val="00211818"/>
    <w:rsid w:val="00211D95"/>
    <w:rsid w:val="002155B5"/>
    <w:rsid w:val="00215CE8"/>
    <w:rsid w:val="002162EE"/>
    <w:rsid w:val="00217E79"/>
    <w:rsid w:val="002216AF"/>
    <w:rsid w:val="002222ED"/>
    <w:rsid w:val="00227353"/>
    <w:rsid w:val="0022755B"/>
    <w:rsid w:val="00232659"/>
    <w:rsid w:val="002401C7"/>
    <w:rsid w:val="002403B8"/>
    <w:rsid w:val="0024465F"/>
    <w:rsid w:val="00245C19"/>
    <w:rsid w:val="00250C20"/>
    <w:rsid w:val="0025108B"/>
    <w:rsid w:val="00252682"/>
    <w:rsid w:val="00260BD6"/>
    <w:rsid w:val="00264F4C"/>
    <w:rsid w:val="002701E6"/>
    <w:rsid w:val="00271290"/>
    <w:rsid w:val="00271872"/>
    <w:rsid w:val="002739B0"/>
    <w:rsid w:val="00273E9A"/>
    <w:rsid w:val="00276543"/>
    <w:rsid w:val="00276C4D"/>
    <w:rsid w:val="0028443B"/>
    <w:rsid w:val="0029120D"/>
    <w:rsid w:val="00291DC2"/>
    <w:rsid w:val="00294A04"/>
    <w:rsid w:val="0029611E"/>
    <w:rsid w:val="0029702F"/>
    <w:rsid w:val="00297492"/>
    <w:rsid w:val="002A0A71"/>
    <w:rsid w:val="002A1C22"/>
    <w:rsid w:val="002A3781"/>
    <w:rsid w:val="002A4111"/>
    <w:rsid w:val="002A7B73"/>
    <w:rsid w:val="002B21EF"/>
    <w:rsid w:val="002B6083"/>
    <w:rsid w:val="002C2181"/>
    <w:rsid w:val="002C69F6"/>
    <w:rsid w:val="002D0E25"/>
    <w:rsid w:val="002D154D"/>
    <w:rsid w:val="002D19CE"/>
    <w:rsid w:val="002D2752"/>
    <w:rsid w:val="002D4484"/>
    <w:rsid w:val="002D5B58"/>
    <w:rsid w:val="002E386B"/>
    <w:rsid w:val="002E4014"/>
    <w:rsid w:val="002E7D61"/>
    <w:rsid w:val="002F0A10"/>
    <w:rsid w:val="002F1519"/>
    <w:rsid w:val="002F64E2"/>
    <w:rsid w:val="002F73CA"/>
    <w:rsid w:val="002F7671"/>
    <w:rsid w:val="002F76D6"/>
    <w:rsid w:val="003023A4"/>
    <w:rsid w:val="00310A81"/>
    <w:rsid w:val="003111FC"/>
    <w:rsid w:val="00316B74"/>
    <w:rsid w:val="00317A62"/>
    <w:rsid w:val="00321896"/>
    <w:rsid w:val="003227DC"/>
    <w:rsid w:val="00323135"/>
    <w:rsid w:val="003252D9"/>
    <w:rsid w:val="0032793D"/>
    <w:rsid w:val="0034086A"/>
    <w:rsid w:val="00343207"/>
    <w:rsid w:val="00356593"/>
    <w:rsid w:val="00356688"/>
    <w:rsid w:val="00360AB9"/>
    <w:rsid w:val="00361B5B"/>
    <w:rsid w:val="00364DC0"/>
    <w:rsid w:val="00366FA6"/>
    <w:rsid w:val="00366FD4"/>
    <w:rsid w:val="0037126E"/>
    <w:rsid w:val="003726C1"/>
    <w:rsid w:val="00373263"/>
    <w:rsid w:val="003735BB"/>
    <w:rsid w:val="003738B8"/>
    <w:rsid w:val="00374010"/>
    <w:rsid w:val="003742EE"/>
    <w:rsid w:val="00377926"/>
    <w:rsid w:val="00377C93"/>
    <w:rsid w:val="00383C86"/>
    <w:rsid w:val="00384E8E"/>
    <w:rsid w:val="003877C1"/>
    <w:rsid w:val="00392E45"/>
    <w:rsid w:val="0039544A"/>
    <w:rsid w:val="003A0905"/>
    <w:rsid w:val="003A0F56"/>
    <w:rsid w:val="003A35EC"/>
    <w:rsid w:val="003A47C3"/>
    <w:rsid w:val="003A5558"/>
    <w:rsid w:val="003A75D6"/>
    <w:rsid w:val="003A7708"/>
    <w:rsid w:val="003B23D5"/>
    <w:rsid w:val="003B38C7"/>
    <w:rsid w:val="003B39FE"/>
    <w:rsid w:val="003C20D4"/>
    <w:rsid w:val="003C30ED"/>
    <w:rsid w:val="003C346E"/>
    <w:rsid w:val="003C4127"/>
    <w:rsid w:val="003C666B"/>
    <w:rsid w:val="003D1784"/>
    <w:rsid w:val="003D211C"/>
    <w:rsid w:val="003D3922"/>
    <w:rsid w:val="003D5028"/>
    <w:rsid w:val="003E10D4"/>
    <w:rsid w:val="003E5009"/>
    <w:rsid w:val="003E5E91"/>
    <w:rsid w:val="003E60EB"/>
    <w:rsid w:val="003E628B"/>
    <w:rsid w:val="003E695B"/>
    <w:rsid w:val="003E69DE"/>
    <w:rsid w:val="003F02CD"/>
    <w:rsid w:val="003F1BFC"/>
    <w:rsid w:val="003F30AF"/>
    <w:rsid w:val="003F4D37"/>
    <w:rsid w:val="003F54DE"/>
    <w:rsid w:val="003F5FB9"/>
    <w:rsid w:val="003F7EE6"/>
    <w:rsid w:val="00403F3B"/>
    <w:rsid w:val="00406FA4"/>
    <w:rsid w:val="00414A1D"/>
    <w:rsid w:val="004172FB"/>
    <w:rsid w:val="0041746A"/>
    <w:rsid w:val="00427A7A"/>
    <w:rsid w:val="00434B9E"/>
    <w:rsid w:val="00435051"/>
    <w:rsid w:val="00437C39"/>
    <w:rsid w:val="00437CFA"/>
    <w:rsid w:val="0044059B"/>
    <w:rsid w:val="00442994"/>
    <w:rsid w:val="00444C3E"/>
    <w:rsid w:val="00445288"/>
    <w:rsid w:val="00447722"/>
    <w:rsid w:val="00450621"/>
    <w:rsid w:val="0045463E"/>
    <w:rsid w:val="00454923"/>
    <w:rsid w:val="004611C9"/>
    <w:rsid w:val="0046259A"/>
    <w:rsid w:val="00463C30"/>
    <w:rsid w:val="00466FA2"/>
    <w:rsid w:val="00470DDC"/>
    <w:rsid w:val="00472346"/>
    <w:rsid w:val="00473393"/>
    <w:rsid w:val="00474C85"/>
    <w:rsid w:val="004803FA"/>
    <w:rsid w:val="004804E5"/>
    <w:rsid w:val="0048170B"/>
    <w:rsid w:val="00482E5E"/>
    <w:rsid w:val="00484BB5"/>
    <w:rsid w:val="004900AA"/>
    <w:rsid w:val="004919FB"/>
    <w:rsid w:val="004935F7"/>
    <w:rsid w:val="004951ED"/>
    <w:rsid w:val="00496E39"/>
    <w:rsid w:val="004A5BF4"/>
    <w:rsid w:val="004A616A"/>
    <w:rsid w:val="004A7EEE"/>
    <w:rsid w:val="004B1FC4"/>
    <w:rsid w:val="004B23ED"/>
    <w:rsid w:val="004B5FD0"/>
    <w:rsid w:val="004B6297"/>
    <w:rsid w:val="004B6806"/>
    <w:rsid w:val="004B6B73"/>
    <w:rsid w:val="004B776F"/>
    <w:rsid w:val="004C0786"/>
    <w:rsid w:val="004C08F9"/>
    <w:rsid w:val="004C2655"/>
    <w:rsid w:val="004C3EBB"/>
    <w:rsid w:val="004C4377"/>
    <w:rsid w:val="004C5A09"/>
    <w:rsid w:val="004C65C3"/>
    <w:rsid w:val="004C6D78"/>
    <w:rsid w:val="004C7127"/>
    <w:rsid w:val="004C7402"/>
    <w:rsid w:val="004D0478"/>
    <w:rsid w:val="004D2273"/>
    <w:rsid w:val="004D4C16"/>
    <w:rsid w:val="004D4E8C"/>
    <w:rsid w:val="004D5018"/>
    <w:rsid w:val="004D5343"/>
    <w:rsid w:val="004D7FF4"/>
    <w:rsid w:val="004E2804"/>
    <w:rsid w:val="004E28CC"/>
    <w:rsid w:val="004E375C"/>
    <w:rsid w:val="004F1957"/>
    <w:rsid w:val="004F60AD"/>
    <w:rsid w:val="004F6859"/>
    <w:rsid w:val="004F7CAE"/>
    <w:rsid w:val="005069A8"/>
    <w:rsid w:val="00506BBA"/>
    <w:rsid w:val="005142BF"/>
    <w:rsid w:val="00514823"/>
    <w:rsid w:val="005154B5"/>
    <w:rsid w:val="005258B7"/>
    <w:rsid w:val="00533377"/>
    <w:rsid w:val="005431E7"/>
    <w:rsid w:val="005437F4"/>
    <w:rsid w:val="0054432E"/>
    <w:rsid w:val="005510F0"/>
    <w:rsid w:val="005555E3"/>
    <w:rsid w:val="00560789"/>
    <w:rsid w:val="005608BE"/>
    <w:rsid w:val="00560B51"/>
    <w:rsid w:val="005610F8"/>
    <w:rsid w:val="005613C1"/>
    <w:rsid w:val="00564414"/>
    <w:rsid w:val="00566E8A"/>
    <w:rsid w:val="0056717F"/>
    <w:rsid w:val="00573243"/>
    <w:rsid w:val="00573667"/>
    <w:rsid w:val="00574E90"/>
    <w:rsid w:val="00577389"/>
    <w:rsid w:val="00580502"/>
    <w:rsid w:val="005811E9"/>
    <w:rsid w:val="0058345C"/>
    <w:rsid w:val="00585FB9"/>
    <w:rsid w:val="00587368"/>
    <w:rsid w:val="00587432"/>
    <w:rsid w:val="00590EA6"/>
    <w:rsid w:val="0059195B"/>
    <w:rsid w:val="005944AD"/>
    <w:rsid w:val="005A0055"/>
    <w:rsid w:val="005A1947"/>
    <w:rsid w:val="005A25F2"/>
    <w:rsid w:val="005A4667"/>
    <w:rsid w:val="005A5244"/>
    <w:rsid w:val="005A73C3"/>
    <w:rsid w:val="005B1DBB"/>
    <w:rsid w:val="005B25D1"/>
    <w:rsid w:val="005B3DB6"/>
    <w:rsid w:val="005B4107"/>
    <w:rsid w:val="005B4823"/>
    <w:rsid w:val="005B5AB9"/>
    <w:rsid w:val="005B5CD7"/>
    <w:rsid w:val="005B61CF"/>
    <w:rsid w:val="005B7D86"/>
    <w:rsid w:val="005C2D06"/>
    <w:rsid w:val="005C3037"/>
    <w:rsid w:val="005C3C6E"/>
    <w:rsid w:val="005C50F3"/>
    <w:rsid w:val="005C6547"/>
    <w:rsid w:val="005C740E"/>
    <w:rsid w:val="005C76CE"/>
    <w:rsid w:val="005D172B"/>
    <w:rsid w:val="005D47BE"/>
    <w:rsid w:val="005D519E"/>
    <w:rsid w:val="005D54B9"/>
    <w:rsid w:val="005D5C87"/>
    <w:rsid w:val="005D6AD8"/>
    <w:rsid w:val="005E48DA"/>
    <w:rsid w:val="005E6E57"/>
    <w:rsid w:val="005E6EF0"/>
    <w:rsid w:val="005F0704"/>
    <w:rsid w:val="005F0C87"/>
    <w:rsid w:val="005F13E5"/>
    <w:rsid w:val="005F1402"/>
    <w:rsid w:val="005F2F58"/>
    <w:rsid w:val="005F40F9"/>
    <w:rsid w:val="005F7C96"/>
    <w:rsid w:val="006069E0"/>
    <w:rsid w:val="00613177"/>
    <w:rsid w:val="00613216"/>
    <w:rsid w:val="00613967"/>
    <w:rsid w:val="006159F6"/>
    <w:rsid w:val="00615BF4"/>
    <w:rsid w:val="00626ADF"/>
    <w:rsid w:val="0062792B"/>
    <w:rsid w:val="006339E4"/>
    <w:rsid w:val="00635019"/>
    <w:rsid w:val="00635227"/>
    <w:rsid w:val="006365A6"/>
    <w:rsid w:val="006417D3"/>
    <w:rsid w:val="00646C66"/>
    <w:rsid w:val="00651C17"/>
    <w:rsid w:val="006552F5"/>
    <w:rsid w:val="006603B6"/>
    <w:rsid w:val="00662679"/>
    <w:rsid w:val="00662938"/>
    <w:rsid w:val="00664535"/>
    <w:rsid w:val="0066469A"/>
    <w:rsid w:val="0066506A"/>
    <w:rsid w:val="00666C10"/>
    <w:rsid w:val="00670DC9"/>
    <w:rsid w:val="00672C2E"/>
    <w:rsid w:val="00677044"/>
    <w:rsid w:val="0067798D"/>
    <w:rsid w:val="00680B51"/>
    <w:rsid w:val="00681581"/>
    <w:rsid w:val="0068165E"/>
    <w:rsid w:val="006817D0"/>
    <w:rsid w:val="006839C1"/>
    <w:rsid w:val="006943E1"/>
    <w:rsid w:val="006971B4"/>
    <w:rsid w:val="006A5EF3"/>
    <w:rsid w:val="006A5F4D"/>
    <w:rsid w:val="006A703A"/>
    <w:rsid w:val="006B25FD"/>
    <w:rsid w:val="006B304D"/>
    <w:rsid w:val="006B5D43"/>
    <w:rsid w:val="006C07D8"/>
    <w:rsid w:val="006C3B6C"/>
    <w:rsid w:val="006C3FCF"/>
    <w:rsid w:val="006C722A"/>
    <w:rsid w:val="006D2B08"/>
    <w:rsid w:val="006D3CAC"/>
    <w:rsid w:val="006D4BB1"/>
    <w:rsid w:val="006D633F"/>
    <w:rsid w:val="006D748D"/>
    <w:rsid w:val="006F3F30"/>
    <w:rsid w:val="006F5386"/>
    <w:rsid w:val="006F6065"/>
    <w:rsid w:val="00701850"/>
    <w:rsid w:val="007027EC"/>
    <w:rsid w:val="00703AF2"/>
    <w:rsid w:val="00706AE5"/>
    <w:rsid w:val="007075C0"/>
    <w:rsid w:val="00707F5F"/>
    <w:rsid w:val="007123EE"/>
    <w:rsid w:val="00712764"/>
    <w:rsid w:val="00720B45"/>
    <w:rsid w:val="0072305C"/>
    <w:rsid w:val="0072373D"/>
    <w:rsid w:val="00726C7C"/>
    <w:rsid w:val="00726F5F"/>
    <w:rsid w:val="0073446E"/>
    <w:rsid w:val="007476F5"/>
    <w:rsid w:val="00747C71"/>
    <w:rsid w:val="007506CF"/>
    <w:rsid w:val="0075080B"/>
    <w:rsid w:val="00754BAF"/>
    <w:rsid w:val="0075535C"/>
    <w:rsid w:val="00760AA9"/>
    <w:rsid w:val="00762034"/>
    <w:rsid w:val="007702B3"/>
    <w:rsid w:val="0077688E"/>
    <w:rsid w:val="00776EF1"/>
    <w:rsid w:val="00777614"/>
    <w:rsid w:val="00777ECD"/>
    <w:rsid w:val="007806A5"/>
    <w:rsid w:val="007839F9"/>
    <w:rsid w:val="007857FD"/>
    <w:rsid w:val="00790146"/>
    <w:rsid w:val="007930E5"/>
    <w:rsid w:val="007952C1"/>
    <w:rsid w:val="00795817"/>
    <w:rsid w:val="00796238"/>
    <w:rsid w:val="007A5A9D"/>
    <w:rsid w:val="007B37F5"/>
    <w:rsid w:val="007B53A6"/>
    <w:rsid w:val="007C2335"/>
    <w:rsid w:val="007C3053"/>
    <w:rsid w:val="007C7B15"/>
    <w:rsid w:val="007D1143"/>
    <w:rsid w:val="007D36BC"/>
    <w:rsid w:val="007D59B7"/>
    <w:rsid w:val="007D5F55"/>
    <w:rsid w:val="007D719C"/>
    <w:rsid w:val="007E0D30"/>
    <w:rsid w:val="007E5ADD"/>
    <w:rsid w:val="007E5D72"/>
    <w:rsid w:val="007E6737"/>
    <w:rsid w:val="007E7A8A"/>
    <w:rsid w:val="007F0442"/>
    <w:rsid w:val="007F2518"/>
    <w:rsid w:val="007F3322"/>
    <w:rsid w:val="007F3551"/>
    <w:rsid w:val="007F627A"/>
    <w:rsid w:val="00800F4D"/>
    <w:rsid w:val="008013C4"/>
    <w:rsid w:val="0080344E"/>
    <w:rsid w:val="00804E72"/>
    <w:rsid w:val="008059A9"/>
    <w:rsid w:val="008064AE"/>
    <w:rsid w:val="0080688F"/>
    <w:rsid w:val="00807953"/>
    <w:rsid w:val="00807C1F"/>
    <w:rsid w:val="008104E0"/>
    <w:rsid w:val="00810B85"/>
    <w:rsid w:val="0081184E"/>
    <w:rsid w:val="00811ED7"/>
    <w:rsid w:val="00812708"/>
    <w:rsid w:val="008142CF"/>
    <w:rsid w:val="00815D25"/>
    <w:rsid w:val="00816E3B"/>
    <w:rsid w:val="008211E9"/>
    <w:rsid w:val="00821456"/>
    <w:rsid w:val="0082218C"/>
    <w:rsid w:val="00825AB5"/>
    <w:rsid w:val="008319CA"/>
    <w:rsid w:val="00833F0B"/>
    <w:rsid w:val="00834279"/>
    <w:rsid w:val="00836E05"/>
    <w:rsid w:val="00836F23"/>
    <w:rsid w:val="008372EB"/>
    <w:rsid w:val="008379C9"/>
    <w:rsid w:val="00837B30"/>
    <w:rsid w:val="008408BB"/>
    <w:rsid w:val="0084506A"/>
    <w:rsid w:val="00845F64"/>
    <w:rsid w:val="00852A6B"/>
    <w:rsid w:val="00853F62"/>
    <w:rsid w:val="00855266"/>
    <w:rsid w:val="00855272"/>
    <w:rsid w:val="008576E7"/>
    <w:rsid w:val="00860F7E"/>
    <w:rsid w:val="00861770"/>
    <w:rsid w:val="00862776"/>
    <w:rsid w:val="00862ED1"/>
    <w:rsid w:val="0086460F"/>
    <w:rsid w:val="00866555"/>
    <w:rsid w:val="0087548E"/>
    <w:rsid w:val="00875EF3"/>
    <w:rsid w:val="00876AD9"/>
    <w:rsid w:val="00877CA3"/>
    <w:rsid w:val="00884883"/>
    <w:rsid w:val="00884A00"/>
    <w:rsid w:val="0088740F"/>
    <w:rsid w:val="00887BFA"/>
    <w:rsid w:val="00887CCB"/>
    <w:rsid w:val="008939BC"/>
    <w:rsid w:val="00893EA3"/>
    <w:rsid w:val="00894A4B"/>
    <w:rsid w:val="00895A09"/>
    <w:rsid w:val="008A0457"/>
    <w:rsid w:val="008A191E"/>
    <w:rsid w:val="008A22A6"/>
    <w:rsid w:val="008A27AC"/>
    <w:rsid w:val="008A7509"/>
    <w:rsid w:val="008B1735"/>
    <w:rsid w:val="008B2E7D"/>
    <w:rsid w:val="008B4CDB"/>
    <w:rsid w:val="008C27F0"/>
    <w:rsid w:val="008C7425"/>
    <w:rsid w:val="008D0F79"/>
    <w:rsid w:val="008D3AE1"/>
    <w:rsid w:val="008D4019"/>
    <w:rsid w:val="008D7D90"/>
    <w:rsid w:val="008E1327"/>
    <w:rsid w:val="008E179D"/>
    <w:rsid w:val="008E3CEA"/>
    <w:rsid w:val="008E4430"/>
    <w:rsid w:val="008F1928"/>
    <w:rsid w:val="008F2A4B"/>
    <w:rsid w:val="0090191A"/>
    <w:rsid w:val="00903111"/>
    <w:rsid w:val="00904E21"/>
    <w:rsid w:val="00904F92"/>
    <w:rsid w:val="00905708"/>
    <w:rsid w:val="00907028"/>
    <w:rsid w:val="00907852"/>
    <w:rsid w:val="00907F9B"/>
    <w:rsid w:val="00910A33"/>
    <w:rsid w:val="00914288"/>
    <w:rsid w:val="0092258E"/>
    <w:rsid w:val="0092389E"/>
    <w:rsid w:val="00925D2A"/>
    <w:rsid w:val="00926EEB"/>
    <w:rsid w:val="009305F8"/>
    <w:rsid w:val="00930E62"/>
    <w:rsid w:val="00931F21"/>
    <w:rsid w:val="00932D4F"/>
    <w:rsid w:val="009352E1"/>
    <w:rsid w:val="00935CB0"/>
    <w:rsid w:val="00936239"/>
    <w:rsid w:val="00937CF6"/>
    <w:rsid w:val="00940DAC"/>
    <w:rsid w:val="00944D4B"/>
    <w:rsid w:val="0094737E"/>
    <w:rsid w:val="0095057B"/>
    <w:rsid w:val="00951D16"/>
    <w:rsid w:val="00953810"/>
    <w:rsid w:val="00955153"/>
    <w:rsid w:val="0095575D"/>
    <w:rsid w:val="00970708"/>
    <w:rsid w:val="00971F0E"/>
    <w:rsid w:val="00976033"/>
    <w:rsid w:val="00977AEC"/>
    <w:rsid w:val="009800C0"/>
    <w:rsid w:val="00981659"/>
    <w:rsid w:val="009838F4"/>
    <w:rsid w:val="009856A0"/>
    <w:rsid w:val="009861C3"/>
    <w:rsid w:val="009866A1"/>
    <w:rsid w:val="00990995"/>
    <w:rsid w:val="00991C86"/>
    <w:rsid w:val="00992361"/>
    <w:rsid w:val="009939F7"/>
    <w:rsid w:val="00994AF2"/>
    <w:rsid w:val="00995D73"/>
    <w:rsid w:val="0099613C"/>
    <w:rsid w:val="009A0A23"/>
    <w:rsid w:val="009A5B53"/>
    <w:rsid w:val="009A6D16"/>
    <w:rsid w:val="009A721B"/>
    <w:rsid w:val="009A7EEC"/>
    <w:rsid w:val="009B3732"/>
    <w:rsid w:val="009B3F1A"/>
    <w:rsid w:val="009B6A23"/>
    <w:rsid w:val="009C2607"/>
    <w:rsid w:val="009D0B40"/>
    <w:rsid w:val="009D0DC8"/>
    <w:rsid w:val="009D3DA3"/>
    <w:rsid w:val="009D4C72"/>
    <w:rsid w:val="009D57BB"/>
    <w:rsid w:val="009E2ACD"/>
    <w:rsid w:val="009E465B"/>
    <w:rsid w:val="009E4A94"/>
    <w:rsid w:val="009E5915"/>
    <w:rsid w:val="009F113F"/>
    <w:rsid w:val="009F1747"/>
    <w:rsid w:val="009F3F8E"/>
    <w:rsid w:val="009F6483"/>
    <w:rsid w:val="009F755A"/>
    <w:rsid w:val="009F7E36"/>
    <w:rsid w:val="00A01877"/>
    <w:rsid w:val="00A02EC6"/>
    <w:rsid w:val="00A043E4"/>
    <w:rsid w:val="00A0605A"/>
    <w:rsid w:val="00A06D2E"/>
    <w:rsid w:val="00A0718F"/>
    <w:rsid w:val="00A146D9"/>
    <w:rsid w:val="00A261D1"/>
    <w:rsid w:val="00A309E9"/>
    <w:rsid w:val="00A31D3A"/>
    <w:rsid w:val="00A321FC"/>
    <w:rsid w:val="00A344B9"/>
    <w:rsid w:val="00A354F4"/>
    <w:rsid w:val="00A42044"/>
    <w:rsid w:val="00A42890"/>
    <w:rsid w:val="00A45834"/>
    <w:rsid w:val="00A4659F"/>
    <w:rsid w:val="00A46C3C"/>
    <w:rsid w:val="00A471E1"/>
    <w:rsid w:val="00A51914"/>
    <w:rsid w:val="00A51A31"/>
    <w:rsid w:val="00A5206D"/>
    <w:rsid w:val="00A542CB"/>
    <w:rsid w:val="00A54E4E"/>
    <w:rsid w:val="00A558AD"/>
    <w:rsid w:val="00A618A0"/>
    <w:rsid w:val="00A64161"/>
    <w:rsid w:val="00A65A63"/>
    <w:rsid w:val="00A65EBA"/>
    <w:rsid w:val="00A74915"/>
    <w:rsid w:val="00A75B49"/>
    <w:rsid w:val="00A829B4"/>
    <w:rsid w:val="00A93533"/>
    <w:rsid w:val="00A93F41"/>
    <w:rsid w:val="00AA1EA8"/>
    <w:rsid w:val="00AA2240"/>
    <w:rsid w:val="00AA2677"/>
    <w:rsid w:val="00AA2C4D"/>
    <w:rsid w:val="00AA3222"/>
    <w:rsid w:val="00AA35C7"/>
    <w:rsid w:val="00AA3803"/>
    <w:rsid w:val="00AA56EF"/>
    <w:rsid w:val="00AA5724"/>
    <w:rsid w:val="00AA64B1"/>
    <w:rsid w:val="00AB1663"/>
    <w:rsid w:val="00AB1D61"/>
    <w:rsid w:val="00AB318F"/>
    <w:rsid w:val="00AB4FCF"/>
    <w:rsid w:val="00AB5FF7"/>
    <w:rsid w:val="00AC0B20"/>
    <w:rsid w:val="00AC0FBE"/>
    <w:rsid w:val="00AC153E"/>
    <w:rsid w:val="00AC1B29"/>
    <w:rsid w:val="00AC4F6B"/>
    <w:rsid w:val="00AC7605"/>
    <w:rsid w:val="00AD6EBE"/>
    <w:rsid w:val="00AD73A6"/>
    <w:rsid w:val="00AF1674"/>
    <w:rsid w:val="00B000D8"/>
    <w:rsid w:val="00B00B9B"/>
    <w:rsid w:val="00B03DAF"/>
    <w:rsid w:val="00B041B3"/>
    <w:rsid w:val="00B0628B"/>
    <w:rsid w:val="00B11268"/>
    <w:rsid w:val="00B134CC"/>
    <w:rsid w:val="00B16C50"/>
    <w:rsid w:val="00B20A0A"/>
    <w:rsid w:val="00B21506"/>
    <w:rsid w:val="00B22521"/>
    <w:rsid w:val="00B2392B"/>
    <w:rsid w:val="00B30171"/>
    <w:rsid w:val="00B3032A"/>
    <w:rsid w:val="00B30D5F"/>
    <w:rsid w:val="00B310B3"/>
    <w:rsid w:val="00B335A6"/>
    <w:rsid w:val="00B336D9"/>
    <w:rsid w:val="00B34754"/>
    <w:rsid w:val="00B34B87"/>
    <w:rsid w:val="00B34F9C"/>
    <w:rsid w:val="00B406D2"/>
    <w:rsid w:val="00B40937"/>
    <w:rsid w:val="00B40F35"/>
    <w:rsid w:val="00B41DD2"/>
    <w:rsid w:val="00B47795"/>
    <w:rsid w:val="00B52A9D"/>
    <w:rsid w:val="00B53156"/>
    <w:rsid w:val="00B61239"/>
    <w:rsid w:val="00B63997"/>
    <w:rsid w:val="00B7167F"/>
    <w:rsid w:val="00B72AC4"/>
    <w:rsid w:val="00B73CE7"/>
    <w:rsid w:val="00B74269"/>
    <w:rsid w:val="00B80317"/>
    <w:rsid w:val="00B81C37"/>
    <w:rsid w:val="00B84C29"/>
    <w:rsid w:val="00B90CE6"/>
    <w:rsid w:val="00B95DC2"/>
    <w:rsid w:val="00BA3413"/>
    <w:rsid w:val="00BA3604"/>
    <w:rsid w:val="00BA6910"/>
    <w:rsid w:val="00BB2CA9"/>
    <w:rsid w:val="00BB3686"/>
    <w:rsid w:val="00BC2343"/>
    <w:rsid w:val="00BC38DF"/>
    <w:rsid w:val="00BC63EA"/>
    <w:rsid w:val="00BC6667"/>
    <w:rsid w:val="00BC6FFC"/>
    <w:rsid w:val="00BC7626"/>
    <w:rsid w:val="00BC792E"/>
    <w:rsid w:val="00BD0273"/>
    <w:rsid w:val="00BD0323"/>
    <w:rsid w:val="00BD0B6C"/>
    <w:rsid w:val="00BD2166"/>
    <w:rsid w:val="00BD3C2A"/>
    <w:rsid w:val="00BD63F3"/>
    <w:rsid w:val="00BD7FBF"/>
    <w:rsid w:val="00BE09DB"/>
    <w:rsid w:val="00BE4E4F"/>
    <w:rsid w:val="00BF0622"/>
    <w:rsid w:val="00BF0A33"/>
    <w:rsid w:val="00BF19B2"/>
    <w:rsid w:val="00BF31B1"/>
    <w:rsid w:val="00BF3530"/>
    <w:rsid w:val="00BF379B"/>
    <w:rsid w:val="00BF78D7"/>
    <w:rsid w:val="00C0204F"/>
    <w:rsid w:val="00C03384"/>
    <w:rsid w:val="00C03BDC"/>
    <w:rsid w:val="00C13125"/>
    <w:rsid w:val="00C15475"/>
    <w:rsid w:val="00C17FC8"/>
    <w:rsid w:val="00C21684"/>
    <w:rsid w:val="00C2392F"/>
    <w:rsid w:val="00C24776"/>
    <w:rsid w:val="00C25D42"/>
    <w:rsid w:val="00C27263"/>
    <w:rsid w:val="00C31465"/>
    <w:rsid w:val="00C321F3"/>
    <w:rsid w:val="00C34947"/>
    <w:rsid w:val="00C35B82"/>
    <w:rsid w:val="00C36698"/>
    <w:rsid w:val="00C435FA"/>
    <w:rsid w:val="00C44D9E"/>
    <w:rsid w:val="00C45807"/>
    <w:rsid w:val="00C47FA0"/>
    <w:rsid w:val="00C5621F"/>
    <w:rsid w:val="00C57642"/>
    <w:rsid w:val="00C576AA"/>
    <w:rsid w:val="00C679C8"/>
    <w:rsid w:val="00C67F0C"/>
    <w:rsid w:val="00C711D1"/>
    <w:rsid w:val="00C718FD"/>
    <w:rsid w:val="00C71EC9"/>
    <w:rsid w:val="00C8092A"/>
    <w:rsid w:val="00C82E34"/>
    <w:rsid w:val="00C83E51"/>
    <w:rsid w:val="00C86C69"/>
    <w:rsid w:val="00C87D31"/>
    <w:rsid w:val="00C90375"/>
    <w:rsid w:val="00C90DFC"/>
    <w:rsid w:val="00C92D14"/>
    <w:rsid w:val="00C9413F"/>
    <w:rsid w:val="00C94334"/>
    <w:rsid w:val="00C943A8"/>
    <w:rsid w:val="00C945D1"/>
    <w:rsid w:val="00C95913"/>
    <w:rsid w:val="00C962C6"/>
    <w:rsid w:val="00CA0053"/>
    <w:rsid w:val="00CA4269"/>
    <w:rsid w:val="00CB0C3E"/>
    <w:rsid w:val="00CB0D06"/>
    <w:rsid w:val="00CB0F57"/>
    <w:rsid w:val="00CB1814"/>
    <w:rsid w:val="00CB2227"/>
    <w:rsid w:val="00CB53C8"/>
    <w:rsid w:val="00CB6304"/>
    <w:rsid w:val="00CC2D18"/>
    <w:rsid w:val="00CC4C47"/>
    <w:rsid w:val="00CC4E7E"/>
    <w:rsid w:val="00CC52B1"/>
    <w:rsid w:val="00CC6C0E"/>
    <w:rsid w:val="00CD262D"/>
    <w:rsid w:val="00CD3A14"/>
    <w:rsid w:val="00CD44AC"/>
    <w:rsid w:val="00CE2A76"/>
    <w:rsid w:val="00CE61E2"/>
    <w:rsid w:val="00CE729F"/>
    <w:rsid w:val="00CE77D3"/>
    <w:rsid w:val="00CF07F9"/>
    <w:rsid w:val="00CF48ED"/>
    <w:rsid w:val="00CF70FA"/>
    <w:rsid w:val="00D00003"/>
    <w:rsid w:val="00D03114"/>
    <w:rsid w:val="00D06FC7"/>
    <w:rsid w:val="00D135B9"/>
    <w:rsid w:val="00D136B1"/>
    <w:rsid w:val="00D14811"/>
    <w:rsid w:val="00D16202"/>
    <w:rsid w:val="00D17411"/>
    <w:rsid w:val="00D17A87"/>
    <w:rsid w:val="00D17E81"/>
    <w:rsid w:val="00D26EB9"/>
    <w:rsid w:val="00D30E37"/>
    <w:rsid w:val="00D32A2E"/>
    <w:rsid w:val="00D41EF0"/>
    <w:rsid w:val="00D4399D"/>
    <w:rsid w:val="00D46328"/>
    <w:rsid w:val="00D472AD"/>
    <w:rsid w:val="00D50530"/>
    <w:rsid w:val="00D5065C"/>
    <w:rsid w:val="00D510DC"/>
    <w:rsid w:val="00D52656"/>
    <w:rsid w:val="00D535E0"/>
    <w:rsid w:val="00D56B34"/>
    <w:rsid w:val="00D57C63"/>
    <w:rsid w:val="00D60769"/>
    <w:rsid w:val="00D61729"/>
    <w:rsid w:val="00D6212F"/>
    <w:rsid w:val="00D65EC2"/>
    <w:rsid w:val="00D75BA9"/>
    <w:rsid w:val="00D81C47"/>
    <w:rsid w:val="00D81E61"/>
    <w:rsid w:val="00D863D3"/>
    <w:rsid w:val="00D865F8"/>
    <w:rsid w:val="00D87586"/>
    <w:rsid w:val="00D909E1"/>
    <w:rsid w:val="00D90F3D"/>
    <w:rsid w:val="00D923D6"/>
    <w:rsid w:val="00D971D7"/>
    <w:rsid w:val="00DA07D9"/>
    <w:rsid w:val="00DA18F6"/>
    <w:rsid w:val="00DA1A27"/>
    <w:rsid w:val="00DA289E"/>
    <w:rsid w:val="00DA2A67"/>
    <w:rsid w:val="00DB05FB"/>
    <w:rsid w:val="00DB1786"/>
    <w:rsid w:val="00DB2429"/>
    <w:rsid w:val="00DB45AF"/>
    <w:rsid w:val="00DC0C7F"/>
    <w:rsid w:val="00DC1126"/>
    <w:rsid w:val="00DC27AD"/>
    <w:rsid w:val="00DC2E2D"/>
    <w:rsid w:val="00DC64A3"/>
    <w:rsid w:val="00DC78D3"/>
    <w:rsid w:val="00DC7C5E"/>
    <w:rsid w:val="00DD0240"/>
    <w:rsid w:val="00DD57B8"/>
    <w:rsid w:val="00DE0749"/>
    <w:rsid w:val="00DE08E9"/>
    <w:rsid w:val="00DE363E"/>
    <w:rsid w:val="00DE668B"/>
    <w:rsid w:val="00DE73C3"/>
    <w:rsid w:val="00DF058F"/>
    <w:rsid w:val="00DF0A9A"/>
    <w:rsid w:val="00DF15C5"/>
    <w:rsid w:val="00DF19B8"/>
    <w:rsid w:val="00DF42C3"/>
    <w:rsid w:val="00DF6BBD"/>
    <w:rsid w:val="00DF7F03"/>
    <w:rsid w:val="00E02187"/>
    <w:rsid w:val="00E02D8C"/>
    <w:rsid w:val="00E03764"/>
    <w:rsid w:val="00E05E7B"/>
    <w:rsid w:val="00E078D5"/>
    <w:rsid w:val="00E10DDC"/>
    <w:rsid w:val="00E132C0"/>
    <w:rsid w:val="00E14CFB"/>
    <w:rsid w:val="00E20817"/>
    <w:rsid w:val="00E25BDA"/>
    <w:rsid w:val="00E25F4D"/>
    <w:rsid w:val="00E27740"/>
    <w:rsid w:val="00E33543"/>
    <w:rsid w:val="00E34A37"/>
    <w:rsid w:val="00E44CA3"/>
    <w:rsid w:val="00E45947"/>
    <w:rsid w:val="00E53D0C"/>
    <w:rsid w:val="00E56B30"/>
    <w:rsid w:val="00E60B63"/>
    <w:rsid w:val="00E63333"/>
    <w:rsid w:val="00E6439E"/>
    <w:rsid w:val="00E713E6"/>
    <w:rsid w:val="00E722FE"/>
    <w:rsid w:val="00E728E5"/>
    <w:rsid w:val="00E72F4D"/>
    <w:rsid w:val="00E731C9"/>
    <w:rsid w:val="00E747F0"/>
    <w:rsid w:val="00E77636"/>
    <w:rsid w:val="00E8097B"/>
    <w:rsid w:val="00E95CE8"/>
    <w:rsid w:val="00E962C2"/>
    <w:rsid w:val="00E97472"/>
    <w:rsid w:val="00EA0A84"/>
    <w:rsid w:val="00EA1A60"/>
    <w:rsid w:val="00EA3947"/>
    <w:rsid w:val="00EB1C50"/>
    <w:rsid w:val="00EB4FD4"/>
    <w:rsid w:val="00EB66F1"/>
    <w:rsid w:val="00EC122D"/>
    <w:rsid w:val="00EC5DD7"/>
    <w:rsid w:val="00ED3CF7"/>
    <w:rsid w:val="00ED50A1"/>
    <w:rsid w:val="00ED7B99"/>
    <w:rsid w:val="00EE0377"/>
    <w:rsid w:val="00EE20EB"/>
    <w:rsid w:val="00EE4FEA"/>
    <w:rsid w:val="00EF0AB1"/>
    <w:rsid w:val="00EF17AA"/>
    <w:rsid w:val="00EF579D"/>
    <w:rsid w:val="00EF75B3"/>
    <w:rsid w:val="00EF7E0C"/>
    <w:rsid w:val="00F00D41"/>
    <w:rsid w:val="00F0172B"/>
    <w:rsid w:val="00F0302C"/>
    <w:rsid w:val="00F05E1E"/>
    <w:rsid w:val="00F06360"/>
    <w:rsid w:val="00F06EEF"/>
    <w:rsid w:val="00F074D2"/>
    <w:rsid w:val="00F12C22"/>
    <w:rsid w:val="00F136D9"/>
    <w:rsid w:val="00F13AAB"/>
    <w:rsid w:val="00F13D5B"/>
    <w:rsid w:val="00F148A9"/>
    <w:rsid w:val="00F21B5F"/>
    <w:rsid w:val="00F228C5"/>
    <w:rsid w:val="00F232E9"/>
    <w:rsid w:val="00F23EEA"/>
    <w:rsid w:val="00F303BD"/>
    <w:rsid w:val="00F3263F"/>
    <w:rsid w:val="00F37AE5"/>
    <w:rsid w:val="00F4454C"/>
    <w:rsid w:val="00F4493B"/>
    <w:rsid w:val="00F47676"/>
    <w:rsid w:val="00F5677C"/>
    <w:rsid w:val="00F61544"/>
    <w:rsid w:val="00F61A77"/>
    <w:rsid w:val="00F655A9"/>
    <w:rsid w:val="00F65F98"/>
    <w:rsid w:val="00F66F1F"/>
    <w:rsid w:val="00F66F8F"/>
    <w:rsid w:val="00F67814"/>
    <w:rsid w:val="00F70C5C"/>
    <w:rsid w:val="00F735AE"/>
    <w:rsid w:val="00F74EAF"/>
    <w:rsid w:val="00F77233"/>
    <w:rsid w:val="00F81116"/>
    <w:rsid w:val="00F81BD1"/>
    <w:rsid w:val="00F8372B"/>
    <w:rsid w:val="00F92B24"/>
    <w:rsid w:val="00F95146"/>
    <w:rsid w:val="00F9675E"/>
    <w:rsid w:val="00FA0B90"/>
    <w:rsid w:val="00FA1550"/>
    <w:rsid w:val="00FA1AC1"/>
    <w:rsid w:val="00FA3E35"/>
    <w:rsid w:val="00FA46DC"/>
    <w:rsid w:val="00FA6933"/>
    <w:rsid w:val="00FB059C"/>
    <w:rsid w:val="00FB0CF8"/>
    <w:rsid w:val="00FB261B"/>
    <w:rsid w:val="00FB4EB7"/>
    <w:rsid w:val="00FB645C"/>
    <w:rsid w:val="00FC1BE7"/>
    <w:rsid w:val="00FC378A"/>
    <w:rsid w:val="00FC686B"/>
    <w:rsid w:val="00FC7615"/>
    <w:rsid w:val="00FC79FA"/>
    <w:rsid w:val="00FD330C"/>
    <w:rsid w:val="00FD4E2F"/>
    <w:rsid w:val="00FD513A"/>
    <w:rsid w:val="00FD6405"/>
    <w:rsid w:val="00FD71B3"/>
    <w:rsid w:val="00FE01C1"/>
    <w:rsid w:val="00FE26AC"/>
    <w:rsid w:val="00FF2732"/>
    <w:rsid w:val="00FF2D7D"/>
    <w:rsid w:val="00FF4CF0"/>
    <w:rsid w:val="00FF545D"/>
    <w:rsid w:val="00FF66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7D8F8"/>
  <w15:docId w15:val="{B211D995-90A8-47DD-89BB-00C87529B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F3D"/>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74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iPriority w:val="99"/>
    <w:unhideWhenUsed/>
    <w:qFormat/>
    <w:rsid w:val="00C36698"/>
    <w:rPr>
      <w:vertAlign w:val="superscript"/>
    </w:rPr>
  </w:style>
  <w:style w:type="paragraph" w:customStyle="1" w:styleId="1TitPrin">
    <w:name w:val="1TitPrin"/>
    <w:basedOn w:val="Ttulo1"/>
    <w:link w:val="1TitPrinCar"/>
    <w:autoRedefine/>
    <w:qFormat/>
    <w:rsid w:val="00E10DDC"/>
    <w:pPr>
      <w:keepNext w:val="0"/>
      <w:keepLines w:val="0"/>
      <w:framePr w:hSpace="141" w:wrap="around" w:vAnchor="text" w:hAnchor="text" w:y="1"/>
      <w:spacing w:before="0"/>
      <w:suppressOverlap/>
      <w:jc w:val="both"/>
      <w:outlineLvl w:val="1"/>
    </w:pPr>
    <w:rPr>
      <w:rFonts w:ascii="Arial" w:eastAsia="Times New Roman" w:hAnsi="Arial" w:cs="Arial"/>
      <w:b w:val="0"/>
      <w:color w:val="000000"/>
      <w:sz w:val="22"/>
      <w:szCs w:val="20"/>
      <w:lang w:eastAsia="es-MX"/>
    </w:rPr>
  </w:style>
  <w:style w:type="character" w:customStyle="1" w:styleId="1TitPrinCar">
    <w:name w:val="1TitPrin Car"/>
    <w:link w:val="1TitPrin"/>
    <w:rsid w:val="00E10DDC"/>
    <w:rPr>
      <w:rFonts w:ascii="Arial" w:eastAsia="Times New Roman" w:hAnsi="Arial" w:cs="Arial"/>
      <w:bCs/>
      <w:color w:val="000000"/>
      <w:szCs w:val="20"/>
      <w:lang w:eastAsia="es-MX"/>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1"/>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C36698"/>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nhideWhenUsed/>
    <w:rsid w:val="00BD2166"/>
    <w:rPr>
      <w:sz w:val="16"/>
      <w:szCs w:val="16"/>
    </w:rPr>
  </w:style>
  <w:style w:type="paragraph" w:styleId="Textocomentario">
    <w:name w:val="annotation text"/>
    <w:basedOn w:val="Normal"/>
    <w:link w:val="TextocomentarioCar"/>
    <w:unhideWhenUsed/>
    <w:rsid w:val="00BD2166"/>
    <w:pPr>
      <w:spacing w:line="240" w:lineRule="auto"/>
    </w:pPr>
    <w:rPr>
      <w:sz w:val="20"/>
      <w:szCs w:val="20"/>
    </w:rPr>
  </w:style>
  <w:style w:type="character" w:customStyle="1" w:styleId="TextocomentarioCar">
    <w:name w:val="Texto comentario Car"/>
    <w:basedOn w:val="Fuentedeprrafopredeter"/>
    <w:link w:val="Textocomentario"/>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customStyle="1" w:styleId="4TitCuar">
    <w:name w:val="4TitCuar"/>
    <w:basedOn w:val="Ttulo2"/>
    <w:link w:val="4TitCuarCar"/>
    <w:qFormat/>
    <w:rsid w:val="00374010"/>
    <w:pPr>
      <w:keepLines w:val="0"/>
      <w:spacing w:before="0" w:after="200"/>
      <w:ind w:left="1474" w:hanging="1474"/>
      <w:jc w:val="both"/>
      <w:outlineLvl w:val="2"/>
    </w:pPr>
    <w:rPr>
      <w:rFonts w:ascii="ITC Avant Garde" w:eastAsia="Times New Roman" w:hAnsi="ITC Avant Garde" w:cs="Arial"/>
      <w:bCs/>
      <w:color w:val="auto"/>
      <w:sz w:val="22"/>
      <w:szCs w:val="22"/>
    </w:rPr>
  </w:style>
  <w:style w:type="character" w:customStyle="1" w:styleId="4TitCuarCar">
    <w:name w:val="4TitCuar Car"/>
    <w:basedOn w:val="Fuentedeprrafopredeter"/>
    <w:link w:val="4TitCuar"/>
    <w:rsid w:val="00374010"/>
    <w:rPr>
      <w:rFonts w:ascii="ITC Avant Garde" w:eastAsia="Times New Roman" w:hAnsi="ITC Avant Garde" w:cs="Arial"/>
      <w:bCs/>
    </w:rPr>
  </w:style>
  <w:style w:type="character" w:customStyle="1" w:styleId="Ttulo2Car">
    <w:name w:val="Título 2 Car"/>
    <w:basedOn w:val="Fuentedeprrafopredeter"/>
    <w:link w:val="Ttulo2"/>
    <w:uiPriority w:val="9"/>
    <w:rsid w:val="00374010"/>
    <w:rPr>
      <w:rFonts w:asciiTheme="majorHAnsi" w:eastAsiaTheme="majorEastAsia" w:hAnsiTheme="majorHAnsi" w:cstheme="majorBidi"/>
      <w:color w:val="365F91" w:themeColor="accent1" w:themeShade="BF"/>
      <w:sz w:val="26"/>
      <w:szCs w:val="26"/>
    </w:rPr>
  </w:style>
  <w:style w:type="paragraph" w:styleId="Revisin">
    <w:name w:val="Revision"/>
    <w:hidden/>
    <w:uiPriority w:val="99"/>
    <w:semiHidden/>
    <w:rsid w:val="00C03BDC"/>
    <w:pPr>
      <w:spacing w:after="0" w:line="240" w:lineRule="auto"/>
    </w:pPr>
  </w:style>
  <w:style w:type="paragraph" w:customStyle="1" w:styleId="pf0">
    <w:name w:val="pf0"/>
    <w:basedOn w:val="Normal"/>
    <w:rsid w:val="00FF4CF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f01">
    <w:name w:val="cf01"/>
    <w:basedOn w:val="Fuentedeprrafopredeter"/>
    <w:rsid w:val="00FF4CF0"/>
    <w:rPr>
      <w:rFonts w:ascii="Segoe UI" w:hAnsi="Segoe UI" w:cs="Segoe UI" w:hint="default"/>
      <w:sz w:val="18"/>
      <w:szCs w:val="18"/>
    </w:rPr>
  </w:style>
  <w:style w:type="character" w:customStyle="1" w:styleId="cf11">
    <w:name w:val="cf11"/>
    <w:basedOn w:val="Fuentedeprrafopredeter"/>
    <w:rsid w:val="00FF4CF0"/>
    <w:rPr>
      <w:rFonts w:ascii="Segoe UI" w:hAnsi="Segoe UI" w:cs="Segoe UI" w:hint="default"/>
      <w:i/>
      <w:iCs/>
      <w:sz w:val="18"/>
      <w:szCs w:val="18"/>
    </w:rPr>
  </w:style>
  <w:style w:type="paragraph" w:customStyle="1" w:styleId="xxxPiedeCuadroconnombre">
    <w:name w:val="xxx Pie de Cuadro con nombre"/>
    <w:basedOn w:val="Normal"/>
    <w:qFormat/>
    <w:rsid w:val="00514823"/>
    <w:pPr>
      <w:spacing w:before="120" w:after="0"/>
      <w:ind w:left="284"/>
    </w:pPr>
    <w:rPr>
      <w:rFonts w:ascii="Arial" w:hAnsi="Arial" w:cs="Arial"/>
      <w:b/>
      <w:sz w:val="20"/>
    </w:rPr>
  </w:style>
  <w:style w:type="paragraph" w:customStyle="1" w:styleId="Texto">
    <w:name w:val="Texto"/>
    <w:basedOn w:val="Normal"/>
    <w:link w:val="TextoCar"/>
    <w:rsid w:val="00B40937"/>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B40937"/>
    <w:rPr>
      <w:rFonts w:ascii="Arial" w:eastAsia="Times New Roman" w:hAnsi="Arial" w:cs="Arial"/>
      <w:sz w:val="18"/>
      <w:szCs w:val="20"/>
      <w:lang w:val="es-ES" w:eastAsia="es-ES"/>
    </w:rPr>
  </w:style>
  <w:style w:type="paragraph" w:customStyle="1" w:styleId="CondicionesFinales">
    <w:name w:val="CondicionesFinales"/>
    <w:basedOn w:val="Normal"/>
    <w:qFormat/>
    <w:rsid w:val="00726F5F"/>
    <w:pPr>
      <w:adjustRightInd w:val="0"/>
      <w:spacing w:after="0"/>
      <w:ind w:left="851" w:right="760"/>
      <w:jc w:val="both"/>
    </w:pPr>
    <w:rPr>
      <w:rFonts w:ascii="Arial" w:eastAsia="Times New Roman" w:hAnsi="Arial" w:cs="Arial"/>
      <w:bCs/>
      <w:color w:val="000000"/>
      <w:lang w:val="es-ES_tradnl" w:eastAsia="es-ES"/>
    </w:rPr>
  </w:style>
  <w:style w:type="table" w:customStyle="1" w:styleId="Tablaconcuadrcula3">
    <w:name w:val="Tabla con cuadrícula3"/>
    <w:basedOn w:val="Tablanormal"/>
    <w:next w:val="Tablaconcuadrcula"/>
    <w:uiPriority w:val="59"/>
    <w:rsid w:val="00852A6B"/>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852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clara">
    <w:name w:val="Grid Table Light"/>
    <w:basedOn w:val="Tablanormal"/>
    <w:uiPriority w:val="99"/>
    <w:rsid w:val="00361B5B"/>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ipervnculo">
    <w:name w:val="Hyperlink"/>
    <w:basedOn w:val="Fuentedeprrafopredeter"/>
    <w:uiPriority w:val="99"/>
    <w:unhideWhenUsed/>
    <w:rsid w:val="00E722FE"/>
    <w:rPr>
      <w:color w:val="0000FF" w:themeColor="hyperlink"/>
      <w:u w:val="single"/>
    </w:rPr>
  </w:style>
  <w:style w:type="paragraph" w:styleId="NormalWeb">
    <w:name w:val="Normal (Web)"/>
    <w:basedOn w:val="Normal"/>
    <w:uiPriority w:val="99"/>
    <w:semiHidden/>
    <w:unhideWhenUsed/>
    <w:rsid w:val="00B16C5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B16C50"/>
    <w:rPr>
      <w:b/>
      <w:bCs/>
    </w:rPr>
  </w:style>
  <w:style w:type="table" w:styleId="Tablanormal1">
    <w:name w:val="Plain Table 1"/>
    <w:basedOn w:val="Tablanormal"/>
    <w:uiPriority w:val="41"/>
    <w:rsid w:val="00AA2677"/>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55148">
      <w:bodyDiv w:val="1"/>
      <w:marLeft w:val="0"/>
      <w:marRight w:val="0"/>
      <w:marTop w:val="0"/>
      <w:marBottom w:val="0"/>
      <w:divBdr>
        <w:top w:val="none" w:sz="0" w:space="0" w:color="auto"/>
        <w:left w:val="none" w:sz="0" w:space="0" w:color="auto"/>
        <w:bottom w:val="none" w:sz="0" w:space="0" w:color="auto"/>
        <w:right w:val="none" w:sz="0" w:space="0" w:color="auto"/>
      </w:divBdr>
    </w:div>
    <w:div w:id="100344498">
      <w:bodyDiv w:val="1"/>
      <w:marLeft w:val="0"/>
      <w:marRight w:val="0"/>
      <w:marTop w:val="0"/>
      <w:marBottom w:val="0"/>
      <w:divBdr>
        <w:top w:val="none" w:sz="0" w:space="0" w:color="auto"/>
        <w:left w:val="none" w:sz="0" w:space="0" w:color="auto"/>
        <w:bottom w:val="none" w:sz="0" w:space="0" w:color="auto"/>
        <w:right w:val="none" w:sz="0" w:space="0" w:color="auto"/>
      </w:divBdr>
    </w:div>
    <w:div w:id="163787789">
      <w:bodyDiv w:val="1"/>
      <w:marLeft w:val="0"/>
      <w:marRight w:val="0"/>
      <w:marTop w:val="0"/>
      <w:marBottom w:val="0"/>
      <w:divBdr>
        <w:top w:val="none" w:sz="0" w:space="0" w:color="auto"/>
        <w:left w:val="none" w:sz="0" w:space="0" w:color="auto"/>
        <w:bottom w:val="none" w:sz="0" w:space="0" w:color="auto"/>
        <w:right w:val="none" w:sz="0" w:space="0" w:color="auto"/>
      </w:divBdr>
    </w:div>
    <w:div w:id="318273049">
      <w:bodyDiv w:val="1"/>
      <w:marLeft w:val="0"/>
      <w:marRight w:val="0"/>
      <w:marTop w:val="0"/>
      <w:marBottom w:val="0"/>
      <w:divBdr>
        <w:top w:val="none" w:sz="0" w:space="0" w:color="auto"/>
        <w:left w:val="none" w:sz="0" w:space="0" w:color="auto"/>
        <w:bottom w:val="none" w:sz="0" w:space="0" w:color="auto"/>
        <w:right w:val="none" w:sz="0" w:space="0" w:color="auto"/>
      </w:divBdr>
    </w:div>
    <w:div w:id="383721350">
      <w:bodyDiv w:val="1"/>
      <w:marLeft w:val="0"/>
      <w:marRight w:val="0"/>
      <w:marTop w:val="0"/>
      <w:marBottom w:val="0"/>
      <w:divBdr>
        <w:top w:val="none" w:sz="0" w:space="0" w:color="auto"/>
        <w:left w:val="none" w:sz="0" w:space="0" w:color="auto"/>
        <w:bottom w:val="none" w:sz="0" w:space="0" w:color="auto"/>
        <w:right w:val="none" w:sz="0" w:space="0" w:color="auto"/>
      </w:divBdr>
    </w:div>
    <w:div w:id="413283986">
      <w:bodyDiv w:val="1"/>
      <w:marLeft w:val="0"/>
      <w:marRight w:val="0"/>
      <w:marTop w:val="0"/>
      <w:marBottom w:val="0"/>
      <w:divBdr>
        <w:top w:val="none" w:sz="0" w:space="0" w:color="auto"/>
        <w:left w:val="none" w:sz="0" w:space="0" w:color="auto"/>
        <w:bottom w:val="none" w:sz="0" w:space="0" w:color="auto"/>
        <w:right w:val="none" w:sz="0" w:space="0" w:color="auto"/>
      </w:divBdr>
    </w:div>
    <w:div w:id="423382307">
      <w:bodyDiv w:val="1"/>
      <w:marLeft w:val="0"/>
      <w:marRight w:val="0"/>
      <w:marTop w:val="0"/>
      <w:marBottom w:val="0"/>
      <w:divBdr>
        <w:top w:val="none" w:sz="0" w:space="0" w:color="auto"/>
        <w:left w:val="none" w:sz="0" w:space="0" w:color="auto"/>
        <w:bottom w:val="none" w:sz="0" w:space="0" w:color="auto"/>
        <w:right w:val="none" w:sz="0" w:space="0" w:color="auto"/>
      </w:divBdr>
    </w:div>
    <w:div w:id="459955923">
      <w:bodyDiv w:val="1"/>
      <w:marLeft w:val="0"/>
      <w:marRight w:val="0"/>
      <w:marTop w:val="0"/>
      <w:marBottom w:val="0"/>
      <w:divBdr>
        <w:top w:val="none" w:sz="0" w:space="0" w:color="auto"/>
        <w:left w:val="none" w:sz="0" w:space="0" w:color="auto"/>
        <w:bottom w:val="none" w:sz="0" w:space="0" w:color="auto"/>
        <w:right w:val="none" w:sz="0" w:space="0" w:color="auto"/>
      </w:divBdr>
    </w:div>
    <w:div w:id="477693976">
      <w:bodyDiv w:val="1"/>
      <w:marLeft w:val="0"/>
      <w:marRight w:val="0"/>
      <w:marTop w:val="0"/>
      <w:marBottom w:val="0"/>
      <w:divBdr>
        <w:top w:val="none" w:sz="0" w:space="0" w:color="auto"/>
        <w:left w:val="none" w:sz="0" w:space="0" w:color="auto"/>
        <w:bottom w:val="none" w:sz="0" w:space="0" w:color="auto"/>
        <w:right w:val="none" w:sz="0" w:space="0" w:color="auto"/>
      </w:divBdr>
    </w:div>
    <w:div w:id="480804735">
      <w:bodyDiv w:val="1"/>
      <w:marLeft w:val="0"/>
      <w:marRight w:val="0"/>
      <w:marTop w:val="0"/>
      <w:marBottom w:val="0"/>
      <w:divBdr>
        <w:top w:val="none" w:sz="0" w:space="0" w:color="auto"/>
        <w:left w:val="none" w:sz="0" w:space="0" w:color="auto"/>
        <w:bottom w:val="none" w:sz="0" w:space="0" w:color="auto"/>
        <w:right w:val="none" w:sz="0" w:space="0" w:color="auto"/>
      </w:divBdr>
    </w:div>
    <w:div w:id="569076845">
      <w:bodyDiv w:val="1"/>
      <w:marLeft w:val="0"/>
      <w:marRight w:val="0"/>
      <w:marTop w:val="0"/>
      <w:marBottom w:val="0"/>
      <w:divBdr>
        <w:top w:val="none" w:sz="0" w:space="0" w:color="auto"/>
        <w:left w:val="none" w:sz="0" w:space="0" w:color="auto"/>
        <w:bottom w:val="none" w:sz="0" w:space="0" w:color="auto"/>
        <w:right w:val="none" w:sz="0" w:space="0" w:color="auto"/>
      </w:divBdr>
    </w:div>
    <w:div w:id="600800032">
      <w:bodyDiv w:val="1"/>
      <w:marLeft w:val="0"/>
      <w:marRight w:val="0"/>
      <w:marTop w:val="0"/>
      <w:marBottom w:val="0"/>
      <w:divBdr>
        <w:top w:val="none" w:sz="0" w:space="0" w:color="auto"/>
        <w:left w:val="none" w:sz="0" w:space="0" w:color="auto"/>
        <w:bottom w:val="none" w:sz="0" w:space="0" w:color="auto"/>
        <w:right w:val="none" w:sz="0" w:space="0" w:color="auto"/>
      </w:divBdr>
    </w:div>
    <w:div w:id="606888473">
      <w:bodyDiv w:val="1"/>
      <w:marLeft w:val="0"/>
      <w:marRight w:val="0"/>
      <w:marTop w:val="0"/>
      <w:marBottom w:val="0"/>
      <w:divBdr>
        <w:top w:val="none" w:sz="0" w:space="0" w:color="auto"/>
        <w:left w:val="none" w:sz="0" w:space="0" w:color="auto"/>
        <w:bottom w:val="none" w:sz="0" w:space="0" w:color="auto"/>
        <w:right w:val="none" w:sz="0" w:space="0" w:color="auto"/>
      </w:divBdr>
    </w:div>
    <w:div w:id="641736264">
      <w:bodyDiv w:val="1"/>
      <w:marLeft w:val="0"/>
      <w:marRight w:val="0"/>
      <w:marTop w:val="0"/>
      <w:marBottom w:val="0"/>
      <w:divBdr>
        <w:top w:val="none" w:sz="0" w:space="0" w:color="auto"/>
        <w:left w:val="none" w:sz="0" w:space="0" w:color="auto"/>
        <w:bottom w:val="none" w:sz="0" w:space="0" w:color="auto"/>
        <w:right w:val="none" w:sz="0" w:space="0" w:color="auto"/>
      </w:divBdr>
    </w:div>
    <w:div w:id="657075243">
      <w:bodyDiv w:val="1"/>
      <w:marLeft w:val="0"/>
      <w:marRight w:val="0"/>
      <w:marTop w:val="0"/>
      <w:marBottom w:val="0"/>
      <w:divBdr>
        <w:top w:val="none" w:sz="0" w:space="0" w:color="auto"/>
        <w:left w:val="none" w:sz="0" w:space="0" w:color="auto"/>
        <w:bottom w:val="none" w:sz="0" w:space="0" w:color="auto"/>
        <w:right w:val="none" w:sz="0" w:space="0" w:color="auto"/>
      </w:divBdr>
    </w:div>
    <w:div w:id="660694431">
      <w:bodyDiv w:val="1"/>
      <w:marLeft w:val="0"/>
      <w:marRight w:val="0"/>
      <w:marTop w:val="0"/>
      <w:marBottom w:val="0"/>
      <w:divBdr>
        <w:top w:val="none" w:sz="0" w:space="0" w:color="auto"/>
        <w:left w:val="none" w:sz="0" w:space="0" w:color="auto"/>
        <w:bottom w:val="none" w:sz="0" w:space="0" w:color="auto"/>
        <w:right w:val="none" w:sz="0" w:space="0" w:color="auto"/>
      </w:divBdr>
      <w:divsChild>
        <w:div w:id="1389917757">
          <w:marLeft w:val="0"/>
          <w:marRight w:val="0"/>
          <w:marTop w:val="0"/>
          <w:marBottom w:val="0"/>
          <w:divBdr>
            <w:top w:val="none" w:sz="0" w:space="0" w:color="auto"/>
            <w:left w:val="none" w:sz="0" w:space="0" w:color="auto"/>
            <w:bottom w:val="none" w:sz="0" w:space="0" w:color="auto"/>
            <w:right w:val="none" w:sz="0" w:space="0" w:color="auto"/>
          </w:divBdr>
          <w:divsChild>
            <w:div w:id="267010555">
              <w:marLeft w:val="0"/>
              <w:marRight w:val="0"/>
              <w:marTop w:val="0"/>
              <w:marBottom w:val="0"/>
              <w:divBdr>
                <w:top w:val="none" w:sz="0" w:space="0" w:color="auto"/>
                <w:left w:val="none" w:sz="0" w:space="0" w:color="auto"/>
                <w:bottom w:val="none" w:sz="0" w:space="0" w:color="auto"/>
                <w:right w:val="none" w:sz="0" w:space="0" w:color="auto"/>
              </w:divBdr>
              <w:divsChild>
                <w:div w:id="224922078">
                  <w:marLeft w:val="0"/>
                  <w:marRight w:val="0"/>
                  <w:marTop w:val="0"/>
                  <w:marBottom w:val="0"/>
                  <w:divBdr>
                    <w:top w:val="none" w:sz="0" w:space="0" w:color="auto"/>
                    <w:left w:val="none" w:sz="0" w:space="0" w:color="auto"/>
                    <w:bottom w:val="none" w:sz="0" w:space="0" w:color="auto"/>
                    <w:right w:val="none" w:sz="0" w:space="0" w:color="auto"/>
                  </w:divBdr>
                  <w:divsChild>
                    <w:div w:id="824854373">
                      <w:marLeft w:val="0"/>
                      <w:marRight w:val="0"/>
                      <w:marTop w:val="0"/>
                      <w:marBottom w:val="0"/>
                      <w:divBdr>
                        <w:top w:val="none" w:sz="0" w:space="0" w:color="auto"/>
                        <w:left w:val="none" w:sz="0" w:space="0" w:color="auto"/>
                        <w:bottom w:val="none" w:sz="0" w:space="0" w:color="auto"/>
                        <w:right w:val="none" w:sz="0" w:space="0" w:color="auto"/>
                      </w:divBdr>
                      <w:divsChild>
                        <w:div w:id="1086458498">
                          <w:marLeft w:val="0"/>
                          <w:marRight w:val="0"/>
                          <w:marTop w:val="0"/>
                          <w:marBottom w:val="0"/>
                          <w:divBdr>
                            <w:top w:val="none" w:sz="0" w:space="0" w:color="auto"/>
                            <w:left w:val="none" w:sz="0" w:space="0" w:color="auto"/>
                            <w:bottom w:val="none" w:sz="0" w:space="0" w:color="auto"/>
                            <w:right w:val="none" w:sz="0" w:space="0" w:color="auto"/>
                          </w:divBdr>
                          <w:divsChild>
                            <w:div w:id="1426414867">
                              <w:marLeft w:val="0"/>
                              <w:marRight w:val="0"/>
                              <w:marTop w:val="0"/>
                              <w:marBottom w:val="0"/>
                              <w:divBdr>
                                <w:top w:val="none" w:sz="0" w:space="0" w:color="auto"/>
                                <w:left w:val="none" w:sz="0" w:space="0" w:color="auto"/>
                                <w:bottom w:val="none" w:sz="0" w:space="0" w:color="auto"/>
                                <w:right w:val="none" w:sz="0" w:space="0" w:color="auto"/>
                              </w:divBdr>
                              <w:divsChild>
                                <w:div w:id="1232346006">
                                  <w:marLeft w:val="0"/>
                                  <w:marRight w:val="0"/>
                                  <w:marTop w:val="0"/>
                                  <w:marBottom w:val="0"/>
                                  <w:divBdr>
                                    <w:top w:val="none" w:sz="0" w:space="0" w:color="auto"/>
                                    <w:left w:val="none" w:sz="0" w:space="0" w:color="auto"/>
                                    <w:bottom w:val="none" w:sz="0" w:space="0" w:color="auto"/>
                                    <w:right w:val="none" w:sz="0" w:space="0" w:color="auto"/>
                                  </w:divBdr>
                                  <w:divsChild>
                                    <w:div w:id="46971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7172800">
      <w:bodyDiv w:val="1"/>
      <w:marLeft w:val="0"/>
      <w:marRight w:val="0"/>
      <w:marTop w:val="0"/>
      <w:marBottom w:val="0"/>
      <w:divBdr>
        <w:top w:val="none" w:sz="0" w:space="0" w:color="auto"/>
        <w:left w:val="none" w:sz="0" w:space="0" w:color="auto"/>
        <w:bottom w:val="none" w:sz="0" w:space="0" w:color="auto"/>
        <w:right w:val="none" w:sz="0" w:space="0" w:color="auto"/>
      </w:divBdr>
    </w:div>
    <w:div w:id="698121264">
      <w:bodyDiv w:val="1"/>
      <w:marLeft w:val="0"/>
      <w:marRight w:val="0"/>
      <w:marTop w:val="0"/>
      <w:marBottom w:val="0"/>
      <w:divBdr>
        <w:top w:val="none" w:sz="0" w:space="0" w:color="auto"/>
        <w:left w:val="none" w:sz="0" w:space="0" w:color="auto"/>
        <w:bottom w:val="none" w:sz="0" w:space="0" w:color="auto"/>
        <w:right w:val="none" w:sz="0" w:space="0" w:color="auto"/>
      </w:divBdr>
    </w:div>
    <w:div w:id="731580859">
      <w:bodyDiv w:val="1"/>
      <w:marLeft w:val="0"/>
      <w:marRight w:val="0"/>
      <w:marTop w:val="0"/>
      <w:marBottom w:val="0"/>
      <w:divBdr>
        <w:top w:val="none" w:sz="0" w:space="0" w:color="auto"/>
        <w:left w:val="none" w:sz="0" w:space="0" w:color="auto"/>
        <w:bottom w:val="none" w:sz="0" w:space="0" w:color="auto"/>
        <w:right w:val="none" w:sz="0" w:space="0" w:color="auto"/>
      </w:divBdr>
    </w:div>
    <w:div w:id="766195329">
      <w:bodyDiv w:val="1"/>
      <w:marLeft w:val="0"/>
      <w:marRight w:val="0"/>
      <w:marTop w:val="0"/>
      <w:marBottom w:val="0"/>
      <w:divBdr>
        <w:top w:val="none" w:sz="0" w:space="0" w:color="auto"/>
        <w:left w:val="none" w:sz="0" w:space="0" w:color="auto"/>
        <w:bottom w:val="none" w:sz="0" w:space="0" w:color="auto"/>
        <w:right w:val="none" w:sz="0" w:space="0" w:color="auto"/>
      </w:divBdr>
    </w:div>
    <w:div w:id="802041707">
      <w:bodyDiv w:val="1"/>
      <w:marLeft w:val="0"/>
      <w:marRight w:val="0"/>
      <w:marTop w:val="0"/>
      <w:marBottom w:val="0"/>
      <w:divBdr>
        <w:top w:val="none" w:sz="0" w:space="0" w:color="auto"/>
        <w:left w:val="none" w:sz="0" w:space="0" w:color="auto"/>
        <w:bottom w:val="none" w:sz="0" w:space="0" w:color="auto"/>
        <w:right w:val="none" w:sz="0" w:space="0" w:color="auto"/>
      </w:divBdr>
    </w:div>
    <w:div w:id="829565983">
      <w:bodyDiv w:val="1"/>
      <w:marLeft w:val="0"/>
      <w:marRight w:val="0"/>
      <w:marTop w:val="0"/>
      <w:marBottom w:val="0"/>
      <w:divBdr>
        <w:top w:val="none" w:sz="0" w:space="0" w:color="auto"/>
        <w:left w:val="none" w:sz="0" w:space="0" w:color="auto"/>
        <w:bottom w:val="none" w:sz="0" w:space="0" w:color="auto"/>
        <w:right w:val="none" w:sz="0" w:space="0" w:color="auto"/>
      </w:divBdr>
    </w:div>
    <w:div w:id="1005207808">
      <w:bodyDiv w:val="1"/>
      <w:marLeft w:val="0"/>
      <w:marRight w:val="0"/>
      <w:marTop w:val="0"/>
      <w:marBottom w:val="0"/>
      <w:divBdr>
        <w:top w:val="none" w:sz="0" w:space="0" w:color="auto"/>
        <w:left w:val="none" w:sz="0" w:space="0" w:color="auto"/>
        <w:bottom w:val="none" w:sz="0" w:space="0" w:color="auto"/>
        <w:right w:val="none" w:sz="0" w:space="0" w:color="auto"/>
      </w:divBdr>
    </w:div>
    <w:div w:id="1018852116">
      <w:bodyDiv w:val="1"/>
      <w:marLeft w:val="0"/>
      <w:marRight w:val="0"/>
      <w:marTop w:val="0"/>
      <w:marBottom w:val="0"/>
      <w:divBdr>
        <w:top w:val="none" w:sz="0" w:space="0" w:color="auto"/>
        <w:left w:val="none" w:sz="0" w:space="0" w:color="auto"/>
        <w:bottom w:val="none" w:sz="0" w:space="0" w:color="auto"/>
        <w:right w:val="none" w:sz="0" w:space="0" w:color="auto"/>
      </w:divBdr>
    </w:div>
    <w:div w:id="1052271399">
      <w:bodyDiv w:val="1"/>
      <w:marLeft w:val="0"/>
      <w:marRight w:val="0"/>
      <w:marTop w:val="0"/>
      <w:marBottom w:val="0"/>
      <w:divBdr>
        <w:top w:val="none" w:sz="0" w:space="0" w:color="auto"/>
        <w:left w:val="none" w:sz="0" w:space="0" w:color="auto"/>
        <w:bottom w:val="none" w:sz="0" w:space="0" w:color="auto"/>
        <w:right w:val="none" w:sz="0" w:space="0" w:color="auto"/>
      </w:divBdr>
    </w:div>
    <w:div w:id="1099564465">
      <w:bodyDiv w:val="1"/>
      <w:marLeft w:val="0"/>
      <w:marRight w:val="0"/>
      <w:marTop w:val="0"/>
      <w:marBottom w:val="0"/>
      <w:divBdr>
        <w:top w:val="none" w:sz="0" w:space="0" w:color="auto"/>
        <w:left w:val="none" w:sz="0" w:space="0" w:color="auto"/>
        <w:bottom w:val="none" w:sz="0" w:space="0" w:color="auto"/>
        <w:right w:val="none" w:sz="0" w:space="0" w:color="auto"/>
      </w:divBdr>
    </w:div>
    <w:div w:id="1126386186">
      <w:bodyDiv w:val="1"/>
      <w:marLeft w:val="0"/>
      <w:marRight w:val="0"/>
      <w:marTop w:val="0"/>
      <w:marBottom w:val="0"/>
      <w:divBdr>
        <w:top w:val="none" w:sz="0" w:space="0" w:color="auto"/>
        <w:left w:val="none" w:sz="0" w:space="0" w:color="auto"/>
        <w:bottom w:val="none" w:sz="0" w:space="0" w:color="auto"/>
        <w:right w:val="none" w:sz="0" w:space="0" w:color="auto"/>
      </w:divBdr>
    </w:div>
    <w:div w:id="1227187116">
      <w:bodyDiv w:val="1"/>
      <w:marLeft w:val="0"/>
      <w:marRight w:val="0"/>
      <w:marTop w:val="0"/>
      <w:marBottom w:val="0"/>
      <w:divBdr>
        <w:top w:val="none" w:sz="0" w:space="0" w:color="auto"/>
        <w:left w:val="none" w:sz="0" w:space="0" w:color="auto"/>
        <w:bottom w:val="none" w:sz="0" w:space="0" w:color="auto"/>
        <w:right w:val="none" w:sz="0" w:space="0" w:color="auto"/>
      </w:divBdr>
    </w:div>
    <w:div w:id="1282152739">
      <w:bodyDiv w:val="1"/>
      <w:marLeft w:val="0"/>
      <w:marRight w:val="0"/>
      <w:marTop w:val="0"/>
      <w:marBottom w:val="0"/>
      <w:divBdr>
        <w:top w:val="none" w:sz="0" w:space="0" w:color="auto"/>
        <w:left w:val="none" w:sz="0" w:space="0" w:color="auto"/>
        <w:bottom w:val="none" w:sz="0" w:space="0" w:color="auto"/>
        <w:right w:val="none" w:sz="0" w:space="0" w:color="auto"/>
      </w:divBdr>
    </w:div>
    <w:div w:id="1282229637">
      <w:bodyDiv w:val="1"/>
      <w:marLeft w:val="0"/>
      <w:marRight w:val="0"/>
      <w:marTop w:val="0"/>
      <w:marBottom w:val="0"/>
      <w:divBdr>
        <w:top w:val="none" w:sz="0" w:space="0" w:color="auto"/>
        <w:left w:val="none" w:sz="0" w:space="0" w:color="auto"/>
        <w:bottom w:val="none" w:sz="0" w:space="0" w:color="auto"/>
        <w:right w:val="none" w:sz="0" w:space="0" w:color="auto"/>
      </w:divBdr>
    </w:div>
    <w:div w:id="1300110124">
      <w:bodyDiv w:val="1"/>
      <w:marLeft w:val="0"/>
      <w:marRight w:val="0"/>
      <w:marTop w:val="0"/>
      <w:marBottom w:val="0"/>
      <w:divBdr>
        <w:top w:val="none" w:sz="0" w:space="0" w:color="auto"/>
        <w:left w:val="none" w:sz="0" w:space="0" w:color="auto"/>
        <w:bottom w:val="none" w:sz="0" w:space="0" w:color="auto"/>
        <w:right w:val="none" w:sz="0" w:space="0" w:color="auto"/>
      </w:divBdr>
    </w:div>
    <w:div w:id="1318223783">
      <w:bodyDiv w:val="1"/>
      <w:marLeft w:val="0"/>
      <w:marRight w:val="0"/>
      <w:marTop w:val="0"/>
      <w:marBottom w:val="0"/>
      <w:divBdr>
        <w:top w:val="none" w:sz="0" w:space="0" w:color="auto"/>
        <w:left w:val="none" w:sz="0" w:space="0" w:color="auto"/>
        <w:bottom w:val="none" w:sz="0" w:space="0" w:color="auto"/>
        <w:right w:val="none" w:sz="0" w:space="0" w:color="auto"/>
      </w:divBdr>
    </w:div>
    <w:div w:id="1331252216">
      <w:bodyDiv w:val="1"/>
      <w:marLeft w:val="0"/>
      <w:marRight w:val="0"/>
      <w:marTop w:val="0"/>
      <w:marBottom w:val="0"/>
      <w:divBdr>
        <w:top w:val="none" w:sz="0" w:space="0" w:color="auto"/>
        <w:left w:val="none" w:sz="0" w:space="0" w:color="auto"/>
        <w:bottom w:val="none" w:sz="0" w:space="0" w:color="auto"/>
        <w:right w:val="none" w:sz="0" w:space="0" w:color="auto"/>
      </w:divBdr>
    </w:div>
    <w:div w:id="1419986270">
      <w:bodyDiv w:val="1"/>
      <w:marLeft w:val="0"/>
      <w:marRight w:val="0"/>
      <w:marTop w:val="0"/>
      <w:marBottom w:val="0"/>
      <w:divBdr>
        <w:top w:val="none" w:sz="0" w:space="0" w:color="auto"/>
        <w:left w:val="none" w:sz="0" w:space="0" w:color="auto"/>
        <w:bottom w:val="none" w:sz="0" w:space="0" w:color="auto"/>
        <w:right w:val="none" w:sz="0" w:space="0" w:color="auto"/>
      </w:divBdr>
    </w:div>
    <w:div w:id="1494643860">
      <w:bodyDiv w:val="1"/>
      <w:marLeft w:val="0"/>
      <w:marRight w:val="0"/>
      <w:marTop w:val="0"/>
      <w:marBottom w:val="0"/>
      <w:divBdr>
        <w:top w:val="none" w:sz="0" w:space="0" w:color="auto"/>
        <w:left w:val="none" w:sz="0" w:space="0" w:color="auto"/>
        <w:bottom w:val="none" w:sz="0" w:space="0" w:color="auto"/>
        <w:right w:val="none" w:sz="0" w:space="0" w:color="auto"/>
      </w:divBdr>
    </w:div>
    <w:div w:id="1552380038">
      <w:bodyDiv w:val="1"/>
      <w:marLeft w:val="0"/>
      <w:marRight w:val="0"/>
      <w:marTop w:val="0"/>
      <w:marBottom w:val="0"/>
      <w:divBdr>
        <w:top w:val="none" w:sz="0" w:space="0" w:color="auto"/>
        <w:left w:val="none" w:sz="0" w:space="0" w:color="auto"/>
        <w:bottom w:val="none" w:sz="0" w:space="0" w:color="auto"/>
        <w:right w:val="none" w:sz="0" w:space="0" w:color="auto"/>
      </w:divBdr>
    </w:div>
    <w:div w:id="1560700725">
      <w:bodyDiv w:val="1"/>
      <w:marLeft w:val="0"/>
      <w:marRight w:val="0"/>
      <w:marTop w:val="0"/>
      <w:marBottom w:val="0"/>
      <w:divBdr>
        <w:top w:val="none" w:sz="0" w:space="0" w:color="auto"/>
        <w:left w:val="none" w:sz="0" w:space="0" w:color="auto"/>
        <w:bottom w:val="none" w:sz="0" w:space="0" w:color="auto"/>
        <w:right w:val="none" w:sz="0" w:space="0" w:color="auto"/>
      </w:divBdr>
    </w:div>
    <w:div w:id="1561743852">
      <w:bodyDiv w:val="1"/>
      <w:marLeft w:val="0"/>
      <w:marRight w:val="0"/>
      <w:marTop w:val="0"/>
      <w:marBottom w:val="0"/>
      <w:divBdr>
        <w:top w:val="none" w:sz="0" w:space="0" w:color="auto"/>
        <w:left w:val="none" w:sz="0" w:space="0" w:color="auto"/>
        <w:bottom w:val="none" w:sz="0" w:space="0" w:color="auto"/>
        <w:right w:val="none" w:sz="0" w:space="0" w:color="auto"/>
      </w:divBdr>
    </w:div>
    <w:div w:id="1577666219">
      <w:bodyDiv w:val="1"/>
      <w:marLeft w:val="0"/>
      <w:marRight w:val="0"/>
      <w:marTop w:val="0"/>
      <w:marBottom w:val="0"/>
      <w:divBdr>
        <w:top w:val="none" w:sz="0" w:space="0" w:color="auto"/>
        <w:left w:val="none" w:sz="0" w:space="0" w:color="auto"/>
        <w:bottom w:val="none" w:sz="0" w:space="0" w:color="auto"/>
        <w:right w:val="none" w:sz="0" w:space="0" w:color="auto"/>
      </w:divBdr>
    </w:div>
    <w:div w:id="1592854303">
      <w:bodyDiv w:val="1"/>
      <w:marLeft w:val="0"/>
      <w:marRight w:val="0"/>
      <w:marTop w:val="0"/>
      <w:marBottom w:val="0"/>
      <w:divBdr>
        <w:top w:val="none" w:sz="0" w:space="0" w:color="auto"/>
        <w:left w:val="none" w:sz="0" w:space="0" w:color="auto"/>
        <w:bottom w:val="none" w:sz="0" w:space="0" w:color="auto"/>
        <w:right w:val="none" w:sz="0" w:space="0" w:color="auto"/>
      </w:divBdr>
    </w:div>
    <w:div w:id="1651516933">
      <w:bodyDiv w:val="1"/>
      <w:marLeft w:val="0"/>
      <w:marRight w:val="0"/>
      <w:marTop w:val="0"/>
      <w:marBottom w:val="0"/>
      <w:divBdr>
        <w:top w:val="none" w:sz="0" w:space="0" w:color="auto"/>
        <w:left w:val="none" w:sz="0" w:space="0" w:color="auto"/>
        <w:bottom w:val="none" w:sz="0" w:space="0" w:color="auto"/>
        <w:right w:val="none" w:sz="0" w:space="0" w:color="auto"/>
      </w:divBdr>
    </w:div>
    <w:div w:id="1683706582">
      <w:bodyDiv w:val="1"/>
      <w:marLeft w:val="0"/>
      <w:marRight w:val="0"/>
      <w:marTop w:val="0"/>
      <w:marBottom w:val="0"/>
      <w:divBdr>
        <w:top w:val="none" w:sz="0" w:space="0" w:color="auto"/>
        <w:left w:val="none" w:sz="0" w:space="0" w:color="auto"/>
        <w:bottom w:val="none" w:sz="0" w:space="0" w:color="auto"/>
        <w:right w:val="none" w:sz="0" w:space="0" w:color="auto"/>
      </w:divBdr>
    </w:div>
    <w:div w:id="1751737109">
      <w:bodyDiv w:val="1"/>
      <w:marLeft w:val="0"/>
      <w:marRight w:val="0"/>
      <w:marTop w:val="0"/>
      <w:marBottom w:val="0"/>
      <w:divBdr>
        <w:top w:val="none" w:sz="0" w:space="0" w:color="auto"/>
        <w:left w:val="none" w:sz="0" w:space="0" w:color="auto"/>
        <w:bottom w:val="none" w:sz="0" w:space="0" w:color="auto"/>
        <w:right w:val="none" w:sz="0" w:space="0" w:color="auto"/>
      </w:divBdr>
    </w:div>
    <w:div w:id="1769736133">
      <w:bodyDiv w:val="1"/>
      <w:marLeft w:val="0"/>
      <w:marRight w:val="0"/>
      <w:marTop w:val="0"/>
      <w:marBottom w:val="0"/>
      <w:divBdr>
        <w:top w:val="none" w:sz="0" w:space="0" w:color="auto"/>
        <w:left w:val="none" w:sz="0" w:space="0" w:color="auto"/>
        <w:bottom w:val="none" w:sz="0" w:space="0" w:color="auto"/>
        <w:right w:val="none" w:sz="0" w:space="0" w:color="auto"/>
      </w:divBdr>
    </w:div>
    <w:div w:id="1807159937">
      <w:bodyDiv w:val="1"/>
      <w:marLeft w:val="0"/>
      <w:marRight w:val="0"/>
      <w:marTop w:val="0"/>
      <w:marBottom w:val="0"/>
      <w:divBdr>
        <w:top w:val="none" w:sz="0" w:space="0" w:color="auto"/>
        <w:left w:val="none" w:sz="0" w:space="0" w:color="auto"/>
        <w:bottom w:val="none" w:sz="0" w:space="0" w:color="auto"/>
        <w:right w:val="none" w:sz="0" w:space="0" w:color="auto"/>
      </w:divBdr>
    </w:div>
    <w:div w:id="1871868185">
      <w:bodyDiv w:val="1"/>
      <w:marLeft w:val="0"/>
      <w:marRight w:val="0"/>
      <w:marTop w:val="0"/>
      <w:marBottom w:val="0"/>
      <w:divBdr>
        <w:top w:val="none" w:sz="0" w:space="0" w:color="auto"/>
        <w:left w:val="none" w:sz="0" w:space="0" w:color="auto"/>
        <w:bottom w:val="none" w:sz="0" w:space="0" w:color="auto"/>
        <w:right w:val="none" w:sz="0" w:space="0" w:color="auto"/>
      </w:divBdr>
    </w:div>
    <w:div w:id="2076466476">
      <w:bodyDiv w:val="1"/>
      <w:marLeft w:val="0"/>
      <w:marRight w:val="0"/>
      <w:marTop w:val="0"/>
      <w:marBottom w:val="0"/>
      <w:divBdr>
        <w:top w:val="none" w:sz="0" w:space="0" w:color="auto"/>
        <w:left w:val="none" w:sz="0" w:space="0" w:color="auto"/>
        <w:bottom w:val="none" w:sz="0" w:space="0" w:color="auto"/>
        <w:right w:val="none" w:sz="0" w:space="0" w:color="auto"/>
      </w:divBdr>
    </w:div>
    <w:div w:id="210371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berec.europa.eu/system/files/2023-12/BoR%20%2823%29%20196%20BEREC%20Report%20Regulatory%20Accounting%20in%20Practice%202023.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26467-C15F-4E3F-83D1-EC527C946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068AA8-323C-4E59-A762-748821EE2107}">
  <ds:schemaRefs>
    <ds:schemaRef ds:uri="http://schemas.microsoft.com/sharepoint/v3/contenttype/forms"/>
  </ds:schemaRefs>
</ds:datastoreItem>
</file>

<file path=customXml/itemProps3.xml><?xml version="1.0" encoding="utf-8"?>
<ds:datastoreItem xmlns:ds="http://schemas.openxmlformats.org/officeDocument/2006/customXml" ds:itemID="{18E02CF0-71DA-4D7C-B30E-8F732FB276F5}">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303A891E-4B0C-4902-96DA-37A07B3A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5590</Words>
  <Characters>29630</Characters>
  <Application>Microsoft Office Word</Application>
  <DocSecurity>0</DocSecurity>
  <Lines>846</Lines>
  <Paragraphs>359</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34861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jsavila</dc:creator>
  <cp:keywords/>
  <dc:description/>
  <cp:lastModifiedBy>Fernando Rojas Castaneda</cp:lastModifiedBy>
  <cp:revision>3</cp:revision>
  <cp:lastPrinted>2025-06-24T21:04:00Z</cp:lastPrinted>
  <dcterms:created xsi:type="dcterms:W3CDTF">2025-06-27T15:28:00Z</dcterms:created>
  <dcterms:modified xsi:type="dcterms:W3CDTF">2025-07-08T17:19:00Z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y fmtid="{D5CDD505-2E9C-101B-9397-08002B2CF9AE}" pid="3" name="GVData">
    <vt:lpwstr>ew0KICAiZG9jSUQiOiAiMmNhNWMzODctZjEyNi00YmJmLTg5NDUtOGI5MDY0M2I3NDYzIg0KfQ==</vt:lpwstr>
  </property>
  <property fmtid="{D5CDD505-2E9C-101B-9397-08002B2CF9AE}" pid="4" name="GVData0">
    <vt:lpwstr>(end)</vt:lpwstr>
  </property>
</Properties>
</file>