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2AA3" w14:textId="77777777" w:rsidR="00C84BB4" w:rsidRDefault="00C84BB4" w:rsidP="007A6974">
      <w:pPr>
        <w:spacing w:after="0"/>
        <w:jc w:val="center"/>
        <w:rPr>
          <w:rFonts w:ascii="ITC Avant Garde" w:hAnsi="ITC Avant Garde"/>
          <w:b/>
        </w:rPr>
      </w:pPr>
    </w:p>
    <w:p w14:paraId="7C8B9963" w14:textId="77777777" w:rsidR="0038199D" w:rsidRPr="003353FC" w:rsidRDefault="0038199D" w:rsidP="003353FC">
      <w:pPr>
        <w:pStyle w:val="Ttulo1"/>
      </w:pPr>
      <w:r w:rsidRPr="003353FC">
        <w:t>FORMATO PARA PARTICIPAR EN LA CONSULTA PÚBLICA</w:t>
      </w:r>
    </w:p>
    <w:p w14:paraId="128853A5" w14:textId="77777777" w:rsidR="006601AF" w:rsidRPr="00F36A5D" w:rsidRDefault="006601AF" w:rsidP="00C900FF">
      <w:pPr>
        <w:spacing w:after="0"/>
        <w:rPr>
          <w:rFonts w:ascii="ITC Avant Garde" w:hAnsi="ITC Avant Garde"/>
          <w:b/>
        </w:rPr>
      </w:pPr>
    </w:p>
    <w:p w14:paraId="12FD8AFB" w14:textId="34F34F3E"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23C96ED7" w14:textId="77777777" w:rsidR="004970C4" w:rsidRPr="00F36A5D" w:rsidRDefault="004970C4" w:rsidP="007A6974">
      <w:pPr>
        <w:spacing w:after="0"/>
        <w:rPr>
          <w:rFonts w:ascii="ITC Avant Garde" w:hAnsi="ITC Avant Garde"/>
          <w:b/>
          <w:sz w:val="16"/>
        </w:rPr>
      </w:pPr>
    </w:p>
    <w:p w14:paraId="01ADF5AB" w14:textId="21B38B3F" w:rsidR="0038199D" w:rsidRPr="00D06A7E" w:rsidRDefault="0038199D" w:rsidP="00D06A7E">
      <w:pPr>
        <w:pStyle w:val="Listavistosa-nfasis110"/>
        <w:numPr>
          <w:ilvl w:val="0"/>
          <w:numId w:val="1"/>
        </w:numPr>
        <w:spacing w:after="0"/>
        <w:ind w:left="426" w:right="49" w:hanging="426"/>
        <w:jc w:val="both"/>
        <w:rPr>
          <w:rFonts w:ascii="ITC Avant Garde" w:hAnsi="ITC Avant Garde"/>
          <w:sz w:val="14"/>
          <w:szCs w:val="14"/>
        </w:rPr>
      </w:pPr>
      <w:r w:rsidRPr="00D06A7E">
        <w:rPr>
          <w:rFonts w:ascii="ITC Avant Garde" w:hAnsi="ITC Avant Garde"/>
          <w:sz w:val="14"/>
          <w:szCs w:val="14"/>
        </w:rPr>
        <w:t>Las opiniones, comentarios y propuestas deberán ser remitidas a la siguiente dirección de correo electrónico:</w:t>
      </w:r>
      <w:r w:rsidR="006F7B29" w:rsidRPr="00D06A7E">
        <w:rPr>
          <w:rFonts w:ascii="ITC Avant Garde" w:hAnsi="ITC Avant Garde"/>
          <w:sz w:val="14"/>
          <w:szCs w:val="14"/>
        </w:rPr>
        <w:t xml:space="preserve"> </w:t>
      </w:r>
      <w:hyperlink r:id="rId11" w:history="1">
        <w:r w:rsidR="000007DF" w:rsidRPr="001A585C">
          <w:rPr>
            <w:rStyle w:val="Hipervnculo"/>
            <w:rFonts w:ascii="ITC Avant Garde" w:hAnsi="ITC Avant Garde"/>
            <w:sz w:val="14"/>
            <w:szCs w:val="14"/>
          </w:rPr>
          <w:t>replicabilidad.2025@ift.org.mx</w:t>
        </w:r>
      </w:hyperlink>
      <w:r w:rsidRPr="001A585C">
        <w:rPr>
          <w:rFonts w:ascii="ITC Avant Garde" w:hAnsi="ITC Avant Garde"/>
          <w:sz w:val="14"/>
          <w:szCs w:val="14"/>
        </w:rPr>
        <w:t>,</w:t>
      </w:r>
      <w:r w:rsidRPr="00D06A7E">
        <w:rPr>
          <w:rFonts w:ascii="ITC Avant Garde" w:hAnsi="ITC Avant Garde"/>
          <w:sz w:val="14"/>
          <w:szCs w:val="14"/>
        </w:rPr>
        <w:t xml:space="preserve"> en donde</w:t>
      </w:r>
      <w:r w:rsidR="00CC53F7" w:rsidRPr="00D06A7E">
        <w:rPr>
          <w:rFonts w:ascii="ITC Avant Garde" w:hAnsi="ITC Avant Garde"/>
          <w:sz w:val="14"/>
          <w:szCs w:val="14"/>
        </w:rPr>
        <w:t xml:space="preserve"> se deberá </w:t>
      </w:r>
      <w:r w:rsidRPr="00D06A7E">
        <w:rPr>
          <w:rFonts w:ascii="ITC Avant Garde" w:hAnsi="ITC Avant Garde"/>
          <w:sz w:val="14"/>
          <w:szCs w:val="14"/>
        </w:rPr>
        <w:t xml:space="preserve">considerar que la capacidad límite para la </w:t>
      </w:r>
      <w:r w:rsidR="00CC53F7" w:rsidRPr="00D06A7E">
        <w:rPr>
          <w:rFonts w:ascii="ITC Avant Garde" w:hAnsi="ITC Avant Garde"/>
          <w:sz w:val="14"/>
          <w:szCs w:val="14"/>
        </w:rPr>
        <w:t xml:space="preserve">recepción </w:t>
      </w:r>
      <w:r w:rsidRPr="00D06A7E">
        <w:rPr>
          <w:rFonts w:ascii="ITC Avant Garde" w:hAnsi="ITC Avant Garde"/>
          <w:sz w:val="14"/>
          <w:szCs w:val="14"/>
        </w:rPr>
        <w:t xml:space="preserve">de archivos es de </w:t>
      </w:r>
      <w:r w:rsidR="00B533DC" w:rsidRPr="00D06A7E">
        <w:rPr>
          <w:rFonts w:ascii="ITC Avant Garde" w:hAnsi="ITC Avant Garde"/>
          <w:sz w:val="14"/>
          <w:szCs w:val="14"/>
        </w:rPr>
        <w:t>25 Mb</w:t>
      </w:r>
      <w:r w:rsidRPr="00D06A7E">
        <w:rPr>
          <w:rFonts w:ascii="ITC Avant Garde" w:hAnsi="ITC Avant Garde"/>
          <w:sz w:val="14"/>
          <w:szCs w:val="14"/>
        </w:rPr>
        <w:t>.</w:t>
      </w:r>
    </w:p>
    <w:p w14:paraId="09B64025" w14:textId="77777777" w:rsidR="0038199D" w:rsidRPr="00F36A5D"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2FC78690" w14:textId="77777777" w:rsidR="008200BE" w:rsidRPr="00F36A5D" w:rsidRDefault="008200BE"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148218D9" w14:textId="4FCC9F6D" w:rsidR="0038199D" w:rsidRPr="00F36A5D" w:rsidRDefault="00800852"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Vierta sus comentarios conforme a </w:t>
      </w:r>
      <w:r w:rsidR="00B21444">
        <w:rPr>
          <w:rFonts w:ascii="ITC Avant Garde" w:hAnsi="ITC Avant Garde"/>
          <w:sz w:val="14"/>
          <w:szCs w:val="14"/>
        </w:rPr>
        <w:t>las indicaciones en la sección “II</w:t>
      </w:r>
      <w:r w:rsidR="00C67A95">
        <w:rPr>
          <w:rFonts w:ascii="ITC Avant Garde" w:hAnsi="ITC Avant Garde"/>
          <w:sz w:val="14"/>
          <w:szCs w:val="14"/>
        </w:rPr>
        <w:t>I</w:t>
      </w:r>
      <w:r w:rsidR="00B21444">
        <w:rPr>
          <w:rFonts w:ascii="ITC Avant Garde" w:hAnsi="ITC Avant Garde"/>
          <w:sz w:val="14"/>
          <w:szCs w:val="14"/>
        </w:rPr>
        <w:t>. Guía para el llenado del formato”</w:t>
      </w:r>
      <w:r w:rsidR="0038199D" w:rsidRPr="00F36A5D">
        <w:rPr>
          <w:rFonts w:ascii="ITC Avant Garde" w:hAnsi="ITC Avant Garde"/>
          <w:sz w:val="14"/>
          <w:szCs w:val="14"/>
        </w:rPr>
        <w:t>.</w:t>
      </w:r>
    </w:p>
    <w:p w14:paraId="5DFFFF8E" w14:textId="77777777" w:rsidR="0038199D" w:rsidRPr="00B86143"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w:t>
      </w:r>
      <w:r w:rsidRPr="00B86143">
        <w:rPr>
          <w:rFonts w:ascii="ITC Avant Garde" w:hAnsi="ITC Avant Garde"/>
          <w:sz w:val="14"/>
          <w:szCs w:val="14"/>
        </w:rPr>
        <w:t>observaciones generales o alguna aportación adicional proporciónelos en el último recuadro.</w:t>
      </w:r>
    </w:p>
    <w:p w14:paraId="40FBCE0E" w14:textId="77777777" w:rsidR="0038199D" w:rsidRPr="00B86143" w:rsidRDefault="00800852" w:rsidP="00C900FF">
      <w:pPr>
        <w:pStyle w:val="Listavistosa-nfasis110"/>
        <w:numPr>
          <w:ilvl w:val="0"/>
          <w:numId w:val="1"/>
        </w:numPr>
        <w:spacing w:after="0"/>
        <w:ind w:left="426" w:right="49" w:hanging="426"/>
        <w:jc w:val="both"/>
        <w:rPr>
          <w:rFonts w:ascii="ITC Avant Garde" w:hAnsi="ITC Avant Garde"/>
          <w:sz w:val="14"/>
          <w:szCs w:val="14"/>
        </w:rPr>
      </w:pPr>
      <w:r w:rsidRPr="00B86143">
        <w:rPr>
          <w:rFonts w:ascii="ITC Avant Garde" w:hAnsi="ITC Avant Garde"/>
          <w:sz w:val="14"/>
          <w:szCs w:val="14"/>
        </w:rPr>
        <w:t>En caso de que sea de su interés, podrá</w:t>
      </w:r>
      <w:r w:rsidR="0038199D" w:rsidRPr="00B86143">
        <w:rPr>
          <w:rFonts w:ascii="ITC Avant Garde" w:hAnsi="ITC Avant Garde"/>
          <w:sz w:val="14"/>
          <w:szCs w:val="14"/>
        </w:rPr>
        <w:t xml:space="preserve"> adjuntar a su correo electrónico la documentación que </w:t>
      </w:r>
      <w:r w:rsidRPr="00B86143">
        <w:rPr>
          <w:rFonts w:ascii="ITC Avant Garde" w:hAnsi="ITC Avant Garde"/>
          <w:sz w:val="14"/>
          <w:szCs w:val="14"/>
        </w:rPr>
        <w:t>estime</w:t>
      </w:r>
      <w:r w:rsidR="0038199D" w:rsidRPr="00B86143">
        <w:rPr>
          <w:rFonts w:ascii="ITC Avant Garde" w:hAnsi="ITC Avant Garde"/>
          <w:sz w:val="14"/>
          <w:szCs w:val="14"/>
        </w:rPr>
        <w:t xml:space="preserve"> conveniente.</w:t>
      </w:r>
    </w:p>
    <w:p w14:paraId="171CBA9E" w14:textId="7BBE2A62" w:rsidR="0038199D" w:rsidRPr="009B2022" w:rsidRDefault="0038199D" w:rsidP="00C900FF">
      <w:pPr>
        <w:pStyle w:val="Listavistosa-nfasis110"/>
        <w:numPr>
          <w:ilvl w:val="0"/>
          <w:numId w:val="1"/>
        </w:numPr>
        <w:spacing w:after="0"/>
        <w:ind w:left="426" w:right="49" w:hanging="426"/>
        <w:jc w:val="both"/>
        <w:rPr>
          <w:rFonts w:ascii="ITC Avant Garde" w:hAnsi="ITC Avant Garde"/>
          <w:sz w:val="14"/>
          <w:szCs w:val="14"/>
        </w:rPr>
      </w:pPr>
      <w:r w:rsidRPr="00B86143">
        <w:rPr>
          <w:rFonts w:ascii="ITC Avant Garde" w:hAnsi="ITC Avant Garde"/>
          <w:sz w:val="14"/>
          <w:szCs w:val="14"/>
        </w:rPr>
        <w:t xml:space="preserve">El período de consulta pública </w:t>
      </w:r>
      <w:r w:rsidR="006F7B29" w:rsidRPr="00B86143">
        <w:rPr>
          <w:rFonts w:ascii="ITC Avant Garde" w:hAnsi="ITC Avant Garde"/>
          <w:sz w:val="14"/>
          <w:szCs w:val="14"/>
        </w:rPr>
        <w:t xml:space="preserve">será </w:t>
      </w:r>
      <w:r w:rsidR="006F7B29" w:rsidRPr="001A585C">
        <w:rPr>
          <w:rFonts w:ascii="ITC Avant Garde" w:hAnsi="ITC Avant Garde"/>
          <w:sz w:val="14"/>
          <w:szCs w:val="14"/>
        </w:rPr>
        <w:t xml:space="preserve">del </w:t>
      </w:r>
      <w:r w:rsidR="005E5A21" w:rsidRPr="001A585C">
        <w:rPr>
          <w:rFonts w:ascii="ITC Avant Garde" w:hAnsi="ITC Avant Garde"/>
          <w:sz w:val="14"/>
          <w:szCs w:val="14"/>
        </w:rPr>
        <w:t>05</w:t>
      </w:r>
      <w:r w:rsidR="006F7B29" w:rsidRPr="001A585C">
        <w:rPr>
          <w:rFonts w:ascii="ITC Avant Garde" w:hAnsi="ITC Avant Garde"/>
          <w:sz w:val="14"/>
          <w:szCs w:val="14"/>
        </w:rPr>
        <w:t xml:space="preserve"> de </w:t>
      </w:r>
      <w:r w:rsidR="005E5A21" w:rsidRPr="001A585C">
        <w:rPr>
          <w:rFonts w:ascii="ITC Avant Garde" w:hAnsi="ITC Avant Garde"/>
          <w:sz w:val="14"/>
          <w:szCs w:val="14"/>
        </w:rPr>
        <w:t>junio</w:t>
      </w:r>
      <w:r w:rsidR="006F7B29" w:rsidRPr="001A585C">
        <w:rPr>
          <w:rFonts w:ascii="ITC Avant Garde" w:hAnsi="ITC Avant Garde"/>
          <w:sz w:val="14"/>
          <w:szCs w:val="14"/>
        </w:rPr>
        <w:t xml:space="preserve"> al </w:t>
      </w:r>
      <w:r w:rsidR="00A002E7" w:rsidRPr="001A585C">
        <w:rPr>
          <w:rFonts w:ascii="ITC Avant Garde" w:hAnsi="ITC Avant Garde"/>
          <w:sz w:val="14"/>
          <w:szCs w:val="14"/>
        </w:rPr>
        <w:t>02</w:t>
      </w:r>
      <w:r w:rsidR="006F7B29" w:rsidRPr="001A585C">
        <w:rPr>
          <w:rFonts w:ascii="ITC Avant Garde" w:hAnsi="ITC Avant Garde"/>
          <w:sz w:val="14"/>
          <w:szCs w:val="14"/>
        </w:rPr>
        <w:t xml:space="preserve"> de </w:t>
      </w:r>
      <w:r w:rsidR="00A002E7" w:rsidRPr="001A585C">
        <w:rPr>
          <w:rFonts w:ascii="ITC Avant Garde" w:hAnsi="ITC Avant Garde"/>
          <w:sz w:val="14"/>
          <w:szCs w:val="14"/>
        </w:rPr>
        <w:t>julio</w:t>
      </w:r>
      <w:r w:rsidR="006F7B29" w:rsidRPr="001A585C">
        <w:rPr>
          <w:rFonts w:ascii="ITC Avant Garde" w:hAnsi="ITC Avant Garde"/>
          <w:sz w:val="14"/>
          <w:szCs w:val="14"/>
        </w:rPr>
        <w:t xml:space="preserve"> de</w:t>
      </w:r>
      <w:r w:rsidR="006F7B29" w:rsidRPr="00B86143">
        <w:rPr>
          <w:rFonts w:ascii="ITC Avant Garde" w:hAnsi="ITC Avant Garde"/>
          <w:sz w:val="14"/>
          <w:szCs w:val="14"/>
        </w:rPr>
        <w:t xml:space="preserve"> </w:t>
      </w:r>
      <w:r w:rsidR="00B86143" w:rsidRPr="00B86143">
        <w:rPr>
          <w:rFonts w:ascii="ITC Avant Garde" w:hAnsi="ITC Avant Garde"/>
          <w:sz w:val="14"/>
          <w:szCs w:val="14"/>
        </w:rPr>
        <w:t>202</w:t>
      </w:r>
      <w:r w:rsidR="000007DF">
        <w:rPr>
          <w:rFonts w:ascii="ITC Avant Garde" w:hAnsi="ITC Avant Garde"/>
          <w:sz w:val="14"/>
          <w:szCs w:val="14"/>
        </w:rPr>
        <w:t>5</w:t>
      </w:r>
      <w:r w:rsidR="0034067D" w:rsidRPr="00B86143">
        <w:rPr>
          <w:rFonts w:ascii="ITC Avant Garde" w:hAnsi="ITC Avant Garde"/>
          <w:sz w:val="14"/>
          <w:szCs w:val="14"/>
        </w:rPr>
        <w:t xml:space="preserve"> (i.e. 20 días hábiles)</w:t>
      </w:r>
      <w:r w:rsidRPr="00B86143">
        <w:rPr>
          <w:rFonts w:ascii="ITC Avant Garde" w:hAnsi="ITC Avant Garde"/>
          <w:sz w:val="14"/>
          <w:szCs w:val="14"/>
        </w:rPr>
        <w:t>. Una</w:t>
      </w:r>
      <w:r w:rsidRPr="009B2022">
        <w:rPr>
          <w:rFonts w:ascii="ITC Avant Garde" w:hAnsi="ITC Avant Garde"/>
          <w:sz w:val="14"/>
          <w:szCs w:val="14"/>
        </w:rPr>
        <w:t xml:space="preserve"> vez concluido</w:t>
      </w:r>
      <w:r w:rsidR="00CC53F7" w:rsidRPr="009B2022">
        <w:rPr>
          <w:rFonts w:ascii="ITC Avant Garde" w:hAnsi="ITC Avant Garde"/>
          <w:sz w:val="14"/>
          <w:szCs w:val="14"/>
        </w:rPr>
        <w:t xml:space="preserve"> dicho periodo</w:t>
      </w:r>
      <w:r w:rsidR="004970C4" w:rsidRPr="009B2022">
        <w:rPr>
          <w:rFonts w:ascii="ITC Avant Garde" w:hAnsi="ITC Avant Garde"/>
          <w:sz w:val="14"/>
          <w:szCs w:val="14"/>
        </w:rPr>
        <w:t>,</w:t>
      </w:r>
      <w:r w:rsidRPr="009B2022">
        <w:rPr>
          <w:rFonts w:ascii="ITC Avant Garde" w:hAnsi="ITC Avant Garde"/>
          <w:sz w:val="14"/>
          <w:szCs w:val="14"/>
        </w:rPr>
        <w:t xml:space="preserve"> se podrá</w:t>
      </w:r>
      <w:r w:rsidR="008F2B1A" w:rsidRPr="009B2022">
        <w:rPr>
          <w:rFonts w:ascii="ITC Avant Garde" w:hAnsi="ITC Avant Garde"/>
          <w:sz w:val="14"/>
          <w:szCs w:val="14"/>
        </w:rPr>
        <w:t>n</w:t>
      </w:r>
      <w:r w:rsidRPr="009B2022">
        <w:rPr>
          <w:rFonts w:ascii="ITC Avant Garde" w:hAnsi="ITC Avant Garde"/>
          <w:sz w:val="14"/>
          <w:szCs w:val="14"/>
        </w:rPr>
        <w:t xml:space="preserve"> continuar visualizando los comentarios vertidos, así como los documentos adjuntos en la siguiente dirección electrónica:</w:t>
      </w:r>
      <w:r w:rsidR="000D2838" w:rsidRPr="009B2022">
        <w:rPr>
          <w:rFonts w:ascii="ITC Avant Garde" w:hAnsi="ITC Avant Garde"/>
          <w:sz w:val="14"/>
          <w:szCs w:val="14"/>
        </w:rPr>
        <w:t xml:space="preserve"> </w:t>
      </w:r>
      <w:hyperlink r:id="rId12" w:tooltip="Liga directa a la seccióndel  portal del IFT en la que se encuentran todas las consultas públicas" w:history="1">
        <w:r w:rsidR="000D2838" w:rsidRPr="009B2022">
          <w:rPr>
            <w:rStyle w:val="Hipervnculo"/>
            <w:rFonts w:ascii="ITC Avant Garde" w:hAnsi="ITC Avant Garde"/>
            <w:sz w:val="14"/>
            <w:szCs w:val="14"/>
          </w:rPr>
          <w:t>http://www.ift.org.mx/industria/consultas-publicas</w:t>
        </w:r>
      </w:hyperlink>
      <w:r w:rsidR="000D2838" w:rsidRPr="009B2022">
        <w:rPr>
          <w:rFonts w:ascii="ITC Avant Garde" w:hAnsi="ITC Avant Garde"/>
          <w:sz w:val="14"/>
          <w:szCs w:val="14"/>
        </w:rPr>
        <w:t xml:space="preserve"> </w:t>
      </w:r>
    </w:p>
    <w:p w14:paraId="442FF679" w14:textId="249C444E" w:rsidR="006601AF" w:rsidRPr="00C82970" w:rsidRDefault="000D2838" w:rsidP="00C900FF">
      <w:pPr>
        <w:pStyle w:val="Listavistosa-nfasis110"/>
        <w:numPr>
          <w:ilvl w:val="0"/>
          <w:numId w:val="1"/>
        </w:numPr>
        <w:spacing w:after="0"/>
        <w:ind w:left="426" w:right="49" w:hanging="426"/>
        <w:jc w:val="both"/>
        <w:rPr>
          <w:rFonts w:ascii="ITC Avant Garde" w:hAnsi="ITC Avant Garde"/>
          <w:sz w:val="14"/>
          <w:szCs w:val="14"/>
        </w:rPr>
      </w:pPr>
      <w:r w:rsidRPr="009B2022">
        <w:rPr>
          <w:rFonts w:ascii="ITC Avant Garde" w:hAnsi="ITC Avant Garde"/>
          <w:sz w:val="14"/>
          <w:szCs w:val="14"/>
        </w:rPr>
        <w:t xml:space="preserve">Para cualquier duda, comentario o inquietud sobre el presente proceso consultivo, el Instituto pone a </w:t>
      </w:r>
      <w:r w:rsidR="008F2B1A" w:rsidRPr="009B2022">
        <w:rPr>
          <w:rFonts w:ascii="ITC Avant Garde" w:hAnsi="ITC Avant Garde"/>
          <w:sz w:val="14"/>
          <w:szCs w:val="14"/>
        </w:rPr>
        <w:t xml:space="preserve">su </w:t>
      </w:r>
      <w:r w:rsidR="00A75A67" w:rsidRPr="009B2022">
        <w:rPr>
          <w:rFonts w:ascii="ITC Avant Garde" w:hAnsi="ITC Avant Garde"/>
          <w:sz w:val="14"/>
          <w:szCs w:val="14"/>
        </w:rPr>
        <w:t>disposición</w:t>
      </w:r>
      <w:r w:rsidR="00F212B2" w:rsidRPr="009B2022">
        <w:rPr>
          <w:rFonts w:ascii="ITC Avant Garde" w:hAnsi="ITC Avant Garde"/>
          <w:sz w:val="14"/>
          <w:szCs w:val="14"/>
        </w:rPr>
        <w:t xml:space="preserve"> </w:t>
      </w:r>
      <w:r w:rsidR="007B55BA">
        <w:rPr>
          <w:rFonts w:ascii="ITC Avant Garde" w:hAnsi="ITC Avant Garde"/>
          <w:sz w:val="14"/>
          <w:szCs w:val="14"/>
        </w:rPr>
        <w:t>los</w:t>
      </w:r>
      <w:r w:rsidR="007B55BA" w:rsidRPr="009B2022">
        <w:rPr>
          <w:rFonts w:ascii="ITC Avant Garde" w:hAnsi="ITC Avant Garde"/>
          <w:sz w:val="14"/>
          <w:szCs w:val="14"/>
        </w:rPr>
        <w:t xml:space="preserve"> </w:t>
      </w:r>
      <w:r w:rsidRPr="009B2022">
        <w:rPr>
          <w:rFonts w:ascii="ITC Avant Garde" w:hAnsi="ITC Avant Garde"/>
          <w:sz w:val="14"/>
          <w:szCs w:val="14"/>
        </w:rPr>
        <w:t>siguiente</w:t>
      </w:r>
      <w:r w:rsidR="007B55BA">
        <w:rPr>
          <w:rFonts w:ascii="ITC Avant Garde" w:hAnsi="ITC Avant Garde"/>
          <w:sz w:val="14"/>
          <w:szCs w:val="14"/>
        </w:rPr>
        <w:t>s</w:t>
      </w:r>
      <w:r w:rsidRPr="009B2022">
        <w:rPr>
          <w:rFonts w:ascii="ITC Avant Garde" w:hAnsi="ITC Avant Garde"/>
          <w:sz w:val="14"/>
          <w:szCs w:val="14"/>
        </w:rPr>
        <w:t xml:space="preserve"> punto</w:t>
      </w:r>
      <w:r w:rsidR="007B55BA">
        <w:rPr>
          <w:rFonts w:ascii="ITC Avant Garde" w:hAnsi="ITC Avant Garde"/>
          <w:sz w:val="14"/>
          <w:szCs w:val="14"/>
        </w:rPr>
        <w:t>s</w:t>
      </w:r>
      <w:r w:rsidRPr="009B2022">
        <w:rPr>
          <w:rFonts w:ascii="ITC Avant Garde" w:hAnsi="ITC Avant Garde"/>
          <w:sz w:val="14"/>
          <w:szCs w:val="14"/>
        </w:rPr>
        <w:t xml:space="preserve"> de </w:t>
      </w:r>
      <w:r w:rsidRPr="00C82970">
        <w:rPr>
          <w:rFonts w:ascii="ITC Avant Garde" w:hAnsi="ITC Avant Garde"/>
          <w:sz w:val="14"/>
          <w:szCs w:val="14"/>
        </w:rPr>
        <w:t xml:space="preserve">contacto: </w:t>
      </w:r>
      <w:r w:rsidR="000007DF">
        <w:rPr>
          <w:rFonts w:ascii="ITC Avant Garde" w:hAnsi="ITC Avant Garde"/>
          <w:sz w:val="14"/>
          <w:szCs w:val="14"/>
        </w:rPr>
        <w:t>Adriana Helena Cruz León,</w:t>
      </w:r>
      <w:r w:rsidR="006F7B29" w:rsidRPr="004510A1">
        <w:rPr>
          <w:rFonts w:ascii="ITC Avant Garde" w:hAnsi="ITC Avant Garde"/>
          <w:sz w:val="14"/>
          <w:szCs w:val="14"/>
        </w:rPr>
        <w:t xml:space="preserve"> </w:t>
      </w:r>
      <w:r w:rsidR="0034067D" w:rsidRPr="00755121">
        <w:rPr>
          <w:rFonts w:ascii="ITC Avant Garde" w:hAnsi="ITC Avant Garde"/>
          <w:sz w:val="14"/>
          <w:szCs w:val="14"/>
        </w:rPr>
        <w:t>Director</w:t>
      </w:r>
      <w:r w:rsidR="000007DF">
        <w:rPr>
          <w:rFonts w:ascii="ITC Avant Garde" w:hAnsi="ITC Avant Garde"/>
          <w:sz w:val="14"/>
          <w:szCs w:val="14"/>
        </w:rPr>
        <w:t>a</w:t>
      </w:r>
      <w:r w:rsidR="0034067D" w:rsidRPr="00755121">
        <w:rPr>
          <w:rFonts w:ascii="ITC Avant Garde" w:hAnsi="ITC Avant Garde"/>
          <w:sz w:val="14"/>
          <w:szCs w:val="14"/>
        </w:rPr>
        <w:t xml:space="preserve"> de </w:t>
      </w:r>
      <w:r w:rsidR="009B3834" w:rsidRPr="009B3834">
        <w:rPr>
          <w:rFonts w:ascii="ITC Avant Garde" w:hAnsi="ITC Avant Garde"/>
          <w:sz w:val="14"/>
          <w:szCs w:val="14"/>
        </w:rPr>
        <w:t>Cuantificación de Derechos y Obligaciones</w:t>
      </w:r>
      <w:r w:rsidR="0034067D" w:rsidRPr="00755121">
        <w:rPr>
          <w:rFonts w:ascii="ITC Avant Garde" w:hAnsi="ITC Avant Garde"/>
          <w:sz w:val="14"/>
          <w:szCs w:val="14"/>
        </w:rPr>
        <w:t xml:space="preserve">, correo electrónico: </w:t>
      </w:r>
      <w:hyperlink r:id="rId13" w:history="1">
        <w:r w:rsidR="000007DF" w:rsidRPr="000007DF">
          <w:rPr>
            <w:rStyle w:val="Hipervnculo"/>
            <w:rFonts w:ascii="ITC Avant Garde" w:hAnsi="ITC Avant Garde"/>
            <w:sz w:val="14"/>
            <w:szCs w:val="14"/>
          </w:rPr>
          <w:t>adriana.cruz@ift.org.mx</w:t>
        </w:r>
      </w:hyperlink>
      <w:r w:rsidR="0034067D" w:rsidRPr="00755121">
        <w:rPr>
          <w:rFonts w:ascii="ITC Avant Garde" w:hAnsi="ITC Avant Garde"/>
          <w:sz w:val="14"/>
          <w:szCs w:val="14"/>
        </w:rPr>
        <w:t>, número telefónico 55</w:t>
      </w:r>
      <w:r w:rsidR="0034067D">
        <w:rPr>
          <w:rFonts w:ascii="ITC Avant Garde" w:hAnsi="ITC Avant Garde"/>
          <w:sz w:val="14"/>
          <w:szCs w:val="14"/>
        </w:rPr>
        <w:t xml:space="preserve"> </w:t>
      </w:r>
      <w:r w:rsidR="0034067D" w:rsidRPr="00755121">
        <w:rPr>
          <w:rFonts w:ascii="ITC Avant Garde" w:hAnsi="ITC Avant Garde"/>
          <w:sz w:val="14"/>
          <w:szCs w:val="14"/>
        </w:rPr>
        <w:t>5015</w:t>
      </w:r>
      <w:r w:rsidR="0034067D">
        <w:rPr>
          <w:rFonts w:ascii="ITC Avant Garde" w:hAnsi="ITC Avant Garde"/>
          <w:sz w:val="14"/>
          <w:szCs w:val="14"/>
        </w:rPr>
        <w:t xml:space="preserve"> </w:t>
      </w:r>
      <w:r w:rsidR="0034067D" w:rsidRPr="00755121">
        <w:rPr>
          <w:rFonts w:ascii="ITC Avant Garde" w:hAnsi="ITC Avant Garde"/>
          <w:sz w:val="14"/>
          <w:szCs w:val="14"/>
        </w:rPr>
        <w:t xml:space="preserve">4000, extensión </w:t>
      </w:r>
      <w:r w:rsidR="000007DF">
        <w:rPr>
          <w:rFonts w:ascii="ITC Avant Garde" w:hAnsi="ITC Avant Garde"/>
          <w:sz w:val="14"/>
          <w:szCs w:val="14"/>
        </w:rPr>
        <w:t>4185</w:t>
      </w:r>
      <w:r w:rsidR="007B55BA">
        <w:rPr>
          <w:rFonts w:ascii="ITC Avant Garde" w:hAnsi="ITC Avant Garde"/>
          <w:sz w:val="14"/>
          <w:szCs w:val="14"/>
        </w:rPr>
        <w:t>,</w:t>
      </w:r>
      <w:r w:rsidR="0034067D" w:rsidRPr="00755121">
        <w:rPr>
          <w:rFonts w:ascii="ITC Avant Garde" w:hAnsi="ITC Avant Garde"/>
          <w:sz w:val="14"/>
          <w:szCs w:val="14"/>
        </w:rPr>
        <w:t xml:space="preserve"> </w:t>
      </w:r>
      <w:r w:rsidR="000007DF">
        <w:rPr>
          <w:rFonts w:ascii="ITC Avant Garde" w:hAnsi="ITC Avant Garde"/>
          <w:sz w:val="14"/>
          <w:szCs w:val="14"/>
        </w:rPr>
        <w:t>Agustín Trajano García Aguilar</w:t>
      </w:r>
      <w:r w:rsidR="0034067D" w:rsidRPr="00755121">
        <w:rPr>
          <w:rFonts w:ascii="ITC Avant Garde" w:hAnsi="ITC Avant Garde"/>
          <w:sz w:val="14"/>
          <w:szCs w:val="14"/>
        </w:rPr>
        <w:t xml:space="preserve">, Subdirector de </w:t>
      </w:r>
      <w:r w:rsidR="00A078AE">
        <w:rPr>
          <w:rFonts w:ascii="ITC Avant Garde" w:hAnsi="ITC Avant Garde"/>
          <w:sz w:val="14"/>
          <w:szCs w:val="14"/>
        </w:rPr>
        <w:t xml:space="preserve"> Cuanti</w:t>
      </w:r>
      <w:r w:rsidR="000007DF">
        <w:rPr>
          <w:rFonts w:ascii="ITC Avant Garde" w:hAnsi="ITC Avant Garde"/>
          <w:sz w:val="14"/>
          <w:szCs w:val="14"/>
        </w:rPr>
        <w:t>ficación de Derechos y Obligaciones</w:t>
      </w:r>
      <w:r w:rsidR="00A078AE">
        <w:rPr>
          <w:rFonts w:ascii="ITC Avant Garde" w:hAnsi="ITC Avant Garde"/>
          <w:sz w:val="14"/>
          <w:szCs w:val="14"/>
        </w:rPr>
        <w:t xml:space="preserve"> 1</w:t>
      </w:r>
      <w:r w:rsidR="0034067D" w:rsidRPr="00755121">
        <w:rPr>
          <w:rFonts w:ascii="ITC Avant Garde" w:hAnsi="ITC Avant Garde"/>
          <w:sz w:val="14"/>
          <w:szCs w:val="14"/>
        </w:rPr>
        <w:t>, correo electrónico:</w:t>
      </w:r>
      <w:r w:rsidR="0034067D">
        <w:rPr>
          <w:rFonts w:ascii="ITC Avant Garde" w:hAnsi="ITC Avant Garde"/>
          <w:sz w:val="14"/>
          <w:szCs w:val="14"/>
        </w:rPr>
        <w:t xml:space="preserve"> </w:t>
      </w:r>
      <w:hyperlink r:id="rId14" w:history="1">
        <w:r w:rsidR="000007DF" w:rsidRPr="000007DF">
          <w:rPr>
            <w:rStyle w:val="Hipervnculo"/>
            <w:rFonts w:ascii="ITC Avant Garde" w:hAnsi="ITC Avant Garde" w:cs="Calibri Light"/>
            <w:sz w:val="14"/>
            <w:szCs w:val="14"/>
          </w:rPr>
          <w:t>agustin.garcia@ift.org.mx</w:t>
        </w:r>
      </w:hyperlink>
      <w:r w:rsidR="0034067D" w:rsidRPr="00755121">
        <w:rPr>
          <w:rFonts w:ascii="ITC Avant Garde" w:hAnsi="ITC Avant Garde"/>
          <w:sz w:val="14"/>
          <w:szCs w:val="14"/>
        </w:rPr>
        <w:t>, número telefónico 55</w:t>
      </w:r>
      <w:r w:rsidR="0034067D">
        <w:rPr>
          <w:rFonts w:ascii="ITC Avant Garde" w:hAnsi="ITC Avant Garde"/>
          <w:sz w:val="14"/>
          <w:szCs w:val="14"/>
        </w:rPr>
        <w:t xml:space="preserve"> </w:t>
      </w:r>
      <w:r w:rsidR="0034067D" w:rsidRPr="00755121">
        <w:rPr>
          <w:rFonts w:ascii="ITC Avant Garde" w:hAnsi="ITC Avant Garde"/>
          <w:sz w:val="14"/>
          <w:szCs w:val="14"/>
        </w:rPr>
        <w:t>5015</w:t>
      </w:r>
      <w:r w:rsidR="0034067D">
        <w:rPr>
          <w:rFonts w:ascii="ITC Avant Garde" w:hAnsi="ITC Avant Garde"/>
          <w:sz w:val="14"/>
          <w:szCs w:val="14"/>
        </w:rPr>
        <w:t xml:space="preserve"> </w:t>
      </w:r>
      <w:r w:rsidR="0034067D" w:rsidRPr="00755121">
        <w:rPr>
          <w:rFonts w:ascii="ITC Avant Garde" w:hAnsi="ITC Avant Garde"/>
          <w:sz w:val="14"/>
          <w:szCs w:val="14"/>
        </w:rPr>
        <w:t>4000, extensión 4</w:t>
      </w:r>
      <w:r w:rsidR="000007DF">
        <w:rPr>
          <w:rFonts w:ascii="ITC Avant Garde" w:hAnsi="ITC Avant Garde"/>
          <w:sz w:val="14"/>
          <w:szCs w:val="14"/>
        </w:rPr>
        <w:t>599</w:t>
      </w:r>
      <w:r w:rsidR="00A078AE">
        <w:rPr>
          <w:rFonts w:ascii="ITC Avant Garde" w:hAnsi="ITC Avant Garde"/>
          <w:sz w:val="14"/>
          <w:szCs w:val="14"/>
        </w:rPr>
        <w:t xml:space="preserve"> y </w:t>
      </w:r>
      <w:r w:rsidR="000007DF">
        <w:rPr>
          <w:rFonts w:ascii="ITC Avant Garde" w:hAnsi="ITC Avant Garde"/>
          <w:sz w:val="14"/>
          <w:szCs w:val="14"/>
        </w:rPr>
        <w:t>Efraín García González</w:t>
      </w:r>
      <w:r w:rsidR="00A078AE">
        <w:rPr>
          <w:rFonts w:ascii="ITC Avant Garde" w:hAnsi="ITC Avant Garde"/>
          <w:sz w:val="14"/>
          <w:szCs w:val="14"/>
        </w:rPr>
        <w:t xml:space="preserve">, Subdirector de </w:t>
      </w:r>
      <w:r w:rsidR="000007DF">
        <w:rPr>
          <w:rFonts w:ascii="ITC Avant Garde" w:hAnsi="ITC Avant Garde"/>
          <w:sz w:val="14"/>
          <w:szCs w:val="14"/>
        </w:rPr>
        <w:t>Cuantificación de Derechos y Obligaciones 2</w:t>
      </w:r>
      <w:r w:rsidR="00A078AE">
        <w:rPr>
          <w:rFonts w:ascii="ITC Avant Garde" w:hAnsi="ITC Avant Garde"/>
          <w:sz w:val="14"/>
          <w:szCs w:val="14"/>
        </w:rPr>
        <w:t xml:space="preserve">, correo electrónico: </w:t>
      </w:r>
      <w:hyperlink r:id="rId15" w:history="1">
        <w:r w:rsidR="000007DF" w:rsidRPr="000007DF">
          <w:rPr>
            <w:rStyle w:val="Hipervnculo"/>
            <w:rFonts w:ascii="ITC Avant Garde" w:hAnsi="ITC Avant Garde"/>
            <w:sz w:val="14"/>
            <w:szCs w:val="14"/>
          </w:rPr>
          <w:t>efrain.garcia@ift.org.mx</w:t>
        </w:r>
      </w:hyperlink>
      <w:r w:rsidR="00A078AE">
        <w:rPr>
          <w:rFonts w:ascii="ITC Avant Garde" w:hAnsi="ITC Avant Garde"/>
          <w:sz w:val="14"/>
          <w:szCs w:val="14"/>
        </w:rPr>
        <w:t xml:space="preserve">, </w:t>
      </w:r>
      <w:r w:rsidR="00A078AE" w:rsidRPr="00755121">
        <w:rPr>
          <w:rFonts w:ascii="ITC Avant Garde" w:hAnsi="ITC Avant Garde"/>
          <w:sz w:val="14"/>
          <w:szCs w:val="14"/>
        </w:rPr>
        <w:t>número telefónico 55</w:t>
      </w:r>
      <w:r w:rsidR="00A078AE">
        <w:rPr>
          <w:rFonts w:ascii="ITC Avant Garde" w:hAnsi="ITC Avant Garde"/>
          <w:sz w:val="14"/>
          <w:szCs w:val="14"/>
        </w:rPr>
        <w:t xml:space="preserve"> </w:t>
      </w:r>
      <w:r w:rsidR="00A078AE" w:rsidRPr="00755121">
        <w:rPr>
          <w:rFonts w:ascii="ITC Avant Garde" w:hAnsi="ITC Avant Garde"/>
          <w:sz w:val="14"/>
          <w:szCs w:val="14"/>
        </w:rPr>
        <w:t>5015</w:t>
      </w:r>
      <w:r w:rsidR="00A078AE">
        <w:rPr>
          <w:rFonts w:ascii="ITC Avant Garde" w:hAnsi="ITC Avant Garde"/>
          <w:sz w:val="14"/>
          <w:szCs w:val="14"/>
        </w:rPr>
        <w:t xml:space="preserve"> </w:t>
      </w:r>
      <w:r w:rsidR="00A078AE" w:rsidRPr="00755121">
        <w:rPr>
          <w:rFonts w:ascii="ITC Avant Garde" w:hAnsi="ITC Avant Garde"/>
          <w:sz w:val="14"/>
          <w:szCs w:val="14"/>
        </w:rPr>
        <w:t>4000, extensión 4</w:t>
      </w:r>
      <w:r w:rsidR="000007DF">
        <w:rPr>
          <w:rFonts w:ascii="ITC Avant Garde" w:hAnsi="ITC Avant Garde"/>
          <w:sz w:val="14"/>
          <w:szCs w:val="14"/>
        </w:rPr>
        <w:t>150</w:t>
      </w:r>
      <w:r w:rsidR="00CB5DC7">
        <w:rPr>
          <w:rFonts w:ascii="ITC Avant Garde" w:hAnsi="ITC Avant Garde"/>
          <w:sz w:val="14"/>
          <w:szCs w:val="14"/>
        </w:rPr>
        <w:t>.</w:t>
      </w:r>
    </w:p>
    <w:p w14:paraId="7F0F46D6" w14:textId="77777777" w:rsidR="006601AF" w:rsidRPr="00F36A5D" w:rsidRDefault="006601AF" w:rsidP="007A6974">
      <w:pPr>
        <w:pStyle w:val="Listavistosa-nfasis110"/>
        <w:spacing w:after="0"/>
        <w:ind w:left="284"/>
        <w:jc w:val="both"/>
        <w:rPr>
          <w:rFonts w:ascii="ITC Avant Garde" w:hAnsi="ITC Avant Garde"/>
          <w:sz w:val="16"/>
        </w:rPr>
      </w:pPr>
    </w:p>
    <w:tbl>
      <w:tblPr>
        <w:tblW w:w="8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6"/>
        <w:gridCol w:w="4066"/>
      </w:tblGrid>
      <w:tr w:rsidR="00DF154A" w:rsidRPr="00F36A5D" w14:paraId="6DCB03C8" w14:textId="77777777" w:rsidTr="00F97305">
        <w:trPr>
          <w:trHeight w:val="600"/>
        </w:trPr>
        <w:tc>
          <w:tcPr>
            <w:tcW w:w="8610" w:type="dxa"/>
            <w:gridSpan w:val="2"/>
            <w:shd w:val="clear" w:color="auto" w:fill="D9D9D9"/>
            <w:vAlign w:val="center"/>
            <w:hideMark/>
          </w:tcPr>
          <w:p w14:paraId="081D7981" w14:textId="77777777" w:rsidR="00DF154A" w:rsidRPr="003353FC" w:rsidRDefault="00DF154A" w:rsidP="00246FA5">
            <w:pPr>
              <w:pStyle w:val="Ttulo2"/>
              <w:ind w:left="783"/>
            </w:pPr>
            <w:r w:rsidRPr="003353FC">
              <w:t>Datos de</w:t>
            </w:r>
            <w:r w:rsidR="003D2703" w:rsidRPr="003353FC">
              <w:t xml:space="preserve"> </w:t>
            </w:r>
            <w:r w:rsidRPr="003353FC">
              <w:t>l</w:t>
            </w:r>
            <w:r w:rsidR="003D2703" w:rsidRPr="003353FC">
              <w:t>a persona</w:t>
            </w:r>
            <w:r w:rsidRPr="003353FC">
              <w:t xml:space="preserve"> participante</w:t>
            </w:r>
          </w:p>
        </w:tc>
      </w:tr>
      <w:tr w:rsidR="00DF154A" w:rsidRPr="00F36A5D" w14:paraId="0F6817BE" w14:textId="77777777" w:rsidTr="00F97305">
        <w:trPr>
          <w:trHeight w:val="509"/>
        </w:trPr>
        <w:tc>
          <w:tcPr>
            <w:tcW w:w="4547" w:type="dxa"/>
            <w:shd w:val="clear" w:color="auto" w:fill="C5E0B3"/>
            <w:vAlign w:val="center"/>
            <w:hideMark/>
          </w:tcPr>
          <w:p w14:paraId="205CF92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9CF43C8"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1DA80307" w14:textId="77777777" w:rsidTr="00F97305">
        <w:trPr>
          <w:trHeight w:val="403"/>
        </w:trPr>
        <w:tc>
          <w:tcPr>
            <w:tcW w:w="4547" w:type="dxa"/>
            <w:shd w:val="clear" w:color="auto" w:fill="E2EFD9"/>
            <w:vAlign w:val="center"/>
            <w:hideMark/>
          </w:tcPr>
          <w:p w14:paraId="27637D76"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2ED0DC81"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5B46AF0C" w14:textId="77777777" w:rsidTr="00F97305">
        <w:trPr>
          <w:trHeight w:val="523"/>
        </w:trPr>
        <w:tc>
          <w:tcPr>
            <w:tcW w:w="4547" w:type="dxa"/>
            <w:shd w:val="clear" w:color="auto" w:fill="C5E0B3"/>
            <w:vAlign w:val="center"/>
            <w:hideMark/>
          </w:tcPr>
          <w:p w14:paraId="5188E5EE"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0BE9B2C2"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1F7B610B" w14:textId="342D6C11" w:rsidR="00DF154A" w:rsidRPr="00F36A5D" w:rsidRDefault="00060B3A">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46668F8EA0F84D7995D86D2FF88722F7"/>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D06A7E" w:rsidRPr="00B81578">
                  <w:rPr>
                    <w:rFonts w:ascii="ITC Avant Garde" w:eastAsia="Times New Roman" w:hAnsi="ITC Avant Garde" w:cs="Arial"/>
                    <w:color w:val="000000"/>
                    <w:sz w:val="20"/>
                    <w:lang w:eastAsia="es-MX"/>
                  </w:rPr>
                  <w:t>Elija un elemento</w:t>
                </w:r>
                <w:r w:rsidR="00D06A7E">
                  <w:rPr>
                    <w:rFonts w:ascii="ITC Avant Garde" w:eastAsia="Times New Roman" w:hAnsi="ITC Avant Garde" w:cs="Arial"/>
                    <w:color w:val="000000"/>
                    <w:sz w:val="20"/>
                    <w:lang w:eastAsia="es-MX"/>
                  </w:rPr>
                  <w:t>.</w:t>
                </w:r>
              </w:sdtContent>
            </w:sdt>
          </w:p>
        </w:tc>
      </w:tr>
      <w:tr w:rsidR="00DF154A" w:rsidRPr="00F36A5D" w14:paraId="08D6B305" w14:textId="77777777" w:rsidTr="00F97305">
        <w:trPr>
          <w:trHeight w:val="300"/>
        </w:trPr>
        <w:tc>
          <w:tcPr>
            <w:tcW w:w="8610" w:type="dxa"/>
            <w:gridSpan w:val="2"/>
            <w:shd w:val="clear" w:color="auto" w:fill="D9D9D9"/>
            <w:noWrap/>
            <w:vAlign w:val="center"/>
            <w:hideMark/>
          </w:tcPr>
          <w:p w14:paraId="41B64736" w14:textId="77777777" w:rsidR="00D50117" w:rsidRPr="00E62A8C" w:rsidRDefault="00E17493" w:rsidP="00E62A8C">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E072C">
              <w:rPr>
                <w:rFonts w:ascii="ITC Avant Garde" w:hAnsi="ITC Avant Garde"/>
                <w:b/>
              </w:rPr>
              <w:t>UNIDA</w:t>
            </w:r>
            <w:r w:rsidR="00A85F71">
              <w:rPr>
                <w:rFonts w:ascii="ITC Avant Garde" w:hAnsi="ITC Avant Garde"/>
                <w:b/>
              </w:rPr>
              <w:t>D</w:t>
            </w:r>
            <w:r w:rsidR="009E072C">
              <w:rPr>
                <w:rFonts w:ascii="ITC Avant Garde" w:hAnsi="ITC Avant Garde"/>
                <w:b/>
              </w:rPr>
              <w:t xml:space="preserve"> DE POLÍTICA REGULATORIA</w:t>
            </w:r>
          </w:p>
        </w:tc>
      </w:tr>
      <w:tr w:rsidR="00DF154A" w:rsidRPr="00F36A5D" w14:paraId="362E0753" w14:textId="77777777" w:rsidTr="00F97305">
        <w:trPr>
          <w:trHeight w:val="274"/>
        </w:trPr>
        <w:tc>
          <w:tcPr>
            <w:tcW w:w="8610" w:type="dxa"/>
            <w:gridSpan w:val="2"/>
            <w:shd w:val="clear" w:color="auto" w:fill="auto"/>
            <w:vAlign w:val="center"/>
            <w:hideMark/>
          </w:tcPr>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2"/>
            </w:tblGrid>
            <w:tr w:rsidR="00365720" w14:paraId="640FC1E8" w14:textId="77777777" w:rsidTr="00365720">
              <w:trPr>
                <w:trHeight w:val="274"/>
                <w:jc w:val="center"/>
              </w:trPr>
              <w:tc>
                <w:tcPr>
                  <w:tcW w:w="8742" w:type="dxa"/>
                  <w:tcBorders>
                    <w:top w:val="single" w:sz="4" w:space="0" w:color="auto"/>
                    <w:left w:val="single" w:sz="4" w:space="0" w:color="auto"/>
                    <w:bottom w:val="single" w:sz="4" w:space="0" w:color="auto"/>
                    <w:right w:val="single" w:sz="4" w:space="0" w:color="auto"/>
                  </w:tcBorders>
                  <w:vAlign w:val="center"/>
                </w:tcPr>
                <w:p w14:paraId="0FFB30EA"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32904365"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XIV, punto 7, de la Política Interna de Gestión y Tratamiento de Datos Personales del Instituto Federal de Telecomunicaciones, se pone a disposición de las personas titulares de datos personales, el siguiente Aviso de Privacidad Integral:</w:t>
                  </w:r>
                </w:p>
                <w:p w14:paraId="637650FB"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4D0D9E7A"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 Denominación del responsable</w:t>
                  </w:r>
                </w:p>
                <w:p w14:paraId="1E857A60"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Instituto Federal de Telecomunicaciones (en lo sucesivo, el “IFT”).</w:t>
                  </w:r>
                </w:p>
                <w:p w14:paraId="01B4765E"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032D9E30"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II. Domicilio del responsable</w:t>
                  </w:r>
                </w:p>
                <w:p w14:paraId="081A4719"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73264245"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1DC9527D"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III. Datos personales que serán sometidos a tratamiento, identificando aquéllos que son sensibles</w:t>
                  </w:r>
                </w:p>
                <w:p w14:paraId="4F6E4BC4"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datos personales que el IFT recaba, a través de la </w:t>
                  </w:r>
                  <w:r>
                    <w:rPr>
                      <w:rFonts w:ascii="ITC Avant Garde" w:eastAsia="Times New Roman" w:hAnsi="ITC Avant Garde"/>
                      <w:i/>
                      <w:color w:val="000000"/>
                      <w:sz w:val="14"/>
                      <w:szCs w:val="16"/>
                      <w:lang w:eastAsia="es-MX"/>
                    </w:rPr>
                    <w:t>Unidad de Política Regulatoria</w:t>
                  </w:r>
                  <w:r>
                    <w:rPr>
                      <w:rFonts w:ascii="ITC Avant Garde" w:eastAsia="Times New Roman" w:hAnsi="ITC Avant Garde"/>
                      <w:color w:val="000000"/>
                      <w:sz w:val="14"/>
                      <w:szCs w:val="16"/>
                      <w:lang w:eastAsia="es-MX"/>
                    </w:rPr>
                    <w:t>, son los siguientes:</w:t>
                  </w:r>
                </w:p>
                <w:p w14:paraId="555D8D8C" w14:textId="77777777" w:rsidR="00365720" w:rsidRDefault="00365720" w:rsidP="00365720">
                  <w:pPr>
                    <w:numPr>
                      <w:ilvl w:val="0"/>
                      <w:numId w:val="51"/>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lastRenderedPageBreak/>
                    <w:t>Datos de identificación: Nombre completo de personas físicas, en su caso, nombre completo de representante legal.</w:t>
                  </w:r>
                </w:p>
                <w:p w14:paraId="010C0A8E" w14:textId="77777777" w:rsidR="00365720" w:rsidRDefault="00365720" w:rsidP="00365720">
                  <w:pPr>
                    <w:pStyle w:val="Prrafodelista"/>
                    <w:numPr>
                      <w:ilvl w:val="0"/>
                      <w:numId w:val="51"/>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 xml:space="preserve">Datos de contacto: Dirección de correo electrónico. </w:t>
                  </w:r>
                </w:p>
                <w:p w14:paraId="45FDA321" w14:textId="77777777" w:rsidR="00365720" w:rsidRDefault="00365720" w:rsidP="00365720">
                  <w:pPr>
                    <w:pStyle w:val="Prrafodelista"/>
                    <w:numPr>
                      <w:ilvl w:val="0"/>
                      <w:numId w:val="51"/>
                    </w:numPr>
                    <w:spacing w:line="256" w:lineRule="auto"/>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2E681603"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6A213B0B"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17E2F98D"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IV. Fundamento legal que faculta al responsable para llevar a cabo el tratamiento</w:t>
                  </w:r>
                </w:p>
                <w:p w14:paraId="798C66EB"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IFT, a través de la </w:t>
                  </w:r>
                  <w:r>
                    <w:rPr>
                      <w:rFonts w:ascii="ITC Avant Garde" w:eastAsia="Times New Roman" w:hAnsi="ITC Avant Garde"/>
                      <w:i/>
                      <w:color w:val="000000"/>
                      <w:sz w:val="14"/>
                      <w:szCs w:val="16"/>
                      <w:lang w:eastAsia="es-MX"/>
                    </w:rPr>
                    <w:t>Unidad de Política Regulatoria</w:t>
                  </w:r>
                  <w:r>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20 de mayo de 2021,12, fracción XXII, segundo y tercer párrafos y 138 de la Ley Federal de Competencia Económica, última modificación publicada en el Diario Oficial de la Federación el 20 de mayo de 2021, así como el Lineamiento Octavo de los Lineamientos de Consulta Pública y Análisis de Impacto Regulatorio del Instituto Federal de Telecomunicaciones, publicados en el Diario Oficial de la Federación el 8 de noviembre de 2017</w:t>
                  </w:r>
                  <w:r>
                    <w:rPr>
                      <w:rFonts w:ascii="ITC Avant Garde" w:eastAsia="Times New Roman" w:hAnsi="ITC Avant Garde"/>
                      <w:color w:val="000000"/>
                      <w:sz w:val="14"/>
                      <w:szCs w:val="16"/>
                      <w:lang w:eastAsia="es-MX"/>
                    </w:rPr>
                    <w:t>,</w:t>
                  </w:r>
                  <w:r>
                    <w:rPr>
                      <w:rFonts w:ascii="ITC Avant Garde" w:eastAsiaTheme="minorHAnsi" w:hAnsi="ITC Avant Garde" w:cstheme="minorBidi"/>
                      <w:i/>
                    </w:rPr>
                    <w:t xml:space="preserve"> </w:t>
                  </w:r>
                  <w:r>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Pr>
                      <w:rFonts w:ascii="ITC Avant Garde" w:eastAsia="Times New Roman" w:hAnsi="ITC Avant Garde"/>
                      <w:color w:val="000000"/>
                      <w:sz w:val="14"/>
                      <w:szCs w:val="16"/>
                      <w:lang w:eastAsia="es-MX"/>
                    </w:rPr>
                    <w:t xml:space="preserve"> recabados en el ejercicio de sus funciones.</w:t>
                  </w:r>
                </w:p>
                <w:p w14:paraId="1A553744"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5235E2C6"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V. Finalidades del tratamiento</w:t>
                  </w:r>
                </w:p>
                <w:p w14:paraId="7849B32C"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Pr>
                      <w:rFonts w:ascii="ITC Avant Garde" w:eastAsia="Times New Roman" w:hAnsi="ITC Avant Garde"/>
                      <w:i/>
                      <w:color w:val="000000"/>
                      <w:sz w:val="14"/>
                      <w:szCs w:val="16"/>
                      <w:lang w:eastAsia="es-MX"/>
                    </w:rPr>
                    <w:t>Unidad de Política Regulatoria</w:t>
                  </w:r>
                  <w:r>
                    <w:rPr>
                      <w:rFonts w:ascii="ITC Avant Garde" w:eastAsia="Times New Roman" w:hAnsi="ITC Avant Garde"/>
                      <w:color w:val="000000"/>
                      <w:sz w:val="14"/>
                      <w:szCs w:val="16"/>
                      <w:lang w:eastAsia="es-MX"/>
                    </w:rPr>
                    <w:t>, y serán tratados conforme a las finalidades concretas, lícitas, explícitas y legítimas siguientes:</w:t>
                  </w:r>
                </w:p>
                <w:p w14:paraId="3E6B98BE"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365720" w14:paraId="69D84FFD" w14:textId="77777777">
                    <w:trPr>
                      <w:trHeight w:val="243"/>
                    </w:trPr>
                    <w:tc>
                      <w:tcPr>
                        <w:tcW w:w="41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CF914E" w14:textId="77777777" w:rsidR="00365720" w:rsidRDefault="00365720" w:rsidP="00365720">
                        <w:pPr>
                          <w:spacing w:after="0"/>
                          <w:jc w:val="center"/>
                          <w:rPr>
                            <w:rFonts w:ascii="ITC Avant Garde" w:hAnsi="ITC Avant Garde"/>
                            <w:b/>
                            <w:sz w:val="14"/>
                            <w:szCs w:val="14"/>
                          </w:rPr>
                        </w:pPr>
                        <w:r>
                          <w:rPr>
                            <w:rFonts w:ascii="ITC Avant Garde" w:hAnsi="ITC Avant Garde"/>
                            <w:b/>
                            <w:sz w:val="14"/>
                            <w:szCs w:val="14"/>
                          </w:rPr>
                          <w:t>Datos personales</w:t>
                        </w:r>
                      </w:p>
                    </w:tc>
                    <w:tc>
                      <w:tcPr>
                        <w:tcW w:w="39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0646D5" w14:textId="77777777" w:rsidR="00365720" w:rsidRDefault="00365720" w:rsidP="00365720">
                        <w:pPr>
                          <w:spacing w:after="0"/>
                          <w:jc w:val="center"/>
                          <w:rPr>
                            <w:rFonts w:ascii="ITC Avant Garde" w:hAnsi="ITC Avant Garde"/>
                            <w:b/>
                            <w:sz w:val="14"/>
                            <w:szCs w:val="14"/>
                          </w:rPr>
                        </w:pPr>
                        <w:r>
                          <w:rPr>
                            <w:rFonts w:ascii="ITC Avant Garde" w:hAnsi="ITC Avant Garde"/>
                            <w:b/>
                            <w:sz w:val="14"/>
                            <w:szCs w:val="14"/>
                          </w:rPr>
                          <w:t>Finalidad del tratamiento</w:t>
                        </w:r>
                      </w:p>
                    </w:tc>
                  </w:tr>
                  <w:tr w:rsidR="00365720" w14:paraId="0750B373" w14:textId="77777777">
                    <w:tc>
                      <w:tcPr>
                        <w:tcW w:w="4145" w:type="dxa"/>
                        <w:tcBorders>
                          <w:top w:val="single" w:sz="4" w:space="0" w:color="auto"/>
                          <w:left w:val="single" w:sz="4" w:space="0" w:color="auto"/>
                          <w:bottom w:val="single" w:sz="4" w:space="0" w:color="auto"/>
                          <w:right w:val="single" w:sz="4" w:space="0" w:color="auto"/>
                        </w:tcBorders>
                        <w:vAlign w:val="center"/>
                        <w:hideMark/>
                      </w:tcPr>
                      <w:p w14:paraId="2A818B6E" w14:textId="77777777" w:rsidR="00365720" w:rsidRDefault="00365720" w:rsidP="00365720">
                        <w:pPr>
                          <w:numPr>
                            <w:ilvl w:val="0"/>
                            <w:numId w:val="52"/>
                          </w:numPr>
                          <w:spacing w:after="0" w:line="240" w:lineRule="auto"/>
                          <w:ind w:right="67"/>
                          <w:contextualSpacing/>
                          <w:jc w:val="both"/>
                          <w:rPr>
                            <w:rFonts w:ascii="ITC Avant Garde" w:hAnsi="ITC Avant Garde"/>
                            <w:b/>
                            <w:sz w:val="14"/>
                            <w:szCs w:val="14"/>
                          </w:rPr>
                        </w:pPr>
                        <w:bookmarkStart w:id="0" w:name="_Hlk142901673"/>
                        <w:r>
                          <w:rPr>
                            <w:rFonts w:ascii="ITC Avant Garde" w:hAnsi="ITC Avant Garde"/>
                            <w:i/>
                            <w:iCs/>
                            <w:sz w:val="14"/>
                            <w:szCs w:val="14"/>
                          </w:rPr>
                          <w:t>Datos de identificació</w:t>
                        </w:r>
                        <w:bookmarkEnd w:id="0"/>
                        <w:r>
                          <w:rPr>
                            <w:rFonts w:ascii="ITC Avant Garde" w:hAnsi="ITC Avant Garde"/>
                            <w:i/>
                            <w:iCs/>
                            <w:sz w:val="14"/>
                            <w:szCs w:val="14"/>
                          </w:rPr>
                          <w:t>n (</w:t>
                        </w:r>
                        <w:bookmarkStart w:id="1" w:name="_Hlk142901698"/>
                        <w:r>
                          <w:rPr>
                            <w:rFonts w:ascii="ITC Avant Garde" w:hAnsi="ITC Avant Garde"/>
                            <w:i/>
                            <w:iCs/>
                            <w:sz w:val="14"/>
                            <w:szCs w:val="14"/>
                          </w:rPr>
                          <w:t>nombre completo de personas físicas, en su caso, nombre completo de representante legal</w:t>
                        </w:r>
                        <w:bookmarkEnd w:id="1"/>
                        <w:r>
                          <w:rPr>
                            <w:rFonts w:ascii="ITC Avant Garde" w:hAnsi="ITC Avant Garde"/>
                            <w:i/>
                            <w:iCs/>
                            <w:sz w:val="14"/>
                            <w:szCs w:val="14"/>
                          </w:rPr>
                          <w:t>)</w:t>
                        </w:r>
                      </w:p>
                    </w:tc>
                    <w:tc>
                      <w:tcPr>
                        <w:tcW w:w="3935" w:type="dxa"/>
                        <w:tcBorders>
                          <w:top w:val="single" w:sz="4" w:space="0" w:color="auto"/>
                          <w:left w:val="single" w:sz="4" w:space="0" w:color="auto"/>
                          <w:bottom w:val="single" w:sz="4" w:space="0" w:color="auto"/>
                          <w:right w:val="single" w:sz="4" w:space="0" w:color="auto"/>
                        </w:tcBorders>
                        <w:hideMark/>
                      </w:tcPr>
                      <w:p w14:paraId="46CED1BA" w14:textId="77777777" w:rsidR="00365720" w:rsidRDefault="00365720" w:rsidP="00365720">
                        <w:pPr>
                          <w:spacing w:after="0"/>
                          <w:ind w:right="38"/>
                          <w:contextualSpacing/>
                          <w:jc w:val="both"/>
                          <w:rPr>
                            <w:rFonts w:ascii="ITC Avant Garde" w:hAnsi="ITC Avant Garde"/>
                            <w:i/>
                            <w:sz w:val="14"/>
                            <w:szCs w:val="14"/>
                          </w:rPr>
                        </w:pPr>
                        <w:r>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365720" w14:paraId="6712CBA0" w14:textId="77777777">
                    <w:tc>
                      <w:tcPr>
                        <w:tcW w:w="4145" w:type="dxa"/>
                        <w:tcBorders>
                          <w:top w:val="single" w:sz="4" w:space="0" w:color="auto"/>
                          <w:left w:val="single" w:sz="4" w:space="0" w:color="auto"/>
                          <w:bottom w:val="single" w:sz="4" w:space="0" w:color="auto"/>
                          <w:right w:val="single" w:sz="4" w:space="0" w:color="auto"/>
                        </w:tcBorders>
                        <w:vAlign w:val="center"/>
                        <w:hideMark/>
                      </w:tcPr>
                      <w:p w14:paraId="3E010550" w14:textId="77777777" w:rsidR="00365720" w:rsidRDefault="00365720" w:rsidP="00365720">
                        <w:pPr>
                          <w:numPr>
                            <w:ilvl w:val="0"/>
                            <w:numId w:val="52"/>
                          </w:numPr>
                          <w:spacing w:after="0" w:line="240" w:lineRule="auto"/>
                          <w:ind w:right="67"/>
                          <w:contextualSpacing/>
                          <w:jc w:val="both"/>
                          <w:rPr>
                            <w:rFonts w:ascii="ITC Avant Garde" w:hAnsi="ITC Avant Garde"/>
                            <w:b/>
                            <w:sz w:val="14"/>
                            <w:szCs w:val="14"/>
                          </w:rPr>
                        </w:pPr>
                        <w:r>
                          <w:rPr>
                            <w:rFonts w:ascii="ITC Avant Garde" w:hAnsi="ITC Avant Garde"/>
                            <w:i/>
                            <w:sz w:val="14"/>
                            <w:szCs w:val="14"/>
                          </w:rPr>
                          <w:t>Datos de contacto (dirección de correo electrónico)</w:t>
                        </w:r>
                      </w:p>
                    </w:tc>
                    <w:tc>
                      <w:tcPr>
                        <w:tcW w:w="3935" w:type="dxa"/>
                        <w:tcBorders>
                          <w:top w:val="single" w:sz="4" w:space="0" w:color="auto"/>
                          <w:left w:val="single" w:sz="4" w:space="0" w:color="auto"/>
                          <w:bottom w:val="single" w:sz="4" w:space="0" w:color="auto"/>
                          <w:right w:val="single" w:sz="4" w:space="0" w:color="auto"/>
                        </w:tcBorders>
                        <w:hideMark/>
                      </w:tcPr>
                      <w:p w14:paraId="4835B34A" w14:textId="77777777" w:rsidR="00365720" w:rsidRDefault="00365720" w:rsidP="00365720">
                        <w:pPr>
                          <w:jc w:val="both"/>
                          <w:rPr>
                            <w:rFonts w:ascii="ITC Avant Garde" w:hAnsi="ITC Avant Garde"/>
                            <w:i/>
                            <w:sz w:val="14"/>
                            <w:szCs w:val="14"/>
                          </w:rPr>
                        </w:pPr>
                        <w:r>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4F2C06EF" w14:textId="77777777" w:rsidR="00365720" w:rsidRDefault="00365720" w:rsidP="00365720">
                        <w:pPr>
                          <w:jc w:val="both"/>
                          <w:rPr>
                            <w:b/>
                          </w:rPr>
                        </w:pPr>
                        <w:r>
                          <w:rPr>
                            <w:rFonts w:ascii="ITC Avant Garde" w:hAnsi="ITC Avant Garde"/>
                            <w:i/>
                            <w:sz w:val="14"/>
                            <w:szCs w:val="14"/>
                          </w:rPr>
                          <w:t>Hacer llegar al IFT, mediante la dirección electrónica habilitada para ello, su participación en los procesos de Consulta Pública.</w:t>
                        </w:r>
                      </w:p>
                    </w:tc>
                  </w:tr>
                  <w:tr w:rsidR="00365720" w14:paraId="610FC3A3" w14:textId="77777777">
                    <w:tc>
                      <w:tcPr>
                        <w:tcW w:w="4145" w:type="dxa"/>
                        <w:tcBorders>
                          <w:top w:val="single" w:sz="4" w:space="0" w:color="auto"/>
                          <w:left w:val="single" w:sz="4" w:space="0" w:color="auto"/>
                          <w:bottom w:val="single" w:sz="4" w:space="0" w:color="auto"/>
                          <w:right w:val="single" w:sz="4" w:space="0" w:color="auto"/>
                        </w:tcBorders>
                        <w:vAlign w:val="center"/>
                        <w:hideMark/>
                      </w:tcPr>
                      <w:p w14:paraId="571A99EE" w14:textId="77777777" w:rsidR="00365720" w:rsidRDefault="00365720" w:rsidP="00365720">
                        <w:pPr>
                          <w:numPr>
                            <w:ilvl w:val="0"/>
                            <w:numId w:val="52"/>
                          </w:numPr>
                          <w:spacing w:after="0" w:line="240" w:lineRule="auto"/>
                          <w:ind w:right="67"/>
                          <w:contextualSpacing/>
                          <w:jc w:val="both"/>
                          <w:rPr>
                            <w:rFonts w:ascii="ITC Avant Garde" w:hAnsi="ITC Avant Garde"/>
                            <w:b/>
                            <w:sz w:val="14"/>
                            <w:szCs w:val="14"/>
                          </w:rPr>
                        </w:pPr>
                        <w:bookmarkStart w:id="2" w:name="_Hlk142901757"/>
                        <w:r>
                          <w:rPr>
                            <w:rFonts w:ascii="ITC Avant Garde" w:hAnsi="ITC Avant Garde"/>
                            <w:i/>
                            <w:sz w:val="14"/>
                            <w:szCs w:val="14"/>
                          </w:rPr>
                          <w:t>Datos laborale</w:t>
                        </w:r>
                        <w:bookmarkEnd w:id="2"/>
                        <w:r>
                          <w:rPr>
                            <w:rFonts w:ascii="ITC Avant Garde" w:hAnsi="ITC Avant Garde"/>
                            <w:i/>
                            <w:sz w:val="14"/>
                            <w:szCs w:val="14"/>
                          </w:rPr>
                          <w:t>s (</w:t>
                        </w:r>
                        <w:bookmarkStart w:id="3" w:name="_Hlk142901771"/>
                        <w:r>
                          <w:rPr>
                            <w:rFonts w:ascii="ITC Avant Garde" w:hAnsi="ITC Avant Garde"/>
                            <w:i/>
                            <w:sz w:val="14"/>
                            <w:szCs w:val="14"/>
                          </w:rPr>
                          <w:t>documentos que acrediten la personalidad del representante legal de personas físicas y morales</w:t>
                        </w:r>
                        <w:bookmarkEnd w:id="3"/>
                        <w:r>
                          <w:rPr>
                            <w:rFonts w:ascii="ITC Avant Garde" w:hAnsi="ITC Avant Garde"/>
                            <w:i/>
                            <w:sz w:val="14"/>
                            <w:szCs w:val="14"/>
                          </w:rPr>
                          <w:t>)</w:t>
                        </w:r>
                      </w:p>
                    </w:tc>
                    <w:tc>
                      <w:tcPr>
                        <w:tcW w:w="3935" w:type="dxa"/>
                        <w:tcBorders>
                          <w:top w:val="single" w:sz="4" w:space="0" w:color="auto"/>
                          <w:left w:val="single" w:sz="4" w:space="0" w:color="auto"/>
                          <w:bottom w:val="single" w:sz="4" w:space="0" w:color="auto"/>
                          <w:right w:val="single" w:sz="4" w:space="0" w:color="auto"/>
                        </w:tcBorders>
                        <w:hideMark/>
                      </w:tcPr>
                      <w:p w14:paraId="32903360" w14:textId="77777777" w:rsidR="00365720" w:rsidRDefault="00365720" w:rsidP="00365720">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34D13548"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p>
                <w:p w14:paraId="58F5E8AA"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VI. Información relativa a las transferencias de datos personales que requieran consentimiento</w:t>
                  </w:r>
                </w:p>
                <w:p w14:paraId="6CEBB5F8"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w:t>
                  </w:r>
                  <w:r>
                    <w:rPr>
                      <w:rFonts w:ascii="ITC Avant Garde" w:eastAsia="Times New Roman" w:hAnsi="ITC Avant Garde"/>
                      <w:i/>
                      <w:color w:val="000000"/>
                      <w:sz w:val="14"/>
                      <w:szCs w:val="16"/>
                      <w:lang w:eastAsia="es-MX"/>
                    </w:rPr>
                    <w:t>Unidad de Política Regulatoria</w:t>
                  </w:r>
                  <w:r>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29B0E0BC"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01AA46AC"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7C65D4B3"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Planta Baja, Colonia Nochebuena, Demarcación Territorial Benito Juárez, Código Postal 03720, Ciudad de México, o bien, enviar un correo electrónico a la siguiente dirección </w:t>
                  </w:r>
                  <w:hyperlink r:id="rId16" w:history="1">
                    <w:r>
                      <w:rPr>
                        <w:rStyle w:val="Hipervnculo"/>
                        <w:rFonts w:ascii="ITC Avant Garde" w:eastAsia="Times New Roman" w:hAnsi="ITC Avant Garde"/>
                        <w:sz w:val="14"/>
                        <w:szCs w:val="16"/>
                        <w:lang w:eastAsia="es-MX"/>
                      </w:rPr>
                      <w:t>unidad.transparencia@ift.org.mx</w:t>
                    </w:r>
                  </w:hyperlink>
                  <w:r>
                    <w:rPr>
                      <w:rFonts w:ascii="ITC Avant Garde" w:eastAsia="Times New Roman" w:hAnsi="ITC Avant Garde"/>
                      <w:color w:val="000000"/>
                      <w:sz w:val="14"/>
                      <w:szCs w:val="16"/>
                      <w:lang w:eastAsia="es-MX"/>
                    </w:rPr>
                    <w:t xml:space="preserve">, e incluso, comunicarse al teléfono 55 5015 4000, extensiones 4688, 2321 y 2205. </w:t>
                  </w:r>
                </w:p>
                <w:p w14:paraId="699DDB46"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67F208BC"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45FB3F"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56C48FC1"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así como lo señalado en el Procedimiento Interno para garantizar el ejercicio de los Derechos de </w:t>
                  </w:r>
                  <w:r>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Pr>
                      <w:rStyle w:val="Refdenotaalpie"/>
                      <w:rFonts w:ascii="ITC Avant Garde" w:eastAsia="Times New Roman" w:hAnsi="ITC Avant Garde"/>
                      <w:color w:val="000000"/>
                      <w:sz w:val="14"/>
                      <w:szCs w:val="16"/>
                      <w:lang w:eastAsia="es-MX"/>
                    </w:rPr>
                    <w:footnoteReference w:id="2"/>
                  </w:r>
                  <w:r>
                    <w:rPr>
                      <w:rFonts w:ascii="ITC Avant Garde" w:eastAsia="Times New Roman" w:hAnsi="ITC Avant Garde"/>
                      <w:color w:val="000000"/>
                      <w:sz w:val="14"/>
                      <w:szCs w:val="16"/>
                      <w:lang w:eastAsia="es-MX"/>
                    </w:rPr>
                    <w:t>, de conformidad con lo siguiente:</w:t>
                  </w:r>
                </w:p>
                <w:p w14:paraId="4DCBC038" w14:textId="77777777" w:rsidR="00365720" w:rsidRDefault="00365720" w:rsidP="00365720">
                  <w:pPr>
                    <w:numPr>
                      <w:ilvl w:val="0"/>
                      <w:numId w:val="5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requisitos que debe contener la solicitud para el ejercicio de los derechos ARCO. </w:t>
                  </w:r>
                </w:p>
                <w:p w14:paraId="1C9A0DC5"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5D0F07D8" w14:textId="77777777" w:rsidR="00365720" w:rsidRDefault="00365720" w:rsidP="00365720">
                  <w:pPr>
                    <w:numPr>
                      <w:ilvl w:val="0"/>
                      <w:numId w:val="54"/>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Nombre del titular y su domicilio o cualquier otro medio para recibir notificaciones;</w:t>
                  </w:r>
                </w:p>
                <w:p w14:paraId="24ACDC09" w14:textId="77777777" w:rsidR="00365720" w:rsidRDefault="00365720" w:rsidP="00365720">
                  <w:pPr>
                    <w:numPr>
                      <w:ilvl w:val="0"/>
                      <w:numId w:val="54"/>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168214B2" w14:textId="77777777" w:rsidR="00365720" w:rsidRDefault="00365720" w:rsidP="00365720">
                  <w:pPr>
                    <w:numPr>
                      <w:ilvl w:val="0"/>
                      <w:numId w:val="54"/>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1760B8D3" w14:textId="77777777" w:rsidR="00365720" w:rsidRDefault="00365720" w:rsidP="00365720">
                  <w:pPr>
                    <w:numPr>
                      <w:ilvl w:val="0"/>
                      <w:numId w:val="54"/>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9F270E" w14:textId="77777777" w:rsidR="00365720" w:rsidRDefault="00365720" w:rsidP="00365720">
                  <w:pPr>
                    <w:numPr>
                      <w:ilvl w:val="0"/>
                      <w:numId w:val="54"/>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18AA2AF7" w14:textId="77777777" w:rsidR="00365720" w:rsidRDefault="00365720" w:rsidP="00365720">
                  <w:pPr>
                    <w:numPr>
                      <w:ilvl w:val="0"/>
                      <w:numId w:val="54"/>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Cualquier otro elemento o documento que facilite la localización de los datos personales, en su caso.</w:t>
                  </w:r>
                </w:p>
                <w:p w14:paraId="533F0857"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342FDDCE" w14:textId="77777777" w:rsidR="00365720" w:rsidRDefault="00365720" w:rsidP="00365720">
                  <w:pPr>
                    <w:numPr>
                      <w:ilvl w:val="0"/>
                      <w:numId w:val="5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B5CE667"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25FFCA99" w14:textId="77777777" w:rsidR="00365720" w:rsidRDefault="00365720" w:rsidP="00365720">
                  <w:pPr>
                    <w:numPr>
                      <w:ilvl w:val="0"/>
                      <w:numId w:val="5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610C0681"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7" w:history="1">
                    <w:r>
                      <w:rPr>
                        <w:rStyle w:val="Hipervnculo"/>
                        <w:rFonts w:ascii="ITC Avant Garde" w:eastAsia="Times New Roman" w:hAnsi="ITC Avant Garde"/>
                        <w:sz w:val="14"/>
                        <w:szCs w:val="16"/>
                        <w:lang w:eastAsia="es-MX"/>
                      </w:rPr>
                      <w:t>https://home.inai.org.mx/</w:t>
                    </w:r>
                  </w:hyperlink>
                  <w:r>
                    <w:rPr>
                      <w:rFonts w:ascii="ITC Avant Garde" w:eastAsia="Times New Roman" w:hAnsi="ITC Avant Garde"/>
                      <w:color w:val="000000"/>
                      <w:sz w:val="14"/>
                      <w:szCs w:val="16"/>
                      <w:lang w:eastAsia="es-MX"/>
                    </w:rPr>
                    <w:t xml:space="preserve">, en la sección “Protección de Datos Personales” /“Ingresa tu solicitud o </w:t>
                  </w:r>
                  <w:r>
                    <w:rPr>
                      <w:rFonts w:ascii="ITC Avant Garde" w:eastAsia="Times New Roman" w:hAnsi="ITC Avant Garde"/>
                      <w:color w:val="000000"/>
                      <w:sz w:val="14"/>
                      <w:szCs w:val="14"/>
                      <w:lang w:eastAsia="es-MX"/>
                    </w:rPr>
                    <w:t>denuncia” / “Formatos” /  “En el sector público” /</w:t>
                  </w:r>
                  <w:hyperlink r:id="rId18" w:history="1">
                    <w:r>
                      <w:rPr>
                        <w:rStyle w:val="Hipervnculo"/>
                        <w:rFonts w:ascii="ITC Avant Garde" w:eastAsia="Times New Roman" w:hAnsi="ITC Avant Garde"/>
                        <w:sz w:val="14"/>
                        <w:szCs w:val="14"/>
                        <w:lang w:eastAsia="es-MX"/>
                      </w:rPr>
                      <w:t>“</w:t>
                    </w:r>
                    <w:r>
                      <w:rPr>
                        <w:rStyle w:val="Hipervnculo"/>
                        <w:rFonts w:ascii="ITC Avant Garde" w:hAnsi="ITC Avant Garde"/>
                        <w:sz w:val="14"/>
                        <w:szCs w:val="14"/>
                      </w:rPr>
                      <w:t>Formato de Solicitud de derechos ARCO para el Sector Público</w:t>
                    </w:r>
                  </w:hyperlink>
                  <w:r>
                    <w:rPr>
                      <w:rFonts w:ascii="ITC Avant Garde" w:eastAsia="Times New Roman" w:hAnsi="ITC Avant Garde"/>
                      <w:color w:val="000000"/>
                      <w:sz w:val="14"/>
                      <w:szCs w:val="14"/>
                      <w:lang w:eastAsia="es-MX"/>
                    </w:rPr>
                    <w:t>””.</w:t>
                  </w:r>
                </w:p>
                <w:p w14:paraId="2562622D" w14:textId="77777777" w:rsidR="00365720" w:rsidRDefault="00365720" w:rsidP="00365720">
                  <w:pPr>
                    <w:numPr>
                      <w:ilvl w:val="0"/>
                      <w:numId w:val="5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medios habilitados para dar respuesta a las solicitudes para el ejercicio de los derechos ARCO.</w:t>
                  </w:r>
                </w:p>
                <w:p w14:paraId="4A5D0D9F"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6EE06C38" w14:textId="77777777" w:rsidR="00365720" w:rsidRDefault="00365720" w:rsidP="00365720">
                  <w:pPr>
                    <w:numPr>
                      <w:ilvl w:val="0"/>
                      <w:numId w:val="5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La modalidad o medios de reproducción de los datos personales.</w:t>
                  </w:r>
                </w:p>
                <w:p w14:paraId="32A489EB"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6D4BD3A9" w14:textId="77777777" w:rsidR="00365720" w:rsidRDefault="00365720" w:rsidP="00365720">
                  <w:pPr>
                    <w:numPr>
                      <w:ilvl w:val="0"/>
                      <w:numId w:val="5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103EBB0"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5E758AFD"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5E61F3C2"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6ED1503C"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6F000A2D"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6F934E44"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012E7287"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6DEC6734"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21401EA5" w14:textId="77777777" w:rsidR="00365720" w:rsidRDefault="00365720" w:rsidP="00365720">
                  <w:pPr>
                    <w:numPr>
                      <w:ilvl w:val="0"/>
                      <w:numId w:val="5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33E45C69"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5AB9F206"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lastRenderedPageBreak/>
                    <w:t xml:space="preserve">En caso de que el titular tenga alguna duda respecto al procedimiento para el ejercicio de los derechos ARCO, puede acudir a la Unidad de Transparencia del IFT, ubicada en Avenida Insurgentes Sur #1143 (Edificio Sede), Planta Baja, Colonia Nochebuena, Demarcación Territorial Benito Juárez, Código Postal 03720, Ciudad de México, enviar un correo electrónico a la siguiente dirección </w:t>
                  </w:r>
                  <w:hyperlink r:id="rId19" w:history="1">
                    <w:r>
                      <w:rPr>
                        <w:rStyle w:val="Hipervnculo"/>
                        <w:rFonts w:ascii="ITC Avant Garde" w:eastAsia="Times New Roman" w:hAnsi="ITC Avant Garde"/>
                        <w:sz w:val="14"/>
                        <w:szCs w:val="16"/>
                        <w:lang w:eastAsia="es-MX"/>
                      </w:rPr>
                      <w:t>unidad.transparencia@ift.org.mx</w:t>
                    </w:r>
                  </w:hyperlink>
                  <w:r>
                    <w:rPr>
                      <w:rFonts w:ascii="ITC Avant Garde" w:eastAsia="Times New Roman" w:hAnsi="ITC Avant Garde"/>
                      <w:color w:val="000000"/>
                      <w:sz w:val="14"/>
                      <w:szCs w:val="16"/>
                      <w:lang w:eastAsia="es-MX"/>
                    </w:rPr>
                    <w:t xml:space="preserve"> o comunicarse al teléfono 55 5015 4000, extensiones 4688, 2321 y 2205. </w:t>
                  </w:r>
                </w:p>
                <w:p w14:paraId="2A86ADC4"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0BC50D07"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21916A56"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2A91FD6"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0D37303C"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194218F5"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17C43A76"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5E0370F8"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4511CB76" w14:textId="77777777" w:rsidR="00365720" w:rsidRDefault="00365720" w:rsidP="00365720">
                  <w:pPr>
                    <w:numPr>
                      <w:ilvl w:val="0"/>
                      <w:numId w:val="55"/>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Excel (*.xlsx)</w:t>
                  </w:r>
                </w:p>
                <w:p w14:paraId="56B740E3" w14:textId="77777777" w:rsidR="00365720" w:rsidRDefault="00365720" w:rsidP="00365720">
                  <w:pPr>
                    <w:numPr>
                      <w:ilvl w:val="0"/>
                      <w:numId w:val="55"/>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Texto (*.txt)</w:t>
                  </w:r>
                </w:p>
                <w:p w14:paraId="4F412832" w14:textId="77777777" w:rsidR="00365720" w:rsidRDefault="00365720" w:rsidP="00365720">
                  <w:pPr>
                    <w:numPr>
                      <w:ilvl w:val="0"/>
                      <w:numId w:val="55"/>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Archivo de texto (*.csv), y</w:t>
                  </w:r>
                </w:p>
                <w:p w14:paraId="11AFD6F1" w14:textId="77777777" w:rsidR="00365720" w:rsidRDefault="00365720" w:rsidP="00365720">
                  <w:pPr>
                    <w:numPr>
                      <w:ilvl w:val="0"/>
                      <w:numId w:val="55"/>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Lenguaje de marcas de hipertexto (*.html)</w:t>
                  </w:r>
                </w:p>
                <w:p w14:paraId="21D587B0"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17C31DE4"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335E7B16"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4AA4CADE" w14:textId="77777777" w:rsidR="00365720" w:rsidRDefault="00365720" w:rsidP="00365720">
                  <w:pPr>
                    <w:numPr>
                      <w:ilvl w:val="0"/>
                      <w:numId w:val="56"/>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2F077241" w14:textId="77777777" w:rsidR="00365720" w:rsidRDefault="00365720" w:rsidP="00365720">
                  <w:pPr>
                    <w:numPr>
                      <w:ilvl w:val="0"/>
                      <w:numId w:val="56"/>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Datos de contacto: Dirección de correo electrónico.</w:t>
                  </w:r>
                </w:p>
                <w:p w14:paraId="4BB6E5A7" w14:textId="77777777" w:rsidR="00365720" w:rsidRDefault="00365720" w:rsidP="00365720">
                  <w:pPr>
                    <w:spacing w:after="0" w:line="240" w:lineRule="auto"/>
                    <w:jc w:val="both"/>
                    <w:rPr>
                      <w:rFonts w:ascii="ITC Avant Garde" w:eastAsia="Times New Roman" w:hAnsi="ITC Avant Garde"/>
                      <w:i/>
                      <w:color w:val="000000"/>
                      <w:sz w:val="14"/>
                      <w:szCs w:val="16"/>
                      <w:lang w:eastAsia="es-MX"/>
                    </w:rPr>
                  </w:pPr>
                </w:p>
                <w:p w14:paraId="429520CB"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Pr>
                      <w:rFonts w:ascii="ITC Avant Garde" w:eastAsia="Times New Roman" w:hAnsi="ITC Avant Garde"/>
                      <w:b/>
                      <w:color w:val="000000"/>
                      <w:sz w:val="14"/>
                      <w:szCs w:val="16"/>
                      <w:lang w:eastAsia="es-MX"/>
                    </w:rPr>
                    <w:t>formato</w:t>
                  </w:r>
                  <w:r>
                    <w:rPr>
                      <w:rFonts w:ascii="ITC Avant Garde" w:eastAsia="Times New Roman" w:hAnsi="ITC Avant Garde"/>
                      <w:color w:val="000000"/>
                      <w:sz w:val="14"/>
                      <w:szCs w:val="16"/>
                      <w:lang w:eastAsia="es-MX"/>
                    </w:rPr>
                    <w:t xml:space="preserve"> diseñado para tal efecto, el cual se encuentra disponible en el vínculo electrónico siguiente:</w:t>
                  </w:r>
                  <w:r>
                    <w:rPr>
                      <w:rFonts w:ascii="ITC Avant Garde" w:eastAsia="Times New Roman" w:hAnsi="ITC Avant Garde"/>
                      <w:i/>
                      <w:color w:val="000000"/>
                      <w:sz w:val="14"/>
                      <w:szCs w:val="16"/>
                      <w:lang w:eastAsia="es-MX"/>
                    </w:rPr>
                    <w:t xml:space="preserve"> </w:t>
                  </w:r>
                  <w:hyperlink r:id="rId20" w:history="1">
                    <w:r>
                      <w:rPr>
                        <w:rStyle w:val="Hipervnculo"/>
                        <w:rFonts w:ascii="ITC Avant Garde" w:eastAsia="Times New Roman" w:hAnsi="ITC Avant Garde"/>
                        <w:sz w:val="14"/>
                        <w:szCs w:val="16"/>
                        <w:lang w:eastAsia="es-MX"/>
                      </w:rPr>
                      <w:t>https://www.ift.org.mx/sites/default/files/OPNT/LGPDPPSO/4_Portabilidad/Criterio_4_1_2.zip</w:t>
                    </w:r>
                  </w:hyperlink>
                  <w:r>
                    <w:rPr>
                      <w:rFonts w:ascii="ITC Avant Garde" w:eastAsia="Times New Roman" w:hAnsi="ITC Avant Garde"/>
                      <w:color w:val="000000"/>
                      <w:sz w:val="14"/>
                      <w:szCs w:val="16"/>
                      <w:lang w:eastAsia="es-MX"/>
                    </w:rPr>
                    <w:t xml:space="preserve">.  </w:t>
                  </w:r>
                </w:p>
                <w:p w14:paraId="6E17DF83"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24E6A7A4"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1" w:history="1">
                    <w:r>
                      <w:rPr>
                        <w:rStyle w:val="Hipervnculo"/>
                        <w:rFonts w:ascii="ITC Avant Garde" w:eastAsia="Times New Roman" w:hAnsi="ITC Avant Garde"/>
                        <w:sz w:val="14"/>
                        <w:szCs w:val="16"/>
                        <w:lang w:eastAsia="es-MX"/>
                      </w:rPr>
                      <w:t>unidad.transparencia@ift.org.mx</w:t>
                    </w:r>
                  </w:hyperlink>
                  <w:r>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3FBA0C94"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2" w:history="1">
                    <w:r>
                      <w:rPr>
                        <w:rStyle w:val="Hipervnculo"/>
                        <w:rFonts w:ascii="ITC Avant Garde" w:eastAsia="Times New Roman" w:hAnsi="ITC Avant Garde"/>
                        <w:sz w:val="14"/>
                        <w:szCs w:val="16"/>
                        <w:lang w:eastAsia="es-MX"/>
                      </w:rPr>
                      <w:t>https://www.ift.org.mx/sites/default/files/OPNT/LGPDPPSO/4_Portabilidad/Criterio_4_1_2.zip</w:t>
                    </w:r>
                  </w:hyperlink>
                  <w:r>
                    <w:rPr>
                      <w:rFonts w:ascii="ITC Avant Garde" w:eastAsia="Times New Roman" w:hAnsi="ITC Avant Garde"/>
                      <w:color w:val="000000"/>
                      <w:sz w:val="14"/>
                      <w:szCs w:val="16"/>
                      <w:lang w:eastAsia="es-MX"/>
                    </w:rPr>
                    <w:t xml:space="preserve">. </w:t>
                  </w:r>
                </w:p>
                <w:p w14:paraId="5F8166FA"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02585D2A"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X. El domicilio de la Unidad de Transparencia del IFT.</w:t>
                  </w:r>
                </w:p>
                <w:p w14:paraId="12FACDA8"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extensiones 4688, 2321 y 2205. </w:t>
                  </w:r>
                </w:p>
                <w:p w14:paraId="3AB05EC1"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p>
                <w:p w14:paraId="1B2FEFDA" w14:textId="77777777" w:rsidR="00365720" w:rsidRDefault="00365720" w:rsidP="00365720">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XI. Los medios a través de los cuales el responsable comunicará a las personas titulares los cambios al aviso de privacidad.</w:t>
                  </w:r>
                </w:p>
                <w:p w14:paraId="19113A97" w14:textId="77777777" w:rsidR="00365720" w:rsidRDefault="00365720" w:rsidP="00365720">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Todo cambio al Aviso de Privacidad será comunicado a los titulares de datos personales en la sección de  “Avisos de privacidad del Instituto Federal de Telecomunicaciones”, del Apartado Virtual de Protección de Datos Personales del IFT, disponible en la dirección electrónica: </w:t>
                  </w:r>
                  <w:hyperlink r:id="rId23" w:history="1">
                    <w:r>
                      <w:rPr>
                        <w:rStyle w:val="Hipervnculo"/>
                        <w:rFonts w:ascii="ITC Avant Garde" w:eastAsia="Times New Roman" w:hAnsi="ITC Avant Garde"/>
                        <w:sz w:val="14"/>
                        <w:szCs w:val="16"/>
                        <w:lang w:eastAsia="es-MX"/>
                      </w:rPr>
                      <w:t>https://www.ift.org.mx/proteccion_de_datos_personales/avisos_de_privacidad</w:t>
                    </w:r>
                  </w:hyperlink>
                  <w:r>
                    <w:rPr>
                      <w:rFonts w:ascii="ITC Avant Garde" w:eastAsia="Times New Roman" w:hAnsi="ITC Avant Garde"/>
                      <w:color w:val="000000"/>
                      <w:sz w:val="14"/>
                      <w:szCs w:val="16"/>
                      <w:lang w:eastAsia="es-MX"/>
                    </w:rPr>
                    <w:t xml:space="preserve"> </w:t>
                  </w:r>
                </w:p>
                <w:p w14:paraId="450175C4" w14:textId="77777777" w:rsidR="00365720" w:rsidRDefault="00365720" w:rsidP="00365720">
                  <w:pPr>
                    <w:jc w:val="right"/>
                    <w:rPr>
                      <w:rFonts w:ascii="ITC Avant Garde" w:eastAsia="Times New Roman" w:hAnsi="ITC Avant Garde"/>
                      <w:color w:val="000000"/>
                      <w:sz w:val="14"/>
                      <w:szCs w:val="16"/>
                      <w:lang w:eastAsia="es-MX"/>
                    </w:rPr>
                  </w:pPr>
                  <w:r>
                    <w:rPr>
                      <w:rFonts w:ascii="ITC Avant Garde" w:eastAsia="Times New Roman" w:hAnsi="ITC Avant Garde"/>
                      <w:i/>
                      <w:color w:val="000000"/>
                      <w:sz w:val="14"/>
                      <w:szCs w:val="16"/>
                      <w:lang w:eastAsia="es-MX"/>
                    </w:rPr>
                    <w:t>Última actualización: (21/04/2025)</w:t>
                  </w:r>
                </w:p>
              </w:tc>
            </w:tr>
          </w:tbl>
          <w:p w14:paraId="7A2D47F2" w14:textId="16F8D609" w:rsidR="00297840" w:rsidRPr="00F36A5D" w:rsidRDefault="00297840" w:rsidP="00381D5B">
            <w:pPr>
              <w:rPr>
                <w:rFonts w:ascii="ITC Avant Garde" w:eastAsia="Times New Roman" w:hAnsi="ITC Avant Garde"/>
                <w:color w:val="000000"/>
                <w:sz w:val="14"/>
                <w:szCs w:val="16"/>
                <w:lang w:eastAsia="es-MX"/>
              </w:rPr>
            </w:pPr>
          </w:p>
        </w:tc>
      </w:tr>
    </w:tbl>
    <w:p w14:paraId="1EDBD119" w14:textId="77777777" w:rsidR="00DF5B3F" w:rsidRDefault="00DF5B3F" w:rsidP="00DF5B3F">
      <w:pPr>
        <w:spacing w:after="0"/>
        <w:rPr>
          <w:rFonts w:ascii="ITC Avant Garde" w:hAnsi="ITC Avant Garde"/>
        </w:rPr>
      </w:pPr>
    </w:p>
    <w:p w14:paraId="71F16CAB" w14:textId="77777777" w:rsidR="00EA094D" w:rsidRDefault="00EA094D" w:rsidP="00DF5B3F">
      <w:pPr>
        <w:spacing w:after="0"/>
        <w:rPr>
          <w:rFonts w:ascii="ITC Avant Garde" w:hAnsi="ITC Avant Garde"/>
        </w:rPr>
      </w:pPr>
    </w:p>
    <w:tbl>
      <w:tblPr>
        <w:tblW w:w="86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2"/>
      </w:tblGrid>
      <w:tr w:rsidR="000553DD" w:rsidRPr="00E9169D" w14:paraId="78B88A17" w14:textId="77777777" w:rsidTr="00F97305">
        <w:trPr>
          <w:trHeight w:val="600"/>
        </w:trPr>
        <w:tc>
          <w:tcPr>
            <w:tcW w:w="8652" w:type="dxa"/>
            <w:shd w:val="clear" w:color="auto" w:fill="D9D9D9"/>
            <w:vAlign w:val="center"/>
            <w:hideMark/>
          </w:tcPr>
          <w:p w14:paraId="55E2CBFD" w14:textId="77777777" w:rsidR="000553DD" w:rsidRPr="00C0424E" w:rsidRDefault="000553DD" w:rsidP="00246FA5">
            <w:pPr>
              <w:pStyle w:val="Ttulo2"/>
              <w:ind w:left="783"/>
            </w:pPr>
            <w:r w:rsidRPr="00C0424E">
              <w:t>Marco de referencia</w:t>
            </w:r>
          </w:p>
        </w:tc>
      </w:tr>
      <w:tr w:rsidR="000553DD" w:rsidRPr="00E9169D" w14:paraId="39CD3F32" w14:textId="77777777" w:rsidTr="00F97305">
        <w:trPr>
          <w:trHeight w:val="720"/>
        </w:trPr>
        <w:tc>
          <w:tcPr>
            <w:tcW w:w="8652" w:type="dxa"/>
            <w:shd w:val="clear" w:color="000000" w:fill="FFFFFF"/>
            <w:noWrap/>
            <w:hideMark/>
          </w:tcPr>
          <w:p w14:paraId="5E421548" w14:textId="40E0FDFB" w:rsidR="00C32290" w:rsidRPr="004510A1" w:rsidRDefault="00C32290" w:rsidP="007473C3">
            <w:pPr>
              <w:spacing w:line="276" w:lineRule="auto"/>
              <w:jc w:val="both"/>
              <w:rPr>
                <w:rFonts w:ascii="ITC Avant Garde" w:hAnsi="ITC Avant Garde"/>
                <w:sz w:val="20"/>
                <w:szCs w:val="20"/>
              </w:rPr>
            </w:pPr>
            <w:r w:rsidRPr="004510A1">
              <w:rPr>
                <w:rFonts w:ascii="ITC Avant Garde" w:hAnsi="ITC Avant Garde"/>
                <w:sz w:val="20"/>
                <w:szCs w:val="20"/>
              </w:rPr>
              <w:t>El 6 de marzo de 2014, el Pleno del Instituto Federal de Telecomunicaciones (en lo sucesivo, el “</w:t>
            </w:r>
            <w:r w:rsidRPr="004510A1">
              <w:rPr>
                <w:rFonts w:ascii="ITC Avant Garde" w:hAnsi="ITC Avant Garde"/>
                <w:b/>
                <w:sz w:val="20"/>
                <w:szCs w:val="20"/>
              </w:rPr>
              <w:t>Instituto</w:t>
            </w:r>
            <w:r w:rsidRPr="004510A1">
              <w:rPr>
                <w:rFonts w:ascii="ITC Avant Garde" w:hAnsi="ITC Avant Garde"/>
                <w:sz w:val="20"/>
                <w:szCs w:val="20"/>
              </w:rPr>
              <w:t xml:space="preserve">”) </w:t>
            </w:r>
            <w:r w:rsidR="001B676D">
              <w:rPr>
                <w:rFonts w:ascii="ITC Avant Garde" w:hAnsi="ITC Avant Garde"/>
                <w:sz w:val="20"/>
                <w:szCs w:val="20"/>
              </w:rPr>
              <w:t>determinó</w:t>
            </w:r>
            <w:r w:rsidR="001B676D" w:rsidRPr="004510A1">
              <w:rPr>
                <w:rFonts w:ascii="ITC Avant Garde" w:hAnsi="ITC Avant Garde"/>
                <w:sz w:val="20"/>
                <w:szCs w:val="20"/>
              </w:rPr>
              <w:t xml:space="preserve"> </w:t>
            </w:r>
            <w:r w:rsidR="00CC2A01">
              <w:rPr>
                <w:rFonts w:ascii="ITC Avant Garde" w:hAnsi="ITC Avant Garde"/>
                <w:sz w:val="20"/>
                <w:szCs w:val="20"/>
              </w:rPr>
              <w:t xml:space="preserve">como </w:t>
            </w:r>
            <w:r w:rsidRPr="004510A1">
              <w:rPr>
                <w:rFonts w:ascii="ITC Avant Garde" w:hAnsi="ITC Avant Garde"/>
                <w:sz w:val="20"/>
                <w:szCs w:val="20"/>
              </w:rPr>
              <w:t xml:space="preserve">Agente Económico Preponderante en el Sector de Telecomunicaciones (en lo sucesivo, el </w:t>
            </w:r>
            <w:r w:rsidRPr="004510A1">
              <w:rPr>
                <w:rFonts w:ascii="ITC Avant Garde" w:hAnsi="ITC Avant Garde"/>
                <w:b/>
                <w:sz w:val="20"/>
                <w:szCs w:val="20"/>
              </w:rPr>
              <w:t>“AEPT”</w:t>
            </w:r>
            <w:r w:rsidRPr="004510A1">
              <w:rPr>
                <w:rFonts w:ascii="ITC Avant Garde" w:hAnsi="ITC Avant Garde"/>
                <w:sz w:val="20"/>
                <w:szCs w:val="20"/>
              </w:rPr>
              <w:t xml:space="preserve">) al grupo de interés económico del que forman parte AMÉRICA MÓVIL S.A.B. DE C.V., TELÉFONOS DE MÉXICO, S.A.B. DE C.V., TELÉFONOS DEL NOROESTE, S.A. DE C.V., RADIOMÓVIL DIPSA, S.A.B. DE C.V., GRUPO CARSO, S.A.B. DE C.V., Y GRUPO FINANCIERO INBURSA. S.A.B. DE C.V. </w:t>
            </w:r>
            <w:r w:rsidR="00CC2A01">
              <w:rPr>
                <w:rFonts w:ascii="ITC Avant Garde" w:hAnsi="ITC Avant Garde"/>
                <w:sz w:val="20"/>
                <w:szCs w:val="20"/>
              </w:rPr>
              <w:t>y le impuso</w:t>
            </w:r>
            <w:r w:rsidRPr="004510A1">
              <w:rPr>
                <w:rFonts w:ascii="ITC Avant Garde" w:hAnsi="ITC Avant Garde"/>
                <w:sz w:val="20"/>
                <w:szCs w:val="20"/>
              </w:rPr>
              <w:t xml:space="preserve"> medidas </w:t>
            </w:r>
            <w:r w:rsidRPr="004510A1">
              <w:rPr>
                <w:rFonts w:ascii="ITC Avant Garde" w:hAnsi="ITC Avant Garde"/>
                <w:sz w:val="20"/>
                <w:szCs w:val="20"/>
              </w:rPr>
              <w:lastRenderedPageBreak/>
              <w:t xml:space="preserve">de regulación asimétrica descritas en cinco anexos. Dichas medidas, entre otras cosas, mandatan obligaciones del AEPT respecto a la provisión de servicios mayoristas regulados (en lo sucesivo, los </w:t>
            </w:r>
            <w:r w:rsidRPr="004510A1">
              <w:rPr>
                <w:rFonts w:ascii="ITC Avant Garde" w:hAnsi="ITC Avant Garde"/>
                <w:b/>
                <w:sz w:val="20"/>
                <w:szCs w:val="20"/>
              </w:rPr>
              <w:t>“SMR”</w:t>
            </w:r>
            <w:r w:rsidRPr="004510A1">
              <w:rPr>
                <w:rFonts w:ascii="ITC Avant Garde" w:hAnsi="ITC Avant Garde"/>
                <w:sz w:val="20"/>
                <w:szCs w:val="20"/>
              </w:rPr>
              <w:t>)</w:t>
            </w:r>
            <w:r w:rsidR="00ED7239">
              <w:rPr>
                <w:rFonts w:ascii="ITC Avant Garde" w:hAnsi="ITC Avant Garde"/>
                <w:sz w:val="20"/>
                <w:szCs w:val="20"/>
              </w:rPr>
              <w:t xml:space="preserve"> de desagregación, enlaces dedicados, compartición de infraestructura pasiva fija y móvil, interconexión fija y móvil, comercialización y reventa de servicios a operadores móviles virtuales y usuario visitante.</w:t>
            </w:r>
            <w:r w:rsidRPr="004510A1">
              <w:rPr>
                <w:rFonts w:ascii="ITC Avant Garde" w:hAnsi="ITC Avant Garde"/>
                <w:sz w:val="20"/>
                <w:szCs w:val="20"/>
              </w:rPr>
              <w:t xml:space="preserve"> </w:t>
            </w:r>
          </w:p>
          <w:p w14:paraId="46D07C45" w14:textId="16354C13" w:rsidR="00625CB1" w:rsidRDefault="00625CB1" w:rsidP="007473C3">
            <w:pPr>
              <w:spacing w:line="276" w:lineRule="auto"/>
              <w:jc w:val="both"/>
              <w:rPr>
                <w:rFonts w:ascii="ITC Avant Garde" w:hAnsi="ITC Avant Garde"/>
                <w:sz w:val="20"/>
                <w:szCs w:val="20"/>
              </w:rPr>
            </w:pPr>
            <w:r w:rsidRPr="00625CB1">
              <w:rPr>
                <w:rFonts w:ascii="ITC Avant Garde" w:hAnsi="ITC Avant Garde"/>
                <w:sz w:val="20"/>
                <w:szCs w:val="20"/>
              </w:rPr>
              <w:t>En la referida resolución se estableció que el Instituto realizará una evaluación del impacto de las medidas en términos de competencia cada dos años a efecto de suprimir, modificar o adicionar medidas.</w:t>
            </w:r>
          </w:p>
          <w:p w14:paraId="3A5232E9" w14:textId="2C28767A" w:rsidR="008A337C" w:rsidRDefault="00625CB1" w:rsidP="007473C3">
            <w:pPr>
              <w:spacing w:line="276" w:lineRule="auto"/>
              <w:jc w:val="both"/>
              <w:rPr>
                <w:rFonts w:ascii="ITC Avant Garde" w:hAnsi="ITC Avant Garde"/>
                <w:sz w:val="20"/>
                <w:szCs w:val="20"/>
              </w:rPr>
            </w:pPr>
            <w:r>
              <w:rPr>
                <w:rFonts w:ascii="ITC Avant Garde" w:hAnsi="ITC Avant Garde"/>
                <w:sz w:val="20"/>
                <w:szCs w:val="20"/>
              </w:rPr>
              <w:t>En tal sentido</w:t>
            </w:r>
            <w:r w:rsidR="00C32290" w:rsidRPr="004510A1">
              <w:rPr>
                <w:rFonts w:ascii="ITC Avant Garde" w:hAnsi="ITC Avant Garde"/>
                <w:sz w:val="20"/>
                <w:szCs w:val="20"/>
              </w:rPr>
              <w:t xml:space="preserve">, el 27 de febrero de 2017, </w:t>
            </w:r>
            <w:r w:rsidR="008667C7">
              <w:rPr>
                <w:rFonts w:ascii="ITC Avant Garde" w:hAnsi="ITC Avant Garde"/>
                <w:sz w:val="20"/>
                <w:szCs w:val="20"/>
              </w:rPr>
              <w:t>se</w:t>
            </w:r>
            <w:r w:rsidR="00C32290" w:rsidRPr="004510A1">
              <w:rPr>
                <w:rFonts w:ascii="ITC Avant Garde" w:hAnsi="ITC Avant Garde"/>
                <w:sz w:val="20"/>
                <w:szCs w:val="20"/>
              </w:rPr>
              <w:t xml:space="preserve"> emitió la </w:t>
            </w:r>
            <w:r w:rsidR="001B676D">
              <w:rPr>
                <w:rFonts w:ascii="ITC Avant Garde" w:hAnsi="ITC Avant Garde"/>
                <w:sz w:val="20"/>
                <w:szCs w:val="20"/>
              </w:rPr>
              <w:t>“R</w:t>
            </w:r>
            <w:r w:rsidR="00C32290" w:rsidRPr="004510A1">
              <w:rPr>
                <w:rFonts w:ascii="ITC Avant Garde" w:hAnsi="ITC Avant Garde"/>
                <w:sz w:val="20"/>
                <w:szCs w:val="20"/>
              </w:rPr>
              <w:t>esolución mediante la cual el Pleno del Instituto suprime, modifica y adiciona las medidas impuestas al Agente Económico Preponderante en el Sector de Telecomunicaciones</w:t>
            </w:r>
            <w:r w:rsidR="001B676D">
              <w:rPr>
                <w:rFonts w:ascii="ITC Avant Garde" w:hAnsi="ITC Avant Garde"/>
                <w:sz w:val="20"/>
                <w:szCs w:val="20"/>
              </w:rPr>
              <w:t xml:space="preserve"> mediante Resolución de fecha 6 de marzo de 2014, aprobada mediante Acuerdo P/IFT/EXT/060314/76”</w:t>
            </w:r>
            <w:r w:rsidR="00C32290" w:rsidRPr="004510A1">
              <w:rPr>
                <w:rStyle w:val="Refdenotaalpie"/>
                <w:rFonts w:ascii="ITC Avant Garde" w:hAnsi="ITC Avant Garde"/>
                <w:sz w:val="20"/>
                <w:szCs w:val="20"/>
              </w:rPr>
              <w:footnoteReference w:id="3"/>
            </w:r>
            <w:r w:rsidR="00C32290" w:rsidRPr="004510A1">
              <w:rPr>
                <w:rFonts w:ascii="ITC Avant Garde" w:hAnsi="ITC Avant Garde"/>
                <w:sz w:val="20"/>
                <w:szCs w:val="20"/>
              </w:rPr>
              <w:t xml:space="preserve"> (en lo sucesivo, la "</w:t>
            </w:r>
            <w:r>
              <w:rPr>
                <w:rFonts w:ascii="ITC Avant Garde" w:hAnsi="ITC Avant Garde"/>
                <w:sz w:val="20"/>
                <w:szCs w:val="20"/>
              </w:rPr>
              <w:t xml:space="preserve"> </w:t>
            </w:r>
            <w:r w:rsidRPr="00625CB1">
              <w:rPr>
                <w:rFonts w:ascii="ITC Avant Garde" w:hAnsi="ITC Avant Garde"/>
                <w:b/>
                <w:bCs/>
                <w:sz w:val="20"/>
                <w:szCs w:val="20"/>
              </w:rPr>
              <w:t>Primera</w:t>
            </w:r>
            <w:r>
              <w:rPr>
                <w:rFonts w:ascii="ITC Avant Garde" w:hAnsi="ITC Avant Garde"/>
                <w:sz w:val="20"/>
                <w:szCs w:val="20"/>
              </w:rPr>
              <w:t xml:space="preserve"> </w:t>
            </w:r>
            <w:r w:rsidR="00C32290" w:rsidRPr="004510A1">
              <w:rPr>
                <w:rFonts w:ascii="ITC Avant Garde" w:hAnsi="ITC Avant Garde"/>
                <w:b/>
                <w:sz w:val="20"/>
                <w:szCs w:val="20"/>
              </w:rPr>
              <w:t xml:space="preserve">Resolución Bienal </w:t>
            </w:r>
            <w:r w:rsidR="00C32290" w:rsidRPr="004510A1">
              <w:rPr>
                <w:rFonts w:ascii="ITC Avant Garde" w:hAnsi="ITC Avant Garde"/>
                <w:sz w:val="20"/>
                <w:szCs w:val="20"/>
              </w:rPr>
              <w:t xml:space="preserve">"). </w:t>
            </w:r>
          </w:p>
          <w:p w14:paraId="58D6F0D0" w14:textId="70F31314" w:rsidR="008A337C" w:rsidRDefault="008A337C" w:rsidP="007473C3">
            <w:pPr>
              <w:spacing w:line="276" w:lineRule="auto"/>
              <w:jc w:val="both"/>
              <w:rPr>
                <w:rFonts w:ascii="ITC Avant Garde" w:hAnsi="ITC Avant Garde"/>
                <w:sz w:val="20"/>
                <w:szCs w:val="20"/>
              </w:rPr>
            </w:pPr>
            <w:r w:rsidRPr="008A337C">
              <w:rPr>
                <w:rFonts w:ascii="ITC Avant Garde" w:hAnsi="ITC Avant Garde"/>
                <w:sz w:val="20"/>
                <w:szCs w:val="20"/>
              </w:rPr>
              <w:t>En la medida Sexagésima Cuarta del Anexo 1</w:t>
            </w:r>
            <w:r w:rsidR="00847A45">
              <w:rPr>
                <w:rFonts w:ascii="ITC Avant Garde" w:hAnsi="ITC Avant Garde"/>
                <w:sz w:val="20"/>
                <w:szCs w:val="20"/>
              </w:rPr>
              <w:t xml:space="preserve"> </w:t>
            </w:r>
            <w:r w:rsidRPr="008A337C">
              <w:rPr>
                <w:rFonts w:ascii="ITC Avant Garde" w:hAnsi="ITC Avant Garde"/>
                <w:sz w:val="20"/>
                <w:szCs w:val="20"/>
              </w:rPr>
              <w:t>se estableció la realización de pruebas de replicabilidad económica en los siguientes términos</w:t>
            </w:r>
            <w:r>
              <w:rPr>
                <w:rFonts w:ascii="ITC Avant Garde" w:hAnsi="ITC Avant Garde"/>
                <w:sz w:val="20"/>
                <w:szCs w:val="20"/>
              </w:rPr>
              <w:t>:</w:t>
            </w:r>
          </w:p>
          <w:p w14:paraId="012F8B8F" w14:textId="77777777" w:rsidR="00502BB2" w:rsidRPr="00625CB1" w:rsidRDefault="00502BB2" w:rsidP="00502BB2">
            <w:pPr>
              <w:pStyle w:val="Prrafodelista"/>
              <w:numPr>
                <w:ilvl w:val="0"/>
                <w:numId w:val="49"/>
              </w:numPr>
              <w:spacing w:line="276" w:lineRule="auto"/>
              <w:jc w:val="both"/>
              <w:rPr>
                <w:rFonts w:ascii="ITC Avant Garde" w:hAnsi="ITC Avant Garde"/>
                <w:i/>
                <w:iCs/>
                <w:sz w:val="20"/>
                <w:szCs w:val="20"/>
              </w:rPr>
            </w:pPr>
            <w:r w:rsidRPr="00625CB1">
              <w:rPr>
                <w:rFonts w:ascii="ITC Avant Garde" w:hAnsi="ITC Avant Garde"/>
                <w:i/>
                <w:iCs/>
                <w:sz w:val="20"/>
                <w:szCs w:val="20"/>
              </w:rPr>
              <w:t>“A efecto de garantizar que las tarifas al público de servicios móviles puedan ser replicables por los Operadores Móviles Virtuales, cuyo servicio esté activo al amparo de la Oferta de Referencia del Servicio Mayorista de Comercialización o Reventa de Servicios, dadas las tarifas de los servicios mayoristas regulados, el Instituto validará de manera ex post la replicabilidad económica de las mismas con base en la metodología, términos y condiciones que establezca el Instituto.”</w:t>
            </w:r>
          </w:p>
          <w:p w14:paraId="244E7418" w14:textId="1CAD349D" w:rsidR="008A337C" w:rsidRPr="008A337C" w:rsidRDefault="00625CB1" w:rsidP="008A337C">
            <w:pPr>
              <w:spacing w:line="276" w:lineRule="auto"/>
              <w:jc w:val="both"/>
              <w:rPr>
                <w:rFonts w:ascii="ITC Avant Garde" w:hAnsi="ITC Avant Garde"/>
                <w:sz w:val="20"/>
                <w:szCs w:val="20"/>
              </w:rPr>
            </w:pPr>
            <w:r w:rsidRPr="00625CB1">
              <w:rPr>
                <w:rFonts w:ascii="ITC Avant Garde" w:hAnsi="ITC Avant Garde"/>
                <w:bCs/>
                <w:sz w:val="20"/>
                <w:szCs w:val="20"/>
              </w:rPr>
              <w:t xml:space="preserve">Derivado de lo anterior, el Pleno del Instituto emitió </w:t>
            </w:r>
            <w:r w:rsidR="00847A45">
              <w:rPr>
                <w:rFonts w:ascii="ITC Avant Garde" w:hAnsi="ITC Avant Garde"/>
                <w:bCs/>
                <w:sz w:val="20"/>
                <w:szCs w:val="20"/>
              </w:rPr>
              <w:t>el</w:t>
            </w:r>
            <w:r w:rsidRPr="00625CB1">
              <w:rPr>
                <w:rFonts w:ascii="ITC Avant Garde" w:hAnsi="ITC Avant Garde"/>
                <w:bCs/>
                <w:sz w:val="20"/>
                <w:szCs w:val="20"/>
              </w:rPr>
              <w:t xml:space="preserve"> Acuerdo </w:t>
            </w:r>
            <w:r w:rsidRPr="00625CB1">
              <w:rPr>
                <w:rFonts w:ascii="ITC Avant Garde" w:hAnsi="ITC Avant Garde"/>
                <w:sz w:val="20"/>
                <w:szCs w:val="20"/>
              </w:rPr>
              <w:t xml:space="preserve">P/IFT/120917/548 (en lo sucesivo, </w:t>
            </w:r>
            <w:r w:rsidR="00847A45">
              <w:rPr>
                <w:rFonts w:ascii="ITC Avant Garde" w:hAnsi="ITC Avant Garde"/>
                <w:sz w:val="20"/>
                <w:szCs w:val="20"/>
              </w:rPr>
              <w:t>el</w:t>
            </w:r>
            <w:r w:rsidRPr="00625CB1">
              <w:rPr>
                <w:rFonts w:ascii="ITC Avant Garde" w:hAnsi="ITC Avant Garde"/>
                <w:sz w:val="20"/>
                <w:szCs w:val="20"/>
              </w:rPr>
              <w:t xml:space="preserve"> “Acuerdo de Replicabilidad Económica</w:t>
            </w:r>
            <w:r w:rsidR="00847A45">
              <w:rPr>
                <w:rFonts w:ascii="ITC Avant Garde" w:hAnsi="ITC Avant Garde"/>
                <w:sz w:val="20"/>
                <w:szCs w:val="20"/>
              </w:rPr>
              <w:t xml:space="preserve"> Móvil</w:t>
            </w:r>
            <w:r w:rsidRPr="00625CB1">
              <w:rPr>
                <w:rFonts w:ascii="ITC Avant Garde" w:hAnsi="ITC Avant Garde"/>
                <w:sz w:val="20"/>
                <w:szCs w:val="20"/>
              </w:rPr>
              <w:t>”</w:t>
            </w:r>
            <w:r w:rsidRPr="00625CB1">
              <w:rPr>
                <w:rFonts w:ascii="ITC Avant Garde" w:hAnsi="ITC Avant Garde"/>
                <w:sz w:val="20"/>
                <w:szCs w:val="20"/>
                <w:vertAlign w:val="superscript"/>
              </w:rPr>
              <w:footnoteReference w:id="4"/>
            </w:r>
            <w:r w:rsidRPr="00625CB1">
              <w:rPr>
                <w:rFonts w:ascii="ITC Avant Garde" w:hAnsi="ITC Avant Garde"/>
                <w:sz w:val="20"/>
                <w:szCs w:val="20"/>
              </w:rPr>
              <w:t xml:space="preserve">) mediante </w:t>
            </w:r>
            <w:r w:rsidR="00847A45">
              <w:rPr>
                <w:rFonts w:ascii="ITC Avant Garde" w:hAnsi="ITC Avant Garde"/>
                <w:sz w:val="20"/>
                <w:szCs w:val="20"/>
              </w:rPr>
              <w:t>el</w:t>
            </w:r>
            <w:r w:rsidRPr="00625CB1">
              <w:rPr>
                <w:rFonts w:ascii="ITC Avant Garde" w:hAnsi="ITC Avant Garde"/>
                <w:sz w:val="20"/>
                <w:szCs w:val="20"/>
              </w:rPr>
              <w:t xml:space="preserve"> cual se establecieron</w:t>
            </w:r>
            <w:r w:rsidRPr="00625CB1">
              <w:rPr>
                <w:rFonts w:ascii="ITC Avant Garde" w:hAnsi="ITC Avant Garde"/>
                <w:bCs/>
                <w:sz w:val="20"/>
                <w:szCs w:val="20"/>
              </w:rPr>
              <w:t xml:space="preserve"> las metodologías, términos y condiciones para llevar a cabo las pruebas de replicabilidad económica</w:t>
            </w:r>
            <w:r w:rsidR="00847A45">
              <w:rPr>
                <w:rFonts w:ascii="ITC Avant Garde" w:hAnsi="ITC Avant Garde"/>
                <w:bCs/>
                <w:sz w:val="20"/>
                <w:szCs w:val="20"/>
              </w:rPr>
              <w:t xml:space="preserve"> móvil</w:t>
            </w:r>
            <w:r w:rsidRPr="00625CB1">
              <w:rPr>
                <w:rFonts w:ascii="ITC Avant Garde" w:hAnsi="ITC Avant Garde"/>
                <w:bCs/>
                <w:sz w:val="20"/>
                <w:szCs w:val="20"/>
              </w:rPr>
              <w:t xml:space="preserve"> en consistencia con lo establecido en </w:t>
            </w:r>
            <w:r w:rsidR="00847A45">
              <w:rPr>
                <w:rFonts w:ascii="ITC Avant Garde" w:hAnsi="ITC Avant Garde"/>
                <w:bCs/>
                <w:sz w:val="20"/>
                <w:szCs w:val="20"/>
              </w:rPr>
              <w:t>el</w:t>
            </w:r>
            <w:r w:rsidRPr="00625CB1">
              <w:rPr>
                <w:rFonts w:ascii="ITC Avant Garde" w:hAnsi="ITC Avant Garde"/>
                <w:bCs/>
                <w:sz w:val="20"/>
                <w:szCs w:val="20"/>
              </w:rPr>
              <w:t xml:space="preserve"> Anexos 1</w:t>
            </w:r>
            <w:r w:rsidR="00847A45">
              <w:rPr>
                <w:rFonts w:ascii="ITC Avant Garde" w:hAnsi="ITC Avant Garde"/>
                <w:bCs/>
                <w:sz w:val="20"/>
                <w:szCs w:val="20"/>
              </w:rPr>
              <w:t xml:space="preserve"> </w:t>
            </w:r>
            <w:r w:rsidRPr="00625CB1">
              <w:rPr>
                <w:rFonts w:ascii="ITC Avant Garde" w:hAnsi="ITC Avant Garde"/>
                <w:bCs/>
                <w:sz w:val="20"/>
                <w:szCs w:val="20"/>
              </w:rPr>
              <w:t xml:space="preserve">de la </w:t>
            </w:r>
            <w:r>
              <w:rPr>
                <w:rFonts w:ascii="ITC Avant Garde" w:hAnsi="ITC Avant Garde"/>
                <w:bCs/>
                <w:sz w:val="20"/>
                <w:szCs w:val="20"/>
              </w:rPr>
              <w:t xml:space="preserve">Primera </w:t>
            </w:r>
            <w:r w:rsidRPr="00625CB1">
              <w:rPr>
                <w:rFonts w:ascii="ITC Avant Garde" w:hAnsi="ITC Avant Garde"/>
                <w:bCs/>
                <w:sz w:val="20"/>
                <w:szCs w:val="20"/>
              </w:rPr>
              <w:t>Resolución Bienal</w:t>
            </w:r>
            <w:r w:rsidR="008A337C" w:rsidRPr="008A337C">
              <w:rPr>
                <w:rFonts w:ascii="ITC Avant Garde" w:hAnsi="ITC Avant Garde"/>
                <w:sz w:val="20"/>
                <w:szCs w:val="20"/>
              </w:rPr>
              <w:t>.</w:t>
            </w:r>
          </w:p>
          <w:p w14:paraId="247A644E" w14:textId="1D6F0EAF" w:rsidR="00F55269" w:rsidRDefault="00F55269" w:rsidP="007473C3">
            <w:pPr>
              <w:spacing w:line="276" w:lineRule="auto"/>
              <w:jc w:val="both"/>
              <w:rPr>
                <w:rFonts w:ascii="ITC Avant Garde" w:hAnsi="ITC Avant Garde"/>
                <w:sz w:val="20"/>
                <w:szCs w:val="20"/>
              </w:rPr>
            </w:pPr>
            <w:r>
              <w:rPr>
                <w:rFonts w:ascii="ITC Avant Garde" w:hAnsi="ITC Avant Garde"/>
                <w:sz w:val="20"/>
                <w:szCs w:val="20"/>
              </w:rPr>
              <w:t xml:space="preserve">Por lo que hace a la </w:t>
            </w:r>
            <w:r w:rsidRPr="00625CB1">
              <w:rPr>
                <w:rFonts w:ascii="ITC Avant Garde" w:hAnsi="ITC Avant Garde"/>
                <w:b/>
                <w:bCs/>
                <w:sz w:val="20"/>
                <w:szCs w:val="20"/>
              </w:rPr>
              <w:t xml:space="preserve">prueba de </w:t>
            </w:r>
            <w:r w:rsidR="00CD426A" w:rsidRPr="00CD426A">
              <w:rPr>
                <w:rFonts w:ascii="ITC Avant Garde" w:hAnsi="ITC Avant Garde"/>
                <w:b/>
                <w:bCs/>
                <w:sz w:val="20"/>
                <w:szCs w:val="20"/>
              </w:rPr>
              <w:t>replicabilidad económica de servicios móviles</w:t>
            </w:r>
            <w:r w:rsidR="00861D6A">
              <w:rPr>
                <w:rFonts w:ascii="ITC Avant Garde" w:hAnsi="ITC Avant Garde"/>
                <w:sz w:val="20"/>
                <w:szCs w:val="20"/>
              </w:rPr>
              <w:t xml:space="preserve">, se determinó su implementación de </w:t>
            </w:r>
            <w:r w:rsidR="00BB5605">
              <w:rPr>
                <w:rFonts w:ascii="ITC Avant Garde" w:hAnsi="ITC Avant Garde"/>
                <w:sz w:val="20"/>
                <w:szCs w:val="20"/>
              </w:rPr>
              <w:t>forma</w:t>
            </w:r>
            <w:r w:rsidR="00861D6A">
              <w:rPr>
                <w:rFonts w:ascii="ITC Avant Garde" w:hAnsi="ITC Avant Garde"/>
                <w:sz w:val="20"/>
                <w:szCs w:val="20"/>
              </w:rPr>
              <w:t xml:space="preserve"> ex post</w:t>
            </w:r>
            <w:r w:rsidR="00BB5605">
              <w:rPr>
                <w:rFonts w:ascii="ITC Avant Garde" w:hAnsi="ITC Avant Garde"/>
                <w:sz w:val="20"/>
                <w:szCs w:val="20"/>
              </w:rPr>
              <w:t xml:space="preserve"> con una periodicidad</w:t>
            </w:r>
            <w:r w:rsidR="00861D6A">
              <w:rPr>
                <w:rFonts w:ascii="ITC Avant Garde" w:hAnsi="ITC Avant Garde"/>
                <w:sz w:val="20"/>
                <w:szCs w:val="20"/>
              </w:rPr>
              <w:t xml:space="preserve"> trimestr</w:t>
            </w:r>
            <w:r w:rsidR="00BB5605">
              <w:rPr>
                <w:rFonts w:ascii="ITC Avant Garde" w:hAnsi="ITC Avant Garde"/>
                <w:sz w:val="20"/>
                <w:szCs w:val="20"/>
              </w:rPr>
              <w:t>al</w:t>
            </w:r>
            <w:r w:rsidR="00FA311D">
              <w:rPr>
                <w:rFonts w:ascii="ITC Avant Garde" w:hAnsi="ITC Avant Garde"/>
                <w:sz w:val="20"/>
                <w:szCs w:val="20"/>
              </w:rPr>
              <w:t xml:space="preserve">, </w:t>
            </w:r>
            <w:r w:rsidR="00FA311D" w:rsidRPr="00FA311D">
              <w:rPr>
                <w:rFonts w:ascii="ITC Avant Garde" w:hAnsi="ITC Avant Garde"/>
                <w:sz w:val="20"/>
                <w:szCs w:val="20"/>
              </w:rPr>
              <w:t>en l</w:t>
            </w:r>
            <w:r w:rsidR="00FA311D">
              <w:rPr>
                <w:rFonts w:ascii="ITC Avant Garde" w:hAnsi="ITC Avant Garde"/>
                <w:sz w:val="20"/>
                <w:szCs w:val="20"/>
              </w:rPr>
              <w:t>a</w:t>
            </w:r>
            <w:r w:rsidR="00FA311D" w:rsidRPr="00FA311D">
              <w:rPr>
                <w:rFonts w:ascii="ITC Avant Garde" w:hAnsi="ITC Avant Garde"/>
                <w:sz w:val="20"/>
                <w:szCs w:val="20"/>
              </w:rPr>
              <w:t xml:space="preserve"> cual se adoptó el enfoque</w:t>
            </w:r>
            <w:r w:rsidR="00B13E6D">
              <w:rPr>
                <w:rFonts w:ascii="ITC Avant Garde" w:hAnsi="ITC Avant Garde"/>
                <w:sz w:val="20"/>
                <w:szCs w:val="20"/>
              </w:rPr>
              <w:t xml:space="preserve"> de nivel de eficiencia</w:t>
            </w:r>
            <w:r w:rsidR="00FA311D" w:rsidRPr="00FA311D">
              <w:rPr>
                <w:rFonts w:ascii="ITC Avant Garde" w:hAnsi="ITC Avant Garde"/>
                <w:sz w:val="20"/>
                <w:szCs w:val="20"/>
              </w:rPr>
              <w:t xml:space="preserve"> SEO</w:t>
            </w:r>
            <w:r w:rsidR="00D57B94">
              <w:rPr>
                <w:rStyle w:val="Refdenotaalpie"/>
                <w:rFonts w:ascii="ITC Avant Garde" w:hAnsi="ITC Avant Garde"/>
                <w:sz w:val="20"/>
                <w:szCs w:val="20"/>
              </w:rPr>
              <w:footnoteReference w:id="5"/>
            </w:r>
            <w:r w:rsidR="00FA311D" w:rsidRPr="00FA311D">
              <w:rPr>
                <w:rFonts w:ascii="ITC Avant Garde" w:hAnsi="ITC Avant Garde"/>
                <w:sz w:val="20"/>
                <w:szCs w:val="20"/>
              </w:rPr>
              <w:t xml:space="preserve"> para la estimación de los costos aguas abajo</w:t>
            </w:r>
            <w:r w:rsidR="00350692">
              <w:rPr>
                <w:rFonts w:ascii="ITC Avant Garde" w:hAnsi="ITC Avant Garde"/>
                <w:sz w:val="20"/>
                <w:szCs w:val="20"/>
              </w:rPr>
              <w:t>, así como un estándar de costos LRIC+</w:t>
            </w:r>
            <w:r w:rsidR="00D57B94">
              <w:rPr>
                <w:rStyle w:val="Refdenotaalpie"/>
                <w:rFonts w:ascii="ITC Avant Garde" w:hAnsi="ITC Avant Garde"/>
                <w:sz w:val="20"/>
                <w:szCs w:val="20"/>
              </w:rPr>
              <w:footnoteReference w:id="6"/>
            </w:r>
            <w:r w:rsidR="00350692">
              <w:rPr>
                <w:rFonts w:ascii="ITC Avant Garde" w:hAnsi="ITC Avant Garde"/>
                <w:sz w:val="20"/>
                <w:szCs w:val="20"/>
              </w:rPr>
              <w:t>, con la posibilidad de emplear un enfoque FAC</w:t>
            </w:r>
            <w:r w:rsidR="008754B4">
              <w:rPr>
                <w:rStyle w:val="Refdenotaalpie"/>
                <w:rFonts w:ascii="ITC Avant Garde" w:hAnsi="ITC Avant Garde"/>
                <w:sz w:val="20"/>
                <w:szCs w:val="20"/>
              </w:rPr>
              <w:footnoteReference w:id="7"/>
            </w:r>
            <w:r w:rsidR="00350692">
              <w:rPr>
                <w:rFonts w:ascii="ITC Avant Garde" w:hAnsi="ITC Avant Garde"/>
                <w:sz w:val="20"/>
                <w:szCs w:val="20"/>
              </w:rPr>
              <w:t xml:space="preserve"> en caso de no contar con información de costos LRIC+</w:t>
            </w:r>
            <w:r w:rsidR="00BB5605">
              <w:rPr>
                <w:rFonts w:ascii="ITC Avant Garde" w:hAnsi="ITC Avant Garde"/>
                <w:sz w:val="20"/>
                <w:szCs w:val="20"/>
              </w:rPr>
              <w:t>.</w:t>
            </w:r>
            <w:r w:rsidR="00112B88">
              <w:rPr>
                <w:rFonts w:ascii="ITC Avant Garde" w:hAnsi="ITC Avant Garde"/>
                <w:sz w:val="20"/>
                <w:szCs w:val="20"/>
              </w:rPr>
              <w:t xml:space="preserve"> </w:t>
            </w:r>
            <w:r w:rsidR="00112B88" w:rsidRPr="00112B88">
              <w:rPr>
                <w:rFonts w:ascii="ITC Avant Garde" w:hAnsi="ITC Avant Garde"/>
                <w:sz w:val="20"/>
                <w:szCs w:val="20"/>
              </w:rPr>
              <w:t xml:space="preserve">Asimismo, se determinó implementar un enfoque combinado de pruebas a nivel de carteras sobre los segmentos prepago y pospago, incluyendo los servicios de voz, banda ancha y SMS </w:t>
            </w:r>
            <w:r w:rsidR="00112B88" w:rsidRPr="00112B88">
              <w:rPr>
                <w:rFonts w:ascii="ITC Avant Garde" w:hAnsi="ITC Avant Garde"/>
                <w:sz w:val="20"/>
                <w:szCs w:val="20"/>
              </w:rPr>
              <w:lastRenderedPageBreak/>
              <w:t>en su conjunto, así como pruebas individuales para las ofertas insignia dentro de cada segmento, en términos del número de usuarios y volumen de ingresos.</w:t>
            </w:r>
            <w:r w:rsidR="00B02079">
              <w:rPr>
                <w:rFonts w:ascii="ITC Avant Garde" w:hAnsi="ITC Avant Garde"/>
                <w:sz w:val="20"/>
                <w:szCs w:val="20"/>
              </w:rPr>
              <w:t xml:space="preserve"> </w:t>
            </w:r>
            <w:r w:rsidR="00B02079" w:rsidRPr="00B02079">
              <w:rPr>
                <w:rFonts w:ascii="ITC Avant Garde" w:hAnsi="ITC Avant Garde"/>
                <w:sz w:val="20"/>
                <w:szCs w:val="20"/>
              </w:rPr>
              <w:t>Por otra parte, se determinó incluir todas las ofertas empresariales estandarizadas en la cartera de productos, de manera conjunta</w:t>
            </w:r>
            <w:r w:rsidR="00F94642">
              <w:rPr>
                <w:rFonts w:ascii="ITC Avant Garde" w:hAnsi="ITC Avant Garde"/>
                <w:sz w:val="20"/>
                <w:szCs w:val="20"/>
              </w:rPr>
              <w:t>,</w:t>
            </w:r>
            <w:r w:rsidR="00F94642">
              <w:t xml:space="preserve"> </w:t>
            </w:r>
            <w:r w:rsidR="00F94642" w:rsidRPr="00F94642">
              <w:rPr>
                <w:rFonts w:ascii="ITC Avant Garde" w:hAnsi="ITC Avant Garde"/>
                <w:sz w:val="20"/>
                <w:szCs w:val="20"/>
              </w:rPr>
              <w:t>considerando los servicios mayoristas establecidos en la oferta de referencia para comercialización o reventa por parte de los OMV.</w:t>
            </w:r>
            <w:r w:rsidR="0011622B">
              <w:rPr>
                <w:rFonts w:ascii="ITC Avant Garde" w:hAnsi="ITC Avant Garde"/>
                <w:sz w:val="20"/>
                <w:szCs w:val="20"/>
              </w:rPr>
              <w:t xml:space="preserve"> R</w:t>
            </w:r>
            <w:r w:rsidR="0011622B" w:rsidRPr="0011622B">
              <w:rPr>
                <w:rFonts w:ascii="ITC Avant Garde" w:hAnsi="ITC Avant Garde"/>
                <w:sz w:val="20"/>
                <w:szCs w:val="20"/>
              </w:rPr>
              <w:t>especto al tratamiento de las promociones, se determinó que la prueba considere todos los ingresos, costos y descuentos derivados de las promociones</w:t>
            </w:r>
            <w:r w:rsidR="0011622B">
              <w:rPr>
                <w:rFonts w:ascii="ITC Avant Garde" w:hAnsi="ITC Avant Garde"/>
                <w:sz w:val="20"/>
                <w:szCs w:val="20"/>
              </w:rPr>
              <w:t xml:space="preserve">, mientras que para la evaluación de la rentabilidad </w:t>
            </w:r>
            <w:r w:rsidR="0011622B" w:rsidRPr="0011622B">
              <w:rPr>
                <w:rFonts w:ascii="ITC Avant Garde" w:hAnsi="ITC Avant Garde"/>
                <w:sz w:val="20"/>
                <w:szCs w:val="20"/>
              </w:rPr>
              <w:t>se determinó un enfoque periodo a periodo, de manera trimestral, para la evaluación de la rentabilidad de la oferta comercial móvil.</w:t>
            </w:r>
            <w:r w:rsidR="0011622B">
              <w:rPr>
                <w:rFonts w:ascii="ITC Avant Garde" w:hAnsi="ITC Avant Garde"/>
                <w:sz w:val="20"/>
                <w:szCs w:val="20"/>
              </w:rPr>
              <w:t xml:space="preserve"> Finalmente, </w:t>
            </w:r>
            <w:r w:rsidR="0011622B" w:rsidRPr="0011622B">
              <w:rPr>
                <w:rFonts w:ascii="ITC Avant Garde" w:hAnsi="ITC Avant Garde"/>
                <w:sz w:val="20"/>
                <w:szCs w:val="20"/>
              </w:rPr>
              <w:t>se definió tratar las ofertas de forma empaquetada, centrándose en el precio conjunto de la oferta (voz, datos y SMS).</w:t>
            </w:r>
          </w:p>
          <w:p w14:paraId="34355E98" w14:textId="6337C63F" w:rsidR="008A337C" w:rsidRPr="008A337C" w:rsidRDefault="008A337C" w:rsidP="008A337C">
            <w:pPr>
              <w:spacing w:line="276" w:lineRule="auto"/>
              <w:jc w:val="both"/>
              <w:rPr>
                <w:rFonts w:ascii="ITC Avant Garde" w:hAnsi="ITC Avant Garde"/>
                <w:sz w:val="20"/>
                <w:szCs w:val="20"/>
              </w:rPr>
            </w:pPr>
            <w:r w:rsidRPr="008A337C">
              <w:rPr>
                <w:rFonts w:ascii="ITC Avant Garde" w:hAnsi="ITC Avant Garde"/>
                <w:sz w:val="20"/>
                <w:szCs w:val="20"/>
              </w:rPr>
              <w:t>Asimismo, el 02 de diciembre de 2020 el Pleno del Instituto emitió la “RESOLUCIÓN MEDIANTE LA CUAL EL PLENO DEL INSTITUTO FEDERAL DE TELECOMUNICACIONES SUPRIME, MODIFICA Y ADICIONA LAS MEDIDAS IMPUESTAS AL AGENTE ECONÓMICO PREPONDERANTE EN EL SECTOR DE TELECOMUNICACIONES MEDIANTE ACUERDOS P/IFT/EXT/060314/76 Y P/IFT/EXT/270217/119 (SEGUNDA REVISIÓN BIENAL)” (en lo sucesivo, la “</w:t>
            </w:r>
            <w:r w:rsidRPr="000D1DD1">
              <w:rPr>
                <w:rFonts w:ascii="ITC Avant Garde" w:hAnsi="ITC Avant Garde"/>
                <w:b/>
                <w:bCs/>
                <w:sz w:val="20"/>
                <w:szCs w:val="20"/>
              </w:rPr>
              <w:t>Segunda Resolución Bienal</w:t>
            </w:r>
            <w:r w:rsidRPr="008A337C">
              <w:rPr>
                <w:rFonts w:ascii="ITC Avant Garde" w:hAnsi="ITC Avant Garde"/>
                <w:sz w:val="20"/>
                <w:szCs w:val="20"/>
              </w:rPr>
              <w:t>”).</w:t>
            </w:r>
          </w:p>
          <w:p w14:paraId="7E7AB479" w14:textId="69444857" w:rsidR="008A337C" w:rsidRDefault="00625CB1" w:rsidP="008A337C">
            <w:pPr>
              <w:spacing w:line="276" w:lineRule="auto"/>
              <w:jc w:val="both"/>
              <w:rPr>
                <w:rFonts w:ascii="ITC Avant Garde" w:hAnsi="ITC Avant Garde"/>
                <w:bCs/>
                <w:sz w:val="20"/>
                <w:szCs w:val="20"/>
              </w:rPr>
            </w:pPr>
            <w:r w:rsidRPr="00625CB1">
              <w:rPr>
                <w:rFonts w:ascii="ITC Avant Garde" w:hAnsi="ITC Avant Garde"/>
                <w:bCs/>
                <w:sz w:val="20"/>
                <w:szCs w:val="20"/>
              </w:rPr>
              <w:t>En tal sentido, en la Segunda Resolución Bienal</w:t>
            </w:r>
            <w:r w:rsidRPr="00625CB1">
              <w:rPr>
                <w:rFonts w:ascii="ITC Avant Garde" w:hAnsi="ITC Avant Garde"/>
                <w:sz w:val="20"/>
                <w:szCs w:val="20"/>
                <w:vertAlign w:val="superscript"/>
              </w:rPr>
              <w:footnoteReference w:id="8"/>
            </w:r>
            <w:r w:rsidRPr="00625CB1">
              <w:rPr>
                <w:rFonts w:ascii="ITC Avant Garde" w:hAnsi="ITC Avant Garde"/>
                <w:sz w:val="20"/>
                <w:szCs w:val="20"/>
              </w:rPr>
              <w:t xml:space="preserve"> </w:t>
            </w:r>
            <w:r w:rsidRPr="00625CB1">
              <w:rPr>
                <w:rFonts w:ascii="ITC Avant Garde" w:hAnsi="ITC Avant Garde"/>
                <w:bCs/>
                <w:sz w:val="20"/>
                <w:szCs w:val="20"/>
              </w:rPr>
              <w:t>se mantuvo la obligación al Agente Económico Preponderante en el sector de Telecomunicaciones (AEPT) de dar cumplimiento a la replicabilidad económica de sus tarifas al público y se realizaron diversas modificaciones con impacto en las pruebas de replicabilidad económica: primero, se estableció una consecuencia temporal en los casos en los que el AEPT no proporcione información adecuada para realizar las pruebas; segundo, se realizaron modificaciones respecto a la posibilidad de modular remedios relacionados a la determinación de tarifas mayoristas</w:t>
            </w:r>
            <w:r w:rsidR="009B3924">
              <w:rPr>
                <w:rFonts w:ascii="ITC Avant Garde" w:hAnsi="ITC Avant Garde"/>
                <w:bCs/>
                <w:sz w:val="20"/>
                <w:szCs w:val="20"/>
              </w:rPr>
              <w:t>.</w:t>
            </w:r>
          </w:p>
          <w:p w14:paraId="217DD186" w14:textId="26339D3E" w:rsidR="005C49E9" w:rsidRDefault="00A03258" w:rsidP="008A337C">
            <w:pPr>
              <w:spacing w:line="276" w:lineRule="auto"/>
              <w:jc w:val="both"/>
              <w:rPr>
                <w:rFonts w:ascii="ITC Avant Garde" w:hAnsi="ITC Avant Garde"/>
                <w:bCs/>
                <w:sz w:val="20"/>
                <w:szCs w:val="20"/>
              </w:rPr>
            </w:pPr>
            <w:r w:rsidRPr="00A03258">
              <w:rPr>
                <w:rFonts w:ascii="ITC Avant Garde" w:hAnsi="ITC Avant Garde"/>
                <w:bCs/>
                <w:sz w:val="20"/>
                <w:szCs w:val="20"/>
              </w:rPr>
              <w:t xml:space="preserve">El 14 de septiembre de 2022, </w:t>
            </w:r>
            <w:r>
              <w:rPr>
                <w:rFonts w:ascii="ITC Avant Garde" w:hAnsi="ITC Avant Garde"/>
                <w:bCs/>
                <w:sz w:val="20"/>
                <w:szCs w:val="20"/>
              </w:rPr>
              <w:t xml:space="preserve">el Pleno del Instituto </w:t>
            </w:r>
            <w:r w:rsidRPr="00A03258">
              <w:rPr>
                <w:rFonts w:ascii="ITC Avant Garde" w:hAnsi="ITC Avant Garde"/>
                <w:bCs/>
                <w:sz w:val="20"/>
                <w:szCs w:val="20"/>
              </w:rPr>
              <w:t>aprobó mediante Acuerdo P/IFT/140922/472 el “Acuerdo mediante el cual el Pleno del Instituto Federal de Telecomunicaciones modifica la Metodología, términos y condiciones para llevar a cabo la prueba de replicabilidad económica aplicable a los servicios móviles del Agente Económico Preponderante en Telecomunicaciones a que se refiere la medida Sexagésima Cuarta del Anexo 1 de la Resolución de fecha 27 de febrero de 2017 aprobada mediante Acuerdo P/IFT/EXT/270217/119”</w:t>
            </w:r>
            <w:r>
              <w:rPr>
                <w:rFonts w:ascii="ITC Avant Garde" w:hAnsi="ITC Avant Garde"/>
                <w:bCs/>
                <w:sz w:val="20"/>
                <w:szCs w:val="20"/>
              </w:rPr>
              <w:t>, a través del cual se hicieron los siguientes cambios en la metodología, términos y condiciones para llevar a cabo la prueba de replicabilidad de servicios móviles:</w:t>
            </w:r>
          </w:p>
          <w:p w14:paraId="705962FD" w14:textId="69A6E28F" w:rsidR="00A03258" w:rsidRPr="00A03258" w:rsidRDefault="00A03258" w:rsidP="00A03258">
            <w:pPr>
              <w:pStyle w:val="Prrafodelista"/>
              <w:numPr>
                <w:ilvl w:val="0"/>
                <w:numId w:val="57"/>
              </w:numPr>
              <w:spacing w:line="276" w:lineRule="auto"/>
              <w:jc w:val="both"/>
              <w:rPr>
                <w:rFonts w:ascii="ITC Avant Garde" w:hAnsi="ITC Avant Garde"/>
                <w:bCs/>
                <w:sz w:val="20"/>
                <w:szCs w:val="20"/>
              </w:rPr>
            </w:pPr>
            <w:r w:rsidRPr="00A03258">
              <w:rPr>
                <w:rFonts w:ascii="ITC Avant Garde" w:hAnsi="ITC Avant Garde"/>
                <w:bCs/>
                <w:sz w:val="20"/>
                <w:szCs w:val="20"/>
              </w:rPr>
              <w:lastRenderedPageBreak/>
              <w:t xml:space="preserve">Se modificó el enfoque de eficiencia de los costos aguas abajo para pasar a Operador Igualmente Eficiente. </w:t>
            </w:r>
          </w:p>
          <w:p w14:paraId="30377F51" w14:textId="784CA3F8" w:rsidR="00A03258" w:rsidRPr="00A03258" w:rsidRDefault="00A03258" w:rsidP="00A03258">
            <w:pPr>
              <w:pStyle w:val="Prrafodelista"/>
              <w:numPr>
                <w:ilvl w:val="0"/>
                <w:numId w:val="57"/>
              </w:numPr>
              <w:spacing w:line="276" w:lineRule="auto"/>
              <w:jc w:val="both"/>
              <w:rPr>
                <w:rFonts w:ascii="ITC Avant Garde" w:hAnsi="ITC Avant Garde"/>
                <w:bCs/>
                <w:sz w:val="20"/>
                <w:szCs w:val="20"/>
              </w:rPr>
            </w:pPr>
            <w:r w:rsidRPr="00A03258">
              <w:rPr>
                <w:rFonts w:ascii="ITC Avant Garde" w:hAnsi="ITC Avant Garde"/>
                <w:bCs/>
                <w:sz w:val="20"/>
                <w:szCs w:val="20"/>
              </w:rPr>
              <w:t>Se mantuvo la consideración de la escala y el tráfico real de los operadores móviles virtuales (en lo sucesivo, los “OMV”) para la determinación de los precios mayoristas e incorporar información de soporte a la prueba relacionada con el tráfico de los OMV.</w:t>
            </w:r>
          </w:p>
          <w:p w14:paraId="5C1C268F" w14:textId="77777777" w:rsidR="00A03258" w:rsidRPr="00A03258" w:rsidRDefault="00A03258" w:rsidP="00A03258">
            <w:pPr>
              <w:pStyle w:val="Prrafodelista"/>
              <w:numPr>
                <w:ilvl w:val="0"/>
                <w:numId w:val="57"/>
              </w:numPr>
              <w:spacing w:line="276" w:lineRule="auto"/>
              <w:jc w:val="both"/>
              <w:rPr>
                <w:rFonts w:ascii="ITC Avant Garde" w:hAnsi="ITC Avant Garde"/>
                <w:bCs/>
                <w:sz w:val="20"/>
                <w:szCs w:val="20"/>
              </w:rPr>
            </w:pPr>
            <w:r w:rsidRPr="00A03258">
              <w:rPr>
                <w:rFonts w:ascii="ITC Avant Garde" w:hAnsi="ITC Avant Garde"/>
                <w:bCs/>
                <w:sz w:val="20"/>
                <w:szCs w:val="20"/>
              </w:rPr>
              <w:t xml:space="preserve">Se modificaron las categorías o cuentas que son consideradas para el cálculo de los costos aguas abajo a efecto de que haya mayor alineación entre la regulación de replicabilidad económica y la de separación contable. </w:t>
            </w:r>
          </w:p>
          <w:p w14:paraId="3F001783" w14:textId="1C0343BF" w:rsidR="00A03258" w:rsidRPr="00A03258" w:rsidRDefault="00A03258" w:rsidP="00A03258">
            <w:pPr>
              <w:pStyle w:val="Prrafodelista"/>
              <w:numPr>
                <w:ilvl w:val="0"/>
                <w:numId w:val="57"/>
              </w:numPr>
              <w:spacing w:line="276" w:lineRule="auto"/>
              <w:jc w:val="both"/>
              <w:rPr>
                <w:rFonts w:ascii="ITC Avant Garde" w:hAnsi="ITC Avant Garde"/>
                <w:bCs/>
                <w:sz w:val="20"/>
                <w:szCs w:val="20"/>
              </w:rPr>
            </w:pPr>
            <w:r w:rsidRPr="00A03258">
              <w:rPr>
                <w:rFonts w:ascii="ITC Avant Garde" w:hAnsi="ITC Avant Garde"/>
                <w:bCs/>
                <w:sz w:val="20"/>
                <w:szCs w:val="20"/>
              </w:rPr>
              <w:t>Se consideraron los precios mayoristas de la oferta de referencia cuando se implemente la prueba de replicabilidad económica</w:t>
            </w:r>
            <w:r w:rsidR="005C49E9">
              <w:rPr>
                <w:rFonts w:ascii="ITC Avant Garde" w:hAnsi="ITC Avant Garde"/>
                <w:bCs/>
                <w:sz w:val="20"/>
                <w:szCs w:val="20"/>
              </w:rPr>
              <w:t xml:space="preserve"> o de contar con actualizaciones en la oferta, el</w:t>
            </w:r>
            <w:r w:rsidRPr="00A03258">
              <w:rPr>
                <w:rFonts w:ascii="ITC Avant Garde" w:hAnsi="ITC Avant Garde"/>
                <w:bCs/>
                <w:sz w:val="20"/>
                <w:szCs w:val="20"/>
              </w:rPr>
              <w:t xml:space="preserve"> promedio ponderado considerando los días en que estuvo vigente cada precio mayorista. </w:t>
            </w:r>
          </w:p>
          <w:p w14:paraId="0192D516" w14:textId="77777777" w:rsidR="00A03258" w:rsidRPr="00A03258" w:rsidRDefault="00A03258" w:rsidP="00A03258">
            <w:pPr>
              <w:pStyle w:val="Prrafodelista"/>
              <w:numPr>
                <w:ilvl w:val="0"/>
                <w:numId w:val="57"/>
              </w:numPr>
              <w:spacing w:line="276" w:lineRule="auto"/>
              <w:jc w:val="both"/>
              <w:rPr>
                <w:rFonts w:ascii="ITC Avant Garde" w:hAnsi="ITC Avant Garde"/>
                <w:bCs/>
                <w:sz w:val="20"/>
                <w:szCs w:val="20"/>
              </w:rPr>
            </w:pPr>
            <w:r w:rsidRPr="00A03258">
              <w:rPr>
                <w:rFonts w:ascii="ITC Avant Garde" w:hAnsi="ITC Avant Garde"/>
                <w:bCs/>
                <w:sz w:val="20"/>
                <w:szCs w:val="20"/>
              </w:rPr>
              <w:t>Se adicionaron elementos asociados a la entrega de información periódica necesaria para llevar a cabo la prueba de replicabilidad económica.</w:t>
            </w:r>
          </w:p>
          <w:p w14:paraId="79054DF5" w14:textId="77777777" w:rsidR="00A03258" w:rsidRPr="00A03258" w:rsidRDefault="00A03258" w:rsidP="00A03258">
            <w:pPr>
              <w:pStyle w:val="Prrafodelista"/>
              <w:numPr>
                <w:ilvl w:val="0"/>
                <w:numId w:val="57"/>
              </w:numPr>
              <w:spacing w:line="276" w:lineRule="auto"/>
              <w:jc w:val="both"/>
              <w:rPr>
                <w:rFonts w:ascii="ITC Avant Garde" w:hAnsi="ITC Avant Garde"/>
                <w:bCs/>
                <w:sz w:val="20"/>
                <w:szCs w:val="20"/>
              </w:rPr>
            </w:pPr>
            <w:r w:rsidRPr="00A03258">
              <w:rPr>
                <w:rFonts w:ascii="ITC Avant Garde" w:hAnsi="ITC Avant Garde"/>
                <w:bCs/>
                <w:sz w:val="20"/>
                <w:szCs w:val="20"/>
              </w:rPr>
              <w:t>Se incorporó un mecanismo de suspensión de ofertas ante situaciones en las que existan inconsistencias y/u omisiones en la información proporcionada por el AEPT que impidan obtener un resultado de la prueba.</w:t>
            </w:r>
          </w:p>
          <w:p w14:paraId="5B8CAD35" w14:textId="77777777" w:rsidR="00A03258" w:rsidRPr="00A03258" w:rsidRDefault="00A03258" w:rsidP="00A03258">
            <w:pPr>
              <w:pStyle w:val="Prrafodelista"/>
              <w:numPr>
                <w:ilvl w:val="0"/>
                <w:numId w:val="57"/>
              </w:numPr>
              <w:spacing w:line="276" w:lineRule="auto"/>
              <w:jc w:val="both"/>
              <w:rPr>
                <w:rFonts w:ascii="ITC Avant Garde" w:hAnsi="ITC Avant Garde"/>
                <w:bCs/>
                <w:sz w:val="20"/>
                <w:szCs w:val="20"/>
              </w:rPr>
            </w:pPr>
            <w:r w:rsidRPr="00A03258">
              <w:rPr>
                <w:rFonts w:ascii="ITC Avant Garde" w:hAnsi="ITC Avant Garde"/>
                <w:bCs/>
                <w:sz w:val="20"/>
                <w:szCs w:val="20"/>
              </w:rPr>
              <w:t>Se modificó (el plazo para aprobar en definitiva la prueba de replicabilidad económica, en caso de que no se pase originariamente, sería en días hábiles equivalentes, pasando así de 30 días naturales a 20 días hábiles.</w:t>
            </w:r>
          </w:p>
          <w:p w14:paraId="48775B0A" w14:textId="1B3CB51E" w:rsidR="00A03258" w:rsidRPr="000D1DD1" w:rsidRDefault="00A03258" w:rsidP="000D1DD1">
            <w:pPr>
              <w:pStyle w:val="Prrafodelista"/>
              <w:numPr>
                <w:ilvl w:val="0"/>
                <w:numId w:val="57"/>
              </w:numPr>
              <w:spacing w:line="276" w:lineRule="auto"/>
              <w:jc w:val="both"/>
              <w:rPr>
                <w:rFonts w:ascii="ITC Avant Garde" w:hAnsi="ITC Avant Garde"/>
                <w:bCs/>
                <w:sz w:val="20"/>
                <w:szCs w:val="20"/>
              </w:rPr>
            </w:pPr>
            <w:r w:rsidRPr="00A03258">
              <w:rPr>
                <w:rFonts w:ascii="ITC Avant Garde" w:hAnsi="ITC Avant Garde"/>
                <w:bCs/>
                <w:sz w:val="20"/>
                <w:szCs w:val="20"/>
              </w:rPr>
              <w:t>Se planteó que cuando no se acrediten las pruebas de replicabilidad económica con los datos vigentes en el periodo de análisis, en términos de la medida Sexagésima Cuarta del Anexo 1 de la Primera Resolución Bienal, se planteó que la suspensión de comercialización de ofertas comerciales sea sobre todos aquellos registros (ofertas, beneficios y/o promociones) que son o se asocian a una oferta base identificada como insignia que haya resultado no replicable o que pertenezca a la cartera en que no se haya acreditado la replicabilidad económica.</w:t>
            </w:r>
          </w:p>
          <w:p w14:paraId="3888ECC8" w14:textId="7407A755" w:rsidR="00C22646" w:rsidRPr="008A337C" w:rsidRDefault="00C22646" w:rsidP="00C22646">
            <w:pPr>
              <w:spacing w:line="276" w:lineRule="auto"/>
              <w:jc w:val="both"/>
              <w:rPr>
                <w:rFonts w:ascii="ITC Avant Garde" w:hAnsi="ITC Avant Garde"/>
                <w:sz w:val="20"/>
                <w:szCs w:val="20"/>
              </w:rPr>
            </w:pPr>
            <w:r>
              <w:rPr>
                <w:rFonts w:ascii="ITC Avant Garde" w:hAnsi="ITC Avant Garde"/>
                <w:sz w:val="20"/>
                <w:szCs w:val="20"/>
              </w:rPr>
              <w:t>Posteriormente</w:t>
            </w:r>
            <w:r w:rsidRPr="008A337C">
              <w:rPr>
                <w:rFonts w:ascii="ITC Avant Garde" w:hAnsi="ITC Avant Garde"/>
                <w:sz w:val="20"/>
                <w:szCs w:val="20"/>
              </w:rPr>
              <w:t xml:space="preserve">, el </w:t>
            </w:r>
            <w:r>
              <w:rPr>
                <w:rFonts w:ascii="ITC Avant Garde" w:hAnsi="ITC Avant Garde"/>
                <w:sz w:val="20"/>
                <w:szCs w:val="20"/>
              </w:rPr>
              <w:t>30</w:t>
            </w:r>
            <w:r w:rsidRPr="008A337C">
              <w:rPr>
                <w:rFonts w:ascii="ITC Avant Garde" w:hAnsi="ITC Avant Garde"/>
                <w:sz w:val="20"/>
                <w:szCs w:val="20"/>
              </w:rPr>
              <w:t xml:space="preserve"> de </w:t>
            </w:r>
            <w:r>
              <w:rPr>
                <w:rFonts w:ascii="ITC Avant Garde" w:hAnsi="ITC Avant Garde"/>
                <w:sz w:val="20"/>
                <w:szCs w:val="20"/>
              </w:rPr>
              <w:t>octubre</w:t>
            </w:r>
            <w:r w:rsidRPr="008A337C">
              <w:rPr>
                <w:rFonts w:ascii="ITC Avant Garde" w:hAnsi="ITC Avant Garde"/>
                <w:sz w:val="20"/>
                <w:szCs w:val="20"/>
              </w:rPr>
              <w:t xml:space="preserve"> de 202</w:t>
            </w:r>
            <w:r>
              <w:rPr>
                <w:rFonts w:ascii="ITC Avant Garde" w:hAnsi="ITC Avant Garde"/>
                <w:sz w:val="20"/>
                <w:szCs w:val="20"/>
              </w:rPr>
              <w:t>4</w:t>
            </w:r>
            <w:r w:rsidRPr="008A337C">
              <w:rPr>
                <w:rFonts w:ascii="ITC Avant Garde" w:hAnsi="ITC Avant Garde"/>
                <w:sz w:val="20"/>
                <w:szCs w:val="20"/>
              </w:rPr>
              <w:t xml:space="preserve"> el Pleno del Instituto </w:t>
            </w:r>
            <w:r w:rsidR="00A03258">
              <w:rPr>
                <w:rFonts w:ascii="ITC Avant Garde" w:hAnsi="ITC Avant Garde"/>
                <w:sz w:val="20"/>
                <w:szCs w:val="20"/>
              </w:rPr>
              <w:t>aprobó</w:t>
            </w:r>
            <w:r w:rsidRPr="008A337C">
              <w:rPr>
                <w:rFonts w:ascii="ITC Avant Garde" w:hAnsi="ITC Avant Garde"/>
                <w:sz w:val="20"/>
                <w:szCs w:val="20"/>
              </w:rPr>
              <w:t xml:space="preserve"> la “</w:t>
            </w:r>
            <w:r w:rsidRPr="00C22646">
              <w:rPr>
                <w:rFonts w:ascii="ITC Avant Garde" w:hAnsi="ITC Avant Garde"/>
                <w:sz w:val="20"/>
                <w:szCs w:val="20"/>
              </w:rPr>
              <w:t xml:space="preserve">Resolución mediante la cual el Pleno del Instituto Federal de Telecomunicaciones suprime, modifica y adiciona las medidas impuestas al </w:t>
            </w:r>
            <w:r>
              <w:rPr>
                <w:rFonts w:ascii="ITC Avant Garde" w:hAnsi="ITC Avant Garde"/>
                <w:sz w:val="20"/>
                <w:szCs w:val="20"/>
              </w:rPr>
              <w:t>agente económico preponderante en el sector de telecomunicaciones</w:t>
            </w:r>
            <w:r w:rsidRPr="00C22646">
              <w:rPr>
                <w:rFonts w:ascii="ITC Avant Garde" w:hAnsi="ITC Avant Garde"/>
                <w:sz w:val="20"/>
                <w:szCs w:val="20"/>
              </w:rPr>
              <w:t xml:space="preserve"> mediante Acuerdos P/IFT/EXT/060314/76, P/IFT/EXT/270217/119 y P/IFT/021220/488</w:t>
            </w:r>
            <w:r>
              <w:rPr>
                <w:rFonts w:ascii="ITC Avant Garde" w:hAnsi="ITC Avant Garde"/>
                <w:sz w:val="20"/>
                <w:szCs w:val="20"/>
              </w:rPr>
              <w:t>”</w:t>
            </w:r>
            <w:r w:rsidRPr="00C22646">
              <w:rPr>
                <w:rFonts w:ascii="ITC Avant Garde" w:hAnsi="ITC Avant Garde"/>
                <w:sz w:val="20"/>
                <w:szCs w:val="20"/>
              </w:rPr>
              <w:t xml:space="preserve"> </w:t>
            </w:r>
            <w:r w:rsidRPr="008A337C">
              <w:rPr>
                <w:rFonts w:ascii="ITC Avant Garde" w:hAnsi="ITC Avant Garde"/>
                <w:sz w:val="20"/>
                <w:szCs w:val="20"/>
              </w:rPr>
              <w:t>(en lo sucesivo, la “</w:t>
            </w:r>
            <w:r w:rsidRPr="000D1DD1">
              <w:rPr>
                <w:rFonts w:ascii="ITC Avant Garde" w:hAnsi="ITC Avant Garde"/>
                <w:b/>
                <w:bCs/>
                <w:sz w:val="20"/>
                <w:szCs w:val="20"/>
              </w:rPr>
              <w:t>Tercera Resolución Bienal</w:t>
            </w:r>
            <w:r w:rsidRPr="008A337C">
              <w:rPr>
                <w:rFonts w:ascii="ITC Avant Garde" w:hAnsi="ITC Avant Garde"/>
                <w:sz w:val="20"/>
                <w:szCs w:val="20"/>
              </w:rPr>
              <w:t>”).</w:t>
            </w:r>
          </w:p>
          <w:p w14:paraId="6F0E651B" w14:textId="1A891036" w:rsidR="00C22646" w:rsidRDefault="00C22646" w:rsidP="008A337C">
            <w:pPr>
              <w:spacing w:line="276" w:lineRule="auto"/>
              <w:jc w:val="both"/>
              <w:rPr>
                <w:rFonts w:ascii="ITC Avant Garde" w:hAnsi="ITC Avant Garde"/>
                <w:bCs/>
                <w:sz w:val="20"/>
                <w:szCs w:val="20"/>
              </w:rPr>
            </w:pPr>
            <w:r w:rsidRPr="00625CB1">
              <w:rPr>
                <w:rFonts w:ascii="ITC Avant Garde" w:hAnsi="ITC Avant Garde"/>
                <w:bCs/>
                <w:sz w:val="20"/>
                <w:szCs w:val="20"/>
              </w:rPr>
              <w:lastRenderedPageBreak/>
              <w:t xml:space="preserve">En tal sentido, en la </w:t>
            </w:r>
            <w:r>
              <w:rPr>
                <w:rFonts w:ascii="ITC Avant Garde" w:hAnsi="ITC Avant Garde"/>
                <w:bCs/>
                <w:sz w:val="20"/>
                <w:szCs w:val="20"/>
              </w:rPr>
              <w:t>Tercera</w:t>
            </w:r>
            <w:r w:rsidRPr="00625CB1">
              <w:rPr>
                <w:rFonts w:ascii="ITC Avant Garde" w:hAnsi="ITC Avant Garde"/>
                <w:bCs/>
                <w:sz w:val="20"/>
                <w:szCs w:val="20"/>
              </w:rPr>
              <w:t xml:space="preserve"> Resolución Bienal</w:t>
            </w:r>
            <w:r w:rsidRPr="00625CB1">
              <w:rPr>
                <w:rFonts w:ascii="ITC Avant Garde" w:hAnsi="ITC Avant Garde"/>
                <w:sz w:val="20"/>
                <w:szCs w:val="20"/>
                <w:vertAlign w:val="superscript"/>
              </w:rPr>
              <w:footnoteReference w:id="9"/>
            </w:r>
            <w:r w:rsidRPr="00625CB1">
              <w:rPr>
                <w:rFonts w:ascii="ITC Avant Garde" w:hAnsi="ITC Avant Garde"/>
                <w:sz w:val="20"/>
                <w:szCs w:val="20"/>
              </w:rPr>
              <w:t xml:space="preserve"> </w:t>
            </w:r>
            <w:r w:rsidRPr="00625CB1">
              <w:rPr>
                <w:rFonts w:ascii="ITC Avant Garde" w:hAnsi="ITC Avant Garde"/>
                <w:bCs/>
                <w:sz w:val="20"/>
                <w:szCs w:val="20"/>
              </w:rPr>
              <w:t>se mantuvo la obligación al Agente Económico Preponderante en el sector de Telecomunicaciones (AEPT) de dar cumplimiento a la replicabilidad económica de sus tarifas al público y se realizaron modificaciones con impacto en las pruebas de replicabilidad económica</w:t>
            </w:r>
            <w:r w:rsidR="001A7D19">
              <w:rPr>
                <w:rFonts w:ascii="ITC Avant Garde" w:hAnsi="ITC Avant Garde"/>
                <w:bCs/>
                <w:sz w:val="20"/>
                <w:szCs w:val="20"/>
              </w:rPr>
              <w:t>. En este sentido,</w:t>
            </w:r>
            <w:r w:rsidRPr="00625CB1">
              <w:rPr>
                <w:rFonts w:ascii="ITC Avant Garde" w:hAnsi="ITC Avant Garde"/>
                <w:bCs/>
                <w:sz w:val="20"/>
                <w:szCs w:val="20"/>
              </w:rPr>
              <w:t xml:space="preserve"> se estableció </w:t>
            </w:r>
            <w:r>
              <w:rPr>
                <w:rFonts w:ascii="ITC Avant Garde" w:hAnsi="ITC Avant Garde"/>
                <w:bCs/>
                <w:sz w:val="20"/>
                <w:szCs w:val="20"/>
              </w:rPr>
              <w:t xml:space="preserve">que el Instituto </w:t>
            </w:r>
            <w:r w:rsidRPr="000D1DD1">
              <w:rPr>
                <w:rFonts w:ascii="ITC Avant Garde" w:hAnsi="ITC Avant Garde"/>
                <w:b/>
                <w:sz w:val="20"/>
                <w:szCs w:val="20"/>
              </w:rPr>
              <w:t>podrá incluir la realización de pruebas de replicabilidad económica para cualquier oferta a nivel individual</w:t>
            </w:r>
            <w:r>
              <w:rPr>
                <w:rFonts w:ascii="ITC Avant Garde" w:hAnsi="ITC Avant Garde"/>
                <w:bCs/>
                <w:sz w:val="20"/>
                <w:szCs w:val="20"/>
              </w:rPr>
              <w:t>.</w:t>
            </w:r>
          </w:p>
          <w:p w14:paraId="4FE5C9A7" w14:textId="11430AE8" w:rsidR="008A337C" w:rsidRPr="008A337C" w:rsidRDefault="00625CB1" w:rsidP="00625CB1">
            <w:pPr>
              <w:spacing w:line="276" w:lineRule="auto"/>
              <w:jc w:val="both"/>
              <w:rPr>
                <w:rFonts w:ascii="ITC Avant Garde" w:hAnsi="ITC Avant Garde"/>
                <w:sz w:val="20"/>
                <w:szCs w:val="20"/>
              </w:rPr>
            </w:pPr>
            <w:r>
              <w:rPr>
                <w:rFonts w:ascii="ITC Avant Garde" w:hAnsi="ITC Avant Garde"/>
                <w:sz w:val="20"/>
                <w:szCs w:val="20"/>
              </w:rPr>
              <w:t>Asimismo</w:t>
            </w:r>
            <w:r w:rsidRPr="00625CB1">
              <w:rPr>
                <w:rFonts w:ascii="ITC Avant Garde" w:hAnsi="ITC Avant Garde"/>
                <w:sz w:val="20"/>
                <w:szCs w:val="20"/>
              </w:rPr>
              <w:t>, el 29 de diciembre del 2017 fue publicado el Acuerdo</w:t>
            </w:r>
            <w:r w:rsidRPr="00625CB1">
              <w:rPr>
                <w:rFonts w:ascii="ITC Avant Garde" w:hAnsi="ITC Avant Garde"/>
                <w:sz w:val="20"/>
                <w:szCs w:val="20"/>
                <w:vertAlign w:val="superscript"/>
              </w:rPr>
              <w:footnoteReference w:id="10"/>
            </w:r>
            <w:r w:rsidRPr="00625CB1">
              <w:rPr>
                <w:rFonts w:ascii="ITC Avant Garde" w:hAnsi="ITC Avant Garde"/>
                <w:sz w:val="20"/>
                <w:szCs w:val="20"/>
              </w:rPr>
              <w:t xml:space="preserve"> mediante el cual se expidió la metodología de separación contable aplicable a los agentes económicos preponderantes, la cual fue modificada mediante el Acuerdo</w:t>
            </w:r>
            <w:r w:rsidRPr="00625CB1">
              <w:rPr>
                <w:rFonts w:ascii="ITC Avant Garde" w:hAnsi="ITC Avant Garde"/>
                <w:sz w:val="20"/>
                <w:szCs w:val="20"/>
                <w:vertAlign w:val="superscript"/>
              </w:rPr>
              <w:footnoteReference w:id="11"/>
            </w:r>
            <w:r w:rsidRPr="00625CB1">
              <w:rPr>
                <w:rFonts w:ascii="ITC Avant Garde" w:hAnsi="ITC Avant Garde"/>
                <w:sz w:val="20"/>
                <w:szCs w:val="20"/>
              </w:rPr>
              <w:t xml:space="preserve"> publicado el 19 de diciembre del 2018 y el 07 de julio del 2020</w:t>
            </w:r>
            <w:r w:rsidRPr="00625CB1">
              <w:rPr>
                <w:rFonts w:ascii="ITC Avant Garde" w:hAnsi="ITC Avant Garde"/>
                <w:sz w:val="20"/>
                <w:szCs w:val="20"/>
                <w:vertAlign w:val="superscript"/>
              </w:rPr>
              <w:footnoteReference w:id="12"/>
            </w:r>
            <w:r w:rsidRPr="00625CB1">
              <w:rPr>
                <w:rFonts w:ascii="ITC Avant Garde" w:hAnsi="ITC Avant Garde"/>
                <w:sz w:val="20"/>
                <w:szCs w:val="20"/>
              </w:rPr>
              <w:t>. Al respecto, es necesario señalar que la información contenida en la metodología de separación contable es uno de los insumos considerados para llevar a cabo las pruebas de replicabilidad económica</w:t>
            </w:r>
            <w:r w:rsidR="008A337C" w:rsidRPr="008A337C">
              <w:rPr>
                <w:rFonts w:ascii="ITC Avant Garde" w:hAnsi="ITC Avant Garde"/>
                <w:sz w:val="20"/>
                <w:szCs w:val="20"/>
              </w:rPr>
              <w:t>.</w:t>
            </w:r>
          </w:p>
          <w:p w14:paraId="03889D02" w14:textId="08B250B4" w:rsidR="00C32290" w:rsidRDefault="008A337C" w:rsidP="008A337C">
            <w:pPr>
              <w:spacing w:line="276" w:lineRule="auto"/>
              <w:jc w:val="both"/>
              <w:rPr>
                <w:rFonts w:ascii="ITC Avant Garde" w:hAnsi="ITC Avant Garde"/>
                <w:sz w:val="20"/>
                <w:szCs w:val="20"/>
              </w:rPr>
            </w:pPr>
            <w:r w:rsidRPr="008A337C">
              <w:rPr>
                <w:rFonts w:ascii="ITC Avant Garde" w:hAnsi="ITC Avant Garde"/>
                <w:sz w:val="20"/>
                <w:szCs w:val="20"/>
              </w:rPr>
              <w:t>De lo anterior, se resalta que una vez que se ha determinado mantener las obligaciones relacionadas con replicabilidad económica y ante los cambios en las condiciones del</w:t>
            </w:r>
            <w:r>
              <w:rPr>
                <w:rFonts w:ascii="ITC Avant Garde" w:hAnsi="ITC Avant Garde"/>
                <w:sz w:val="20"/>
                <w:szCs w:val="20"/>
              </w:rPr>
              <w:t xml:space="preserve"> </w:t>
            </w:r>
            <w:r w:rsidRPr="008A337C">
              <w:rPr>
                <w:rFonts w:ascii="ITC Avant Garde" w:hAnsi="ITC Avant Garde"/>
                <w:sz w:val="20"/>
                <w:szCs w:val="20"/>
              </w:rPr>
              <w:t>sector, resulta necesario llevar a cabo la revisión y actualización de las metodologías, términos y condiciones para llevar a cabo las pruebas</w:t>
            </w:r>
            <w:r w:rsidR="00B05076">
              <w:rPr>
                <w:rFonts w:ascii="ITC Avant Garde" w:hAnsi="ITC Avant Garde"/>
                <w:sz w:val="20"/>
                <w:szCs w:val="20"/>
              </w:rPr>
              <w:t xml:space="preserve"> de replicabilidad económica</w:t>
            </w:r>
            <w:r w:rsidRPr="008A337C">
              <w:rPr>
                <w:rFonts w:ascii="ITC Avant Garde" w:hAnsi="ITC Avant Garde"/>
                <w:sz w:val="20"/>
                <w:szCs w:val="20"/>
              </w:rPr>
              <w:t>.</w:t>
            </w:r>
          </w:p>
          <w:p w14:paraId="72EE44AB" w14:textId="04644B82" w:rsidR="000553DD" w:rsidRPr="00C0424E" w:rsidRDefault="00C32290" w:rsidP="007473C3">
            <w:pPr>
              <w:spacing w:line="276" w:lineRule="auto"/>
              <w:jc w:val="both"/>
              <w:rPr>
                <w:rFonts w:ascii="ITC Avant Garde" w:eastAsia="Times New Roman" w:hAnsi="ITC Avant Garde"/>
                <w:color w:val="000000"/>
                <w:lang w:eastAsia="es-MX"/>
              </w:rPr>
            </w:pPr>
            <w:r w:rsidRPr="004510A1">
              <w:rPr>
                <w:rFonts w:ascii="ITC Avant Garde" w:hAnsi="ITC Avant Garde"/>
                <w:sz w:val="20"/>
                <w:szCs w:val="20"/>
              </w:rPr>
              <w:t>Ahora bien, en términos de</w:t>
            </w:r>
            <w:r w:rsidR="00352375">
              <w:rPr>
                <w:rFonts w:ascii="ITC Avant Garde" w:hAnsi="ITC Avant Garde"/>
                <w:sz w:val="20"/>
                <w:szCs w:val="20"/>
              </w:rPr>
              <w:t>l</w:t>
            </w:r>
            <w:r w:rsidRPr="004510A1">
              <w:rPr>
                <w:rFonts w:ascii="ITC Avant Garde" w:hAnsi="ITC Avant Garde"/>
                <w:sz w:val="20"/>
                <w:szCs w:val="20"/>
              </w:rPr>
              <w:t xml:space="preserve"> artículo 24, fracción XVII del Estatuto Orgánico del Instituto Federal de Telecomunicaciones, la Unidad de Política Regulatoria, a través de la Dirección General de Desarrollo de las Telecomunicaciones y la Radiodifusión, tiene a su cargo el sustanciar los procedimientos relativos al seguimiento de obligaciones y medidas impuestas al agente económico preponderante o con poder sustancial en el sector de telecomunicaciones. Además, </w:t>
            </w:r>
            <w:r w:rsidR="00BD1C21" w:rsidRPr="004510A1">
              <w:rPr>
                <w:rFonts w:ascii="ITC Avant Garde" w:hAnsi="ITC Avant Garde"/>
                <w:sz w:val="20"/>
                <w:szCs w:val="20"/>
              </w:rPr>
              <w:t>de acuerdo con</w:t>
            </w:r>
            <w:r w:rsidRPr="004510A1">
              <w:rPr>
                <w:rFonts w:ascii="ITC Avant Garde" w:hAnsi="ITC Avant Garde"/>
                <w:sz w:val="20"/>
                <w:szCs w:val="20"/>
              </w:rPr>
              <w:t xml:space="preserve"> lo dispuesto en el artículo 15 fracción XL de la Ley Federal de Telecomunicaciones y Radiodifusión, corresponde al Instituto formular, de considerarlo necesario para el ejercicio de sus funciones,</w:t>
            </w:r>
            <w:r w:rsidR="00BC5050" w:rsidRPr="004510A1">
              <w:rPr>
                <w:rFonts w:ascii="ITC Avant Garde" w:hAnsi="ITC Avant Garde"/>
                <w:sz w:val="20"/>
                <w:szCs w:val="20"/>
              </w:rPr>
              <w:t xml:space="preserve"> </w:t>
            </w:r>
            <w:r w:rsidRPr="004510A1">
              <w:rPr>
                <w:rFonts w:ascii="ITC Avant Garde" w:hAnsi="ITC Avant Garde"/>
                <w:sz w:val="20"/>
                <w:szCs w:val="20"/>
              </w:rPr>
              <w:t xml:space="preserve">consultas públicas no vinculatorias, en las materias de su competencia. En ese sentido, y acorde a las disposiciones Tercera </w:t>
            </w:r>
            <w:r w:rsidR="00AB3B1E">
              <w:rPr>
                <w:rFonts w:ascii="ITC Avant Garde" w:hAnsi="ITC Avant Garde"/>
                <w:sz w:val="20"/>
                <w:szCs w:val="20"/>
              </w:rPr>
              <w:t>fracción I</w:t>
            </w:r>
            <w:r w:rsidRPr="004510A1">
              <w:rPr>
                <w:rFonts w:ascii="ITC Avant Garde" w:hAnsi="ITC Avant Garde"/>
                <w:sz w:val="20"/>
                <w:szCs w:val="20"/>
              </w:rPr>
              <w:t xml:space="preserve"> y Novena de los Lineamientos de Consulta Pública y Análisis de Impacto Regulatorio del Instituto Federal de Telecomunicaciones, se considera oportuno la realización de una consulta pública </w:t>
            </w:r>
            <w:r w:rsidR="0008701D">
              <w:rPr>
                <w:rFonts w:ascii="ITC Avant Garde" w:hAnsi="ITC Avant Garde"/>
                <w:sz w:val="20"/>
                <w:szCs w:val="20"/>
              </w:rPr>
              <w:t xml:space="preserve">de integración </w:t>
            </w:r>
            <w:r w:rsidRPr="004510A1">
              <w:rPr>
                <w:rFonts w:ascii="ITC Avant Garde" w:hAnsi="ITC Avant Garde"/>
                <w:sz w:val="20"/>
                <w:szCs w:val="20"/>
              </w:rPr>
              <w:t xml:space="preserve">a fin de recabar información, comentarios, opiniones, aportaciones u otros elementos de análisis por parte tanto de los agentes regulados como del público en general para así robustecer el proyecto de actualización </w:t>
            </w:r>
            <w:r w:rsidR="00835F7D">
              <w:rPr>
                <w:rFonts w:ascii="ITC Avant Garde" w:hAnsi="ITC Avant Garde"/>
                <w:sz w:val="20"/>
                <w:szCs w:val="20"/>
              </w:rPr>
              <w:t xml:space="preserve">de </w:t>
            </w:r>
            <w:r w:rsidR="0008701D">
              <w:rPr>
                <w:rFonts w:ascii="ITC Avant Garde" w:hAnsi="ITC Avant Garde"/>
                <w:sz w:val="20"/>
                <w:szCs w:val="20"/>
              </w:rPr>
              <w:t xml:space="preserve">la metodología, términos y condiciones de </w:t>
            </w:r>
            <w:r w:rsidR="001A3C45" w:rsidRPr="001A3C45">
              <w:rPr>
                <w:rFonts w:ascii="ITC Avant Garde" w:hAnsi="ITC Avant Garde"/>
                <w:sz w:val="20"/>
                <w:szCs w:val="20"/>
              </w:rPr>
              <w:t>la prueba de replicabilidad económica</w:t>
            </w:r>
            <w:r w:rsidRPr="004510A1">
              <w:rPr>
                <w:rFonts w:ascii="ITC Avant Garde" w:hAnsi="ITC Avant Garde"/>
                <w:sz w:val="20"/>
                <w:szCs w:val="20"/>
              </w:rPr>
              <w:t>.</w:t>
            </w:r>
          </w:p>
        </w:tc>
      </w:tr>
      <w:tr w:rsidR="000553DD" w:rsidRPr="00E9169D" w14:paraId="5EAC43BE" w14:textId="77777777" w:rsidTr="00F97305">
        <w:trPr>
          <w:trHeight w:val="300"/>
        </w:trPr>
        <w:tc>
          <w:tcPr>
            <w:tcW w:w="8652" w:type="dxa"/>
            <w:shd w:val="clear" w:color="auto" w:fill="C5E0B3"/>
            <w:noWrap/>
            <w:vAlign w:val="center"/>
          </w:tcPr>
          <w:p w14:paraId="11FE2A5F" w14:textId="77777777" w:rsidR="000553DD" w:rsidRPr="00C0424E" w:rsidRDefault="000553DD" w:rsidP="00280134">
            <w:pPr>
              <w:spacing w:after="0" w:line="240" w:lineRule="auto"/>
              <w:jc w:val="both"/>
              <w:rPr>
                <w:rFonts w:ascii="ITC Avant Garde" w:eastAsia="Times New Roman" w:hAnsi="ITC Avant Garde"/>
                <w:color w:val="000000"/>
                <w:sz w:val="16"/>
                <w:szCs w:val="16"/>
                <w:lang w:eastAsia="es-MX"/>
              </w:rPr>
            </w:pPr>
          </w:p>
        </w:tc>
      </w:tr>
    </w:tbl>
    <w:p w14:paraId="11AFC9EF" w14:textId="77777777" w:rsidR="0068054F" w:rsidRPr="00F36A5D" w:rsidRDefault="0068054F" w:rsidP="00DF5B3F">
      <w:pPr>
        <w:spacing w:after="0"/>
        <w:rPr>
          <w:rFonts w:ascii="ITC Avant Garde" w:hAnsi="ITC Avant Garde"/>
          <w:vanish/>
        </w:rPr>
      </w:pPr>
    </w:p>
    <w:p w14:paraId="1FE29D9C" w14:textId="77777777" w:rsidR="00DF154A" w:rsidRDefault="00DF154A" w:rsidP="00170916">
      <w:pPr>
        <w:spacing w:after="0"/>
        <w:jc w:val="both"/>
        <w:rPr>
          <w:rFonts w:ascii="ITC Avant Garde" w:hAnsi="ITC Avant Garde"/>
          <w:sz w:val="16"/>
        </w:rPr>
      </w:pPr>
    </w:p>
    <w:tbl>
      <w:tblPr>
        <w:tblW w:w="86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B44129" w:rsidRPr="003F04F2" w14:paraId="4C0D4BB3" w14:textId="77777777" w:rsidTr="00F97305">
        <w:trPr>
          <w:trHeight w:val="600"/>
        </w:trPr>
        <w:tc>
          <w:tcPr>
            <w:tcW w:w="8642" w:type="dxa"/>
            <w:shd w:val="clear" w:color="auto" w:fill="D9D9D9"/>
            <w:vAlign w:val="center"/>
            <w:hideMark/>
          </w:tcPr>
          <w:p w14:paraId="53C51D99" w14:textId="77777777" w:rsidR="00B44129" w:rsidRPr="003F04F2" w:rsidRDefault="00B44129" w:rsidP="007473C3">
            <w:pPr>
              <w:pStyle w:val="Ttulo2"/>
              <w:ind w:left="784"/>
            </w:pPr>
            <w:r w:rsidRPr="003F04F2">
              <w:lastRenderedPageBreak/>
              <w:t>Guía para el llenado del formato</w:t>
            </w:r>
          </w:p>
        </w:tc>
      </w:tr>
      <w:tr w:rsidR="00B44129" w:rsidRPr="003F04F2" w14:paraId="03C37AD0" w14:textId="77777777" w:rsidTr="00F97305">
        <w:trPr>
          <w:trHeight w:val="720"/>
        </w:trPr>
        <w:tc>
          <w:tcPr>
            <w:tcW w:w="8642" w:type="dxa"/>
            <w:shd w:val="clear" w:color="000000" w:fill="FFFFFF"/>
            <w:noWrap/>
            <w:hideMark/>
          </w:tcPr>
          <w:p w14:paraId="41D734C4" w14:textId="39D53814" w:rsidR="003D7579" w:rsidRDefault="00702727" w:rsidP="003D7579">
            <w:pPr>
              <w:spacing w:before="240" w:after="120" w:line="240" w:lineRule="auto"/>
              <w:ind w:right="309"/>
              <w:jc w:val="both"/>
              <w:rPr>
                <w:rFonts w:ascii="ITC Avant Garde" w:eastAsia="Times New Roman" w:hAnsi="ITC Avant Garde"/>
                <w:color w:val="000000"/>
                <w:sz w:val="20"/>
                <w:szCs w:val="20"/>
                <w:lang w:eastAsia="es-MX"/>
              </w:rPr>
            </w:pPr>
            <w:r w:rsidRPr="00702727">
              <w:rPr>
                <w:rFonts w:ascii="ITC Avant Garde" w:eastAsia="Times New Roman" w:hAnsi="ITC Avant Garde"/>
                <w:color w:val="000000"/>
                <w:sz w:val="20"/>
                <w:szCs w:val="20"/>
                <w:lang w:eastAsia="es-MX"/>
              </w:rPr>
              <w:t>La prueba de replicabilidad económica</w:t>
            </w:r>
            <w:r w:rsidR="001A7D19">
              <w:rPr>
                <w:rFonts w:ascii="ITC Avant Garde" w:eastAsia="Times New Roman" w:hAnsi="ITC Avant Garde"/>
                <w:color w:val="000000"/>
                <w:sz w:val="20"/>
                <w:szCs w:val="20"/>
                <w:lang w:eastAsia="es-MX"/>
              </w:rPr>
              <w:t xml:space="preserve"> móvil</w:t>
            </w:r>
            <w:r w:rsidRPr="00702727">
              <w:rPr>
                <w:rFonts w:ascii="ITC Avant Garde" w:eastAsia="Times New Roman" w:hAnsi="ITC Avant Garde"/>
                <w:color w:val="000000"/>
                <w:sz w:val="20"/>
                <w:szCs w:val="20"/>
                <w:lang w:eastAsia="es-MX"/>
              </w:rPr>
              <w:t xml:space="preserve"> </w:t>
            </w:r>
            <w:r w:rsidR="00F13080">
              <w:rPr>
                <w:rFonts w:ascii="ITC Avant Garde" w:eastAsia="Times New Roman" w:hAnsi="ITC Avant Garde"/>
                <w:color w:val="000000"/>
                <w:sz w:val="20"/>
                <w:szCs w:val="20"/>
                <w:lang w:eastAsia="es-MX"/>
              </w:rPr>
              <w:t xml:space="preserve">vigente </w:t>
            </w:r>
            <w:r w:rsidRPr="00702727">
              <w:rPr>
                <w:rFonts w:ascii="ITC Avant Garde" w:eastAsia="Times New Roman" w:hAnsi="ITC Avant Garde"/>
                <w:color w:val="000000"/>
                <w:sz w:val="20"/>
                <w:szCs w:val="20"/>
                <w:lang w:eastAsia="es-MX"/>
              </w:rPr>
              <w:t xml:space="preserve">considera </w:t>
            </w:r>
            <w:r w:rsidR="00420771">
              <w:rPr>
                <w:rFonts w:ascii="ITC Avant Garde" w:eastAsia="Times New Roman" w:hAnsi="ITC Avant Garde"/>
                <w:color w:val="000000"/>
                <w:sz w:val="20"/>
                <w:szCs w:val="20"/>
                <w:lang w:eastAsia="es-MX"/>
              </w:rPr>
              <w:t>el</w:t>
            </w:r>
            <w:r w:rsidRPr="00702727">
              <w:rPr>
                <w:rFonts w:ascii="ITC Avant Garde" w:eastAsia="Times New Roman" w:hAnsi="ITC Avant Garde"/>
                <w:color w:val="000000"/>
                <w:sz w:val="20"/>
                <w:szCs w:val="20"/>
                <w:lang w:eastAsia="es-MX"/>
              </w:rPr>
              <w:t xml:space="preserve"> siguiente</w:t>
            </w:r>
            <w:r w:rsidR="00C35DB6">
              <w:rPr>
                <w:rFonts w:ascii="ITC Avant Garde" w:eastAsia="Times New Roman" w:hAnsi="ITC Avant Garde"/>
                <w:color w:val="000000"/>
                <w:sz w:val="20"/>
                <w:szCs w:val="20"/>
                <w:lang w:eastAsia="es-MX"/>
              </w:rPr>
              <w:t xml:space="preserve"> </w:t>
            </w:r>
            <w:r w:rsidR="004F0CF7" w:rsidRPr="004F0CF7">
              <w:rPr>
                <w:rFonts w:ascii="ITC Avant Garde" w:eastAsia="Times New Roman" w:hAnsi="ITC Avant Garde"/>
                <w:color w:val="000000"/>
                <w:sz w:val="20"/>
                <w:szCs w:val="20"/>
                <w:lang w:eastAsia="es-MX"/>
              </w:rPr>
              <w:t xml:space="preserve">SMR: </w:t>
            </w:r>
          </w:p>
          <w:p w14:paraId="1B56F645" w14:textId="48EF455F" w:rsidR="003D7579" w:rsidRPr="005B7378" w:rsidRDefault="000E7D0E" w:rsidP="00F13080">
            <w:pPr>
              <w:pStyle w:val="Prrafodelista"/>
              <w:numPr>
                <w:ilvl w:val="0"/>
                <w:numId w:val="47"/>
              </w:num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Servicio de c</w:t>
            </w:r>
            <w:r w:rsidR="003D7579" w:rsidRPr="003D7579">
              <w:rPr>
                <w:rFonts w:ascii="ITC Avant Garde" w:eastAsia="Times New Roman" w:hAnsi="ITC Avant Garde"/>
                <w:color w:val="000000"/>
                <w:sz w:val="20"/>
                <w:szCs w:val="20"/>
                <w:lang w:eastAsia="es-MX"/>
              </w:rPr>
              <w:t xml:space="preserve">omercialización o </w:t>
            </w:r>
            <w:r w:rsidR="007A1B7C">
              <w:rPr>
                <w:rFonts w:ascii="ITC Avant Garde" w:eastAsia="Times New Roman" w:hAnsi="ITC Avant Garde"/>
                <w:color w:val="000000"/>
                <w:sz w:val="20"/>
                <w:szCs w:val="20"/>
                <w:lang w:eastAsia="es-MX"/>
              </w:rPr>
              <w:t>r</w:t>
            </w:r>
            <w:r w:rsidR="003D7579" w:rsidRPr="003D7579">
              <w:rPr>
                <w:rFonts w:ascii="ITC Avant Garde" w:eastAsia="Times New Roman" w:hAnsi="ITC Avant Garde"/>
                <w:color w:val="000000"/>
                <w:sz w:val="20"/>
                <w:szCs w:val="20"/>
                <w:lang w:eastAsia="es-MX"/>
              </w:rPr>
              <w:t xml:space="preserve">eventa de </w:t>
            </w:r>
            <w:r w:rsidR="007A1B7C">
              <w:rPr>
                <w:rFonts w:ascii="ITC Avant Garde" w:eastAsia="Times New Roman" w:hAnsi="ITC Avant Garde"/>
                <w:color w:val="000000"/>
                <w:sz w:val="20"/>
                <w:szCs w:val="20"/>
                <w:lang w:eastAsia="es-MX"/>
              </w:rPr>
              <w:t>s</w:t>
            </w:r>
            <w:r w:rsidR="003D7579" w:rsidRPr="003D7579">
              <w:rPr>
                <w:rFonts w:ascii="ITC Avant Garde" w:eastAsia="Times New Roman" w:hAnsi="ITC Avant Garde"/>
                <w:color w:val="000000"/>
                <w:sz w:val="20"/>
                <w:szCs w:val="20"/>
                <w:lang w:eastAsia="es-MX"/>
              </w:rPr>
              <w:t>ervicios por parte de los OMV</w:t>
            </w:r>
            <w:r w:rsidR="003D7579">
              <w:rPr>
                <w:rFonts w:ascii="ITC Avant Garde" w:eastAsia="Times New Roman" w:hAnsi="ITC Avant Garde"/>
                <w:color w:val="000000"/>
                <w:sz w:val="20"/>
                <w:szCs w:val="20"/>
                <w:lang w:eastAsia="es-MX"/>
              </w:rPr>
              <w:t xml:space="preserve"> </w:t>
            </w:r>
            <w:r w:rsidR="003D7579" w:rsidRPr="00F13080">
              <w:rPr>
                <w:rFonts w:ascii="ITC Avant Garde" w:eastAsia="Times New Roman" w:hAnsi="ITC Avant Garde"/>
                <w:b/>
                <w:bCs/>
                <w:color w:val="000000"/>
                <w:sz w:val="20"/>
                <w:szCs w:val="20"/>
                <w:lang w:eastAsia="es-MX"/>
              </w:rPr>
              <w:t>(Móvil)</w:t>
            </w:r>
          </w:p>
          <w:p w14:paraId="441F6FBC" w14:textId="45D0FF10" w:rsidR="004F0CF7" w:rsidRPr="004F0CF7" w:rsidRDefault="0043365D" w:rsidP="004F0CF7">
            <w:p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Para efectos de </w:t>
            </w:r>
            <w:r w:rsidR="005B7378">
              <w:rPr>
                <w:rFonts w:ascii="ITC Avant Garde" w:eastAsia="Times New Roman" w:hAnsi="ITC Avant Garde"/>
                <w:color w:val="000000"/>
                <w:sz w:val="20"/>
                <w:szCs w:val="20"/>
                <w:lang w:eastAsia="es-MX"/>
              </w:rPr>
              <w:t>la presente actualización</w:t>
            </w:r>
            <w:r>
              <w:rPr>
                <w:rFonts w:ascii="ITC Avant Garde" w:eastAsia="Times New Roman" w:hAnsi="ITC Avant Garde"/>
                <w:color w:val="000000"/>
                <w:sz w:val="20"/>
                <w:szCs w:val="20"/>
                <w:lang w:eastAsia="es-MX"/>
              </w:rPr>
              <w:t>, s</w:t>
            </w:r>
            <w:r w:rsidR="004F0CF7" w:rsidRPr="004F0CF7">
              <w:rPr>
                <w:rFonts w:ascii="ITC Avant Garde" w:eastAsia="Times New Roman" w:hAnsi="ITC Avant Garde"/>
                <w:color w:val="000000"/>
                <w:sz w:val="20"/>
                <w:szCs w:val="20"/>
                <w:lang w:eastAsia="es-MX"/>
              </w:rPr>
              <w:t xml:space="preserve">e </w:t>
            </w:r>
            <w:r>
              <w:rPr>
                <w:rFonts w:ascii="ITC Avant Garde" w:eastAsia="Times New Roman" w:hAnsi="ITC Avant Garde"/>
                <w:color w:val="000000"/>
                <w:sz w:val="20"/>
                <w:szCs w:val="20"/>
                <w:lang w:eastAsia="es-MX"/>
              </w:rPr>
              <w:t>distinguen</w:t>
            </w:r>
            <w:r w:rsidR="00217A22">
              <w:rPr>
                <w:rFonts w:ascii="ITC Avant Garde" w:eastAsia="Times New Roman" w:hAnsi="ITC Avant Garde"/>
                <w:color w:val="000000"/>
                <w:sz w:val="20"/>
                <w:szCs w:val="20"/>
                <w:lang w:eastAsia="es-MX"/>
              </w:rPr>
              <w:t>, al menos,</w:t>
            </w:r>
            <w:r>
              <w:rPr>
                <w:rFonts w:ascii="ITC Avant Garde" w:eastAsia="Times New Roman" w:hAnsi="ITC Avant Garde"/>
                <w:color w:val="000000"/>
                <w:sz w:val="20"/>
                <w:szCs w:val="20"/>
                <w:lang w:eastAsia="es-MX"/>
              </w:rPr>
              <w:t xml:space="preserve"> las siguientes</w:t>
            </w:r>
            <w:r w:rsidRPr="004F0CF7">
              <w:rPr>
                <w:rFonts w:ascii="ITC Avant Garde" w:eastAsia="Times New Roman" w:hAnsi="ITC Avant Garde"/>
                <w:color w:val="000000"/>
                <w:sz w:val="20"/>
                <w:szCs w:val="20"/>
                <w:lang w:eastAsia="es-MX"/>
              </w:rPr>
              <w:t xml:space="preserve"> </w:t>
            </w:r>
            <w:r w:rsidR="005B7378">
              <w:rPr>
                <w:rFonts w:ascii="ITC Avant Garde" w:eastAsia="Times New Roman" w:hAnsi="ITC Avant Garde"/>
                <w:color w:val="000000"/>
                <w:sz w:val="20"/>
                <w:szCs w:val="20"/>
                <w:lang w:eastAsia="es-MX"/>
              </w:rPr>
              <w:t>10</w:t>
            </w:r>
            <w:r w:rsidR="004F0CF7" w:rsidRPr="004F0CF7">
              <w:rPr>
                <w:rFonts w:ascii="ITC Avant Garde" w:eastAsia="Times New Roman" w:hAnsi="ITC Avant Garde"/>
                <w:color w:val="000000"/>
                <w:sz w:val="20"/>
                <w:szCs w:val="20"/>
                <w:lang w:eastAsia="es-MX"/>
              </w:rPr>
              <w:t xml:space="preserve"> dimensiones principales de</w:t>
            </w:r>
            <w:r w:rsidR="005B7378">
              <w:rPr>
                <w:rFonts w:ascii="ITC Avant Garde" w:eastAsia="Times New Roman" w:hAnsi="ITC Avant Garde"/>
                <w:color w:val="000000"/>
                <w:sz w:val="20"/>
                <w:szCs w:val="20"/>
                <w:lang w:eastAsia="es-MX"/>
              </w:rPr>
              <w:t xml:space="preserve"> </w:t>
            </w:r>
            <w:r w:rsidR="004F0CF7" w:rsidRPr="004F0CF7">
              <w:rPr>
                <w:rFonts w:ascii="ITC Avant Garde" w:eastAsia="Times New Roman" w:hAnsi="ITC Avant Garde"/>
                <w:color w:val="000000"/>
                <w:sz w:val="20"/>
                <w:szCs w:val="20"/>
                <w:lang w:eastAsia="es-MX"/>
              </w:rPr>
              <w:t>l</w:t>
            </w:r>
            <w:r w:rsidR="005B7378">
              <w:rPr>
                <w:rFonts w:ascii="ITC Avant Garde" w:eastAsia="Times New Roman" w:hAnsi="ITC Avant Garde"/>
                <w:color w:val="000000"/>
                <w:sz w:val="20"/>
                <w:szCs w:val="20"/>
                <w:lang w:eastAsia="es-MX"/>
              </w:rPr>
              <w:t>as</w:t>
            </w:r>
            <w:r w:rsidR="004F0CF7" w:rsidRPr="004F0CF7">
              <w:rPr>
                <w:rFonts w:ascii="ITC Avant Garde" w:eastAsia="Times New Roman" w:hAnsi="ITC Avant Garde"/>
                <w:color w:val="000000"/>
                <w:sz w:val="20"/>
                <w:szCs w:val="20"/>
                <w:lang w:eastAsia="es-MX"/>
              </w:rPr>
              <w:t xml:space="preserve"> </w:t>
            </w:r>
            <w:r w:rsidR="005B7378">
              <w:rPr>
                <w:rFonts w:ascii="ITC Avant Garde" w:eastAsia="Times New Roman" w:hAnsi="ITC Avant Garde"/>
                <w:color w:val="000000"/>
                <w:sz w:val="20"/>
                <w:szCs w:val="20"/>
                <w:lang w:eastAsia="es-MX"/>
              </w:rPr>
              <w:t>pruebas de replicabilidad económica</w:t>
            </w:r>
            <w:r w:rsidR="004F0CF7" w:rsidRPr="004F0CF7">
              <w:rPr>
                <w:rFonts w:ascii="ITC Avant Garde" w:eastAsia="Times New Roman" w:hAnsi="ITC Avant Garde"/>
                <w:color w:val="000000"/>
                <w:sz w:val="20"/>
                <w:szCs w:val="20"/>
                <w:lang w:eastAsia="es-MX"/>
              </w:rPr>
              <w:t xml:space="preserve">: </w:t>
            </w:r>
          </w:p>
          <w:p w14:paraId="716C8083"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Momento de aplicación</w:t>
            </w:r>
          </w:p>
          <w:p w14:paraId="6A8B1474"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Eficiencia</w:t>
            </w:r>
          </w:p>
          <w:p w14:paraId="749C9183"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Estándar de costos</w:t>
            </w:r>
          </w:p>
          <w:p w14:paraId="35873398"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Nivel de agregación</w:t>
            </w:r>
          </w:p>
          <w:p w14:paraId="1ED3225E"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Tratamiento del segmento empresarial</w:t>
            </w:r>
          </w:p>
          <w:p w14:paraId="24DA22F4"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Servicios mayoristas a considerar</w:t>
            </w:r>
          </w:p>
          <w:p w14:paraId="5F7BA3F6"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Precio de los insumos mayoristas</w:t>
            </w:r>
          </w:p>
          <w:p w14:paraId="254DEC7C"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Tratamiento de las promociones</w:t>
            </w:r>
          </w:p>
          <w:p w14:paraId="39761BE7" w14:textId="77777777" w:rsidR="00F14403" w:rsidRPr="00F13080" w:rsidRDefault="00F14403" w:rsidP="00F13080">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3080">
              <w:rPr>
                <w:rFonts w:ascii="ITC Avant Garde" w:eastAsia="Times New Roman" w:hAnsi="ITC Avant Garde"/>
                <w:color w:val="000000"/>
                <w:sz w:val="20"/>
                <w:szCs w:val="20"/>
                <w:lang w:eastAsia="es-MX"/>
              </w:rPr>
              <w:t>Evaluación de la rentabilidad</w:t>
            </w:r>
          </w:p>
          <w:p w14:paraId="7C1E61A8" w14:textId="34312B59" w:rsidR="00F14403" w:rsidRDefault="00F14403" w:rsidP="000A112D">
            <w:pPr>
              <w:pStyle w:val="Prrafodelista"/>
              <w:numPr>
                <w:ilvl w:val="0"/>
                <w:numId w:val="41"/>
              </w:numPr>
              <w:spacing w:after="120" w:line="240" w:lineRule="auto"/>
              <w:ind w:right="309"/>
              <w:jc w:val="both"/>
              <w:rPr>
                <w:rFonts w:ascii="ITC Avant Garde" w:eastAsia="Times New Roman" w:hAnsi="ITC Avant Garde"/>
                <w:color w:val="000000"/>
                <w:sz w:val="20"/>
                <w:szCs w:val="20"/>
                <w:lang w:eastAsia="es-MX"/>
              </w:rPr>
            </w:pPr>
            <w:r w:rsidRPr="00F14403">
              <w:rPr>
                <w:rFonts w:ascii="ITC Avant Garde" w:eastAsia="Times New Roman" w:hAnsi="ITC Avant Garde"/>
                <w:color w:val="000000"/>
                <w:sz w:val="20"/>
                <w:szCs w:val="20"/>
                <w:lang w:eastAsia="es-MX"/>
              </w:rPr>
              <w:t>Tratamiento de las ofertas empaquetadas</w:t>
            </w:r>
          </w:p>
          <w:p w14:paraId="208165BD" w14:textId="6248A751" w:rsidR="000A112D" w:rsidRDefault="004F0CF7" w:rsidP="00F13080">
            <w:pPr>
              <w:jc w:val="both"/>
              <w:rPr>
                <w:rFonts w:ascii="ITC Avant Garde" w:eastAsia="Times New Roman" w:hAnsi="ITC Avant Garde"/>
                <w:color w:val="000000"/>
                <w:sz w:val="20"/>
                <w:szCs w:val="20"/>
                <w:lang w:eastAsia="es-MX"/>
              </w:rPr>
            </w:pPr>
            <w:r w:rsidRPr="004F0CF7">
              <w:rPr>
                <w:rFonts w:ascii="ITC Avant Garde" w:eastAsia="Times New Roman" w:hAnsi="ITC Avant Garde"/>
                <w:color w:val="000000"/>
                <w:sz w:val="20"/>
                <w:szCs w:val="20"/>
                <w:lang w:eastAsia="es-MX"/>
              </w:rPr>
              <w:t>Considerando lo anterior, se elaboró una</w:t>
            </w:r>
            <w:r w:rsidR="00F13080">
              <w:rPr>
                <w:rFonts w:ascii="ITC Avant Garde" w:eastAsia="Times New Roman" w:hAnsi="ITC Avant Garde"/>
                <w:color w:val="000000"/>
                <w:sz w:val="20"/>
                <w:szCs w:val="20"/>
                <w:lang w:eastAsia="es-MX"/>
              </w:rPr>
              <w:t xml:space="preserve"> serie de</w:t>
            </w:r>
            <w:r w:rsidRPr="004F0CF7">
              <w:rPr>
                <w:rFonts w:ascii="ITC Avant Garde" w:eastAsia="Times New Roman" w:hAnsi="ITC Avant Garde"/>
                <w:color w:val="000000"/>
                <w:sz w:val="20"/>
                <w:szCs w:val="20"/>
                <w:lang w:eastAsia="es-MX"/>
              </w:rPr>
              <w:t xml:space="preserve"> </w:t>
            </w:r>
            <w:r w:rsidR="00F13080">
              <w:rPr>
                <w:rFonts w:ascii="ITC Avant Garde" w:eastAsia="Times New Roman" w:hAnsi="ITC Avant Garde"/>
                <w:color w:val="000000"/>
                <w:sz w:val="20"/>
                <w:szCs w:val="20"/>
                <w:lang w:eastAsia="es-MX"/>
              </w:rPr>
              <w:t>propuestas de</w:t>
            </w:r>
            <w:r w:rsidRPr="004F0CF7">
              <w:rPr>
                <w:rFonts w:ascii="ITC Avant Garde" w:eastAsia="Times New Roman" w:hAnsi="ITC Avant Garde"/>
                <w:color w:val="000000"/>
                <w:sz w:val="20"/>
                <w:szCs w:val="20"/>
                <w:lang w:eastAsia="es-MX"/>
              </w:rPr>
              <w:t xml:space="preserve"> </w:t>
            </w:r>
            <w:r w:rsidR="00F14403">
              <w:rPr>
                <w:rFonts w:ascii="ITC Avant Garde" w:eastAsia="Times New Roman" w:hAnsi="ITC Avant Garde"/>
                <w:color w:val="000000"/>
                <w:sz w:val="20"/>
                <w:szCs w:val="20"/>
                <w:lang w:eastAsia="es-MX"/>
              </w:rPr>
              <w:t>actualizaciones para la metodología de replicabilidad económica</w:t>
            </w:r>
            <w:r w:rsidR="0067625F">
              <w:rPr>
                <w:rFonts w:ascii="ITC Avant Garde" w:eastAsia="Times New Roman" w:hAnsi="ITC Avant Garde"/>
                <w:color w:val="000000"/>
                <w:sz w:val="20"/>
                <w:szCs w:val="20"/>
                <w:lang w:eastAsia="es-MX"/>
              </w:rPr>
              <w:t>,</w:t>
            </w:r>
            <w:r w:rsidRPr="004F0CF7">
              <w:rPr>
                <w:rFonts w:ascii="ITC Avant Garde" w:eastAsia="Times New Roman" w:hAnsi="ITC Avant Garde"/>
                <w:color w:val="000000"/>
                <w:sz w:val="20"/>
                <w:szCs w:val="20"/>
                <w:lang w:eastAsia="es-MX"/>
              </w:rPr>
              <w:t xml:space="preserve"> l</w:t>
            </w:r>
            <w:r w:rsidR="00F14403">
              <w:rPr>
                <w:rFonts w:ascii="ITC Avant Garde" w:eastAsia="Times New Roman" w:hAnsi="ITC Avant Garde"/>
                <w:color w:val="000000"/>
                <w:sz w:val="20"/>
                <w:szCs w:val="20"/>
                <w:lang w:eastAsia="es-MX"/>
              </w:rPr>
              <w:t>a</w:t>
            </w:r>
            <w:r w:rsidRPr="004F0CF7">
              <w:rPr>
                <w:rFonts w:ascii="ITC Avant Garde" w:eastAsia="Times New Roman" w:hAnsi="ITC Avant Garde"/>
                <w:color w:val="000000"/>
                <w:sz w:val="20"/>
                <w:szCs w:val="20"/>
                <w:lang w:eastAsia="es-MX"/>
              </w:rPr>
              <w:t>s cuales se encuentran reflejad</w:t>
            </w:r>
            <w:r w:rsidR="009C5A1F">
              <w:rPr>
                <w:rFonts w:ascii="ITC Avant Garde" w:eastAsia="Times New Roman" w:hAnsi="ITC Avant Garde"/>
                <w:color w:val="000000"/>
                <w:sz w:val="20"/>
                <w:szCs w:val="20"/>
                <w:lang w:eastAsia="es-MX"/>
              </w:rPr>
              <w:t>a</w:t>
            </w:r>
            <w:r w:rsidRPr="004F0CF7">
              <w:rPr>
                <w:rFonts w:ascii="ITC Avant Garde" w:eastAsia="Times New Roman" w:hAnsi="ITC Avant Garde"/>
                <w:color w:val="000000"/>
                <w:sz w:val="20"/>
                <w:szCs w:val="20"/>
                <w:lang w:eastAsia="es-MX"/>
              </w:rPr>
              <w:t>s en el documento</w:t>
            </w:r>
            <w:r w:rsidR="0043365D">
              <w:rPr>
                <w:rFonts w:ascii="ITC Avant Garde" w:eastAsia="Times New Roman" w:hAnsi="ITC Avant Garde"/>
                <w:color w:val="000000"/>
                <w:sz w:val="20"/>
                <w:szCs w:val="20"/>
                <w:lang w:eastAsia="es-MX"/>
              </w:rPr>
              <w:t xml:space="preserve"> de</w:t>
            </w:r>
            <w:r w:rsidRPr="004F0CF7">
              <w:rPr>
                <w:rFonts w:ascii="ITC Avant Garde" w:eastAsia="Times New Roman" w:hAnsi="ITC Avant Garde"/>
                <w:color w:val="000000"/>
                <w:sz w:val="20"/>
                <w:szCs w:val="20"/>
                <w:lang w:eastAsia="es-MX"/>
              </w:rPr>
              <w:t xml:space="preserve"> </w:t>
            </w:r>
            <w:r w:rsidR="0043365D">
              <w:rPr>
                <w:rFonts w:ascii="ITC Avant Garde" w:eastAsia="Times New Roman" w:hAnsi="ITC Avant Garde"/>
                <w:color w:val="000000"/>
                <w:sz w:val="20"/>
                <w:szCs w:val="20"/>
                <w:lang w:eastAsia="es-MX"/>
              </w:rPr>
              <w:t>E</w:t>
            </w:r>
            <w:r w:rsidRPr="004F0CF7">
              <w:rPr>
                <w:rFonts w:ascii="ITC Avant Garde" w:eastAsia="Times New Roman" w:hAnsi="ITC Avant Garde"/>
                <w:color w:val="000000"/>
                <w:sz w:val="20"/>
                <w:szCs w:val="20"/>
                <w:lang w:eastAsia="es-MX"/>
              </w:rPr>
              <w:t>xcel anexo “</w:t>
            </w:r>
            <w:r w:rsidR="00F14403">
              <w:rPr>
                <w:rFonts w:ascii="ITC Avant Garde" w:eastAsia="Times New Roman" w:hAnsi="ITC Avant Garde"/>
                <w:b/>
                <w:bCs/>
                <w:color w:val="000000"/>
                <w:sz w:val="20"/>
                <w:szCs w:val="20"/>
                <w:lang w:eastAsia="es-MX"/>
              </w:rPr>
              <w:t>Propuesta de Actualización</w:t>
            </w:r>
            <w:r w:rsidRPr="004F0CF7">
              <w:rPr>
                <w:rFonts w:ascii="ITC Avant Garde" w:eastAsia="Times New Roman" w:hAnsi="ITC Avant Garde"/>
                <w:color w:val="000000"/>
                <w:sz w:val="20"/>
                <w:szCs w:val="20"/>
                <w:lang w:eastAsia="es-MX"/>
              </w:rPr>
              <w:t>”.</w:t>
            </w:r>
            <w:r w:rsidR="0067625F">
              <w:rPr>
                <w:rFonts w:ascii="ITC Avant Garde" w:eastAsia="Times New Roman" w:hAnsi="ITC Avant Garde"/>
                <w:color w:val="000000"/>
                <w:sz w:val="20"/>
                <w:szCs w:val="20"/>
                <w:lang w:eastAsia="es-MX"/>
              </w:rPr>
              <w:t xml:space="preserve"> </w:t>
            </w:r>
            <w:r w:rsidR="00F13080">
              <w:rPr>
                <w:rFonts w:ascii="ITC Avant Garde" w:eastAsia="Times New Roman" w:hAnsi="ITC Avant Garde"/>
                <w:color w:val="000000"/>
                <w:sz w:val="20"/>
                <w:szCs w:val="20"/>
                <w:lang w:eastAsia="es-MX"/>
              </w:rPr>
              <w:t>Las propuestas</w:t>
            </w:r>
            <w:r w:rsidR="000A112D" w:rsidRPr="000A112D">
              <w:rPr>
                <w:rFonts w:ascii="ITC Avant Garde" w:eastAsia="Times New Roman" w:hAnsi="ITC Avant Garde"/>
                <w:color w:val="000000"/>
                <w:sz w:val="20"/>
                <w:szCs w:val="20"/>
                <w:lang w:eastAsia="es-MX"/>
              </w:rPr>
              <w:t xml:space="preserve"> busca</w:t>
            </w:r>
            <w:r w:rsidR="00F13080">
              <w:rPr>
                <w:rFonts w:ascii="ITC Avant Garde" w:eastAsia="Times New Roman" w:hAnsi="ITC Avant Garde"/>
                <w:color w:val="000000"/>
                <w:sz w:val="20"/>
                <w:szCs w:val="20"/>
                <w:lang w:eastAsia="es-MX"/>
              </w:rPr>
              <w:t>n</w:t>
            </w:r>
            <w:r w:rsidR="000A112D" w:rsidRPr="000A112D">
              <w:rPr>
                <w:rFonts w:ascii="ITC Avant Garde" w:eastAsia="Times New Roman" w:hAnsi="ITC Avant Garde"/>
                <w:color w:val="000000"/>
                <w:sz w:val="20"/>
                <w:szCs w:val="20"/>
                <w:lang w:eastAsia="es-MX"/>
              </w:rPr>
              <w:t xml:space="preserve"> facilitar a los participantes el análisis de posibles actualizaciones que puedan resulta</w:t>
            </w:r>
            <w:r w:rsidR="000A112D">
              <w:rPr>
                <w:rFonts w:ascii="ITC Avant Garde" w:eastAsia="Times New Roman" w:hAnsi="ITC Avant Garde"/>
                <w:color w:val="000000"/>
                <w:sz w:val="20"/>
                <w:szCs w:val="20"/>
                <w:lang w:eastAsia="es-MX"/>
              </w:rPr>
              <w:t>r</w:t>
            </w:r>
            <w:r w:rsidR="000A112D" w:rsidRPr="000A112D">
              <w:rPr>
                <w:rFonts w:ascii="ITC Avant Garde" w:eastAsia="Times New Roman" w:hAnsi="ITC Avant Garde"/>
                <w:color w:val="000000"/>
                <w:sz w:val="20"/>
                <w:szCs w:val="20"/>
                <w:lang w:eastAsia="es-MX"/>
              </w:rPr>
              <w:t xml:space="preserve"> de utilidad para favorecer </w:t>
            </w:r>
            <w:r w:rsidR="00F13080">
              <w:rPr>
                <w:rFonts w:ascii="ITC Avant Garde" w:eastAsia="Times New Roman" w:hAnsi="ITC Avant Garde"/>
                <w:color w:val="000000"/>
                <w:sz w:val="20"/>
                <w:szCs w:val="20"/>
                <w:lang w:eastAsia="es-MX"/>
              </w:rPr>
              <w:t xml:space="preserve">la consecución de los objetivos regulatorios en </w:t>
            </w:r>
            <w:r w:rsidR="000A112D" w:rsidRPr="000A112D">
              <w:rPr>
                <w:rFonts w:ascii="ITC Avant Garde" w:eastAsia="Times New Roman" w:hAnsi="ITC Avant Garde"/>
                <w:color w:val="000000"/>
                <w:sz w:val="20"/>
                <w:szCs w:val="20"/>
                <w:lang w:eastAsia="es-MX"/>
              </w:rPr>
              <w:t>la implementación de la</w:t>
            </w:r>
            <w:r w:rsidR="00F13080">
              <w:rPr>
                <w:rFonts w:ascii="ITC Avant Garde" w:eastAsia="Times New Roman" w:hAnsi="ITC Avant Garde"/>
                <w:color w:val="000000"/>
                <w:sz w:val="20"/>
                <w:szCs w:val="20"/>
                <w:lang w:eastAsia="es-MX"/>
              </w:rPr>
              <w:t>s</w:t>
            </w:r>
            <w:r w:rsidR="000A112D" w:rsidRPr="000A112D">
              <w:rPr>
                <w:rFonts w:ascii="ITC Avant Garde" w:eastAsia="Times New Roman" w:hAnsi="ITC Avant Garde"/>
                <w:color w:val="000000"/>
                <w:sz w:val="20"/>
                <w:szCs w:val="20"/>
                <w:lang w:eastAsia="es-MX"/>
              </w:rPr>
              <w:t xml:space="preserve"> prueba</w:t>
            </w:r>
            <w:r w:rsidR="00F13080">
              <w:rPr>
                <w:rFonts w:ascii="ITC Avant Garde" w:eastAsia="Times New Roman" w:hAnsi="ITC Avant Garde"/>
                <w:color w:val="000000"/>
                <w:sz w:val="20"/>
                <w:szCs w:val="20"/>
                <w:lang w:eastAsia="es-MX"/>
              </w:rPr>
              <w:t>s</w:t>
            </w:r>
            <w:r w:rsidR="000A112D" w:rsidRPr="000A112D">
              <w:rPr>
                <w:rFonts w:ascii="ITC Avant Garde" w:eastAsia="Times New Roman" w:hAnsi="ITC Avant Garde"/>
                <w:color w:val="000000"/>
                <w:sz w:val="20"/>
                <w:szCs w:val="20"/>
                <w:lang w:eastAsia="es-MX"/>
              </w:rPr>
              <w:t xml:space="preserve"> de replicabilidad económica, así como obtener retroalimentación específica de aquellos elementos de las pruebas de replicabilidad económica que </w:t>
            </w:r>
            <w:r w:rsidR="000A112D">
              <w:rPr>
                <w:rFonts w:ascii="ITC Avant Garde" w:eastAsia="Times New Roman" w:hAnsi="ITC Avant Garde"/>
                <w:color w:val="000000"/>
                <w:sz w:val="20"/>
                <w:szCs w:val="20"/>
                <w:lang w:eastAsia="es-MX"/>
              </w:rPr>
              <w:t xml:space="preserve">pudieran </w:t>
            </w:r>
            <w:r w:rsidR="00F13080">
              <w:rPr>
                <w:rFonts w:ascii="ITC Avant Garde" w:eastAsia="Times New Roman" w:hAnsi="ITC Avant Garde"/>
                <w:color w:val="000000"/>
                <w:sz w:val="20"/>
                <w:szCs w:val="20"/>
                <w:lang w:eastAsia="es-MX"/>
              </w:rPr>
              <w:t>adecuarse</w:t>
            </w:r>
            <w:r w:rsidR="000A112D" w:rsidRPr="000A112D">
              <w:rPr>
                <w:rFonts w:ascii="ITC Avant Garde" w:eastAsia="Times New Roman" w:hAnsi="ITC Avant Garde"/>
                <w:color w:val="000000"/>
                <w:sz w:val="20"/>
                <w:szCs w:val="20"/>
                <w:lang w:eastAsia="es-MX"/>
              </w:rPr>
              <w:t xml:space="preserve"> para </w:t>
            </w:r>
            <w:r w:rsidR="00C91CE4">
              <w:rPr>
                <w:rFonts w:ascii="ITC Avant Garde" w:eastAsia="Times New Roman" w:hAnsi="ITC Avant Garde"/>
                <w:color w:val="000000"/>
                <w:sz w:val="20"/>
                <w:szCs w:val="20"/>
                <w:lang w:eastAsia="es-MX"/>
              </w:rPr>
              <w:t>prevenir</w:t>
            </w:r>
            <w:r w:rsidR="000A112D" w:rsidRPr="000A112D">
              <w:rPr>
                <w:rFonts w:ascii="ITC Avant Garde" w:eastAsia="Times New Roman" w:hAnsi="ITC Avant Garde"/>
                <w:color w:val="000000"/>
                <w:sz w:val="20"/>
                <w:szCs w:val="20"/>
                <w:lang w:eastAsia="es-MX"/>
              </w:rPr>
              <w:t xml:space="preserve"> estrechamiento de márgenes.</w:t>
            </w:r>
            <w:r w:rsidR="004D3BE2">
              <w:rPr>
                <w:rFonts w:ascii="ITC Avant Garde" w:eastAsia="Times New Roman" w:hAnsi="ITC Avant Garde"/>
                <w:color w:val="000000"/>
                <w:sz w:val="20"/>
                <w:szCs w:val="20"/>
                <w:lang w:eastAsia="es-MX"/>
              </w:rPr>
              <w:t xml:space="preserve"> </w:t>
            </w:r>
          </w:p>
          <w:p w14:paraId="3F360285" w14:textId="157B6BEA" w:rsidR="00F13080" w:rsidRDefault="00BA7FC7" w:rsidP="004D3BE2">
            <w:pPr>
              <w:spacing w:before="240" w:after="12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Debe resaltarse que la</w:t>
            </w:r>
            <w:r w:rsidR="00F13080">
              <w:rPr>
                <w:rFonts w:ascii="ITC Avant Garde" w:eastAsia="Times New Roman" w:hAnsi="ITC Avant Garde"/>
                <w:color w:val="000000"/>
                <w:sz w:val="20"/>
                <w:szCs w:val="20"/>
                <w:lang w:eastAsia="es-MX"/>
              </w:rPr>
              <w:t xml:space="preserve">s </w:t>
            </w:r>
            <w:r w:rsidR="00A95ED3">
              <w:rPr>
                <w:rFonts w:ascii="ITC Avant Garde" w:eastAsia="Times New Roman" w:hAnsi="ITC Avant Garde"/>
                <w:color w:val="000000"/>
                <w:sz w:val="20"/>
                <w:szCs w:val="20"/>
                <w:lang w:eastAsia="es-MX"/>
              </w:rPr>
              <w:t xml:space="preserve">propuestas de actualización </w:t>
            </w:r>
            <w:r>
              <w:rPr>
                <w:rFonts w:ascii="ITC Avant Garde" w:eastAsia="Times New Roman" w:hAnsi="ITC Avant Garde"/>
                <w:color w:val="000000"/>
                <w:sz w:val="20"/>
                <w:szCs w:val="20"/>
                <w:lang w:eastAsia="es-MX"/>
              </w:rPr>
              <w:t xml:space="preserve">visibles en </w:t>
            </w:r>
            <w:r w:rsidR="00A95ED3">
              <w:rPr>
                <w:rFonts w:ascii="ITC Avant Garde" w:eastAsia="Times New Roman" w:hAnsi="ITC Avant Garde"/>
                <w:color w:val="000000"/>
                <w:sz w:val="20"/>
                <w:szCs w:val="20"/>
                <w:lang w:eastAsia="es-MX"/>
              </w:rPr>
              <w:t xml:space="preserve">el archivo Excel anteriormente referido corresponden </w:t>
            </w:r>
            <w:r>
              <w:rPr>
                <w:rFonts w:ascii="ITC Avant Garde" w:eastAsia="Times New Roman" w:hAnsi="ITC Avant Garde"/>
                <w:color w:val="000000"/>
                <w:sz w:val="20"/>
                <w:szCs w:val="20"/>
                <w:lang w:eastAsia="es-MX"/>
              </w:rPr>
              <w:t xml:space="preserve">meramente </w:t>
            </w:r>
            <w:r w:rsidR="00A95ED3">
              <w:rPr>
                <w:rFonts w:ascii="ITC Avant Garde" w:eastAsia="Times New Roman" w:hAnsi="ITC Avant Garde"/>
                <w:color w:val="000000"/>
                <w:sz w:val="20"/>
                <w:szCs w:val="20"/>
                <w:lang w:eastAsia="es-MX"/>
              </w:rPr>
              <w:t xml:space="preserve">a </w:t>
            </w:r>
            <w:r w:rsidR="00CD0188">
              <w:rPr>
                <w:rFonts w:ascii="ITC Avant Garde" w:eastAsia="Times New Roman" w:hAnsi="ITC Avant Garde"/>
                <w:color w:val="000000"/>
                <w:sz w:val="20"/>
                <w:szCs w:val="20"/>
                <w:lang w:eastAsia="es-MX"/>
              </w:rPr>
              <w:t>consideraci</w:t>
            </w:r>
            <w:r w:rsidR="00A95ED3">
              <w:rPr>
                <w:rFonts w:ascii="ITC Avant Garde" w:eastAsia="Times New Roman" w:hAnsi="ITC Avant Garde"/>
                <w:color w:val="000000"/>
                <w:sz w:val="20"/>
                <w:szCs w:val="20"/>
                <w:lang w:eastAsia="es-MX"/>
              </w:rPr>
              <w:t>o</w:t>
            </w:r>
            <w:r w:rsidR="00CD0188">
              <w:rPr>
                <w:rFonts w:ascii="ITC Avant Garde" w:eastAsia="Times New Roman" w:hAnsi="ITC Avant Garde"/>
                <w:color w:val="000000"/>
                <w:sz w:val="20"/>
                <w:szCs w:val="20"/>
                <w:lang w:eastAsia="es-MX"/>
              </w:rPr>
              <w:t>n</w:t>
            </w:r>
            <w:r w:rsidR="00A95ED3">
              <w:rPr>
                <w:rFonts w:ascii="ITC Avant Garde" w:eastAsia="Times New Roman" w:hAnsi="ITC Avant Garde"/>
                <w:color w:val="000000"/>
                <w:sz w:val="20"/>
                <w:szCs w:val="20"/>
                <w:lang w:eastAsia="es-MX"/>
              </w:rPr>
              <w:t>es</w:t>
            </w:r>
            <w:r>
              <w:rPr>
                <w:rFonts w:ascii="ITC Avant Garde" w:eastAsia="Times New Roman" w:hAnsi="ITC Avant Garde"/>
                <w:color w:val="000000"/>
                <w:sz w:val="20"/>
                <w:szCs w:val="20"/>
                <w:lang w:eastAsia="es-MX"/>
              </w:rPr>
              <w:t xml:space="preserve"> de las distintas posibilidades de </w:t>
            </w:r>
            <w:r w:rsidR="00A95ED3">
              <w:rPr>
                <w:rFonts w:ascii="ITC Avant Garde" w:eastAsia="Times New Roman" w:hAnsi="ITC Avant Garde"/>
                <w:color w:val="000000"/>
                <w:sz w:val="20"/>
                <w:szCs w:val="20"/>
                <w:lang w:eastAsia="es-MX"/>
              </w:rPr>
              <w:t>elementos a actualizar</w:t>
            </w:r>
            <w:r>
              <w:rPr>
                <w:rFonts w:ascii="ITC Avant Garde" w:eastAsia="Times New Roman" w:hAnsi="ITC Avant Garde"/>
                <w:color w:val="000000"/>
                <w:sz w:val="20"/>
                <w:szCs w:val="20"/>
                <w:lang w:eastAsia="es-MX"/>
              </w:rPr>
              <w:t>, sin que ello signifique que el Instituto se encuentr</w:t>
            </w:r>
            <w:r w:rsidR="00CD0188">
              <w:rPr>
                <w:rFonts w:ascii="ITC Avant Garde" w:eastAsia="Times New Roman" w:hAnsi="ITC Avant Garde"/>
                <w:color w:val="000000"/>
                <w:sz w:val="20"/>
                <w:szCs w:val="20"/>
                <w:lang w:eastAsia="es-MX"/>
              </w:rPr>
              <w:t xml:space="preserve">e </w:t>
            </w:r>
            <w:r w:rsidR="00F13080">
              <w:rPr>
                <w:rFonts w:ascii="ITC Avant Garde" w:eastAsia="Times New Roman" w:hAnsi="ITC Avant Garde"/>
                <w:color w:val="000000"/>
                <w:sz w:val="20"/>
                <w:szCs w:val="20"/>
                <w:lang w:eastAsia="es-MX"/>
              </w:rPr>
              <w:t>limitado a realizar las adecuaciones que resulten necesari</w:t>
            </w:r>
            <w:r w:rsidR="00C91CE4">
              <w:rPr>
                <w:rFonts w:ascii="ITC Avant Garde" w:eastAsia="Times New Roman" w:hAnsi="ITC Avant Garde"/>
                <w:color w:val="000000"/>
                <w:sz w:val="20"/>
                <w:szCs w:val="20"/>
                <w:lang w:eastAsia="es-MX"/>
              </w:rPr>
              <w:t>a</w:t>
            </w:r>
            <w:r w:rsidR="00F13080">
              <w:rPr>
                <w:rFonts w:ascii="ITC Avant Garde" w:eastAsia="Times New Roman" w:hAnsi="ITC Avant Garde"/>
                <w:color w:val="000000"/>
                <w:sz w:val="20"/>
                <w:szCs w:val="20"/>
                <w:lang w:eastAsia="es-MX"/>
              </w:rPr>
              <w:t>s en las metodologías, términos y condiciones para llevar a cabo la prueba de replicabilidad económica</w:t>
            </w:r>
            <w:r>
              <w:rPr>
                <w:rFonts w:ascii="ITC Avant Garde" w:eastAsia="Times New Roman" w:hAnsi="ITC Avant Garde"/>
                <w:color w:val="000000"/>
                <w:sz w:val="20"/>
                <w:szCs w:val="20"/>
                <w:lang w:eastAsia="es-MX"/>
              </w:rPr>
              <w:t>.</w:t>
            </w:r>
            <w:r w:rsidR="00E7534A">
              <w:rPr>
                <w:rFonts w:ascii="ITC Avant Garde" w:eastAsia="Times New Roman" w:hAnsi="ITC Avant Garde"/>
                <w:color w:val="000000"/>
                <w:sz w:val="20"/>
                <w:szCs w:val="20"/>
                <w:lang w:eastAsia="es-MX"/>
              </w:rPr>
              <w:t xml:space="preserve"> </w:t>
            </w:r>
          </w:p>
          <w:p w14:paraId="256E8BB9" w14:textId="18D2AE10" w:rsidR="00E4524F" w:rsidRDefault="007F4DB5" w:rsidP="007F4DB5">
            <w:p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Por </w:t>
            </w:r>
            <w:r w:rsidR="00F13080">
              <w:rPr>
                <w:rFonts w:ascii="ITC Avant Garde" w:eastAsia="Times New Roman" w:hAnsi="ITC Avant Garde"/>
                <w:color w:val="000000"/>
                <w:sz w:val="20"/>
                <w:szCs w:val="20"/>
                <w:lang w:eastAsia="es-MX"/>
              </w:rPr>
              <w:t>lo anterior</w:t>
            </w:r>
            <w:r>
              <w:rPr>
                <w:rFonts w:ascii="ITC Avant Garde" w:eastAsia="Times New Roman" w:hAnsi="ITC Avant Garde"/>
                <w:color w:val="000000"/>
                <w:sz w:val="20"/>
                <w:szCs w:val="20"/>
                <w:lang w:eastAsia="es-MX"/>
              </w:rPr>
              <w:t xml:space="preserve">, </w:t>
            </w:r>
            <w:r w:rsidR="004F0CF7" w:rsidRPr="007473C3">
              <w:rPr>
                <w:rFonts w:ascii="ITC Avant Garde" w:eastAsia="Times New Roman" w:hAnsi="ITC Avant Garde"/>
                <w:b/>
                <w:bCs/>
                <w:color w:val="000000"/>
                <w:sz w:val="20"/>
                <w:szCs w:val="20"/>
                <w:lang w:eastAsia="es-MX"/>
              </w:rPr>
              <w:t>se solicita a</w:t>
            </w:r>
            <w:r w:rsidR="004D3BE2">
              <w:rPr>
                <w:rFonts w:ascii="ITC Avant Garde" w:eastAsia="Times New Roman" w:hAnsi="ITC Avant Garde"/>
                <w:b/>
                <w:bCs/>
                <w:color w:val="000000"/>
                <w:sz w:val="20"/>
                <w:szCs w:val="20"/>
                <w:lang w:eastAsia="es-MX"/>
              </w:rPr>
              <w:t xml:space="preserve"> </w:t>
            </w:r>
            <w:r w:rsidR="004F0CF7" w:rsidRPr="007473C3">
              <w:rPr>
                <w:rFonts w:ascii="ITC Avant Garde" w:eastAsia="Times New Roman" w:hAnsi="ITC Avant Garde"/>
                <w:b/>
                <w:bCs/>
                <w:color w:val="000000"/>
                <w:sz w:val="20"/>
                <w:szCs w:val="20"/>
                <w:lang w:eastAsia="es-MX"/>
              </w:rPr>
              <w:t>l</w:t>
            </w:r>
            <w:r w:rsidR="004D3BE2">
              <w:rPr>
                <w:rFonts w:ascii="ITC Avant Garde" w:eastAsia="Times New Roman" w:hAnsi="ITC Avant Garde"/>
                <w:b/>
                <w:bCs/>
                <w:color w:val="000000"/>
                <w:sz w:val="20"/>
                <w:szCs w:val="20"/>
                <w:lang w:eastAsia="es-MX"/>
              </w:rPr>
              <w:t>as personas interesadas en participar</w:t>
            </w:r>
            <w:r w:rsidR="00E4524F">
              <w:rPr>
                <w:rFonts w:ascii="ITC Avant Garde" w:eastAsia="Times New Roman" w:hAnsi="ITC Avant Garde"/>
                <w:color w:val="000000"/>
                <w:sz w:val="20"/>
                <w:szCs w:val="20"/>
                <w:lang w:eastAsia="es-MX"/>
              </w:rPr>
              <w:t>:</w:t>
            </w:r>
          </w:p>
          <w:p w14:paraId="2ABEAE99" w14:textId="537E6170" w:rsidR="004F0CF7" w:rsidRDefault="00E4524F" w:rsidP="00584CB6">
            <w:pPr>
              <w:pStyle w:val="Prrafodelista"/>
              <w:numPr>
                <w:ilvl w:val="0"/>
                <w:numId w:val="41"/>
              </w:num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u w:val="single"/>
                <w:lang w:eastAsia="es-MX"/>
              </w:rPr>
              <w:t>R</w:t>
            </w:r>
            <w:r w:rsidR="004F0CF7" w:rsidRPr="007473C3">
              <w:rPr>
                <w:rFonts w:ascii="ITC Avant Garde" w:eastAsia="Times New Roman" w:hAnsi="ITC Avant Garde"/>
                <w:color w:val="000000"/>
                <w:sz w:val="20"/>
                <w:szCs w:val="20"/>
                <w:u w:val="single"/>
                <w:lang w:eastAsia="es-MX"/>
              </w:rPr>
              <w:t>ealizar las aportaciones</w:t>
            </w:r>
            <w:r w:rsidR="004775AE" w:rsidRPr="007473C3">
              <w:rPr>
                <w:rFonts w:ascii="ITC Avant Garde" w:eastAsia="Times New Roman" w:hAnsi="ITC Avant Garde"/>
                <w:color w:val="000000"/>
                <w:sz w:val="20"/>
                <w:szCs w:val="20"/>
                <w:u w:val="single"/>
                <w:lang w:eastAsia="es-MX"/>
              </w:rPr>
              <w:t>,</w:t>
            </w:r>
            <w:r w:rsidR="004F0CF7" w:rsidRPr="007473C3">
              <w:rPr>
                <w:rFonts w:ascii="ITC Avant Garde" w:eastAsia="Times New Roman" w:hAnsi="ITC Avant Garde"/>
                <w:color w:val="000000"/>
                <w:sz w:val="20"/>
                <w:szCs w:val="20"/>
                <w:u w:val="single"/>
                <w:lang w:eastAsia="es-MX"/>
              </w:rPr>
              <w:t xml:space="preserve"> comentarios</w:t>
            </w:r>
            <w:r w:rsidR="004775AE" w:rsidRPr="007473C3">
              <w:rPr>
                <w:rFonts w:ascii="ITC Avant Garde" w:eastAsia="Times New Roman" w:hAnsi="ITC Avant Garde"/>
                <w:color w:val="000000"/>
                <w:sz w:val="20"/>
                <w:szCs w:val="20"/>
                <w:u w:val="single"/>
                <w:lang w:eastAsia="es-MX"/>
              </w:rPr>
              <w:t xml:space="preserve"> y </w:t>
            </w:r>
            <w:r w:rsidR="004F0CF7" w:rsidRPr="007473C3">
              <w:rPr>
                <w:rFonts w:ascii="ITC Avant Garde" w:eastAsia="Times New Roman" w:hAnsi="ITC Avant Garde"/>
                <w:color w:val="000000"/>
                <w:sz w:val="20"/>
                <w:szCs w:val="20"/>
                <w:u w:val="single"/>
                <w:lang w:eastAsia="es-MX"/>
              </w:rPr>
              <w:t xml:space="preserve">justificaciones </w:t>
            </w:r>
            <w:r w:rsidR="004775AE" w:rsidRPr="007473C3">
              <w:rPr>
                <w:rFonts w:ascii="ITC Avant Garde" w:eastAsia="Times New Roman" w:hAnsi="ITC Avant Garde"/>
                <w:color w:val="000000"/>
                <w:sz w:val="20"/>
                <w:szCs w:val="20"/>
                <w:u w:val="single"/>
                <w:lang w:eastAsia="es-MX"/>
              </w:rPr>
              <w:t xml:space="preserve">que considere relevantes </w:t>
            </w:r>
            <w:r w:rsidR="004F0CF7" w:rsidRPr="007473C3">
              <w:rPr>
                <w:rFonts w:ascii="ITC Avant Garde" w:eastAsia="Times New Roman" w:hAnsi="ITC Avant Garde"/>
                <w:color w:val="000000"/>
                <w:sz w:val="20"/>
                <w:szCs w:val="20"/>
                <w:u w:val="single"/>
                <w:lang w:eastAsia="es-MX"/>
              </w:rPr>
              <w:t>para cada indicador</w:t>
            </w:r>
            <w:r w:rsidR="004F0CF7" w:rsidRPr="007473C3">
              <w:rPr>
                <w:rFonts w:ascii="ITC Avant Garde" w:eastAsia="Times New Roman" w:hAnsi="ITC Avant Garde"/>
                <w:color w:val="000000"/>
                <w:sz w:val="20"/>
                <w:szCs w:val="20"/>
                <w:lang w:eastAsia="es-MX"/>
              </w:rPr>
              <w:t xml:space="preserve"> en la</w:t>
            </w:r>
            <w:r w:rsidR="002B1AD7" w:rsidRPr="007473C3">
              <w:rPr>
                <w:rFonts w:ascii="ITC Avant Garde" w:eastAsia="Times New Roman" w:hAnsi="ITC Avant Garde"/>
                <w:color w:val="000000"/>
                <w:sz w:val="20"/>
                <w:szCs w:val="20"/>
                <w:lang w:eastAsia="es-MX"/>
              </w:rPr>
              <w:t>s</w:t>
            </w:r>
            <w:r w:rsidR="004F0CF7" w:rsidRPr="007473C3">
              <w:rPr>
                <w:rFonts w:ascii="ITC Avant Garde" w:eastAsia="Times New Roman" w:hAnsi="ITC Avant Garde"/>
                <w:color w:val="000000"/>
                <w:sz w:val="20"/>
                <w:szCs w:val="20"/>
                <w:lang w:eastAsia="es-MX"/>
              </w:rPr>
              <w:t xml:space="preserve"> columna</w:t>
            </w:r>
            <w:r w:rsidR="002B1AD7" w:rsidRPr="007473C3">
              <w:rPr>
                <w:rFonts w:ascii="ITC Avant Garde" w:eastAsia="Times New Roman" w:hAnsi="ITC Avant Garde"/>
                <w:color w:val="000000"/>
                <w:sz w:val="20"/>
                <w:szCs w:val="20"/>
                <w:lang w:eastAsia="es-MX"/>
              </w:rPr>
              <w:t>s</w:t>
            </w:r>
            <w:r w:rsidR="004F0CF7" w:rsidRPr="007473C3">
              <w:rPr>
                <w:rFonts w:ascii="ITC Avant Garde" w:eastAsia="Times New Roman" w:hAnsi="ITC Avant Garde"/>
                <w:color w:val="000000"/>
                <w:sz w:val="20"/>
                <w:szCs w:val="20"/>
                <w:lang w:eastAsia="es-MX"/>
              </w:rPr>
              <w:t xml:space="preserve"> de </w:t>
            </w:r>
            <w:r w:rsidR="00A95ED3">
              <w:rPr>
                <w:rFonts w:ascii="ITC Avant Garde" w:eastAsia="Times New Roman" w:hAnsi="ITC Avant Garde"/>
                <w:color w:val="000000"/>
                <w:sz w:val="20"/>
                <w:szCs w:val="20"/>
                <w:lang w:eastAsia="es-MX"/>
              </w:rPr>
              <w:t>“</w:t>
            </w:r>
            <w:r w:rsidR="004F0CF7" w:rsidRPr="007473C3">
              <w:rPr>
                <w:rFonts w:ascii="ITC Avant Garde" w:eastAsia="Times New Roman" w:hAnsi="ITC Avant Garde"/>
                <w:color w:val="000000"/>
                <w:sz w:val="20"/>
                <w:szCs w:val="20"/>
                <w:lang w:eastAsia="es-MX"/>
              </w:rPr>
              <w:t>comentarios</w:t>
            </w:r>
            <w:r w:rsidR="00A95ED3">
              <w:rPr>
                <w:rFonts w:ascii="ITC Avant Garde" w:eastAsia="Times New Roman" w:hAnsi="ITC Avant Garde"/>
                <w:color w:val="000000"/>
                <w:sz w:val="20"/>
                <w:szCs w:val="20"/>
                <w:lang w:eastAsia="es-MX"/>
              </w:rPr>
              <w:t xml:space="preserve"> participante”</w:t>
            </w:r>
            <w:r w:rsidR="004F0CF7" w:rsidRPr="007473C3">
              <w:rPr>
                <w:rFonts w:ascii="ITC Avant Garde" w:eastAsia="Times New Roman" w:hAnsi="ITC Avant Garde"/>
                <w:color w:val="000000"/>
                <w:sz w:val="20"/>
                <w:szCs w:val="20"/>
                <w:lang w:eastAsia="es-MX"/>
              </w:rPr>
              <w:t xml:space="preserve"> </w:t>
            </w:r>
            <w:r w:rsidR="002B1AD7" w:rsidRPr="007473C3">
              <w:rPr>
                <w:rFonts w:ascii="ITC Avant Garde" w:eastAsia="Times New Roman" w:hAnsi="ITC Avant Garde"/>
                <w:color w:val="000000"/>
                <w:sz w:val="20"/>
                <w:szCs w:val="20"/>
                <w:lang w:eastAsia="es-MX"/>
              </w:rPr>
              <w:t xml:space="preserve">y </w:t>
            </w:r>
            <w:r w:rsidR="00A95ED3">
              <w:rPr>
                <w:rFonts w:ascii="ITC Avant Garde" w:eastAsia="Times New Roman" w:hAnsi="ITC Avant Garde"/>
                <w:color w:val="000000"/>
                <w:sz w:val="20"/>
                <w:szCs w:val="20"/>
                <w:lang w:eastAsia="es-MX"/>
              </w:rPr>
              <w:t>“</w:t>
            </w:r>
            <w:r w:rsidR="002B1AD7" w:rsidRPr="007473C3">
              <w:rPr>
                <w:rFonts w:ascii="ITC Avant Garde" w:eastAsia="Times New Roman" w:hAnsi="ITC Avant Garde"/>
                <w:color w:val="000000"/>
                <w:sz w:val="20"/>
                <w:szCs w:val="20"/>
                <w:lang w:eastAsia="es-MX"/>
              </w:rPr>
              <w:t xml:space="preserve">justificación </w:t>
            </w:r>
            <w:r w:rsidR="00A95ED3">
              <w:rPr>
                <w:rFonts w:ascii="ITC Avant Garde" w:eastAsia="Times New Roman" w:hAnsi="ITC Avant Garde"/>
                <w:color w:val="000000"/>
                <w:sz w:val="20"/>
                <w:szCs w:val="20"/>
                <w:lang w:eastAsia="es-MX"/>
              </w:rPr>
              <w:t xml:space="preserve">participante” </w:t>
            </w:r>
            <w:r w:rsidR="004F0CF7" w:rsidRPr="007473C3">
              <w:rPr>
                <w:rFonts w:ascii="ITC Avant Garde" w:eastAsia="Times New Roman" w:hAnsi="ITC Avant Garde"/>
                <w:color w:val="000000"/>
                <w:sz w:val="20"/>
                <w:szCs w:val="20"/>
                <w:lang w:eastAsia="es-MX"/>
              </w:rPr>
              <w:t>que se incluye</w:t>
            </w:r>
            <w:r w:rsidR="002B1AD7" w:rsidRPr="007473C3">
              <w:rPr>
                <w:rFonts w:ascii="ITC Avant Garde" w:eastAsia="Times New Roman" w:hAnsi="ITC Avant Garde"/>
                <w:color w:val="000000"/>
                <w:sz w:val="20"/>
                <w:szCs w:val="20"/>
                <w:lang w:eastAsia="es-MX"/>
              </w:rPr>
              <w:t>n</w:t>
            </w:r>
            <w:r w:rsidR="004F0CF7" w:rsidRPr="007473C3">
              <w:rPr>
                <w:rFonts w:ascii="ITC Avant Garde" w:eastAsia="Times New Roman" w:hAnsi="ITC Avant Garde"/>
                <w:color w:val="000000"/>
                <w:sz w:val="20"/>
                <w:szCs w:val="20"/>
                <w:lang w:eastAsia="es-MX"/>
              </w:rPr>
              <w:t xml:space="preserve"> en </w:t>
            </w:r>
            <w:r w:rsidR="00A95ED3">
              <w:rPr>
                <w:rFonts w:ascii="ITC Avant Garde" w:eastAsia="Times New Roman" w:hAnsi="ITC Avant Garde"/>
                <w:color w:val="000000"/>
                <w:sz w:val="20"/>
                <w:szCs w:val="20"/>
                <w:lang w:eastAsia="es-MX"/>
              </w:rPr>
              <w:t>la pestaña “móvil” d</w:t>
            </w:r>
            <w:r w:rsidR="004F0CF7" w:rsidRPr="007473C3">
              <w:rPr>
                <w:rFonts w:ascii="ITC Avant Garde" w:eastAsia="Times New Roman" w:hAnsi="ITC Avant Garde"/>
                <w:color w:val="000000"/>
                <w:sz w:val="20"/>
                <w:szCs w:val="20"/>
                <w:lang w:eastAsia="es-MX"/>
              </w:rPr>
              <w:t>el documento</w:t>
            </w:r>
            <w:r w:rsidR="004775AE" w:rsidRPr="007473C3">
              <w:rPr>
                <w:rFonts w:ascii="ITC Avant Garde" w:eastAsia="Times New Roman" w:hAnsi="ITC Avant Garde"/>
                <w:color w:val="000000"/>
                <w:sz w:val="20"/>
                <w:szCs w:val="20"/>
                <w:lang w:eastAsia="es-MX"/>
              </w:rPr>
              <w:t xml:space="preserve"> “</w:t>
            </w:r>
            <w:r w:rsidR="00A95ED3">
              <w:rPr>
                <w:rFonts w:ascii="ITC Avant Garde" w:eastAsia="Times New Roman" w:hAnsi="ITC Avant Garde"/>
                <w:b/>
                <w:bCs/>
                <w:color w:val="000000"/>
                <w:sz w:val="20"/>
                <w:szCs w:val="20"/>
                <w:lang w:eastAsia="es-MX"/>
              </w:rPr>
              <w:t>Propuesta de Actualización</w:t>
            </w:r>
            <w:r w:rsidR="004775AE" w:rsidRPr="007473C3">
              <w:rPr>
                <w:rFonts w:ascii="ITC Avant Garde" w:eastAsia="Times New Roman" w:hAnsi="ITC Avant Garde"/>
                <w:color w:val="000000"/>
                <w:sz w:val="20"/>
                <w:szCs w:val="20"/>
                <w:lang w:eastAsia="es-MX"/>
              </w:rPr>
              <w:t>”</w:t>
            </w:r>
            <w:r>
              <w:rPr>
                <w:rFonts w:ascii="ITC Avant Garde" w:eastAsia="Times New Roman" w:hAnsi="ITC Avant Garde"/>
                <w:color w:val="000000"/>
                <w:sz w:val="20"/>
                <w:szCs w:val="20"/>
                <w:lang w:eastAsia="es-MX"/>
              </w:rPr>
              <w:t>.</w:t>
            </w:r>
          </w:p>
          <w:p w14:paraId="15C68BCE" w14:textId="26201D6C" w:rsidR="0089041C" w:rsidRPr="00260C4C" w:rsidRDefault="0089041C" w:rsidP="00584CB6">
            <w:pPr>
              <w:pStyle w:val="Prrafodelista"/>
              <w:numPr>
                <w:ilvl w:val="0"/>
                <w:numId w:val="41"/>
              </w:numPr>
              <w:spacing w:before="240" w:after="120" w:line="240" w:lineRule="auto"/>
              <w:ind w:right="309"/>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 xml:space="preserve">Señalar los comentarios específicos relacionados con </w:t>
            </w:r>
            <w:r w:rsidR="00420771">
              <w:rPr>
                <w:rFonts w:ascii="ITC Avant Garde" w:eastAsia="Times New Roman" w:hAnsi="ITC Avant Garde"/>
                <w:color w:val="000000"/>
                <w:sz w:val="20"/>
                <w:szCs w:val="20"/>
                <w:lang w:eastAsia="es-MX"/>
              </w:rPr>
              <w:t>el</w:t>
            </w:r>
            <w:r>
              <w:rPr>
                <w:rFonts w:ascii="ITC Avant Garde" w:eastAsia="Times New Roman" w:hAnsi="ITC Avant Garde"/>
                <w:color w:val="000000"/>
                <w:sz w:val="20"/>
                <w:szCs w:val="20"/>
                <w:lang w:eastAsia="es-MX"/>
              </w:rPr>
              <w:t xml:space="preserve"> modelo del apartado </w:t>
            </w:r>
            <w:r w:rsidRPr="00260C4C">
              <w:rPr>
                <w:rFonts w:ascii="ITC Avant Garde" w:eastAsia="Times New Roman" w:hAnsi="ITC Avant Garde"/>
                <w:b/>
                <w:bCs/>
                <w:color w:val="000000"/>
                <w:sz w:val="20"/>
                <w:szCs w:val="20"/>
                <w:lang w:eastAsia="es-MX"/>
              </w:rPr>
              <w:t>IV.</w:t>
            </w:r>
            <w:r w:rsidRPr="00260C4C">
              <w:rPr>
                <w:rFonts w:ascii="ITC Avant Garde" w:eastAsia="Times New Roman" w:hAnsi="ITC Avant Garde"/>
                <w:b/>
                <w:bCs/>
                <w:color w:val="000000"/>
                <w:sz w:val="20"/>
                <w:szCs w:val="20"/>
                <w:lang w:eastAsia="es-MX"/>
              </w:rPr>
              <w:tab/>
              <w:t xml:space="preserve">Comentarios, opiniones y aportaciones específicos sobre </w:t>
            </w:r>
            <w:r w:rsidR="00420771">
              <w:rPr>
                <w:rFonts w:ascii="ITC Avant Garde" w:eastAsia="Times New Roman" w:hAnsi="ITC Avant Garde"/>
                <w:b/>
                <w:bCs/>
                <w:color w:val="000000"/>
                <w:sz w:val="20"/>
                <w:szCs w:val="20"/>
                <w:lang w:eastAsia="es-MX"/>
              </w:rPr>
              <w:t xml:space="preserve">el </w:t>
            </w:r>
            <w:r w:rsidR="00420771" w:rsidRPr="00260C4C">
              <w:rPr>
                <w:rFonts w:ascii="ITC Avant Garde" w:eastAsia="Times New Roman" w:hAnsi="ITC Avant Garde"/>
                <w:b/>
                <w:bCs/>
                <w:color w:val="000000"/>
                <w:sz w:val="20"/>
                <w:szCs w:val="20"/>
                <w:lang w:eastAsia="es-MX"/>
              </w:rPr>
              <w:t>modelo</w:t>
            </w:r>
            <w:r w:rsidRPr="00260C4C">
              <w:rPr>
                <w:rFonts w:ascii="ITC Avant Garde" w:eastAsia="Times New Roman" w:hAnsi="ITC Avant Garde"/>
                <w:b/>
                <w:bCs/>
                <w:color w:val="000000"/>
                <w:sz w:val="20"/>
                <w:szCs w:val="20"/>
                <w:lang w:eastAsia="es-MX"/>
              </w:rPr>
              <w:t xml:space="preserve"> de la prueba de replicabilidad con la actualización propuesta</w:t>
            </w:r>
            <w:r>
              <w:rPr>
                <w:rFonts w:ascii="ITC Avant Garde" w:eastAsia="Times New Roman" w:hAnsi="ITC Avant Garde"/>
                <w:b/>
                <w:bCs/>
                <w:color w:val="000000"/>
                <w:sz w:val="20"/>
                <w:szCs w:val="20"/>
                <w:lang w:eastAsia="es-MX"/>
              </w:rPr>
              <w:t>.</w:t>
            </w:r>
          </w:p>
          <w:p w14:paraId="550E9215" w14:textId="4F1513A5" w:rsidR="00F13080" w:rsidRPr="004D3BE2" w:rsidRDefault="00AE3C2C" w:rsidP="007473C3">
            <w:pPr>
              <w:pStyle w:val="Prrafodelista"/>
              <w:numPr>
                <w:ilvl w:val="0"/>
                <w:numId w:val="41"/>
              </w:numPr>
              <w:spacing w:before="240" w:after="120" w:line="240" w:lineRule="auto"/>
              <w:ind w:right="309"/>
              <w:jc w:val="both"/>
              <w:rPr>
                <w:rFonts w:ascii="ITC Avant Garde" w:eastAsia="Times New Roman" w:hAnsi="ITC Avant Garde"/>
                <w:color w:val="000000"/>
                <w:sz w:val="20"/>
                <w:szCs w:val="20"/>
                <w:lang w:eastAsia="es-MX"/>
              </w:rPr>
            </w:pPr>
            <w:r w:rsidRPr="00AE3C2C">
              <w:rPr>
                <w:rFonts w:ascii="ITC Avant Garde" w:eastAsia="Times New Roman" w:hAnsi="ITC Avant Garde"/>
                <w:color w:val="000000"/>
                <w:sz w:val="20"/>
                <w:szCs w:val="20"/>
                <w:u w:val="single"/>
                <w:lang w:eastAsia="es-MX"/>
              </w:rPr>
              <w:t xml:space="preserve">Realizar los comentarios, opiniones y aportaciones generales de su interés en el apartado </w:t>
            </w:r>
            <w:r w:rsidRPr="00AE3C2C">
              <w:rPr>
                <w:rFonts w:ascii="ITC Avant Garde" w:eastAsia="Times New Roman" w:hAnsi="ITC Avant Garde"/>
                <w:b/>
                <w:bCs/>
                <w:color w:val="000000"/>
                <w:sz w:val="20"/>
                <w:szCs w:val="20"/>
                <w:u w:val="single"/>
                <w:lang w:eastAsia="es-MX"/>
              </w:rPr>
              <w:t>V. Comentarios, opiniones y aportaciones generales de la persona participante sobre el asunto en consulta pública.</w:t>
            </w:r>
          </w:p>
          <w:p w14:paraId="383653F1" w14:textId="07F6FE17" w:rsidR="008406AA" w:rsidRPr="008406AA" w:rsidRDefault="00F13080" w:rsidP="00F13080">
            <w:pPr>
              <w:jc w:val="both"/>
              <w:rPr>
                <w:sz w:val="18"/>
                <w:lang w:eastAsia="es-MX"/>
              </w:rPr>
            </w:pPr>
            <w:r>
              <w:rPr>
                <w:rFonts w:ascii="ITC Avant Garde" w:eastAsia="Times New Roman" w:hAnsi="ITC Avant Garde"/>
                <w:color w:val="000000"/>
                <w:sz w:val="20"/>
                <w:szCs w:val="20"/>
                <w:lang w:eastAsia="es-MX"/>
              </w:rPr>
              <w:t>F</w:t>
            </w:r>
            <w:r w:rsidR="00600500">
              <w:rPr>
                <w:rFonts w:ascii="ITC Avant Garde" w:eastAsia="Times New Roman" w:hAnsi="ITC Avant Garde"/>
                <w:color w:val="000000"/>
                <w:sz w:val="20"/>
                <w:szCs w:val="20"/>
                <w:lang w:eastAsia="es-MX"/>
              </w:rPr>
              <w:t>inalmente, se reitera que c</w:t>
            </w:r>
            <w:r w:rsidR="00E4524F" w:rsidRPr="004F0CF7">
              <w:rPr>
                <w:rFonts w:ascii="ITC Avant Garde" w:eastAsia="Times New Roman" w:hAnsi="ITC Avant Garde"/>
                <w:color w:val="000000"/>
                <w:sz w:val="20"/>
                <w:szCs w:val="20"/>
                <w:lang w:eastAsia="es-MX"/>
              </w:rPr>
              <w:t xml:space="preserve">on esta consulta pública de integración el Instituto busca </w:t>
            </w:r>
            <w:r w:rsidR="00600500">
              <w:rPr>
                <w:rFonts w:ascii="ITC Avant Garde" w:eastAsia="Times New Roman" w:hAnsi="ITC Avant Garde"/>
                <w:color w:val="000000"/>
                <w:sz w:val="20"/>
                <w:szCs w:val="20"/>
                <w:lang w:eastAsia="es-MX"/>
              </w:rPr>
              <w:t xml:space="preserve">allegarse de más elementos para </w:t>
            </w:r>
            <w:r w:rsidR="00E4524F" w:rsidRPr="004F0CF7">
              <w:rPr>
                <w:rFonts w:ascii="ITC Avant Garde" w:eastAsia="Times New Roman" w:hAnsi="ITC Avant Garde"/>
                <w:color w:val="000000"/>
                <w:sz w:val="20"/>
                <w:szCs w:val="20"/>
                <w:lang w:eastAsia="es-MX"/>
              </w:rPr>
              <w:t xml:space="preserve">identificar aquellas </w:t>
            </w:r>
            <w:r>
              <w:rPr>
                <w:rFonts w:ascii="ITC Avant Garde" w:eastAsia="Times New Roman" w:hAnsi="ITC Avant Garde"/>
                <w:color w:val="000000"/>
                <w:sz w:val="20"/>
                <w:szCs w:val="20"/>
                <w:lang w:eastAsia="es-MX"/>
              </w:rPr>
              <w:t xml:space="preserve">adecuaciones necesarias para la realización de </w:t>
            </w:r>
            <w:r w:rsidR="00E4524F" w:rsidRPr="004F0CF7">
              <w:rPr>
                <w:rFonts w:ascii="ITC Avant Garde" w:eastAsia="Times New Roman" w:hAnsi="ITC Avant Garde"/>
                <w:color w:val="000000"/>
                <w:sz w:val="20"/>
                <w:szCs w:val="20"/>
                <w:lang w:eastAsia="es-MX"/>
              </w:rPr>
              <w:t>l</w:t>
            </w:r>
            <w:r w:rsidR="009C6A6F">
              <w:rPr>
                <w:rFonts w:ascii="ITC Avant Garde" w:eastAsia="Times New Roman" w:hAnsi="ITC Avant Garde"/>
                <w:color w:val="000000"/>
                <w:sz w:val="20"/>
                <w:szCs w:val="20"/>
                <w:lang w:eastAsia="es-MX"/>
              </w:rPr>
              <w:t>a</w:t>
            </w:r>
            <w:r w:rsidR="00E4524F" w:rsidRPr="004F0CF7">
              <w:rPr>
                <w:rFonts w:ascii="ITC Avant Garde" w:eastAsia="Times New Roman" w:hAnsi="ITC Avant Garde"/>
                <w:color w:val="000000"/>
                <w:sz w:val="20"/>
                <w:szCs w:val="20"/>
                <w:lang w:eastAsia="es-MX"/>
              </w:rPr>
              <w:t xml:space="preserve"> </w:t>
            </w:r>
            <w:r w:rsidR="009C6A6F">
              <w:rPr>
                <w:rFonts w:ascii="ITC Avant Garde" w:eastAsia="Times New Roman" w:hAnsi="ITC Avant Garde"/>
                <w:color w:val="000000"/>
                <w:sz w:val="20"/>
                <w:szCs w:val="20"/>
                <w:lang w:eastAsia="es-MX"/>
              </w:rPr>
              <w:t xml:space="preserve">prueba de </w:t>
            </w:r>
            <w:r w:rsidR="009C6A6F" w:rsidRPr="009C6A6F">
              <w:rPr>
                <w:rFonts w:ascii="ITC Avant Garde" w:eastAsia="Times New Roman" w:hAnsi="ITC Avant Garde"/>
                <w:color w:val="000000"/>
                <w:sz w:val="20"/>
                <w:szCs w:val="20"/>
                <w:lang w:eastAsia="es-MX"/>
              </w:rPr>
              <w:t xml:space="preserve">replicabilidad </w:t>
            </w:r>
            <w:r>
              <w:rPr>
                <w:rFonts w:ascii="ITC Avant Garde" w:eastAsia="Times New Roman" w:hAnsi="ITC Avant Garde"/>
                <w:color w:val="000000"/>
                <w:sz w:val="20"/>
                <w:szCs w:val="20"/>
                <w:lang w:eastAsia="es-MX"/>
              </w:rPr>
              <w:t xml:space="preserve">económica </w:t>
            </w:r>
            <w:r w:rsidR="00420771">
              <w:rPr>
                <w:rFonts w:ascii="ITC Avant Garde" w:eastAsia="Times New Roman" w:hAnsi="ITC Avant Garde"/>
                <w:color w:val="000000"/>
                <w:sz w:val="20"/>
                <w:szCs w:val="20"/>
                <w:lang w:eastAsia="es-MX"/>
              </w:rPr>
              <w:t xml:space="preserve">de servicios móviles </w:t>
            </w:r>
            <w:r>
              <w:rPr>
                <w:rFonts w:ascii="ITC Avant Garde" w:eastAsia="Times New Roman" w:hAnsi="ITC Avant Garde"/>
                <w:color w:val="000000"/>
                <w:sz w:val="20"/>
                <w:szCs w:val="20"/>
                <w:lang w:eastAsia="es-MX"/>
              </w:rPr>
              <w:t>y que estas</w:t>
            </w:r>
            <w:r w:rsidR="009C6A6F" w:rsidRPr="004F0CF7">
              <w:rPr>
                <w:rFonts w:ascii="ITC Avant Garde" w:eastAsia="Times New Roman" w:hAnsi="ITC Avant Garde"/>
                <w:color w:val="000000"/>
                <w:sz w:val="20"/>
                <w:szCs w:val="20"/>
                <w:lang w:eastAsia="es-MX"/>
              </w:rPr>
              <w:t xml:space="preserve"> </w:t>
            </w:r>
            <w:r w:rsidR="00E4524F" w:rsidRPr="004F0CF7">
              <w:rPr>
                <w:rFonts w:ascii="ITC Avant Garde" w:eastAsia="Times New Roman" w:hAnsi="ITC Avant Garde"/>
                <w:color w:val="000000"/>
                <w:sz w:val="20"/>
                <w:szCs w:val="20"/>
                <w:lang w:eastAsia="es-MX"/>
              </w:rPr>
              <w:t>cumplan con el propósito por el cual se mandataron.</w:t>
            </w:r>
            <w:r w:rsidR="004D3BE2">
              <w:rPr>
                <w:rFonts w:ascii="ITC Avant Garde" w:eastAsia="Times New Roman" w:hAnsi="ITC Avant Garde"/>
                <w:color w:val="000000"/>
                <w:sz w:val="20"/>
                <w:szCs w:val="20"/>
                <w:lang w:eastAsia="es-MX"/>
              </w:rPr>
              <w:t xml:space="preserve"> Por lo tanto, se incluye como archivo meramente informativo el “Documento descriptivo de las dimensiones</w:t>
            </w:r>
            <w:r w:rsidR="002A5F52">
              <w:rPr>
                <w:rFonts w:ascii="ITC Avant Garde" w:eastAsia="Times New Roman" w:hAnsi="ITC Avant Garde"/>
                <w:color w:val="000000"/>
                <w:sz w:val="20"/>
                <w:szCs w:val="20"/>
                <w:lang w:eastAsia="es-MX"/>
              </w:rPr>
              <w:t xml:space="preserve"> (soporte)</w:t>
            </w:r>
            <w:r w:rsidR="004D3BE2">
              <w:rPr>
                <w:rFonts w:ascii="ITC Avant Garde" w:eastAsia="Times New Roman" w:hAnsi="ITC Avant Garde"/>
                <w:color w:val="000000"/>
                <w:sz w:val="20"/>
                <w:szCs w:val="20"/>
                <w:lang w:eastAsia="es-MX"/>
              </w:rPr>
              <w:t xml:space="preserve">”, a partir del cual las personas interesadas en participar podrán revisar conceptos clave asociados con la materia de la consulta pública. </w:t>
            </w:r>
          </w:p>
          <w:p w14:paraId="584FAD98" w14:textId="07B50F9A" w:rsidR="00105E55" w:rsidRPr="003F04F2" w:rsidRDefault="00105E55" w:rsidP="004368BF">
            <w:pPr>
              <w:spacing w:after="0" w:line="240" w:lineRule="auto"/>
              <w:ind w:right="306"/>
              <w:jc w:val="both"/>
              <w:rPr>
                <w:rFonts w:ascii="ITC Avant Garde" w:eastAsia="Times New Roman" w:hAnsi="ITC Avant Garde"/>
                <w:color w:val="000000"/>
                <w:sz w:val="20"/>
                <w:szCs w:val="20"/>
                <w:lang w:eastAsia="es-MX"/>
              </w:rPr>
            </w:pPr>
          </w:p>
        </w:tc>
      </w:tr>
    </w:tbl>
    <w:p w14:paraId="7D4B21D3" w14:textId="6C7AF4DA" w:rsidR="0068054F" w:rsidRDefault="0068054F" w:rsidP="00170916">
      <w:pPr>
        <w:spacing w:after="0"/>
        <w:jc w:val="both"/>
        <w:rPr>
          <w:rFonts w:ascii="ITC Avant Garde" w:hAnsi="ITC Avant Garde"/>
          <w:sz w:val="16"/>
        </w:rPr>
      </w:pPr>
    </w:p>
    <w:tbl>
      <w:tblPr>
        <w:tblpPr w:leftFromText="141" w:rightFromText="141" w:vertAnchor="text" w:tblpX="234" w:tblpY="108"/>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52"/>
      </w:tblGrid>
      <w:tr w:rsidR="00BB2031" w:rsidRPr="00F36A5D" w14:paraId="5CEA010D" w14:textId="77777777">
        <w:trPr>
          <w:trHeight w:val="581"/>
        </w:trPr>
        <w:tc>
          <w:tcPr>
            <w:tcW w:w="8652" w:type="dxa"/>
            <w:shd w:val="clear" w:color="auto" w:fill="D9D9D9"/>
            <w:vAlign w:val="center"/>
            <w:hideMark/>
          </w:tcPr>
          <w:p w14:paraId="67705E99" w14:textId="614A3FC6" w:rsidR="00BB2031" w:rsidRPr="003353FC" w:rsidRDefault="00BB2031" w:rsidP="00260C4C">
            <w:pPr>
              <w:pStyle w:val="Ttulo2"/>
            </w:pPr>
            <w:r w:rsidRPr="003353FC">
              <w:t xml:space="preserve">Comentarios, opiniones y aportaciones específicos </w:t>
            </w:r>
            <w:r>
              <w:t xml:space="preserve">sobre </w:t>
            </w:r>
            <w:r w:rsidR="00420771">
              <w:t>el</w:t>
            </w:r>
            <w:r>
              <w:t xml:space="preserve"> m</w:t>
            </w:r>
            <w:r w:rsidRPr="00BB2031">
              <w:t>odelo de la prueba de repl</w:t>
            </w:r>
            <w:r>
              <w:t>i</w:t>
            </w:r>
            <w:r w:rsidRPr="00BB2031">
              <w:t>cabilidad con la actualización propuesta</w:t>
            </w:r>
          </w:p>
        </w:tc>
      </w:tr>
      <w:tr w:rsidR="00BB2031" w:rsidRPr="00F36A5D" w14:paraId="196D1207" w14:textId="77777777">
        <w:trPr>
          <w:trHeight w:val="290"/>
        </w:trPr>
        <w:tc>
          <w:tcPr>
            <w:tcW w:w="8652" w:type="dxa"/>
            <w:shd w:val="clear" w:color="auto" w:fill="auto"/>
            <w:vAlign w:val="center"/>
          </w:tcPr>
          <w:p w14:paraId="18373807" w14:textId="01BFD098" w:rsidR="00BB2031" w:rsidRPr="00F36A5D" w:rsidRDefault="00BB2031">
            <w:pPr>
              <w:spacing w:after="0" w:line="276" w:lineRule="auto"/>
              <w:jc w:val="both"/>
              <w:rPr>
                <w:rFonts w:ascii="ITC Avant Garde" w:eastAsia="Times New Roman" w:hAnsi="ITC Avant Garde"/>
                <w:color w:val="000000"/>
                <w:lang w:eastAsia="es-MX"/>
              </w:rPr>
            </w:pPr>
            <w:r>
              <w:rPr>
                <w:rFonts w:ascii="ITC Avant Garde" w:eastAsia="Times New Roman" w:hAnsi="ITC Avant Garde"/>
                <w:b/>
                <w:color w:val="000000"/>
                <w:sz w:val="20"/>
                <w:szCs w:val="20"/>
                <w:lang w:eastAsia="es-MX"/>
              </w:rPr>
              <w:t>1. Señalar los comentarios y/u opiniones sobre el modelo de servicios móviles</w:t>
            </w:r>
            <w:r w:rsidRPr="00EC277F">
              <w:rPr>
                <w:rFonts w:ascii="ITC Avant Garde" w:eastAsia="Times New Roman" w:hAnsi="ITC Avant Garde"/>
                <w:b/>
                <w:color w:val="000000"/>
                <w:sz w:val="20"/>
                <w:szCs w:val="20"/>
                <w:lang w:eastAsia="es-MX"/>
              </w:rPr>
              <w:t xml:space="preserve"> </w:t>
            </w:r>
          </w:p>
        </w:tc>
      </w:tr>
      <w:tr w:rsidR="00BB2031" w:rsidRPr="00F36A5D" w14:paraId="2FEBA043" w14:textId="77777777">
        <w:trPr>
          <w:trHeight w:val="290"/>
        </w:trPr>
        <w:tc>
          <w:tcPr>
            <w:tcW w:w="8652" w:type="dxa"/>
            <w:shd w:val="clear" w:color="auto" w:fill="auto"/>
            <w:vAlign w:val="center"/>
          </w:tcPr>
          <w:p w14:paraId="085953D7" w14:textId="77777777" w:rsidR="00BB2031" w:rsidRDefault="00BB2031">
            <w:pPr>
              <w:spacing w:after="0" w:line="276" w:lineRule="auto"/>
              <w:rPr>
                <w:rFonts w:ascii="ITC Avant Garde" w:eastAsia="Times New Roman" w:hAnsi="ITC Avant Garde"/>
                <w:color w:val="000000"/>
                <w:sz w:val="20"/>
                <w:szCs w:val="20"/>
                <w:lang w:eastAsia="es-MX"/>
              </w:rPr>
            </w:pPr>
          </w:p>
          <w:p w14:paraId="65F2028B" w14:textId="77777777" w:rsidR="00BB2031" w:rsidRDefault="00BB2031">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10588B7B" w14:textId="77777777" w:rsidR="00BB2031" w:rsidRPr="003F04F2" w:rsidRDefault="00BB2031">
            <w:pPr>
              <w:spacing w:after="0" w:line="276" w:lineRule="auto"/>
              <w:rPr>
                <w:rFonts w:ascii="ITC Avant Garde" w:eastAsia="Times New Roman" w:hAnsi="ITC Avant Garde"/>
                <w:color w:val="000000"/>
                <w:sz w:val="20"/>
                <w:szCs w:val="20"/>
                <w:lang w:eastAsia="es-MX"/>
              </w:rPr>
            </w:pPr>
          </w:p>
        </w:tc>
      </w:tr>
      <w:tr w:rsidR="00BB2031" w:rsidRPr="00F36A5D" w14:paraId="4B1B6460" w14:textId="77777777">
        <w:trPr>
          <w:trHeight w:val="290"/>
        </w:trPr>
        <w:tc>
          <w:tcPr>
            <w:tcW w:w="8652" w:type="dxa"/>
            <w:shd w:val="clear" w:color="auto" w:fill="auto"/>
            <w:vAlign w:val="center"/>
          </w:tcPr>
          <w:p w14:paraId="7D6FF51D" w14:textId="787D8A42" w:rsidR="00BB2031" w:rsidRPr="002E6C44" w:rsidRDefault="00BB2031">
            <w:pPr>
              <w:spacing w:after="0" w:line="276" w:lineRule="auto"/>
              <w:jc w:val="both"/>
              <w:rPr>
                <w:rFonts w:ascii="ITC Avant Garde" w:eastAsia="Times New Roman" w:hAnsi="ITC Avant Garde"/>
                <w:b/>
                <w:color w:val="000000"/>
                <w:sz w:val="20"/>
                <w:szCs w:val="20"/>
                <w:lang w:eastAsia="es-MX"/>
              </w:rPr>
            </w:pPr>
            <w:r w:rsidRPr="00FD54BA">
              <w:rPr>
                <w:rFonts w:ascii="ITC Avant Garde" w:eastAsia="Times New Roman" w:hAnsi="ITC Avant Garde"/>
                <w:b/>
                <w:color w:val="000000"/>
                <w:sz w:val="20"/>
                <w:szCs w:val="20"/>
                <w:lang w:eastAsia="es-MX"/>
              </w:rPr>
              <w:t xml:space="preserve">2. </w:t>
            </w:r>
            <w:r w:rsidR="0089041C">
              <w:rPr>
                <w:rFonts w:ascii="ITC Avant Garde" w:eastAsia="Times New Roman" w:hAnsi="ITC Avant Garde"/>
                <w:b/>
                <w:color w:val="000000"/>
                <w:sz w:val="20"/>
                <w:szCs w:val="20"/>
                <w:lang w:eastAsia="es-MX"/>
              </w:rPr>
              <w:t xml:space="preserve"> Señalar los comentarios y/u opiniones sobre </w:t>
            </w:r>
            <w:r w:rsidR="00420771">
              <w:rPr>
                <w:rFonts w:ascii="ITC Avant Garde" w:eastAsia="Times New Roman" w:hAnsi="ITC Avant Garde"/>
                <w:b/>
                <w:color w:val="000000"/>
                <w:sz w:val="20"/>
                <w:szCs w:val="20"/>
                <w:lang w:eastAsia="es-MX"/>
              </w:rPr>
              <w:t>las ofertas sometidas a evaluación</w:t>
            </w:r>
          </w:p>
        </w:tc>
      </w:tr>
      <w:tr w:rsidR="0089041C" w:rsidRPr="00F36A5D" w14:paraId="2664C910" w14:textId="77777777">
        <w:trPr>
          <w:trHeight w:val="290"/>
        </w:trPr>
        <w:tc>
          <w:tcPr>
            <w:tcW w:w="8652" w:type="dxa"/>
            <w:shd w:val="clear" w:color="auto" w:fill="auto"/>
            <w:vAlign w:val="center"/>
          </w:tcPr>
          <w:p w14:paraId="4FA3279D" w14:textId="4C86DF14" w:rsidR="0089041C" w:rsidRDefault="0089041C">
            <w:pPr>
              <w:spacing w:after="0" w:line="276" w:lineRule="auto"/>
              <w:rPr>
                <w:rFonts w:ascii="ITC Avant Garde" w:eastAsia="Times New Roman" w:hAnsi="ITC Avant Garde"/>
                <w:color w:val="000000"/>
                <w:sz w:val="20"/>
                <w:szCs w:val="20"/>
                <w:lang w:eastAsia="es-MX"/>
              </w:rPr>
            </w:pPr>
          </w:p>
          <w:p w14:paraId="41338AFA" w14:textId="77777777" w:rsidR="0089041C" w:rsidRDefault="0089041C">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71676399" w14:textId="77777777" w:rsidR="0089041C" w:rsidRPr="003F04F2" w:rsidRDefault="0089041C">
            <w:pPr>
              <w:spacing w:after="0" w:line="276" w:lineRule="auto"/>
              <w:rPr>
                <w:rFonts w:ascii="ITC Avant Garde" w:eastAsia="Times New Roman" w:hAnsi="ITC Avant Garde"/>
                <w:color w:val="000000"/>
                <w:sz w:val="20"/>
                <w:szCs w:val="20"/>
                <w:lang w:eastAsia="es-MX"/>
              </w:rPr>
            </w:pPr>
          </w:p>
        </w:tc>
      </w:tr>
      <w:tr w:rsidR="00BB2031" w:rsidRPr="00F36A5D" w14:paraId="36BDCB80" w14:textId="5BBB3F34">
        <w:trPr>
          <w:trHeight w:val="290"/>
        </w:trPr>
        <w:tc>
          <w:tcPr>
            <w:tcW w:w="8652" w:type="dxa"/>
            <w:shd w:val="clear" w:color="auto" w:fill="auto"/>
            <w:vAlign w:val="center"/>
          </w:tcPr>
          <w:p w14:paraId="526639A2" w14:textId="032E056F" w:rsidR="00BB2031" w:rsidRPr="00775562" w:rsidRDefault="00BB2031">
            <w:pPr>
              <w:spacing w:after="0" w:line="276" w:lineRule="auto"/>
              <w:jc w:val="both"/>
              <w:rPr>
                <w:rFonts w:ascii="ITC Avant Garde" w:eastAsia="Times New Roman" w:hAnsi="ITC Avant Garde"/>
                <w:b/>
                <w:color w:val="000000"/>
                <w:sz w:val="20"/>
                <w:szCs w:val="20"/>
                <w:lang w:eastAsia="es-MX"/>
              </w:rPr>
            </w:pPr>
            <w:r>
              <w:rPr>
                <w:rFonts w:ascii="ITC Avant Garde" w:eastAsia="Times New Roman" w:hAnsi="ITC Avant Garde"/>
                <w:b/>
                <w:color w:val="000000"/>
                <w:sz w:val="20"/>
                <w:szCs w:val="20"/>
                <w:lang w:eastAsia="es-MX"/>
              </w:rPr>
              <w:t>3</w:t>
            </w:r>
            <w:r w:rsidRPr="00775562">
              <w:rPr>
                <w:rFonts w:ascii="ITC Avant Garde" w:eastAsia="Times New Roman" w:hAnsi="ITC Avant Garde"/>
                <w:b/>
                <w:color w:val="000000"/>
                <w:sz w:val="20"/>
                <w:szCs w:val="20"/>
                <w:lang w:eastAsia="es-MX"/>
              </w:rPr>
              <w:t xml:space="preserve">. </w:t>
            </w:r>
            <w:r>
              <w:t xml:space="preserve"> </w:t>
            </w:r>
            <w:r w:rsidR="0089041C">
              <w:rPr>
                <w:rFonts w:ascii="ITC Avant Garde" w:eastAsia="Times New Roman" w:hAnsi="ITC Avant Garde"/>
                <w:b/>
                <w:color w:val="000000"/>
                <w:sz w:val="20"/>
                <w:szCs w:val="20"/>
                <w:lang w:eastAsia="es-MX"/>
              </w:rPr>
              <w:t xml:space="preserve"> Señalar los comentarios y/u opiniones sobre </w:t>
            </w:r>
            <w:r w:rsidR="000E49D9">
              <w:rPr>
                <w:rFonts w:ascii="ITC Avant Garde" w:eastAsia="Times New Roman" w:hAnsi="ITC Avant Garde"/>
                <w:b/>
                <w:color w:val="000000"/>
                <w:sz w:val="20"/>
                <w:szCs w:val="20"/>
                <w:lang w:eastAsia="es-MX"/>
              </w:rPr>
              <w:t>temas adicionales sobre las dimensiones de la prueba de replicabilidad económica</w:t>
            </w:r>
          </w:p>
        </w:tc>
      </w:tr>
      <w:tr w:rsidR="00BB2031" w:rsidRPr="00F36A5D" w14:paraId="53779104" w14:textId="370B5BE8">
        <w:trPr>
          <w:trHeight w:val="290"/>
        </w:trPr>
        <w:tc>
          <w:tcPr>
            <w:tcW w:w="8652" w:type="dxa"/>
            <w:shd w:val="clear" w:color="auto" w:fill="auto"/>
            <w:vAlign w:val="center"/>
          </w:tcPr>
          <w:p w14:paraId="2A34CA90" w14:textId="39749FEF" w:rsidR="00BB2031" w:rsidRDefault="00BB2031">
            <w:pPr>
              <w:spacing w:after="0" w:line="276" w:lineRule="auto"/>
              <w:rPr>
                <w:rFonts w:ascii="ITC Avant Garde" w:eastAsia="Times New Roman" w:hAnsi="ITC Avant Garde"/>
                <w:color w:val="000000"/>
                <w:sz w:val="20"/>
                <w:szCs w:val="20"/>
                <w:lang w:eastAsia="es-MX"/>
              </w:rPr>
            </w:pPr>
          </w:p>
          <w:p w14:paraId="464BC0B7" w14:textId="4BE82BBF" w:rsidR="00BB2031" w:rsidRDefault="00BB2031">
            <w:pPr>
              <w:spacing w:after="0" w:line="276" w:lineRule="auto"/>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C</w:t>
            </w:r>
            <w:r w:rsidRPr="003F04F2">
              <w:rPr>
                <w:rFonts w:ascii="ITC Avant Garde" w:eastAsia="Times New Roman" w:hAnsi="ITC Avant Garde"/>
                <w:color w:val="000000"/>
                <w:sz w:val="20"/>
                <w:szCs w:val="20"/>
                <w:lang w:eastAsia="es-MX"/>
              </w:rPr>
              <w:t>omentarios:</w:t>
            </w:r>
          </w:p>
          <w:p w14:paraId="632D147B" w14:textId="24E3178E" w:rsidR="00BB2031" w:rsidRPr="00775562" w:rsidRDefault="00BB2031">
            <w:pPr>
              <w:spacing w:after="0" w:line="276" w:lineRule="auto"/>
              <w:rPr>
                <w:rFonts w:ascii="ITC Avant Garde" w:eastAsia="Times New Roman" w:hAnsi="ITC Avant Garde"/>
                <w:b/>
                <w:color w:val="000000"/>
                <w:sz w:val="20"/>
                <w:szCs w:val="20"/>
                <w:lang w:eastAsia="es-MX"/>
              </w:rPr>
            </w:pPr>
          </w:p>
        </w:tc>
      </w:tr>
      <w:tr w:rsidR="00BB2031" w:rsidRPr="00F36A5D" w14:paraId="5C3C5264" w14:textId="77777777">
        <w:trPr>
          <w:trHeight w:val="130"/>
        </w:trPr>
        <w:tc>
          <w:tcPr>
            <w:tcW w:w="8652" w:type="dxa"/>
            <w:shd w:val="clear" w:color="auto" w:fill="C5E0B3"/>
            <w:vAlign w:val="center"/>
          </w:tcPr>
          <w:p w14:paraId="02A3AD4F" w14:textId="77777777" w:rsidR="00BB2031" w:rsidRPr="00F36A5D" w:rsidRDefault="00BB2031">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0A4EF6F9" w14:textId="126575CB" w:rsidR="00474104" w:rsidRDefault="00474104" w:rsidP="00AB2D19">
      <w:pPr>
        <w:spacing w:after="0"/>
        <w:jc w:val="both"/>
        <w:rPr>
          <w:rFonts w:ascii="ITC Avant Garde" w:hAnsi="ITC Avant Garde"/>
          <w:sz w:val="16"/>
        </w:rPr>
      </w:pPr>
    </w:p>
    <w:p w14:paraId="59649D39" w14:textId="60406F6D" w:rsidR="00474104" w:rsidRDefault="00474104" w:rsidP="00AB2D19">
      <w:pPr>
        <w:spacing w:after="0"/>
        <w:jc w:val="both"/>
        <w:rPr>
          <w:rFonts w:ascii="ITC Avant Garde" w:hAnsi="ITC Avant Garde"/>
          <w:sz w:val="16"/>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357CAA" w:rsidRPr="00670385" w14:paraId="02DD1D7A" w14:textId="77777777" w:rsidTr="0043365D">
        <w:tc>
          <w:tcPr>
            <w:tcW w:w="8647" w:type="dxa"/>
            <w:shd w:val="clear" w:color="auto" w:fill="D9D9D9"/>
          </w:tcPr>
          <w:p w14:paraId="409A8495" w14:textId="5AB2FA3E" w:rsidR="00357CAA" w:rsidRPr="00357CAA" w:rsidRDefault="00357CAA" w:rsidP="0043365D">
            <w:pPr>
              <w:pStyle w:val="Ttulo2"/>
              <w:ind w:left="744"/>
            </w:pPr>
            <w:r w:rsidRPr="00357CAA">
              <w:t xml:space="preserve">Comentarios, opiniones y aportaciones generales de la persona participante sobre el </w:t>
            </w:r>
            <w:r w:rsidRPr="00357CAA">
              <w:t xml:space="preserve">asunto en </w:t>
            </w:r>
            <w:r w:rsidR="007B55BA">
              <w:t>C</w:t>
            </w:r>
            <w:r w:rsidRPr="00357CAA">
              <w:t xml:space="preserve">onsulta </w:t>
            </w:r>
            <w:r w:rsidR="007B55BA">
              <w:t>P</w:t>
            </w:r>
            <w:r w:rsidRPr="00357CAA">
              <w:t>ública</w:t>
            </w:r>
          </w:p>
        </w:tc>
      </w:tr>
      <w:tr w:rsidR="00357CAA" w:rsidRPr="00670385" w14:paraId="008409EA" w14:textId="77777777" w:rsidTr="0043365D">
        <w:tc>
          <w:tcPr>
            <w:tcW w:w="8647" w:type="dxa"/>
            <w:shd w:val="clear" w:color="auto" w:fill="auto"/>
          </w:tcPr>
          <w:p w14:paraId="77C08086" w14:textId="77777777" w:rsidR="00357CAA" w:rsidRPr="00670385" w:rsidRDefault="00357CAA">
            <w:pPr>
              <w:spacing w:after="0"/>
              <w:jc w:val="both"/>
              <w:rPr>
                <w:rFonts w:ascii="ITC Avant Garde" w:hAnsi="ITC Avant Garde"/>
                <w:sz w:val="12"/>
              </w:rPr>
            </w:pPr>
          </w:p>
          <w:p w14:paraId="2F0F7F28" w14:textId="77777777" w:rsidR="00357CAA" w:rsidRPr="00670385" w:rsidRDefault="00357CAA">
            <w:pPr>
              <w:spacing w:after="0"/>
              <w:jc w:val="both"/>
              <w:rPr>
                <w:rFonts w:ascii="ITC Avant Garde" w:hAnsi="ITC Avant Garde"/>
                <w:sz w:val="12"/>
              </w:rPr>
            </w:pPr>
          </w:p>
          <w:p w14:paraId="1576345B" w14:textId="72C339DB" w:rsidR="00380392" w:rsidRDefault="00380392">
            <w:pPr>
              <w:spacing w:after="0"/>
              <w:jc w:val="both"/>
              <w:rPr>
                <w:rFonts w:ascii="ITC Avant Garde" w:hAnsi="ITC Avant Garde"/>
                <w:sz w:val="12"/>
              </w:rPr>
            </w:pPr>
          </w:p>
          <w:p w14:paraId="468F8C9B" w14:textId="0C11EE81" w:rsidR="00380392" w:rsidRDefault="00380392">
            <w:pPr>
              <w:spacing w:after="0"/>
              <w:jc w:val="both"/>
              <w:rPr>
                <w:rFonts w:ascii="ITC Avant Garde" w:hAnsi="ITC Avant Garde"/>
                <w:sz w:val="12"/>
              </w:rPr>
            </w:pPr>
          </w:p>
          <w:p w14:paraId="26F77653" w14:textId="7E830F1D" w:rsidR="00380392" w:rsidRDefault="00380392">
            <w:pPr>
              <w:spacing w:after="0"/>
              <w:jc w:val="both"/>
              <w:rPr>
                <w:rFonts w:ascii="ITC Avant Garde" w:hAnsi="ITC Avant Garde"/>
                <w:sz w:val="12"/>
              </w:rPr>
            </w:pPr>
          </w:p>
          <w:p w14:paraId="04E7B7E3" w14:textId="77777777" w:rsidR="00380392" w:rsidRPr="00670385" w:rsidRDefault="00380392">
            <w:pPr>
              <w:spacing w:after="0"/>
              <w:jc w:val="both"/>
              <w:rPr>
                <w:rFonts w:ascii="ITC Avant Garde" w:hAnsi="ITC Avant Garde"/>
                <w:sz w:val="12"/>
              </w:rPr>
            </w:pPr>
          </w:p>
          <w:p w14:paraId="6047D052" w14:textId="77777777" w:rsidR="00357CAA" w:rsidRPr="00670385" w:rsidRDefault="00357CAA">
            <w:pPr>
              <w:spacing w:after="0"/>
              <w:jc w:val="both"/>
              <w:rPr>
                <w:rFonts w:ascii="ITC Avant Garde" w:hAnsi="ITC Avant Garde"/>
                <w:sz w:val="12"/>
              </w:rPr>
            </w:pPr>
          </w:p>
          <w:p w14:paraId="3E0FD5A6" w14:textId="77777777" w:rsidR="00357CAA" w:rsidRPr="00670385" w:rsidRDefault="00357CAA">
            <w:pPr>
              <w:spacing w:after="0"/>
              <w:jc w:val="both"/>
              <w:rPr>
                <w:rFonts w:ascii="ITC Avant Garde" w:hAnsi="ITC Avant Garde"/>
                <w:sz w:val="12"/>
              </w:rPr>
            </w:pPr>
          </w:p>
        </w:tc>
      </w:tr>
      <w:tr w:rsidR="00357CAA" w:rsidRPr="00670385" w14:paraId="2BF00B13" w14:textId="77777777" w:rsidTr="0043365D">
        <w:tc>
          <w:tcPr>
            <w:tcW w:w="8647" w:type="dxa"/>
            <w:shd w:val="clear" w:color="auto" w:fill="C5E0B3"/>
          </w:tcPr>
          <w:p w14:paraId="647D09DB" w14:textId="77777777" w:rsidR="00357CAA" w:rsidRPr="00670385" w:rsidRDefault="00357CAA">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2FF8B94" w14:textId="77777777" w:rsidR="00357CAA" w:rsidRPr="00F36A5D" w:rsidRDefault="00357CAA" w:rsidP="00AB2D19">
      <w:pPr>
        <w:spacing w:after="0"/>
        <w:jc w:val="both"/>
        <w:rPr>
          <w:rFonts w:ascii="ITC Avant Garde" w:hAnsi="ITC Avant Garde"/>
          <w:sz w:val="16"/>
        </w:rPr>
      </w:pPr>
    </w:p>
    <w:sectPr w:rsidR="00357CAA" w:rsidRPr="00F36A5D" w:rsidSect="0086154B">
      <w:headerReference w:type="default" r:id="rId24"/>
      <w:footerReference w:type="default" r:id="rId2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FED6B" w14:textId="77777777" w:rsidR="008D2D60" w:rsidRDefault="008D2D60" w:rsidP="0038199D">
      <w:pPr>
        <w:spacing w:after="0" w:line="240" w:lineRule="auto"/>
      </w:pPr>
      <w:r>
        <w:separator/>
      </w:r>
    </w:p>
  </w:endnote>
  <w:endnote w:type="continuationSeparator" w:id="0">
    <w:p w14:paraId="5C681724" w14:textId="77777777" w:rsidR="008D2D60" w:rsidRDefault="008D2D60" w:rsidP="0038199D">
      <w:pPr>
        <w:spacing w:after="0" w:line="240" w:lineRule="auto"/>
      </w:pPr>
      <w:r>
        <w:continuationSeparator/>
      </w:r>
    </w:p>
  </w:endnote>
  <w:endnote w:type="continuationNotice" w:id="1">
    <w:p w14:paraId="35AE1E90" w14:textId="77777777" w:rsidR="008D2D60" w:rsidRDefault="008D2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AC7D" w14:textId="1B859ADC" w:rsidR="00271E75" w:rsidRPr="00DF5B3F" w:rsidRDefault="00271E75">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Pr="00C82970">
      <w:rPr>
        <w:rFonts w:ascii="ITC Avant Garde" w:hAnsi="ITC Avant Garde"/>
        <w:noProof/>
        <w:color w:val="323E4F"/>
        <w:sz w:val="14"/>
        <w:szCs w:val="24"/>
        <w:lang w:val="es-ES"/>
      </w:rPr>
      <w:t>7</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Pr="00C82970">
      <w:rPr>
        <w:rFonts w:ascii="ITC Avant Garde" w:hAnsi="ITC Avant Garde"/>
        <w:noProof/>
        <w:color w:val="323E4F"/>
        <w:sz w:val="14"/>
        <w:szCs w:val="24"/>
        <w:lang w:val="es-ES"/>
      </w:rPr>
      <w:t>8</w:t>
    </w:r>
    <w:r w:rsidRPr="00DF5B3F">
      <w:rPr>
        <w:rFonts w:ascii="ITC Avant Garde" w:hAnsi="ITC Avant Garde"/>
        <w:color w:val="323E4F"/>
        <w:sz w:val="14"/>
        <w:szCs w:val="24"/>
      </w:rPr>
      <w:fldChar w:fldCharType="end"/>
    </w:r>
  </w:p>
  <w:p w14:paraId="6C8E0542" w14:textId="77777777" w:rsidR="00271E75" w:rsidRDefault="00271E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A789A" w14:textId="77777777" w:rsidR="008D2D60" w:rsidRDefault="008D2D60" w:rsidP="0038199D">
      <w:pPr>
        <w:spacing w:after="0" w:line="240" w:lineRule="auto"/>
      </w:pPr>
      <w:r>
        <w:separator/>
      </w:r>
    </w:p>
  </w:footnote>
  <w:footnote w:type="continuationSeparator" w:id="0">
    <w:p w14:paraId="384494BE" w14:textId="77777777" w:rsidR="008D2D60" w:rsidRDefault="008D2D60" w:rsidP="0038199D">
      <w:pPr>
        <w:spacing w:after="0" w:line="240" w:lineRule="auto"/>
      </w:pPr>
      <w:r>
        <w:continuationSeparator/>
      </w:r>
    </w:p>
  </w:footnote>
  <w:footnote w:type="continuationNotice" w:id="1">
    <w:p w14:paraId="56E3492C" w14:textId="77777777" w:rsidR="008D2D60" w:rsidRDefault="008D2D60">
      <w:pPr>
        <w:spacing w:after="0" w:line="240" w:lineRule="auto"/>
      </w:pPr>
    </w:p>
  </w:footnote>
  <w:footnote w:id="2">
    <w:p w14:paraId="4B8EDC17" w14:textId="77777777" w:rsidR="00365720" w:rsidRDefault="00365720" w:rsidP="00365720">
      <w:pPr>
        <w:pStyle w:val="Textonotapie"/>
      </w:pPr>
      <w:r>
        <w:rPr>
          <w:rStyle w:val="Refdenotaalpie"/>
        </w:rPr>
        <w:footnoteRef/>
      </w:r>
      <w:r>
        <w:t xml:space="preserve"> </w:t>
      </w:r>
      <w:r>
        <w:rPr>
          <w:rFonts w:ascii="ITC Avant Garde" w:hAnsi="ITC Avant Garde"/>
          <w:sz w:val="14"/>
          <w:szCs w:val="14"/>
        </w:rPr>
        <w:t xml:space="preserve">Disponible para consulta en: </w:t>
      </w:r>
      <w:hyperlink r:id="rId1" w:history="1">
        <w:r>
          <w:rPr>
            <w:rStyle w:val="Hipervnculo"/>
            <w:rFonts w:ascii="ITC Avant Garde" w:hAnsi="ITC Avant Garde"/>
            <w:sz w:val="14"/>
            <w:szCs w:val="14"/>
          </w:rPr>
          <w:t>https://www.ift.org.mx/sites/default/files/OPNT/LGPDPPSO/3_M_ARCO/Criterio_3_1_1.zip</w:t>
        </w:r>
      </w:hyperlink>
    </w:p>
  </w:footnote>
  <w:footnote w:id="3">
    <w:p w14:paraId="60E7BA42" w14:textId="77777777" w:rsidR="00271E75" w:rsidRPr="00494FC1" w:rsidRDefault="00271E75" w:rsidP="00C32290">
      <w:pPr>
        <w:pStyle w:val="Textonotapie"/>
        <w:ind w:right="49"/>
        <w:rPr>
          <w:rFonts w:ascii="ITC Avant Garde" w:hAnsi="ITC Avant Garde" w:cstheme="minorHAnsi"/>
          <w:sz w:val="14"/>
          <w:szCs w:val="14"/>
        </w:rPr>
      </w:pPr>
      <w:r w:rsidRPr="00494FC1">
        <w:rPr>
          <w:rStyle w:val="Refdenotaalpie"/>
          <w:rFonts w:ascii="ITC Avant Garde" w:hAnsi="ITC Avant Garde" w:cstheme="minorHAnsi"/>
          <w:sz w:val="14"/>
          <w:szCs w:val="14"/>
        </w:rPr>
        <w:footnoteRef/>
      </w:r>
      <w:r w:rsidRPr="00494FC1">
        <w:rPr>
          <w:rFonts w:ascii="ITC Avant Garde" w:hAnsi="ITC Avant Garde" w:cstheme="minorHAnsi"/>
          <w:sz w:val="14"/>
          <w:szCs w:val="14"/>
        </w:rPr>
        <w:t>Acuerdo P/IFT/EXT/270217/119 disponible en:</w:t>
      </w:r>
    </w:p>
    <w:p w14:paraId="34E15DE7" w14:textId="77777777" w:rsidR="00271E75" w:rsidRPr="00171A28" w:rsidRDefault="00271E75" w:rsidP="00C32290">
      <w:pPr>
        <w:pStyle w:val="Textonotapie"/>
        <w:ind w:right="49"/>
        <w:rPr>
          <w:rFonts w:asciiTheme="minorHAnsi" w:hAnsiTheme="minorHAnsi" w:cstheme="minorHAnsi"/>
        </w:rPr>
      </w:pPr>
      <w:hyperlink r:id="rId2" w:history="1">
        <w:r w:rsidRPr="00494FC1">
          <w:rPr>
            <w:rStyle w:val="Hipervnculo"/>
            <w:rFonts w:ascii="ITC Avant Garde" w:hAnsi="ITC Avant Garde" w:cstheme="minorHAnsi"/>
            <w:sz w:val="14"/>
            <w:szCs w:val="14"/>
          </w:rPr>
          <w:t>http://www.ift.org.mx/sites/default/files/conocenos/pleno/sesiones/acuerdoliga/pitfext270217119verpub_2.pdf</w:t>
        </w:r>
      </w:hyperlink>
    </w:p>
  </w:footnote>
  <w:footnote w:id="4">
    <w:p w14:paraId="1BA1773A" w14:textId="65239147" w:rsidR="00625CB1" w:rsidRPr="00494FC1" w:rsidRDefault="00625CB1" w:rsidP="00625CB1">
      <w:pPr>
        <w:pStyle w:val="Textonotapie"/>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Disponible en:</w:t>
      </w:r>
      <w:r w:rsidR="00847A45">
        <w:rPr>
          <w:rFonts w:ascii="ITC Avant Garde" w:hAnsi="ITC Avant Garde"/>
          <w:sz w:val="14"/>
          <w:szCs w:val="14"/>
        </w:rPr>
        <w:t xml:space="preserve"> </w:t>
      </w:r>
      <w:hyperlink r:id="rId3" w:history="1">
        <w:r w:rsidR="00847A45" w:rsidRPr="00847A45">
          <w:rPr>
            <w:rStyle w:val="Hipervnculo"/>
            <w:rFonts w:ascii="ITC Avant Garde" w:hAnsi="ITC Avant Garde"/>
            <w:sz w:val="14"/>
            <w:szCs w:val="14"/>
          </w:rPr>
          <w:t>http://www.ift.org.mx/sites/default/files/contenidogeneral/politica-regulatoria/pift120917548.pdf</w:t>
        </w:r>
      </w:hyperlink>
    </w:p>
    <w:p w14:paraId="12D5406C" w14:textId="77777777" w:rsidR="00625CB1" w:rsidRPr="00494FC1" w:rsidRDefault="00625CB1" w:rsidP="00625CB1">
      <w:pPr>
        <w:pStyle w:val="Textonotapie"/>
        <w:rPr>
          <w:rFonts w:ascii="ITC Avant Garde" w:hAnsi="ITC Avant Garde"/>
          <w:sz w:val="14"/>
          <w:szCs w:val="14"/>
        </w:rPr>
      </w:pPr>
    </w:p>
  </w:footnote>
  <w:footnote w:id="5">
    <w:p w14:paraId="39630C08" w14:textId="782E4143" w:rsidR="00D57B94" w:rsidRPr="00494FC1" w:rsidRDefault="00D57B94" w:rsidP="00625CB1">
      <w:pPr>
        <w:pStyle w:val="Textonotapie"/>
        <w:jc w:val="both"/>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“Operador Similarmente Eficiente”, </w:t>
      </w:r>
      <w:r w:rsidR="00E9708D" w:rsidRPr="00494FC1">
        <w:rPr>
          <w:rFonts w:ascii="ITC Avant Garde" w:hAnsi="ITC Avant Garde"/>
          <w:sz w:val="14"/>
          <w:szCs w:val="14"/>
        </w:rPr>
        <w:t xml:space="preserve">del acrónimo </w:t>
      </w:r>
      <w:r w:rsidRPr="00494FC1">
        <w:rPr>
          <w:rFonts w:ascii="ITC Avant Garde" w:hAnsi="ITC Avant Garde"/>
          <w:sz w:val="14"/>
          <w:szCs w:val="14"/>
        </w:rPr>
        <w:t>en inglés “Similarly Efficient Operator”.</w:t>
      </w:r>
    </w:p>
  </w:footnote>
  <w:footnote w:id="6">
    <w:p w14:paraId="5DAC9FA6" w14:textId="0FA638C6" w:rsidR="00D57B94" w:rsidRPr="00494FC1" w:rsidRDefault="00D57B94" w:rsidP="00625CB1">
      <w:pPr>
        <w:pStyle w:val="Textonotapie"/>
        <w:jc w:val="both"/>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Derivado del estándar de “Costos Incrementales de Largo Plazo” (“Long Run Incremental Costs”</w:t>
      </w:r>
      <w:r w:rsidR="00E9708D" w:rsidRPr="00494FC1">
        <w:rPr>
          <w:rFonts w:ascii="ITC Avant Garde" w:hAnsi="ITC Avant Garde"/>
          <w:sz w:val="14"/>
          <w:szCs w:val="14"/>
        </w:rPr>
        <w:t>, del acrónimo en inglés “LRIC”</w:t>
      </w:r>
      <w:r w:rsidRPr="00494FC1">
        <w:rPr>
          <w:rFonts w:ascii="ITC Avant Garde" w:hAnsi="ITC Avant Garde"/>
          <w:sz w:val="14"/>
          <w:szCs w:val="14"/>
        </w:rPr>
        <w:t>), el estándar LRIC+ refiere a “LRIC más un márgen para recuperar costos compartidos y comunes”.</w:t>
      </w:r>
    </w:p>
  </w:footnote>
  <w:footnote w:id="7">
    <w:p w14:paraId="5946A15F" w14:textId="39D477A5" w:rsidR="008754B4" w:rsidRPr="00625CB1" w:rsidRDefault="008754B4">
      <w:pPr>
        <w:pStyle w:val="Textonotapie"/>
        <w:rPr>
          <w:rFonts w:ascii="ITC Avant Garde" w:hAnsi="ITC Avant Garde"/>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“Costos Completamente Distribuidos”, del </w:t>
      </w:r>
      <w:r w:rsidR="00E9708D" w:rsidRPr="00494FC1">
        <w:rPr>
          <w:rFonts w:ascii="ITC Avant Garde" w:hAnsi="ITC Avant Garde"/>
          <w:sz w:val="14"/>
          <w:szCs w:val="14"/>
        </w:rPr>
        <w:t>acrónimo</w:t>
      </w:r>
      <w:r w:rsidRPr="00494FC1">
        <w:rPr>
          <w:rFonts w:ascii="ITC Avant Garde" w:hAnsi="ITC Avant Garde"/>
          <w:sz w:val="14"/>
          <w:szCs w:val="14"/>
        </w:rPr>
        <w:t xml:space="preserve"> en inglés “Fully Allocated Costs”.</w:t>
      </w:r>
    </w:p>
  </w:footnote>
  <w:footnote w:id="8">
    <w:p w14:paraId="1F3C4206" w14:textId="77777777" w:rsidR="00625CB1" w:rsidRPr="00494FC1" w:rsidRDefault="00625CB1" w:rsidP="00625CB1">
      <w:pPr>
        <w:pStyle w:val="Textonotapie"/>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Las medidas asimétricas vigentes se encuentran disponibles en los siguientes enlaces: </w:t>
      </w:r>
    </w:p>
    <w:p w14:paraId="65BD90E2" w14:textId="77777777" w:rsidR="00625CB1" w:rsidRPr="00494FC1" w:rsidRDefault="00625CB1" w:rsidP="00625CB1">
      <w:pPr>
        <w:pStyle w:val="Textonotapie"/>
        <w:rPr>
          <w:rFonts w:ascii="ITC Avant Garde" w:hAnsi="ITC Avant Garde"/>
          <w:sz w:val="14"/>
          <w:szCs w:val="14"/>
        </w:rPr>
      </w:pPr>
      <w:r w:rsidRPr="00494FC1">
        <w:rPr>
          <w:rFonts w:ascii="ITC Avant Garde" w:hAnsi="ITC Avant Garde"/>
          <w:sz w:val="14"/>
          <w:szCs w:val="14"/>
        </w:rPr>
        <w:t>Anexo 1:</w:t>
      </w:r>
    </w:p>
    <w:p w14:paraId="346C0A7D" w14:textId="77777777" w:rsidR="00625CB1" w:rsidRPr="00494FC1" w:rsidRDefault="00625CB1" w:rsidP="00625CB1">
      <w:pPr>
        <w:pStyle w:val="Textonotapie"/>
        <w:rPr>
          <w:rFonts w:ascii="ITC Avant Garde" w:hAnsi="ITC Avant Garde"/>
          <w:sz w:val="14"/>
          <w:szCs w:val="14"/>
        </w:rPr>
      </w:pPr>
      <w:hyperlink r:id="rId4" w:history="1">
        <w:r w:rsidRPr="00494FC1">
          <w:rPr>
            <w:rFonts w:ascii="ITC Avant Garde" w:hAnsi="ITC Avant Garde"/>
            <w:sz w:val="14"/>
            <w:szCs w:val="14"/>
          </w:rPr>
          <w:t>http://www.ift.org.mx/sites/default/files/anexo_1_medidas_2014-2017-2020_telecom.pdf</w:t>
        </w:r>
      </w:hyperlink>
    </w:p>
    <w:p w14:paraId="2FDB35D4" w14:textId="77777777" w:rsidR="00625CB1" w:rsidRPr="00494FC1" w:rsidRDefault="00625CB1" w:rsidP="00625CB1">
      <w:pPr>
        <w:pStyle w:val="Textonotapie"/>
        <w:rPr>
          <w:rFonts w:ascii="ITC Avant Garde" w:hAnsi="ITC Avant Garde"/>
          <w:sz w:val="14"/>
          <w:szCs w:val="14"/>
        </w:rPr>
      </w:pPr>
      <w:r w:rsidRPr="00494FC1">
        <w:rPr>
          <w:rFonts w:ascii="ITC Avant Garde" w:hAnsi="ITC Avant Garde"/>
          <w:sz w:val="14"/>
          <w:szCs w:val="14"/>
        </w:rPr>
        <w:t xml:space="preserve">Anexo 2: </w:t>
      </w:r>
    </w:p>
    <w:p w14:paraId="07ACC662" w14:textId="77777777" w:rsidR="00625CB1" w:rsidRPr="00494FC1" w:rsidRDefault="00625CB1" w:rsidP="00625CB1">
      <w:pPr>
        <w:pStyle w:val="Textonotapie"/>
        <w:rPr>
          <w:rFonts w:ascii="ITC Avant Garde" w:hAnsi="ITC Avant Garde"/>
          <w:sz w:val="14"/>
          <w:szCs w:val="14"/>
        </w:rPr>
      </w:pPr>
      <w:hyperlink r:id="rId5" w:history="1">
        <w:r w:rsidRPr="00494FC1">
          <w:rPr>
            <w:rFonts w:ascii="ITC Avant Garde" w:hAnsi="ITC Avant Garde"/>
            <w:sz w:val="14"/>
            <w:szCs w:val="14"/>
          </w:rPr>
          <w:t>http://www.ift.org.mx/sites/default/files/anexo_2_12.pdf</w:t>
        </w:r>
      </w:hyperlink>
    </w:p>
    <w:p w14:paraId="0A435234" w14:textId="77777777" w:rsidR="00625CB1" w:rsidRPr="00494FC1" w:rsidRDefault="00625CB1" w:rsidP="00625CB1">
      <w:pPr>
        <w:pStyle w:val="Textonotapie"/>
        <w:rPr>
          <w:rFonts w:ascii="ITC Avant Garde" w:hAnsi="ITC Avant Garde"/>
          <w:sz w:val="14"/>
          <w:szCs w:val="14"/>
        </w:rPr>
      </w:pPr>
      <w:r w:rsidRPr="00494FC1">
        <w:rPr>
          <w:rFonts w:ascii="ITC Avant Garde" w:hAnsi="ITC Avant Garde"/>
          <w:sz w:val="14"/>
          <w:szCs w:val="14"/>
        </w:rPr>
        <w:t>Anexo 3:</w:t>
      </w:r>
    </w:p>
    <w:p w14:paraId="53B55BFF" w14:textId="77777777" w:rsidR="00625CB1" w:rsidRPr="00494FC1" w:rsidRDefault="00625CB1" w:rsidP="00625CB1">
      <w:pPr>
        <w:pStyle w:val="Textonotapie"/>
        <w:rPr>
          <w:rFonts w:ascii="ITC Avant Garde" w:hAnsi="ITC Avant Garde"/>
          <w:sz w:val="14"/>
          <w:szCs w:val="14"/>
        </w:rPr>
      </w:pPr>
      <w:hyperlink r:id="rId6" w:history="1">
        <w:r w:rsidRPr="00494FC1">
          <w:rPr>
            <w:rFonts w:ascii="ITC Avant Garde" w:hAnsi="ITC Avant Garde"/>
            <w:sz w:val="14"/>
            <w:szCs w:val="14"/>
          </w:rPr>
          <w:t>http://www.ift.org.mx/sites/default/files/anexo_3_medidas_2014-2017-2020_telecom.pdf</w:t>
        </w:r>
      </w:hyperlink>
    </w:p>
    <w:p w14:paraId="6F972DEF" w14:textId="77777777" w:rsidR="00625CB1" w:rsidRPr="00494FC1" w:rsidRDefault="00625CB1" w:rsidP="00625CB1">
      <w:pPr>
        <w:pStyle w:val="Textonotapie"/>
        <w:rPr>
          <w:rFonts w:ascii="ITC Avant Garde" w:hAnsi="ITC Avant Garde"/>
          <w:sz w:val="14"/>
          <w:szCs w:val="14"/>
        </w:rPr>
      </w:pPr>
    </w:p>
  </w:footnote>
  <w:footnote w:id="9">
    <w:p w14:paraId="249684AB" w14:textId="77777777" w:rsidR="00C22646" w:rsidRPr="00C22646" w:rsidRDefault="00C22646" w:rsidP="00C22646">
      <w:pPr>
        <w:pStyle w:val="Textonotapie"/>
        <w:rPr>
          <w:rFonts w:ascii="ITC Avant Garde" w:hAnsi="ITC Avant Garde"/>
          <w:sz w:val="14"/>
          <w:szCs w:val="14"/>
        </w:rPr>
      </w:pPr>
      <w:r w:rsidRPr="00494FC1">
        <w:rPr>
          <w:rStyle w:val="Refdenotaalpie"/>
          <w:rFonts w:ascii="ITC Avant Garde" w:hAnsi="ITC Avant Garde"/>
          <w:sz w:val="14"/>
          <w:szCs w:val="14"/>
        </w:rPr>
        <w:footnoteRef/>
      </w:r>
      <w:r w:rsidRPr="00C22646">
        <w:rPr>
          <w:rFonts w:ascii="ITC Avant Garde" w:hAnsi="ITC Avant Garde"/>
          <w:sz w:val="14"/>
          <w:szCs w:val="14"/>
        </w:rPr>
        <w:t xml:space="preserve">Las medidas asimétricas vigentes se encuentran disponibles en los siguientes enlaces: </w:t>
      </w:r>
    </w:p>
    <w:p w14:paraId="3D6C517D" w14:textId="77777777" w:rsidR="00C22646" w:rsidRPr="00C22646" w:rsidRDefault="00C22646" w:rsidP="00C22646">
      <w:pPr>
        <w:pStyle w:val="Textonotapie"/>
        <w:rPr>
          <w:rFonts w:ascii="ITC Avant Garde" w:hAnsi="ITC Avant Garde"/>
          <w:sz w:val="14"/>
          <w:szCs w:val="14"/>
        </w:rPr>
      </w:pPr>
      <w:r w:rsidRPr="00C22646">
        <w:rPr>
          <w:rFonts w:ascii="ITC Avant Garde" w:hAnsi="ITC Avant Garde"/>
          <w:sz w:val="14"/>
          <w:szCs w:val="14"/>
        </w:rPr>
        <w:t>Anexo 1: https://www.ift.org.mx/sites/default/files/anexo_1_27.pdf</w:t>
      </w:r>
    </w:p>
    <w:p w14:paraId="7F7EF92E" w14:textId="77777777" w:rsidR="00C22646" w:rsidRPr="00C22646" w:rsidRDefault="00C22646" w:rsidP="00C22646">
      <w:pPr>
        <w:pStyle w:val="Textonotapie"/>
        <w:rPr>
          <w:rFonts w:ascii="ITC Avant Garde" w:hAnsi="ITC Avant Garde"/>
          <w:sz w:val="14"/>
          <w:szCs w:val="14"/>
        </w:rPr>
      </w:pPr>
      <w:r w:rsidRPr="00C22646">
        <w:rPr>
          <w:rFonts w:ascii="ITC Avant Garde" w:hAnsi="ITC Avant Garde"/>
          <w:sz w:val="14"/>
          <w:szCs w:val="14"/>
        </w:rPr>
        <w:t xml:space="preserve">Anexo 2: https://www.ift.org.mx/sites/default/files/anexo_2_14.pdf </w:t>
      </w:r>
    </w:p>
    <w:p w14:paraId="44BFAE60" w14:textId="452A5292" w:rsidR="00C22646" w:rsidRPr="00494FC1" w:rsidRDefault="00C22646" w:rsidP="00C22646">
      <w:pPr>
        <w:pStyle w:val="Textonotapie"/>
        <w:rPr>
          <w:rFonts w:ascii="ITC Avant Garde" w:hAnsi="ITC Avant Garde"/>
          <w:sz w:val="14"/>
          <w:szCs w:val="14"/>
        </w:rPr>
      </w:pPr>
      <w:r w:rsidRPr="00C22646">
        <w:rPr>
          <w:rFonts w:ascii="ITC Avant Garde" w:hAnsi="ITC Avant Garde"/>
          <w:sz w:val="14"/>
          <w:szCs w:val="14"/>
        </w:rPr>
        <w:t>Anexo 3: https://www.ift.org.mx/sites/default/files/anexo_3_7.pdf</w:t>
      </w:r>
    </w:p>
  </w:footnote>
  <w:footnote w:id="10">
    <w:p w14:paraId="1BC759CA" w14:textId="77777777" w:rsidR="00625CB1" w:rsidRPr="00494FC1" w:rsidRDefault="00625CB1" w:rsidP="00625CB1">
      <w:pPr>
        <w:pStyle w:val="Textonotapie"/>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Disponible en: https://www.dof.gob.mx/nota_detalle.php?codigo=5509546&amp;fecha=29/12/2017</w:t>
      </w:r>
    </w:p>
  </w:footnote>
  <w:footnote w:id="11">
    <w:p w14:paraId="49CC6BC1" w14:textId="77777777" w:rsidR="00625CB1" w:rsidRPr="00494FC1" w:rsidRDefault="00625CB1" w:rsidP="00625CB1">
      <w:pPr>
        <w:pStyle w:val="Textonotapie"/>
        <w:rPr>
          <w:rFonts w:ascii="ITC Avant Garde" w:hAnsi="ITC Avant Garde"/>
          <w:sz w:val="14"/>
          <w:szCs w:val="14"/>
        </w:rPr>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Disponible en: https://www.dof.gob.mx/nota_detalle.php?codigo=5546889&amp;fecha=19/12/2018</w:t>
      </w:r>
    </w:p>
  </w:footnote>
  <w:footnote w:id="12">
    <w:p w14:paraId="424EAEFE" w14:textId="77777777" w:rsidR="00625CB1" w:rsidRDefault="00625CB1" w:rsidP="00625CB1">
      <w:pPr>
        <w:pStyle w:val="Textonotapie"/>
      </w:pPr>
      <w:r w:rsidRPr="00494FC1">
        <w:rPr>
          <w:rStyle w:val="Refdenotaalpie"/>
          <w:rFonts w:ascii="ITC Avant Garde" w:hAnsi="ITC Avant Garde"/>
          <w:sz w:val="14"/>
          <w:szCs w:val="14"/>
        </w:rPr>
        <w:footnoteRef/>
      </w:r>
      <w:r w:rsidRPr="00494FC1">
        <w:rPr>
          <w:rFonts w:ascii="ITC Avant Garde" w:hAnsi="ITC Avant Garde"/>
          <w:sz w:val="14"/>
          <w:szCs w:val="14"/>
        </w:rPr>
        <w:t xml:space="preserve"> Disponible en: https://www.dof.gob.mx/nota_detalle.php?codigo=5596251&amp;fecha=07/07/2020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DD3A" w14:textId="0CE72290" w:rsidR="00271E75" w:rsidRPr="007A6974" w:rsidRDefault="00271E75"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EAECB8D" wp14:editId="62C39199">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D54A813" w14:textId="28A7C4BD" w:rsidR="00271E75" w:rsidRPr="00F36A5D" w:rsidRDefault="007C525F" w:rsidP="004D5EAB">
    <w:pPr>
      <w:pStyle w:val="Encabezado"/>
      <w:ind w:left="3119"/>
      <w:jc w:val="both"/>
      <w:rPr>
        <w:rFonts w:ascii="ITC Avant Garde" w:hAnsi="ITC Avant Garde"/>
        <w:b/>
        <w:sz w:val="20"/>
      </w:rPr>
    </w:pPr>
    <w:bookmarkStart w:id="4" w:name="_Hlk198722575"/>
    <w:r w:rsidRPr="007C525F">
      <w:rPr>
        <w:rFonts w:ascii="ITC Avant Garde" w:hAnsi="ITC Avant Garde"/>
        <w:b/>
        <w:sz w:val="20"/>
      </w:rPr>
      <w:t xml:space="preserve">Consulta </w:t>
    </w:r>
    <w:r w:rsidR="00C12AB0">
      <w:rPr>
        <w:rFonts w:ascii="ITC Avant Garde" w:hAnsi="ITC Avant Garde"/>
        <w:b/>
        <w:sz w:val="20"/>
      </w:rPr>
      <w:t>P</w:t>
    </w:r>
    <w:r w:rsidR="00C12AB0" w:rsidRPr="007C525F">
      <w:rPr>
        <w:rFonts w:ascii="ITC Avant Garde" w:hAnsi="ITC Avant Garde"/>
        <w:b/>
        <w:sz w:val="20"/>
      </w:rPr>
      <w:t xml:space="preserve">ública </w:t>
    </w:r>
    <w:r w:rsidRPr="007C525F">
      <w:rPr>
        <w:rFonts w:ascii="ITC Avant Garde" w:hAnsi="ITC Avant Garde"/>
        <w:b/>
        <w:sz w:val="20"/>
      </w:rPr>
      <w:t xml:space="preserve">de </w:t>
    </w:r>
    <w:r w:rsidR="00C12AB0">
      <w:rPr>
        <w:rFonts w:ascii="ITC Avant Garde" w:hAnsi="ITC Avant Garde"/>
        <w:b/>
        <w:sz w:val="20"/>
      </w:rPr>
      <w:t>I</w:t>
    </w:r>
    <w:r w:rsidR="00C12AB0" w:rsidRPr="007C525F">
      <w:rPr>
        <w:rFonts w:ascii="ITC Avant Garde" w:hAnsi="ITC Avant Garde"/>
        <w:b/>
        <w:sz w:val="20"/>
      </w:rPr>
      <w:t xml:space="preserve">ntegración </w:t>
    </w:r>
    <w:r w:rsidRPr="007C525F">
      <w:rPr>
        <w:rFonts w:ascii="ITC Avant Garde" w:hAnsi="ITC Avant Garde"/>
        <w:b/>
        <w:sz w:val="20"/>
      </w:rPr>
      <w:t xml:space="preserve">sobre la propuesta de actualización de la metodología, términos y condiciones </w:t>
    </w:r>
    <w:r w:rsidRPr="007C525F">
      <w:rPr>
        <w:rFonts w:ascii="ITC Avant Garde" w:hAnsi="ITC Avant Garde"/>
        <w:b/>
        <w:sz w:val="20"/>
      </w:rPr>
      <w:t xml:space="preserve">para llevar a cabo la prueba de replicabilidad económica </w:t>
    </w:r>
  </w:p>
  <w:bookmarkEnd w:id="4"/>
  <w:p w14:paraId="63C0CEF9" w14:textId="77777777" w:rsidR="00271E75" w:rsidRPr="007A6974" w:rsidRDefault="00271E75"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03B58F53" wp14:editId="6748167A">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F30E9D7"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779"/>
    <w:multiLevelType w:val="hybridMultilevel"/>
    <w:tmpl w:val="DD98B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C2706"/>
    <w:multiLevelType w:val="hybridMultilevel"/>
    <w:tmpl w:val="9858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833E30"/>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25B091A"/>
    <w:multiLevelType w:val="hybridMultilevel"/>
    <w:tmpl w:val="E87EB962"/>
    <w:lvl w:ilvl="0" w:tplc="7D361FB6">
      <w:start w:val="1"/>
      <w:numFmt w:val="upperRoman"/>
      <w:pStyle w:val="Ttulo2"/>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8E53D4"/>
    <w:multiLevelType w:val="hybridMultilevel"/>
    <w:tmpl w:val="934A0076"/>
    <w:lvl w:ilvl="0" w:tplc="865603A0">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98776C"/>
    <w:multiLevelType w:val="hybridMultilevel"/>
    <w:tmpl w:val="84E231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92911CB"/>
    <w:multiLevelType w:val="hybridMultilevel"/>
    <w:tmpl w:val="AEB01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AEA611B"/>
    <w:multiLevelType w:val="hybridMultilevel"/>
    <w:tmpl w:val="C276B7BA"/>
    <w:lvl w:ilvl="0" w:tplc="080A000F">
      <w:start w:val="1"/>
      <w:numFmt w:val="decimal"/>
      <w:lvlText w:val="%1."/>
      <w:lvlJc w:val="left"/>
      <w:pPr>
        <w:ind w:left="1493" w:hanging="360"/>
      </w:pPr>
    </w:lvl>
    <w:lvl w:ilvl="1" w:tplc="080A0019" w:tentative="1">
      <w:start w:val="1"/>
      <w:numFmt w:val="lowerLetter"/>
      <w:lvlText w:val="%2."/>
      <w:lvlJc w:val="left"/>
      <w:pPr>
        <w:ind w:left="2213" w:hanging="360"/>
      </w:pPr>
    </w:lvl>
    <w:lvl w:ilvl="2" w:tplc="080A001B" w:tentative="1">
      <w:start w:val="1"/>
      <w:numFmt w:val="lowerRoman"/>
      <w:lvlText w:val="%3."/>
      <w:lvlJc w:val="right"/>
      <w:pPr>
        <w:ind w:left="2933" w:hanging="180"/>
      </w:pPr>
    </w:lvl>
    <w:lvl w:ilvl="3" w:tplc="080A000F" w:tentative="1">
      <w:start w:val="1"/>
      <w:numFmt w:val="decimal"/>
      <w:lvlText w:val="%4."/>
      <w:lvlJc w:val="left"/>
      <w:pPr>
        <w:ind w:left="3653" w:hanging="360"/>
      </w:pPr>
    </w:lvl>
    <w:lvl w:ilvl="4" w:tplc="080A0019" w:tentative="1">
      <w:start w:val="1"/>
      <w:numFmt w:val="lowerLetter"/>
      <w:lvlText w:val="%5."/>
      <w:lvlJc w:val="left"/>
      <w:pPr>
        <w:ind w:left="4373" w:hanging="360"/>
      </w:pPr>
    </w:lvl>
    <w:lvl w:ilvl="5" w:tplc="080A001B" w:tentative="1">
      <w:start w:val="1"/>
      <w:numFmt w:val="lowerRoman"/>
      <w:lvlText w:val="%6."/>
      <w:lvlJc w:val="right"/>
      <w:pPr>
        <w:ind w:left="5093" w:hanging="180"/>
      </w:pPr>
    </w:lvl>
    <w:lvl w:ilvl="6" w:tplc="080A000F" w:tentative="1">
      <w:start w:val="1"/>
      <w:numFmt w:val="decimal"/>
      <w:lvlText w:val="%7."/>
      <w:lvlJc w:val="left"/>
      <w:pPr>
        <w:ind w:left="5813" w:hanging="360"/>
      </w:pPr>
    </w:lvl>
    <w:lvl w:ilvl="7" w:tplc="080A0019" w:tentative="1">
      <w:start w:val="1"/>
      <w:numFmt w:val="lowerLetter"/>
      <w:lvlText w:val="%8."/>
      <w:lvlJc w:val="left"/>
      <w:pPr>
        <w:ind w:left="6533" w:hanging="360"/>
      </w:pPr>
    </w:lvl>
    <w:lvl w:ilvl="8" w:tplc="080A001B" w:tentative="1">
      <w:start w:val="1"/>
      <w:numFmt w:val="lowerRoman"/>
      <w:lvlText w:val="%9."/>
      <w:lvlJc w:val="right"/>
      <w:pPr>
        <w:ind w:left="7253" w:hanging="180"/>
      </w:pPr>
    </w:lvl>
  </w:abstractNum>
  <w:abstractNum w:abstractNumId="9"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443371"/>
    <w:multiLevelType w:val="hybridMultilevel"/>
    <w:tmpl w:val="4C6AEBD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167702AC"/>
    <w:multiLevelType w:val="hybridMultilevel"/>
    <w:tmpl w:val="5C3E0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8E28C6"/>
    <w:multiLevelType w:val="hybridMultilevel"/>
    <w:tmpl w:val="C276B7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3233EB3"/>
    <w:multiLevelType w:val="hybridMultilevel"/>
    <w:tmpl w:val="5204D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D67C20"/>
    <w:multiLevelType w:val="hybridMultilevel"/>
    <w:tmpl w:val="39BC3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0E4D4C"/>
    <w:multiLevelType w:val="hybridMultilevel"/>
    <w:tmpl w:val="C276B7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53745AF"/>
    <w:multiLevelType w:val="hybridMultilevel"/>
    <w:tmpl w:val="23FE1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4F155F"/>
    <w:multiLevelType w:val="hybridMultilevel"/>
    <w:tmpl w:val="386E3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F51D98"/>
    <w:multiLevelType w:val="hybridMultilevel"/>
    <w:tmpl w:val="F8DED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036801"/>
    <w:multiLevelType w:val="hybridMultilevel"/>
    <w:tmpl w:val="C9C63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30"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5D5301B2"/>
    <w:multiLevelType w:val="hybridMultilevel"/>
    <w:tmpl w:val="6C5EC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BD6158"/>
    <w:multiLevelType w:val="hybridMultilevel"/>
    <w:tmpl w:val="591876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5B6329"/>
    <w:multiLevelType w:val="hybridMultilevel"/>
    <w:tmpl w:val="324CE13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F55318"/>
    <w:multiLevelType w:val="hybridMultilevel"/>
    <w:tmpl w:val="0666B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A11215"/>
    <w:multiLevelType w:val="hybridMultilevel"/>
    <w:tmpl w:val="B3FA01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40" w15:restartNumberingAfterBreak="0">
    <w:nsid w:val="6A812308"/>
    <w:multiLevelType w:val="hybridMultilevel"/>
    <w:tmpl w:val="D37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C1281E"/>
    <w:multiLevelType w:val="hybridMultilevel"/>
    <w:tmpl w:val="7DD03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D1058B"/>
    <w:multiLevelType w:val="hybridMultilevel"/>
    <w:tmpl w:val="AC0610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0541153"/>
    <w:multiLevelType w:val="hybridMultilevel"/>
    <w:tmpl w:val="5FD613F2"/>
    <w:lvl w:ilvl="0" w:tplc="8AC670DE">
      <w:numFmt w:val="bullet"/>
      <w:lvlText w:val="-"/>
      <w:lvlJc w:val="left"/>
      <w:pPr>
        <w:ind w:left="1070" w:hanging="71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46" w15:restartNumberingAfterBreak="0">
    <w:nsid w:val="740958AF"/>
    <w:multiLevelType w:val="hybridMultilevel"/>
    <w:tmpl w:val="CC36DE90"/>
    <w:lvl w:ilvl="0" w:tplc="C3ECADD4">
      <w:start w:val="1"/>
      <w:numFmt w:val="decimal"/>
      <w:lvlText w:val="%1."/>
      <w:lvlJc w:val="left"/>
      <w:pPr>
        <w:ind w:left="770" w:hanging="360"/>
      </w:pPr>
      <w:rPr>
        <w:b/>
        <w:bCs/>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47" w15:restartNumberingAfterBreak="0">
    <w:nsid w:val="76BB48BB"/>
    <w:multiLevelType w:val="hybridMultilevel"/>
    <w:tmpl w:val="C9266DDC"/>
    <w:lvl w:ilvl="0" w:tplc="080A0001">
      <w:start w:val="1"/>
      <w:numFmt w:val="bullet"/>
      <w:lvlText w:val=""/>
      <w:lvlJc w:val="left"/>
      <w:pPr>
        <w:ind w:left="710" w:hanging="71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8" w15:restartNumberingAfterBreak="0">
    <w:nsid w:val="7C7E3232"/>
    <w:multiLevelType w:val="hybridMultilevel"/>
    <w:tmpl w:val="DCD8D9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9"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F523ACA"/>
    <w:multiLevelType w:val="hybridMultilevel"/>
    <w:tmpl w:val="8E4200AA"/>
    <w:lvl w:ilvl="0" w:tplc="124EA3E4">
      <w:start w:val="1"/>
      <w:numFmt w:val="upperLetter"/>
      <w:lvlText w:val="%1."/>
      <w:lvlJc w:val="left"/>
      <w:pPr>
        <w:ind w:left="360" w:hanging="360"/>
      </w:pPr>
      <w:rPr>
        <w:b/>
        <w:i/>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16cid:durableId="2114400644">
    <w:abstractNumId w:val="28"/>
  </w:num>
  <w:num w:numId="2" w16cid:durableId="1329097592">
    <w:abstractNumId w:val="3"/>
  </w:num>
  <w:num w:numId="3" w16cid:durableId="818108038">
    <w:abstractNumId w:val="9"/>
  </w:num>
  <w:num w:numId="4" w16cid:durableId="434785085">
    <w:abstractNumId w:val="23"/>
  </w:num>
  <w:num w:numId="5" w16cid:durableId="1019965227">
    <w:abstractNumId w:val="38"/>
  </w:num>
  <w:num w:numId="6" w16cid:durableId="1692683145">
    <w:abstractNumId w:val="21"/>
  </w:num>
  <w:num w:numId="7" w16cid:durableId="429282490">
    <w:abstractNumId w:val="30"/>
  </w:num>
  <w:num w:numId="8" w16cid:durableId="1930118955">
    <w:abstractNumId w:val="35"/>
  </w:num>
  <w:num w:numId="9" w16cid:durableId="1442217593">
    <w:abstractNumId w:val="19"/>
  </w:num>
  <w:num w:numId="10" w16cid:durableId="241718446">
    <w:abstractNumId w:val="4"/>
  </w:num>
  <w:num w:numId="11" w16cid:durableId="550649714">
    <w:abstractNumId w:val="42"/>
  </w:num>
  <w:num w:numId="12" w16cid:durableId="600643916">
    <w:abstractNumId w:val="27"/>
  </w:num>
  <w:num w:numId="13" w16cid:durableId="2052730335">
    <w:abstractNumId w:val="45"/>
  </w:num>
  <w:num w:numId="14" w16cid:durableId="2114978058">
    <w:abstractNumId w:val="29"/>
  </w:num>
  <w:num w:numId="15" w16cid:durableId="1260724647">
    <w:abstractNumId w:val="39"/>
  </w:num>
  <w:num w:numId="16" w16cid:durableId="1651397480">
    <w:abstractNumId w:val="26"/>
  </w:num>
  <w:num w:numId="17" w16cid:durableId="1491940897">
    <w:abstractNumId w:val="49"/>
  </w:num>
  <w:num w:numId="18" w16cid:durableId="1085419436">
    <w:abstractNumId w:val="22"/>
  </w:num>
  <w:num w:numId="19" w16cid:durableId="1755013724">
    <w:abstractNumId w:val="13"/>
  </w:num>
  <w:num w:numId="20" w16cid:durableId="582767004">
    <w:abstractNumId w:val="36"/>
  </w:num>
  <w:num w:numId="21" w16cid:durableId="191187753">
    <w:abstractNumId w:val="2"/>
  </w:num>
  <w:num w:numId="22" w16cid:durableId="1717317556">
    <w:abstractNumId w:val="48"/>
  </w:num>
  <w:num w:numId="23" w16cid:durableId="1699234557">
    <w:abstractNumId w:val="3"/>
    <w:lvlOverride w:ilvl="0">
      <w:startOverride w:val="1"/>
    </w:lvlOverride>
  </w:num>
  <w:num w:numId="24" w16cid:durableId="1011833066">
    <w:abstractNumId w:val="43"/>
  </w:num>
  <w:num w:numId="25" w16cid:durableId="331104298">
    <w:abstractNumId w:val="33"/>
  </w:num>
  <w:num w:numId="26" w16cid:durableId="512770842">
    <w:abstractNumId w:val="6"/>
  </w:num>
  <w:num w:numId="27" w16cid:durableId="1633486786">
    <w:abstractNumId w:val="34"/>
  </w:num>
  <w:num w:numId="28" w16cid:durableId="1811171854">
    <w:abstractNumId w:val="40"/>
  </w:num>
  <w:num w:numId="29" w16cid:durableId="1048072373">
    <w:abstractNumId w:val="11"/>
  </w:num>
  <w:num w:numId="30" w16cid:durableId="1035732690">
    <w:abstractNumId w:val="12"/>
  </w:num>
  <w:num w:numId="31" w16cid:durableId="1867865622">
    <w:abstractNumId w:val="17"/>
  </w:num>
  <w:num w:numId="32" w16cid:durableId="1315139760">
    <w:abstractNumId w:val="8"/>
  </w:num>
  <w:num w:numId="33" w16cid:durableId="1856111394">
    <w:abstractNumId w:val="7"/>
  </w:num>
  <w:num w:numId="34" w16cid:durableId="1390689602">
    <w:abstractNumId w:val="20"/>
  </w:num>
  <w:num w:numId="35" w16cid:durableId="887302376">
    <w:abstractNumId w:val="32"/>
  </w:num>
  <w:num w:numId="36" w16cid:durableId="4672445">
    <w:abstractNumId w:val="44"/>
  </w:num>
  <w:num w:numId="37" w16cid:durableId="809324303">
    <w:abstractNumId w:val="47"/>
  </w:num>
  <w:num w:numId="38" w16cid:durableId="725226990">
    <w:abstractNumId w:val="3"/>
    <w:lvlOverride w:ilvl="0">
      <w:startOverride w:val="1"/>
    </w:lvlOverride>
  </w:num>
  <w:num w:numId="39" w16cid:durableId="825122441">
    <w:abstractNumId w:val="46"/>
  </w:num>
  <w:num w:numId="40" w16cid:durableId="280378241">
    <w:abstractNumId w:val="25"/>
  </w:num>
  <w:num w:numId="41" w16cid:durableId="608465091">
    <w:abstractNumId w:val="24"/>
  </w:num>
  <w:num w:numId="42" w16cid:durableId="2075932510">
    <w:abstractNumId w:val="41"/>
  </w:num>
  <w:num w:numId="43" w16cid:durableId="980354092">
    <w:abstractNumId w:val="10"/>
  </w:num>
  <w:num w:numId="44" w16cid:durableId="596643644">
    <w:abstractNumId w:val="37"/>
  </w:num>
  <w:num w:numId="45" w16cid:durableId="913274187">
    <w:abstractNumId w:val="0"/>
  </w:num>
  <w:num w:numId="46" w16cid:durableId="2004119457">
    <w:abstractNumId w:val="1"/>
  </w:num>
  <w:num w:numId="47" w16cid:durableId="2055808502">
    <w:abstractNumId w:val="18"/>
  </w:num>
  <w:num w:numId="48" w16cid:durableId="580942831">
    <w:abstractNumId w:val="16"/>
  </w:num>
  <w:num w:numId="49" w16cid:durableId="979992469">
    <w:abstractNumId w:val="15"/>
  </w:num>
  <w:num w:numId="50" w16cid:durableId="1008676202">
    <w:abstractNumId w:val="3"/>
    <w:lvlOverride w:ilvl="0">
      <w:startOverride w:val="1"/>
    </w:lvlOverride>
  </w:num>
  <w:num w:numId="51" w16cid:durableId="200434486">
    <w:abstractNumId w:val="26"/>
  </w:num>
  <w:num w:numId="52" w16cid:durableId="13496757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500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57342353">
    <w:abstractNumId w:val="13"/>
  </w:num>
  <w:num w:numId="55" w16cid:durableId="1946158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21729601">
    <w:abstractNumId w:val="31"/>
  </w:num>
  <w:num w:numId="57" w16cid:durableId="754404574">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OTVkZGE0ZTEtMmZhOS00NDhjLWE4MTgtMWY3MDIyN2IyOGMzIg0KfQ=="/>
    <w:docVar w:name="GVData0" w:val="(end)"/>
  </w:docVars>
  <w:rsids>
    <w:rsidRoot w:val="0038199D"/>
    <w:rsid w:val="000007DF"/>
    <w:rsid w:val="000049D9"/>
    <w:rsid w:val="000055EA"/>
    <w:rsid w:val="00005D31"/>
    <w:rsid w:val="00005DB7"/>
    <w:rsid w:val="00011C87"/>
    <w:rsid w:val="00014493"/>
    <w:rsid w:val="000149AB"/>
    <w:rsid w:val="00015130"/>
    <w:rsid w:val="0001600D"/>
    <w:rsid w:val="0002322C"/>
    <w:rsid w:val="000237FA"/>
    <w:rsid w:val="00023AF7"/>
    <w:rsid w:val="000253EE"/>
    <w:rsid w:val="00025623"/>
    <w:rsid w:val="00026723"/>
    <w:rsid w:val="00030E6E"/>
    <w:rsid w:val="000324FE"/>
    <w:rsid w:val="0003476F"/>
    <w:rsid w:val="000356DE"/>
    <w:rsid w:val="0003626C"/>
    <w:rsid w:val="00040722"/>
    <w:rsid w:val="00043DCB"/>
    <w:rsid w:val="00051577"/>
    <w:rsid w:val="000549F6"/>
    <w:rsid w:val="000553DD"/>
    <w:rsid w:val="00060B3A"/>
    <w:rsid w:val="00062C1D"/>
    <w:rsid w:val="0007778B"/>
    <w:rsid w:val="00082D5D"/>
    <w:rsid w:val="0008701D"/>
    <w:rsid w:val="0009088D"/>
    <w:rsid w:val="0009104D"/>
    <w:rsid w:val="00092755"/>
    <w:rsid w:val="000931D8"/>
    <w:rsid w:val="00094041"/>
    <w:rsid w:val="00097B00"/>
    <w:rsid w:val="000A0CEF"/>
    <w:rsid w:val="000A0F69"/>
    <w:rsid w:val="000A112D"/>
    <w:rsid w:val="000A5CFB"/>
    <w:rsid w:val="000A6067"/>
    <w:rsid w:val="000A619B"/>
    <w:rsid w:val="000A6255"/>
    <w:rsid w:val="000B49E0"/>
    <w:rsid w:val="000B5C31"/>
    <w:rsid w:val="000B71C0"/>
    <w:rsid w:val="000C1B54"/>
    <w:rsid w:val="000C1C30"/>
    <w:rsid w:val="000C476E"/>
    <w:rsid w:val="000D07E4"/>
    <w:rsid w:val="000D1DD1"/>
    <w:rsid w:val="000D2838"/>
    <w:rsid w:val="000D6674"/>
    <w:rsid w:val="000D7FFA"/>
    <w:rsid w:val="000E0501"/>
    <w:rsid w:val="000E41EA"/>
    <w:rsid w:val="000E41F3"/>
    <w:rsid w:val="000E49D9"/>
    <w:rsid w:val="000E54B6"/>
    <w:rsid w:val="000E55B0"/>
    <w:rsid w:val="000E727B"/>
    <w:rsid w:val="000E7D0E"/>
    <w:rsid w:val="000F0139"/>
    <w:rsid w:val="00100C9C"/>
    <w:rsid w:val="00102148"/>
    <w:rsid w:val="00105E55"/>
    <w:rsid w:val="00106FA0"/>
    <w:rsid w:val="001124B6"/>
    <w:rsid w:val="00112B88"/>
    <w:rsid w:val="0011622B"/>
    <w:rsid w:val="00117324"/>
    <w:rsid w:val="001207EF"/>
    <w:rsid w:val="00120D05"/>
    <w:rsid w:val="0013092B"/>
    <w:rsid w:val="00132257"/>
    <w:rsid w:val="001331D8"/>
    <w:rsid w:val="001413ED"/>
    <w:rsid w:val="00145E17"/>
    <w:rsid w:val="00156FCD"/>
    <w:rsid w:val="00160352"/>
    <w:rsid w:val="00164AE9"/>
    <w:rsid w:val="00166A3F"/>
    <w:rsid w:val="00170916"/>
    <w:rsid w:val="00174196"/>
    <w:rsid w:val="00175A93"/>
    <w:rsid w:val="00182FC1"/>
    <w:rsid w:val="00182FEE"/>
    <w:rsid w:val="001937D1"/>
    <w:rsid w:val="001947E2"/>
    <w:rsid w:val="001A1DF6"/>
    <w:rsid w:val="001A3C45"/>
    <w:rsid w:val="001A57DB"/>
    <w:rsid w:val="001A585C"/>
    <w:rsid w:val="001A5C6A"/>
    <w:rsid w:val="001A7D19"/>
    <w:rsid w:val="001B1359"/>
    <w:rsid w:val="001B369B"/>
    <w:rsid w:val="001B5184"/>
    <w:rsid w:val="001B676D"/>
    <w:rsid w:val="001C0864"/>
    <w:rsid w:val="001C11B0"/>
    <w:rsid w:val="001C1A6D"/>
    <w:rsid w:val="001C7102"/>
    <w:rsid w:val="001D07E4"/>
    <w:rsid w:val="001D2868"/>
    <w:rsid w:val="001D4AB1"/>
    <w:rsid w:val="001E0388"/>
    <w:rsid w:val="001F1F43"/>
    <w:rsid w:val="001F6CEA"/>
    <w:rsid w:val="0020440A"/>
    <w:rsid w:val="002107F6"/>
    <w:rsid w:val="002124FB"/>
    <w:rsid w:val="00217A22"/>
    <w:rsid w:val="00221089"/>
    <w:rsid w:val="00222886"/>
    <w:rsid w:val="00225373"/>
    <w:rsid w:val="002266C2"/>
    <w:rsid w:val="00232A61"/>
    <w:rsid w:val="00246FA5"/>
    <w:rsid w:val="00260C4C"/>
    <w:rsid w:val="00264F97"/>
    <w:rsid w:val="00266BE0"/>
    <w:rsid w:val="002701F5"/>
    <w:rsid w:val="00271E75"/>
    <w:rsid w:val="00272B83"/>
    <w:rsid w:val="002771ED"/>
    <w:rsid w:val="00280134"/>
    <w:rsid w:val="00280D8D"/>
    <w:rsid w:val="002811C3"/>
    <w:rsid w:val="002823DE"/>
    <w:rsid w:val="00297840"/>
    <w:rsid w:val="002A0A47"/>
    <w:rsid w:val="002A5F52"/>
    <w:rsid w:val="002A7E04"/>
    <w:rsid w:val="002A7EC6"/>
    <w:rsid w:val="002B1AD7"/>
    <w:rsid w:val="002B4BB2"/>
    <w:rsid w:val="002B62A4"/>
    <w:rsid w:val="002B63D8"/>
    <w:rsid w:val="002C0D35"/>
    <w:rsid w:val="002C2640"/>
    <w:rsid w:val="002C3201"/>
    <w:rsid w:val="002D159F"/>
    <w:rsid w:val="002D17C4"/>
    <w:rsid w:val="002D18DE"/>
    <w:rsid w:val="002D34FE"/>
    <w:rsid w:val="002D6946"/>
    <w:rsid w:val="002E6C44"/>
    <w:rsid w:val="002F489E"/>
    <w:rsid w:val="002F678D"/>
    <w:rsid w:val="00301F89"/>
    <w:rsid w:val="00307092"/>
    <w:rsid w:val="0031183C"/>
    <w:rsid w:val="00315763"/>
    <w:rsid w:val="00316DC1"/>
    <w:rsid w:val="00317C7D"/>
    <w:rsid w:val="00323B07"/>
    <w:rsid w:val="00323F3A"/>
    <w:rsid w:val="00331DFF"/>
    <w:rsid w:val="00332319"/>
    <w:rsid w:val="0033448A"/>
    <w:rsid w:val="003353FC"/>
    <w:rsid w:val="0034067D"/>
    <w:rsid w:val="00340A4E"/>
    <w:rsid w:val="00350692"/>
    <w:rsid w:val="00352375"/>
    <w:rsid w:val="003548B4"/>
    <w:rsid w:val="00357CAA"/>
    <w:rsid w:val="00360DFD"/>
    <w:rsid w:val="003613DA"/>
    <w:rsid w:val="00361F92"/>
    <w:rsid w:val="00362C5C"/>
    <w:rsid w:val="00365720"/>
    <w:rsid w:val="00374CF5"/>
    <w:rsid w:val="00375A83"/>
    <w:rsid w:val="00380392"/>
    <w:rsid w:val="00380AF6"/>
    <w:rsid w:val="00380FDD"/>
    <w:rsid w:val="0038199D"/>
    <w:rsid w:val="00381D5B"/>
    <w:rsid w:val="00391756"/>
    <w:rsid w:val="003932AE"/>
    <w:rsid w:val="00394200"/>
    <w:rsid w:val="00394C30"/>
    <w:rsid w:val="003A2325"/>
    <w:rsid w:val="003A44D2"/>
    <w:rsid w:val="003A7417"/>
    <w:rsid w:val="003A7C5A"/>
    <w:rsid w:val="003B524B"/>
    <w:rsid w:val="003B6BA1"/>
    <w:rsid w:val="003C0377"/>
    <w:rsid w:val="003C038E"/>
    <w:rsid w:val="003D0DF8"/>
    <w:rsid w:val="003D1364"/>
    <w:rsid w:val="003D1CAC"/>
    <w:rsid w:val="003D2703"/>
    <w:rsid w:val="003D7579"/>
    <w:rsid w:val="003E3056"/>
    <w:rsid w:val="003E4BED"/>
    <w:rsid w:val="003E5478"/>
    <w:rsid w:val="003E55FE"/>
    <w:rsid w:val="003E7D11"/>
    <w:rsid w:val="003F0722"/>
    <w:rsid w:val="003F4DE4"/>
    <w:rsid w:val="003F603E"/>
    <w:rsid w:val="0041087B"/>
    <w:rsid w:val="00410F8E"/>
    <w:rsid w:val="00411F7F"/>
    <w:rsid w:val="004141B1"/>
    <w:rsid w:val="00420771"/>
    <w:rsid w:val="00420DD3"/>
    <w:rsid w:val="004317BC"/>
    <w:rsid w:val="0043365D"/>
    <w:rsid w:val="0043404E"/>
    <w:rsid w:val="00435168"/>
    <w:rsid w:val="004368BF"/>
    <w:rsid w:val="00440E1A"/>
    <w:rsid w:val="00444217"/>
    <w:rsid w:val="00444EAF"/>
    <w:rsid w:val="00450FCD"/>
    <w:rsid w:val="004510A1"/>
    <w:rsid w:val="00454377"/>
    <w:rsid w:val="00460E7A"/>
    <w:rsid w:val="00461A06"/>
    <w:rsid w:val="00461B82"/>
    <w:rsid w:val="004646F0"/>
    <w:rsid w:val="00464849"/>
    <w:rsid w:val="00464AE1"/>
    <w:rsid w:val="0046559B"/>
    <w:rsid w:val="004666A6"/>
    <w:rsid w:val="0047161E"/>
    <w:rsid w:val="00474104"/>
    <w:rsid w:val="0047696E"/>
    <w:rsid w:val="004775AE"/>
    <w:rsid w:val="004939AF"/>
    <w:rsid w:val="00494FC1"/>
    <w:rsid w:val="004970C4"/>
    <w:rsid w:val="004A0202"/>
    <w:rsid w:val="004A1FE1"/>
    <w:rsid w:val="004A79E0"/>
    <w:rsid w:val="004B053F"/>
    <w:rsid w:val="004B0CA6"/>
    <w:rsid w:val="004B5044"/>
    <w:rsid w:val="004C4695"/>
    <w:rsid w:val="004D3BE2"/>
    <w:rsid w:val="004D5EAB"/>
    <w:rsid w:val="004D64DD"/>
    <w:rsid w:val="004D7960"/>
    <w:rsid w:val="004E2A3A"/>
    <w:rsid w:val="004E2C4B"/>
    <w:rsid w:val="004E4B70"/>
    <w:rsid w:val="004E5176"/>
    <w:rsid w:val="004F0CF7"/>
    <w:rsid w:val="004F0F70"/>
    <w:rsid w:val="004F17BB"/>
    <w:rsid w:val="004F4C27"/>
    <w:rsid w:val="004F62DC"/>
    <w:rsid w:val="004F7BB5"/>
    <w:rsid w:val="005012E2"/>
    <w:rsid w:val="00502BB2"/>
    <w:rsid w:val="00510155"/>
    <w:rsid w:val="00511FAE"/>
    <w:rsid w:val="00517B43"/>
    <w:rsid w:val="005214C7"/>
    <w:rsid w:val="00521757"/>
    <w:rsid w:val="0052296A"/>
    <w:rsid w:val="00523087"/>
    <w:rsid w:val="0052558F"/>
    <w:rsid w:val="005332DC"/>
    <w:rsid w:val="00535E24"/>
    <w:rsid w:val="0053724F"/>
    <w:rsid w:val="00543708"/>
    <w:rsid w:val="00544606"/>
    <w:rsid w:val="00545F79"/>
    <w:rsid w:val="00546B04"/>
    <w:rsid w:val="00546C4E"/>
    <w:rsid w:val="00546F00"/>
    <w:rsid w:val="00551194"/>
    <w:rsid w:val="005520AA"/>
    <w:rsid w:val="00553B51"/>
    <w:rsid w:val="00553C7B"/>
    <w:rsid w:val="00555B10"/>
    <w:rsid w:val="00560477"/>
    <w:rsid w:val="00564A19"/>
    <w:rsid w:val="0056758A"/>
    <w:rsid w:val="00570F3A"/>
    <w:rsid w:val="00575EFD"/>
    <w:rsid w:val="005801A3"/>
    <w:rsid w:val="00582214"/>
    <w:rsid w:val="00584CB6"/>
    <w:rsid w:val="0058551F"/>
    <w:rsid w:val="005876C4"/>
    <w:rsid w:val="00595786"/>
    <w:rsid w:val="005A1A0F"/>
    <w:rsid w:val="005A5671"/>
    <w:rsid w:val="005A653C"/>
    <w:rsid w:val="005A6649"/>
    <w:rsid w:val="005B0125"/>
    <w:rsid w:val="005B2C1D"/>
    <w:rsid w:val="005B3E9A"/>
    <w:rsid w:val="005B7378"/>
    <w:rsid w:val="005C0435"/>
    <w:rsid w:val="005C06DB"/>
    <w:rsid w:val="005C072E"/>
    <w:rsid w:val="005C49E9"/>
    <w:rsid w:val="005C67EA"/>
    <w:rsid w:val="005D1637"/>
    <w:rsid w:val="005D1DEE"/>
    <w:rsid w:val="005D2CC9"/>
    <w:rsid w:val="005D622C"/>
    <w:rsid w:val="005D6DB0"/>
    <w:rsid w:val="005E0B50"/>
    <w:rsid w:val="005E55BF"/>
    <w:rsid w:val="005E5A21"/>
    <w:rsid w:val="005E5F77"/>
    <w:rsid w:val="005F0265"/>
    <w:rsid w:val="005F2BA4"/>
    <w:rsid w:val="005F4DEC"/>
    <w:rsid w:val="00600500"/>
    <w:rsid w:val="00600DB8"/>
    <w:rsid w:val="006020E6"/>
    <w:rsid w:val="00603B41"/>
    <w:rsid w:val="00605BD9"/>
    <w:rsid w:val="00612A41"/>
    <w:rsid w:val="006223B2"/>
    <w:rsid w:val="00623761"/>
    <w:rsid w:val="00623F6F"/>
    <w:rsid w:val="006240BB"/>
    <w:rsid w:val="00625CB1"/>
    <w:rsid w:val="0062657D"/>
    <w:rsid w:val="00626BE6"/>
    <w:rsid w:val="00627B2B"/>
    <w:rsid w:val="00634948"/>
    <w:rsid w:val="0064308C"/>
    <w:rsid w:val="006430BF"/>
    <w:rsid w:val="0065082F"/>
    <w:rsid w:val="00657E2B"/>
    <w:rsid w:val="006601AF"/>
    <w:rsid w:val="0066476F"/>
    <w:rsid w:val="00670385"/>
    <w:rsid w:val="00670A0E"/>
    <w:rsid w:val="00675B67"/>
    <w:rsid w:val="0067607D"/>
    <w:rsid w:val="0067625F"/>
    <w:rsid w:val="006774EA"/>
    <w:rsid w:val="0068054F"/>
    <w:rsid w:val="00683443"/>
    <w:rsid w:val="00687D65"/>
    <w:rsid w:val="00694AE5"/>
    <w:rsid w:val="00697161"/>
    <w:rsid w:val="006A1D68"/>
    <w:rsid w:val="006A2672"/>
    <w:rsid w:val="006A3CD3"/>
    <w:rsid w:val="006A6D93"/>
    <w:rsid w:val="006B0B12"/>
    <w:rsid w:val="006B50CD"/>
    <w:rsid w:val="006B7E61"/>
    <w:rsid w:val="006C25ED"/>
    <w:rsid w:val="006C672B"/>
    <w:rsid w:val="006E248A"/>
    <w:rsid w:val="006E361A"/>
    <w:rsid w:val="006E48D6"/>
    <w:rsid w:val="006F1AB2"/>
    <w:rsid w:val="006F219A"/>
    <w:rsid w:val="006F3D5B"/>
    <w:rsid w:val="006F5989"/>
    <w:rsid w:val="006F7B29"/>
    <w:rsid w:val="00702727"/>
    <w:rsid w:val="00703850"/>
    <w:rsid w:val="00707E48"/>
    <w:rsid w:val="00714C32"/>
    <w:rsid w:val="007163E5"/>
    <w:rsid w:val="00717244"/>
    <w:rsid w:val="00717B72"/>
    <w:rsid w:val="00720D64"/>
    <w:rsid w:val="0072603E"/>
    <w:rsid w:val="00726A4C"/>
    <w:rsid w:val="00732143"/>
    <w:rsid w:val="00735DEE"/>
    <w:rsid w:val="0074187C"/>
    <w:rsid w:val="00743BCA"/>
    <w:rsid w:val="007440B2"/>
    <w:rsid w:val="00744534"/>
    <w:rsid w:val="0074626C"/>
    <w:rsid w:val="007473C3"/>
    <w:rsid w:val="007628D0"/>
    <w:rsid w:val="00762996"/>
    <w:rsid w:val="00763495"/>
    <w:rsid w:val="007644BA"/>
    <w:rsid w:val="007712B7"/>
    <w:rsid w:val="00772969"/>
    <w:rsid w:val="0077357C"/>
    <w:rsid w:val="00775562"/>
    <w:rsid w:val="00775F83"/>
    <w:rsid w:val="007843CF"/>
    <w:rsid w:val="00787028"/>
    <w:rsid w:val="0079076D"/>
    <w:rsid w:val="00796743"/>
    <w:rsid w:val="007978CB"/>
    <w:rsid w:val="007A1B7C"/>
    <w:rsid w:val="007A1E11"/>
    <w:rsid w:val="007A2C22"/>
    <w:rsid w:val="007A3BB3"/>
    <w:rsid w:val="007A5394"/>
    <w:rsid w:val="007A6974"/>
    <w:rsid w:val="007A752F"/>
    <w:rsid w:val="007B40A5"/>
    <w:rsid w:val="007B55BA"/>
    <w:rsid w:val="007B6347"/>
    <w:rsid w:val="007B703D"/>
    <w:rsid w:val="007C1346"/>
    <w:rsid w:val="007C2ED0"/>
    <w:rsid w:val="007C525F"/>
    <w:rsid w:val="007C53CF"/>
    <w:rsid w:val="007C561D"/>
    <w:rsid w:val="007D4688"/>
    <w:rsid w:val="007D4A23"/>
    <w:rsid w:val="007D610C"/>
    <w:rsid w:val="007E04FB"/>
    <w:rsid w:val="007E0959"/>
    <w:rsid w:val="007E29E9"/>
    <w:rsid w:val="007E4261"/>
    <w:rsid w:val="007E7B44"/>
    <w:rsid w:val="007F305E"/>
    <w:rsid w:val="007F4DB5"/>
    <w:rsid w:val="007F6983"/>
    <w:rsid w:val="007F732C"/>
    <w:rsid w:val="00800852"/>
    <w:rsid w:val="00804BB7"/>
    <w:rsid w:val="00805E1E"/>
    <w:rsid w:val="00806141"/>
    <w:rsid w:val="00815262"/>
    <w:rsid w:val="008200BE"/>
    <w:rsid w:val="00821743"/>
    <w:rsid w:val="008219F6"/>
    <w:rsid w:val="00821F94"/>
    <w:rsid w:val="00824DB7"/>
    <w:rsid w:val="008271AB"/>
    <w:rsid w:val="008338D5"/>
    <w:rsid w:val="00833D48"/>
    <w:rsid w:val="00835F7D"/>
    <w:rsid w:val="008406AA"/>
    <w:rsid w:val="00847A45"/>
    <w:rsid w:val="00854FBE"/>
    <w:rsid w:val="0086154B"/>
    <w:rsid w:val="00861D6A"/>
    <w:rsid w:val="008654B1"/>
    <w:rsid w:val="008658B5"/>
    <w:rsid w:val="008667C7"/>
    <w:rsid w:val="008711D6"/>
    <w:rsid w:val="008712B1"/>
    <w:rsid w:val="00873E7E"/>
    <w:rsid w:val="008754B4"/>
    <w:rsid w:val="0087596E"/>
    <w:rsid w:val="00876E3E"/>
    <w:rsid w:val="008834E6"/>
    <w:rsid w:val="008843FB"/>
    <w:rsid w:val="0089041C"/>
    <w:rsid w:val="00893186"/>
    <w:rsid w:val="008A337C"/>
    <w:rsid w:val="008A5565"/>
    <w:rsid w:val="008A5E46"/>
    <w:rsid w:val="008B15CE"/>
    <w:rsid w:val="008C679D"/>
    <w:rsid w:val="008D106B"/>
    <w:rsid w:val="008D1888"/>
    <w:rsid w:val="008D1C47"/>
    <w:rsid w:val="008D2D60"/>
    <w:rsid w:val="008D4C7A"/>
    <w:rsid w:val="008D6A1D"/>
    <w:rsid w:val="008E2476"/>
    <w:rsid w:val="008F16D3"/>
    <w:rsid w:val="008F2B1A"/>
    <w:rsid w:val="008F4468"/>
    <w:rsid w:val="008F5E99"/>
    <w:rsid w:val="008F5F75"/>
    <w:rsid w:val="008F63B1"/>
    <w:rsid w:val="00903C60"/>
    <w:rsid w:val="00903C94"/>
    <w:rsid w:val="00905C74"/>
    <w:rsid w:val="0091193C"/>
    <w:rsid w:val="00912EF9"/>
    <w:rsid w:val="00913F1B"/>
    <w:rsid w:val="00915CEA"/>
    <w:rsid w:val="009160D3"/>
    <w:rsid w:val="00917127"/>
    <w:rsid w:val="00924E06"/>
    <w:rsid w:val="00931546"/>
    <w:rsid w:val="009346DD"/>
    <w:rsid w:val="0094150D"/>
    <w:rsid w:val="00942344"/>
    <w:rsid w:val="009426CC"/>
    <w:rsid w:val="00944B2E"/>
    <w:rsid w:val="009555A5"/>
    <w:rsid w:val="00956B99"/>
    <w:rsid w:val="00957DB8"/>
    <w:rsid w:val="009602FF"/>
    <w:rsid w:val="009639AF"/>
    <w:rsid w:val="00970730"/>
    <w:rsid w:val="009708CD"/>
    <w:rsid w:val="00975C25"/>
    <w:rsid w:val="0098095A"/>
    <w:rsid w:val="00981D2D"/>
    <w:rsid w:val="0098316E"/>
    <w:rsid w:val="009868BF"/>
    <w:rsid w:val="00987672"/>
    <w:rsid w:val="0099287E"/>
    <w:rsid w:val="009951CE"/>
    <w:rsid w:val="009A2959"/>
    <w:rsid w:val="009A7F3C"/>
    <w:rsid w:val="009B2022"/>
    <w:rsid w:val="009B360E"/>
    <w:rsid w:val="009B3834"/>
    <w:rsid w:val="009B3924"/>
    <w:rsid w:val="009B5A35"/>
    <w:rsid w:val="009C1B2E"/>
    <w:rsid w:val="009C5A1F"/>
    <w:rsid w:val="009C6A6F"/>
    <w:rsid w:val="009C6C17"/>
    <w:rsid w:val="009D0EF4"/>
    <w:rsid w:val="009D3DDA"/>
    <w:rsid w:val="009D5669"/>
    <w:rsid w:val="009E072C"/>
    <w:rsid w:val="009E197F"/>
    <w:rsid w:val="009E43A3"/>
    <w:rsid w:val="009F7734"/>
    <w:rsid w:val="00A002E7"/>
    <w:rsid w:val="00A003A6"/>
    <w:rsid w:val="00A00824"/>
    <w:rsid w:val="00A0235F"/>
    <w:rsid w:val="00A023DF"/>
    <w:rsid w:val="00A02E4E"/>
    <w:rsid w:val="00A03258"/>
    <w:rsid w:val="00A03F6E"/>
    <w:rsid w:val="00A04017"/>
    <w:rsid w:val="00A078AE"/>
    <w:rsid w:val="00A11685"/>
    <w:rsid w:val="00A11BA0"/>
    <w:rsid w:val="00A1372C"/>
    <w:rsid w:val="00A20F02"/>
    <w:rsid w:val="00A25465"/>
    <w:rsid w:val="00A25B7E"/>
    <w:rsid w:val="00A3221E"/>
    <w:rsid w:val="00A3420E"/>
    <w:rsid w:val="00A344DA"/>
    <w:rsid w:val="00A454F4"/>
    <w:rsid w:val="00A57E13"/>
    <w:rsid w:val="00A60361"/>
    <w:rsid w:val="00A610BA"/>
    <w:rsid w:val="00A614ED"/>
    <w:rsid w:val="00A62E59"/>
    <w:rsid w:val="00A62F73"/>
    <w:rsid w:val="00A63006"/>
    <w:rsid w:val="00A7050F"/>
    <w:rsid w:val="00A74360"/>
    <w:rsid w:val="00A749B3"/>
    <w:rsid w:val="00A74B5C"/>
    <w:rsid w:val="00A74FE8"/>
    <w:rsid w:val="00A751A5"/>
    <w:rsid w:val="00A75A67"/>
    <w:rsid w:val="00A82080"/>
    <w:rsid w:val="00A84815"/>
    <w:rsid w:val="00A84C80"/>
    <w:rsid w:val="00A85F71"/>
    <w:rsid w:val="00A9042D"/>
    <w:rsid w:val="00A917C8"/>
    <w:rsid w:val="00A91838"/>
    <w:rsid w:val="00A92B29"/>
    <w:rsid w:val="00A932CC"/>
    <w:rsid w:val="00A95ED3"/>
    <w:rsid w:val="00A96AF4"/>
    <w:rsid w:val="00AA0D96"/>
    <w:rsid w:val="00AA1D52"/>
    <w:rsid w:val="00AA296F"/>
    <w:rsid w:val="00AA4A00"/>
    <w:rsid w:val="00AA643D"/>
    <w:rsid w:val="00AA70C3"/>
    <w:rsid w:val="00AB20E8"/>
    <w:rsid w:val="00AB2D19"/>
    <w:rsid w:val="00AB3B1E"/>
    <w:rsid w:val="00AB454C"/>
    <w:rsid w:val="00AB597A"/>
    <w:rsid w:val="00AC3842"/>
    <w:rsid w:val="00AC59FE"/>
    <w:rsid w:val="00AD0D63"/>
    <w:rsid w:val="00AD1814"/>
    <w:rsid w:val="00AD5147"/>
    <w:rsid w:val="00AD6B57"/>
    <w:rsid w:val="00AE3C2C"/>
    <w:rsid w:val="00AE734C"/>
    <w:rsid w:val="00AE778E"/>
    <w:rsid w:val="00AF0094"/>
    <w:rsid w:val="00AF01FA"/>
    <w:rsid w:val="00AF29F6"/>
    <w:rsid w:val="00AF6EE1"/>
    <w:rsid w:val="00B02079"/>
    <w:rsid w:val="00B029EC"/>
    <w:rsid w:val="00B05076"/>
    <w:rsid w:val="00B10B89"/>
    <w:rsid w:val="00B13E6D"/>
    <w:rsid w:val="00B14B27"/>
    <w:rsid w:val="00B16509"/>
    <w:rsid w:val="00B17D0B"/>
    <w:rsid w:val="00B20E15"/>
    <w:rsid w:val="00B21444"/>
    <w:rsid w:val="00B273CC"/>
    <w:rsid w:val="00B3275B"/>
    <w:rsid w:val="00B404ED"/>
    <w:rsid w:val="00B44129"/>
    <w:rsid w:val="00B4445C"/>
    <w:rsid w:val="00B50BAB"/>
    <w:rsid w:val="00B533DC"/>
    <w:rsid w:val="00B6657B"/>
    <w:rsid w:val="00B70568"/>
    <w:rsid w:val="00B70AA0"/>
    <w:rsid w:val="00B72399"/>
    <w:rsid w:val="00B73420"/>
    <w:rsid w:val="00B8341D"/>
    <w:rsid w:val="00B859BA"/>
    <w:rsid w:val="00B86143"/>
    <w:rsid w:val="00B875CD"/>
    <w:rsid w:val="00B92F94"/>
    <w:rsid w:val="00B97A10"/>
    <w:rsid w:val="00B97BF9"/>
    <w:rsid w:val="00BA7FC7"/>
    <w:rsid w:val="00BB2031"/>
    <w:rsid w:val="00BB2332"/>
    <w:rsid w:val="00BB25F2"/>
    <w:rsid w:val="00BB33A5"/>
    <w:rsid w:val="00BB5605"/>
    <w:rsid w:val="00BC1094"/>
    <w:rsid w:val="00BC2221"/>
    <w:rsid w:val="00BC355E"/>
    <w:rsid w:val="00BC5050"/>
    <w:rsid w:val="00BC5B94"/>
    <w:rsid w:val="00BC68E9"/>
    <w:rsid w:val="00BD04D6"/>
    <w:rsid w:val="00BD1C21"/>
    <w:rsid w:val="00BD3D09"/>
    <w:rsid w:val="00BE3A25"/>
    <w:rsid w:val="00BF33B5"/>
    <w:rsid w:val="00BF3586"/>
    <w:rsid w:val="00BF3828"/>
    <w:rsid w:val="00BF5F18"/>
    <w:rsid w:val="00BF7F9F"/>
    <w:rsid w:val="00C05AA3"/>
    <w:rsid w:val="00C11F6C"/>
    <w:rsid w:val="00C12AB0"/>
    <w:rsid w:val="00C12C64"/>
    <w:rsid w:val="00C1692A"/>
    <w:rsid w:val="00C209CD"/>
    <w:rsid w:val="00C22646"/>
    <w:rsid w:val="00C24AF4"/>
    <w:rsid w:val="00C26242"/>
    <w:rsid w:val="00C30CBF"/>
    <w:rsid w:val="00C30E0C"/>
    <w:rsid w:val="00C32290"/>
    <w:rsid w:val="00C3334C"/>
    <w:rsid w:val="00C35A85"/>
    <w:rsid w:val="00C35DB6"/>
    <w:rsid w:val="00C41536"/>
    <w:rsid w:val="00C417F7"/>
    <w:rsid w:val="00C41926"/>
    <w:rsid w:val="00C42DD1"/>
    <w:rsid w:val="00C474AE"/>
    <w:rsid w:val="00C510C8"/>
    <w:rsid w:val="00C512C8"/>
    <w:rsid w:val="00C53026"/>
    <w:rsid w:val="00C535AE"/>
    <w:rsid w:val="00C53E35"/>
    <w:rsid w:val="00C56B77"/>
    <w:rsid w:val="00C60ADB"/>
    <w:rsid w:val="00C61A78"/>
    <w:rsid w:val="00C63CEB"/>
    <w:rsid w:val="00C67A95"/>
    <w:rsid w:val="00C72469"/>
    <w:rsid w:val="00C82970"/>
    <w:rsid w:val="00C83664"/>
    <w:rsid w:val="00C84908"/>
    <w:rsid w:val="00C84BB4"/>
    <w:rsid w:val="00C8622C"/>
    <w:rsid w:val="00C900FF"/>
    <w:rsid w:val="00C91CE4"/>
    <w:rsid w:val="00C935BB"/>
    <w:rsid w:val="00C973EC"/>
    <w:rsid w:val="00CA32F5"/>
    <w:rsid w:val="00CA4D5D"/>
    <w:rsid w:val="00CA670F"/>
    <w:rsid w:val="00CB1D5D"/>
    <w:rsid w:val="00CB5DC7"/>
    <w:rsid w:val="00CB7035"/>
    <w:rsid w:val="00CB7780"/>
    <w:rsid w:val="00CC2A01"/>
    <w:rsid w:val="00CC382A"/>
    <w:rsid w:val="00CC53F7"/>
    <w:rsid w:val="00CD0188"/>
    <w:rsid w:val="00CD426A"/>
    <w:rsid w:val="00CD4835"/>
    <w:rsid w:val="00CD6EC5"/>
    <w:rsid w:val="00CE0836"/>
    <w:rsid w:val="00CE419D"/>
    <w:rsid w:val="00CF05A7"/>
    <w:rsid w:val="00CF3895"/>
    <w:rsid w:val="00CF7018"/>
    <w:rsid w:val="00D02122"/>
    <w:rsid w:val="00D0240E"/>
    <w:rsid w:val="00D06A7E"/>
    <w:rsid w:val="00D10727"/>
    <w:rsid w:val="00D13998"/>
    <w:rsid w:val="00D13CA5"/>
    <w:rsid w:val="00D162EC"/>
    <w:rsid w:val="00D22B9D"/>
    <w:rsid w:val="00D26BAF"/>
    <w:rsid w:val="00D32A71"/>
    <w:rsid w:val="00D334B0"/>
    <w:rsid w:val="00D34848"/>
    <w:rsid w:val="00D35F1C"/>
    <w:rsid w:val="00D362B6"/>
    <w:rsid w:val="00D41A26"/>
    <w:rsid w:val="00D42A21"/>
    <w:rsid w:val="00D44C48"/>
    <w:rsid w:val="00D472B6"/>
    <w:rsid w:val="00D47A99"/>
    <w:rsid w:val="00D50117"/>
    <w:rsid w:val="00D57B94"/>
    <w:rsid w:val="00D60BD2"/>
    <w:rsid w:val="00D64EAC"/>
    <w:rsid w:val="00D71751"/>
    <w:rsid w:val="00D721C7"/>
    <w:rsid w:val="00D745BF"/>
    <w:rsid w:val="00D76089"/>
    <w:rsid w:val="00D768D7"/>
    <w:rsid w:val="00D76DFA"/>
    <w:rsid w:val="00D81FAE"/>
    <w:rsid w:val="00D84343"/>
    <w:rsid w:val="00D84C43"/>
    <w:rsid w:val="00D90A1A"/>
    <w:rsid w:val="00D94F82"/>
    <w:rsid w:val="00D96838"/>
    <w:rsid w:val="00DA060B"/>
    <w:rsid w:val="00DA5776"/>
    <w:rsid w:val="00DA59EB"/>
    <w:rsid w:val="00DB2ACE"/>
    <w:rsid w:val="00DB357E"/>
    <w:rsid w:val="00DC0CC8"/>
    <w:rsid w:val="00DC3C6C"/>
    <w:rsid w:val="00DC7F45"/>
    <w:rsid w:val="00DD2558"/>
    <w:rsid w:val="00DD5DBF"/>
    <w:rsid w:val="00DE08D1"/>
    <w:rsid w:val="00DE3F9F"/>
    <w:rsid w:val="00DF154A"/>
    <w:rsid w:val="00DF46B6"/>
    <w:rsid w:val="00DF5B3F"/>
    <w:rsid w:val="00DF5CB5"/>
    <w:rsid w:val="00DF5FFC"/>
    <w:rsid w:val="00E005CD"/>
    <w:rsid w:val="00E04A07"/>
    <w:rsid w:val="00E051E5"/>
    <w:rsid w:val="00E0525B"/>
    <w:rsid w:val="00E10170"/>
    <w:rsid w:val="00E14B46"/>
    <w:rsid w:val="00E14B83"/>
    <w:rsid w:val="00E161CB"/>
    <w:rsid w:val="00E17493"/>
    <w:rsid w:val="00E23470"/>
    <w:rsid w:val="00E23C25"/>
    <w:rsid w:val="00E24B7E"/>
    <w:rsid w:val="00E24F8F"/>
    <w:rsid w:val="00E27E0A"/>
    <w:rsid w:val="00E32E10"/>
    <w:rsid w:val="00E43784"/>
    <w:rsid w:val="00E44666"/>
    <w:rsid w:val="00E4524F"/>
    <w:rsid w:val="00E523F8"/>
    <w:rsid w:val="00E53A00"/>
    <w:rsid w:val="00E53BFF"/>
    <w:rsid w:val="00E57341"/>
    <w:rsid w:val="00E62A8C"/>
    <w:rsid w:val="00E64007"/>
    <w:rsid w:val="00E65CC5"/>
    <w:rsid w:val="00E71AFE"/>
    <w:rsid w:val="00E7534A"/>
    <w:rsid w:val="00E75FC9"/>
    <w:rsid w:val="00E842FA"/>
    <w:rsid w:val="00E84A72"/>
    <w:rsid w:val="00E903F6"/>
    <w:rsid w:val="00E927ED"/>
    <w:rsid w:val="00E944B2"/>
    <w:rsid w:val="00E94ABF"/>
    <w:rsid w:val="00E9708D"/>
    <w:rsid w:val="00EA094D"/>
    <w:rsid w:val="00EA5A37"/>
    <w:rsid w:val="00EA6ACC"/>
    <w:rsid w:val="00EA7686"/>
    <w:rsid w:val="00EB04C8"/>
    <w:rsid w:val="00EB1D99"/>
    <w:rsid w:val="00EB22EB"/>
    <w:rsid w:val="00EB5DC2"/>
    <w:rsid w:val="00EC144A"/>
    <w:rsid w:val="00EC1B74"/>
    <w:rsid w:val="00EC277F"/>
    <w:rsid w:val="00EC297B"/>
    <w:rsid w:val="00EC32C5"/>
    <w:rsid w:val="00ED0227"/>
    <w:rsid w:val="00ED0CAD"/>
    <w:rsid w:val="00ED42B1"/>
    <w:rsid w:val="00ED7239"/>
    <w:rsid w:val="00EE0C46"/>
    <w:rsid w:val="00EE3517"/>
    <w:rsid w:val="00EE4BFF"/>
    <w:rsid w:val="00EE7751"/>
    <w:rsid w:val="00EF1F63"/>
    <w:rsid w:val="00EF340D"/>
    <w:rsid w:val="00EF7941"/>
    <w:rsid w:val="00EF7F52"/>
    <w:rsid w:val="00F04E72"/>
    <w:rsid w:val="00F12126"/>
    <w:rsid w:val="00F12555"/>
    <w:rsid w:val="00F13080"/>
    <w:rsid w:val="00F14403"/>
    <w:rsid w:val="00F17CDD"/>
    <w:rsid w:val="00F212B2"/>
    <w:rsid w:val="00F222FB"/>
    <w:rsid w:val="00F362D7"/>
    <w:rsid w:val="00F36A5D"/>
    <w:rsid w:val="00F411B8"/>
    <w:rsid w:val="00F44904"/>
    <w:rsid w:val="00F45347"/>
    <w:rsid w:val="00F45EB4"/>
    <w:rsid w:val="00F54225"/>
    <w:rsid w:val="00F55269"/>
    <w:rsid w:val="00F552F3"/>
    <w:rsid w:val="00F6104F"/>
    <w:rsid w:val="00F62889"/>
    <w:rsid w:val="00F6437C"/>
    <w:rsid w:val="00F65F85"/>
    <w:rsid w:val="00F67857"/>
    <w:rsid w:val="00F72DD7"/>
    <w:rsid w:val="00F812E3"/>
    <w:rsid w:val="00F81ED8"/>
    <w:rsid w:val="00F84B54"/>
    <w:rsid w:val="00F85C4C"/>
    <w:rsid w:val="00F913F0"/>
    <w:rsid w:val="00F94642"/>
    <w:rsid w:val="00F97305"/>
    <w:rsid w:val="00FA17DF"/>
    <w:rsid w:val="00FA28C2"/>
    <w:rsid w:val="00FA311D"/>
    <w:rsid w:val="00FA794B"/>
    <w:rsid w:val="00FB1016"/>
    <w:rsid w:val="00FB76D1"/>
    <w:rsid w:val="00FC2926"/>
    <w:rsid w:val="00FD1C45"/>
    <w:rsid w:val="00FD29A2"/>
    <w:rsid w:val="00FD35A8"/>
    <w:rsid w:val="00FD4CCC"/>
    <w:rsid w:val="00FD54BA"/>
    <w:rsid w:val="00FD7AA3"/>
    <w:rsid w:val="00FE5B9C"/>
    <w:rsid w:val="00FF656D"/>
    <w:rsid w:val="00FF7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C4FE"/>
  <w15:chartTrackingRefBased/>
  <w15:docId w15:val="{0B8BD455-2F4D-493B-A9CA-950E6035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3353FC"/>
    <w:pPr>
      <w:spacing w:after="0"/>
      <w:jc w:val="center"/>
      <w:outlineLvl w:val="0"/>
    </w:pPr>
    <w:rPr>
      <w:rFonts w:ascii="ITC Avant Garde" w:hAnsi="ITC Avant Garde"/>
      <w:b/>
    </w:rPr>
  </w:style>
  <w:style w:type="paragraph" w:styleId="Ttulo2">
    <w:name w:val="heading 2"/>
    <w:basedOn w:val="Listavistosa-nfasis11"/>
    <w:next w:val="Normal"/>
    <w:link w:val="Ttulo2Car"/>
    <w:uiPriority w:val="9"/>
    <w:unhideWhenUsed/>
    <w:qFormat/>
    <w:rsid w:val="003353FC"/>
    <w:pPr>
      <w:numPr>
        <w:numId w:val="2"/>
      </w:numPr>
      <w:spacing w:after="0" w:line="240" w:lineRule="auto"/>
      <w:jc w:val="center"/>
      <w:outlineLvl w:val="1"/>
    </w:pPr>
    <w:rPr>
      <w:rFonts w:ascii="ITC Avant Garde" w:eastAsia="Times New Roman" w:hAnsi="ITC Avant Garde"/>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0">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Numeración 1,Estilo0,CNBV Parrafo1,4 Viñ 1nivel,prueba1,Romano,Romanos,Cuadrícula media 1 - Énfasis 21,Listas,lp1"/>
    <w:basedOn w:val="Normal"/>
    <w:link w:val="PrrafodelistaCar"/>
    <w:uiPriority w:val="72"/>
    <w:qFormat/>
    <w:rsid w:val="00F36A5D"/>
    <w:pPr>
      <w:ind w:left="708"/>
    </w:pPr>
  </w:style>
  <w:style w:type="paragraph" w:styleId="Textonotapie">
    <w:name w:val="footnote text"/>
    <w:aliases w:val="Footnote,Fußnote,FN,fn Car,footnote text Car,Footnotes Car,Footnote ak Car,Texto nota pie Car1,Texto nota pie Car2 Car Car,Texto nota pie Car Car1 Car Car,Texto nota pie Car Car Car Car Car Car Car Car1 Car Car,Footnote referenc"/>
    <w:basedOn w:val="Normal"/>
    <w:link w:val="TextonotapieCar"/>
    <w:uiPriority w:val="99"/>
    <w:unhideWhenUsed/>
    <w:qFormat/>
    <w:rsid w:val="00E17493"/>
    <w:pPr>
      <w:spacing w:after="0" w:line="240" w:lineRule="auto"/>
    </w:pPr>
    <w:rPr>
      <w:sz w:val="20"/>
      <w:szCs w:val="20"/>
    </w:rPr>
  </w:style>
  <w:style w:type="character" w:customStyle="1" w:styleId="TextonotapieCar">
    <w:name w:val="Texto nota pie Car"/>
    <w:aliases w:val="Footnote Car,Fußnote Car,FN Car,fn Car Car,footnote text Car Car,Footnotes Car Car,Footnote ak Car Car,Texto nota pie Car1 Car,Texto nota pie Car2 Car Car Car,Texto nota pie Car Car1 Car Car Car,Footnote referenc Car"/>
    <w:link w:val="Textonotapie"/>
    <w:uiPriority w:val="99"/>
    <w:rsid w:val="00E17493"/>
    <w:rPr>
      <w:lang w:eastAsia="en-US"/>
    </w:rPr>
  </w:style>
  <w:style w:type="character" w:styleId="Refdenotaalpie">
    <w:name w:val="footnote reference"/>
    <w:aliases w:val="Footnote Reference Superscript,Ref,de nota al pie,FC,Appel note de bas de p,referencia nota al pie,Footnote symbol,Texto de nota al pie,Footnotes refss,Appel note de bas de page,fr,o,Style 6,Style 12,(NECG) Footnote Reference"/>
    <w:uiPriority w:val="99"/>
    <w:unhideWhenUsed/>
    <w:qFormat/>
    <w:rsid w:val="00E17493"/>
    <w:rPr>
      <w:vertAlign w:val="superscript"/>
    </w:rPr>
  </w:style>
  <w:style w:type="paragraph" w:customStyle="1" w:styleId="Listavistosa-nfasis11">
    <w:name w:val="Lista vistosa - Énfasis 11"/>
    <w:basedOn w:val="Normal"/>
    <w:uiPriority w:val="34"/>
    <w:qFormat/>
    <w:rsid w:val="000553DD"/>
    <w:pPr>
      <w:ind w:left="720"/>
      <w:contextualSpacing/>
    </w:pPr>
  </w:style>
  <w:style w:type="paragraph" w:styleId="Textonotaalfinal">
    <w:name w:val="endnote text"/>
    <w:basedOn w:val="Normal"/>
    <w:link w:val="TextonotaalfinalCar"/>
    <w:uiPriority w:val="99"/>
    <w:semiHidden/>
    <w:unhideWhenUsed/>
    <w:rsid w:val="00A614ED"/>
    <w:rPr>
      <w:sz w:val="20"/>
      <w:szCs w:val="20"/>
    </w:rPr>
  </w:style>
  <w:style w:type="character" w:customStyle="1" w:styleId="TextonotaalfinalCar">
    <w:name w:val="Texto nota al final Car"/>
    <w:link w:val="Textonotaalfinal"/>
    <w:uiPriority w:val="99"/>
    <w:semiHidden/>
    <w:rsid w:val="00A614ED"/>
    <w:rPr>
      <w:lang w:eastAsia="en-US"/>
    </w:rPr>
  </w:style>
  <w:style w:type="character" w:styleId="Refdenotaalfinal">
    <w:name w:val="endnote reference"/>
    <w:uiPriority w:val="99"/>
    <w:semiHidden/>
    <w:unhideWhenUsed/>
    <w:rsid w:val="00A614ED"/>
    <w:rPr>
      <w:vertAlign w:val="superscript"/>
    </w:rPr>
  </w:style>
  <w:style w:type="character" w:styleId="Hipervnculovisitado">
    <w:name w:val="FollowedHyperlink"/>
    <w:basedOn w:val="Fuentedeprrafopredeter"/>
    <w:uiPriority w:val="99"/>
    <w:semiHidden/>
    <w:unhideWhenUsed/>
    <w:rsid w:val="00957DB8"/>
    <w:rPr>
      <w:color w:val="954F72" w:themeColor="followedHyperlink"/>
      <w:u w:val="single"/>
    </w:rPr>
  </w:style>
  <w:style w:type="character" w:customStyle="1" w:styleId="Ttulo1Car">
    <w:name w:val="Título 1 Car"/>
    <w:basedOn w:val="Fuentedeprrafopredeter"/>
    <w:link w:val="Ttulo1"/>
    <w:uiPriority w:val="9"/>
    <w:rsid w:val="003353FC"/>
    <w:rPr>
      <w:rFonts w:ascii="ITC Avant Garde" w:hAnsi="ITC Avant Garde"/>
      <w:b/>
      <w:sz w:val="22"/>
      <w:szCs w:val="22"/>
      <w:lang w:eastAsia="en-US"/>
    </w:rPr>
  </w:style>
  <w:style w:type="character" w:customStyle="1" w:styleId="Ttulo2Car">
    <w:name w:val="Título 2 Car"/>
    <w:basedOn w:val="Fuentedeprrafopredeter"/>
    <w:link w:val="Ttulo2"/>
    <w:uiPriority w:val="9"/>
    <w:rsid w:val="003353FC"/>
    <w:rPr>
      <w:rFonts w:ascii="ITC Avant Garde" w:eastAsia="Times New Roman" w:hAnsi="ITC Avant Garde"/>
      <w:b/>
      <w:bCs/>
      <w:sz w:val="22"/>
      <w:szCs w:val="22"/>
    </w:rPr>
  </w:style>
  <w:style w:type="character" w:customStyle="1" w:styleId="PrrafodelistaCar">
    <w:name w:val="Párrafo de lista Car"/>
    <w:aliases w:val="Numeración 1 Car,Estilo0 Car,CNBV Parrafo1 Car,4 Viñ 1nivel Car,prueba1 Car,Romano Car,Romanos Car,Cuadrícula media 1 - Énfasis 21 Car,Listas Car,lp1 Car"/>
    <w:link w:val="Prrafodelista"/>
    <w:uiPriority w:val="34"/>
    <w:qFormat/>
    <w:rsid w:val="00C32290"/>
    <w:rPr>
      <w:sz w:val="22"/>
      <w:szCs w:val="22"/>
      <w:lang w:eastAsia="en-US"/>
    </w:rPr>
  </w:style>
  <w:style w:type="character" w:styleId="Mencinsinresolver">
    <w:name w:val="Unresolved Mention"/>
    <w:basedOn w:val="Fuentedeprrafopredeter"/>
    <w:uiPriority w:val="99"/>
    <w:semiHidden/>
    <w:unhideWhenUsed/>
    <w:rsid w:val="006E48D6"/>
    <w:rPr>
      <w:color w:val="605E5C"/>
      <w:shd w:val="clear" w:color="auto" w:fill="E1DFDD"/>
    </w:rPr>
  </w:style>
  <w:style w:type="paragraph" w:styleId="Revisin">
    <w:name w:val="Revision"/>
    <w:hidden/>
    <w:uiPriority w:val="71"/>
    <w:unhideWhenUsed/>
    <w:rsid w:val="000007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3625">
      <w:bodyDiv w:val="1"/>
      <w:marLeft w:val="0"/>
      <w:marRight w:val="0"/>
      <w:marTop w:val="0"/>
      <w:marBottom w:val="0"/>
      <w:divBdr>
        <w:top w:val="none" w:sz="0" w:space="0" w:color="auto"/>
        <w:left w:val="none" w:sz="0" w:space="0" w:color="auto"/>
        <w:bottom w:val="none" w:sz="0" w:space="0" w:color="auto"/>
        <w:right w:val="none" w:sz="0" w:space="0" w:color="auto"/>
      </w:divBdr>
    </w:div>
    <w:div w:id="343046923">
      <w:bodyDiv w:val="1"/>
      <w:marLeft w:val="0"/>
      <w:marRight w:val="0"/>
      <w:marTop w:val="0"/>
      <w:marBottom w:val="0"/>
      <w:divBdr>
        <w:top w:val="none" w:sz="0" w:space="0" w:color="auto"/>
        <w:left w:val="none" w:sz="0" w:space="0" w:color="auto"/>
        <w:bottom w:val="none" w:sz="0" w:space="0" w:color="auto"/>
        <w:right w:val="none" w:sz="0" w:space="0" w:color="auto"/>
      </w:divBdr>
    </w:div>
    <w:div w:id="446968455">
      <w:bodyDiv w:val="1"/>
      <w:marLeft w:val="0"/>
      <w:marRight w:val="0"/>
      <w:marTop w:val="0"/>
      <w:marBottom w:val="0"/>
      <w:divBdr>
        <w:top w:val="none" w:sz="0" w:space="0" w:color="auto"/>
        <w:left w:val="none" w:sz="0" w:space="0" w:color="auto"/>
        <w:bottom w:val="none" w:sz="0" w:space="0" w:color="auto"/>
        <w:right w:val="none" w:sz="0" w:space="0" w:color="auto"/>
      </w:divBdr>
    </w:div>
    <w:div w:id="713237067">
      <w:bodyDiv w:val="1"/>
      <w:marLeft w:val="0"/>
      <w:marRight w:val="0"/>
      <w:marTop w:val="0"/>
      <w:marBottom w:val="0"/>
      <w:divBdr>
        <w:top w:val="none" w:sz="0" w:space="0" w:color="auto"/>
        <w:left w:val="none" w:sz="0" w:space="0" w:color="auto"/>
        <w:bottom w:val="none" w:sz="0" w:space="0" w:color="auto"/>
        <w:right w:val="none" w:sz="0" w:space="0" w:color="auto"/>
      </w:divBdr>
    </w:div>
    <w:div w:id="774060068">
      <w:bodyDiv w:val="1"/>
      <w:marLeft w:val="0"/>
      <w:marRight w:val="0"/>
      <w:marTop w:val="0"/>
      <w:marBottom w:val="0"/>
      <w:divBdr>
        <w:top w:val="none" w:sz="0" w:space="0" w:color="auto"/>
        <w:left w:val="none" w:sz="0" w:space="0" w:color="auto"/>
        <w:bottom w:val="none" w:sz="0" w:space="0" w:color="auto"/>
        <w:right w:val="none" w:sz="0" w:space="0" w:color="auto"/>
      </w:divBdr>
    </w:div>
    <w:div w:id="1033919207">
      <w:bodyDiv w:val="1"/>
      <w:marLeft w:val="0"/>
      <w:marRight w:val="0"/>
      <w:marTop w:val="0"/>
      <w:marBottom w:val="0"/>
      <w:divBdr>
        <w:top w:val="none" w:sz="0" w:space="0" w:color="auto"/>
        <w:left w:val="none" w:sz="0" w:space="0" w:color="auto"/>
        <w:bottom w:val="none" w:sz="0" w:space="0" w:color="auto"/>
        <w:right w:val="none" w:sz="0" w:space="0" w:color="auto"/>
      </w:divBdr>
    </w:div>
    <w:div w:id="106502948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400204626">
      <w:bodyDiv w:val="1"/>
      <w:marLeft w:val="0"/>
      <w:marRight w:val="0"/>
      <w:marTop w:val="0"/>
      <w:marBottom w:val="0"/>
      <w:divBdr>
        <w:top w:val="none" w:sz="0" w:space="0" w:color="auto"/>
        <w:left w:val="none" w:sz="0" w:space="0" w:color="auto"/>
        <w:bottom w:val="none" w:sz="0" w:space="0" w:color="auto"/>
        <w:right w:val="none" w:sz="0" w:space="0" w:color="auto"/>
      </w:divBdr>
    </w:div>
    <w:div w:id="1455564860">
      <w:bodyDiv w:val="1"/>
      <w:marLeft w:val="0"/>
      <w:marRight w:val="0"/>
      <w:marTop w:val="0"/>
      <w:marBottom w:val="0"/>
      <w:divBdr>
        <w:top w:val="none" w:sz="0" w:space="0" w:color="auto"/>
        <w:left w:val="none" w:sz="0" w:space="0" w:color="auto"/>
        <w:bottom w:val="none" w:sz="0" w:space="0" w:color="auto"/>
        <w:right w:val="none" w:sz="0" w:space="0" w:color="auto"/>
      </w:divBdr>
    </w:div>
    <w:div w:id="1540971608">
      <w:bodyDiv w:val="1"/>
      <w:marLeft w:val="0"/>
      <w:marRight w:val="0"/>
      <w:marTop w:val="0"/>
      <w:marBottom w:val="0"/>
      <w:divBdr>
        <w:top w:val="none" w:sz="0" w:space="0" w:color="auto"/>
        <w:left w:val="none" w:sz="0" w:space="0" w:color="auto"/>
        <w:bottom w:val="none" w:sz="0" w:space="0" w:color="auto"/>
        <w:right w:val="none" w:sz="0" w:space="0" w:color="auto"/>
      </w:divBdr>
    </w:div>
    <w:div w:id="1575166828">
      <w:bodyDiv w:val="1"/>
      <w:marLeft w:val="0"/>
      <w:marRight w:val="0"/>
      <w:marTop w:val="0"/>
      <w:marBottom w:val="0"/>
      <w:divBdr>
        <w:top w:val="none" w:sz="0" w:space="0" w:color="auto"/>
        <w:left w:val="none" w:sz="0" w:space="0" w:color="auto"/>
        <w:bottom w:val="none" w:sz="0" w:space="0" w:color="auto"/>
        <w:right w:val="none" w:sz="0" w:space="0" w:color="auto"/>
      </w:divBdr>
    </w:div>
    <w:div w:id="1779325287">
      <w:bodyDiv w:val="1"/>
      <w:marLeft w:val="0"/>
      <w:marRight w:val="0"/>
      <w:marTop w:val="0"/>
      <w:marBottom w:val="0"/>
      <w:divBdr>
        <w:top w:val="none" w:sz="0" w:space="0" w:color="auto"/>
        <w:left w:val="none" w:sz="0" w:space="0" w:color="auto"/>
        <w:bottom w:val="none" w:sz="0" w:space="0" w:color="auto"/>
        <w:right w:val="none" w:sz="0" w:space="0" w:color="auto"/>
      </w:divBdr>
    </w:div>
    <w:div w:id="1894270239">
      <w:bodyDiv w:val="1"/>
      <w:marLeft w:val="0"/>
      <w:marRight w:val="0"/>
      <w:marTop w:val="0"/>
      <w:marBottom w:val="0"/>
      <w:divBdr>
        <w:top w:val="none" w:sz="0" w:space="0" w:color="auto"/>
        <w:left w:val="none" w:sz="0" w:space="0" w:color="auto"/>
        <w:bottom w:val="none" w:sz="0" w:space="0" w:color="auto"/>
        <w:right w:val="none" w:sz="0" w:space="0" w:color="auto"/>
      </w:divBdr>
    </w:div>
    <w:div w:id="1987082800">
      <w:bodyDiv w:val="1"/>
      <w:marLeft w:val="0"/>
      <w:marRight w:val="0"/>
      <w:marTop w:val="0"/>
      <w:marBottom w:val="0"/>
      <w:divBdr>
        <w:top w:val="none" w:sz="0" w:space="0" w:color="auto"/>
        <w:left w:val="none" w:sz="0" w:space="0" w:color="auto"/>
        <w:bottom w:val="none" w:sz="0" w:space="0" w:color="auto"/>
        <w:right w:val="none" w:sz="0" w:space="0" w:color="auto"/>
      </w:divBdr>
    </w:div>
    <w:div w:id="1996445220">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 w:id="203005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iana.cruz@ift.org.mx" TargetMode="External"/><Relationship Id="rId18" Type="http://schemas.openxmlformats.org/officeDocument/2006/relationships/hyperlink" Target="https://home.inai.org.mx/wp-content/documentos/formatos/PDP/FormatoDerechosARCO.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unidad.transparencia@ift.org.mx"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licabilidad.2025@ift.org.m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frain.garcia@ift.org.mx" TargetMode="External"/><Relationship Id="rId23" Type="http://schemas.openxmlformats.org/officeDocument/2006/relationships/hyperlink" Target="https://www.ift.org.mx/proteccion_de_datos_personales/avisos_de_privacid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ustin.garcia@ift.org.mx" TargetMode="External"/><Relationship Id="rId22" Type="http://schemas.openxmlformats.org/officeDocument/2006/relationships/hyperlink" Target="https://www.ift.org.mx/sites/default/files/OPNT/LGPDPPSO/4_Portabilidad/Criterio_4_1_2.zip"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contenidogeneral/politica-regulatoria/pift120917548.pdf" TargetMode="External"/><Relationship Id="rId2" Type="http://schemas.openxmlformats.org/officeDocument/2006/relationships/hyperlink" Target="http://www.ift.org.mx/sites/default/files/conocenos/pleno/sesiones/acuerdoliga/pitfext270217119verpub_2.pdf" TargetMode="External"/><Relationship Id="rId1" Type="http://schemas.openxmlformats.org/officeDocument/2006/relationships/hyperlink" Target="https://www.ift.org.mx/sites/default/files/OPNT/LGPDPPSO/3_M_ARCO/Criterio_3_1_1.zip" TargetMode="External"/><Relationship Id="rId6" Type="http://schemas.openxmlformats.org/officeDocument/2006/relationships/hyperlink" Target="http://www.ift.org.mx/sites/default/files/anexo_3_medidas_2014-2017-2020_telecom.pdf" TargetMode="External"/><Relationship Id="rId5" Type="http://schemas.openxmlformats.org/officeDocument/2006/relationships/hyperlink" Target="http://www.ift.org.mx/sites/default/files/anexo_2_12.pdf" TargetMode="External"/><Relationship Id="rId4" Type="http://schemas.openxmlformats.org/officeDocument/2006/relationships/hyperlink" Target="http://www.ift.org.mx/sites/default/files/anexo_1_medidas_2014-2017-2020_teleco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668F8EA0F84D7995D86D2FF88722F7"/>
        <w:category>
          <w:name w:val="General"/>
          <w:gallery w:val="placeholder"/>
        </w:category>
        <w:types>
          <w:type w:val="bbPlcHdr"/>
        </w:types>
        <w:behaviors>
          <w:behavior w:val="content"/>
        </w:behaviors>
        <w:guid w:val="{BFC99D28-EF43-488D-8802-06E3C16157CE}"/>
      </w:docPartPr>
      <w:docPartBody>
        <w:p w:rsidR="00D42487" w:rsidRDefault="00232032" w:rsidP="00232032">
          <w:pPr>
            <w:pStyle w:val="46668F8EA0F84D7995D86D2FF88722F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32"/>
    <w:rsid w:val="001354C6"/>
    <w:rsid w:val="001B765F"/>
    <w:rsid w:val="00232032"/>
    <w:rsid w:val="00256F20"/>
    <w:rsid w:val="00272C6F"/>
    <w:rsid w:val="00317C7D"/>
    <w:rsid w:val="00353B88"/>
    <w:rsid w:val="00394C30"/>
    <w:rsid w:val="004559FD"/>
    <w:rsid w:val="00550BDA"/>
    <w:rsid w:val="006174F3"/>
    <w:rsid w:val="007752E5"/>
    <w:rsid w:val="008338D5"/>
    <w:rsid w:val="008F4B0A"/>
    <w:rsid w:val="00917127"/>
    <w:rsid w:val="00966223"/>
    <w:rsid w:val="009E19AA"/>
    <w:rsid w:val="00A02E4E"/>
    <w:rsid w:val="00B30BE1"/>
    <w:rsid w:val="00B534DB"/>
    <w:rsid w:val="00BC2203"/>
    <w:rsid w:val="00D42487"/>
    <w:rsid w:val="00D76DFA"/>
    <w:rsid w:val="00EF7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2032"/>
  </w:style>
  <w:style w:type="paragraph" w:customStyle="1" w:styleId="46668F8EA0F84D7995D86D2FF88722F7">
    <w:name w:val="46668F8EA0F84D7995D86D2FF88722F7"/>
    <w:rsid w:val="0023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2" ma:contentTypeDescription="Crear nuevo documento." ma:contentTypeScope="" ma:versionID="2592c275756a7e9db8147c1ad6a05c37">
  <xsd:schema xmlns:xsd="http://www.w3.org/2001/XMLSchema" xmlns:xs="http://www.w3.org/2001/XMLSchema" xmlns:p="http://schemas.microsoft.com/office/2006/metadata/properties" xmlns:ns2="6495ad76-b129-4426-9f15-29f13e1ad190" targetNamespace="http://schemas.microsoft.com/office/2006/metadata/properties" ma:root="true" ma:fieldsID="3ab55f5ffa007d74f190251a470e73a8" ns2:_="">
    <xsd:import namespace="6495ad76-b129-4426-9f15-29f13e1ad1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ad76-b129-4426-9f15-29f13e1ad19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B115F-4B22-4452-8F6B-9D4A7FF44263}">
  <ds:schemaRefs>
    <ds:schemaRef ds:uri="http://schemas.openxmlformats.org/officeDocument/2006/bibliography"/>
  </ds:schemaRefs>
</ds:datastoreItem>
</file>

<file path=customXml/itemProps2.xml><?xml version="1.0" encoding="utf-8"?>
<ds:datastoreItem xmlns:ds="http://schemas.openxmlformats.org/officeDocument/2006/customXml" ds:itemID="{0C483B9B-D364-4D1B-BA86-D109FE90929F}">
  <ds:schemaRefs>
    <ds:schemaRef ds:uri="http://schemas.microsoft.com/sharepoint/v3/contenttype/forms"/>
  </ds:schemaRefs>
</ds:datastoreItem>
</file>

<file path=customXml/itemProps3.xml><?xml version="1.0" encoding="utf-8"?>
<ds:datastoreItem xmlns:ds="http://schemas.openxmlformats.org/officeDocument/2006/customXml" ds:itemID="{78482D82-0F6B-4005-B55C-8DA9EC51B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ad76-b129-4426-9f15-29f13e1ad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64531-A5F5-4196-9588-84F49F25CAA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5422</Words>
  <Characters>30043</Characters>
  <Application>Microsoft Office Word</Application>
  <DocSecurity>0</DocSecurity>
  <Lines>969</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35121</CharactersWithSpaces>
  <SharedDoc>false</SharedDoc>
  <HLinks>
    <vt:vector size="114" baseType="variant">
      <vt:variant>
        <vt:i4>6750293</vt:i4>
      </vt:variant>
      <vt:variant>
        <vt:i4>36</vt:i4>
      </vt:variant>
      <vt:variant>
        <vt:i4>0</vt:i4>
      </vt:variant>
      <vt:variant>
        <vt:i4>5</vt:i4>
      </vt:variant>
      <vt:variant>
        <vt:lpwstr>https://www.ift.org.mx/proteccion_de_datos_personales/avisos_de_privacidad</vt:lpwstr>
      </vt:variant>
      <vt:variant>
        <vt:lpwstr/>
      </vt:variant>
      <vt:variant>
        <vt:i4>2555952</vt:i4>
      </vt:variant>
      <vt:variant>
        <vt:i4>33</vt:i4>
      </vt:variant>
      <vt:variant>
        <vt:i4>0</vt:i4>
      </vt:variant>
      <vt:variant>
        <vt:i4>5</vt:i4>
      </vt:variant>
      <vt:variant>
        <vt:lpwstr>https://www.ift.org.mx/sites/default/files/OPNT/LGPDPPSO/4_Portabilidad/Criterio_4_1_2.zip</vt:lpwstr>
      </vt:variant>
      <vt:variant>
        <vt:lpwstr/>
      </vt:variant>
      <vt:variant>
        <vt:i4>262204</vt:i4>
      </vt:variant>
      <vt:variant>
        <vt:i4>30</vt:i4>
      </vt:variant>
      <vt:variant>
        <vt:i4>0</vt:i4>
      </vt:variant>
      <vt:variant>
        <vt:i4>5</vt:i4>
      </vt:variant>
      <vt:variant>
        <vt:lpwstr>mailto:unidad.transparencia@ift.org.mx</vt:lpwstr>
      </vt:variant>
      <vt:variant>
        <vt:lpwstr/>
      </vt:variant>
      <vt:variant>
        <vt:i4>2555952</vt:i4>
      </vt:variant>
      <vt:variant>
        <vt:i4>27</vt:i4>
      </vt:variant>
      <vt:variant>
        <vt:i4>0</vt:i4>
      </vt:variant>
      <vt:variant>
        <vt:i4>5</vt:i4>
      </vt:variant>
      <vt:variant>
        <vt:lpwstr>https://www.ift.org.mx/sites/default/files/OPNT/LGPDPPSO/4_Portabilidad/Criterio_4_1_2.zip</vt:lpwstr>
      </vt:variant>
      <vt:variant>
        <vt:lpwstr/>
      </vt:variant>
      <vt:variant>
        <vt:i4>262204</vt:i4>
      </vt:variant>
      <vt:variant>
        <vt:i4>24</vt:i4>
      </vt:variant>
      <vt:variant>
        <vt:i4>0</vt:i4>
      </vt:variant>
      <vt:variant>
        <vt:i4>5</vt:i4>
      </vt:variant>
      <vt:variant>
        <vt:lpwstr>mailto:unidad.transparencia@ift.org.mx</vt:lpwstr>
      </vt:variant>
      <vt:variant>
        <vt:lpwstr/>
      </vt:variant>
      <vt:variant>
        <vt:i4>4718608</vt:i4>
      </vt:variant>
      <vt:variant>
        <vt:i4>21</vt:i4>
      </vt:variant>
      <vt:variant>
        <vt:i4>0</vt:i4>
      </vt:variant>
      <vt:variant>
        <vt:i4>5</vt:i4>
      </vt:variant>
      <vt:variant>
        <vt:lpwstr>https://home.inai.org.mx/wp-content/documentos/formatos/PDP/FormatoDerechosARCO.docx</vt:lpwstr>
      </vt:variant>
      <vt:variant>
        <vt:lpwstr/>
      </vt:variant>
      <vt:variant>
        <vt:i4>1638409</vt:i4>
      </vt:variant>
      <vt:variant>
        <vt:i4>18</vt:i4>
      </vt:variant>
      <vt:variant>
        <vt:i4>0</vt:i4>
      </vt:variant>
      <vt:variant>
        <vt:i4>5</vt:i4>
      </vt:variant>
      <vt:variant>
        <vt:lpwstr>https://home.inai.org.mx/</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2686987</vt:i4>
      </vt:variant>
      <vt:variant>
        <vt:i4>12</vt:i4>
      </vt:variant>
      <vt:variant>
        <vt:i4>0</vt:i4>
      </vt:variant>
      <vt:variant>
        <vt:i4>5</vt:i4>
      </vt:variant>
      <vt:variant>
        <vt:lpwstr>mailto:efrain.garcia@ift.org.mx</vt:lpwstr>
      </vt:variant>
      <vt:variant>
        <vt:lpwstr/>
      </vt:variant>
      <vt:variant>
        <vt:i4>3932162</vt:i4>
      </vt:variant>
      <vt:variant>
        <vt:i4>9</vt:i4>
      </vt:variant>
      <vt:variant>
        <vt:i4>0</vt:i4>
      </vt:variant>
      <vt:variant>
        <vt:i4>5</vt:i4>
      </vt:variant>
      <vt:variant>
        <vt:lpwstr>mailto:agustin.garcia@ift.org.mx</vt:lpwstr>
      </vt:variant>
      <vt:variant>
        <vt:lpwstr/>
      </vt:variant>
      <vt:variant>
        <vt:i4>4915319</vt:i4>
      </vt:variant>
      <vt:variant>
        <vt:i4>6</vt:i4>
      </vt:variant>
      <vt:variant>
        <vt:i4>0</vt:i4>
      </vt:variant>
      <vt:variant>
        <vt:i4>5</vt:i4>
      </vt:variant>
      <vt:variant>
        <vt:lpwstr>mailto:adriana.cruz@ift.org.mx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5898362</vt:i4>
      </vt:variant>
      <vt:variant>
        <vt:i4>0</vt:i4>
      </vt:variant>
      <vt:variant>
        <vt:i4>0</vt:i4>
      </vt:variant>
      <vt:variant>
        <vt:i4>5</vt:i4>
      </vt:variant>
      <vt:variant>
        <vt:lpwstr>mailto:replicabilidad.2025@ift.org.mx</vt:lpwstr>
      </vt:variant>
      <vt:variant>
        <vt:lpwstr/>
      </vt:variant>
      <vt:variant>
        <vt:i4>3473447</vt:i4>
      </vt:variant>
      <vt:variant>
        <vt:i4>15</vt:i4>
      </vt:variant>
      <vt:variant>
        <vt:i4>0</vt:i4>
      </vt:variant>
      <vt:variant>
        <vt:i4>5</vt:i4>
      </vt:variant>
      <vt:variant>
        <vt:lpwstr>http://www.ift.org.mx/sites/default/files/anexo_3_medidas_2014-2017-2020_telecom.pdf</vt:lpwstr>
      </vt:variant>
      <vt:variant>
        <vt:lpwstr/>
      </vt:variant>
      <vt:variant>
        <vt:i4>589840</vt:i4>
      </vt:variant>
      <vt:variant>
        <vt:i4>12</vt:i4>
      </vt:variant>
      <vt:variant>
        <vt:i4>0</vt:i4>
      </vt:variant>
      <vt:variant>
        <vt:i4>5</vt:i4>
      </vt:variant>
      <vt:variant>
        <vt:lpwstr>http://www.ift.org.mx/sites/default/files/anexo_2_12.pdf</vt:lpwstr>
      </vt:variant>
      <vt:variant>
        <vt:lpwstr/>
      </vt:variant>
      <vt:variant>
        <vt:i4>3473445</vt:i4>
      </vt:variant>
      <vt:variant>
        <vt:i4>9</vt:i4>
      </vt:variant>
      <vt:variant>
        <vt:i4>0</vt:i4>
      </vt:variant>
      <vt:variant>
        <vt:i4>5</vt:i4>
      </vt:variant>
      <vt:variant>
        <vt:lpwstr>http://www.ift.org.mx/sites/default/files/anexo_1_medidas_2014-2017-2020_telecom.pdf</vt:lpwstr>
      </vt:variant>
      <vt:variant>
        <vt:lpwstr/>
      </vt:variant>
      <vt:variant>
        <vt:i4>1835097</vt:i4>
      </vt:variant>
      <vt:variant>
        <vt:i4>6</vt:i4>
      </vt:variant>
      <vt:variant>
        <vt:i4>0</vt:i4>
      </vt:variant>
      <vt:variant>
        <vt:i4>5</vt:i4>
      </vt:variant>
      <vt:variant>
        <vt:lpwstr>http://www.ift.org.mx/sites/default/files/contenidogeneral/politica-regulatoria/pift120917548.pdf</vt:lpwstr>
      </vt:variant>
      <vt:variant>
        <vt:lpwstr/>
      </vt:variant>
      <vt:variant>
        <vt:i4>5308449</vt:i4>
      </vt:variant>
      <vt:variant>
        <vt:i4>3</vt:i4>
      </vt:variant>
      <vt:variant>
        <vt:i4>0</vt:i4>
      </vt:variant>
      <vt:variant>
        <vt:i4>5</vt:i4>
      </vt:variant>
      <vt:variant>
        <vt:lpwstr>http://www.ift.org.mx/sites/default/files/conocenos/pleno/sesiones/acuerdoliga/pitfext270217119verpub_2.pdf</vt:lpwstr>
      </vt:variant>
      <vt:variant>
        <vt:lpwstr/>
      </vt:variant>
      <vt:variant>
        <vt:i4>4784231</vt:i4>
      </vt:variant>
      <vt:variant>
        <vt:i4>0</vt:i4>
      </vt:variant>
      <vt:variant>
        <vt:i4>0</vt:i4>
      </vt:variant>
      <vt:variant>
        <vt:i4>5</vt:i4>
      </vt:variant>
      <vt:variant>
        <vt:lpwstr>https://www.ift.org.mx/sites/default/files/OPNT/LGPDPPSO/3_M_ARCO/Criterio_3_1_1.zip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DGDTR</dc:creator>
  <cp:keywords/>
  <dc:description/>
  <cp:lastModifiedBy>Adriana Helena Cruz Leon</cp:lastModifiedBy>
  <cp:revision>4</cp:revision>
  <dcterms:created xsi:type="dcterms:W3CDTF">2025-05-27T19:49:00Z</dcterms:created>
  <dcterms:modified xsi:type="dcterms:W3CDTF">2025-05-27T19:51:00Z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y fmtid="{D5CDD505-2E9C-101B-9397-08002B2CF9AE}" pid="3" name="GVData">
    <vt:lpwstr>ew0KICAiZG9jSUQiOiAiOTVkZGE0ZTEtMmZhOS00NDhjLWE4MTgtMWY3MDIyN2IyOGMzIg0KfQ==</vt:lpwstr>
  </property>
  <property fmtid="{D5CDD505-2E9C-101B-9397-08002B2CF9AE}" pid="4" name="GVData0">
    <vt:lpwstr>(end)</vt:lpwstr>
  </property>
</Properties>
</file>