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2AA3" w14:textId="77777777" w:rsidR="00C84BB4" w:rsidRDefault="00C84BB4" w:rsidP="007A6974">
      <w:pPr>
        <w:spacing w:after="0"/>
        <w:jc w:val="center"/>
        <w:rPr>
          <w:b/>
        </w:rPr>
      </w:pPr>
      <w:bookmarkStart w:id="0" w:name="_GoBack"/>
      <w:bookmarkEnd w:id="0"/>
    </w:p>
    <w:p w14:paraId="1F166A46" w14:textId="6A9C3426" w:rsidR="00055821" w:rsidRPr="00055821" w:rsidRDefault="005E6A77" w:rsidP="00055821">
      <w:pPr>
        <w:pStyle w:val="Ttulo1"/>
        <w:spacing w:after="360"/>
      </w:pPr>
      <w:r>
        <w:t xml:space="preserve">DOCUMENTO </w:t>
      </w:r>
      <w:r w:rsidR="00FA2195">
        <w:t>DESCRIPTIVO</w:t>
      </w:r>
      <w:r>
        <w:t xml:space="preserve"> SOBRE</w:t>
      </w:r>
      <w:r w:rsidR="00055821" w:rsidRPr="00055821">
        <w:t xml:space="preserve"> LAS DIMENSIONES DE LA PRUEBA DE REPLICABILIDAD ECONÓMICA</w:t>
      </w:r>
    </w:p>
    <w:p w14:paraId="7CCC5DAC" w14:textId="53E7A9B0" w:rsidR="00892E7D" w:rsidRDefault="00892E7D" w:rsidP="00892E7D">
      <w:pPr>
        <w:spacing w:after="120"/>
      </w:pPr>
      <w:r>
        <w:t xml:space="preserve">Con la finalidad de otorgar al participante de la presente </w:t>
      </w:r>
      <w:r w:rsidR="001F3FBE" w:rsidRPr="001F3FBE">
        <w:t>Consulta pública de integración sobre la propuesta de actualización de la metodología, términos y condiciones para llevar a cabo la prueba de replicabilidad económica</w:t>
      </w:r>
      <w:r w:rsidR="001F3FBE" w:rsidRPr="001F3FBE" w:rsidDel="001F3FBE">
        <w:t xml:space="preserve"> </w:t>
      </w:r>
      <w:r w:rsidR="00763FB6">
        <w:t xml:space="preserve">de servicios móviles </w:t>
      </w:r>
      <w:r>
        <w:t>un mayor contexto sobre las dimensiones incluidas en el documento de Excel “Propuesta de Actualización”, se adjunta el presente glosario descriptivo sobre la finalidad de tales dimensiones</w:t>
      </w:r>
      <w:r w:rsidR="00740B0F">
        <w:t>, así como las distintas alternativas que para tales fines existen</w:t>
      </w:r>
      <w:r>
        <w:t>.</w:t>
      </w:r>
      <w:r w:rsidR="00380791">
        <w:t xml:space="preserve"> Finalmente, se agrega un</w:t>
      </w:r>
      <w:r w:rsidR="00AD20DF">
        <w:t>a tabla</w:t>
      </w:r>
      <w:r w:rsidR="00380791">
        <w:t xml:space="preserve"> que</w:t>
      </w:r>
      <w:r w:rsidR="00AD20DF">
        <w:t>,</w:t>
      </w:r>
      <w:r w:rsidR="00380791">
        <w:t xml:space="preserve"> de manera resumida</w:t>
      </w:r>
      <w:r w:rsidR="00AD20DF">
        <w:t>,</w:t>
      </w:r>
      <w:r w:rsidR="00380791">
        <w:t xml:space="preserve"> presenta la comparación de las dimensiones de la prueba vigente y la propuesta de actualización.</w:t>
      </w:r>
    </w:p>
    <w:p w14:paraId="5C09C441" w14:textId="0160E4BB" w:rsidR="00055821" w:rsidRDefault="00892E7D" w:rsidP="00892E7D">
      <w:pPr>
        <w:spacing w:after="360"/>
      </w:pPr>
      <w:r>
        <w:t>Dado lo anterior, se señala que</w:t>
      </w:r>
      <w:r w:rsidR="003D25A9">
        <w:t>,</w:t>
      </w:r>
      <w:r>
        <w:t xml:space="preserve"> p</w:t>
      </w:r>
      <w:r w:rsidR="00055821">
        <w:t>ara el diseño efectivo de una prueba de replicabilidad económica, es necesario, primero, delimitar una serie de cuestiones, siendo estas</w:t>
      </w:r>
      <w:r>
        <w:t xml:space="preserve"> las siguientes dimensiones</w:t>
      </w:r>
      <w:r w:rsidR="00055821">
        <w:t>:</w:t>
      </w:r>
    </w:p>
    <w:p w14:paraId="7DBAE48D" w14:textId="27C4E355" w:rsidR="00055821" w:rsidRDefault="00055821" w:rsidP="00985CF6">
      <w:pPr>
        <w:pStyle w:val="Prrafodelista"/>
        <w:numPr>
          <w:ilvl w:val="0"/>
          <w:numId w:val="2"/>
        </w:numPr>
      </w:pPr>
      <w:r w:rsidRPr="00055821">
        <w:rPr>
          <w:b/>
          <w:bCs/>
        </w:rPr>
        <w:t>El momento en el que se implementa la prueba</w:t>
      </w:r>
      <w:r>
        <w:t>, por ejemplo, ¿antes o después de que se lance la oferta al mercado?</w:t>
      </w:r>
    </w:p>
    <w:p w14:paraId="05DEE77E" w14:textId="4B37378E" w:rsidR="00055821" w:rsidRDefault="00055821" w:rsidP="00985CF6">
      <w:pPr>
        <w:pStyle w:val="Prrafodelista"/>
        <w:numPr>
          <w:ilvl w:val="0"/>
          <w:numId w:val="2"/>
        </w:numPr>
      </w:pPr>
      <w:r w:rsidRPr="00055821">
        <w:rPr>
          <w:b/>
          <w:bCs/>
        </w:rPr>
        <w:t>Los costos de qué operador hay que considerar</w:t>
      </w:r>
      <w:r>
        <w:t xml:space="preserve">. La prueba tiene por objetivo determinar si los ingresos han de ser suficientes para cubrir los pagos mayoristas y de las actividades aguas abajo, pero ¿son los costos de la empresa </w:t>
      </w:r>
      <w:r w:rsidR="009A68D7">
        <w:t xml:space="preserve">regulada </w:t>
      </w:r>
      <w:r>
        <w:t>o los del competidor los que la prueba tiene que contemplar?</w:t>
      </w:r>
    </w:p>
    <w:p w14:paraId="53638066" w14:textId="308897A4" w:rsidR="00055821" w:rsidRDefault="00055821" w:rsidP="00985CF6">
      <w:pPr>
        <w:pStyle w:val="Prrafodelista"/>
        <w:numPr>
          <w:ilvl w:val="0"/>
          <w:numId w:val="2"/>
        </w:numPr>
      </w:pPr>
      <w:r w:rsidRPr="00055821">
        <w:rPr>
          <w:b/>
          <w:bCs/>
        </w:rPr>
        <w:t>El estándar de costos a utilizar</w:t>
      </w:r>
      <w:r>
        <w:t>, una vez decididos de quién son los costos que se analizarán. ¿Son costos incrementales? ¿Costos medios? ¿Costos contables completamente distribuidos?</w:t>
      </w:r>
    </w:p>
    <w:p w14:paraId="2B41A8AA" w14:textId="205B286A" w:rsidR="00055821" w:rsidRDefault="00055821" w:rsidP="00985CF6">
      <w:pPr>
        <w:pStyle w:val="Prrafodelista"/>
        <w:numPr>
          <w:ilvl w:val="0"/>
          <w:numId w:val="2"/>
        </w:numPr>
      </w:pPr>
      <w:r w:rsidRPr="00055821">
        <w:rPr>
          <w:b/>
          <w:bCs/>
        </w:rPr>
        <w:t>El nivel de agregación de las ofertas</w:t>
      </w:r>
      <w:r>
        <w:t xml:space="preserve">, toda vez que la empresa </w:t>
      </w:r>
      <w:r w:rsidR="009A68D7">
        <w:t xml:space="preserve">regulada </w:t>
      </w:r>
      <w:r>
        <w:t>y los otros operadores lanzan muchas ofertas dirigidas a distintos tipos de clientes. ¿Se ha de analizar cada oferta por separado o por grupo de ofertas?</w:t>
      </w:r>
    </w:p>
    <w:p w14:paraId="10F052E9" w14:textId="35A813E2" w:rsidR="00055821" w:rsidRDefault="00055821" w:rsidP="00985CF6">
      <w:pPr>
        <w:pStyle w:val="Prrafodelista"/>
        <w:numPr>
          <w:ilvl w:val="0"/>
          <w:numId w:val="2"/>
        </w:numPr>
      </w:pPr>
      <w:r w:rsidRPr="00055821">
        <w:rPr>
          <w:b/>
          <w:bCs/>
        </w:rPr>
        <w:t>El tratamiento de las ofertas empresariales</w:t>
      </w:r>
      <w:r>
        <w:t>, dada su complejidad. ¿Qué tratamiento debe darse al segmento empresarial?</w:t>
      </w:r>
    </w:p>
    <w:p w14:paraId="4F893A1B" w14:textId="42A731B8" w:rsidR="00055821" w:rsidRDefault="00055821" w:rsidP="00985CF6">
      <w:pPr>
        <w:pStyle w:val="Prrafodelista"/>
        <w:numPr>
          <w:ilvl w:val="0"/>
          <w:numId w:val="2"/>
        </w:numPr>
      </w:pPr>
      <w:r w:rsidRPr="00055821">
        <w:rPr>
          <w:b/>
          <w:bCs/>
        </w:rPr>
        <w:t>El servicio mayorista a considerar</w:t>
      </w:r>
      <w:r>
        <w:t xml:space="preserve">. </w:t>
      </w:r>
      <w:r w:rsidR="00763FB6">
        <w:t>En ocasiones pueden existir</w:t>
      </w:r>
      <w:r>
        <w:t xml:space="preserve"> varios servicios mayoristas disponibles para prestar el mismo servicio minorista y pueden existir descuentos sobre el precio mayorista de tarifa. </w:t>
      </w:r>
    </w:p>
    <w:p w14:paraId="6EA95D41" w14:textId="642A3E93" w:rsidR="00055821" w:rsidRDefault="00055821" w:rsidP="00985CF6">
      <w:pPr>
        <w:pStyle w:val="Prrafodelista"/>
        <w:numPr>
          <w:ilvl w:val="0"/>
          <w:numId w:val="2"/>
        </w:numPr>
      </w:pPr>
      <w:r w:rsidRPr="00055821">
        <w:rPr>
          <w:b/>
          <w:bCs/>
        </w:rPr>
        <w:lastRenderedPageBreak/>
        <w:t>El precio de qué servicio mayorista</w:t>
      </w:r>
      <w:r>
        <w:t xml:space="preserve"> debe usarse. ¿Han de incluirse descuentos?</w:t>
      </w:r>
    </w:p>
    <w:p w14:paraId="726B71AF" w14:textId="0438B5C7" w:rsidR="00055821" w:rsidRDefault="00055821" w:rsidP="00985CF6">
      <w:pPr>
        <w:pStyle w:val="Prrafodelista"/>
        <w:numPr>
          <w:ilvl w:val="0"/>
          <w:numId w:val="2"/>
        </w:numPr>
      </w:pPr>
      <w:r w:rsidRPr="00055821">
        <w:rPr>
          <w:b/>
          <w:bCs/>
        </w:rPr>
        <w:t>El tratamiento de las promociones</w:t>
      </w:r>
      <w:r>
        <w:t xml:space="preserve">, las cuales son ofertas comerciales de duración limitada que pueden implicar una captación elevada de clientes. ¿Tienen un efecto distorsionador de la competencia? ¿Qué tratamiento debe dárseles? </w:t>
      </w:r>
    </w:p>
    <w:p w14:paraId="1EF53625" w14:textId="01038D70" w:rsidR="00055821" w:rsidRDefault="00055821" w:rsidP="00985CF6">
      <w:pPr>
        <w:pStyle w:val="Prrafodelista"/>
        <w:numPr>
          <w:ilvl w:val="0"/>
          <w:numId w:val="2"/>
        </w:numPr>
      </w:pPr>
      <w:r w:rsidRPr="00055821">
        <w:rPr>
          <w:b/>
          <w:bCs/>
        </w:rPr>
        <w:t>El periodo durante el cual la oferta necesita ser replicable</w:t>
      </w:r>
      <w:r>
        <w:t>. ¿Qué periodo es el adecuado?</w:t>
      </w:r>
    </w:p>
    <w:p w14:paraId="402AEEC0" w14:textId="710465A9" w:rsidR="00055821" w:rsidRDefault="00055821" w:rsidP="00985CF6">
      <w:pPr>
        <w:pStyle w:val="Prrafodelista"/>
        <w:numPr>
          <w:ilvl w:val="0"/>
          <w:numId w:val="2"/>
        </w:numPr>
        <w:spacing w:after="360"/>
        <w:ind w:left="714" w:hanging="357"/>
      </w:pPr>
      <w:r w:rsidRPr="00055821">
        <w:rPr>
          <w:b/>
          <w:bCs/>
        </w:rPr>
        <w:t>El tratamiento de ofertas empaquetadas</w:t>
      </w:r>
      <w:r>
        <w:t>. ¿La oferta debe analizarse de forma empaquetada o de forma individual sobre los servicios que incluye el paquete?</w:t>
      </w:r>
    </w:p>
    <w:p w14:paraId="02B43F6F" w14:textId="232B34D1" w:rsidR="00055821" w:rsidRDefault="00055821" w:rsidP="00892E7D">
      <w:pPr>
        <w:spacing w:after="360"/>
      </w:pPr>
      <w:r>
        <w:t>A</w:t>
      </w:r>
      <w:r w:rsidR="00892E7D">
        <w:t>hora bien, a</w:t>
      </w:r>
      <w:r>
        <w:t xml:space="preserve"> efecto de </w:t>
      </w:r>
      <w:r w:rsidR="00892E7D">
        <w:t xml:space="preserve">abundar sobre la descripción de cada una de las dimensiones anteriormente listadas, las cuales son necesarias para </w:t>
      </w:r>
      <w:r>
        <w:t xml:space="preserve">determinar el diseño de la prueba de replicabilidad económica </w:t>
      </w:r>
      <w:r w:rsidR="00892E7D">
        <w:t xml:space="preserve">que permita de mejor manera </w:t>
      </w:r>
      <w:r>
        <w:t>alcanzar el objetivo regulatorio de prevenir el estrechamiento de márgenes, es necesario analizar detalladamente las implicaciones de las diferentes alternativas</w:t>
      </w:r>
      <w:r w:rsidR="00892E7D">
        <w:t xml:space="preserve"> que existen para cada dimensión</w:t>
      </w:r>
      <w:r>
        <w:t>, las cuales se exponen a continuación.</w:t>
      </w:r>
    </w:p>
    <w:p w14:paraId="7E57B2D7" w14:textId="77777777" w:rsidR="00740B0F" w:rsidRPr="00740B0F" w:rsidRDefault="00740B0F" w:rsidP="00985CF6">
      <w:pPr>
        <w:pStyle w:val="Ttulo3"/>
        <w:numPr>
          <w:ilvl w:val="0"/>
          <w:numId w:val="9"/>
        </w:numPr>
        <w:spacing w:before="200" w:after="120" w:line="276" w:lineRule="auto"/>
        <w:rPr>
          <w:rFonts w:ascii="ITC Avant Garde" w:hAnsi="ITC Avant Garde"/>
          <w:b/>
          <w:bCs/>
          <w:sz w:val="22"/>
          <w:lang w:eastAsia="es-ES"/>
        </w:rPr>
      </w:pPr>
      <w:r w:rsidRPr="00740B0F">
        <w:rPr>
          <w:rFonts w:ascii="ITC Avant Garde" w:hAnsi="ITC Avant Garde"/>
          <w:b/>
          <w:bCs/>
          <w:color w:val="000000" w:themeColor="text1"/>
          <w:sz w:val="22"/>
          <w:lang w:eastAsia="es-ES"/>
        </w:rPr>
        <w:t xml:space="preserve">Momento de aplicación </w:t>
      </w:r>
    </w:p>
    <w:p w14:paraId="0574CB9C" w14:textId="4B95E8A7" w:rsidR="00740B0F" w:rsidRDefault="00740B0F" w:rsidP="00740B0F">
      <w:pPr>
        <w:rPr>
          <w:lang w:val="es-ES_tradnl" w:eastAsia="es-ES"/>
        </w:rPr>
      </w:pPr>
      <w:r w:rsidRPr="00E94869">
        <w:rPr>
          <w:lang w:val="es-ES_tradnl" w:eastAsia="es-ES"/>
        </w:rPr>
        <w:t xml:space="preserve">La prueba de replicabilidad </w:t>
      </w:r>
      <w:r>
        <w:rPr>
          <w:lang w:val="es-ES_tradnl" w:eastAsia="es-ES"/>
        </w:rPr>
        <w:t xml:space="preserve">económica </w:t>
      </w:r>
      <w:r w:rsidRPr="00E94869">
        <w:rPr>
          <w:lang w:val="es-ES_tradnl" w:eastAsia="es-ES"/>
        </w:rPr>
        <w:t>puede implementarse</w:t>
      </w:r>
      <w:r>
        <w:rPr>
          <w:lang w:val="es-ES_tradnl" w:eastAsia="es-ES"/>
        </w:rPr>
        <w:t xml:space="preserve"> </w:t>
      </w:r>
      <w:proofErr w:type="spellStart"/>
      <w:r>
        <w:rPr>
          <w:lang w:val="es-ES_tradnl" w:eastAsia="es-ES"/>
        </w:rPr>
        <w:t>ex-</w:t>
      </w:r>
      <w:r w:rsidRPr="001E3A20">
        <w:rPr>
          <w:lang w:val="es-ES_tradnl" w:eastAsia="es-ES"/>
        </w:rPr>
        <w:t>a</w:t>
      </w:r>
      <w:r>
        <w:rPr>
          <w:lang w:val="es-ES_tradnl" w:eastAsia="es-ES"/>
        </w:rPr>
        <w:t>nte</w:t>
      </w:r>
      <w:proofErr w:type="spellEnd"/>
      <w:r>
        <w:rPr>
          <w:lang w:val="es-ES_tradnl" w:eastAsia="es-ES"/>
        </w:rPr>
        <w:t xml:space="preserve"> (antes de lanzar la oferta),</w:t>
      </w:r>
      <w:r w:rsidRPr="001E3A20">
        <w:rPr>
          <w:lang w:val="es-ES_tradnl" w:eastAsia="es-ES"/>
        </w:rPr>
        <w:t xml:space="preserve"> </w:t>
      </w:r>
      <w:proofErr w:type="spellStart"/>
      <w:r w:rsidRPr="001E3A20">
        <w:rPr>
          <w:lang w:val="es-ES_tradnl" w:eastAsia="es-ES"/>
        </w:rPr>
        <w:t>ex</w:t>
      </w:r>
      <w:r>
        <w:rPr>
          <w:lang w:val="es-ES_tradnl" w:eastAsia="es-ES"/>
        </w:rPr>
        <w:t>-</w:t>
      </w:r>
      <w:r w:rsidRPr="001E3A20">
        <w:rPr>
          <w:lang w:val="es-ES_tradnl" w:eastAsia="es-ES"/>
        </w:rPr>
        <w:t>post</w:t>
      </w:r>
      <w:proofErr w:type="spellEnd"/>
      <w:r w:rsidRPr="001E3A20">
        <w:rPr>
          <w:lang w:val="es-ES_tradnl" w:eastAsia="es-ES"/>
        </w:rPr>
        <w:t xml:space="preserve"> (una vez comercializadas) o con una combinación de ambas. </w:t>
      </w:r>
      <w:r>
        <w:rPr>
          <w:lang w:val="es-ES_tradnl" w:eastAsia="es-ES"/>
        </w:rPr>
        <w:t xml:space="preserve">La elección para la temporalidad de cada prueba </w:t>
      </w:r>
      <w:r w:rsidRPr="001E3A20">
        <w:rPr>
          <w:lang w:val="es-ES_tradnl" w:eastAsia="es-ES"/>
        </w:rPr>
        <w:t xml:space="preserve">está en función de las determinaciones </w:t>
      </w:r>
      <w:r w:rsidR="00961E71">
        <w:rPr>
          <w:lang w:val="es-ES_tradnl" w:eastAsia="es-ES"/>
        </w:rPr>
        <w:t>en las medidas</w:t>
      </w:r>
      <w:r w:rsidR="00652A31">
        <w:rPr>
          <w:lang w:val="es-ES_tradnl" w:eastAsia="es-ES"/>
        </w:rPr>
        <w:t xml:space="preserve"> </w:t>
      </w:r>
      <w:r w:rsidR="00961E71">
        <w:rPr>
          <w:lang w:val="es-ES_tradnl" w:eastAsia="es-ES"/>
        </w:rPr>
        <w:t>asimétricas vigente</w:t>
      </w:r>
      <w:r w:rsidR="00961E71" w:rsidRPr="00FB1527">
        <w:rPr>
          <w:lang w:val="es-ES_tradnl" w:eastAsia="es-ES"/>
        </w:rPr>
        <w:t>s</w:t>
      </w:r>
      <w:r w:rsidR="00DB25D8" w:rsidRPr="00FB1527">
        <w:rPr>
          <w:rStyle w:val="Refdenotaalpie"/>
          <w:lang w:val="es-ES_tradnl" w:eastAsia="es-ES"/>
        </w:rPr>
        <w:footnoteReference w:id="2"/>
      </w:r>
      <w:r w:rsidRPr="00FB1527">
        <w:rPr>
          <w:lang w:val="es-ES_tradnl" w:eastAsia="es-ES"/>
        </w:rPr>
        <w:t>.</w:t>
      </w:r>
    </w:p>
    <w:p w14:paraId="32899366" w14:textId="31DB2921" w:rsidR="003C3ECB" w:rsidRPr="00B80808" w:rsidRDefault="003C3ECB" w:rsidP="00740B0F">
      <w:pPr>
        <w:rPr>
          <w:lang w:val="es-ES_tradnl" w:eastAsia="es-ES"/>
        </w:rPr>
      </w:pPr>
      <w:r>
        <w:rPr>
          <w:lang w:val="es-ES_tradnl" w:eastAsia="es-ES"/>
        </w:rPr>
        <w:t>De conformidad con lo señalado en la medida Sexagésima Cuarta del Anexo 1 la prueba de replicabilidad económica de servicios móviles es implementada de forma ex post.</w:t>
      </w:r>
    </w:p>
    <w:p w14:paraId="6CB3C98E"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lastRenderedPageBreak/>
        <w:t>Eficiencia</w:t>
      </w:r>
    </w:p>
    <w:p w14:paraId="48483B08" w14:textId="77777777" w:rsidR="00740B0F" w:rsidRPr="00481D7F" w:rsidRDefault="00740B0F" w:rsidP="00740B0F">
      <w:pPr>
        <w:rPr>
          <w:lang w:val="es-ES_tradnl" w:eastAsia="es-ES"/>
        </w:rPr>
      </w:pPr>
      <w:r>
        <w:rPr>
          <w:lang w:eastAsia="es-ES"/>
        </w:rPr>
        <w:t xml:space="preserve">El </w:t>
      </w:r>
      <w:r>
        <w:rPr>
          <w:lang w:val="es-ES_tradnl" w:eastAsia="es-ES"/>
        </w:rPr>
        <w:t>n</w:t>
      </w:r>
      <w:r w:rsidRPr="00481D7F">
        <w:rPr>
          <w:lang w:val="es-ES_tradnl" w:eastAsia="es-ES"/>
        </w:rPr>
        <w:t xml:space="preserve">ivel de eficiencia se debe entender con referencia a los costos aguas abajo a considerar en la prueba. Las distintas opciones de diseño pueden ser: </w:t>
      </w:r>
    </w:p>
    <w:p w14:paraId="4C7B4576" w14:textId="58A2F5C1" w:rsidR="00B761A7" w:rsidRPr="00ED7B63" w:rsidRDefault="00740B0F" w:rsidP="00985CF6">
      <w:pPr>
        <w:pStyle w:val="Prrafodelista"/>
        <w:numPr>
          <w:ilvl w:val="0"/>
          <w:numId w:val="4"/>
        </w:numPr>
        <w:spacing w:after="240" w:line="276" w:lineRule="auto"/>
        <w:ind w:left="714" w:hanging="357"/>
        <w:contextualSpacing/>
        <w:rPr>
          <w:lang w:val="es-ES_tradnl" w:eastAsia="es-ES"/>
        </w:rPr>
      </w:pPr>
      <w:r w:rsidRPr="002D3516">
        <w:rPr>
          <w:b/>
          <w:lang w:val="es-ES_tradnl" w:eastAsia="es-ES"/>
        </w:rPr>
        <w:t xml:space="preserve">Los de la empresa </w:t>
      </w:r>
      <w:r w:rsidR="00853C75">
        <w:rPr>
          <w:b/>
          <w:lang w:val="es-ES_tradnl" w:eastAsia="es-ES"/>
        </w:rPr>
        <w:t>regulada</w:t>
      </w:r>
      <w:r w:rsidRPr="002D3516">
        <w:rPr>
          <w:b/>
          <w:lang w:val="es-ES_tradnl" w:eastAsia="es-ES"/>
        </w:rPr>
        <w:t xml:space="preserve"> o enfoque de operador igualmente eficiente (EEO</w:t>
      </w:r>
      <w:r w:rsidRPr="002D3516">
        <w:rPr>
          <w:rStyle w:val="Refdenotaalpie"/>
          <w:lang w:eastAsia="es-ES"/>
        </w:rPr>
        <w:footnoteReference w:id="3"/>
      </w:r>
      <w:r w:rsidRPr="002D3516">
        <w:rPr>
          <w:b/>
          <w:lang w:val="es-ES_tradnl" w:eastAsia="es-ES"/>
        </w:rPr>
        <w:t>)</w:t>
      </w:r>
      <w:r w:rsidRPr="00481D7F">
        <w:rPr>
          <w:lang w:val="es-ES_tradnl" w:eastAsia="es-ES"/>
        </w:rPr>
        <w:t xml:space="preserve">. Este enfoque genera transparencia y certidumbre al operador </w:t>
      </w:r>
      <w:r w:rsidR="00853C75">
        <w:rPr>
          <w:lang w:val="es-ES_tradnl" w:eastAsia="es-ES"/>
        </w:rPr>
        <w:t>regulado</w:t>
      </w:r>
      <w:r w:rsidR="00853C75" w:rsidRPr="00481D7F">
        <w:rPr>
          <w:lang w:val="es-ES_tradnl" w:eastAsia="es-ES"/>
        </w:rPr>
        <w:t xml:space="preserve"> </w:t>
      </w:r>
      <w:r w:rsidRPr="00481D7F">
        <w:rPr>
          <w:lang w:val="es-ES_tradnl" w:eastAsia="es-ES"/>
        </w:rPr>
        <w:t xml:space="preserve">porque conoce sus costos, pero desconoce los costos de sus competidores. Si existe información contable de la empresa </w:t>
      </w:r>
      <w:r w:rsidR="00853C75">
        <w:rPr>
          <w:lang w:val="es-ES_tradnl" w:eastAsia="es-ES"/>
        </w:rPr>
        <w:t>regulada</w:t>
      </w:r>
      <w:r w:rsidRPr="00481D7F">
        <w:rPr>
          <w:lang w:val="es-ES_tradnl" w:eastAsia="es-ES"/>
        </w:rPr>
        <w:t xml:space="preserve">, la carga regulatoria es menor y el enfoque será más transparente y ofrecerá más certidumbre que las alternativas que se detallan a continuación. Un enfoque de este tipo favorece la entrada de competidores al menos tan eficientes como la empresa </w:t>
      </w:r>
      <w:r w:rsidR="00853C75">
        <w:rPr>
          <w:lang w:val="es-ES_tradnl" w:eastAsia="es-ES"/>
        </w:rPr>
        <w:t>regulada</w:t>
      </w:r>
      <w:r w:rsidRPr="00481D7F">
        <w:rPr>
          <w:lang w:val="es-ES_tradnl" w:eastAsia="es-ES"/>
        </w:rPr>
        <w:t>.</w:t>
      </w:r>
      <w:r>
        <w:rPr>
          <w:lang w:val="es-ES_tradnl" w:eastAsia="es-ES"/>
        </w:rPr>
        <w:t xml:space="preserve"> </w:t>
      </w:r>
    </w:p>
    <w:p w14:paraId="09264F8A" w14:textId="78EB5AEB" w:rsidR="00B761A7" w:rsidRPr="00ED7B63" w:rsidRDefault="00740B0F" w:rsidP="00985CF6">
      <w:pPr>
        <w:pStyle w:val="Prrafodelista"/>
        <w:numPr>
          <w:ilvl w:val="0"/>
          <w:numId w:val="4"/>
        </w:numPr>
        <w:spacing w:after="120" w:line="276" w:lineRule="auto"/>
        <w:contextualSpacing/>
        <w:rPr>
          <w:lang w:val="es-ES_tradnl" w:eastAsia="es-ES"/>
        </w:rPr>
      </w:pPr>
      <w:r w:rsidRPr="002D3516">
        <w:rPr>
          <w:b/>
          <w:lang w:val="es-ES_tradnl" w:eastAsia="es-ES"/>
        </w:rPr>
        <w:t>Los de un operador razonablemente eficiente (REO</w:t>
      </w:r>
      <w:r w:rsidR="00B761A7">
        <w:rPr>
          <w:rStyle w:val="Refdenotaalpie"/>
          <w:b/>
          <w:lang w:val="es-ES_tradnl" w:eastAsia="es-ES"/>
        </w:rPr>
        <w:footnoteReference w:id="4"/>
      </w:r>
      <w:r w:rsidRPr="002D3516">
        <w:rPr>
          <w:b/>
          <w:lang w:val="es-ES_tradnl" w:eastAsia="es-ES"/>
        </w:rPr>
        <w:t>).</w:t>
      </w:r>
      <w:r w:rsidRPr="00481D7F">
        <w:rPr>
          <w:lang w:val="es-ES_tradnl" w:eastAsia="es-ES"/>
        </w:rPr>
        <w:t xml:space="preserve"> Este estándar usa los costos del competidor y no los de la empresa </w:t>
      </w:r>
      <w:r w:rsidR="00853C75">
        <w:rPr>
          <w:lang w:val="es-ES_tradnl" w:eastAsia="es-ES"/>
        </w:rPr>
        <w:t>regulada</w:t>
      </w:r>
      <w:r w:rsidRPr="00481D7F">
        <w:rPr>
          <w:lang w:val="es-ES_tradnl" w:eastAsia="es-ES"/>
        </w:rPr>
        <w:t xml:space="preserve">. Este esquema será tan transparente como pública sea la información de costos. En general, la incertidumbre para la empresa </w:t>
      </w:r>
      <w:r w:rsidR="00853C75">
        <w:rPr>
          <w:lang w:val="es-ES_tradnl" w:eastAsia="es-ES"/>
        </w:rPr>
        <w:t>regulada</w:t>
      </w:r>
      <w:r w:rsidR="00853C75" w:rsidRPr="00481D7F">
        <w:rPr>
          <w:lang w:val="es-ES_tradnl" w:eastAsia="es-ES"/>
        </w:rPr>
        <w:t xml:space="preserve"> </w:t>
      </w:r>
      <w:r w:rsidRPr="00481D7F">
        <w:rPr>
          <w:lang w:val="es-ES_tradnl" w:eastAsia="es-ES"/>
        </w:rPr>
        <w:t xml:space="preserve">será mayor que en el caso del estándar EEO. El operador </w:t>
      </w:r>
      <w:r w:rsidR="00853C75">
        <w:rPr>
          <w:lang w:val="es-ES_tradnl" w:eastAsia="es-ES"/>
        </w:rPr>
        <w:t>regulado</w:t>
      </w:r>
      <w:r w:rsidRPr="00481D7F">
        <w:rPr>
          <w:lang w:val="es-ES_tradnl" w:eastAsia="es-ES"/>
        </w:rPr>
        <w:t>, al no conocer los costos de sus competidores, no podrá saber si una oferta es replicable o no antes de lanzarla al mercado. Ello le resta flexibilidad comercial para responder a los competidores.</w:t>
      </w:r>
    </w:p>
    <w:p w14:paraId="3B1CD735" w14:textId="77F4A692" w:rsidR="00B761A7" w:rsidRPr="00ED7B63" w:rsidRDefault="00740B0F" w:rsidP="00985CF6">
      <w:pPr>
        <w:pStyle w:val="Prrafodelista"/>
        <w:numPr>
          <w:ilvl w:val="0"/>
          <w:numId w:val="4"/>
        </w:numPr>
        <w:spacing w:after="120" w:line="276" w:lineRule="auto"/>
        <w:ind w:left="714" w:hanging="357"/>
        <w:contextualSpacing/>
        <w:rPr>
          <w:lang w:val="es-ES_tradnl" w:eastAsia="es-ES"/>
        </w:rPr>
      </w:pPr>
      <w:r w:rsidRPr="00B761A7">
        <w:rPr>
          <w:b/>
          <w:lang w:val="es-ES_tradnl" w:eastAsia="es-ES"/>
        </w:rPr>
        <w:t xml:space="preserve">Los de una empresa tan eficiente como el operador </w:t>
      </w:r>
      <w:r w:rsidR="00853C75">
        <w:rPr>
          <w:b/>
          <w:lang w:val="es-ES_tradnl" w:eastAsia="es-ES"/>
        </w:rPr>
        <w:t>regulado</w:t>
      </w:r>
      <w:r w:rsidR="003D25A9">
        <w:rPr>
          <w:b/>
          <w:lang w:val="es-ES_tradnl" w:eastAsia="es-ES"/>
        </w:rPr>
        <w:t>,</w:t>
      </w:r>
      <w:r w:rsidR="00853C75" w:rsidRPr="00B761A7">
        <w:rPr>
          <w:b/>
          <w:lang w:val="es-ES_tradnl" w:eastAsia="es-ES"/>
        </w:rPr>
        <w:t xml:space="preserve"> </w:t>
      </w:r>
      <w:r w:rsidRPr="00B761A7">
        <w:rPr>
          <w:b/>
          <w:lang w:val="es-ES_tradnl" w:eastAsia="es-ES"/>
        </w:rPr>
        <w:t>pero con una menor escala (SEO</w:t>
      </w:r>
      <w:r w:rsidRPr="002D3516">
        <w:rPr>
          <w:rStyle w:val="Refdenotaalpie"/>
          <w:lang w:eastAsia="es-ES"/>
        </w:rPr>
        <w:footnoteReference w:id="5"/>
      </w:r>
      <w:r w:rsidRPr="00B761A7">
        <w:rPr>
          <w:b/>
          <w:lang w:val="es-ES_tradnl" w:eastAsia="es-ES"/>
        </w:rPr>
        <w:t>)</w:t>
      </w:r>
      <w:r w:rsidRPr="00B761A7">
        <w:rPr>
          <w:lang w:val="es-ES_tradnl" w:eastAsia="es-ES"/>
        </w:rPr>
        <w:t xml:space="preserve">. Este esquema es más transparente que el </w:t>
      </w:r>
      <w:proofErr w:type="gramStart"/>
      <w:r w:rsidRPr="00B761A7">
        <w:rPr>
          <w:lang w:val="es-ES_tradnl" w:eastAsia="es-ES"/>
        </w:rPr>
        <w:t>REO</w:t>
      </w:r>
      <w:proofErr w:type="gramEnd"/>
      <w:r w:rsidRPr="00B761A7">
        <w:rPr>
          <w:lang w:val="es-ES_tradnl" w:eastAsia="es-ES"/>
        </w:rPr>
        <w:t xml:space="preserve"> pero aumenta la carga regulatoria al tener que ajustar los costos de la empresa </w:t>
      </w:r>
      <w:r w:rsidR="00853C75">
        <w:rPr>
          <w:lang w:val="es-ES_tradnl" w:eastAsia="es-ES"/>
        </w:rPr>
        <w:t>regulada</w:t>
      </w:r>
      <w:r w:rsidR="00853C75" w:rsidRPr="00B761A7">
        <w:rPr>
          <w:lang w:val="es-ES_tradnl" w:eastAsia="es-ES"/>
        </w:rPr>
        <w:t xml:space="preserve"> </w:t>
      </w:r>
      <w:r w:rsidRPr="00B761A7">
        <w:rPr>
          <w:lang w:val="es-ES_tradnl" w:eastAsia="es-ES"/>
        </w:rPr>
        <w:t xml:space="preserve">por una menor escala. Asimismo, estimula una mayor competencia con respecto al enfoque EEO, particularmente si los competidores tienen una escala pequeña por ser su entrada reciente en el mercado. </w:t>
      </w:r>
    </w:p>
    <w:p w14:paraId="629121EC" w14:textId="7FA7280B" w:rsidR="00740B0F" w:rsidRDefault="00740B0F" w:rsidP="00985CF6">
      <w:pPr>
        <w:pStyle w:val="Prrafodelista"/>
        <w:numPr>
          <w:ilvl w:val="0"/>
          <w:numId w:val="4"/>
        </w:numPr>
        <w:spacing w:before="0" w:after="120" w:line="276" w:lineRule="auto"/>
        <w:ind w:left="714" w:hanging="357"/>
        <w:contextualSpacing/>
        <w:rPr>
          <w:lang w:val="es-ES_tradnl" w:eastAsia="es-ES"/>
        </w:rPr>
      </w:pPr>
      <w:r w:rsidRPr="002D3516">
        <w:rPr>
          <w:b/>
          <w:lang w:val="es-ES_tradnl" w:eastAsia="es-ES"/>
        </w:rPr>
        <w:t xml:space="preserve">Los de una empresa tan eficiente como el operador </w:t>
      </w:r>
      <w:r w:rsidR="00853C75">
        <w:rPr>
          <w:b/>
          <w:lang w:val="es-ES_tradnl" w:eastAsia="es-ES"/>
        </w:rPr>
        <w:t>regulado</w:t>
      </w:r>
      <w:r w:rsidR="003D25A9">
        <w:rPr>
          <w:b/>
          <w:lang w:val="es-ES_tradnl" w:eastAsia="es-ES"/>
        </w:rPr>
        <w:t>,</w:t>
      </w:r>
      <w:r w:rsidR="00853C75" w:rsidRPr="002D3516">
        <w:rPr>
          <w:b/>
          <w:lang w:val="es-ES_tradnl" w:eastAsia="es-ES"/>
        </w:rPr>
        <w:t xml:space="preserve"> </w:t>
      </w:r>
      <w:r w:rsidRPr="002D3516">
        <w:rPr>
          <w:b/>
          <w:lang w:val="es-ES_tradnl" w:eastAsia="es-ES"/>
        </w:rPr>
        <w:t>pero con algunos ajustes más allá de la escala (EEO ajustado)</w:t>
      </w:r>
      <w:r w:rsidRPr="00481D7F">
        <w:rPr>
          <w:lang w:val="es-ES_tradnl" w:eastAsia="es-ES"/>
        </w:rPr>
        <w:t>, como la consideración de un costo de capital diferente o ajustes asociados</w:t>
      </w:r>
      <w:r>
        <w:rPr>
          <w:lang w:val="es-ES_tradnl" w:eastAsia="es-ES"/>
        </w:rPr>
        <w:t xml:space="preserve"> a la vida media del consumidor</w:t>
      </w:r>
      <w:r>
        <w:rPr>
          <w:rStyle w:val="Refdenotaalpie"/>
          <w:lang w:eastAsia="es-ES"/>
        </w:rPr>
        <w:footnoteReference w:id="6"/>
      </w:r>
      <w:r w:rsidRPr="00481D7F">
        <w:rPr>
          <w:lang w:val="es-ES_tradnl" w:eastAsia="es-ES"/>
        </w:rPr>
        <w:t>. Las implicaciones de este enfoque sobre los criterios clave para el diseño son similares al anterior.</w:t>
      </w:r>
    </w:p>
    <w:p w14:paraId="74CF492D" w14:textId="77777777" w:rsidR="00740B0F" w:rsidRPr="00EF138E" w:rsidRDefault="00740B0F" w:rsidP="00740B0F">
      <w:pPr>
        <w:pStyle w:val="Prrafodelista"/>
        <w:spacing w:line="276" w:lineRule="auto"/>
        <w:ind w:left="720"/>
        <w:rPr>
          <w:lang w:val="es-ES_tradnl" w:eastAsia="es-ES"/>
        </w:rPr>
      </w:pPr>
    </w:p>
    <w:p w14:paraId="4F373982"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lastRenderedPageBreak/>
        <w:t>Estándar de costos</w:t>
      </w:r>
    </w:p>
    <w:p w14:paraId="14A61B4D" w14:textId="77777777" w:rsidR="00740B0F" w:rsidRPr="00DF3547" w:rsidRDefault="00740B0F" w:rsidP="00740B0F">
      <w:r w:rsidRPr="00DF3547">
        <w:t xml:space="preserve">El estándar de costos se refiere al concepto de </w:t>
      </w:r>
      <w:r w:rsidRPr="006D4AB4">
        <w:rPr>
          <w:b/>
        </w:rPr>
        <w:t>costos empleado</w:t>
      </w:r>
      <w:r>
        <w:rPr>
          <w:b/>
        </w:rPr>
        <w:t>s</w:t>
      </w:r>
      <w:r w:rsidRPr="006D4AB4">
        <w:rPr>
          <w:b/>
        </w:rPr>
        <w:t xml:space="preserve"> para evaluar las actividades aguas abajo</w:t>
      </w:r>
      <w:r w:rsidRPr="00DF3547">
        <w:t xml:space="preserve">. Aquí se presentan </w:t>
      </w:r>
      <w:r>
        <w:t>diversas</w:t>
      </w:r>
      <w:r w:rsidRPr="00DF3547">
        <w:t xml:space="preserve"> opciones:</w:t>
      </w:r>
    </w:p>
    <w:p w14:paraId="4372221A" w14:textId="0EE33458" w:rsidR="00740B0F" w:rsidRDefault="00740B0F" w:rsidP="00740B0F">
      <w:pPr>
        <w:pStyle w:val="ParaBullet1"/>
        <w:tabs>
          <w:tab w:val="clear" w:pos="340"/>
        </w:tabs>
        <w:spacing w:line="276" w:lineRule="auto"/>
        <w:ind w:left="709"/>
        <w:rPr>
          <w:rFonts w:ascii="ITC Avant Garde" w:hAnsi="ITC Avant Garde"/>
        </w:rPr>
      </w:pPr>
      <w:r w:rsidRPr="00381E8E">
        <w:rPr>
          <w:rFonts w:ascii="ITC Avant Garde" w:hAnsi="ITC Avant Garde"/>
          <w:b/>
        </w:rPr>
        <w:t xml:space="preserve">Costos </w:t>
      </w:r>
      <w:r>
        <w:rPr>
          <w:rFonts w:ascii="ITC Avant Garde" w:hAnsi="ITC Avant Garde"/>
          <w:b/>
        </w:rPr>
        <w:t>promedio</w:t>
      </w:r>
      <w:r w:rsidRPr="00381E8E">
        <w:rPr>
          <w:rFonts w:ascii="ITC Avant Garde" w:hAnsi="ITC Avant Garde"/>
          <w:b/>
        </w:rPr>
        <w:t xml:space="preserve"> evitables (</w:t>
      </w:r>
      <w:r>
        <w:rPr>
          <w:rFonts w:ascii="ITC Avant Garde" w:hAnsi="ITC Avant Garde"/>
          <w:b/>
        </w:rPr>
        <w:t>en lo sucesivo, “</w:t>
      </w:r>
      <w:r w:rsidRPr="00381E8E">
        <w:rPr>
          <w:rFonts w:ascii="ITC Avant Garde" w:hAnsi="ITC Avant Garde"/>
          <w:b/>
        </w:rPr>
        <w:t>AAC</w:t>
      </w:r>
      <w:r>
        <w:rPr>
          <w:rFonts w:ascii="ITC Avant Garde" w:hAnsi="ITC Avant Garde"/>
          <w:b/>
        </w:rPr>
        <w:t>”</w:t>
      </w:r>
      <w:r w:rsidRPr="00381E8E">
        <w:rPr>
          <w:rStyle w:val="Refdenotaalpie"/>
        </w:rPr>
        <w:footnoteReference w:id="7"/>
      </w:r>
      <w:r w:rsidRPr="00381E8E">
        <w:rPr>
          <w:rFonts w:ascii="ITC Avant Garde" w:hAnsi="ITC Avant Garde"/>
          <w:b/>
        </w:rPr>
        <w:t>).</w:t>
      </w:r>
      <w:r w:rsidRPr="00381E8E">
        <w:rPr>
          <w:rFonts w:ascii="ITC Avant Garde" w:hAnsi="ITC Avant Garde"/>
        </w:rPr>
        <w:t xml:space="preserve"> Son los costos evitables en el corto plazo si un determinado incremento (por ejemplo, una oferta comercial) deja de prestarse. No incluye los costos fijos hundidos ni los costos compartidos con otras ofertas/servicios. Este estándar protege</w:t>
      </w:r>
      <w:r>
        <w:rPr>
          <w:rFonts w:ascii="ITC Avant Garde" w:hAnsi="ITC Avant Garde"/>
        </w:rPr>
        <w:t xml:space="preserve"> el proceso de competencia en donde existen operadores</w:t>
      </w:r>
      <w:r w:rsidRPr="00381E8E">
        <w:rPr>
          <w:rFonts w:ascii="ITC Avant Garde" w:hAnsi="ITC Avant Garde"/>
        </w:rPr>
        <w:t xml:space="preserve"> que ya han realizado su inversión. Sin embargo, dificulta la entrada de operadores que han de incurrir en costos fijos hundidos para entrar </w:t>
      </w:r>
      <w:r>
        <w:rPr>
          <w:rFonts w:ascii="ITC Avant Garde" w:hAnsi="ITC Avant Garde"/>
        </w:rPr>
        <w:t>al</w:t>
      </w:r>
      <w:r w:rsidRPr="00381E8E">
        <w:rPr>
          <w:rFonts w:ascii="ITC Avant Garde" w:hAnsi="ITC Avant Garde"/>
        </w:rPr>
        <w:t xml:space="preserve"> mercado, ya que la prueba no toma en consideración estos costos. La flexibilidad </w:t>
      </w:r>
      <w:r>
        <w:rPr>
          <w:rFonts w:ascii="ITC Avant Garde" w:hAnsi="ITC Avant Garde"/>
        </w:rPr>
        <w:t xml:space="preserve">para el operador </w:t>
      </w:r>
      <w:r w:rsidR="009A68D7">
        <w:rPr>
          <w:rFonts w:ascii="ITC Avant Garde" w:hAnsi="ITC Avant Garde"/>
        </w:rPr>
        <w:t xml:space="preserve">regulada </w:t>
      </w:r>
      <w:r w:rsidRPr="00381E8E">
        <w:rPr>
          <w:rFonts w:ascii="ITC Avant Garde" w:hAnsi="ITC Avant Garde"/>
        </w:rPr>
        <w:t xml:space="preserve">es alta con este estándar por cuanto los costos AAC son bajos, lo que facilita que las ofertas comerciales pasen la prueba. La transparencia de este enfoque es posiblemente menor que la de un enfoque </w:t>
      </w:r>
      <w:r>
        <w:rPr>
          <w:rFonts w:ascii="ITC Avant Garde" w:hAnsi="ITC Avant Garde"/>
        </w:rPr>
        <w:t xml:space="preserve">de </w:t>
      </w:r>
      <w:r w:rsidRPr="00ED7B63">
        <w:rPr>
          <w:rFonts w:ascii="ITC Avant Garde" w:hAnsi="ITC Avant Garde"/>
          <w:b/>
          <w:bCs/>
          <w:i/>
          <w:iCs/>
        </w:rPr>
        <w:t>Costos Incrementales de Largo Plazo</w:t>
      </w:r>
      <w:r w:rsidRPr="00ED7B63">
        <w:rPr>
          <w:rFonts w:ascii="ITC Avant Garde" w:hAnsi="ITC Avant Garde"/>
          <w:b/>
          <w:bCs/>
        </w:rPr>
        <w:t xml:space="preserve"> (en lo sucesivo, “</w:t>
      </w:r>
      <w:r w:rsidRPr="00ED7B63">
        <w:rPr>
          <w:rFonts w:ascii="ITC Avant Garde" w:hAnsi="ITC Avant Garde"/>
          <w:b/>
          <w:bCs/>
          <w:i/>
          <w:iCs/>
        </w:rPr>
        <w:t>LRIC</w:t>
      </w:r>
      <w:r w:rsidRPr="00ED7B63">
        <w:rPr>
          <w:rStyle w:val="Refdenotaalpie"/>
          <w:b/>
          <w:bCs/>
        </w:rPr>
        <w:footnoteReference w:id="8"/>
      </w:r>
      <w:r w:rsidRPr="00ED7B63">
        <w:rPr>
          <w:rFonts w:ascii="ITC Avant Garde" w:hAnsi="ITC Avant Garde"/>
          <w:b/>
          <w:bCs/>
        </w:rPr>
        <w:t>”)</w:t>
      </w:r>
      <w:r w:rsidRPr="00381E8E">
        <w:rPr>
          <w:rFonts w:ascii="ITC Avant Garde" w:hAnsi="ITC Avant Garde"/>
        </w:rPr>
        <w:t xml:space="preserve"> y</w:t>
      </w:r>
      <w:r>
        <w:rPr>
          <w:rFonts w:ascii="ITC Avant Garde" w:hAnsi="ITC Avant Garde"/>
        </w:rPr>
        <w:t xml:space="preserve"> de </w:t>
      </w:r>
      <w:r w:rsidRPr="00ED7B63">
        <w:rPr>
          <w:rFonts w:ascii="ITC Avant Garde" w:hAnsi="ITC Avant Garde"/>
          <w:b/>
          <w:bCs/>
          <w:i/>
          <w:iCs/>
        </w:rPr>
        <w:t>Costos Completamente Distribuidos</w:t>
      </w:r>
      <w:r w:rsidRPr="00ED7B63">
        <w:rPr>
          <w:rFonts w:ascii="ITC Avant Garde" w:hAnsi="ITC Avant Garde"/>
          <w:b/>
          <w:bCs/>
        </w:rPr>
        <w:t xml:space="preserve"> (en lo sucesivo, “</w:t>
      </w:r>
      <w:r w:rsidRPr="00ED7B63">
        <w:rPr>
          <w:rFonts w:ascii="ITC Avant Garde" w:hAnsi="ITC Avant Garde"/>
          <w:b/>
          <w:bCs/>
          <w:i/>
          <w:iCs/>
        </w:rPr>
        <w:t>FAC</w:t>
      </w:r>
      <w:r w:rsidRPr="00ED7B63">
        <w:rPr>
          <w:rStyle w:val="Refdenotaalpie"/>
          <w:b/>
          <w:bCs/>
        </w:rPr>
        <w:footnoteReference w:id="9"/>
      </w:r>
      <w:r w:rsidRPr="00ED7B63">
        <w:rPr>
          <w:rFonts w:ascii="ITC Avant Garde" w:hAnsi="ITC Avant Garde"/>
          <w:b/>
          <w:bCs/>
        </w:rPr>
        <w:t>”)</w:t>
      </w:r>
      <w:r w:rsidRPr="00381E8E">
        <w:rPr>
          <w:rFonts w:ascii="ITC Avant Garde" w:hAnsi="ITC Avant Garde"/>
        </w:rPr>
        <w:t xml:space="preserve"> </w:t>
      </w:r>
      <w:r>
        <w:rPr>
          <w:rFonts w:ascii="ITC Avant Garde" w:hAnsi="ITC Avant Garde"/>
        </w:rPr>
        <w:t>ya que AAC no considera los costos comunes, costos compartidos y costos evitables a largo plazo, lo que</w:t>
      </w:r>
      <w:r w:rsidRPr="00381E8E">
        <w:rPr>
          <w:rFonts w:ascii="ITC Avant Garde" w:hAnsi="ITC Avant Garde"/>
        </w:rPr>
        <w:t xml:space="preserve"> genera más incertidumbre. </w:t>
      </w:r>
    </w:p>
    <w:p w14:paraId="0C932414" w14:textId="3D5BD1A3" w:rsidR="00740B0F" w:rsidRPr="00B957B3" w:rsidRDefault="00740B0F" w:rsidP="00985CF6">
      <w:pPr>
        <w:pStyle w:val="ParaBullet1"/>
        <w:numPr>
          <w:ilvl w:val="0"/>
          <w:numId w:val="5"/>
        </w:numPr>
        <w:spacing w:line="276" w:lineRule="auto"/>
        <w:ind w:left="709"/>
        <w:rPr>
          <w:rFonts w:ascii="ITC Avant Garde" w:hAnsi="ITC Avant Garde"/>
        </w:rPr>
      </w:pPr>
      <w:r>
        <w:rPr>
          <w:rFonts w:ascii="ITC Avant Garde" w:hAnsi="ITC Avant Garde"/>
          <w:b/>
        </w:rPr>
        <w:t>Costos incrementales de largo plazo (LRIC).</w:t>
      </w:r>
      <w:r w:rsidRPr="006A5E4F">
        <w:rPr>
          <w:rFonts w:ascii="ITC Avant Garde" w:hAnsi="ITC Avant Garde"/>
        </w:rPr>
        <w:t xml:space="preserve"> Son los costos en los que se incurre en el largo plazo por ofrecer un incremento en los servicios. Este concepto de costos incluye los costos fijos hundidos, pero no los costos compartidos (por ejemplo, si el incremento es una oferta, este estándar no incluye los costos de marketing general o T</w:t>
      </w:r>
      <w:r w:rsidR="00ED7B63">
        <w:rPr>
          <w:rFonts w:ascii="ITC Avant Garde" w:hAnsi="ITC Avant Garde"/>
        </w:rPr>
        <w:t>I</w:t>
      </w:r>
      <w:r w:rsidR="00ED7B63">
        <w:rPr>
          <w:rStyle w:val="Refdenotaalpie"/>
          <w:rFonts w:ascii="ITC Avant Garde" w:hAnsi="ITC Avant Garde"/>
        </w:rPr>
        <w:footnoteReference w:id="10"/>
      </w:r>
      <w:r w:rsidRPr="006A5E4F">
        <w:rPr>
          <w:rFonts w:ascii="ITC Avant Garde" w:hAnsi="ITC Avant Garde"/>
        </w:rPr>
        <w:t xml:space="preserve"> si están compartidos con otras ofertas). El grado de flexibilidad </w:t>
      </w:r>
      <w:r>
        <w:rPr>
          <w:rFonts w:ascii="ITC Avant Garde" w:hAnsi="ITC Avant Garde"/>
        </w:rPr>
        <w:t xml:space="preserve">para el operador </w:t>
      </w:r>
      <w:r w:rsidR="009A68D7">
        <w:rPr>
          <w:rFonts w:ascii="ITC Avant Garde" w:hAnsi="ITC Avant Garde"/>
        </w:rPr>
        <w:t xml:space="preserve">regulado </w:t>
      </w:r>
      <w:r w:rsidRPr="006A5E4F">
        <w:rPr>
          <w:rFonts w:ascii="ITC Avant Garde" w:hAnsi="ITC Avant Garde"/>
        </w:rPr>
        <w:t>es alto porque permite al operador escoger la mejor forma de recuperar los costos comunes y compartidos, pero menor que en el caso del AAC porque determina cómo se deben recuperar los costos fijos. En transparencia, certidumbre y carga regulatoria este enfoque se situaría en</w:t>
      </w:r>
      <w:r>
        <w:rPr>
          <w:rFonts w:ascii="ITC Avant Garde" w:hAnsi="ITC Avant Garde"/>
        </w:rPr>
        <w:t>tre los estándares AAC y el FAC.</w:t>
      </w:r>
    </w:p>
    <w:p w14:paraId="03DBC493" w14:textId="62999083" w:rsidR="00740B0F" w:rsidRPr="00381E8E" w:rsidRDefault="00740B0F" w:rsidP="00985CF6">
      <w:pPr>
        <w:pStyle w:val="ParaBullet1"/>
        <w:numPr>
          <w:ilvl w:val="0"/>
          <w:numId w:val="6"/>
        </w:numPr>
        <w:spacing w:line="276" w:lineRule="auto"/>
        <w:ind w:left="709"/>
        <w:rPr>
          <w:rFonts w:ascii="ITC Avant Garde" w:hAnsi="ITC Avant Garde"/>
        </w:rPr>
      </w:pPr>
      <w:r w:rsidRPr="00381E8E">
        <w:rPr>
          <w:rFonts w:ascii="ITC Avant Garde" w:hAnsi="ITC Avant Garde"/>
          <w:b/>
        </w:rPr>
        <w:t>LRIC más un margen para recuperar costos compartidos y comunes (</w:t>
      </w:r>
      <w:r>
        <w:rPr>
          <w:rFonts w:ascii="ITC Avant Garde" w:hAnsi="ITC Avant Garde"/>
          <w:b/>
        </w:rPr>
        <w:t>en lo sucesivo, “</w:t>
      </w:r>
      <w:r w:rsidRPr="00381E8E">
        <w:rPr>
          <w:rFonts w:ascii="ITC Avant Garde" w:hAnsi="ITC Avant Garde"/>
          <w:b/>
        </w:rPr>
        <w:t>LRIC+</w:t>
      </w:r>
      <w:r>
        <w:rPr>
          <w:rFonts w:ascii="ITC Avant Garde" w:hAnsi="ITC Avant Garde"/>
          <w:b/>
        </w:rPr>
        <w:t>”</w:t>
      </w:r>
      <w:r w:rsidRPr="00381E8E">
        <w:rPr>
          <w:rFonts w:ascii="ITC Avant Garde" w:hAnsi="ITC Avant Garde"/>
          <w:b/>
        </w:rPr>
        <w:t>).</w:t>
      </w:r>
      <w:r w:rsidRPr="003E3663">
        <w:rPr>
          <w:rFonts w:ascii="ITC Avant Garde" w:hAnsi="ITC Avant Garde"/>
          <w:b/>
        </w:rPr>
        <w:t xml:space="preserve"> </w:t>
      </w:r>
      <w:r w:rsidRPr="0057739F">
        <w:rPr>
          <w:rFonts w:ascii="ITC Avant Garde" w:hAnsi="ITC Avant Garde"/>
        </w:rPr>
        <w:t xml:space="preserve">Es </w:t>
      </w:r>
      <w:r w:rsidRPr="00381E8E">
        <w:rPr>
          <w:rFonts w:ascii="ITC Avant Garde" w:hAnsi="ITC Avant Garde"/>
        </w:rPr>
        <w:t>como el concepto LRIC, pero incluyendo un</w:t>
      </w:r>
      <w:r>
        <w:rPr>
          <w:rFonts w:ascii="ITC Avant Garde" w:hAnsi="ITC Avant Garde"/>
        </w:rPr>
        <w:t xml:space="preserve"> margen para la recuperación de </w:t>
      </w:r>
      <w:r w:rsidRPr="00381E8E">
        <w:rPr>
          <w:rFonts w:ascii="ITC Avant Garde" w:hAnsi="ITC Avant Garde"/>
        </w:rPr>
        <w:t xml:space="preserve">los costos comunes y compartidos. La flexibilidad </w:t>
      </w:r>
      <w:r>
        <w:rPr>
          <w:rFonts w:ascii="ITC Avant Garde" w:hAnsi="ITC Avant Garde"/>
        </w:rPr>
        <w:t xml:space="preserve">para el operador </w:t>
      </w:r>
      <w:r w:rsidR="009A68D7">
        <w:rPr>
          <w:rFonts w:ascii="ITC Avant Garde" w:hAnsi="ITC Avant Garde"/>
        </w:rPr>
        <w:t xml:space="preserve">regulado </w:t>
      </w:r>
      <w:r w:rsidRPr="00381E8E">
        <w:rPr>
          <w:rFonts w:ascii="ITC Avant Garde" w:hAnsi="ITC Avant Garde"/>
        </w:rPr>
        <w:t xml:space="preserve">bajo este estándar es menor que con los estándares AAC y LRIC porque se reduce la libertad de la empresa </w:t>
      </w:r>
      <w:r w:rsidR="009A68D7">
        <w:rPr>
          <w:rFonts w:ascii="ITC Avant Garde" w:hAnsi="ITC Avant Garde"/>
        </w:rPr>
        <w:t>regulado</w:t>
      </w:r>
      <w:r w:rsidRPr="00381E8E">
        <w:rPr>
          <w:rFonts w:ascii="ITC Avant Garde" w:hAnsi="ITC Avant Garde"/>
        </w:rPr>
        <w:t xml:space="preserve"> </w:t>
      </w:r>
      <w:r w:rsidRPr="00381E8E">
        <w:rPr>
          <w:rFonts w:ascii="ITC Avant Garde" w:hAnsi="ITC Avant Garde"/>
        </w:rPr>
        <w:lastRenderedPageBreak/>
        <w:t>para recuperar los costos compartidos y comunes entre las diferentes ofertas o servicios. En transparencia, certidumbre y carga regulatoria este enfoque estaría entre los estándares AAC y el FAC</w:t>
      </w:r>
      <w:r>
        <w:rPr>
          <w:rFonts w:ascii="ITC Avant Garde" w:hAnsi="ITC Avant Garde"/>
        </w:rPr>
        <w:t>.</w:t>
      </w:r>
      <w:r w:rsidDel="00B957B3">
        <w:rPr>
          <w:rFonts w:ascii="ITC Avant Garde" w:hAnsi="ITC Avant Garde"/>
        </w:rPr>
        <w:t xml:space="preserve"> </w:t>
      </w:r>
    </w:p>
    <w:p w14:paraId="2110DC73" w14:textId="02336AF5" w:rsidR="00740B0F" w:rsidRPr="0057739F" w:rsidRDefault="00740B0F" w:rsidP="00740B0F">
      <w:pPr>
        <w:pStyle w:val="ParaBullet1"/>
        <w:tabs>
          <w:tab w:val="clear" w:pos="340"/>
        </w:tabs>
        <w:spacing w:line="276" w:lineRule="auto"/>
        <w:ind w:left="709"/>
        <w:rPr>
          <w:rFonts w:ascii="ITC Avant Garde" w:hAnsi="ITC Avant Garde"/>
        </w:rPr>
      </w:pPr>
      <w:r>
        <w:rPr>
          <w:rFonts w:ascii="ITC Avant Garde" w:hAnsi="ITC Avant Garde"/>
          <w:b/>
        </w:rPr>
        <w:t>Costos completamente distribuidos (</w:t>
      </w:r>
      <w:r w:rsidRPr="00381E8E">
        <w:rPr>
          <w:rFonts w:ascii="ITC Avant Garde" w:hAnsi="ITC Avant Garde"/>
          <w:b/>
        </w:rPr>
        <w:t>FAC</w:t>
      </w:r>
      <w:r>
        <w:rPr>
          <w:rFonts w:ascii="ITC Avant Garde" w:hAnsi="ITC Avant Garde"/>
          <w:b/>
        </w:rPr>
        <w:t>)</w:t>
      </w:r>
      <w:r w:rsidRPr="00381E8E">
        <w:rPr>
          <w:rFonts w:ascii="ITC Avant Garde" w:hAnsi="ITC Avant Garde"/>
          <w:b/>
        </w:rPr>
        <w:t>.</w:t>
      </w:r>
      <w:r w:rsidRPr="00381E8E">
        <w:rPr>
          <w:rFonts w:ascii="ITC Avant Garde" w:hAnsi="ITC Avant Garde"/>
        </w:rPr>
        <w:t xml:space="preserve"> Se incluyen todos los costos de la compañía, incluidos los costos comunes y compartidos entre los distintos servicios. Bajo este enfoque el grado de flexibilidad </w:t>
      </w:r>
      <w:r>
        <w:rPr>
          <w:rFonts w:ascii="ITC Avant Garde" w:hAnsi="ITC Avant Garde"/>
        </w:rPr>
        <w:t xml:space="preserve">para el operador </w:t>
      </w:r>
      <w:r w:rsidR="009A68D7">
        <w:rPr>
          <w:rFonts w:ascii="ITC Avant Garde" w:hAnsi="ITC Avant Garde"/>
        </w:rPr>
        <w:t xml:space="preserve">regulado </w:t>
      </w:r>
      <w:r w:rsidRPr="00381E8E">
        <w:rPr>
          <w:rFonts w:ascii="ITC Avant Garde" w:hAnsi="ITC Avant Garde"/>
        </w:rPr>
        <w:t>es menor porque la forma en que todos los costos se recuperan entre todos los servicios está fijada de antemano</w:t>
      </w:r>
      <w:r w:rsidRPr="00381E8E">
        <w:rPr>
          <w:rStyle w:val="Refdenotaalpie"/>
        </w:rPr>
        <w:footnoteReference w:id="11"/>
      </w:r>
      <w:r w:rsidRPr="00381E8E">
        <w:rPr>
          <w:rFonts w:ascii="ITC Avant Garde" w:hAnsi="ITC Avant Garde"/>
        </w:rPr>
        <w:t xml:space="preserve">. Sin embargo, este enfoque es transparente y ofrece certidumbre a la empresa </w:t>
      </w:r>
      <w:r w:rsidR="00853C75">
        <w:rPr>
          <w:rFonts w:ascii="ITC Avant Garde" w:hAnsi="ITC Avant Garde"/>
        </w:rPr>
        <w:t>regulada</w:t>
      </w:r>
      <w:r w:rsidR="00853C75" w:rsidRPr="00381E8E">
        <w:rPr>
          <w:rFonts w:ascii="ITC Avant Garde" w:hAnsi="ITC Avant Garde"/>
        </w:rPr>
        <w:t xml:space="preserve"> </w:t>
      </w:r>
      <w:r w:rsidRPr="00381E8E">
        <w:rPr>
          <w:rFonts w:ascii="ITC Avant Garde" w:hAnsi="ITC Avant Garde"/>
        </w:rPr>
        <w:t>por cuanto conoce sus costos y, además, la carga regulatoria es baja en tanto exista información contable disponible.</w:t>
      </w:r>
    </w:p>
    <w:p w14:paraId="73B1776E" w14:textId="3D1DDF5F" w:rsidR="00740B0F" w:rsidRPr="00DA6412" w:rsidRDefault="00740B0F" w:rsidP="005103E7">
      <w:pPr>
        <w:spacing w:after="120"/>
      </w:pPr>
      <w:r w:rsidRPr="00DA6412">
        <w:t xml:space="preserve">La </w:t>
      </w:r>
      <w:r w:rsidR="00653D73">
        <w:t>Tabla</w:t>
      </w:r>
      <w:r w:rsidRPr="00DA6412">
        <w:t xml:space="preserve"> </w:t>
      </w:r>
      <w:r w:rsidR="00383912">
        <w:t>1</w:t>
      </w:r>
      <w:r w:rsidRPr="00DA6412">
        <w:t xml:space="preserve"> representa los distintos estándares de costos. </w:t>
      </w:r>
    </w:p>
    <w:tbl>
      <w:tblPr>
        <w:tblW w:w="7940" w:type="dxa"/>
        <w:jc w:val="center"/>
        <w:tblLayout w:type="fixed"/>
        <w:tblCellMar>
          <w:left w:w="0" w:type="dxa"/>
          <w:right w:w="0" w:type="dxa"/>
        </w:tblCellMar>
        <w:tblLook w:val="04A0" w:firstRow="1" w:lastRow="0" w:firstColumn="1" w:lastColumn="0" w:noHBand="0" w:noVBand="1"/>
      </w:tblPr>
      <w:tblGrid>
        <w:gridCol w:w="1642"/>
        <w:gridCol w:w="1875"/>
        <w:gridCol w:w="1862"/>
        <w:gridCol w:w="1330"/>
        <w:gridCol w:w="1138"/>
        <w:gridCol w:w="93"/>
      </w:tblGrid>
      <w:tr w:rsidR="00740B0F" w:rsidRPr="003E3663" w14:paraId="7554E6C3" w14:textId="77777777" w:rsidTr="00853C75">
        <w:trPr>
          <w:gridAfter w:val="1"/>
          <w:wAfter w:w="986" w:type="dxa"/>
          <w:jc w:val="center"/>
        </w:trPr>
        <w:tc>
          <w:tcPr>
            <w:tcW w:w="5000" w:type="pct"/>
            <w:gridSpan w:val="5"/>
            <w:noWrap/>
          </w:tcPr>
          <w:p w14:paraId="7A3F9C1C" w14:textId="62D0F470" w:rsidR="00740B0F" w:rsidRPr="003E3663" w:rsidRDefault="00653D73" w:rsidP="00853C75">
            <w:pPr>
              <w:pStyle w:val="Descripcin"/>
              <w:spacing w:after="0" w:line="276" w:lineRule="auto"/>
              <w:jc w:val="left"/>
              <w:rPr>
                <w:rFonts w:ascii="ITC Avant Garde" w:hAnsi="ITC Avant Garde"/>
                <w:sz w:val="20"/>
                <w:szCs w:val="20"/>
              </w:rPr>
            </w:pPr>
            <w:r>
              <w:rPr>
                <w:rFonts w:ascii="ITC Avant Garde" w:hAnsi="ITC Avant Garde"/>
                <w:sz w:val="20"/>
                <w:szCs w:val="20"/>
              </w:rPr>
              <w:t>Tabla</w:t>
            </w:r>
            <w:r w:rsidR="00740B0F" w:rsidRPr="003E3663">
              <w:rPr>
                <w:rFonts w:ascii="ITC Avant Garde" w:hAnsi="ITC Avant Garde"/>
                <w:sz w:val="20"/>
                <w:szCs w:val="20"/>
              </w:rPr>
              <w:t xml:space="preserve"> </w:t>
            </w:r>
            <w:r w:rsidR="00383912">
              <w:rPr>
                <w:rFonts w:ascii="ITC Avant Garde" w:hAnsi="ITC Avant Garde"/>
                <w:sz w:val="20"/>
                <w:szCs w:val="20"/>
              </w:rPr>
              <w:t>1</w:t>
            </w:r>
            <w:r w:rsidR="00740B0F">
              <w:rPr>
                <w:rFonts w:ascii="ITC Avant Garde" w:hAnsi="ITC Avant Garde"/>
                <w:sz w:val="20"/>
                <w:szCs w:val="20"/>
              </w:rPr>
              <w:t xml:space="preserve">.- </w:t>
            </w:r>
            <w:r w:rsidR="00740B0F" w:rsidRPr="003E3663">
              <w:rPr>
                <w:rFonts w:ascii="ITC Avant Garde" w:hAnsi="ITC Avant Garde"/>
                <w:sz w:val="20"/>
                <w:szCs w:val="20"/>
              </w:rPr>
              <w:t>Representación de los distintos estándares de costos</w:t>
            </w:r>
            <w:r w:rsidR="00740B0F">
              <w:rPr>
                <w:rFonts w:ascii="ITC Avant Garde" w:hAnsi="ITC Avant Garde"/>
                <w:sz w:val="20"/>
                <w:szCs w:val="20"/>
              </w:rPr>
              <w:t>.</w:t>
            </w:r>
          </w:p>
        </w:tc>
      </w:tr>
      <w:tr w:rsidR="00DA6412" w14:paraId="4ECEF64C" w14:textId="77777777" w:rsidTr="00DA6412">
        <w:tblPrEx>
          <w:jc w:val="left"/>
          <w:tblCellMar>
            <w:left w:w="70" w:type="dxa"/>
            <w:right w:w="70" w:type="dxa"/>
          </w:tblCellMar>
        </w:tblPrEx>
        <w:trPr>
          <w:trHeight w:val="288"/>
        </w:trPr>
        <w:tc>
          <w:tcPr>
            <w:tcW w:w="1046" w:type="pct"/>
            <w:tcBorders>
              <w:bottom w:val="single" w:sz="4" w:space="0" w:color="auto"/>
              <w:right w:val="single" w:sz="4" w:space="0" w:color="auto"/>
            </w:tcBorders>
            <w:shd w:val="clear" w:color="auto" w:fill="auto"/>
            <w:noWrap/>
            <w:vAlign w:val="center"/>
          </w:tcPr>
          <w:p w14:paraId="5783BD10" w14:textId="77777777" w:rsidR="00DA6412" w:rsidRDefault="00DA6412" w:rsidP="00DA6412">
            <w:pPr>
              <w:spacing w:before="0" w:after="0" w:line="240" w:lineRule="auto"/>
              <w:jc w:val="center"/>
              <w:rPr>
                <w:rFonts w:ascii="Aptos Narrow" w:hAnsi="Aptos Narrow"/>
                <w:b/>
                <w:bCs/>
                <w:color w:val="FFFFFF"/>
              </w:rPr>
            </w:pPr>
          </w:p>
        </w:tc>
        <w:tc>
          <w:tcPr>
            <w:tcW w:w="3954" w:type="pct"/>
            <w:gridSpan w:val="5"/>
            <w:tcBorders>
              <w:top w:val="single" w:sz="4" w:space="0" w:color="auto"/>
              <w:left w:val="single" w:sz="4" w:space="0" w:color="auto"/>
              <w:bottom w:val="single" w:sz="4" w:space="0" w:color="auto"/>
              <w:right w:val="single" w:sz="4" w:space="0" w:color="auto"/>
            </w:tcBorders>
            <w:shd w:val="clear" w:color="156082" w:fill="156082"/>
            <w:vAlign w:val="center"/>
          </w:tcPr>
          <w:p w14:paraId="1D9DEE62" w14:textId="08CEBA9F" w:rsidR="00DA6412" w:rsidRDefault="00DA6412" w:rsidP="00DA6412">
            <w:pPr>
              <w:spacing w:before="0" w:after="0" w:line="240" w:lineRule="auto"/>
              <w:jc w:val="center"/>
              <w:rPr>
                <w:rFonts w:ascii="Aptos Narrow" w:hAnsi="Aptos Narrow"/>
                <w:b/>
                <w:bCs/>
                <w:color w:val="FFFFFF"/>
              </w:rPr>
            </w:pPr>
            <w:r>
              <w:rPr>
                <w:rFonts w:ascii="Aptos Narrow" w:hAnsi="Aptos Narrow"/>
                <w:b/>
                <w:bCs/>
                <w:color w:val="FFFFFF"/>
              </w:rPr>
              <w:t>COSTOS TOTALES</w:t>
            </w:r>
          </w:p>
        </w:tc>
      </w:tr>
      <w:tr w:rsidR="00383912" w14:paraId="319D3828" w14:textId="77777777" w:rsidTr="005103E7">
        <w:tblPrEx>
          <w:jc w:val="left"/>
          <w:tblCellMar>
            <w:left w:w="70" w:type="dxa"/>
            <w:right w:w="70" w:type="dxa"/>
          </w:tblCellMar>
        </w:tblPrEx>
        <w:trPr>
          <w:trHeight w:val="288"/>
        </w:trPr>
        <w:tc>
          <w:tcPr>
            <w:tcW w:w="1046" w:type="pct"/>
            <w:tcBorders>
              <w:top w:val="single" w:sz="4" w:space="0" w:color="auto"/>
              <w:left w:val="single" w:sz="4" w:space="0" w:color="auto"/>
              <w:bottom w:val="single" w:sz="4" w:space="0" w:color="auto"/>
              <w:right w:val="single" w:sz="4" w:space="0" w:color="auto"/>
            </w:tcBorders>
            <w:shd w:val="clear" w:color="156082" w:fill="156082"/>
            <w:noWrap/>
            <w:vAlign w:val="center"/>
            <w:hideMark/>
          </w:tcPr>
          <w:p w14:paraId="572CCEBD" w14:textId="77777777" w:rsidR="00383912" w:rsidRDefault="00383912" w:rsidP="005103E7">
            <w:pPr>
              <w:spacing w:before="0" w:after="0" w:line="240" w:lineRule="auto"/>
              <w:jc w:val="center"/>
              <w:rPr>
                <w:rFonts w:ascii="Aptos Narrow" w:hAnsi="Aptos Narrow"/>
                <w:b/>
                <w:bCs/>
                <w:color w:val="FFFFFF"/>
                <w:lang w:eastAsia="es-MX"/>
              </w:rPr>
            </w:pPr>
            <w:r>
              <w:rPr>
                <w:rFonts w:ascii="Aptos Narrow" w:hAnsi="Aptos Narrow"/>
                <w:b/>
                <w:bCs/>
                <w:color w:val="FFFFFF"/>
              </w:rPr>
              <w:t>Estándar de costos</w:t>
            </w:r>
          </w:p>
        </w:tc>
        <w:tc>
          <w:tcPr>
            <w:tcW w:w="1193" w:type="pct"/>
            <w:tcBorders>
              <w:top w:val="single" w:sz="4" w:space="0" w:color="auto"/>
              <w:left w:val="single" w:sz="4" w:space="0" w:color="auto"/>
              <w:bottom w:val="single" w:sz="4" w:space="0" w:color="auto"/>
              <w:right w:val="single" w:sz="4" w:space="0" w:color="auto"/>
            </w:tcBorders>
            <w:shd w:val="clear" w:color="156082" w:fill="156082"/>
            <w:vAlign w:val="center"/>
            <w:hideMark/>
          </w:tcPr>
          <w:p w14:paraId="6D041F1F" w14:textId="77777777" w:rsidR="00383912" w:rsidRDefault="00383912" w:rsidP="005103E7">
            <w:pPr>
              <w:spacing w:before="0" w:after="0" w:line="240" w:lineRule="auto"/>
              <w:jc w:val="center"/>
              <w:rPr>
                <w:rFonts w:ascii="Aptos Narrow" w:hAnsi="Aptos Narrow"/>
                <w:b/>
                <w:bCs/>
                <w:color w:val="FFFFFF"/>
              </w:rPr>
            </w:pPr>
            <w:r>
              <w:rPr>
                <w:rFonts w:ascii="Aptos Narrow" w:hAnsi="Aptos Narrow"/>
                <w:b/>
                <w:bCs/>
                <w:color w:val="FFFFFF"/>
              </w:rPr>
              <w:t>Costos evitables a corto plazo</w:t>
            </w:r>
          </w:p>
        </w:tc>
        <w:tc>
          <w:tcPr>
            <w:tcW w:w="1184" w:type="pct"/>
            <w:tcBorders>
              <w:top w:val="single" w:sz="4" w:space="0" w:color="auto"/>
              <w:left w:val="single" w:sz="4" w:space="0" w:color="auto"/>
              <w:bottom w:val="single" w:sz="4" w:space="0" w:color="auto"/>
              <w:right w:val="single" w:sz="4" w:space="0" w:color="auto"/>
            </w:tcBorders>
            <w:shd w:val="clear" w:color="156082" w:fill="156082"/>
            <w:vAlign w:val="center"/>
            <w:hideMark/>
          </w:tcPr>
          <w:p w14:paraId="522AC8C5" w14:textId="77777777" w:rsidR="00383912" w:rsidRDefault="00383912" w:rsidP="005103E7">
            <w:pPr>
              <w:spacing w:before="0" w:after="0" w:line="240" w:lineRule="auto"/>
              <w:jc w:val="center"/>
              <w:rPr>
                <w:rFonts w:ascii="Aptos Narrow" w:hAnsi="Aptos Narrow"/>
                <w:b/>
                <w:bCs/>
                <w:color w:val="FFFFFF"/>
              </w:rPr>
            </w:pPr>
            <w:r>
              <w:rPr>
                <w:rFonts w:ascii="Aptos Narrow" w:hAnsi="Aptos Narrow"/>
                <w:b/>
                <w:bCs/>
                <w:color w:val="FFFFFF"/>
              </w:rPr>
              <w:t>Costos evitables a largo plazo</w:t>
            </w:r>
          </w:p>
        </w:tc>
        <w:tc>
          <w:tcPr>
            <w:tcW w:w="849" w:type="pct"/>
            <w:tcBorders>
              <w:top w:val="single" w:sz="4" w:space="0" w:color="auto"/>
              <w:left w:val="single" w:sz="4" w:space="0" w:color="auto"/>
              <w:bottom w:val="single" w:sz="4" w:space="0" w:color="auto"/>
              <w:right w:val="single" w:sz="4" w:space="0" w:color="auto"/>
            </w:tcBorders>
            <w:shd w:val="clear" w:color="156082" w:fill="156082"/>
            <w:vAlign w:val="center"/>
            <w:hideMark/>
          </w:tcPr>
          <w:p w14:paraId="4E65059B" w14:textId="77777777" w:rsidR="00383912" w:rsidRDefault="00383912" w:rsidP="005103E7">
            <w:pPr>
              <w:spacing w:before="0" w:after="0" w:line="240" w:lineRule="auto"/>
              <w:jc w:val="center"/>
              <w:rPr>
                <w:rFonts w:ascii="Aptos Narrow" w:hAnsi="Aptos Narrow"/>
                <w:b/>
                <w:bCs/>
                <w:color w:val="FFFFFF"/>
              </w:rPr>
            </w:pPr>
            <w:r>
              <w:rPr>
                <w:rFonts w:ascii="Aptos Narrow" w:hAnsi="Aptos Narrow"/>
                <w:b/>
                <w:bCs/>
                <w:color w:val="FFFFFF"/>
              </w:rPr>
              <w:t>Costos compartidos</w:t>
            </w:r>
          </w:p>
        </w:tc>
        <w:tc>
          <w:tcPr>
            <w:tcW w:w="728" w:type="pct"/>
            <w:gridSpan w:val="2"/>
            <w:tcBorders>
              <w:top w:val="single" w:sz="4" w:space="0" w:color="auto"/>
              <w:left w:val="single" w:sz="4" w:space="0" w:color="auto"/>
              <w:bottom w:val="single" w:sz="4" w:space="0" w:color="auto"/>
              <w:right w:val="single" w:sz="4" w:space="0" w:color="auto"/>
            </w:tcBorders>
            <w:shd w:val="clear" w:color="156082" w:fill="156082"/>
            <w:vAlign w:val="center"/>
            <w:hideMark/>
          </w:tcPr>
          <w:p w14:paraId="1494F58F" w14:textId="77777777" w:rsidR="00383912" w:rsidRDefault="00383912" w:rsidP="00DA6412">
            <w:pPr>
              <w:spacing w:before="0" w:after="0" w:line="240" w:lineRule="auto"/>
              <w:jc w:val="center"/>
              <w:rPr>
                <w:rFonts w:ascii="Aptos Narrow" w:hAnsi="Aptos Narrow"/>
                <w:b/>
                <w:bCs/>
                <w:color w:val="FFFFFF"/>
              </w:rPr>
            </w:pPr>
            <w:r>
              <w:rPr>
                <w:rFonts w:ascii="Aptos Narrow" w:hAnsi="Aptos Narrow"/>
                <w:b/>
                <w:bCs/>
                <w:color w:val="FFFFFF"/>
              </w:rPr>
              <w:t>Costos comunes</w:t>
            </w:r>
          </w:p>
        </w:tc>
      </w:tr>
      <w:tr w:rsidR="00383912" w14:paraId="5F92F1E2" w14:textId="77777777" w:rsidTr="00DA6412">
        <w:tblPrEx>
          <w:jc w:val="left"/>
          <w:tblCellMar>
            <w:left w:w="70" w:type="dxa"/>
            <w:right w:w="70" w:type="dxa"/>
          </w:tblCellMar>
        </w:tblPrEx>
        <w:trPr>
          <w:trHeight w:val="576"/>
        </w:trPr>
        <w:tc>
          <w:tcPr>
            <w:tcW w:w="10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801BC3" w14:textId="77777777" w:rsidR="00383912" w:rsidRDefault="00383912" w:rsidP="00DA6412">
            <w:pPr>
              <w:spacing w:before="0" w:after="0" w:line="240" w:lineRule="auto"/>
              <w:jc w:val="left"/>
              <w:rPr>
                <w:rFonts w:ascii="Aptos Narrow" w:hAnsi="Aptos Narrow"/>
                <w:color w:val="000000"/>
              </w:rPr>
            </w:pPr>
            <w:r>
              <w:rPr>
                <w:rFonts w:ascii="Aptos Narrow" w:hAnsi="Aptos Narrow"/>
                <w:color w:val="000000"/>
              </w:rPr>
              <w:t>Costos promedio evitables</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01C0"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DEA9B"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E1D91"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 </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14AD"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 </w:t>
            </w:r>
          </w:p>
        </w:tc>
      </w:tr>
      <w:tr w:rsidR="00383912" w14:paraId="2379A062" w14:textId="77777777" w:rsidTr="00DA6412">
        <w:tblPrEx>
          <w:jc w:val="left"/>
          <w:tblCellMar>
            <w:left w:w="70" w:type="dxa"/>
            <w:right w:w="70" w:type="dxa"/>
          </w:tblCellMar>
        </w:tblPrEx>
        <w:trPr>
          <w:trHeight w:val="576"/>
        </w:trPr>
        <w:tc>
          <w:tcPr>
            <w:tcW w:w="10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565E6B" w14:textId="77777777" w:rsidR="00383912" w:rsidRDefault="00383912" w:rsidP="00DA6412">
            <w:pPr>
              <w:spacing w:before="0" w:after="0" w:line="240" w:lineRule="auto"/>
              <w:jc w:val="left"/>
              <w:rPr>
                <w:rFonts w:ascii="Aptos Narrow" w:hAnsi="Aptos Narrow"/>
                <w:color w:val="000000"/>
              </w:rPr>
            </w:pPr>
            <w:r>
              <w:rPr>
                <w:rFonts w:ascii="Aptos Narrow" w:hAnsi="Aptos Narrow"/>
                <w:color w:val="000000"/>
              </w:rPr>
              <w:t>Costos incrementales de largo plazo</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F740"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3DEC"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6613F"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 </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D97E9"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 </w:t>
            </w:r>
          </w:p>
        </w:tc>
      </w:tr>
      <w:tr w:rsidR="00383912" w14:paraId="64B03D14" w14:textId="77777777" w:rsidTr="00DA6412">
        <w:tblPrEx>
          <w:jc w:val="left"/>
          <w:tblCellMar>
            <w:left w:w="70" w:type="dxa"/>
            <w:right w:w="70" w:type="dxa"/>
          </w:tblCellMar>
        </w:tblPrEx>
        <w:trPr>
          <w:trHeight w:val="576"/>
        </w:trPr>
        <w:tc>
          <w:tcPr>
            <w:tcW w:w="10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0AA82C" w14:textId="77777777" w:rsidR="00383912" w:rsidRDefault="00383912" w:rsidP="00DA6412">
            <w:pPr>
              <w:spacing w:before="0" w:after="0" w:line="240" w:lineRule="auto"/>
              <w:jc w:val="left"/>
              <w:rPr>
                <w:rFonts w:ascii="Aptos Narrow" w:hAnsi="Aptos Narrow"/>
                <w:color w:val="000000"/>
              </w:rPr>
            </w:pPr>
            <w:r>
              <w:rPr>
                <w:rFonts w:ascii="Aptos Narrow" w:hAnsi="Aptos Narrow"/>
                <w:color w:val="000000"/>
              </w:rPr>
              <w:t>Costos incrementales de largo plazo + margen</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47ED"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DFB74"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47F5D"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CDC1" w14:textId="7D2AF61A" w:rsidR="00383912" w:rsidRDefault="00BB7565" w:rsidP="00DA6412">
            <w:pPr>
              <w:spacing w:before="0" w:after="0" w:line="240" w:lineRule="auto"/>
              <w:jc w:val="center"/>
              <w:rPr>
                <w:rFonts w:ascii="Aptos Narrow" w:hAnsi="Aptos Narrow"/>
                <w:b/>
                <w:bCs/>
                <w:color w:val="000000"/>
              </w:rPr>
            </w:pPr>
            <w:r>
              <w:rPr>
                <w:rFonts w:ascii="Aptos Narrow" w:hAnsi="Aptos Narrow"/>
                <w:b/>
                <w:bCs/>
                <w:color w:val="000000"/>
              </w:rPr>
              <w:t>Una proporción</w:t>
            </w:r>
            <w:r w:rsidR="00383912">
              <w:rPr>
                <w:rFonts w:ascii="Aptos Narrow" w:hAnsi="Aptos Narrow"/>
                <w:b/>
                <w:bCs/>
                <w:color w:val="000000"/>
              </w:rPr>
              <w:t> </w:t>
            </w:r>
          </w:p>
        </w:tc>
      </w:tr>
      <w:tr w:rsidR="00383912" w14:paraId="4235F3F9" w14:textId="77777777" w:rsidTr="00DA6412">
        <w:tblPrEx>
          <w:jc w:val="left"/>
          <w:tblCellMar>
            <w:left w:w="70" w:type="dxa"/>
            <w:right w:w="70" w:type="dxa"/>
          </w:tblCellMar>
        </w:tblPrEx>
        <w:trPr>
          <w:trHeight w:val="576"/>
        </w:trPr>
        <w:tc>
          <w:tcPr>
            <w:tcW w:w="10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240B8B" w14:textId="77777777" w:rsidR="00383912" w:rsidRDefault="00383912" w:rsidP="00DA6412">
            <w:pPr>
              <w:spacing w:before="0" w:after="0" w:line="240" w:lineRule="auto"/>
              <w:jc w:val="left"/>
              <w:rPr>
                <w:rFonts w:ascii="Aptos Narrow" w:hAnsi="Aptos Narrow"/>
                <w:color w:val="000000"/>
              </w:rPr>
            </w:pPr>
            <w:r>
              <w:rPr>
                <w:rFonts w:ascii="Aptos Narrow" w:hAnsi="Aptos Narrow"/>
                <w:color w:val="000000"/>
              </w:rPr>
              <w:t>Costos completamente distribuidos</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C72F"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414B"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D7C0"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c>
          <w:tcPr>
            <w:tcW w:w="7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C42E" w14:textId="77777777" w:rsidR="00383912" w:rsidRDefault="00383912" w:rsidP="00DA6412">
            <w:pPr>
              <w:spacing w:before="0" w:after="0" w:line="240" w:lineRule="auto"/>
              <w:jc w:val="center"/>
              <w:rPr>
                <w:rFonts w:ascii="Aptos Narrow" w:hAnsi="Aptos Narrow"/>
                <w:b/>
                <w:bCs/>
                <w:color w:val="000000"/>
              </w:rPr>
            </w:pPr>
            <w:r>
              <w:rPr>
                <w:rFonts w:ascii="Aptos Narrow" w:hAnsi="Aptos Narrow"/>
                <w:b/>
                <w:bCs/>
                <w:color w:val="000000"/>
              </w:rPr>
              <w:t>X</w:t>
            </w:r>
          </w:p>
        </w:tc>
      </w:tr>
      <w:tr w:rsidR="00740B0F" w:rsidRPr="00443497" w14:paraId="64076E7E" w14:textId="77777777" w:rsidTr="00853C75">
        <w:trPr>
          <w:gridAfter w:val="1"/>
          <w:wAfter w:w="986" w:type="dxa"/>
          <w:jc w:val="center"/>
        </w:trPr>
        <w:tc>
          <w:tcPr>
            <w:tcW w:w="5000" w:type="pct"/>
            <w:gridSpan w:val="5"/>
            <w:noWrap/>
          </w:tcPr>
          <w:p w14:paraId="175CF3F3" w14:textId="595128B6" w:rsidR="00740B0F" w:rsidRPr="00076B1E" w:rsidRDefault="00740B0F" w:rsidP="00DA6412">
            <w:pPr>
              <w:pStyle w:val="Source"/>
              <w:spacing w:after="0" w:line="276" w:lineRule="auto"/>
              <w:ind w:left="0" w:firstLine="0"/>
            </w:pPr>
          </w:p>
        </w:tc>
      </w:tr>
      <w:tr w:rsidR="00ED7B63" w:rsidRPr="00443497" w14:paraId="19F56F4E" w14:textId="77777777" w:rsidTr="00853C75">
        <w:trPr>
          <w:gridAfter w:val="1"/>
          <w:wAfter w:w="986" w:type="dxa"/>
          <w:jc w:val="center"/>
        </w:trPr>
        <w:tc>
          <w:tcPr>
            <w:tcW w:w="5000" w:type="pct"/>
            <w:gridSpan w:val="5"/>
            <w:noWrap/>
          </w:tcPr>
          <w:p w14:paraId="04A3C627" w14:textId="77777777" w:rsidR="00ED7B63" w:rsidRPr="00076B1E" w:rsidRDefault="00ED7B63" w:rsidP="00853C75">
            <w:pPr>
              <w:pStyle w:val="Source"/>
              <w:spacing w:after="0" w:line="276" w:lineRule="auto"/>
            </w:pPr>
          </w:p>
        </w:tc>
      </w:tr>
    </w:tbl>
    <w:p w14:paraId="54DCB5BA"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Nivel de agregación</w:t>
      </w:r>
    </w:p>
    <w:p w14:paraId="3234953C" w14:textId="77777777" w:rsidR="00740B0F" w:rsidRPr="0057739F" w:rsidRDefault="00740B0F" w:rsidP="00740B0F">
      <w:r w:rsidRPr="0057739F">
        <w:t>El nivel de agregación se refiere al conjunto de ofertas y servicios a incluir en la prueba. Se pueden distinguir las siguientes opciones</w:t>
      </w:r>
      <w:r>
        <w:t>:</w:t>
      </w:r>
    </w:p>
    <w:p w14:paraId="264DF185" w14:textId="1057AC4C" w:rsidR="00740B0F" w:rsidRPr="005B4280" w:rsidRDefault="00740B0F" w:rsidP="00740B0F">
      <w:pPr>
        <w:pStyle w:val="ParaBullet1"/>
        <w:rPr>
          <w:rFonts w:ascii="ITC Avant Garde" w:hAnsi="ITC Avant Garde"/>
        </w:rPr>
      </w:pPr>
      <w:r w:rsidRPr="005B4280">
        <w:rPr>
          <w:rFonts w:ascii="ITC Avant Garde" w:hAnsi="ITC Avant Garde"/>
          <w:b/>
        </w:rPr>
        <w:t>(1) Prueba oferta por oferta</w:t>
      </w:r>
      <w:r w:rsidRPr="005B4280">
        <w:rPr>
          <w:rFonts w:ascii="ITC Avant Garde" w:hAnsi="ITC Avant Garde"/>
        </w:rPr>
        <w:t xml:space="preserve">. Es la opción más protectora de la competencia al evaluarse la rentabilidad de cada oferta lanzada por la empresa </w:t>
      </w:r>
      <w:r w:rsidR="00853C75">
        <w:rPr>
          <w:rFonts w:ascii="ITC Avant Garde" w:hAnsi="ITC Avant Garde"/>
        </w:rPr>
        <w:t>regulada</w:t>
      </w:r>
      <w:r w:rsidRPr="005B4280">
        <w:rPr>
          <w:rFonts w:ascii="ITC Avant Garde" w:hAnsi="ITC Avant Garde"/>
        </w:rPr>
        <w:t xml:space="preserve">. </w:t>
      </w:r>
      <w:r w:rsidRPr="005B4280">
        <w:rPr>
          <w:rFonts w:ascii="ITC Avant Garde" w:hAnsi="ITC Avant Garde"/>
        </w:rPr>
        <w:lastRenderedPageBreak/>
        <w:t xml:space="preserve">Presenta el mayor grado de transparencia y certidumbre para los competidores. Genera certeza al operador </w:t>
      </w:r>
      <w:r w:rsidR="00853C75">
        <w:rPr>
          <w:rFonts w:ascii="ITC Avant Garde" w:hAnsi="ITC Avant Garde"/>
        </w:rPr>
        <w:t>regulado</w:t>
      </w:r>
      <w:r w:rsidR="00853C75" w:rsidRPr="005B4280">
        <w:rPr>
          <w:rFonts w:ascii="ITC Avant Garde" w:hAnsi="ITC Avant Garde"/>
        </w:rPr>
        <w:t xml:space="preserve"> </w:t>
      </w:r>
      <w:r w:rsidRPr="005B4280">
        <w:rPr>
          <w:rFonts w:ascii="ITC Avant Garde" w:hAnsi="ITC Avant Garde"/>
        </w:rPr>
        <w:t xml:space="preserve">al saber que las ofertas lanzadas al mercado son consideradas replicables por el regulador. Sin embargo, supone una elevada carga regulatoria al requerir la elaboración de una prueba cada vez que se lanza una oferta al mercado y, además, requiere información muy desagregada para poder hacerlo. </w:t>
      </w:r>
      <w:r w:rsidRPr="004A2F9F">
        <w:rPr>
          <w:rFonts w:ascii="ITC Avant Garde" w:hAnsi="ITC Avant Garde"/>
        </w:rPr>
        <w:t>Por ejemplo</w:t>
      </w:r>
      <w:r w:rsidR="00ED7B63">
        <w:rPr>
          <w:rFonts w:ascii="ITC Avant Garde" w:hAnsi="ITC Avant Garde"/>
        </w:rPr>
        <w:t>,</w:t>
      </w:r>
      <w:r w:rsidRPr="004A2F9F">
        <w:rPr>
          <w:rFonts w:ascii="ITC Avant Garde" w:hAnsi="ITC Avant Garde"/>
        </w:rPr>
        <w:t xml:space="preserve"> para implementar una prueba de este tipo se requiere la asignación de los costos comunes a las distintas ofertas. Esto puede conducir a una distorsión de la política de precios si el método de asignación no refleja la forma en que el operador recuperaría estos costos en un mercado en competencia</w:t>
      </w:r>
      <w:r>
        <w:rPr>
          <w:rFonts w:ascii="ITC Avant Garde" w:hAnsi="ITC Avant Garde"/>
        </w:rPr>
        <w:t xml:space="preserve">. </w:t>
      </w:r>
      <w:r w:rsidRPr="005B4280">
        <w:rPr>
          <w:rFonts w:ascii="ITC Avant Garde" w:hAnsi="ITC Avant Garde"/>
        </w:rPr>
        <w:t xml:space="preserve">Al exigir un margen positivo para cada oferta, se resta flexibilidad al operador </w:t>
      </w:r>
      <w:r w:rsidR="00853C75">
        <w:rPr>
          <w:rFonts w:ascii="ITC Avant Garde" w:hAnsi="ITC Avant Garde"/>
        </w:rPr>
        <w:t>regulado</w:t>
      </w:r>
      <w:r w:rsidRPr="005B4280">
        <w:rPr>
          <w:rFonts w:ascii="ITC Avant Garde" w:hAnsi="ITC Avant Garde"/>
        </w:rPr>
        <w:t xml:space="preserve">, comparado con un mayor nivel de agregación. </w:t>
      </w:r>
    </w:p>
    <w:p w14:paraId="1737432D" w14:textId="74CB2F62" w:rsidR="00740B0F" w:rsidRPr="006F6B9A" w:rsidRDefault="00740B0F" w:rsidP="00740B0F">
      <w:pPr>
        <w:pStyle w:val="ParaBullet1"/>
        <w:spacing w:line="276" w:lineRule="auto"/>
        <w:rPr>
          <w:rFonts w:ascii="ITC Avant Garde" w:hAnsi="ITC Avant Garde"/>
        </w:rPr>
      </w:pPr>
      <w:r>
        <w:rPr>
          <w:rFonts w:ascii="ITC Avant Garde" w:hAnsi="ITC Avant Garde"/>
          <w:b/>
        </w:rPr>
        <w:t xml:space="preserve">(2) </w:t>
      </w:r>
      <w:r w:rsidRPr="0057739F">
        <w:rPr>
          <w:rFonts w:ascii="ITC Avant Garde" w:hAnsi="ITC Avant Garde"/>
          <w:b/>
        </w:rPr>
        <w:t>Prueba por tipología de producto</w:t>
      </w:r>
      <w:r w:rsidRPr="0057739F">
        <w:rPr>
          <w:rFonts w:ascii="ITC Avant Garde" w:hAnsi="ITC Avant Garde"/>
        </w:rPr>
        <w:t xml:space="preserve">. Esta opción permite al operador </w:t>
      </w:r>
      <w:r w:rsidR="00853C75">
        <w:rPr>
          <w:rFonts w:ascii="ITC Avant Garde" w:hAnsi="ITC Avant Garde"/>
        </w:rPr>
        <w:t>regulado</w:t>
      </w:r>
      <w:r w:rsidR="00853C75" w:rsidRPr="0057739F">
        <w:rPr>
          <w:rFonts w:ascii="ITC Avant Garde" w:hAnsi="ITC Avant Garde"/>
        </w:rPr>
        <w:t xml:space="preserve"> </w:t>
      </w:r>
      <w:r w:rsidRPr="0057739F">
        <w:rPr>
          <w:rFonts w:ascii="ITC Avant Garde" w:hAnsi="ITC Avant Garde"/>
        </w:rPr>
        <w:t xml:space="preserve">recuperar los costos comunes entre ofertas de la forma que mejor considere, dentro de una misma categoría de servicio. Por ejemplo, en vez de hacer una prueba </w:t>
      </w:r>
      <w:r w:rsidR="0042499F">
        <w:rPr>
          <w:rFonts w:ascii="ITC Avant Garde" w:hAnsi="ITC Avant Garde"/>
        </w:rPr>
        <w:t>a las opciones disponibles en un esquema de pago por</w:t>
      </w:r>
      <w:r w:rsidRPr="0057739F">
        <w:rPr>
          <w:rFonts w:ascii="ITC Avant Garde" w:hAnsi="ITC Avant Garde"/>
        </w:rPr>
        <w:t xml:space="preserve"> separado, la prueba por tipología de producto se realizaría para todas las ofertas </w:t>
      </w:r>
      <w:r w:rsidR="0042499F">
        <w:rPr>
          <w:rFonts w:ascii="ITC Avant Garde" w:hAnsi="ITC Avant Garde"/>
        </w:rPr>
        <w:t>en un esquema de pago</w:t>
      </w:r>
      <w:r w:rsidRPr="0057739F">
        <w:rPr>
          <w:rFonts w:ascii="ITC Avant Garde" w:hAnsi="ITC Avant Garde"/>
        </w:rPr>
        <w:t xml:space="preserve"> en </w:t>
      </w:r>
      <w:r w:rsidR="0042499F">
        <w:rPr>
          <w:rFonts w:ascii="ITC Avant Garde" w:hAnsi="ITC Avant Garde"/>
        </w:rPr>
        <w:t xml:space="preserve">su </w:t>
      </w:r>
      <w:r w:rsidRPr="0057739F">
        <w:rPr>
          <w:rFonts w:ascii="ITC Avant Garde" w:hAnsi="ITC Avant Garde"/>
        </w:rPr>
        <w:t xml:space="preserve">conjunto. Ello da una mayor flexibilidad comercial al operador </w:t>
      </w:r>
      <w:r w:rsidR="00853C75">
        <w:rPr>
          <w:rFonts w:ascii="ITC Avant Garde" w:hAnsi="ITC Avant Garde"/>
        </w:rPr>
        <w:t>regulado</w:t>
      </w:r>
      <w:r w:rsidR="00853C75" w:rsidRPr="0057739F">
        <w:rPr>
          <w:rFonts w:ascii="ITC Avant Garde" w:hAnsi="ITC Avant Garde"/>
        </w:rPr>
        <w:t xml:space="preserve"> </w:t>
      </w:r>
      <w:r w:rsidRPr="0057739F">
        <w:rPr>
          <w:rFonts w:ascii="ITC Avant Garde" w:hAnsi="ITC Avant Garde"/>
        </w:rPr>
        <w:t xml:space="preserve">y supone una menor carga regulatoria que la prueba oferta por oferta. </w:t>
      </w:r>
    </w:p>
    <w:p w14:paraId="3E18D03E" w14:textId="31E5B671" w:rsidR="00740B0F" w:rsidRPr="0057739F" w:rsidRDefault="00740B0F" w:rsidP="00740B0F">
      <w:pPr>
        <w:pStyle w:val="ParaBullet1"/>
        <w:spacing w:line="276" w:lineRule="auto"/>
        <w:rPr>
          <w:rFonts w:ascii="ITC Avant Garde" w:hAnsi="ITC Avant Garde"/>
        </w:rPr>
      </w:pPr>
      <w:r>
        <w:rPr>
          <w:rFonts w:ascii="ITC Avant Garde" w:hAnsi="ITC Avant Garde"/>
          <w:b/>
        </w:rPr>
        <w:t xml:space="preserve">(3) </w:t>
      </w:r>
      <w:r w:rsidRPr="0057739F">
        <w:rPr>
          <w:rFonts w:ascii="ITC Avant Garde" w:hAnsi="ITC Avant Garde"/>
          <w:b/>
        </w:rPr>
        <w:t>Prueba para cartera de productos</w:t>
      </w:r>
      <w:r w:rsidRPr="0057739F">
        <w:rPr>
          <w:rFonts w:ascii="ITC Avant Garde" w:hAnsi="ITC Avant Garde"/>
        </w:rPr>
        <w:t xml:space="preserve">. Esta opción implica evaluar la replicabilidad de una cartera de productos definida, considerando el conjunto de ofertas disponibles. Por ejemplo, hacer una prueba de replicabilidad sobre todas las ofertas de </w:t>
      </w:r>
      <w:r w:rsidR="0042499F">
        <w:rPr>
          <w:rFonts w:ascii="ITC Avant Garde" w:hAnsi="ITC Avant Garde"/>
        </w:rPr>
        <w:t>prepago</w:t>
      </w:r>
      <w:r w:rsidRPr="0057739F">
        <w:rPr>
          <w:rFonts w:ascii="ITC Avant Garde" w:hAnsi="ITC Avant Garde"/>
        </w:rPr>
        <w:t xml:space="preserve"> de forma agregada.</w:t>
      </w:r>
      <w:r w:rsidRPr="0057739F">
        <w:rPr>
          <w:rFonts w:ascii="ITC Avant Garde" w:eastAsiaTheme="minorEastAsia" w:hAnsi="ITC Avant Garde" w:cstheme="minorBidi"/>
          <w:kern w:val="24"/>
          <w:lang w:eastAsia="en-GB"/>
        </w:rPr>
        <w:t xml:space="preserve"> Esta opción presenta el m</w:t>
      </w:r>
      <w:r w:rsidRPr="0057739F">
        <w:rPr>
          <w:rFonts w:ascii="ITC Avant Garde" w:hAnsi="ITC Avant Garde"/>
        </w:rPr>
        <w:t>ayor nivel de agregación posible, ofreciendo el máximo grado de flexibilidad comercial</w:t>
      </w:r>
      <w:r>
        <w:rPr>
          <w:rFonts w:ascii="ITC Avant Garde" w:hAnsi="ITC Avant Garde"/>
        </w:rPr>
        <w:t xml:space="preserve"> al operador </w:t>
      </w:r>
      <w:r w:rsidR="00853C75">
        <w:rPr>
          <w:rFonts w:ascii="ITC Avant Garde" w:hAnsi="ITC Avant Garde"/>
        </w:rPr>
        <w:t>regulado</w:t>
      </w:r>
      <w:r w:rsidRPr="0057739F">
        <w:rPr>
          <w:rFonts w:ascii="ITC Avant Garde" w:hAnsi="ITC Avant Garde"/>
        </w:rPr>
        <w:t xml:space="preserve">. Se garantiza la replicabilidad económica para los operadores alternativos que compiten con la misma cartera de productos que el operador </w:t>
      </w:r>
      <w:r w:rsidR="00853C75">
        <w:rPr>
          <w:rFonts w:ascii="ITC Avant Garde" w:hAnsi="ITC Avant Garde"/>
        </w:rPr>
        <w:t>regulado</w:t>
      </w:r>
      <w:r w:rsidRPr="0057739F">
        <w:rPr>
          <w:rFonts w:ascii="ITC Avant Garde" w:hAnsi="ITC Avant Garde"/>
        </w:rPr>
        <w:t xml:space="preserve">. </w:t>
      </w:r>
    </w:p>
    <w:p w14:paraId="58F9AB85" w14:textId="77777777" w:rsidR="00740B0F" w:rsidRDefault="00740B0F" w:rsidP="00740B0F">
      <w:pPr>
        <w:pStyle w:val="ParaBullet1"/>
        <w:spacing w:line="276" w:lineRule="auto"/>
      </w:pPr>
      <w:r>
        <w:rPr>
          <w:rFonts w:ascii="ITC Avant Garde" w:hAnsi="ITC Avant Garde"/>
          <w:b/>
        </w:rPr>
        <w:t xml:space="preserve">(4) </w:t>
      </w:r>
      <w:r w:rsidRPr="0057739F">
        <w:rPr>
          <w:rFonts w:ascii="ITC Avant Garde" w:hAnsi="ITC Avant Garde"/>
          <w:b/>
        </w:rPr>
        <w:t>Combinación de las anteriores</w:t>
      </w:r>
      <w:r>
        <w:rPr>
          <w:rFonts w:ascii="ITC Avant Garde" w:hAnsi="ITC Avant Garde"/>
        </w:rPr>
        <w:t>. Implica combinar</w:t>
      </w:r>
      <w:r w:rsidRPr="0057739F">
        <w:rPr>
          <w:rFonts w:ascii="ITC Avant Garde" w:hAnsi="ITC Avant Garde"/>
        </w:rPr>
        <w:t xml:space="preserve"> un análisis oferta por oferta con un análisis a nivel de servicio o cartera de productos</w:t>
      </w:r>
      <w:r w:rsidRPr="0057739F">
        <w:rPr>
          <w:rStyle w:val="Refdenotaalpie"/>
        </w:rPr>
        <w:footnoteReference w:id="12"/>
      </w:r>
      <w:r>
        <w:rPr>
          <w:rFonts w:ascii="ITC Avant Garde" w:hAnsi="ITC Avant Garde"/>
        </w:rPr>
        <w:t>,</w:t>
      </w:r>
      <w:r w:rsidRPr="0057739F">
        <w:rPr>
          <w:rFonts w:ascii="ITC Avant Garde" w:hAnsi="ITC Avant Garde"/>
        </w:rPr>
        <w:t xml:space="preserve"> </w:t>
      </w:r>
      <w:r>
        <w:rPr>
          <w:rFonts w:ascii="ITC Avant Garde" w:hAnsi="ITC Avant Garde"/>
        </w:rPr>
        <w:t xml:space="preserve">es decir, se </w:t>
      </w:r>
      <w:r w:rsidRPr="0057739F">
        <w:rPr>
          <w:rFonts w:ascii="ITC Avant Garde" w:hAnsi="ITC Avant Garde"/>
        </w:rPr>
        <w:t>combina</w:t>
      </w:r>
      <w:r>
        <w:rPr>
          <w:rFonts w:ascii="ITC Avant Garde" w:hAnsi="ITC Avant Garde"/>
        </w:rPr>
        <w:t>n</w:t>
      </w:r>
      <w:r w:rsidRPr="0057739F">
        <w:rPr>
          <w:rFonts w:ascii="ITC Avant Garde" w:hAnsi="ITC Avant Garde"/>
        </w:rPr>
        <w:t xml:space="preserve"> las características de las opciones</w:t>
      </w:r>
      <w:r>
        <w:rPr>
          <w:rFonts w:ascii="ITC Avant Garde" w:hAnsi="ITC Avant Garde"/>
        </w:rPr>
        <w:t xml:space="preserve"> </w:t>
      </w:r>
      <w:r w:rsidRPr="0057739F">
        <w:rPr>
          <w:rFonts w:ascii="ITC Avant Garde" w:hAnsi="ITC Avant Garde"/>
        </w:rPr>
        <w:t>anteriores</w:t>
      </w:r>
      <w:r>
        <w:rPr>
          <w:rFonts w:ascii="ITC Avant Garde" w:hAnsi="ITC Avant Garde"/>
        </w:rPr>
        <w:t>. La</w:t>
      </w:r>
      <w:r w:rsidRPr="0057739F">
        <w:rPr>
          <w:rFonts w:ascii="ITC Avant Garde" w:hAnsi="ITC Avant Garde"/>
        </w:rPr>
        <w:t xml:space="preserve"> carga regulatoria es más elevada que en la opción de oferta por oferta. </w:t>
      </w:r>
    </w:p>
    <w:p w14:paraId="6C0ECF5B" w14:textId="6E9A28EF" w:rsidR="001F3FBE" w:rsidRDefault="00740B0F" w:rsidP="00032CAD">
      <w:r>
        <w:t>A continuación</w:t>
      </w:r>
      <w:r w:rsidR="00592820">
        <w:t>,</w:t>
      </w:r>
      <w:r>
        <w:t xml:space="preserve"> se presenta una </w:t>
      </w:r>
      <w:r w:rsidR="00653D73">
        <w:t>tabla con</w:t>
      </w:r>
      <w:r>
        <w:t xml:space="preserve"> los distintos niveles de agregación.</w:t>
      </w:r>
    </w:p>
    <w:p w14:paraId="35FBCE7A" w14:textId="3966F308" w:rsidR="00740B0F" w:rsidRDefault="00653D73" w:rsidP="00032CAD">
      <w:pPr>
        <w:pStyle w:val="ParaBullet1"/>
        <w:numPr>
          <w:ilvl w:val="0"/>
          <w:numId w:val="0"/>
        </w:numPr>
        <w:spacing w:after="0" w:line="276" w:lineRule="auto"/>
        <w:jc w:val="center"/>
        <w:rPr>
          <w:rFonts w:ascii="ITC Avant Garde" w:hAnsi="ITC Avant Garde"/>
          <w:b/>
          <w:sz w:val="20"/>
          <w:szCs w:val="20"/>
        </w:rPr>
      </w:pPr>
      <w:r>
        <w:rPr>
          <w:rFonts w:ascii="ITC Avant Garde" w:hAnsi="ITC Avant Garde"/>
          <w:b/>
          <w:sz w:val="20"/>
          <w:szCs w:val="20"/>
        </w:rPr>
        <w:t>Tabla</w:t>
      </w:r>
      <w:r w:rsidR="00740B0F">
        <w:rPr>
          <w:rFonts w:ascii="ITC Avant Garde" w:hAnsi="ITC Avant Garde"/>
          <w:b/>
          <w:sz w:val="20"/>
          <w:szCs w:val="20"/>
        </w:rPr>
        <w:t xml:space="preserve"> </w:t>
      </w:r>
      <w:r>
        <w:rPr>
          <w:rFonts w:ascii="ITC Avant Garde" w:hAnsi="ITC Avant Garde"/>
          <w:b/>
          <w:sz w:val="20"/>
          <w:szCs w:val="20"/>
        </w:rPr>
        <w:t>2</w:t>
      </w:r>
      <w:r w:rsidR="00740B0F" w:rsidRPr="004E5679">
        <w:rPr>
          <w:rFonts w:ascii="ITC Avant Garde" w:hAnsi="ITC Avant Garde"/>
          <w:b/>
          <w:sz w:val="20"/>
          <w:szCs w:val="20"/>
        </w:rPr>
        <w:t>.</w:t>
      </w:r>
      <w:r w:rsidR="00740B0F">
        <w:rPr>
          <w:rFonts w:ascii="ITC Avant Garde" w:hAnsi="ITC Avant Garde"/>
          <w:b/>
          <w:sz w:val="20"/>
          <w:szCs w:val="20"/>
        </w:rPr>
        <w:t>-</w:t>
      </w:r>
      <w:r w:rsidR="00740B0F" w:rsidRPr="004E5679">
        <w:rPr>
          <w:rFonts w:ascii="ITC Avant Garde" w:hAnsi="ITC Avant Garde"/>
          <w:b/>
          <w:sz w:val="20"/>
          <w:szCs w:val="20"/>
        </w:rPr>
        <w:t xml:space="preserve"> Niveles de agregación.</w:t>
      </w:r>
    </w:p>
    <w:tbl>
      <w:tblPr>
        <w:tblW w:w="5000" w:type="pct"/>
        <w:tblCellMar>
          <w:left w:w="70" w:type="dxa"/>
          <w:right w:w="70" w:type="dxa"/>
        </w:tblCellMar>
        <w:tblLook w:val="04A0" w:firstRow="1" w:lastRow="0" w:firstColumn="1" w:lastColumn="0" w:noHBand="0" w:noVBand="1"/>
      </w:tblPr>
      <w:tblGrid>
        <w:gridCol w:w="1364"/>
        <w:gridCol w:w="929"/>
        <w:gridCol w:w="929"/>
        <w:gridCol w:w="930"/>
        <w:gridCol w:w="1049"/>
        <w:gridCol w:w="930"/>
        <w:gridCol w:w="930"/>
        <w:gridCol w:w="930"/>
        <w:gridCol w:w="930"/>
      </w:tblGrid>
      <w:tr w:rsidR="00653D73" w:rsidRPr="00653D73" w14:paraId="4EF42A5D" w14:textId="77777777" w:rsidTr="00032CAD">
        <w:trPr>
          <w:trHeight w:val="288"/>
        </w:trPr>
        <w:tc>
          <w:tcPr>
            <w:tcW w:w="765" w:type="pct"/>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hideMark/>
          </w:tcPr>
          <w:p w14:paraId="61C27003" w14:textId="77777777" w:rsidR="00653D73" w:rsidRPr="00032CAD" w:rsidRDefault="00653D73" w:rsidP="00032CAD">
            <w:pPr>
              <w:spacing w:before="0" w:after="0" w:line="240" w:lineRule="auto"/>
              <w:jc w:val="center"/>
              <w:rPr>
                <w:rFonts w:ascii="Aptos Narrow" w:eastAsia="Times New Roman" w:hAnsi="Aptos Narrow"/>
                <w:b/>
                <w:bCs/>
                <w:color w:val="FFFFFF" w:themeColor="background1"/>
                <w:lang w:eastAsia="es-MX"/>
              </w:rPr>
            </w:pPr>
            <w:r w:rsidRPr="00032CAD">
              <w:rPr>
                <w:rFonts w:ascii="Aptos Narrow" w:eastAsia="Times New Roman" w:hAnsi="Aptos Narrow"/>
                <w:b/>
                <w:bCs/>
                <w:color w:val="FFFFFF" w:themeColor="background1"/>
                <w:lang w:eastAsia="es-MX"/>
              </w:rPr>
              <w:lastRenderedPageBreak/>
              <w:t>Oferta por Oferta</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500DEF"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1</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338AC7"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2</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5FBEFF"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3</w:t>
            </w:r>
          </w:p>
        </w:tc>
        <w:tc>
          <w:tcPr>
            <w:tcW w:w="5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2F1A26"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4</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0AF1A8"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5</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E5894E"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6</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D155EB"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7</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D9F762" w14:textId="77777777" w:rsidR="00653D73" w:rsidRPr="00032CAD" w:rsidRDefault="00653D73" w:rsidP="00032CAD">
            <w:pPr>
              <w:spacing w:before="0" w:after="0" w:line="240" w:lineRule="auto"/>
              <w:jc w:val="center"/>
              <w:rPr>
                <w:rFonts w:ascii="Aptos Narrow" w:eastAsia="Times New Roman" w:hAnsi="Aptos Narrow"/>
                <w:b/>
                <w:bCs/>
                <w:color w:val="000000"/>
                <w:lang w:eastAsia="es-MX"/>
              </w:rPr>
            </w:pPr>
            <w:r w:rsidRPr="00032CAD">
              <w:rPr>
                <w:rFonts w:ascii="Aptos Narrow" w:eastAsia="Times New Roman" w:hAnsi="Aptos Narrow"/>
                <w:b/>
                <w:bCs/>
                <w:color w:val="000000"/>
                <w:lang w:eastAsia="es-MX"/>
              </w:rPr>
              <w:t>Oferta 8</w:t>
            </w:r>
          </w:p>
        </w:tc>
      </w:tr>
      <w:tr w:rsidR="00653D73" w:rsidRPr="00653D73" w14:paraId="23CC3167" w14:textId="77777777" w:rsidTr="00032CAD">
        <w:trPr>
          <w:trHeight w:val="576"/>
        </w:trPr>
        <w:tc>
          <w:tcPr>
            <w:tcW w:w="765" w:type="pct"/>
            <w:tcBorders>
              <w:top w:val="nil"/>
              <w:left w:val="single" w:sz="4" w:space="0" w:color="auto"/>
              <w:bottom w:val="single" w:sz="4" w:space="0" w:color="auto"/>
              <w:right w:val="single" w:sz="4" w:space="0" w:color="auto"/>
            </w:tcBorders>
            <w:shd w:val="clear" w:color="auto" w:fill="2E74B5" w:themeFill="accent1" w:themeFillShade="BF"/>
            <w:vAlign w:val="bottom"/>
            <w:hideMark/>
          </w:tcPr>
          <w:p w14:paraId="080A21BB" w14:textId="77777777" w:rsidR="00653D73" w:rsidRPr="00032CAD" w:rsidRDefault="00653D73" w:rsidP="00032CAD">
            <w:pPr>
              <w:spacing w:before="0" w:after="0" w:line="240" w:lineRule="auto"/>
              <w:jc w:val="center"/>
              <w:rPr>
                <w:rFonts w:ascii="Aptos Narrow" w:eastAsia="Times New Roman" w:hAnsi="Aptos Narrow"/>
                <w:b/>
                <w:bCs/>
                <w:color w:val="FFFFFF" w:themeColor="background1"/>
                <w:lang w:eastAsia="es-MX"/>
              </w:rPr>
            </w:pPr>
            <w:r w:rsidRPr="00032CAD">
              <w:rPr>
                <w:rFonts w:ascii="Aptos Narrow" w:eastAsia="Times New Roman" w:hAnsi="Aptos Narrow"/>
                <w:b/>
                <w:bCs/>
                <w:color w:val="FFFFFF" w:themeColor="background1"/>
                <w:lang w:eastAsia="es-MX"/>
              </w:rPr>
              <w:t>Tipología de Producto</w:t>
            </w:r>
          </w:p>
        </w:tc>
        <w:tc>
          <w:tcPr>
            <w:tcW w:w="1042" w:type="pct"/>
            <w:gridSpan w:val="2"/>
            <w:tcBorders>
              <w:top w:val="single" w:sz="4" w:space="0" w:color="auto"/>
              <w:left w:val="nil"/>
              <w:bottom w:val="single" w:sz="4" w:space="0" w:color="auto"/>
              <w:right w:val="single" w:sz="4" w:space="0" w:color="000000"/>
            </w:tcBorders>
            <w:shd w:val="clear" w:color="auto" w:fill="auto"/>
            <w:vAlign w:val="center"/>
            <w:hideMark/>
          </w:tcPr>
          <w:p w14:paraId="07BCC4A6"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Ofertas Tipo 1 (Ej. capacidad x)</w:t>
            </w:r>
          </w:p>
        </w:tc>
        <w:tc>
          <w:tcPr>
            <w:tcW w:w="1109" w:type="pct"/>
            <w:gridSpan w:val="2"/>
            <w:tcBorders>
              <w:top w:val="single" w:sz="4" w:space="0" w:color="auto"/>
              <w:left w:val="nil"/>
              <w:bottom w:val="single" w:sz="4" w:space="0" w:color="auto"/>
              <w:right w:val="single" w:sz="4" w:space="0" w:color="000000"/>
            </w:tcBorders>
            <w:shd w:val="clear" w:color="auto" w:fill="auto"/>
            <w:vAlign w:val="center"/>
            <w:hideMark/>
          </w:tcPr>
          <w:p w14:paraId="6FD0D33E"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Ofertas Tipo 2 (Ej. capacidad y)</w:t>
            </w:r>
          </w:p>
        </w:tc>
        <w:tc>
          <w:tcPr>
            <w:tcW w:w="1042" w:type="pct"/>
            <w:gridSpan w:val="2"/>
            <w:tcBorders>
              <w:top w:val="single" w:sz="4" w:space="0" w:color="auto"/>
              <w:left w:val="nil"/>
              <w:bottom w:val="single" w:sz="4" w:space="0" w:color="auto"/>
              <w:right w:val="single" w:sz="4" w:space="0" w:color="000000"/>
            </w:tcBorders>
            <w:shd w:val="clear" w:color="auto" w:fill="auto"/>
            <w:vAlign w:val="center"/>
            <w:hideMark/>
          </w:tcPr>
          <w:p w14:paraId="3944E18B"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Ofertas Tipo 3 (Ej. velocidad w)</w:t>
            </w:r>
          </w:p>
        </w:tc>
        <w:tc>
          <w:tcPr>
            <w:tcW w:w="1042" w:type="pct"/>
            <w:gridSpan w:val="2"/>
            <w:tcBorders>
              <w:top w:val="single" w:sz="4" w:space="0" w:color="auto"/>
              <w:left w:val="nil"/>
              <w:bottom w:val="single" w:sz="4" w:space="0" w:color="auto"/>
              <w:right w:val="single" w:sz="4" w:space="0" w:color="000000"/>
            </w:tcBorders>
            <w:shd w:val="clear" w:color="auto" w:fill="auto"/>
            <w:vAlign w:val="center"/>
            <w:hideMark/>
          </w:tcPr>
          <w:p w14:paraId="228D5A41" w14:textId="40496C99"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 xml:space="preserve">Ofertas Tipo </w:t>
            </w:r>
            <w:r>
              <w:rPr>
                <w:rFonts w:ascii="Aptos Narrow" w:eastAsia="Times New Roman" w:hAnsi="Aptos Narrow"/>
                <w:color w:val="000000"/>
                <w:lang w:eastAsia="es-MX"/>
              </w:rPr>
              <w:t>4</w:t>
            </w:r>
            <w:r w:rsidRPr="00653D73">
              <w:rPr>
                <w:rFonts w:ascii="Aptos Narrow" w:eastAsia="Times New Roman" w:hAnsi="Aptos Narrow"/>
                <w:color w:val="000000"/>
                <w:lang w:eastAsia="es-MX"/>
              </w:rPr>
              <w:t xml:space="preserve"> (Ej. velocidad z)</w:t>
            </w:r>
          </w:p>
        </w:tc>
      </w:tr>
      <w:tr w:rsidR="00653D73" w:rsidRPr="00653D73" w14:paraId="047BE4F5" w14:textId="77777777" w:rsidTr="00032CAD">
        <w:trPr>
          <w:trHeight w:val="576"/>
        </w:trPr>
        <w:tc>
          <w:tcPr>
            <w:tcW w:w="765" w:type="pct"/>
            <w:tcBorders>
              <w:top w:val="nil"/>
              <w:left w:val="single" w:sz="4" w:space="0" w:color="auto"/>
              <w:bottom w:val="single" w:sz="4" w:space="0" w:color="auto"/>
              <w:right w:val="single" w:sz="4" w:space="0" w:color="auto"/>
            </w:tcBorders>
            <w:shd w:val="clear" w:color="auto" w:fill="2E74B5" w:themeFill="accent1" w:themeFillShade="BF"/>
            <w:vAlign w:val="bottom"/>
            <w:hideMark/>
          </w:tcPr>
          <w:p w14:paraId="6B900253" w14:textId="77777777" w:rsidR="00653D73" w:rsidRPr="00032CAD" w:rsidRDefault="00653D73" w:rsidP="00032CAD">
            <w:pPr>
              <w:spacing w:before="0" w:after="0" w:line="240" w:lineRule="auto"/>
              <w:jc w:val="center"/>
              <w:rPr>
                <w:rFonts w:ascii="Aptos Narrow" w:eastAsia="Times New Roman" w:hAnsi="Aptos Narrow"/>
                <w:b/>
                <w:bCs/>
                <w:color w:val="FFFFFF" w:themeColor="background1"/>
                <w:lang w:eastAsia="es-MX"/>
              </w:rPr>
            </w:pPr>
            <w:r w:rsidRPr="00032CAD">
              <w:rPr>
                <w:rFonts w:ascii="Aptos Narrow" w:eastAsia="Times New Roman" w:hAnsi="Aptos Narrow"/>
                <w:b/>
                <w:bCs/>
                <w:color w:val="FFFFFF" w:themeColor="background1"/>
                <w:lang w:eastAsia="es-MX"/>
              </w:rPr>
              <w:t>Cartera de Productos</w:t>
            </w:r>
          </w:p>
        </w:tc>
        <w:tc>
          <w:tcPr>
            <w:tcW w:w="215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EB6160D"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Cartera A</w:t>
            </w:r>
          </w:p>
        </w:tc>
        <w:tc>
          <w:tcPr>
            <w:tcW w:w="208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A78B9C6"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Cartera B</w:t>
            </w:r>
          </w:p>
        </w:tc>
      </w:tr>
      <w:tr w:rsidR="00653D73" w:rsidRPr="00653D73" w14:paraId="67707241" w14:textId="77777777" w:rsidTr="00032CAD">
        <w:trPr>
          <w:trHeight w:val="864"/>
        </w:trPr>
        <w:tc>
          <w:tcPr>
            <w:tcW w:w="765" w:type="pct"/>
            <w:tcBorders>
              <w:top w:val="nil"/>
              <w:left w:val="single" w:sz="4" w:space="0" w:color="auto"/>
              <w:bottom w:val="single" w:sz="4" w:space="0" w:color="auto"/>
              <w:right w:val="single" w:sz="4" w:space="0" w:color="auto"/>
            </w:tcBorders>
            <w:shd w:val="clear" w:color="auto" w:fill="2E74B5" w:themeFill="accent1" w:themeFillShade="BF"/>
            <w:vAlign w:val="bottom"/>
            <w:hideMark/>
          </w:tcPr>
          <w:p w14:paraId="200B4094" w14:textId="77777777" w:rsidR="00653D73" w:rsidRPr="00032CAD" w:rsidRDefault="00653D73" w:rsidP="00032CAD">
            <w:pPr>
              <w:spacing w:before="0" w:after="0" w:line="240" w:lineRule="auto"/>
              <w:jc w:val="center"/>
              <w:rPr>
                <w:rFonts w:ascii="Aptos Narrow" w:eastAsia="Times New Roman" w:hAnsi="Aptos Narrow"/>
                <w:b/>
                <w:bCs/>
                <w:color w:val="FFFFFF" w:themeColor="background1"/>
                <w:lang w:eastAsia="es-MX"/>
              </w:rPr>
            </w:pPr>
            <w:r w:rsidRPr="00032CAD">
              <w:rPr>
                <w:rFonts w:ascii="Aptos Narrow" w:eastAsia="Times New Roman" w:hAnsi="Aptos Narrow"/>
                <w:b/>
                <w:bCs/>
                <w:color w:val="FFFFFF" w:themeColor="background1"/>
                <w:lang w:eastAsia="es-MX"/>
              </w:rPr>
              <w:t>Combinación de las anteriores</w:t>
            </w:r>
          </w:p>
        </w:tc>
        <w:tc>
          <w:tcPr>
            <w:tcW w:w="1042" w:type="pct"/>
            <w:gridSpan w:val="2"/>
            <w:tcBorders>
              <w:top w:val="single" w:sz="4" w:space="0" w:color="auto"/>
              <w:left w:val="nil"/>
              <w:bottom w:val="single" w:sz="4" w:space="0" w:color="auto"/>
              <w:right w:val="single" w:sz="4" w:space="0" w:color="000000"/>
            </w:tcBorders>
            <w:shd w:val="clear" w:color="auto" w:fill="auto"/>
            <w:vAlign w:val="bottom"/>
            <w:hideMark/>
          </w:tcPr>
          <w:p w14:paraId="6AB942BB"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Combinación 1 (Ej. Cartera A, capacidad x y velocidad w)</w:t>
            </w:r>
          </w:p>
        </w:tc>
        <w:tc>
          <w:tcPr>
            <w:tcW w:w="11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041FF63"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Combinación 2</w:t>
            </w:r>
          </w:p>
        </w:tc>
        <w:tc>
          <w:tcPr>
            <w:tcW w:w="104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EEF51AE"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Combinación 3</w:t>
            </w:r>
          </w:p>
        </w:tc>
        <w:tc>
          <w:tcPr>
            <w:tcW w:w="104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E1D5C73" w14:textId="77777777" w:rsidR="00653D73" w:rsidRPr="00653D73" w:rsidRDefault="00653D73" w:rsidP="00653D73">
            <w:pPr>
              <w:spacing w:before="0" w:after="0" w:line="240" w:lineRule="auto"/>
              <w:jc w:val="center"/>
              <w:rPr>
                <w:rFonts w:ascii="Aptos Narrow" w:eastAsia="Times New Roman" w:hAnsi="Aptos Narrow"/>
                <w:color w:val="000000"/>
                <w:lang w:eastAsia="es-MX"/>
              </w:rPr>
            </w:pPr>
            <w:r w:rsidRPr="00653D73">
              <w:rPr>
                <w:rFonts w:ascii="Aptos Narrow" w:eastAsia="Times New Roman" w:hAnsi="Aptos Narrow"/>
                <w:color w:val="000000"/>
                <w:lang w:eastAsia="es-MX"/>
              </w:rPr>
              <w:t>Combinación 4</w:t>
            </w:r>
          </w:p>
        </w:tc>
      </w:tr>
    </w:tbl>
    <w:p w14:paraId="0994E628" w14:textId="77777777" w:rsidR="00740B0F" w:rsidRPr="00A877A1" w:rsidRDefault="00740B0F" w:rsidP="0042499F">
      <w:pPr>
        <w:pStyle w:val="ParaBullet1"/>
        <w:numPr>
          <w:ilvl w:val="0"/>
          <w:numId w:val="0"/>
        </w:numPr>
        <w:spacing w:after="0" w:line="276" w:lineRule="auto"/>
        <w:rPr>
          <w:rFonts w:ascii="ITC Avant Garde" w:hAnsi="ITC Avant Garde"/>
          <w:i/>
          <w:sz w:val="16"/>
        </w:rPr>
      </w:pPr>
    </w:p>
    <w:p w14:paraId="304E3F09"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Tratamiento del segmento empresarial</w:t>
      </w:r>
    </w:p>
    <w:p w14:paraId="44D50014" w14:textId="77777777" w:rsidR="00740B0F" w:rsidRDefault="00740B0F" w:rsidP="00740B0F">
      <w:pPr>
        <w:spacing w:after="240"/>
      </w:pPr>
      <w:r>
        <w:t>Se consideraron tres opciones:</w:t>
      </w:r>
    </w:p>
    <w:p w14:paraId="3A70E7DE" w14:textId="25BE5A57" w:rsidR="00740B0F" w:rsidRPr="00F931E4" w:rsidRDefault="00740B0F" w:rsidP="00985CF6">
      <w:pPr>
        <w:pStyle w:val="ListBullet1"/>
        <w:numPr>
          <w:ilvl w:val="0"/>
          <w:numId w:val="8"/>
        </w:numPr>
        <w:spacing w:before="0" w:after="240" w:line="276" w:lineRule="auto"/>
        <w:rPr>
          <w:rFonts w:ascii="ITC Avant Garde" w:hAnsi="ITC Avant Garde"/>
        </w:rPr>
      </w:pPr>
      <w:r w:rsidRPr="00F931E4">
        <w:rPr>
          <w:rFonts w:ascii="ITC Avant Garde" w:hAnsi="ITC Avant Garde"/>
          <w:b/>
        </w:rPr>
        <w:t>Excluir todas las ofertas empresariales</w:t>
      </w:r>
      <w:r w:rsidRPr="00F931E4">
        <w:rPr>
          <w:rFonts w:ascii="ITC Avant Garde" w:hAnsi="ITC Avant Garde"/>
        </w:rPr>
        <w:t xml:space="preserve">. </w:t>
      </w:r>
      <w:r>
        <w:rPr>
          <w:rFonts w:ascii="ITC Avant Garde" w:hAnsi="ITC Avant Garde"/>
        </w:rPr>
        <w:t>E</w:t>
      </w:r>
      <w:r w:rsidRPr="00F931E4">
        <w:rPr>
          <w:rFonts w:ascii="ITC Avant Garde" w:hAnsi="ITC Avant Garde"/>
        </w:rPr>
        <w:t xml:space="preserve">sta es la opción que da más flexibilidad a la empresa </w:t>
      </w:r>
      <w:r w:rsidR="00853C75">
        <w:rPr>
          <w:rFonts w:ascii="ITC Avant Garde" w:hAnsi="ITC Avant Garde"/>
        </w:rPr>
        <w:t>regulada</w:t>
      </w:r>
      <w:r w:rsidR="00853C75" w:rsidRPr="00F931E4">
        <w:rPr>
          <w:rFonts w:ascii="ITC Avant Garde" w:hAnsi="ITC Avant Garde"/>
        </w:rPr>
        <w:t xml:space="preserve"> </w:t>
      </w:r>
      <w:r w:rsidRPr="00F931E4">
        <w:rPr>
          <w:rFonts w:ascii="ITC Avant Garde" w:hAnsi="ITC Avant Garde"/>
        </w:rPr>
        <w:t>y minimiza la carga regulatoria. Sin embargo</w:t>
      </w:r>
      <w:r w:rsidR="00592820">
        <w:rPr>
          <w:rFonts w:ascii="ITC Avant Garde" w:hAnsi="ITC Avant Garde"/>
        </w:rPr>
        <w:t>,</w:t>
      </w:r>
      <w:r w:rsidRPr="00F931E4">
        <w:rPr>
          <w:rFonts w:ascii="ITC Avant Garde" w:hAnsi="ITC Avant Garde"/>
        </w:rPr>
        <w:t xml:space="preserve"> no garantiza que las ofertas del segmento empresarial sea</w:t>
      </w:r>
      <w:r>
        <w:rPr>
          <w:rFonts w:ascii="ITC Avant Garde" w:hAnsi="ITC Avant Garde"/>
        </w:rPr>
        <w:t>n</w:t>
      </w:r>
      <w:r w:rsidRPr="00F931E4">
        <w:rPr>
          <w:rFonts w:ascii="ITC Avant Garde" w:hAnsi="ITC Avant Garde"/>
        </w:rPr>
        <w:t xml:space="preserve"> replicable</w:t>
      </w:r>
      <w:r>
        <w:rPr>
          <w:rFonts w:ascii="ITC Avant Garde" w:hAnsi="ITC Avant Garde"/>
        </w:rPr>
        <w:t>s</w:t>
      </w:r>
      <w:r w:rsidRPr="00F931E4">
        <w:rPr>
          <w:rFonts w:ascii="ITC Avant Garde" w:hAnsi="ITC Avant Garde"/>
        </w:rPr>
        <w:t>.</w:t>
      </w:r>
    </w:p>
    <w:p w14:paraId="187BF902" w14:textId="5494DFFF" w:rsidR="00740B0F" w:rsidRDefault="00740B0F" w:rsidP="00985CF6">
      <w:pPr>
        <w:pStyle w:val="ParaBullet1"/>
        <w:numPr>
          <w:ilvl w:val="0"/>
          <w:numId w:val="8"/>
        </w:numPr>
        <w:spacing w:before="0" w:after="240" w:line="276" w:lineRule="auto"/>
        <w:rPr>
          <w:rFonts w:ascii="ITC Avant Garde" w:hAnsi="ITC Avant Garde"/>
        </w:rPr>
      </w:pPr>
      <w:r>
        <w:rPr>
          <w:rFonts w:ascii="ITC Avant Garde" w:hAnsi="ITC Avant Garde"/>
          <w:b/>
        </w:rPr>
        <w:t>Realizar una prueba separada</w:t>
      </w:r>
      <w:r w:rsidRPr="00F931E4">
        <w:rPr>
          <w:rFonts w:ascii="ITC Avant Garde" w:hAnsi="ITC Avant Garde"/>
          <w:b/>
        </w:rPr>
        <w:t xml:space="preserve"> para todas las ofertas empresariales</w:t>
      </w:r>
      <w:r w:rsidRPr="00F931E4">
        <w:rPr>
          <w:rFonts w:ascii="ITC Avant Garde" w:hAnsi="ITC Avant Garde"/>
        </w:rPr>
        <w:t>. Dada la mayor complejidad de las ofertas destinadas a determinados clientes empresariales, particularmente a las grandes empresas, definir una prueba que las englobe puede no ser factible</w:t>
      </w:r>
      <w:r w:rsidRPr="00DE1DCA">
        <w:rPr>
          <w:rFonts w:ascii="ITC Avant Garde" w:hAnsi="ITC Avant Garde"/>
        </w:rPr>
        <w:t xml:space="preserve">. </w:t>
      </w:r>
      <w:r w:rsidRPr="005B4280">
        <w:rPr>
          <w:rFonts w:ascii="ITC Avant Garde" w:hAnsi="ITC Avant Garde"/>
        </w:rPr>
        <w:t xml:space="preserve">En muchos casos se trata de ofertas empaquetadas que no están vinculadas a un único servicio mayorista (por ejemplo, las necesidades de conectividad de una empresa pueden diferir entre sus sedes, requiriendo una combinación de </w:t>
      </w:r>
      <w:r w:rsidR="00653D73">
        <w:rPr>
          <w:rFonts w:ascii="ITC Avant Garde" w:hAnsi="ITC Avant Garde"/>
        </w:rPr>
        <w:t>capacidad</w:t>
      </w:r>
      <w:r w:rsidRPr="005B4280">
        <w:rPr>
          <w:rFonts w:ascii="ITC Avant Garde" w:hAnsi="ITC Avant Garde"/>
        </w:rPr>
        <w:t xml:space="preserve"> y conexiones </w:t>
      </w:r>
      <w:r w:rsidR="00032CAD">
        <w:rPr>
          <w:rFonts w:ascii="ITC Avant Garde" w:hAnsi="ITC Avant Garde"/>
        </w:rPr>
        <w:t>con determinadas características</w:t>
      </w:r>
      <w:r w:rsidRPr="005B4280">
        <w:rPr>
          <w:rFonts w:ascii="ITC Avant Garde" w:hAnsi="ITC Avant Garde"/>
        </w:rPr>
        <w:t>). Además</w:t>
      </w:r>
      <w:r w:rsidRPr="005B4280">
        <w:rPr>
          <w:rFonts w:ascii="Arial" w:hAnsi="Arial"/>
        </w:rPr>
        <w:t>,</w:t>
      </w:r>
      <w:r>
        <w:t xml:space="preserve"> </w:t>
      </w:r>
      <w:r>
        <w:rPr>
          <w:rFonts w:ascii="ITC Avant Garde" w:hAnsi="ITC Avant Garde"/>
        </w:rPr>
        <w:t>l</w:t>
      </w:r>
      <w:r w:rsidRPr="00F931E4">
        <w:rPr>
          <w:rFonts w:ascii="ITC Avant Garde" w:hAnsi="ITC Avant Garde"/>
        </w:rPr>
        <w:t xml:space="preserve">as ofertas a grandes clientes son específicas para cada empresa y pueden incluir una gama de servicios adicionales más allá de los tratados en la prueba (tales como seguridad, </w:t>
      </w:r>
      <w:r w:rsidRPr="006E6C1D">
        <w:rPr>
          <w:rFonts w:ascii="ITC Avant Garde" w:hAnsi="ITC Avant Garde"/>
        </w:rPr>
        <w:t>servicios de nube</w:t>
      </w:r>
      <w:r w:rsidRPr="00F931E4">
        <w:rPr>
          <w:rFonts w:ascii="ITC Avant Garde" w:hAnsi="ITC Avant Garde"/>
        </w:rPr>
        <w:t xml:space="preserve">, </w:t>
      </w:r>
      <w:r>
        <w:rPr>
          <w:rFonts w:ascii="ITC Avant Garde" w:hAnsi="ITC Avant Garde"/>
        </w:rPr>
        <w:t>entre otros</w:t>
      </w:r>
      <w:r w:rsidRPr="00F931E4">
        <w:rPr>
          <w:rFonts w:ascii="ITC Avant Garde" w:hAnsi="ITC Avant Garde"/>
        </w:rPr>
        <w:t>). Esto dificulta la visibilidad de los precios asociados a los servicios básicos de comunicación (como la banda ancha o la telefonía). Aplicar la prueba a estas ofertas, implicaría el desarrollo de pruebas específic</w:t>
      </w:r>
      <w:r>
        <w:rPr>
          <w:rFonts w:ascii="ITC Avant Garde" w:hAnsi="ITC Avant Garde"/>
        </w:rPr>
        <w:t>a</w:t>
      </w:r>
      <w:r w:rsidRPr="00F931E4">
        <w:rPr>
          <w:rFonts w:ascii="ITC Avant Garde" w:hAnsi="ITC Avant Garde"/>
        </w:rPr>
        <w:t xml:space="preserve">s para cada </w:t>
      </w:r>
      <w:r>
        <w:rPr>
          <w:rFonts w:ascii="ITC Avant Garde" w:hAnsi="ITC Avant Garde"/>
        </w:rPr>
        <w:t>una</w:t>
      </w:r>
      <w:r w:rsidRPr="00F931E4">
        <w:rPr>
          <w:rFonts w:ascii="ITC Avant Garde" w:hAnsi="ITC Avant Garde"/>
        </w:rPr>
        <w:t xml:space="preserve">, aumentando sensiblemente la carga regulatoria. </w:t>
      </w:r>
    </w:p>
    <w:p w14:paraId="670C6E88" w14:textId="18B70F46" w:rsidR="00740B0F" w:rsidRPr="00F931E4" w:rsidRDefault="00740B0F" w:rsidP="00740B0F">
      <w:pPr>
        <w:pStyle w:val="ParaBullet1"/>
        <w:numPr>
          <w:ilvl w:val="0"/>
          <w:numId w:val="0"/>
        </w:numPr>
        <w:spacing w:before="0" w:after="240" w:line="276" w:lineRule="auto"/>
        <w:ind w:left="720"/>
        <w:rPr>
          <w:rFonts w:ascii="ITC Avant Garde" w:hAnsi="ITC Avant Garde"/>
        </w:rPr>
      </w:pPr>
      <w:r>
        <w:rPr>
          <w:rFonts w:ascii="ITC Avant Garde" w:hAnsi="ITC Avant Garde"/>
        </w:rPr>
        <w:t>Si bien e</w:t>
      </w:r>
      <w:r w:rsidRPr="001B3884">
        <w:rPr>
          <w:rFonts w:ascii="ITC Avant Garde" w:hAnsi="ITC Avant Garde"/>
        </w:rPr>
        <w:t>sta es la opción que ofrece una mayor protección a los competidores</w:t>
      </w:r>
      <w:r>
        <w:rPr>
          <w:rFonts w:ascii="ITC Avant Garde" w:hAnsi="ITC Avant Garde"/>
        </w:rPr>
        <w:t>, también</w:t>
      </w:r>
      <w:r w:rsidRPr="001B3884">
        <w:rPr>
          <w:rFonts w:ascii="ITC Avant Garde" w:hAnsi="ITC Avant Garde"/>
        </w:rPr>
        <w:t xml:space="preserve"> es la más onerosa tanto para la empresa </w:t>
      </w:r>
      <w:r w:rsidR="009A68D7">
        <w:rPr>
          <w:rFonts w:ascii="ITC Avant Garde" w:hAnsi="ITC Avant Garde"/>
        </w:rPr>
        <w:t>regulada</w:t>
      </w:r>
      <w:r w:rsidR="009A68D7" w:rsidRPr="001B3884">
        <w:rPr>
          <w:rFonts w:ascii="ITC Avant Garde" w:hAnsi="ITC Avant Garde"/>
        </w:rPr>
        <w:t xml:space="preserve"> </w:t>
      </w:r>
      <w:r w:rsidRPr="001B3884">
        <w:rPr>
          <w:rFonts w:ascii="ITC Avant Garde" w:hAnsi="ITC Avant Garde"/>
        </w:rPr>
        <w:t>como para el regulador pues implica analizar un abanico de ofertas personalizadas, cuya estructura no necesariamente encaja con el formato de</w:t>
      </w:r>
      <w:r>
        <w:rPr>
          <w:rFonts w:ascii="ITC Avant Garde" w:hAnsi="ITC Avant Garde"/>
        </w:rPr>
        <w:t xml:space="preserve"> </w:t>
      </w:r>
      <w:r w:rsidRPr="001B3884">
        <w:rPr>
          <w:rFonts w:ascii="ITC Avant Garde" w:hAnsi="ITC Avant Garde"/>
        </w:rPr>
        <w:t>l</w:t>
      </w:r>
      <w:r>
        <w:rPr>
          <w:rFonts w:ascii="ITC Avant Garde" w:hAnsi="ITC Avant Garde"/>
        </w:rPr>
        <w:t>a</w:t>
      </w:r>
      <w:r w:rsidRPr="001B3884">
        <w:rPr>
          <w:rFonts w:ascii="ITC Avant Garde" w:hAnsi="ITC Avant Garde"/>
        </w:rPr>
        <w:t xml:space="preserve"> </w:t>
      </w:r>
      <w:r>
        <w:rPr>
          <w:rFonts w:ascii="ITC Avant Garde" w:hAnsi="ITC Avant Garde"/>
        </w:rPr>
        <w:t xml:space="preserve">prueba desarrollada para el resto de las ofertas. Asimismo, </w:t>
      </w:r>
      <w:r>
        <w:rPr>
          <w:rFonts w:ascii="ITC Avant Garde" w:hAnsi="ITC Avant Garde"/>
          <w:lang w:val="es-MX"/>
        </w:rPr>
        <w:t>r</w:t>
      </w:r>
      <w:r w:rsidRPr="001B3884">
        <w:rPr>
          <w:rFonts w:ascii="ITC Avant Garde" w:hAnsi="ITC Avant Garde"/>
          <w:lang w:val="es-MX"/>
        </w:rPr>
        <w:t xml:space="preserve">esta </w:t>
      </w:r>
      <w:r w:rsidRPr="001B3884">
        <w:rPr>
          <w:rFonts w:ascii="ITC Avant Garde" w:hAnsi="ITC Avant Garde"/>
          <w:lang w:val="es-MX"/>
        </w:rPr>
        <w:lastRenderedPageBreak/>
        <w:t xml:space="preserve">flexibilidad a la empresa </w:t>
      </w:r>
      <w:r w:rsidR="009A68D7">
        <w:rPr>
          <w:rFonts w:ascii="ITC Avant Garde" w:hAnsi="ITC Avant Garde"/>
          <w:lang w:val="es-MX"/>
        </w:rPr>
        <w:t>regulada</w:t>
      </w:r>
      <w:r w:rsidRPr="001B3884">
        <w:rPr>
          <w:rFonts w:ascii="ITC Avant Garde" w:hAnsi="ITC Avant Garde"/>
          <w:lang w:val="es-MX"/>
        </w:rPr>
        <w:t xml:space="preserve">, quien puede ver limitada su capacidad para </w:t>
      </w:r>
      <w:r>
        <w:rPr>
          <w:rFonts w:ascii="ITC Avant Garde" w:hAnsi="ITC Avant Garde"/>
          <w:lang w:val="es-MX"/>
        </w:rPr>
        <w:t xml:space="preserve">ofrecer servicios en </w:t>
      </w:r>
      <w:r w:rsidRPr="001B3884">
        <w:rPr>
          <w:rFonts w:ascii="ITC Avant Garde" w:hAnsi="ITC Avant Garde"/>
          <w:lang w:val="es-MX"/>
        </w:rPr>
        <w:t>el segmento de las grandes empresas.</w:t>
      </w:r>
    </w:p>
    <w:p w14:paraId="10752670" w14:textId="56CDB66B" w:rsidR="00740B0F" w:rsidRPr="00F71D8D" w:rsidRDefault="00740B0F" w:rsidP="00F71D8D">
      <w:pPr>
        <w:pStyle w:val="ParaBullet1"/>
        <w:numPr>
          <w:ilvl w:val="0"/>
          <w:numId w:val="0"/>
        </w:numPr>
        <w:spacing w:before="0" w:after="240" w:line="276" w:lineRule="auto"/>
        <w:ind w:left="720"/>
        <w:rPr>
          <w:rFonts w:ascii="ITC Avant Garde" w:hAnsi="ITC Avant Garde"/>
          <w:lang w:val="es-MX"/>
        </w:rPr>
      </w:pPr>
      <w:r w:rsidRPr="00F71D8D">
        <w:rPr>
          <w:rFonts w:ascii="ITC Avant Garde" w:hAnsi="ITC Avant Garde"/>
          <w:b/>
        </w:rPr>
        <w:t>Considerar las ofertas empresariales estandarizadas únicamente</w:t>
      </w:r>
      <w:r w:rsidRPr="00F71D8D">
        <w:rPr>
          <w:rFonts w:ascii="ITC Avant Garde" w:hAnsi="ITC Avant Garde"/>
        </w:rPr>
        <w:t xml:space="preserve">. Las ofertas comerciales estandarizadas, al presentar una estructura similar al segmento </w:t>
      </w:r>
      <w:r w:rsidR="00032CAD">
        <w:rPr>
          <w:rFonts w:ascii="ITC Avant Garde" w:hAnsi="ITC Avant Garde"/>
        </w:rPr>
        <w:t>masivo</w:t>
      </w:r>
      <w:r w:rsidRPr="00F71D8D">
        <w:rPr>
          <w:rFonts w:ascii="ITC Avant Garde" w:hAnsi="ITC Avant Garde"/>
        </w:rPr>
        <w:t xml:space="preserve">, podrían ser analizadas empleando la prueba de replicabilidad desarrollada para el segmento </w:t>
      </w:r>
      <w:r w:rsidR="001F695C">
        <w:rPr>
          <w:rFonts w:ascii="ITC Avant Garde" w:hAnsi="ITC Avant Garde"/>
        </w:rPr>
        <w:t>masivo</w:t>
      </w:r>
      <w:r w:rsidRPr="00F71D8D">
        <w:rPr>
          <w:rFonts w:ascii="ITC Avant Garde" w:hAnsi="ITC Avant Garde"/>
        </w:rPr>
        <w:t xml:space="preserve">. </w:t>
      </w:r>
      <w:r>
        <w:rPr>
          <w:rFonts w:ascii="ITC Avant Garde" w:hAnsi="ITC Avant Garde"/>
        </w:rPr>
        <w:t>Al considerar dichas ofertas se da</w:t>
      </w:r>
      <w:r w:rsidRPr="001E65BF">
        <w:rPr>
          <w:rFonts w:ascii="ITC Avant Garde" w:hAnsi="ITC Avant Garde"/>
        </w:rPr>
        <w:t xml:space="preserve"> libertad a la empresa </w:t>
      </w:r>
      <w:r w:rsidR="00853C75">
        <w:rPr>
          <w:rFonts w:ascii="ITC Avant Garde" w:hAnsi="ITC Avant Garde"/>
        </w:rPr>
        <w:t>regulada</w:t>
      </w:r>
      <w:r w:rsidR="00853C75" w:rsidRPr="001E65BF">
        <w:rPr>
          <w:rFonts w:ascii="ITC Avant Garde" w:hAnsi="ITC Avant Garde"/>
        </w:rPr>
        <w:t xml:space="preserve"> </w:t>
      </w:r>
      <w:r w:rsidRPr="001E65BF">
        <w:rPr>
          <w:rFonts w:ascii="ITC Avant Garde" w:hAnsi="ITC Avant Garde"/>
        </w:rPr>
        <w:t xml:space="preserve">para </w:t>
      </w:r>
      <w:r>
        <w:rPr>
          <w:rFonts w:ascii="ITC Avant Garde" w:hAnsi="ITC Avant Garde"/>
        </w:rPr>
        <w:t>ofrecer servicios</w:t>
      </w:r>
      <w:r w:rsidRPr="001E65BF">
        <w:rPr>
          <w:rFonts w:ascii="ITC Avant Garde" w:hAnsi="ITC Avant Garde"/>
        </w:rPr>
        <w:t xml:space="preserve"> </w:t>
      </w:r>
      <w:r>
        <w:rPr>
          <w:rFonts w:ascii="ITC Avant Garde" w:hAnsi="ITC Avant Garde"/>
        </w:rPr>
        <w:t>en e</w:t>
      </w:r>
      <w:r w:rsidRPr="001E65BF">
        <w:rPr>
          <w:rFonts w:ascii="ITC Avant Garde" w:hAnsi="ITC Avant Garde"/>
        </w:rPr>
        <w:t xml:space="preserve">l segmento de grandes clientes empresariales a la vez que protege </w:t>
      </w:r>
      <w:r>
        <w:rPr>
          <w:rFonts w:ascii="ITC Avant Garde" w:hAnsi="ITC Avant Garde"/>
        </w:rPr>
        <w:t>el proceso de competencia</w:t>
      </w:r>
      <w:r w:rsidRPr="001E65BF">
        <w:rPr>
          <w:rFonts w:ascii="ITC Avant Garde" w:hAnsi="ITC Avant Garde"/>
        </w:rPr>
        <w:t xml:space="preserve"> en el segmento de las pequeñas y medianas empresas que hacen uso de </w:t>
      </w:r>
      <w:r>
        <w:rPr>
          <w:rFonts w:ascii="ITC Avant Garde" w:hAnsi="ITC Avant Garde"/>
        </w:rPr>
        <w:t xml:space="preserve">esas </w:t>
      </w:r>
      <w:r w:rsidRPr="001E65BF">
        <w:rPr>
          <w:rFonts w:ascii="ITC Avant Garde" w:hAnsi="ITC Avant Garde"/>
        </w:rPr>
        <w:t xml:space="preserve">ofertas </w:t>
      </w:r>
      <w:r>
        <w:rPr>
          <w:rFonts w:ascii="ITC Avant Garde" w:hAnsi="ITC Avant Garde"/>
        </w:rPr>
        <w:t>y se reduce la</w:t>
      </w:r>
      <w:r w:rsidRPr="001B3884">
        <w:rPr>
          <w:rFonts w:ascii="ITC Avant Garde" w:hAnsi="ITC Avant Garde"/>
          <w:lang w:val="es-MX"/>
        </w:rPr>
        <w:t xml:space="preserve"> carga regulatoria </w:t>
      </w:r>
      <w:r>
        <w:rPr>
          <w:rFonts w:ascii="ITC Avant Garde" w:hAnsi="ITC Avant Garde"/>
          <w:lang w:val="es-MX"/>
        </w:rPr>
        <w:t>de</w:t>
      </w:r>
      <w:r w:rsidRPr="001B3884">
        <w:rPr>
          <w:rFonts w:ascii="ITC Avant Garde" w:hAnsi="ITC Avant Garde"/>
          <w:lang w:val="es-MX"/>
        </w:rPr>
        <w:t xml:space="preserve"> la opción anterior al evaluar tan solo un </w:t>
      </w:r>
      <w:proofErr w:type="spellStart"/>
      <w:r w:rsidRPr="001B3884">
        <w:rPr>
          <w:rFonts w:ascii="ITC Avant Garde" w:hAnsi="ITC Avant Garde"/>
          <w:lang w:val="es-MX"/>
        </w:rPr>
        <w:t>sub-conjunto</w:t>
      </w:r>
      <w:proofErr w:type="spellEnd"/>
      <w:r w:rsidRPr="001B3884">
        <w:rPr>
          <w:rFonts w:ascii="ITC Avant Garde" w:hAnsi="ITC Avant Garde"/>
          <w:lang w:val="es-MX"/>
        </w:rPr>
        <w:t xml:space="preserve"> de las ofertas en el segmento empresarial.</w:t>
      </w:r>
      <w:r w:rsidRPr="00F71D8D">
        <w:rPr>
          <w:rFonts w:ascii="ITC Avant Garde" w:hAnsi="ITC Avant Garde"/>
        </w:rPr>
        <w:t>Cabe destacar que</w:t>
      </w:r>
      <w:r w:rsidR="00592820" w:rsidRPr="00F71D8D">
        <w:rPr>
          <w:rFonts w:ascii="ITC Avant Garde" w:hAnsi="ITC Avant Garde"/>
        </w:rPr>
        <w:t>,</w:t>
      </w:r>
      <w:r w:rsidRPr="00F71D8D">
        <w:rPr>
          <w:rFonts w:ascii="ITC Avant Garde" w:hAnsi="ITC Avant Garde"/>
        </w:rPr>
        <w:t xml:space="preserve"> si se decide utilizar esta opción, es importante, para garantizar certidumbre y transparencia, delimitar muy claramente la parte del segmento empresarial que quedaría excluido del análisis. </w:t>
      </w:r>
    </w:p>
    <w:p w14:paraId="79504391"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Servicios mayoristas a considerar</w:t>
      </w:r>
    </w:p>
    <w:p w14:paraId="1BC163A0" w14:textId="05DD5A90" w:rsidR="00740B0F" w:rsidRPr="00A41764" w:rsidRDefault="00740B0F" w:rsidP="00740B0F">
      <w:pPr>
        <w:spacing w:after="240"/>
      </w:pPr>
      <w:r w:rsidRPr="00A41764">
        <w:t>En muchos casos hay más de una alternativa mayorista para prestar el mismo servicio minorista. Cuando existe más de un servicio mayorista para prestar el mismo servicio minorista, hay tres opciones de diseño en la prueba.</w:t>
      </w:r>
    </w:p>
    <w:p w14:paraId="6517AC51" w14:textId="25A04964" w:rsidR="00740B0F" w:rsidRDefault="00740B0F" w:rsidP="00985CF6">
      <w:pPr>
        <w:pStyle w:val="Prrafodelista"/>
        <w:numPr>
          <w:ilvl w:val="0"/>
          <w:numId w:val="10"/>
        </w:numPr>
        <w:spacing w:after="240" w:line="276" w:lineRule="auto"/>
        <w:ind w:left="714" w:hanging="357"/>
      </w:pPr>
      <w:r w:rsidRPr="00141374">
        <w:rPr>
          <w:b/>
        </w:rPr>
        <w:t>Evaluar la replicabilidad para cada servicio mayorista por separado</w:t>
      </w:r>
      <w:r w:rsidRPr="00A41764">
        <w:t xml:space="preserve">. </w:t>
      </w:r>
      <w:r>
        <w:t>La</w:t>
      </w:r>
      <w:r w:rsidRPr="00A41764">
        <w:t xml:space="preserve"> oferta comercial de la empresa </w:t>
      </w:r>
      <w:r w:rsidR="009A68D7">
        <w:t>regulada</w:t>
      </w:r>
      <w:r w:rsidR="009A68D7" w:rsidRPr="00A41764">
        <w:t xml:space="preserve"> </w:t>
      </w:r>
      <w:r w:rsidRPr="00A41764">
        <w:t>tendría que pasar una p</w:t>
      </w:r>
      <w:r>
        <w:t>rueba de replicabilidad distinta</w:t>
      </w:r>
      <w:r w:rsidRPr="00A41764">
        <w:t xml:space="preserve"> para cada uno de los servicios mayoristas. Esta prueba protege</w:t>
      </w:r>
      <w:r>
        <w:t xml:space="preserve"> el proceso de competencia y evita</w:t>
      </w:r>
      <w:r w:rsidRPr="00A41764">
        <w:t xml:space="preserve"> estrechamientos de márgenes </w:t>
      </w:r>
      <w:r>
        <w:t>hacia</w:t>
      </w:r>
      <w:r w:rsidRPr="00A41764">
        <w:t xml:space="preserve"> cualquier tipo de competidor, con independencia del servicio mayorista que use. Esta opción es muy transparente por cuanto los operadores saben que la oferta comercial es compatible con cualquier tipo de oferta mayorista. </w:t>
      </w:r>
      <w:r>
        <w:t>No obstante, l</w:t>
      </w:r>
      <w:r w:rsidRPr="00A41764">
        <w:t>a carga regulatoria es mayor al implicar la implementación de varias pruebas de replicabilidad para la misma oferta comercial.</w:t>
      </w:r>
      <w:r>
        <w:t xml:space="preserve"> </w:t>
      </w:r>
    </w:p>
    <w:p w14:paraId="583A8C4C" w14:textId="45ED2254" w:rsidR="00740B0F" w:rsidRDefault="00740B0F" w:rsidP="00985CF6">
      <w:pPr>
        <w:pStyle w:val="Prrafodelista"/>
        <w:numPr>
          <w:ilvl w:val="0"/>
          <w:numId w:val="10"/>
        </w:numPr>
        <w:spacing w:after="240" w:line="276" w:lineRule="auto"/>
        <w:ind w:left="714" w:hanging="357"/>
      </w:pPr>
      <w:r w:rsidRPr="00141374">
        <w:rPr>
          <w:b/>
        </w:rPr>
        <w:t>Evaluar la replicabilidad respecto a una de las opciones únicamente</w:t>
      </w:r>
      <w:r w:rsidRPr="00A41764">
        <w:t>. En este caso, la prueba fomentará el uso del servicio mayorista que se selecciona para la prueba de replicabilidad.</w:t>
      </w:r>
      <w:r>
        <w:t xml:space="preserve"> No obstante, podría no ser tecnológicamente neutral, al incentivar el uso de un insumo en particular (y</w:t>
      </w:r>
      <w:r w:rsidR="00853C75">
        <w:t>,</w:t>
      </w:r>
      <w:r>
        <w:t xml:space="preserve"> por ende, cierto tipo de inversión).</w:t>
      </w:r>
      <w:r w:rsidRPr="00A41764">
        <w:t xml:space="preserve"> </w:t>
      </w:r>
      <w:r>
        <w:t>Adicionalmente, e</w:t>
      </w:r>
      <w:r w:rsidRPr="00A41764">
        <w:t xml:space="preserve">sta opción genera certidumbre en los operadores que usan el servicio mayorista protegido por </w:t>
      </w:r>
      <w:r w:rsidRPr="00A41764">
        <w:lastRenderedPageBreak/>
        <w:t>la prueba</w:t>
      </w:r>
      <w:r>
        <w:t xml:space="preserve">, </w:t>
      </w:r>
      <w:r w:rsidRPr="00A41764">
        <w:t>es más transparente que una prueba que usa un</w:t>
      </w:r>
      <w:r>
        <w:t>a</w:t>
      </w:r>
      <w:r w:rsidRPr="00A41764">
        <w:t xml:space="preserve"> </w:t>
      </w:r>
      <w:r>
        <w:t>combinación</w:t>
      </w:r>
      <w:r w:rsidRPr="00A41764">
        <w:t xml:space="preserve"> de productos mayoristas </w:t>
      </w:r>
      <w:r>
        <w:t>y</w:t>
      </w:r>
      <w:r w:rsidRPr="00A41764">
        <w:t xml:space="preserve"> </w:t>
      </w:r>
      <w:r>
        <w:t>su</w:t>
      </w:r>
      <w:r w:rsidRPr="00A41764">
        <w:t xml:space="preserve"> carga regulatoria es menor que con la alternativa anterior, por cuanto s</w:t>
      </w:r>
      <w:r>
        <w:t>ó</w:t>
      </w:r>
      <w:r w:rsidRPr="00A41764">
        <w:t>lo habría que realizar una única prueba para el servicio mayorista escogido.</w:t>
      </w:r>
    </w:p>
    <w:p w14:paraId="59251686" w14:textId="2D7438C3" w:rsidR="00740B0F" w:rsidRDefault="00740B0F" w:rsidP="00985CF6">
      <w:pPr>
        <w:pStyle w:val="Prrafodelista"/>
        <w:numPr>
          <w:ilvl w:val="0"/>
          <w:numId w:val="10"/>
        </w:numPr>
        <w:spacing w:after="240" w:line="276" w:lineRule="auto"/>
        <w:ind w:left="714" w:hanging="357"/>
      </w:pPr>
      <w:r w:rsidRPr="00141374">
        <w:rPr>
          <w:b/>
        </w:rPr>
        <w:t xml:space="preserve">Considerar un producto mayorista que sea </w:t>
      </w:r>
      <w:r w:rsidRPr="000875D6">
        <w:rPr>
          <w:b/>
        </w:rPr>
        <w:t xml:space="preserve">una combinación de los productos mayoristas existentes. </w:t>
      </w:r>
      <w:r w:rsidRPr="00A41764">
        <w:t>El supuesto implícito es que los competidores usa</w:t>
      </w:r>
      <w:r>
        <w:t>n</w:t>
      </w:r>
      <w:r w:rsidRPr="00A41764">
        <w:t xml:space="preserve"> un</w:t>
      </w:r>
      <w:r>
        <w:t>a combinación</w:t>
      </w:r>
      <w:r w:rsidRPr="00A41764">
        <w:t xml:space="preserve"> de productos mayoristas para competir en el mercado minorista. En contraste, no se garantiza la replicabilidad de la oferta por competidores que usen mayoritariamente un </w:t>
      </w:r>
      <w:r>
        <w:t xml:space="preserve">solo </w:t>
      </w:r>
      <w:r w:rsidRPr="00A41764">
        <w:t xml:space="preserve">servicio mayorista. Esta opción es más flexible que las otras dos alternativas </w:t>
      </w:r>
      <w:r>
        <w:t>debido a que</w:t>
      </w:r>
      <w:r w:rsidRPr="00A41764">
        <w:t xml:space="preserve"> el margen para bajar precios </w:t>
      </w:r>
      <w:r>
        <w:t xml:space="preserve">minoristas </w:t>
      </w:r>
      <w:r w:rsidRPr="00A41764">
        <w:t xml:space="preserve">de la empresa </w:t>
      </w:r>
      <w:r w:rsidR="009A68D7">
        <w:t>regulada</w:t>
      </w:r>
      <w:r w:rsidR="009A68D7" w:rsidRPr="00A41764">
        <w:t xml:space="preserve"> </w:t>
      </w:r>
      <w:r w:rsidRPr="00A41764">
        <w:t>es mayor</w:t>
      </w:r>
      <w:r>
        <w:t>, p</w:t>
      </w:r>
      <w:r w:rsidRPr="00A41764">
        <w:t>ero es menos transparente, a menos que los parámetros empleados para calcular el precio promedio (p.ej. cuotas de mercado de los productos mayoristas) estén definidos de antemano.</w:t>
      </w:r>
    </w:p>
    <w:p w14:paraId="7EDE077D"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Precio de los insumos mayoristas</w:t>
      </w:r>
    </w:p>
    <w:p w14:paraId="26D24D6F" w14:textId="77777777" w:rsidR="00740B0F" w:rsidRDefault="00740B0F" w:rsidP="00740B0F">
      <w:pPr>
        <w:spacing w:after="240"/>
      </w:pPr>
      <w:r w:rsidRPr="00401C89">
        <w:t>En las ofertas mayoristas pueden existir descuentos sobre el precio mayorista regulado</w:t>
      </w:r>
      <w:r>
        <w:t>, p</w:t>
      </w:r>
      <w:r w:rsidRPr="00401C89">
        <w:t>or lo que se pueden distinguir dos opciones para valorar qué precio mayorista se usa en la prueba.</w:t>
      </w:r>
    </w:p>
    <w:p w14:paraId="6CF15B16" w14:textId="5FE737CB" w:rsidR="00740B0F" w:rsidRDefault="00740B0F" w:rsidP="00985CF6">
      <w:pPr>
        <w:pStyle w:val="ParaBullet1"/>
        <w:numPr>
          <w:ilvl w:val="0"/>
          <w:numId w:val="11"/>
        </w:numPr>
        <w:spacing w:before="0" w:line="276" w:lineRule="auto"/>
        <w:ind w:left="709" w:hanging="283"/>
        <w:rPr>
          <w:rFonts w:ascii="ITC Avant Garde" w:hAnsi="ITC Avant Garde"/>
        </w:rPr>
      </w:pPr>
      <w:r w:rsidRPr="00401C89">
        <w:rPr>
          <w:rFonts w:ascii="ITC Avant Garde" w:hAnsi="ITC Avant Garde"/>
          <w:b/>
        </w:rPr>
        <w:t>Usar el precio mayorista de catálogo</w:t>
      </w:r>
      <w:r w:rsidR="00164E6B">
        <w:rPr>
          <w:rFonts w:ascii="ITC Avant Garde" w:hAnsi="ITC Avant Garde"/>
          <w:b/>
        </w:rPr>
        <w:t xml:space="preserve"> u oferta de referencia</w:t>
      </w:r>
      <w:r>
        <w:rPr>
          <w:rFonts w:ascii="ITC Avant Garde" w:hAnsi="ITC Avant Garde"/>
          <w:b/>
        </w:rPr>
        <w:t xml:space="preserve">. </w:t>
      </w:r>
      <w:r>
        <w:rPr>
          <w:rFonts w:ascii="ITC Avant Garde" w:hAnsi="ITC Avant Garde"/>
        </w:rPr>
        <w:t>Dentro de este</w:t>
      </w:r>
      <w:r w:rsidRPr="00401C89">
        <w:rPr>
          <w:rFonts w:ascii="ITC Avant Garde" w:hAnsi="ITC Avant Garde"/>
        </w:rPr>
        <w:t xml:space="preserve"> </w:t>
      </w:r>
      <w:r>
        <w:rPr>
          <w:rFonts w:ascii="ITC Avant Garde" w:hAnsi="ITC Avant Garde"/>
        </w:rPr>
        <w:t>enfoque, se presenta</w:t>
      </w:r>
      <w:r w:rsidRPr="00401C89">
        <w:rPr>
          <w:rFonts w:ascii="ITC Avant Garde" w:hAnsi="ITC Avant Garde"/>
        </w:rPr>
        <w:t>n 2 alternativas: (1) usar el precio sin descuentos, en caso de que los hubiere; (2) usar el precio teniendo en cuenta los descuentos que se pueden obtener. La decisión entre (1) y (2) depende del supuesto que se haga sobre la eficiencia del operador que demanda los servicios mayoristas. Si se asume que el entrante no tiene unas características suficientes para recibir descuentos significativos, la opción para diseñar la prueba sería la (1)</w:t>
      </w:r>
      <w:r>
        <w:rPr>
          <w:rFonts w:ascii="ITC Avant Garde" w:hAnsi="ITC Avant Garde"/>
        </w:rPr>
        <w:t>, aunque se dota de</w:t>
      </w:r>
      <w:r w:rsidRPr="00401C89">
        <w:rPr>
          <w:rFonts w:ascii="ITC Avant Garde" w:hAnsi="ITC Avant Garde"/>
        </w:rPr>
        <w:t xml:space="preserve"> meno</w:t>
      </w:r>
      <w:r>
        <w:rPr>
          <w:rFonts w:ascii="ITC Avant Garde" w:hAnsi="ITC Avant Garde"/>
        </w:rPr>
        <w:t>r</w:t>
      </w:r>
      <w:r w:rsidRPr="00401C89">
        <w:rPr>
          <w:rFonts w:ascii="ITC Avant Garde" w:hAnsi="ITC Avant Garde"/>
        </w:rPr>
        <w:t xml:space="preserve"> flexibilidad a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 xml:space="preserve">porque limita su capacidad de reducir precios y puede reducir los incentivos de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a ofrecer descuentos</w:t>
      </w:r>
      <w:r w:rsidRPr="00401C89">
        <w:rPr>
          <w:rStyle w:val="Refdenotaalpie"/>
        </w:rPr>
        <w:footnoteReference w:id="13"/>
      </w:r>
      <w:r w:rsidRPr="00401C89">
        <w:rPr>
          <w:rFonts w:ascii="ITC Avant Garde" w:hAnsi="ITC Avant Garde"/>
        </w:rPr>
        <w:t xml:space="preserve">. </w:t>
      </w:r>
      <w:r>
        <w:rPr>
          <w:rFonts w:ascii="ITC Avant Garde" w:hAnsi="ITC Avant Garde"/>
        </w:rPr>
        <w:t>Por otro lado, l</w:t>
      </w:r>
      <w:r w:rsidRPr="00401C89">
        <w:rPr>
          <w:rFonts w:ascii="ITC Avant Garde" w:hAnsi="ITC Avant Garde"/>
        </w:rPr>
        <w:t xml:space="preserve">a opción (2) puede permitir precios más bajos, lo que aumenta la flexibilidad comercial de la empresa </w:t>
      </w:r>
      <w:r w:rsidR="00D37C16">
        <w:rPr>
          <w:rFonts w:ascii="ITC Avant Garde" w:hAnsi="ITC Avant Garde"/>
        </w:rPr>
        <w:t>regulada</w:t>
      </w:r>
      <w:r w:rsidRPr="00401C89">
        <w:rPr>
          <w:rFonts w:ascii="ITC Avant Garde" w:hAnsi="ITC Avant Garde"/>
        </w:rPr>
        <w:t xml:space="preserve">. Sin embargo, es menos transparente y ofrece menos certidumbre, en la medida en que los criterios para determinar los descuentos no estén claros. </w:t>
      </w:r>
    </w:p>
    <w:p w14:paraId="02404AF0" w14:textId="4AB83BAF" w:rsidR="00740B0F" w:rsidRDefault="00740B0F" w:rsidP="00740B0F">
      <w:pPr>
        <w:pStyle w:val="ParaBullet1"/>
        <w:tabs>
          <w:tab w:val="clear" w:pos="340"/>
        </w:tabs>
        <w:spacing w:before="0" w:after="240" w:line="276" w:lineRule="auto"/>
        <w:ind w:left="709"/>
        <w:rPr>
          <w:rFonts w:ascii="ITC Avant Garde" w:hAnsi="ITC Avant Garde"/>
          <w:lang w:val="es-MX"/>
        </w:rPr>
      </w:pPr>
      <w:r w:rsidRPr="00401C89">
        <w:rPr>
          <w:rFonts w:ascii="ITC Avant Garde" w:hAnsi="ITC Avant Garde"/>
          <w:b/>
        </w:rPr>
        <w:lastRenderedPageBreak/>
        <w:t xml:space="preserve">Usar el ingreso medio mayorista del operador </w:t>
      </w:r>
      <w:r w:rsidR="00D37C16">
        <w:rPr>
          <w:rFonts w:ascii="ITC Avant Garde" w:hAnsi="ITC Avant Garde"/>
          <w:b/>
        </w:rPr>
        <w:t>regulado</w:t>
      </w:r>
      <w:r w:rsidRPr="00401C89">
        <w:rPr>
          <w:rFonts w:ascii="ITC Avant Garde" w:hAnsi="ITC Avant Garde"/>
          <w:b/>
        </w:rPr>
        <w:t>.</w:t>
      </w:r>
      <w:r w:rsidRPr="00401C89">
        <w:rPr>
          <w:rFonts w:ascii="ITC Avant Garde" w:hAnsi="ITC Avant Garde"/>
        </w:rPr>
        <w:t xml:space="preserve"> Esta opción es una variante de la opción (2) anterior. Al usar el ingreso medio se está teniendo en cuenta el descuento medio que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 xml:space="preserve">está ofreciendo a sus clientes mayoristas. Desde el punto de vista de la replicabilidad de ofertas, esta opción beneficiaría a operadores que, por su volumen, pueden alcanzar un descuento superior al promedio y viceversa. Tampoco se comprometen los incentivos de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a ofrecer descuentos, ya que cuanto</w:t>
      </w:r>
      <w:r w:rsidR="003D25A9">
        <w:rPr>
          <w:rFonts w:ascii="ITC Avant Garde" w:hAnsi="ITC Avant Garde"/>
        </w:rPr>
        <w:t>s</w:t>
      </w:r>
      <w:r w:rsidRPr="00401C89">
        <w:rPr>
          <w:rFonts w:ascii="ITC Avant Garde" w:hAnsi="ITC Avant Garde"/>
        </w:rPr>
        <w:t xml:space="preserve"> mayores sean, mayor será su flexibilidad comercial. </w:t>
      </w:r>
      <w:r>
        <w:rPr>
          <w:rFonts w:ascii="ITC Avant Garde" w:hAnsi="ITC Avant Garde"/>
        </w:rPr>
        <w:t>No obstante, e</w:t>
      </w:r>
      <w:r w:rsidRPr="00401C89">
        <w:rPr>
          <w:rFonts w:ascii="ITC Avant Garde" w:hAnsi="ITC Avant Garde"/>
        </w:rPr>
        <w:t xml:space="preserve">l grado de transparencia de esta opción es menor al de la opción (2) </w:t>
      </w:r>
      <w:r>
        <w:rPr>
          <w:rFonts w:ascii="ITC Avant Garde" w:hAnsi="ITC Avant Garde"/>
        </w:rPr>
        <w:t>precedente</w:t>
      </w:r>
      <w:r w:rsidRPr="00401C89">
        <w:rPr>
          <w:rFonts w:ascii="ITC Avant Garde" w:hAnsi="ITC Avant Garde"/>
        </w:rPr>
        <w:t>, ya que el ingreso medio es posiblemente una información confidencial que no se hará pública. Esto hace que la certidumbre de esta opción sea menor.</w:t>
      </w:r>
      <w:r w:rsidRPr="00E915D5">
        <w:rPr>
          <w:rFonts w:ascii="ITC Avant Garde" w:hAnsi="ITC Avant Garde"/>
          <w:lang w:val="es-MX"/>
        </w:rPr>
        <w:t xml:space="preserve"> </w:t>
      </w:r>
    </w:p>
    <w:p w14:paraId="77879B0C"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Tratamiento de las promociones</w:t>
      </w:r>
    </w:p>
    <w:p w14:paraId="28540E9A" w14:textId="77777777" w:rsidR="00740B0F" w:rsidRPr="00E75589" w:rsidRDefault="00740B0F" w:rsidP="00740B0F">
      <w:pPr>
        <w:spacing w:after="240"/>
      </w:pPr>
      <w:r w:rsidRPr="00E75589">
        <w:t>Las promociones son ofertas comerciales de duración limitada en el tiempo y que suelen implicar regalos o fuertes descuentos. Por ejemplo, una oferta que ofrece el servicio de alta sin costo algun</w:t>
      </w:r>
      <w:r>
        <w:t>o y que está vigente durante la</w:t>
      </w:r>
      <w:r w:rsidRPr="00E75589">
        <w:t xml:space="preserve"> </w:t>
      </w:r>
      <w:r>
        <w:t>época decembrina</w:t>
      </w:r>
      <w:r w:rsidRPr="00E75589">
        <w:t xml:space="preserve"> únicamente.</w:t>
      </w:r>
    </w:p>
    <w:p w14:paraId="3BC10270" w14:textId="70E1C3B1" w:rsidR="00740B0F" w:rsidRPr="00E75589" w:rsidRDefault="00740B0F" w:rsidP="00740B0F">
      <w:pPr>
        <w:spacing w:after="240"/>
      </w:pPr>
      <w:r>
        <w:t>S</w:t>
      </w:r>
      <w:r w:rsidRPr="00E75589">
        <w:t xml:space="preserve">egún sus características pueden implicar una captación elevada de clientes por parte de la empresa </w:t>
      </w:r>
      <w:r w:rsidR="00D37C16">
        <w:t>regulada</w:t>
      </w:r>
      <w:r w:rsidR="00D37C16" w:rsidRPr="00E75589">
        <w:t xml:space="preserve"> </w:t>
      </w:r>
      <w:r w:rsidRPr="00E75589">
        <w:t>en per</w:t>
      </w:r>
      <w:r>
        <w:t>i</w:t>
      </w:r>
      <w:r w:rsidRPr="00E75589">
        <w:t>odos concretos del año.</w:t>
      </w:r>
    </w:p>
    <w:p w14:paraId="76874A04" w14:textId="77777777" w:rsidR="00740B0F" w:rsidRPr="00E75589" w:rsidRDefault="00740B0F" w:rsidP="00740B0F">
      <w:pPr>
        <w:spacing w:after="240"/>
      </w:pPr>
      <w:r w:rsidRPr="00E75589">
        <w:t>Existen 3 opciones para considerar las promociones en el diseño de la prueba:</w:t>
      </w:r>
    </w:p>
    <w:p w14:paraId="3F2F78A9" w14:textId="696ECBD7" w:rsidR="00740B0F" w:rsidRPr="00E75589" w:rsidRDefault="00740B0F" w:rsidP="00740B0F">
      <w:pPr>
        <w:pStyle w:val="ParaBullet1"/>
        <w:spacing w:before="0" w:after="240" w:line="276" w:lineRule="auto"/>
        <w:rPr>
          <w:rFonts w:ascii="ITC Avant Garde" w:hAnsi="ITC Avant Garde"/>
        </w:rPr>
      </w:pPr>
      <w:r w:rsidRPr="00E75589">
        <w:rPr>
          <w:rFonts w:ascii="ITC Avant Garde" w:hAnsi="ITC Avant Garde"/>
          <w:b/>
        </w:rPr>
        <w:t>Excluir todas las promociones</w:t>
      </w:r>
      <w:r w:rsidRPr="00E75589">
        <w:rPr>
          <w:rFonts w:ascii="ITC Avant Garde" w:hAnsi="ITC Avant Garde"/>
        </w:rPr>
        <w:t>. Ello d</w:t>
      </w:r>
      <w:r w:rsidRPr="00E75589">
        <w:rPr>
          <w:rFonts w:ascii="ITC Avant Garde" w:hAnsi="ITC Avant Garde"/>
          <w:lang w:val="es-ES"/>
        </w:rPr>
        <w:t xml:space="preserve">a flexibilidad comercial a la empresa </w:t>
      </w:r>
      <w:r w:rsidR="00D37C16">
        <w:rPr>
          <w:rFonts w:ascii="ITC Avant Garde" w:hAnsi="ITC Avant Garde"/>
          <w:lang w:val="es-ES"/>
        </w:rPr>
        <w:t>regulada</w:t>
      </w:r>
      <w:r w:rsidR="00D37C16" w:rsidRPr="00E75589">
        <w:rPr>
          <w:rFonts w:ascii="ITC Avant Garde" w:hAnsi="ITC Avant Garde"/>
          <w:lang w:val="es-ES"/>
        </w:rPr>
        <w:t xml:space="preserve"> </w:t>
      </w:r>
      <w:r w:rsidRPr="00E75589">
        <w:rPr>
          <w:rFonts w:ascii="ITC Avant Garde" w:hAnsi="ITC Avant Garde"/>
          <w:lang w:val="es-ES"/>
        </w:rPr>
        <w:t>para reaccionar a las promociones de sus rivales y adoptar políticas comerciales encaminadas a fomentar la adopción de los servicios (precios introductorios)</w:t>
      </w:r>
      <w:r w:rsidR="00D37C16">
        <w:rPr>
          <w:rFonts w:ascii="ITC Avant Garde" w:hAnsi="ITC Avant Garde"/>
          <w:lang w:val="es-ES"/>
        </w:rPr>
        <w:t>;</w:t>
      </w:r>
      <w:r w:rsidRPr="00E75589">
        <w:rPr>
          <w:rFonts w:ascii="ITC Avant Garde" w:hAnsi="ITC Avant Garde"/>
          <w:lang w:val="es-ES"/>
        </w:rPr>
        <w:t xml:space="preserve"> </w:t>
      </w:r>
      <w:r w:rsidR="00D37C16">
        <w:rPr>
          <w:rFonts w:ascii="ITC Avant Garde" w:hAnsi="ITC Avant Garde"/>
          <w:lang w:val="es-ES"/>
        </w:rPr>
        <w:t>t</w:t>
      </w:r>
      <w:r w:rsidRPr="00E75589">
        <w:rPr>
          <w:rFonts w:ascii="ITC Avant Garde" w:hAnsi="ITC Avant Garde"/>
          <w:lang w:val="es-ES"/>
        </w:rPr>
        <w:t xml:space="preserve">ambién supone una menor carga regulatoria, tanto para el regulador como para la empresa </w:t>
      </w:r>
      <w:r w:rsidR="00D37C16">
        <w:rPr>
          <w:rFonts w:ascii="ITC Avant Garde" w:hAnsi="ITC Avant Garde"/>
          <w:lang w:val="es-ES"/>
        </w:rPr>
        <w:t>regulada</w:t>
      </w:r>
      <w:r w:rsidRPr="00E75589">
        <w:rPr>
          <w:rFonts w:ascii="ITC Avant Garde" w:hAnsi="ITC Avant Garde"/>
          <w:lang w:val="es-ES"/>
        </w:rPr>
        <w:t xml:space="preserve">, al limitar el alcance en la aplicación de la prueba. Sin embargo, la exclusión de las promociones del análisis podría conducir a que la empresa </w:t>
      </w:r>
      <w:r w:rsidR="00D37C16">
        <w:rPr>
          <w:rFonts w:ascii="ITC Avant Garde" w:hAnsi="ITC Avant Garde"/>
          <w:lang w:val="es-ES"/>
        </w:rPr>
        <w:t>regulada</w:t>
      </w:r>
      <w:r w:rsidR="00D37C16" w:rsidRPr="00E75589">
        <w:rPr>
          <w:rFonts w:ascii="ITC Avant Garde" w:hAnsi="ITC Avant Garde"/>
          <w:lang w:val="es-ES"/>
        </w:rPr>
        <w:t xml:space="preserve"> </w:t>
      </w:r>
      <w:r w:rsidRPr="00E75589">
        <w:rPr>
          <w:rFonts w:ascii="ITC Avant Garde" w:hAnsi="ITC Avant Garde"/>
          <w:lang w:val="es-ES"/>
        </w:rPr>
        <w:t xml:space="preserve">distorsionara la competencia a través de su política promocional, por ejemplo, introduciendo promociones no replicables de forma recurrente en el tiempo. </w:t>
      </w:r>
    </w:p>
    <w:p w14:paraId="1B34B2F4" w14:textId="4B04F231" w:rsidR="00740B0F" w:rsidRPr="00F62AA8" w:rsidRDefault="00740B0F" w:rsidP="00740B0F">
      <w:pPr>
        <w:pStyle w:val="ParaBullet1"/>
        <w:spacing w:before="0" w:after="240" w:line="276" w:lineRule="auto"/>
        <w:rPr>
          <w:rFonts w:ascii="ITC Avant Garde" w:hAnsi="ITC Avant Garde"/>
        </w:rPr>
      </w:pPr>
      <w:r w:rsidRPr="00E75589">
        <w:rPr>
          <w:rFonts w:ascii="ITC Avant Garde" w:hAnsi="ITC Avant Garde"/>
          <w:b/>
        </w:rPr>
        <w:t>Evaluar las promociones como cualquier otra oferta</w:t>
      </w:r>
      <w:r w:rsidRPr="00E75589">
        <w:rPr>
          <w:rFonts w:ascii="ITC Avant Garde" w:hAnsi="ITC Avant Garde"/>
        </w:rPr>
        <w:t xml:space="preserve">. </w:t>
      </w:r>
      <w:r w:rsidR="00D37C16">
        <w:rPr>
          <w:rFonts w:ascii="ITC Avant Garde" w:hAnsi="ITC Avant Garde"/>
          <w:lang w:val="es-ES"/>
        </w:rPr>
        <w:t>E</w:t>
      </w:r>
      <w:r w:rsidRPr="00E75589">
        <w:rPr>
          <w:rFonts w:ascii="ITC Avant Garde" w:hAnsi="ITC Avant Garde"/>
          <w:lang w:val="es-ES"/>
        </w:rPr>
        <w:t xml:space="preserve">sta es la opción más protectora de la competencia al garantizar la replicabilidad de todos los productos de la empresa </w:t>
      </w:r>
      <w:r w:rsidR="00D37C16">
        <w:rPr>
          <w:rFonts w:ascii="ITC Avant Garde" w:hAnsi="ITC Avant Garde"/>
          <w:lang w:val="es-ES"/>
        </w:rPr>
        <w:t>regulada</w:t>
      </w:r>
      <w:r w:rsidRPr="00E75589">
        <w:rPr>
          <w:rFonts w:ascii="ITC Avant Garde" w:hAnsi="ITC Avant Garde"/>
          <w:lang w:val="es-ES"/>
        </w:rPr>
        <w:t xml:space="preserve">. Ello genera certidumbre para los competidores al limitarse la posibilidad de introducir políticas de precios no replicables. Sin embargo, puede suponer una elevada carga regulatoria si la </w:t>
      </w:r>
      <w:r w:rsidRPr="00E75589">
        <w:rPr>
          <w:rFonts w:ascii="ITC Avant Garde" w:hAnsi="ITC Avant Garde"/>
          <w:lang w:val="es-ES"/>
        </w:rPr>
        <w:lastRenderedPageBreak/>
        <w:t xml:space="preserve">actividad promocional es frecuente y resta flexibilidad comercial a la empresa </w:t>
      </w:r>
      <w:r w:rsidR="00D37C16">
        <w:rPr>
          <w:rFonts w:ascii="ITC Avant Garde" w:hAnsi="ITC Avant Garde"/>
          <w:lang w:val="es-ES"/>
        </w:rPr>
        <w:t>regulada</w:t>
      </w:r>
      <w:r w:rsidRPr="00E75589">
        <w:rPr>
          <w:rFonts w:ascii="ITC Avant Garde" w:hAnsi="ITC Avant Garde"/>
          <w:lang w:val="es-ES"/>
        </w:rPr>
        <w:t>.</w:t>
      </w:r>
    </w:p>
    <w:p w14:paraId="4FC20006" w14:textId="550EA42D" w:rsidR="00740B0F" w:rsidRPr="00A877A1" w:rsidRDefault="00740B0F" w:rsidP="00740B0F">
      <w:pPr>
        <w:pStyle w:val="ParaBullet1"/>
        <w:spacing w:before="0" w:after="240" w:line="276" w:lineRule="auto"/>
        <w:rPr>
          <w:rFonts w:ascii="ITC Avant Garde" w:hAnsi="ITC Avant Garde"/>
          <w:lang w:val="es-MX"/>
        </w:rPr>
      </w:pPr>
      <w:r w:rsidRPr="00E75589">
        <w:rPr>
          <w:rFonts w:ascii="ITC Avant Garde" w:hAnsi="ITC Avant Garde"/>
          <w:b/>
        </w:rPr>
        <w:t>Tratamiento diferenciado para las promociones</w:t>
      </w:r>
      <w:r w:rsidRPr="00E75589">
        <w:rPr>
          <w:rFonts w:ascii="ITC Avant Garde" w:hAnsi="ITC Avant Garde"/>
        </w:rPr>
        <w:t xml:space="preserve">. </w:t>
      </w:r>
      <w:r w:rsidRPr="00E75589">
        <w:rPr>
          <w:rFonts w:ascii="ITC Avant Garde" w:hAnsi="ITC Avant Garde"/>
          <w:lang w:val="es-ES"/>
        </w:rPr>
        <w:t>Constituye un punto intermedio entre las opciones anteriores. Esto implica que</w:t>
      </w:r>
      <w:r w:rsidR="003D25A9">
        <w:rPr>
          <w:rFonts w:ascii="ITC Avant Garde" w:hAnsi="ITC Avant Garde"/>
          <w:lang w:val="es-ES"/>
        </w:rPr>
        <w:t>,</w:t>
      </w:r>
      <w:r w:rsidRPr="00E75589">
        <w:rPr>
          <w:rFonts w:ascii="ITC Avant Garde" w:hAnsi="ITC Avant Garde"/>
          <w:lang w:val="es-ES"/>
        </w:rPr>
        <w:t xml:space="preserve"> si bien no da una plena flexibilidad a la empresa </w:t>
      </w:r>
      <w:r w:rsidR="009A68D7">
        <w:rPr>
          <w:rFonts w:ascii="ITC Avant Garde" w:hAnsi="ITC Avant Garde"/>
          <w:lang w:val="es-ES"/>
        </w:rPr>
        <w:t>regulada</w:t>
      </w:r>
      <w:r w:rsidRPr="00E75589">
        <w:rPr>
          <w:rFonts w:ascii="ITC Avant Garde" w:hAnsi="ITC Avant Garde"/>
          <w:lang w:val="es-ES"/>
        </w:rPr>
        <w:t>, ésta se puede modular según el tratamiento que se quiera dar a las promociones. Un ejemplo sería analizar tan sólo aquellas</w:t>
      </w:r>
      <w:r>
        <w:rPr>
          <w:rFonts w:ascii="ITC Avant Garde" w:hAnsi="ITC Avant Garde"/>
          <w:lang w:val="es-ES"/>
        </w:rPr>
        <w:t xml:space="preserve"> promociones que superan un peri</w:t>
      </w:r>
      <w:r w:rsidRPr="00E75589">
        <w:rPr>
          <w:rFonts w:ascii="ITC Avant Garde" w:hAnsi="ITC Avant Garde"/>
          <w:lang w:val="es-ES"/>
        </w:rPr>
        <w:t>odo de tiempo determinado</w:t>
      </w:r>
      <w:r w:rsidR="000A29EB">
        <w:rPr>
          <w:rFonts w:ascii="ITC Avant Garde" w:hAnsi="ITC Avant Garde"/>
          <w:lang w:val="es-ES"/>
        </w:rPr>
        <w:t>, el volumen de usuarios o su crecimiento</w:t>
      </w:r>
      <w:r w:rsidRPr="00E75589">
        <w:rPr>
          <w:rFonts w:ascii="ITC Avant Garde" w:hAnsi="ITC Avant Garde"/>
          <w:lang w:val="es-ES"/>
        </w:rPr>
        <w:t xml:space="preserve">. </w:t>
      </w:r>
    </w:p>
    <w:p w14:paraId="6087C7A9"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Evaluación de la rentabilidad</w:t>
      </w:r>
    </w:p>
    <w:p w14:paraId="5403844C" w14:textId="77777777" w:rsidR="00740B0F" w:rsidRPr="00F62AA8" w:rsidRDefault="00740B0F" w:rsidP="00740B0F">
      <w:pPr>
        <w:spacing w:after="240"/>
      </w:pPr>
      <w:r>
        <w:t>Para</w:t>
      </w:r>
      <w:r w:rsidRPr="00F62AA8">
        <w:t xml:space="preserve"> ver si una oferta cumple con la prueba de replicabilidad existen 3 posibilidades </w:t>
      </w:r>
      <w:r>
        <w:t>para</w:t>
      </w:r>
      <w:r w:rsidRPr="00F62AA8">
        <w:t xml:space="preserve"> valorar la rentabilidad.</w:t>
      </w:r>
    </w:p>
    <w:p w14:paraId="25F732A6" w14:textId="7B1ECE1B" w:rsidR="00740B0F" w:rsidRPr="00F62AA8" w:rsidRDefault="00740B0F" w:rsidP="00740B0F">
      <w:pPr>
        <w:pStyle w:val="ParaBullet1"/>
        <w:spacing w:before="0" w:after="240" w:line="276" w:lineRule="auto"/>
        <w:rPr>
          <w:rFonts w:ascii="ITC Avant Garde" w:hAnsi="ITC Avant Garde"/>
        </w:rPr>
      </w:pPr>
      <w:r w:rsidRPr="00F62AA8">
        <w:rPr>
          <w:rFonts w:ascii="ITC Avant Garde" w:hAnsi="ITC Avant Garde"/>
          <w:b/>
        </w:rPr>
        <w:t>Método de flujo de caja descontado (</w:t>
      </w:r>
      <w:r>
        <w:rPr>
          <w:rFonts w:ascii="ITC Avant Garde" w:hAnsi="ITC Avant Garde"/>
          <w:b/>
        </w:rPr>
        <w:t>en lo sucesivo, “</w:t>
      </w:r>
      <w:r w:rsidRPr="00F62AA8">
        <w:rPr>
          <w:rFonts w:ascii="ITC Avant Garde" w:hAnsi="ITC Avant Garde"/>
          <w:b/>
        </w:rPr>
        <w:t>FCD</w:t>
      </w:r>
      <w:r>
        <w:rPr>
          <w:rFonts w:ascii="ITC Avant Garde" w:hAnsi="ITC Avant Garde"/>
          <w:b/>
        </w:rPr>
        <w:t>”</w:t>
      </w:r>
      <w:r w:rsidRPr="00F62AA8">
        <w:rPr>
          <w:rStyle w:val="Refdenotaalpie"/>
        </w:rPr>
        <w:footnoteReference w:id="14"/>
      </w:r>
      <w:r w:rsidRPr="00F62AA8">
        <w:rPr>
          <w:rFonts w:ascii="ITC Avant Garde" w:hAnsi="ITC Avant Garde"/>
          <w:b/>
        </w:rPr>
        <w:t>).</w:t>
      </w:r>
      <w:r w:rsidRPr="00F62AA8">
        <w:rPr>
          <w:rFonts w:ascii="ITC Avant Garde" w:hAnsi="ITC Avant Garde"/>
        </w:rPr>
        <w:t xml:space="preserve"> Esta opción d</w:t>
      </w:r>
      <w:r w:rsidRPr="00F62AA8">
        <w:rPr>
          <w:rFonts w:ascii="ITC Avant Garde" w:hAnsi="ITC Avant Garde"/>
          <w:lang w:val="es-ES"/>
        </w:rPr>
        <w:t xml:space="preserve">a flexibilidad a la empresa </w:t>
      </w:r>
      <w:r w:rsidR="00D37C16">
        <w:rPr>
          <w:rFonts w:ascii="ITC Avant Garde" w:hAnsi="ITC Avant Garde"/>
          <w:lang w:val="es-ES"/>
        </w:rPr>
        <w:t>regulada</w:t>
      </w:r>
      <w:r w:rsidR="00D37C16" w:rsidRPr="00F62AA8">
        <w:rPr>
          <w:rFonts w:ascii="ITC Avant Garde" w:hAnsi="ITC Avant Garde"/>
          <w:lang w:val="es-ES"/>
        </w:rPr>
        <w:t xml:space="preserve"> </w:t>
      </w:r>
      <w:r w:rsidRPr="00F62AA8">
        <w:rPr>
          <w:rFonts w:ascii="ITC Avant Garde" w:hAnsi="ITC Avant Garde"/>
          <w:lang w:val="es-ES"/>
        </w:rPr>
        <w:t>para diseñar la oferta, debido a que</w:t>
      </w:r>
      <w:r w:rsidR="003D25A9">
        <w:rPr>
          <w:rFonts w:ascii="ITC Avant Garde" w:hAnsi="ITC Avant Garde"/>
          <w:lang w:val="es-ES"/>
        </w:rPr>
        <w:t>,</w:t>
      </w:r>
      <w:r w:rsidRPr="00F62AA8">
        <w:rPr>
          <w:rFonts w:ascii="ITC Avant Garde" w:hAnsi="ITC Avant Garde"/>
          <w:lang w:val="es-ES"/>
        </w:rPr>
        <w:t xml:space="preserve"> bajo este enfoque, no es necesario que la oferta sea replicable en un momento dado del tiempo (enfoque per</w:t>
      </w:r>
      <w:r>
        <w:rPr>
          <w:rFonts w:ascii="ITC Avant Garde" w:hAnsi="ITC Avant Garde"/>
          <w:lang w:val="es-ES"/>
        </w:rPr>
        <w:t>i</w:t>
      </w:r>
      <w:r w:rsidRPr="00F62AA8">
        <w:rPr>
          <w:rFonts w:ascii="ITC Avant Garde" w:hAnsi="ITC Avant Garde"/>
          <w:lang w:val="es-ES"/>
        </w:rPr>
        <w:t>odo a per</w:t>
      </w:r>
      <w:r>
        <w:rPr>
          <w:rFonts w:ascii="ITC Avant Garde" w:hAnsi="ITC Avant Garde"/>
          <w:lang w:val="es-ES"/>
        </w:rPr>
        <w:t>i</w:t>
      </w:r>
      <w:r w:rsidRPr="00F62AA8">
        <w:rPr>
          <w:rFonts w:ascii="ITC Avant Garde" w:hAnsi="ITC Avant Garde"/>
          <w:lang w:val="es-ES"/>
        </w:rPr>
        <w:t>odo) o en todos los per</w:t>
      </w:r>
      <w:r>
        <w:rPr>
          <w:rFonts w:ascii="ITC Avant Garde" w:hAnsi="ITC Avant Garde"/>
          <w:lang w:val="es-ES"/>
        </w:rPr>
        <w:t>i</w:t>
      </w:r>
      <w:r w:rsidRPr="00F62AA8">
        <w:rPr>
          <w:rFonts w:ascii="ITC Avant Garde" w:hAnsi="ITC Avant Garde"/>
          <w:lang w:val="es-ES"/>
        </w:rPr>
        <w:t>odos, sino en el horizonte temporal sobre el que se calcula el FCD (por ejemplo, la vida media del consumidor</w:t>
      </w:r>
      <w:r w:rsidRPr="00F62AA8">
        <w:rPr>
          <w:rStyle w:val="Refdenotaalpie"/>
          <w:lang w:val="es-ES"/>
        </w:rPr>
        <w:footnoteReference w:id="15"/>
      </w:r>
      <w:r w:rsidRPr="00F62AA8">
        <w:rPr>
          <w:rFonts w:ascii="ITC Avant Garde" w:hAnsi="ITC Avant Garde"/>
          <w:lang w:val="es-ES"/>
        </w:rPr>
        <w:t>). La valoración FCD está en línea con la forma en que las empresas diseñan sus planes de negocio. Sin embargo, el hecho de que el operador pueda incurrir en pérdidas durante un per</w:t>
      </w:r>
      <w:r>
        <w:rPr>
          <w:rFonts w:ascii="ITC Avant Garde" w:hAnsi="ITC Avant Garde"/>
          <w:lang w:val="es-ES"/>
        </w:rPr>
        <w:t>i</w:t>
      </w:r>
      <w:r w:rsidRPr="00F62AA8">
        <w:rPr>
          <w:rFonts w:ascii="ITC Avant Garde" w:hAnsi="ITC Avant Garde"/>
          <w:lang w:val="es-ES"/>
        </w:rPr>
        <w:t xml:space="preserve">odo puede afectar a la competencia, particularmente, si se considera un horizonte temporal amplio. Este enfoque es, además, menos transparente en tanto que requiere predecir los ingresos y costos de la empresa </w:t>
      </w:r>
      <w:r w:rsidR="009A68D7">
        <w:rPr>
          <w:rFonts w:ascii="ITC Avant Garde" w:hAnsi="ITC Avant Garde"/>
          <w:lang w:val="es-ES"/>
        </w:rPr>
        <w:t>regulada</w:t>
      </w:r>
      <w:r w:rsidR="009A68D7" w:rsidRPr="00F62AA8">
        <w:rPr>
          <w:rFonts w:ascii="ITC Avant Garde" w:hAnsi="ITC Avant Garde"/>
          <w:lang w:val="es-ES"/>
        </w:rPr>
        <w:t xml:space="preserve"> </w:t>
      </w:r>
      <w:r w:rsidRPr="00F62AA8">
        <w:rPr>
          <w:rFonts w:ascii="ITC Avant Garde" w:hAnsi="ITC Avant Garde"/>
          <w:lang w:val="es-ES"/>
        </w:rPr>
        <w:t>en un horizonte temporal de varios años.</w:t>
      </w:r>
    </w:p>
    <w:p w14:paraId="175ED862" w14:textId="34807E10" w:rsidR="00740B0F" w:rsidRPr="0020753B" w:rsidRDefault="00740B0F" w:rsidP="00740B0F">
      <w:pPr>
        <w:pStyle w:val="ParaBullet1"/>
        <w:spacing w:before="0" w:after="240" w:line="276" w:lineRule="auto"/>
        <w:rPr>
          <w:rFonts w:ascii="ITC Avant Garde" w:hAnsi="ITC Avant Garde"/>
          <w:lang w:val="es-ES"/>
        </w:rPr>
      </w:pPr>
      <w:r w:rsidRPr="00F62AA8">
        <w:rPr>
          <w:rFonts w:ascii="ITC Avant Garde" w:hAnsi="ITC Avant Garde"/>
          <w:b/>
        </w:rPr>
        <w:t xml:space="preserve">Análisis por </w:t>
      </w:r>
      <w:r>
        <w:rPr>
          <w:rFonts w:ascii="ITC Avant Garde" w:hAnsi="ITC Avant Garde"/>
          <w:b/>
        </w:rPr>
        <w:t>segmento</w:t>
      </w:r>
      <w:r w:rsidRPr="00F62AA8">
        <w:rPr>
          <w:rFonts w:ascii="ITC Avant Garde" w:hAnsi="ITC Avant Garde"/>
          <w:b/>
        </w:rPr>
        <w:t xml:space="preserve"> de clientes</w:t>
      </w:r>
      <w:r w:rsidRPr="00F62AA8">
        <w:rPr>
          <w:rFonts w:ascii="ITC Avant Garde" w:hAnsi="ITC Avant Garde"/>
        </w:rPr>
        <w:t>.</w:t>
      </w:r>
      <w:r w:rsidRPr="00F62AA8">
        <w:rPr>
          <w:rStyle w:val="Refdenotaalpie"/>
        </w:rPr>
        <w:footnoteReference w:id="16"/>
      </w:r>
      <w:r w:rsidRPr="00F62AA8">
        <w:rPr>
          <w:rFonts w:ascii="ITC Avant Garde" w:hAnsi="ITC Avant Garde"/>
        </w:rPr>
        <w:t xml:space="preserve"> </w:t>
      </w:r>
      <w:r w:rsidRPr="00F62AA8">
        <w:rPr>
          <w:rFonts w:ascii="ITC Avant Garde" w:hAnsi="ITC Avant Garde"/>
          <w:lang w:val="es-ES"/>
        </w:rPr>
        <w:t>Presenta un mayor nivel de desagregación q</w:t>
      </w:r>
      <w:r>
        <w:rPr>
          <w:rFonts w:ascii="ITC Avant Garde" w:hAnsi="ITC Avant Garde"/>
          <w:lang w:val="es-ES"/>
        </w:rPr>
        <w:t>ue el anterior, al considerar los distinto</w:t>
      </w:r>
      <w:r w:rsidRPr="00F62AA8">
        <w:rPr>
          <w:rFonts w:ascii="ITC Avant Garde" w:hAnsi="ITC Avant Garde"/>
          <w:lang w:val="es-ES"/>
        </w:rPr>
        <w:t xml:space="preserve">s </w:t>
      </w:r>
      <w:r>
        <w:rPr>
          <w:rFonts w:ascii="ITC Avant Garde" w:hAnsi="ITC Avant Garde"/>
          <w:lang w:val="es-ES"/>
        </w:rPr>
        <w:t>segmentos</w:t>
      </w:r>
      <w:r w:rsidRPr="00F62AA8">
        <w:rPr>
          <w:rFonts w:ascii="ITC Avant Garde" w:hAnsi="ITC Avant Garde"/>
          <w:lang w:val="es-ES"/>
        </w:rPr>
        <w:t xml:space="preserve"> de clientes de forma separada. Por ello supone una mayor salvaguarda de la competencia, al evitar que haya uno o varios segmentos de clientes no rentables</w:t>
      </w:r>
      <w:r>
        <w:rPr>
          <w:rFonts w:ascii="ITC Avant Garde" w:hAnsi="ITC Avant Garde"/>
          <w:lang w:val="es-ES"/>
        </w:rPr>
        <w:t>, aunque</w:t>
      </w:r>
      <w:r w:rsidRPr="00F62AA8">
        <w:rPr>
          <w:rFonts w:ascii="ITC Avant Garde" w:hAnsi="ITC Avant Garde"/>
          <w:lang w:val="es-ES"/>
        </w:rPr>
        <w:t xml:space="preserve"> presenta los mismos inconvenientes al requerir predecir los costos y los ingresos de varios años y permitir márgenes negativos para per</w:t>
      </w:r>
      <w:r>
        <w:rPr>
          <w:rFonts w:ascii="ITC Avant Garde" w:hAnsi="ITC Avant Garde"/>
          <w:lang w:val="es-ES"/>
        </w:rPr>
        <w:t>i</w:t>
      </w:r>
      <w:r w:rsidRPr="00F62AA8">
        <w:rPr>
          <w:rFonts w:ascii="ITC Avant Garde" w:hAnsi="ITC Avant Garde"/>
          <w:lang w:val="es-ES"/>
        </w:rPr>
        <w:t>odos específicos. A</w:t>
      </w:r>
      <w:r>
        <w:rPr>
          <w:rFonts w:ascii="ITC Avant Garde" w:hAnsi="ITC Avant Garde"/>
          <w:lang w:val="es-ES"/>
        </w:rPr>
        <w:t>simismo, a</w:t>
      </w:r>
      <w:r w:rsidRPr="00F62AA8">
        <w:rPr>
          <w:rFonts w:ascii="ITC Avant Garde" w:hAnsi="ITC Avant Garde"/>
          <w:lang w:val="es-ES"/>
        </w:rPr>
        <w:t xml:space="preserve">l evaluar la </w:t>
      </w:r>
      <w:r w:rsidRPr="00F62AA8">
        <w:rPr>
          <w:rFonts w:ascii="ITC Avant Garde" w:hAnsi="ITC Avant Garde"/>
          <w:lang w:val="es-ES"/>
        </w:rPr>
        <w:lastRenderedPageBreak/>
        <w:t xml:space="preserve">rentabilidad por tipo de cliente, resta flexibilidad a la empresa </w:t>
      </w:r>
      <w:r w:rsidR="00D37C16">
        <w:rPr>
          <w:rFonts w:ascii="ITC Avant Garde" w:hAnsi="ITC Avant Garde"/>
          <w:lang w:val="es-ES"/>
        </w:rPr>
        <w:t>regulada</w:t>
      </w:r>
      <w:r w:rsidR="00D37C16" w:rsidRPr="00F62AA8">
        <w:rPr>
          <w:rFonts w:ascii="ITC Avant Garde" w:hAnsi="ITC Avant Garde"/>
          <w:lang w:val="es-ES"/>
        </w:rPr>
        <w:t xml:space="preserve"> </w:t>
      </w:r>
      <w:r w:rsidRPr="00F62AA8">
        <w:rPr>
          <w:rFonts w:ascii="ITC Avant Garde" w:hAnsi="ITC Avant Garde"/>
          <w:lang w:val="es-ES"/>
        </w:rPr>
        <w:t>con respecto al enfoque de FCD y supone una mayor carga regulatoria.</w:t>
      </w:r>
      <w:r>
        <w:rPr>
          <w:rFonts w:ascii="ITC Avant Garde" w:hAnsi="ITC Avant Garde"/>
          <w:lang w:val="es-ES"/>
        </w:rPr>
        <w:t xml:space="preserve"> </w:t>
      </w:r>
    </w:p>
    <w:p w14:paraId="2C9FE56B" w14:textId="4070F744" w:rsidR="00740B0F" w:rsidRPr="00A877A1" w:rsidRDefault="00740B0F" w:rsidP="00740B0F">
      <w:pPr>
        <w:pStyle w:val="ParaBullet1"/>
        <w:spacing w:before="0" w:after="240" w:line="276" w:lineRule="auto"/>
        <w:rPr>
          <w:rFonts w:ascii="ITC Avant Garde" w:hAnsi="ITC Avant Garde"/>
          <w:lang w:val="es-ES"/>
        </w:rPr>
      </w:pPr>
      <w:r w:rsidRPr="00F62AA8">
        <w:rPr>
          <w:rFonts w:ascii="ITC Avant Garde" w:hAnsi="ITC Avant Garde"/>
          <w:b/>
        </w:rPr>
        <w:t>Per</w:t>
      </w:r>
      <w:r>
        <w:rPr>
          <w:rFonts w:ascii="ITC Avant Garde" w:hAnsi="ITC Avant Garde"/>
          <w:b/>
        </w:rPr>
        <w:t>i</w:t>
      </w:r>
      <w:r w:rsidRPr="00F62AA8">
        <w:rPr>
          <w:rFonts w:ascii="ITC Avant Garde" w:hAnsi="ITC Avant Garde"/>
          <w:b/>
        </w:rPr>
        <w:t>odo a per</w:t>
      </w:r>
      <w:r>
        <w:rPr>
          <w:rFonts w:ascii="ITC Avant Garde" w:hAnsi="ITC Avant Garde"/>
          <w:b/>
        </w:rPr>
        <w:t>i</w:t>
      </w:r>
      <w:r w:rsidRPr="00F62AA8">
        <w:rPr>
          <w:rFonts w:ascii="ITC Avant Garde" w:hAnsi="ITC Avant Garde"/>
          <w:b/>
        </w:rPr>
        <w:t>odo</w:t>
      </w:r>
      <w:r w:rsidRPr="00F62AA8">
        <w:rPr>
          <w:rFonts w:ascii="ITC Avant Garde" w:hAnsi="ITC Avant Garde"/>
        </w:rPr>
        <w:t xml:space="preserve">. </w:t>
      </w:r>
      <w:r>
        <w:rPr>
          <w:rFonts w:ascii="ITC Avant Garde" w:hAnsi="ITC Avant Garde"/>
        </w:rPr>
        <w:t>C</w:t>
      </w:r>
      <w:r w:rsidRPr="00F62AA8">
        <w:rPr>
          <w:rFonts w:ascii="ITC Avant Garde" w:hAnsi="ITC Avant Garde"/>
        </w:rPr>
        <w:t>onsidera los ingresos y los costos reales de</w:t>
      </w:r>
      <w:r>
        <w:rPr>
          <w:rFonts w:ascii="ITC Avant Garde" w:hAnsi="ITC Avant Garde"/>
        </w:rPr>
        <w:t xml:space="preserve"> un periodo determinado</w:t>
      </w:r>
      <w:r w:rsidRPr="00F62AA8">
        <w:rPr>
          <w:rStyle w:val="Refdenotaalpie"/>
        </w:rPr>
        <w:footnoteReference w:id="17"/>
      </w:r>
      <w:r w:rsidRPr="00F62AA8">
        <w:rPr>
          <w:rFonts w:ascii="ITC Avant Garde" w:hAnsi="ITC Avant Garde"/>
        </w:rPr>
        <w:t>. Este enfoque es</w:t>
      </w:r>
      <w:r w:rsidRPr="00F62AA8">
        <w:rPr>
          <w:rFonts w:ascii="ITC Avant Garde" w:hAnsi="ITC Avant Garde"/>
          <w:lang w:val="es-ES"/>
        </w:rPr>
        <w:t xml:space="preserve"> sencillo de implementar si se adopta un enfoque </w:t>
      </w:r>
      <w:proofErr w:type="spellStart"/>
      <w:r w:rsidRPr="00F62AA8">
        <w:rPr>
          <w:rFonts w:ascii="ITC Avant Garde" w:hAnsi="ITC Avant Garde"/>
          <w:lang w:val="es-ES"/>
        </w:rPr>
        <w:t>ex-post</w:t>
      </w:r>
      <w:proofErr w:type="spellEnd"/>
      <w:r w:rsidRPr="00F62AA8">
        <w:rPr>
          <w:rFonts w:ascii="ITC Avant Garde" w:hAnsi="ITC Avant Garde"/>
          <w:lang w:val="es-ES"/>
        </w:rPr>
        <w:t xml:space="preserve"> al basarse en información proveniente de la contabilidad de la empresa </w:t>
      </w:r>
      <w:r w:rsidR="00D37C16">
        <w:rPr>
          <w:rFonts w:ascii="ITC Avant Garde" w:hAnsi="ITC Avant Garde"/>
          <w:lang w:val="es-ES"/>
        </w:rPr>
        <w:t>regulada</w:t>
      </w:r>
      <w:r w:rsidRPr="00F62AA8">
        <w:rPr>
          <w:rFonts w:ascii="ITC Avant Garde" w:hAnsi="ITC Avant Garde"/>
          <w:lang w:val="es-ES"/>
        </w:rPr>
        <w:t>. Sin embargo, es menos flexible que el FCD dado que se requiere que los ingresos sean superiores a los costos en cada uno de</w:t>
      </w:r>
      <w:r>
        <w:rPr>
          <w:rFonts w:ascii="ITC Avant Garde" w:hAnsi="ITC Avant Garde"/>
          <w:lang w:val="es-ES"/>
        </w:rPr>
        <w:t xml:space="preserve"> los periodos.</w:t>
      </w:r>
    </w:p>
    <w:p w14:paraId="0D310E18"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 xml:space="preserve">Tratamiento de las ofertas empaquetadas </w:t>
      </w:r>
    </w:p>
    <w:p w14:paraId="2DF6687D" w14:textId="77777777" w:rsidR="00740B0F" w:rsidRPr="00D50080" w:rsidRDefault="00740B0F" w:rsidP="00740B0F">
      <w:pPr>
        <w:spacing w:after="240"/>
      </w:pPr>
      <w:r w:rsidRPr="00D50080">
        <w:t xml:space="preserve">El análisis de las ofertas empaquetadas plantea la cuestión de si la prueba debería aplicarse considerando el precio </w:t>
      </w:r>
      <w:r>
        <w:t xml:space="preserve">de la </w:t>
      </w:r>
      <w:r w:rsidRPr="00D50080">
        <w:t xml:space="preserve">oferta empaquetada en su conjunto o el </w:t>
      </w:r>
      <w:r>
        <w:t xml:space="preserve">precio del paquete y el </w:t>
      </w:r>
      <w:r w:rsidRPr="00D50080">
        <w:t>precio implícito de los servicios individuales dentro del paquete</w:t>
      </w:r>
      <w:r w:rsidRPr="00D50080">
        <w:rPr>
          <w:rStyle w:val="Refdenotaalpie"/>
        </w:rPr>
        <w:footnoteReference w:id="18"/>
      </w:r>
      <w:r w:rsidRPr="00D50080">
        <w:t>. Las opciones disponibles son:</w:t>
      </w:r>
    </w:p>
    <w:p w14:paraId="61135EF9" w14:textId="48CAC22C" w:rsidR="00740B0F" w:rsidRPr="00D50080" w:rsidRDefault="00740B0F" w:rsidP="00740B0F">
      <w:pPr>
        <w:pStyle w:val="ParaBullet1"/>
        <w:spacing w:before="0" w:after="240" w:line="276" w:lineRule="auto"/>
        <w:rPr>
          <w:rFonts w:ascii="ITC Avant Garde" w:hAnsi="ITC Avant Garde"/>
        </w:rPr>
      </w:pPr>
      <w:r w:rsidRPr="00D50080">
        <w:rPr>
          <w:rFonts w:ascii="ITC Avant Garde" w:hAnsi="ITC Avant Garde"/>
          <w:b/>
        </w:rPr>
        <w:t>Evaluar el precio del paquete en su conjunto.</w:t>
      </w:r>
      <w:r w:rsidRPr="00D50080">
        <w:rPr>
          <w:rFonts w:ascii="ITC Avant Garde" w:hAnsi="ITC Avant Garde"/>
        </w:rPr>
        <w:t xml:space="preserve"> Con esta opción se da flexibilidad comercial a la empresa </w:t>
      </w:r>
      <w:r w:rsidR="00D37C16">
        <w:rPr>
          <w:rFonts w:ascii="ITC Avant Garde" w:hAnsi="ITC Avant Garde"/>
        </w:rPr>
        <w:t>regulada</w:t>
      </w:r>
      <w:r w:rsidR="00D37C16" w:rsidRPr="00D50080">
        <w:rPr>
          <w:rFonts w:ascii="ITC Avant Garde" w:hAnsi="ITC Avant Garde"/>
        </w:rPr>
        <w:t xml:space="preserve"> </w:t>
      </w:r>
      <w:r w:rsidRPr="00D50080">
        <w:rPr>
          <w:rFonts w:ascii="ITC Avant Garde" w:hAnsi="ITC Avant Garde"/>
        </w:rPr>
        <w:t xml:space="preserve">para diseñar ofertas empaquetadas a la medida de lo que demanda el mercado. También simplifica la prueba de replicabilidad, al evitar asignar los ingresos y costos del paquete a cada uno de los componentes individuales, lo que implica una menor carga regulatoria. </w:t>
      </w:r>
    </w:p>
    <w:p w14:paraId="77CCCD5A" w14:textId="2587DCFD" w:rsidR="00892E7D" w:rsidRPr="000A29EB" w:rsidRDefault="00740B0F">
      <w:pPr>
        <w:pStyle w:val="ParaBullet1"/>
        <w:spacing w:before="0" w:after="240" w:line="276" w:lineRule="auto"/>
        <w:rPr>
          <w:bCs/>
        </w:rPr>
      </w:pPr>
      <w:r w:rsidRPr="005103E7">
        <w:rPr>
          <w:rFonts w:ascii="ITC Avant Garde" w:hAnsi="ITC Avant Garde"/>
          <w:b/>
        </w:rPr>
        <w:t xml:space="preserve">Evaluar el paquete en su conjunto y también el precio implícito de cada servicio en el paquete. </w:t>
      </w:r>
      <w:r w:rsidRPr="005103E7">
        <w:rPr>
          <w:rFonts w:ascii="ITC Avant Garde" w:hAnsi="ITC Avant Garde"/>
          <w:bCs/>
        </w:rPr>
        <w:t xml:space="preserve">Esta opción ofrece la mayor protección a la competencia al asegurar que todos los precios del paquete (conjuntos e individuales) son económicamente replicables. Por ello, esta opción presenta la mayor transparencia, pero también la mayor carga regulatoria, ya que no existe una única forma correcta desde el punto de vista económico de asignar los ingresos del paquete a cada uno de los servicios. También, para la empresa </w:t>
      </w:r>
      <w:r w:rsidR="00D37C16" w:rsidRPr="005103E7">
        <w:rPr>
          <w:rFonts w:ascii="ITC Avant Garde" w:hAnsi="ITC Avant Garde"/>
          <w:bCs/>
        </w:rPr>
        <w:t xml:space="preserve">regulada </w:t>
      </w:r>
      <w:r w:rsidRPr="005103E7">
        <w:rPr>
          <w:rFonts w:ascii="ITC Avant Garde" w:hAnsi="ITC Avant Garde"/>
          <w:bCs/>
        </w:rPr>
        <w:t>será más difícil saber si su oferta pasará la prueba.</w:t>
      </w:r>
    </w:p>
    <w:p w14:paraId="3D39D71C" w14:textId="77777777" w:rsidR="000A29EB" w:rsidRDefault="000A29EB" w:rsidP="000A29EB">
      <w:pPr>
        <w:pStyle w:val="ParaBullet1"/>
        <w:numPr>
          <w:ilvl w:val="0"/>
          <w:numId w:val="0"/>
        </w:numPr>
        <w:spacing w:before="0" w:after="240" w:line="276" w:lineRule="auto"/>
        <w:ind w:left="340" w:hanging="340"/>
        <w:rPr>
          <w:bCs/>
        </w:rPr>
      </w:pPr>
    </w:p>
    <w:p w14:paraId="0DCC954D" w14:textId="77777777" w:rsidR="000A29EB" w:rsidRDefault="000A29EB" w:rsidP="000A29EB">
      <w:pPr>
        <w:pStyle w:val="ParaBullet1"/>
        <w:numPr>
          <w:ilvl w:val="0"/>
          <w:numId w:val="0"/>
        </w:numPr>
        <w:spacing w:before="0" w:after="240" w:line="276" w:lineRule="auto"/>
        <w:ind w:left="340" w:hanging="340"/>
        <w:rPr>
          <w:bCs/>
        </w:rPr>
      </w:pPr>
    </w:p>
    <w:p w14:paraId="0075B9D9" w14:textId="77777777" w:rsidR="000A29EB" w:rsidRDefault="000A29EB" w:rsidP="000A29EB">
      <w:pPr>
        <w:pStyle w:val="ParaBullet1"/>
        <w:numPr>
          <w:ilvl w:val="0"/>
          <w:numId w:val="0"/>
        </w:numPr>
        <w:spacing w:before="0" w:after="240" w:line="276" w:lineRule="auto"/>
        <w:ind w:left="340" w:hanging="340"/>
        <w:rPr>
          <w:bCs/>
        </w:rPr>
      </w:pPr>
    </w:p>
    <w:p w14:paraId="7E7443B6" w14:textId="0C427A0E" w:rsidR="000A29EB" w:rsidRDefault="000A29EB" w:rsidP="00380791">
      <w:pPr>
        <w:spacing w:before="0" w:after="0" w:line="240" w:lineRule="auto"/>
        <w:jc w:val="left"/>
        <w:rPr>
          <w:bCs/>
        </w:rPr>
      </w:pPr>
    </w:p>
    <w:p w14:paraId="3F91573A" w14:textId="77777777" w:rsidR="0066430F" w:rsidRDefault="0066430F" w:rsidP="00380791">
      <w:pPr>
        <w:spacing w:before="0" w:after="0" w:line="240" w:lineRule="auto"/>
        <w:jc w:val="left"/>
        <w:rPr>
          <w:bCs/>
        </w:rPr>
      </w:pPr>
    </w:p>
    <w:p w14:paraId="4241DF8D" w14:textId="77777777" w:rsidR="0066430F" w:rsidRDefault="0066430F" w:rsidP="00380791">
      <w:pPr>
        <w:spacing w:before="0" w:after="0" w:line="240" w:lineRule="auto"/>
        <w:jc w:val="left"/>
        <w:rPr>
          <w:bCs/>
        </w:rPr>
      </w:pPr>
    </w:p>
    <w:p w14:paraId="0ACAD490" w14:textId="77777777" w:rsidR="0066430F" w:rsidRDefault="0066430F" w:rsidP="00380791">
      <w:pPr>
        <w:spacing w:before="0" w:after="0" w:line="240" w:lineRule="auto"/>
        <w:jc w:val="left"/>
        <w:rPr>
          <w:bCs/>
        </w:rPr>
      </w:pPr>
    </w:p>
    <w:p w14:paraId="74402FC5" w14:textId="77777777" w:rsidR="0066430F" w:rsidRDefault="0066430F" w:rsidP="00380791">
      <w:pPr>
        <w:spacing w:before="0" w:after="0" w:line="240" w:lineRule="auto"/>
        <w:jc w:val="left"/>
        <w:rPr>
          <w:bCs/>
        </w:rPr>
      </w:pPr>
    </w:p>
    <w:p w14:paraId="048C42A5" w14:textId="77777777" w:rsidR="0066430F" w:rsidRDefault="0066430F" w:rsidP="00380791">
      <w:pPr>
        <w:spacing w:before="0" w:after="0" w:line="240" w:lineRule="auto"/>
        <w:jc w:val="left"/>
        <w:rPr>
          <w:bCs/>
        </w:rPr>
      </w:pPr>
    </w:p>
    <w:p w14:paraId="3CB0ABFF" w14:textId="77777777" w:rsidR="0066430F" w:rsidRDefault="0066430F" w:rsidP="00380791">
      <w:pPr>
        <w:spacing w:before="0" w:after="0" w:line="240" w:lineRule="auto"/>
        <w:jc w:val="left"/>
        <w:rPr>
          <w:bCs/>
        </w:rPr>
      </w:pPr>
    </w:p>
    <w:p w14:paraId="01640A77" w14:textId="77777777" w:rsidR="00380791" w:rsidRDefault="00380791" w:rsidP="00380791">
      <w:pPr>
        <w:spacing w:before="0" w:after="0" w:line="240" w:lineRule="auto"/>
        <w:jc w:val="left"/>
      </w:pPr>
    </w:p>
    <w:p w14:paraId="49661909" w14:textId="77777777" w:rsidR="0066430F" w:rsidRDefault="0066430F" w:rsidP="0066430F">
      <w:pPr>
        <w:spacing w:before="0" w:after="0" w:line="240" w:lineRule="auto"/>
        <w:jc w:val="center"/>
        <w:rPr>
          <w:b/>
          <w:bCs/>
        </w:rPr>
      </w:pPr>
    </w:p>
    <w:p w14:paraId="46287C1B" w14:textId="1434D1EC" w:rsidR="003D113A" w:rsidRDefault="000A29EB" w:rsidP="0066430F">
      <w:pPr>
        <w:spacing w:before="0" w:after="0" w:line="240" w:lineRule="auto"/>
        <w:jc w:val="center"/>
        <w:rPr>
          <w:b/>
          <w:bCs/>
        </w:rPr>
      </w:pPr>
      <w:r w:rsidRPr="005103E7">
        <w:rPr>
          <w:b/>
          <w:bCs/>
        </w:rPr>
        <w:t xml:space="preserve">Propuesta de modificación </w:t>
      </w:r>
    </w:p>
    <w:p w14:paraId="7CFAE896" w14:textId="77777777" w:rsidR="000A29EB" w:rsidRDefault="000A29EB" w:rsidP="005103E7">
      <w:pPr>
        <w:spacing w:before="0" w:after="0" w:line="240" w:lineRule="auto"/>
        <w:rPr>
          <w:b/>
          <w:bCs/>
        </w:rPr>
      </w:pPr>
    </w:p>
    <w:tbl>
      <w:tblPr>
        <w:tblStyle w:val="Tablaconcuadrcula4-nfasis6"/>
        <w:tblpPr w:leftFromText="141" w:rightFromText="141" w:vertAnchor="page" w:horzAnchor="margin" w:tblpXSpec="center" w:tblpY="3121"/>
        <w:tblW w:w="4980" w:type="pct"/>
        <w:tblLayout w:type="fixed"/>
        <w:tblLook w:val="0620" w:firstRow="1" w:lastRow="0" w:firstColumn="0" w:lastColumn="0" w:noHBand="1" w:noVBand="1"/>
      </w:tblPr>
      <w:tblGrid>
        <w:gridCol w:w="2266"/>
        <w:gridCol w:w="2978"/>
        <w:gridCol w:w="3629"/>
        <w:gridCol w:w="12"/>
      </w:tblGrid>
      <w:tr w:rsidR="0066430F" w:rsidRPr="002921CB" w14:paraId="22434115" w14:textId="77777777" w:rsidTr="0066430F">
        <w:trPr>
          <w:cnfStyle w:val="100000000000" w:firstRow="1" w:lastRow="0" w:firstColumn="0" w:lastColumn="0" w:oddVBand="0" w:evenVBand="0" w:oddHBand="0" w:evenHBand="0" w:firstRowFirstColumn="0" w:firstRowLastColumn="0" w:lastRowFirstColumn="0" w:lastRowLastColumn="0"/>
          <w:trHeight w:val="20"/>
        </w:trPr>
        <w:tc>
          <w:tcPr>
            <w:tcW w:w="1275" w:type="pct"/>
          </w:tcPr>
          <w:p w14:paraId="6A8F6276" w14:textId="77777777" w:rsidR="0066430F" w:rsidRPr="00B547D3" w:rsidRDefault="0066430F" w:rsidP="0066430F">
            <w:pPr>
              <w:pStyle w:val="TableHeadingLeft"/>
              <w:spacing w:before="0" w:after="0"/>
              <w:jc w:val="center"/>
              <w:rPr>
                <w:rFonts w:ascii="Arial" w:hAnsi="Arial"/>
                <w:sz w:val="16"/>
                <w:szCs w:val="16"/>
                <w:lang w:val="es-ES"/>
              </w:rPr>
            </w:pPr>
            <w:r w:rsidRPr="00B547D3">
              <w:rPr>
                <w:rFonts w:ascii="Arial" w:hAnsi="Arial"/>
                <w:color w:val="auto"/>
                <w:sz w:val="16"/>
                <w:szCs w:val="16"/>
                <w:lang w:val="es-ES"/>
              </w:rPr>
              <w:t>SERVICIO</w:t>
            </w:r>
          </w:p>
        </w:tc>
        <w:tc>
          <w:tcPr>
            <w:tcW w:w="3725" w:type="pct"/>
            <w:gridSpan w:val="3"/>
            <w:hideMark/>
          </w:tcPr>
          <w:p w14:paraId="19C128B4" w14:textId="77777777" w:rsidR="0066430F" w:rsidRPr="00B547D3" w:rsidRDefault="0066430F" w:rsidP="0066430F">
            <w:pPr>
              <w:pStyle w:val="TableHeadingLeft"/>
              <w:spacing w:before="0" w:after="0"/>
              <w:jc w:val="center"/>
              <w:rPr>
                <w:rFonts w:ascii="Arial" w:hAnsi="Arial"/>
                <w:b/>
                <w:bCs/>
                <w:color w:val="auto"/>
                <w:sz w:val="16"/>
                <w:szCs w:val="16"/>
              </w:rPr>
            </w:pPr>
            <w:r w:rsidRPr="00B547D3">
              <w:rPr>
                <w:rFonts w:ascii="Arial" w:hAnsi="Arial"/>
                <w:color w:val="auto"/>
                <w:sz w:val="16"/>
                <w:szCs w:val="16"/>
              </w:rPr>
              <w:t>MÓVIL</w:t>
            </w:r>
          </w:p>
        </w:tc>
      </w:tr>
      <w:tr w:rsidR="0066430F" w:rsidRPr="002921CB" w14:paraId="36A0EB16" w14:textId="77777777" w:rsidTr="0066430F">
        <w:trPr>
          <w:gridAfter w:val="1"/>
          <w:wAfter w:w="7" w:type="pct"/>
          <w:trHeight w:val="20"/>
        </w:trPr>
        <w:tc>
          <w:tcPr>
            <w:tcW w:w="1275" w:type="pct"/>
            <w:shd w:val="clear" w:color="auto" w:fill="70AD47" w:themeFill="accent6"/>
          </w:tcPr>
          <w:p w14:paraId="0924853E" w14:textId="77777777" w:rsidR="0066430F" w:rsidRPr="00B547D3" w:rsidRDefault="0066430F" w:rsidP="0066430F">
            <w:pPr>
              <w:pStyle w:val="TableTextLeft"/>
              <w:spacing w:before="0" w:after="0"/>
              <w:jc w:val="center"/>
              <w:rPr>
                <w:rFonts w:ascii="Arial" w:hAnsi="Arial"/>
                <w:sz w:val="16"/>
                <w:szCs w:val="16"/>
              </w:rPr>
            </w:pPr>
            <w:r w:rsidRPr="00B547D3">
              <w:rPr>
                <w:rFonts w:ascii="Arial" w:hAnsi="Arial"/>
                <w:sz w:val="16"/>
                <w:szCs w:val="16"/>
              </w:rPr>
              <w:t>DIMENSIÓN</w:t>
            </w:r>
          </w:p>
        </w:tc>
        <w:tc>
          <w:tcPr>
            <w:tcW w:w="1676" w:type="pct"/>
            <w:shd w:val="clear" w:color="auto" w:fill="70AD47" w:themeFill="accent6"/>
            <w:hideMark/>
          </w:tcPr>
          <w:p w14:paraId="5918615B" w14:textId="77777777" w:rsidR="0066430F" w:rsidRPr="00B547D3" w:rsidRDefault="0066430F" w:rsidP="0066430F">
            <w:pPr>
              <w:pStyle w:val="TableTextLeft"/>
              <w:spacing w:before="0" w:after="0"/>
              <w:jc w:val="center"/>
              <w:rPr>
                <w:rFonts w:ascii="Arial" w:hAnsi="Arial"/>
                <w:sz w:val="16"/>
                <w:szCs w:val="16"/>
              </w:rPr>
            </w:pPr>
            <w:r w:rsidRPr="00B547D3">
              <w:rPr>
                <w:rFonts w:ascii="Arial" w:hAnsi="Arial"/>
                <w:sz w:val="16"/>
                <w:szCs w:val="16"/>
              </w:rPr>
              <w:t>ACTUAL</w:t>
            </w:r>
          </w:p>
        </w:tc>
        <w:tc>
          <w:tcPr>
            <w:tcW w:w="2042" w:type="pct"/>
            <w:shd w:val="clear" w:color="auto" w:fill="70AD47" w:themeFill="accent6"/>
            <w:hideMark/>
          </w:tcPr>
          <w:p w14:paraId="175BC4FD" w14:textId="77777777" w:rsidR="0066430F" w:rsidRPr="00B547D3" w:rsidRDefault="0066430F" w:rsidP="0066430F">
            <w:pPr>
              <w:pStyle w:val="TableTextLeft"/>
              <w:spacing w:before="0" w:after="0"/>
              <w:jc w:val="center"/>
              <w:rPr>
                <w:rFonts w:ascii="Arial" w:hAnsi="Arial"/>
                <w:sz w:val="16"/>
                <w:szCs w:val="16"/>
              </w:rPr>
            </w:pPr>
            <w:r w:rsidRPr="00B547D3">
              <w:rPr>
                <w:rFonts w:ascii="Arial" w:hAnsi="Arial"/>
                <w:sz w:val="16"/>
                <w:szCs w:val="16"/>
              </w:rPr>
              <w:t>PROPUESTA</w:t>
            </w:r>
          </w:p>
        </w:tc>
      </w:tr>
      <w:tr w:rsidR="0066430F" w:rsidRPr="002921CB" w14:paraId="753EA516" w14:textId="77777777" w:rsidTr="0066430F">
        <w:trPr>
          <w:gridAfter w:val="1"/>
          <w:wAfter w:w="7" w:type="pct"/>
          <w:trHeight w:val="20"/>
        </w:trPr>
        <w:tc>
          <w:tcPr>
            <w:tcW w:w="1275" w:type="pct"/>
            <w:hideMark/>
          </w:tcPr>
          <w:p w14:paraId="56678847"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Temporalidad</w:t>
            </w:r>
          </w:p>
        </w:tc>
        <w:tc>
          <w:tcPr>
            <w:tcW w:w="1676" w:type="pct"/>
            <w:hideMark/>
          </w:tcPr>
          <w:p w14:paraId="5CE3EB1A" w14:textId="77777777" w:rsidR="0066430F" w:rsidRPr="00B547D3" w:rsidRDefault="0066430F" w:rsidP="0066430F">
            <w:pPr>
              <w:pStyle w:val="TableTextLeft"/>
              <w:spacing w:before="0" w:after="0"/>
              <w:jc w:val="both"/>
              <w:rPr>
                <w:rFonts w:ascii="Arial" w:hAnsi="Arial"/>
                <w:sz w:val="16"/>
                <w:szCs w:val="16"/>
                <w:lang w:val="es-ES"/>
              </w:rPr>
            </w:pP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3 meses)</w:t>
            </w:r>
          </w:p>
        </w:tc>
        <w:tc>
          <w:tcPr>
            <w:tcW w:w="2042" w:type="pct"/>
            <w:hideMark/>
          </w:tcPr>
          <w:p w14:paraId="2EBF2016" w14:textId="77777777" w:rsidR="0066430F" w:rsidRPr="00B547D3" w:rsidRDefault="0066430F" w:rsidP="0066430F">
            <w:pPr>
              <w:pStyle w:val="TableTextLeft"/>
              <w:spacing w:before="0" w:after="0"/>
              <w:jc w:val="both"/>
              <w:rPr>
                <w:rFonts w:ascii="Arial" w:hAnsi="Arial"/>
                <w:color w:val="A5A5A5" w:themeColor="accent3"/>
                <w:sz w:val="16"/>
                <w:szCs w:val="16"/>
                <w:lang w:val="es-ES"/>
              </w:rPr>
            </w:pP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3 meses)</w:t>
            </w:r>
          </w:p>
        </w:tc>
      </w:tr>
      <w:tr w:rsidR="0066430F" w:rsidRPr="002921CB" w14:paraId="55062A1A" w14:textId="77777777" w:rsidTr="0066430F">
        <w:trPr>
          <w:gridAfter w:val="1"/>
          <w:wAfter w:w="7" w:type="pct"/>
          <w:trHeight w:val="20"/>
        </w:trPr>
        <w:tc>
          <w:tcPr>
            <w:tcW w:w="1275" w:type="pct"/>
            <w:hideMark/>
          </w:tcPr>
          <w:p w14:paraId="7F502690"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Estándar de eficiencia</w:t>
            </w:r>
          </w:p>
        </w:tc>
        <w:tc>
          <w:tcPr>
            <w:tcW w:w="1676" w:type="pct"/>
            <w:hideMark/>
          </w:tcPr>
          <w:p w14:paraId="40E45FF8" w14:textId="77777777" w:rsidR="0066430F" w:rsidRPr="00B547D3" w:rsidRDefault="0066430F" w:rsidP="0066430F">
            <w:pPr>
              <w:pStyle w:val="TableTextLeft"/>
              <w:spacing w:before="0" w:after="0"/>
              <w:jc w:val="both"/>
              <w:rPr>
                <w:rFonts w:ascii="Arial" w:hAnsi="Arial"/>
                <w:sz w:val="16"/>
                <w:szCs w:val="16"/>
                <w:lang w:val="es-ES"/>
              </w:rPr>
            </w:pPr>
            <w:r>
              <w:rPr>
                <w:rFonts w:ascii="Arial" w:hAnsi="Arial"/>
                <w:sz w:val="16"/>
                <w:szCs w:val="16"/>
                <w:lang w:val="es-ES"/>
              </w:rPr>
              <w:t>E</w:t>
            </w:r>
            <w:r w:rsidRPr="00B547D3">
              <w:rPr>
                <w:rFonts w:ascii="Arial" w:hAnsi="Arial"/>
                <w:sz w:val="16"/>
                <w:szCs w:val="16"/>
                <w:lang w:val="es-ES"/>
              </w:rPr>
              <w:t xml:space="preserve">EO (eficiencia </w:t>
            </w:r>
            <w:r>
              <w:rPr>
                <w:rFonts w:ascii="Arial" w:hAnsi="Arial"/>
                <w:sz w:val="16"/>
                <w:szCs w:val="16"/>
                <w:lang w:val="es-ES"/>
              </w:rPr>
              <w:t>con un enfoque de operador igualmente eficiente</w:t>
            </w:r>
            <w:r w:rsidRPr="00B547D3">
              <w:rPr>
                <w:rFonts w:ascii="Arial" w:hAnsi="Arial"/>
                <w:sz w:val="16"/>
                <w:szCs w:val="16"/>
                <w:lang w:val="es-ES"/>
              </w:rPr>
              <w:t>)</w:t>
            </w:r>
          </w:p>
        </w:tc>
        <w:tc>
          <w:tcPr>
            <w:tcW w:w="2042" w:type="pct"/>
            <w:hideMark/>
          </w:tcPr>
          <w:p w14:paraId="1442781A" w14:textId="77777777" w:rsidR="0066430F" w:rsidRPr="00B547D3" w:rsidRDefault="0066430F" w:rsidP="0066430F">
            <w:pPr>
              <w:pStyle w:val="TableTextLeft"/>
              <w:spacing w:before="0" w:after="0"/>
              <w:jc w:val="both"/>
              <w:rPr>
                <w:rFonts w:ascii="Arial" w:hAnsi="Arial"/>
                <w:sz w:val="16"/>
                <w:szCs w:val="16"/>
                <w:lang w:val="es-ES"/>
              </w:rPr>
            </w:pPr>
            <w:r>
              <w:rPr>
                <w:rFonts w:ascii="Arial" w:hAnsi="Arial"/>
                <w:sz w:val="16"/>
                <w:szCs w:val="16"/>
                <w:lang w:val="es-ES"/>
              </w:rPr>
              <w:t>E</w:t>
            </w:r>
            <w:r w:rsidRPr="00B547D3">
              <w:rPr>
                <w:rFonts w:ascii="Arial" w:hAnsi="Arial"/>
                <w:sz w:val="16"/>
                <w:szCs w:val="16"/>
                <w:lang w:val="es-ES"/>
              </w:rPr>
              <w:t xml:space="preserve">EO (eficiencia </w:t>
            </w:r>
            <w:r>
              <w:rPr>
                <w:rFonts w:ascii="Arial" w:hAnsi="Arial"/>
                <w:sz w:val="16"/>
                <w:szCs w:val="16"/>
                <w:lang w:val="es-ES"/>
              </w:rPr>
              <w:t>con un enfoque de operador igualmente eficiente</w:t>
            </w:r>
            <w:r w:rsidRPr="00B547D3">
              <w:rPr>
                <w:rFonts w:ascii="Arial" w:hAnsi="Arial"/>
                <w:sz w:val="16"/>
                <w:szCs w:val="16"/>
                <w:lang w:val="es-ES"/>
              </w:rPr>
              <w:t>)</w:t>
            </w:r>
          </w:p>
        </w:tc>
      </w:tr>
      <w:tr w:rsidR="0066430F" w:rsidRPr="002921CB" w14:paraId="6064A4CA" w14:textId="77777777" w:rsidTr="0066430F">
        <w:trPr>
          <w:gridAfter w:val="1"/>
          <w:wAfter w:w="7" w:type="pct"/>
          <w:trHeight w:val="20"/>
        </w:trPr>
        <w:tc>
          <w:tcPr>
            <w:tcW w:w="1275" w:type="pct"/>
            <w:hideMark/>
          </w:tcPr>
          <w:p w14:paraId="688A0B2C"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Estándar de costos</w:t>
            </w:r>
          </w:p>
        </w:tc>
        <w:tc>
          <w:tcPr>
            <w:tcW w:w="1676" w:type="pct"/>
            <w:hideMark/>
          </w:tcPr>
          <w:p w14:paraId="12DB8E20"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LRIC+ o FAC si LRIC+ no está disponible</w:t>
            </w:r>
          </w:p>
        </w:tc>
        <w:tc>
          <w:tcPr>
            <w:tcW w:w="2042" w:type="pct"/>
            <w:hideMark/>
          </w:tcPr>
          <w:p w14:paraId="0BE80DC3"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LRIC+ o FAC si LRIC+ no está disponible</w:t>
            </w:r>
            <w:r w:rsidRPr="00B547D3" w:rsidDel="0042041B">
              <w:rPr>
                <w:rFonts w:ascii="Arial" w:hAnsi="Arial"/>
                <w:sz w:val="16"/>
                <w:szCs w:val="16"/>
                <w:lang w:val="es-ES"/>
              </w:rPr>
              <w:t xml:space="preserve"> </w:t>
            </w:r>
          </w:p>
        </w:tc>
      </w:tr>
      <w:tr w:rsidR="0066430F" w:rsidRPr="002921CB" w14:paraId="0333418E" w14:textId="77777777" w:rsidTr="0066430F">
        <w:trPr>
          <w:gridAfter w:val="1"/>
          <w:wAfter w:w="7" w:type="pct"/>
          <w:trHeight w:val="20"/>
        </w:trPr>
        <w:tc>
          <w:tcPr>
            <w:tcW w:w="1275" w:type="pct"/>
            <w:hideMark/>
          </w:tcPr>
          <w:p w14:paraId="1012C702"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Agregación</w:t>
            </w:r>
          </w:p>
        </w:tc>
        <w:tc>
          <w:tcPr>
            <w:tcW w:w="1676" w:type="pct"/>
            <w:hideMark/>
          </w:tcPr>
          <w:p w14:paraId="3B69413D" w14:textId="77777777" w:rsidR="0066430F" w:rsidRDefault="0066430F" w:rsidP="0066430F">
            <w:pPr>
              <w:pStyle w:val="TableTextLeft"/>
              <w:numPr>
                <w:ilvl w:val="0"/>
                <w:numId w:val="13"/>
              </w:numPr>
              <w:spacing w:before="0" w:after="0"/>
              <w:ind w:left="312"/>
              <w:jc w:val="both"/>
              <w:rPr>
                <w:rFonts w:ascii="Arial" w:hAnsi="Arial"/>
                <w:sz w:val="16"/>
                <w:szCs w:val="16"/>
                <w:lang w:val="es-ES"/>
              </w:rPr>
            </w:pPr>
            <w:r w:rsidRPr="00B547D3">
              <w:rPr>
                <w:rFonts w:ascii="Arial" w:hAnsi="Arial"/>
                <w:sz w:val="16"/>
                <w:szCs w:val="16"/>
                <w:lang w:val="es-ES"/>
              </w:rPr>
              <w:t xml:space="preserve">Carteras distinguidas entre prepago y pospago </w:t>
            </w:r>
          </w:p>
          <w:p w14:paraId="4FF88CC3" w14:textId="77777777" w:rsidR="0066430F" w:rsidRPr="00B547D3" w:rsidRDefault="0066430F" w:rsidP="0066430F">
            <w:pPr>
              <w:pStyle w:val="TableTextLeft"/>
              <w:numPr>
                <w:ilvl w:val="0"/>
                <w:numId w:val="13"/>
              </w:numPr>
              <w:spacing w:before="0" w:after="0"/>
              <w:ind w:left="312"/>
              <w:jc w:val="both"/>
              <w:rPr>
                <w:rFonts w:ascii="Arial" w:hAnsi="Arial"/>
                <w:sz w:val="16"/>
                <w:szCs w:val="16"/>
                <w:lang w:val="es-ES"/>
              </w:rPr>
            </w:pPr>
            <w:r>
              <w:rPr>
                <w:rFonts w:ascii="Arial" w:hAnsi="Arial"/>
                <w:sz w:val="16"/>
                <w:szCs w:val="16"/>
                <w:lang w:val="es-ES"/>
              </w:rPr>
              <w:t>O</w:t>
            </w:r>
            <w:r w:rsidRPr="00B547D3">
              <w:rPr>
                <w:rFonts w:ascii="Arial" w:hAnsi="Arial"/>
                <w:sz w:val="16"/>
                <w:szCs w:val="16"/>
                <w:lang w:val="es-ES"/>
              </w:rPr>
              <w:t>fertas individuales insignia prepago y pospago</w:t>
            </w:r>
            <w:r>
              <w:rPr>
                <w:rFonts w:ascii="Arial" w:hAnsi="Arial"/>
                <w:sz w:val="16"/>
                <w:szCs w:val="16"/>
                <w:lang w:val="es-ES"/>
              </w:rPr>
              <w:t xml:space="preserve"> (oferta(s) con mayor ingreso y/o usuarios)</w:t>
            </w:r>
          </w:p>
        </w:tc>
        <w:tc>
          <w:tcPr>
            <w:tcW w:w="2042" w:type="pct"/>
            <w:hideMark/>
          </w:tcPr>
          <w:p w14:paraId="0D3CF93F" w14:textId="77777777" w:rsidR="0066430F" w:rsidRDefault="0066430F" w:rsidP="0066430F">
            <w:pPr>
              <w:pStyle w:val="TableTextLeft"/>
              <w:numPr>
                <w:ilvl w:val="0"/>
                <w:numId w:val="13"/>
              </w:numPr>
              <w:spacing w:before="0" w:after="0"/>
              <w:jc w:val="both"/>
              <w:rPr>
                <w:rFonts w:ascii="Arial" w:hAnsi="Arial"/>
                <w:sz w:val="16"/>
                <w:szCs w:val="16"/>
                <w:lang w:val="es-ES"/>
              </w:rPr>
            </w:pPr>
            <w:r w:rsidRPr="00B547D3">
              <w:rPr>
                <w:rFonts w:ascii="Arial" w:hAnsi="Arial"/>
                <w:sz w:val="16"/>
                <w:szCs w:val="16"/>
                <w:lang w:val="es-ES"/>
              </w:rPr>
              <w:t>Carteras distinguidas entre prepago y pospago</w:t>
            </w:r>
          </w:p>
          <w:p w14:paraId="7732A8A5" w14:textId="77777777" w:rsidR="0066430F" w:rsidRDefault="0066430F" w:rsidP="0066430F">
            <w:pPr>
              <w:pStyle w:val="TableTextLeft"/>
              <w:numPr>
                <w:ilvl w:val="0"/>
                <w:numId w:val="13"/>
              </w:numPr>
              <w:spacing w:before="0" w:after="0"/>
              <w:jc w:val="both"/>
              <w:rPr>
                <w:rFonts w:ascii="Arial" w:hAnsi="Arial"/>
                <w:sz w:val="16"/>
                <w:szCs w:val="16"/>
                <w:lang w:val="es-ES"/>
              </w:rPr>
            </w:pPr>
            <w:r>
              <w:rPr>
                <w:rFonts w:ascii="Arial" w:hAnsi="Arial"/>
                <w:sz w:val="16"/>
                <w:szCs w:val="16"/>
                <w:lang w:val="es-ES"/>
              </w:rPr>
              <w:t>Oferta individual insignia prepago (oferta(s) con mayor ingreso y/o usuarios)</w:t>
            </w:r>
          </w:p>
          <w:p w14:paraId="6D7CBC12" w14:textId="77777777" w:rsidR="0066430F" w:rsidRDefault="0066430F" w:rsidP="0066430F">
            <w:pPr>
              <w:pStyle w:val="TableTextLeft"/>
              <w:numPr>
                <w:ilvl w:val="0"/>
                <w:numId w:val="13"/>
              </w:numPr>
              <w:spacing w:before="0" w:after="0"/>
              <w:jc w:val="both"/>
              <w:rPr>
                <w:rFonts w:ascii="Arial" w:hAnsi="Arial"/>
                <w:sz w:val="16"/>
                <w:szCs w:val="16"/>
                <w:lang w:val="es-ES"/>
              </w:rPr>
            </w:pPr>
            <w:r>
              <w:rPr>
                <w:rFonts w:ascii="Arial" w:hAnsi="Arial"/>
                <w:sz w:val="16"/>
                <w:szCs w:val="16"/>
                <w:lang w:val="es-ES"/>
              </w:rPr>
              <w:t>3 recargas relevantes prepago.</w:t>
            </w:r>
          </w:p>
          <w:p w14:paraId="654801BD" w14:textId="77777777" w:rsidR="0066430F" w:rsidRDefault="0066430F" w:rsidP="0066430F">
            <w:pPr>
              <w:pStyle w:val="TableTextLeft"/>
              <w:numPr>
                <w:ilvl w:val="0"/>
                <w:numId w:val="13"/>
              </w:numPr>
              <w:spacing w:before="0" w:after="0"/>
              <w:jc w:val="both"/>
              <w:rPr>
                <w:rFonts w:ascii="Arial" w:hAnsi="Arial"/>
                <w:sz w:val="16"/>
                <w:szCs w:val="16"/>
                <w:lang w:val="es-ES"/>
              </w:rPr>
            </w:pPr>
            <w:r>
              <w:rPr>
                <w:rFonts w:ascii="Arial" w:hAnsi="Arial"/>
                <w:sz w:val="16"/>
                <w:szCs w:val="16"/>
                <w:lang w:val="es-ES"/>
              </w:rPr>
              <w:t xml:space="preserve">10 </w:t>
            </w:r>
            <w:proofErr w:type="gramStart"/>
            <w:r>
              <w:rPr>
                <w:rFonts w:ascii="Arial" w:hAnsi="Arial"/>
                <w:sz w:val="16"/>
                <w:szCs w:val="16"/>
                <w:lang w:val="es-ES"/>
              </w:rPr>
              <w:t>O</w:t>
            </w:r>
            <w:r w:rsidRPr="00B547D3">
              <w:rPr>
                <w:rFonts w:ascii="Arial" w:hAnsi="Arial"/>
                <w:sz w:val="16"/>
                <w:szCs w:val="16"/>
                <w:lang w:val="es-ES"/>
              </w:rPr>
              <w:t>fertas</w:t>
            </w:r>
            <w:proofErr w:type="gramEnd"/>
            <w:r w:rsidRPr="00B547D3">
              <w:rPr>
                <w:rFonts w:ascii="Arial" w:hAnsi="Arial"/>
                <w:sz w:val="16"/>
                <w:szCs w:val="16"/>
                <w:lang w:val="es-ES"/>
              </w:rPr>
              <w:t xml:space="preserve"> individuales insignia pospago</w:t>
            </w:r>
            <w:r>
              <w:rPr>
                <w:rFonts w:ascii="Arial" w:hAnsi="Arial"/>
                <w:sz w:val="16"/>
                <w:szCs w:val="16"/>
                <w:lang w:val="es-ES"/>
              </w:rPr>
              <w:t xml:space="preserve"> (oferta(s) con mayor ingreso y/o usuarios)</w:t>
            </w:r>
          </w:p>
          <w:p w14:paraId="16778B9A" w14:textId="77777777" w:rsidR="0066430F" w:rsidRPr="00B547D3" w:rsidRDefault="0066430F" w:rsidP="0066430F">
            <w:pPr>
              <w:pStyle w:val="TableTextLeft"/>
              <w:numPr>
                <w:ilvl w:val="0"/>
                <w:numId w:val="13"/>
              </w:numPr>
              <w:spacing w:before="0" w:after="0"/>
              <w:jc w:val="both"/>
              <w:rPr>
                <w:rFonts w:ascii="Arial" w:hAnsi="Arial"/>
                <w:sz w:val="16"/>
                <w:szCs w:val="16"/>
                <w:lang w:val="es-ES"/>
              </w:rPr>
            </w:pPr>
            <w:r>
              <w:rPr>
                <w:rFonts w:ascii="Arial" w:hAnsi="Arial"/>
                <w:sz w:val="16"/>
                <w:szCs w:val="16"/>
                <w:lang w:val="es-ES"/>
              </w:rPr>
              <w:t>5 ofertas en crecimiento en número de usuarios pospago</w:t>
            </w:r>
          </w:p>
        </w:tc>
      </w:tr>
      <w:tr w:rsidR="0066430F" w:rsidRPr="002921CB" w14:paraId="56A20A2E" w14:textId="77777777" w:rsidTr="0066430F">
        <w:trPr>
          <w:gridAfter w:val="1"/>
          <w:wAfter w:w="7" w:type="pct"/>
          <w:trHeight w:val="658"/>
        </w:trPr>
        <w:tc>
          <w:tcPr>
            <w:tcW w:w="1275" w:type="pct"/>
            <w:hideMark/>
          </w:tcPr>
          <w:p w14:paraId="60669750"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Tratamiento segmento empresarial</w:t>
            </w:r>
          </w:p>
        </w:tc>
        <w:tc>
          <w:tcPr>
            <w:tcW w:w="1676" w:type="pct"/>
            <w:hideMark/>
          </w:tcPr>
          <w:p w14:paraId="5AC7B0C7"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Inclusión de las ofertas “estandarizadas”.</w:t>
            </w:r>
          </w:p>
        </w:tc>
        <w:tc>
          <w:tcPr>
            <w:tcW w:w="2042" w:type="pct"/>
            <w:hideMark/>
          </w:tcPr>
          <w:p w14:paraId="39D5B589"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Inclusión de las ofertas “estandarizadas”.</w:t>
            </w:r>
          </w:p>
        </w:tc>
      </w:tr>
      <w:tr w:rsidR="0066430F" w:rsidRPr="002921CB" w14:paraId="674D11EA" w14:textId="77777777" w:rsidTr="0066430F">
        <w:trPr>
          <w:gridAfter w:val="1"/>
          <w:wAfter w:w="7" w:type="pct"/>
          <w:trHeight w:val="20"/>
        </w:trPr>
        <w:tc>
          <w:tcPr>
            <w:tcW w:w="1275" w:type="pct"/>
            <w:hideMark/>
          </w:tcPr>
          <w:p w14:paraId="216D7682"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Servicios mayoristas</w:t>
            </w:r>
          </w:p>
        </w:tc>
        <w:tc>
          <w:tcPr>
            <w:tcW w:w="1676" w:type="pct"/>
            <w:hideMark/>
          </w:tcPr>
          <w:p w14:paraId="7F680D00"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Servicio para OMV revendedores</w:t>
            </w:r>
          </w:p>
        </w:tc>
        <w:tc>
          <w:tcPr>
            <w:tcW w:w="2042" w:type="pct"/>
            <w:hideMark/>
          </w:tcPr>
          <w:p w14:paraId="55C7A68B" w14:textId="77777777" w:rsidR="0066430F" w:rsidRPr="00B547D3" w:rsidRDefault="0066430F" w:rsidP="0066430F">
            <w:pPr>
              <w:pStyle w:val="TableTextLeft"/>
              <w:spacing w:before="0" w:after="0"/>
              <w:jc w:val="both"/>
              <w:rPr>
                <w:rFonts w:ascii="Arial" w:hAnsi="Arial"/>
                <w:sz w:val="16"/>
                <w:szCs w:val="16"/>
                <w:highlight w:val="yellow"/>
                <w:lang w:val="es-ES"/>
              </w:rPr>
            </w:pPr>
            <w:r w:rsidRPr="00B547D3">
              <w:rPr>
                <w:rFonts w:ascii="Arial" w:hAnsi="Arial"/>
                <w:sz w:val="16"/>
                <w:szCs w:val="16"/>
                <w:lang w:val="es-ES"/>
              </w:rPr>
              <w:t>Servicio para OMV revendedores</w:t>
            </w:r>
            <w:r w:rsidRPr="00B547D3" w:rsidDel="0042041B">
              <w:rPr>
                <w:rFonts w:ascii="Arial" w:hAnsi="Arial"/>
                <w:sz w:val="16"/>
                <w:szCs w:val="16"/>
                <w:lang w:val="es-ES"/>
              </w:rPr>
              <w:t xml:space="preserve"> </w:t>
            </w:r>
          </w:p>
        </w:tc>
      </w:tr>
      <w:tr w:rsidR="0066430F" w:rsidRPr="002921CB" w14:paraId="2A67352E" w14:textId="77777777" w:rsidTr="0066430F">
        <w:trPr>
          <w:gridAfter w:val="1"/>
          <w:wAfter w:w="7" w:type="pct"/>
          <w:trHeight w:val="20"/>
        </w:trPr>
        <w:tc>
          <w:tcPr>
            <w:tcW w:w="1275" w:type="pct"/>
            <w:hideMark/>
          </w:tcPr>
          <w:p w14:paraId="12B51BAC"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Precios mayoristas</w:t>
            </w:r>
          </w:p>
        </w:tc>
        <w:tc>
          <w:tcPr>
            <w:tcW w:w="1676" w:type="pct"/>
            <w:hideMark/>
          </w:tcPr>
          <w:p w14:paraId="48F34AE8"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lang w:val="es-ES"/>
              </w:rPr>
              <w:t>Precios y descuentos de la oferta de referencia</w:t>
            </w:r>
          </w:p>
        </w:tc>
        <w:tc>
          <w:tcPr>
            <w:tcW w:w="2042" w:type="pct"/>
            <w:hideMark/>
          </w:tcPr>
          <w:p w14:paraId="388D93AD"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lang w:val="es-ES"/>
              </w:rPr>
              <w:t>Precios y descuentos de la oferta de referencia</w:t>
            </w:r>
            <w:r w:rsidRPr="00B547D3" w:rsidDel="0042041B">
              <w:rPr>
                <w:rFonts w:ascii="Arial" w:hAnsi="Arial"/>
                <w:sz w:val="16"/>
                <w:szCs w:val="16"/>
                <w:lang w:val="es-ES"/>
              </w:rPr>
              <w:t xml:space="preserve"> </w:t>
            </w:r>
          </w:p>
        </w:tc>
      </w:tr>
      <w:tr w:rsidR="0066430F" w:rsidRPr="002921CB" w14:paraId="6A00A3A9" w14:textId="77777777" w:rsidTr="0066430F">
        <w:trPr>
          <w:gridAfter w:val="1"/>
          <w:wAfter w:w="7" w:type="pct"/>
          <w:trHeight w:val="20"/>
        </w:trPr>
        <w:tc>
          <w:tcPr>
            <w:tcW w:w="1275" w:type="pct"/>
            <w:hideMark/>
          </w:tcPr>
          <w:p w14:paraId="546FFDAD"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Promociones</w:t>
            </w:r>
          </w:p>
        </w:tc>
        <w:tc>
          <w:tcPr>
            <w:tcW w:w="1676" w:type="pct"/>
            <w:hideMark/>
          </w:tcPr>
          <w:p w14:paraId="6763B920"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rPr>
              <w:t>Inclusión de las promociones</w:t>
            </w:r>
          </w:p>
        </w:tc>
        <w:tc>
          <w:tcPr>
            <w:tcW w:w="2042" w:type="pct"/>
            <w:hideMark/>
          </w:tcPr>
          <w:p w14:paraId="77C1F450" w14:textId="77777777" w:rsidR="0066430F" w:rsidRDefault="0066430F" w:rsidP="0066430F">
            <w:pPr>
              <w:pStyle w:val="TableTextLeft"/>
              <w:spacing w:before="0" w:after="0"/>
              <w:jc w:val="both"/>
              <w:rPr>
                <w:rFonts w:ascii="Arial" w:hAnsi="Arial"/>
                <w:sz w:val="16"/>
                <w:szCs w:val="16"/>
              </w:rPr>
            </w:pPr>
            <w:r w:rsidRPr="00B547D3">
              <w:rPr>
                <w:rFonts w:ascii="Arial" w:hAnsi="Arial"/>
                <w:sz w:val="16"/>
                <w:szCs w:val="16"/>
              </w:rPr>
              <w:t>Inclusión de las promociones</w:t>
            </w:r>
            <w:r>
              <w:rPr>
                <w:rFonts w:ascii="Arial" w:hAnsi="Arial"/>
                <w:sz w:val="16"/>
                <w:szCs w:val="16"/>
              </w:rPr>
              <w:t>.</w:t>
            </w:r>
          </w:p>
          <w:p w14:paraId="66C68C48" w14:textId="77777777" w:rsidR="0066430F" w:rsidRPr="00B547D3" w:rsidRDefault="0066430F" w:rsidP="0066430F">
            <w:pPr>
              <w:pStyle w:val="TableTextLeft"/>
              <w:spacing w:before="0" w:after="0"/>
              <w:jc w:val="both"/>
              <w:rPr>
                <w:rFonts w:ascii="Arial" w:hAnsi="Arial"/>
                <w:sz w:val="16"/>
                <w:szCs w:val="16"/>
                <w:lang w:val="es-ES"/>
              </w:rPr>
            </w:pPr>
            <w:r>
              <w:rPr>
                <w:rFonts w:ascii="Arial" w:hAnsi="Arial"/>
                <w:sz w:val="16"/>
                <w:szCs w:val="16"/>
              </w:rPr>
              <w:t>Desagrega las 2 principales ofertas dirigidas al segmento de portabilidad de prepago</w:t>
            </w:r>
          </w:p>
        </w:tc>
      </w:tr>
      <w:tr w:rsidR="0066430F" w:rsidRPr="002921CB" w14:paraId="18ACDA87" w14:textId="77777777" w:rsidTr="0066430F">
        <w:trPr>
          <w:gridAfter w:val="1"/>
          <w:wAfter w:w="7" w:type="pct"/>
          <w:trHeight w:val="20"/>
        </w:trPr>
        <w:tc>
          <w:tcPr>
            <w:tcW w:w="1275" w:type="pct"/>
            <w:hideMark/>
          </w:tcPr>
          <w:p w14:paraId="35936DC0"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Rentabilidad</w:t>
            </w:r>
          </w:p>
        </w:tc>
        <w:tc>
          <w:tcPr>
            <w:tcW w:w="1676" w:type="pct"/>
            <w:hideMark/>
          </w:tcPr>
          <w:p w14:paraId="73E6330B"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Periodo a periodo</w:t>
            </w:r>
          </w:p>
        </w:tc>
        <w:tc>
          <w:tcPr>
            <w:tcW w:w="2042" w:type="pct"/>
            <w:hideMark/>
          </w:tcPr>
          <w:p w14:paraId="61411419"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Periodo a periodo</w:t>
            </w:r>
            <w:r w:rsidRPr="00B547D3" w:rsidDel="0042041B">
              <w:rPr>
                <w:rFonts w:ascii="Arial" w:hAnsi="Arial"/>
                <w:sz w:val="16"/>
                <w:szCs w:val="16"/>
              </w:rPr>
              <w:t xml:space="preserve"> </w:t>
            </w:r>
          </w:p>
        </w:tc>
      </w:tr>
      <w:tr w:rsidR="0066430F" w:rsidRPr="002921CB" w14:paraId="31BCB390" w14:textId="77777777" w:rsidTr="0066430F">
        <w:trPr>
          <w:gridAfter w:val="1"/>
          <w:wAfter w:w="7" w:type="pct"/>
          <w:trHeight w:val="20"/>
        </w:trPr>
        <w:tc>
          <w:tcPr>
            <w:tcW w:w="1275" w:type="pct"/>
            <w:hideMark/>
          </w:tcPr>
          <w:p w14:paraId="3A481F8C" w14:textId="77777777" w:rsidR="0066430F" w:rsidRPr="00B547D3" w:rsidRDefault="0066430F" w:rsidP="0066430F">
            <w:pPr>
              <w:pStyle w:val="TableTextLeft"/>
              <w:spacing w:before="0" w:after="0"/>
              <w:jc w:val="both"/>
              <w:rPr>
                <w:rFonts w:ascii="Arial" w:hAnsi="Arial"/>
                <w:sz w:val="16"/>
                <w:szCs w:val="16"/>
              </w:rPr>
            </w:pPr>
            <w:r w:rsidRPr="00B547D3">
              <w:rPr>
                <w:rFonts w:ascii="Arial" w:hAnsi="Arial"/>
                <w:sz w:val="16"/>
                <w:szCs w:val="16"/>
              </w:rPr>
              <w:t>Empaquetamientos</w:t>
            </w:r>
          </w:p>
        </w:tc>
        <w:tc>
          <w:tcPr>
            <w:tcW w:w="1676" w:type="pct"/>
            <w:hideMark/>
          </w:tcPr>
          <w:p w14:paraId="7BEF01AB"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Precio conjunto del paquete</w:t>
            </w:r>
          </w:p>
        </w:tc>
        <w:tc>
          <w:tcPr>
            <w:tcW w:w="2042" w:type="pct"/>
            <w:hideMark/>
          </w:tcPr>
          <w:p w14:paraId="1B1FE5B9" w14:textId="77777777" w:rsidR="0066430F" w:rsidRPr="00B547D3" w:rsidRDefault="0066430F" w:rsidP="0066430F">
            <w:pPr>
              <w:pStyle w:val="TableTextLeft"/>
              <w:spacing w:before="0" w:after="0"/>
              <w:jc w:val="both"/>
              <w:rPr>
                <w:rFonts w:ascii="Arial" w:hAnsi="Arial"/>
                <w:sz w:val="16"/>
                <w:szCs w:val="16"/>
                <w:lang w:val="es-ES"/>
              </w:rPr>
            </w:pPr>
            <w:r w:rsidRPr="00B547D3">
              <w:rPr>
                <w:rFonts w:ascii="Arial" w:hAnsi="Arial"/>
                <w:sz w:val="16"/>
                <w:szCs w:val="16"/>
                <w:lang w:val="es-ES"/>
              </w:rPr>
              <w:t>Precio conjunto del paquete</w:t>
            </w:r>
            <w:r w:rsidRPr="00B547D3" w:rsidDel="0042041B">
              <w:rPr>
                <w:rFonts w:ascii="Arial" w:hAnsi="Arial"/>
                <w:sz w:val="16"/>
                <w:szCs w:val="16"/>
                <w:lang w:val="es-ES"/>
              </w:rPr>
              <w:t xml:space="preserve"> </w:t>
            </w:r>
          </w:p>
        </w:tc>
      </w:tr>
      <w:tr w:rsidR="0066430F" w:rsidRPr="002921CB" w14:paraId="7C385659" w14:textId="77777777" w:rsidTr="0066430F">
        <w:trPr>
          <w:gridAfter w:val="1"/>
          <w:wAfter w:w="7" w:type="pct"/>
          <w:trHeight w:val="20"/>
        </w:trPr>
        <w:tc>
          <w:tcPr>
            <w:tcW w:w="4993" w:type="pct"/>
            <w:gridSpan w:val="3"/>
            <w:shd w:val="clear" w:color="auto" w:fill="D9D9D9" w:themeFill="background1" w:themeFillShade="D9"/>
          </w:tcPr>
          <w:p w14:paraId="2F416E7C" w14:textId="77777777" w:rsidR="0066430F" w:rsidRPr="00B547D3" w:rsidRDefault="0066430F" w:rsidP="0066430F">
            <w:pPr>
              <w:pStyle w:val="TableTextLeft"/>
              <w:spacing w:before="0" w:after="0"/>
              <w:jc w:val="center"/>
              <w:rPr>
                <w:rFonts w:ascii="Arial" w:hAnsi="Arial"/>
                <w:sz w:val="16"/>
                <w:szCs w:val="16"/>
                <w:lang w:val="es-ES"/>
              </w:rPr>
            </w:pPr>
            <w:r>
              <w:rPr>
                <w:rFonts w:ascii="Arial" w:hAnsi="Arial"/>
                <w:sz w:val="16"/>
                <w:szCs w:val="16"/>
                <w:lang w:val="es-ES"/>
              </w:rPr>
              <w:t>Otros</w:t>
            </w:r>
          </w:p>
        </w:tc>
      </w:tr>
      <w:tr w:rsidR="0066430F" w:rsidRPr="002921CB" w14:paraId="1F735B4F" w14:textId="77777777" w:rsidTr="0066430F">
        <w:trPr>
          <w:gridAfter w:val="1"/>
          <w:wAfter w:w="7" w:type="pct"/>
          <w:trHeight w:val="20"/>
        </w:trPr>
        <w:tc>
          <w:tcPr>
            <w:tcW w:w="1275" w:type="pct"/>
          </w:tcPr>
          <w:p w14:paraId="1855833B" w14:textId="77777777" w:rsidR="0066430F" w:rsidRPr="00B547D3" w:rsidRDefault="0066430F" w:rsidP="0066430F">
            <w:pPr>
              <w:pStyle w:val="TableTextLeft"/>
              <w:spacing w:before="0" w:after="0"/>
              <w:jc w:val="both"/>
              <w:rPr>
                <w:rFonts w:ascii="Arial" w:hAnsi="Arial"/>
                <w:sz w:val="16"/>
                <w:szCs w:val="16"/>
              </w:rPr>
            </w:pPr>
            <w:r>
              <w:rPr>
                <w:rFonts w:ascii="Arial" w:hAnsi="Arial"/>
                <w:sz w:val="16"/>
                <w:szCs w:val="16"/>
              </w:rPr>
              <w:t>Asignación de montos relacionados con equipos terminales entre ofertas.</w:t>
            </w:r>
          </w:p>
        </w:tc>
        <w:tc>
          <w:tcPr>
            <w:tcW w:w="1676" w:type="pct"/>
          </w:tcPr>
          <w:p w14:paraId="23981B51" w14:textId="77777777" w:rsidR="0066430F" w:rsidRPr="00B547D3" w:rsidRDefault="0066430F" w:rsidP="0066430F">
            <w:pPr>
              <w:pStyle w:val="TableTextLeft"/>
              <w:spacing w:before="0" w:after="0"/>
              <w:rPr>
                <w:rFonts w:ascii="Arial" w:hAnsi="Arial"/>
                <w:sz w:val="16"/>
                <w:szCs w:val="16"/>
                <w:lang w:val="es-ES"/>
              </w:rPr>
            </w:pPr>
            <w:r>
              <w:rPr>
                <w:rFonts w:ascii="Arial" w:hAnsi="Arial"/>
                <w:sz w:val="16"/>
                <w:szCs w:val="16"/>
                <w:lang w:val="es-ES"/>
              </w:rPr>
              <w:t>Asignación considerando el segmento contable, activaciones y margen reportado.</w:t>
            </w:r>
          </w:p>
        </w:tc>
        <w:tc>
          <w:tcPr>
            <w:tcW w:w="2042" w:type="pct"/>
          </w:tcPr>
          <w:p w14:paraId="1D5CC4B3" w14:textId="77777777" w:rsidR="0066430F" w:rsidRPr="003C06C5" w:rsidRDefault="0066430F" w:rsidP="0066430F">
            <w:pPr>
              <w:pStyle w:val="TableTextLeft"/>
              <w:spacing w:before="0" w:after="0"/>
              <w:rPr>
                <w:rFonts w:ascii="Arial" w:hAnsi="Arial"/>
                <w:sz w:val="16"/>
                <w:szCs w:val="16"/>
                <w:lang w:val="es-ES"/>
              </w:rPr>
            </w:pPr>
            <w:r w:rsidRPr="003C06C5">
              <w:rPr>
                <w:rFonts w:ascii="Arial" w:hAnsi="Arial"/>
                <w:sz w:val="16"/>
                <w:szCs w:val="16"/>
                <w:lang w:val="es-ES"/>
              </w:rPr>
              <w:t xml:space="preserve">Entregar información desagregada de activaciones y soporte. </w:t>
            </w:r>
          </w:p>
          <w:p w14:paraId="0AF2CB71" w14:textId="77777777" w:rsidR="0066430F" w:rsidRPr="00B547D3"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Asignar considerando la facturación.</w:t>
            </w:r>
          </w:p>
        </w:tc>
      </w:tr>
      <w:tr w:rsidR="0066430F" w:rsidRPr="002921CB" w14:paraId="2FFE6B4A" w14:textId="77777777" w:rsidTr="0066430F">
        <w:trPr>
          <w:gridAfter w:val="1"/>
          <w:wAfter w:w="7" w:type="pct"/>
          <w:trHeight w:val="20"/>
        </w:trPr>
        <w:tc>
          <w:tcPr>
            <w:tcW w:w="1275" w:type="pct"/>
          </w:tcPr>
          <w:p w14:paraId="2782B473" w14:textId="77777777" w:rsidR="0066430F" w:rsidRPr="00B547D3" w:rsidRDefault="0066430F" w:rsidP="0066430F">
            <w:pPr>
              <w:pStyle w:val="TableTextLeft"/>
              <w:spacing w:before="0" w:after="0"/>
              <w:jc w:val="both"/>
              <w:rPr>
                <w:rFonts w:ascii="Arial" w:hAnsi="Arial"/>
                <w:sz w:val="16"/>
                <w:szCs w:val="16"/>
              </w:rPr>
            </w:pPr>
            <w:r>
              <w:rPr>
                <w:rFonts w:ascii="Arial" w:hAnsi="Arial"/>
                <w:sz w:val="16"/>
                <w:szCs w:val="16"/>
              </w:rPr>
              <w:t>Ingresos recurrentes</w:t>
            </w:r>
          </w:p>
        </w:tc>
        <w:tc>
          <w:tcPr>
            <w:tcW w:w="1676" w:type="pct"/>
          </w:tcPr>
          <w:p w14:paraId="5C5175F2" w14:textId="77777777" w:rsidR="0066430F" w:rsidRPr="00B547D3" w:rsidRDefault="0066430F" w:rsidP="0066430F">
            <w:pPr>
              <w:pStyle w:val="TableTextLeft"/>
              <w:spacing w:before="0" w:after="0"/>
              <w:jc w:val="both"/>
              <w:rPr>
                <w:rFonts w:ascii="Arial" w:hAnsi="Arial"/>
                <w:sz w:val="16"/>
                <w:szCs w:val="16"/>
                <w:lang w:val="es-ES"/>
              </w:rPr>
            </w:pPr>
            <w:r>
              <w:rPr>
                <w:rFonts w:ascii="Arial" w:hAnsi="Arial"/>
                <w:sz w:val="16"/>
                <w:szCs w:val="16"/>
                <w:lang w:val="es-ES"/>
              </w:rPr>
              <w:t>Agregado en otros conceptos.</w:t>
            </w:r>
          </w:p>
        </w:tc>
        <w:tc>
          <w:tcPr>
            <w:tcW w:w="2042" w:type="pct"/>
          </w:tcPr>
          <w:p w14:paraId="3C269A68" w14:textId="77777777" w:rsidR="0066430F" w:rsidRPr="00B547D3"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Desagregar renta mensual de paquetes de recarga.</w:t>
            </w:r>
          </w:p>
        </w:tc>
      </w:tr>
      <w:tr w:rsidR="0066430F" w:rsidRPr="002921CB" w14:paraId="5026D022" w14:textId="77777777" w:rsidTr="0066430F">
        <w:trPr>
          <w:gridAfter w:val="1"/>
          <w:wAfter w:w="7" w:type="pct"/>
          <w:trHeight w:val="20"/>
        </w:trPr>
        <w:tc>
          <w:tcPr>
            <w:tcW w:w="1275" w:type="pct"/>
          </w:tcPr>
          <w:p w14:paraId="4E66B1C0" w14:textId="77777777" w:rsidR="0066430F" w:rsidRDefault="0066430F" w:rsidP="0066430F">
            <w:pPr>
              <w:pStyle w:val="TableTextLeft"/>
              <w:spacing w:before="0" w:after="0"/>
              <w:jc w:val="both"/>
              <w:rPr>
                <w:rFonts w:ascii="Arial" w:hAnsi="Arial"/>
                <w:sz w:val="16"/>
                <w:szCs w:val="16"/>
              </w:rPr>
            </w:pPr>
            <w:r>
              <w:rPr>
                <w:rFonts w:ascii="Arial" w:hAnsi="Arial"/>
                <w:sz w:val="16"/>
                <w:szCs w:val="16"/>
              </w:rPr>
              <w:t>Ingresos por servicios</w:t>
            </w:r>
          </w:p>
        </w:tc>
        <w:tc>
          <w:tcPr>
            <w:tcW w:w="1676" w:type="pct"/>
          </w:tcPr>
          <w:p w14:paraId="54BDF19C" w14:textId="77777777" w:rsidR="0066430F"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 xml:space="preserve">Asignación por servicios (Voz, Datos y SMS) considerando </w:t>
            </w:r>
            <w:r>
              <w:rPr>
                <w:rFonts w:ascii="Arial" w:hAnsi="Arial"/>
                <w:sz w:val="16"/>
                <w:szCs w:val="16"/>
                <w:lang w:val="es-ES"/>
              </w:rPr>
              <w:t>elementos</w:t>
            </w:r>
            <w:r w:rsidRPr="003C06C5">
              <w:rPr>
                <w:rFonts w:ascii="Arial" w:hAnsi="Arial"/>
                <w:sz w:val="16"/>
                <w:szCs w:val="16"/>
                <w:lang w:val="es-ES"/>
              </w:rPr>
              <w:t xml:space="preserve"> de asignación.</w:t>
            </w:r>
          </w:p>
        </w:tc>
        <w:tc>
          <w:tcPr>
            <w:tcW w:w="2042" w:type="pct"/>
          </w:tcPr>
          <w:p w14:paraId="15EAC5DE" w14:textId="77777777" w:rsidR="0066430F" w:rsidRPr="003C06C5" w:rsidRDefault="0066430F" w:rsidP="0066430F">
            <w:pPr>
              <w:pStyle w:val="TableTextLeft"/>
              <w:spacing w:before="0" w:after="0"/>
              <w:rPr>
                <w:rFonts w:ascii="Arial" w:hAnsi="Arial"/>
                <w:sz w:val="16"/>
                <w:szCs w:val="16"/>
                <w:lang w:val="es-ES"/>
              </w:rPr>
            </w:pPr>
            <w:r w:rsidRPr="003C06C5">
              <w:rPr>
                <w:rFonts w:ascii="Arial" w:hAnsi="Arial"/>
                <w:sz w:val="16"/>
                <w:szCs w:val="16"/>
                <w:lang w:val="es-ES"/>
              </w:rPr>
              <w:t>Reflejar únicamente los ingresos ADICIONALES atribuidos a las unidades de servicios.</w:t>
            </w:r>
          </w:p>
          <w:p w14:paraId="6AB5811B" w14:textId="77777777" w:rsidR="0066430F" w:rsidRPr="003C06C5"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Entregar información de soporte respecto de los supuestos utilizados.</w:t>
            </w:r>
          </w:p>
        </w:tc>
      </w:tr>
      <w:tr w:rsidR="0066430F" w:rsidRPr="002921CB" w14:paraId="09245084" w14:textId="77777777" w:rsidTr="0066430F">
        <w:trPr>
          <w:gridAfter w:val="1"/>
          <w:wAfter w:w="7" w:type="pct"/>
          <w:trHeight w:val="20"/>
        </w:trPr>
        <w:tc>
          <w:tcPr>
            <w:tcW w:w="1275" w:type="pct"/>
          </w:tcPr>
          <w:p w14:paraId="7C0B94B2" w14:textId="77777777" w:rsidR="0066430F" w:rsidRDefault="0066430F" w:rsidP="0066430F">
            <w:pPr>
              <w:pStyle w:val="TableTextLeft"/>
              <w:spacing w:before="0" w:after="0"/>
              <w:jc w:val="both"/>
              <w:rPr>
                <w:rFonts w:ascii="Arial" w:hAnsi="Arial"/>
                <w:sz w:val="16"/>
                <w:szCs w:val="16"/>
              </w:rPr>
            </w:pPr>
            <w:r>
              <w:rPr>
                <w:rFonts w:ascii="Arial" w:hAnsi="Arial"/>
                <w:sz w:val="16"/>
                <w:szCs w:val="16"/>
              </w:rPr>
              <w:t>Otros ingresos</w:t>
            </w:r>
          </w:p>
        </w:tc>
        <w:tc>
          <w:tcPr>
            <w:tcW w:w="1676" w:type="pct"/>
          </w:tcPr>
          <w:p w14:paraId="63546387" w14:textId="77777777" w:rsidR="0066430F"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Sin desagregación respecto de otros ingresos reportados.</w:t>
            </w:r>
          </w:p>
        </w:tc>
        <w:tc>
          <w:tcPr>
            <w:tcW w:w="2042" w:type="pct"/>
          </w:tcPr>
          <w:p w14:paraId="377B1D6B" w14:textId="77777777" w:rsidR="0066430F" w:rsidRPr="003C06C5" w:rsidRDefault="0066430F" w:rsidP="0066430F">
            <w:pPr>
              <w:pStyle w:val="TableTextLeft"/>
              <w:spacing w:before="0" w:after="0"/>
              <w:jc w:val="both"/>
              <w:rPr>
                <w:rFonts w:ascii="Arial" w:hAnsi="Arial"/>
                <w:sz w:val="16"/>
                <w:szCs w:val="16"/>
                <w:lang w:val="es-ES"/>
              </w:rPr>
            </w:pPr>
            <w:r w:rsidRPr="003C06C5">
              <w:rPr>
                <w:rFonts w:ascii="Arial" w:hAnsi="Arial"/>
                <w:sz w:val="16"/>
                <w:szCs w:val="16"/>
                <w:lang w:val="es-ES"/>
              </w:rPr>
              <w:t>Desagregar conceptos de ingresos.</w:t>
            </w:r>
          </w:p>
        </w:tc>
      </w:tr>
      <w:tr w:rsidR="0066430F" w:rsidRPr="002921CB" w14:paraId="3A15156A" w14:textId="77777777" w:rsidTr="0066430F">
        <w:trPr>
          <w:gridAfter w:val="1"/>
          <w:wAfter w:w="7" w:type="pct"/>
          <w:trHeight w:val="20"/>
        </w:trPr>
        <w:tc>
          <w:tcPr>
            <w:tcW w:w="1275" w:type="pct"/>
          </w:tcPr>
          <w:p w14:paraId="513185BC" w14:textId="77777777" w:rsidR="0066430F" w:rsidRDefault="0066430F" w:rsidP="0066430F">
            <w:pPr>
              <w:pStyle w:val="TableTextLeft"/>
              <w:spacing w:before="0" w:after="0"/>
              <w:jc w:val="both"/>
              <w:rPr>
                <w:rFonts w:ascii="Arial" w:hAnsi="Arial"/>
                <w:sz w:val="16"/>
                <w:szCs w:val="16"/>
              </w:rPr>
            </w:pPr>
            <w:r>
              <w:rPr>
                <w:rFonts w:ascii="Arial" w:hAnsi="Arial"/>
                <w:sz w:val="16"/>
                <w:szCs w:val="16"/>
              </w:rPr>
              <w:t>Tráfico</w:t>
            </w:r>
          </w:p>
        </w:tc>
        <w:tc>
          <w:tcPr>
            <w:tcW w:w="1676" w:type="pct"/>
          </w:tcPr>
          <w:p w14:paraId="73E45675" w14:textId="77777777" w:rsidR="0066430F" w:rsidRPr="003C06C5" w:rsidRDefault="0066430F" w:rsidP="0066430F">
            <w:pPr>
              <w:pStyle w:val="TableTextLeft"/>
              <w:spacing w:before="0" w:after="0"/>
              <w:jc w:val="both"/>
              <w:rPr>
                <w:rFonts w:ascii="Arial" w:hAnsi="Arial"/>
                <w:sz w:val="16"/>
                <w:szCs w:val="16"/>
                <w:lang w:val="es-ES"/>
              </w:rPr>
            </w:pPr>
            <w:r w:rsidRPr="0066430F">
              <w:rPr>
                <w:rFonts w:ascii="Arial" w:hAnsi="Arial"/>
                <w:sz w:val="16"/>
                <w:szCs w:val="16"/>
              </w:rPr>
              <w:t>Asignación de tráfico considerando criterios de asignación.</w:t>
            </w:r>
          </w:p>
        </w:tc>
        <w:tc>
          <w:tcPr>
            <w:tcW w:w="2042" w:type="pct"/>
          </w:tcPr>
          <w:p w14:paraId="19D5CC8E" w14:textId="77777777" w:rsidR="0066430F" w:rsidRPr="003C06C5" w:rsidRDefault="0066430F" w:rsidP="0066430F">
            <w:pPr>
              <w:pStyle w:val="TableTextLeft"/>
              <w:spacing w:before="0" w:after="0"/>
              <w:jc w:val="both"/>
              <w:rPr>
                <w:rFonts w:ascii="Arial" w:hAnsi="Arial"/>
                <w:sz w:val="16"/>
                <w:szCs w:val="16"/>
                <w:lang w:val="es-ES"/>
              </w:rPr>
            </w:pPr>
            <w:r w:rsidRPr="0066430F">
              <w:rPr>
                <w:rFonts w:ascii="Arial" w:hAnsi="Arial"/>
                <w:sz w:val="16"/>
                <w:szCs w:val="16"/>
                <w:lang w:val="es-ES"/>
              </w:rPr>
              <w:t>Conciliado con tráfico cursado por los usuarios de la oferta.</w:t>
            </w:r>
          </w:p>
        </w:tc>
      </w:tr>
    </w:tbl>
    <w:p w14:paraId="4D21F00C" w14:textId="77777777" w:rsidR="000A29EB" w:rsidRDefault="000A29EB" w:rsidP="0066430F">
      <w:pPr>
        <w:spacing w:before="0" w:after="0" w:line="240" w:lineRule="auto"/>
        <w:rPr>
          <w:b/>
          <w:bCs/>
        </w:rPr>
      </w:pPr>
    </w:p>
    <w:p w14:paraId="6EBF8F77" w14:textId="77777777" w:rsidR="000A29EB" w:rsidRDefault="000A29EB" w:rsidP="000A29EB">
      <w:pPr>
        <w:spacing w:before="0" w:after="0" w:line="240" w:lineRule="auto"/>
        <w:jc w:val="center"/>
        <w:rPr>
          <w:b/>
          <w:bCs/>
        </w:rPr>
      </w:pPr>
    </w:p>
    <w:p w14:paraId="0CC648EE" w14:textId="77777777" w:rsidR="000A29EB" w:rsidRDefault="000A29EB" w:rsidP="0066430F">
      <w:pPr>
        <w:spacing w:before="0" w:after="0" w:line="240" w:lineRule="auto"/>
        <w:rPr>
          <w:b/>
          <w:bCs/>
        </w:rPr>
      </w:pPr>
    </w:p>
    <w:p w14:paraId="0E408785" w14:textId="77777777" w:rsidR="0066430F" w:rsidRDefault="0066430F" w:rsidP="000A29EB">
      <w:pPr>
        <w:spacing w:after="0"/>
        <w:rPr>
          <w:rFonts w:ascii="Arial" w:hAnsi="Arial"/>
          <w:sz w:val="14"/>
          <w:szCs w:val="14"/>
        </w:rPr>
      </w:pPr>
    </w:p>
    <w:p w14:paraId="1CA25AF7" w14:textId="14E79CBB" w:rsidR="000A29EB" w:rsidRDefault="000A29EB" w:rsidP="000A29EB">
      <w:pPr>
        <w:spacing w:after="0"/>
        <w:rPr>
          <w:rFonts w:ascii="Arial" w:hAnsi="Arial"/>
          <w:sz w:val="14"/>
          <w:szCs w:val="14"/>
        </w:rPr>
      </w:pPr>
      <w:r w:rsidRPr="00AE09B5">
        <w:rPr>
          <w:rFonts w:ascii="Arial" w:hAnsi="Arial"/>
          <w:sz w:val="14"/>
          <w:szCs w:val="14"/>
        </w:rPr>
        <w:lastRenderedPageBreak/>
        <w:t>Nota</w:t>
      </w:r>
      <w:r>
        <w:rPr>
          <w:rFonts w:ascii="Arial" w:hAnsi="Arial"/>
          <w:sz w:val="14"/>
          <w:szCs w:val="14"/>
        </w:rPr>
        <w:t>s</w:t>
      </w:r>
      <w:r w:rsidRPr="00AE09B5">
        <w:rPr>
          <w:rFonts w:ascii="Arial" w:hAnsi="Arial"/>
          <w:sz w:val="14"/>
          <w:szCs w:val="14"/>
        </w:rPr>
        <w:t xml:space="preserve">: </w:t>
      </w:r>
      <w:r>
        <w:rPr>
          <w:rFonts w:ascii="Arial" w:hAnsi="Arial"/>
          <w:sz w:val="14"/>
          <w:szCs w:val="14"/>
        </w:rPr>
        <w:t xml:space="preserve"> </w:t>
      </w:r>
    </w:p>
    <w:p w14:paraId="1B88695C" w14:textId="14745DEB" w:rsidR="000A29EB" w:rsidRPr="00AE09B5" w:rsidRDefault="000A29EB" w:rsidP="000A29EB">
      <w:pPr>
        <w:spacing w:after="0"/>
        <w:rPr>
          <w:rFonts w:ascii="Arial" w:hAnsi="Arial"/>
          <w:sz w:val="14"/>
          <w:szCs w:val="14"/>
        </w:rPr>
      </w:pPr>
      <w:r w:rsidRPr="0096072F">
        <w:rPr>
          <w:rFonts w:ascii="Arial" w:hAnsi="Arial"/>
          <w:sz w:val="14"/>
          <w:szCs w:val="14"/>
        </w:rPr>
        <w:t>1) En el archivo de Excel “Propuesta de Actualización” se detallan las justificaciones de las propuestas de actualización, por lo que será ahí donde se podrá verter cualquier comentario relacionado.</w:t>
      </w:r>
    </w:p>
    <w:p w14:paraId="2FA83D74" w14:textId="77777777" w:rsidR="000A29EB" w:rsidRDefault="000A29EB" w:rsidP="000A29EB">
      <w:pPr>
        <w:spacing w:before="0" w:after="0" w:line="240" w:lineRule="auto"/>
        <w:jc w:val="center"/>
        <w:rPr>
          <w:b/>
          <w:bCs/>
        </w:rPr>
      </w:pPr>
    </w:p>
    <w:sectPr w:rsidR="000A29EB" w:rsidSect="005103E7">
      <w:headerReference w:type="default" r:id="rId8"/>
      <w:footerReference w:type="default" r:id="rId9"/>
      <w:pgSz w:w="12240" w:h="15840"/>
      <w:pgMar w:top="1985"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07E9" w14:textId="77777777" w:rsidR="00AF3A53" w:rsidRDefault="00AF3A53" w:rsidP="0038199D">
      <w:pPr>
        <w:spacing w:after="0" w:line="240" w:lineRule="auto"/>
      </w:pPr>
      <w:r>
        <w:separator/>
      </w:r>
    </w:p>
  </w:endnote>
  <w:endnote w:type="continuationSeparator" w:id="0">
    <w:p w14:paraId="708C13B7" w14:textId="77777777" w:rsidR="00AF3A53" w:rsidRDefault="00AF3A53" w:rsidP="0038199D">
      <w:pPr>
        <w:spacing w:after="0" w:line="240" w:lineRule="auto"/>
      </w:pPr>
      <w:r>
        <w:continuationSeparator/>
      </w:r>
    </w:p>
  </w:endnote>
  <w:endnote w:type="continuationNotice" w:id="1">
    <w:p w14:paraId="6BEEE8C4" w14:textId="77777777" w:rsidR="00AF3A53" w:rsidRDefault="00AF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9729" w14:textId="77777777" w:rsidR="003D113A" w:rsidRPr="003D113A" w:rsidRDefault="003D113A">
    <w:pPr>
      <w:tabs>
        <w:tab w:val="center" w:pos="4550"/>
        <w:tab w:val="left" w:pos="5818"/>
      </w:tabs>
      <w:ind w:right="260"/>
      <w:jc w:val="right"/>
      <w:rPr>
        <w:sz w:val="20"/>
        <w:szCs w:val="20"/>
      </w:rPr>
    </w:pPr>
    <w:r w:rsidRPr="003D113A">
      <w:rPr>
        <w:spacing w:val="60"/>
        <w:sz w:val="20"/>
        <w:szCs w:val="20"/>
      </w:rPr>
      <w:t>Página</w:t>
    </w:r>
    <w:r w:rsidRPr="003D113A">
      <w:rPr>
        <w:sz w:val="20"/>
        <w:szCs w:val="20"/>
      </w:rPr>
      <w:t xml:space="preserve"> </w:t>
    </w:r>
    <w:r w:rsidRPr="003D113A">
      <w:rPr>
        <w:sz w:val="20"/>
        <w:szCs w:val="20"/>
      </w:rPr>
      <w:fldChar w:fldCharType="begin"/>
    </w:r>
    <w:r w:rsidRPr="003D113A">
      <w:rPr>
        <w:sz w:val="20"/>
        <w:szCs w:val="20"/>
      </w:rPr>
      <w:instrText>PAGE   \* MERGEFORMAT</w:instrText>
    </w:r>
    <w:r w:rsidRPr="003D113A">
      <w:rPr>
        <w:sz w:val="20"/>
        <w:szCs w:val="20"/>
      </w:rPr>
      <w:fldChar w:fldCharType="separate"/>
    </w:r>
    <w:r w:rsidRPr="003D113A">
      <w:rPr>
        <w:sz w:val="20"/>
        <w:szCs w:val="20"/>
      </w:rPr>
      <w:t>1</w:t>
    </w:r>
    <w:r w:rsidRPr="003D113A">
      <w:rPr>
        <w:sz w:val="20"/>
        <w:szCs w:val="20"/>
      </w:rPr>
      <w:fldChar w:fldCharType="end"/>
    </w:r>
    <w:r w:rsidRPr="003D113A">
      <w:rPr>
        <w:sz w:val="20"/>
        <w:szCs w:val="20"/>
      </w:rPr>
      <w:t xml:space="preserve"> | </w:t>
    </w:r>
    <w:r w:rsidRPr="003D113A">
      <w:rPr>
        <w:sz w:val="20"/>
        <w:szCs w:val="20"/>
      </w:rPr>
      <w:fldChar w:fldCharType="begin"/>
    </w:r>
    <w:r w:rsidRPr="003D113A">
      <w:rPr>
        <w:sz w:val="20"/>
        <w:szCs w:val="20"/>
      </w:rPr>
      <w:instrText>NUMPAGES  \* Arabic  \* MERGEFORMAT</w:instrText>
    </w:r>
    <w:r w:rsidRPr="003D113A">
      <w:rPr>
        <w:sz w:val="20"/>
        <w:szCs w:val="20"/>
      </w:rPr>
      <w:fldChar w:fldCharType="separate"/>
    </w:r>
    <w:r w:rsidRPr="003D113A">
      <w:rPr>
        <w:sz w:val="20"/>
        <w:szCs w:val="20"/>
      </w:rPr>
      <w:t>1</w:t>
    </w:r>
    <w:r w:rsidRPr="003D113A">
      <w:rPr>
        <w:sz w:val="20"/>
        <w:szCs w:val="20"/>
      </w:rPr>
      <w:fldChar w:fldCharType="end"/>
    </w:r>
  </w:p>
  <w:p w14:paraId="5C3B09EA" w14:textId="77777777" w:rsidR="003D113A" w:rsidRDefault="003D1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CA6B" w14:textId="77777777" w:rsidR="00AF3A53" w:rsidRDefault="00AF3A53" w:rsidP="0038199D">
      <w:pPr>
        <w:spacing w:after="0" w:line="240" w:lineRule="auto"/>
      </w:pPr>
      <w:r>
        <w:separator/>
      </w:r>
    </w:p>
  </w:footnote>
  <w:footnote w:type="continuationSeparator" w:id="0">
    <w:p w14:paraId="3F97A574" w14:textId="77777777" w:rsidR="00AF3A53" w:rsidRDefault="00AF3A53" w:rsidP="0038199D">
      <w:pPr>
        <w:spacing w:after="0" w:line="240" w:lineRule="auto"/>
      </w:pPr>
      <w:r>
        <w:continuationSeparator/>
      </w:r>
    </w:p>
  </w:footnote>
  <w:footnote w:type="continuationNotice" w:id="1">
    <w:p w14:paraId="6E3C1D16" w14:textId="77777777" w:rsidR="00AF3A53" w:rsidRDefault="00AF3A53">
      <w:pPr>
        <w:spacing w:after="0" w:line="240" w:lineRule="auto"/>
      </w:pPr>
    </w:p>
  </w:footnote>
  <w:footnote w:id="2">
    <w:p w14:paraId="4105CA7C" w14:textId="4AF43785" w:rsidR="00A255FD" w:rsidRPr="00FB1527" w:rsidRDefault="00DB25D8" w:rsidP="003D25A9">
      <w:pPr>
        <w:pStyle w:val="Textonotapie"/>
        <w:spacing w:before="0"/>
        <w:rPr>
          <w:sz w:val="14"/>
          <w:szCs w:val="14"/>
        </w:rPr>
      </w:pPr>
      <w:r w:rsidRPr="00FB1527">
        <w:rPr>
          <w:rStyle w:val="Refdenotaalpie"/>
          <w:sz w:val="14"/>
          <w:szCs w:val="14"/>
        </w:rPr>
        <w:footnoteRef/>
      </w:r>
      <w:r w:rsidR="00A255FD" w:rsidRPr="00FB1527">
        <w:rPr>
          <w:sz w:val="14"/>
          <w:szCs w:val="14"/>
        </w:rPr>
        <w:t xml:space="preserve"> Las medidas asimétricas vigentes se encuentran disponibles en </w:t>
      </w:r>
      <w:r w:rsidR="00763FB6">
        <w:rPr>
          <w:sz w:val="14"/>
          <w:szCs w:val="14"/>
        </w:rPr>
        <w:t>el</w:t>
      </w:r>
      <w:r w:rsidR="00A255FD" w:rsidRPr="00FB1527">
        <w:rPr>
          <w:sz w:val="14"/>
          <w:szCs w:val="14"/>
        </w:rPr>
        <w:t xml:space="preserve"> siguiente enlace: </w:t>
      </w:r>
    </w:p>
    <w:p w14:paraId="445A76E6" w14:textId="63F8B28A" w:rsidR="006554CC" w:rsidRPr="00FB1527" w:rsidRDefault="00A255FD" w:rsidP="003D25A9">
      <w:pPr>
        <w:pStyle w:val="Textonotapie"/>
        <w:spacing w:before="0"/>
        <w:rPr>
          <w:sz w:val="14"/>
          <w:szCs w:val="14"/>
        </w:rPr>
      </w:pPr>
      <w:r w:rsidRPr="00FB1527">
        <w:rPr>
          <w:sz w:val="14"/>
          <w:szCs w:val="14"/>
        </w:rPr>
        <w:t>Anexo 1:</w:t>
      </w:r>
      <w:r w:rsidR="006554CC" w:rsidRPr="000139C5">
        <w:rPr>
          <w:sz w:val="14"/>
          <w:szCs w:val="14"/>
        </w:rPr>
        <w:t xml:space="preserve"> </w:t>
      </w:r>
      <w:hyperlink r:id="rId1" w:history="1">
        <w:r w:rsidR="00FB1527" w:rsidRPr="00FB1527">
          <w:rPr>
            <w:rStyle w:val="Hipervnculo"/>
            <w:sz w:val="14"/>
            <w:szCs w:val="14"/>
          </w:rPr>
          <w:t>https://www.ift.org.mx/sites/default/files/anexo_1_27.pdf</w:t>
        </w:r>
      </w:hyperlink>
    </w:p>
    <w:p w14:paraId="6922C97E" w14:textId="6F100047" w:rsidR="00DB25D8" w:rsidRDefault="00DB25D8" w:rsidP="003D25A9">
      <w:pPr>
        <w:pStyle w:val="Textonotapie"/>
        <w:spacing w:before="0"/>
      </w:pPr>
    </w:p>
  </w:footnote>
  <w:footnote w:id="3">
    <w:p w14:paraId="6398670C" w14:textId="77777777" w:rsidR="00853C75" w:rsidRPr="00D065F7" w:rsidRDefault="00853C75" w:rsidP="00740B0F">
      <w:pPr>
        <w:pStyle w:val="Textonotapie"/>
        <w:rPr>
          <w:sz w:val="14"/>
          <w:szCs w:val="14"/>
        </w:rPr>
      </w:pPr>
      <w:r w:rsidRPr="009E24F8">
        <w:rPr>
          <w:rStyle w:val="Refdenotaalpie"/>
          <w:sz w:val="14"/>
          <w:szCs w:val="14"/>
        </w:rPr>
        <w:footnoteRef/>
      </w:r>
      <w:r w:rsidRPr="009E24F8">
        <w:rPr>
          <w:sz w:val="14"/>
          <w:szCs w:val="14"/>
        </w:rPr>
        <w:t xml:space="preserve"> EEO es el acrónimo de </w:t>
      </w:r>
      <w:r w:rsidRPr="00B761A7">
        <w:rPr>
          <w:i/>
          <w:iCs/>
          <w:sz w:val="14"/>
          <w:szCs w:val="14"/>
        </w:rPr>
        <w:t>Equally Efficient Operator</w:t>
      </w:r>
      <w:r w:rsidRPr="009E24F8">
        <w:rPr>
          <w:sz w:val="14"/>
          <w:szCs w:val="14"/>
        </w:rPr>
        <w:t>.</w:t>
      </w:r>
    </w:p>
  </w:footnote>
  <w:footnote w:id="4">
    <w:p w14:paraId="72699190" w14:textId="70BB6336" w:rsidR="00853C75" w:rsidRDefault="00853C75" w:rsidP="003D25A9">
      <w:pPr>
        <w:pStyle w:val="Textonotapie"/>
        <w:spacing w:before="0"/>
      </w:pPr>
      <w:r w:rsidRPr="00B761A7">
        <w:rPr>
          <w:rStyle w:val="Refdenotaalpie"/>
          <w:sz w:val="14"/>
          <w:szCs w:val="14"/>
        </w:rPr>
        <w:footnoteRef/>
      </w:r>
      <w:r>
        <w:t xml:space="preserve"> </w:t>
      </w:r>
      <w:r>
        <w:rPr>
          <w:sz w:val="14"/>
          <w:szCs w:val="14"/>
        </w:rPr>
        <w:t>R</w:t>
      </w:r>
      <w:r w:rsidRPr="009E24F8">
        <w:rPr>
          <w:sz w:val="14"/>
          <w:szCs w:val="14"/>
        </w:rPr>
        <w:t xml:space="preserve">EO es el acrónimo de </w:t>
      </w:r>
      <w:r w:rsidRPr="00B761A7">
        <w:rPr>
          <w:i/>
          <w:iCs/>
          <w:sz w:val="14"/>
          <w:szCs w:val="14"/>
        </w:rPr>
        <w:t>Reasonably Efficient Operator</w:t>
      </w:r>
      <w:r w:rsidRPr="009E24F8">
        <w:rPr>
          <w:sz w:val="14"/>
          <w:szCs w:val="14"/>
        </w:rPr>
        <w:t>.</w:t>
      </w:r>
    </w:p>
  </w:footnote>
  <w:footnote w:id="5">
    <w:p w14:paraId="68B61CE3" w14:textId="77777777" w:rsidR="00853C75" w:rsidRPr="000A3419" w:rsidRDefault="00853C75" w:rsidP="003D25A9">
      <w:pPr>
        <w:pStyle w:val="Textonotapie"/>
        <w:spacing w:before="0"/>
        <w:rPr>
          <w:sz w:val="14"/>
          <w:szCs w:val="14"/>
        </w:rPr>
      </w:pPr>
      <w:r w:rsidRPr="00D065F7">
        <w:rPr>
          <w:rStyle w:val="Refdenotaalpie"/>
          <w:sz w:val="14"/>
          <w:szCs w:val="14"/>
        </w:rPr>
        <w:footnoteRef/>
      </w:r>
      <w:r w:rsidRPr="00D065F7">
        <w:rPr>
          <w:sz w:val="14"/>
          <w:szCs w:val="14"/>
        </w:rPr>
        <w:t xml:space="preserve"> SEO es el acrónimo de </w:t>
      </w:r>
      <w:r w:rsidRPr="000A3419">
        <w:rPr>
          <w:i/>
          <w:sz w:val="14"/>
          <w:szCs w:val="14"/>
        </w:rPr>
        <w:t>Similary Efficient Operator</w:t>
      </w:r>
      <w:r w:rsidRPr="000A3419">
        <w:rPr>
          <w:sz w:val="14"/>
          <w:szCs w:val="14"/>
        </w:rPr>
        <w:t>.</w:t>
      </w:r>
    </w:p>
  </w:footnote>
  <w:footnote w:id="6">
    <w:p w14:paraId="7E703BDB" w14:textId="77777777" w:rsidR="00853C75" w:rsidRPr="00794FAA" w:rsidRDefault="00853C75" w:rsidP="003D25A9">
      <w:pPr>
        <w:pStyle w:val="Textonotapie"/>
        <w:spacing w:before="0"/>
        <w:rPr>
          <w:sz w:val="14"/>
          <w:szCs w:val="14"/>
        </w:rPr>
      </w:pPr>
      <w:r w:rsidRPr="009E2280">
        <w:rPr>
          <w:rStyle w:val="Refdenotaalpie"/>
          <w:sz w:val="14"/>
          <w:szCs w:val="14"/>
        </w:rPr>
        <w:footnoteRef/>
      </w:r>
      <w:r w:rsidRPr="009E2280">
        <w:rPr>
          <w:sz w:val="14"/>
          <w:szCs w:val="14"/>
        </w:rPr>
        <w:t xml:space="preserve"> </w:t>
      </w:r>
      <w:r w:rsidRPr="008B709F">
        <w:rPr>
          <w:sz w:val="14"/>
          <w:szCs w:val="14"/>
        </w:rPr>
        <w:t>Se refiere al tiempo promedio en el que un consumidor está suscrito a un servicio.</w:t>
      </w:r>
      <w:r>
        <w:rPr>
          <w:sz w:val="14"/>
          <w:szCs w:val="14"/>
        </w:rPr>
        <w:t xml:space="preserve"> </w:t>
      </w:r>
      <w:r w:rsidRPr="009E24F8">
        <w:rPr>
          <w:sz w:val="14"/>
          <w:szCs w:val="14"/>
        </w:rPr>
        <w:t>En ocasiones la vida útil de los clientes de la empresa VI es mayor que la de sus competidores. De esta forma, la pru</w:t>
      </w:r>
      <w:r w:rsidRPr="00D065F7">
        <w:rPr>
          <w:sz w:val="14"/>
          <w:szCs w:val="14"/>
        </w:rPr>
        <w:t>eba puede ajustarse para tener en cuenta esta circunstancia y, aunque se usen los costos de la empresa VI, se asume una vida útil del cliente similar a la de los competidores.</w:t>
      </w:r>
    </w:p>
  </w:footnote>
  <w:footnote w:id="7">
    <w:p w14:paraId="32B5493B" w14:textId="77777777" w:rsidR="00853C75" w:rsidRPr="009E2280" w:rsidRDefault="00853C75" w:rsidP="003D25A9">
      <w:pPr>
        <w:pStyle w:val="Textonotapie"/>
        <w:spacing w:before="0"/>
        <w:rPr>
          <w:sz w:val="14"/>
          <w:szCs w:val="14"/>
        </w:rPr>
      </w:pPr>
      <w:r w:rsidRPr="009E2280">
        <w:rPr>
          <w:rStyle w:val="Refdenotaalpie"/>
          <w:sz w:val="14"/>
          <w:szCs w:val="14"/>
        </w:rPr>
        <w:footnoteRef/>
      </w:r>
      <w:r w:rsidRPr="009E2280">
        <w:rPr>
          <w:sz w:val="14"/>
          <w:szCs w:val="14"/>
        </w:rPr>
        <w:t xml:space="preserve"> AAC es el acrónimo de </w:t>
      </w:r>
      <w:r w:rsidRPr="009E2280">
        <w:rPr>
          <w:i/>
          <w:sz w:val="14"/>
          <w:szCs w:val="14"/>
        </w:rPr>
        <w:t>Average Avoidable Costs.</w:t>
      </w:r>
    </w:p>
  </w:footnote>
  <w:footnote w:id="8">
    <w:p w14:paraId="6FC71BE5" w14:textId="77777777" w:rsidR="00853C75" w:rsidRPr="00BC0549" w:rsidRDefault="00853C75" w:rsidP="003D25A9">
      <w:pPr>
        <w:pStyle w:val="Textonotapie"/>
        <w:spacing w:before="0"/>
        <w:rPr>
          <w:sz w:val="14"/>
          <w:szCs w:val="14"/>
        </w:rPr>
      </w:pPr>
      <w:r w:rsidRPr="00BC0549">
        <w:rPr>
          <w:rStyle w:val="Refdenotaalpie"/>
          <w:sz w:val="14"/>
          <w:szCs w:val="14"/>
        </w:rPr>
        <w:footnoteRef/>
      </w:r>
      <w:r w:rsidRPr="00BC0549">
        <w:rPr>
          <w:sz w:val="14"/>
          <w:szCs w:val="14"/>
        </w:rPr>
        <w:t xml:space="preserve"> LRIC es el acrónimo de </w:t>
      </w:r>
      <w:r w:rsidRPr="00BC0549">
        <w:rPr>
          <w:i/>
          <w:sz w:val="14"/>
          <w:szCs w:val="14"/>
        </w:rPr>
        <w:t xml:space="preserve">Long Run Incremental </w:t>
      </w:r>
      <w:r w:rsidRPr="00BC0549">
        <w:rPr>
          <w:i/>
          <w:sz w:val="14"/>
          <w:szCs w:val="14"/>
        </w:rPr>
        <w:t>Costs.</w:t>
      </w:r>
    </w:p>
  </w:footnote>
  <w:footnote w:id="9">
    <w:p w14:paraId="44861AA0" w14:textId="77777777" w:rsidR="00853C75" w:rsidRPr="00E71911" w:rsidRDefault="00853C75" w:rsidP="003D25A9">
      <w:pPr>
        <w:pStyle w:val="Textonotapie"/>
        <w:spacing w:before="0"/>
        <w:rPr>
          <w:sz w:val="14"/>
          <w:szCs w:val="14"/>
        </w:rPr>
      </w:pPr>
      <w:r w:rsidRPr="00647D89">
        <w:rPr>
          <w:rStyle w:val="Refdenotaalpie"/>
          <w:sz w:val="14"/>
          <w:szCs w:val="14"/>
        </w:rPr>
        <w:footnoteRef/>
      </w:r>
      <w:r w:rsidRPr="00647D89">
        <w:rPr>
          <w:sz w:val="14"/>
          <w:szCs w:val="14"/>
        </w:rPr>
        <w:t xml:space="preserve"> FAC es el acrónimo de </w:t>
      </w:r>
      <w:r w:rsidRPr="00E71911">
        <w:rPr>
          <w:i/>
          <w:sz w:val="14"/>
          <w:szCs w:val="14"/>
        </w:rPr>
        <w:t>Fully Allocated Costs.</w:t>
      </w:r>
    </w:p>
  </w:footnote>
  <w:footnote w:id="10">
    <w:p w14:paraId="6BE79A19" w14:textId="5E9116C7" w:rsidR="00853C75" w:rsidRDefault="00853C75" w:rsidP="003D25A9">
      <w:pPr>
        <w:pStyle w:val="Textonotapie"/>
        <w:spacing w:before="0"/>
      </w:pPr>
      <w:r w:rsidRPr="00ED7B63">
        <w:rPr>
          <w:rStyle w:val="Refdenotaalpie"/>
          <w:sz w:val="14"/>
          <w:szCs w:val="14"/>
        </w:rPr>
        <w:footnoteRef/>
      </w:r>
      <w:r w:rsidRPr="00ED7B63">
        <w:rPr>
          <w:sz w:val="14"/>
          <w:szCs w:val="14"/>
        </w:rPr>
        <w:t xml:space="preserve"> </w:t>
      </w:r>
      <w:r>
        <w:rPr>
          <w:sz w:val="14"/>
          <w:szCs w:val="14"/>
        </w:rPr>
        <w:t xml:space="preserve">TI es el acrónimo de </w:t>
      </w:r>
      <w:r w:rsidRPr="00ED7B63">
        <w:rPr>
          <w:i/>
          <w:iCs/>
          <w:sz w:val="14"/>
          <w:szCs w:val="14"/>
        </w:rPr>
        <w:t>Tecnologías de la información</w:t>
      </w:r>
      <w:r>
        <w:rPr>
          <w:sz w:val="14"/>
          <w:szCs w:val="14"/>
        </w:rPr>
        <w:t>.</w:t>
      </w:r>
    </w:p>
  </w:footnote>
  <w:footnote w:id="11">
    <w:p w14:paraId="67B83E78" w14:textId="77777777" w:rsidR="00853C75" w:rsidRPr="005401C8" w:rsidRDefault="00853C75" w:rsidP="003D25A9">
      <w:pPr>
        <w:pStyle w:val="Textonotapie"/>
        <w:spacing w:before="0"/>
        <w:rPr>
          <w:sz w:val="14"/>
          <w:szCs w:val="14"/>
        </w:rPr>
      </w:pPr>
      <w:r w:rsidRPr="005401C8">
        <w:rPr>
          <w:rStyle w:val="Refdenotaalpie"/>
          <w:sz w:val="14"/>
          <w:szCs w:val="14"/>
        </w:rPr>
        <w:footnoteRef/>
      </w:r>
      <w:r w:rsidRPr="005401C8">
        <w:rPr>
          <w:sz w:val="14"/>
          <w:szCs w:val="14"/>
        </w:rPr>
        <w:t xml:space="preserve"> Según los criterios de asignación estipulados en la contabilidad de costos.</w:t>
      </w:r>
    </w:p>
  </w:footnote>
  <w:footnote w:id="12">
    <w:p w14:paraId="22417356" w14:textId="77777777" w:rsidR="00853C75" w:rsidRPr="00217D34" w:rsidRDefault="00853C75" w:rsidP="00740B0F">
      <w:pPr>
        <w:pStyle w:val="Textonotapie"/>
        <w:rPr>
          <w:sz w:val="14"/>
          <w:szCs w:val="14"/>
        </w:rPr>
      </w:pPr>
      <w:r w:rsidRPr="002D787F">
        <w:rPr>
          <w:rStyle w:val="Refdenotaalpie"/>
          <w:sz w:val="14"/>
          <w:szCs w:val="14"/>
        </w:rPr>
        <w:footnoteRef/>
      </w:r>
      <w:r w:rsidRPr="002D787F">
        <w:rPr>
          <w:sz w:val="14"/>
          <w:szCs w:val="14"/>
        </w:rPr>
        <w:t xml:space="preserve"> Considerando un menor nivel de costos en la evaluación de las ofertas individuales, por ejemplo, costos evitables o LRIC.</w:t>
      </w:r>
    </w:p>
  </w:footnote>
  <w:footnote w:id="13">
    <w:p w14:paraId="3D77AD73" w14:textId="77777777" w:rsidR="00853C75" w:rsidRPr="00344CBE" w:rsidRDefault="00853C75" w:rsidP="001F3FBE">
      <w:pPr>
        <w:pStyle w:val="Textonotapie"/>
        <w:spacing w:before="0"/>
        <w:rPr>
          <w:sz w:val="14"/>
          <w:szCs w:val="14"/>
        </w:rPr>
      </w:pPr>
      <w:r w:rsidRPr="00344CBE">
        <w:rPr>
          <w:rStyle w:val="Refdenotaalpie"/>
          <w:sz w:val="14"/>
          <w:szCs w:val="14"/>
        </w:rPr>
        <w:footnoteRef/>
      </w:r>
      <w:r w:rsidRPr="00344CBE">
        <w:rPr>
          <w:sz w:val="14"/>
          <w:szCs w:val="14"/>
        </w:rPr>
        <w:t xml:space="preserve"> La empresa VI no tendría incentivos a ofrecer descuentos si sus competidores se benefician de </w:t>
      </w:r>
      <w:r w:rsidRPr="00344CBE">
        <w:rPr>
          <w:sz w:val="14"/>
          <w:szCs w:val="14"/>
        </w:rPr>
        <w:t xml:space="preserve">ellos pero la prueba de replicabilidad no los tiene en cuenta. </w:t>
      </w:r>
    </w:p>
  </w:footnote>
  <w:footnote w:id="14">
    <w:p w14:paraId="3345FC08" w14:textId="77777777" w:rsidR="00853C75" w:rsidRPr="008F0549" w:rsidRDefault="00853C75" w:rsidP="003D25A9">
      <w:pPr>
        <w:pStyle w:val="Textonotapie"/>
        <w:spacing w:before="0"/>
        <w:rPr>
          <w:sz w:val="14"/>
          <w:szCs w:val="14"/>
        </w:rPr>
      </w:pPr>
      <w:r w:rsidRPr="00CA72BD">
        <w:rPr>
          <w:rStyle w:val="Refdenotaalpie"/>
          <w:sz w:val="14"/>
          <w:szCs w:val="14"/>
        </w:rPr>
        <w:footnoteRef/>
      </w:r>
      <w:r w:rsidRPr="008F0549">
        <w:rPr>
          <w:sz w:val="14"/>
          <w:szCs w:val="14"/>
        </w:rPr>
        <w:t xml:space="preserve"> Esto es, se calcula el valor actual de los ingresos menos los costos de la oferta comercial durante un periodo de tiempo determinado y a una tasa de descuento dada, comparándola con las inversiones específicas de esta oferta. </w:t>
      </w:r>
    </w:p>
  </w:footnote>
  <w:footnote w:id="15">
    <w:p w14:paraId="1EE27DEC" w14:textId="0FCF3397" w:rsidR="00853C75" w:rsidRPr="00E87ACE" w:rsidRDefault="00853C75" w:rsidP="003D25A9">
      <w:pPr>
        <w:pStyle w:val="Textonotapie"/>
        <w:spacing w:before="0"/>
        <w:rPr>
          <w:sz w:val="14"/>
          <w:szCs w:val="14"/>
        </w:rPr>
      </w:pPr>
      <w:r w:rsidRPr="008F0549">
        <w:rPr>
          <w:rStyle w:val="Refdenotaalpie"/>
          <w:sz w:val="14"/>
          <w:szCs w:val="14"/>
        </w:rPr>
        <w:footnoteRef/>
      </w:r>
      <w:r w:rsidRPr="00053F88">
        <w:rPr>
          <w:sz w:val="14"/>
          <w:szCs w:val="14"/>
        </w:rPr>
        <w:t xml:space="preserve"> Por ejemplo, si la vida media es dos años, lo que se busca es que en este horizonte temporal la oferta sea replicable (lo cual ocurriría si el valor presente neto es cer</w:t>
      </w:r>
      <w:r w:rsidRPr="00E87ACE">
        <w:rPr>
          <w:sz w:val="14"/>
          <w:szCs w:val="14"/>
        </w:rPr>
        <w:t>o o positivo) aun cuando en periodos de tiempo inferiores (por ejemplo</w:t>
      </w:r>
      <w:r w:rsidR="00D37C16">
        <w:rPr>
          <w:sz w:val="14"/>
          <w:szCs w:val="14"/>
        </w:rPr>
        <w:t>,</w:t>
      </w:r>
      <w:r w:rsidRPr="00E87ACE">
        <w:rPr>
          <w:sz w:val="14"/>
          <w:szCs w:val="14"/>
        </w:rPr>
        <w:t xml:space="preserve"> en los tres primeros meses) no lo sea.</w:t>
      </w:r>
    </w:p>
  </w:footnote>
  <w:footnote w:id="16">
    <w:p w14:paraId="7205975B" w14:textId="6835A8EE" w:rsidR="00853C75" w:rsidRPr="00261F36" w:rsidRDefault="00853C75" w:rsidP="003D25A9">
      <w:pPr>
        <w:pStyle w:val="Textonotapie"/>
        <w:spacing w:before="0"/>
        <w:rPr>
          <w:sz w:val="14"/>
          <w:szCs w:val="14"/>
        </w:rPr>
      </w:pPr>
      <w:r w:rsidRPr="00E87ACE">
        <w:rPr>
          <w:rStyle w:val="Refdenotaalpie"/>
          <w:sz w:val="14"/>
          <w:szCs w:val="14"/>
        </w:rPr>
        <w:footnoteRef/>
      </w:r>
      <w:r w:rsidRPr="00261F36">
        <w:rPr>
          <w:sz w:val="14"/>
          <w:szCs w:val="14"/>
        </w:rPr>
        <w:t xml:space="preserve"> Lo que se hace es agrupar a los clientes de acuerdo </w:t>
      </w:r>
      <w:r w:rsidR="00D37C16">
        <w:rPr>
          <w:sz w:val="14"/>
          <w:szCs w:val="14"/>
        </w:rPr>
        <w:t>con e</w:t>
      </w:r>
      <w:r w:rsidRPr="00261F36">
        <w:rPr>
          <w:sz w:val="14"/>
          <w:szCs w:val="14"/>
        </w:rPr>
        <w:t xml:space="preserve">l momento en que adquieren el servicio. </w:t>
      </w:r>
    </w:p>
  </w:footnote>
  <w:footnote w:id="17">
    <w:p w14:paraId="5B8C68FB" w14:textId="77777777" w:rsidR="00853C75" w:rsidRPr="00920631" w:rsidRDefault="00853C75" w:rsidP="003D25A9">
      <w:pPr>
        <w:pStyle w:val="Textonotapie"/>
        <w:spacing w:before="0"/>
        <w:rPr>
          <w:sz w:val="14"/>
          <w:szCs w:val="14"/>
        </w:rPr>
      </w:pPr>
      <w:r w:rsidRPr="00261F36">
        <w:rPr>
          <w:rStyle w:val="Refdenotaalpie"/>
          <w:sz w:val="14"/>
          <w:szCs w:val="14"/>
        </w:rPr>
        <w:footnoteRef/>
      </w:r>
      <w:r w:rsidRPr="00261F36">
        <w:rPr>
          <w:sz w:val="14"/>
          <w:szCs w:val="14"/>
        </w:rPr>
        <w:t xml:space="preserve"> Por ejemplo, en el último año o en los últimos seis meses.</w:t>
      </w:r>
    </w:p>
  </w:footnote>
  <w:footnote w:id="18">
    <w:p w14:paraId="34A446D1" w14:textId="77777777" w:rsidR="00853C75" w:rsidRPr="00261F36" w:rsidRDefault="00853C75" w:rsidP="003D25A9">
      <w:pPr>
        <w:pStyle w:val="Textonotapie"/>
        <w:spacing w:before="0"/>
        <w:rPr>
          <w:sz w:val="14"/>
          <w:szCs w:val="14"/>
        </w:rPr>
      </w:pPr>
      <w:r w:rsidRPr="00CA72BD">
        <w:rPr>
          <w:rStyle w:val="Refdenotaalpie"/>
          <w:sz w:val="14"/>
          <w:szCs w:val="14"/>
        </w:rPr>
        <w:footnoteRef/>
      </w:r>
      <w:r w:rsidRPr="008F0549">
        <w:rPr>
          <w:sz w:val="14"/>
          <w:szCs w:val="14"/>
        </w:rPr>
        <w:t xml:space="preserve"> El precio implícito del servicio A en el paquete AB sería P</w:t>
      </w:r>
      <w:r w:rsidRPr="008F0549">
        <w:rPr>
          <w:sz w:val="14"/>
          <w:szCs w:val="14"/>
          <w:vertAlign w:val="subscript"/>
        </w:rPr>
        <w:t>AB</w:t>
      </w:r>
      <w:r w:rsidRPr="008F0549">
        <w:rPr>
          <w:sz w:val="14"/>
          <w:szCs w:val="14"/>
        </w:rPr>
        <w:t xml:space="preserve"> – P</w:t>
      </w:r>
      <w:r w:rsidRPr="00053F88">
        <w:rPr>
          <w:sz w:val="14"/>
          <w:szCs w:val="14"/>
          <w:vertAlign w:val="subscript"/>
        </w:rPr>
        <w:t>B</w:t>
      </w:r>
      <w:r w:rsidRPr="00E87ACE">
        <w:rPr>
          <w:sz w:val="14"/>
          <w:szCs w:val="14"/>
        </w:rPr>
        <w:t>, siendo P</w:t>
      </w:r>
      <w:r w:rsidRPr="00E87ACE">
        <w:rPr>
          <w:sz w:val="14"/>
          <w:szCs w:val="14"/>
          <w:vertAlign w:val="subscript"/>
        </w:rPr>
        <w:t xml:space="preserve">B </w:t>
      </w:r>
      <w:r w:rsidRPr="00261F36">
        <w:rPr>
          <w:sz w:val="14"/>
          <w:szCs w:val="14"/>
        </w:rPr>
        <w:t>el precio del producto B cuando se vende separadamente.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117C" w14:textId="0091277D" w:rsidR="0066430F" w:rsidRPr="00F36A5D" w:rsidRDefault="0066430F" w:rsidP="0066430F">
    <w:pPr>
      <w:pStyle w:val="Encabezado"/>
      <w:ind w:left="3119"/>
      <w:rPr>
        <w:b/>
        <w:sz w:val="20"/>
      </w:rPr>
    </w:pPr>
    <w:r>
      <w:rPr>
        <w:noProof/>
        <w:lang w:eastAsia="es-MX"/>
      </w:rPr>
      <w:drawing>
        <wp:anchor distT="0" distB="762" distL="114300" distR="114300" simplePos="0" relativeHeight="251659264" behindDoc="1" locked="0" layoutInCell="1" allowOverlap="1" wp14:anchorId="604C00BE" wp14:editId="46A624E2">
          <wp:simplePos x="0" y="0"/>
          <wp:positionH relativeFrom="margin">
            <wp:posOffset>-120650</wp:posOffset>
          </wp:positionH>
          <wp:positionV relativeFrom="paragraph">
            <wp:posOffset>-74930</wp:posOffset>
          </wp:positionV>
          <wp:extent cx="1036955" cy="712978"/>
          <wp:effectExtent l="0" t="0" r="0" b="0"/>
          <wp:wrapNone/>
          <wp:docPr id="85892124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7C525F">
      <w:rPr>
        <w:b/>
        <w:sz w:val="20"/>
      </w:rPr>
      <w:t xml:space="preserve">Consulta pública de integración sobre la propuesta de actualización de la metodología, términos y condiciones para llevar a cabo la prueba de replicabilidad económica </w:t>
    </w:r>
  </w:p>
  <w:p w14:paraId="203E87C8" w14:textId="1BC21AF7" w:rsidR="0066430F" w:rsidRDefault="00664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E87EB962"/>
    <w:lvl w:ilvl="0" w:tplc="7D361FB6">
      <w:start w:val="1"/>
      <w:numFmt w:val="upperRoman"/>
      <w:pStyle w:val="Ttulo2"/>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FD4B6D"/>
    <w:multiLevelType w:val="hybridMultilevel"/>
    <w:tmpl w:val="F8FC954C"/>
    <w:lvl w:ilvl="0" w:tplc="33F21F5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15676C"/>
    <w:multiLevelType w:val="hybridMultilevel"/>
    <w:tmpl w:val="5348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5" w15:restartNumberingAfterBreak="0">
    <w:nsid w:val="383A3CCF"/>
    <w:multiLevelType w:val="hybridMultilevel"/>
    <w:tmpl w:val="EC5639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33143D"/>
    <w:multiLevelType w:val="hybridMultilevel"/>
    <w:tmpl w:val="0CBA99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A0744BE"/>
    <w:multiLevelType w:val="multilevel"/>
    <w:tmpl w:val="2CBA58FA"/>
    <w:name w:val="ParaBulletList"/>
    <w:lvl w:ilvl="0">
      <w:start w:val="1"/>
      <w:numFmt w:val="bullet"/>
      <w:pStyle w:val="ParaBullet1"/>
      <w:lvlText w:val=""/>
      <w:lvlJc w:val="left"/>
      <w:pPr>
        <w:tabs>
          <w:tab w:val="num" w:pos="340"/>
        </w:tabs>
        <w:ind w:left="340" w:hanging="340"/>
      </w:pPr>
      <w:rPr>
        <w:rFonts w:ascii="Symbol" w:hAnsi="Symbol" w:hint="default"/>
        <w:color w:val="auto"/>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8" w15:restartNumberingAfterBreak="0">
    <w:nsid w:val="5CDE05C3"/>
    <w:multiLevelType w:val="hybridMultilevel"/>
    <w:tmpl w:val="6234FB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71A1049A"/>
    <w:multiLevelType w:val="hybridMultilevel"/>
    <w:tmpl w:val="6576F5F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8C309F"/>
    <w:multiLevelType w:val="hybridMultilevel"/>
    <w:tmpl w:val="E668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73E5D"/>
    <w:multiLevelType w:val="hybridMultilevel"/>
    <w:tmpl w:val="4816E38A"/>
    <w:lvl w:ilvl="0" w:tplc="CE669FA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6"/>
  </w:num>
  <w:num w:numId="6">
    <w:abstractNumId w:val="8"/>
  </w:num>
  <w:num w:numId="7">
    <w:abstractNumId w:val="4"/>
  </w:num>
  <w:num w:numId="8">
    <w:abstractNumId w:val="3"/>
  </w:num>
  <w:num w:numId="9">
    <w:abstractNumId w:val="1"/>
  </w:num>
  <w:num w:numId="10">
    <w:abstractNumId w:val="10"/>
  </w:num>
  <w:num w:numId="11">
    <w:abstractNumId w:val="2"/>
  </w:num>
  <w:num w:numId="12">
    <w:abstractNumId w:val="7"/>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mI1Mzg4NGItNmE2Ni00ZjEzLWIzZjYtYTM5YWExOGY0ZDA4Ig0KfQ=="/>
    <w:docVar w:name="GVData0" w:val="(end)"/>
  </w:docVars>
  <w:rsids>
    <w:rsidRoot w:val="0038199D"/>
    <w:rsid w:val="000049D9"/>
    <w:rsid w:val="000055EA"/>
    <w:rsid w:val="00005D31"/>
    <w:rsid w:val="00005DB7"/>
    <w:rsid w:val="00011C87"/>
    <w:rsid w:val="00014493"/>
    <w:rsid w:val="000149AB"/>
    <w:rsid w:val="00015130"/>
    <w:rsid w:val="0001600D"/>
    <w:rsid w:val="000237FA"/>
    <w:rsid w:val="00023AF7"/>
    <w:rsid w:val="000253EE"/>
    <w:rsid w:val="00025623"/>
    <w:rsid w:val="00026723"/>
    <w:rsid w:val="00030E6E"/>
    <w:rsid w:val="000324FE"/>
    <w:rsid w:val="00032CAD"/>
    <w:rsid w:val="0003476F"/>
    <w:rsid w:val="000356DE"/>
    <w:rsid w:val="0003626C"/>
    <w:rsid w:val="00040722"/>
    <w:rsid w:val="00043DCB"/>
    <w:rsid w:val="00051577"/>
    <w:rsid w:val="00051DEE"/>
    <w:rsid w:val="000549F6"/>
    <w:rsid w:val="000553DD"/>
    <w:rsid w:val="00055821"/>
    <w:rsid w:val="00062C1D"/>
    <w:rsid w:val="0006626D"/>
    <w:rsid w:val="0007778B"/>
    <w:rsid w:val="00082D5D"/>
    <w:rsid w:val="0008701D"/>
    <w:rsid w:val="0009088D"/>
    <w:rsid w:val="0009104D"/>
    <w:rsid w:val="00092755"/>
    <w:rsid w:val="000931D8"/>
    <w:rsid w:val="00094041"/>
    <w:rsid w:val="00097B00"/>
    <w:rsid w:val="00097E60"/>
    <w:rsid w:val="000A0CEF"/>
    <w:rsid w:val="000A0F69"/>
    <w:rsid w:val="000A112D"/>
    <w:rsid w:val="000A29EB"/>
    <w:rsid w:val="000A5CFB"/>
    <w:rsid w:val="000A6067"/>
    <w:rsid w:val="000A619B"/>
    <w:rsid w:val="000A6255"/>
    <w:rsid w:val="000B5155"/>
    <w:rsid w:val="000B5C31"/>
    <w:rsid w:val="000B71C0"/>
    <w:rsid w:val="000C1B54"/>
    <w:rsid w:val="000C1C30"/>
    <w:rsid w:val="000C476E"/>
    <w:rsid w:val="000D07E4"/>
    <w:rsid w:val="000D2838"/>
    <w:rsid w:val="000D6674"/>
    <w:rsid w:val="000D7FFA"/>
    <w:rsid w:val="000E0501"/>
    <w:rsid w:val="000E41EA"/>
    <w:rsid w:val="000E41F3"/>
    <w:rsid w:val="000E54B6"/>
    <w:rsid w:val="000E55B0"/>
    <w:rsid w:val="000E727B"/>
    <w:rsid w:val="000E7D0E"/>
    <w:rsid w:val="000F0139"/>
    <w:rsid w:val="00100C9C"/>
    <w:rsid w:val="00102148"/>
    <w:rsid w:val="00105E55"/>
    <w:rsid w:val="00107F96"/>
    <w:rsid w:val="001124B6"/>
    <w:rsid w:val="00112B88"/>
    <w:rsid w:val="0011622B"/>
    <w:rsid w:val="00117324"/>
    <w:rsid w:val="001207EF"/>
    <w:rsid w:val="00120D05"/>
    <w:rsid w:val="00132257"/>
    <w:rsid w:val="001331D8"/>
    <w:rsid w:val="001413ED"/>
    <w:rsid w:val="00145E17"/>
    <w:rsid w:val="00156FCD"/>
    <w:rsid w:val="00160265"/>
    <w:rsid w:val="00160352"/>
    <w:rsid w:val="00164AE9"/>
    <w:rsid w:val="00164E6B"/>
    <w:rsid w:val="00166A3F"/>
    <w:rsid w:val="00170916"/>
    <w:rsid w:val="00172DA6"/>
    <w:rsid w:val="00174196"/>
    <w:rsid w:val="00175169"/>
    <w:rsid w:val="00175A93"/>
    <w:rsid w:val="00182FC1"/>
    <w:rsid w:val="001937D1"/>
    <w:rsid w:val="001947E2"/>
    <w:rsid w:val="001A1DF6"/>
    <w:rsid w:val="001A26CD"/>
    <w:rsid w:val="001A3C45"/>
    <w:rsid w:val="001A57DB"/>
    <w:rsid w:val="001A5C6A"/>
    <w:rsid w:val="001B1359"/>
    <w:rsid w:val="001B369B"/>
    <w:rsid w:val="001B5EAF"/>
    <w:rsid w:val="001B676D"/>
    <w:rsid w:val="001C0864"/>
    <w:rsid w:val="001C09AB"/>
    <w:rsid w:val="001C11B0"/>
    <w:rsid w:val="001C1A6D"/>
    <w:rsid w:val="001C7102"/>
    <w:rsid w:val="001D07E4"/>
    <w:rsid w:val="001D2868"/>
    <w:rsid w:val="001D4AB1"/>
    <w:rsid w:val="001E0388"/>
    <w:rsid w:val="001E289F"/>
    <w:rsid w:val="001F1B96"/>
    <w:rsid w:val="001F1F43"/>
    <w:rsid w:val="001F3FBE"/>
    <w:rsid w:val="001F695C"/>
    <w:rsid w:val="001F6CEA"/>
    <w:rsid w:val="0020440A"/>
    <w:rsid w:val="002107F6"/>
    <w:rsid w:val="002124FB"/>
    <w:rsid w:val="00217A22"/>
    <w:rsid w:val="00221089"/>
    <w:rsid w:val="00222886"/>
    <w:rsid w:val="00225373"/>
    <w:rsid w:val="002266C2"/>
    <w:rsid w:val="00232A61"/>
    <w:rsid w:val="00246FA5"/>
    <w:rsid w:val="00264F97"/>
    <w:rsid w:val="00266BE0"/>
    <w:rsid w:val="002701F5"/>
    <w:rsid w:val="00271E75"/>
    <w:rsid w:val="00272B83"/>
    <w:rsid w:val="002771ED"/>
    <w:rsid w:val="00280134"/>
    <w:rsid w:val="00280D8D"/>
    <w:rsid w:val="002811C3"/>
    <w:rsid w:val="002823DE"/>
    <w:rsid w:val="00294F3A"/>
    <w:rsid w:val="00297840"/>
    <w:rsid w:val="002A0A47"/>
    <w:rsid w:val="002A7E04"/>
    <w:rsid w:val="002A7EC6"/>
    <w:rsid w:val="002B1AD7"/>
    <w:rsid w:val="002B4BB2"/>
    <w:rsid w:val="002B62A4"/>
    <w:rsid w:val="002B63D8"/>
    <w:rsid w:val="002C0D35"/>
    <w:rsid w:val="002C2640"/>
    <w:rsid w:val="002C3201"/>
    <w:rsid w:val="002D159F"/>
    <w:rsid w:val="002D17C4"/>
    <w:rsid w:val="002D18DE"/>
    <w:rsid w:val="002D34FE"/>
    <w:rsid w:val="002D6946"/>
    <w:rsid w:val="002E6C44"/>
    <w:rsid w:val="002E74C6"/>
    <w:rsid w:val="002F489E"/>
    <w:rsid w:val="00301F89"/>
    <w:rsid w:val="00307092"/>
    <w:rsid w:val="0031183C"/>
    <w:rsid w:val="003147F6"/>
    <w:rsid w:val="00315763"/>
    <w:rsid w:val="00316DC1"/>
    <w:rsid w:val="0032324F"/>
    <w:rsid w:val="00323B07"/>
    <w:rsid w:val="00323DAD"/>
    <w:rsid w:val="00323F3A"/>
    <w:rsid w:val="00331DFF"/>
    <w:rsid w:val="00332319"/>
    <w:rsid w:val="0033448A"/>
    <w:rsid w:val="003353FC"/>
    <w:rsid w:val="0034067D"/>
    <w:rsid w:val="00340A4E"/>
    <w:rsid w:val="00350692"/>
    <w:rsid w:val="00352375"/>
    <w:rsid w:val="00357CAA"/>
    <w:rsid w:val="00360DFD"/>
    <w:rsid w:val="003613DA"/>
    <w:rsid w:val="00361F92"/>
    <w:rsid w:val="00362C5C"/>
    <w:rsid w:val="00375A83"/>
    <w:rsid w:val="00380392"/>
    <w:rsid w:val="00380791"/>
    <w:rsid w:val="00380AF6"/>
    <w:rsid w:val="00380FDD"/>
    <w:rsid w:val="0038199D"/>
    <w:rsid w:val="00381D5B"/>
    <w:rsid w:val="00383912"/>
    <w:rsid w:val="00391756"/>
    <w:rsid w:val="00394200"/>
    <w:rsid w:val="003A2325"/>
    <w:rsid w:val="003A44D2"/>
    <w:rsid w:val="003A7417"/>
    <w:rsid w:val="003A7C5A"/>
    <w:rsid w:val="003B524B"/>
    <w:rsid w:val="003B6630"/>
    <w:rsid w:val="003B6BA1"/>
    <w:rsid w:val="003C0377"/>
    <w:rsid w:val="003C038E"/>
    <w:rsid w:val="003C06C5"/>
    <w:rsid w:val="003C3ECB"/>
    <w:rsid w:val="003D0DF8"/>
    <w:rsid w:val="003D113A"/>
    <w:rsid w:val="003D1364"/>
    <w:rsid w:val="003D1CAC"/>
    <w:rsid w:val="003D25A9"/>
    <w:rsid w:val="003D2703"/>
    <w:rsid w:val="003D7579"/>
    <w:rsid w:val="003E4BED"/>
    <w:rsid w:val="003E5478"/>
    <w:rsid w:val="003E55FE"/>
    <w:rsid w:val="003E7D11"/>
    <w:rsid w:val="003F0722"/>
    <w:rsid w:val="003F4DE4"/>
    <w:rsid w:val="003F603E"/>
    <w:rsid w:val="0040150D"/>
    <w:rsid w:val="0041087B"/>
    <w:rsid w:val="00410F8E"/>
    <w:rsid w:val="004141B1"/>
    <w:rsid w:val="0042041B"/>
    <w:rsid w:val="00420DD3"/>
    <w:rsid w:val="0042499F"/>
    <w:rsid w:val="00425FC7"/>
    <w:rsid w:val="004317BC"/>
    <w:rsid w:val="0043365D"/>
    <w:rsid w:val="0043404E"/>
    <w:rsid w:val="00435168"/>
    <w:rsid w:val="004368BF"/>
    <w:rsid w:val="00440E1A"/>
    <w:rsid w:val="00444217"/>
    <w:rsid w:val="00444EAF"/>
    <w:rsid w:val="00450FCD"/>
    <w:rsid w:val="004510A1"/>
    <w:rsid w:val="00454377"/>
    <w:rsid w:val="00460E7A"/>
    <w:rsid w:val="00461A06"/>
    <w:rsid w:val="004646F0"/>
    <w:rsid w:val="00464849"/>
    <w:rsid w:val="00464AE1"/>
    <w:rsid w:val="0046559B"/>
    <w:rsid w:val="004666A6"/>
    <w:rsid w:val="00474104"/>
    <w:rsid w:val="0047696E"/>
    <w:rsid w:val="004775AE"/>
    <w:rsid w:val="004939AF"/>
    <w:rsid w:val="004970C4"/>
    <w:rsid w:val="004A0202"/>
    <w:rsid w:val="004A1FE1"/>
    <w:rsid w:val="004A79E0"/>
    <w:rsid w:val="004B053F"/>
    <w:rsid w:val="004B0CA6"/>
    <w:rsid w:val="004B5044"/>
    <w:rsid w:val="004C4695"/>
    <w:rsid w:val="004D5EAB"/>
    <w:rsid w:val="004D64DD"/>
    <w:rsid w:val="004D7960"/>
    <w:rsid w:val="004E2A3A"/>
    <w:rsid w:val="004E2C4B"/>
    <w:rsid w:val="004E4B70"/>
    <w:rsid w:val="004E5176"/>
    <w:rsid w:val="004F0CF7"/>
    <w:rsid w:val="004F0F70"/>
    <w:rsid w:val="004F17BB"/>
    <w:rsid w:val="004F4C27"/>
    <w:rsid w:val="004F62DC"/>
    <w:rsid w:val="004F7BB5"/>
    <w:rsid w:val="004F7BB9"/>
    <w:rsid w:val="005012E2"/>
    <w:rsid w:val="00502BB2"/>
    <w:rsid w:val="00510155"/>
    <w:rsid w:val="005103E7"/>
    <w:rsid w:val="00511FAE"/>
    <w:rsid w:val="00517B43"/>
    <w:rsid w:val="005214C7"/>
    <w:rsid w:val="0052296A"/>
    <w:rsid w:val="00523087"/>
    <w:rsid w:val="0052558F"/>
    <w:rsid w:val="005332DC"/>
    <w:rsid w:val="00535E24"/>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2214"/>
    <w:rsid w:val="00584CB6"/>
    <w:rsid w:val="0058551F"/>
    <w:rsid w:val="005876C4"/>
    <w:rsid w:val="00592820"/>
    <w:rsid w:val="00595786"/>
    <w:rsid w:val="005A1A0F"/>
    <w:rsid w:val="005A5671"/>
    <w:rsid w:val="005A653C"/>
    <w:rsid w:val="005B0125"/>
    <w:rsid w:val="005B1EF6"/>
    <w:rsid w:val="005B1F83"/>
    <w:rsid w:val="005B2C1D"/>
    <w:rsid w:val="005B3E9A"/>
    <w:rsid w:val="005B7378"/>
    <w:rsid w:val="005C0435"/>
    <w:rsid w:val="005C06DB"/>
    <w:rsid w:val="005C072E"/>
    <w:rsid w:val="005C67EA"/>
    <w:rsid w:val="005D1637"/>
    <w:rsid w:val="005D1DEE"/>
    <w:rsid w:val="005D2CC9"/>
    <w:rsid w:val="005D622C"/>
    <w:rsid w:val="005D6DB0"/>
    <w:rsid w:val="005E0B50"/>
    <w:rsid w:val="005E1FED"/>
    <w:rsid w:val="005E6A77"/>
    <w:rsid w:val="005F0265"/>
    <w:rsid w:val="005F2BA4"/>
    <w:rsid w:val="005F4DEC"/>
    <w:rsid w:val="00600500"/>
    <w:rsid w:val="00600DB8"/>
    <w:rsid w:val="006020E6"/>
    <w:rsid w:val="00603B41"/>
    <w:rsid w:val="00605BD9"/>
    <w:rsid w:val="00612A41"/>
    <w:rsid w:val="006221DD"/>
    <w:rsid w:val="006223B2"/>
    <w:rsid w:val="00623761"/>
    <w:rsid w:val="00623F6F"/>
    <w:rsid w:val="006240BB"/>
    <w:rsid w:val="00625CB1"/>
    <w:rsid w:val="0062657D"/>
    <w:rsid w:val="00626BE6"/>
    <w:rsid w:val="00627B2B"/>
    <w:rsid w:val="00634948"/>
    <w:rsid w:val="0064308C"/>
    <w:rsid w:val="006430BF"/>
    <w:rsid w:val="0065082F"/>
    <w:rsid w:val="00650E2C"/>
    <w:rsid w:val="00652A31"/>
    <w:rsid w:val="006534C9"/>
    <w:rsid w:val="00653D73"/>
    <w:rsid w:val="006554CC"/>
    <w:rsid w:val="00657E2B"/>
    <w:rsid w:val="006601AF"/>
    <w:rsid w:val="0066339F"/>
    <w:rsid w:val="0066430F"/>
    <w:rsid w:val="0066476F"/>
    <w:rsid w:val="00670385"/>
    <w:rsid w:val="00670A0E"/>
    <w:rsid w:val="00675B67"/>
    <w:rsid w:val="0067607D"/>
    <w:rsid w:val="0067625F"/>
    <w:rsid w:val="006774EA"/>
    <w:rsid w:val="0068054F"/>
    <w:rsid w:val="00683292"/>
    <w:rsid w:val="00683443"/>
    <w:rsid w:val="00687D65"/>
    <w:rsid w:val="00694AE5"/>
    <w:rsid w:val="006A1D68"/>
    <w:rsid w:val="006A1F80"/>
    <w:rsid w:val="006A2672"/>
    <w:rsid w:val="006A3CD3"/>
    <w:rsid w:val="006A6D93"/>
    <w:rsid w:val="006B0B12"/>
    <w:rsid w:val="006B50CD"/>
    <w:rsid w:val="006C25ED"/>
    <w:rsid w:val="006C672B"/>
    <w:rsid w:val="006E20F1"/>
    <w:rsid w:val="006E248A"/>
    <w:rsid w:val="006E361A"/>
    <w:rsid w:val="006E48D6"/>
    <w:rsid w:val="006F1AB2"/>
    <w:rsid w:val="006F219A"/>
    <w:rsid w:val="006F5989"/>
    <w:rsid w:val="006F7B29"/>
    <w:rsid w:val="00702727"/>
    <w:rsid w:val="00703850"/>
    <w:rsid w:val="00707E48"/>
    <w:rsid w:val="00714C32"/>
    <w:rsid w:val="007163E5"/>
    <w:rsid w:val="00717244"/>
    <w:rsid w:val="00717B72"/>
    <w:rsid w:val="00720D64"/>
    <w:rsid w:val="0072603E"/>
    <w:rsid w:val="00726A4C"/>
    <w:rsid w:val="00732143"/>
    <w:rsid w:val="00735DEE"/>
    <w:rsid w:val="00740B0F"/>
    <w:rsid w:val="0074187C"/>
    <w:rsid w:val="00743BCA"/>
    <w:rsid w:val="007440B2"/>
    <w:rsid w:val="0074626C"/>
    <w:rsid w:val="007473C3"/>
    <w:rsid w:val="007628D0"/>
    <w:rsid w:val="00762996"/>
    <w:rsid w:val="00763495"/>
    <w:rsid w:val="00763FB6"/>
    <w:rsid w:val="007644BA"/>
    <w:rsid w:val="007712B7"/>
    <w:rsid w:val="00772969"/>
    <w:rsid w:val="0077357C"/>
    <w:rsid w:val="00775562"/>
    <w:rsid w:val="00775F83"/>
    <w:rsid w:val="007843CF"/>
    <w:rsid w:val="00787028"/>
    <w:rsid w:val="0079076D"/>
    <w:rsid w:val="00796743"/>
    <w:rsid w:val="007978CB"/>
    <w:rsid w:val="007A1B7C"/>
    <w:rsid w:val="007A1E11"/>
    <w:rsid w:val="007A2C22"/>
    <w:rsid w:val="007A3BB3"/>
    <w:rsid w:val="007A5394"/>
    <w:rsid w:val="007A6974"/>
    <w:rsid w:val="007A752F"/>
    <w:rsid w:val="007B40A5"/>
    <w:rsid w:val="007B6347"/>
    <w:rsid w:val="007B703D"/>
    <w:rsid w:val="007C1346"/>
    <w:rsid w:val="007C2B07"/>
    <w:rsid w:val="007C2ED0"/>
    <w:rsid w:val="007C53CF"/>
    <w:rsid w:val="007C561D"/>
    <w:rsid w:val="007D4688"/>
    <w:rsid w:val="007D4A23"/>
    <w:rsid w:val="007D610C"/>
    <w:rsid w:val="007E04FB"/>
    <w:rsid w:val="007E0959"/>
    <w:rsid w:val="007E29E9"/>
    <w:rsid w:val="007E4261"/>
    <w:rsid w:val="007E7B44"/>
    <w:rsid w:val="007F305E"/>
    <w:rsid w:val="007F4DB5"/>
    <w:rsid w:val="007F6983"/>
    <w:rsid w:val="007F732C"/>
    <w:rsid w:val="00800852"/>
    <w:rsid w:val="00804BB7"/>
    <w:rsid w:val="00805E1E"/>
    <w:rsid w:val="00806141"/>
    <w:rsid w:val="00806F07"/>
    <w:rsid w:val="008200BE"/>
    <w:rsid w:val="00821743"/>
    <w:rsid w:val="008219F6"/>
    <w:rsid w:val="00821F94"/>
    <w:rsid w:val="0082416B"/>
    <w:rsid w:val="00824DB7"/>
    <w:rsid w:val="008271AB"/>
    <w:rsid w:val="0083277D"/>
    <w:rsid w:val="00833D48"/>
    <w:rsid w:val="00835F7D"/>
    <w:rsid w:val="008406AA"/>
    <w:rsid w:val="00853C75"/>
    <w:rsid w:val="00854FBE"/>
    <w:rsid w:val="0086154B"/>
    <w:rsid w:val="00861D6A"/>
    <w:rsid w:val="008654B1"/>
    <w:rsid w:val="008658B5"/>
    <w:rsid w:val="008667C7"/>
    <w:rsid w:val="008711D6"/>
    <w:rsid w:val="00873E7E"/>
    <w:rsid w:val="008754B4"/>
    <w:rsid w:val="0087596E"/>
    <w:rsid w:val="00876E3E"/>
    <w:rsid w:val="008842AA"/>
    <w:rsid w:val="008843FB"/>
    <w:rsid w:val="00886D9D"/>
    <w:rsid w:val="0089041C"/>
    <w:rsid w:val="00892E7D"/>
    <w:rsid w:val="00893186"/>
    <w:rsid w:val="008A337C"/>
    <w:rsid w:val="008A5565"/>
    <w:rsid w:val="008A5F75"/>
    <w:rsid w:val="008B15CE"/>
    <w:rsid w:val="008C679D"/>
    <w:rsid w:val="008D106B"/>
    <w:rsid w:val="008D1888"/>
    <w:rsid w:val="008D1C47"/>
    <w:rsid w:val="008D4C7A"/>
    <w:rsid w:val="008D6A1D"/>
    <w:rsid w:val="008E187B"/>
    <w:rsid w:val="008E2476"/>
    <w:rsid w:val="008F16D3"/>
    <w:rsid w:val="008F2B1A"/>
    <w:rsid w:val="008F4468"/>
    <w:rsid w:val="008F5E99"/>
    <w:rsid w:val="008F5F75"/>
    <w:rsid w:val="008F63B1"/>
    <w:rsid w:val="00903C94"/>
    <w:rsid w:val="00905C74"/>
    <w:rsid w:val="0091193C"/>
    <w:rsid w:val="00912EF9"/>
    <w:rsid w:val="00915CEA"/>
    <w:rsid w:val="009160D3"/>
    <w:rsid w:val="00924E06"/>
    <w:rsid w:val="00931546"/>
    <w:rsid w:val="009346DD"/>
    <w:rsid w:val="0094150D"/>
    <w:rsid w:val="00942344"/>
    <w:rsid w:val="009426CC"/>
    <w:rsid w:val="00944B2E"/>
    <w:rsid w:val="009555A5"/>
    <w:rsid w:val="00956B99"/>
    <w:rsid w:val="00957DB8"/>
    <w:rsid w:val="009602FF"/>
    <w:rsid w:val="0096072F"/>
    <w:rsid w:val="00961E71"/>
    <w:rsid w:val="009639AF"/>
    <w:rsid w:val="00970730"/>
    <w:rsid w:val="009708CD"/>
    <w:rsid w:val="00970F32"/>
    <w:rsid w:val="00975C25"/>
    <w:rsid w:val="0098095A"/>
    <w:rsid w:val="009819B7"/>
    <w:rsid w:val="00981D2D"/>
    <w:rsid w:val="0098316E"/>
    <w:rsid w:val="00985CF6"/>
    <w:rsid w:val="009868BF"/>
    <w:rsid w:val="00987672"/>
    <w:rsid w:val="009A68D7"/>
    <w:rsid w:val="009A7F3C"/>
    <w:rsid w:val="009B2022"/>
    <w:rsid w:val="009B360E"/>
    <w:rsid w:val="009B3834"/>
    <w:rsid w:val="009B5A35"/>
    <w:rsid w:val="009C1B2E"/>
    <w:rsid w:val="009C5A1F"/>
    <w:rsid w:val="009C6A6F"/>
    <w:rsid w:val="009C6C17"/>
    <w:rsid w:val="009D0EF4"/>
    <w:rsid w:val="009D3DDA"/>
    <w:rsid w:val="009D5669"/>
    <w:rsid w:val="009E072C"/>
    <w:rsid w:val="009E197F"/>
    <w:rsid w:val="009E43A3"/>
    <w:rsid w:val="009E564E"/>
    <w:rsid w:val="009F7734"/>
    <w:rsid w:val="00A003A6"/>
    <w:rsid w:val="00A007F0"/>
    <w:rsid w:val="00A00824"/>
    <w:rsid w:val="00A0235F"/>
    <w:rsid w:val="00A023DF"/>
    <w:rsid w:val="00A03F6E"/>
    <w:rsid w:val="00A04017"/>
    <w:rsid w:val="00A078AE"/>
    <w:rsid w:val="00A11685"/>
    <w:rsid w:val="00A11BA0"/>
    <w:rsid w:val="00A1372C"/>
    <w:rsid w:val="00A221BE"/>
    <w:rsid w:val="00A25465"/>
    <w:rsid w:val="00A255FD"/>
    <w:rsid w:val="00A25B7E"/>
    <w:rsid w:val="00A3221E"/>
    <w:rsid w:val="00A33C01"/>
    <w:rsid w:val="00A3420E"/>
    <w:rsid w:val="00A344DA"/>
    <w:rsid w:val="00A454F4"/>
    <w:rsid w:val="00A57E13"/>
    <w:rsid w:val="00A57EB7"/>
    <w:rsid w:val="00A60361"/>
    <w:rsid w:val="00A610BA"/>
    <w:rsid w:val="00A614ED"/>
    <w:rsid w:val="00A62E59"/>
    <w:rsid w:val="00A62F73"/>
    <w:rsid w:val="00A63006"/>
    <w:rsid w:val="00A7050F"/>
    <w:rsid w:val="00A74360"/>
    <w:rsid w:val="00A749B3"/>
    <w:rsid w:val="00A74B5C"/>
    <w:rsid w:val="00A751A5"/>
    <w:rsid w:val="00A75A67"/>
    <w:rsid w:val="00A75F45"/>
    <w:rsid w:val="00A82080"/>
    <w:rsid w:val="00A84815"/>
    <w:rsid w:val="00A84C80"/>
    <w:rsid w:val="00A85F71"/>
    <w:rsid w:val="00A917C8"/>
    <w:rsid w:val="00A91838"/>
    <w:rsid w:val="00A92B29"/>
    <w:rsid w:val="00A932CC"/>
    <w:rsid w:val="00A95ED3"/>
    <w:rsid w:val="00A96AF4"/>
    <w:rsid w:val="00AA1D52"/>
    <w:rsid w:val="00AA296F"/>
    <w:rsid w:val="00AA4A00"/>
    <w:rsid w:val="00AA643D"/>
    <w:rsid w:val="00AA70C3"/>
    <w:rsid w:val="00AB20E8"/>
    <w:rsid w:val="00AB2D19"/>
    <w:rsid w:val="00AB3B1E"/>
    <w:rsid w:val="00AB454C"/>
    <w:rsid w:val="00AB597A"/>
    <w:rsid w:val="00AB7B62"/>
    <w:rsid w:val="00AC3842"/>
    <w:rsid w:val="00AC59FE"/>
    <w:rsid w:val="00AD0D63"/>
    <w:rsid w:val="00AD1814"/>
    <w:rsid w:val="00AD20DF"/>
    <w:rsid w:val="00AD5147"/>
    <w:rsid w:val="00AD6B57"/>
    <w:rsid w:val="00AE3C2C"/>
    <w:rsid w:val="00AE734C"/>
    <w:rsid w:val="00AE778E"/>
    <w:rsid w:val="00AF0094"/>
    <w:rsid w:val="00AF01FA"/>
    <w:rsid w:val="00AF29F6"/>
    <w:rsid w:val="00AF3A53"/>
    <w:rsid w:val="00AF6EE1"/>
    <w:rsid w:val="00B02079"/>
    <w:rsid w:val="00B05076"/>
    <w:rsid w:val="00B10B89"/>
    <w:rsid w:val="00B13E6D"/>
    <w:rsid w:val="00B14B27"/>
    <w:rsid w:val="00B16509"/>
    <w:rsid w:val="00B17D0B"/>
    <w:rsid w:val="00B20E15"/>
    <w:rsid w:val="00B273CC"/>
    <w:rsid w:val="00B3275B"/>
    <w:rsid w:val="00B404ED"/>
    <w:rsid w:val="00B44129"/>
    <w:rsid w:val="00B4445C"/>
    <w:rsid w:val="00B451D6"/>
    <w:rsid w:val="00B50BAB"/>
    <w:rsid w:val="00B533DC"/>
    <w:rsid w:val="00B6657B"/>
    <w:rsid w:val="00B70568"/>
    <w:rsid w:val="00B72399"/>
    <w:rsid w:val="00B73420"/>
    <w:rsid w:val="00B761A7"/>
    <w:rsid w:val="00B8341D"/>
    <w:rsid w:val="00B859BA"/>
    <w:rsid w:val="00B86143"/>
    <w:rsid w:val="00B875CD"/>
    <w:rsid w:val="00B92F94"/>
    <w:rsid w:val="00B97A10"/>
    <w:rsid w:val="00B97BF9"/>
    <w:rsid w:val="00BA7FC7"/>
    <w:rsid w:val="00BB2031"/>
    <w:rsid w:val="00BB2332"/>
    <w:rsid w:val="00BB25F2"/>
    <w:rsid w:val="00BB33A5"/>
    <w:rsid w:val="00BB5605"/>
    <w:rsid w:val="00BB7565"/>
    <w:rsid w:val="00BC1094"/>
    <w:rsid w:val="00BC1B07"/>
    <w:rsid w:val="00BC2221"/>
    <w:rsid w:val="00BC355E"/>
    <w:rsid w:val="00BC5050"/>
    <w:rsid w:val="00BC5B94"/>
    <w:rsid w:val="00BC653A"/>
    <w:rsid w:val="00BC68E9"/>
    <w:rsid w:val="00BD1C21"/>
    <w:rsid w:val="00BD3D09"/>
    <w:rsid w:val="00BE3A25"/>
    <w:rsid w:val="00BE5D9D"/>
    <w:rsid w:val="00BF33B5"/>
    <w:rsid w:val="00BF3828"/>
    <w:rsid w:val="00BF5F18"/>
    <w:rsid w:val="00BF7F9F"/>
    <w:rsid w:val="00C05AA3"/>
    <w:rsid w:val="00C12C64"/>
    <w:rsid w:val="00C15CE0"/>
    <w:rsid w:val="00C1692A"/>
    <w:rsid w:val="00C209CD"/>
    <w:rsid w:val="00C24AF4"/>
    <w:rsid w:val="00C26242"/>
    <w:rsid w:val="00C30CBF"/>
    <w:rsid w:val="00C32290"/>
    <w:rsid w:val="00C3334C"/>
    <w:rsid w:val="00C35A85"/>
    <w:rsid w:val="00C35DB6"/>
    <w:rsid w:val="00C41536"/>
    <w:rsid w:val="00C41926"/>
    <w:rsid w:val="00C42DD1"/>
    <w:rsid w:val="00C44FCF"/>
    <w:rsid w:val="00C474AE"/>
    <w:rsid w:val="00C510C8"/>
    <w:rsid w:val="00C512C8"/>
    <w:rsid w:val="00C52EC8"/>
    <w:rsid w:val="00C53026"/>
    <w:rsid w:val="00C535AE"/>
    <w:rsid w:val="00C53E35"/>
    <w:rsid w:val="00C56B77"/>
    <w:rsid w:val="00C60ADB"/>
    <w:rsid w:val="00C63CEB"/>
    <w:rsid w:val="00C72469"/>
    <w:rsid w:val="00C82970"/>
    <w:rsid w:val="00C83664"/>
    <w:rsid w:val="00C84908"/>
    <w:rsid w:val="00C84BB4"/>
    <w:rsid w:val="00C8622C"/>
    <w:rsid w:val="00C900FF"/>
    <w:rsid w:val="00C91CE4"/>
    <w:rsid w:val="00C935BB"/>
    <w:rsid w:val="00C973EC"/>
    <w:rsid w:val="00CA32F5"/>
    <w:rsid w:val="00CA4D5D"/>
    <w:rsid w:val="00CA670F"/>
    <w:rsid w:val="00CB1D5D"/>
    <w:rsid w:val="00CB5DC7"/>
    <w:rsid w:val="00CB7035"/>
    <w:rsid w:val="00CB7780"/>
    <w:rsid w:val="00CC2A01"/>
    <w:rsid w:val="00CC382A"/>
    <w:rsid w:val="00CC53F7"/>
    <w:rsid w:val="00CD0188"/>
    <w:rsid w:val="00CD426A"/>
    <w:rsid w:val="00CD4835"/>
    <w:rsid w:val="00CD4992"/>
    <w:rsid w:val="00CD6EC5"/>
    <w:rsid w:val="00CE0836"/>
    <w:rsid w:val="00CE419D"/>
    <w:rsid w:val="00CF05A7"/>
    <w:rsid w:val="00CF3895"/>
    <w:rsid w:val="00CF74DE"/>
    <w:rsid w:val="00D02122"/>
    <w:rsid w:val="00D0240E"/>
    <w:rsid w:val="00D06A7E"/>
    <w:rsid w:val="00D10727"/>
    <w:rsid w:val="00D13998"/>
    <w:rsid w:val="00D13CA5"/>
    <w:rsid w:val="00D162EC"/>
    <w:rsid w:val="00D22B9D"/>
    <w:rsid w:val="00D26BAF"/>
    <w:rsid w:val="00D32A71"/>
    <w:rsid w:val="00D334B0"/>
    <w:rsid w:val="00D34848"/>
    <w:rsid w:val="00D35F1C"/>
    <w:rsid w:val="00D362B6"/>
    <w:rsid w:val="00D37C16"/>
    <w:rsid w:val="00D41A26"/>
    <w:rsid w:val="00D42A21"/>
    <w:rsid w:val="00D44C48"/>
    <w:rsid w:val="00D472B6"/>
    <w:rsid w:val="00D47A99"/>
    <w:rsid w:val="00D50117"/>
    <w:rsid w:val="00D57B94"/>
    <w:rsid w:val="00D60BD2"/>
    <w:rsid w:val="00D64EAC"/>
    <w:rsid w:val="00D707AF"/>
    <w:rsid w:val="00D71751"/>
    <w:rsid w:val="00D721C7"/>
    <w:rsid w:val="00D745BF"/>
    <w:rsid w:val="00D76089"/>
    <w:rsid w:val="00D768D7"/>
    <w:rsid w:val="00D81FAE"/>
    <w:rsid w:val="00D84343"/>
    <w:rsid w:val="00D84C43"/>
    <w:rsid w:val="00D90A1A"/>
    <w:rsid w:val="00D94F82"/>
    <w:rsid w:val="00D96838"/>
    <w:rsid w:val="00DA060B"/>
    <w:rsid w:val="00DA5776"/>
    <w:rsid w:val="00DA6412"/>
    <w:rsid w:val="00DB25D8"/>
    <w:rsid w:val="00DB2ACE"/>
    <w:rsid w:val="00DB357E"/>
    <w:rsid w:val="00DC0CC8"/>
    <w:rsid w:val="00DC3C6C"/>
    <w:rsid w:val="00DC79F2"/>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B46"/>
    <w:rsid w:val="00E14B83"/>
    <w:rsid w:val="00E161CB"/>
    <w:rsid w:val="00E17493"/>
    <w:rsid w:val="00E23470"/>
    <w:rsid w:val="00E23C25"/>
    <w:rsid w:val="00E24B7E"/>
    <w:rsid w:val="00E24F8F"/>
    <w:rsid w:val="00E27E0A"/>
    <w:rsid w:val="00E32E10"/>
    <w:rsid w:val="00E36AF7"/>
    <w:rsid w:val="00E43784"/>
    <w:rsid w:val="00E44666"/>
    <w:rsid w:val="00E4524F"/>
    <w:rsid w:val="00E523F8"/>
    <w:rsid w:val="00E53A00"/>
    <w:rsid w:val="00E53BFF"/>
    <w:rsid w:val="00E57341"/>
    <w:rsid w:val="00E62A8C"/>
    <w:rsid w:val="00E64007"/>
    <w:rsid w:val="00E65CC5"/>
    <w:rsid w:val="00E71AFE"/>
    <w:rsid w:val="00E7534A"/>
    <w:rsid w:val="00E75FC9"/>
    <w:rsid w:val="00E842FA"/>
    <w:rsid w:val="00E84A72"/>
    <w:rsid w:val="00E927ED"/>
    <w:rsid w:val="00E944B2"/>
    <w:rsid w:val="00E94ABF"/>
    <w:rsid w:val="00E9708D"/>
    <w:rsid w:val="00EA094D"/>
    <w:rsid w:val="00EA6ACC"/>
    <w:rsid w:val="00EA7686"/>
    <w:rsid w:val="00EB04C8"/>
    <w:rsid w:val="00EB1D99"/>
    <w:rsid w:val="00EB22EB"/>
    <w:rsid w:val="00EC144A"/>
    <w:rsid w:val="00EC1A62"/>
    <w:rsid w:val="00EC1B74"/>
    <w:rsid w:val="00EC277F"/>
    <w:rsid w:val="00EC297B"/>
    <w:rsid w:val="00EC32C5"/>
    <w:rsid w:val="00ED0227"/>
    <w:rsid w:val="00ED0CAD"/>
    <w:rsid w:val="00ED42B1"/>
    <w:rsid w:val="00ED7239"/>
    <w:rsid w:val="00ED7B63"/>
    <w:rsid w:val="00EE0C46"/>
    <w:rsid w:val="00EE3517"/>
    <w:rsid w:val="00EE4BFF"/>
    <w:rsid w:val="00EF1F63"/>
    <w:rsid w:val="00EF340D"/>
    <w:rsid w:val="00EF7941"/>
    <w:rsid w:val="00EF7F52"/>
    <w:rsid w:val="00F04E72"/>
    <w:rsid w:val="00F12126"/>
    <w:rsid w:val="00F12555"/>
    <w:rsid w:val="00F13080"/>
    <w:rsid w:val="00F14403"/>
    <w:rsid w:val="00F17CDD"/>
    <w:rsid w:val="00F212B2"/>
    <w:rsid w:val="00F222FB"/>
    <w:rsid w:val="00F362D7"/>
    <w:rsid w:val="00F36A5D"/>
    <w:rsid w:val="00F411B8"/>
    <w:rsid w:val="00F44904"/>
    <w:rsid w:val="00F45347"/>
    <w:rsid w:val="00F45EB4"/>
    <w:rsid w:val="00F54225"/>
    <w:rsid w:val="00F55269"/>
    <w:rsid w:val="00F552F3"/>
    <w:rsid w:val="00F6104F"/>
    <w:rsid w:val="00F62889"/>
    <w:rsid w:val="00F6437C"/>
    <w:rsid w:val="00F65F85"/>
    <w:rsid w:val="00F67857"/>
    <w:rsid w:val="00F71D8D"/>
    <w:rsid w:val="00F72DD7"/>
    <w:rsid w:val="00F812E3"/>
    <w:rsid w:val="00F84B54"/>
    <w:rsid w:val="00F85C4C"/>
    <w:rsid w:val="00F87B70"/>
    <w:rsid w:val="00F913F0"/>
    <w:rsid w:val="00F94642"/>
    <w:rsid w:val="00F97305"/>
    <w:rsid w:val="00FA17DF"/>
    <w:rsid w:val="00FA2195"/>
    <w:rsid w:val="00FA286D"/>
    <w:rsid w:val="00FA28C2"/>
    <w:rsid w:val="00FA311D"/>
    <w:rsid w:val="00FA42A4"/>
    <w:rsid w:val="00FA4B91"/>
    <w:rsid w:val="00FA794B"/>
    <w:rsid w:val="00FB1016"/>
    <w:rsid w:val="00FB1527"/>
    <w:rsid w:val="00FB76D1"/>
    <w:rsid w:val="00FC2926"/>
    <w:rsid w:val="00FD1C45"/>
    <w:rsid w:val="00FD29A2"/>
    <w:rsid w:val="00FD35A8"/>
    <w:rsid w:val="00FD4CCC"/>
    <w:rsid w:val="00FD54BA"/>
    <w:rsid w:val="00FD7AA3"/>
    <w:rsid w:val="00FE5B9C"/>
    <w:rsid w:val="00FF656D"/>
    <w:rsid w:val="00FF7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9"/>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821"/>
    <w:pPr>
      <w:spacing w:before="120" w:after="280" w:line="259" w:lineRule="auto"/>
      <w:jc w:val="both"/>
    </w:pPr>
    <w:rPr>
      <w:rFonts w:ascii="ITC Avant Garde" w:hAnsi="ITC Avant Garde"/>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b/>
    </w:rPr>
  </w:style>
  <w:style w:type="paragraph" w:styleId="Ttulo2">
    <w:name w:val="heading 2"/>
    <w:basedOn w:val="Listavistosa-nfasis11"/>
    <w:next w:val="Normal"/>
    <w:link w:val="Ttulo2Car"/>
    <w:uiPriority w:val="9"/>
    <w:unhideWhenUsed/>
    <w:qFormat/>
    <w:rsid w:val="003353FC"/>
    <w:pPr>
      <w:numPr>
        <w:numId w:val="1"/>
      </w:numPr>
      <w:spacing w:after="0" w:line="240" w:lineRule="auto"/>
      <w:jc w:val="center"/>
      <w:outlineLvl w:val="1"/>
    </w:pPr>
    <w:rPr>
      <w:rFonts w:eastAsia="Times New Roman"/>
      <w:b/>
      <w:bCs/>
      <w:lang w:eastAsia="es-MX"/>
    </w:rPr>
  </w:style>
  <w:style w:type="paragraph" w:styleId="Ttulo3">
    <w:name w:val="heading 3"/>
    <w:basedOn w:val="Normal"/>
    <w:next w:val="Normal"/>
    <w:link w:val="Ttulo3Car"/>
    <w:uiPriority w:val="9"/>
    <w:semiHidden/>
    <w:unhideWhenUsed/>
    <w:qFormat/>
    <w:rsid w:val="00740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fn"/>
    <w:basedOn w:val="Normal"/>
    <w:link w:val="TextonotapieCar"/>
    <w:uiPriority w:val="1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fn Car1"/>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1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 w:type="character" w:customStyle="1" w:styleId="Ttulo3Car">
    <w:name w:val="Título 3 Car"/>
    <w:basedOn w:val="Fuentedeprrafopredeter"/>
    <w:link w:val="Ttulo3"/>
    <w:uiPriority w:val="9"/>
    <w:semiHidden/>
    <w:rsid w:val="00740B0F"/>
    <w:rPr>
      <w:rFonts w:asciiTheme="majorHAnsi" w:eastAsiaTheme="majorEastAsia" w:hAnsiTheme="majorHAnsi" w:cstheme="majorBidi"/>
      <w:color w:val="1F4D78" w:themeColor="accent1" w:themeShade="7F"/>
      <w:sz w:val="24"/>
      <w:szCs w:val="24"/>
      <w:lang w:eastAsia="en-US"/>
    </w:rPr>
  </w:style>
  <w:style w:type="paragraph" w:customStyle="1" w:styleId="ParaBullet1">
    <w:name w:val="~ParaBullet1"/>
    <w:basedOn w:val="Normal"/>
    <w:uiPriority w:val="3"/>
    <w:qFormat/>
    <w:rsid w:val="00740B0F"/>
    <w:pPr>
      <w:numPr>
        <w:numId w:val="3"/>
      </w:numPr>
      <w:spacing w:after="120" w:line="264" w:lineRule="auto"/>
    </w:pPr>
    <w:rPr>
      <w:rFonts w:asciiTheme="minorHAnsi" w:hAnsiTheme="minorHAnsi" w:cs="Arial"/>
      <w:color w:val="000000" w:themeColor="text1"/>
      <w:lang w:val="es-ES_tradnl"/>
    </w:rPr>
  </w:style>
  <w:style w:type="paragraph" w:customStyle="1" w:styleId="ParaBullet2">
    <w:name w:val="~ParaBullet2"/>
    <w:basedOn w:val="ParaBullet1"/>
    <w:uiPriority w:val="3"/>
    <w:qFormat/>
    <w:rsid w:val="00740B0F"/>
    <w:pPr>
      <w:numPr>
        <w:ilvl w:val="1"/>
      </w:numPr>
    </w:pPr>
  </w:style>
  <w:style w:type="paragraph" w:customStyle="1" w:styleId="ParaBullet3">
    <w:name w:val="~ParaBullet3"/>
    <w:basedOn w:val="ParaBullet2"/>
    <w:uiPriority w:val="3"/>
    <w:qFormat/>
    <w:rsid w:val="00740B0F"/>
    <w:pPr>
      <w:numPr>
        <w:ilvl w:val="2"/>
      </w:numPr>
    </w:pPr>
  </w:style>
  <w:style w:type="paragraph" w:styleId="Descripcin">
    <w:name w:val="caption"/>
    <w:aliases w:val="~Caption"/>
    <w:basedOn w:val="Normal"/>
    <w:next w:val="Normal"/>
    <w:link w:val="DescripcinCar"/>
    <w:uiPriority w:val="2"/>
    <w:qFormat/>
    <w:rsid w:val="00740B0F"/>
    <w:pPr>
      <w:keepNext/>
      <w:tabs>
        <w:tab w:val="left" w:pos="1276"/>
      </w:tabs>
      <w:spacing w:after="60" w:line="240" w:lineRule="auto"/>
      <w:ind w:left="1276" w:hanging="1276"/>
    </w:pPr>
    <w:rPr>
      <w:rFonts w:asciiTheme="minorHAns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740B0F"/>
    <w:rPr>
      <w:rFonts w:asciiTheme="minorHAnsi" w:hAnsiTheme="minorHAnsi" w:cs="Arial"/>
      <w:b/>
      <w:color w:val="000000" w:themeColor="text1"/>
      <w:sz w:val="22"/>
      <w:szCs w:val="22"/>
      <w:lang w:val="es-ES_tradnl" w:eastAsia="en-US"/>
    </w:rPr>
  </w:style>
  <w:style w:type="paragraph" w:customStyle="1" w:styleId="Source">
    <w:name w:val="~Source"/>
    <w:basedOn w:val="Normal"/>
    <w:next w:val="Normal"/>
    <w:uiPriority w:val="2"/>
    <w:qFormat/>
    <w:rsid w:val="00740B0F"/>
    <w:pPr>
      <w:tabs>
        <w:tab w:val="left" w:pos="709"/>
      </w:tabs>
      <w:spacing w:before="60" w:after="60" w:line="240" w:lineRule="auto"/>
      <w:ind w:left="709" w:hanging="709"/>
      <w:jc w:val="left"/>
    </w:pPr>
    <w:rPr>
      <w:rFonts w:asciiTheme="minorHAnsi" w:hAnsiTheme="minorHAnsi" w:cs="Arial"/>
      <w:i/>
      <w:color w:val="000000" w:themeColor="text1"/>
      <w:sz w:val="16"/>
      <w:lang w:val="es-ES_tradnl"/>
    </w:rPr>
  </w:style>
  <w:style w:type="paragraph" w:customStyle="1" w:styleId="GraphicLeft">
    <w:name w:val="~GraphicLeft"/>
    <w:basedOn w:val="Sinespaciado"/>
    <w:uiPriority w:val="9"/>
    <w:rsid w:val="00740B0F"/>
    <w:pPr>
      <w:jc w:val="left"/>
    </w:pPr>
    <w:rPr>
      <w:rFonts w:asciiTheme="minorHAnsi" w:eastAsiaTheme="minorHAnsi" w:hAnsiTheme="minorHAnsi" w:cs="Arial"/>
      <w:color w:val="000000" w:themeColor="text1"/>
      <w:sz w:val="20"/>
      <w:lang w:val="es-ES_tradnl"/>
    </w:rPr>
  </w:style>
  <w:style w:type="paragraph" w:customStyle="1" w:styleId="ListBullet1">
    <w:name w:val="~ListBullet1"/>
    <w:basedOn w:val="Normal"/>
    <w:uiPriority w:val="3"/>
    <w:qFormat/>
    <w:rsid w:val="00740B0F"/>
    <w:pPr>
      <w:numPr>
        <w:numId w:val="7"/>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740B0F"/>
    <w:pPr>
      <w:numPr>
        <w:ilvl w:val="1"/>
      </w:numPr>
    </w:pPr>
  </w:style>
  <w:style w:type="paragraph" w:customStyle="1" w:styleId="ListBullet3">
    <w:name w:val="~ListBullet3"/>
    <w:basedOn w:val="ListBullet2"/>
    <w:uiPriority w:val="3"/>
    <w:qFormat/>
    <w:rsid w:val="00740B0F"/>
    <w:pPr>
      <w:numPr>
        <w:ilvl w:val="2"/>
      </w:numPr>
    </w:pPr>
  </w:style>
  <w:style w:type="paragraph" w:styleId="Sinespaciado">
    <w:name w:val="No Spacing"/>
    <w:uiPriority w:val="99"/>
    <w:qFormat/>
    <w:rsid w:val="00740B0F"/>
    <w:pPr>
      <w:jc w:val="both"/>
    </w:pPr>
    <w:rPr>
      <w:rFonts w:ascii="ITC Avant Garde" w:hAnsi="ITC Avant Garde"/>
      <w:sz w:val="22"/>
      <w:szCs w:val="22"/>
      <w:lang w:eastAsia="en-US"/>
    </w:rPr>
  </w:style>
  <w:style w:type="paragraph" w:customStyle="1" w:styleId="TableTextLeft">
    <w:name w:val="~TableTextLeft"/>
    <w:basedOn w:val="Normal"/>
    <w:qFormat/>
    <w:rsid w:val="00380791"/>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380791"/>
    <w:rPr>
      <w:b/>
      <w:bCs/>
      <w:color w:val="A5A5A5" w:themeColor="accent3"/>
    </w:rPr>
  </w:style>
  <w:style w:type="table" w:styleId="Tablaconcuadrcula4-nfasis6">
    <w:name w:val="Grid Table 4 Accent 6"/>
    <w:basedOn w:val="Tablanormal"/>
    <w:uiPriority w:val="49"/>
    <w:rsid w:val="00380791"/>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i w:val="0"/>
        <w:color w:val="A5A5A5" w:themeColor="accent3"/>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71"/>
    <w:unhideWhenUsed/>
    <w:rsid w:val="00C44FCF"/>
    <w:rPr>
      <w:rFonts w:ascii="ITC Avant Garde" w:hAnsi="ITC Avant Gar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29813495">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244486258">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52838115">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anexo_1_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7DF2-192E-485D-92EF-EB99C254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4197</Words>
  <Characters>22793</Characters>
  <Application>Microsoft Office Word</Application>
  <DocSecurity>0</DocSecurity>
  <Lines>542</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26784</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CGMR</dc:creator>
  <cp:keywords/>
  <dc:description/>
  <cp:lastModifiedBy>CGMR</cp:lastModifiedBy>
  <cp:revision>3</cp:revision>
  <cp:lastPrinted>2025-06-04T14:46:00Z</cp:lastPrinted>
  <dcterms:created xsi:type="dcterms:W3CDTF">2025-06-04T14:45:00Z</dcterms:created>
  <dcterms:modified xsi:type="dcterms:W3CDTF">2025-06-04T14:46:00Z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ew0KICAiZG9jSUQiOiAiNmI1Mzg4NGItNmE2Ni00ZjEzLWIzZjYtYTM5YWExOGY0ZDA4Ig0KfQ==</vt:lpwstr>
  </property>
  <property fmtid="{D5CDD505-2E9C-101B-9397-08002B2CF9AE}" pid="3" name="GVData0">
    <vt:lpwstr>(end)</vt:lpwstr>
  </property>
</Properties>
</file>