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EFA4" w14:textId="77777777" w:rsidR="00C84BB4" w:rsidRDefault="00C84BB4" w:rsidP="007A6974">
      <w:pPr>
        <w:spacing w:after="0"/>
        <w:jc w:val="center"/>
        <w:rPr>
          <w:rFonts w:ascii="ITC Avant Garde" w:hAnsi="ITC Avant Garde"/>
          <w:b/>
        </w:rPr>
      </w:pPr>
    </w:p>
    <w:p w14:paraId="11D13B2D"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22D7E399" w14:textId="77777777" w:rsidR="006601AF" w:rsidRPr="00F36A5D" w:rsidRDefault="006601AF" w:rsidP="00C900FF">
      <w:pPr>
        <w:spacing w:after="0"/>
        <w:rPr>
          <w:rFonts w:ascii="ITC Avant Garde" w:hAnsi="ITC Avant Garde"/>
          <w:b/>
        </w:rPr>
      </w:pPr>
    </w:p>
    <w:p w14:paraId="4F432B8A"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5EEA277F" w14:textId="77777777" w:rsidR="004970C4" w:rsidRPr="00F36A5D" w:rsidRDefault="004970C4" w:rsidP="007A6974">
      <w:pPr>
        <w:spacing w:after="0"/>
        <w:rPr>
          <w:rFonts w:ascii="ITC Avant Garde" w:hAnsi="ITC Avant Garde"/>
          <w:b/>
          <w:sz w:val="16"/>
        </w:rPr>
      </w:pPr>
    </w:p>
    <w:p w14:paraId="57FA0F39" w14:textId="2C7E151E"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hyperlink r:id="rId11" w:history="1">
        <w:r w:rsidR="00934A6B" w:rsidRPr="00792A72">
          <w:rPr>
            <w:rStyle w:val="Hipervnculo"/>
            <w:rFonts w:ascii="ITC Avant Garde" w:hAnsi="ITC Avant Garde"/>
            <w:sz w:val="14"/>
            <w:szCs w:val="14"/>
          </w:rPr>
          <w:t>info.upr@ift.org.mx</w:t>
        </w:r>
      </w:hyperlink>
      <w:r w:rsidRPr="00F36A5D">
        <w:rPr>
          <w:rFonts w:ascii="ITC Avant Garde" w:hAnsi="ITC Avant Garde"/>
          <w:sz w:val="14"/>
          <w:szCs w:val="14"/>
        </w:rPr>
        <w:t>,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Mb</w:t>
      </w:r>
      <w:r w:rsidRPr="00F36A5D">
        <w:rPr>
          <w:rFonts w:ascii="ITC Avant Garde" w:hAnsi="ITC Avant Garde"/>
          <w:sz w:val="14"/>
          <w:szCs w:val="14"/>
        </w:rPr>
        <w:t>.</w:t>
      </w:r>
    </w:p>
    <w:p w14:paraId="2F26E09D"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0183B7E3"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35323291"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61CAB9DE"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14:paraId="39497325"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51D32D67" w14:textId="6CC00372"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El período de </w:t>
      </w:r>
      <w:r w:rsidR="008F40BD">
        <w:rPr>
          <w:rFonts w:ascii="ITC Avant Garde" w:hAnsi="ITC Avant Garde"/>
          <w:sz w:val="14"/>
          <w:szCs w:val="14"/>
        </w:rPr>
        <w:t>C</w:t>
      </w:r>
      <w:r w:rsidR="008F40BD" w:rsidRPr="00F36A5D">
        <w:rPr>
          <w:rFonts w:ascii="ITC Avant Garde" w:hAnsi="ITC Avant Garde"/>
          <w:sz w:val="14"/>
          <w:szCs w:val="14"/>
        </w:rPr>
        <w:t xml:space="preserve">onsulta </w:t>
      </w:r>
      <w:r w:rsidR="008F40BD">
        <w:rPr>
          <w:rFonts w:ascii="ITC Avant Garde" w:hAnsi="ITC Avant Garde"/>
          <w:sz w:val="14"/>
          <w:szCs w:val="14"/>
        </w:rPr>
        <w:t>P</w:t>
      </w:r>
      <w:r w:rsidR="008F40BD" w:rsidRPr="00F36A5D">
        <w:rPr>
          <w:rFonts w:ascii="ITC Avant Garde" w:hAnsi="ITC Avant Garde"/>
          <w:sz w:val="14"/>
          <w:szCs w:val="14"/>
        </w:rPr>
        <w:t xml:space="preserve">ública </w:t>
      </w:r>
      <w:r w:rsidRPr="00F36A5D">
        <w:rPr>
          <w:rFonts w:ascii="ITC Avant Garde" w:hAnsi="ITC Avant Garde"/>
          <w:sz w:val="14"/>
          <w:szCs w:val="14"/>
        </w:rPr>
        <w:t>será del</w:t>
      </w:r>
      <w:r w:rsidR="000D2838" w:rsidRPr="00F36A5D">
        <w:rPr>
          <w:rFonts w:ascii="ITC Avant Garde" w:hAnsi="ITC Avant Garde"/>
          <w:sz w:val="14"/>
          <w:szCs w:val="14"/>
        </w:rPr>
        <w:t xml:space="preserve"> </w:t>
      </w:r>
      <w:r w:rsidR="00712EE6">
        <w:rPr>
          <w:rFonts w:ascii="ITC Avant Garde" w:hAnsi="ITC Avant Garde"/>
          <w:sz w:val="14"/>
          <w:szCs w:val="14"/>
        </w:rPr>
        <w:t>1</w:t>
      </w:r>
      <w:r w:rsidR="009E23FD">
        <w:rPr>
          <w:rFonts w:ascii="ITC Avant Garde" w:hAnsi="ITC Avant Garde"/>
          <w:sz w:val="14"/>
          <w:szCs w:val="14"/>
        </w:rPr>
        <w:t>1</w:t>
      </w:r>
      <w:r w:rsidR="008C679D" w:rsidRPr="00F36A5D">
        <w:rPr>
          <w:rFonts w:ascii="ITC Avant Garde" w:hAnsi="ITC Avant Garde"/>
          <w:sz w:val="14"/>
          <w:szCs w:val="14"/>
        </w:rPr>
        <w:t xml:space="preserve"> de</w:t>
      </w:r>
      <w:r w:rsidR="006968F7">
        <w:rPr>
          <w:rFonts w:ascii="ITC Avant Garde" w:hAnsi="ITC Avant Garde"/>
          <w:sz w:val="14"/>
          <w:szCs w:val="14"/>
        </w:rPr>
        <w:t xml:space="preserve"> abril</w:t>
      </w:r>
      <w:r w:rsidR="000D2838" w:rsidRPr="00F36A5D">
        <w:rPr>
          <w:rFonts w:ascii="ITC Avant Garde" w:hAnsi="ITC Avant Garde"/>
          <w:sz w:val="14"/>
          <w:szCs w:val="14"/>
        </w:rPr>
        <w:t xml:space="preserve"> al </w:t>
      </w:r>
      <w:r w:rsidR="009E23FD">
        <w:rPr>
          <w:rFonts w:ascii="ITC Avant Garde" w:hAnsi="ITC Avant Garde"/>
          <w:sz w:val="14"/>
          <w:szCs w:val="14"/>
        </w:rPr>
        <w:t>02</w:t>
      </w:r>
      <w:r w:rsidR="009E23FD">
        <w:rPr>
          <w:rFonts w:ascii="ITC Avant Garde" w:hAnsi="ITC Avant Garde"/>
          <w:sz w:val="14"/>
          <w:szCs w:val="14"/>
        </w:rPr>
        <w:t xml:space="preserve"> </w:t>
      </w:r>
      <w:r w:rsidR="006968F7">
        <w:rPr>
          <w:rFonts w:ascii="ITC Avant Garde" w:hAnsi="ITC Avant Garde"/>
          <w:sz w:val="14"/>
          <w:szCs w:val="14"/>
        </w:rPr>
        <w:t xml:space="preserve">de </w:t>
      </w:r>
      <w:r w:rsidR="00C07842">
        <w:rPr>
          <w:rFonts w:ascii="ITC Avant Garde" w:hAnsi="ITC Avant Garde"/>
          <w:sz w:val="14"/>
          <w:szCs w:val="14"/>
        </w:rPr>
        <w:t xml:space="preserve">mayo </w:t>
      </w:r>
      <w:r w:rsidR="00C07842" w:rsidRPr="00F36A5D">
        <w:rPr>
          <w:rFonts w:ascii="ITC Avant Garde" w:hAnsi="ITC Avant Garde"/>
          <w:sz w:val="14"/>
          <w:szCs w:val="14"/>
        </w:rPr>
        <w:t>de</w:t>
      </w:r>
      <w:r w:rsidR="000D2838" w:rsidRPr="00F36A5D">
        <w:rPr>
          <w:rFonts w:ascii="ITC Avant Garde" w:hAnsi="ITC Avant Garde"/>
          <w:sz w:val="14"/>
          <w:szCs w:val="14"/>
        </w:rPr>
        <w:t xml:space="preserve"> 20</w:t>
      </w:r>
      <w:r w:rsidR="000068C8">
        <w:rPr>
          <w:rFonts w:ascii="ITC Avant Garde" w:hAnsi="ITC Avant Garde"/>
          <w:sz w:val="14"/>
          <w:szCs w:val="14"/>
        </w:rPr>
        <w:t>2</w:t>
      </w:r>
      <w:r w:rsidR="006968F7">
        <w:rPr>
          <w:rFonts w:ascii="ITC Avant Garde" w:hAnsi="ITC Avant Garde"/>
          <w:sz w:val="14"/>
          <w:szCs w:val="14"/>
        </w:rPr>
        <w:t>5</w:t>
      </w:r>
      <w:r w:rsidR="002C0E40">
        <w:rPr>
          <w:rFonts w:ascii="ITC Avant Garde" w:hAnsi="ITC Avant Garde"/>
          <w:sz w:val="14"/>
          <w:szCs w:val="14"/>
        </w:rPr>
        <w:t xml:space="preserve"> </w:t>
      </w:r>
      <w:r w:rsidR="002C0E40" w:rsidRPr="009B5F19">
        <w:rPr>
          <w:rFonts w:ascii="ITC Avant Garde" w:hAnsi="ITC Avant Garde" w:cs="Arial"/>
          <w:sz w:val="14"/>
          <w:szCs w:val="14"/>
        </w:rPr>
        <w:t xml:space="preserve">(i.e. </w:t>
      </w:r>
      <w:r w:rsidR="006968F7" w:rsidRPr="009B5F19">
        <w:rPr>
          <w:rFonts w:ascii="ITC Avant Garde" w:hAnsi="ITC Avant Garde" w:cs="Arial"/>
          <w:sz w:val="14"/>
          <w:szCs w:val="14"/>
        </w:rPr>
        <w:t xml:space="preserve">10 </w:t>
      </w:r>
      <w:r w:rsidR="002C0E40" w:rsidRPr="009B5F19">
        <w:rPr>
          <w:rFonts w:ascii="ITC Avant Garde" w:hAnsi="ITC Avant Garde" w:cs="Arial"/>
          <w:sz w:val="14"/>
          <w:szCs w:val="14"/>
        </w:rPr>
        <w:t xml:space="preserve">días </w:t>
      </w:r>
      <w:r w:rsidR="006968F7" w:rsidRPr="009B5F19">
        <w:rPr>
          <w:rFonts w:ascii="ITC Avant Garde" w:hAnsi="ITC Avant Garde" w:cs="Arial"/>
          <w:sz w:val="14"/>
          <w:szCs w:val="14"/>
        </w:rPr>
        <w:t>hábiles</w:t>
      </w:r>
      <w:r w:rsidR="002C0E40" w:rsidRPr="009B5F19">
        <w:rPr>
          <w:rFonts w:ascii="ITC Avant Garde" w:hAnsi="ITC Avant Garde" w:cs="Arial"/>
          <w:sz w:val="14"/>
          <w:szCs w:val="14"/>
        </w:rPr>
        <w:t>)</w:t>
      </w:r>
      <w:r w:rsidRPr="00934A6B">
        <w:rPr>
          <w:rFonts w:ascii="ITC Avant Garde" w:hAnsi="ITC Avant Garde"/>
          <w:sz w:val="14"/>
          <w:szCs w:val="14"/>
        </w:rPr>
        <w:t>.</w:t>
      </w:r>
      <w:r w:rsidRPr="00F36A5D">
        <w:rPr>
          <w:rFonts w:ascii="ITC Avant Garde" w:hAnsi="ITC Avant Garde"/>
          <w:sz w:val="14"/>
          <w:szCs w:val="14"/>
        </w:rPr>
        <w:t xml:space="preserve"> 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2"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2D81B5E4" w14:textId="20D19F12" w:rsidR="006601AF" w:rsidRPr="00F36A5D" w:rsidRDefault="000D2838"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Para cualquier duda, comentario o inquietud sobre el presente proceso consultivo, el Instituto pone a </w:t>
      </w:r>
      <w:r w:rsidR="008F2B1A" w:rsidRPr="00F36A5D">
        <w:rPr>
          <w:rFonts w:ascii="ITC Avant Garde" w:hAnsi="ITC Avant Garde"/>
          <w:sz w:val="14"/>
          <w:szCs w:val="14"/>
        </w:rPr>
        <w:t xml:space="preserve">su </w:t>
      </w:r>
      <w:r w:rsidR="00A75A67" w:rsidRPr="00F36A5D">
        <w:rPr>
          <w:rFonts w:ascii="ITC Avant Garde" w:hAnsi="ITC Avant Garde"/>
          <w:sz w:val="14"/>
          <w:szCs w:val="14"/>
        </w:rPr>
        <w:t>disposición</w:t>
      </w:r>
      <w:r w:rsidR="00F212B2" w:rsidRPr="00F36A5D">
        <w:rPr>
          <w:rFonts w:ascii="ITC Avant Garde" w:hAnsi="ITC Avant Garde"/>
          <w:sz w:val="14"/>
          <w:szCs w:val="14"/>
        </w:rPr>
        <w:t xml:space="preserve"> </w:t>
      </w:r>
      <w:r w:rsidR="00A75A67" w:rsidRPr="00F36A5D">
        <w:rPr>
          <w:rFonts w:ascii="ITC Avant Garde" w:hAnsi="ITC Avant Garde"/>
          <w:sz w:val="14"/>
          <w:szCs w:val="14"/>
        </w:rPr>
        <w:t>el</w:t>
      </w:r>
      <w:r w:rsidRPr="00F36A5D">
        <w:rPr>
          <w:rFonts w:ascii="ITC Avant Garde" w:hAnsi="ITC Avant Garde"/>
          <w:sz w:val="14"/>
          <w:szCs w:val="14"/>
        </w:rPr>
        <w:t xml:space="preserve"> siguiente punto de contacto: </w:t>
      </w:r>
      <w:r w:rsidR="00281E3B">
        <w:rPr>
          <w:rFonts w:ascii="ITC Avant Garde" w:hAnsi="ITC Avant Garde"/>
          <w:sz w:val="14"/>
          <w:szCs w:val="14"/>
        </w:rPr>
        <w:t xml:space="preserve">Dulce María </w:t>
      </w:r>
      <w:r w:rsidR="007E223F">
        <w:rPr>
          <w:rFonts w:ascii="ITC Avant Garde" w:hAnsi="ITC Avant Garde"/>
          <w:sz w:val="14"/>
          <w:szCs w:val="14"/>
        </w:rPr>
        <w:t>Á</w:t>
      </w:r>
      <w:r w:rsidR="00281E3B">
        <w:rPr>
          <w:rFonts w:ascii="ITC Avant Garde" w:hAnsi="ITC Avant Garde"/>
          <w:sz w:val="14"/>
          <w:szCs w:val="14"/>
        </w:rPr>
        <w:t>lvarez Núñez</w:t>
      </w:r>
      <w:r w:rsidR="000E41F3" w:rsidRPr="00F36A5D">
        <w:rPr>
          <w:rFonts w:ascii="ITC Avant Garde" w:hAnsi="ITC Avant Garde"/>
          <w:sz w:val="14"/>
          <w:szCs w:val="14"/>
        </w:rPr>
        <w:t xml:space="preserve">, </w:t>
      </w:r>
      <w:proofErr w:type="gramStart"/>
      <w:r w:rsidR="006C1685">
        <w:rPr>
          <w:rFonts w:ascii="ITC Avant Garde" w:hAnsi="ITC Avant Garde"/>
          <w:sz w:val="14"/>
          <w:szCs w:val="14"/>
        </w:rPr>
        <w:t>Subdirector</w:t>
      </w:r>
      <w:r w:rsidR="00934A6B">
        <w:rPr>
          <w:rFonts w:ascii="ITC Avant Garde" w:hAnsi="ITC Avant Garde"/>
          <w:sz w:val="14"/>
          <w:szCs w:val="14"/>
        </w:rPr>
        <w:t>a</w:t>
      </w:r>
      <w:proofErr w:type="gramEnd"/>
      <w:r w:rsidR="006C1685">
        <w:rPr>
          <w:rFonts w:ascii="ITC Avant Garde" w:hAnsi="ITC Avant Garde"/>
          <w:sz w:val="14"/>
          <w:szCs w:val="14"/>
        </w:rPr>
        <w:t xml:space="preserve"> de Criterios Técnicos</w:t>
      </w:r>
      <w:r w:rsidR="000E41F3" w:rsidRPr="00F36A5D">
        <w:rPr>
          <w:rFonts w:ascii="ITC Avant Garde" w:hAnsi="ITC Avant Garde"/>
          <w:sz w:val="14"/>
          <w:szCs w:val="14"/>
        </w:rPr>
        <w:t xml:space="preserve">, </w:t>
      </w:r>
      <w:r w:rsidRPr="00F36A5D">
        <w:rPr>
          <w:rFonts w:ascii="ITC Avant Garde" w:hAnsi="ITC Avant Garde"/>
          <w:sz w:val="14"/>
          <w:szCs w:val="14"/>
        </w:rPr>
        <w:t xml:space="preserve">correo electrónico: </w:t>
      </w:r>
      <w:hyperlink r:id="rId13" w:history="1">
        <w:r w:rsidR="00281E3B" w:rsidRPr="00B40DB6">
          <w:rPr>
            <w:rStyle w:val="Hipervnculo"/>
            <w:rFonts w:ascii="ITC Avant Garde" w:hAnsi="ITC Avant Garde"/>
            <w:sz w:val="14"/>
            <w:szCs w:val="14"/>
          </w:rPr>
          <w:t>dulce.alvarez@ift.org.mx</w:t>
        </w:r>
      </w:hyperlink>
      <w:r w:rsidR="00A75A67" w:rsidRPr="00F36A5D">
        <w:rPr>
          <w:rFonts w:ascii="ITC Avant Garde" w:hAnsi="ITC Avant Garde"/>
          <w:sz w:val="14"/>
          <w:szCs w:val="14"/>
        </w:rPr>
        <w:t xml:space="preserve"> o bien, a través del </w:t>
      </w:r>
      <w:r w:rsidRPr="00F36A5D">
        <w:rPr>
          <w:rFonts w:ascii="ITC Avant Garde" w:hAnsi="ITC Avant Garde"/>
          <w:sz w:val="14"/>
          <w:szCs w:val="14"/>
        </w:rPr>
        <w:t xml:space="preserve">número telefónico 55 </w:t>
      </w:r>
      <w:r w:rsidR="004D5EAB" w:rsidRPr="00F36A5D">
        <w:rPr>
          <w:rFonts w:ascii="ITC Avant Garde" w:hAnsi="ITC Avant Garde"/>
          <w:sz w:val="14"/>
          <w:szCs w:val="14"/>
        </w:rPr>
        <w:t>5015</w:t>
      </w:r>
      <w:r w:rsidR="00600DB8">
        <w:rPr>
          <w:rFonts w:ascii="ITC Avant Garde" w:hAnsi="ITC Avant Garde"/>
          <w:sz w:val="14"/>
          <w:szCs w:val="14"/>
        </w:rPr>
        <w:t xml:space="preserve"> </w:t>
      </w:r>
      <w:r w:rsidR="000068C8">
        <w:rPr>
          <w:rFonts w:ascii="ITC Avant Garde" w:hAnsi="ITC Avant Garde"/>
          <w:sz w:val="14"/>
          <w:szCs w:val="14"/>
        </w:rPr>
        <w:t>4</w:t>
      </w:r>
      <w:r w:rsidR="006C1685">
        <w:rPr>
          <w:rFonts w:ascii="ITC Avant Garde" w:hAnsi="ITC Avant Garde"/>
          <w:sz w:val="14"/>
          <w:szCs w:val="14"/>
        </w:rPr>
        <w:t>735</w:t>
      </w:r>
      <w:r w:rsidR="0038199D" w:rsidRPr="00F36A5D">
        <w:rPr>
          <w:rFonts w:ascii="ITC Avant Garde" w:hAnsi="ITC Avant Garde"/>
          <w:sz w:val="14"/>
          <w:szCs w:val="14"/>
        </w:rPr>
        <w:t>.</w:t>
      </w:r>
    </w:p>
    <w:p w14:paraId="642BADC3" w14:textId="77777777"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34F90C04" w14:textId="77777777" w:rsidTr="00297840">
        <w:trPr>
          <w:trHeight w:val="600"/>
          <w:jc w:val="center"/>
        </w:trPr>
        <w:tc>
          <w:tcPr>
            <w:tcW w:w="8742" w:type="dxa"/>
            <w:gridSpan w:val="2"/>
            <w:shd w:val="clear" w:color="auto" w:fill="D9D9D9"/>
            <w:vAlign w:val="center"/>
            <w:hideMark/>
          </w:tcPr>
          <w:p w14:paraId="7AB60C0B"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2964FCF1" w14:textId="77777777" w:rsidTr="00297840">
        <w:trPr>
          <w:trHeight w:val="509"/>
          <w:jc w:val="center"/>
        </w:trPr>
        <w:tc>
          <w:tcPr>
            <w:tcW w:w="4679" w:type="dxa"/>
            <w:shd w:val="clear" w:color="auto" w:fill="C5E0B3"/>
            <w:vAlign w:val="center"/>
            <w:hideMark/>
          </w:tcPr>
          <w:p w14:paraId="514EBF68"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5511DD56"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7ED78945" w14:textId="77777777" w:rsidTr="00297840">
        <w:trPr>
          <w:trHeight w:val="403"/>
          <w:jc w:val="center"/>
        </w:trPr>
        <w:tc>
          <w:tcPr>
            <w:tcW w:w="4679" w:type="dxa"/>
            <w:shd w:val="clear" w:color="auto" w:fill="E2EFD9"/>
            <w:vAlign w:val="center"/>
            <w:hideMark/>
          </w:tcPr>
          <w:p w14:paraId="22487515"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50C05DB3"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DF154A" w:rsidRPr="00F36A5D" w14:paraId="7C682966" w14:textId="77777777" w:rsidTr="00297840">
        <w:trPr>
          <w:trHeight w:val="523"/>
          <w:jc w:val="center"/>
        </w:trPr>
        <w:tc>
          <w:tcPr>
            <w:tcW w:w="4679" w:type="dxa"/>
            <w:shd w:val="clear" w:color="auto" w:fill="C5E0B3"/>
            <w:vAlign w:val="center"/>
            <w:hideMark/>
          </w:tcPr>
          <w:p w14:paraId="2DBA15D4" w14:textId="77777777" w:rsidR="00605BD9"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56E41FEF" w14:textId="77777777" w:rsidR="000A5CFB"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sidR="003D2703">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r w:rsidR="004970C4" w:rsidRPr="00F36A5D">
              <w:rPr>
                <w:rFonts w:ascii="ITC Avant Garde" w:eastAsia="Times New Roman" w:hAnsi="ITC Avant Garde"/>
                <w:bCs/>
                <w:color w:val="000000"/>
                <w:sz w:val="14"/>
                <w:szCs w:val="20"/>
                <w:lang w:eastAsia="es-MX"/>
              </w:rPr>
              <w:t>.</w:t>
            </w:r>
          </w:p>
        </w:tc>
        <w:tc>
          <w:tcPr>
            <w:tcW w:w="4063" w:type="dxa"/>
            <w:shd w:val="clear" w:color="auto" w:fill="auto"/>
            <w:vAlign w:val="center"/>
            <w:hideMark/>
          </w:tcPr>
          <w:p w14:paraId="08A9FD54" w14:textId="7810EA27" w:rsidR="00DF154A" w:rsidRPr="00F36A5D" w:rsidRDefault="0090633E">
            <w:pPr>
              <w:spacing w:after="0" w:line="240" w:lineRule="auto"/>
              <w:jc w:val="center"/>
              <w:rPr>
                <w:rFonts w:ascii="ITC Avant Garde" w:eastAsia="Times New Roman" w:hAnsi="ITC Avant Garde"/>
                <w:color w:val="000000"/>
                <w:sz w:val="20"/>
                <w:lang w:eastAsia="es-MX"/>
              </w:rPr>
            </w:pPr>
            <w:sdt>
              <w:sdtPr>
                <w:rPr>
                  <w:rFonts w:ascii="ITC Avant Garde" w:eastAsia="Times New Roman" w:hAnsi="ITC Avant Garde" w:cs="Arial"/>
                  <w:color w:val="000000"/>
                  <w:sz w:val="20"/>
                  <w:lang w:eastAsia="es-MX"/>
                </w:rPr>
                <w:tag w:val="(Seleccione opción)"/>
                <w:id w:val="1931310767"/>
                <w:placeholder>
                  <w:docPart w:val="684CA74AD9C3420F9D596BD3C82F9303"/>
                </w:placeholder>
                <w:comboBox>
                  <w:listItem w:value="Seleccione un elemento"/>
                  <w:listItem w:displayText="Acta Constitutiva" w:value="Acta Constitutiva"/>
                  <w:listItem w:displayText="Poder Notarial" w:value="Poder Notarial"/>
                  <w:listItem w:displayText="Carta Poder" w:value="Carta Poder"/>
                </w:comboBox>
              </w:sdtPr>
              <w:sdtEndPr/>
              <w:sdtContent>
                <w:r w:rsidR="00AE0DC5" w:rsidRPr="00B81578">
                  <w:rPr>
                    <w:rFonts w:ascii="ITC Avant Garde" w:eastAsia="Times New Roman" w:hAnsi="ITC Avant Garde" w:cs="Arial"/>
                    <w:color w:val="000000"/>
                    <w:sz w:val="20"/>
                    <w:lang w:eastAsia="es-MX"/>
                  </w:rPr>
                  <w:t>Elija un elemento</w:t>
                </w:r>
                <w:r w:rsidR="00AE0DC5">
                  <w:rPr>
                    <w:rFonts w:ascii="ITC Avant Garde" w:eastAsia="Times New Roman" w:hAnsi="ITC Avant Garde" w:cs="Arial"/>
                    <w:color w:val="000000"/>
                    <w:sz w:val="20"/>
                    <w:lang w:eastAsia="es-MX"/>
                  </w:rPr>
                  <w:t>.</w:t>
                </w:r>
              </w:sdtContent>
            </w:sdt>
            <w:r w:rsidR="00AE0DC5" w:rsidRPr="00F36A5D" w:rsidDel="00870A1B">
              <w:rPr>
                <w:rStyle w:val="Cuadrculamedia11"/>
                <w:rFonts w:ascii="ITC Avant Garde" w:hAnsi="ITC Avant Garde"/>
                <w:sz w:val="20"/>
              </w:rPr>
              <w:t xml:space="preserve"> </w:t>
            </w:r>
          </w:p>
        </w:tc>
      </w:tr>
      <w:tr w:rsidR="00DF154A" w:rsidRPr="00F36A5D" w14:paraId="4F972A73" w14:textId="77777777" w:rsidTr="00297840">
        <w:trPr>
          <w:trHeight w:val="300"/>
          <w:jc w:val="center"/>
        </w:trPr>
        <w:tc>
          <w:tcPr>
            <w:tcW w:w="8742" w:type="dxa"/>
            <w:gridSpan w:val="2"/>
            <w:shd w:val="clear" w:color="auto" w:fill="D9D9D9"/>
            <w:noWrap/>
            <w:vAlign w:val="center"/>
            <w:hideMark/>
          </w:tcPr>
          <w:p w14:paraId="43091C80" w14:textId="6445A76D"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006C1685">
              <w:rPr>
                <w:rFonts w:ascii="ITC Avant Garde" w:hAnsi="ITC Avant Garde"/>
                <w:b/>
              </w:rPr>
              <w:t>UNIDAD DE POLITICA REGULATORIA</w:t>
            </w:r>
          </w:p>
        </w:tc>
      </w:tr>
      <w:tr w:rsidR="00DF154A" w:rsidRPr="00F36A5D" w14:paraId="2A930E9A" w14:textId="77777777" w:rsidTr="00297840">
        <w:trPr>
          <w:trHeight w:val="274"/>
          <w:jc w:val="center"/>
        </w:trPr>
        <w:tc>
          <w:tcPr>
            <w:tcW w:w="8742" w:type="dxa"/>
            <w:gridSpan w:val="2"/>
            <w:shd w:val="clear" w:color="auto" w:fill="auto"/>
            <w:vAlign w:val="center"/>
            <w:hideMark/>
          </w:tcPr>
          <w:p w14:paraId="75445058"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58CB469D"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0960DE9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448DDE3"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5A7537C9"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5DEA108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789FF0F"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040ADCBC"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2FC2DC8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1941FA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0A8E60D9" w14:textId="69AA3348"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sidR="006C1685" w:rsidRPr="003E3645">
              <w:rPr>
                <w:rFonts w:ascii="ITC Avant Garde" w:eastAsia="Times New Roman" w:hAnsi="ITC Avant Garde"/>
                <w:color w:val="000000"/>
                <w:sz w:val="14"/>
                <w:szCs w:val="16"/>
                <w:lang w:eastAsia="es-MX"/>
              </w:rPr>
              <w:t>Unidad de</w:t>
            </w:r>
            <w:r w:rsidR="003E3645" w:rsidRPr="003E3645">
              <w:rPr>
                <w:rFonts w:ascii="ITC Avant Garde" w:eastAsia="Times New Roman" w:hAnsi="ITC Avant Garde"/>
                <w:color w:val="000000"/>
                <w:sz w:val="14"/>
                <w:szCs w:val="16"/>
                <w:lang w:eastAsia="es-MX"/>
              </w:rPr>
              <w:t xml:space="preserve"> Política Regulatoria</w:t>
            </w:r>
            <w:r w:rsidRPr="00F04B09">
              <w:rPr>
                <w:rFonts w:ascii="ITC Avant Garde" w:eastAsia="Times New Roman" w:hAnsi="ITC Avant Garde"/>
                <w:color w:val="000000"/>
                <w:sz w:val="14"/>
                <w:szCs w:val="16"/>
                <w:lang w:eastAsia="es-MX"/>
              </w:rPr>
              <w:t>, son los siguientes:</w:t>
            </w:r>
          </w:p>
          <w:p w14:paraId="132613E4"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de identificación: Nombre completo y Correo electrónico.</w:t>
            </w:r>
          </w:p>
          <w:p w14:paraId="36D5C801"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lastRenderedPageBreak/>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42668E5A"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14:paraId="736FF12D"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28844D6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69B0EA9"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358E4ED9" w14:textId="56B888AA"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IFT, a través de la </w:t>
            </w:r>
            <w:r w:rsidR="003E3645">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14:paraId="2F73B29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4967FC8"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1CB0CEFC" w14:textId="669335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sidR="003E3645">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14:paraId="46015D48" w14:textId="3B39AAEE"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 xml:space="preserve">Divulgar íntegramente la documentación referente a los comentarios, opiniones y/o aportaciones que deriven de la participación de las personas físicas en los procesos de </w:t>
            </w:r>
            <w:r w:rsidR="008F40BD">
              <w:rPr>
                <w:rFonts w:ascii="ITC Avant Garde" w:eastAsia="Times New Roman" w:hAnsi="ITC Avant Garde"/>
                <w:i/>
                <w:color w:val="000000"/>
                <w:sz w:val="14"/>
                <w:szCs w:val="16"/>
                <w:lang w:eastAsia="es-MX"/>
              </w:rPr>
              <w:t>C</w:t>
            </w:r>
            <w:r w:rsidR="008F40BD" w:rsidRPr="00F04B09">
              <w:rPr>
                <w:rFonts w:ascii="ITC Avant Garde" w:eastAsia="Times New Roman" w:hAnsi="ITC Avant Garde"/>
                <w:i/>
                <w:color w:val="000000"/>
                <w:sz w:val="14"/>
                <w:szCs w:val="16"/>
                <w:lang w:eastAsia="es-MX"/>
              </w:rPr>
              <w:t xml:space="preserve">onsulta </w:t>
            </w:r>
            <w:r w:rsidR="008F40BD">
              <w:rPr>
                <w:rFonts w:ascii="ITC Avant Garde" w:eastAsia="Times New Roman" w:hAnsi="ITC Avant Garde"/>
                <w:i/>
                <w:color w:val="000000"/>
                <w:sz w:val="14"/>
                <w:szCs w:val="16"/>
                <w:lang w:eastAsia="es-MX"/>
              </w:rPr>
              <w:t>P</w:t>
            </w:r>
            <w:r w:rsidR="008F40BD" w:rsidRPr="00F04B09">
              <w:rPr>
                <w:rFonts w:ascii="ITC Avant Garde" w:eastAsia="Times New Roman" w:hAnsi="ITC Avant Garde"/>
                <w:i/>
                <w:color w:val="000000"/>
                <w:sz w:val="14"/>
                <w:szCs w:val="16"/>
                <w:lang w:eastAsia="es-MX"/>
              </w:rPr>
              <w:t xml:space="preserve">ública </w:t>
            </w:r>
            <w:r w:rsidRPr="00F04B09">
              <w:rPr>
                <w:rFonts w:ascii="ITC Avant Garde" w:eastAsia="Times New Roman" w:hAnsi="ITC Avant Garde"/>
                <w:i/>
                <w:color w:val="000000"/>
                <w:sz w:val="14"/>
                <w:szCs w:val="16"/>
                <w:lang w:eastAsia="es-MX"/>
              </w:rPr>
              <w:t>a cargo del IFT.</w:t>
            </w:r>
          </w:p>
          <w:p w14:paraId="3D6474CA" w14:textId="0066CBE5"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 xml:space="preserve">Hacer llegar al IFT, mediante la dirección electrónica habilitada para ello, su participación en los procesos de </w:t>
            </w:r>
            <w:r w:rsidR="008F40BD">
              <w:rPr>
                <w:rFonts w:ascii="ITC Avant Garde" w:eastAsia="Times New Roman" w:hAnsi="ITC Avant Garde"/>
                <w:i/>
                <w:color w:val="000000"/>
                <w:sz w:val="14"/>
                <w:szCs w:val="16"/>
                <w:lang w:eastAsia="es-MX"/>
              </w:rPr>
              <w:t>C</w:t>
            </w:r>
            <w:r w:rsidR="008F40BD" w:rsidRPr="00F04B09">
              <w:rPr>
                <w:rFonts w:ascii="ITC Avant Garde" w:eastAsia="Times New Roman" w:hAnsi="ITC Avant Garde"/>
                <w:i/>
                <w:color w:val="000000"/>
                <w:sz w:val="14"/>
                <w:szCs w:val="16"/>
                <w:lang w:eastAsia="es-MX"/>
              </w:rPr>
              <w:t xml:space="preserve">onsulta </w:t>
            </w:r>
            <w:r w:rsidR="008F40BD">
              <w:rPr>
                <w:rFonts w:ascii="ITC Avant Garde" w:eastAsia="Times New Roman" w:hAnsi="ITC Avant Garde"/>
                <w:i/>
                <w:color w:val="000000"/>
                <w:sz w:val="14"/>
                <w:szCs w:val="16"/>
                <w:lang w:eastAsia="es-MX"/>
              </w:rPr>
              <w:t>P</w:t>
            </w:r>
            <w:r w:rsidR="008F40BD" w:rsidRPr="00F04B09">
              <w:rPr>
                <w:rFonts w:ascii="ITC Avant Garde" w:eastAsia="Times New Roman" w:hAnsi="ITC Avant Garde"/>
                <w:i/>
                <w:color w:val="000000"/>
                <w:sz w:val="14"/>
                <w:szCs w:val="16"/>
                <w:lang w:eastAsia="es-MX"/>
              </w:rPr>
              <w:t>ública</w:t>
            </w:r>
            <w:r w:rsidRPr="00F04B09">
              <w:rPr>
                <w:rFonts w:ascii="ITC Avant Garde" w:eastAsia="Times New Roman" w:hAnsi="ITC Avant Garde"/>
                <w:i/>
                <w:color w:val="000000"/>
                <w:sz w:val="14"/>
                <w:szCs w:val="16"/>
                <w:lang w:eastAsia="es-MX"/>
              </w:rPr>
              <w:t>.</w:t>
            </w:r>
          </w:p>
          <w:p w14:paraId="51E136DC"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480268B8"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F7829AC"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5FE36241" w14:textId="29FD751E" w:rsidR="00E17493" w:rsidRDefault="00E17493" w:rsidP="007E223F">
            <w:pPr>
              <w:spacing w:after="0" w:line="240" w:lineRule="auto"/>
              <w:ind w:left="709" w:hanging="709"/>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sidR="003E3645">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313D4F5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819ED3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35AE0F54"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718ED3C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F5F06A2"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4B8E353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299C59F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6E336005"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43F7881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A2DBABF"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1761EEAE"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230E5304"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77939711"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7417667A"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40C3478A"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1E9C3E4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B0E8FD2"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28B05D8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1101EA94"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Los formularios, sistemas y otros medios simplificados que, en su caso, el INAI hubiere establecido para facilitar al titular el ejercicio de sus derechos ARCO.</w:t>
            </w:r>
          </w:p>
          <w:p w14:paraId="1190E90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7F47E93C"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04CB982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11983B94"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18324D7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5CD2D0FB"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1EA8059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2EEBA54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2131A2A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083A1AD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3825789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108FE65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7B8454E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1EB9C55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57D5311D"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28CA057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693FAD1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14:paraId="4ADF706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8E798E5"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67E190F6"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14:paraId="53830C4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57BC52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5846770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2252156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420CB90F"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14:paraId="7D2452B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7"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7585D6EC" w14:textId="77777777" w:rsidR="00297840" w:rsidRPr="00F36A5D" w:rsidRDefault="00E17493"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tc>
      </w:tr>
    </w:tbl>
    <w:p w14:paraId="66A3EEF4"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02E6ED17" w14:textId="77777777" w:rsidTr="00483D36">
        <w:trPr>
          <w:trHeight w:val="581"/>
        </w:trPr>
        <w:tc>
          <w:tcPr>
            <w:tcW w:w="8859" w:type="dxa"/>
            <w:gridSpan w:val="2"/>
            <w:shd w:val="clear" w:color="auto" w:fill="D9D9D9"/>
            <w:vAlign w:val="center"/>
            <w:hideMark/>
          </w:tcPr>
          <w:p w14:paraId="3A12EBA5" w14:textId="59360671" w:rsidR="000E55B0" w:rsidRPr="00F36A5D" w:rsidRDefault="000E55B0" w:rsidP="00483D36">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 xml:space="preserve">participante sobre el asunto en </w:t>
            </w:r>
            <w:r w:rsidR="00600F9B">
              <w:rPr>
                <w:rFonts w:ascii="ITC Avant Garde" w:eastAsia="Times New Roman" w:hAnsi="ITC Avant Garde"/>
                <w:b/>
                <w:bCs/>
                <w:lang w:eastAsia="es-MX"/>
              </w:rPr>
              <w:t>C</w:t>
            </w:r>
            <w:r w:rsidRPr="00F36A5D">
              <w:rPr>
                <w:rFonts w:ascii="ITC Avant Garde" w:eastAsia="Times New Roman" w:hAnsi="ITC Avant Garde"/>
                <w:b/>
                <w:bCs/>
                <w:lang w:eastAsia="es-MX"/>
              </w:rPr>
              <w:t xml:space="preserve">onsulta </w:t>
            </w:r>
            <w:r w:rsidR="00600F9B">
              <w:rPr>
                <w:rFonts w:ascii="ITC Avant Garde" w:eastAsia="Times New Roman" w:hAnsi="ITC Avant Garde"/>
                <w:b/>
                <w:bCs/>
                <w:lang w:eastAsia="es-MX"/>
              </w:rPr>
              <w:t>P</w:t>
            </w:r>
            <w:r w:rsidRPr="00F36A5D">
              <w:rPr>
                <w:rFonts w:ascii="ITC Avant Garde" w:eastAsia="Times New Roman" w:hAnsi="ITC Avant Garde"/>
                <w:b/>
                <w:bCs/>
                <w:lang w:eastAsia="es-MX"/>
              </w:rPr>
              <w:t>ública</w:t>
            </w:r>
          </w:p>
        </w:tc>
      </w:tr>
      <w:tr w:rsidR="000E55B0" w:rsidRPr="00F36A5D" w14:paraId="528C8119" w14:textId="77777777" w:rsidTr="00483D36">
        <w:trPr>
          <w:trHeight w:val="399"/>
        </w:trPr>
        <w:tc>
          <w:tcPr>
            <w:tcW w:w="1684" w:type="dxa"/>
            <w:shd w:val="clear" w:color="auto" w:fill="C5E0B3"/>
            <w:vAlign w:val="center"/>
            <w:hideMark/>
          </w:tcPr>
          <w:p w14:paraId="70223E27" w14:textId="6FD3ECA2" w:rsidR="000E55B0" w:rsidRPr="00975C25" w:rsidRDefault="000E55B0" w:rsidP="00483D36">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w:t>
            </w:r>
            <w:r w:rsidR="008D5754">
              <w:rPr>
                <w:rFonts w:ascii="ITC Avant Garde" w:eastAsia="Times New Roman" w:hAnsi="ITC Avant Garde"/>
                <w:color w:val="000000"/>
                <w:sz w:val="18"/>
                <w:lang w:eastAsia="es-MX"/>
              </w:rPr>
              <w:t xml:space="preserve">, </w:t>
            </w:r>
            <w:r w:rsidRPr="00975C25">
              <w:rPr>
                <w:rFonts w:ascii="ITC Avant Garde" w:eastAsia="Times New Roman" w:hAnsi="ITC Avant Garde"/>
                <w:color w:val="000000"/>
                <w:sz w:val="18"/>
                <w:lang w:eastAsia="es-MX"/>
              </w:rPr>
              <w:t>apartado</w:t>
            </w:r>
            <w:r w:rsidR="008D5754">
              <w:rPr>
                <w:rFonts w:ascii="ITC Avant Garde" w:eastAsia="Times New Roman" w:hAnsi="ITC Avant Garde"/>
                <w:color w:val="000000"/>
                <w:sz w:val="18"/>
                <w:lang w:eastAsia="es-MX"/>
              </w:rPr>
              <w:t xml:space="preserve"> o lineamiento.</w:t>
            </w:r>
          </w:p>
        </w:tc>
        <w:tc>
          <w:tcPr>
            <w:tcW w:w="7175" w:type="dxa"/>
            <w:shd w:val="clear" w:color="auto" w:fill="C5E0B3"/>
            <w:vAlign w:val="center"/>
            <w:hideMark/>
          </w:tcPr>
          <w:p w14:paraId="6CB76437" w14:textId="77777777" w:rsidR="000E55B0" w:rsidRPr="00975C25" w:rsidRDefault="000E55B0" w:rsidP="00483D36">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742CCA53" w14:textId="77777777" w:rsidTr="00483D36">
        <w:trPr>
          <w:trHeight w:val="290"/>
        </w:trPr>
        <w:tc>
          <w:tcPr>
            <w:tcW w:w="1684" w:type="dxa"/>
            <w:shd w:val="clear" w:color="auto" w:fill="auto"/>
            <w:vAlign w:val="center"/>
          </w:tcPr>
          <w:p w14:paraId="7341844E"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37D9794"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947FEC0" w14:textId="77777777" w:rsidTr="00483D36">
        <w:trPr>
          <w:trHeight w:val="290"/>
        </w:trPr>
        <w:tc>
          <w:tcPr>
            <w:tcW w:w="1684" w:type="dxa"/>
            <w:shd w:val="clear" w:color="auto" w:fill="auto"/>
            <w:vAlign w:val="center"/>
          </w:tcPr>
          <w:p w14:paraId="755ACFE1"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7E5E326"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524E648" w14:textId="77777777" w:rsidTr="00483D36">
        <w:trPr>
          <w:trHeight w:val="290"/>
        </w:trPr>
        <w:tc>
          <w:tcPr>
            <w:tcW w:w="1684" w:type="dxa"/>
            <w:shd w:val="clear" w:color="auto" w:fill="auto"/>
            <w:vAlign w:val="center"/>
          </w:tcPr>
          <w:p w14:paraId="2A04CC57"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51FEF1D"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71835279" w14:textId="77777777" w:rsidTr="00483D36">
        <w:trPr>
          <w:trHeight w:val="290"/>
        </w:trPr>
        <w:tc>
          <w:tcPr>
            <w:tcW w:w="1684" w:type="dxa"/>
            <w:shd w:val="clear" w:color="auto" w:fill="auto"/>
            <w:vAlign w:val="center"/>
          </w:tcPr>
          <w:p w14:paraId="73A31B37"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5357FC9F"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BA96EAC" w14:textId="77777777" w:rsidTr="00483D36">
        <w:trPr>
          <w:trHeight w:val="290"/>
        </w:trPr>
        <w:tc>
          <w:tcPr>
            <w:tcW w:w="1684" w:type="dxa"/>
            <w:shd w:val="clear" w:color="auto" w:fill="auto"/>
            <w:vAlign w:val="center"/>
          </w:tcPr>
          <w:p w14:paraId="55FFEFAE"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569ACCA3"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319DAA4E" w14:textId="77777777" w:rsidTr="00483D36">
        <w:trPr>
          <w:trHeight w:val="290"/>
        </w:trPr>
        <w:tc>
          <w:tcPr>
            <w:tcW w:w="1684" w:type="dxa"/>
            <w:shd w:val="clear" w:color="auto" w:fill="auto"/>
            <w:vAlign w:val="center"/>
          </w:tcPr>
          <w:p w14:paraId="7E076DB5"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7E08C5EA"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1F5D673" w14:textId="77777777" w:rsidTr="00483D36">
        <w:trPr>
          <w:trHeight w:val="290"/>
        </w:trPr>
        <w:tc>
          <w:tcPr>
            <w:tcW w:w="1684" w:type="dxa"/>
            <w:shd w:val="clear" w:color="auto" w:fill="auto"/>
            <w:vAlign w:val="center"/>
          </w:tcPr>
          <w:p w14:paraId="089B3567"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55C5356"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1B392A1D" w14:textId="77777777" w:rsidTr="00483D36">
        <w:trPr>
          <w:trHeight w:val="290"/>
        </w:trPr>
        <w:tc>
          <w:tcPr>
            <w:tcW w:w="1684" w:type="dxa"/>
            <w:shd w:val="clear" w:color="auto" w:fill="auto"/>
            <w:vAlign w:val="center"/>
          </w:tcPr>
          <w:p w14:paraId="4F30A2D6"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7E3DA44"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6282F3E8" w14:textId="77777777" w:rsidTr="00483D36">
        <w:trPr>
          <w:trHeight w:val="130"/>
        </w:trPr>
        <w:tc>
          <w:tcPr>
            <w:tcW w:w="8859" w:type="dxa"/>
            <w:gridSpan w:val="2"/>
            <w:shd w:val="clear" w:color="auto" w:fill="C5E0B3"/>
            <w:vAlign w:val="center"/>
          </w:tcPr>
          <w:p w14:paraId="7B1151FB" w14:textId="77777777" w:rsidR="000E55B0" w:rsidRPr="00F36A5D" w:rsidRDefault="000E55B0" w:rsidP="00483D36">
            <w:pPr>
              <w:spacing w:after="0" w:line="240" w:lineRule="auto"/>
              <w:jc w:val="center"/>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54D3F082" w14:textId="77777777" w:rsidR="0086154B" w:rsidRDefault="0086154B" w:rsidP="00C41536">
      <w:pPr>
        <w:spacing w:after="0"/>
        <w:jc w:val="both"/>
        <w:rPr>
          <w:rFonts w:ascii="ITC Avant Garde" w:hAnsi="ITC Avant Garde"/>
          <w:sz w:val="12"/>
        </w:rPr>
      </w:pPr>
    </w:p>
    <w:p w14:paraId="61BE9446" w14:textId="77777777"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4B2D8C07" w14:textId="77777777" w:rsidTr="008D5754">
        <w:trPr>
          <w:jc w:val="center"/>
        </w:trPr>
        <w:tc>
          <w:tcPr>
            <w:tcW w:w="8857" w:type="dxa"/>
            <w:shd w:val="clear" w:color="auto" w:fill="D9D9D9"/>
          </w:tcPr>
          <w:p w14:paraId="674B3498" w14:textId="696B37F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w:t>
            </w:r>
            <w:r w:rsidR="00600F9B">
              <w:rPr>
                <w:rFonts w:ascii="ITC Avant Garde" w:eastAsia="Times New Roman" w:hAnsi="ITC Avant Garde"/>
                <w:b/>
                <w:bCs/>
                <w:lang w:eastAsia="es-MX"/>
              </w:rPr>
              <w:t>C</w:t>
            </w:r>
            <w:r w:rsidRPr="00670385">
              <w:rPr>
                <w:rFonts w:ascii="ITC Avant Garde" w:eastAsia="Times New Roman" w:hAnsi="ITC Avant Garde"/>
                <w:b/>
                <w:bCs/>
                <w:lang w:eastAsia="es-MX"/>
              </w:rPr>
              <w:t xml:space="preserve">onsulta </w:t>
            </w:r>
            <w:r w:rsidR="00600F9B">
              <w:rPr>
                <w:rFonts w:ascii="ITC Avant Garde" w:eastAsia="Times New Roman" w:hAnsi="ITC Avant Garde"/>
                <w:b/>
                <w:bCs/>
                <w:lang w:eastAsia="es-MX"/>
              </w:rPr>
              <w:t>P</w:t>
            </w:r>
            <w:r w:rsidRPr="00670385">
              <w:rPr>
                <w:rFonts w:ascii="ITC Avant Garde" w:eastAsia="Times New Roman" w:hAnsi="ITC Avant Garde"/>
                <w:b/>
                <w:bCs/>
                <w:lang w:eastAsia="es-MX"/>
              </w:rPr>
              <w:t>ública</w:t>
            </w:r>
          </w:p>
        </w:tc>
      </w:tr>
      <w:tr w:rsidR="00975C25" w:rsidRPr="00670385" w14:paraId="0AEC55CD" w14:textId="77777777" w:rsidTr="008D5754">
        <w:trPr>
          <w:jc w:val="center"/>
        </w:trPr>
        <w:tc>
          <w:tcPr>
            <w:tcW w:w="8857" w:type="dxa"/>
            <w:shd w:val="clear" w:color="auto" w:fill="auto"/>
          </w:tcPr>
          <w:p w14:paraId="2D61B618" w14:textId="77777777" w:rsidR="00975C25" w:rsidRPr="00670385" w:rsidRDefault="00975C25" w:rsidP="00670385">
            <w:pPr>
              <w:spacing w:after="0"/>
              <w:jc w:val="both"/>
              <w:rPr>
                <w:rFonts w:ascii="ITC Avant Garde" w:hAnsi="ITC Avant Garde"/>
                <w:sz w:val="12"/>
              </w:rPr>
            </w:pPr>
          </w:p>
          <w:p w14:paraId="1893907C" w14:textId="77777777" w:rsidR="00975C25" w:rsidRPr="00670385" w:rsidRDefault="00975C25" w:rsidP="00670385">
            <w:pPr>
              <w:spacing w:after="0"/>
              <w:jc w:val="both"/>
              <w:rPr>
                <w:rFonts w:ascii="ITC Avant Garde" w:hAnsi="ITC Avant Garde"/>
                <w:sz w:val="12"/>
              </w:rPr>
            </w:pPr>
          </w:p>
          <w:p w14:paraId="701AAFBF" w14:textId="77777777" w:rsidR="00975C25" w:rsidRPr="00670385" w:rsidRDefault="00975C25" w:rsidP="00670385">
            <w:pPr>
              <w:spacing w:after="0"/>
              <w:jc w:val="both"/>
              <w:rPr>
                <w:rFonts w:ascii="ITC Avant Garde" w:hAnsi="ITC Avant Garde"/>
                <w:sz w:val="12"/>
              </w:rPr>
            </w:pPr>
          </w:p>
          <w:p w14:paraId="4AD53643" w14:textId="77777777" w:rsidR="00975C25" w:rsidRPr="00670385" w:rsidRDefault="00975C25" w:rsidP="00670385">
            <w:pPr>
              <w:spacing w:after="0"/>
              <w:jc w:val="both"/>
              <w:rPr>
                <w:rFonts w:ascii="ITC Avant Garde" w:hAnsi="ITC Avant Garde"/>
                <w:sz w:val="12"/>
              </w:rPr>
            </w:pPr>
          </w:p>
          <w:p w14:paraId="708F7630" w14:textId="77777777" w:rsidR="00975C25" w:rsidRPr="00670385" w:rsidRDefault="00975C25" w:rsidP="00670385">
            <w:pPr>
              <w:spacing w:after="0"/>
              <w:jc w:val="both"/>
              <w:rPr>
                <w:rFonts w:ascii="ITC Avant Garde" w:hAnsi="ITC Avant Garde"/>
                <w:sz w:val="12"/>
              </w:rPr>
            </w:pPr>
          </w:p>
          <w:p w14:paraId="4AB60513" w14:textId="77777777" w:rsidR="00975C25" w:rsidRPr="00670385" w:rsidRDefault="00975C25" w:rsidP="00670385">
            <w:pPr>
              <w:spacing w:after="0"/>
              <w:jc w:val="both"/>
              <w:rPr>
                <w:rFonts w:ascii="ITC Avant Garde" w:hAnsi="ITC Avant Garde"/>
                <w:sz w:val="12"/>
              </w:rPr>
            </w:pPr>
          </w:p>
          <w:p w14:paraId="43ED8AA3" w14:textId="77777777" w:rsidR="00975C25" w:rsidRPr="00670385" w:rsidRDefault="00975C25" w:rsidP="00670385">
            <w:pPr>
              <w:spacing w:after="0"/>
              <w:jc w:val="both"/>
              <w:rPr>
                <w:rFonts w:ascii="ITC Avant Garde" w:hAnsi="ITC Avant Garde"/>
                <w:sz w:val="12"/>
              </w:rPr>
            </w:pPr>
          </w:p>
        </w:tc>
      </w:tr>
      <w:tr w:rsidR="00975C25" w:rsidRPr="00670385" w14:paraId="65C410F7" w14:textId="77777777" w:rsidTr="008D5754">
        <w:trPr>
          <w:jc w:val="center"/>
        </w:trPr>
        <w:tc>
          <w:tcPr>
            <w:tcW w:w="8857" w:type="dxa"/>
            <w:shd w:val="clear" w:color="auto" w:fill="C5E0B3"/>
          </w:tcPr>
          <w:p w14:paraId="27A450FF"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2DCBB4C4" w14:textId="4F66DA22" w:rsidR="00DF154A" w:rsidRDefault="00DF154A" w:rsidP="00170916">
      <w:pPr>
        <w:spacing w:after="0"/>
        <w:jc w:val="both"/>
        <w:rPr>
          <w:rFonts w:ascii="ITC Avant Garde" w:hAnsi="ITC Avant Garde"/>
          <w:sz w:val="16"/>
        </w:rPr>
      </w:pPr>
    </w:p>
    <w:p w14:paraId="3A4F43B5" w14:textId="77777777" w:rsidR="00CA7E9B" w:rsidRPr="00F36A5D" w:rsidRDefault="00CA7E9B" w:rsidP="00170916">
      <w:pPr>
        <w:spacing w:after="0"/>
        <w:jc w:val="both"/>
        <w:rPr>
          <w:rFonts w:ascii="ITC Avant Garde" w:hAnsi="ITC Avant Garde"/>
          <w:sz w:val="16"/>
        </w:rPr>
      </w:pPr>
    </w:p>
    <w:sectPr w:rsidR="00CA7E9B"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804B" w14:textId="77777777" w:rsidR="00500FDB" w:rsidRDefault="00500FDB" w:rsidP="0038199D">
      <w:pPr>
        <w:spacing w:after="0" w:line="240" w:lineRule="auto"/>
      </w:pPr>
      <w:r>
        <w:separator/>
      </w:r>
    </w:p>
  </w:endnote>
  <w:endnote w:type="continuationSeparator" w:id="0">
    <w:p w14:paraId="0CF4D3A1" w14:textId="77777777" w:rsidR="00500FDB" w:rsidRDefault="00500FDB"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11D0" w14:textId="77777777"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6ECF5DC8"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91EC" w14:textId="77777777" w:rsidR="00500FDB" w:rsidRDefault="00500FDB" w:rsidP="0038199D">
      <w:pPr>
        <w:spacing w:after="0" w:line="240" w:lineRule="auto"/>
      </w:pPr>
      <w:r>
        <w:separator/>
      </w:r>
    </w:p>
  </w:footnote>
  <w:footnote w:type="continuationSeparator" w:id="0">
    <w:p w14:paraId="7FC80952" w14:textId="77777777" w:rsidR="00500FDB" w:rsidRDefault="00500FDB" w:rsidP="0038199D">
      <w:pPr>
        <w:spacing w:after="0" w:line="240" w:lineRule="auto"/>
      </w:pPr>
      <w:r>
        <w:continuationSeparator/>
      </w:r>
    </w:p>
  </w:footnote>
  <w:footnote w:id="1">
    <w:p w14:paraId="550A9421" w14:textId="77777777" w:rsidR="00E17493" w:rsidRPr="00483D36" w:rsidRDefault="00E17493" w:rsidP="00E17493">
      <w:pPr>
        <w:pStyle w:val="Textonotapie"/>
        <w:rPr>
          <w:rFonts w:ascii="ITC Avant Garde" w:hAnsi="ITC Avant Garde"/>
          <w:sz w:val="14"/>
          <w:szCs w:val="14"/>
        </w:rPr>
      </w:pPr>
      <w:r w:rsidRPr="00483D36">
        <w:rPr>
          <w:rStyle w:val="Refdenotaalpie"/>
          <w:rFonts w:ascii="ITC Avant Garde" w:hAnsi="ITC Avant Garde"/>
          <w:sz w:val="14"/>
          <w:szCs w:val="14"/>
        </w:rPr>
        <w:footnoteRef/>
      </w:r>
      <w:r w:rsidRPr="00483D36">
        <w:rPr>
          <w:rFonts w:ascii="ITC Avant Garde" w:hAnsi="ITC Avant Garde"/>
          <w:sz w:val="14"/>
          <w:szCs w:val="14"/>
        </w:rPr>
        <w:t xml:space="preserve"> Disponibles en el vínculo electrónico: </w:t>
      </w:r>
      <w:hyperlink r:id="rId1" w:history="1">
        <w:r w:rsidRPr="00483D36">
          <w:rPr>
            <w:rStyle w:val="Hipervnculo"/>
            <w:rFonts w:ascii="ITC Avant Garde" w:hAnsi="ITC Avant Garde"/>
            <w:sz w:val="14"/>
            <w:szCs w:val="14"/>
          </w:rPr>
          <w:t>http://dof.gob.mx/nota_detalle.php?codigo=5512847&amp;fecha=12/02/2018</w:t>
        </w:r>
      </w:hyperlink>
      <w:r w:rsidRPr="00483D36">
        <w:rPr>
          <w:rFonts w:ascii="ITC Avant Garde" w:hAnsi="ITC Avant Garde"/>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57D1" w14:textId="5F659B40" w:rsidR="0038199D" w:rsidRPr="007A6974" w:rsidRDefault="00870A1B" w:rsidP="00800852">
    <w:pPr>
      <w:pStyle w:val="Encabezado"/>
      <w:tabs>
        <w:tab w:val="clear" w:pos="4419"/>
      </w:tabs>
      <w:rPr>
        <w:rFonts w:ascii="Century Gothic" w:hAnsi="Century Gothic"/>
      </w:rPr>
    </w:pPr>
    <w:r>
      <w:rPr>
        <w:noProof/>
      </w:rPr>
      <w:drawing>
        <wp:anchor distT="0" distB="762" distL="114300" distR="114300" simplePos="0" relativeHeight="251657216" behindDoc="1" locked="0" layoutInCell="1" allowOverlap="1" wp14:anchorId="10A7C8AB" wp14:editId="3BAC632D">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3604DA19" w14:textId="46912EA9" w:rsidR="004D7960" w:rsidRPr="00F36A5D" w:rsidRDefault="00005DB7" w:rsidP="004D5EAB">
    <w:pPr>
      <w:pStyle w:val="Encabezado"/>
      <w:ind w:left="3119"/>
      <w:jc w:val="both"/>
      <w:rPr>
        <w:rFonts w:ascii="ITC Avant Garde" w:hAnsi="ITC Avant Garde"/>
        <w:b/>
        <w:sz w:val="20"/>
      </w:rPr>
    </w:pPr>
    <w:r w:rsidRPr="00F36A5D">
      <w:rPr>
        <w:rFonts w:ascii="ITC Avant Garde" w:hAnsi="ITC Avant Garde"/>
        <w:b/>
        <w:sz w:val="20"/>
      </w:rPr>
      <w:t xml:space="preserve">Consulta Pública sobre el </w:t>
    </w:r>
    <w:r w:rsidR="000356DE" w:rsidRPr="00F36A5D">
      <w:rPr>
        <w:rFonts w:ascii="ITC Avant Garde" w:hAnsi="ITC Avant Garde"/>
        <w:b/>
        <w:sz w:val="20"/>
      </w:rPr>
      <w:t>“</w:t>
    </w:r>
    <w:r w:rsidR="00FD59F1">
      <w:rPr>
        <w:rFonts w:ascii="ITC Avant Garde" w:hAnsi="ITC Avant Garde"/>
        <w:b/>
        <w:sz w:val="20"/>
      </w:rPr>
      <w:t xml:space="preserve">Anteproyecto de Acuerdo </w:t>
    </w:r>
    <w:r w:rsidR="008D5754">
      <w:rPr>
        <w:rFonts w:ascii="ITC Avant Garde" w:hAnsi="ITC Avant Garde"/>
        <w:b/>
        <w:sz w:val="20"/>
      </w:rPr>
      <w:t xml:space="preserve">mediante el cual el Pleno del Instituto Federal de Telecomunicaciones modifica </w:t>
    </w:r>
    <w:r w:rsidR="006968F7">
      <w:rPr>
        <w:rFonts w:ascii="ITC Avant Garde" w:hAnsi="ITC Avant Garde"/>
        <w:b/>
        <w:sz w:val="20"/>
      </w:rPr>
      <w:t>la fecha de entrada en vigor de los</w:t>
    </w:r>
    <w:r w:rsidR="008D5754">
      <w:rPr>
        <w:rFonts w:ascii="ITC Avant Garde" w:hAnsi="ITC Avant Garde"/>
        <w:b/>
        <w:sz w:val="20"/>
      </w:rPr>
      <w:t xml:space="preserve"> Lineamientos para el uso del Sello IFT en productos, equipos, dispositivos o aparatos destinados a telecomunicaciones o radiodifusión homologados”. </w:t>
    </w:r>
    <w:r w:rsidR="008D5754">
      <w:rPr>
        <w:rFonts w:ascii="Helvetica Neue" w:hAnsi="Helvetica Neue"/>
        <w:color w:val="000000"/>
        <w:sz w:val="21"/>
        <w:szCs w:val="21"/>
        <w:shd w:val="clear" w:color="auto" w:fill="FFFFFF"/>
      </w:rPr>
      <w:t xml:space="preserve"> </w:t>
    </w:r>
  </w:p>
  <w:p w14:paraId="732FBD82" w14:textId="2FE35E6B" w:rsidR="0038199D" w:rsidRPr="007A6974" w:rsidRDefault="00870A1B" w:rsidP="004D5EAB">
    <w:pPr>
      <w:pStyle w:val="Encabezado"/>
      <w:ind w:left="3119"/>
      <w:jc w:val="both"/>
      <w:rPr>
        <w:rFonts w:ascii="Century Gothic" w:hAnsi="Century Gothic"/>
      </w:rPr>
    </w:pPr>
    <w:r>
      <w:rPr>
        <w:noProof/>
      </w:rPr>
      <mc:AlternateContent>
        <mc:Choice Requires="wps">
          <w:drawing>
            <wp:anchor distT="4294967295" distB="4294967295" distL="114300" distR="114300" simplePos="0" relativeHeight="251658240" behindDoc="0" locked="0" layoutInCell="1" allowOverlap="1" wp14:anchorId="0FCA0ABC" wp14:editId="00D96AD0">
              <wp:simplePos x="0" y="0"/>
              <wp:positionH relativeFrom="column">
                <wp:posOffset>35560</wp:posOffset>
              </wp:positionH>
              <wp:positionV relativeFrom="paragraph">
                <wp:posOffset>128904</wp:posOffset>
              </wp:positionV>
              <wp:extent cx="5621655" cy="0"/>
              <wp:effectExtent l="0" t="0" r="0"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0ACEF3"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2"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6"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8" w15:restartNumberingAfterBreak="0">
    <w:nsid w:val="73D87DD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2529516">
    <w:abstractNumId w:val="10"/>
  </w:num>
  <w:num w:numId="2" w16cid:durableId="307516437">
    <w:abstractNumId w:val="0"/>
  </w:num>
  <w:num w:numId="3" w16cid:durableId="1782453152">
    <w:abstractNumId w:val="2"/>
  </w:num>
  <w:num w:numId="4" w16cid:durableId="1335838734">
    <w:abstractNumId w:val="7"/>
  </w:num>
  <w:num w:numId="5" w16cid:durableId="1356687296">
    <w:abstractNumId w:val="14"/>
  </w:num>
  <w:num w:numId="6" w16cid:durableId="2147384584">
    <w:abstractNumId w:val="5"/>
  </w:num>
  <w:num w:numId="7" w16cid:durableId="1656372825">
    <w:abstractNumId w:val="12"/>
  </w:num>
  <w:num w:numId="8" w16cid:durableId="1127041399">
    <w:abstractNumId w:val="13"/>
  </w:num>
  <w:num w:numId="9" w16cid:durableId="102697180">
    <w:abstractNumId w:val="4"/>
  </w:num>
  <w:num w:numId="10" w16cid:durableId="1563298062">
    <w:abstractNumId w:val="1"/>
  </w:num>
  <w:num w:numId="11" w16cid:durableId="127284264">
    <w:abstractNumId w:val="16"/>
  </w:num>
  <w:num w:numId="12" w16cid:durableId="794522795">
    <w:abstractNumId w:val="9"/>
  </w:num>
  <w:num w:numId="13" w16cid:durableId="1089738694">
    <w:abstractNumId w:val="17"/>
  </w:num>
  <w:num w:numId="14" w16cid:durableId="2101833308">
    <w:abstractNumId w:val="11"/>
  </w:num>
  <w:num w:numId="15" w16cid:durableId="1562475265">
    <w:abstractNumId w:val="15"/>
  </w:num>
  <w:num w:numId="16" w16cid:durableId="581647850">
    <w:abstractNumId w:val="8"/>
  </w:num>
  <w:num w:numId="17" w16cid:durableId="2050446738">
    <w:abstractNumId w:val="19"/>
  </w:num>
  <w:num w:numId="18" w16cid:durableId="737899316">
    <w:abstractNumId w:val="6"/>
  </w:num>
  <w:num w:numId="19" w16cid:durableId="538783951">
    <w:abstractNumId w:val="3"/>
  </w:num>
  <w:num w:numId="20" w16cid:durableId="265427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NTgwM2Q5MDktYjQyMy00NTdkLTgyMTUtNTQ0MGI0NDY0NTFmIg0KfQ=="/>
    <w:docVar w:name="GVData0" w:val="(end)"/>
  </w:docVars>
  <w:rsids>
    <w:rsidRoot w:val="0038199D"/>
    <w:rsid w:val="000049D9"/>
    <w:rsid w:val="000055EA"/>
    <w:rsid w:val="00005D31"/>
    <w:rsid w:val="00005DB7"/>
    <w:rsid w:val="000068C8"/>
    <w:rsid w:val="000253EE"/>
    <w:rsid w:val="00025623"/>
    <w:rsid w:val="00025A88"/>
    <w:rsid w:val="00026723"/>
    <w:rsid w:val="00030E6E"/>
    <w:rsid w:val="000356DE"/>
    <w:rsid w:val="00092755"/>
    <w:rsid w:val="000931D8"/>
    <w:rsid w:val="00097B00"/>
    <w:rsid w:val="000A0CEF"/>
    <w:rsid w:val="000A0F69"/>
    <w:rsid w:val="000A37CC"/>
    <w:rsid w:val="000A5CFB"/>
    <w:rsid w:val="000A6255"/>
    <w:rsid w:val="000D2838"/>
    <w:rsid w:val="000E41EA"/>
    <w:rsid w:val="000E41F3"/>
    <w:rsid w:val="000E54B6"/>
    <w:rsid w:val="000E55B0"/>
    <w:rsid w:val="00100C9C"/>
    <w:rsid w:val="00110150"/>
    <w:rsid w:val="001124B6"/>
    <w:rsid w:val="00120D05"/>
    <w:rsid w:val="001331D8"/>
    <w:rsid w:val="00143500"/>
    <w:rsid w:val="00160352"/>
    <w:rsid w:val="00170916"/>
    <w:rsid w:val="00174196"/>
    <w:rsid w:val="001E0388"/>
    <w:rsid w:val="001F5B47"/>
    <w:rsid w:val="00266BE0"/>
    <w:rsid w:val="00270B46"/>
    <w:rsid w:val="002771ED"/>
    <w:rsid w:val="00281E3B"/>
    <w:rsid w:val="00297840"/>
    <w:rsid w:val="002B4BB2"/>
    <w:rsid w:val="002C0E40"/>
    <w:rsid w:val="002D34FE"/>
    <w:rsid w:val="002D6887"/>
    <w:rsid w:val="00301F89"/>
    <w:rsid w:val="00307092"/>
    <w:rsid w:val="00316DC1"/>
    <w:rsid w:val="00323F3A"/>
    <w:rsid w:val="003613DA"/>
    <w:rsid w:val="0038199D"/>
    <w:rsid w:val="00381D5B"/>
    <w:rsid w:val="003A1906"/>
    <w:rsid w:val="003A7417"/>
    <w:rsid w:val="003B524B"/>
    <w:rsid w:val="003C038E"/>
    <w:rsid w:val="003D0DF8"/>
    <w:rsid w:val="003D1CAC"/>
    <w:rsid w:val="003D2703"/>
    <w:rsid w:val="003D38F8"/>
    <w:rsid w:val="003E3645"/>
    <w:rsid w:val="0041087B"/>
    <w:rsid w:val="00410F8E"/>
    <w:rsid w:val="004141B1"/>
    <w:rsid w:val="004317BC"/>
    <w:rsid w:val="00435168"/>
    <w:rsid w:val="00450FCD"/>
    <w:rsid w:val="00461A06"/>
    <w:rsid w:val="00464849"/>
    <w:rsid w:val="00464AE1"/>
    <w:rsid w:val="00466658"/>
    <w:rsid w:val="00483D36"/>
    <w:rsid w:val="004970C4"/>
    <w:rsid w:val="004A1FE1"/>
    <w:rsid w:val="004B053F"/>
    <w:rsid w:val="004B0CA6"/>
    <w:rsid w:val="004C4695"/>
    <w:rsid w:val="004D5EAB"/>
    <w:rsid w:val="004D64DD"/>
    <w:rsid w:val="004D7960"/>
    <w:rsid w:val="004E2A3A"/>
    <w:rsid w:val="004F4C27"/>
    <w:rsid w:val="00500FDB"/>
    <w:rsid w:val="00510155"/>
    <w:rsid w:val="00511FAE"/>
    <w:rsid w:val="0052296A"/>
    <w:rsid w:val="0053745B"/>
    <w:rsid w:val="00545F79"/>
    <w:rsid w:val="00546F00"/>
    <w:rsid w:val="00554452"/>
    <w:rsid w:val="00555B10"/>
    <w:rsid w:val="00560477"/>
    <w:rsid w:val="005610B3"/>
    <w:rsid w:val="00570F3A"/>
    <w:rsid w:val="0058551F"/>
    <w:rsid w:val="005A653C"/>
    <w:rsid w:val="005B3E9A"/>
    <w:rsid w:val="005C0435"/>
    <w:rsid w:val="005C06DB"/>
    <w:rsid w:val="005C072E"/>
    <w:rsid w:val="005C7ED1"/>
    <w:rsid w:val="005D1DEE"/>
    <w:rsid w:val="005F0265"/>
    <w:rsid w:val="00600DB8"/>
    <w:rsid w:val="00600F9B"/>
    <w:rsid w:val="00603437"/>
    <w:rsid w:val="00603B41"/>
    <w:rsid w:val="00605BD9"/>
    <w:rsid w:val="00623761"/>
    <w:rsid w:val="006601AF"/>
    <w:rsid w:val="00670385"/>
    <w:rsid w:val="006968F7"/>
    <w:rsid w:val="006A6D93"/>
    <w:rsid w:val="006B0B12"/>
    <w:rsid w:val="006C1685"/>
    <w:rsid w:val="006F5989"/>
    <w:rsid w:val="00703850"/>
    <w:rsid w:val="00712EE6"/>
    <w:rsid w:val="00721100"/>
    <w:rsid w:val="00735A5F"/>
    <w:rsid w:val="00735DEE"/>
    <w:rsid w:val="00746276"/>
    <w:rsid w:val="007628D0"/>
    <w:rsid w:val="00762996"/>
    <w:rsid w:val="007644BA"/>
    <w:rsid w:val="0077357C"/>
    <w:rsid w:val="00775F83"/>
    <w:rsid w:val="00781D09"/>
    <w:rsid w:val="007843CF"/>
    <w:rsid w:val="007844AE"/>
    <w:rsid w:val="007978CB"/>
    <w:rsid w:val="007A6974"/>
    <w:rsid w:val="007A752F"/>
    <w:rsid w:val="007D4A23"/>
    <w:rsid w:val="007E04FB"/>
    <w:rsid w:val="007E223F"/>
    <w:rsid w:val="00800852"/>
    <w:rsid w:val="00804BB7"/>
    <w:rsid w:val="008200BE"/>
    <w:rsid w:val="00854FBE"/>
    <w:rsid w:val="0086154B"/>
    <w:rsid w:val="008658B5"/>
    <w:rsid w:val="00870A1B"/>
    <w:rsid w:val="008711D6"/>
    <w:rsid w:val="00873E7E"/>
    <w:rsid w:val="0087596E"/>
    <w:rsid w:val="008843FB"/>
    <w:rsid w:val="008A5565"/>
    <w:rsid w:val="008C679D"/>
    <w:rsid w:val="008D106B"/>
    <w:rsid w:val="008D5754"/>
    <w:rsid w:val="008F2B1A"/>
    <w:rsid w:val="008F40BD"/>
    <w:rsid w:val="008F6F97"/>
    <w:rsid w:val="00902816"/>
    <w:rsid w:val="00903C94"/>
    <w:rsid w:val="0090633E"/>
    <w:rsid w:val="00915CEA"/>
    <w:rsid w:val="009160D3"/>
    <w:rsid w:val="0093292C"/>
    <w:rsid w:val="00934A6B"/>
    <w:rsid w:val="00942344"/>
    <w:rsid w:val="009426CC"/>
    <w:rsid w:val="00975C25"/>
    <w:rsid w:val="009B3AFF"/>
    <w:rsid w:val="009B5F19"/>
    <w:rsid w:val="009C6A27"/>
    <w:rsid w:val="009C6C17"/>
    <w:rsid w:val="009D3DDA"/>
    <w:rsid w:val="009E197F"/>
    <w:rsid w:val="009E23FD"/>
    <w:rsid w:val="00A003A6"/>
    <w:rsid w:val="00A11685"/>
    <w:rsid w:val="00A1372C"/>
    <w:rsid w:val="00A25465"/>
    <w:rsid w:val="00A3221E"/>
    <w:rsid w:val="00A454F4"/>
    <w:rsid w:val="00A57E13"/>
    <w:rsid w:val="00A60361"/>
    <w:rsid w:val="00A62E59"/>
    <w:rsid w:val="00A62F88"/>
    <w:rsid w:val="00A7050F"/>
    <w:rsid w:val="00A74360"/>
    <w:rsid w:val="00A74B5C"/>
    <w:rsid w:val="00A751A5"/>
    <w:rsid w:val="00A75A67"/>
    <w:rsid w:val="00A917C8"/>
    <w:rsid w:val="00A92B29"/>
    <w:rsid w:val="00AA70C3"/>
    <w:rsid w:val="00AD0D63"/>
    <w:rsid w:val="00AE0DC5"/>
    <w:rsid w:val="00AE778E"/>
    <w:rsid w:val="00B10B89"/>
    <w:rsid w:val="00B17D0B"/>
    <w:rsid w:val="00B20E15"/>
    <w:rsid w:val="00B533DC"/>
    <w:rsid w:val="00B72399"/>
    <w:rsid w:val="00B97BF9"/>
    <w:rsid w:val="00BB25F2"/>
    <w:rsid w:val="00BE3A25"/>
    <w:rsid w:val="00BE629C"/>
    <w:rsid w:val="00BF640D"/>
    <w:rsid w:val="00BF7F9F"/>
    <w:rsid w:val="00C02149"/>
    <w:rsid w:val="00C07842"/>
    <w:rsid w:val="00C35A85"/>
    <w:rsid w:val="00C41536"/>
    <w:rsid w:val="00C42DD1"/>
    <w:rsid w:val="00C474AE"/>
    <w:rsid w:val="00C53026"/>
    <w:rsid w:val="00C56B77"/>
    <w:rsid w:val="00C60ADB"/>
    <w:rsid w:val="00C63CEB"/>
    <w:rsid w:val="00C83664"/>
    <w:rsid w:val="00C84BB4"/>
    <w:rsid w:val="00C900FF"/>
    <w:rsid w:val="00CA32F5"/>
    <w:rsid w:val="00CA7E9B"/>
    <w:rsid w:val="00CB7035"/>
    <w:rsid w:val="00CB7780"/>
    <w:rsid w:val="00CC382A"/>
    <w:rsid w:val="00CC53F7"/>
    <w:rsid w:val="00D13998"/>
    <w:rsid w:val="00D13CA5"/>
    <w:rsid w:val="00D22B9D"/>
    <w:rsid w:val="00D334B0"/>
    <w:rsid w:val="00D472B6"/>
    <w:rsid w:val="00D47A99"/>
    <w:rsid w:val="00D50117"/>
    <w:rsid w:val="00D76089"/>
    <w:rsid w:val="00D84C43"/>
    <w:rsid w:val="00D92E4B"/>
    <w:rsid w:val="00D94F82"/>
    <w:rsid w:val="00DB357E"/>
    <w:rsid w:val="00DC3C6C"/>
    <w:rsid w:val="00DD2558"/>
    <w:rsid w:val="00DF154A"/>
    <w:rsid w:val="00DF5B3F"/>
    <w:rsid w:val="00DF5CB5"/>
    <w:rsid w:val="00E0525B"/>
    <w:rsid w:val="00E17493"/>
    <w:rsid w:val="00E44666"/>
    <w:rsid w:val="00E53BFF"/>
    <w:rsid w:val="00E64007"/>
    <w:rsid w:val="00E655C9"/>
    <w:rsid w:val="00E71AFE"/>
    <w:rsid w:val="00E944B2"/>
    <w:rsid w:val="00EA6ACC"/>
    <w:rsid w:val="00EB1D99"/>
    <w:rsid w:val="00EC144A"/>
    <w:rsid w:val="00EC32C5"/>
    <w:rsid w:val="00ED150C"/>
    <w:rsid w:val="00F12126"/>
    <w:rsid w:val="00F212B2"/>
    <w:rsid w:val="00F362D7"/>
    <w:rsid w:val="00F36A5D"/>
    <w:rsid w:val="00F45EB4"/>
    <w:rsid w:val="00F812E3"/>
    <w:rsid w:val="00F87285"/>
    <w:rsid w:val="00FA17DF"/>
    <w:rsid w:val="00FD1C45"/>
    <w:rsid w:val="00FD59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FF3626"/>
  <w15:chartTrackingRefBased/>
  <w15:docId w15:val="{9CA5AFC7-D87E-4407-BCA8-8D8F0E96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Hipervnculovisitado">
    <w:name w:val="FollowedHyperlink"/>
    <w:basedOn w:val="Fuentedeprrafopredeter"/>
    <w:uiPriority w:val="99"/>
    <w:semiHidden/>
    <w:unhideWhenUsed/>
    <w:rsid w:val="00483D36"/>
    <w:rPr>
      <w:color w:val="954F72" w:themeColor="followedHyperlink"/>
      <w:u w:val="single"/>
    </w:rPr>
  </w:style>
  <w:style w:type="paragraph" w:styleId="Revisin">
    <w:name w:val="Revision"/>
    <w:hidden/>
    <w:uiPriority w:val="71"/>
    <w:unhideWhenUsed/>
    <w:rsid w:val="002C0E40"/>
    <w:rPr>
      <w:sz w:val="22"/>
      <w:szCs w:val="22"/>
      <w:lang w:eastAsia="en-US"/>
    </w:rPr>
  </w:style>
  <w:style w:type="character" w:styleId="Mencinsinresolver">
    <w:name w:val="Unresolved Mention"/>
    <w:basedOn w:val="Fuentedeprrafopredeter"/>
    <w:uiPriority w:val="99"/>
    <w:semiHidden/>
    <w:unhideWhenUsed/>
    <w:rsid w:val="0000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lce.alvarez@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pr@ift.org.mx"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4CA74AD9C3420F9D596BD3C82F9303"/>
        <w:category>
          <w:name w:val="General"/>
          <w:gallery w:val="placeholder"/>
        </w:category>
        <w:types>
          <w:type w:val="bbPlcHdr"/>
        </w:types>
        <w:behaviors>
          <w:behavior w:val="content"/>
        </w:behaviors>
        <w:guid w:val="{D4163AB2-FBAE-4FC5-A08B-0940A1843847}"/>
      </w:docPartPr>
      <w:docPartBody>
        <w:p w:rsidR="001B72EB" w:rsidRDefault="00FC55AA" w:rsidP="00FC55AA">
          <w:pPr>
            <w:pStyle w:val="684CA74AD9C3420F9D596BD3C82F9303"/>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AA"/>
    <w:rsid w:val="000109A4"/>
    <w:rsid w:val="0009369D"/>
    <w:rsid w:val="000A37CC"/>
    <w:rsid w:val="001B72EB"/>
    <w:rsid w:val="002773F4"/>
    <w:rsid w:val="0035765D"/>
    <w:rsid w:val="004C73D4"/>
    <w:rsid w:val="00637844"/>
    <w:rsid w:val="006B7547"/>
    <w:rsid w:val="00847FF2"/>
    <w:rsid w:val="0085756F"/>
    <w:rsid w:val="008A2ED8"/>
    <w:rsid w:val="008F6F97"/>
    <w:rsid w:val="00BE629C"/>
    <w:rsid w:val="00FA2209"/>
    <w:rsid w:val="00FC5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55AA"/>
  </w:style>
  <w:style w:type="paragraph" w:customStyle="1" w:styleId="684CA74AD9C3420F9D596BD3C82F9303">
    <w:name w:val="684CA74AD9C3420F9D596BD3C82F9303"/>
    <w:rsid w:val="00FC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6CE0F1FBB38B4C8A0BB61156E48174" ma:contentTypeVersion="16" ma:contentTypeDescription="Crear nuevo documento." ma:contentTypeScope="" ma:versionID="7c63857f48a8f5bfe22d23755074c414">
  <xsd:schema xmlns:xsd="http://www.w3.org/2001/XMLSchema" xmlns:xs="http://www.w3.org/2001/XMLSchema" xmlns:p="http://schemas.microsoft.com/office/2006/metadata/properties" xmlns:ns3="4be6e129-17bc-4f05-9def-a51dc5f03fa3" xmlns:ns4="8bdb61f3-1305-4a9b-97d4-47fb3fe9934c" targetNamespace="http://schemas.microsoft.com/office/2006/metadata/properties" ma:root="true" ma:fieldsID="467913ad22a265a80aee05a9bb3cac00" ns3:_="" ns4:_="">
    <xsd:import namespace="4be6e129-17bc-4f05-9def-a51dc5f03fa3"/>
    <xsd:import namespace="8bdb61f3-1305-4a9b-97d4-47fb3fe993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6e129-17bc-4f05-9def-a51dc5f03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b61f3-1305-4a9b-97d4-47fb3fe9934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be6e129-17bc-4f05-9def-a51dc5f03fa3" xsi:nil="true"/>
  </documentManagement>
</p:properties>
</file>

<file path=customXml/itemProps1.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2.xml><?xml version="1.0" encoding="utf-8"?>
<ds:datastoreItem xmlns:ds="http://schemas.openxmlformats.org/officeDocument/2006/customXml" ds:itemID="{A1986B9B-9667-4B18-854D-489E8F03D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6e129-17bc-4f05-9def-a51dc5f03fa3"/>
    <ds:schemaRef ds:uri="8bdb61f3-1305-4a9b-97d4-47fb3fe99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60240-EE1F-4515-9C50-090BD56815C8}">
  <ds:schemaRefs>
    <ds:schemaRef ds:uri="http://schemas.openxmlformats.org/officeDocument/2006/bibliography"/>
  </ds:schemaRefs>
</ds:datastoreItem>
</file>

<file path=customXml/itemProps4.xml><?xml version="1.0" encoding="utf-8"?>
<ds:datastoreItem xmlns:ds="http://schemas.openxmlformats.org/officeDocument/2006/customXml" ds:itemID="{FF28E9CA-FE61-4FBA-9B29-14EA757ED091}">
  <ds:schemaRefs>
    <ds:schemaRef ds:uri="http://schemas.microsoft.com/office/2006/metadata/properties"/>
    <ds:schemaRef ds:uri="http://schemas.microsoft.com/office/infopath/2007/PartnerControls"/>
    <ds:schemaRef ds:uri="4be6e129-17bc-4f05-9def-a51dc5f03fa3"/>
  </ds:schemaRefs>
</ds:datastoreItem>
</file>

<file path=docMetadata/LabelInfo.xml><?xml version="1.0" encoding="utf-8"?>
<clbl:labelList xmlns:clbl="http://schemas.microsoft.com/office/2020/mipLabelMetadata">
  <clbl:label id="{7f4d25dc-0cb0-4908-89bf-16102a1937e6}" enabled="0" method="" siteId="{7f4d25dc-0cb0-4908-89bf-16102a1937e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2684</Words>
  <Characters>14713</Characters>
  <Application>Microsoft Office Word</Application>
  <DocSecurity>0</DocSecurity>
  <Lines>237</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17298</CharactersWithSpaces>
  <SharedDoc>false</SharedDoc>
  <HLinks>
    <vt:vector size="42" baseType="variant">
      <vt:variant>
        <vt:i4>2359395</vt:i4>
      </vt:variant>
      <vt:variant>
        <vt:i4>15</vt:i4>
      </vt:variant>
      <vt:variant>
        <vt:i4>0</vt:i4>
      </vt:variant>
      <vt:variant>
        <vt:i4>5</vt:i4>
      </vt:variant>
      <vt:variant>
        <vt:lpwstr>http://www.ift.org.mx/avisos-de-privacidad</vt:lpwstr>
      </vt:variant>
      <vt:variant>
        <vt:lpwstr/>
      </vt:variant>
      <vt:variant>
        <vt:i4>262204</vt:i4>
      </vt:variant>
      <vt:variant>
        <vt:i4>12</vt:i4>
      </vt:variant>
      <vt:variant>
        <vt:i4>0</vt:i4>
      </vt:variant>
      <vt:variant>
        <vt:i4>5</vt:i4>
      </vt:variant>
      <vt:variant>
        <vt:lpwstr>mailto:unidad.transparencia@ift.org.mx</vt:lpwstr>
      </vt:variant>
      <vt:variant>
        <vt:lpwstr/>
      </vt:variant>
      <vt:variant>
        <vt:i4>2687026</vt:i4>
      </vt:variant>
      <vt:variant>
        <vt:i4>9</vt:i4>
      </vt:variant>
      <vt:variant>
        <vt:i4>0</vt:i4>
      </vt:variant>
      <vt:variant>
        <vt:i4>5</vt:i4>
      </vt:variant>
      <vt:variant>
        <vt:lpwstr>http://www.inai.org.mx/</vt:lpwstr>
      </vt:variant>
      <vt:variant>
        <vt:lpwstr/>
      </vt:variant>
      <vt:variant>
        <vt:i4>262204</vt:i4>
      </vt:variant>
      <vt:variant>
        <vt:i4>6</vt:i4>
      </vt:variant>
      <vt:variant>
        <vt:i4>0</vt:i4>
      </vt:variant>
      <vt:variant>
        <vt:i4>5</vt:i4>
      </vt:variant>
      <vt:variant>
        <vt:lpwstr>mailto:unidad.transparencia@ift.org.mx</vt:lpwstr>
      </vt:variant>
      <vt:variant>
        <vt:lpwstr/>
      </vt:variant>
      <vt:variant>
        <vt:i4>1704001</vt:i4>
      </vt:variant>
      <vt:variant>
        <vt:i4>3</vt:i4>
      </vt:variant>
      <vt:variant>
        <vt:i4>0</vt:i4>
      </vt:variant>
      <vt:variant>
        <vt:i4>5</vt:i4>
      </vt:variant>
      <vt:variant>
        <vt:lpwstr>mailto:___________@ift.org.mx</vt:lpwstr>
      </vt:variant>
      <vt:variant>
        <vt:lpwstr/>
      </vt:variant>
      <vt:variant>
        <vt:i4>6291508</vt:i4>
      </vt:variant>
      <vt:variant>
        <vt:i4>0</vt:i4>
      </vt:variant>
      <vt:variant>
        <vt:i4>0</vt:i4>
      </vt:variant>
      <vt:variant>
        <vt:i4>5</vt:i4>
      </vt:variant>
      <vt:variant>
        <vt:lpwstr>http://www.ift.org.mx/industria/consultas-publicas</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Ricardo Moran Gonzalez</cp:lastModifiedBy>
  <cp:revision>2</cp:revision>
  <dcterms:created xsi:type="dcterms:W3CDTF">2025-04-11T14:04:00Z</dcterms:created>
  <dcterms:modified xsi:type="dcterms:W3CDTF">2025-04-11T14:04:00Z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0x0101007D6CE0F1FBB38B4C8A0BB61156E48174</vt:lpwstr>
  </property>
  <property fmtid="{D5CDD505-2E9C-101B-9397-08002B2CF9AE}" pid="3" name="GVData">
    <vt:lpwstr>ew0KICAiZG9jSUQiOiAiNTgwM2Q5MDktYjQyMy00NTdkLTgyMTUtNTQ0MGI0NDY0NTFmIg0KfQ==</vt:lpwstr>
  </property>
  <property fmtid="{D5CDD505-2E9C-101B-9397-08002B2CF9AE}" pid="4" name="GVData0">
    <vt:lpwstr>(end)</vt:lpwstr>
  </property>
</Properties>
</file>